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8DE5B" w14:textId="2AB715DD" w:rsidR="00101DE6" w:rsidRPr="00101DE6" w:rsidRDefault="00101DE6" w:rsidP="00E93F26">
      <w:pPr>
        <w:tabs>
          <w:tab w:val="left" w:pos="426"/>
        </w:tabs>
        <w:snapToGrid w:val="0"/>
        <w:spacing w:after="0" w:line="240" w:lineRule="auto"/>
        <w:contextualSpacing/>
        <w:jc w:val="both"/>
        <w:rPr>
          <w:rFonts w:ascii="Verdana" w:hAnsi="Verdana" w:cs="Arial"/>
          <w:b/>
          <w:bCs/>
          <w:lang w:val="es-ES" w:eastAsia="es-ES"/>
        </w:rPr>
      </w:pPr>
      <w:r w:rsidRPr="00101DE6">
        <w:rPr>
          <w:rFonts w:ascii="Verdana" w:hAnsi="Verdana" w:cs="Arial"/>
          <w:b/>
          <w:bCs/>
          <w:lang w:val="es-ES" w:eastAsia="es-ES"/>
        </w:rPr>
        <w:t>LEY DE GARANTÍAS ELECTORALES – Finalidad</w:t>
      </w:r>
    </w:p>
    <w:p w14:paraId="2820C87C" w14:textId="77777777" w:rsidR="00101DE6" w:rsidRDefault="00101DE6" w:rsidP="00E93F26">
      <w:pPr>
        <w:tabs>
          <w:tab w:val="left" w:pos="426"/>
        </w:tabs>
        <w:snapToGrid w:val="0"/>
        <w:spacing w:after="0" w:line="240" w:lineRule="auto"/>
        <w:contextualSpacing/>
        <w:jc w:val="both"/>
        <w:rPr>
          <w:rFonts w:ascii="Verdana" w:eastAsia="Times New Roman" w:hAnsi="Verdana" w:cs="Arial"/>
          <w:sz w:val="20"/>
          <w:szCs w:val="20"/>
          <w:lang w:val="es-ES" w:eastAsia="es-CO"/>
        </w:rPr>
      </w:pPr>
    </w:p>
    <w:p w14:paraId="65D711BC" w14:textId="636419A6" w:rsidR="00E93F26" w:rsidRPr="00E93F26" w:rsidRDefault="00E93F26" w:rsidP="00E93F26">
      <w:pPr>
        <w:tabs>
          <w:tab w:val="left" w:pos="426"/>
        </w:tabs>
        <w:snapToGrid w:val="0"/>
        <w:spacing w:after="0" w:line="240" w:lineRule="auto"/>
        <w:contextualSpacing/>
        <w:jc w:val="both"/>
        <w:rPr>
          <w:rFonts w:ascii="Verdana" w:hAnsi="Verdana" w:cs="Arial"/>
          <w:sz w:val="20"/>
          <w:szCs w:val="20"/>
          <w:lang w:val="es-ES"/>
        </w:rPr>
      </w:pPr>
      <w:r w:rsidRPr="00E93F26">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93F26">
        <w:rPr>
          <w:rFonts w:ascii="Verdana" w:hAnsi="Verdana" w:cs="Arial"/>
          <w:sz w:val="20"/>
          <w:szCs w:val="20"/>
          <w:lang w:val="es-ES"/>
        </w:rPr>
        <w:t xml:space="preserve"> </w:t>
      </w:r>
    </w:p>
    <w:p w14:paraId="06D03649" w14:textId="77777777" w:rsidR="00E93F26" w:rsidRPr="00E93F26" w:rsidRDefault="00E93F26" w:rsidP="00E93F26">
      <w:pPr>
        <w:snapToGrid w:val="0"/>
        <w:spacing w:after="0" w:line="240" w:lineRule="auto"/>
        <w:contextualSpacing/>
        <w:jc w:val="both"/>
        <w:rPr>
          <w:rFonts w:ascii="Verdana" w:hAnsi="Verdana" w:cs="Arial"/>
          <w:sz w:val="20"/>
          <w:szCs w:val="20"/>
          <w:lang w:val="es-ES" w:eastAsia="es-ES"/>
        </w:rPr>
      </w:pPr>
    </w:p>
    <w:p w14:paraId="7CBF51F4" w14:textId="77777777" w:rsidR="00E93F26" w:rsidRPr="00E93F26" w:rsidRDefault="00E93F26" w:rsidP="00E93F26">
      <w:pPr>
        <w:snapToGrid w:val="0"/>
        <w:spacing w:line="259" w:lineRule="auto"/>
        <w:contextualSpacing/>
        <w:jc w:val="both"/>
        <w:rPr>
          <w:rFonts w:ascii="Verdana" w:hAnsi="Verdana" w:cs="Arial"/>
          <w:b/>
          <w:bCs/>
          <w:sz w:val="20"/>
          <w:szCs w:val="20"/>
          <w:lang w:val="es-ES" w:eastAsia="es-ES"/>
        </w:rPr>
      </w:pPr>
      <w:r w:rsidRPr="00E93F26">
        <w:rPr>
          <w:rFonts w:ascii="Verdana" w:hAnsi="Verdana" w:cs="Arial"/>
          <w:b/>
          <w:bCs/>
          <w:lang w:val="es-ES" w:eastAsia="es-ES"/>
        </w:rPr>
        <w:t>LEY DE GARANTÍAS ELECTORALES ‒ Restricciones ‒ Contratación ‒ Tipos de elección</w:t>
      </w:r>
    </w:p>
    <w:p w14:paraId="52B7E9C3" w14:textId="77777777" w:rsidR="00E93F26" w:rsidRPr="00E93F26" w:rsidRDefault="00E93F26" w:rsidP="00E93F26">
      <w:pPr>
        <w:snapToGrid w:val="0"/>
        <w:spacing w:after="0" w:line="240" w:lineRule="auto"/>
        <w:contextualSpacing/>
        <w:jc w:val="both"/>
        <w:rPr>
          <w:rFonts w:ascii="Verdana" w:hAnsi="Verdana" w:cs="Arial"/>
          <w:sz w:val="20"/>
          <w:szCs w:val="20"/>
          <w:lang w:val="es-ES" w:eastAsia="es-ES"/>
        </w:rPr>
      </w:pPr>
    </w:p>
    <w:p w14:paraId="748FBBDF" w14:textId="77777777" w:rsidR="00E93F26" w:rsidRPr="00E93F26" w:rsidRDefault="00E93F26" w:rsidP="00E93F26">
      <w:pPr>
        <w:snapToGrid w:val="0"/>
        <w:spacing w:after="0" w:line="240" w:lineRule="auto"/>
        <w:contextualSpacing/>
        <w:jc w:val="both"/>
        <w:rPr>
          <w:rFonts w:ascii="Verdana" w:hAnsi="Verdana" w:cs="Arial"/>
          <w:sz w:val="20"/>
          <w:szCs w:val="20"/>
          <w:lang w:val="es-ES"/>
        </w:rPr>
      </w:pPr>
      <w:r w:rsidRPr="00E93F26">
        <w:rPr>
          <w:rFonts w:ascii="Verdana" w:hAnsi="Verdana" w:cs="Arial"/>
          <w:sz w:val="20"/>
          <w:szCs w:val="20"/>
          <w:lang w:val="es-ES"/>
        </w:rPr>
        <w:t xml:space="preserve">Por un lado, el </w:t>
      </w:r>
      <w:r w:rsidRPr="00E93F26">
        <w:rPr>
          <w:rFonts w:ascii="Verdana" w:hAnsi="Verdana" w:cs="Arial"/>
          <w:i/>
          <w:iCs/>
          <w:sz w:val="20"/>
          <w:szCs w:val="20"/>
          <w:lang w:val="es-ES"/>
        </w:rPr>
        <w:t xml:space="preserve">artículo 33 </w:t>
      </w:r>
      <w:r w:rsidRPr="00E93F26">
        <w:rPr>
          <w:rFonts w:ascii="Verdana" w:hAnsi="Verdana" w:cs="Arial"/>
          <w:sz w:val="20"/>
          <w:szCs w:val="20"/>
          <w:lang w:val="es-ES"/>
        </w:rPr>
        <w:t xml:space="preserve">de la Ley 996 de 2005 prohíbe “[…] la contratación directa por parte de </w:t>
      </w:r>
      <w:r w:rsidRPr="00E93F26">
        <w:rPr>
          <w:rFonts w:ascii="Verdana" w:hAnsi="Verdana" w:cs="Arial"/>
          <w:i/>
          <w:iCs/>
          <w:sz w:val="20"/>
          <w:szCs w:val="20"/>
          <w:lang w:val="es-ES"/>
        </w:rPr>
        <w:t>todos los entes del Estado</w:t>
      </w:r>
      <w:r w:rsidRPr="00E93F26">
        <w:rPr>
          <w:rFonts w:ascii="Verdana" w:hAnsi="Verdana" w:cs="Arial"/>
          <w:sz w:val="20"/>
          <w:szCs w:val="20"/>
          <w:lang w:val="es-ES"/>
        </w:rPr>
        <w:t xml:space="preserve">” durante los cuatro (4) meses anteriores a las </w:t>
      </w:r>
      <w:r w:rsidRPr="00E93F26">
        <w:rPr>
          <w:rFonts w:ascii="Verdana" w:hAnsi="Verdana" w:cs="Arial"/>
          <w:i/>
          <w:iCs/>
          <w:sz w:val="20"/>
          <w:szCs w:val="20"/>
          <w:lang w:val="es-ES"/>
        </w:rPr>
        <w:t>elecciones presidenciales</w:t>
      </w:r>
      <w:r w:rsidRPr="00E93F26">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92758A4" w14:textId="77777777" w:rsidR="00E93F26" w:rsidRPr="00E93F26" w:rsidRDefault="00E93F26" w:rsidP="00E93F26">
      <w:pPr>
        <w:snapToGrid w:val="0"/>
        <w:spacing w:after="0" w:line="240" w:lineRule="auto"/>
        <w:contextualSpacing/>
        <w:jc w:val="both"/>
        <w:rPr>
          <w:rFonts w:ascii="Verdana" w:hAnsi="Verdana" w:cs="Arial"/>
          <w:sz w:val="20"/>
          <w:szCs w:val="20"/>
          <w:lang w:val="es-ES"/>
        </w:rPr>
      </w:pPr>
    </w:p>
    <w:p w14:paraId="05806486" w14:textId="77777777" w:rsidR="00E93F26" w:rsidRPr="00E93F26" w:rsidRDefault="00E93F26" w:rsidP="00E93F26">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E93F26">
        <w:rPr>
          <w:rFonts w:ascii="Verdana" w:hAnsi="Verdana" w:cs="Arial"/>
          <w:sz w:val="20"/>
          <w:szCs w:val="20"/>
          <w:lang w:val="es-ES"/>
        </w:rPr>
        <w:t xml:space="preserve">Por otro lado, </w:t>
      </w:r>
      <w:r w:rsidRPr="00E93F26">
        <w:rPr>
          <w:rFonts w:ascii="Verdana" w:hAnsi="Verdana" w:cs="Arial"/>
          <w:i/>
          <w:iCs/>
          <w:sz w:val="20"/>
          <w:szCs w:val="20"/>
          <w:lang w:val="es-ES"/>
        </w:rPr>
        <w:t xml:space="preserve">el parágrafo del artículo 38 </w:t>
      </w:r>
      <w:r w:rsidRPr="00E93F26">
        <w:rPr>
          <w:rFonts w:ascii="Verdana" w:hAnsi="Verdana" w:cs="Arial"/>
          <w:sz w:val="20"/>
          <w:szCs w:val="20"/>
          <w:lang w:val="es-ES"/>
        </w:rPr>
        <w:t xml:space="preserve">de la Ley 996 de 2005 prevé una restricción, aplicable respecto de </w:t>
      </w:r>
      <w:r w:rsidRPr="00E93F26">
        <w:rPr>
          <w:rFonts w:ascii="Verdana" w:hAnsi="Verdana" w:cs="Arial"/>
          <w:i/>
          <w:iCs/>
          <w:sz w:val="20"/>
          <w:szCs w:val="20"/>
          <w:lang w:val="es-ES"/>
        </w:rPr>
        <w:t>cualquier tipo de contienda electoral</w:t>
      </w:r>
      <w:r w:rsidRPr="00E93F26">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93F26">
        <w:rPr>
          <w:rFonts w:ascii="Verdana" w:eastAsia="Arial" w:hAnsi="Verdana" w:cs="Arial"/>
          <w:sz w:val="20"/>
          <w:szCs w:val="20"/>
          <w:lang w:val="es-ES" w:eastAsia="es-ES" w:bidi="es-ES"/>
        </w:rPr>
        <w:t xml:space="preserve"> </w:t>
      </w:r>
    </w:p>
    <w:p w14:paraId="299D0D19" w14:textId="77777777" w:rsidR="00E93F26" w:rsidRPr="00E93F26" w:rsidRDefault="00E93F26" w:rsidP="00E93F26">
      <w:pPr>
        <w:snapToGrid w:val="0"/>
        <w:spacing w:after="0" w:line="240" w:lineRule="auto"/>
        <w:contextualSpacing/>
        <w:jc w:val="both"/>
        <w:rPr>
          <w:rFonts w:ascii="Verdana" w:hAnsi="Verdana" w:cs="Arial"/>
          <w:sz w:val="20"/>
          <w:szCs w:val="20"/>
          <w:lang w:val="es-ES" w:eastAsia="es-ES"/>
        </w:rPr>
      </w:pPr>
    </w:p>
    <w:p w14:paraId="090C3634" w14:textId="77777777" w:rsidR="00E93F26" w:rsidRPr="00E93F26" w:rsidRDefault="00E93F26" w:rsidP="00E93F26">
      <w:pPr>
        <w:snapToGrid w:val="0"/>
        <w:spacing w:after="0" w:line="240" w:lineRule="auto"/>
        <w:contextualSpacing/>
        <w:jc w:val="both"/>
        <w:rPr>
          <w:rFonts w:ascii="Verdana" w:hAnsi="Verdana" w:cs="Arial"/>
          <w:b/>
          <w:bCs/>
          <w:lang w:val="es-ES" w:eastAsia="es-ES"/>
        </w:rPr>
      </w:pPr>
      <w:r w:rsidRPr="00E93F26">
        <w:rPr>
          <w:rFonts w:ascii="Verdana" w:hAnsi="Verdana" w:cs="Arial"/>
          <w:b/>
          <w:bCs/>
          <w:lang w:val="es-ES" w:eastAsia="es-ES"/>
        </w:rPr>
        <w:t>LEY DE GARANTÍAS ELECTORALES ‒ Artículo 33 ‒ Ámbito material</w:t>
      </w:r>
    </w:p>
    <w:p w14:paraId="34880C42" w14:textId="77777777" w:rsidR="00E93F26" w:rsidRPr="00E93F26" w:rsidRDefault="00E93F26" w:rsidP="00E93F26">
      <w:pPr>
        <w:snapToGrid w:val="0"/>
        <w:spacing w:after="0" w:line="240" w:lineRule="auto"/>
        <w:contextualSpacing/>
        <w:jc w:val="both"/>
        <w:rPr>
          <w:rFonts w:ascii="Verdana" w:eastAsia="Times New Roman" w:hAnsi="Verdana" w:cs="Arial"/>
          <w:sz w:val="20"/>
          <w:szCs w:val="20"/>
          <w:lang w:val="es-ES"/>
        </w:rPr>
      </w:pPr>
    </w:p>
    <w:p w14:paraId="624B0FA0" w14:textId="77777777" w:rsidR="00E93F26" w:rsidRPr="00E93F26" w:rsidRDefault="00E93F26" w:rsidP="00E93F26">
      <w:pPr>
        <w:snapToGrid w:val="0"/>
        <w:spacing w:after="0" w:line="240" w:lineRule="auto"/>
        <w:contextualSpacing/>
        <w:jc w:val="both"/>
        <w:rPr>
          <w:rFonts w:ascii="Verdana" w:eastAsia="Times New Roman" w:hAnsi="Verdana" w:cs="Arial"/>
          <w:sz w:val="20"/>
          <w:szCs w:val="20"/>
          <w:lang w:val="es-ES"/>
        </w:rPr>
      </w:pPr>
      <w:r w:rsidRPr="00E93F26">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E93F26">
        <w:rPr>
          <w:rFonts w:ascii="Verdana" w:eastAsia="Times New Roman" w:hAnsi="Verdana" w:cs="Arial"/>
          <w:i/>
          <w:iCs/>
          <w:sz w:val="20"/>
          <w:szCs w:val="20"/>
          <w:lang w:val="es-ES"/>
        </w:rPr>
        <w:t>cualquier contrato o convenio de forma directa</w:t>
      </w:r>
      <w:r w:rsidRPr="00E93F26">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4A34A2F" w14:textId="77777777" w:rsidR="00E93F26" w:rsidRPr="00E93F26" w:rsidRDefault="00E93F26" w:rsidP="00E93F26">
      <w:pPr>
        <w:snapToGrid w:val="0"/>
        <w:spacing w:after="0" w:line="240" w:lineRule="auto"/>
        <w:contextualSpacing/>
        <w:jc w:val="both"/>
        <w:rPr>
          <w:rFonts w:ascii="Verdana" w:hAnsi="Verdana" w:cs="Arial"/>
          <w:sz w:val="20"/>
          <w:szCs w:val="20"/>
          <w:lang w:val="es-ES" w:eastAsia="es-ES"/>
        </w:rPr>
      </w:pPr>
    </w:p>
    <w:p w14:paraId="3761DDD8" w14:textId="1BEB5653" w:rsidR="00E93F26" w:rsidRPr="00E93F26" w:rsidRDefault="00E93F26" w:rsidP="00E93F26">
      <w:pPr>
        <w:snapToGrid w:val="0"/>
        <w:spacing w:after="0" w:line="240" w:lineRule="auto"/>
        <w:contextualSpacing/>
        <w:jc w:val="both"/>
        <w:rPr>
          <w:rFonts w:ascii="Verdana" w:eastAsia="Arial" w:hAnsi="Verdana" w:cs="Arial"/>
          <w:b/>
          <w:bCs/>
          <w:color w:val="000000" w:themeColor="text1"/>
        </w:rPr>
      </w:pPr>
      <w:r w:rsidRPr="00E93F26">
        <w:rPr>
          <w:rFonts w:ascii="Verdana" w:hAnsi="Verdana" w:cs="Arial"/>
          <w:b/>
          <w:bCs/>
          <w:lang w:val="es-ES" w:eastAsia="es-ES"/>
        </w:rPr>
        <w:t xml:space="preserve">LEY DE GARANTÍAS ELECTORALES ‒ Aplicación ‒ excepciones ‒ </w:t>
      </w:r>
      <w:r w:rsidR="003201C3">
        <w:rPr>
          <w:rFonts w:ascii="Verdana" w:hAnsi="Verdana" w:cs="Arial"/>
          <w:b/>
          <w:bCs/>
          <w:lang w:val="es-ES" w:eastAsia="es-ES"/>
        </w:rPr>
        <w:t>contratos de empréstitos</w:t>
      </w:r>
    </w:p>
    <w:p w14:paraId="4088692E" w14:textId="77777777" w:rsidR="00E93F26" w:rsidRPr="00E93F26" w:rsidRDefault="00E93F26" w:rsidP="00E93F26">
      <w:pPr>
        <w:spacing w:after="0" w:line="259" w:lineRule="auto"/>
        <w:rPr>
          <w:rFonts w:ascii="Verdana" w:eastAsiaTheme="minorHAnsi" w:hAnsi="Verdana" w:cstheme="minorBidi"/>
          <w:lang w:val="es-ES"/>
        </w:rPr>
      </w:pPr>
    </w:p>
    <w:p w14:paraId="7B1EC1BC" w14:textId="77777777" w:rsidR="00101DE6" w:rsidRPr="00101DE6" w:rsidRDefault="00101DE6" w:rsidP="00101DE6">
      <w:pPr>
        <w:spacing w:after="0" w:line="240" w:lineRule="auto"/>
        <w:jc w:val="both"/>
        <w:rPr>
          <w:rFonts w:ascii="Verdana" w:hAnsi="Verdana" w:cs="Arial"/>
          <w:bCs/>
          <w:color w:val="000000" w:themeColor="text1"/>
          <w:sz w:val="20"/>
          <w:szCs w:val="20"/>
          <w:lang w:val="es-ES"/>
        </w:rPr>
      </w:pPr>
      <w:r w:rsidRPr="00101DE6">
        <w:rPr>
          <w:rFonts w:ascii="Verdana" w:hAnsi="Verdana" w:cs="Arial"/>
          <w:bCs/>
          <w:color w:val="000000" w:themeColor="text1"/>
          <w:sz w:val="20"/>
          <w:szCs w:val="20"/>
          <w:lang w:val="es-ES"/>
        </w:rPr>
        <w:lastRenderedPageBreak/>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593CA0F7" w14:textId="77777777" w:rsidR="00101DE6" w:rsidRDefault="00101DE6" w:rsidP="00101DE6">
      <w:pPr>
        <w:spacing w:after="0" w:line="240" w:lineRule="auto"/>
        <w:jc w:val="both"/>
        <w:rPr>
          <w:rFonts w:ascii="Verdana" w:hAnsi="Verdana" w:cs="Arial"/>
          <w:bCs/>
          <w:color w:val="000000" w:themeColor="text1"/>
          <w:sz w:val="20"/>
          <w:szCs w:val="20"/>
          <w:lang w:val="es-ES"/>
        </w:rPr>
      </w:pPr>
    </w:p>
    <w:p w14:paraId="65FB5436" w14:textId="482F44CC" w:rsidR="00101DE6" w:rsidRPr="00101DE6" w:rsidRDefault="00101DE6" w:rsidP="00101DE6">
      <w:pPr>
        <w:spacing w:after="0" w:line="240" w:lineRule="auto"/>
        <w:jc w:val="both"/>
        <w:rPr>
          <w:rFonts w:ascii="Verdana" w:hAnsi="Verdana" w:cs="Arial"/>
          <w:bCs/>
          <w:color w:val="000000" w:themeColor="text1"/>
          <w:sz w:val="20"/>
          <w:szCs w:val="20"/>
        </w:rPr>
      </w:pPr>
      <w:r w:rsidRPr="00101DE6">
        <w:rPr>
          <w:rFonts w:ascii="Verdana" w:hAnsi="Verdana" w:cs="Arial"/>
          <w:bCs/>
          <w:color w:val="000000" w:themeColor="text1"/>
          <w:sz w:val="20"/>
          <w:szCs w:val="20"/>
          <w:lang w:val="es-ES"/>
        </w:rPr>
        <w:t xml:space="preserve">En ejercicio de sus facultades reglamentarias, el Gobierno Nacional recogió la definición legal de este tipo de operaciones y la amplió mediante el Decreto 2681 de 1993, norma compilada, a su vez, en el artículo 2.2.1.1.1. del Decreto 1068 de 2015. Este último dispuso que </w:t>
      </w:r>
      <w:r w:rsidRPr="00101DE6">
        <w:rPr>
          <w:rFonts w:ascii="Verdana" w:hAnsi="Verdana" w:cs="Arial"/>
          <w:bCs/>
          <w:color w:val="000000" w:themeColor="text1"/>
          <w:sz w:val="20"/>
          <w:szCs w:val="20"/>
        </w:rPr>
        <w:t>“[s]</w:t>
      </w:r>
      <w:proofErr w:type="spellStart"/>
      <w:r w:rsidRPr="00101DE6">
        <w:rPr>
          <w:rFonts w:ascii="Verdana" w:hAnsi="Verdana" w:cs="Arial"/>
          <w:bCs/>
          <w:color w:val="000000" w:themeColor="text1"/>
          <w:sz w:val="20"/>
          <w:szCs w:val="20"/>
        </w:rPr>
        <w:t>on</w:t>
      </w:r>
      <w:proofErr w:type="spellEnd"/>
      <w:r w:rsidRPr="00101DE6">
        <w:rPr>
          <w:rFonts w:ascii="Verdana" w:hAnsi="Verdana" w:cs="Arial"/>
          <w:bCs/>
          <w:color w:val="000000" w:themeColor="text1"/>
          <w:sz w:val="20"/>
          <w:szCs w:val="20"/>
        </w:rPr>
        <w:t xml:space="preserve"> operaciones de crédito público los actos o contratos que tienen por objeto dotar a la entidad estatal de recursos, bienes o servicios con plazo para su pago o aquellas mediante las cuales la entidad actúa como deudor solidario o garante de obligaciones de pago”. La norma reglamentaria agregó que dentro de estas operaciones están comprendidas, entre otras, </w:t>
      </w:r>
      <w:r w:rsidRPr="00101DE6">
        <w:rPr>
          <w:rFonts w:ascii="Verdana" w:hAnsi="Verdana" w:cs="Arial"/>
          <w:bCs/>
          <w:i/>
          <w:iCs/>
          <w:color w:val="000000" w:themeColor="text1"/>
          <w:sz w:val="20"/>
          <w:szCs w:val="20"/>
        </w:rPr>
        <w:t>la contratación de empréstitos</w:t>
      </w:r>
      <w:r w:rsidRPr="00101DE6">
        <w:rPr>
          <w:rFonts w:ascii="Verdana" w:hAnsi="Verdana" w:cs="Arial"/>
          <w:bCs/>
          <w:color w:val="000000" w:themeColor="text1"/>
          <w:sz w:val="20"/>
          <w:szCs w:val="20"/>
        </w:rPr>
        <w:t>, la emisión, suscripción y colocación de títulos de deuda pública, los créditos de proveedores y el otorgamiento de garantías para obligaciones de pago a cargo de entidades estatales.</w:t>
      </w:r>
    </w:p>
    <w:p w14:paraId="5FFD98DA" w14:textId="77777777" w:rsidR="00E93F26" w:rsidRPr="00E93F26" w:rsidRDefault="00E93F26" w:rsidP="00E93F26">
      <w:pPr>
        <w:spacing w:after="0" w:line="259" w:lineRule="auto"/>
        <w:rPr>
          <w:rFonts w:ascii="Verdana" w:eastAsiaTheme="minorHAnsi" w:hAnsi="Verdana" w:cstheme="minorBidi"/>
          <w:lang w:val="es-ES"/>
        </w:rPr>
      </w:pPr>
    </w:p>
    <w:p w14:paraId="067BF771" w14:textId="43C918D5" w:rsidR="00ED2A56" w:rsidRDefault="003201C3" w:rsidP="0035449A">
      <w:pPr>
        <w:spacing w:after="0" w:line="240" w:lineRule="auto"/>
        <w:jc w:val="both"/>
        <w:rPr>
          <w:rFonts w:ascii="Verdana" w:eastAsiaTheme="minorHAnsi" w:hAnsi="Verdana" w:cs="Arial"/>
          <w:b/>
          <w:lang w:val="es-MX" w:eastAsia="es-ES_tradnl"/>
        </w:rPr>
      </w:pPr>
      <w:r>
        <w:rPr>
          <w:rFonts w:ascii="Verdana" w:hAnsi="Verdana" w:cs="Arial"/>
          <w:b/>
          <w:lang w:val="es-MX" w:eastAsia="es-ES_tradnl"/>
        </w:rPr>
        <w:t>CONTRATOS Y CONVENIOS INTERADMINISTRATIVOS – Definición – Criterio orgánico</w:t>
      </w:r>
    </w:p>
    <w:p w14:paraId="38241427" w14:textId="77777777" w:rsidR="0035449A" w:rsidRPr="0035449A" w:rsidRDefault="0035449A" w:rsidP="0035449A">
      <w:pPr>
        <w:spacing w:after="0" w:line="240" w:lineRule="auto"/>
        <w:jc w:val="both"/>
        <w:rPr>
          <w:rFonts w:ascii="Verdana" w:eastAsiaTheme="minorHAnsi" w:hAnsi="Verdana" w:cs="Arial"/>
          <w:b/>
          <w:lang w:val="es-MX" w:eastAsia="es-ES_tradnl"/>
        </w:rPr>
      </w:pPr>
    </w:p>
    <w:p w14:paraId="0A82DE80" w14:textId="0958ADE4" w:rsidR="00ED2A56" w:rsidRDefault="00ED2A56" w:rsidP="0035449A">
      <w:pPr>
        <w:spacing w:after="0" w:line="240" w:lineRule="auto"/>
        <w:jc w:val="both"/>
        <w:rPr>
          <w:rFonts w:ascii="Verdana" w:hAnsi="Verdana" w:cs="Arial"/>
          <w:sz w:val="20"/>
          <w:szCs w:val="20"/>
          <w:lang w:eastAsia="es-ES"/>
        </w:rPr>
      </w:pPr>
      <w:r w:rsidRPr="0035449A">
        <w:rPr>
          <w:rFonts w:ascii="Verdana" w:eastAsia="Times New Roman" w:hAnsi="Verdana" w:cs="Arial"/>
          <w:sz w:val="20"/>
          <w:szCs w:val="20"/>
          <w:lang w:val="es-ES" w:eastAsia="es-ES_tradnl"/>
        </w:rPr>
        <w:t xml:space="preserve">Debe precisarse que </w:t>
      </w:r>
      <w:r w:rsidRPr="0035449A">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35449A">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5A318F58" w14:textId="57C55087" w:rsidR="0035449A" w:rsidRDefault="0035449A" w:rsidP="0035449A">
      <w:pPr>
        <w:spacing w:after="0" w:line="240" w:lineRule="auto"/>
        <w:jc w:val="both"/>
        <w:rPr>
          <w:rFonts w:ascii="Verdana" w:eastAsia="Arial" w:hAnsi="Verdana" w:cs="Arial"/>
          <w:sz w:val="20"/>
          <w:lang w:val="es-MX" w:eastAsia="es-ES" w:bidi="es-ES"/>
        </w:rPr>
      </w:pPr>
      <w:r>
        <w:rPr>
          <w:rFonts w:ascii="Verdana" w:eastAsia="Arial" w:hAnsi="Verdana" w:cs="Arial"/>
          <w:sz w:val="20"/>
          <w:lang w:val="es-MX" w:eastAsia="es-ES" w:bidi="es-ES"/>
        </w:rPr>
        <w:t>[…]</w:t>
      </w:r>
    </w:p>
    <w:p w14:paraId="2948942F" w14:textId="77777777" w:rsidR="0035449A" w:rsidRPr="0035449A" w:rsidRDefault="0035449A" w:rsidP="0035449A">
      <w:pPr>
        <w:spacing w:after="0" w:line="240" w:lineRule="auto"/>
        <w:jc w:val="both"/>
        <w:rPr>
          <w:rFonts w:ascii="Verdana" w:hAnsi="Verdana" w:cs="Arial"/>
          <w:sz w:val="20"/>
          <w:szCs w:val="20"/>
          <w:lang w:eastAsia="es-ES"/>
        </w:rPr>
      </w:pPr>
    </w:p>
    <w:p w14:paraId="7AD95F3D" w14:textId="117BFED6" w:rsidR="00ED2A56" w:rsidRPr="0035449A" w:rsidRDefault="00ED2A56" w:rsidP="0035449A">
      <w:pPr>
        <w:spacing w:after="0" w:line="240" w:lineRule="auto"/>
        <w:jc w:val="both"/>
        <w:rPr>
          <w:rFonts w:ascii="Verdana" w:hAnsi="Verdana"/>
          <w:sz w:val="20"/>
          <w:szCs w:val="20"/>
          <w:lang w:eastAsia="es-CO"/>
        </w:rPr>
      </w:pPr>
      <w:r w:rsidRPr="0035449A">
        <w:rPr>
          <w:rFonts w:ascii="Verdana" w:hAnsi="Verdana" w:cs="Arial"/>
          <w:sz w:val="20"/>
          <w:szCs w:val="20"/>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 pues, de acuerdo con lo anotado, esta clase de acuerdos de voluntades se definen por un criterio orgánico, por lo que uno de sus elementos esenciales es que en los extremos de la relación jurídico negocial concurran personas de derecho público</w:t>
      </w:r>
      <w:r w:rsidRPr="0035449A">
        <w:rPr>
          <w:rFonts w:ascii="Verdana" w:hAnsi="Verdana"/>
          <w:sz w:val="20"/>
          <w:szCs w:val="20"/>
          <w:lang w:eastAsia="es-CO"/>
        </w:rPr>
        <w:t>.</w:t>
      </w:r>
    </w:p>
    <w:p w14:paraId="26553E0D" w14:textId="77777777" w:rsidR="00ED2A56" w:rsidRDefault="00ED2A56" w:rsidP="003201C3">
      <w:pPr>
        <w:spacing w:after="0"/>
        <w:jc w:val="both"/>
        <w:rPr>
          <w:rFonts w:ascii="Verdana" w:hAnsi="Verdana" w:cs="Arial"/>
          <w:sz w:val="20"/>
          <w:lang w:bidi="es-ES"/>
        </w:rPr>
      </w:pPr>
    </w:p>
    <w:p w14:paraId="34691652" w14:textId="1B47A36D" w:rsidR="003201C3" w:rsidRDefault="003201C3" w:rsidP="003201C3">
      <w:pPr>
        <w:spacing w:after="0"/>
        <w:jc w:val="both"/>
        <w:rPr>
          <w:rFonts w:ascii="Verdana" w:hAnsi="Verdana"/>
          <w:b/>
        </w:rPr>
      </w:pPr>
      <w:r>
        <w:rPr>
          <w:rFonts w:ascii="Verdana" w:hAnsi="Verdana" w:cs="Arial"/>
          <w:b/>
          <w:lang w:val="es-MX" w:eastAsia="es-ES_tradnl"/>
        </w:rPr>
        <w:t>CONTRATOS Y CONVENIOS INTERADMINISTRATIVOS – Circular Externa Única – Auto de suspensión –numeral 16.2.</w:t>
      </w:r>
    </w:p>
    <w:p w14:paraId="3E8A0814" w14:textId="77777777" w:rsidR="003201C3" w:rsidRDefault="003201C3" w:rsidP="003201C3">
      <w:pPr>
        <w:spacing w:after="0"/>
        <w:jc w:val="both"/>
        <w:rPr>
          <w:rFonts w:ascii="Verdana" w:hAnsi="Verdana"/>
          <w:b/>
        </w:rPr>
      </w:pPr>
    </w:p>
    <w:p w14:paraId="3670C4D1" w14:textId="71FA7DDC" w:rsidR="0035449A" w:rsidRDefault="003201C3" w:rsidP="0035449A">
      <w:pPr>
        <w:spacing w:after="0" w:line="240" w:lineRule="auto"/>
        <w:jc w:val="both"/>
        <w:rPr>
          <w:rFonts w:ascii="Verdana" w:hAnsi="Verdana"/>
          <w:sz w:val="18"/>
          <w:szCs w:val="20"/>
        </w:rPr>
      </w:pPr>
      <w:r>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Pr>
          <w:rFonts w:ascii="Verdana" w:hAnsi="Verdana"/>
          <w:sz w:val="20"/>
        </w:rPr>
        <w:t xml:space="preserve">numeral 16.2 de </w:t>
      </w:r>
      <w:r>
        <w:rPr>
          <w:rFonts w:ascii="Verdana" w:hAnsi="Verdana"/>
          <w:sz w:val="20"/>
        </w:rPr>
        <w:lastRenderedPageBreak/>
        <w:t>la Circular Externa Única de 2022 expedida por la Agencia Nacional de Contratación Pública -Colombia Compra Eficiente-, concretamente, respecto de los siguientes apartes normativos</w:t>
      </w:r>
      <w:r w:rsidR="0035449A">
        <w:rPr>
          <w:rFonts w:ascii="Verdana" w:hAnsi="Verdana"/>
          <w:sz w:val="18"/>
          <w:szCs w:val="20"/>
        </w:rPr>
        <w:t xml:space="preserve">. </w:t>
      </w:r>
      <w:r w:rsidR="0035449A">
        <w:rPr>
          <w:rFonts w:ascii="Verdana" w:eastAsia="Arial" w:hAnsi="Verdana" w:cs="Arial"/>
          <w:sz w:val="20"/>
          <w:lang w:val="es-MX" w:eastAsia="es-ES" w:bidi="es-ES"/>
        </w:rPr>
        <w:t>[…]</w:t>
      </w:r>
    </w:p>
    <w:p w14:paraId="429F41D8" w14:textId="77777777" w:rsidR="0035449A" w:rsidRDefault="0035449A" w:rsidP="0035449A">
      <w:pPr>
        <w:spacing w:after="0" w:line="240" w:lineRule="auto"/>
        <w:jc w:val="both"/>
        <w:rPr>
          <w:rFonts w:ascii="Verdana" w:hAnsi="Verdana"/>
          <w:sz w:val="18"/>
          <w:szCs w:val="20"/>
        </w:rPr>
      </w:pPr>
    </w:p>
    <w:p w14:paraId="4370C491" w14:textId="3DEBD1CA" w:rsidR="003201C3" w:rsidRPr="0035449A" w:rsidRDefault="0035449A" w:rsidP="0035449A">
      <w:pPr>
        <w:spacing w:after="0" w:line="240" w:lineRule="auto"/>
        <w:jc w:val="both"/>
        <w:rPr>
          <w:rFonts w:ascii="Verdana" w:hAnsi="Verdana"/>
          <w:sz w:val="18"/>
          <w:szCs w:val="20"/>
        </w:rPr>
      </w:pPr>
      <w:r w:rsidRPr="0035449A">
        <w:rPr>
          <w:rFonts w:ascii="Verdana" w:hAnsi="Verdana"/>
          <w:sz w:val="20"/>
        </w:rPr>
        <w:t>De igual manera, mediante auto del 6 de noviembre de 2025, el Consejo de Estado, Subsección A de la Sección Tercera, decretó</w:t>
      </w:r>
      <w:r w:rsidRPr="0035449A">
        <w:rPr>
          <w:rFonts w:ascii="Verdana" w:hAnsi="Verdana"/>
          <w:b/>
          <w:bCs/>
          <w:sz w:val="20"/>
        </w:rPr>
        <w:t xml:space="preserve"> </w:t>
      </w:r>
      <w:r w:rsidRPr="0035449A">
        <w:rPr>
          <w:rFonts w:ascii="Verdana" w:hAnsi="Verdana"/>
          <w:sz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35449A">
        <w:rPr>
          <w:rFonts w:ascii="Verdana" w:hAnsi="Verdana"/>
          <w:sz w:val="20"/>
        </w:rPr>
        <w:t>legis</w:t>
      </w:r>
      <w:proofErr w:type="spellEnd"/>
      <w:r w:rsidRPr="0035449A">
        <w:rPr>
          <w:rFonts w:ascii="Verdana" w:hAnsi="Verdana"/>
          <w:sz w:val="20"/>
        </w:rPr>
        <w:t xml:space="preserve"> o iuris y la interpretación extensiva y reiteró los argumentos sobre la diferencia entre contratos y convenios interadministrativos</w:t>
      </w:r>
    </w:p>
    <w:p w14:paraId="76F4FB86"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C93EF9A" w14:textId="77777777" w:rsidR="00E80185" w:rsidRDefault="00E80185" w:rsidP="00E80185">
      <w:pPr>
        <w:spacing w:after="0" w:line="240" w:lineRule="auto"/>
        <w:jc w:val="both"/>
        <w:rPr>
          <w:rFonts w:ascii="Verdana" w:hAnsi="Verdana"/>
          <w:sz w:val="18"/>
          <w:szCs w:val="20"/>
        </w:rPr>
      </w:pPr>
      <w:r>
        <w:rPr>
          <w:rFonts w:ascii="Verdana" w:eastAsia="Arial" w:hAnsi="Verdana" w:cs="Arial"/>
          <w:sz w:val="20"/>
          <w:lang w:val="es-MX" w:eastAsia="es-ES" w:bidi="es-ES"/>
        </w:rPr>
        <w:t>[…]</w:t>
      </w:r>
    </w:p>
    <w:p w14:paraId="615AF95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4FFA4653" w14:textId="77777777" w:rsidR="00E80185" w:rsidRPr="00E80185" w:rsidRDefault="00E80185" w:rsidP="00E80185">
      <w:pPr>
        <w:spacing w:after="0" w:line="240" w:lineRule="auto"/>
        <w:jc w:val="both"/>
        <w:rPr>
          <w:rFonts w:ascii="Verdana" w:hAnsi="Verdana"/>
          <w:sz w:val="20"/>
        </w:rPr>
      </w:pPr>
      <w:r w:rsidRPr="00E80185">
        <w:rPr>
          <w:rFonts w:ascii="Verdana" w:hAnsi="Verdana"/>
          <w:sz w:val="20"/>
        </w:rPr>
        <w:t xml:space="preserve">Así las cosas, a la luz de lo expuesto por el Consejo de Estado en los autos del 4 de octubre de 2024 y 6 de noviembre de 2025, no resultaría aplicable la prohibición del parágrafo del artículo 38 de la Ley de Garantías Electorales a los contratos interadministrativos. </w:t>
      </w:r>
    </w:p>
    <w:p w14:paraId="7839003E" w14:textId="77777777" w:rsidR="00835517" w:rsidRDefault="00835517" w:rsidP="00D97EF3">
      <w:pPr>
        <w:spacing w:after="0" w:line="240" w:lineRule="auto"/>
        <w:rPr>
          <w:rFonts w:ascii="Verdana" w:eastAsia="Geomanist Light" w:hAnsi="Verdana" w:cs="Arial"/>
          <w:color w:val="000000" w:themeColor="text1"/>
          <w:lang w:val="es-MX"/>
        </w:rPr>
      </w:pPr>
    </w:p>
    <w:p w14:paraId="5F80BB25" w14:textId="77777777" w:rsidR="00E80185" w:rsidRDefault="00E80185" w:rsidP="00D97EF3">
      <w:pPr>
        <w:spacing w:after="0" w:line="240" w:lineRule="auto"/>
        <w:rPr>
          <w:rFonts w:ascii="Verdana" w:eastAsia="Geomanist Light" w:hAnsi="Verdana" w:cs="Arial"/>
          <w:color w:val="000000" w:themeColor="text1"/>
          <w:lang w:val="es-MX"/>
        </w:rPr>
      </w:pPr>
    </w:p>
    <w:p w14:paraId="3B302E6D" w14:textId="77777777" w:rsidR="00E80185" w:rsidRDefault="00E80185" w:rsidP="00D97EF3">
      <w:pPr>
        <w:spacing w:after="0" w:line="240" w:lineRule="auto"/>
        <w:rPr>
          <w:rFonts w:ascii="Verdana" w:eastAsia="Geomanist Light" w:hAnsi="Verdana" w:cs="Arial"/>
          <w:color w:val="000000" w:themeColor="text1"/>
          <w:lang w:val="es-MX"/>
        </w:rPr>
      </w:pPr>
    </w:p>
    <w:p w14:paraId="2636CE77" w14:textId="77777777" w:rsidR="00E80185" w:rsidRDefault="00E80185" w:rsidP="00D97EF3">
      <w:pPr>
        <w:spacing w:after="0" w:line="240" w:lineRule="auto"/>
        <w:rPr>
          <w:rFonts w:ascii="Verdana" w:eastAsia="Geomanist Light" w:hAnsi="Verdana" w:cs="Arial"/>
          <w:color w:val="000000" w:themeColor="text1"/>
          <w:lang w:val="es-MX"/>
        </w:rPr>
      </w:pPr>
    </w:p>
    <w:p w14:paraId="29CEB1EC" w14:textId="77777777" w:rsidR="00E80185" w:rsidRDefault="00E80185" w:rsidP="00D97EF3">
      <w:pPr>
        <w:spacing w:after="0" w:line="240" w:lineRule="auto"/>
        <w:rPr>
          <w:rFonts w:ascii="Verdana" w:eastAsia="Geomanist Light" w:hAnsi="Verdana" w:cs="Arial"/>
          <w:color w:val="000000" w:themeColor="text1"/>
          <w:lang w:val="es-MX"/>
        </w:rPr>
      </w:pPr>
    </w:p>
    <w:p w14:paraId="1DD557F1" w14:textId="77777777" w:rsidR="00E80185" w:rsidRDefault="00E80185" w:rsidP="00D97EF3">
      <w:pPr>
        <w:spacing w:after="0" w:line="240" w:lineRule="auto"/>
        <w:rPr>
          <w:rFonts w:ascii="Verdana" w:eastAsia="Geomanist Light" w:hAnsi="Verdana" w:cs="Arial"/>
          <w:color w:val="000000" w:themeColor="text1"/>
          <w:lang w:val="es-MX"/>
        </w:rPr>
      </w:pPr>
    </w:p>
    <w:p w14:paraId="11A3192F" w14:textId="77777777" w:rsidR="00E80185" w:rsidRDefault="00E80185" w:rsidP="00D97EF3">
      <w:pPr>
        <w:spacing w:after="0" w:line="240" w:lineRule="auto"/>
        <w:rPr>
          <w:rFonts w:ascii="Verdana" w:eastAsia="Geomanist Light" w:hAnsi="Verdana" w:cs="Arial"/>
          <w:color w:val="000000" w:themeColor="text1"/>
          <w:lang w:val="es-MX"/>
        </w:rPr>
      </w:pPr>
    </w:p>
    <w:p w14:paraId="49C3515C" w14:textId="77777777" w:rsidR="00E80185" w:rsidRDefault="00E80185" w:rsidP="00D97EF3">
      <w:pPr>
        <w:spacing w:after="0" w:line="240" w:lineRule="auto"/>
        <w:rPr>
          <w:rFonts w:ascii="Verdana" w:eastAsia="Geomanist Light" w:hAnsi="Verdana" w:cs="Arial"/>
          <w:color w:val="000000" w:themeColor="text1"/>
          <w:lang w:val="es-MX"/>
        </w:rPr>
      </w:pPr>
    </w:p>
    <w:p w14:paraId="738832BC" w14:textId="77777777" w:rsidR="00E80185" w:rsidRDefault="00E80185" w:rsidP="00D97EF3">
      <w:pPr>
        <w:spacing w:after="0" w:line="240" w:lineRule="auto"/>
        <w:rPr>
          <w:rFonts w:ascii="Verdana" w:eastAsia="Geomanist Light" w:hAnsi="Verdana" w:cs="Arial"/>
          <w:color w:val="000000" w:themeColor="text1"/>
          <w:lang w:val="es-MX"/>
        </w:rPr>
      </w:pPr>
    </w:p>
    <w:p w14:paraId="24039A71" w14:textId="77777777" w:rsidR="00E80185" w:rsidRDefault="00E80185" w:rsidP="00D97EF3">
      <w:pPr>
        <w:spacing w:after="0" w:line="240" w:lineRule="auto"/>
        <w:rPr>
          <w:rFonts w:ascii="Verdana" w:eastAsia="Geomanist Light" w:hAnsi="Verdana" w:cs="Arial"/>
          <w:color w:val="000000" w:themeColor="text1"/>
          <w:lang w:val="es-MX"/>
        </w:rPr>
      </w:pPr>
    </w:p>
    <w:p w14:paraId="33D809CA" w14:textId="77777777" w:rsidR="00E80185" w:rsidRDefault="00E80185" w:rsidP="00D97EF3">
      <w:pPr>
        <w:spacing w:after="0" w:line="240" w:lineRule="auto"/>
        <w:rPr>
          <w:rFonts w:ascii="Verdana" w:eastAsia="Geomanist Light" w:hAnsi="Verdana" w:cs="Arial"/>
          <w:color w:val="000000" w:themeColor="text1"/>
          <w:lang w:val="es-MX"/>
        </w:rPr>
      </w:pPr>
    </w:p>
    <w:p w14:paraId="48A0E745" w14:textId="77777777" w:rsidR="00E80185" w:rsidRDefault="00E80185" w:rsidP="00D97EF3">
      <w:pPr>
        <w:spacing w:after="0" w:line="240" w:lineRule="auto"/>
        <w:rPr>
          <w:rFonts w:ascii="Verdana" w:eastAsia="Geomanist Light" w:hAnsi="Verdana" w:cs="Arial"/>
          <w:color w:val="000000" w:themeColor="text1"/>
          <w:lang w:val="es-MX"/>
        </w:rPr>
      </w:pPr>
    </w:p>
    <w:p w14:paraId="0D9F5BD5" w14:textId="77777777" w:rsidR="00E80185" w:rsidRDefault="00E80185" w:rsidP="00D97EF3">
      <w:pPr>
        <w:spacing w:after="0" w:line="240" w:lineRule="auto"/>
        <w:rPr>
          <w:rFonts w:ascii="Verdana" w:eastAsia="Geomanist Light" w:hAnsi="Verdana" w:cs="Arial"/>
          <w:color w:val="000000" w:themeColor="text1"/>
          <w:lang w:val="es-MX"/>
        </w:rPr>
      </w:pPr>
    </w:p>
    <w:p w14:paraId="551953C4" w14:textId="77777777" w:rsidR="00E80185" w:rsidRDefault="00E80185" w:rsidP="00D97EF3">
      <w:pPr>
        <w:spacing w:after="0" w:line="240" w:lineRule="auto"/>
        <w:rPr>
          <w:rFonts w:ascii="Verdana" w:eastAsia="Geomanist Light" w:hAnsi="Verdana" w:cs="Arial"/>
          <w:color w:val="000000" w:themeColor="text1"/>
          <w:lang w:val="es-MX"/>
        </w:rPr>
      </w:pPr>
    </w:p>
    <w:p w14:paraId="311DB3FA" w14:textId="77777777" w:rsidR="00E80185" w:rsidRDefault="00E80185" w:rsidP="00D97EF3">
      <w:pPr>
        <w:spacing w:after="0" w:line="240" w:lineRule="auto"/>
        <w:rPr>
          <w:rFonts w:ascii="Verdana" w:eastAsia="Geomanist Light" w:hAnsi="Verdana" w:cs="Arial"/>
          <w:color w:val="000000" w:themeColor="text1"/>
          <w:lang w:val="es-MX"/>
        </w:rPr>
      </w:pPr>
    </w:p>
    <w:p w14:paraId="7AFA2BC6" w14:textId="77777777" w:rsidR="00E80185" w:rsidRDefault="00E80185" w:rsidP="00D97EF3">
      <w:pPr>
        <w:spacing w:after="0" w:line="240" w:lineRule="auto"/>
        <w:rPr>
          <w:rFonts w:ascii="Verdana" w:eastAsia="Geomanist Light" w:hAnsi="Verdana" w:cs="Arial"/>
          <w:color w:val="000000" w:themeColor="text1"/>
          <w:lang w:val="es-MX"/>
        </w:rPr>
      </w:pPr>
    </w:p>
    <w:p w14:paraId="25FA1571" w14:textId="77777777" w:rsidR="00E80185" w:rsidRDefault="00E80185" w:rsidP="00D97EF3">
      <w:pPr>
        <w:spacing w:after="0" w:line="240" w:lineRule="auto"/>
        <w:rPr>
          <w:rFonts w:ascii="Verdana" w:eastAsia="Geomanist Light" w:hAnsi="Verdana" w:cs="Arial"/>
          <w:color w:val="000000" w:themeColor="text1"/>
          <w:lang w:val="es-MX"/>
        </w:rPr>
      </w:pPr>
    </w:p>
    <w:p w14:paraId="2D922188" w14:textId="77777777" w:rsidR="00E80185" w:rsidRDefault="00E80185" w:rsidP="00D97EF3">
      <w:pPr>
        <w:spacing w:after="0" w:line="240" w:lineRule="auto"/>
        <w:rPr>
          <w:rFonts w:ascii="Verdana" w:eastAsia="Geomanist Light" w:hAnsi="Verdana" w:cs="Arial"/>
          <w:color w:val="000000" w:themeColor="text1"/>
          <w:lang w:val="es-MX"/>
        </w:rPr>
      </w:pPr>
    </w:p>
    <w:p w14:paraId="024D7F88" w14:textId="77777777" w:rsidR="00E80185" w:rsidRDefault="00E80185" w:rsidP="00D97EF3">
      <w:pPr>
        <w:spacing w:after="0" w:line="240" w:lineRule="auto"/>
        <w:rPr>
          <w:rFonts w:ascii="Verdana" w:eastAsia="Geomanist Light" w:hAnsi="Verdana" w:cs="Arial"/>
          <w:color w:val="000000" w:themeColor="text1"/>
          <w:lang w:val="es-MX"/>
        </w:rPr>
      </w:pPr>
    </w:p>
    <w:p w14:paraId="26FD1CCF" w14:textId="77777777" w:rsidR="00E80185" w:rsidRDefault="00E80185" w:rsidP="00D97EF3">
      <w:pPr>
        <w:spacing w:after="0" w:line="240" w:lineRule="auto"/>
        <w:rPr>
          <w:rFonts w:ascii="Verdana" w:eastAsia="Geomanist Light" w:hAnsi="Verdana" w:cs="Arial"/>
          <w:color w:val="000000" w:themeColor="text1"/>
          <w:lang w:val="es-MX"/>
        </w:rPr>
      </w:pPr>
    </w:p>
    <w:p w14:paraId="5B6E1114" w14:textId="77777777" w:rsidR="00E80185" w:rsidRDefault="00E80185" w:rsidP="00D97EF3">
      <w:pPr>
        <w:spacing w:after="0" w:line="240" w:lineRule="auto"/>
        <w:rPr>
          <w:rFonts w:ascii="Verdana" w:eastAsia="Geomanist Light" w:hAnsi="Verdana" w:cs="Arial"/>
          <w:color w:val="000000" w:themeColor="text1"/>
          <w:lang w:val="es-MX"/>
        </w:rPr>
      </w:pPr>
    </w:p>
    <w:p w14:paraId="08A46195" w14:textId="77777777" w:rsidR="00E80185" w:rsidRDefault="00E80185" w:rsidP="00D97EF3">
      <w:pPr>
        <w:spacing w:after="0" w:line="240" w:lineRule="auto"/>
        <w:rPr>
          <w:rFonts w:ascii="Verdana" w:eastAsia="Geomanist Light" w:hAnsi="Verdana" w:cs="Arial"/>
          <w:color w:val="000000" w:themeColor="text1"/>
          <w:lang w:val="es-MX"/>
        </w:rPr>
      </w:pPr>
    </w:p>
    <w:p w14:paraId="2EA2F3D3" w14:textId="77777777" w:rsidR="00E80185" w:rsidRDefault="00E80185" w:rsidP="00D97EF3">
      <w:pPr>
        <w:spacing w:after="0" w:line="240" w:lineRule="auto"/>
        <w:rPr>
          <w:rFonts w:ascii="Verdana" w:eastAsia="Geomanist Light" w:hAnsi="Verdana" w:cs="Arial"/>
          <w:color w:val="000000" w:themeColor="text1"/>
          <w:lang w:val="es-MX"/>
        </w:rPr>
      </w:pPr>
    </w:p>
    <w:p w14:paraId="38616C69" w14:textId="77777777" w:rsidR="002A38E9" w:rsidRDefault="002A38E9" w:rsidP="002A38E9">
      <w:pPr>
        <w:spacing w:after="0" w:line="240" w:lineRule="auto"/>
        <w:rPr>
          <w:rFonts w:ascii="Verdana" w:eastAsia="Geomanist Light" w:hAnsi="Verdana" w:cs="Arial"/>
          <w:color w:val="000000" w:themeColor="text1"/>
          <w:lang w:val="es-MX"/>
        </w:rPr>
      </w:pPr>
    </w:p>
    <w:p w14:paraId="0E656F99" w14:textId="6D3A893B" w:rsidR="00D46909" w:rsidRPr="00D46909" w:rsidRDefault="00D46909" w:rsidP="00D46909">
      <w:pPr>
        <w:spacing w:after="0" w:line="240" w:lineRule="auto"/>
        <w:rPr>
          <w:rFonts w:ascii="Verdana" w:eastAsia="Geomanist Light" w:hAnsi="Verdana" w:cs="Arial"/>
          <w:color w:val="201F1E"/>
          <w:lang w:val="es-MX"/>
        </w:rPr>
      </w:pPr>
      <w:r w:rsidRPr="00D46909">
        <w:rPr>
          <w:rFonts w:ascii="Verdana" w:eastAsia="Geomanist Light" w:hAnsi="Verdana" w:cs="Arial"/>
          <w:color w:val="000000" w:themeColor="text1"/>
          <w:lang w:val="es-MX"/>
        </w:rPr>
        <w:lastRenderedPageBreak/>
        <w:t>Bogotá D.C., </w:t>
      </w:r>
      <w:r w:rsidR="009B536B">
        <w:rPr>
          <w:rFonts w:ascii="Verdana" w:eastAsia="Geomanist Light" w:hAnsi="Verdana" w:cs="Arial"/>
          <w:color w:val="000000" w:themeColor="text1"/>
          <w:lang w:val="es-MX"/>
        </w:rPr>
        <w:t>12 de noviembre de 2025</w:t>
      </w:r>
    </w:p>
    <w:p w14:paraId="6476F34E" w14:textId="77777777" w:rsidR="00D46909" w:rsidRPr="00D46909" w:rsidRDefault="00D46909" w:rsidP="00D46909">
      <w:pPr>
        <w:spacing w:after="0" w:line="240" w:lineRule="auto"/>
        <w:jc w:val="right"/>
        <w:rPr>
          <w:rFonts w:ascii="Verdana" w:hAnsi="Verdana" w:cs="Arial"/>
          <w:color w:val="000000"/>
          <w:lang w:val="es-ES_tradnl"/>
        </w:rPr>
      </w:pPr>
    </w:p>
    <w:p w14:paraId="4260F66A" w14:textId="0A875A39" w:rsidR="00D46909" w:rsidRPr="00D46909" w:rsidRDefault="009B536B" w:rsidP="009B536B">
      <w:pPr>
        <w:spacing w:after="0" w:line="240" w:lineRule="auto"/>
        <w:jc w:val="right"/>
        <w:rPr>
          <w:rFonts w:ascii="Verdana" w:hAnsi="Verdana" w:cs="Arial"/>
          <w:color w:val="000000"/>
          <w:lang w:val="es-ES_tradnl"/>
        </w:rPr>
      </w:pPr>
      <w:r w:rsidRPr="009B536B">
        <w:rPr>
          <w:rFonts w:ascii="Verdana" w:hAnsi="Verdana" w:cs="Arial"/>
          <w:noProof/>
          <w:color w:val="000000"/>
          <w:lang w:val="es-ES_tradnl"/>
        </w:rPr>
        <w:drawing>
          <wp:inline distT="0" distB="0" distL="0" distR="0" wp14:anchorId="38DD8D0C" wp14:editId="092B67D1">
            <wp:extent cx="2103120" cy="815340"/>
            <wp:effectExtent l="0" t="0" r="0" b="3810"/>
            <wp:docPr id="21041281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815340"/>
                    </a:xfrm>
                    <a:prstGeom prst="rect">
                      <a:avLst/>
                    </a:prstGeom>
                    <a:noFill/>
                    <a:ln>
                      <a:noFill/>
                    </a:ln>
                  </pic:spPr>
                </pic:pic>
              </a:graphicData>
            </a:graphic>
          </wp:inline>
        </w:drawing>
      </w:r>
    </w:p>
    <w:p w14:paraId="1CDA1CBF" w14:textId="77777777" w:rsidR="00D46909" w:rsidRPr="00D46909" w:rsidRDefault="00D46909" w:rsidP="00D46909">
      <w:pPr>
        <w:spacing w:after="0" w:line="240" w:lineRule="auto"/>
        <w:jc w:val="both"/>
        <w:rPr>
          <w:rFonts w:ascii="Verdana" w:hAnsi="Verdana" w:cs="Arial"/>
          <w:lang w:val="es-ES_tradnl" w:eastAsia="es-ES"/>
        </w:rPr>
      </w:pPr>
      <w:r w:rsidRPr="00D46909">
        <w:rPr>
          <w:rFonts w:ascii="Verdana" w:hAnsi="Verdana" w:cs="Arial"/>
          <w:lang w:val="es-ES_tradnl" w:eastAsia="es-ES"/>
        </w:rPr>
        <w:t>Señora</w:t>
      </w:r>
    </w:p>
    <w:p w14:paraId="768D95DD" w14:textId="77777777" w:rsidR="00D46909" w:rsidRPr="00D46909" w:rsidRDefault="00D46909" w:rsidP="00D46909">
      <w:pPr>
        <w:spacing w:after="0" w:line="240" w:lineRule="auto"/>
        <w:jc w:val="both"/>
        <w:rPr>
          <w:rFonts w:ascii="Verdana" w:hAnsi="Verdana" w:cs="Arial"/>
          <w:b/>
          <w:bCs/>
          <w:lang w:val="es-ES_tradnl" w:eastAsia="es-ES"/>
        </w:rPr>
      </w:pPr>
      <w:r w:rsidRPr="00D46909">
        <w:rPr>
          <w:rFonts w:ascii="Verdana" w:hAnsi="Verdana" w:cs="Arial"/>
          <w:b/>
          <w:bCs/>
          <w:lang w:val="es-ES_tradnl" w:eastAsia="es-ES"/>
        </w:rPr>
        <w:t xml:space="preserve">Alejandra María Zapata Hoyos </w:t>
      </w:r>
    </w:p>
    <w:p w14:paraId="30BB2E41" w14:textId="77777777" w:rsidR="00D46909" w:rsidRPr="00D46909" w:rsidRDefault="00D46909" w:rsidP="00D46909">
      <w:pPr>
        <w:spacing w:after="0" w:line="240" w:lineRule="auto"/>
        <w:rPr>
          <w:rFonts w:ascii="Verdana" w:hAnsi="Verdana" w:cs="Arial"/>
          <w:b/>
          <w:bCs/>
          <w:lang w:val="es-ES_tradnl" w:eastAsia="es-ES_tradnl"/>
        </w:rPr>
      </w:pPr>
      <w:r w:rsidRPr="00D46909">
        <w:rPr>
          <w:rFonts w:ascii="Verdana" w:hAnsi="Verdana" w:cs="Arial"/>
          <w:b/>
          <w:bCs/>
          <w:lang w:eastAsia="es-ES_tradnl"/>
        </w:rPr>
        <w:t xml:space="preserve">Secretaria General </w:t>
      </w:r>
    </w:p>
    <w:p w14:paraId="17EA4DE8" w14:textId="77777777" w:rsidR="00D46909" w:rsidRPr="00D46909" w:rsidRDefault="00D46909" w:rsidP="00D46909">
      <w:pPr>
        <w:spacing w:after="0" w:line="240" w:lineRule="auto"/>
        <w:rPr>
          <w:rFonts w:ascii="Verdana" w:hAnsi="Verdana"/>
          <w:b/>
          <w:bCs/>
        </w:rPr>
      </w:pPr>
      <w:r w:rsidRPr="00D46909">
        <w:rPr>
          <w:rFonts w:ascii="Verdana" w:hAnsi="Verdana"/>
          <w:b/>
          <w:bCs/>
        </w:rPr>
        <w:t xml:space="preserve">Instituto de Desarrollo de Antioquia </w:t>
      </w:r>
    </w:p>
    <w:p w14:paraId="12BB6C0A" w14:textId="77777777" w:rsidR="00D46909" w:rsidRPr="00D46909" w:rsidRDefault="00D46909" w:rsidP="00D46909">
      <w:pPr>
        <w:spacing w:after="0" w:line="240" w:lineRule="auto"/>
        <w:rPr>
          <w:rFonts w:ascii="Verdana" w:hAnsi="Verdana"/>
        </w:rPr>
      </w:pPr>
      <w:hyperlink r:id="rId12" w:history="1">
        <w:r w:rsidRPr="00D46909">
          <w:rPr>
            <w:rFonts w:ascii="Verdana" w:hAnsi="Verdana"/>
            <w:color w:val="0000FF"/>
            <w:u w:val="single"/>
          </w:rPr>
          <w:t>alejandrazh@idea.gov.co</w:t>
        </w:r>
      </w:hyperlink>
    </w:p>
    <w:p w14:paraId="3B2C7C4C" w14:textId="77777777" w:rsidR="00D46909" w:rsidRPr="00D46909" w:rsidRDefault="00D46909" w:rsidP="00D46909">
      <w:pPr>
        <w:spacing w:after="0" w:line="240" w:lineRule="auto"/>
        <w:rPr>
          <w:rFonts w:ascii="Verdana" w:hAnsi="Verdana" w:cs="Arial"/>
          <w:lang w:val="es-ES_tradnl" w:eastAsia="es-ES"/>
        </w:rPr>
      </w:pPr>
      <w:hyperlink r:id="rId13" w:history="1">
        <w:r w:rsidRPr="00D46909">
          <w:rPr>
            <w:rFonts w:ascii="Verdana" w:hAnsi="Verdana" w:cs="Arial"/>
            <w:color w:val="0000FF"/>
            <w:u w:val="single"/>
            <w:lang w:val="es-ES_tradnl" w:eastAsia="es-ES"/>
          </w:rPr>
          <w:t>carlosbm@idea.gov.co</w:t>
        </w:r>
      </w:hyperlink>
    </w:p>
    <w:p w14:paraId="34A94015" w14:textId="77777777" w:rsidR="00D46909" w:rsidRPr="00D46909" w:rsidRDefault="00D46909" w:rsidP="00D46909">
      <w:pPr>
        <w:tabs>
          <w:tab w:val="left" w:pos="3708"/>
        </w:tabs>
        <w:spacing w:after="0" w:line="240" w:lineRule="auto"/>
        <w:rPr>
          <w:rFonts w:ascii="Verdana" w:hAnsi="Verdana" w:cs="Arial"/>
          <w:lang w:val="es-ES_tradnl" w:eastAsia="es-ES"/>
        </w:rPr>
      </w:pPr>
      <w:r w:rsidRPr="00D46909">
        <w:rPr>
          <w:rFonts w:ascii="Verdana" w:hAnsi="Verdana" w:cs="Arial"/>
          <w:lang w:val="es-ES_tradnl" w:eastAsia="es-ES"/>
        </w:rPr>
        <w:t>Medellín, Antioquia</w:t>
      </w:r>
      <w:r w:rsidRPr="00D46909">
        <w:rPr>
          <w:rFonts w:ascii="Verdana" w:hAnsi="Verdana" w:cs="Arial"/>
          <w:lang w:val="es-ES_tradnl" w:eastAsia="es-ES"/>
        </w:rPr>
        <w:tab/>
      </w:r>
    </w:p>
    <w:p w14:paraId="5C0C429D" w14:textId="77777777" w:rsidR="00D46909" w:rsidRPr="00D46909" w:rsidRDefault="00D46909" w:rsidP="00D46909">
      <w:pPr>
        <w:spacing w:after="0" w:line="240" w:lineRule="auto"/>
        <w:rPr>
          <w:rFonts w:ascii="Verdana" w:hAnsi="Verdana" w:cs="Arial"/>
          <w:b/>
          <w:bCs/>
          <w:color w:val="000000"/>
          <w:lang w:val="es-ES_tradnl" w:eastAsia="es-ES_tradnl"/>
        </w:rPr>
      </w:pPr>
    </w:p>
    <w:p w14:paraId="5D646AD5" w14:textId="77777777" w:rsidR="00D46909" w:rsidRPr="00D46909" w:rsidRDefault="00D46909" w:rsidP="00D46909">
      <w:pPr>
        <w:spacing w:after="0" w:line="240" w:lineRule="auto"/>
        <w:rPr>
          <w:rFonts w:ascii="Verdana" w:hAnsi="Verdana" w:cs="Arial"/>
          <w:b/>
          <w:bCs/>
          <w:color w:val="000000"/>
          <w:lang w:val="es-ES_tradnl"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D46909" w:rsidRPr="00D46909" w14:paraId="3540BD51" w14:textId="77777777" w:rsidTr="00D014BF">
        <w:trPr>
          <w:trHeight w:val="633"/>
        </w:trPr>
        <w:tc>
          <w:tcPr>
            <w:tcW w:w="2689" w:type="dxa"/>
          </w:tcPr>
          <w:p w14:paraId="7063597F" w14:textId="77777777" w:rsidR="00D46909" w:rsidRPr="00D46909" w:rsidRDefault="00D46909" w:rsidP="00D46909">
            <w:pPr>
              <w:spacing w:after="160"/>
              <w:jc w:val="both"/>
              <w:rPr>
                <w:rFonts w:ascii="Verdana" w:hAnsi="Verdana" w:cs="Arial"/>
                <w:b/>
                <w:bCs/>
                <w:color w:val="7030A0"/>
                <w:lang w:val="es-ES_tradnl" w:eastAsia="es-ES_tradnl"/>
              </w:rPr>
            </w:pPr>
          </w:p>
        </w:tc>
        <w:tc>
          <w:tcPr>
            <w:tcW w:w="6100" w:type="dxa"/>
          </w:tcPr>
          <w:p w14:paraId="2E6D6176" w14:textId="77777777" w:rsidR="00D46909" w:rsidRPr="00D46909" w:rsidRDefault="00D46909" w:rsidP="00D46909">
            <w:pPr>
              <w:spacing w:after="160"/>
              <w:jc w:val="both"/>
              <w:rPr>
                <w:rFonts w:ascii="Verdana" w:hAnsi="Verdana" w:cs="Arial"/>
                <w:b/>
                <w:bCs/>
                <w:color w:val="7030A0"/>
                <w:lang w:val="es-ES_tradnl" w:eastAsia="es-ES"/>
              </w:rPr>
            </w:pPr>
            <w:r w:rsidRPr="00D46909">
              <w:rPr>
                <w:rFonts w:ascii="Verdana" w:hAnsi="Verdana" w:cs="Arial"/>
                <w:b/>
                <w:bCs/>
                <w:lang w:val="es-ES_tradnl" w:eastAsia="es-ES"/>
              </w:rPr>
              <w:t>Concepto C – 1430 de 2025</w:t>
            </w:r>
          </w:p>
        </w:tc>
      </w:tr>
      <w:tr w:rsidR="00D46909" w:rsidRPr="00D46909" w14:paraId="4C835124" w14:textId="77777777" w:rsidTr="00D014BF">
        <w:trPr>
          <w:trHeight w:val="884"/>
        </w:trPr>
        <w:tc>
          <w:tcPr>
            <w:tcW w:w="2689" w:type="dxa"/>
          </w:tcPr>
          <w:p w14:paraId="0FAB90EA" w14:textId="77777777" w:rsidR="00D46909" w:rsidRPr="00D46909" w:rsidRDefault="00D46909" w:rsidP="00D46909">
            <w:pPr>
              <w:spacing w:after="160"/>
              <w:jc w:val="both"/>
              <w:rPr>
                <w:rFonts w:ascii="Verdana" w:hAnsi="Verdana" w:cs="Arial"/>
                <w:color w:val="000000"/>
                <w:lang w:val="es-ES_tradnl" w:eastAsia="es-ES_tradnl"/>
              </w:rPr>
            </w:pPr>
            <w:r w:rsidRPr="00D46909">
              <w:rPr>
                <w:rFonts w:ascii="Verdana" w:hAnsi="Verdana" w:cs="Arial"/>
                <w:b/>
                <w:color w:val="000000"/>
                <w:lang w:val="es-ES_tradnl" w:eastAsia="es-ES_tradnl"/>
              </w:rPr>
              <w:t>Temas:</w:t>
            </w:r>
            <w:r w:rsidRPr="00D46909">
              <w:rPr>
                <w:rFonts w:ascii="Verdana" w:hAnsi="Verdana" w:cs="Arial"/>
                <w:color w:val="000000"/>
                <w:lang w:val="es-ES_tradnl" w:eastAsia="es-ES_tradnl"/>
              </w:rPr>
              <w:t xml:space="preserve">                   </w:t>
            </w:r>
          </w:p>
        </w:tc>
        <w:tc>
          <w:tcPr>
            <w:tcW w:w="6100" w:type="dxa"/>
          </w:tcPr>
          <w:p w14:paraId="79B2696C" w14:textId="3D977F83" w:rsidR="00D46909" w:rsidRPr="00011F7C" w:rsidRDefault="00D46909" w:rsidP="00D46909">
            <w:pPr>
              <w:spacing w:after="160" w:line="276" w:lineRule="auto"/>
              <w:jc w:val="both"/>
              <w:rPr>
                <w:rFonts w:ascii="Verdana" w:eastAsia="Arial" w:hAnsi="Verdana" w:cs="Arial"/>
                <w:bCs/>
                <w:color w:val="000000" w:themeColor="text1"/>
              </w:rPr>
            </w:pPr>
            <w:r w:rsidRPr="00D46909">
              <w:rPr>
                <w:rFonts w:ascii="Verdana" w:hAnsi="Verdana" w:cs="Arial"/>
                <w:lang w:val="es-ES" w:eastAsia="es-ES"/>
              </w:rPr>
              <w:t xml:space="preserve">LEY DE GARANTÍAS ELECTORALES – Finalidad / LEY DE GARANTÍAS ELECTORALES ‒ Restricciones ‒ Contratación ‒ Tipos de elección / LEY DE GARANTÍAS ELECTORALES ‒ Artículo 33 ‒ Ámbito material / LEY DE GARANTÍAS ELECTORALES ‒ Aplicación ‒ excepciones ‒ Contratos de empréstitos / </w:t>
            </w:r>
            <w:r w:rsidRPr="00D46909">
              <w:rPr>
                <w:rFonts w:ascii="Verdana" w:hAnsi="Verdana" w:cs="Arial"/>
                <w:lang w:eastAsia="es-ES_tradnl"/>
              </w:rPr>
              <w:t xml:space="preserve">CONVENIOS INTERADMINISTRATIVOS – Criterio orgánico / CONTRATOS Y CONVENIOS INTERADMINISTRATIVOS – Circular Externa Única – Auto de suspensión </w:t>
            </w:r>
          </w:p>
        </w:tc>
      </w:tr>
      <w:tr w:rsidR="00D46909" w:rsidRPr="00D46909" w14:paraId="242E02C2" w14:textId="77777777" w:rsidTr="00D014BF">
        <w:tc>
          <w:tcPr>
            <w:tcW w:w="2689" w:type="dxa"/>
          </w:tcPr>
          <w:p w14:paraId="64CCA41F" w14:textId="77777777" w:rsidR="00D46909" w:rsidRPr="00D46909" w:rsidRDefault="00D46909" w:rsidP="00D46909">
            <w:pPr>
              <w:spacing w:after="160"/>
              <w:jc w:val="both"/>
              <w:rPr>
                <w:rFonts w:ascii="Verdana" w:hAnsi="Verdana" w:cs="Arial"/>
                <w:b/>
                <w:lang w:val="es-ES_tradnl" w:eastAsia="es-ES_tradnl"/>
              </w:rPr>
            </w:pPr>
            <w:r w:rsidRPr="00D46909">
              <w:rPr>
                <w:rFonts w:ascii="Verdana" w:hAnsi="Verdana" w:cs="Arial"/>
                <w:b/>
                <w:lang w:val="es-ES_tradnl" w:eastAsia="es-ES_tradnl"/>
              </w:rPr>
              <w:t>Radicación:</w:t>
            </w:r>
            <w:r w:rsidRPr="00D46909">
              <w:rPr>
                <w:rFonts w:ascii="Verdana" w:hAnsi="Verdana" w:cs="Arial"/>
                <w:lang w:val="es-ES_tradnl" w:eastAsia="es-ES_tradnl"/>
              </w:rPr>
              <w:t xml:space="preserve">               </w:t>
            </w:r>
          </w:p>
        </w:tc>
        <w:tc>
          <w:tcPr>
            <w:tcW w:w="6100" w:type="dxa"/>
          </w:tcPr>
          <w:p w14:paraId="19C1357F" w14:textId="77777777" w:rsidR="00D46909" w:rsidRPr="00D46909" w:rsidRDefault="00D46909" w:rsidP="00D46909">
            <w:pPr>
              <w:spacing w:after="160" w:line="276" w:lineRule="auto"/>
              <w:jc w:val="both"/>
              <w:rPr>
                <w:rFonts w:ascii="Verdana" w:hAnsi="Verdana" w:cs="Arial"/>
                <w:lang w:val="es-ES_tradnl" w:eastAsia="es-ES_tradnl"/>
              </w:rPr>
            </w:pPr>
            <w:r w:rsidRPr="00D46909">
              <w:rPr>
                <w:rFonts w:ascii="Verdana" w:hAnsi="Verdana" w:cs="Arial"/>
                <w:lang w:val="es-ES_tradnl" w:eastAsia="es-ES_tradnl"/>
              </w:rPr>
              <w:t>Respuesta a la consulta con radicado No. 1_2025_10_02_011012</w:t>
            </w:r>
          </w:p>
        </w:tc>
      </w:tr>
    </w:tbl>
    <w:p w14:paraId="142C9A1B" w14:textId="77777777" w:rsidR="00D46909" w:rsidRPr="00D46909" w:rsidRDefault="00D46909" w:rsidP="00D46909">
      <w:pPr>
        <w:spacing w:after="0" w:line="240" w:lineRule="auto"/>
        <w:jc w:val="both"/>
        <w:rPr>
          <w:rFonts w:ascii="Verdana" w:hAnsi="Verdana" w:cs="Arial"/>
          <w:color w:val="000000"/>
          <w:lang w:val="es-ES_tradnl" w:eastAsia="es-ES_tradnl"/>
        </w:rPr>
      </w:pPr>
    </w:p>
    <w:p w14:paraId="0E20B82E" w14:textId="77777777" w:rsidR="00D46909" w:rsidRPr="00D46909" w:rsidRDefault="00D46909" w:rsidP="00D46909">
      <w:pPr>
        <w:spacing w:after="0" w:line="240" w:lineRule="auto"/>
        <w:jc w:val="both"/>
        <w:rPr>
          <w:rFonts w:ascii="Verdana" w:hAnsi="Verdana" w:cs="Arial"/>
          <w:color w:val="000000"/>
          <w:lang w:val="es-ES_tradnl" w:eastAsia="es-ES_tradnl"/>
        </w:rPr>
      </w:pPr>
    </w:p>
    <w:p w14:paraId="1846834C" w14:textId="77777777" w:rsidR="00D46909" w:rsidRPr="00D46909" w:rsidRDefault="00D46909" w:rsidP="00D46909">
      <w:pPr>
        <w:spacing w:after="0" w:line="276" w:lineRule="auto"/>
        <w:jc w:val="both"/>
        <w:rPr>
          <w:rFonts w:ascii="Verdana" w:hAnsi="Verdana" w:cs="Arial"/>
          <w:lang w:val="es-ES_tradnl" w:eastAsia="es-ES"/>
        </w:rPr>
      </w:pPr>
      <w:r w:rsidRPr="00D46909">
        <w:rPr>
          <w:rFonts w:ascii="Verdana" w:hAnsi="Verdana" w:cs="Arial"/>
          <w:lang w:val="es-ES_tradnl" w:eastAsia="es-ES"/>
        </w:rPr>
        <w:t xml:space="preserve">Estimada señora Zapata: </w:t>
      </w:r>
    </w:p>
    <w:p w14:paraId="6427B221" w14:textId="77777777" w:rsidR="00D46909" w:rsidRPr="00D46909" w:rsidRDefault="00D46909" w:rsidP="00D46909">
      <w:pPr>
        <w:tabs>
          <w:tab w:val="left" w:pos="3768"/>
        </w:tabs>
        <w:spacing w:after="0" w:line="276" w:lineRule="auto"/>
        <w:jc w:val="both"/>
        <w:rPr>
          <w:rFonts w:ascii="Verdana" w:hAnsi="Verdana" w:cs="Arial"/>
          <w:color w:val="000000" w:themeColor="text1"/>
          <w:lang w:val="es-ES_tradnl" w:eastAsia="es-ES"/>
        </w:rPr>
      </w:pPr>
      <w:r w:rsidRPr="00D46909">
        <w:rPr>
          <w:rFonts w:ascii="Verdana" w:hAnsi="Verdana" w:cs="Arial"/>
          <w:color w:val="000000" w:themeColor="text1"/>
          <w:lang w:val="es-ES_tradnl" w:eastAsia="es-ES"/>
        </w:rPr>
        <w:tab/>
      </w:r>
    </w:p>
    <w:p w14:paraId="61E98CAE" w14:textId="77777777" w:rsidR="00D46909" w:rsidRPr="00D46909" w:rsidRDefault="00D46909" w:rsidP="00D46909">
      <w:pPr>
        <w:spacing w:after="0" w:line="276" w:lineRule="auto"/>
        <w:jc w:val="both"/>
        <w:rPr>
          <w:rFonts w:ascii="Verdana" w:hAnsi="Verdana" w:cs="Arial"/>
          <w:color w:val="7030A0"/>
          <w:lang w:val="es-ES_tradnl" w:eastAsia="es-ES"/>
        </w:rPr>
      </w:pPr>
      <w:r w:rsidRPr="00D46909">
        <w:rPr>
          <w:rFonts w:ascii="Verdana" w:hAnsi="Verdana" w:cs="Arial"/>
          <w:color w:val="000000" w:themeColor="text1"/>
          <w:lang w:val="es-ES_tradnl" w:eastAsia="es-ES"/>
        </w:rPr>
        <w:t>En ejercicio de la competencia otorgada por los artículos 3, numeral 5º, y 11, numeral 8º, del Decreto Ley 4170 de 2011,</w:t>
      </w:r>
      <w:r w:rsidRPr="00D46909">
        <w:rPr>
          <w:rFonts w:ascii="Verdana" w:eastAsia="Arial MT" w:hAnsi="Verdana" w:cs="Arial MT"/>
          <w:lang w:val="es-ES_tradnl" w:eastAsia="es-ES"/>
        </w:rPr>
        <w:t xml:space="preserve"> </w:t>
      </w:r>
      <w:r w:rsidRPr="00D46909">
        <w:rPr>
          <w:rFonts w:ascii="Verdana" w:hAnsi="Verdana" w:cs="Arial"/>
          <w:lang w:val="es-ES_tradnl"/>
        </w:rPr>
        <w:t>así como lo establecido en</w:t>
      </w:r>
      <w:r w:rsidRPr="00D46909">
        <w:rPr>
          <w:rFonts w:ascii="Verdana" w:hAnsi="Verdana" w:cs="Arial"/>
        </w:rPr>
        <w:t xml:space="preserve"> la Resolución 469 de 2025 expedida por esta Entidad</w:t>
      </w:r>
      <w:r w:rsidRPr="00D46909">
        <w:rPr>
          <w:rFonts w:ascii="Verdana" w:hAnsi="Verdana" w:cs="Arial"/>
          <w:lang w:val="es-ES_tradnl"/>
        </w:rPr>
        <w:t xml:space="preserve">, </w:t>
      </w:r>
      <w:r w:rsidRPr="00D46909">
        <w:rPr>
          <w:rFonts w:ascii="Verdana" w:hAnsi="Verdana" w:cs="Arial"/>
          <w:color w:val="000000" w:themeColor="text1"/>
          <w:lang w:val="es-ES_tradnl" w:eastAsia="es-ES"/>
        </w:rPr>
        <w:t xml:space="preserve">la Agencia Nacional de Contratación Pública – Colombia Compra Eficiente responde su solicitud de consulta de </w:t>
      </w:r>
      <w:r w:rsidRPr="00D46909">
        <w:rPr>
          <w:rFonts w:ascii="Verdana" w:hAnsi="Verdana" w:cs="Arial"/>
          <w:lang w:val="es-ES_tradnl" w:eastAsia="es-ES"/>
        </w:rPr>
        <w:t xml:space="preserve">fecha 2 de octubre de 2025, en la cual, respecto de la aplicación de </w:t>
      </w:r>
      <w:r w:rsidRPr="00D46909">
        <w:rPr>
          <w:rFonts w:ascii="Verdana" w:hAnsi="Verdana" w:cs="Arial"/>
          <w:lang w:val="es-ES_tradnl" w:eastAsia="es-ES"/>
        </w:rPr>
        <w:lastRenderedPageBreak/>
        <w:t xml:space="preserve">la Ley de Garantías Electorales en la contratación de empréstitos, manifiesta lo siguiente: </w:t>
      </w:r>
    </w:p>
    <w:p w14:paraId="57C6D03E" w14:textId="77777777" w:rsidR="00D46909" w:rsidRPr="00D46909" w:rsidRDefault="00D46909" w:rsidP="00D46909">
      <w:pPr>
        <w:tabs>
          <w:tab w:val="left" w:pos="142"/>
          <w:tab w:val="left" w:pos="284"/>
        </w:tabs>
        <w:spacing w:after="0" w:line="276" w:lineRule="auto"/>
        <w:contextualSpacing/>
        <w:jc w:val="both"/>
        <w:rPr>
          <w:rFonts w:ascii="Verdana" w:eastAsia="Century Gothic" w:hAnsi="Verdana" w:cs="Century Gothic"/>
          <w:b/>
          <w:bCs/>
          <w:lang w:val="es-ES_tradnl"/>
        </w:rPr>
      </w:pPr>
    </w:p>
    <w:p w14:paraId="012FBCFC" w14:textId="77777777" w:rsidR="00D46909" w:rsidRPr="00D46909" w:rsidRDefault="00D46909" w:rsidP="00D46909">
      <w:pPr>
        <w:spacing w:after="0" w:line="240" w:lineRule="auto"/>
        <w:ind w:left="709" w:right="709"/>
        <w:jc w:val="both"/>
        <w:rPr>
          <w:rFonts w:ascii="Verdana" w:eastAsia="Times New Roman" w:hAnsi="Verdana" w:cs="Arial"/>
          <w:sz w:val="20"/>
          <w:szCs w:val="20"/>
          <w:lang w:val="es-MX" w:eastAsia="x-none"/>
        </w:rPr>
      </w:pPr>
      <w:bookmarkStart w:id="0" w:name="_Hlk95313578"/>
      <w:r w:rsidRPr="00D46909">
        <w:rPr>
          <w:rFonts w:ascii="Verdana" w:eastAsia="Century Gothic" w:hAnsi="Verdana" w:cs="Century Gothic"/>
          <w:sz w:val="20"/>
          <w:szCs w:val="20"/>
          <w:lang w:val="es-ES"/>
        </w:rPr>
        <w:t>“</w:t>
      </w:r>
      <w:bookmarkEnd w:id="0"/>
      <w:r w:rsidRPr="00D46909">
        <w:rPr>
          <w:rFonts w:ascii="Verdana" w:eastAsia="Times New Roman" w:hAnsi="Verdana" w:cs="Arial"/>
          <w:sz w:val="20"/>
          <w:szCs w:val="20"/>
          <w:lang w:val="es-MX" w:eastAsia="x-none"/>
        </w:rPr>
        <w:t>[…]</w:t>
      </w:r>
    </w:p>
    <w:p w14:paraId="1F71B696" w14:textId="77777777" w:rsidR="00D46909" w:rsidRPr="00D46909" w:rsidRDefault="00D46909" w:rsidP="00D46909">
      <w:pPr>
        <w:spacing w:after="0" w:line="240" w:lineRule="auto"/>
        <w:ind w:left="709" w:right="709"/>
        <w:jc w:val="both"/>
        <w:rPr>
          <w:rFonts w:ascii="Verdana" w:eastAsia="Century Gothic" w:hAnsi="Verdana" w:cs="Century Gothic"/>
          <w:sz w:val="20"/>
          <w:szCs w:val="20"/>
        </w:rPr>
      </w:pPr>
    </w:p>
    <w:p w14:paraId="68766452" w14:textId="77777777" w:rsidR="00D46909" w:rsidRPr="00D46909" w:rsidRDefault="00D46909" w:rsidP="00D46909">
      <w:pPr>
        <w:spacing w:after="0" w:line="240" w:lineRule="auto"/>
        <w:ind w:left="709" w:right="709"/>
        <w:jc w:val="both"/>
        <w:rPr>
          <w:rFonts w:ascii="Verdana" w:hAnsi="Verdana"/>
          <w:sz w:val="20"/>
          <w:szCs w:val="20"/>
        </w:rPr>
      </w:pPr>
      <w:r w:rsidRPr="00D46909">
        <w:rPr>
          <w:rFonts w:ascii="Verdana" w:eastAsia="Century Gothic" w:hAnsi="Verdana" w:cs="Century Gothic"/>
          <w:sz w:val="20"/>
          <w:szCs w:val="20"/>
        </w:rPr>
        <w:t xml:space="preserve">7. </w:t>
      </w:r>
      <w:r w:rsidRPr="00D46909">
        <w:rPr>
          <w:rFonts w:ascii="Verdana" w:hAnsi="Verdana"/>
          <w:sz w:val="20"/>
          <w:szCs w:val="20"/>
        </w:rPr>
        <w:t>Consideramos que el Concepto C-257 de 2023 parte de un criterio netamente orgánico y desconoce la naturaleza del contrato de empréstito, cuyo objeto es dotar de recursos financieros a una entidad estatal, mientras que la restricción contenida en el parágrafo del artículo 38 de la Ley 996 de 2005, se refiere expresamente a convenios interadministrativos para la ejecución de recursos públicos. Así las cosas, no por el hecho de que las partes de un contrato de empréstito sean entidades públicas, el contrato se convierte en interadministrativo, pues ello sería desconocer la causal independiente de “contratación de empréstitos” contenida expresamente en el estatuto de contratación.</w:t>
      </w:r>
    </w:p>
    <w:p w14:paraId="20F37C3D" w14:textId="77777777" w:rsidR="00D46909" w:rsidRPr="00D46909" w:rsidRDefault="00D46909" w:rsidP="00D46909">
      <w:pPr>
        <w:spacing w:after="0" w:line="240" w:lineRule="auto"/>
        <w:ind w:left="709" w:right="709"/>
        <w:jc w:val="both"/>
        <w:rPr>
          <w:rFonts w:ascii="Verdana" w:hAnsi="Verdana"/>
          <w:sz w:val="20"/>
          <w:szCs w:val="20"/>
        </w:rPr>
      </w:pPr>
    </w:p>
    <w:p w14:paraId="37F1F53F" w14:textId="77777777" w:rsidR="00D46909" w:rsidRPr="00D46909" w:rsidRDefault="00D46909" w:rsidP="00D46909">
      <w:pPr>
        <w:spacing w:after="0" w:line="240" w:lineRule="auto"/>
        <w:ind w:left="709" w:right="709"/>
        <w:jc w:val="both"/>
        <w:rPr>
          <w:rFonts w:ascii="Verdana" w:eastAsia="Times New Roman" w:hAnsi="Verdana" w:cs="Arial"/>
          <w:sz w:val="20"/>
          <w:szCs w:val="20"/>
          <w:lang w:val="es-MX" w:eastAsia="x-none"/>
        </w:rPr>
      </w:pPr>
      <w:r w:rsidRPr="00D46909">
        <w:rPr>
          <w:rFonts w:ascii="Verdana" w:eastAsia="Times New Roman" w:hAnsi="Verdana" w:cs="Arial"/>
          <w:sz w:val="20"/>
          <w:szCs w:val="20"/>
          <w:lang w:val="es-MX" w:eastAsia="x-none"/>
        </w:rPr>
        <w:t>[…]</w:t>
      </w:r>
    </w:p>
    <w:p w14:paraId="585A377E" w14:textId="77777777" w:rsidR="00D46909" w:rsidRPr="00D46909" w:rsidRDefault="00D46909" w:rsidP="00D46909">
      <w:pPr>
        <w:spacing w:after="0" w:line="240" w:lineRule="auto"/>
        <w:ind w:left="709" w:right="709"/>
        <w:jc w:val="both"/>
        <w:rPr>
          <w:rFonts w:ascii="Verdana" w:hAnsi="Verdana"/>
          <w:sz w:val="20"/>
          <w:szCs w:val="20"/>
        </w:rPr>
      </w:pPr>
    </w:p>
    <w:p w14:paraId="180FD32A" w14:textId="77777777" w:rsidR="00D46909" w:rsidRPr="00D46909" w:rsidRDefault="00D46909" w:rsidP="00D46909">
      <w:pPr>
        <w:spacing w:after="0" w:line="240" w:lineRule="auto"/>
        <w:ind w:left="709" w:right="709"/>
        <w:jc w:val="both"/>
        <w:rPr>
          <w:rFonts w:ascii="Verdana" w:hAnsi="Verdana"/>
          <w:sz w:val="20"/>
          <w:szCs w:val="20"/>
        </w:rPr>
      </w:pPr>
      <w:r w:rsidRPr="00D46909">
        <w:rPr>
          <w:rFonts w:ascii="Verdana" w:hAnsi="Verdana"/>
          <w:sz w:val="20"/>
          <w:szCs w:val="20"/>
        </w:rPr>
        <w:t>En virtud de lo expuesto, consideramos pertinente solicitar de manera muy respetuosa, se revise esta postura de Colombia Compra Eficiente, sobre la contratación de empréstito donde la entidad prestamista del recurso es una entidad estatal, pues se está haciendo una interpretación extensiva de una restricción legal, que resulta contraria a lo previsto en la misma ley de garantías electorales. En consecuencia, agradecemos que en la medida de lo posible se rectifique el concepto mencionado, atendiendo a la literalidad de lo establecido en la normativa vigente aplicable y que quede claro que ni para las elecciones a que se refiere el artículo 38 ni para las elecciones contempladas en el artículo 33 aplica la ley de garantías electorales, cuando se trate de la modalidad de contratación de empréstito, independientemente de quien sea el prestador dinerario. Con ello se evitaría la paralización de las actividades de muchas entidades del país”</w:t>
      </w:r>
    </w:p>
    <w:p w14:paraId="3224A56F" w14:textId="77777777" w:rsidR="00D46909" w:rsidRPr="00D46909" w:rsidRDefault="00D46909" w:rsidP="00D46909">
      <w:pPr>
        <w:tabs>
          <w:tab w:val="left" w:pos="142"/>
          <w:tab w:val="left" w:pos="284"/>
        </w:tabs>
        <w:spacing w:after="0" w:line="276" w:lineRule="auto"/>
        <w:contextualSpacing/>
        <w:jc w:val="both"/>
        <w:rPr>
          <w:rFonts w:ascii="Verdana" w:eastAsia="Century Gothic" w:hAnsi="Verdana" w:cs="Century Gothic"/>
          <w:b/>
          <w:bCs/>
          <w:lang w:val="es-ES_tradnl"/>
        </w:rPr>
      </w:pPr>
    </w:p>
    <w:p w14:paraId="42EB6F7C" w14:textId="77777777" w:rsidR="00D46909" w:rsidRPr="00D46909" w:rsidRDefault="00D46909" w:rsidP="00D46909">
      <w:pPr>
        <w:spacing w:after="120" w:line="276" w:lineRule="auto"/>
        <w:ind w:firstLine="709"/>
        <w:jc w:val="both"/>
        <w:rPr>
          <w:rFonts w:ascii="Verdana" w:hAnsi="Verdana" w:cs="Arial"/>
          <w:color w:val="000000"/>
          <w:lang w:val="es-ES" w:eastAsia="es-ES"/>
        </w:rPr>
      </w:pPr>
      <w:r w:rsidRPr="00D46909">
        <w:rPr>
          <w:rFonts w:ascii="Verdana"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w:t>
      </w:r>
      <w:r w:rsidRPr="00D46909">
        <w:rPr>
          <w:rFonts w:ascii="Verdana" w:hAnsi="Verdana" w:cs="Arial"/>
          <w:color w:val="000000" w:themeColor="text1"/>
          <w:lang w:val="es-ES" w:eastAsia="es-ES"/>
        </w:rPr>
        <w:lastRenderedPageBreak/>
        <w:t xml:space="preserve">normas generales, por definición, no puede extenderse a la resolución de controversias ni a brindar asesorías sobre casos puntuales. </w:t>
      </w:r>
      <w:r w:rsidRPr="00D46909">
        <w:tab/>
      </w:r>
    </w:p>
    <w:p w14:paraId="5D20D1EB" w14:textId="77777777" w:rsidR="00D46909" w:rsidRPr="00D46909" w:rsidRDefault="00D46909" w:rsidP="00D46909">
      <w:pPr>
        <w:spacing w:after="0" w:line="276" w:lineRule="auto"/>
        <w:ind w:firstLine="709"/>
        <w:jc w:val="both"/>
        <w:rPr>
          <w:rFonts w:ascii="Verdana" w:hAnsi="Verdana" w:cs="Arial"/>
          <w:color w:val="000000"/>
          <w:lang w:val="es-ES_tradnl" w:eastAsia="es-ES"/>
        </w:rPr>
      </w:pPr>
      <w:r w:rsidRPr="00D46909">
        <w:rPr>
          <w:rFonts w:ascii="Verdana"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D46909">
        <w:rPr>
          <w:rFonts w:ascii="Verdana" w:hAnsi="Verdana" w:cs="Arial"/>
          <w:color w:val="7030A0"/>
          <w:lang w:val="es-ES_tradnl" w:eastAsia="es-ES"/>
        </w:rPr>
        <w:t xml:space="preserve"> </w:t>
      </w:r>
      <w:r w:rsidRPr="00D46909">
        <w:rPr>
          <w:rFonts w:ascii="Verdana" w:hAnsi="Verdana" w:cs="Arial"/>
          <w:color w:val="000000"/>
          <w:lang w:val="es-ES_tradnl" w:eastAsia="es-ES"/>
        </w:rPr>
        <w:t>problema</w:t>
      </w:r>
      <w:r w:rsidRPr="00D46909">
        <w:rPr>
          <w:rFonts w:ascii="Verdana" w:hAnsi="Verdana" w:cs="Arial"/>
          <w:color w:val="7030A0"/>
          <w:lang w:val="es-ES_tradnl" w:eastAsia="es-ES"/>
        </w:rPr>
        <w:t xml:space="preserve"> </w:t>
      </w:r>
      <w:r w:rsidRPr="00D46909">
        <w:rPr>
          <w:rFonts w:ascii="Verdana" w:hAnsi="Verdana" w:cs="Arial"/>
          <w:color w:val="000000"/>
          <w:lang w:val="es-ES_tradnl" w:eastAsia="es-ES"/>
        </w:rPr>
        <w:t>jurídico</w:t>
      </w:r>
      <w:r w:rsidRPr="00D46909">
        <w:rPr>
          <w:rFonts w:ascii="Verdana" w:hAnsi="Verdana" w:cs="Arial"/>
          <w:color w:val="7030A0"/>
          <w:lang w:val="es-ES_tradnl" w:eastAsia="es-ES"/>
        </w:rPr>
        <w:t xml:space="preserve"> </w:t>
      </w:r>
      <w:r w:rsidRPr="00D46909">
        <w:rPr>
          <w:rFonts w:ascii="Verdana" w:hAnsi="Verdana" w:cs="Arial"/>
          <w:color w:val="000000"/>
          <w:lang w:val="es-ES_tradnl" w:eastAsia="es-ES"/>
        </w:rPr>
        <w:t xml:space="preserve">de su consulta. </w:t>
      </w:r>
      <w:r w:rsidRPr="00D46909">
        <w:rPr>
          <w:rFonts w:ascii="Verdana" w:hAnsi="Verdana" w:cs="Arial"/>
          <w:lang w:val="es-ES_tradnl" w:eastAsia="es-ES"/>
        </w:rPr>
        <w:t xml:space="preserve"> </w:t>
      </w:r>
    </w:p>
    <w:p w14:paraId="4F221776" w14:textId="77777777" w:rsidR="00D46909" w:rsidRPr="00D46909" w:rsidRDefault="00D46909" w:rsidP="00D46909">
      <w:pPr>
        <w:spacing w:after="0" w:line="276" w:lineRule="auto"/>
        <w:ind w:firstLine="708"/>
        <w:jc w:val="both"/>
        <w:rPr>
          <w:rFonts w:ascii="Verdana" w:hAnsi="Verdana" w:cs="Arial"/>
          <w:lang w:val="es-ES_tradnl" w:eastAsia="es-ES"/>
        </w:rPr>
      </w:pPr>
    </w:p>
    <w:p w14:paraId="69EAE3B4" w14:textId="77777777" w:rsidR="00D46909" w:rsidRPr="00D46909" w:rsidRDefault="00D46909" w:rsidP="00D4690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_tradnl"/>
        </w:rPr>
      </w:pPr>
      <w:r w:rsidRPr="00D46909">
        <w:rPr>
          <w:rFonts w:ascii="Verdana" w:eastAsia="Century Gothic" w:hAnsi="Verdana" w:cs="Century Gothic"/>
          <w:b/>
          <w:bCs/>
          <w:lang w:val="es-ES_tradnl"/>
        </w:rPr>
        <w:t>Problema planteado:</w:t>
      </w:r>
    </w:p>
    <w:p w14:paraId="732E686C" w14:textId="77777777" w:rsidR="00D46909" w:rsidRPr="00D46909" w:rsidRDefault="00D46909" w:rsidP="00D46909">
      <w:pPr>
        <w:tabs>
          <w:tab w:val="left" w:pos="426"/>
        </w:tabs>
        <w:spacing w:after="0" w:line="276" w:lineRule="auto"/>
        <w:jc w:val="both"/>
        <w:rPr>
          <w:rFonts w:ascii="Verdana" w:eastAsia="Century Gothic" w:hAnsi="Verdana" w:cs="Century Gothic"/>
          <w:lang w:val="es-ES_tradnl"/>
        </w:rPr>
      </w:pPr>
    </w:p>
    <w:p w14:paraId="5668F6FC" w14:textId="77777777" w:rsidR="00D46909" w:rsidRPr="00D46909" w:rsidRDefault="00D46909" w:rsidP="00D46909">
      <w:pPr>
        <w:spacing w:after="0" w:line="276" w:lineRule="auto"/>
        <w:jc w:val="both"/>
        <w:rPr>
          <w:rFonts w:ascii="Verdana" w:eastAsia="Century Gothic" w:hAnsi="Verdana" w:cs="Century Gothic"/>
          <w:lang w:val="es-ES_tradnl"/>
        </w:rPr>
      </w:pPr>
      <w:r w:rsidRPr="00D46909">
        <w:rPr>
          <w:rFonts w:ascii="Verdana" w:eastAsia="Century Gothic" w:hAnsi="Verdana" w:cs="Century Gothic"/>
          <w:lang w:val="es-ES_tradnl"/>
        </w:rPr>
        <w:t xml:space="preserve">De acuerdo con el contenido de su solicitud, esta Agencia resolverá el siguiente problema jurídico: ¿Resulta aplicable las restricciones establecidas en los artículos 33 y el parágrafo del artículo 38 de la </w:t>
      </w:r>
      <w:r w:rsidRPr="00D46909">
        <w:rPr>
          <w:rFonts w:ascii="Verdana" w:hAnsi="Verdana"/>
          <w:iCs/>
        </w:rPr>
        <w:t xml:space="preserve">Ley 996 de 2005 –Ley de Garantías Electorales- a la celebración de los contratos </w:t>
      </w:r>
      <w:r w:rsidRPr="00D46909">
        <w:rPr>
          <w:rFonts w:ascii="Verdana" w:eastAsia="Century Gothic" w:hAnsi="Verdana" w:cs="Century Gothic"/>
          <w:lang w:val="es-ES_tradnl"/>
        </w:rPr>
        <w:t xml:space="preserve">de empréstitos? </w:t>
      </w:r>
    </w:p>
    <w:p w14:paraId="13D81637" w14:textId="77777777" w:rsidR="00D46909" w:rsidRPr="00D46909" w:rsidRDefault="00D46909" w:rsidP="00D46909">
      <w:pPr>
        <w:spacing w:after="0" w:line="276" w:lineRule="auto"/>
        <w:jc w:val="both"/>
        <w:rPr>
          <w:rFonts w:ascii="Verdana" w:hAnsi="Verdana" w:cs="Arial"/>
          <w:color w:val="7030A0"/>
          <w:lang w:val="es-ES_tradnl"/>
        </w:rPr>
      </w:pPr>
    </w:p>
    <w:p w14:paraId="63D8E856" w14:textId="77777777" w:rsidR="00D46909" w:rsidRPr="00D46909" w:rsidRDefault="00D46909" w:rsidP="00D46909">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D46909">
        <w:rPr>
          <w:rFonts w:ascii="Verdana" w:eastAsia="Century Gothic" w:hAnsi="Verdana" w:cs="Century Gothic"/>
          <w:b/>
          <w:bCs/>
          <w:lang w:val="es-ES_tradnl"/>
        </w:rPr>
        <w:t>Respuesta:</w:t>
      </w:r>
    </w:p>
    <w:p w14:paraId="13561977" w14:textId="77777777" w:rsidR="00D46909" w:rsidRPr="00D46909" w:rsidRDefault="00D46909" w:rsidP="00D46909">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46909" w:rsidRPr="00D46909" w14:paraId="5D6ED7A4" w14:textId="77777777" w:rsidTr="00D014BF">
        <w:trPr>
          <w:jc w:val="center"/>
        </w:trPr>
        <w:tc>
          <w:tcPr>
            <w:tcW w:w="8828" w:type="dxa"/>
          </w:tcPr>
          <w:p w14:paraId="691BA51F" w14:textId="77777777" w:rsidR="00D46909" w:rsidRPr="00D46909" w:rsidRDefault="00D46909" w:rsidP="00D46909">
            <w:pPr>
              <w:spacing w:after="120" w:line="276" w:lineRule="auto"/>
              <w:jc w:val="both"/>
              <w:rPr>
                <w:rFonts w:ascii="Verdana" w:eastAsia="Arial" w:hAnsi="Verdana" w:cs="Arial"/>
                <w:bCs/>
                <w:color w:val="000000" w:themeColor="text1"/>
              </w:rPr>
            </w:pPr>
            <w:bookmarkStart w:id="1" w:name="_Hlk171694685"/>
            <w:r w:rsidRPr="00D46909">
              <w:rPr>
                <w:rFonts w:ascii="Verdana" w:eastAsia="Arial" w:hAnsi="Verdana" w:cs="Arial"/>
                <w:lang w:val="es-ES" w:eastAsia="es-ES" w:bidi="es-ES"/>
              </w:rPr>
              <w:t xml:space="preserve">Por virtud de las excepciones establecidas en el </w:t>
            </w:r>
            <w:r w:rsidRPr="00D46909">
              <w:rPr>
                <w:rFonts w:ascii="Verdana" w:eastAsiaTheme="minorHAnsi" w:hAnsi="Verdana" w:cs="Arial"/>
                <w:bCs/>
                <w:color w:val="000000" w:themeColor="text1"/>
                <w:lang w:val="es-ES"/>
              </w:rPr>
              <w:t xml:space="preserve">segundo inciso del </w:t>
            </w:r>
            <w:r w:rsidRPr="00D46909">
              <w:rPr>
                <w:rFonts w:ascii="Verdana" w:eastAsia="Arial" w:hAnsi="Verdana" w:cs="Arial"/>
                <w:lang w:val="es-ES" w:eastAsia="es-ES" w:bidi="es-ES"/>
              </w:rPr>
              <w:t>artículo 33</w:t>
            </w:r>
            <w:r w:rsidRPr="00D46909">
              <w:rPr>
                <w:rFonts w:ascii="Verdana" w:eastAsia="Arial" w:hAnsi="Verdana" w:cs="Arial"/>
                <w:bCs/>
                <w:color w:val="000000" w:themeColor="text1"/>
                <w:lang w:val="es-ES"/>
              </w:rPr>
              <w:t xml:space="preserve"> de la Ley de Garantías Electorales, los entes del Estado podrán contratar directamente contratos de empréstitos, </w:t>
            </w:r>
            <w:r w:rsidRPr="00D46909">
              <w:rPr>
                <w:rFonts w:ascii="Verdana" w:eastAsia="Arial" w:hAnsi="Verdana" w:cs="Arial"/>
                <w:bCs/>
                <w:color w:val="000000" w:themeColor="text1"/>
              </w:rPr>
              <w:t>durante los cuatro (4) meses anteriores a las elecciones presidenciales</w:t>
            </w:r>
            <w:r w:rsidRPr="00D46909">
              <w:rPr>
                <w:rFonts w:ascii="Verdana" w:eastAsia="Arial" w:hAnsi="Verdana" w:cs="Arial"/>
                <w:bCs/>
                <w:color w:val="000000" w:themeColor="text1"/>
                <w:lang w:val="es-ES"/>
              </w:rPr>
              <w:t xml:space="preserve">. Asimismo, si estos contratos se proyectan como contratos interadministrativos, </w:t>
            </w:r>
            <w:proofErr w:type="gramStart"/>
            <w:r w:rsidRPr="00D46909">
              <w:rPr>
                <w:rFonts w:ascii="Verdana" w:eastAsia="Arial" w:hAnsi="Verdana" w:cs="Arial"/>
                <w:bCs/>
                <w:color w:val="000000" w:themeColor="text1"/>
                <w:lang w:val="es-ES"/>
              </w:rPr>
              <w:t>de acuerdo a</w:t>
            </w:r>
            <w:proofErr w:type="gramEnd"/>
            <w:r w:rsidRPr="00D46909">
              <w:rPr>
                <w:rFonts w:ascii="Verdana" w:eastAsia="Arial" w:hAnsi="Verdana" w:cs="Arial"/>
                <w:bCs/>
                <w:color w:val="000000" w:themeColor="text1"/>
                <w:lang w:val="es-ES"/>
              </w:rPr>
              <w:t xml:space="preserve"> la postura del Consejo de Estado señalada en los autos del </w:t>
            </w:r>
            <w:r w:rsidRPr="00D46909">
              <w:rPr>
                <w:rFonts w:ascii="Verdana" w:eastAsia="Arial" w:hAnsi="Verdana" w:cs="Arial"/>
                <w:lang w:eastAsia="es-ES" w:bidi="es-ES"/>
              </w:rPr>
              <w:t>4 de octubre del 2024 y del 6 de noviembre de 2025</w:t>
            </w:r>
            <w:r w:rsidRPr="00D46909">
              <w:rPr>
                <w:rFonts w:ascii="Verdana" w:eastAsia="Arial" w:hAnsi="Verdana" w:cs="Arial"/>
                <w:bCs/>
                <w:color w:val="000000" w:themeColor="text1"/>
                <w:lang w:val="es-ES"/>
              </w:rPr>
              <w:t xml:space="preserve">, tampoco les resultaría aplicable la restricción contenida en el parágrafo del artículo 38, por lo que podrían contratar dentro de </w:t>
            </w:r>
            <w:r w:rsidRPr="00D46909">
              <w:rPr>
                <w:rFonts w:ascii="Verdana" w:eastAsia="Arial" w:hAnsi="Verdana" w:cs="Arial"/>
                <w:bCs/>
                <w:color w:val="000000" w:themeColor="text1"/>
              </w:rPr>
              <w:t xml:space="preserve">los cuatro meses anteriores a las elecciones para cualquier cargo de elección popular a que se refiere la ley, incluido el de </w:t>
            </w:r>
            <w:proofErr w:type="gramStart"/>
            <w:r w:rsidRPr="00D46909">
              <w:rPr>
                <w:rFonts w:ascii="Verdana" w:eastAsia="Arial" w:hAnsi="Verdana" w:cs="Arial"/>
                <w:bCs/>
                <w:color w:val="000000" w:themeColor="text1"/>
              </w:rPr>
              <w:t>Presidente</w:t>
            </w:r>
            <w:proofErr w:type="gramEnd"/>
            <w:r w:rsidRPr="00D46909">
              <w:rPr>
                <w:rFonts w:ascii="Verdana" w:eastAsia="Arial" w:hAnsi="Verdana" w:cs="Arial"/>
                <w:bCs/>
                <w:color w:val="000000" w:themeColor="text1"/>
              </w:rPr>
              <w:t xml:space="preserve"> de la República.</w:t>
            </w:r>
          </w:p>
          <w:p w14:paraId="649A8D9F" w14:textId="77777777" w:rsidR="00D46909" w:rsidRPr="00D46909" w:rsidRDefault="00D46909" w:rsidP="00D46909">
            <w:pPr>
              <w:spacing w:after="120" w:line="276" w:lineRule="auto"/>
              <w:ind w:firstLine="743"/>
              <w:jc w:val="both"/>
              <w:rPr>
                <w:rFonts w:ascii="Verdana" w:eastAsia="Arial" w:hAnsi="Verdana" w:cs="Arial"/>
                <w:bCs/>
                <w:color w:val="000000" w:themeColor="text1"/>
              </w:rPr>
            </w:pPr>
            <w:r w:rsidRPr="00D46909">
              <w:rPr>
                <w:rFonts w:ascii="Verdana" w:eastAsia="Arial" w:hAnsi="Verdana" w:cs="Arial"/>
                <w:bCs/>
                <w:color w:val="000000" w:themeColor="text1"/>
              </w:rPr>
              <w:t xml:space="preserve">En efecto, </w:t>
            </w:r>
            <w:r w:rsidRPr="00D46909">
              <w:rPr>
                <w:rFonts w:ascii="Verdana" w:hAnsi="Verdana" w:cs="Arial"/>
                <w:bCs/>
                <w:color w:val="000000" w:themeColor="text1"/>
                <w:lang w:val="es-ES"/>
              </w:rPr>
              <w:t>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Conforme al artículo 2.2.1.1.1. del Decreto 1068 de 2015 dentro de las</w:t>
            </w:r>
            <w:r w:rsidRPr="00D46909">
              <w:rPr>
                <w:rFonts w:ascii="Verdana" w:hAnsi="Verdana" w:cs="Arial"/>
                <w:bCs/>
                <w:color w:val="000000" w:themeColor="text1"/>
              </w:rPr>
              <w:t xml:space="preserve"> operaciones de crédito público están comprendidas, entre otras, </w:t>
            </w:r>
            <w:r w:rsidRPr="00D46909">
              <w:rPr>
                <w:rFonts w:ascii="Verdana" w:hAnsi="Verdana" w:cs="Arial"/>
                <w:bCs/>
                <w:i/>
                <w:iCs/>
                <w:color w:val="000000" w:themeColor="text1"/>
              </w:rPr>
              <w:t xml:space="preserve">la </w:t>
            </w:r>
            <w:r w:rsidRPr="00D46909">
              <w:rPr>
                <w:rFonts w:ascii="Verdana" w:hAnsi="Verdana" w:cs="Arial"/>
                <w:bCs/>
                <w:i/>
                <w:iCs/>
                <w:color w:val="000000" w:themeColor="text1"/>
              </w:rPr>
              <w:lastRenderedPageBreak/>
              <w:t>contratación de empréstitos</w:t>
            </w:r>
            <w:r w:rsidRPr="00D46909">
              <w:rPr>
                <w:rFonts w:ascii="Verdana" w:hAnsi="Verdana" w:cs="Arial"/>
                <w:bCs/>
                <w:color w:val="000000" w:themeColor="text1"/>
              </w:rPr>
              <w:t>, la emisión, suscripción y colocación de títulos de deuda pública, los créditos de proveedores y el otorgamiento de garantías para obligaciones de pago a cargo de entidades estatales.</w:t>
            </w:r>
          </w:p>
          <w:p w14:paraId="1837F42A" w14:textId="77777777" w:rsidR="00D46909" w:rsidRPr="00D46909" w:rsidRDefault="00D46909" w:rsidP="00D46909">
            <w:pPr>
              <w:spacing w:after="120" w:line="276" w:lineRule="auto"/>
              <w:ind w:firstLine="709"/>
              <w:jc w:val="both"/>
              <w:rPr>
                <w:rFonts w:ascii="Verdana" w:eastAsiaTheme="minorHAnsi" w:hAnsi="Verdana" w:cs="Arial"/>
                <w:lang w:val="es-ES"/>
              </w:rPr>
            </w:pPr>
            <w:r w:rsidRPr="00D46909">
              <w:rPr>
                <w:rFonts w:ascii="Verdana" w:hAnsi="Verdana" w:cs="Arial"/>
                <w:bCs/>
                <w:color w:val="000000" w:themeColor="text1"/>
              </w:rPr>
              <w:t>En consecuencia</w:t>
            </w:r>
            <w:r w:rsidRPr="00D46909">
              <w:rPr>
                <w:rFonts w:ascii="Verdana" w:eastAsiaTheme="minorHAnsi" w:hAnsi="Verdana" w:cs="Arial"/>
                <w:lang w:val="es-ES"/>
              </w:rPr>
              <w:t xml:space="preserve">, la excepción del artículo 33 de la Ley 996 de 2005 a la prohibición a la contratación directa en el periodo previo a la elección presidencial, cobija a los contratos de empréstitos en la medida en que estos son contratos de crédito público, lo que significa que pueden contratarse directamente durante el periodo preelectoral. </w:t>
            </w:r>
          </w:p>
          <w:p w14:paraId="359EBC36" w14:textId="77777777" w:rsidR="00D46909" w:rsidRPr="00D46909" w:rsidRDefault="00D46909" w:rsidP="00D46909">
            <w:pPr>
              <w:spacing w:after="120" w:line="276" w:lineRule="auto"/>
              <w:ind w:firstLine="708"/>
              <w:jc w:val="both"/>
              <w:rPr>
                <w:rFonts w:ascii="Verdana" w:eastAsia="Times New Roman" w:hAnsi="Verdana" w:cs="Arial"/>
                <w:lang w:eastAsia="es-CO"/>
              </w:rPr>
            </w:pPr>
            <w:r w:rsidRPr="00D46909">
              <w:rPr>
                <w:rFonts w:ascii="Verdana" w:eastAsia="Times New Roman" w:hAnsi="Verdana" w:cs="Arial"/>
                <w:lang w:eastAsia="es-CO"/>
              </w:rPr>
              <w:t xml:space="preserve">Por su parte, respecto del parágrafo del artículo 38 de la Ley 996 de 2005 se precisa que este prohíbe a los </w:t>
            </w:r>
            <w:proofErr w:type="gramStart"/>
            <w:r w:rsidRPr="00D46909">
              <w:rPr>
                <w:rFonts w:ascii="Verdana" w:eastAsia="Times New Roman" w:hAnsi="Verdana" w:cs="Arial"/>
                <w:lang w:eastAsia="es-CO"/>
              </w:rPr>
              <w:t>Alcaldes</w:t>
            </w:r>
            <w:proofErr w:type="gramEnd"/>
            <w:r w:rsidRPr="00D46909">
              <w:rPr>
                <w:rFonts w:ascii="Verdana" w:eastAsia="Times New Roman" w:hAnsi="Verdana" w:cs="Arial"/>
                <w:lang w:eastAsia="es-CO"/>
              </w:rPr>
              <w:t xml:space="preserve">, Gobernadores, </w:t>
            </w:r>
            <w:proofErr w:type="gramStart"/>
            <w:r w:rsidRPr="00D46909">
              <w:rPr>
                <w:rFonts w:ascii="Verdana" w:eastAsia="Times New Roman" w:hAnsi="Verdana" w:cs="Arial"/>
                <w:lang w:eastAsia="es-CO"/>
              </w:rPr>
              <w:t>Secretarios</w:t>
            </w:r>
            <w:proofErr w:type="gramEnd"/>
            <w:r w:rsidRPr="00D46909">
              <w:rPr>
                <w:rFonts w:ascii="Verdana" w:eastAsia="Times New Roman" w:hAnsi="Verdana" w:cs="Arial"/>
                <w:lang w:eastAsia="es-CO"/>
              </w:rPr>
              <w:t xml:space="preserve">, Gerentes y </w:t>
            </w:r>
            <w:proofErr w:type="gramStart"/>
            <w:r w:rsidRPr="00D46909">
              <w:rPr>
                <w:rFonts w:ascii="Verdana" w:eastAsia="Times New Roman" w:hAnsi="Verdana" w:cs="Arial"/>
                <w:lang w:eastAsia="es-CO"/>
              </w:rPr>
              <w:t>Directores</w:t>
            </w:r>
            <w:proofErr w:type="gramEnd"/>
            <w:r w:rsidRPr="00D46909">
              <w:rPr>
                <w:rFonts w:ascii="Verdana" w:eastAsia="Times New Roman" w:hAnsi="Verdana" w:cs="Arial"/>
                <w:lang w:eastAsia="es-CO"/>
              </w:rPr>
              <w:t xml:space="preserve"> de las entidades del orden municipal, departamental o distrital celebrar </w:t>
            </w:r>
            <w:r w:rsidRPr="00D46909">
              <w:rPr>
                <w:rFonts w:ascii="Verdana" w:eastAsia="Times New Roman" w:hAnsi="Verdana" w:cs="Arial"/>
                <w:i/>
                <w:iCs/>
                <w:lang w:eastAsia="es-CO"/>
              </w:rPr>
              <w:t>convenios interadministrativos</w:t>
            </w:r>
            <w:r w:rsidRPr="00D46909">
              <w:rPr>
                <w:rFonts w:ascii="Verdana" w:eastAsia="Times New Roman" w:hAnsi="Verdana" w:cs="Arial"/>
                <w:lang w:eastAsia="es-CO"/>
              </w:rPr>
              <w:t xml:space="preserve"> </w:t>
            </w:r>
            <w:r w:rsidRPr="00D46909">
              <w:rPr>
                <w:rFonts w:ascii="Verdana" w:eastAsia="Times New Roman" w:hAnsi="Verdana" w:cs="Arial"/>
                <w:i/>
                <w:iCs/>
                <w:lang w:eastAsia="es-CO"/>
              </w:rPr>
              <w:t>para la ejecución de recursos públicos</w:t>
            </w:r>
            <w:r w:rsidRPr="00D46909">
              <w:rPr>
                <w:rFonts w:ascii="Verdana" w:eastAsia="Times New Roman" w:hAnsi="Verdana" w:cs="Arial"/>
                <w:lang w:eastAsia="es-CO"/>
              </w:rPr>
              <w:t xml:space="preserve">. En este sentido, si una o ambas partes de la relación contractual es una entidad de aquellas descritas en el parágrafo </w:t>
            </w:r>
            <w:r w:rsidRPr="00D46909">
              <w:rPr>
                <w:rFonts w:ascii="Verdana" w:eastAsia="Times New Roman" w:hAnsi="Verdana" w:cs="Arial"/>
                <w:i/>
                <w:lang w:eastAsia="es-CO"/>
              </w:rPr>
              <w:t>ibidem</w:t>
            </w:r>
            <w:r w:rsidRPr="00D46909">
              <w:rPr>
                <w:rFonts w:ascii="Verdana" w:eastAsia="Times New Roman" w:hAnsi="Verdana" w:cs="Arial"/>
                <w:lang w:eastAsia="es-CO"/>
              </w:rPr>
              <w:t xml:space="preserve">, no podrá celebrar tales </w:t>
            </w:r>
            <w:r w:rsidRPr="00D46909">
              <w:rPr>
                <w:rFonts w:ascii="Verdana" w:eastAsia="Times New Roman" w:hAnsi="Verdana" w:cs="Arial"/>
                <w:i/>
                <w:iCs/>
                <w:lang w:eastAsia="es-CO"/>
              </w:rPr>
              <w:t>convenios</w:t>
            </w:r>
            <w:r w:rsidRPr="00D46909">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5A72C00" w14:textId="77777777" w:rsidR="00D46909" w:rsidRPr="00D46909" w:rsidRDefault="00D46909" w:rsidP="00D46909">
            <w:pPr>
              <w:spacing w:after="120" w:line="276" w:lineRule="auto"/>
              <w:ind w:firstLine="708"/>
              <w:jc w:val="both"/>
              <w:rPr>
                <w:rFonts w:ascii="Verdana" w:eastAsia="Times New Roman" w:hAnsi="Verdana" w:cs="Arial"/>
                <w:lang w:eastAsia="es-CO"/>
              </w:rPr>
            </w:pPr>
            <w:r w:rsidRPr="00D46909">
              <w:rPr>
                <w:rFonts w:ascii="Verdana" w:eastAsia="Times New Roman" w:hAnsi="Verdana" w:cs="Arial"/>
                <w:lang w:eastAsia="es-CO"/>
              </w:rPr>
              <w:t xml:space="preserve">Sin embargo, a la luz de lo expuesto por el Consejo de Estado en los autos del 4 de octubre de 2024 y 6 de noviembre de 2025, en los cuales se decretó medida </w:t>
            </w:r>
            <w:r w:rsidRPr="00D46909">
              <w:rPr>
                <w:rFonts w:ascii="Verdana" w:eastAsia="Arial" w:hAnsi="Verdana" w:cs="Arial"/>
                <w:lang w:eastAsia="es-ES" w:bidi="es-ES"/>
              </w:rPr>
              <w:t xml:space="preserve">de suspensión provisional parcial del </w:t>
            </w:r>
            <w:r w:rsidRPr="00D46909">
              <w:rPr>
                <w:rFonts w:ascii="Verdana" w:hAnsi="Verdana" w:cs="Arial"/>
              </w:rPr>
              <w:t xml:space="preserve">numeral 16.2 de la Circular Externa Única de 2022 expedida por la Agencia Nacional de Contratación Pública -Colombia Compra Eficiente-, y </w:t>
            </w:r>
            <w:r w:rsidRPr="00D46909">
              <w:rPr>
                <w:rFonts w:ascii="Verdana" w:eastAsia="Arial" w:hAnsi="Verdana" w:cs="Arial"/>
                <w:lang w:eastAsia="es-ES" w:bidi="es-ES"/>
              </w:rPr>
              <w:t>de los apartes cuestionados del inciso segundo y del inciso cuarto del numeral 16.2 de la Circular Externa Única, versión 3 del 27 de diciembre de 2023,</w:t>
            </w:r>
            <w:r w:rsidRPr="00D46909">
              <w:rPr>
                <w:rFonts w:ascii="Verdana" w:eastAsia="Times New Roman" w:hAnsi="Verdana" w:cs="Arial"/>
                <w:lang w:eastAsia="es-CO"/>
              </w:rPr>
              <w:t xml:space="preserve"> no resultaría aplicable la prohibición del parágrafo del artículo 38 de la Ley de Garantías Electorales a los </w:t>
            </w:r>
            <w:r w:rsidRPr="00D46909">
              <w:rPr>
                <w:rFonts w:ascii="Verdana" w:eastAsia="Times New Roman" w:hAnsi="Verdana" w:cs="Arial"/>
                <w:i/>
                <w:iCs/>
                <w:lang w:eastAsia="es-CO"/>
              </w:rPr>
              <w:t>contratos interadministrativos</w:t>
            </w:r>
            <w:r w:rsidRPr="00D46909">
              <w:rPr>
                <w:rFonts w:ascii="Verdana" w:eastAsia="Times New Roman" w:hAnsi="Verdana" w:cs="Arial"/>
                <w:lang w:eastAsia="es-CO"/>
              </w:rPr>
              <w:t>.</w:t>
            </w:r>
          </w:p>
          <w:p w14:paraId="194FC150" w14:textId="77777777" w:rsidR="00D46909" w:rsidRPr="00D46909" w:rsidRDefault="00D46909" w:rsidP="00D46909">
            <w:pPr>
              <w:spacing w:after="120" w:line="276" w:lineRule="auto"/>
              <w:ind w:firstLine="708"/>
              <w:jc w:val="both"/>
              <w:rPr>
                <w:rFonts w:ascii="Verdana" w:eastAsia="Times New Roman" w:hAnsi="Verdana" w:cs="Arial"/>
                <w:lang w:eastAsia="es-CO"/>
              </w:rPr>
            </w:pPr>
            <w:r w:rsidRPr="00D46909">
              <w:rPr>
                <w:rFonts w:ascii="Verdana" w:eastAsia="Times New Roman" w:hAnsi="Verdana" w:cs="Arial"/>
                <w:lang w:eastAsia="es-CO"/>
              </w:rPr>
              <w:t xml:space="preserve">Así las cosas, conforme a lo señalado por el Consejo de Estado, cuando dos entidades públicas celebren un </w:t>
            </w:r>
            <w:r w:rsidRPr="00D46909">
              <w:rPr>
                <w:rFonts w:ascii="Verdana" w:eastAsia="Times New Roman" w:hAnsi="Verdana" w:cs="Arial"/>
                <w:i/>
                <w:iCs/>
                <w:lang w:eastAsia="es-CO"/>
              </w:rPr>
              <w:t>contrato interadministrativo,</w:t>
            </w:r>
            <w:r w:rsidRPr="00D46909">
              <w:rPr>
                <w:rFonts w:ascii="Verdana" w:eastAsia="Times New Roman" w:hAnsi="Verdana" w:cs="Arial"/>
                <w:lang w:eastAsia="es-CO"/>
              </w:rPr>
              <w:t xml:space="preserve"> independientemente del objeto, dicho contrato puede suscribirse durante el periodo preelectoral. Por consiguiente y de acuerdo con la referida posición del Consejo de Estado, si el contrato de empréstito involucra a alguno de los sujetos mencionados en el parágrafo del artículo 38 de la Ley de Garantías Electorales y se constituye como un </w:t>
            </w:r>
            <w:r w:rsidRPr="00D46909">
              <w:rPr>
                <w:rFonts w:ascii="Verdana" w:eastAsia="Times New Roman" w:hAnsi="Verdana" w:cs="Arial"/>
                <w:i/>
                <w:iCs/>
                <w:lang w:eastAsia="es-CO"/>
              </w:rPr>
              <w:t xml:space="preserve">contrato interadministrativo </w:t>
            </w:r>
            <w:r w:rsidRPr="00D46909">
              <w:rPr>
                <w:rFonts w:ascii="Verdana" w:eastAsia="Times New Roman" w:hAnsi="Verdana" w:cs="Arial"/>
                <w:lang w:eastAsia="es-CO"/>
              </w:rPr>
              <w:t>no le resulta aplicable la limitación prevista en el parágrafo del artículo 38.</w:t>
            </w:r>
          </w:p>
          <w:p w14:paraId="23B7CE37" w14:textId="77777777" w:rsidR="00D46909" w:rsidRPr="00D46909" w:rsidRDefault="00D46909" w:rsidP="00D46909">
            <w:pPr>
              <w:spacing w:after="120" w:line="276" w:lineRule="auto"/>
              <w:ind w:firstLine="709"/>
              <w:jc w:val="both"/>
              <w:rPr>
                <w:rFonts w:ascii="Verdana" w:eastAsia="Arial" w:hAnsi="Verdana" w:cs="Arial"/>
                <w:color w:val="000000" w:themeColor="text1"/>
              </w:rPr>
            </w:pPr>
            <w:r w:rsidRPr="00D46909">
              <w:rPr>
                <w:rFonts w:ascii="Verdana" w:eastAsia="Arial" w:hAnsi="Verdana" w:cs="Arial"/>
                <w:bCs/>
                <w:color w:val="000000" w:themeColor="text1"/>
              </w:rPr>
              <w:lastRenderedPageBreak/>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D46909">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0053893F" w14:textId="77777777" w:rsidR="00D46909" w:rsidRPr="00D46909" w:rsidRDefault="00D46909" w:rsidP="00D46909">
      <w:pPr>
        <w:tabs>
          <w:tab w:val="left" w:pos="142"/>
          <w:tab w:val="left" w:pos="284"/>
        </w:tabs>
        <w:spacing w:after="0" w:line="276" w:lineRule="auto"/>
        <w:jc w:val="both"/>
        <w:rPr>
          <w:rFonts w:ascii="Verdana" w:eastAsia="Century Gothic" w:hAnsi="Verdana" w:cs="Century Gothic"/>
          <w:b/>
          <w:bCs/>
          <w:lang w:val="es-ES_tradnl"/>
        </w:rPr>
      </w:pPr>
    </w:p>
    <w:bookmarkEnd w:id="1"/>
    <w:p w14:paraId="1FC4E11F" w14:textId="77777777" w:rsidR="00D46909" w:rsidRPr="00D46909" w:rsidRDefault="00D46909" w:rsidP="00D46909">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D46909">
        <w:rPr>
          <w:rFonts w:ascii="Verdana" w:eastAsia="Century Gothic" w:hAnsi="Verdana" w:cs="Century Gothic"/>
          <w:b/>
          <w:bCs/>
          <w:lang w:val="es-ES_tradnl"/>
        </w:rPr>
        <w:t>Razones de la respuesta:</w:t>
      </w:r>
    </w:p>
    <w:p w14:paraId="5EFD34AF" w14:textId="77777777" w:rsidR="00D46909" w:rsidRPr="00D46909" w:rsidRDefault="00D46909" w:rsidP="00D46909">
      <w:pPr>
        <w:spacing w:after="0" w:line="276" w:lineRule="auto"/>
        <w:jc w:val="both"/>
        <w:rPr>
          <w:rFonts w:ascii="Verdana" w:hAnsi="Verdana" w:cs="Arial"/>
          <w:color w:val="7030A0"/>
          <w:lang w:val="es-ES_tradnl"/>
        </w:rPr>
      </w:pPr>
    </w:p>
    <w:p w14:paraId="32DAFE4F" w14:textId="77777777" w:rsidR="00D46909" w:rsidRPr="00D46909" w:rsidRDefault="00D46909" w:rsidP="00D46909">
      <w:pPr>
        <w:spacing w:after="0" w:line="276" w:lineRule="auto"/>
        <w:jc w:val="both"/>
        <w:rPr>
          <w:rFonts w:ascii="Verdana" w:hAnsi="Verdana" w:cs="Arial"/>
          <w:lang w:val="es-ES_tradnl"/>
        </w:rPr>
      </w:pPr>
      <w:r w:rsidRPr="00D46909">
        <w:rPr>
          <w:rFonts w:ascii="Verdana" w:hAnsi="Verdana" w:cs="Arial"/>
          <w:lang w:val="es-ES_tradnl"/>
        </w:rPr>
        <w:t>Lo anterior se sustenta en las siguientes consideraciones:</w:t>
      </w:r>
    </w:p>
    <w:p w14:paraId="165AE349" w14:textId="77777777" w:rsidR="00D46909" w:rsidRPr="00D46909" w:rsidRDefault="00D46909" w:rsidP="00D46909">
      <w:pPr>
        <w:spacing w:after="0" w:line="276" w:lineRule="auto"/>
        <w:ind w:firstLine="709"/>
        <w:jc w:val="both"/>
        <w:rPr>
          <w:rFonts w:ascii="Verdana" w:hAnsi="Verdana" w:cs="Arial"/>
          <w:color w:val="000000" w:themeColor="text1"/>
        </w:rPr>
      </w:pPr>
    </w:p>
    <w:p w14:paraId="37CE1F0B" w14:textId="77777777" w:rsidR="00D46909" w:rsidRPr="00D46909" w:rsidRDefault="00D46909" w:rsidP="00D46909">
      <w:pPr>
        <w:tabs>
          <w:tab w:val="left" w:pos="426"/>
        </w:tabs>
        <w:spacing w:after="120" w:line="276" w:lineRule="auto"/>
        <w:jc w:val="both"/>
        <w:rPr>
          <w:rFonts w:ascii="Verdana" w:eastAsia="Times New Roman" w:hAnsi="Verdana" w:cs="Arial"/>
          <w:lang w:val="es-ES" w:eastAsia="es-CO"/>
        </w:rPr>
      </w:pPr>
      <w:r w:rsidRPr="00D46909">
        <w:rPr>
          <w:rFonts w:ascii="Verdana" w:hAnsi="Verdana" w:cs="Arial"/>
          <w:color w:val="000000" w:themeColor="text1"/>
          <w:lang w:val="es-ES"/>
        </w:rPr>
        <w:t>i.</w:t>
      </w:r>
      <w:r w:rsidRPr="00D46909">
        <w:rPr>
          <w:rFonts w:ascii="Verdana" w:eastAsia="Verdana" w:hAnsi="Verdana" w:cs="Verdana"/>
          <w:lang w:val="es-ES"/>
        </w:rPr>
        <w:t xml:space="preserve"> </w:t>
      </w:r>
      <w:r w:rsidRPr="00D46909">
        <w:rPr>
          <w:rFonts w:ascii="Verdana" w:hAnsi="Verdana" w:cs="Arial"/>
          <w:lang w:val="es-ES"/>
        </w:rPr>
        <w:t>El ordenamiento jurídico colombiano contempla medidas para evitar la obtención de beneficios personales en asuntos propios de la administración pública</w:t>
      </w:r>
      <w:r w:rsidRPr="00D46909">
        <w:rPr>
          <w:rFonts w:ascii="Verdana" w:hAnsi="Verdana" w:cs="Arial"/>
          <w:i/>
          <w:lang w:val="es-ES"/>
        </w:rPr>
        <w:t xml:space="preserve">. </w:t>
      </w:r>
      <w:r w:rsidRPr="00D46909">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D46909">
        <w:rPr>
          <w:rFonts w:ascii="Verdana" w:eastAsiaTheme="minorHAnsi" w:hAnsi="Verdana" w:cstheme="minorBidi"/>
          <w:vertAlign w:val="superscript"/>
          <w:lang w:val="es-ES"/>
        </w:rPr>
        <w:footnoteReference w:id="2"/>
      </w:r>
      <w:r w:rsidRPr="00D46909">
        <w:rPr>
          <w:rFonts w:ascii="Verdana" w:hAnsi="Verdana" w:cs="Arial"/>
          <w:lang w:val="es-ES"/>
        </w:rPr>
        <w:t xml:space="preserve">. </w:t>
      </w:r>
    </w:p>
    <w:p w14:paraId="7989B352" w14:textId="77777777" w:rsidR="00D46909" w:rsidRPr="00D46909" w:rsidRDefault="00D46909" w:rsidP="00D46909">
      <w:pPr>
        <w:tabs>
          <w:tab w:val="left" w:pos="426"/>
        </w:tabs>
        <w:spacing w:after="120" w:line="276" w:lineRule="auto"/>
        <w:ind w:firstLine="709"/>
        <w:jc w:val="both"/>
        <w:rPr>
          <w:rFonts w:ascii="Verdana" w:hAnsi="Verdana" w:cs="Arial"/>
          <w:lang w:val="es-ES"/>
        </w:rPr>
      </w:pPr>
      <w:r w:rsidRPr="00D46909">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D46909">
        <w:rPr>
          <w:rFonts w:ascii="Verdana" w:eastAsia="Times New Roman" w:hAnsi="Verdana" w:cs="Arial"/>
          <w:vertAlign w:val="superscript"/>
          <w:lang w:val="es-ES" w:eastAsia="es-CO"/>
        </w:rPr>
        <w:footnoteReference w:id="3"/>
      </w:r>
      <w:r w:rsidRPr="00D46909">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D46909">
        <w:rPr>
          <w:rFonts w:ascii="Verdana" w:hAnsi="Verdana" w:cs="Arial"/>
          <w:lang w:val="es-ES"/>
        </w:rPr>
        <w:t xml:space="preserve"> </w:t>
      </w:r>
    </w:p>
    <w:p w14:paraId="32B15830" w14:textId="77777777" w:rsidR="00D46909" w:rsidRPr="00D46909" w:rsidRDefault="00D46909" w:rsidP="00D46909">
      <w:pPr>
        <w:tabs>
          <w:tab w:val="left" w:pos="426"/>
        </w:tabs>
        <w:spacing w:after="0" w:line="276" w:lineRule="auto"/>
        <w:ind w:firstLine="709"/>
        <w:jc w:val="both"/>
        <w:rPr>
          <w:rFonts w:ascii="Verdana" w:hAnsi="Verdana" w:cs="Arial"/>
          <w:lang w:val="es-ES"/>
        </w:rPr>
      </w:pPr>
      <w:r w:rsidRPr="00D46909">
        <w:rPr>
          <w:rFonts w:ascii="Verdana" w:eastAsia="Times New Roman" w:hAnsi="Verdana" w:cs="Arial"/>
          <w:lang w:val="es-ES" w:eastAsia="es-CO"/>
        </w:rPr>
        <w:lastRenderedPageBreak/>
        <w:t>En armonía con lo anterior, la Corte Constitucional ha abordado la definición de la Ley de Garantías Electorales. De esta manera, explica que tiene como propósito:</w:t>
      </w:r>
    </w:p>
    <w:p w14:paraId="5890E59B" w14:textId="77777777" w:rsidR="00D46909" w:rsidRPr="00D46909" w:rsidRDefault="00D46909" w:rsidP="00D46909">
      <w:pPr>
        <w:spacing w:after="0" w:line="276" w:lineRule="auto"/>
        <w:ind w:right="709"/>
        <w:jc w:val="both"/>
        <w:rPr>
          <w:rFonts w:ascii="Verdana" w:eastAsia="Times New Roman" w:hAnsi="Verdana" w:cs="Arial"/>
          <w:lang w:val="es-ES" w:eastAsia="es-CO"/>
        </w:rPr>
      </w:pPr>
    </w:p>
    <w:p w14:paraId="49C53FAD" w14:textId="77777777" w:rsidR="00D46909" w:rsidRPr="00D46909" w:rsidRDefault="00D46909" w:rsidP="00D46909">
      <w:pPr>
        <w:spacing w:after="0" w:line="240" w:lineRule="auto"/>
        <w:ind w:left="709" w:right="709"/>
        <w:contextualSpacing/>
        <w:jc w:val="both"/>
        <w:rPr>
          <w:rFonts w:ascii="Verdana" w:eastAsia="Times New Roman" w:hAnsi="Verdana" w:cs="Arial"/>
          <w:sz w:val="20"/>
          <w:szCs w:val="20"/>
          <w:lang w:val="es-ES" w:eastAsia="es-CO"/>
        </w:rPr>
      </w:pPr>
      <w:r w:rsidRPr="00D46909">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F28BDEB" w14:textId="77777777" w:rsidR="00D46909" w:rsidRPr="00D46909" w:rsidRDefault="00D46909" w:rsidP="00D46909">
      <w:pPr>
        <w:spacing w:after="0" w:line="240" w:lineRule="auto"/>
        <w:ind w:left="709" w:right="709"/>
        <w:contextualSpacing/>
        <w:jc w:val="both"/>
        <w:rPr>
          <w:rFonts w:ascii="Verdana" w:eastAsia="Times New Roman" w:hAnsi="Verdana" w:cs="Arial"/>
          <w:sz w:val="20"/>
          <w:szCs w:val="20"/>
          <w:lang w:val="es-ES" w:eastAsia="es-CO"/>
        </w:rPr>
      </w:pPr>
      <w:r w:rsidRPr="00D46909">
        <w:rPr>
          <w:rFonts w:ascii="Verdana" w:eastAsia="Times New Roman" w:hAnsi="Verdana" w:cs="Arial"/>
          <w:sz w:val="20"/>
          <w:szCs w:val="20"/>
          <w:lang w:val="es-ES" w:eastAsia="es-CO"/>
        </w:rPr>
        <w:t xml:space="preserve">[…] </w:t>
      </w:r>
    </w:p>
    <w:p w14:paraId="490AB3B1" w14:textId="77777777" w:rsidR="00D46909" w:rsidRPr="00D46909" w:rsidRDefault="00D46909" w:rsidP="00D46909">
      <w:pPr>
        <w:spacing w:after="0" w:line="240" w:lineRule="auto"/>
        <w:ind w:left="709" w:right="709"/>
        <w:contextualSpacing/>
        <w:jc w:val="both"/>
        <w:rPr>
          <w:rFonts w:ascii="Verdana" w:eastAsia="Times New Roman" w:hAnsi="Verdana" w:cs="Arial"/>
          <w:sz w:val="20"/>
          <w:szCs w:val="20"/>
          <w:lang w:val="es-ES" w:eastAsia="es-CO"/>
        </w:rPr>
      </w:pPr>
      <w:r w:rsidRPr="00D46909">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D46909">
        <w:rPr>
          <w:rFonts w:ascii="Verdana" w:hAnsi="Verdana" w:cs="Arial"/>
          <w:sz w:val="20"/>
          <w:szCs w:val="20"/>
          <w:vertAlign w:val="superscript"/>
          <w:lang w:val="es-ES"/>
        </w:rPr>
        <w:footnoteReference w:id="4"/>
      </w:r>
    </w:p>
    <w:p w14:paraId="3A9C668B" w14:textId="77777777" w:rsidR="00D46909" w:rsidRPr="00D46909" w:rsidRDefault="00D46909" w:rsidP="00D46909">
      <w:pPr>
        <w:spacing w:after="0" w:line="276" w:lineRule="auto"/>
        <w:ind w:firstLine="709"/>
        <w:jc w:val="both"/>
        <w:rPr>
          <w:rFonts w:ascii="Verdana" w:eastAsia="Times New Roman" w:hAnsi="Verdana" w:cs="Arial"/>
          <w:lang w:val="es-ES" w:eastAsia="es-CO"/>
        </w:rPr>
      </w:pPr>
    </w:p>
    <w:p w14:paraId="1D16A2C9" w14:textId="77777777" w:rsidR="00D46909" w:rsidRPr="00D46909" w:rsidRDefault="00D46909" w:rsidP="00D46909">
      <w:pPr>
        <w:spacing w:after="0" w:line="276" w:lineRule="auto"/>
        <w:ind w:firstLine="709"/>
        <w:jc w:val="both"/>
        <w:rPr>
          <w:rFonts w:ascii="Verdana" w:eastAsia="Times New Roman" w:hAnsi="Verdana" w:cs="Arial"/>
          <w:lang w:val="es-ES" w:eastAsia="es-CO"/>
        </w:rPr>
      </w:pPr>
      <w:r w:rsidRPr="00D46909">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086FCD05" w14:textId="77777777" w:rsidR="00D46909" w:rsidRPr="00D46909" w:rsidRDefault="00D46909" w:rsidP="00D46909">
      <w:pPr>
        <w:spacing w:after="0" w:line="276" w:lineRule="auto"/>
        <w:ind w:firstLine="709"/>
        <w:jc w:val="both"/>
        <w:rPr>
          <w:rFonts w:ascii="Verdana" w:eastAsia="Times New Roman" w:hAnsi="Verdana" w:cs="Arial"/>
          <w:lang w:val="es-ES" w:eastAsia="es-CO"/>
        </w:rPr>
      </w:pPr>
    </w:p>
    <w:p w14:paraId="4418DDAE" w14:textId="77777777" w:rsidR="00D46909" w:rsidRPr="00D46909" w:rsidRDefault="00D46909" w:rsidP="00D46909">
      <w:pPr>
        <w:spacing w:after="0" w:line="240" w:lineRule="auto"/>
        <w:ind w:left="709" w:right="709"/>
        <w:jc w:val="both"/>
        <w:rPr>
          <w:rFonts w:ascii="Verdana" w:eastAsia="Times New Roman" w:hAnsi="Verdana" w:cs="Arial"/>
          <w:sz w:val="20"/>
          <w:szCs w:val="20"/>
          <w:lang w:val="es-ES" w:eastAsia="es-CO"/>
        </w:rPr>
      </w:pPr>
      <w:r w:rsidRPr="00D46909">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D46909">
        <w:rPr>
          <w:rFonts w:ascii="Verdana" w:eastAsia="Times New Roman" w:hAnsi="Verdana" w:cs="Arial"/>
          <w:sz w:val="20"/>
          <w:szCs w:val="20"/>
          <w:lang w:val="es-ES" w:eastAsia="es-CO"/>
        </w:rPr>
        <w:t>legis</w:t>
      </w:r>
      <w:proofErr w:type="spellEnd"/>
      <w:r w:rsidRPr="00D46909">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8FD4424" w14:textId="77777777" w:rsidR="00D46909" w:rsidRPr="00D46909" w:rsidRDefault="00D46909" w:rsidP="00D46909">
      <w:pPr>
        <w:spacing w:after="0" w:line="240" w:lineRule="auto"/>
        <w:ind w:right="709"/>
        <w:jc w:val="both"/>
        <w:rPr>
          <w:rFonts w:ascii="Verdana" w:eastAsia="Times New Roman" w:hAnsi="Verdana" w:cs="Arial"/>
          <w:lang w:val="es-ES" w:eastAsia="es-CO"/>
        </w:rPr>
      </w:pPr>
    </w:p>
    <w:p w14:paraId="772BCA14" w14:textId="77777777" w:rsidR="00D46909" w:rsidRPr="00D46909" w:rsidRDefault="00D46909" w:rsidP="00D46909">
      <w:pPr>
        <w:spacing w:after="0" w:line="240" w:lineRule="auto"/>
        <w:ind w:left="709" w:right="709"/>
        <w:jc w:val="both"/>
        <w:rPr>
          <w:rFonts w:ascii="Verdana" w:eastAsia="Times New Roman" w:hAnsi="Verdana" w:cs="Arial"/>
          <w:sz w:val="20"/>
          <w:szCs w:val="20"/>
          <w:lang w:val="es-ES" w:eastAsia="es-CO"/>
        </w:rPr>
      </w:pPr>
      <w:r w:rsidRPr="00D46909">
        <w:rPr>
          <w:rFonts w:ascii="Verdana" w:eastAsia="Times New Roman" w:hAnsi="Verdana" w:cs="Arial"/>
          <w:sz w:val="20"/>
          <w:szCs w:val="20"/>
          <w:lang w:val="es-ES" w:eastAsia="es-CO"/>
        </w:rPr>
        <w:lastRenderedPageBreak/>
        <w:t>La jurisprudencia de la Corte Constitucional</w:t>
      </w:r>
      <w:r w:rsidRPr="00D46909">
        <w:rPr>
          <w:rFonts w:ascii="Verdana" w:eastAsia="Times New Roman" w:hAnsi="Verdana" w:cs="Arial"/>
          <w:sz w:val="20"/>
          <w:szCs w:val="20"/>
          <w:vertAlign w:val="superscript"/>
          <w:lang w:val="es-ES" w:eastAsia="es-CO"/>
        </w:rPr>
        <w:footnoteReference w:id="5"/>
      </w:r>
      <w:r w:rsidRPr="00D46909">
        <w:rPr>
          <w:rFonts w:ascii="Verdana" w:eastAsia="Times New Roman" w:hAnsi="Verdana" w:cs="Arial"/>
          <w:sz w:val="20"/>
          <w:szCs w:val="20"/>
          <w:lang w:val="es-ES" w:eastAsia="es-CO"/>
        </w:rPr>
        <w:t> y del Consejo de Estado</w:t>
      </w:r>
      <w:r w:rsidRPr="00D46909">
        <w:rPr>
          <w:rFonts w:ascii="Verdana" w:eastAsia="Times New Roman" w:hAnsi="Verdana" w:cs="Arial"/>
          <w:sz w:val="20"/>
          <w:szCs w:val="20"/>
          <w:vertAlign w:val="superscript"/>
          <w:lang w:val="es-ES" w:eastAsia="es-CO"/>
        </w:rPr>
        <w:footnoteReference w:id="6"/>
      </w:r>
      <w:r w:rsidRPr="00D46909">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D46909">
        <w:rPr>
          <w:rFonts w:ascii="Verdana" w:eastAsia="Times New Roman" w:hAnsi="Verdana" w:cs="Arial"/>
          <w:sz w:val="20"/>
          <w:szCs w:val="20"/>
          <w:vertAlign w:val="superscript"/>
          <w:lang w:val="es-ES" w:eastAsia="es-CO"/>
        </w:rPr>
        <w:footnoteReference w:id="7"/>
      </w:r>
      <w:r w:rsidRPr="00D46909">
        <w:rPr>
          <w:rFonts w:ascii="Verdana" w:eastAsia="Times New Roman" w:hAnsi="Verdana" w:cs="Arial"/>
          <w:sz w:val="20"/>
          <w:szCs w:val="20"/>
          <w:lang w:val="es-ES" w:eastAsia="es-CO"/>
        </w:rPr>
        <w:t>.</w:t>
      </w:r>
    </w:p>
    <w:p w14:paraId="65F45986" w14:textId="77777777" w:rsidR="00D46909" w:rsidRPr="00D46909" w:rsidRDefault="00D46909" w:rsidP="00D46909">
      <w:pPr>
        <w:spacing w:after="0" w:line="276" w:lineRule="auto"/>
        <w:jc w:val="both"/>
        <w:rPr>
          <w:rFonts w:ascii="Verdana" w:hAnsi="Verdana" w:cs="Arial"/>
          <w:bCs/>
          <w:lang w:val="es-ES"/>
        </w:rPr>
      </w:pPr>
    </w:p>
    <w:p w14:paraId="6A1B580C" w14:textId="77777777" w:rsidR="00D46909" w:rsidRPr="00D46909" w:rsidRDefault="00D46909" w:rsidP="00D46909">
      <w:pPr>
        <w:spacing w:after="120" w:line="276" w:lineRule="auto"/>
        <w:ind w:firstLine="709"/>
        <w:jc w:val="both"/>
        <w:rPr>
          <w:rFonts w:ascii="Verdana" w:eastAsia="Arial" w:hAnsi="Verdana" w:cs="Arial"/>
          <w:lang w:val="es-ES" w:eastAsia="es-ES" w:bidi="es-ES"/>
        </w:rPr>
      </w:pPr>
      <w:r w:rsidRPr="00D46909">
        <w:rPr>
          <w:rFonts w:ascii="Verdana" w:eastAsia="Times New Roman" w:hAnsi="Verdana" w:cs="Arial"/>
          <w:lang w:val="es-ES" w:eastAsia="es-CO"/>
        </w:rPr>
        <w:t>De</w:t>
      </w:r>
      <w:r w:rsidRPr="00D46909">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360DB38E" w14:textId="77777777" w:rsidR="00D46909" w:rsidRPr="00D46909" w:rsidRDefault="00D46909" w:rsidP="00D46909">
      <w:pPr>
        <w:spacing w:after="120" w:line="276" w:lineRule="auto"/>
        <w:jc w:val="both"/>
        <w:rPr>
          <w:rFonts w:ascii="Verdana" w:eastAsia="Arial" w:hAnsi="Verdana" w:cs="Arial"/>
          <w:lang w:val="es-ES" w:eastAsia="es-ES" w:bidi="es-ES"/>
        </w:rPr>
      </w:pPr>
      <w:proofErr w:type="spellStart"/>
      <w:r w:rsidRPr="00D46909">
        <w:rPr>
          <w:rFonts w:ascii="Verdana" w:eastAsia="Arial" w:hAnsi="Verdana" w:cs="Arial"/>
          <w:lang w:val="es-ES" w:eastAsia="es-ES" w:bidi="es-ES"/>
        </w:rPr>
        <w:t>ii</w:t>
      </w:r>
      <w:proofErr w:type="spellEnd"/>
      <w:r w:rsidRPr="00D46909">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46AE1757" w14:textId="77777777" w:rsidR="00D46909" w:rsidRPr="00D46909" w:rsidRDefault="00D46909" w:rsidP="00D46909">
      <w:pPr>
        <w:spacing w:after="120" w:line="276" w:lineRule="auto"/>
        <w:ind w:firstLine="708"/>
        <w:jc w:val="both"/>
        <w:rPr>
          <w:rFonts w:ascii="Verdana" w:hAnsi="Verdana" w:cs="Arial"/>
          <w:lang w:val="es-ES"/>
        </w:rPr>
      </w:pPr>
      <w:r w:rsidRPr="00D46909">
        <w:rPr>
          <w:rFonts w:ascii="Verdana" w:hAnsi="Verdana" w:cs="Arial"/>
          <w:lang w:val="es-ES"/>
        </w:rPr>
        <w:t xml:space="preserve">Por un lado, el </w:t>
      </w:r>
      <w:r w:rsidRPr="00D46909">
        <w:rPr>
          <w:rFonts w:ascii="Verdana" w:hAnsi="Verdana" w:cs="Arial"/>
          <w:i/>
          <w:iCs/>
          <w:lang w:val="es-ES"/>
        </w:rPr>
        <w:t xml:space="preserve">artículo 33 </w:t>
      </w:r>
      <w:r w:rsidRPr="00D46909">
        <w:rPr>
          <w:rFonts w:ascii="Verdana" w:hAnsi="Verdana" w:cs="Arial"/>
          <w:lang w:val="es-ES"/>
        </w:rPr>
        <w:t xml:space="preserve">de la Ley 996 de 2005 prohíbe “[…] la contratación directa por parte de </w:t>
      </w:r>
      <w:r w:rsidRPr="00D46909">
        <w:rPr>
          <w:rFonts w:ascii="Verdana" w:hAnsi="Verdana" w:cs="Arial"/>
          <w:i/>
          <w:iCs/>
          <w:lang w:val="es-ES"/>
        </w:rPr>
        <w:t>todos los entes del Estado</w:t>
      </w:r>
      <w:r w:rsidRPr="00D46909">
        <w:rPr>
          <w:rFonts w:ascii="Verdana" w:hAnsi="Verdana" w:cs="Arial"/>
          <w:lang w:val="es-ES"/>
        </w:rPr>
        <w:t xml:space="preserve">” durante los cuatro (4) meses anteriores a las </w:t>
      </w:r>
      <w:r w:rsidRPr="00D46909">
        <w:rPr>
          <w:rFonts w:ascii="Verdana" w:hAnsi="Verdana" w:cs="Arial"/>
          <w:i/>
          <w:iCs/>
          <w:lang w:val="es-ES"/>
        </w:rPr>
        <w:t>elecciones presidenciales</w:t>
      </w:r>
      <w:r w:rsidRPr="00D46909">
        <w:rPr>
          <w:rFonts w:ascii="Verdana"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D46909">
        <w:rPr>
          <w:rFonts w:ascii="Verdana" w:hAnsi="Verdana" w:cs="Arial"/>
          <w:lang w:val="es-ES"/>
        </w:rPr>
        <w:lastRenderedPageBreak/>
        <w:t>acciones terroristas, desastres naturales o casos de fuerza mayor, y los que deban realizar las entidades sanitarias y hospitalarias”</w:t>
      </w:r>
      <w:r w:rsidRPr="00D46909">
        <w:rPr>
          <w:rFonts w:ascii="Verdana" w:hAnsi="Verdana" w:cs="Arial"/>
          <w:vertAlign w:val="superscript"/>
          <w:lang w:val="es-ES"/>
        </w:rPr>
        <w:footnoteReference w:id="8"/>
      </w:r>
      <w:r w:rsidRPr="00D46909">
        <w:rPr>
          <w:rFonts w:ascii="Verdana" w:hAnsi="Verdana" w:cs="Arial"/>
          <w:lang w:val="es-ES"/>
        </w:rPr>
        <w:t>.</w:t>
      </w:r>
    </w:p>
    <w:p w14:paraId="1FC24CC2" w14:textId="77777777" w:rsidR="00D46909" w:rsidRPr="00D46909" w:rsidRDefault="00D46909" w:rsidP="00D46909">
      <w:pPr>
        <w:widowControl w:val="0"/>
        <w:autoSpaceDE w:val="0"/>
        <w:autoSpaceDN w:val="0"/>
        <w:spacing w:after="120" w:line="276" w:lineRule="auto"/>
        <w:ind w:right="113" w:firstLine="709"/>
        <w:jc w:val="both"/>
        <w:rPr>
          <w:rFonts w:ascii="Verdana" w:eastAsia="Arial" w:hAnsi="Verdana" w:cs="Arial"/>
          <w:lang w:val="es-ES" w:eastAsia="es-ES" w:bidi="es-ES"/>
        </w:rPr>
      </w:pPr>
      <w:r w:rsidRPr="00D46909">
        <w:rPr>
          <w:rFonts w:ascii="Verdana" w:hAnsi="Verdana" w:cs="Arial"/>
          <w:lang w:val="es-ES"/>
        </w:rPr>
        <w:t xml:space="preserve">Por otro lado, </w:t>
      </w:r>
      <w:r w:rsidRPr="00D46909">
        <w:rPr>
          <w:rFonts w:ascii="Verdana" w:hAnsi="Verdana" w:cs="Arial"/>
          <w:i/>
          <w:iCs/>
          <w:lang w:val="es-ES"/>
        </w:rPr>
        <w:t xml:space="preserve">el parágrafo del artículo 38 </w:t>
      </w:r>
      <w:r w:rsidRPr="00D46909">
        <w:rPr>
          <w:rFonts w:ascii="Verdana" w:hAnsi="Verdana" w:cs="Arial"/>
          <w:lang w:val="es-ES"/>
        </w:rPr>
        <w:t xml:space="preserve">de la Ley 996 de 2005 prevé una restricción, aplicable respecto de </w:t>
      </w:r>
      <w:r w:rsidRPr="00D46909">
        <w:rPr>
          <w:rFonts w:ascii="Verdana" w:hAnsi="Verdana" w:cs="Arial"/>
          <w:i/>
          <w:iCs/>
          <w:lang w:val="es-ES"/>
        </w:rPr>
        <w:t>cualquier tipo de contienda electoral</w:t>
      </w:r>
      <w:r w:rsidRPr="00D46909">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46909">
        <w:rPr>
          <w:rFonts w:ascii="Verdana" w:hAnsi="Verdana" w:cs="Arial"/>
          <w:vertAlign w:val="superscript"/>
          <w:lang w:val="es-ES"/>
        </w:rPr>
        <w:footnoteReference w:id="9"/>
      </w:r>
      <w:r w:rsidRPr="00D46909">
        <w:rPr>
          <w:rFonts w:ascii="Verdana" w:hAnsi="Verdana" w:cs="Arial"/>
          <w:lang w:val="es-ES"/>
        </w:rPr>
        <w:t>.</w:t>
      </w:r>
      <w:r w:rsidRPr="00D46909">
        <w:rPr>
          <w:rFonts w:ascii="Verdana" w:eastAsia="Arial" w:hAnsi="Verdana" w:cs="Arial"/>
          <w:lang w:val="es-ES" w:eastAsia="es-ES" w:bidi="es-ES"/>
        </w:rPr>
        <w:t xml:space="preserve"> </w:t>
      </w:r>
    </w:p>
    <w:p w14:paraId="7C077462" w14:textId="77777777" w:rsidR="00D46909" w:rsidRPr="00D46909" w:rsidRDefault="00D46909" w:rsidP="00D46909">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D4690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508BF80" w14:textId="77777777" w:rsidR="00D46909" w:rsidRPr="00D46909" w:rsidRDefault="00D46909" w:rsidP="00D46909">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BA75A8D" w14:textId="77777777" w:rsidR="00D46909" w:rsidRPr="00D46909" w:rsidRDefault="00D46909" w:rsidP="00D46909">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D46909">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46909">
        <w:rPr>
          <w:rFonts w:ascii="Verdana" w:eastAsia="Arial" w:hAnsi="Verdana" w:cs="Arial"/>
          <w:sz w:val="20"/>
          <w:szCs w:val="20"/>
          <w:lang w:val="es-ES" w:eastAsia="es-ES" w:bidi="es-ES"/>
        </w:rPr>
        <w:t>Presidente</w:t>
      </w:r>
      <w:proofErr w:type="gramEnd"/>
      <w:r w:rsidRPr="00D46909">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D46909">
        <w:rPr>
          <w:rFonts w:ascii="Verdana" w:eastAsia="Arial" w:hAnsi="Verdana" w:cs="Arial"/>
          <w:sz w:val="20"/>
          <w:szCs w:val="20"/>
          <w:vertAlign w:val="superscript"/>
          <w:lang w:val="es-ES" w:eastAsia="es-ES" w:bidi="es-ES"/>
        </w:rPr>
        <w:footnoteReference w:id="10"/>
      </w:r>
    </w:p>
    <w:p w14:paraId="5E49D73F" w14:textId="77777777" w:rsidR="00D46909" w:rsidRPr="00D46909" w:rsidRDefault="00D46909" w:rsidP="00D46909">
      <w:pPr>
        <w:widowControl w:val="0"/>
        <w:autoSpaceDE w:val="0"/>
        <w:autoSpaceDN w:val="0"/>
        <w:spacing w:after="0" w:line="276" w:lineRule="auto"/>
        <w:contextualSpacing/>
        <w:rPr>
          <w:rFonts w:ascii="Verdana" w:eastAsia="Arial" w:hAnsi="Verdana" w:cs="Arial"/>
          <w:lang w:val="es-ES" w:eastAsia="es-ES" w:bidi="es-ES"/>
        </w:rPr>
      </w:pPr>
    </w:p>
    <w:p w14:paraId="51D367D3" w14:textId="77777777" w:rsidR="00D46909" w:rsidRPr="00D46909" w:rsidRDefault="00D46909" w:rsidP="00D46909">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D46909">
        <w:rPr>
          <w:rFonts w:ascii="Verdana" w:eastAsia="Arial" w:hAnsi="Verdana" w:cs="Arial"/>
          <w:i/>
          <w:lang w:val="es-ES" w:eastAsia="es-ES" w:bidi="es-ES"/>
        </w:rPr>
        <w:t>En primer lugar</w:t>
      </w:r>
      <w:r w:rsidRPr="00D46909">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D46909">
        <w:rPr>
          <w:rFonts w:ascii="Verdana" w:eastAsia="Arial" w:hAnsi="Verdana" w:cs="Arial"/>
          <w:i/>
          <w:lang w:val="es-ES" w:eastAsia="es-ES" w:bidi="es-ES"/>
        </w:rPr>
        <w:t>En segundo lugar</w:t>
      </w:r>
      <w:r w:rsidRPr="00D46909">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642DE9F" w14:textId="77777777" w:rsidR="00D46909" w:rsidRPr="00D46909" w:rsidRDefault="00D46909" w:rsidP="00D46909">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D46909">
        <w:rPr>
          <w:rFonts w:ascii="Verdana" w:eastAsia="Arial" w:hAnsi="Verdana" w:cs="Arial"/>
          <w:lang w:val="es-ES" w:eastAsia="es-ES" w:bidi="es-ES"/>
        </w:rPr>
        <w:t>Presidente</w:t>
      </w:r>
      <w:proofErr w:type="gramEnd"/>
      <w:r w:rsidRPr="00D46909">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D46909">
        <w:rPr>
          <w:rFonts w:ascii="Verdana" w:eastAsia="Arial" w:hAnsi="Verdana" w:cs="Arial"/>
          <w:lang w:val="es-ES" w:eastAsia="es-ES" w:bidi="es-ES"/>
        </w:rPr>
        <w:t>Presidente</w:t>
      </w:r>
      <w:proofErr w:type="gramEnd"/>
      <w:r w:rsidRPr="00D46909">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3E6352DA" w14:textId="77777777" w:rsidR="00D46909" w:rsidRPr="00D46909" w:rsidRDefault="00D46909" w:rsidP="00D46909">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D46909">
        <w:rPr>
          <w:rFonts w:ascii="Verdana" w:eastAsia="Arial" w:hAnsi="Verdana" w:cs="Arial"/>
          <w:lang w:val="es-ES" w:eastAsia="es-ES" w:bidi="es-ES"/>
        </w:rPr>
        <w:t>Presidente</w:t>
      </w:r>
      <w:proofErr w:type="gramEnd"/>
      <w:r w:rsidRPr="00D46909">
        <w:rPr>
          <w:rFonts w:ascii="Verdana" w:eastAsia="Arial" w:hAnsi="Verdana" w:cs="Arial"/>
          <w:lang w:val="es-ES" w:eastAsia="es-ES" w:bidi="es-ES"/>
        </w:rPr>
        <w:t xml:space="preserve"> o el </w:t>
      </w:r>
      <w:proofErr w:type="gramStart"/>
      <w:r w:rsidRPr="00D46909">
        <w:rPr>
          <w:rFonts w:ascii="Verdana" w:eastAsia="Arial" w:hAnsi="Verdana" w:cs="Arial"/>
          <w:lang w:val="es-ES" w:eastAsia="es-ES" w:bidi="es-ES"/>
        </w:rPr>
        <w:t>Vicepresidente</w:t>
      </w:r>
      <w:proofErr w:type="gramEnd"/>
      <w:r w:rsidRPr="00D46909">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D46909">
        <w:rPr>
          <w:rFonts w:ascii="Verdana" w:eastAsia="Arial" w:hAnsi="Verdana" w:cs="Arial"/>
          <w:lang w:val="es-ES" w:eastAsia="es-ES" w:bidi="es-ES"/>
        </w:rPr>
        <w:t>Presidente</w:t>
      </w:r>
      <w:proofErr w:type="gramEnd"/>
      <w:r w:rsidRPr="00D46909">
        <w:rPr>
          <w:rFonts w:ascii="Verdana" w:eastAsia="Arial" w:hAnsi="Verdana" w:cs="Arial"/>
          <w:lang w:val="es-ES" w:eastAsia="es-ES" w:bidi="es-ES"/>
        </w:rPr>
        <w:t xml:space="preserve"> y el </w:t>
      </w:r>
      <w:proofErr w:type="gramStart"/>
      <w:r w:rsidRPr="00D46909">
        <w:rPr>
          <w:rFonts w:ascii="Verdana" w:eastAsia="Arial" w:hAnsi="Verdana" w:cs="Arial"/>
          <w:lang w:val="es-ES" w:eastAsia="es-ES" w:bidi="es-ES"/>
        </w:rPr>
        <w:t>Vicepresidente</w:t>
      </w:r>
      <w:proofErr w:type="gramEnd"/>
      <w:r w:rsidRPr="00D46909">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D46909">
        <w:rPr>
          <w:rFonts w:ascii="Verdana" w:eastAsia="Arial" w:hAnsi="Verdana" w:cs="Arial"/>
          <w:lang w:val="es-ES" w:eastAsia="es-ES" w:bidi="es-ES"/>
        </w:rPr>
        <w:t>Vicepresidente</w:t>
      </w:r>
      <w:proofErr w:type="gramEnd"/>
      <w:r w:rsidRPr="00D46909">
        <w:rPr>
          <w:rFonts w:ascii="Verdana" w:eastAsia="Arial" w:hAnsi="Verdana" w:cs="Arial"/>
          <w:lang w:val="es-ES" w:eastAsia="es-ES" w:bidi="es-ES"/>
        </w:rPr>
        <w:t xml:space="preserve"> que no haya ejercido la presidencia o que la haya ejercido por un tiempo inferior a tres (3) meses durante el respectivo cuatrienio, </w:t>
      </w:r>
      <w:r w:rsidRPr="00D46909">
        <w:rPr>
          <w:rFonts w:ascii="Verdana" w:eastAsia="Arial" w:hAnsi="Verdana" w:cs="Arial"/>
          <w:lang w:val="es-ES" w:eastAsia="es-ES" w:bidi="es-ES"/>
        </w:rPr>
        <w:lastRenderedPageBreak/>
        <w:t xml:space="preserve">en forma continua o discontinua, conforme al artículo 197 de la Constitución Política. </w:t>
      </w:r>
    </w:p>
    <w:p w14:paraId="036E4DEA" w14:textId="77777777" w:rsidR="00D46909" w:rsidRPr="00D46909" w:rsidRDefault="00D46909" w:rsidP="00D46909">
      <w:pPr>
        <w:spacing w:after="120" w:line="276" w:lineRule="auto"/>
        <w:jc w:val="both"/>
        <w:rPr>
          <w:rFonts w:ascii="Verdana" w:eastAsia="Times New Roman" w:hAnsi="Verdana" w:cs="Arial"/>
          <w:lang w:val="es-ES" w:eastAsia="es-CO"/>
        </w:rPr>
      </w:pPr>
      <w:proofErr w:type="spellStart"/>
      <w:r w:rsidRPr="00D46909">
        <w:rPr>
          <w:rFonts w:ascii="Verdana" w:hAnsi="Verdana" w:cs="Arial"/>
          <w:lang w:val="es-ES"/>
        </w:rPr>
        <w:t>iii</w:t>
      </w:r>
      <w:proofErr w:type="spellEnd"/>
      <w:r w:rsidRPr="00D46909">
        <w:rPr>
          <w:rFonts w:ascii="Verdana" w:hAnsi="Verdana" w:cs="Arial"/>
          <w:lang w:val="es-ES"/>
        </w:rPr>
        <w:t xml:space="preserve">) </w:t>
      </w:r>
      <w:r w:rsidRPr="00D46909">
        <w:rPr>
          <w:rFonts w:ascii="Verdana" w:hAnsi="Verdana" w:cs="Arial"/>
          <w:lang w:val="es-ES" w:eastAsia="es-ES" w:bidi="es-ES"/>
        </w:rPr>
        <w:t xml:space="preserve">Para responder al problema jurídico planteado es necesario, en primer lugar, precisar el alcance de la prohibición </w:t>
      </w:r>
      <w:r w:rsidRPr="00D46909">
        <w:rPr>
          <w:rFonts w:ascii="Verdana" w:eastAsia="Arial" w:hAnsi="Verdana" w:cs="Arial"/>
          <w:lang w:val="es-ES" w:eastAsia="es-ES" w:bidi="es-ES"/>
        </w:rPr>
        <w:t>establecida en e</w:t>
      </w:r>
      <w:r w:rsidRPr="00D46909">
        <w:rPr>
          <w:rFonts w:ascii="Verdana" w:hAnsi="Verdana" w:cs="Arial"/>
          <w:lang w:val="es-ES"/>
        </w:rPr>
        <w:t xml:space="preserve">l </w:t>
      </w:r>
      <w:r w:rsidRPr="00D46909">
        <w:rPr>
          <w:rFonts w:ascii="Verdana" w:eastAsia="Times New Roman" w:hAnsi="Verdana" w:cs="Arial"/>
          <w:lang w:val="es-ES"/>
        </w:rPr>
        <w:t xml:space="preserve">artículo 33 de la Ley 996 de 2005 y sus excepciones. El </w:t>
      </w:r>
      <w:r w:rsidRPr="00D46909">
        <w:rPr>
          <w:rFonts w:ascii="Verdana" w:eastAsia="Times New Roman" w:hAnsi="Verdana" w:cs="Arial"/>
          <w:i/>
          <w:iCs/>
          <w:lang w:val="es-ES"/>
        </w:rPr>
        <w:t>ámbito material</w:t>
      </w:r>
      <w:r w:rsidRPr="00D46909">
        <w:rPr>
          <w:rFonts w:ascii="Verdana" w:eastAsia="Times New Roman" w:hAnsi="Verdana" w:cs="Arial"/>
          <w:lang w:val="es-ES"/>
        </w:rPr>
        <w:t xml:space="preserve"> de esta prohibición está delimitado por la expresión </w:t>
      </w:r>
      <w:r w:rsidRPr="00D46909">
        <w:rPr>
          <w:rFonts w:ascii="Verdana" w:hAnsi="Verdana" w:cs="Arial"/>
          <w:bCs/>
          <w:lang w:val="es-ES"/>
        </w:rPr>
        <w:t>“</w:t>
      </w:r>
      <w:r w:rsidRPr="00D46909">
        <w:rPr>
          <w:rFonts w:ascii="Verdana" w:eastAsia="Times New Roman" w:hAnsi="Verdana" w:cs="Arial"/>
          <w:lang w:val="es-ES"/>
        </w:rPr>
        <w:t>queda prohibida la contratación directa</w:t>
      </w:r>
      <w:r w:rsidRPr="00D46909">
        <w:rPr>
          <w:rFonts w:ascii="Verdana" w:hAnsi="Verdana" w:cs="Arial"/>
          <w:lang w:val="es-ES"/>
        </w:rPr>
        <w:t>”</w:t>
      </w:r>
      <w:r w:rsidRPr="00D46909">
        <w:rPr>
          <w:rFonts w:ascii="Verdana" w:eastAsia="Times New Roman" w:hAnsi="Verdana" w:cs="Arial"/>
          <w:lang w:val="es-ES"/>
        </w:rPr>
        <w:t xml:space="preserve">. </w:t>
      </w:r>
      <w:r w:rsidRPr="00D46909">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39AFBFE2" w14:textId="77777777" w:rsidR="00D46909" w:rsidRPr="00D46909" w:rsidRDefault="00D46909" w:rsidP="00D46909">
      <w:pPr>
        <w:spacing w:after="0" w:line="276" w:lineRule="auto"/>
        <w:jc w:val="both"/>
        <w:rPr>
          <w:rFonts w:ascii="Verdana" w:eastAsia="Arial" w:hAnsi="Verdana" w:cs="Arial"/>
          <w:lang w:val="es-ES" w:eastAsia="es-ES" w:bidi="es-ES"/>
        </w:rPr>
      </w:pPr>
    </w:p>
    <w:p w14:paraId="26610B95" w14:textId="77777777" w:rsidR="00D46909" w:rsidRPr="00D46909" w:rsidRDefault="00D46909" w:rsidP="00D46909">
      <w:pPr>
        <w:spacing w:after="0" w:line="240" w:lineRule="auto"/>
        <w:ind w:left="709" w:right="709"/>
        <w:jc w:val="both"/>
        <w:rPr>
          <w:rFonts w:ascii="Verdana" w:hAnsi="Verdana" w:cs="Arial"/>
          <w:sz w:val="20"/>
          <w:szCs w:val="20"/>
          <w:lang w:val="es-ES"/>
        </w:rPr>
      </w:pPr>
      <w:r w:rsidRPr="00D46909">
        <w:rPr>
          <w:rFonts w:ascii="Verdana" w:hAnsi="Verdana" w:cs="Arial"/>
          <w:sz w:val="20"/>
          <w:szCs w:val="20"/>
          <w:lang w:val="es-ES"/>
        </w:rPr>
        <w:t xml:space="preserve">“[…] Esta Sala ha entendido </w:t>
      </w:r>
      <w:proofErr w:type="gramStart"/>
      <w:r w:rsidRPr="00D46909">
        <w:rPr>
          <w:rFonts w:ascii="Verdana" w:hAnsi="Verdana" w:cs="Arial"/>
          <w:sz w:val="20"/>
          <w:szCs w:val="20"/>
          <w:lang w:val="es-ES"/>
        </w:rPr>
        <w:t>que</w:t>
      </w:r>
      <w:proofErr w:type="gramEnd"/>
      <w:r w:rsidRPr="00D46909">
        <w:rPr>
          <w:rFonts w:ascii="Verdana"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D46909">
        <w:rPr>
          <w:rFonts w:ascii="Verdana" w:eastAsia="Times New Roman" w:hAnsi="Verdana" w:cs="Arial"/>
          <w:sz w:val="20"/>
          <w:szCs w:val="20"/>
          <w:vertAlign w:val="superscript"/>
          <w:lang w:val="es-ES"/>
        </w:rPr>
        <w:footnoteReference w:id="11"/>
      </w:r>
      <w:r w:rsidRPr="00D46909">
        <w:rPr>
          <w:rFonts w:ascii="Verdana" w:eastAsia="Times New Roman" w:hAnsi="Verdana" w:cs="Arial"/>
          <w:sz w:val="20"/>
          <w:szCs w:val="20"/>
          <w:vertAlign w:val="superscript"/>
          <w:lang w:val="es-ES"/>
        </w:rPr>
        <w:t>.</w:t>
      </w:r>
      <w:r w:rsidRPr="00D46909">
        <w:rPr>
          <w:rFonts w:ascii="Verdana"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D46909">
        <w:rPr>
          <w:rFonts w:ascii="Verdana" w:eastAsia="Times New Roman" w:hAnsi="Verdana" w:cs="Arial"/>
          <w:sz w:val="20"/>
          <w:szCs w:val="20"/>
          <w:vertAlign w:val="superscript"/>
          <w:lang w:val="es-ES" w:eastAsia="es-CO"/>
        </w:rPr>
        <w:footnoteReference w:id="12"/>
      </w:r>
      <w:r w:rsidRPr="00D46909">
        <w:rPr>
          <w:rFonts w:ascii="Verdana" w:hAnsi="Verdana" w:cs="Arial"/>
          <w:sz w:val="20"/>
          <w:szCs w:val="20"/>
          <w:lang w:val="es-ES"/>
        </w:rPr>
        <w:t xml:space="preserve"> .</w:t>
      </w:r>
    </w:p>
    <w:p w14:paraId="74061BBB" w14:textId="77777777" w:rsidR="00D46909" w:rsidRPr="00D46909" w:rsidRDefault="00D46909" w:rsidP="00D46909">
      <w:pPr>
        <w:shd w:val="clear" w:color="auto" w:fill="FFFFFF" w:themeFill="background1"/>
        <w:spacing w:after="0" w:line="276" w:lineRule="auto"/>
        <w:ind w:firstLine="709"/>
        <w:jc w:val="both"/>
        <w:rPr>
          <w:rFonts w:ascii="Verdana" w:eastAsia="Times New Roman" w:hAnsi="Verdana" w:cs="Arial"/>
          <w:lang w:val="es-ES" w:eastAsia="x-none"/>
        </w:rPr>
      </w:pPr>
    </w:p>
    <w:p w14:paraId="2962D583" w14:textId="77777777" w:rsidR="00D46909" w:rsidRPr="00D46909" w:rsidRDefault="00D46909" w:rsidP="00D46909">
      <w:pPr>
        <w:spacing w:after="120" w:line="276" w:lineRule="auto"/>
        <w:ind w:firstLine="708"/>
        <w:jc w:val="both"/>
        <w:rPr>
          <w:rFonts w:ascii="Verdana" w:eastAsia="Times New Roman" w:hAnsi="Verdana" w:cs="Arial"/>
          <w:bCs/>
          <w:lang w:val="es-ES" w:eastAsia="x-none"/>
        </w:rPr>
      </w:pPr>
      <w:r w:rsidRPr="00D46909">
        <w:rPr>
          <w:rFonts w:ascii="Verdana" w:eastAsia="Times New Roman" w:hAnsi="Verdana" w:cs="Arial"/>
          <w:lang w:val="es-ES" w:eastAsia="x-none"/>
        </w:rPr>
        <w:t xml:space="preserve">De acuerdo con este concepto, la prohibición del artículo 33 de la Ley de Garantías Electorales se refiere a </w:t>
      </w:r>
      <w:r w:rsidRPr="00D46909">
        <w:rPr>
          <w:rFonts w:ascii="Verdana" w:eastAsia="Times New Roman" w:hAnsi="Verdana" w:cs="Arial"/>
          <w:sz w:val="19"/>
          <w:szCs w:val="19"/>
          <w:lang w:val="es-ES" w:eastAsia="en-GB"/>
        </w:rPr>
        <w:t>“</w:t>
      </w:r>
      <w:r w:rsidRPr="00D46909">
        <w:rPr>
          <w:rFonts w:ascii="Verdana" w:eastAsia="Times New Roman" w:hAnsi="Verdana" w:cs="Arial"/>
          <w:lang w:val="es-ES" w:eastAsia="x-none"/>
        </w:rPr>
        <w:t>cualquier sistema que no implique convocatoria pública y posibilidad de pluralidad de oferentes</w:t>
      </w:r>
      <w:r w:rsidRPr="00D46909">
        <w:rPr>
          <w:rFonts w:ascii="Verdana" w:eastAsia="Times New Roman" w:hAnsi="Verdana" w:cs="Arial"/>
          <w:lang w:val="es-ES" w:eastAsia="en-GB"/>
        </w:rPr>
        <w:t>”</w:t>
      </w:r>
      <w:r w:rsidRPr="00D46909">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D46909">
        <w:rPr>
          <w:rFonts w:ascii="Verdana" w:eastAsia="Times New Roman" w:hAnsi="Verdana" w:cs="Arial"/>
          <w:lang w:val="es-ES"/>
        </w:rPr>
        <w:t>y la mínima cuantía</w:t>
      </w:r>
      <w:r w:rsidRPr="00D46909" w:rsidDel="00A85D9F">
        <w:rPr>
          <w:rFonts w:ascii="Verdana" w:eastAsia="Times New Roman" w:hAnsi="Verdana" w:cs="Arial"/>
          <w:lang w:val="es-ES" w:eastAsia="x-none"/>
        </w:rPr>
        <w:t xml:space="preserve"> </w:t>
      </w:r>
      <w:r w:rsidRPr="00D46909">
        <w:rPr>
          <w:rFonts w:ascii="Verdana" w:eastAsia="Times New Roman" w:hAnsi="Verdana" w:cs="Arial"/>
          <w:lang w:val="es-ES"/>
        </w:rPr>
        <w:t xml:space="preserve">u otros previstos en normas especiales. </w:t>
      </w:r>
      <w:r w:rsidRPr="00D46909">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D46909">
        <w:rPr>
          <w:rFonts w:ascii="Verdana" w:eastAsia="Times New Roman" w:hAnsi="Verdana" w:cs="Arial"/>
          <w:vertAlign w:val="superscript"/>
          <w:lang w:val="es-ES" w:eastAsia="x-none"/>
        </w:rPr>
        <w:footnoteReference w:id="13"/>
      </w:r>
      <w:r w:rsidRPr="00D46909">
        <w:rPr>
          <w:rFonts w:ascii="Verdana" w:eastAsia="Times New Roman" w:hAnsi="Verdana" w:cs="Arial"/>
          <w:lang w:val="es-ES" w:eastAsia="x-none"/>
        </w:rPr>
        <w:t xml:space="preserve"> y sistematizó las causales de contratación directa</w:t>
      </w:r>
      <w:r w:rsidRPr="00D46909">
        <w:rPr>
          <w:rFonts w:ascii="Verdana" w:eastAsia="Times New Roman" w:hAnsi="Verdana" w:cs="Arial"/>
          <w:vertAlign w:val="superscript"/>
          <w:lang w:val="es-ES" w:eastAsia="x-none"/>
        </w:rPr>
        <w:footnoteReference w:id="14"/>
      </w:r>
      <w:r w:rsidRPr="00D46909">
        <w:rPr>
          <w:rFonts w:ascii="Verdana" w:eastAsia="Times New Roman" w:hAnsi="Verdana" w:cs="Arial"/>
          <w:lang w:val="es-ES" w:eastAsia="x-none"/>
        </w:rPr>
        <w:t xml:space="preserve">, </w:t>
      </w:r>
      <w:r w:rsidRPr="00D46909">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4FA5D0BD" w14:textId="77777777" w:rsidR="00D46909" w:rsidRPr="00D46909" w:rsidRDefault="00D46909" w:rsidP="00D46909">
      <w:pPr>
        <w:spacing w:after="120" w:line="276" w:lineRule="auto"/>
        <w:ind w:firstLine="708"/>
        <w:jc w:val="both"/>
        <w:rPr>
          <w:rFonts w:ascii="Verdana" w:eastAsia="Times New Roman" w:hAnsi="Verdana" w:cs="Arial"/>
          <w:bCs/>
          <w:lang w:val="es-ES" w:eastAsia="es-CO"/>
        </w:rPr>
      </w:pPr>
      <w:r w:rsidRPr="00D46909">
        <w:rPr>
          <w:rFonts w:ascii="Verdana" w:eastAsia="Times New Roman" w:hAnsi="Verdana" w:cs="Arial"/>
          <w:bCs/>
          <w:lang w:val="es-ES" w:eastAsia="es-CO"/>
        </w:rPr>
        <w:lastRenderedPageBreak/>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D46909">
        <w:rPr>
          <w:rFonts w:ascii="Verdana" w:eastAsia="Times New Roman" w:hAnsi="Verdana" w:cs="Arial"/>
          <w:bCs/>
          <w:i/>
          <w:iCs/>
          <w:lang w:val="es-ES" w:eastAsia="es-CO"/>
        </w:rPr>
        <w:t>, sino también frente a las entidades que tengan un régimen especial de contratación</w:t>
      </w:r>
      <w:r w:rsidRPr="00D46909">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D46909">
        <w:rPr>
          <w:rFonts w:ascii="Verdana" w:eastAsia="Times New Roman" w:hAnsi="Verdana" w:cs="Arial"/>
          <w:lang w:val="es-ES"/>
        </w:rPr>
        <w:t xml:space="preserve">Así, para la prohibición o restricción temporal contenida en su artículo 33, “contratación directa” es </w:t>
      </w:r>
      <w:r w:rsidRPr="00D46909">
        <w:rPr>
          <w:rFonts w:ascii="Verdana" w:eastAsia="Times New Roman" w:hAnsi="Verdana" w:cs="Arial"/>
          <w:i/>
          <w:iCs/>
          <w:lang w:val="es-ES"/>
        </w:rPr>
        <w:t>cualquier</w:t>
      </w:r>
      <w:r w:rsidRPr="00D46909">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D46909">
        <w:rPr>
          <w:rFonts w:ascii="Verdana" w:eastAsia="Times New Roman" w:hAnsi="Verdana" w:cs="Arial"/>
          <w:vertAlign w:val="superscript"/>
          <w:lang w:val="es-ES" w:eastAsia="x-none"/>
        </w:rPr>
        <w:footnoteReference w:id="15"/>
      </w:r>
      <w:r w:rsidRPr="00D46909">
        <w:rPr>
          <w:rFonts w:ascii="Verdana" w:eastAsia="Times New Roman" w:hAnsi="Verdana" w:cs="Arial"/>
          <w:lang w:val="es-ES"/>
        </w:rPr>
        <w:t>.</w:t>
      </w:r>
      <w:r w:rsidRPr="00D46909">
        <w:rPr>
          <w:rFonts w:ascii="Verdana" w:eastAsia="Times New Roman" w:hAnsi="Verdana" w:cs="Arial"/>
          <w:vertAlign w:val="superscript"/>
          <w:lang w:val="es-ES" w:eastAsia="x-none"/>
        </w:rPr>
        <w:t xml:space="preserve"> </w:t>
      </w:r>
    </w:p>
    <w:p w14:paraId="2745CDCF" w14:textId="77777777" w:rsidR="00D46909" w:rsidRPr="00D46909" w:rsidRDefault="00D46909" w:rsidP="00D46909">
      <w:pPr>
        <w:spacing w:after="120" w:line="276" w:lineRule="auto"/>
        <w:ind w:firstLine="708"/>
        <w:jc w:val="both"/>
        <w:rPr>
          <w:rFonts w:ascii="Verdana" w:eastAsia="Times New Roman" w:hAnsi="Verdana" w:cs="Arial"/>
          <w:lang w:val="es-ES"/>
        </w:rPr>
      </w:pPr>
      <w:r w:rsidRPr="00D46909">
        <w:rPr>
          <w:rFonts w:ascii="Verdana" w:eastAsia="Times New Roman" w:hAnsi="Verdana" w:cs="Arial"/>
          <w:lang w:val="es-ES"/>
        </w:rPr>
        <w:t xml:space="preserve">De lo anterior se desprende que la restricción aplica, sin perjuicio de las excepciones establecidas en la misma ley, para celebrar </w:t>
      </w:r>
      <w:r w:rsidRPr="00D46909">
        <w:rPr>
          <w:rFonts w:ascii="Verdana" w:eastAsia="Times New Roman" w:hAnsi="Verdana" w:cs="Arial"/>
          <w:i/>
          <w:iCs/>
          <w:lang w:val="es-ES"/>
        </w:rPr>
        <w:t>cualquier contrato o convenio de forma directa</w:t>
      </w:r>
      <w:r w:rsidRPr="00D46909">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BF54E4C" w14:textId="77777777" w:rsidR="00D46909" w:rsidRPr="00D46909" w:rsidRDefault="00D46909" w:rsidP="00D46909">
      <w:pPr>
        <w:spacing w:after="120" w:line="276" w:lineRule="auto"/>
        <w:ind w:firstLine="708"/>
        <w:jc w:val="both"/>
        <w:rPr>
          <w:rFonts w:ascii="Verdana" w:eastAsia="Times New Roman" w:hAnsi="Verdana" w:cs="Arial"/>
          <w:lang w:val="es-ES"/>
        </w:rPr>
      </w:pPr>
      <w:r w:rsidRPr="00D46909">
        <w:rPr>
          <w:rFonts w:ascii="Verdana" w:eastAsia="Times New Roman" w:hAnsi="Verdana" w:cs="Arial"/>
          <w:bCs/>
          <w:lang w:val="es-ES" w:eastAsia="es-CO"/>
        </w:rPr>
        <w:t xml:space="preserve">Con respecto a los </w:t>
      </w:r>
      <w:r w:rsidRPr="00D46909">
        <w:rPr>
          <w:rFonts w:ascii="Verdana" w:eastAsia="Times New Roman" w:hAnsi="Verdana" w:cs="Arial"/>
          <w:bCs/>
          <w:i/>
          <w:iCs/>
          <w:lang w:val="es-ES" w:eastAsia="es-CO"/>
        </w:rPr>
        <w:t>sujetos</w:t>
      </w:r>
      <w:r w:rsidRPr="00D46909">
        <w:rPr>
          <w:rFonts w:ascii="Verdana" w:eastAsia="Times New Roman" w:hAnsi="Verdana" w:cs="Arial"/>
          <w:bCs/>
          <w:lang w:val="es-ES" w:eastAsia="es-CO"/>
        </w:rPr>
        <w:t xml:space="preserve"> que se encuentran enmarcados en la prohibición del artículo 33, </w:t>
      </w:r>
      <w:r w:rsidRPr="00D46909">
        <w:rPr>
          <w:rFonts w:ascii="Verdana" w:eastAsia="Times New Roman" w:hAnsi="Verdana" w:cs="Arial"/>
          <w:lang w:val="es-ES"/>
        </w:rPr>
        <w:t>la Ley 996 de 2005 señala expresamente que son “</w:t>
      </w:r>
      <w:r w:rsidRPr="00D46909">
        <w:rPr>
          <w:rFonts w:ascii="Verdana" w:eastAsia="Times New Roman" w:hAnsi="Verdana" w:cs="Arial"/>
          <w:i/>
          <w:iCs/>
          <w:u w:val="single"/>
          <w:lang w:val="es-ES"/>
        </w:rPr>
        <w:t>todos</w:t>
      </w:r>
      <w:r w:rsidRPr="00D46909">
        <w:rPr>
          <w:rFonts w:ascii="Verdana" w:eastAsia="Times New Roman" w:hAnsi="Verdana" w:cs="Arial"/>
          <w:i/>
          <w:iCs/>
          <w:lang w:val="es-ES"/>
        </w:rPr>
        <w:t xml:space="preserve"> los entes del Estado</w:t>
      </w:r>
      <w:r w:rsidRPr="00D46909">
        <w:rPr>
          <w:rFonts w:ascii="Verdana" w:eastAsia="Times New Roman" w:hAnsi="Verdana" w:cs="Arial"/>
          <w:lang w:val="es-ES"/>
        </w:rPr>
        <w:t>” [énfasis propio]. Al respecto la Sala De Consulta y Servicio Civil del Consejo de Estado señaló lo siguiente:</w:t>
      </w:r>
    </w:p>
    <w:p w14:paraId="4CC99A1E" w14:textId="77777777" w:rsidR="00D46909" w:rsidRPr="00D46909" w:rsidRDefault="00D46909" w:rsidP="00D46909">
      <w:pPr>
        <w:spacing w:after="0" w:line="276" w:lineRule="auto"/>
        <w:ind w:firstLine="708"/>
        <w:jc w:val="both"/>
        <w:rPr>
          <w:rFonts w:ascii="Verdana" w:eastAsia="Times New Roman" w:hAnsi="Verdana" w:cs="Arial"/>
          <w:lang w:val="es-ES"/>
        </w:rPr>
      </w:pPr>
    </w:p>
    <w:p w14:paraId="6D2A48F0" w14:textId="77777777" w:rsidR="00D46909" w:rsidRPr="00D46909" w:rsidRDefault="00D46909" w:rsidP="00D46909">
      <w:pPr>
        <w:spacing w:after="0" w:line="240" w:lineRule="auto"/>
        <w:ind w:left="709" w:right="709"/>
        <w:jc w:val="both"/>
        <w:rPr>
          <w:rFonts w:ascii="Verdana" w:eastAsia="Times New Roman" w:hAnsi="Verdana" w:cs="Arial"/>
          <w:bCs/>
          <w:sz w:val="20"/>
          <w:szCs w:val="20"/>
          <w:lang w:val="es-ES" w:eastAsia="es-CO"/>
        </w:rPr>
      </w:pPr>
      <w:r w:rsidRPr="00D46909">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D46909">
        <w:rPr>
          <w:rFonts w:ascii="Verdana" w:eastAsia="Times New Roman" w:hAnsi="Verdana" w:cs="Arial"/>
          <w:bCs/>
          <w:sz w:val="20"/>
          <w:szCs w:val="20"/>
          <w:vertAlign w:val="superscript"/>
          <w:lang w:val="es-ES" w:eastAsia="es-CO"/>
        </w:rPr>
        <w:footnoteReference w:id="16"/>
      </w:r>
      <w:r w:rsidRPr="00D46909">
        <w:rPr>
          <w:rFonts w:ascii="Verdana" w:eastAsia="Times New Roman" w:hAnsi="Verdana" w:cs="Arial"/>
          <w:bCs/>
          <w:sz w:val="20"/>
          <w:szCs w:val="20"/>
          <w:lang w:val="es-ES" w:eastAsia="es-CO"/>
        </w:rPr>
        <w:t>.</w:t>
      </w:r>
    </w:p>
    <w:p w14:paraId="0A3D0970" w14:textId="77777777" w:rsidR="00D46909" w:rsidRPr="00D46909" w:rsidRDefault="00D46909" w:rsidP="00D46909">
      <w:pPr>
        <w:spacing w:after="0" w:line="240" w:lineRule="auto"/>
        <w:ind w:left="709" w:right="709"/>
        <w:jc w:val="both"/>
        <w:rPr>
          <w:rFonts w:ascii="Verdana" w:eastAsia="Times New Roman" w:hAnsi="Verdana" w:cs="Arial"/>
          <w:bCs/>
          <w:lang w:val="es-ES" w:eastAsia="es-CO"/>
        </w:rPr>
      </w:pPr>
    </w:p>
    <w:p w14:paraId="629FD70A" w14:textId="77777777" w:rsidR="00D46909" w:rsidRPr="00D46909" w:rsidRDefault="00D46909" w:rsidP="00D46909">
      <w:pPr>
        <w:spacing w:after="120" w:line="276" w:lineRule="auto"/>
        <w:ind w:firstLine="708"/>
        <w:jc w:val="both"/>
        <w:rPr>
          <w:rFonts w:ascii="Verdana" w:eastAsiaTheme="minorHAnsi" w:hAnsi="Verdana" w:cs="Arial"/>
          <w:bCs/>
          <w:sz w:val="20"/>
          <w:szCs w:val="20"/>
          <w:lang w:val="es-ES" w:eastAsia="es-CO"/>
        </w:rPr>
      </w:pPr>
      <w:r w:rsidRPr="00D46909">
        <w:rPr>
          <w:rFonts w:ascii="Verdana" w:eastAsiaTheme="minorHAnsi" w:hAnsi="Verdana" w:cs="Arial"/>
          <w:bCs/>
          <w:lang w:val="es-ES" w:eastAsia="x-none"/>
        </w:rPr>
        <w:lastRenderedPageBreak/>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D46909">
        <w:rPr>
          <w:rFonts w:ascii="Verdana" w:eastAsiaTheme="minorHAnsi" w:hAnsi="Verdana" w:cstheme="minorBidi"/>
          <w:lang w:val="es-ES"/>
        </w:rPr>
        <w:t xml:space="preserve"> </w:t>
      </w:r>
      <w:r w:rsidRPr="00D46909">
        <w:rPr>
          <w:rFonts w:ascii="Verdana" w:eastAsiaTheme="minorHAnsi" w:hAnsi="Verdana" w:cs="Arial"/>
          <w:bCs/>
          <w:lang w:val="es-ES" w:eastAsia="x-none"/>
        </w:rPr>
        <w:t>En efecto, tal como lo ha sostenido el Consejo de Estado, el vocablo “todos” utilizado por el legislador comprende</w:t>
      </w:r>
      <w:r w:rsidRPr="00D46909">
        <w:rPr>
          <w:rFonts w:ascii="Verdana" w:eastAsiaTheme="minorHAnsi" w:hAnsi="Verdana" w:cstheme="minorBidi"/>
          <w:lang w:val="es-ES"/>
        </w:rPr>
        <w:t xml:space="preserve"> </w:t>
      </w:r>
      <w:r w:rsidRPr="00D46909">
        <w:rPr>
          <w:rFonts w:ascii="Verdana" w:eastAsiaTheme="minorHAnsi"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D46909">
        <w:rPr>
          <w:rFonts w:ascii="Verdana" w:eastAsiaTheme="minorHAnsi" w:hAnsi="Verdana" w:cs="Arial"/>
          <w:bCs/>
          <w:sz w:val="20"/>
          <w:szCs w:val="20"/>
          <w:vertAlign w:val="superscript"/>
          <w:lang w:val="es-ES" w:eastAsia="x-none"/>
        </w:rPr>
        <w:footnoteReference w:id="17"/>
      </w:r>
      <w:r w:rsidRPr="00D46909">
        <w:rPr>
          <w:rFonts w:ascii="Verdana" w:eastAsiaTheme="minorHAnsi" w:hAnsi="Verdana" w:cs="Arial"/>
          <w:bCs/>
          <w:sz w:val="20"/>
          <w:szCs w:val="20"/>
          <w:lang w:val="es-ES" w:eastAsia="x-none"/>
        </w:rPr>
        <w:t>.</w:t>
      </w:r>
      <w:r w:rsidRPr="00D46909">
        <w:rPr>
          <w:rFonts w:ascii="Verdana" w:eastAsiaTheme="minorHAnsi" w:hAnsi="Verdana" w:cs="Arial"/>
          <w:bCs/>
          <w:sz w:val="20"/>
          <w:szCs w:val="20"/>
          <w:lang w:val="es-ES" w:eastAsia="es-CO"/>
        </w:rPr>
        <w:t>”</w:t>
      </w:r>
    </w:p>
    <w:p w14:paraId="2909942B" w14:textId="77777777" w:rsidR="00D46909" w:rsidRPr="00D46909" w:rsidRDefault="00D46909" w:rsidP="00D46909">
      <w:pPr>
        <w:spacing w:after="120" w:line="276" w:lineRule="auto"/>
        <w:ind w:firstLine="709"/>
        <w:jc w:val="both"/>
        <w:rPr>
          <w:rFonts w:ascii="Verdana" w:eastAsia="Arial" w:hAnsi="Verdana" w:cs="Arial"/>
          <w:bCs/>
          <w:color w:val="000000" w:themeColor="text1"/>
          <w:lang w:val="es-ES"/>
        </w:rPr>
      </w:pPr>
      <w:r w:rsidRPr="00D46909">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6F8600EC" w14:textId="77777777" w:rsidR="00D46909" w:rsidRPr="00D46909" w:rsidRDefault="00D46909" w:rsidP="00D46909">
      <w:pPr>
        <w:spacing w:after="120" w:line="276" w:lineRule="auto"/>
        <w:ind w:firstLine="709"/>
        <w:jc w:val="both"/>
        <w:rPr>
          <w:rFonts w:ascii="Verdana" w:eastAsiaTheme="minorHAnsi" w:hAnsi="Verdana" w:cs="Arial"/>
          <w:bCs/>
          <w:color w:val="000000" w:themeColor="text1"/>
          <w:lang w:val="es-ES"/>
        </w:rPr>
      </w:pPr>
      <w:r w:rsidRPr="00D46909">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D46909">
        <w:rPr>
          <w:rFonts w:ascii="Verdana" w:eastAsiaTheme="minorHAnsi"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02DE4CA2" w14:textId="77777777" w:rsidR="00D46909" w:rsidRPr="00D46909" w:rsidRDefault="00D46909" w:rsidP="00D46909">
      <w:pPr>
        <w:tabs>
          <w:tab w:val="left" w:pos="709"/>
        </w:tabs>
        <w:spacing w:before="120" w:line="276" w:lineRule="auto"/>
        <w:jc w:val="both"/>
        <w:rPr>
          <w:rFonts w:ascii="Verdana" w:eastAsiaTheme="minorHAnsi" w:hAnsi="Verdana" w:cs="Arial"/>
          <w:bCs/>
          <w:color w:val="000000" w:themeColor="text1"/>
          <w:lang w:val="es-ES"/>
        </w:rPr>
      </w:pPr>
      <w:r w:rsidRPr="00D46909">
        <w:rPr>
          <w:rFonts w:ascii="Verdana" w:eastAsiaTheme="minorHAnsi" w:hAnsi="Verdana" w:cs="Arial"/>
          <w:bCs/>
          <w:color w:val="000000" w:themeColor="text1"/>
          <w:lang w:val="es-ES"/>
        </w:rPr>
        <w:tab/>
        <w:t>1) La contratación referente a la defensa y seguridad del Estado;</w:t>
      </w:r>
    </w:p>
    <w:p w14:paraId="252E8FBC" w14:textId="77777777" w:rsidR="00D46909" w:rsidRPr="00D46909" w:rsidRDefault="00D46909" w:rsidP="00D46909">
      <w:pPr>
        <w:tabs>
          <w:tab w:val="left" w:pos="709"/>
        </w:tabs>
        <w:spacing w:before="120" w:line="276" w:lineRule="auto"/>
        <w:jc w:val="both"/>
        <w:rPr>
          <w:rFonts w:ascii="Verdana" w:eastAsiaTheme="minorHAnsi" w:hAnsi="Verdana" w:cs="Arial"/>
          <w:bCs/>
          <w:color w:val="000000" w:themeColor="text1"/>
          <w:lang w:val="es-ES"/>
        </w:rPr>
      </w:pPr>
      <w:r w:rsidRPr="00D46909">
        <w:rPr>
          <w:rFonts w:ascii="Verdana" w:eastAsiaTheme="minorHAnsi" w:hAnsi="Verdana" w:cs="Arial"/>
          <w:bCs/>
          <w:color w:val="000000" w:themeColor="text1"/>
          <w:lang w:val="es-ES"/>
        </w:rPr>
        <w:tab/>
        <w:t>2) Los contratos de crédito público;</w:t>
      </w:r>
    </w:p>
    <w:p w14:paraId="064CF193" w14:textId="77777777" w:rsidR="00D46909" w:rsidRPr="00D46909" w:rsidRDefault="00D46909" w:rsidP="00D46909">
      <w:pPr>
        <w:tabs>
          <w:tab w:val="left" w:pos="709"/>
        </w:tabs>
        <w:spacing w:before="120" w:line="276" w:lineRule="auto"/>
        <w:jc w:val="both"/>
        <w:rPr>
          <w:rFonts w:ascii="Verdana" w:eastAsiaTheme="minorHAnsi" w:hAnsi="Verdana" w:cs="Arial"/>
          <w:bCs/>
          <w:color w:val="000000" w:themeColor="text1"/>
          <w:lang w:val="es-ES"/>
        </w:rPr>
      </w:pPr>
      <w:r w:rsidRPr="00D46909">
        <w:rPr>
          <w:rFonts w:ascii="Verdana" w:eastAsiaTheme="minorHAnsi" w:hAnsi="Verdana" w:cs="Arial"/>
          <w:bCs/>
          <w:color w:val="000000" w:themeColor="text1"/>
          <w:lang w:val="es-ES"/>
        </w:rPr>
        <w:lastRenderedPageBreak/>
        <w:tab/>
        <w:t xml:space="preserve">3) Los contratos requeridos para cubrir las emergencias educativas, sanitarias y desastres; </w:t>
      </w:r>
    </w:p>
    <w:p w14:paraId="50DC4973" w14:textId="77777777" w:rsidR="00D46909" w:rsidRPr="00D46909" w:rsidRDefault="00D46909" w:rsidP="00D46909">
      <w:pPr>
        <w:tabs>
          <w:tab w:val="left" w:pos="709"/>
        </w:tabs>
        <w:spacing w:before="120" w:line="276" w:lineRule="auto"/>
        <w:jc w:val="both"/>
        <w:rPr>
          <w:rFonts w:ascii="Verdana" w:eastAsiaTheme="minorHAnsi" w:hAnsi="Verdana" w:cs="Arial"/>
          <w:bCs/>
          <w:color w:val="000000" w:themeColor="text1"/>
          <w:lang w:val="es-ES"/>
        </w:rPr>
      </w:pPr>
      <w:r w:rsidRPr="00D46909">
        <w:rPr>
          <w:rFonts w:ascii="Verdana" w:eastAsiaTheme="minorHAnsi"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2DFAB1B2" w14:textId="77777777" w:rsidR="00D46909" w:rsidRPr="00D46909" w:rsidRDefault="00D46909" w:rsidP="00D46909">
      <w:pPr>
        <w:tabs>
          <w:tab w:val="left" w:pos="709"/>
        </w:tabs>
        <w:spacing w:before="120" w:line="276" w:lineRule="auto"/>
        <w:jc w:val="both"/>
        <w:rPr>
          <w:rFonts w:ascii="Verdana" w:eastAsiaTheme="minorHAnsi" w:hAnsi="Verdana" w:cs="Arial"/>
          <w:bCs/>
          <w:color w:val="000000" w:themeColor="text1"/>
          <w:lang w:val="es-ES"/>
        </w:rPr>
      </w:pPr>
      <w:r w:rsidRPr="00D46909">
        <w:rPr>
          <w:rFonts w:ascii="Verdana" w:eastAsiaTheme="minorHAnsi" w:hAnsi="Verdana" w:cs="Arial"/>
          <w:bCs/>
          <w:color w:val="000000" w:themeColor="text1"/>
          <w:lang w:val="es-ES"/>
        </w:rPr>
        <w:tab/>
        <w:t xml:space="preserve">5) La contratación que deban realizar las entidades sanitarias y hospitalarias. </w:t>
      </w:r>
    </w:p>
    <w:p w14:paraId="057FC93E" w14:textId="77777777" w:rsidR="00D46909" w:rsidRPr="00D46909" w:rsidRDefault="00D46909" w:rsidP="00D46909">
      <w:pPr>
        <w:tabs>
          <w:tab w:val="left" w:pos="426"/>
        </w:tabs>
        <w:spacing w:before="120" w:line="276" w:lineRule="auto"/>
        <w:ind w:firstLine="709"/>
        <w:jc w:val="both"/>
        <w:rPr>
          <w:rFonts w:ascii="Verdana" w:eastAsiaTheme="minorHAnsi" w:hAnsi="Verdana" w:cs="Arial"/>
          <w:bCs/>
          <w:color w:val="000000" w:themeColor="text1"/>
          <w:lang w:val="es-ES"/>
        </w:rPr>
      </w:pPr>
      <w:r w:rsidRPr="00D46909">
        <w:rPr>
          <w:rFonts w:ascii="Verdana" w:eastAsiaTheme="minorHAnsi"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1257FF42" w14:textId="77777777" w:rsidR="00D46909" w:rsidRPr="00D46909" w:rsidRDefault="00D46909" w:rsidP="00D46909">
      <w:pPr>
        <w:tabs>
          <w:tab w:val="left" w:pos="426"/>
        </w:tabs>
        <w:spacing w:after="0" w:line="240" w:lineRule="auto"/>
        <w:ind w:firstLine="709"/>
        <w:jc w:val="both"/>
        <w:rPr>
          <w:rFonts w:ascii="Verdana" w:eastAsiaTheme="minorHAnsi" w:hAnsi="Verdana" w:cs="Arial"/>
          <w:bCs/>
          <w:color w:val="000000" w:themeColor="text1"/>
          <w:lang w:val="es-ES"/>
        </w:rPr>
      </w:pPr>
    </w:p>
    <w:p w14:paraId="54E82F23" w14:textId="77777777" w:rsidR="00D46909" w:rsidRPr="00D46909" w:rsidRDefault="00D46909" w:rsidP="00D46909">
      <w:pPr>
        <w:shd w:val="clear" w:color="auto" w:fill="FFFFFF"/>
        <w:spacing w:after="0" w:line="240" w:lineRule="auto"/>
        <w:ind w:left="709" w:right="709"/>
        <w:jc w:val="both"/>
        <w:rPr>
          <w:rFonts w:ascii="Verdana" w:eastAsiaTheme="minorHAnsi" w:hAnsi="Verdana" w:cs="Arial"/>
          <w:color w:val="000000" w:themeColor="text1"/>
          <w:sz w:val="20"/>
          <w:szCs w:val="20"/>
          <w:lang w:val="es-ES" w:eastAsia="es-CO"/>
        </w:rPr>
      </w:pPr>
      <w:r w:rsidRPr="00D46909">
        <w:rPr>
          <w:rFonts w:ascii="Verdana" w:eastAsiaTheme="minorHAnsi"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D46909">
        <w:rPr>
          <w:rFonts w:ascii="Verdana" w:eastAsiaTheme="minorHAnsi" w:hAnsi="Verdana" w:cs="Arial"/>
          <w:color w:val="000000" w:themeColor="text1"/>
          <w:sz w:val="20"/>
          <w:szCs w:val="20"/>
          <w:vertAlign w:val="superscript"/>
          <w:lang w:val="es-ES" w:eastAsia="es-CO"/>
        </w:rPr>
        <w:footnoteReference w:id="18"/>
      </w:r>
      <w:r w:rsidRPr="00D46909">
        <w:rPr>
          <w:rFonts w:ascii="Verdana" w:eastAsiaTheme="minorHAnsi" w:hAnsi="Verdana" w:cs="Arial"/>
          <w:color w:val="000000" w:themeColor="text1"/>
          <w:sz w:val="20"/>
          <w:szCs w:val="20"/>
          <w:lang w:val="es-ES" w:eastAsia="es-CO"/>
        </w:rPr>
        <w:t xml:space="preserve">”. </w:t>
      </w:r>
    </w:p>
    <w:p w14:paraId="6A653957" w14:textId="77777777" w:rsidR="00D46909" w:rsidRPr="00D46909" w:rsidRDefault="00D46909" w:rsidP="00D46909">
      <w:pPr>
        <w:shd w:val="clear" w:color="auto" w:fill="FFFFFF"/>
        <w:spacing w:after="0" w:line="240" w:lineRule="auto"/>
        <w:ind w:left="709" w:right="709"/>
        <w:jc w:val="both"/>
        <w:rPr>
          <w:rFonts w:ascii="Verdana" w:eastAsiaTheme="minorHAnsi" w:hAnsi="Verdana" w:cs="Arial"/>
          <w:color w:val="000000" w:themeColor="text1"/>
          <w:sz w:val="20"/>
          <w:szCs w:val="20"/>
          <w:lang w:val="es-ES" w:eastAsia="es-CO"/>
        </w:rPr>
      </w:pPr>
    </w:p>
    <w:p w14:paraId="4855A076" w14:textId="77777777" w:rsidR="00D46909" w:rsidRPr="00D46909" w:rsidRDefault="00D46909" w:rsidP="00D46909">
      <w:pPr>
        <w:tabs>
          <w:tab w:val="left" w:pos="426"/>
        </w:tabs>
        <w:spacing w:before="120" w:after="120" w:line="276" w:lineRule="auto"/>
        <w:ind w:firstLine="709"/>
        <w:jc w:val="both"/>
        <w:rPr>
          <w:rFonts w:ascii="Verdana" w:eastAsiaTheme="minorHAnsi" w:hAnsi="Verdana" w:cs="Arial"/>
          <w:color w:val="000000" w:themeColor="text1"/>
          <w:shd w:val="clear" w:color="auto" w:fill="FFFFFF"/>
          <w:lang w:val="es-ES"/>
        </w:rPr>
      </w:pPr>
      <w:r w:rsidRPr="00D46909">
        <w:rPr>
          <w:rFonts w:ascii="Verdana" w:eastAsiaTheme="minorHAnsi"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D46909">
        <w:rPr>
          <w:rFonts w:ascii="Verdana" w:eastAsiaTheme="minorHAnsi"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D46909">
        <w:rPr>
          <w:rFonts w:ascii="Verdana" w:eastAsiaTheme="minorHAnsi" w:hAnsi="Verdana" w:cs="Arial"/>
          <w:i/>
          <w:color w:val="000000" w:themeColor="text1"/>
          <w:lang w:val="es-ES"/>
        </w:rPr>
        <w:t xml:space="preserve">Las excepciones aplicables a la restricción de contratación pública. </w:t>
      </w:r>
      <w:r w:rsidRPr="00D46909">
        <w:rPr>
          <w:rFonts w:ascii="Verdana" w:eastAsiaTheme="minorHAnsi"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D46909">
        <w:rPr>
          <w:rFonts w:ascii="Verdana" w:eastAsiaTheme="minorHAnsi" w:hAnsi="Verdana" w:cs="Arial"/>
          <w:color w:val="000000" w:themeColor="text1"/>
          <w:shd w:val="clear" w:color="auto" w:fill="FFFFFF"/>
          <w:vertAlign w:val="superscript"/>
          <w:lang w:val="es-ES"/>
        </w:rPr>
        <w:footnoteReference w:id="19"/>
      </w:r>
      <w:r w:rsidRPr="00D46909">
        <w:rPr>
          <w:rFonts w:ascii="Verdana" w:eastAsiaTheme="minorHAnsi" w:hAnsi="Verdana" w:cs="Arial"/>
          <w:color w:val="000000" w:themeColor="text1"/>
          <w:shd w:val="clear" w:color="auto" w:fill="FFFFFF"/>
          <w:lang w:val="es-ES"/>
        </w:rPr>
        <w:t>.</w:t>
      </w:r>
    </w:p>
    <w:p w14:paraId="17F9B140" w14:textId="77777777" w:rsidR="00D46909" w:rsidRPr="00D46909" w:rsidRDefault="00D46909" w:rsidP="00D46909">
      <w:pPr>
        <w:tabs>
          <w:tab w:val="left" w:pos="426"/>
        </w:tabs>
        <w:spacing w:after="120" w:line="276" w:lineRule="auto"/>
        <w:ind w:firstLine="709"/>
        <w:jc w:val="both"/>
        <w:rPr>
          <w:rFonts w:ascii="Verdana" w:eastAsiaTheme="minorHAnsi" w:hAnsi="Verdana" w:cs="Arial"/>
          <w:bCs/>
          <w:color w:val="000000" w:themeColor="text1"/>
          <w:lang w:val="es-ES"/>
        </w:rPr>
      </w:pPr>
      <w:r w:rsidRPr="00D46909">
        <w:rPr>
          <w:rFonts w:ascii="Verdana" w:eastAsiaTheme="minorHAnsi" w:hAnsi="Verdana" w:cs="Arial"/>
          <w:bCs/>
          <w:color w:val="000000" w:themeColor="text1"/>
          <w:lang w:val="es-ES"/>
        </w:rPr>
        <w:t xml:space="preserve">Lo anterior implica que las excepciones al artículo 33 en comento deben interpretarse y aplicarse de manera </w:t>
      </w:r>
      <w:r w:rsidRPr="00D46909">
        <w:rPr>
          <w:rFonts w:ascii="Verdana" w:eastAsiaTheme="minorHAnsi" w:hAnsi="Verdana" w:cs="Arial"/>
          <w:bCs/>
          <w:i/>
          <w:iCs/>
          <w:color w:val="000000" w:themeColor="text1"/>
          <w:lang w:val="es-ES"/>
        </w:rPr>
        <w:t>estricta</w:t>
      </w:r>
      <w:r w:rsidRPr="00D46909">
        <w:rPr>
          <w:rFonts w:ascii="Verdana" w:eastAsiaTheme="minorHAnsi" w:hAnsi="Verdana" w:cs="Arial"/>
          <w:bCs/>
          <w:color w:val="000000" w:themeColor="text1"/>
          <w:lang w:val="es-ES"/>
        </w:rPr>
        <w:t xml:space="preserve">. En otras palabras, no es factible </w:t>
      </w:r>
      <w:r w:rsidRPr="00D46909">
        <w:rPr>
          <w:rFonts w:ascii="Verdana" w:eastAsiaTheme="minorHAnsi" w:hAnsi="Verdana" w:cs="Arial"/>
          <w:bCs/>
          <w:color w:val="000000" w:themeColor="text1"/>
          <w:lang w:val="es-ES"/>
        </w:rPr>
        <w:lastRenderedPageBreak/>
        <w:t>hacer interpretaciones extensivas</w:t>
      </w:r>
      <w:r w:rsidRPr="00D46909">
        <w:rPr>
          <w:rFonts w:ascii="Verdana" w:eastAsiaTheme="minorHAnsi" w:hAnsi="Verdana" w:cs="Arial"/>
          <w:bCs/>
          <w:i/>
          <w:iCs/>
          <w:color w:val="000000" w:themeColor="text1"/>
          <w:lang w:val="es-ES"/>
        </w:rPr>
        <w:t xml:space="preserve"> </w:t>
      </w:r>
      <w:r w:rsidRPr="00D46909">
        <w:rPr>
          <w:rFonts w:ascii="Verdana" w:eastAsiaTheme="minorHAnsi"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6111AAAE" w14:textId="77777777" w:rsidR="00D46909" w:rsidRPr="00D46909" w:rsidRDefault="00D46909" w:rsidP="00D46909">
      <w:pPr>
        <w:spacing w:after="120" w:line="276" w:lineRule="auto"/>
        <w:ind w:firstLine="709"/>
        <w:jc w:val="both"/>
        <w:rPr>
          <w:rFonts w:ascii="Verdana" w:hAnsi="Verdana" w:cs="Arial"/>
          <w:bCs/>
          <w:color w:val="000000" w:themeColor="text1"/>
          <w:lang w:val="es-ES"/>
        </w:rPr>
      </w:pPr>
      <w:r w:rsidRPr="00D46909">
        <w:rPr>
          <w:rFonts w:ascii="Verdana" w:hAnsi="Verdana" w:cs="Arial"/>
          <w:bCs/>
          <w:color w:val="000000" w:themeColor="text1"/>
          <w:lang w:val="es-ES"/>
        </w:rPr>
        <w:t>Particularmente, frente a la excepción de contratos de crédito público conviene señalar que la Ley 80 de 1993, en el parágrafo segundo del artículo 41, definió a las operaciones de crédito público como aquellas que “[…] tienen por objeto dotar a la 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 estatales”. Además, esta norma dispone que dichas operaciones y las conexas con éstas se contratarán en forma directa.</w:t>
      </w:r>
    </w:p>
    <w:p w14:paraId="7DCDCB85" w14:textId="77777777" w:rsidR="00D46909" w:rsidRPr="00D46909" w:rsidRDefault="00D46909" w:rsidP="00D46909">
      <w:pPr>
        <w:spacing w:after="120" w:line="276" w:lineRule="auto"/>
        <w:ind w:firstLine="709"/>
        <w:jc w:val="both"/>
        <w:rPr>
          <w:rFonts w:ascii="Verdana" w:hAnsi="Verdana" w:cs="Arial"/>
          <w:bCs/>
          <w:color w:val="000000" w:themeColor="text1"/>
        </w:rPr>
      </w:pPr>
      <w:r w:rsidRPr="00D46909">
        <w:rPr>
          <w:rFonts w:ascii="Verdana" w:hAnsi="Verdana" w:cs="Arial"/>
          <w:bCs/>
          <w:color w:val="000000" w:themeColor="text1"/>
          <w:lang w:val="es-ES"/>
        </w:rPr>
        <w:t>En ejercicio de sus facultades reglamentarias, el Gobierno Nacional recogió la definición legal de este tipo de operaciones y la amplió mediante el Decreto 2681 de 1993</w:t>
      </w:r>
      <w:r w:rsidRPr="00D46909">
        <w:rPr>
          <w:rFonts w:ascii="Verdana" w:hAnsi="Verdana" w:cs="Arial"/>
          <w:bCs/>
          <w:color w:val="000000" w:themeColor="text1"/>
          <w:vertAlign w:val="superscript"/>
          <w:lang w:val="es-ES"/>
        </w:rPr>
        <w:footnoteReference w:id="20"/>
      </w:r>
      <w:r w:rsidRPr="00D46909">
        <w:rPr>
          <w:rFonts w:ascii="Verdana" w:hAnsi="Verdana" w:cs="Arial"/>
          <w:bCs/>
          <w:color w:val="000000" w:themeColor="text1"/>
          <w:lang w:val="es-ES"/>
        </w:rPr>
        <w:t>, norma compilada, a su vez, en el artículo 2.2.1.1.1. del Decreto 1068 de 2015</w:t>
      </w:r>
      <w:r w:rsidRPr="00D46909">
        <w:rPr>
          <w:rFonts w:ascii="Verdana" w:hAnsi="Verdana" w:cs="Arial"/>
          <w:bCs/>
          <w:color w:val="000000" w:themeColor="text1"/>
          <w:vertAlign w:val="superscript"/>
          <w:lang w:val="es-ES"/>
        </w:rPr>
        <w:footnoteReference w:id="21"/>
      </w:r>
      <w:r w:rsidRPr="00D46909">
        <w:rPr>
          <w:rFonts w:ascii="Verdana" w:hAnsi="Verdana" w:cs="Arial"/>
          <w:bCs/>
          <w:color w:val="000000" w:themeColor="text1"/>
          <w:lang w:val="es-ES"/>
        </w:rPr>
        <w:t xml:space="preserve">. Este último dispuso que </w:t>
      </w:r>
      <w:r w:rsidRPr="00D46909">
        <w:rPr>
          <w:rFonts w:ascii="Verdana" w:hAnsi="Verdana" w:cs="Arial"/>
          <w:bCs/>
          <w:color w:val="000000" w:themeColor="text1"/>
        </w:rPr>
        <w:t>“[s]</w:t>
      </w:r>
      <w:proofErr w:type="spellStart"/>
      <w:r w:rsidRPr="00D46909">
        <w:rPr>
          <w:rFonts w:ascii="Verdana" w:hAnsi="Verdana" w:cs="Arial"/>
          <w:bCs/>
          <w:color w:val="000000" w:themeColor="text1"/>
        </w:rPr>
        <w:t>on</w:t>
      </w:r>
      <w:proofErr w:type="spellEnd"/>
      <w:r w:rsidRPr="00D46909">
        <w:rPr>
          <w:rFonts w:ascii="Verdana" w:hAnsi="Verdana" w:cs="Arial"/>
          <w:bCs/>
          <w:color w:val="000000" w:themeColor="text1"/>
        </w:rPr>
        <w:t xml:space="preserve"> operaciones de crédito público los actos o contratos que tienen por objeto dotar a la entidad estatal de recursos, bienes o servicios con plazo para su pago o aquellas mediante las cuales la entidad actúa como deudor solidario o garante de obligaciones de pago”. La norma reglamentaria agregó que dentro de estas operaciones están comprendidas, entre otras, </w:t>
      </w:r>
      <w:r w:rsidRPr="00D46909">
        <w:rPr>
          <w:rFonts w:ascii="Verdana" w:hAnsi="Verdana" w:cs="Arial"/>
          <w:bCs/>
          <w:i/>
          <w:iCs/>
          <w:color w:val="000000" w:themeColor="text1"/>
        </w:rPr>
        <w:t>la contratación de empréstitos</w:t>
      </w:r>
      <w:r w:rsidRPr="00D46909">
        <w:rPr>
          <w:rFonts w:ascii="Verdana" w:hAnsi="Verdana" w:cs="Arial"/>
          <w:bCs/>
          <w:color w:val="000000" w:themeColor="text1"/>
        </w:rPr>
        <w:t>, la emisión, suscripción y colocación de títulos de deuda pública, los créditos de proveedores y el otorgamiento de garantías para obligaciones de pago a cargo de entidades estatales.</w:t>
      </w:r>
    </w:p>
    <w:p w14:paraId="5B05A640" w14:textId="77777777" w:rsidR="00D46909" w:rsidRPr="00D46909" w:rsidRDefault="00D46909" w:rsidP="00D46909">
      <w:pPr>
        <w:spacing w:after="120" w:line="276" w:lineRule="auto"/>
        <w:ind w:firstLine="709"/>
        <w:jc w:val="both"/>
        <w:rPr>
          <w:rFonts w:ascii="Verdana" w:hAnsi="Verdana" w:cs="Arial"/>
          <w:bCs/>
          <w:color w:val="000000" w:themeColor="text1"/>
        </w:rPr>
      </w:pPr>
      <w:r w:rsidRPr="00D46909">
        <w:rPr>
          <w:rFonts w:ascii="Verdana" w:eastAsiaTheme="minorHAnsi" w:hAnsi="Verdana" w:cs="Arial"/>
          <w:lang w:val="es-ES"/>
        </w:rPr>
        <w:t>Al respecto, el Consejo de Estado define el contrato de empréstito como “Una deuda u obligación adquirida por el Estado con las entidades de crédito, nacionales o extranjeras y/o particulares, en moneda nacional o extranjera, con una fecha de vencimiento y bajo una determinada tasa de interés”.</w:t>
      </w:r>
      <w:r w:rsidRPr="00D46909">
        <w:rPr>
          <w:rFonts w:ascii="Verdana" w:eastAsiaTheme="minorHAnsi" w:hAnsi="Verdana" w:cs="Arial"/>
          <w:vertAlign w:val="superscript"/>
          <w:lang w:val="es-ES"/>
        </w:rPr>
        <w:footnoteReference w:id="22"/>
      </w:r>
    </w:p>
    <w:p w14:paraId="02C7C5B0" w14:textId="77777777" w:rsidR="00D46909" w:rsidRPr="00D46909" w:rsidRDefault="00D46909" w:rsidP="00D46909">
      <w:pPr>
        <w:spacing w:after="120" w:line="276" w:lineRule="auto"/>
        <w:ind w:firstLine="709"/>
        <w:jc w:val="both"/>
        <w:rPr>
          <w:rFonts w:ascii="Verdana" w:hAnsi="Verdana" w:cs="Arial"/>
          <w:bCs/>
          <w:color w:val="000000" w:themeColor="text1"/>
        </w:rPr>
      </w:pPr>
      <w:r w:rsidRPr="00D46909">
        <w:rPr>
          <w:rFonts w:ascii="Verdana" w:hAnsi="Verdana" w:cs="Arial"/>
          <w:bCs/>
          <w:color w:val="000000" w:themeColor="text1"/>
        </w:rPr>
        <w:t>De esta forma, los</w:t>
      </w:r>
      <w:r w:rsidRPr="00D46909">
        <w:rPr>
          <w:rFonts w:ascii="Verdana" w:eastAsiaTheme="minorHAnsi" w:hAnsi="Verdana" w:cs="Arial"/>
          <w:lang w:val="es-ES"/>
        </w:rPr>
        <w:t xml:space="preserve"> contratos de empréstitos son una operación de crédito público, a través de la cual la entidad territorial, la Nación o las entidades </w:t>
      </w:r>
      <w:r w:rsidRPr="00D46909">
        <w:rPr>
          <w:rFonts w:ascii="Verdana" w:eastAsiaTheme="minorHAnsi" w:hAnsi="Verdana" w:cs="Arial"/>
          <w:lang w:val="es-ES"/>
        </w:rPr>
        <w:lastRenderedPageBreak/>
        <w:t>descentralizadas de estas, podrán satisfacer las necesidades que tengan en materia de gastos de inversión, creando una “relación económica en virtud de la cual el Estado recibe dinero de terceros, creándose un vínculo de deudor y acreedor”</w:t>
      </w:r>
      <w:r w:rsidRPr="00D46909">
        <w:rPr>
          <w:rFonts w:ascii="Verdana" w:eastAsiaTheme="minorHAnsi" w:hAnsi="Verdana" w:cs="Arial"/>
          <w:vertAlign w:val="superscript"/>
          <w:lang w:val="es-ES"/>
        </w:rPr>
        <w:footnoteReference w:id="23"/>
      </w:r>
      <w:r w:rsidRPr="00D46909">
        <w:rPr>
          <w:rFonts w:ascii="Verdana" w:eastAsiaTheme="minorHAnsi" w:hAnsi="Verdana" w:cs="Arial"/>
          <w:lang w:val="es-ES"/>
        </w:rPr>
        <w:t>.</w:t>
      </w:r>
      <w:r w:rsidRPr="00D46909">
        <w:rPr>
          <w:rFonts w:ascii="Verdana" w:hAnsi="Verdana" w:cs="Arial"/>
          <w:bCs/>
          <w:color w:val="000000" w:themeColor="text1"/>
        </w:rPr>
        <w:t xml:space="preserve"> </w:t>
      </w:r>
    </w:p>
    <w:p w14:paraId="44F79BA6" w14:textId="77777777" w:rsidR="00D46909" w:rsidRPr="00D46909" w:rsidRDefault="00D46909" w:rsidP="00D46909">
      <w:pPr>
        <w:spacing w:after="120" w:line="276" w:lineRule="auto"/>
        <w:ind w:firstLine="709"/>
        <w:jc w:val="both"/>
        <w:rPr>
          <w:rFonts w:ascii="Verdana" w:eastAsiaTheme="minorHAnsi" w:hAnsi="Verdana" w:cs="Arial"/>
          <w:lang w:val="es-ES"/>
        </w:rPr>
      </w:pPr>
      <w:r w:rsidRPr="00D46909">
        <w:rPr>
          <w:rFonts w:ascii="Verdana" w:hAnsi="Verdana" w:cs="Arial"/>
          <w:bCs/>
          <w:color w:val="000000" w:themeColor="text1"/>
        </w:rPr>
        <w:t>En consecuencia</w:t>
      </w:r>
      <w:r w:rsidRPr="00D46909">
        <w:rPr>
          <w:rFonts w:ascii="Verdana" w:eastAsiaTheme="minorHAnsi" w:hAnsi="Verdana" w:cs="Arial"/>
          <w:lang w:val="es-ES"/>
        </w:rPr>
        <w:t xml:space="preserve">, la excepción del artículo 33 de la Ley 996 de 2005 a la prohibición a la contratación directa en el periodo previo a la elección presidencial, cobija a los contratos de empréstitos en la medida en que estos son contratos de crédito público, lo que significa que pueden contratarse directamente durante el periodo preelectoral. </w:t>
      </w:r>
    </w:p>
    <w:p w14:paraId="6A1AF750" w14:textId="77777777" w:rsidR="00D46909" w:rsidRPr="00D46909" w:rsidRDefault="00D46909" w:rsidP="00D46909">
      <w:pPr>
        <w:spacing w:after="120" w:line="276" w:lineRule="auto"/>
        <w:jc w:val="both"/>
        <w:rPr>
          <w:rFonts w:ascii="Verdana" w:eastAsia="Times New Roman" w:hAnsi="Verdana" w:cs="Arial"/>
          <w:lang w:val="es-MX" w:eastAsia="x-none"/>
        </w:rPr>
      </w:pPr>
      <w:proofErr w:type="spellStart"/>
      <w:r w:rsidRPr="00D46909">
        <w:rPr>
          <w:rFonts w:ascii="Verdana" w:eastAsiaTheme="minorHAnsi" w:hAnsi="Verdana" w:cs="Arial"/>
          <w:lang w:val="es-ES"/>
        </w:rPr>
        <w:t>iv</w:t>
      </w:r>
      <w:proofErr w:type="spellEnd"/>
      <w:r w:rsidRPr="00D46909">
        <w:rPr>
          <w:rFonts w:ascii="Verdana" w:eastAsiaTheme="minorHAnsi" w:hAnsi="Verdana" w:cs="Arial"/>
          <w:lang w:val="es-ES"/>
        </w:rPr>
        <w:t xml:space="preserve">. Ahora bien, respecto del alcance del parágrafo </w:t>
      </w:r>
      <w:r w:rsidRPr="00D46909">
        <w:rPr>
          <w:rFonts w:ascii="Verdana" w:hAnsi="Verdana" w:cs="Arial"/>
        </w:rPr>
        <w:t xml:space="preserve">del artículo 38 de la Ley 996 de 2005, es preciso reiterar que esta prohibición dispone que: “[l]os Gobernadores, </w:t>
      </w:r>
      <w:proofErr w:type="gramStart"/>
      <w:r w:rsidRPr="00D46909">
        <w:rPr>
          <w:rFonts w:ascii="Verdana" w:hAnsi="Verdana" w:cs="Arial"/>
        </w:rPr>
        <w:t>Alcaldes</w:t>
      </w:r>
      <w:proofErr w:type="gramEnd"/>
      <w:r w:rsidRPr="00D46909">
        <w:rPr>
          <w:rFonts w:ascii="Verdana" w:hAnsi="Verdana" w:cs="Arial"/>
        </w:rPr>
        <w:t xml:space="preserve"> Municipales y/o Distritales, </w:t>
      </w:r>
      <w:proofErr w:type="gramStart"/>
      <w:r w:rsidRPr="00D46909">
        <w:rPr>
          <w:rFonts w:ascii="Verdana" w:hAnsi="Verdana" w:cs="Arial"/>
        </w:rPr>
        <w:t>Secretarios</w:t>
      </w:r>
      <w:proofErr w:type="gramEnd"/>
      <w:r w:rsidRPr="00D46909">
        <w:rPr>
          <w:rFonts w:ascii="Verdana" w:hAnsi="Verdana" w:cs="Arial"/>
        </w:rPr>
        <w:t xml:space="preserve">, Gerentes y directores de Entidades Descentralizadas del orden Municipal, Departamental o Distrital, dentro de los cuatro (4) meses anteriores a las elecciones, no podrán celebrar </w:t>
      </w:r>
      <w:r w:rsidRPr="00D46909">
        <w:rPr>
          <w:rFonts w:ascii="Verdana" w:hAnsi="Verdana" w:cs="Arial"/>
          <w:i/>
          <w:iCs/>
        </w:rPr>
        <w:t>convenios interadministrativos</w:t>
      </w:r>
      <w:r w:rsidRPr="00D46909">
        <w:rPr>
          <w:rFonts w:ascii="Verdana" w:hAnsi="Verdana" w:cs="Arial"/>
        </w:rPr>
        <w:t xml:space="preserve"> </w:t>
      </w:r>
      <w:r w:rsidRPr="00D46909">
        <w:rPr>
          <w:rFonts w:ascii="Verdana" w:hAnsi="Verdana" w:cs="Arial"/>
          <w:i/>
          <w:iCs/>
        </w:rPr>
        <w:t>para la ejecución de recursos públicos</w:t>
      </w:r>
      <w:r w:rsidRPr="00D46909">
        <w:rPr>
          <w:rFonts w:ascii="Verdana" w:hAnsi="Verdana" w:cs="Arial"/>
        </w:rPr>
        <w:t>”.</w:t>
      </w:r>
      <w:r w:rsidRPr="00D46909">
        <w:rPr>
          <w:rFonts w:ascii="Verdana" w:eastAsia="Times New Roman" w:hAnsi="Verdana" w:cs="Arial"/>
          <w:lang w:val="es-MX" w:eastAsia="x-none"/>
        </w:rPr>
        <w:t xml:space="preserve"> [Énfasis fuera del texto original]</w:t>
      </w:r>
    </w:p>
    <w:p w14:paraId="278E97E6" w14:textId="77777777" w:rsidR="00D46909" w:rsidRPr="00D46909" w:rsidRDefault="00D46909" w:rsidP="00D46909">
      <w:pPr>
        <w:spacing w:after="120" w:line="276" w:lineRule="auto"/>
        <w:ind w:firstLine="709"/>
        <w:jc w:val="both"/>
        <w:rPr>
          <w:rFonts w:ascii="Verdana" w:hAnsi="Verdana" w:cs="Arial"/>
          <w:lang w:eastAsia="es-ES"/>
        </w:rPr>
      </w:pPr>
      <w:r w:rsidRPr="00D46909">
        <w:rPr>
          <w:rFonts w:ascii="Verdana" w:eastAsia="Times New Roman" w:hAnsi="Verdana" w:cs="Arial"/>
          <w:lang w:val="es-ES" w:eastAsia="es-ES_tradnl"/>
        </w:rPr>
        <w:t xml:space="preserve">Para tales efectos, debe precisarse que </w:t>
      </w:r>
      <w:r w:rsidRPr="00D46909">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D46909">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D46909">
        <w:rPr>
          <w:rFonts w:ascii="Verdana" w:hAnsi="Verdana" w:cs="Arial"/>
          <w:vertAlign w:val="superscript"/>
          <w:lang w:eastAsia="es-ES"/>
        </w:rPr>
        <w:footnoteReference w:id="24"/>
      </w:r>
      <w:r w:rsidRPr="00D46909">
        <w:rPr>
          <w:rFonts w:ascii="Verdana" w:hAnsi="Verdana" w:cs="Arial"/>
          <w:lang w:eastAsia="es-ES"/>
        </w:rPr>
        <w:t>.</w:t>
      </w:r>
    </w:p>
    <w:p w14:paraId="2466123F" w14:textId="77777777" w:rsidR="00D46909" w:rsidRPr="00D46909" w:rsidRDefault="00D46909" w:rsidP="00D46909">
      <w:pPr>
        <w:spacing w:after="120" w:line="276" w:lineRule="auto"/>
        <w:ind w:firstLine="709"/>
        <w:jc w:val="both"/>
        <w:rPr>
          <w:rFonts w:ascii="Verdana" w:hAnsi="Verdana" w:cs="Arial"/>
          <w:color w:val="000000" w:themeColor="text1"/>
          <w:lang w:val="es-ES_tradnl"/>
        </w:rPr>
      </w:pPr>
      <w:r w:rsidRPr="00D46909">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AD6BD7F" w14:textId="77777777" w:rsidR="00D46909" w:rsidRPr="00D46909" w:rsidRDefault="00D46909" w:rsidP="00D46909">
      <w:pPr>
        <w:spacing w:before="120" w:after="0" w:line="276" w:lineRule="auto"/>
        <w:ind w:firstLine="708"/>
        <w:jc w:val="both"/>
        <w:rPr>
          <w:rFonts w:ascii="Verdana" w:eastAsiaTheme="minorHAnsi" w:hAnsi="Verdana" w:cs="Arial"/>
          <w:lang w:val="es-ES_tradnl"/>
        </w:rPr>
      </w:pPr>
      <w:r w:rsidRPr="00D46909">
        <w:rPr>
          <w:rFonts w:ascii="Verdana" w:hAnsi="Verdana" w:cs="Arial"/>
          <w:lang w:val="es-ES_tradnl"/>
        </w:rPr>
        <w:t xml:space="preserve">Un contrato o convenio interadministrativo no está determinado por la modalidad de selección utilizada para celebrarlo. La Ley 1150 de 2007 establece que pueden celebrarse directamente, siempre que las obligaciones derivadas del </w:t>
      </w:r>
      <w:r w:rsidRPr="00D46909">
        <w:rPr>
          <w:rFonts w:ascii="Verdana" w:hAnsi="Verdana" w:cs="Arial"/>
          <w:lang w:val="es-ES_tradnl"/>
        </w:rPr>
        <w:lastRenderedPageBreak/>
        <w:t>mismo tengan relación directa con el objeto de la entidad ejecutora, señalado en la ley o en sus reglamentos, a menos que, según las excepciones previstas en dicha Ley, deba adelantarse un procedimiento susceptible de pluralidad de oferentes</w:t>
      </w:r>
      <w:r w:rsidRPr="00D46909">
        <w:rPr>
          <w:rFonts w:ascii="Verdana" w:hAnsi="Verdana" w:cs="Arial"/>
          <w:vertAlign w:val="superscript"/>
          <w:lang w:val="es-ES_tradnl"/>
        </w:rPr>
        <w:footnoteReference w:id="25"/>
      </w:r>
      <w:r w:rsidRPr="00D46909">
        <w:rPr>
          <w:rFonts w:ascii="Verdana" w:hAnsi="Verdana" w:cs="Arial"/>
          <w:lang w:val="es-ES_tradnl"/>
        </w:rPr>
        <w:t>. Nótese que, en este caso, lo que cambia es la modalidad de selección y no la naturaleza de contrato interadministrativo.</w:t>
      </w:r>
    </w:p>
    <w:p w14:paraId="1B309D56" w14:textId="77777777" w:rsidR="00D46909" w:rsidRPr="00D46909" w:rsidRDefault="00D46909" w:rsidP="00D46909">
      <w:pPr>
        <w:spacing w:before="120" w:after="0" w:line="276" w:lineRule="auto"/>
        <w:ind w:firstLine="708"/>
        <w:jc w:val="both"/>
        <w:rPr>
          <w:rFonts w:ascii="Verdana" w:hAnsi="Verdana" w:cs="Arial"/>
          <w:lang w:val="es-ES_tradnl"/>
        </w:rPr>
      </w:pPr>
      <w:r w:rsidRPr="00D46909">
        <w:rPr>
          <w:rFonts w:ascii="Verdana" w:hAnsi="Verdana" w:cs="Arial"/>
          <w:lang w:val="es-ES_tradnl"/>
        </w:rPr>
        <w:t>Además, es necesario tener en cuenta que para que un contrato o convenio interadministrativo exista debe cumplir con los siguientes elementos: acuerdo sobre el objeto y la contraprestación y que conste por escrito</w:t>
      </w:r>
      <w:r w:rsidRPr="00D46909">
        <w:rPr>
          <w:rFonts w:ascii="Verdana" w:hAnsi="Verdana" w:cs="Arial"/>
          <w:vertAlign w:val="superscript"/>
          <w:lang w:val="es-ES_tradnl"/>
        </w:rPr>
        <w:footnoteReference w:id="26"/>
      </w:r>
      <w:r w:rsidRPr="00D46909">
        <w:rPr>
          <w:rFonts w:ascii="Verdana" w:hAnsi="Verdana" w:cs="Arial"/>
          <w:lang w:val="es-ES_tradn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310AACF" w14:textId="77777777" w:rsidR="00D46909" w:rsidRPr="00D46909" w:rsidRDefault="00D46909" w:rsidP="00D46909">
      <w:pPr>
        <w:spacing w:before="120" w:after="0" w:line="276" w:lineRule="auto"/>
        <w:ind w:firstLine="708"/>
        <w:jc w:val="both"/>
        <w:rPr>
          <w:rFonts w:ascii="Verdana" w:hAnsi="Verdana"/>
          <w:sz w:val="24"/>
          <w:szCs w:val="24"/>
          <w:lang w:eastAsia="es-CO"/>
        </w:rPr>
      </w:pPr>
      <w:r w:rsidRPr="00D46909">
        <w:rPr>
          <w:rFonts w:ascii="Verdana" w:hAnsi="Verdana" w:cs="Arial"/>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D46909">
        <w:rPr>
          <w:rFonts w:ascii="Verdana" w:hAnsi="Verdana" w:cs="Arial"/>
          <w:vertAlign w:val="superscript"/>
          <w:lang w:val="es-ES_tradnl"/>
        </w:rPr>
        <w:footnoteReference w:id="27"/>
      </w:r>
      <w:r w:rsidRPr="00D46909">
        <w:rPr>
          <w:rFonts w:ascii="Verdana" w:hAnsi="Verdana" w:cs="Arial"/>
          <w:lang w:val="es-ES_tradnl"/>
        </w:rPr>
        <w:t>, pues, de acuerdo con lo anotado, esta clase de acuerdos de voluntades se definen por un criterio orgánico, por lo que uno de sus elementos esenciales es que en los extremos de la relación jurídico negocial concurran personas de derecho público</w:t>
      </w:r>
      <w:r w:rsidRPr="00D46909">
        <w:rPr>
          <w:rFonts w:ascii="Verdana" w:hAnsi="Verdana"/>
          <w:sz w:val="24"/>
          <w:szCs w:val="24"/>
          <w:lang w:eastAsia="es-CO"/>
        </w:rPr>
        <w:t>.</w:t>
      </w:r>
    </w:p>
    <w:p w14:paraId="21759461" w14:textId="77777777" w:rsidR="00D46909" w:rsidRPr="00D46909" w:rsidRDefault="00D46909" w:rsidP="00D46909">
      <w:pPr>
        <w:spacing w:before="120" w:after="0" w:line="276" w:lineRule="auto"/>
        <w:ind w:firstLine="708"/>
        <w:jc w:val="both"/>
        <w:rPr>
          <w:rFonts w:ascii="Verdana" w:eastAsia="Times New Roman" w:hAnsi="Verdana" w:cs="Arial"/>
          <w:lang w:val="es-MX" w:eastAsia="es-CO"/>
        </w:rPr>
      </w:pPr>
      <w:r w:rsidRPr="00D46909">
        <w:rPr>
          <w:rFonts w:ascii="Verdana" w:eastAsia="Arial" w:hAnsi="Verdana" w:cs="Arial"/>
          <w:lang w:val="es-MX" w:eastAsia="es-ES" w:bidi="es-ES"/>
        </w:rPr>
        <w:t>De esta manera, s</w:t>
      </w:r>
      <w:proofErr w:type="spellStart"/>
      <w:r w:rsidRPr="00D46909">
        <w:rPr>
          <w:rFonts w:ascii="Verdana" w:eastAsia="Times New Roman" w:hAnsi="Verdana" w:cs="Arial"/>
          <w:lang w:eastAsia="es-CO"/>
        </w:rPr>
        <w:t>e</w:t>
      </w:r>
      <w:proofErr w:type="spellEnd"/>
      <w:r w:rsidRPr="00D46909">
        <w:rPr>
          <w:rFonts w:ascii="Verdana" w:eastAsia="Times New Roman" w:hAnsi="Verdana" w:cs="Arial"/>
          <w:lang w:eastAsia="es-CO"/>
        </w:rPr>
        <w:t xml:space="preserve"> observa entonces que </w:t>
      </w:r>
      <w:r w:rsidRPr="00D46909">
        <w:rPr>
          <w:rFonts w:ascii="Verdana" w:eastAsia="Times New Roman" w:hAnsi="Verdana" w:cs="Arial"/>
          <w:lang w:val="es-MX" w:eastAsia="es-CO"/>
        </w:rPr>
        <w:t xml:space="preserve">el parágrafo del artículo 38 de la Ley 996 de 2005 prohíbe a los </w:t>
      </w:r>
      <w:proofErr w:type="gramStart"/>
      <w:r w:rsidRPr="00D46909">
        <w:rPr>
          <w:rFonts w:ascii="Verdana" w:eastAsia="Times New Roman" w:hAnsi="Verdana" w:cs="Arial"/>
          <w:lang w:val="es-MX" w:eastAsia="es-CO"/>
        </w:rPr>
        <w:t>Alcaldes</w:t>
      </w:r>
      <w:proofErr w:type="gramEnd"/>
      <w:r w:rsidRPr="00D46909">
        <w:rPr>
          <w:rFonts w:ascii="Verdana" w:eastAsia="Times New Roman" w:hAnsi="Verdana" w:cs="Arial"/>
          <w:lang w:val="es-MX" w:eastAsia="es-CO"/>
        </w:rPr>
        <w:t xml:space="preserve">, Gobernadores, </w:t>
      </w:r>
      <w:proofErr w:type="gramStart"/>
      <w:r w:rsidRPr="00D46909">
        <w:rPr>
          <w:rFonts w:ascii="Verdana" w:eastAsia="Times New Roman" w:hAnsi="Verdana" w:cs="Arial"/>
          <w:lang w:val="es-MX" w:eastAsia="es-CO"/>
        </w:rPr>
        <w:t>Secretarios</w:t>
      </w:r>
      <w:proofErr w:type="gramEnd"/>
      <w:r w:rsidRPr="00D46909">
        <w:rPr>
          <w:rFonts w:ascii="Verdana" w:eastAsia="Times New Roman" w:hAnsi="Verdana" w:cs="Arial"/>
          <w:lang w:val="es-MX" w:eastAsia="es-CO"/>
        </w:rPr>
        <w:t xml:space="preserve">, Gerentes y </w:t>
      </w:r>
      <w:proofErr w:type="gramStart"/>
      <w:r w:rsidRPr="00D46909">
        <w:rPr>
          <w:rFonts w:ascii="Verdana" w:eastAsia="Times New Roman" w:hAnsi="Verdana" w:cs="Arial"/>
          <w:lang w:val="es-MX" w:eastAsia="es-CO"/>
        </w:rPr>
        <w:t>Directores</w:t>
      </w:r>
      <w:proofErr w:type="gramEnd"/>
      <w:r w:rsidRPr="00D46909">
        <w:rPr>
          <w:rFonts w:ascii="Verdana" w:eastAsia="Times New Roman" w:hAnsi="Verdana" w:cs="Arial"/>
          <w:lang w:val="es-MX" w:eastAsia="es-CO"/>
        </w:rPr>
        <w:t xml:space="preserve"> de las entidades del orden municipal, departamental o distrital celebrar </w:t>
      </w:r>
      <w:r w:rsidRPr="00D46909">
        <w:rPr>
          <w:rFonts w:ascii="Verdana" w:eastAsia="Times New Roman" w:hAnsi="Verdana" w:cs="Arial"/>
          <w:i/>
          <w:iCs/>
          <w:lang w:val="es-MX" w:eastAsia="es-CO"/>
        </w:rPr>
        <w:t>convenios interadministrativos</w:t>
      </w:r>
      <w:r w:rsidRPr="00D46909">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D46909">
        <w:rPr>
          <w:rFonts w:ascii="Verdana" w:eastAsia="Times New Roman" w:hAnsi="Verdana" w:cs="Arial"/>
          <w:i/>
          <w:lang w:val="es-MX" w:eastAsia="es-CO"/>
        </w:rPr>
        <w:t>ibidem</w:t>
      </w:r>
      <w:r w:rsidRPr="00D46909">
        <w:rPr>
          <w:rFonts w:ascii="Verdana" w:eastAsia="Times New Roman" w:hAnsi="Verdana" w:cs="Arial"/>
          <w:lang w:val="es-MX" w:eastAsia="es-CO"/>
        </w:rPr>
        <w:t xml:space="preserve">, no podrá celebrar tales </w:t>
      </w:r>
      <w:r w:rsidRPr="00D46909">
        <w:rPr>
          <w:rFonts w:ascii="Verdana" w:eastAsia="Times New Roman" w:hAnsi="Verdana" w:cs="Arial"/>
          <w:i/>
          <w:iCs/>
          <w:lang w:val="es-MX" w:eastAsia="es-CO"/>
        </w:rPr>
        <w:t>convenios</w:t>
      </w:r>
      <w:r w:rsidRPr="00D46909">
        <w:rPr>
          <w:rFonts w:ascii="Verdana" w:eastAsia="Times New Roman" w:hAnsi="Verdana" w:cs="Arial"/>
          <w:lang w:val="es-MX" w:eastAsia="es-CO"/>
        </w:rPr>
        <w:t xml:space="preserve"> </w:t>
      </w:r>
      <w:r w:rsidRPr="00D46909">
        <w:rPr>
          <w:rFonts w:ascii="Verdana" w:eastAsia="Times New Roman" w:hAnsi="Verdana" w:cs="Arial"/>
          <w:lang w:val="es-MX" w:eastAsia="es-CO"/>
        </w:rPr>
        <w:lastRenderedPageBreak/>
        <w:t xml:space="preserve">durante la aplicación de la Ley de Garantías Electorales, toda vez que la citada disposición hace referencia a dicha tipología contractual sin que el legislador hubiere contemplado un efecto extensivo a otra tipología. </w:t>
      </w:r>
    </w:p>
    <w:p w14:paraId="36CA0429" w14:textId="77777777" w:rsidR="00D46909" w:rsidRPr="00D46909" w:rsidRDefault="00D46909" w:rsidP="00D46909">
      <w:pPr>
        <w:spacing w:before="120" w:after="0" w:line="276" w:lineRule="auto"/>
        <w:ind w:firstLine="708"/>
        <w:jc w:val="both"/>
        <w:rPr>
          <w:rFonts w:ascii="Verdana" w:eastAsia="Times New Roman" w:hAnsi="Verdana" w:cs="Arial"/>
          <w:lang w:eastAsia="es-CO"/>
        </w:rPr>
      </w:pPr>
      <w:r w:rsidRPr="00D46909">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D46909">
        <w:rPr>
          <w:rFonts w:ascii="Verdana" w:eastAsia="Times New Roman" w:hAnsi="Verdana" w:cs="Arial"/>
          <w:lang w:val="es-MX" w:eastAsia="es-CO"/>
        </w:rPr>
        <w:t>ii</w:t>
      </w:r>
      <w:proofErr w:type="spellEnd"/>
      <w:r w:rsidRPr="00D46909">
        <w:rPr>
          <w:rFonts w:ascii="Verdana" w:eastAsia="Times New Roman" w:hAnsi="Verdana" w:cs="Arial"/>
          <w:lang w:val="es-MX" w:eastAsia="es-CO"/>
        </w:rPr>
        <w:t xml:space="preserve">) y </w:t>
      </w:r>
      <w:proofErr w:type="spellStart"/>
      <w:r w:rsidRPr="00D46909">
        <w:rPr>
          <w:rFonts w:ascii="Verdana" w:eastAsia="Times New Roman" w:hAnsi="Verdana" w:cs="Arial"/>
          <w:lang w:val="es-MX" w:eastAsia="es-CO"/>
        </w:rPr>
        <w:t>iv</w:t>
      </w:r>
      <w:proofErr w:type="spellEnd"/>
      <w:r w:rsidRPr="00D46909">
        <w:rPr>
          <w:rFonts w:ascii="Verdana" w:eastAsia="Times New Roman" w:hAnsi="Verdana" w:cs="Arial"/>
          <w:lang w:val="es-MX" w:eastAsia="es-CO"/>
        </w:rPr>
        <w:t>) del numeral 2</w:t>
      </w:r>
      <w:r w:rsidRPr="00D46909">
        <w:rPr>
          <w:rFonts w:ascii="Verdana" w:eastAsia="Times New Roman" w:hAnsi="Verdana" w:cs="Arial"/>
          <w:lang w:eastAsia="es-CO"/>
        </w:rPr>
        <w:t>,</w:t>
      </w:r>
      <w:r w:rsidRPr="00D46909">
        <w:rPr>
          <w:rFonts w:ascii="Verdana" w:eastAsia="Times New Roman" w:hAnsi="Verdana" w:cs="Arial"/>
          <w:lang w:val="es-MX" w:eastAsia="es-CO"/>
        </w:rPr>
        <w:t xml:space="preserve"> indica que el </w:t>
      </w:r>
      <w:r w:rsidRPr="00D46909">
        <w:rPr>
          <w:rFonts w:ascii="Verdana" w:eastAsia="Times New Roman" w:hAnsi="Verdana" w:cs="Arial"/>
          <w:lang w:eastAsia="es-CO"/>
        </w:rPr>
        <w:t xml:space="preserve">parágrafo del artículo 38 de la Ley 996 de 2005 cobija expresamente a los </w:t>
      </w:r>
      <w:r w:rsidRPr="00D46909">
        <w:rPr>
          <w:rFonts w:ascii="Verdana" w:eastAsia="Times New Roman" w:hAnsi="Verdana" w:cs="Arial"/>
          <w:i/>
          <w:iCs/>
          <w:lang w:eastAsia="es-CO"/>
        </w:rPr>
        <w:t>convenios interadministrativos</w:t>
      </w:r>
      <w:r w:rsidRPr="00D46909">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D46909">
        <w:rPr>
          <w:rFonts w:ascii="Verdana" w:eastAsia="Times New Roman" w:hAnsi="Verdana" w:cs="Arial"/>
          <w:i/>
          <w:iCs/>
          <w:lang w:eastAsia="es-CO"/>
        </w:rPr>
        <w:t>“aunque se configure alguno de los supuestos de excepción que señaló el inciso final del artículo 33”.</w:t>
      </w:r>
      <w:r w:rsidRPr="00D46909">
        <w:rPr>
          <w:rFonts w:ascii="Verdana" w:eastAsia="Times New Roman" w:hAnsi="Verdana" w:cs="Arial"/>
          <w:lang w:eastAsia="es-CO"/>
        </w:rPr>
        <w:t xml:space="preserve"> </w:t>
      </w:r>
    </w:p>
    <w:p w14:paraId="7F0E7833" w14:textId="77777777" w:rsidR="00D46909" w:rsidRPr="00D46909" w:rsidRDefault="00D46909" w:rsidP="00D46909">
      <w:pPr>
        <w:spacing w:before="120" w:after="0" w:line="276" w:lineRule="auto"/>
        <w:ind w:firstLine="708"/>
        <w:jc w:val="both"/>
        <w:rPr>
          <w:rFonts w:ascii="Verdana" w:eastAsia="Times New Roman" w:hAnsi="Verdana" w:cs="Arial"/>
          <w:lang w:eastAsia="es-CO"/>
        </w:rPr>
      </w:pPr>
      <w:r w:rsidRPr="00D46909">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D46909">
        <w:rPr>
          <w:rFonts w:ascii="Verdana" w:eastAsia="Times New Roman" w:hAnsi="Verdana" w:cs="Arial"/>
          <w:i/>
          <w:iCs/>
          <w:lang w:eastAsia="es-CO"/>
        </w:rPr>
        <w:t>convenios interadministrativos</w:t>
      </w:r>
      <w:r w:rsidRPr="00D46909">
        <w:rPr>
          <w:rFonts w:ascii="Verdana" w:eastAsia="Times New Roman" w:hAnsi="Verdana" w:cs="Arial"/>
          <w:lang w:eastAsia="es-CO"/>
        </w:rPr>
        <w:t xml:space="preserve"> en los que se contemple la </w:t>
      </w:r>
      <w:r w:rsidRPr="00D46909">
        <w:rPr>
          <w:rFonts w:ascii="Verdana" w:eastAsia="Times New Roman" w:hAnsi="Verdana" w:cs="Arial"/>
          <w:i/>
          <w:iCs/>
          <w:lang w:eastAsia="es-CO"/>
        </w:rPr>
        <w:t>ejecución de recursos públicos</w:t>
      </w:r>
      <w:r w:rsidRPr="00D46909">
        <w:rPr>
          <w:rFonts w:ascii="Verdana" w:eastAsia="Times New Roman" w:hAnsi="Verdana" w:cs="Arial"/>
          <w:lang w:eastAsia="es-CO"/>
        </w:rPr>
        <w:t xml:space="preserve">. Esto significa que la prohibición no resulta aplicable a </w:t>
      </w:r>
      <w:r w:rsidRPr="00D46909">
        <w:rPr>
          <w:rFonts w:ascii="Verdana" w:eastAsia="Times New Roman" w:hAnsi="Verdana" w:cs="Arial"/>
          <w:i/>
          <w:iCs/>
          <w:lang w:eastAsia="es-CO"/>
        </w:rPr>
        <w:t>convenios interadministrativos a título gratuito,</w:t>
      </w:r>
      <w:r w:rsidRPr="00D46909">
        <w:rPr>
          <w:rFonts w:ascii="Verdana" w:eastAsia="Times New Roman" w:hAnsi="Verdana" w:cs="Arial"/>
          <w:lang w:eastAsia="es-CO"/>
        </w:rPr>
        <w:t xml:space="preserve"> los cuales pueden celebrarse válidamente durante la vigencia de la mencionada restricción. </w:t>
      </w:r>
    </w:p>
    <w:p w14:paraId="69263E87" w14:textId="77777777" w:rsidR="00D46909" w:rsidRPr="00D46909" w:rsidRDefault="00D46909" w:rsidP="00D46909">
      <w:pPr>
        <w:spacing w:before="120" w:after="0" w:line="276" w:lineRule="auto"/>
        <w:ind w:firstLine="708"/>
        <w:jc w:val="both"/>
        <w:rPr>
          <w:rFonts w:ascii="Verdana" w:eastAsia="Times New Roman" w:hAnsi="Verdana" w:cs="Arial"/>
          <w:lang w:eastAsia="es-CO"/>
        </w:rPr>
      </w:pPr>
      <w:r w:rsidRPr="00D46909">
        <w:rPr>
          <w:rFonts w:ascii="Verdana" w:eastAsia="Times New Roman" w:hAnsi="Verdana" w:cs="Arial"/>
          <w:lang w:eastAsia="es-CO"/>
        </w:rPr>
        <w:t xml:space="preserve">De esta manera, conforme a lo dispuesto en la Circular referida, si se suscriben </w:t>
      </w:r>
      <w:r w:rsidRPr="00D46909">
        <w:rPr>
          <w:rFonts w:ascii="Verdana" w:eastAsia="Times New Roman" w:hAnsi="Verdana" w:cs="Arial"/>
          <w:i/>
          <w:iCs/>
          <w:lang w:eastAsia="es-CO"/>
        </w:rPr>
        <w:t>convenios interadministrativos para la ejecución de recursos públicos</w:t>
      </w:r>
      <w:r w:rsidRPr="00D46909">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D46909">
        <w:rPr>
          <w:rFonts w:ascii="Verdana" w:eastAsia="Times New Roman" w:hAnsi="Verdana" w:cs="Arial"/>
          <w:i/>
          <w:iCs/>
          <w:lang w:eastAsia="es-CO"/>
        </w:rPr>
        <w:t>ibidem</w:t>
      </w:r>
      <w:r w:rsidRPr="00D46909">
        <w:rPr>
          <w:rFonts w:ascii="Verdana" w:eastAsia="Times New Roman" w:hAnsi="Verdana" w:cs="Arial"/>
          <w:lang w:eastAsia="es-CO"/>
        </w:rPr>
        <w:t>, independientemente de que se configure alguno de los supuestos de excepción que señaló el inciso final del artículo 33, es decir, que se trate de:</w:t>
      </w:r>
      <w:r w:rsidRPr="00D46909">
        <w:rPr>
          <w:rFonts w:ascii="Verdana" w:hAnsi="Verdana" w:cs="Arial"/>
          <w:bCs/>
          <w:lang w:val="es-MX" w:eastAsia="x-none"/>
        </w:rPr>
        <w:t xml:space="preserve"> i) la defensa y seguridad del Estado; </w:t>
      </w:r>
      <w:proofErr w:type="spellStart"/>
      <w:r w:rsidRPr="00D46909">
        <w:rPr>
          <w:rFonts w:ascii="Verdana" w:hAnsi="Verdana" w:cs="Arial"/>
          <w:bCs/>
          <w:lang w:val="es-MX" w:eastAsia="x-none"/>
        </w:rPr>
        <w:t>ii</w:t>
      </w:r>
      <w:proofErr w:type="spellEnd"/>
      <w:r w:rsidRPr="00D46909">
        <w:rPr>
          <w:rFonts w:ascii="Verdana" w:hAnsi="Verdana" w:cs="Arial"/>
          <w:bCs/>
          <w:lang w:val="es-MX" w:eastAsia="x-none"/>
        </w:rPr>
        <w:t xml:space="preserve">) los contratos de crédito público; </w:t>
      </w:r>
      <w:proofErr w:type="spellStart"/>
      <w:r w:rsidRPr="00D46909">
        <w:rPr>
          <w:rFonts w:ascii="Verdana" w:hAnsi="Verdana" w:cs="Arial"/>
          <w:bCs/>
          <w:lang w:val="es-MX" w:eastAsia="x-none"/>
        </w:rPr>
        <w:t>iii</w:t>
      </w:r>
      <w:proofErr w:type="spellEnd"/>
      <w:r w:rsidRPr="00D46909">
        <w:rPr>
          <w:rFonts w:ascii="Verdana" w:hAnsi="Verdana" w:cs="Arial"/>
          <w:bCs/>
          <w:lang w:val="es-MX" w:eastAsia="x-none"/>
        </w:rPr>
        <w:t xml:space="preserve">) los requeridos para cubrir las emergencias educativas, sanitarias y desastres; </w:t>
      </w:r>
      <w:proofErr w:type="spellStart"/>
      <w:r w:rsidRPr="00D46909">
        <w:rPr>
          <w:rFonts w:ascii="Verdana" w:hAnsi="Verdana" w:cs="Arial"/>
          <w:bCs/>
          <w:lang w:val="es-MX" w:eastAsia="x-none"/>
        </w:rPr>
        <w:t>iv</w:t>
      </w:r>
      <w:proofErr w:type="spellEnd"/>
      <w:r w:rsidRPr="00D46909">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D46909">
        <w:rPr>
          <w:rFonts w:ascii="Verdana" w:hAnsi="Verdana" w:cs="Arial"/>
          <w:bCs/>
          <w:lang w:val="es-MX" w:eastAsia="es-CO"/>
        </w:rPr>
        <w:t xml:space="preserve"> </w:t>
      </w:r>
      <w:r w:rsidRPr="00D46909">
        <w:rPr>
          <w:rFonts w:ascii="Verdana" w:eastAsia="Times New Roman" w:hAnsi="Verdana" w:cs="Arial"/>
          <w:lang w:eastAsia="es-CO"/>
        </w:rPr>
        <w:t xml:space="preserve">  </w:t>
      </w:r>
    </w:p>
    <w:p w14:paraId="7B39A093" w14:textId="77777777" w:rsidR="00D46909" w:rsidRPr="00D46909" w:rsidRDefault="00D46909" w:rsidP="00D46909">
      <w:pPr>
        <w:spacing w:before="120" w:after="0" w:line="276" w:lineRule="auto"/>
        <w:ind w:firstLine="708"/>
        <w:jc w:val="both"/>
        <w:rPr>
          <w:rFonts w:ascii="Verdana" w:eastAsia="Times New Roman" w:hAnsi="Verdana" w:cs="Arial"/>
          <w:lang w:eastAsia="es-CO"/>
        </w:rPr>
      </w:pPr>
      <w:r w:rsidRPr="00D46909">
        <w:rPr>
          <w:rFonts w:ascii="Verdana" w:eastAsia="Times New Roman" w:hAnsi="Verdana" w:cs="Arial"/>
          <w:lang w:eastAsia="es-CO"/>
        </w:rPr>
        <w:t xml:space="preserve">En este punto, vale la pena destacar </w:t>
      </w:r>
      <w:proofErr w:type="gramStart"/>
      <w:r w:rsidRPr="00D46909">
        <w:rPr>
          <w:rFonts w:ascii="Verdana" w:eastAsia="Times New Roman" w:hAnsi="Verdana" w:cs="Arial"/>
          <w:lang w:eastAsia="es-CO"/>
        </w:rPr>
        <w:t>que</w:t>
      </w:r>
      <w:proofErr w:type="gramEnd"/>
      <w:r w:rsidRPr="00D46909">
        <w:rPr>
          <w:rFonts w:ascii="Verdana" w:eastAsia="Times New Roman" w:hAnsi="Verdana" w:cs="Arial"/>
          <w:lang w:eastAsia="es-CO"/>
        </w:rPr>
        <w:t xml:space="preserve"> </w:t>
      </w:r>
      <w:r w:rsidRPr="00D46909">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D46909">
        <w:rPr>
          <w:rFonts w:ascii="Verdana" w:hAnsi="Verdana" w:cs="Arial"/>
        </w:rPr>
        <w:t>numeral 16.2 de la Circular Externa Única de 2022 expedida por la Agencia Nacional de Contratación Pública -</w:t>
      </w:r>
      <w:r w:rsidRPr="00D46909">
        <w:rPr>
          <w:rFonts w:ascii="Verdana" w:hAnsi="Verdana" w:cs="Arial"/>
        </w:rPr>
        <w:lastRenderedPageBreak/>
        <w:t>Colombia Compra Eficiente-, concretamente, respecto de los siguientes apartes normativos</w:t>
      </w:r>
      <w:r w:rsidRPr="00D46909">
        <w:rPr>
          <w:rFonts w:ascii="Verdana" w:hAnsi="Verdana" w:cs="Arial"/>
          <w:vertAlign w:val="superscript"/>
        </w:rPr>
        <w:footnoteReference w:id="28"/>
      </w:r>
      <w:r w:rsidRPr="00D46909">
        <w:rPr>
          <w:rFonts w:ascii="Verdana" w:hAnsi="Verdana" w:cs="Arial"/>
        </w:rPr>
        <w:t>:</w:t>
      </w:r>
      <w:r w:rsidRPr="00D46909">
        <w:rPr>
          <w:rFonts w:cs="Arial"/>
        </w:rPr>
        <w:t xml:space="preserve"> </w:t>
      </w:r>
    </w:p>
    <w:p w14:paraId="6CD217F1" w14:textId="77777777" w:rsidR="00D46909" w:rsidRPr="00D46909" w:rsidRDefault="00D46909" w:rsidP="00D46909">
      <w:pPr>
        <w:spacing w:after="0" w:line="276" w:lineRule="auto"/>
        <w:ind w:firstLine="709"/>
        <w:jc w:val="both"/>
        <w:rPr>
          <w:rFonts w:cs="Arial"/>
        </w:rPr>
      </w:pPr>
    </w:p>
    <w:p w14:paraId="52ED7229" w14:textId="77777777" w:rsidR="00D46909" w:rsidRPr="00D46909" w:rsidRDefault="00D46909" w:rsidP="00D46909">
      <w:pPr>
        <w:spacing w:after="0" w:line="240" w:lineRule="auto"/>
        <w:ind w:left="709" w:right="709"/>
        <w:jc w:val="both"/>
        <w:rPr>
          <w:rFonts w:ascii="Verdana" w:hAnsi="Verdana" w:cs="Arial"/>
          <w:sz w:val="20"/>
          <w:szCs w:val="20"/>
        </w:rPr>
      </w:pPr>
      <w:r w:rsidRPr="00D46909">
        <w:rPr>
          <w:rFonts w:ascii="Verdana" w:hAnsi="Verdana" w:cs="Arial"/>
          <w:sz w:val="20"/>
          <w:szCs w:val="20"/>
          <w:lang w:val="es-MX"/>
        </w:rPr>
        <w:t>i)</w:t>
      </w:r>
      <w:r w:rsidRPr="00D46909">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A41613D" w14:textId="77777777" w:rsidR="00D46909" w:rsidRPr="00D46909" w:rsidRDefault="00D46909" w:rsidP="00D46909">
      <w:pPr>
        <w:spacing w:after="0" w:line="240" w:lineRule="auto"/>
        <w:ind w:left="709" w:right="709"/>
        <w:jc w:val="both"/>
        <w:rPr>
          <w:rFonts w:ascii="Verdana" w:hAnsi="Verdana" w:cs="Arial"/>
          <w:sz w:val="20"/>
          <w:szCs w:val="20"/>
        </w:rPr>
      </w:pPr>
    </w:p>
    <w:p w14:paraId="393C52E7" w14:textId="77777777" w:rsidR="00D46909" w:rsidRPr="00D46909" w:rsidRDefault="00D46909" w:rsidP="00D46909">
      <w:pPr>
        <w:spacing w:after="0" w:line="240" w:lineRule="auto"/>
        <w:ind w:left="709" w:right="709"/>
        <w:jc w:val="both"/>
        <w:rPr>
          <w:rFonts w:ascii="Verdana" w:hAnsi="Verdana" w:cs="Arial"/>
          <w:sz w:val="20"/>
          <w:szCs w:val="20"/>
        </w:rPr>
      </w:pPr>
      <w:proofErr w:type="spellStart"/>
      <w:r w:rsidRPr="00D46909">
        <w:rPr>
          <w:rFonts w:ascii="Verdana" w:hAnsi="Verdana" w:cs="Arial"/>
          <w:sz w:val="20"/>
          <w:szCs w:val="20"/>
        </w:rPr>
        <w:t>ii</w:t>
      </w:r>
      <w:proofErr w:type="spellEnd"/>
      <w:r w:rsidRPr="00D46909">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A453791" w14:textId="77777777" w:rsidR="00D46909" w:rsidRPr="00D46909" w:rsidRDefault="00D46909" w:rsidP="00D46909">
      <w:pPr>
        <w:spacing w:after="0" w:line="276" w:lineRule="auto"/>
        <w:ind w:left="709" w:right="709"/>
        <w:jc w:val="both"/>
        <w:rPr>
          <w:rFonts w:ascii="Verdana" w:hAnsi="Verdana" w:cs="Arial"/>
        </w:rPr>
      </w:pPr>
    </w:p>
    <w:p w14:paraId="2C7192BD" w14:textId="77777777" w:rsidR="00D46909" w:rsidRPr="00D46909" w:rsidRDefault="00D46909" w:rsidP="00D46909">
      <w:pPr>
        <w:spacing w:after="120" w:line="276" w:lineRule="auto"/>
        <w:ind w:firstLine="709"/>
        <w:jc w:val="both"/>
        <w:rPr>
          <w:rFonts w:ascii="Verdana" w:eastAsia="Arial" w:hAnsi="Verdana" w:cs="Arial"/>
          <w:i/>
          <w:iCs/>
          <w:lang w:eastAsia="es-ES" w:bidi="es-ES"/>
        </w:rPr>
      </w:pPr>
      <w:r w:rsidRPr="00D46909">
        <w:rPr>
          <w:rFonts w:ascii="Verdana" w:eastAsia="Arial" w:hAnsi="Verdana" w:cs="Arial"/>
          <w:lang w:val="es-MX" w:eastAsia="es-ES" w:bidi="es-ES"/>
        </w:rPr>
        <w:t xml:space="preserve">De conformidad con los argumentos de dicha providencia, se parte de la distinción entre los conceptos </w:t>
      </w:r>
      <w:r w:rsidRPr="00D46909">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D46909">
        <w:rPr>
          <w:rFonts w:ascii="Times New Roman" w:hAnsi="Times New Roman"/>
          <w:sz w:val="24"/>
          <w:szCs w:val="24"/>
          <w:lang w:eastAsia="es-CO"/>
        </w:rPr>
        <w:t xml:space="preserve"> </w:t>
      </w:r>
      <w:r w:rsidRPr="00D46909">
        <w:rPr>
          <w:rFonts w:ascii="Verdana" w:eastAsia="Arial" w:hAnsi="Verdana" w:cs="Arial"/>
          <w:lang w:eastAsia="es-ES" w:bidi="es-ES"/>
        </w:rPr>
        <w:t xml:space="preserve">En este sentido, en relación con el parágrafo del artículo 38 de la Ley 996 de 2005 concluyó que </w:t>
      </w:r>
      <w:r w:rsidRPr="00D46909">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D46909">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D46909">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C172711" w14:textId="77777777" w:rsidR="00D46909" w:rsidRPr="00D46909" w:rsidRDefault="00D46909" w:rsidP="00D46909">
      <w:pPr>
        <w:spacing w:after="120" w:line="276" w:lineRule="auto"/>
        <w:ind w:firstLine="709"/>
        <w:jc w:val="both"/>
        <w:rPr>
          <w:rFonts w:ascii="Verdana" w:eastAsia="Arial" w:hAnsi="Verdana" w:cs="Arial"/>
          <w:lang w:eastAsia="es-ES" w:bidi="es-ES"/>
        </w:rPr>
      </w:pPr>
      <w:r w:rsidRPr="00D46909">
        <w:rPr>
          <w:rFonts w:ascii="Verdana" w:eastAsia="Arial" w:hAnsi="Verdana" w:cs="Arial"/>
          <w:lang w:eastAsia="es-ES" w:bidi="es-ES"/>
        </w:rPr>
        <w:t>De igual manera, mediante auto del 6 de noviembre de 2025, el Consejo de Estado, Subsección A de la Sección Tercera, decretó</w:t>
      </w:r>
      <w:r w:rsidRPr="00D46909">
        <w:rPr>
          <w:rFonts w:ascii="Verdana" w:eastAsia="Arial" w:hAnsi="Verdana" w:cs="Arial"/>
          <w:b/>
          <w:bCs/>
          <w:lang w:eastAsia="es-ES" w:bidi="es-ES"/>
        </w:rPr>
        <w:t xml:space="preserve"> </w:t>
      </w:r>
      <w:r w:rsidRPr="00D46909">
        <w:rPr>
          <w:rFonts w:ascii="Verdana" w:eastAsia="Arial" w:hAnsi="Verdana" w:cs="Arial"/>
          <w:lang w:eastAsia="es-ES" w:bidi="es-ES"/>
        </w:rPr>
        <w:t xml:space="preserve">la suspensión provisional de los apartes cuestionados del inciso segundo y del inciso cuarto del numeral </w:t>
      </w:r>
      <w:r w:rsidRPr="00D46909">
        <w:rPr>
          <w:rFonts w:ascii="Verdana" w:eastAsia="Arial" w:hAnsi="Verdana" w:cs="Arial"/>
          <w:lang w:eastAsia="es-ES" w:bidi="es-ES"/>
        </w:rPr>
        <w:lastRenderedPageBreak/>
        <w:t>16.2 de la Circular Externa Única, versión 3 del 27 de diciembre de 2023, expedida por la Agencia Nacional de Contratación Pública – Colombia Compra Eficiente relacionados con los contratos interadministrativos</w:t>
      </w:r>
      <w:r w:rsidRPr="00D46909">
        <w:rPr>
          <w:rFonts w:ascii="Verdana" w:eastAsia="Arial" w:hAnsi="Verdana" w:cs="Arial"/>
          <w:vertAlign w:val="superscript"/>
          <w:lang w:eastAsia="es-ES" w:bidi="es-ES"/>
        </w:rPr>
        <w:footnoteReference w:id="29"/>
      </w:r>
      <w:r w:rsidRPr="00D46909">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D46909">
        <w:rPr>
          <w:rFonts w:ascii="Verdana" w:eastAsia="Arial" w:hAnsi="Verdana" w:cs="Arial"/>
          <w:lang w:eastAsia="es-ES" w:bidi="es-ES"/>
        </w:rPr>
        <w:t>legis</w:t>
      </w:r>
      <w:proofErr w:type="spellEnd"/>
      <w:r w:rsidRPr="00D46909">
        <w:rPr>
          <w:rFonts w:ascii="Verdana" w:eastAsia="Arial" w:hAnsi="Verdana" w:cs="Arial"/>
          <w:lang w:eastAsia="es-ES" w:bidi="es-ES"/>
        </w:rPr>
        <w:t xml:space="preserve"> o iuris y la interpretación extensiva y reiteró los argumentos sobre la diferencia entre contratos y convenios interadministrativos. </w:t>
      </w:r>
    </w:p>
    <w:p w14:paraId="3F4278D0" w14:textId="77777777" w:rsidR="00D46909" w:rsidRPr="00D46909" w:rsidRDefault="00D46909" w:rsidP="00D46909">
      <w:pPr>
        <w:spacing w:after="120" w:line="276" w:lineRule="auto"/>
        <w:ind w:firstLine="709"/>
        <w:jc w:val="both"/>
        <w:rPr>
          <w:rFonts w:ascii="Verdana" w:eastAsia="Times New Roman" w:hAnsi="Verdana" w:cs="Arial"/>
          <w:lang w:eastAsia="es-CO"/>
        </w:rPr>
      </w:pPr>
      <w:r w:rsidRPr="00D46909">
        <w:rPr>
          <w:rFonts w:ascii="Verdana" w:eastAsia="Times New Roman" w:hAnsi="Verdana" w:cs="Arial"/>
          <w:lang w:eastAsia="es-CO"/>
        </w:rPr>
        <w:t xml:space="preserve">Así las cosas, a la luz de lo expuesto por el Consejo de Estado en los autos del 4 de octubre de 2024 y 6 de noviembre de 2025, no resultaría aplicable la prohibición del parágrafo del artículo 38 de la Ley de Garantías Electorales a los </w:t>
      </w:r>
      <w:r w:rsidRPr="00D46909">
        <w:rPr>
          <w:rFonts w:ascii="Verdana" w:eastAsia="Times New Roman" w:hAnsi="Verdana" w:cs="Arial"/>
          <w:i/>
          <w:iCs/>
          <w:lang w:eastAsia="es-CO"/>
        </w:rPr>
        <w:t>contratos interadministrativos</w:t>
      </w:r>
      <w:r w:rsidRPr="00D46909">
        <w:rPr>
          <w:rFonts w:ascii="Verdana" w:eastAsia="Times New Roman" w:hAnsi="Verdana" w:cs="Arial"/>
          <w:lang w:eastAsia="es-CO"/>
        </w:rPr>
        <w:t xml:space="preserve">. </w:t>
      </w:r>
    </w:p>
    <w:p w14:paraId="7421A1E5" w14:textId="77777777" w:rsidR="00D46909" w:rsidRPr="00D46909" w:rsidRDefault="00D46909" w:rsidP="00D46909">
      <w:pPr>
        <w:spacing w:after="120" w:line="276" w:lineRule="auto"/>
        <w:ind w:firstLine="709"/>
        <w:jc w:val="both"/>
        <w:rPr>
          <w:rFonts w:ascii="Verdana" w:eastAsia="Times New Roman" w:hAnsi="Verdana" w:cs="Arial"/>
          <w:lang w:eastAsia="es-CO"/>
        </w:rPr>
      </w:pPr>
      <w:r w:rsidRPr="00D46909">
        <w:rPr>
          <w:rFonts w:ascii="Verdana" w:eastAsia="Times New Roman" w:hAnsi="Verdana" w:cs="Arial"/>
          <w:lang w:eastAsia="es-CO"/>
        </w:rPr>
        <w:t>En este contexto, frente a la consulta planteada, resulta necesario verificar dos aspectos fundamentales: (i) si la celebración del contrato de empréstito involucra a alguno de los sujetos mencionados en el parágrafo del artículo 38 de la Ley de Garantías Electorales, y (</w:t>
      </w:r>
      <w:proofErr w:type="spellStart"/>
      <w:r w:rsidRPr="00D46909">
        <w:rPr>
          <w:rFonts w:ascii="Verdana" w:eastAsia="Times New Roman" w:hAnsi="Verdana" w:cs="Arial"/>
          <w:lang w:eastAsia="es-CO"/>
        </w:rPr>
        <w:t>ii</w:t>
      </w:r>
      <w:proofErr w:type="spellEnd"/>
      <w:r w:rsidRPr="00D46909">
        <w:rPr>
          <w:rFonts w:ascii="Verdana" w:eastAsia="Times New Roman" w:hAnsi="Verdana" w:cs="Arial"/>
          <w:lang w:eastAsia="es-CO"/>
        </w:rPr>
        <w:t xml:space="preserve">) si el objeto proyectado tiene la naturaleza de un convenio interadministrativo destinado a la ejecución de recursos públicos. </w:t>
      </w:r>
      <w:r w:rsidRPr="00D46909">
        <w:rPr>
          <w:rFonts w:ascii="Verdana" w:hAnsi="Verdana" w:cs="Arial"/>
        </w:rPr>
        <w:t>Cuando este sea el caso</w:t>
      </w:r>
      <w:r w:rsidRPr="00D46909">
        <w:rPr>
          <w:rFonts w:ascii="Verdana" w:eastAsia="Times New Roman" w:hAnsi="Verdana" w:cs="Arial"/>
          <w:lang w:eastAsia="es-CO"/>
        </w:rPr>
        <w:t xml:space="preserve">, opera la prohibición establecida en la norma, restringiendo la celebración de tales convenios durante los cuatro meses previos a cualquier contienda electoral, pues como se indicó, la restricción aplicará a los sujetos allí señalados, </w:t>
      </w:r>
      <w:r w:rsidRPr="00D46909">
        <w:rPr>
          <w:rFonts w:ascii="Verdana" w:eastAsia="Times New Roman" w:hAnsi="Verdana" w:cs="Arial"/>
          <w:i/>
          <w:iCs/>
          <w:lang w:eastAsia="es-CO"/>
        </w:rPr>
        <w:t>“aunque se configure alguno de los supuestos de excepción que señaló el inciso final del artículo 33”.</w:t>
      </w:r>
      <w:r w:rsidRPr="00D46909">
        <w:rPr>
          <w:rFonts w:ascii="Verdana" w:eastAsia="Times New Roman" w:hAnsi="Verdana" w:cs="Arial"/>
          <w:lang w:eastAsia="es-CO"/>
        </w:rPr>
        <w:t xml:space="preserve"> </w:t>
      </w:r>
    </w:p>
    <w:p w14:paraId="494CC254" w14:textId="77777777" w:rsidR="00D46909" w:rsidRPr="00D46909" w:rsidRDefault="00D46909" w:rsidP="00D46909">
      <w:pPr>
        <w:spacing w:after="120" w:line="276" w:lineRule="auto"/>
        <w:ind w:firstLine="709"/>
        <w:jc w:val="both"/>
        <w:rPr>
          <w:rFonts w:ascii="Verdana" w:eastAsia="Times New Roman" w:hAnsi="Verdana" w:cs="Arial"/>
          <w:lang w:eastAsia="es-CO"/>
        </w:rPr>
      </w:pPr>
      <w:r w:rsidRPr="00D46909">
        <w:rPr>
          <w:rFonts w:ascii="Verdana" w:eastAsia="Times New Roman" w:hAnsi="Verdana" w:cs="Arial"/>
          <w:lang w:eastAsia="es-CO"/>
        </w:rPr>
        <w:t xml:space="preserve">Por su parte, conforme a lo señalado por el Consejo de Estado, cuando dos entidades públicas celebren un </w:t>
      </w:r>
      <w:r w:rsidRPr="00D46909">
        <w:rPr>
          <w:rFonts w:ascii="Verdana" w:eastAsia="Times New Roman" w:hAnsi="Verdana" w:cs="Arial"/>
          <w:i/>
          <w:iCs/>
          <w:lang w:eastAsia="es-CO"/>
        </w:rPr>
        <w:t>contrato interadministrativo,</w:t>
      </w:r>
      <w:r w:rsidRPr="00D46909">
        <w:rPr>
          <w:rFonts w:ascii="Verdana" w:eastAsia="Times New Roman" w:hAnsi="Verdana" w:cs="Arial"/>
          <w:lang w:eastAsia="es-CO"/>
        </w:rPr>
        <w:t xml:space="preserve"> independientemente del objeto, dicho contrato puede suscribirse durante el periodo preelectoral. Por consiguiente y de acuerdo con la referida posición del Consejo de Estado, si el contrato de empréstito involucra a alguno de los sujetos </w:t>
      </w:r>
      <w:r w:rsidRPr="00D46909">
        <w:rPr>
          <w:rFonts w:ascii="Verdana" w:eastAsia="Times New Roman" w:hAnsi="Verdana" w:cs="Arial"/>
          <w:lang w:eastAsia="es-CO"/>
        </w:rPr>
        <w:lastRenderedPageBreak/>
        <w:t xml:space="preserve">mencionados en el parágrafo del artículo 38 de la Ley de Garantías Electorales y se constituye como un contrato interadministrativo no le resulta aplicable la limitación prevista en el parágrafo del artículo 38. </w:t>
      </w:r>
    </w:p>
    <w:p w14:paraId="20C7FF56" w14:textId="77777777" w:rsidR="00D46909" w:rsidRPr="00D46909" w:rsidRDefault="00D46909" w:rsidP="00D46909">
      <w:pPr>
        <w:spacing w:after="120" w:line="276" w:lineRule="auto"/>
        <w:ind w:firstLine="709"/>
        <w:jc w:val="both"/>
        <w:rPr>
          <w:rFonts w:ascii="Verdana" w:eastAsia="Arial" w:hAnsi="Verdana" w:cs="Arial"/>
          <w:lang w:val="es-ES" w:eastAsia="es-ES" w:bidi="es-ES"/>
        </w:rPr>
      </w:pPr>
      <w:r w:rsidRPr="00D46909">
        <w:rPr>
          <w:rFonts w:ascii="Verdana" w:eastAsia="Times New Roman" w:hAnsi="Verdana" w:cs="Arial"/>
          <w:lang w:val="es-ES" w:eastAsia="es-CO" w:bidi="es-ES"/>
        </w:rPr>
        <w:t>En todo caso</w:t>
      </w:r>
      <w:r w:rsidRPr="00D46909">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D46909">
        <w:rPr>
          <w:rFonts w:ascii="Verdana" w:eastAsia="Arial" w:hAnsi="Verdana" w:cs="Arial"/>
          <w:vertAlign w:val="superscript"/>
          <w:lang w:val="es-ES" w:eastAsia="es-ES" w:bidi="es-ES"/>
        </w:rPr>
        <w:footnoteReference w:id="30"/>
      </w:r>
      <w:r w:rsidRPr="00D46909">
        <w:rPr>
          <w:rFonts w:ascii="Verdana" w:eastAsia="Arial" w:hAnsi="Verdana" w:cs="Arial"/>
          <w:lang w:val="es-ES" w:eastAsia="es-ES" w:bidi="es-ES"/>
        </w:rPr>
        <w:t>.</w:t>
      </w:r>
    </w:p>
    <w:p w14:paraId="339B5285" w14:textId="77777777" w:rsidR="00D46909" w:rsidRPr="00D46909" w:rsidRDefault="00D46909" w:rsidP="00D46909">
      <w:pPr>
        <w:spacing w:after="120" w:line="276" w:lineRule="auto"/>
        <w:ind w:firstLine="709"/>
        <w:jc w:val="both"/>
        <w:rPr>
          <w:rFonts w:ascii="Verdana" w:eastAsia="Arial" w:hAnsi="Verdana" w:cs="Arial"/>
          <w:bCs/>
          <w:color w:val="000000" w:themeColor="text1"/>
          <w:lang w:val="es-ES"/>
        </w:rPr>
      </w:pPr>
      <w:r w:rsidRPr="00D46909">
        <w:rPr>
          <w:rFonts w:ascii="Verdana" w:eastAsia="Arial" w:hAnsi="Verdana" w:cs="Arial"/>
          <w:lang w:val="es-ES" w:eastAsia="es-ES" w:bidi="es-ES"/>
        </w:rPr>
        <w:t xml:space="preserve">En síntesis, por virtud de las excepciones establecidas en el </w:t>
      </w:r>
      <w:r w:rsidRPr="00D46909">
        <w:rPr>
          <w:rFonts w:ascii="Verdana" w:eastAsiaTheme="minorHAnsi" w:hAnsi="Verdana" w:cs="Arial"/>
          <w:bCs/>
          <w:color w:val="000000" w:themeColor="text1"/>
          <w:lang w:val="es-ES"/>
        </w:rPr>
        <w:t xml:space="preserve">segundo inciso del </w:t>
      </w:r>
      <w:r w:rsidRPr="00D46909">
        <w:rPr>
          <w:rFonts w:ascii="Verdana" w:eastAsia="Arial" w:hAnsi="Verdana" w:cs="Arial"/>
          <w:lang w:val="es-ES" w:eastAsia="es-ES" w:bidi="es-ES"/>
        </w:rPr>
        <w:t>artículo 33</w:t>
      </w:r>
      <w:r w:rsidRPr="00D46909">
        <w:rPr>
          <w:rFonts w:ascii="Verdana" w:eastAsia="Arial" w:hAnsi="Verdana" w:cs="Arial"/>
          <w:bCs/>
          <w:color w:val="000000" w:themeColor="text1"/>
          <w:lang w:val="es-ES"/>
        </w:rPr>
        <w:t xml:space="preserve"> de la Ley de Garantías Electorales, los entes del Estado podrán contratar directamente contratos de empréstitos, </w:t>
      </w:r>
      <w:r w:rsidRPr="00D46909">
        <w:rPr>
          <w:rFonts w:ascii="Verdana" w:eastAsia="Arial" w:hAnsi="Verdana" w:cs="Arial"/>
          <w:bCs/>
          <w:color w:val="000000" w:themeColor="text1"/>
        </w:rPr>
        <w:t>durante los cuatro (4) meses anteriores a las elecciones presidenciales</w:t>
      </w:r>
      <w:r w:rsidRPr="00D46909">
        <w:rPr>
          <w:rFonts w:ascii="Verdana" w:eastAsia="Arial" w:hAnsi="Verdana" w:cs="Arial"/>
          <w:bCs/>
          <w:color w:val="000000" w:themeColor="text1"/>
          <w:lang w:val="es-ES"/>
        </w:rPr>
        <w:t xml:space="preserve">. Asimismo, si estos contratos se proyectan como contratos interadministrativos, </w:t>
      </w:r>
      <w:proofErr w:type="gramStart"/>
      <w:r w:rsidRPr="00D46909">
        <w:rPr>
          <w:rFonts w:ascii="Verdana" w:eastAsia="Arial" w:hAnsi="Verdana" w:cs="Arial"/>
          <w:bCs/>
          <w:color w:val="000000" w:themeColor="text1"/>
          <w:lang w:val="es-ES"/>
        </w:rPr>
        <w:t>de acuerdo a</w:t>
      </w:r>
      <w:proofErr w:type="gramEnd"/>
      <w:r w:rsidRPr="00D46909">
        <w:rPr>
          <w:rFonts w:ascii="Verdana" w:eastAsia="Arial" w:hAnsi="Verdana" w:cs="Arial"/>
          <w:bCs/>
          <w:color w:val="000000" w:themeColor="text1"/>
          <w:lang w:val="es-ES"/>
        </w:rPr>
        <w:t xml:space="preserve"> la postura del Consejo de Estado, tampoco les resultaría aplicable la restricción contenida en el parágrafo del artículo 38, por lo que podrían contratar dentro de </w:t>
      </w:r>
      <w:r w:rsidRPr="00D46909">
        <w:rPr>
          <w:rFonts w:ascii="Verdana" w:eastAsia="Arial" w:hAnsi="Verdana" w:cs="Arial"/>
          <w:bCs/>
          <w:color w:val="000000" w:themeColor="text1"/>
        </w:rPr>
        <w:t xml:space="preserve">los cuatro meses anteriores a las elecciones para cualquier cargo de elección popular a que se refiere la ley, incluido el de </w:t>
      </w:r>
      <w:proofErr w:type="gramStart"/>
      <w:r w:rsidRPr="00D46909">
        <w:rPr>
          <w:rFonts w:ascii="Verdana" w:eastAsia="Arial" w:hAnsi="Verdana" w:cs="Arial"/>
          <w:bCs/>
          <w:color w:val="000000" w:themeColor="text1"/>
        </w:rPr>
        <w:t>Presidente</w:t>
      </w:r>
      <w:proofErr w:type="gramEnd"/>
      <w:r w:rsidRPr="00D46909">
        <w:rPr>
          <w:rFonts w:ascii="Verdana" w:eastAsia="Arial" w:hAnsi="Verdana" w:cs="Arial"/>
          <w:bCs/>
          <w:color w:val="000000" w:themeColor="text1"/>
        </w:rPr>
        <w:t xml:space="preserve"> de la República.</w:t>
      </w:r>
    </w:p>
    <w:p w14:paraId="68B98EB5" w14:textId="77777777" w:rsidR="00D46909" w:rsidRPr="00D46909" w:rsidRDefault="00D46909" w:rsidP="00D46909">
      <w:pPr>
        <w:spacing w:after="120" w:line="276" w:lineRule="auto"/>
        <w:ind w:firstLine="709"/>
        <w:jc w:val="both"/>
        <w:rPr>
          <w:rFonts w:ascii="Verdana" w:eastAsia="Arial" w:hAnsi="Verdana" w:cs="Arial"/>
          <w:color w:val="000000" w:themeColor="text1"/>
        </w:rPr>
      </w:pPr>
      <w:r w:rsidRPr="00D46909">
        <w:rPr>
          <w:rFonts w:ascii="Verdana" w:eastAsia="Arial" w:hAnsi="Verdana" w:cs="Arial"/>
          <w:bCs/>
          <w:color w:val="000000" w:themeColor="text1"/>
        </w:rPr>
        <w:t xml:space="preserve">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D46909">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w:t>
      </w:r>
    </w:p>
    <w:p w14:paraId="31A4A027" w14:textId="77777777" w:rsidR="00D46909" w:rsidRPr="00D46909" w:rsidRDefault="00D46909" w:rsidP="00D46909">
      <w:pPr>
        <w:spacing w:after="120" w:line="276" w:lineRule="auto"/>
        <w:jc w:val="both"/>
        <w:rPr>
          <w:rFonts w:ascii="Verdana" w:hAnsi="Verdana" w:cs="Arial"/>
          <w:bCs/>
          <w:color w:val="000000" w:themeColor="text1"/>
        </w:rPr>
      </w:pPr>
      <w:r w:rsidRPr="00D46909">
        <w:rPr>
          <w:rFonts w:ascii="Verdana" w:hAnsi="Verdana" w:cs="Arial"/>
          <w:bCs/>
          <w:color w:val="000000" w:themeColor="text1"/>
        </w:rPr>
        <w:t xml:space="preserve">v.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w:t>
      </w:r>
      <w:r w:rsidRPr="00D46909">
        <w:rPr>
          <w:rFonts w:ascii="Verdana" w:hAnsi="Verdana" w:cs="Arial"/>
          <w:bCs/>
          <w:color w:val="000000" w:themeColor="text1"/>
        </w:rPr>
        <w:lastRenderedPageBreak/>
        <w:t>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3A0CF50" w14:textId="77777777" w:rsidR="00D46909" w:rsidRPr="00D46909" w:rsidRDefault="00D46909" w:rsidP="00D46909">
      <w:pPr>
        <w:spacing w:after="0" w:line="276" w:lineRule="auto"/>
        <w:ind w:firstLine="708"/>
        <w:jc w:val="both"/>
        <w:rPr>
          <w:rFonts w:ascii="Verdana" w:hAnsi="Verdana" w:cs="Arial"/>
          <w:bCs/>
          <w:color w:val="000000" w:themeColor="text1"/>
        </w:rPr>
      </w:pPr>
      <w:r w:rsidRPr="00D46909">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B3DED0F" w14:textId="77777777" w:rsidR="00D46909" w:rsidRPr="00D46909" w:rsidRDefault="00D46909" w:rsidP="00D46909">
      <w:pPr>
        <w:spacing w:after="0" w:line="276" w:lineRule="auto"/>
        <w:ind w:firstLine="708"/>
        <w:jc w:val="both"/>
        <w:rPr>
          <w:rFonts w:ascii="Verdana" w:hAnsi="Verdana" w:cs="Arial"/>
          <w:bCs/>
          <w:color w:val="000000" w:themeColor="text1"/>
        </w:rPr>
      </w:pPr>
    </w:p>
    <w:p w14:paraId="31BC0662" w14:textId="77777777" w:rsidR="00D46909" w:rsidRPr="00D46909" w:rsidRDefault="00D46909" w:rsidP="00D46909">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D46909">
        <w:rPr>
          <w:rFonts w:ascii="Verdana" w:eastAsia="Century Gothic" w:hAnsi="Verdana" w:cs="Century Gothic"/>
          <w:b/>
          <w:bCs/>
          <w:lang w:val="es-ES_tradnl"/>
        </w:rPr>
        <w:t>Referencias normativas:</w:t>
      </w:r>
    </w:p>
    <w:p w14:paraId="154D9E58" w14:textId="77777777" w:rsidR="00D46909" w:rsidRPr="00D46909" w:rsidRDefault="00D46909" w:rsidP="00D46909">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6909" w:rsidRPr="00D46909" w14:paraId="2D2121B1" w14:textId="77777777" w:rsidTr="00D014BF">
        <w:trPr>
          <w:trHeight w:val="491"/>
          <w:jc w:val="center"/>
        </w:trPr>
        <w:tc>
          <w:tcPr>
            <w:tcW w:w="8647" w:type="dxa"/>
          </w:tcPr>
          <w:p w14:paraId="5DC0470C" w14:textId="77777777" w:rsidR="00D46909" w:rsidRPr="00D46909" w:rsidRDefault="00D46909" w:rsidP="00D46909">
            <w:pPr>
              <w:widowControl w:val="0"/>
              <w:numPr>
                <w:ilvl w:val="0"/>
                <w:numId w:val="17"/>
              </w:numPr>
              <w:autoSpaceDE w:val="0"/>
              <w:autoSpaceDN w:val="0"/>
              <w:spacing w:before="120" w:after="120" w:line="240" w:lineRule="auto"/>
              <w:jc w:val="both"/>
              <w:rPr>
                <w:rFonts w:ascii="Verdana" w:eastAsia="Arial MT" w:hAnsi="Verdana" w:cs="Arial"/>
                <w:lang w:val="es-ES" w:eastAsia="es-ES" w:bidi="es-ES"/>
              </w:rPr>
            </w:pPr>
            <w:r w:rsidRPr="00D46909">
              <w:rPr>
                <w:rFonts w:ascii="Verdana" w:eastAsia="Arial MT" w:hAnsi="Verdana" w:cs="Arial"/>
                <w:lang w:val="es-ES" w:eastAsia="es-ES" w:bidi="es-ES"/>
              </w:rPr>
              <w:t>Constitución Política, artículo 127.</w:t>
            </w:r>
          </w:p>
          <w:p w14:paraId="3472703A" w14:textId="77777777" w:rsidR="00D46909" w:rsidRPr="00D46909" w:rsidRDefault="00D46909" w:rsidP="00D46909">
            <w:pPr>
              <w:widowControl w:val="0"/>
              <w:numPr>
                <w:ilvl w:val="0"/>
                <w:numId w:val="17"/>
              </w:numPr>
              <w:autoSpaceDE w:val="0"/>
              <w:autoSpaceDN w:val="0"/>
              <w:spacing w:after="120" w:line="240" w:lineRule="auto"/>
              <w:jc w:val="both"/>
              <w:rPr>
                <w:rFonts w:ascii="Verdana" w:eastAsia="Arial MT" w:hAnsi="Verdana" w:cs="Arial"/>
                <w:lang w:val="es-ES" w:eastAsia="es-ES" w:bidi="es-ES"/>
              </w:rPr>
            </w:pPr>
            <w:r w:rsidRPr="00D46909">
              <w:rPr>
                <w:rFonts w:ascii="Verdana" w:eastAsia="Arial MT" w:hAnsi="Verdana" w:cs="Arial"/>
                <w:bCs/>
                <w:lang w:val="es-ES" w:eastAsia="es-ES" w:bidi="es-ES"/>
              </w:rPr>
              <w:t>Ley 996 de 2005, artículos 33 y 38.</w:t>
            </w:r>
          </w:p>
          <w:p w14:paraId="254824E2" w14:textId="77777777" w:rsidR="00D46909" w:rsidRPr="00D46909" w:rsidRDefault="00D46909" w:rsidP="00D46909">
            <w:pPr>
              <w:widowControl w:val="0"/>
              <w:numPr>
                <w:ilvl w:val="0"/>
                <w:numId w:val="17"/>
              </w:numPr>
              <w:autoSpaceDE w:val="0"/>
              <w:autoSpaceDN w:val="0"/>
              <w:spacing w:after="120" w:line="240" w:lineRule="auto"/>
              <w:jc w:val="both"/>
              <w:rPr>
                <w:rFonts w:ascii="Verdana" w:eastAsia="Arial MT" w:hAnsi="Verdana" w:cs="Arial"/>
                <w:lang w:val="es-ES" w:eastAsia="es-ES" w:bidi="es-ES"/>
              </w:rPr>
            </w:pPr>
            <w:r w:rsidRPr="00D46909">
              <w:rPr>
                <w:rFonts w:ascii="Verdana" w:hAnsi="Verdana" w:cs="Arial"/>
                <w:bCs/>
                <w:color w:val="000000" w:themeColor="text1"/>
                <w:lang w:val="es-ES"/>
              </w:rPr>
              <w:t>Decreto 1068 de 2015, artículo 2.2.1.1.1.</w:t>
            </w:r>
          </w:p>
          <w:p w14:paraId="5BBBB456" w14:textId="77777777" w:rsidR="00D46909" w:rsidRPr="00D46909" w:rsidRDefault="00D46909" w:rsidP="00D46909">
            <w:pPr>
              <w:widowControl w:val="0"/>
              <w:numPr>
                <w:ilvl w:val="0"/>
                <w:numId w:val="17"/>
              </w:numPr>
              <w:autoSpaceDE w:val="0"/>
              <w:autoSpaceDN w:val="0"/>
              <w:spacing w:after="120" w:line="240" w:lineRule="auto"/>
              <w:jc w:val="both"/>
              <w:rPr>
                <w:rFonts w:ascii="Verdana" w:hAnsi="Verdana" w:cs="Arial"/>
                <w:lang w:val="es-ES"/>
              </w:rPr>
            </w:pPr>
            <w:r w:rsidRPr="00D46909">
              <w:rPr>
                <w:rFonts w:ascii="Verdana" w:hAnsi="Verdana" w:cs="Arial"/>
                <w:lang w:val="es-ES"/>
              </w:rPr>
              <w:t xml:space="preserve">Consejo de Estado, Sección Primera. Sentencia de 3 de marzo de 2005, </w:t>
            </w:r>
            <w:proofErr w:type="spellStart"/>
            <w:r w:rsidRPr="00D46909">
              <w:rPr>
                <w:rFonts w:ascii="Verdana" w:hAnsi="Verdana" w:cs="Arial"/>
                <w:lang w:val="es-ES"/>
              </w:rPr>
              <w:t>Exp</w:t>
            </w:r>
            <w:proofErr w:type="spellEnd"/>
            <w:r w:rsidRPr="00D46909">
              <w:rPr>
                <w:rFonts w:ascii="Verdana" w:hAnsi="Verdana" w:cs="Arial"/>
                <w:lang w:val="es-ES"/>
              </w:rPr>
              <w:t xml:space="preserve">. 2004-00823-01(PI). </w:t>
            </w:r>
          </w:p>
          <w:p w14:paraId="4B0236F6" w14:textId="77777777" w:rsidR="00D46909" w:rsidRPr="00D46909" w:rsidRDefault="00D46909" w:rsidP="00D46909">
            <w:pPr>
              <w:widowControl w:val="0"/>
              <w:numPr>
                <w:ilvl w:val="0"/>
                <w:numId w:val="17"/>
              </w:numPr>
              <w:autoSpaceDE w:val="0"/>
              <w:autoSpaceDN w:val="0"/>
              <w:spacing w:after="120" w:line="240" w:lineRule="auto"/>
              <w:jc w:val="both"/>
              <w:rPr>
                <w:rFonts w:ascii="Verdana" w:hAnsi="Verdana" w:cs="Arial"/>
                <w:lang w:val="es-ES"/>
              </w:rPr>
            </w:pPr>
            <w:r w:rsidRPr="00D46909">
              <w:rPr>
                <w:rFonts w:ascii="Verdana" w:hAnsi="Verdana" w:cs="Arial"/>
                <w:lang w:val="es-ES"/>
              </w:rPr>
              <w:t xml:space="preserve">Consejo de Estado, Sala de Consulta y Servicio Civil, Concepto de fecha 24 de julio de 2013, Rad. 2166, C. P. Álvaro </w:t>
            </w:r>
            <w:proofErr w:type="spellStart"/>
            <w:r w:rsidRPr="00D46909">
              <w:rPr>
                <w:rFonts w:ascii="Verdana" w:hAnsi="Verdana" w:cs="Arial"/>
                <w:lang w:val="es-ES"/>
              </w:rPr>
              <w:t>Namén</w:t>
            </w:r>
            <w:proofErr w:type="spellEnd"/>
            <w:r w:rsidRPr="00D46909">
              <w:rPr>
                <w:rFonts w:ascii="Verdana" w:hAnsi="Verdana" w:cs="Arial"/>
                <w:lang w:val="es-ES"/>
              </w:rPr>
              <w:t xml:space="preserve"> Vargas. </w:t>
            </w:r>
          </w:p>
          <w:p w14:paraId="2F034E8A" w14:textId="77777777" w:rsidR="00D46909" w:rsidRPr="00D46909" w:rsidRDefault="00D46909" w:rsidP="00D46909">
            <w:pPr>
              <w:numPr>
                <w:ilvl w:val="0"/>
                <w:numId w:val="17"/>
              </w:numPr>
              <w:spacing w:before="120" w:after="120" w:line="276" w:lineRule="auto"/>
              <w:jc w:val="both"/>
              <w:rPr>
                <w:rFonts w:ascii="Verdana" w:hAnsi="Verdana" w:cs="Arial"/>
                <w:lang w:val="es-ES"/>
              </w:rPr>
            </w:pPr>
            <w:r w:rsidRPr="00D46909">
              <w:rPr>
                <w:rFonts w:ascii="Verdana" w:hAnsi="Verdana" w:cs="Arial"/>
              </w:rPr>
              <w:t>Consejo de Estado. Sala de Consulta y Servicio Civil. Concepto del 15 de noviembre de 2007. Expediente número 1863. Consejero Ponente: Luis Fernando Álvarez Jaramillo</w:t>
            </w:r>
          </w:p>
          <w:p w14:paraId="2CE8CF70" w14:textId="77777777" w:rsidR="00D46909" w:rsidRPr="00D46909" w:rsidRDefault="00D46909" w:rsidP="00D46909">
            <w:pPr>
              <w:numPr>
                <w:ilvl w:val="0"/>
                <w:numId w:val="17"/>
              </w:numPr>
              <w:spacing w:before="120" w:after="120" w:line="276" w:lineRule="auto"/>
              <w:jc w:val="both"/>
              <w:rPr>
                <w:rFonts w:ascii="Verdana" w:hAnsi="Verdana" w:cs="Arial"/>
                <w:lang w:val="es-ES"/>
              </w:rPr>
            </w:pPr>
            <w:r w:rsidRPr="00D46909">
              <w:rPr>
                <w:rFonts w:ascii="Verdana" w:hAnsi="Verdana" w:cs="Arial"/>
                <w:lang w:val="es-ES"/>
              </w:rPr>
              <w:t>Consejo de Estado. Sala de Consulta y Servicio Civil. Concepto del 17 de febrero de 2015. C.P. William Zambrano Cetina. Radicación No. 11001-03-06-000-2015-00164-00(2269).</w:t>
            </w:r>
          </w:p>
          <w:p w14:paraId="7A6AC437" w14:textId="77777777" w:rsidR="00D46909" w:rsidRPr="00D46909" w:rsidRDefault="00D46909" w:rsidP="00D46909">
            <w:pPr>
              <w:numPr>
                <w:ilvl w:val="0"/>
                <w:numId w:val="17"/>
              </w:numPr>
              <w:spacing w:before="120" w:after="120" w:line="276" w:lineRule="auto"/>
              <w:jc w:val="both"/>
              <w:rPr>
                <w:rFonts w:ascii="Verdana" w:hAnsi="Verdana" w:cs="Arial"/>
                <w:lang w:val="es-ES"/>
              </w:rPr>
            </w:pPr>
            <w:r w:rsidRPr="00D46909">
              <w:rPr>
                <w:rFonts w:ascii="Verdana" w:hAnsi="Verdana" w:cs="Arial"/>
                <w:lang w:val="es-ES"/>
              </w:rPr>
              <w:t xml:space="preserve">Consejo de Estado, Sala de Consulta y Servicio Civil, Concepto de fecha 8 de mayo de 2018, No. 2382. C. P. Álvaro </w:t>
            </w:r>
            <w:proofErr w:type="spellStart"/>
            <w:r w:rsidRPr="00D46909">
              <w:rPr>
                <w:rFonts w:ascii="Verdana" w:hAnsi="Verdana" w:cs="Arial"/>
                <w:lang w:val="es-ES"/>
              </w:rPr>
              <w:t>Namén</w:t>
            </w:r>
            <w:proofErr w:type="spellEnd"/>
            <w:r w:rsidRPr="00D46909">
              <w:rPr>
                <w:rFonts w:ascii="Verdana" w:hAnsi="Verdana" w:cs="Arial"/>
                <w:lang w:val="es-ES"/>
              </w:rPr>
              <w:t xml:space="preserve"> Vargas.</w:t>
            </w:r>
          </w:p>
          <w:p w14:paraId="6CF66B96" w14:textId="77777777" w:rsidR="00D46909" w:rsidRPr="00D46909" w:rsidRDefault="00D46909" w:rsidP="00D46909">
            <w:pPr>
              <w:numPr>
                <w:ilvl w:val="0"/>
                <w:numId w:val="17"/>
              </w:numPr>
              <w:spacing w:before="120" w:after="120" w:line="276" w:lineRule="auto"/>
              <w:jc w:val="both"/>
              <w:rPr>
                <w:rFonts w:ascii="Verdana" w:hAnsi="Verdana" w:cs="Arial"/>
                <w:lang w:val="es-ES"/>
              </w:rPr>
            </w:pPr>
            <w:r w:rsidRPr="00D46909">
              <w:rPr>
                <w:rFonts w:ascii="Verdana" w:hAnsi="Verdana" w:cs="Arial"/>
              </w:rPr>
              <w:lastRenderedPageBreak/>
              <w:t xml:space="preserve">Consejo de Estado. Sala de Consulta y Servicio Civil. Concepto del 2 de septiembre de 2013 Radicado No: 2168. CP: </w:t>
            </w:r>
            <w:proofErr w:type="spellStart"/>
            <w:r w:rsidRPr="00D46909">
              <w:rPr>
                <w:rFonts w:ascii="Verdana" w:hAnsi="Verdana" w:cs="Arial"/>
              </w:rPr>
              <w:t>Alvaro</w:t>
            </w:r>
            <w:proofErr w:type="spellEnd"/>
            <w:r w:rsidRPr="00D46909">
              <w:rPr>
                <w:rFonts w:ascii="Verdana" w:hAnsi="Verdana" w:cs="Arial"/>
              </w:rPr>
              <w:t xml:space="preserve"> </w:t>
            </w:r>
            <w:proofErr w:type="spellStart"/>
            <w:r w:rsidRPr="00D46909">
              <w:rPr>
                <w:rFonts w:ascii="Verdana" w:hAnsi="Verdana" w:cs="Arial"/>
              </w:rPr>
              <w:t>Namén</w:t>
            </w:r>
            <w:proofErr w:type="spellEnd"/>
            <w:r w:rsidRPr="00D46909">
              <w:rPr>
                <w:rFonts w:ascii="Verdana" w:hAnsi="Verdana" w:cs="Arial"/>
              </w:rPr>
              <w:t xml:space="preserve"> Vargas.</w:t>
            </w:r>
          </w:p>
          <w:p w14:paraId="448A5234" w14:textId="77777777" w:rsidR="00D46909" w:rsidRPr="00D46909" w:rsidRDefault="00D46909" w:rsidP="00D46909">
            <w:pPr>
              <w:widowControl w:val="0"/>
              <w:numPr>
                <w:ilvl w:val="0"/>
                <w:numId w:val="17"/>
              </w:numPr>
              <w:autoSpaceDE w:val="0"/>
              <w:autoSpaceDN w:val="0"/>
              <w:spacing w:after="120" w:line="276" w:lineRule="auto"/>
              <w:jc w:val="both"/>
              <w:rPr>
                <w:rFonts w:ascii="Verdana" w:hAnsi="Verdana" w:cs="Arial"/>
                <w:lang w:val="es-ES"/>
              </w:rPr>
            </w:pPr>
            <w:proofErr w:type="spellStart"/>
            <w:r w:rsidRPr="00D46909">
              <w:rPr>
                <w:rFonts w:ascii="Verdana" w:hAnsi="Verdana" w:cs="Arial"/>
                <w:lang w:val="pt-BR"/>
              </w:rPr>
              <w:t>Consejo</w:t>
            </w:r>
            <w:proofErr w:type="spellEnd"/>
            <w:r w:rsidRPr="00D46909">
              <w:rPr>
                <w:rFonts w:ascii="Verdana" w:hAnsi="Verdana" w:cs="Arial"/>
                <w:lang w:val="pt-BR"/>
              </w:rPr>
              <w:t xml:space="preserve"> de Estado, </w:t>
            </w:r>
            <w:proofErr w:type="spellStart"/>
            <w:r w:rsidRPr="00D46909">
              <w:rPr>
                <w:rFonts w:ascii="Verdana" w:hAnsi="Verdana" w:cs="Arial"/>
                <w:lang w:val="pt-BR"/>
              </w:rPr>
              <w:t>Sección</w:t>
            </w:r>
            <w:proofErr w:type="spellEnd"/>
            <w:r w:rsidRPr="00D46909">
              <w:rPr>
                <w:rFonts w:ascii="Verdana" w:hAnsi="Verdana" w:cs="Arial"/>
                <w:lang w:val="pt-BR"/>
              </w:rPr>
              <w:t xml:space="preserve"> Tercera. Auto </w:t>
            </w:r>
            <w:proofErr w:type="spellStart"/>
            <w:r w:rsidRPr="00D46909">
              <w:rPr>
                <w:rFonts w:ascii="Verdana" w:hAnsi="Verdana" w:cs="Arial"/>
                <w:lang w:val="pt-BR"/>
              </w:rPr>
              <w:t>del</w:t>
            </w:r>
            <w:proofErr w:type="spellEnd"/>
            <w:r w:rsidRPr="00D46909">
              <w:rPr>
                <w:rFonts w:ascii="Verdana" w:hAnsi="Verdana" w:cs="Arial"/>
                <w:lang w:val="pt-BR"/>
              </w:rPr>
              <w:t xml:space="preserve"> 4 de </w:t>
            </w:r>
            <w:proofErr w:type="spellStart"/>
            <w:r w:rsidRPr="00D46909">
              <w:rPr>
                <w:rFonts w:ascii="Verdana" w:hAnsi="Verdana" w:cs="Arial"/>
                <w:lang w:val="pt-BR"/>
              </w:rPr>
              <w:t>octubre</w:t>
            </w:r>
            <w:proofErr w:type="spellEnd"/>
            <w:r w:rsidRPr="00D46909">
              <w:rPr>
                <w:rFonts w:ascii="Verdana" w:hAnsi="Verdana" w:cs="Arial"/>
                <w:lang w:val="pt-BR"/>
              </w:rPr>
              <w:t xml:space="preserve"> de 2024. Exp. 70.313. C.P: Fredy Ibarra Martínez.</w:t>
            </w:r>
          </w:p>
          <w:p w14:paraId="09806059" w14:textId="77777777" w:rsidR="00D46909" w:rsidRPr="00D46909" w:rsidRDefault="00D46909" w:rsidP="00D46909">
            <w:pPr>
              <w:widowControl w:val="0"/>
              <w:numPr>
                <w:ilvl w:val="0"/>
                <w:numId w:val="17"/>
              </w:numPr>
              <w:autoSpaceDE w:val="0"/>
              <w:autoSpaceDN w:val="0"/>
              <w:spacing w:after="120" w:line="276" w:lineRule="auto"/>
              <w:jc w:val="both"/>
              <w:rPr>
                <w:rFonts w:ascii="Verdana" w:hAnsi="Verdana" w:cs="Arial"/>
                <w:lang w:val="es-ES"/>
              </w:rPr>
            </w:pPr>
            <w:r w:rsidRPr="00D46909">
              <w:rPr>
                <w:rFonts w:ascii="Verdana" w:hAnsi="Verdana" w:cs="Arial"/>
                <w:lang w:val="pt-BR"/>
              </w:rPr>
              <w:t>Corte Constitucional. Sentencia C-671 de 2015. M.P. Alberto Rojas Ríos</w:t>
            </w:r>
          </w:p>
          <w:p w14:paraId="1CFCE670" w14:textId="77777777" w:rsidR="00D46909" w:rsidRPr="00D46909" w:rsidRDefault="00D46909" w:rsidP="00D46909">
            <w:pPr>
              <w:widowControl w:val="0"/>
              <w:numPr>
                <w:ilvl w:val="0"/>
                <w:numId w:val="17"/>
              </w:numPr>
              <w:autoSpaceDE w:val="0"/>
              <w:autoSpaceDN w:val="0"/>
              <w:spacing w:after="120" w:line="276" w:lineRule="auto"/>
              <w:jc w:val="both"/>
              <w:rPr>
                <w:rFonts w:ascii="Verdana" w:hAnsi="Verdana" w:cs="Arial"/>
                <w:lang w:val="es-ES"/>
              </w:rPr>
            </w:pPr>
            <w:r w:rsidRPr="00D46909">
              <w:rPr>
                <w:rFonts w:ascii="Verdana" w:hAnsi="Verdana" w:cs="Arial"/>
              </w:rPr>
              <w:t xml:space="preserve">Circular Externa No. 006 de 2025 </w:t>
            </w:r>
            <w:hyperlink r:id="rId14" w:history="1">
              <w:r w:rsidRPr="00D46909">
                <w:rPr>
                  <w:rFonts w:ascii="Verdana" w:hAnsi="Verdana" w:cs="Arial"/>
                  <w:color w:val="0000FF"/>
                  <w:u w:val="single"/>
                </w:rPr>
                <w:t>https://www.colombiacompra.gov.co/archivos/circular/circular-externa-006-de-2025</w:t>
              </w:r>
            </w:hyperlink>
            <w:r w:rsidRPr="00D46909">
              <w:rPr>
                <w:rFonts w:ascii="Verdana" w:hAnsi="Verdana" w:cs="Arial"/>
              </w:rPr>
              <w:t xml:space="preserve"> </w:t>
            </w:r>
          </w:p>
        </w:tc>
      </w:tr>
    </w:tbl>
    <w:p w14:paraId="6B165652" w14:textId="77777777" w:rsidR="00D46909" w:rsidRPr="00D46909" w:rsidRDefault="00D46909" w:rsidP="00D46909">
      <w:pPr>
        <w:widowControl w:val="0"/>
        <w:autoSpaceDE w:val="0"/>
        <w:autoSpaceDN w:val="0"/>
        <w:spacing w:after="0" w:line="276" w:lineRule="auto"/>
        <w:jc w:val="both"/>
        <w:rPr>
          <w:rFonts w:ascii="Verdana" w:hAnsi="Verdana" w:cs="Arial"/>
          <w:lang w:val="es-ES_tradnl"/>
        </w:rPr>
      </w:pPr>
    </w:p>
    <w:p w14:paraId="52FA6B85" w14:textId="77777777" w:rsidR="00D46909" w:rsidRPr="00D46909" w:rsidRDefault="00D46909" w:rsidP="00D46909">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D46909">
        <w:rPr>
          <w:rFonts w:ascii="Verdana" w:eastAsia="Century Gothic" w:hAnsi="Verdana" w:cs="Century Gothic"/>
          <w:b/>
          <w:bCs/>
          <w:lang w:val="es-ES_tradnl"/>
        </w:rPr>
        <w:t>Doctrina de la Agencia Nacional de Contratación Pública:</w:t>
      </w:r>
    </w:p>
    <w:p w14:paraId="6BFB9E29" w14:textId="77777777" w:rsidR="00D46909" w:rsidRPr="00D46909" w:rsidRDefault="00D46909" w:rsidP="00D46909">
      <w:pPr>
        <w:widowControl w:val="0"/>
        <w:autoSpaceDE w:val="0"/>
        <w:autoSpaceDN w:val="0"/>
        <w:spacing w:after="0" w:line="276" w:lineRule="auto"/>
        <w:jc w:val="both"/>
        <w:rPr>
          <w:rFonts w:ascii="Verdana" w:hAnsi="Verdana" w:cs="Arial"/>
          <w:lang w:val="es-ES_tradnl"/>
        </w:rPr>
      </w:pPr>
    </w:p>
    <w:p w14:paraId="2EEF8AB9" w14:textId="77777777" w:rsidR="00D46909" w:rsidRPr="00D46909" w:rsidRDefault="00D46909" w:rsidP="00D46909">
      <w:pPr>
        <w:widowControl w:val="0"/>
        <w:autoSpaceDE w:val="0"/>
        <w:autoSpaceDN w:val="0"/>
        <w:spacing w:after="0" w:line="276" w:lineRule="auto"/>
        <w:jc w:val="both"/>
        <w:rPr>
          <w:rFonts w:ascii="Verdana" w:hAnsi="Verdana" w:cs="Arial"/>
          <w:color w:val="FF0000"/>
          <w:shd w:val="clear" w:color="auto" w:fill="FFFFFF"/>
          <w:lang w:val="es-ES_tradnl"/>
        </w:rPr>
      </w:pPr>
      <w:r w:rsidRPr="00D46909">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y C-1350 del 1˚ de octubre de 2025. </w:t>
      </w:r>
      <w:r w:rsidRPr="00D46909">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5" w:history="1">
        <w:r w:rsidRPr="00D46909">
          <w:rPr>
            <w:rFonts w:ascii="Verdana" w:hAnsi="Verdana" w:cs="Arial"/>
            <w:color w:val="0000FF"/>
            <w:u w:val="single"/>
            <w:shd w:val="clear" w:color="auto" w:fill="FFFFFF"/>
            <w:lang w:val="es-ES_tradnl"/>
          </w:rPr>
          <w:t>https://relatoria.colombiacompra.gov.co/busqueda/conceptos</w:t>
        </w:r>
      </w:hyperlink>
      <w:r w:rsidRPr="00D46909">
        <w:rPr>
          <w:rFonts w:ascii="Verdana" w:hAnsi="Verdana" w:cs="Arial"/>
          <w:shd w:val="clear" w:color="auto" w:fill="FFFFFF"/>
          <w:lang w:val="es-ES_tradnl"/>
        </w:rPr>
        <w:t xml:space="preserve">. </w:t>
      </w:r>
      <w:r w:rsidRPr="00D46909">
        <w:rPr>
          <w:rFonts w:ascii="Verdana" w:hAnsi="Verdana" w:cs="Arial"/>
          <w:color w:val="FF0000"/>
          <w:shd w:val="clear" w:color="auto" w:fill="FFFFFF"/>
          <w:lang w:val="es-ES_tradnl"/>
        </w:rPr>
        <w:t xml:space="preserve"> </w:t>
      </w:r>
    </w:p>
    <w:p w14:paraId="36A9B08D" w14:textId="77777777" w:rsidR="00D46909" w:rsidRPr="00D46909" w:rsidRDefault="00D46909" w:rsidP="00D46909">
      <w:pPr>
        <w:widowControl w:val="0"/>
        <w:autoSpaceDE w:val="0"/>
        <w:autoSpaceDN w:val="0"/>
        <w:spacing w:after="0" w:line="276" w:lineRule="auto"/>
        <w:jc w:val="both"/>
        <w:rPr>
          <w:rFonts w:ascii="Verdana" w:hAnsi="Verdana" w:cs="Arial"/>
          <w:color w:val="FF0000"/>
          <w:shd w:val="clear" w:color="auto" w:fill="FFFFFF"/>
          <w:lang w:val="es-ES_tradnl"/>
        </w:rPr>
      </w:pPr>
    </w:p>
    <w:p w14:paraId="26E6E6CB" w14:textId="77777777" w:rsidR="00D46909" w:rsidRPr="00D46909" w:rsidRDefault="00D46909" w:rsidP="00D46909">
      <w:pPr>
        <w:shd w:val="clear" w:color="auto" w:fill="FFFFFF"/>
        <w:spacing w:after="0" w:line="276" w:lineRule="auto"/>
        <w:jc w:val="both"/>
        <w:rPr>
          <w:rFonts w:ascii="Verdana" w:eastAsiaTheme="minorHAnsi" w:hAnsi="Verdana"/>
          <w:color w:val="467886"/>
          <w:u w:val="single"/>
        </w:rPr>
      </w:pPr>
      <w:r w:rsidRPr="00D46909">
        <w:rPr>
          <w:rFonts w:ascii="Verdana" w:hAnsi="Verdana"/>
          <w:color w:val="000000"/>
        </w:rPr>
        <w:t>Te informamos que ya se encuentra disponible la </w:t>
      </w:r>
      <w:r w:rsidRPr="00D46909">
        <w:rPr>
          <w:rFonts w:ascii="Verdana" w:hAnsi="Verdana"/>
          <w:b/>
          <w:bCs/>
          <w:color w:val="000000"/>
        </w:rPr>
        <w:t>Guía de lineamientos de transparencia y selección objetiva para el departamento de La Guajira – Objetivo sexto constitucional de la Sentencia T-302 del 2017. </w:t>
      </w:r>
      <w:r w:rsidRPr="00D469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46909">
        <w:rPr>
          <w:rFonts w:ascii="Verdana" w:hAnsi="Verdana"/>
          <w:color w:val="000000"/>
        </w:rPr>
        <w:t>Wayúu</w:t>
      </w:r>
      <w:proofErr w:type="spellEnd"/>
      <w:r w:rsidRPr="00D46909">
        <w:rPr>
          <w:rFonts w:ascii="Verdana" w:hAnsi="Verdana"/>
          <w:color w:val="000000"/>
        </w:rPr>
        <w:t>.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D46909">
          <w:rPr>
            <w:rFonts w:ascii="Verdana" w:hAnsi="Verdana"/>
            <w:color w:val="0000FF"/>
            <w:u w:val="single"/>
          </w:rPr>
          <w:t xml:space="preserve">Guía de lineamientos de transparencia y selección </w:t>
        </w:r>
        <w:r w:rsidRPr="00D46909">
          <w:rPr>
            <w:rFonts w:ascii="Verdana" w:hAnsi="Verdana"/>
            <w:color w:val="0000FF"/>
            <w:u w:val="single"/>
          </w:rPr>
          <w:lastRenderedPageBreak/>
          <w:t>objetiva para el departamento de La Guajira – Objetivo sexto constitucional de la Sentencia T-302 del 2017</w:t>
        </w:r>
      </w:hyperlink>
      <w:r w:rsidRPr="00D46909">
        <w:rPr>
          <w:rFonts w:ascii="Verdana" w:hAnsi="Verdana"/>
          <w:color w:val="000000"/>
          <w:u w:val="single"/>
        </w:rPr>
        <w:t>.</w:t>
      </w:r>
    </w:p>
    <w:p w14:paraId="0330BDDC" w14:textId="77777777" w:rsidR="00D46909" w:rsidRPr="00D46909" w:rsidRDefault="00D46909" w:rsidP="00D46909">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D46909">
        <w:rPr>
          <w:rFonts w:ascii="Verdana" w:hAnsi="Verdana" w:cs="Arial"/>
          <w:color w:val="000000" w:themeColor="text1"/>
          <w:shd w:val="clear" w:color="auto" w:fill="FFFFFF"/>
          <w:lang w:val="es-ES_tradnl"/>
        </w:rPr>
        <w:t xml:space="preserve"> </w:t>
      </w:r>
    </w:p>
    <w:p w14:paraId="7FF058AA" w14:textId="77777777" w:rsidR="00D46909" w:rsidRPr="00D46909" w:rsidRDefault="00D46909" w:rsidP="00D46909">
      <w:pPr>
        <w:spacing w:after="0"/>
        <w:jc w:val="both"/>
        <w:rPr>
          <w:rFonts w:ascii="Verdana" w:hAnsi="Verdana" w:cstheme="minorBidi"/>
        </w:rPr>
      </w:pPr>
      <w:r w:rsidRPr="00D46909">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286775C" w14:textId="77777777" w:rsidR="00D46909" w:rsidRPr="00D46909" w:rsidRDefault="00D46909" w:rsidP="00D46909">
      <w:pPr>
        <w:spacing w:after="0"/>
        <w:jc w:val="both"/>
        <w:rPr>
          <w:rFonts w:ascii="Verdana" w:hAnsi="Verdana"/>
        </w:rPr>
      </w:pPr>
    </w:p>
    <w:p w14:paraId="3B9DC9BB" w14:textId="77777777" w:rsidR="00D46909" w:rsidRPr="00D46909" w:rsidRDefault="00D46909" w:rsidP="00D46909">
      <w:pPr>
        <w:numPr>
          <w:ilvl w:val="0"/>
          <w:numId w:val="22"/>
        </w:numPr>
        <w:spacing w:after="0" w:line="240" w:lineRule="auto"/>
        <w:contextualSpacing/>
        <w:jc w:val="both"/>
        <w:rPr>
          <w:rFonts w:ascii="Verdana" w:eastAsia="Verdana" w:hAnsi="Verdana" w:cs="Verdana"/>
          <w:color w:val="4472C4" w:themeColor="accent1"/>
          <w:u w:val="single"/>
          <w:lang w:val="es-MX"/>
        </w:rPr>
      </w:pPr>
      <w:r w:rsidRPr="00D46909">
        <w:rPr>
          <w:rFonts w:ascii="Verdana" w:eastAsia="Verdana" w:hAnsi="Verdana" w:cs="Verdana"/>
          <w:lang w:val="es-MX"/>
        </w:rPr>
        <w:t xml:space="preserve">Línea nacional gratuita o servicio a la ciudadanía (Mesa de servicio): </w:t>
      </w:r>
      <w:r w:rsidRPr="00D46909">
        <w:rPr>
          <w:rFonts w:ascii="Verdana" w:hAnsi="Verdana"/>
          <w:color w:val="0000FF"/>
          <w:u w:val="single"/>
          <w:lang w:val="es-ES"/>
        </w:rPr>
        <w:t>01800 0520808</w:t>
      </w:r>
    </w:p>
    <w:p w14:paraId="2F50E573" w14:textId="77777777" w:rsidR="00D46909" w:rsidRPr="00D46909" w:rsidRDefault="00D46909" w:rsidP="00D46909">
      <w:pPr>
        <w:numPr>
          <w:ilvl w:val="0"/>
          <w:numId w:val="22"/>
        </w:numPr>
        <w:spacing w:after="0" w:line="259" w:lineRule="auto"/>
        <w:contextualSpacing/>
        <w:rPr>
          <w:rFonts w:ascii="Verdana" w:eastAsia="Verdana" w:hAnsi="Verdana" w:cs="Verdana"/>
          <w:color w:val="4472C4" w:themeColor="accent1"/>
          <w:u w:val="single"/>
          <w:lang w:val="es-MX"/>
        </w:rPr>
      </w:pPr>
      <w:r w:rsidRPr="00D46909">
        <w:rPr>
          <w:rFonts w:ascii="Verdana" w:eastAsia="Verdana" w:hAnsi="Verdana" w:cs="Verdana"/>
          <w:lang w:val="es-MX"/>
        </w:rPr>
        <w:t>Línea en Bogotá (Mesa de servicio</w:t>
      </w:r>
      <w:proofErr w:type="gramStart"/>
      <w:r w:rsidRPr="00D46909">
        <w:rPr>
          <w:rFonts w:ascii="Verdana" w:eastAsia="Verdana" w:hAnsi="Verdana" w:cs="Verdana"/>
          <w:lang w:val="es-MX"/>
        </w:rPr>
        <w:t>):</w:t>
      </w:r>
      <w:r w:rsidRPr="00D46909">
        <w:rPr>
          <w:rFonts w:ascii="Verdana" w:hAnsi="Verdana"/>
          <w:color w:val="0000FF"/>
          <w:u w:val="single"/>
          <w:lang w:val="es-ES"/>
        </w:rPr>
        <w:t>+</w:t>
      </w:r>
      <w:proofErr w:type="gramEnd"/>
      <w:r w:rsidRPr="00D46909">
        <w:rPr>
          <w:rFonts w:ascii="Verdana" w:hAnsi="Verdana"/>
          <w:color w:val="0000FF"/>
          <w:u w:val="single"/>
          <w:lang w:val="es-ES"/>
        </w:rPr>
        <w:t>57 601 7456788</w:t>
      </w:r>
    </w:p>
    <w:p w14:paraId="4D7F3070" w14:textId="77777777" w:rsidR="00D46909" w:rsidRPr="00D46909" w:rsidRDefault="00D46909" w:rsidP="00D46909">
      <w:pPr>
        <w:numPr>
          <w:ilvl w:val="0"/>
          <w:numId w:val="22"/>
        </w:numPr>
        <w:spacing w:after="0" w:line="259" w:lineRule="auto"/>
        <w:contextualSpacing/>
        <w:rPr>
          <w:rFonts w:ascii="Verdana" w:eastAsia="Verdana" w:hAnsi="Verdana" w:cs="Verdana"/>
          <w:color w:val="0000FF"/>
          <w:u w:val="single"/>
          <w:lang w:val="es-MX"/>
        </w:rPr>
      </w:pPr>
      <w:r w:rsidRPr="00D46909">
        <w:rPr>
          <w:rFonts w:ascii="Verdana" w:eastAsia="Verdana" w:hAnsi="Verdana" w:cs="Verdana"/>
          <w:lang w:val="es-MX"/>
        </w:rPr>
        <w:t xml:space="preserve">Correo de radicación de correspondencia: </w:t>
      </w:r>
      <w:hyperlink r:id="rId17" w:history="1">
        <w:r w:rsidRPr="00D46909">
          <w:rPr>
            <w:rFonts w:ascii="Verdana" w:eastAsia="Verdana" w:hAnsi="Verdana" w:cs="Verdana"/>
            <w:color w:val="0000FF"/>
            <w:u w:val="single"/>
            <w:lang w:val="es-MX"/>
          </w:rPr>
          <w:t>ventanilladeradicacion@colombiacompra.gov.co</w:t>
        </w:r>
      </w:hyperlink>
    </w:p>
    <w:p w14:paraId="2372135A" w14:textId="77777777" w:rsidR="00D46909" w:rsidRPr="00D46909" w:rsidRDefault="00D46909" w:rsidP="00D46909">
      <w:pPr>
        <w:numPr>
          <w:ilvl w:val="0"/>
          <w:numId w:val="22"/>
        </w:numPr>
        <w:spacing w:after="0" w:line="259" w:lineRule="auto"/>
        <w:contextualSpacing/>
        <w:rPr>
          <w:rFonts w:ascii="Verdana" w:eastAsia="Verdana" w:hAnsi="Verdana" w:cs="Verdana"/>
          <w:color w:val="0000FF"/>
          <w:u w:val="single"/>
          <w:lang w:val="es-MX"/>
        </w:rPr>
      </w:pPr>
      <w:r w:rsidRPr="00D46909">
        <w:rPr>
          <w:rFonts w:ascii="Verdana" w:eastAsia="Verdana" w:hAnsi="Verdana" w:cs="Verdana"/>
          <w:lang w:val="es-ES"/>
        </w:rPr>
        <w:t xml:space="preserve">Formulario web para PQRSD: </w:t>
      </w:r>
      <w:hyperlink r:id="rId18" w:history="1">
        <w:r w:rsidRPr="00D46909">
          <w:rPr>
            <w:rFonts w:ascii="Verdana" w:eastAsia="Verdana" w:hAnsi="Verdana" w:cs="Verdana"/>
            <w:color w:val="0000FF"/>
            <w:u w:val="single"/>
            <w:lang w:val="es-MX"/>
          </w:rPr>
          <w:t>https://www.colombiacompra.gov.co/pqrsd/informacion-importante-antes-de-formular-una-pqrsd</w:t>
        </w:r>
      </w:hyperlink>
    </w:p>
    <w:p w14:paraId="6A5D354A" w14:textId="77777777" w:rsidR="00D46909" w:rsidRPr="00D46909" w:rsidRDefault="00D46909" w:rsidP="00D46909">
      <w:pPr>
        <w:spacing w:after="0" w:line="240" w:lineRule="auto"/>
        <w:ind w:left="720"/>
        <w:jc w:val="both"/>
        <w:rPr>
          <w:rFonts w:ascii="Verdana" w:eastAsiaTheme="minorHAnsi" w:hAnsi="Verdana" w:cstheme="minorBidi"/>
        </w:rPr>
      </w:pPr>
    </w:p>
    <w:p w14:paraId="14D250AC" w14:textId="77777777" w:rsidR="00D46909" w:rsidRPr="00D46909" w:rsidRDefault="00D46909" w:rsidP="00D46909">
      <w:pPr>
        <w:spacing w:after="0" w:line="240" w:lineRule="auto"/>
        <w:rPr>
          <w:rFonts w:ascii="Verdana" w:hAnsi="Verdana"/>
        </w:rPr>
      </w:pPr>
      <w:r w:rsidRPr="00D46909">
        <w:rPr>
          <w:rFonts w:ascii="Verdana" w:hAnsi="Verdana"/>
        </w:rPr>
        <w:t xml:space="preserve">Evalúa el servicio que ofrece la Agencia por el canal de atención de PQRSD en el siguiente </w:t>
      </w:r>
      <w:proofErr w:type="gramStart"/>
      <w:r w:rsidRPr="00D46909">
        <w:rPr>
          <w:rFonts w:ascii="Verdana" w:hAnsi="Verdana"/>
        </w:rPr>
        <w:t>enlace :</w:t>
      </w:r>
      <w:proofErr w:type="gramEnd"/>
      <w:hyperlink r:id="rId19" w:tgtFrame="_blank" w:tooltip="https://forms.office.com/r/pphywvs2sz" w:history="1">
        <w:r w:rsidRPr="00D46909">
          <w:rPr>
            <w:rFonts w:ascii="Verdana" w:hAnsi="Verdana"/>
            <w:color w:val="0000FF"/>
            <w:u w:val="single"/>
          </w:rPr>
          <w:t>https://forms.office.com/r/pPHyWVs2SZ</w:t>
        </w:r>
      </w:hyperlink>
      <w:r w:rsidRPr="00D46909">
        <w:rPr>
          <w:rFonts w:ascii="Verdana" w:hAnsi="Verdana"/>
        </w:rPr>
        <w:t xml:space="preserve"> .¡Ayúdanos a mejorar porque el compromiso es de todos!</w:t>
      </w:r>
    </w:p>
    <w:p w14:paraId="636D8277" w14:textId="77777777" w:rsidR="00D46909" w:rsidRPr="00D46909" w:rsidRDefault="00D46909" w:rsidP="00D46909">
      <w:pPr>
        <w:spacing w:after="0" w:line="240" w:lineRule="auto"/>
        <w:rPr>
          <w:rFonts w:ascii="Verdana" w:hAnsi="Verdana"/>
        </w:rPr>
      </w:pPr>
    </w:p>
    <w:p w14:paraId="7B3300F8" w14:textId="77777777" w:rsidR="00D46909" w:rsidRPr="00D46909" w:rsidRDefault="00D46909" w:rsidP="00D46909">
      <w:pPr>
        <w:spacing w:after="0" w:line="240" w:lineRule="auto"/>
        <w:jc w:val="both"/>
        <w:rPr>
          <w:rFonts w:ascii="Verdana" w:hAnsi="Verdana"/>
        </w:rPr>
      </w:pPr>
      <w:r w:rsidRPr="00D46909">
        <w:rPr>
          <w:rFonts w:ascii="Verdana" w:hAnsi="Verdana"/>
        </w:rPr>
        <w:t xml:space="preserve">Por último, lo invitamos a seguirnos en las redes sociales en las cuales se difunde información institucional: </w:t>
      </w:r>
    </w:p>
    <w:p w14:paraId="6EB91FF4" w14:textId="77777777" w:rsidR="00D46909" w:rsidRPr="00D46909" w:rsidRDefault="00D46909" w:rsidP="00D46909">
      <w:pPr>
        <w:spacing w:after="0" w:line="240" w:lineRule="auto"/>
        <w:jc w:val="both"/>
        <w:rPr>
          <w:rFonts w:ascii="Verdana" w:hAnsi="Verdana"/>
        </w:rPr>
      </w:pPr>
    </w:p>
    <w:p w14:paraId="4F0BC934" w14:textId="77777777" w:rsidR="00D46909" w:rsidRPr="00D46909" w:rsidRDefault="00D46909" w:rsidP="00D46909">
      <w:pPr>
        <w:spacing w:after="0" w:line="240" w:lineRule="auto"/>
        <w:jc w:val="both"/>
        <w:rPr>
          <w:rFonts w:ascii="Verdana" w:hAnsi="Verdana"/>
        </w:rPr>
      </w:pPr>
      <w:r w:rsidRPr="00D46909">
        <w:rPr>
          <w:rFonts w:ascii="Verdana" w:hAnsi="Verdana"/>
        </w:rPr>
        <w:t xml:space="preserve">Twitter: </w:t>
      </w:r>
      <w:r w:rsidRPr="00D46909">
        <w:rPr>
          <w:rFonts w:ascii="Verdana" w:hAnsi="Verdana"/>
          <w:color w:val="0000FF"/>
          <w:u w:val="single"/>
        </w:rPr>
        <w:t>@colombiacompra</w:t>
      </w:r>
      <w:r w:rsidRPr="00D46909">
        <w:rPr>
          <w:rFonts w:ascii="Verdana" w:hAnsi="Verdana"/>
        </w:rPr>
        <w:t xml:space="preserve"> </w:t>
      </w:r>
    </w:p>
    <w:p w14:paraId="1232A995" w14:textId="77777777" w:rsidR="00D46909" w:rsidRPr="00D46909" w:rsidRDefault="00D46909" w:rsidP="00D46909">
      <w:pPr>
        <w:spacing w:after="0" w:line="240" w:lineRule="auto"/>
        <w:jc w:val="both"/>
        <w:rPr>
          <w:rFonts w:ascii="Verdana" w:hAnsi="Verdana"/>
        </w:rPr>
      </w:pPr>
      <w:r w:rsidRPr="00D46909">
        <w:rPr>
          <w:rFonts w:ascii="Verdana" w:hAnsi="Verdana"/>
        </w:rPr>
        <w:t xml:space="preserve">Facebook: </w:t>
      </w:r>
      <w:proofErr w:type="spellStart"/>
      <w:r w:rsidRPr="00D46909">
        <w:rPr>
          <w:rFonts w:ascii="Verdana" w:hAnsi="Verdana"/>
          <w:color w:val="0000FF"/>
          <w:u w:val="single"/>
        </w:rPr>
        <w:t>ColombiaCompraEficiente</w:t>
      </w:r>
      <w:proofErr w:type="spellEnd"/>
    </w:p>
    <w:p w14:paraId="3CA07CDD" w14:textId="77777777" w:rsidR="00D46909" w:rsidRPr="00D46909" w:rsidRDefault="00D46909" w:rsidP="00D46909">
      <w:pPr>
        <w:spacing w:after="0" w:line="240" w:lineRule="auto"/>
        <w:jc w:val="both"/>
        <w:rPr>
          <w:rFonts w:ascii="Verdana" w:hAnsi="Verdana"/>
        </w:rPr>
      </w:pPr>
      <w:r w:rsidRPr="00D46909">
        <w:rPr>
          <w:rFonts w:ascii="Verdana" w:hAnsi="Verdana"/>
        </w:rPr>
        <w:t xml:space="preserve">LinkedIn: </w:t>
      </w:r>
      <w:r w:rsidRPr="00D46909">
        <w:rPr>
          <w:rFonts w:ascii="Verdana" w:hAnsi="Verdana"/>
          <w:color w:val="0000FF"/>
          <w:u w:val="single"/>
        </w:rPr>
        <w:t>Agencia Nacional de Contratación Pública - Colombia Compra Eficiente</w:t>
      </w:r>
      <w:r w:rsidRPr="00D46909">
        <w:rPr>
          <w:rFonts w:ascii="Verdana" w:hAnsi="Verdana"/>
        </w:rPr>
        <w:t xml:space="preserve"> Instagram: </w:t>
      </w:r>
      <w:r w:rsidRPr="00D46909">
        <w:rPr>
          <w:rFonts w:ascii="Verdana" w:hAnsi="Verdana"/>
          <w:color w:val="0000FF"/>
          <w:u w:val="single"/>
        </w:rPr>
        <w:t>@colombiacompraeficiente_cce</w:t>
      </w:r>
    </w:p>
    <w:p w14:paraId="73E30BEA" w14:textId="77777777" w:rsidR="00D46909" w:rsidRPr="00D46909" w:rsidRDefault="00D46909" w:rsidP="00D46909">
      <w:pPr>
        <w:widowControl w:val="0"/>
        <w:autoSpaceDE w:val="0"/>
        <w:autoSpaceDN w:val="0"/>
        <w:spacing w:after="120" w:line="276" w:lineRule="auto"/>
        <w:jc w:val="both"/>
        <w:rPr>
          <w:rFonts w:ascii="Verdana" w:hAnsi="Verdana" w:cs="Arial"/>
          <w:color w:val="FF0000"/>
          <w:shd w:val="clear" w:color="auto" w:fill="FFFFFF"/>
          <w:lang w:val="es-ES_tradnl"/>
        </w:rPr>
      </w:pPr>
      <w:r w:rsidRPr="00D46909">
        <w:rPr>
          <w:rFonts w:ascii="Verdana" w:hAnsi="Verdana" w:cs="Arial"/>
          <w:color w:val="FF0000"/>
          <w:shd w:val="clear" w:color="auto" w:fill="FFFFFF"/>
          <w:lang w:val="es-ES_tradnl"/>
        </w:rPr>
        <w:t xml:space="preserve">        </w:t>
      </w:r>
    </w:p>
    <w:p w14:paraId="684D03D8" w14:textId="77777777" w:rsidR="00D46909" w:rsidRPr="00D46909" w:rsidRDefault="00D46909" w:rsidP="00D46909">
      <w:pPr>
        <w:widowControl w:val="0"/>
        <w:autoSpaceDE w:val="0"/>
        <w:autoSpaceDN w:val="0"/>
        <w:spacing w:after="0" w:line="276" w:lineRule="auto"/>
        <w:jc w:val="both"/>
        <w:rPr>
          <w:rFonts w:ascii="Verdana" w:hAnsi="Verdana" w:cs="Arial"/>
          <w:lang w:val="es-ES_tradnl"/>
        </w:rPr>
      </w:pPr>
      <w:r w:rsidRPr="00D46909">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D996EC6" w14:textId="77777777" w:rsidR="00D46909" w:rsidRPr="00D46909" w:rsidRDefault="00D46909" w:rsidP="00D46909">
      <w:pPr>
        <w:widowControl w:val="0"/>
        <w:autoSpaceDE w:val="0"/>
        <w:autoSpaceDN w:val="0"/>
        <w:spacing w:after="0" w:line="276" w:lineRule="auto"/>
        <w:jc w:val="both"/>
        <w:rPr>
          <w:rFonts w:ascii="Verdana" w:hAnsi="Verdana" w:cs="Arial"/>
          <w:lang w:val="es-ES_tradnl"/>
        </w:rPr>
      </w:pPr>
    </w:p>
    <w:p w14:paraId="323BA50E" w14:textId="77777777" w:rsidR="00D46909" w:rsidRPr="00D46909" w:rsidRDefault="00D46909" w:rsidP="00D46909">
      <w:pPr>
        <w:spacing w:after="0" w:line="240" w:lineRule="auto"/>
        <w:rPr>
          <w:rFonts w:ascii="Verdana" w:hAnsi="Verdana" w:cs="Arial"/>
          <w:lang w:val="es-ES_tradnl" w:eastAsia="es-CO"/>
        </w:rPr>
      </w:pPr>
      <w:r w:rsidRPr="00D46909">
        <w:rPr>
          <w:rFonts w:ascii="Verdana" w:eastAsia="Times New Roman" w:hAnsi="Verdana" w:cs="Arial"/>
          <w:lang w:val="es-ES_tradnl" w:eastAsia="es-CO"/>
        </w:rPr>
        <w:t>Atentamente,</w:t>
      </w:r>
      <w:r w:rsidRPr="00D46909">
        <w:rPr>
          <w:rFonts w:ascii="Verdana" w:hAnsi="Verdana" w:cs="Arial"/>
          <w:lang w:val="es-ES_tradnl" w:eastAsia="es-CO"/>
        </w:rPr>
        <w:t xml:space="preserve"> </w:t>
      </w:r>
    </w:p>
    <w:p w14:paraId="3537DF21" w14:textId="3655CAFE" w:rsidR="00D46909" w:rsidRPr="00D46909" w:rsidRDefault="00101DE6" w:rsidP="00D46909">
      <w:pPr>
        <w:spacing w:line="276" w:lineRule="auto"/>
        <w:jc w:val="center"/>
        <w:rPr>
          <w:rFonts w:ascii="Verdana" w:hAnsi="Verdana" w:cs="Arial"/>
          <w:color w:val="000000"/>
          <w:lang w:val="es-ES_tradnl" w:eastAsia="es-CO"/>
        </w:rPr>
      </w:pPr>
      <w:r w:rsidRPr="002C3AD6">
        <w:rPr>
          <w:rFonts w:ascii="Century Gothic" w:hAnsi="Century Gothic"/>
          <w:noProof/>
        </w:rPr>
        <w:lastRenderedPageBreak/>
        <w:drawing>
          <wp:inline distT="0" distB="0" distL="0" distR="0" wp14:anchorId="14593C02" wp14:editId="3E5FC203">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318444"/>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D46909" w:rsidRPr="00D46909" w14:paraId="1393E693" w14:textId="77777777" w:rsidTr="00D014BF">
        <w:trPr>
          <w:trHeight w:val="315"/>
        </w:trPr>
        <w:tc>
          <w:tcPr>
            <w:tcW w:w="893" w:type="dxa"/>
            <w:vAlign w:val="center"/>
            <w:hideMark/>
          </w:tcPr>
          <w:p w14:paraId="3B77D50C" w14:textId="77777777" w:rsidR="00D46909" w:rsidRPr="00D46909" w:rsidRDefault="00D46909" w:rsidP="00D46909">
            <w:pPr>
              <w:spacing w:after="160"/>
              <w:contextualSpacing/>
              <w:rPr>
                <w:rFonts w:ascii="Verdana" w:hAnsi="Verdana" w:cs="Arial"/>
                <w:sz w:val="16"/>
                <w:szCs w:val="16"/>
                <w:lang w:val="es-ES" w:eastAsia="es-ES"/>
              </w:rPr>
            </w:pPr>
            <w:r w:rsidRPr="00D4690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3501F3" w14:textId="77777777" w:rsidR="00D46909" w:rsidRPr="00D46909" w:rsidRDefault="00D46909" w:rsidP="00D46909">
            <w:pPr>
              <w:spacing w:after="160"/>
              <w:contextualSpacing/>
              <w:rPr>
                <w:rFonts w:ascii="Verdana" w:hAnsi="Verdana"/>
                <w:sz w:val="16"/>
                <w:szCs w:val="16"/>
              </w:rPr>
            </w:pPr>
            <w:r w:rsidRPr="00D46909">
              <w:rPr>
                <w:rFonts w:ascii="Verdana" w:hAnsi="Verdana"/>
                <w:sz w:val="16"/>
                <w:szCs w:val="16"/>
              </w:rPr>
              <w:t>Tatiana Baquero Iguarán</w:t>
            </w:r>
          </w:p>
          <w:p w14:paraId="2F98CA41" w14:textId="77777777" w:rsidR="00D46909" w:rsidRPr="00D46909" w:rsidRDefault="00D46909" w:rsidP="00D46909">
            <w:pPr>
              <w:spacing w:after="160"/>
              <w:contextualSpacing/>
              <w:rPr>
                <w:rFonts w:ascii="Verdana" w:eastAsia="Arial" w:hAnsi="Verdana" w:cs="Arial"/>
                <w:sz w:val="16"/>
                <w:szCs w:val="16"/>
              </w:rPr>
            </w:pPr>
            <w:r w:rsidRPr="00D46909">
              <w:rPr>
                <w:rFonts w:ascii="Verdana" w:hAnsi="Verdana"/>
                <w:sz w:val="16"/>
                <w:szCs w:val="16"/>
              </w:rPr>
              <w:t>Contratista de la Subdirección de Gestión Contractual</w:t>
            </w:r>
          </w:p>
        </w:tc>
      </w:tr>
      <w:tr w:rsidR="00D46909" w:rsidRPr="00D46909" w14:paraId="67ACA169" w14:textId="77777777" w:rsidTr="00D014BF">
        <w:trPr>
          <w:trHeight w:val="330"/>
        </w:trPr>
        <w:tc>
          <w:tcPr>
            <w:tcW w:w="893" w:type="dxa"/>
            <w:vAlign w:val="center"/>
            <w:hideMark/>
          </w:tcPr>
          <w:p w14:paraId="2C014967" w14:textId="77777777" w:rsidR="00D46909" w:rsidRPr="00D46909" w:rsidRDefault="00D46909" w:rsidP="00D46909">
            <w:pPr>
              <w:spacing w:after="160"/>
              <w:contextualSpacing/>
              <w:rPr>
                <w:rFonts w:ascii="Verdana" w:hAnsi="Verdana" w:cs="Arial"/>
                <w:sz w:val="16"/>
                <w:szCs w:val="16"/>
                <w:lang w:val="es-ES" w:eastAsia="es-ES"/>
              </w:rPr>
            </w:pPr>
            <w:r w:rsidRPr="00D4690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69D081" w14:textId="77777777" w:rsidR="00D46909" w:rsidRPr="00D46909" w:rsidRDefault="00D46909" w:rsidP="00D46909">
            <w:pPr>
              <w:spacing w:before="100" w:beforeAutospacing="1" w:after="160" w:afterAutospacing="1"/>
              <w:contextualSpacing/>
              <w:textAlignment w:val="baseline"/>
              <w:rPr>
                <w:rFonts w:ascii="Verdana" w:eastAsia="Times New Roman" w:hAnsi="Verdana" w:cs="Arial"/>
                <w:sz w:val="16"/>
                <w:szCs w:val="16"/>
                <w:lang w:val="es-ES" w:eastAsia="es-ES_tradnl"/>
              </w:rPr>
            </w:pPr>
            <w:r w:rsidRPr="00D46909">
              <w:rPr>
                <w:rFonts w:ascii="Verdana" w:eastAsia="Times New Roman" w:hAnsi="Verdana" w:cs="Arial"/>
                <w:sz w:val="16"/>
                <w:szCs w:val="16"/>
                <w:lang w:val="es-ES" w:eastAsia="es-ES_tradnl"/>
              </w:rPr>
              <w:t>Alejandro Sarmiento Cantillo</w:t>
            </w:r>
          </w:p>
          <w:p w14:paraId="1E70C7C5" w14:textId="77777777" w:rsidR="00D46909" w:rsidRPr="00D46909" w:rsidRDefault="00D46909" w:rsidP="00D46909">
            <w:pPr>
              <w:spacing w:after="160"/>
              <w:contextualSpacing/>
              <w:textAlignment w:val="baseline"/>
              <w:rPr>
                <w:rFonts w:ascii="Verdana" w:eastAsia="Times New Roman" w:hAnsi="Verdana" w:cs="Segoe UI"/>
                <w:sz w:val="16"/>
                <w:szCs w:val="16"/>
                <w:lang w:eastAsia="es-ES_tradnl"/>
              </w:rPr>
            </w:pPr>
            <w:r w:rsidRPr="00D46909">
              <w:rPr>
                <w:rFonts w:ascii="Verdana" w:eastAsia="Times New Roman" w:hAnsi="Verdana" w:cs="Arial"/>
                <w:sz w:val="16"/>
                <w:szCs w:val="16"/>
                <w:lang w:val="es-ES" w:eastAsia="es-ES_tradnl"/>
              </w:rPr>
              <w:t>Gestor T1 ‒ 15 de la Subdirección de Gestión Contractual</w:t>
            </w:r>
            <w:r w:rsidRPr="00D46909">
              <w:rPr>
                <w:rFonts w:ascii="Verdana" w:eastAsia="Times New Roman" w:hAnsi="Verdana" w:cs="Arial"/>
                <w:sz w:val="16"/>
                <w:szCs w:val="16"/>
                <w:lang w:eastAsia="es-ES_tradnl"/>
              </w:rPr>
              <w:t> </w:t>
            </w:r>
          </w:p>
        </w:tc>
      </w:tr>
      <w:tr w:rsidR="00D46909" w:rsidRPr="00D46909" w14:paraId="62765153" w14:textId="77777777" w:rsidTr="00D014BF">
        <w:trPr>
          <w:trHeight w:val="300"/>
        </w:trPr>
        <w:tc>
          <w:tcPr>
            <w:tcW w:w="893" w:type="dxa"/>
            <w:vAlign w:val="center"/>
          </w:tcPr>
          <w:p w14:paraId="64B938F8" w14:textId="77777777" w:rsidR="00D46909" w:rsidRPr="00D46909" w:rsidRDefault="00D46909" w:rsidP="00D46909">
            <w:pPr>
              <w:spacing w:after="160"/>
              <w:contextualSpacing/>
              <w:rPr>
                <w:rFonts w:ascii="Verdana" w:hAnsi="Verdana" w:cs="Arial"/>
                <w:sz w:val="16"/>
                <w:szCs w:val="16"/>
                <w:lang w:val="es-ES" w:eastAsia="es-ES"/>
              </w:rPr>
            </w:pPr>
            <w:r w:rsidRPr="00D4690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0CB7DA7" w14:textId="77777777" w:rsidR="00D46909" w:rsidRPr="00D46909" w:rsidRDefault="00D46909" w:rsidP="00D46909">
            <w:pPr>
              <w:spacing w:after="160"/>
              <w:contextualSpacing/>
              <w:rPr>
                <w:rFonts w:ascii="Verdana" w:hAnsi="Verdana" w:cs="Arial"/>
                <w:sz w:val="16"/>
                <w:szCs w:val="16"/>
                <w:lang w:val="pt-BR" w:eastAsia="es-ES"/>
              </w:rPr>
            </w:pPr>
            <w:r w:rsidRPr="00D46909">
              <w:rPr>
                <w:rFonts w:ascii="Verdana" w:hAnsi="Verdana" w:cs="Arial"/>
                <w:sz w:val="16"/>
                <w:szCs w:val="16"/>
                <w:lang w:val="pt-BR" w:eastAsia="es-ES"/>
              </w:rPr>
              <w:t xml:space="preserve">Carolina Quintero </w:t>
            </w:r>
            <w:proofErr w:type="spellStart"/>
            <w:r w:rsidRPr="00D46909">
              <w:rPr>
                <w:rFonts w:ascii="Verdana" w:hAnsi="Verdana" w:cs="Arial"/>
                <w:sz w:val="16"/>
                <w:szCs w:val="16"/>
                <w:lang w:val="pt-BR" w:eastAsia="es-ES"/>
              </w:rPr>
              <w:t>Gacharná</w:t>
            </w:r>
            <w:proofErr w:type="spellEnd"/>
          </w:p>
          <w:p w14:paraId="09A0374E" w14:textId="77777777" w:rsidR="00D46909" w:rsidRPr="00D46909" w:rsidRDefault="00D46909" w:rsidP="00D46909">
            <w:pPr>
              <w:spacing w:after="160"/>
              <w:contextualSpacing/>
              <w:rPr>
                <w:rFonts w:ascii="Verdana" w:hAnsi="Verdana" w:cs="Arial"/>
                <w:sz w:val="16"/>
                <w:szCs w:val="16"/>
                <w:lang w:val="pt-BR" w:eastAsia="es-ES"/>
              </w:rPr>
            </w:pPr>
            <w:r w:rsidRPr="00D46909">
              <w:rPr>
                <w:rFonts w:ascii="Verdana" w:hAnsi="Verdana" w:cs="Arial"/>
                <w:sz w:val="16"/>
                <w:szCs w:val="16"/>
                <w:lang w:eastAsia="es-ES"/>
              </w:rPr>
              <w:t>Subdirectora</w:t>
            </w:r>
            <w:r w:rsidRPr="00D46909">
              <w:rPr>
                <w:rFonts w:ascii="Verdana" w:hAnsi="Verdana" w:cs="Arial"/>
                <w:sz w:val="16"/>
                <w:szCs w:val="16"/>
                <w:lang w:val="pt-BR" w:eastAsia="es-ES"/>
              </w:rPr>
              <w:t xml:space="preserve"> de Gestión Contratual ANCP – CCE</w:t>
            </w:r>
          </w:p>
        </w:tc>
      </w:tr>
    </w:tbl>
    <w:p w14:paraId="701ABA83" w14:textId="77777777" w:rsidR="00D46909" w:rsidRPr="00D46909" w:rsidRDefault="00D46909" w:rsidP="00D46909"/>
    <w:p w14:paraId="4C7219DE" w14:textId="77777777" w:rsidR="00D46909" w:rsidRPr="00D46909" w:rsidRDefault="00D46909" w:rsidP="00D46909"/>
    <w:p w14:paraId="5057313D" w14:textId="78E75D8B" w:rsidR="00D46909" w:rsidRPr="00D46909" w:rsidRDefault="00C84958" w:rsidP="00C84958">
      <w:pPr>
        <w:tabs>
          <w:tab w:val="left" w:pos="3024"/>
        </w:tabs>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tab/>
      </w:r>
    </w:p>
    <w:p w14:paraId="3C08D7F6" w14:textId="77777777" w:rsidR="00D46909" w:rsidRPr="00D46909" w:rsidRDefault="00D46909" w:rsidP="00D46909">
      <w:pPr>
        <w:spacing w:line="259" w:lineRule="auto"/>
        <w:rPr>
          <w:rFonts w:asciiTheme="minorHAnsi" w:eastAsiaTheme="minorHAnsi" w:hAnsiTheme="minorHAnsi" w:cstheme="minorBidi"/>
        </w:rPr>
      </w:pPr>
    </w:p>
    <w:p w14:paraId="3A51DA4D" w14:textId="77777777" w:rsidR="00D46909" w:rsidRPr="00D46909" w:rsidRDefault="00D46909" w:rsidP="00D46909">
      <w:pPr>
        <w:spacing w:after="0" w:line="240" w:lineRule="auto"/>
        <w:rPr>
          <w:rFonts w:ascii="Verdana" w:eastAsia="Geomanist Light" w:hAnsi="Verdana" w:cs="Arial"/>
          <w:color w:val="000000" w:themeColor="text1"/>
          <w:lang w:val="es-MX"/>
        </w:rPr>
      </w:pPr>
    </w:p>
    <w:p w14:paraId="71307EF5" w14:textId="77777777" w:rsidR="00D46909" w:rsidRPr="00D46909" w:rsidRDefault="00D46909" w:rsidP="00D46909">
      <w:pPr>
        <w:spacing w:line="259" w:lineRule="auto"/>
        <w:rPr>
          <w:rFonts w:asciiTheme="minorHAnsi" w:eastAsiaTheme="minorHAnsi" w:hAnsiTheme="minorHAnsi" w:cstheme="minorBidi"/>
        </w:rPr>
      </w:pPr>
    </w:p>
    <w:p w14:paraId="3AA85733" w14:textId="77777777" w:rsidR="00835517" w:rsidRDefault="00835517" w:rsidP="00D97EF3">
      <w:pPr>
        <w:spacing w:after="0" w:line="240" w:lineRule="auto"/>
        <w:rPr>
          <w:rFonts w:ascii="Verdana" w:eastAsia="Geomanist Light" w:hAnsi="Verdana" w:cs="Arial"/>
          <w:color w:val="000000" w:themeColor="text1"/>
          <w:lang w:val="es-MX"/>
        </w:rPr>
      </w:pPr>
    </w:p>
    <w:sectPr w:rsidR="00835517"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5473B" w14:textId="77777777" w:rsidR="004B61AE" w:rsidRDefault="004B61AE" w:rsidP="004A1847">
      <w:pPr>
        <w:spacing w:after="0" w:line="240" w:lineRule="auto"/>
      </w:pPr>
      <w:r>
        <w:separator/>
      </w:r>
    </w:p>
  </w:endnote>
  <w:endnote w:type="continuationSeparator" w:id="0">
    <w:p w14:paraId="423CF05E" w14:textId="77777777" w:rsidR="004B61AE" w:rsidRDefault="004B61AE" w:rsidP="004A1847">
      <w:pPr>
        <w:spacing w:after="0" w:line="240" w:lineRule="auto"/>
      </w:pPr>
      <w:r>
        <w:continuationSeparator/>
      </w:r>
    </w:p>
  </w:endnote>
  <w:endnote w:type="continuationNotice" w:id="1">
    <w:p w14:paraId="02E859CD" w14:textId="77777777" w:rsidR="004B61AE" w:rsidRDefault="004B61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E8DBF" w14:textId="77777777" w:rsidR="004B61AE" w:rsidRDefault="004B61AE" w:rsidP="004A1847">
      <w:pPr>
        <w:spacing w:after="0" w:line="240" w:lineRule="auto"/>
      </w:pPr>
      <w:r>
        <w:separator/>
      </w:r>
    </w:p>
  </w:footnote>
  <w:footnote w:type="continuationSeparator" w:id="0">
    <w:p w14:paraId="7DF232E4" w14:textId="77777777" w:rsidR="004B61AE" w:rsidRDefault="004B61AE" w:rsidP="004A1847">
      <w:pPr>
        <w:spacing w:after="0" w:line="240" w:lineRule="auto"/>
      </w:pPr>
      <w:r>
        <w:continuationSeparator/>
      </w:r>
    </w:p>
  </w:footnote>
  <w:footnote w:type="continuationNotice" w:id="1">
    <w:p w14:paraId="79CB9B10" w14:textId="77777777" w:rsidR="004B61AE" w:rsidRDefault="004B61AE">
      <w:pPr>
        <w:spacing w:after="0" w:line="240" w:lineRule="auto"/>
      </w:pPr>
    </w:p>
  </w:footnote>
  <w:footnote w:id="2">
    <w:p w14:paraId="4DB1FAC4" w14:textId="77777777" w:rsidR="00D46909" w:rsidRPr="00363473" w:rsidRDefault="00D46909" w:rsidP="00D46909">
      <w:pPr>
        <w:pStyle w:val="Textonotapie"/>
        <w:ind w:firstLine="709"/>
        <w:contextualSpacing/>
        <w:jc w:val="both"/>
        <w:rPr>
          <w:rFonts w:ascii="Verdana" w:hAnsi="Verdana" w:cs="Arial"/>
          <w:sz w:val="14"/>
          <w:szCs w:val="14"/>
        </w:rPr>
      </w:pPr>
      <w:r w:rsidRPr="00363473">
        <w:rPr>
          <w:rStyle w:val="Refdenotaalpie"/>
          <w:rFonts w:ascii="Verdana" w:hAnsi="Verdana" w:cs="Arial"/>
          <w:sz w:val="14"/>
          <w:szCs w:val="14"/>
        </w:rPr>
        <w:footnoteRef/>
      </w:r>
      <w:r w:rsidRPr="00363473">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FEDFFBA" w14:textId="77777777" w:rsidR="00D46909" w:rsidRPr="00363473" w:rsidRDefault="00D46909" w:rsidP="00D46909">
      <w:pPr>
        <w:pStyle w:val="Textonotapie"/>
        <w:ind w:firstLine="709"/>
        <w:contextualSpacing/>
        <w:jc w:val="both"/>
        <w:rPr>
          <w:rFonts w:ascii="Verdana" w:hAnsi="Verdana" w:cs="Arial"/>
          <w:sz w:val="14"/>
          <w:szCs w:val="14"/>
        </w:rPr>
      </w:pPr>
      <w:r w:rsidRPr="00363473">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8786A33" w14:textId="77777777" w:rsidR="00D46909" w:rsidRPr="00363473" w:rsidRDefault="00D46909" w:rsidP="00D46909">
      <w:pPr>
        <w:pStyle w:val="Textonotapie"/>
        <w:ind w:firstLine="709"/>
        <w:contextualSpacing/>
        <w:jc w:val="both"/>
        <w:rPr>
          <w:rFonts w:ascii="Verdana" w:hAnsi="Verdana" w:cs="Arial"/>
          <w:sz w:val="14"/>
          <w:szCs w:val="14"/>
        </w:rPr>
      </w:pPr>
      <w:r w:rsidRPr="00363473">
        <w:rPr>
          <w:rStyle w:val="Refdenotaalpie"/>
          <w:rFonts w:ascii="Verdana" w:hAnsi="Verdana" w:cs="Arial"/>
          <w:sz w:val="14"/>
          <w:szCs w:val="14"/>
        </w:rPr>
        <w:footnoteRef/>
      </w:r>
      <w:r w:rsidRPr="00363473">
        <w:rPr>
          <w:rFonts w:ascii="Verdana" w:hAnsi="Verdana" w:cs="Arial"/>
          <w:sz w:val="14"/>
          <w:szCs w:val="14"/>
        </w:rPr>
        <w:t xml:space="preserve"> Gaceta del Congreso de la República No. 71 del 2005.</w:t>
      </w:r>
    </w:p>
  </w:footnote>
  <w:footnote w:id="4">
    <w:p w14:paraId="2E8EE206" w14:textId="77777777" w:rsidR="00D46909" w:rsidRPr="00363473" w:rsidRDefault="00D46909" w:rsidP="00D46909">
      <w:pPr>
        <w:pStyle w:val="Textonotapie"/>
        <w:ind w:firstLine="709"/>
        <w:contextualSpacing/>
        <w:jc w:val="both"/>
        <w:rPr>
          <w:rFonts w:ascii="Verdana" w:hAnsi="Verdana" w:cs="Arial"/>
          <w:sz w:val="14"/>
          <w:szCs w:val="14"/>
          <w:lang w:val="pt-BR"/>
        </w:rPr>
      </w:pPr>
      <w:r w:rsidRPr="00363473">
        <w:rPr>
          <w:rStyle w:val="Refdenotaalpie"/>
          <w:rFonts w:ascii="Verdana" w:hAnsi="Verdana" w:cs="Arial"/>
          <w:sz w:val="14"/>
          <w:szCs w:val="14"/>
        </w:rPr>
        <w:footnoteRef/>
      </w:r>
      <w:r w:rsidRPr="00363473">
        <w:rPr>
          <w:rFonts w:ascii="Verdana" w:hAnsi="Verdana" w:cs="Arial"/>
          <w:sz w:val="14"/>
          <w:szCs w:val="14"/>
          <w:lang w:val="pt-BR"/>
        </w:rPr>
        <w:t xml:space="preserve"> Corte Constitucional, Sentencia C- 1153 de 2005, M.P. Marco Gerardo </w:t>
      </w:r>
      <w:r w:rsidRPr="00363473">
        <w:rPr>
          <w:rFonts w:ascii="Verdana" w:hAnsi="Verdana" w:cs="Arial"/>
          <w:sz w:val="14"/>
          <w:szCs w:val="14"/>
          <w:lang w:val="pt-BR"/>
        </w:rPr>
        <w:t>Monroy Cabra.</w:t>
      </w:r>
    </w:p>
  </w:footnote>
  <w:footnote w:id="5">
    <w:p w14:paraId="3A81BC33" w14:textId="77777777" w:rsidR="00D46909" w:rsidRPr="00363473" w:rsidRDefault="00D46909" w:rsidP="00D46909">
      <w:pPr>
        <w:pStyle w:val="Textonotapie"/>
        <w:ind w:firstLine="709"/>
        <w:contextualSpacing/>
        <w:jc w:val="both"/>
        <w:rPr>
          <w:rFonts w:ascii="Verdana" w:hAnsi="Verdana" w:cs="Arial"/>
          <w:sz w:val="14"/>
          <w:szCs w:val="14"/>
          <w:lang w:val="pt-BR"/>
        </w:rPr>
      </w:pPr>
      <w:r w:rsidRPr="00363473">
        <w:rPr>
          <w:rStyle w:val="Refdenotaalpie"/>
          <w:rFonts w:ascii="Verdana" w:hAnsi="Verdana" w:cs="Arial"/>
          <w:sz w:val="14"/>
          <w:szCs w:val="14"/>
        </w:rPr>
        <w:footnoteRef/>
      </w:r>
      <w:r w:rsidRPr="00363473">
        <w:rPr>
          <w:rFonts w:ascii="Verdana" w:hAnsi="Verdana" w:cs="Arial"/>
          <w:sz w:val="14"/>
          <w:szCs w:val="14"/>
          <w:lang w:val="pt-BR"/>
        </w:rPr>
        <w:t xml:space="preserve"> Corte Constitucional. Sentencias: C-233 de 4 de abril de 2002, expediente: D-3704; C-551 de 9 de </w:t>
      </w:r>
      <w:r w:rsidRPr="00363473">
        <w:rPr>
          <w:rFonts w:ascii="Verdana" w:hAnsi="Verdana" w:cs="Arial"/>
          <w:sz w:val="14"/>
          <w:szCs w:val="14"/>
          <w:lang w:val="pt-BR"/>
        </w:rPr>
        <w:t>julio de 2003, expediente: CRF-001 de 9 de julio de 2003; C-652 de 5 de agosto de 2003, expediente: D-4330; C-353 de 20 de mayo de 2009, expediente: D-7518, C-541 de 30 de junio de 2010, expediente: DD7966; entre otras.</w:t>
      </w:r>
    </w:p>
  </w:footnote>
  <w:footnote w:id="6">
    <w:p w14:paraId="1E1DB6F6" w14:textId="77777777" w:rsidR="00D46909" w:rsidRPr="00363473" w:rsidRDefault="00D46909" w:rsidP="00D46909">
      <w:pPr>
        <w:pStyle w:val="Textonotapie"/>
        <w:ind w:firstLine="709"/>
        <w:contextualSpacing/>
        <w:jc w:val="both"/>
        <w:rPr>
          <w:rFonts w:ascii="Verdana" w:hAnsi="Verdana" w:cs="Arial"/>
          <w:sz w:val="14"/>
          <w:szCs w:val="14"/>
          <w:lang w:val="es-CO"/>
        </w:rPr>
      </w:pPr>
      <w:r w:rsidRPr="00363473">
        <w:rPr>
          <w:rStyle w:val="Refdenotaalpie"/>
          <w:rFonts w:ascii="Verdana" w:hAnsi="Verdana" w:cs="Arial"/>
          <w:sz w:val="14"/>
          <w:szCs w:val="14"/>
        </w:rPr>
        <w:footnoteRef/>
      </w:r>
      <w:r w:rsidRPr="00363473">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500CB50" w14:textId="77777777" w:rsidR="00D46909" w:rsidRPr="00363473" w:rsidRDefault="00D46909" w:rsidP="00D46909">
      <w:pPr>
        <w:pStyle w:val="Textonotapie"/>
        <w:ind w:firstLine="709"/>
        <w:contextualSpacing/>
        <w:jc w:val="both"/>
        <w:rPr>
          <w:rFonts w:ascii="Verdana" w:hAnsi="Verdana" w:cs="Arial"/>
          <w:sz w:val="14"/>
          <w:szCs w:val="14"/>
        </w:rPr>
      </w:pPr>
      <w:r w:rsidRPr="00363473">
        <w:rPr>
          <w:rStyle w:val="Refdenotaalpie"/>
          <w:rFonts w:ascii="Verdana" w:hAnsi="Verdana" w:cs="Arial"/>
          <w:sz w:val="14"/>
          <w:szCs w:val="14"/>
        </w:rPr>
        <w:footnoteRef/>
      </w:r>
      <w:r w:rsidRPr="00363473">
        <w:rPr>
          <w:rFonts w:ascii="Verdana" w:hAnsi="Verdana" w:cs="Arial"/>
          <w:sz w:val="14"/>
          <w:szCs w:val="14"/>
        </w:rPr>
        <w:t xml:space="preserve"> Consejo de Estado, Sala de Consulta y Servicio Civil de fecha 24 de julio de 2013, Rad. 2166, C. P. Álvaro </w:t>
      </w:r>
      <w:r w:rsidRPr="00363473">
        <w:rPr>
          <w:rFonts w:ascii="Verdana" w:hAnsi="Verdana" w:cs="Arial"/>
          <w:sz w:val="14"/>
          <w:szCs w:val="14"/>
        </w:rPr>
        <w:t xml:space="preserve">Namén Vargas.  </w:t>
      </w:r>
    </w:p>
  </w:footnote>
  <w:footnote w:id="8">
    <w:p w14:paraId="3A84B4FF" w14:textId="77777777" w:rsidR="00D46909" w:rsidRPr="00363473" w:rsidRDefault="00D46909" w:rsidP="00D46909">
      <w:pPr>
        <w:spacing w:after="0" w:line="240" w:lineRule="auto"/>
        <w:ind w:firstLine="709"/>
        <w:contextualSpacing/>
        <w:jc w:val="both"/>
        <w:rPr>
          <w:rFonts w:ascii="Verdana" w:eastAsia="Times New Roman" w:hAnsi="Verdana" w:cs="Arial"/>
          <w:sz w:val="14"/>
          <w:szCs w:val="14"/>
        </w:rPr>
      </w:pPr>
      <w:r w:rsidRPr="00363473">
        <w:rPr>
          <w:rStyle w:val="Refdenotaalpie"/>
          <w:rFonts w:ascii="Verdana" w:hAnsi="Verdana" w:cs="Arial"/>
          <w:sz w:val="14"/>
          <w:szCs w:val="14"/>
        </w:rPr>
        <w:footnoteRef/>
      </w:r>
      <w:r w:rsidRPr="00363473">
        <w:rPr>
          <w:rFonts w:ascii="Verdana" w:hAnsi="Verdana" w:cs="Arial"/>
          <w:sz w:val="14"/>
          <w:szCs w:val="14"/>
        </w:rPr>
        <w:t xml:space="preserve"> </w:t>
      </w:r>
      <w:r w:rsidRPr="00363473">
        <w:rPr>
          <w:rFonts w:ascii="Verdana" w:hAnsi="Verdana" w:cs="Arial"/>
          <w:color w:val="000000"/>
          <w:sz w:val="14"/>
          <w:szCs w:val="14"/>
        </w:rPr>
        <w:t>“</w:t>
      </w:r>
      <w:r w:rsidRPr="00363473">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0207B13" w14:textId="77777777" w:rsidR="00D46909" w:rsidRPr="00363473" w:rsidRDefault="00D46909" w:rsidP="00D46909">
      <w:pPr>
        <w:spacing w:after="0" w:line="240" w:lineRule="auto"/>
        <w:ind w:firstLine="709"/>
        <w:contextualSpacing/>
        <w:jc w:val="both"/>
        <w:rPr>
          <w:rFonts w:ascii="Verdana" w:eastAsia="Times New Roman" w:hAnsi="Verdana" w:cs="Arial"/>
          <w:sz w:val="14"/>
          <w:szCs w:val="14"/>
        </w:rPr>
      </w:pPr>
      <w:r w:rsidRPr="00363473">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363473">
        <w:rPr>
          <w:rFonts w:ascii="Verdana" w:hAnsi="Verdana" w:cs="Arial"/>
          <w:color w:val="000000"/>
          <w:sz w:val="14"/>
          <w:szCs w:val="14"/>
        </w:rPr>
        <w:t>”</w:t>
      </w:r>
      <w:r w:rsidRPr="00363473">
        <w:rPr>
          <w:rFonts w:ascii="Verdana" w:eastAsia="Times New Roman" w:hAnsi="Verdana" w:cs="Arial"/>
          <w:sz w:val="14"/>
          <w:szCs w:val="14"/>
        </w:rPr>
        <w:t>.</w:t>
      </w:r>
    </w:p>
  </w:footnote>
  <w:footnote w:id="9">
    <w:p w14:paraId="491E329C" w14:textId="77777777" w:rsidR="00D46909" w:rsidRPr="00363473" w:rsidRDefault="00D46909" w:rsidP="00D46909">
      <w:pPr>
        <w:pStyle w:val="NormalWeb"/>
        <w:spacing w:before="0" w:beforeAutospacing="0" w:after="0" w:afterAutospacing="0"/>
        <w:ind w:firstLine="709"/>
        <w:contextualSpacing/>
        <w:jc w:val="both"/>
        <w:rPr>
          <w:rFonts w:ascii="Verdana" w:hAnsi="Verdana" w:cs="Arial"/>
          <w:sz w:val="14"/>
          <w:szCs w:val="14"/>
          <w:lang w:val="es-MX"/>
        </w:rPr>
      </w:pPr>
      <w:r w:rsidRPr="00363473">
        <w:rPr>
          <w:rStyle w:val="Refdenotaalpie"/>
          <w:rFonts w:ascii="Verdana" w:hAnsi="Verdana" w:cs="Arial"/>
          <w:sz w:val="14"/>
          <w:szCs w:val="14"/>
        </w:rPr>
        <w:footnoteRef/>
      </w:r>
      <w:r w:rsidRPr="00363473">
        <w:rPr>
          <w:rFonts w:ascii="Verdana" w:hAnsi="Verdana" w:cs="Arial"/>
          <w:sz w:val="14"/>
          <w:szCs w:val="14"/>
        </w:rPr>
        <w:t xml:space="preserve"> </w:t>
      </w:r>
      <w:r w:rsidRPr="00363473">
        <w:rPr>
          <w:rFonts w:ascii="Verdana" w:eastAsia="Calibri" w:hAnsi="Verdana" w:cs="Arial"/>
          <w:color w:val="000000"/>
          <w:sz w:val="14"/>
          <w:szCs w:val="14"/>
        </w:rPr>
        <w:t>“</w:t>
      </w:r>
      <w:r w:rsidRPr="00363473">
        <w:rPr>
          <w:rFonts w:ascii="Verdana" w:hAnsi="Verdana" w:cs="Arial"/>
          <w:sz w:val="14"/>
          <w:szCs w:val="14"/>
          <w:lang w:val="es-MX"/>
        </w:rPr>
        <w:t>Artículo 38. Prohibiciones para los servidores públicos. A los empleados del Estado les está prohibido: […]</w:t>
      </w:r>
    </w:p>
    <w:p w14:paraId="2688790B" w14:textId="77777777" w:rsidR="00D46909" w:rsidRPr="00363473" w:rsidRDefault="00D46909" w:rsidP="00D46909">
      <w:pPr>
        <w:pStyle w:val="NormalWeb"/>
        <w:spacing w:before="0" w:beforeAutospacing="0" w:after="0" w:afterAutospacing="0"/>
        <w:ind w:firstLine="709"/>
        <w:contextualSpacing/>
        <w:jc w:val="both"/>
        <w:rPr>
          <w:rFonts w:ascii="Verdana" w:hAnsi="Verdana" w:cs="Arial"/>
          <w:sz w:val="14"/>
          <w:szCs w:val="14"/>
          <w:lang w:val="es-MX"/>
        </w:rPr>
      </w:pPr>
      <w:r w:rsidRPr="00363473">
        <w:rPr>
          <w:rStyle w:val="baj"/>
          <w:rFonts w:ascii="Verdana" w:hAnsi="Verdana" w:cs="Arial"/>
          <w:sz w:val="14"/>
          <w:szCs w:val="14"/>
          <w:lang w:val="es-MX"/>
        </w:rPr>
        <w:t>Parágrafo.</w:t>
      </w:r>
      <w:r w:rsidRPr="00363473">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63473">
        <w:rPr>
          <w:rFonts w:ascii="Verdana" w:eastAsia="Calibri" w:hAnsi="Verdana" w:cs="Arial"/>
          <w:color w:val="000000"/>
          <w:sz w:val="14"/>
          <w:szCs w:val="14"/>
        </w:rPr>
        <w:t>”</w:t>
      </w:r>
      <w:r w:rsidRPr="00363473">
        <w:rPr>
          <w:rFonts w:ascii="Verdana" w:hAnsi="Verdana" w:cs="Arial"/>
          <w:sz w:val="14"/>
          <w:szCs w:val="14"/>
          <w:lang w:val="es-MX"/>
        </w:rPr>
        <w:t>.</w:t>
      </w:r>
    </w:p>
  </w:footnote>
  <w:footnote w:id="10">
    <w:p w14:paraId="5C9863D3" w14:textId="77777777" w:rsidR="00D46909" w:rsidRPr="00363473" w:rsidRDefault="00D46909" w:rsidP="00D46909">
      <w:pPr>
        <w:spacing w:after="0" w:line="240" w:lineRule="auto"/>
        <w:ind w:left="100" w:right="244" w:firstLine="709"/>
        <w:contextualSpacing/>
        <w:jc w:val="both"/>
        <w:rPr>
          <w:rFonts w:ascii="Verdana" w:hAnsi="Verdana" w:cs="Arial"/>
          <w:sz w:val="14"/>
          <w:szCs w:val="14"/>
          <w:lang w:val="es-ES"/>
        </w:rPr>
      </w:pPr>
      <w:r w:rsidRPr="00363473">
        <w:rPr>
          <w:rStyle w:val="Refdenotaalpie"/>
          <w:rFonts w:ascii="Verdana" w:hAnsi="Verdana" w:cs="Arial"/>
          <w:sz w:val="14"/>
          <w:szCs w:val="14"/>
        </w:rPr>
        <w:footnoteRef/>
      </w:r>
      <w:r w:rsidRPr="00363473">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1">
    <w:p w14:paraId="5D3A84C5" w14:textId="77777777" w:rsidR="00D46909" w:rsidRPr="00363473" w:rsidRDefault="00D46909" w:rsidP="00D46909">
      <w:pPr>
        <w:pStyle w:val="Textonotapie"/>
        <w:ind w:right="51" w:firstLine="709"/>
        <w:contextualSpacing/>
        <w:jc w:val="both"/>
        <w:rPr>
          <w:rFonts w:ascii="Verdana" w:hAnsi="Verdana" w:cs="Arial"/>
          <w:sz w:val="14"/>
          <w:szCs w:val="14"/>
        </w:rPr>
      </w:pPr>
      <w:r w:rsidRPr="00363473">
        <w:rPr>
          <w:rStyle w:val="Refdenotaalpie"/>
          <w:rFonts w:ascii="Verdana" w:hAnsi="Verdana" w:cs="Arial"/>
          <w:sz w:val="14"/>
          <w:szCs w:val="14"/>
        </w:rPr>
        <w:footnoteRef/>
      </w:r>
      <w:r w:rsidRPr="00363473">
        <w:rPr>
          <w:rFonts w:ascii="Verdana" w:hAnsi="Verdana" w:cs="Arial"/>
          <w:sz w:val="14"/>
          <w:szCs w:val="14"/>
        </w:rPr>
        <w:t xml:space="preserve"> “</w:t>
      </w:r>
      <w:r w:rsidRPr="00363473">
        <w:rPr>
          <w:rFonts w:ascii="Verdana" w:hAnsi="Verdana" w:cs="Arial"/>
          <w:sz w:val="14"/>
          <w:szCs w:val="14"/>
          <w:lang w:val="es-ES"/>
        </w:rPr>
        <w:t xml:space="preserve">[26] </w:t>
      </w:r>
      <w:r w:rsidRPr="00363473">
        <w:rPr>
          <w:rFonts w:ascii="Verdana" w:hAnsi="Verdana" w:cs="Arial"/>
          <w:sz w:val="14"/>
          <w:szCs w:val="14"/>
        </w:rPr>
        <w:t>Al respecto ver el concepto 1712 de 2 de febrero de 2006. Consejo de Estado Sala de Consulta y Servicio Civil”.</w:t>
      </w:r>
    </w:p>
  </w:footnote>
  <w:footnote w:id="12">
    <w:p w14:paraId="290461B8" w14:textId="77777777" w:rsidR="00D46909" w:rsidRPr="00363473" w:rsidRDefault="00D46909" w:rsidP="00D46909">
      <w:pPr>
        <w:pStyle w:val="Textonotapie"/>
        <w:ind w:firstLine="709"/>
        <w:contextualSpacing/>
        <w:jc w:val="both"/>
        <w:rPr>
          <w:rFonts w:ascii="Verdana" w:hAnsi="Verdana" w:cs="Arial"/>
          <w:sz w:val="14"/>
          <w:szCs w:val="14"/>
        </w:rPr>
      </w:pPr>
      <w:r w:rsidRPr="00363473">
        <w:rPr>
          <w:rStyle w:val="Refdenotaalpie"/>
          <w:rFonts w:ascii="Verdana" w:hAnsi="Verdana" w:cs="Arial"/>
          <w:sz w:val="14"/>
          <w:szCs w:val="14"/>
        </w:rPr>
        <w:footnoteRef/>
      </w:r>
      <w:r w:rsidRPr="00363473">
        <w:rPr>
          <w:rFonts w:ascii="Verdana" w:hAnsi="Verdana" w:cs="Arial"/>
          <w:sz w:val="14"/>
          <w:szCs w:val="14"/>
        </w:rPr>
        <w:t xml:space="preserve"> Consejo de Estado. Sala de Consulta y Servicio Civil. Concepto del 2 de septiembre de 2013. Radicación número: 11001-03-06-000-2013-00412-00 (2168). Consejero Ponente: Álvaro </w:t>
      </w:r>
      <w:r w:rsidRPr="00363473">
        <w:rPr>
          <w:rFonts w:ascii="Verdana" w:hAnsi="Verdana" w:cs="Arial"/>
          <w:sz w:val="14"/>
          <w:szCs w:val="14"/>
        </w:rPr>
        <w:t>Namén Vargas.</w:t>
      </w:r>
    </w:p>
  </w:footnote>
  <w:footnote w:id="13">
    <w:p w14:paraId="282595C1" w14:textId="77777777" w:rsidR="00D46909" w:rsidRPr="00363473" w:rsidRDefault="00D46909" w:rsidP="00D46909">
      <w:pPr>
        <w:pStyle w:val="Textonotapie"/>
        <w:ind w:firstLine="709"/>
        <w:contextualSpacing/>
        <w:jc w:val="both"/>
        <w:rPr>
          <w:rFonts w:ascii="Verdana" w:hAnsi="Verdana" w:cs="Arial"/>
          <w:sz w:val="14"/>
          <w:szCs w:val="14"/>
          <w:lang w:val="es-ES"/>
        </w:rPr>
      </w:pPr>
      <w:r w:rsidRPr="00363473">
        <w:rPr>
          <w:rStyle w:val="Refdenotaalpie"/>
          <w:rFonts w:ascii="Verdana" w:hAnsi="Verdana" w:cs="Arial"/>
          <w:sz w:val="14"/>
          <w:szCs w:val="14"/>
        </w:rPr>
        <w:footnoteRef/>
      </w:r>
      <w:r w:rsidRPr="00363473">
        <w:rPr>
          <w:rFonts w:ascii="Verdana" w:hAnsi="Verdana" w:cs="Arial"/>
          <w:sz w:val="14"/>
          <w:szCs w:val="14"/>
        </w:rPr>
        <w:t xml:space="preserve"> </w:t>
      </w:r>
      <w:r w:rsidRPr="00363473">
        <w:rPr>
          <w:rFonts w:ascii="Verdana" w:hAnsi="Verdana" w:cs="Arial"/>
          <w:sz w:val="14"/>
          <w:szCs w:val="14"/>
          <w:lang w:val="es-ES"/>
        </w:rPr>
        <w:t xml:space="preserve">Artículo 2. </w:t>
      </w:r>
    </w:p>
  </w:footnote>
  <w:footnote w:id="14">
    <w:p w14:paraId="44EED2A6" w14:textId="77777777" w:rsidR="00D46909" w:rsidRPr="00363473" w:rsidRDefault="00D46909" w:rsidP="00D46909">
      <w:pPr>
        <w:pStyle w:val="Textonotapie"/>
        <w:ind w:firstLine="709"/>
        <w:contextualSpacing/>
        <w:jc w:val="both"/>
        <w:rPr>
          <w:rFonts w:ascii="Verdana" w:hAnsi="Verdana" w:cs="Arial"/>
          <w:sz w:val="14"/>
          <w:szCs w:val="14"/>
          <w:lang w:val="es-ES"/>
        </w:rPr>
      </w:pPr>
      <w:r w:rsidRPr="00363473">
        <w:rPr>
          <w:rStyle w:val="Refdenotaalpie"/>
          <w:rFonts w:ascii="Verdana" w:hAnsi="Verdana" w:cs="Arial"/>
          <w:sz w:val="14"/>
          <w:szCs w:val="14"/>
        </w:rPr>
        <w:footnoteRef/>
      </w:r>
      <w:r w:rsidRPr="00363473">
        <w:rPr>
          <w:rFonts w:ascii="Verdana" w:hAnsi="Verdana" w:cs="Arial"/>
          <w:sz w:val="14"/>
          <w:szCs w:val="14"/>
        </w:rPr>
        <w:t xml:space="preserve"> </w:t>
      </w:r>
      <w:r w:rsidRPr="00363473">
        <w:rPr>
          <w:rFonts w:ascii="Verdana" w:hAnsi="Verdana" w:cs="Arial"/>
          <w:i/>
          <w:sz w:val="14"/>
          <w:szCs w:val="14"/>
          <w:lang w:val="es-ES"/>
        </w:rPr>
        <w:t>Ídem</w:t>
      </w:r>
      <w:r w:rsidRPr="00363473">
        <w:rPr>
          <w:rFonts w:ascii="Verdana" w:hAnsi="Verdana" w:cs="Arial"/>
          <w:sz w:val="14"/>
          <w:szCs w:val="14"/>
          <w:lang w:val="es-ES"/>
        </w:rPr>
        <w:t>.</w:t>
      </w:r>
    </w:p>
  </w:footnote>
  <w:footnote w:id="15">
    <w:p w14:paraId="1913F35D" w14:textId="77777777" w:rsidR="00D46909" w:rsidRPr="00363473" w:rsidRDefault="00D46909" w:rsidP="00D46909">
      <w:pPr>
        <w:pStyle w:val="Textonotapie"/>
        <w:ind w:firstLine="709"/>
        <w:contextualSpacing/>
        <w:jc w:val="both"/>
        <w:rPr>
          <w:rFonts w:ascii="Verdana" w:hAnsi="Verdana" w:cs="Arial"/>
          <w:sz w:val="14"/>
          <w:szCs w:val="14"/>
        </w:rPr>
      </w:pPr>
      <w:r w:rsidRPr="00363473">
        <w:rPr>
          <w:rStyle w:val="Refdenotaalpie"/>
          <w:rFonts w:ascii="Verdana" w:hAnsi="Verdana" w:cs="Arial"/>
          <w:sz w:val="14"/>
          <w:szCs w:val="14"/>
        </w:rPr>
        <w:footnoteRef/>
      </w:r>
      <w:r w:rsidRPr="00363473">
        <w:rPr>
          <w:rFonts w:ascii="Verdana" w:hAnsi="Verdana" w:cs="Arial"/>
          <w:sz w:val="14"/>
          <w:szCs w:val="14"/>
        </w:rPr>
        <w:t xml:space="preserve"> Consejo de Estado. Sala de Consulta y Servicio Civil. Concepto del 08 de mayo de 2018. </w:t>
      </w:r>
      <w:r w:rsidRPr="00363473">
        <w:rPr>
          <w:rFonts w:ascii="Verdana" w:hAnsi="Verdana" w:cs="Arial"/>
          <w:sz w:val="14"/>
          <w:szCs w:val="14"/>
        </w:rPr>
        <w:t>Exp. 2.382. C.P. Álvaro Namén Vargas.</w:t>
      </w:r>
    </w:p>
  </w:footnote>
  <w:footnote w:id="16">
    <w:p w14:paraId="2D6BEE15" w14:textId="77777777" w:rsidR="00D46909" w:rsidRPr="00363473" w:rsidRDefault="00D46909" w:rsidP="00D46909">
      <w:pPr>
        <w:pStyle w:val="Textonotapie"/>
        <w:ind w:firstLine="708"/>
        <w:contextualSpacing/>
        <w:jc w:val="both"/>
        <w:rPr>
          <w:rFonts w:ascii="Verdana" w:hAnsi="Verdana"/>
          <w:sz w:val="14"/>
          <w:szCs w:val="14"/>
          <w:lang w:val="es-ES"/>
        </w:rPr>
      </w:pPr>
      <w:r w:rsidRPr="00363473">
        <w:rPr>
          <w:rStyle w:val="Refdenotaalpie"/>
          <w:rFonts w:ascii="Verdana" w:hAnsi="Verdana"/>
          <w:sz w:val="14"/>
          <w:szCs w:val="14"/>
        </w:rPr>
        <w:footnoteRef/>
      </w:r>
      <w:r w:rsidRPr="00363473">
        <w:rPr>
          <w:rFonts w:ascii="Verdana" w:hAnsi="Verdana"/>
          <w:sz w:val="14"/>
          <w:szCs w:val="14"/>
        </w:rPr>
        <w:t xml:space="preserve"> </w:t>
      </w:r>
      <w:r w:rsidRPr="00363473">
        <w:rPr>
          <w:rFonts w:ascii="Verdana" w:hAnsi="Verdana" w:cs="Arial"/>
          <w:sz w:val="14"/>
          <w:szCs w:val="14"/>
          <w:lang w:val="es-ES"/>
        </w:rPr>
        <w:t xml:space="preserve">Consejo de Estado, Sala de Consulta y Servicio Civil, Concepto de fecha 8 de mayo de 2018, No. </w:t>
      </w:r>
      <w:r w:rsidRPr="00363473">
        <w:rPr>
          <w:rFonts w:ascii="Verdana" w:hAnsi="Verdana"/>
          <w:sz w:val="14"/>
          <w:szCs w:val="14"/>
          <w:lang w:val="es-CO"/>
        </w:rPr>
        <w:t>2382.</w:t>
      </w:r>
      <w:r w:rsidRPr="00363473">
        <w:rPr>
          <w:rFonts w:ascii="Verdana" w:hAnsi="Verdana"/>
          <w:sz w:val="14"/>
          <w:szCs w:val="14"/>
        </w:rPr>
        <w:t xml:space="preserve"> </w:t>
      </w:r>
      <w:r w:rsidRPr="00363473">
        <w:rPr>
          <w:rFonts w:ascii="Verdana" w:hAnsi="Verdana"/>
          <w:sz w:val="14"/>
          <w:szCs w:val="14"/>
          <w:lang w:val="es-CO"/>
        </w:rPr>
        <w:t xml:space="preserve">C. P. Álvaro </w:t>
      </w:r>
      <w:r w:rsidRPr="00363473">
        <w:rPr>
          <w:rFonts w:ascii="Verdana" w:hAnsi="Verdana"/>
          <w:sz w:val="14"/>
          <w:szCs w:val="14"/>
          <w:lang w:val="es-CO"/>
        </w:rPr>
        <w:t>Namén Vargas.</w:t>
      </w:r>
    </w:p>
  </w:footnote>
  <w:footnote w:id="17">
    <w:p w14:paraId="2099776B" w14:textId="77777777" w:rsidR="00D46909" w:rsidRPr="00363473" w:rsidRDefault="00D46909" w:rsidP="00D46909">
      <w:pPr>
        <w:spacing w:after="0" w:line="240" w:lineRule="auto"/>
        <w:ind w:firstLine="709"/>
        <w:contextualSpacing/>
        <w:jc w:val="both"/>
        <w:rPr>
          <w:rFonts w:ascii="Verdana" w:hAnsi="Verdana" w:cs="Arial"/>
          <w:color w:val="000000" w:themeColor="text1"/>
          <w:sz w:val="14"/>
          <w:szCs w:val="14"/>
        </w:rPr>
      </w:pPr>
      <w:r w:rsidRPr="00363473">
        <w:rPr>
          <w:rStyle w:val="Refdenotaalpie"/>
          <w:rFonts w:ascii="Verdana" w:hAnsi="Verdana" w:cs="Arial"/>
          <w:color w:val="000000" w:themeColor="text1"/>
          <w:sz w:val="14"/>
          <w:szCs w:val="14"/>
        </w:rPr>
        <w:footnoteRef/>
      </w:r>
      <w:r w:rsidRPr="00363473">
        <w:rPr>
          <w:rFonts w:ascii="Verdana" w:hAnsi="Verdana" w:cs="Arial"/>
          <w:color w:val="000000" w:themeColor="text1"/>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3A870AE7" w14:textId="77777777" w:rsidR="00D46909" w:rsidRPr="00363473" w:rsidRDefault="00D46909" w:rsidP="00D46909">
      <w:pPr>
        <w:pStyle w:val="Textonotapie"/>
        <w:ind w:firstLine="708"/>
        <w:contextualSpacing/>
        <w:jc w:val="both"/>
        <w:rPr>
          <w:rFonts w:ascii="Verdana" w:hAnsi="Verdana" w:cs="Arial"/>
          <w:color w:val="000000" w:themeColor="text1"/>
          <w:sz w:val="14"/>
          <w:szCs w:val="14"/>
        </w:rPr>
      </w:pPr>
      <w:r w:rsidRPr="00363473">
        <w:rPr>
          <w:rStyle w:val="Refdenotaalpie"/>
          <w:rFonts w:ascii="Verdana" w:hAnsi="Verdana" w:cs="Arial"/>
          <w:color w:val="000000" w:themeColor="text1"/>
          <w:sz w:val="14"/>
          <w:szCs w:val="14"/>
        </w:rPr>
        <w:footnoteRef/>
      </w:r>
      <w:r w:rsidRPr="00363473">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footnote>
  <w:footnote w:id="19">
    <w:p w14:paraId="69BA213F" w14:textId="77777777" w:rsidR="00D46909" w:rsidRPr="00363473" w:rsidRDefault="00D46909" w:rsidP="00D46909">
      <w:pPr>
        <w:pStyle w:val="Textonotapie"/>
        <w:ind w:firstLine="708"/>
        <w:contextualSpacing/>
        <w:jc w:val="both"/>
        <w:rPr>
          <w:rFonts w:ascii="Verdana" w:hAnsi="Verdana" w:cs="Arial"/>
          <w:color w:val="000000" w:themeColor="text1"/>
          <w:sz w:val="14"/>
          <w:szCs w:val="14"/>
        </w:rPr>
      </w:pPr>
      <w:r w:rsidRPr="00363473">
        <w:rPr>
          <w:rStyle w:val="Refdenotaalpie"/>
          <w:rFonts w:ascii="Verdana" w:hAnsi="Verdana" w:cs="Arial"/>
          <w:color w:val="000000" w:themeColor="text1"/>
          <w:sz w:val="14"/>
          <w:szCs w:val="14"/>
        </w:rPr>
        <w:footnoteRef/>
      </w:r>
      <w:r w:rsidRPr="00363473">
        <w:rPr>
          <w:rFonts w:ascii="Verdana" w:hAnsi="Verdana" w:cs="Arial"/>
          <w:color w:val="000000" w:themeColor="text1"/>
          <w:sz w:val="14"/>
          <w:szCs w:val="14"/>
        </w:rPr>
        <w:t xml:space="preserve"> Consejo de Estado. Sala de Consulta y Servicio Civil. Concepto del 02 de septiembre de 2013. Rad. 11001-03-06-000-2013-00412-00 (2168). C.P. Álvaro </w:t>
      </w:r>
      <w:r w:rsidRPr="00363473">
        <w:rPr>
          <w:rFonts w:ascii="Verdana" w:hAnsi="Verdana" w:cs="Arial"/>
          <w:color w:val="000000" w:themeColor="text1"/>
          <w:sz w:val="14"/>
          <w:szCs w:val="14"/>
        </w:rPr>
        <w:t>Namén Vargas.</w:t>
      </w:r>
    </w:p>
  </w:footnote>
  <w:footnote w:id="20">
    <w:p w14:paraId="249A6C38" w14:textId="77777777" w:rsidR="00D46909" w:rsidRPr="00363473" w:rsidRDefault="00D46909" w:rsidP="00D46909">
      <w:pPr>
        <w:pStyle w:val="Textonotapie"/>
        <w:ind w:firstLine="709"/>
        <w:rPr>
          <w:rFonts w:ascii="Verdana" w:hAnsi="Verdana" w:cs="Arial"/>
          <w:sz w:val="14"/>
          <w:szCs w:val="14"/>
          <w:lang w:val="es-ES"/>
        </w:rPr>
      </w:pPr>
      <w:r w:rsidRPr="00363473">
        <w:rPr>
          <w:rStyle w:val="Refdenotaalpie"/>
          <w:rFonts w:ascii="Verdana" w:hAnsi="Verdana" w:cs="Arial"/>
          <w:sz w:val="14"/>
          <w:szCs w:val="14"/>
        </w:rPr>
        <w:footnoteRef/>
      </w:r>
      <w:r w:rsidRPr="00363473">
        <w:rPr>
          <w:rFonts w:ascii="Verdana" w:hAnsi="Verdana" w:cs="Arial"/>
          <w:sz w:val="14"/>
          <w:szCs w:val="14"/>
        </w:rPr>
        <w:t xml:space="preserve"> </w:t>
      </w:r>
      <w:r w:rsidRPr="00363473">
        <w:rPr>
          <w:rFonts w:ascii="Verdana" w:hAnsi="Verdana" w:cs="Arial"/>
          <w:sz w:val="14"/>
          <w:szCs w:val="14"/>
          <w:lang w:val="es-ES"/>
        </w:rPr>
        <w:t>Por medio del cual se reglamentan parcialmente las operaciones de crédito público, las de manejo de la deuda pública, sus asimiladas y conexas y la contratación directa de las mismas.</w:t>
      </w:r>
    </w:p>
    <w:p w14:paraId="53365D42" w14:textId="77777777" w:rsidR="00D46909" w:rsidRPr="00363473" w:rsidRDefault="00D46909" w:rsidP="00D46909">
      <w:pPr>
        <w:pStyle w:val="Textonotapie"/>
        <w:ind w:firstLine="709"/>
        <w:rPr>
          <w:rFonts w:ascii="Verdana" w:hAnsi="Verdana" w:cs="Arial"/>
          <w:sz w:val="14"/>
          <w:szCs w:val="14"/>
        </w:rPr>
      </w:pPr>
    </w:p>
  </w:footnote>
  <w:footnote w:id="21">
    <w:p w14:paraId="67A4A0AA" w14:textId="77777777" w:rsidR="00D46909" w:rsidRPr="00363473" w:rsidRDefault="00D46909" w:rsidP="00D46909">
      <w:pPr>
        <w:pStyle w:val="Textonotapie"/>
        <w:ind w:firstLine="709"/>
        <w:rPr>
          <w:rFonts w:ascii="Verdana" w:hAnsi="Verdana" w:cs="Arial"/>
          <w:sz w:val="14"/>
          <w:szCs w:val="14"/>
          <w:lang w:val="es-ES"/>
        </w:rPr>
      </w:pPr>
      <w:r w:rsidRPr="00363473">
        <w:rPr>
          <w:rStyle w:val="Refdenotaalpie"/>
          <w:rFonts w:ascii="Verdana" w:hAnsi="Verdana" w:cs="Arial"/>
          <w:sz w:val="14"/>
          <w:szCs w:val="14"/>
        </w:rPr>
        <w:footnoteRef/>
      </w:r>
      <w:r w:rsidRPr="00363473">
        <w:rPr>
          <w:rFonts w:ascii="Verdana" w:hAnsi="Verdana" w:cs="Arial"/>
          <w:sz w:val="14"/>
          <w:szCs w:val="14"/>
        </w:rPr>
        <w:t xml:space="preserve"> </w:t>
      </w:r>
      <w:r w:rsidRPr="00363473">
        <w:rPr>
          <w:rFonts w:ascii="Verdana" w:hAnsi="Verdana" w:cs="Arial"/>
          <w:sz w:val="14"/>
          <w:szCs w:val="14"/>
          <w:lang w:val="es-ES"/>
        </w:rPr>
        <w:t>Por medio del cual se expide el Decreto Único Reglamentario del Sector Hacienda y Crédito Público.</w:t>
      </w:r>
    </w:p>
  </w:footnote>
  <w:footnote w:id="22">
    <w:p w14:paraId="31B484FB" w14:textId="77777777" w:rsidR="00D46909" w:rsidRPr="00363473" w:rsidRDefault="00D46909" w:rsidP="00D46909">
      <w:pPr>
        <w:pStyle w:val="Textonotapie"/>
        <w:ind w:firstLine="709"/>
        <w:rPr>
          <w:rFonts w:ascii="Verdana" w:hAnsi="Verdana"/>
          <w:sz w:val="14"/>
          <w:szCs w:val="14"/>
          <w:lang w:val="es-ES"/>
        </w:rPr>
      </w:pPr>
      <w:r w:rsidRPr="00363473">
        <w:rPr>
          <w:rStyle w:val="Refdenotaalpie"/>
          <w:rFonts w:ascii="Verdana" w:hAnsi="Verdana"/>
          <w:sz w:val="14"/>
          <w:szCs w:val="14"/>
        </w:rPr>
        <w:footnoteRef/>
      </w:r>
      <w:r w:rsidRPr="00363473">
        <w:rPr>
          <w:rFonts w:ascii="Verdana" w:hAnsi="Verdana"/>
          <w:sz w:val="14"/>
          <w:szCs w:val="14"/>
        </w:rPr>
        <w:t xml:space="preserve"> CONSEJO DE ESTADO. Sala de lo Contencioso Administrativo. Sección Cuarta. Sentencia 13 de junio de 2013. Magistrada ponente: Carmen Teresa Ortiz de Rodríguez.  </w:t>
      </w:r>
    </w:p>
  </w:footnote>
  <w:footnote w:id="23">
    <w:p w14:paraId="755E683F" w14:textId="77777777" w:rsidR="00D46909" w:rsidRPr="00363473" w:rsidRDefault="00D46909" w:rsidP="00D46909">
      <w:pPr>
        <w:pStyle w:val="Textonotapie"/>
        <w:ind w:firstLine="709"/>
        <w:rPr>
          <w:rFonts w:ascii="Verdana" w:hAnsi="Verdana"/>
          <w:sz w:val="14"/>
          <w:szCs w:val="14"/>
          <w:lang w:val="es-ES"/>
        </w:rPr>
      </w:pPr>
      <w:r w:rsidRPr="00363473">
        <w:rPr>
          <w:rStyle w:val="Refdenotaalpie"/>
          <w:rFonts w:ascii="Verdana" w:hAnsi="Verdana"/>
          <w:sz w:val="14"/>
          <w:szCs w:val="14"/>
        </w:rPr>
        <w:footnoteRef/>
      </w:r>
      <w:r w:rsidRPr="00363473">
        <w:rPr>
          <w:rFonts w:ascii="Verdana" w:hAnsi="Verdana"/>
          <w:sz w:val="14"/>
          <w:szCs w:val="14"/>
        </w:rPr>
        <w:t xml:space="preserve"> 72 GORDILLO. Agustín. El Contrato de crédito externo. Revista de Administración Pública, </w:t>
      </w:r>
      <w:r w:rsidRPr="00363473">
        <w:rPr>
          <w:rFonts w:ascii="Verdana" w:hAnsi="Verdana"/>
          <w:sz w:val="14"/>
          <w:szCs w:val="14"/>
        </w:rPr>
        <w:t>Núm 097. Pág 417.</w:t>
      </w:r>
    </w:p>
  </w:footnote>
  <w:footnote w:id="24">
    <w:p w14:paraId="41D23BA3" w14:textId="77777777" w:rsidR="00D46909" w:rsidRPr="00363473" w:rsidRDefault="00D46909" w:rsidP="00D46909">
      <w:pPr>
        <w:pStyle w:val="Textonotapie"/>
        <w:ind w:firstLine="709"/>
        <w:jc w:val="both"/>
        <w:rPr>
          <w:rFonts w:ascii="Verdana" w:hAnsi="Verdana"/>
          <w:sz w:val="14"/>
          <w:szCs w:val="14"/>
          <w:lang w:val="es-CO"/>
        </w:rPr>
      </w:pPr>
      <w:r w:rsidRPr="00363473">
        <w:rPr>
          <w:rStyle w:val="Refdenotaalpie"/>
          <w:rFonts w:ascii="Verdana" w:hAnsi="Verdana"/>
          <w:sz w:val="14"/>
          <w:szCs w:val="14"/>
        </w:rPr>
        <w:footnoteRef/>
      </w:r>
      <w:r w:rsidRPr="00363473">
        <w:rPr>
          <w:rFonts w:ascii="Verdana" w:hAnsi="Verdana"/>
          <w:sz w:val="14"/>
          <w:szCs w:val="14"/>
        </w:rPr>
        <w:t xml:space="preserve"> </w:t>
      </w:r>
      <w:r w:rsidRPr="00363473">
        <w:rPr>
          <w:rFonts w:ascii="Verdana" w:hAnsi="Verdana" w:cs="Arial"/>
          <w:sz w:val="14"/>
          <w:szCs w:val="14"/>
        </w:rPr>
        <w:t xml:space="preserve">Consejo de Estado -Sección Tercera-. Sentencia del </w:t>
      </w:r>
      <w:r w:rsidRPr="00363473">
        <w:rPr>
          <w:rFonts w:ascii="Verdana" w:hAnsi="Verdana" w:cs="Arial"/>
          <w:bCs/>
          <w:iCs/>
          <w:sz w:val="14"/>
          <w:szCs w:val="14"/>
        </w:rPr>
        <w:t>21 de febrero de 2025. Radicación Número: 68.280. CP: José Roberto Sáchica Méndez.</w:t>
      </w:r>
    </w:p>
  </w:footnote>
  <w:footnote w:id="25">
    <w:p w14:paraId="3946B4B5" w14:textId="77777777" w:rsidR="00D46909" w:rsidRPr="00363473" w:rsidRDefault="00D46909" w:rsidP="00D46909">
      <w:pPr>
        <w:pStyle w:val="Textonotapie"/>
        <w:ind w:firstLine="708"/>
        <w:jc w:val="both"/>
        <w:rPr>
          <w:rFonts w:ascii="Verdana" w:hAnsi="Verdana" w:cs="Arial"/>
          <w:sz w:val="14"/>
          <w:szCs w:val="14"/>
        </w:rPr>
      </w:pPr>
      <w:r w:rsidRPr="00363473">
        <w:rPr>
          <w:rFonts w:ascii="Verdana" w:hAnsi="Verdana"/>
          <w:sz w:val="14"/>
          <w:szCs w:val="14"/>
          <w:vertAlign w:val="superscript"/>
        </w:rPr>
        <w:footnoteRef/>
      </w:r>
      <w:r w:rsidRPr="00363473">
        <w:rPr>
          <w:rFonts w:ascii="Verdana" w:hAnsi="Verdana"/>
          <w:sz w:val="14"/>
          <w:szCs w:val="14"/>
          <w:vertAlign w:val="superscript"/>
        </w:rPr>
        <w:t xml:space="preserve"> </w:t>
      </w:r>
      <w:r w:rsidRPr="00363473">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88F4B15" w14:textId="77777777" w:rsidR="00D46909" w:rsidRPr="00363473" w:rsidRDefault="00D46909" w:rsidP="00D46909">
      <w:pPr>
        <w:pStyle w:val="Textonotapie"/>
        <w:ind w:firstLine="708"/>
        <w:jc w:val="both"/>
        <w:rPr>
          <w:rFonts w:ascii="Verdana" w:hAnsi="Verdana" w:cs="Arial"/>
          <w:sz w:val="14"/>
          <w:szCs w:val="14"/>
        </w:rPr>
      </w:pPr>
    </w:p>
  </w:footnote>
  <w:footnote w:id="26">
    <w:p w14:paraId="5C4061D5" w14:textId="77777777" w:rsidR="00D46909" w:rsidRPr="00363473" w:rsidRDefault="00D46909" w:rsidP="00D46909">
      <w:pPr>
        <w:pStyle w:val="Textonotapie"/>
        <w:ind w:firstLine="708"/>
        <w:jc w:val="both"/>
        <w:rPr>
          <w:rFonts w:ascii="Verdana" w:hAnsi="Verdana" w:cs="Arial"/>
          <w:sz w:val="14"/>
          <w:szCs w:val="14"/>
        </w:rPr>
      </w:pPr>
      <w:r w:rsidRPr="00363473">
        <w:rPr>
          <w:rFonts w:ascii="Verdana" w:hAnsi="Verdana"/>
          <w:sz w:val="14"/>
          <w:szCs w:val="14"/>
          <w:vertAlign w:val="superscript"/>
        </w:rPr>
        <w:footnoteRef/>
      </w:r>
      <w:r w:rsidRPr="00363473">
        <w:rPr>
          <w:rFonts w:ascii="Verdana" w:hAnsi="Verdana" w:cs="Arial"/>
          <w:sz w:val="14"/>
          <w:szCs w:val="14"/>
          <w:vertAlign w:val="superscript"/>
        </w:rPr>
        <w:t xml:space="preserve"> </w:t>
      </w:r>
      <w:r w:rsidRPr="00363473">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2CF6163A" w14:textId="77777777" w:rsidR="00D46909" w:rsidRPr="00363473" w:rsidRDefault="00D46909" w:rsidP="00D46909">
      <w:pPr>
        <w:pStyle w:val="Textonotapie"/>
        <w:ind w:firstLine="708"/>
        <w:jc w:val="both"/>
        <w:rPr>
          <w:rFonts w:ascii="Verdana" w:hAnsi="Verdana" w:cs="Arial"/>
          <w:sz w:val="14"/>
          <w:szCs w:val="14"/>
        </w:rPr>
      </w:pPr>
      <w:r w:rsidRPr="00363473">
        <w:rPr>
          <w:rFonts w:ascii="Verdana" w:hAnsi="Verdana" w:cs="Arial"/>
          <w:sz w:val="14"/>
          <w:szCs w:val="14"/>
        </w:rPr>
        <w:t>[…].</w:t>
      </w:r>
    </w:p>
  </w:footnote>
  <w:footnote w:id="27">
    <w:p w14:paraId="77BF6D7C" w14:textId="77777777" w:rsidR="00D46909" w:rsidRPr="00363473" w:rsidRDefault="00D46909" w:rsidP="00D46909">
      <w:pPr>
        <w:pStyle w:val="Textonotapie"/>
        <w:ind w:firstLine="708"/>
        <w:jc w:val="both"/>
        <w:rPr>
          <w:rFonts w:ascii="Verdana" w:hAnsi="Verdana" w:cs="Arial"/>
          <w:sz w:val="14"/>
          <w:szCs w:val="14"/>
        </w:rPr>
      </w:pPr>
      <w:r w:rsidRPr="00363473">
        <w:rPr>
          <w:rFonts w:ascii="Verdana" w:hAnsi="Verdana"/>
          <w:sz w:val="14"/>
          <w:szCs w:val="14"/>
          <w:vertAlign w:val="superscript"/>
        </w:rPr>
        <w:footnoteRef/>
      </w:r>
      <w:r w:rsidRPr="00363473">
        <w:rPr>
          <w:rFonts w:ascii="Verdana" w:hAnsi="Verdana" w:cs="Arial"/>
          <w:sz w:val="14"/>
          <w:szCs w:val="14"/>
          <w:vertAlign w:val="superscript"/>
        </w:rPr>
        <w:t xml:space="preserve"> </w:t>
      </w:r>
      <w:r w:rsidRPr="00363473">
        <w:rPr>
          <w:rFonts w:ascii="Verdana" w:hAnsi="Verdana" w:cs="Arial"/>
          <w:sz w:val="14"/>
          <w:szCs w:val="14"/>
        </w:rPr>
        <w:t>Código Civil: «Artículo 27. Cuando el sentido de la ley sea claro, no se desatenderá su tenor a pretexto de consultar su espíritu».</w:t>
      </w:r>
    </w:p>
  </w:footnote>
  <w:footnote w:id="28">
    <w:p w14:paraId="05D813A7" w14:textId="77777777" w:rsidR="00D46909" w:rsidRPr="00363473" w:rsidRDefault="00D46909" w:rsidP="00D46909">
      <w:pPr>
        <w:pStyle w:val="Textonotapie"/>
        <w:ind w:firstLine="709"/>
        <w:jc w:val="both"/>
        <w:rPr>
          <w:rFonts w:ascii="Verdana" w:hAnsi="Verdana" w:cs="Arial"/>
          <w:sz w:val="14"/>
          <w:szCs w:val="14"/>
          <w:lang w:val="es-CO"/>
        </w:rPr>
      </w:pPr>
      <w:r w:rsidRPr="00363473">
        <w:rPr>
          <w:rStyle w:val="Refdenotaalpie"/>
          <w:rFonts w:ascii="Verdana" w:hAnsi="Verdana"/>
          <w:sz w:val="14"/>
          <w:szCs w:val="14"/>
        </w:rPr>
        <w:footnoteRef/>
      </w:r>
      <w:r w:rsidRPr="00363473">
        <w:rPr>
          <w:rFonts w:ascii="Verdana" w:hAnsi="Verdana"/>
          <w:sz w:val="14"/>
          <w:szCs w:val="14"/>
          <w:lang w:val="es-CO"/>
        </w:rPr>
        <w:t xml:space="preserve"> Consejo de Estado, Sección Tercera. Auto del 4 de octubre de 2024. </w:t>
      </w:r>
      <w:r w:rsidRPr="00363473">
        <w:rPr>
          <w:rFonts w:ascii="Verdana" w:hAnsi="Verdana"/>
          <w:sz w:val="14"/>
          <w:szCs w:val="14"/>
          <w:lang w:val="es-CO"/>
        </w:rPr>
        <w:t>Exp. 70.313. C.P: Fredy Ibarra Martínez</w:t>
      </w:r>
    </w:p>
  </w:footnote>
  <w:footnote w:id="29">
    <w:p w14:paraId="4D76ACD5" w14:textId="77777777" w:rsidR="00D46909" w:rsidRPr="00363473" w:rsidRDefault="00D46909" w:rsidP="00D46909">
      <w:pPr>
        <w:pStyle w:val="Textonotapie"/>
        <w:ind w:firstLine="709"/>
        <w:jc w:val="both"/>
        <w:rPr>
          <w:rFonts w:ascii="Verdana" w:hAnsi="Verdana"/>
          <w:sz w:val="14"/>
          <w:szCs w:val="14"/>
          <w:lang w:val="es-CO"/>
        </w:rPr>
      </w:pPr>
      <w:r w:rsidRPr="00363473">
        <w:rPr>
          <w:rStyle w:val="Refdenotaalpie"/>
          <w:sz w:val="14"/>
          <w:szCs w:val="14"/>
        </w:rPr>
        <w:footnoteRef/>
      </w:r>
      <w:r w:rsidRPr="00363473">
        <w:rPr>
          <w:sz w:val="14"/>
          <w:szCs w:val="14"/>
        </w:rPr>
        <w:t xml:space="preserve"> L</w:t>
      </w:r>
      <w:r w:rsidRPr="00363473">
        <w:rPr>
          <w:rFonts w:ascii="Verdana" w:hAnsi="Verdana"/>
          <w:sz w:val="14"/>
          <w:szCs w:val="14"/>
        </w:rPr>
        <w:t>a parte resolutiva del auto dispone lo siguiente; “</w:t>
      </w:r>
      <w:r w:rsidRPr="00363473">
        <w:rPr>
          <w:rFonts w:ascii="Verdana" w:hAnsi="Verdana"/>
          <w:b/>
          <w:bCs/>
          <w:sz w:val="14"/>
          <w:szCs w:val="14"/>
          <w:lang w:val="es-CO"/>
        </w:rPr>
        <w:t xml:space="preserve">PRIMERO: DECRETAR </w:t>
      </w:r>
      <w:r w:rsidRPr="00363473">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363473">
        <w:rPr>
          <w:rFonts w:ascii="Verdana" w:hAnsi="Verdana"/>
          <w:i/>
          <w:iCs/>
          <w:sz w:val="14"/>
          <w:szCs w:val="14"/>
          <w:lang w:val="es-CO"/>
        </w:rPr>
        <w:t>“[e]</w:t>
      </w:r>
      <w:r w:rsidRPr="00363473">
        <w:rPr>
          <w:rFonts w:ascii="Verdana" w:hAnsi="Verdana"/>
          <w:i/>
          <w:iCs/>
          <w:sz w:val="14"/>
          <w:szCs w:val="14"/>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363473">
        <w:rPr>
          <w:rFonts w:ascii="Verdana" w:hAnsi="Verdana"/>
          <w:sz w:val="14"/>
          <w:szCs w:val="14"/>
          <w:lang w:val="es-CO"/>
        </w:rPr>
        <w:t xml:space="preserve">, por las razones expuestas en precedencia. </w:t>
      </w:r>
    </w:p>
    <w:p w14:paraId="5CD145F0" w14:textId="77777777" w:rsidR="00D46909" w:rsidRPr="00363473" w:rsidRDefault="00D46909" w:rsidP="00D46909">
      <w:pPr>
        <w:pStyle w:val="Textonotapie"/>
        <w:ind w:firstLine="709"/>
        <w:jc w:val="both"/>
        <w:rPr>
          <w:rFonts w:ascii="Verdana" w:hAnsi="Verdana" w:cs="Arial"/>
          <w:sz w:val="14"/>
          <w:szCs w:val="14"/>
          <w:lang w:val="es-CO"/>
        </w:rPr>
      </w:pPr>
      <w:r w:rsidRPr="00363473">
        <w:rPr>
          <w:rFonts w:ascii="Verdana" w:hAnsi="Verdana"/>
          <w:b/>
          <w:bCs/>
          <w:sz w:val="14"/>
          <w:szCs w:val="14"/>
          <w:lang w:val="es-CO"/>
        </w:rPr>
        <w:t xml:space="preserve">SEGUNDO: DECRETAR </w:t>
      </w:r>
      <w:r w:rsidRPr="00363473">
        <w:rPr>
          <w:rFonts w:ascii="Verdana" w:hAnsi="Verdana"/>
          <w:sz w:val="14"/>
          <w:szCs w:val="14"/>
          <w:lang w:val="es-CO"/>
        </w:rPr>
        <w:t>la suspensión provisional de la expresión “</w:t>
      </w:r>
      <w:r w:rsidRPr="00363473">
        <w:rPr>
          <w:rFonts w:ascii="Verdana" w:hAnsi="Verdana"/>
          <w:i/>
          <w:iCs/>
          <w:sz w:val="14"/>
          <w:szCs w:val="14"/>
          <w:lang w:val="es-CO"/>
        </w:rPr>
        <w:t>contratos</w:t>
      </w:r>
      <w:r w:rsidRPr="00363473">
        <w:rPr>
          <w:rFonts w:ascii="Verdana" w:hAnsi="Verdana"/>
          <w:sz w:val="14"/>
          <w:szCs w:val="14"/>
          <w:lang w:val="es-CO"/>
        </w:rPr>
        <w:t xml:space="preserve">” y del párrafo </w:t>
      </w:r>
      <w:r w:rsidRPr="00363473">
        <w:rPr>
          <w:rFonts w:ascii="Verdana" w:hAnsi="Verdana"/>
          <w:i/>
          <w:iCs/>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363473">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30">
    <w:p w14:paraId="6374EADE" w14:textId="77777777" w:rsidR="00D46909" w:rsidRPr="00363473" w:rsidRDefault="00D46909" w:rsidP="00D46909">
      <w:pPr>
        <w:pStyle w:val="Textonotapie"/>
        <w:ind w:firstLine="709"/>
        <w:jc w:val="both"/>
        <w:rPr>
          <w:rFonts w:ascii="Verdana" w:hAnsi="Verdana" w:cs="Arial"/>
          <w:sz w:val="14"/>
          <w:szCs w:val="14"/>
        </w:rPr>
      </w:pPr>
      <w:r w:rsidRPr="00363473">
        <w:rPr>
          <w:rStyle w:val="Refdenotaalpie"/>
          <w:rFonts w:ascii="Verdana" w:hAnsi="Verdana" w:cs="Arial"/>
          <w:sz w:val="14"/>
          <w:szCs w:val="14"/>
        </w:rPr>
        <w:footnoteRef/>
      </w:r>
      <w:r w:rsidRPr="00363473">
        <w:rPr>
          <w:rFonts w:ascii="Verdana" w:hAnsi="Verdana" w:cs="Arial"/>
          <w:sz w:val="14"/>
          <w:szCs w:val="14"/>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9435A3D"/>
    <w:multiLevelType w:val="hybridMultilevel"/>
    <w:tmpl w:val="6136C612"/>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3"/>
  </w:num>
  <w:num w:numId="16" w16cid:durableId="1330140246">
    <w:abstractNumId w:val="0"/>
  </w:num>
  <w:num w:numId="17" w16cid:durableId="679089576">
    <w:abstractNumId w:val="9"/>
  </w:num>
  <w:num w:numId="18" w16cid:durableId="895049138">
    <w:abstractNumId w:val="11"/>
  </w:num>
  <w:num w:numId="19" w16cid:durableId="153255849">
    <w:abstractNumId w:val="10"/>
  </w:num>
  <w:num w:numId="20" w16cid:durableId="1337683695">
    <w:abstractNumId w:val="12"/>
  </w:num>
  <w:num w:numId="21" w16cid:durableId="1498232743">
    <w:abstractNumId w:val="9"/>
  </w:num>
  <w:num w:numId="22" w16cid:durableId="58198607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F8E"/>
    <w:rsid w:val="000073EF"/>
    <w:rsid w:val="00010114"/>
    <w:rsid w:val="00011B89"/>
    <w:rsid w:val="00011F7C"/>
    <w:rsid w:val="00016A14"/>
    <w:rsid w:val="00016F78"/>
    <w:rsid w:val="0001778C"/>
    <w:rsid w:val="00020ACC"/>
    <w:rsid w:val="00023A1E"/>
    <w:rsid w:val="00024942"/>
    <w:rsid w:val="00025BC3"/>
    <w:rsid w:val="00040CC2"/>
    <w:rsid w:val="00046945"/>
    <w:rsid w:val="000474D4"/>
    <w:rsid w:val="00061B2A"/>
    <w:rsid w:val="0006468E"/>
    <w:rsid w:val="00082362"/>
    <w:rsid w:val="00083C71"/>
    <w:rsid w:val="000861AC"/>
    <w:rsid w:val="000918D6"/>
    <w:rsid w:val="000A466B"/>
    <w:rsid w:val="000A683E"/>
    <w:rsid w:val="000B19B9"/>
    <w:rsid w:val="000D0334"/>
    <w:rsid w:val="000E13BB"/>
    <w:rsid w:val="000F59CB"/>
    <w:rsid w:val="000F62DA"/>
    <w:rsid w:val="000F6486"/>
    <w:rsid w:val="000F6F83"/>
    <w:rsid w:val="00101DE6"/>
    <w:rsid w:val="00106319"/>
    <w:rsid w:val="001076F0"/>
    <w:rsid w:val="00110326"/>
    <w:rsid w:val="00125105"/>
    <w:rsid w:val="00127233"/>
    <w:rsid w:val="00132307"/>
    <w:rsid w:val="001431BA"/>
    <w:rsid w:val="0014558F"/>
    <w:rsid w:val="001506AB"/>
    <w:rsid w:val="00151792"/>
    <w:rsid w:val="001520F6"/>
    <w:rsid w:val="00154158"/>
    <w:rsid w:val="0015796F"/>
    <w:rsid w:val="00163220"/>
    <w:rsid w:val="00167691"/>
    <w:rsid w:val="00173318"/>
    <w:rsid w:val="0017414F"/>
    <w:rsid w:val="001940FF"/>
    <w:rsid w:val="001A17AB"/>
    <w:rsid w:val="001A547C"/>
    <w:rsid w:val="001B01BB"/>
    <w:rsid w:val="001C6DE9"/>
    <w:rsid w:val="001E4177"/>
    <w:rsid w:val="001F6D18"/>
    <w:rsid w:val="001F7DC6"/>
    <w:rsid w:val="00216894"/>
    <w:rsid w:val="00223990"/>
    <w:rsid w:val="002306FC"/>
    <w:rsid w:val="002337AF"/>
    <w:rsid w:val="00235FCF"/>
    <w:rsid w:val="002421BB"/>
    <w:rsid w:val="0024222B"/>
    <w:rsid w:val="0024278B"/>
    <w:rsid w:val="002444A2"/>
    <w:rsid w:val="00255942"/>
    <w:rsid w:val="0025796E"/>
    <w:rsid w:val="002707A2"/>
    <w:rsid w:val="00272EFA"/>
    <w:rsid w:val="002776FC"/>
    <w:rsid w:val="002858BB"/>
    <w:rsid w:val="00287E28"/>
    <w:rsid w:val="002951A0"/>
    <w:rsid w:val="002952EA"/>
    <w:rsid w:val="002962BC"/>
    <w:rsid w:val="002A093D"/>
    <w:rsid w:val="002A0DD0"/>
    <w:rsid w:val="002A38E9"/>
    <w:rsid w:val="002A49AC"/>
    <w:rsid w:val="002A64FD"/>
    <w:rsid w:val="002B198C"/>
    <w:rsid w:val="002B3306"/>
    <w:rsid w:val="002B3B04"/>
    <w:rsid w:val="002C2543"/>
    <w:rsid w:val="002C2DC5"/>
    <w:rsid w:val="002C7A84"/>
    <w:rsid w:val="002D1B44"/>
    <w:rsid w:val="002E4FD9"/>
    <w:rsid w:val="002E673B"/>
    <w:rsid w:val="002E78B1"/>
    <w:rsid w:val="002F04BE"/>
    <w:rsid w:val="003005D1"/>
    <w:rsid w:val="00312D65"/>
    <w:rsid w:val="0031327B"/>
    <w:rsid w:val="003201C3"/>
    <w:rsid w:val="0032092F"/>
    <w:rsid w:val="00322A85"/>
    <w:rsid w:val="00324168"/>
    <w:rsid w:val="003448F4"/>
    <w:rsid w:val="0035449A"/>
    <w:rsid w:val="003637C2"/>
    <w:rsid w:val="003675F3"/>
    <w:rsid w:val="00374F5E"/>
    <w:rsid w:val="00377E3E"/>
    <w:rsid w:val="003804B8"/>
    <w:rsid w:val="003865A5"/>
    <w:rsid w:val="00386859"/>
    <w:rsid w:val="00392E7C"/>
    <w:rsid w:val="003A2AED"/>
    <w:rsid w:val="003A779E"/>
    <w:rsid w:val="003B4F82"/>
    <w:rsid w:val="003B78D6"/>
    <w:rsid w:val="003C38B2"/>
    <w:rsid w:val="003C4685"/>
    <w:rsid w:val="003D0F4D"/>
    <w:rsid w:val="003D4148"/>
    <w:rsid w:val="003D5B0D"/>
    <w:rsid w:val="003D6BFB"/>
    <w:rsid w:val="003E0499"/>
    <w:rsid w:val="003E1198"/>
    <w:rsid w:val="003E55FF"/>
    <w:rsid w:val="003F3941"/>
    <w:rsid w:val="00400F07"/>
    <w:rsid w:val="0040386C"/>
    <w:rsid w:val="00405EE4"/>
    <w:rsid w:val="00406575"/>
    <w:rsid w:val="004100FE"/>
    <w:rsid w:val="00414C74"/>
    <w:rsid w:val="00425F33"/>
    <w:rsid w:val="0042722E"/>
    <w:rsid w:val="004310CC"/>
    <w:rsid w:val="00431C19"/>
    <w:rsid w:val="00432708"/>
    <w:rsid w:val="00432FB3"/>
    <w:rsid w:val="0043316A"/>
    <w:rsid w:val="0044528D"/>
    <w:rsid w:val="0044733C"/>
    <w:rsid w:val="00452D78"/>
    <w:rsid w:val="004629C7"/>
    <w:rsid w:val="00470939"/>
    <w:rsid w:val="004757AF"/>
    <w:rsid w:val="004867BC"/>
    <w:rsid w:val="00496902"/>
    <w:rsid w:val="00496D28"/>
    <w:rsid w:val="004A1847"/>
    <w:rsid w:val="004A305D"/>
    <w:rsid w:val="004A44AF"/>
    <w:rsid w:val="004A5D60"/>
    <w:rsid w:val="004A71A8"/>
    <w:rsid w:val="004B61AE"/>
    <w:rsid w:val="004C6CE2"/>
    <w:rsid w:val="004D2DF4"/>
    <w:rsid w:val="004D500A"/>
    <w:rsid w:val="004D6342"/>
    <w:rsid w:val="004F21C4"/>
    <w:rsid w:val="004F51EF"/>
    <w:rsid w:val="004F685F"/>
    <w:rsid w:val="004F7347"/>
    <w:rsid w:val="005026DE"/>
    <w:rsid w:val="00502804"/>
    <w:rsid w:val="005052B6"/>
    <w:rsid w:val="005202C6"/>
    <w:rsid w:val="00530AC2"/>
    <w:rsid w:val="00531711"/>
    <w:rsid w:val="00535ECD"/>
    <w:rsid w:val="00545F29"/>
    <w:rsid w:val="005563DD"/>
    <w:rsid w:val="005566E8"/>
    <w:rsid w:val="00561E87"/>
    <w:rsid w:val="00563ABB"/>
    <w:rsid w:val="00566BBD"/>
    <w:rsid w:val="00574867"/>
    <w:rsid w:val="00584D19"/>
    <w:rsid w:val="005875E6"/>
    <w:rsid w:val="00591460"/>
    <w:rsid w:val="00594EBB"/>
    <w:rsid w:val="005A5FEA"/>
    <w:rsid w:val="005A7AC2"/>
    <w:rsid w:val="005B583B"/>
    <w:rsid w:val="005B6345"/>
    <w:rsid w:val="005C0244"/>
    <w:rsid w:val="005C3777"/>
    <w:rsid w:val="005C5CDC"/>
    <w:rsid w:val="005D476C"/>
    <w:rsid w:val="005E5877"/>
    <w:rsid w:val="006123CF"/>
    <w:rsid w:val="00617658"/>
    <w:rsid w:val="006219F8"/>
    <w:rsid w:val="00622B6D"/>
    <w:rsid w:val="006302F7"/>
    <w:rsid w:val="00630A83"/>
    <w:rsid w:val="0063271A"/>
    <w:rsid w:val="0063406F"/>
    <w:rsid w:val="00660EA8"/>
    <w:rsid w:val="00665D70"/>
    <w:rsid w:val="00667952"/>
    <w:rsid w:val="006718BF"/>
    <w:rsid w:val="00675CD0"/>
    <w:rsid w:val="006900D9"/>
    <w:rsid w:val="0069507E"/>
    <w:rsid w:val="00696287"/>
    <w:rsid w:val="006A0C72"/>
    <w:rsid w:val="006A760C"/>
    <w:rsid w:val="006A7750"/>
    <w:rsid w:val="006B2328"/>
    <w:rsid w:val="006F282E"/>
    <w:rsid w:val="00700FB0"/>
    <w:rsid w:val="00705101"/>
    <w:rsid w:val="00706C16"/>
    <w:rsid w:val="007138A2"/>
    <w:rsid w:val="00730F22"/>
    <w:rsid w:val="00732894"/>
    <w:rsid w:val="00733097"/>
    <w:rsid w:val="00733A90"/>
    <w:rsid w:val="00741B6C"/>
    <w:rsid w:val="00742D7C"/>
    <w:rsid w:val="00756841"/>
    <w:rsid w:val="00762F08"/>
    <w:rsid w:val="007649AB"/>
    <w:rsid w:val="00771D0C"/>
    <w:rsid w:val="007833AC"/>
    <w:rsid w:val="00785166"/>
    <w:rsid w:val="007856DE"/>
    <w:rsid w:val="00792475"/>
    <w:rsid w:val="0079376D"/>
    <w:rsid w:val="00793F7B"/>
    <w:rsid w:val="00796494"/>
    <w:rsid w:val="007A6EFF"/>
    <w:rsid w:val="007B1695"/>
    <w:rsid w:val="007B268C"/>
    <w:rsid w:val="007B37BF"/>
    <w:rsid w:val="007B7171"/>
    <w:rsid w:val="007C0C0F"/>
    <w:rsid w:val="007C199B"/>
    <w:rsid w:val="007C3DC2"/>
    <w:rsid w:val="007C79D9"/>
    <w:rsid w:val="007E5497"/>
    <w:rsid w:val="007F7C8E"/>
    <w:rsid w:val="00806F5F"/>
    <w:rsid w:val="00806F94"/>
    <w:rsid w:val="008124DB"/>
    <w:rsid w:val="00820278"/>
    <w:rsid w:val="00825CFA"/>
    <w:rsid w:val="008272A0"/>
    <w:rsid w:val="00835517"/>
    <w:rsid w:val="00837723"/>
    <w:rsid w:val="00852173"/>
    <w:rsid w:val="00860D2C"/>
    <w:rsid w:val="00867F95"/>
    <w:rsid w:val="008729D0"/>
    <w:rsid w:val="008810A5"/>
    <w:rsid w:val="00882C19"/>
    <w:rsid w:val="00882D7C"/>
    <w:rsid w:val="008843B6"/>
    <w:rsid w:val="008846CC"/>
    <w:rsid w:val="00885F69"/>
    <w:rsid w:val="00891928"/>
    <w:rsid w:val="00897A3A"/>
    <w:rsid w:val="008A446D"/>
    <w:rsid w:val="008A56F8"/>
    <w:rsid w:val="008D180B"/>
    <w:rsid w:val="008D1B26"/>
    <w:rsid w:val="008D2F42"/>
    <w:rsid w:val="008D5BCF"/>
    <w:rsid w:val="008F0EA7"/>
    <w:rsid w:val="008F4F1F"/>
    <w:rsid w:val="0090195E"/>
    <w:rsid w:val="00906659"/>
    <w:rsid w:val="009148E7"/>
    <w:rsid w:val="00915766"/>
    <w:rsid w:val="00917125"/>
    <w:rsid w:val="00921C91"/>
    <w:rsid w:val="00923EEF"/>
    <w:rsid w:val="00926FAB"/>
    <w:rsid w:val="00931ABB"/>
    <w:rsid w:val="00932077"/>
    <w:rsid w:val="00933DA2"/>
    <w:rsid w:val="009372EB"/>
    <w:rsid w:val="00940502"/>
    <w:rsid w:val="009415E7"/>
    <w:rsid w:val="009419F9"/>
    <w:rsid w:val="0095224B"/>
    <w:rsid w:val="00952DCF"/>
    <w:rsid w:val="0095479D"/>
    <w:rsid w:val="0095685E"/>
    <w:rsid w:val="00961B09"/>
    <w:rsid w:val="00962D87"/>
    <w:rsid w:val="00963D01"/>
    <w:rsid w:val="00965334"/>
    <w:rsid w:val="0097093E"/>
    <w:rsid w:val="009731CD"/>
    <w:rsid w:val="0097568B"/>
    <w:rsid w:val="00982372"/>
    <w:rsid w:val="00992E50"/>
    <w:rsid w:val="009979F0"/>
    <w:rsid w:val="009A0DFA"/>
    <w:rsid w:val="009A300E"/>
    <w:rsid w:val="009B25A8"/>
    <w:rsid w:val="009B2D26"/>
    <w:rsid w:val="009B344E"/>
    <w:rsid w:val="009B536B"/>
    <w:rsid w:val="009B5C3F"/>
    <w:rsid w:val="009B7F46"/>
    <w:rsid w:val="009C105F"/>
    <w:rsid w:val="009C71FA"/>
    <w:rsid w:val="009C72E7"/>
    <w:rsid w:val="009C7F4D"/>
    <w:rsid w:val="009D3058"/>
    <w:rsid w:val="009F3A13"/>
    <w:rsid w:val="00A00D23"/>
    <w:rsid w:val="00A122D3"/>
    <w:rsid w:val="00A17F13"/>
    <w:rsid w:val="00A20739"/>
    <w:rsid w:val="00A33C78"/>
    <w:rsid w:val="00A37E1D"/>
    <w:rsid w:val="00A476FF"/>
    <w:rsid w:val="00A51A1D"/>
    <w:rsid w:val="00A5203D"/>
    <w:rsid w:val="00A532DC"/>
    <w:rsid w:val="00A53477"/>
    <w:rsid w:val="00A7270D"/>
    <w:rsid w:val="00A736AF"/>
    <w:rsid w:val="00A81494"/>
    <w:rsid w:val="00A81E66"/>
    <w:rsid w:val="00A85104"/>
    <w:rsid w:val="00A852A6"/>
    <w:rsid w:val="00AA48DB"/>
    <w:rsid w:val="00AB086A"/>
    <w:rsid w:val="00AB0ADB"/>
    <w:rsid w:val="00AB152E"/>
    <w:rsid w:val="00AC2E22"/>
    <w:rsid w:val="00AC7AC3"/>
    <w:rsid w:val="00AD5990"/>
    <w:rsid w:val="00AE2D36"/>
    <w:rsid w:val="00AE46F2"/>
    <w:rsid w:val="00B00C0E"/>
    <w:rsid w:val="00B01B1A"/>
    <w:rsid w:val="00B04E53"/>
    <w:rsid w:val="00B064A8"/>
    <w:rsid w:val="00B20DFB"/>
    <w:rsid w:val="00B250DC"/>
    <w:rsid w:val="00B2596C"/>
    <w:rsid w:val="00B270F8"/>
    <w:rsid w:val="00B273A6"/>
    <w:rsid w:val="00B3532F"/>
    <w:rsid w:val="00B42A98"/>
    <w:rsid w:val="00B44A47"/>
    <w:rsid w:val="00B52B0D"/>
    <w:rsid w:val="00B57B54"/>
    <w:rsid w:val="00B70320"/>
    <w:rsid w:val="00B72CD3"/>
    <w:rsid w:val="00B72FFF"/>
    <w:rsid w:val="00B7699F"/>
    <w:rsid w:val="00B80056"/>
    <w:rsid w:val="00B8260D"/>
    <w:rsid w:val="00BC201B"/>
    <w:rsid w:val="00BC2084"/>
    <w:rsid w:val="00BC3D36"/>
    <w:rsid w:val="00BD5F71"/>
    <w:rsid w:val="00BD6336"/>
    <w:rsid w:val="00BD7F72"/>
    <w:rsid w:val="00BE16CA"/>
    <w:rsid w:val="00BE4B90"/>
    <w:rsid w:val="00BE7AD5"/>
    <w:rsid w:val="00C0121A"/>
    <w:rsid w:val="00C01ADE"/>
    <w:rsid w:val="00C04FB3"/>
    <w:rsid w:val="00C06784"/>
    <w:rsid w:val="00C125A5"/>
    <w:rsid w:val="00C200CA"/>
    <w:rsid w:val="00C262D5"/>
    <w:rsid w:val="00C2794D"/>
    <w:rsid w:val="00C330EB"/>
    <w:rsid w:val="00C37773"/>
    <w:rsid w:val="00C45133"/>
    <w:rsid w:val="00C6220F"/>
    <w:rsid w:val="00C754BE"/>
    <w:rsid w:val="00C76B1C"/>
    <w:rsid w:val="00C81947"/>
    <w:rsid w:val="00C839A7"/>
    <w:rsid w:val="00C847FE"/>
    <w:rsid w:val="00C84958"/>
    <w:rsid w:val="00C90BAD"/>
    <w:rsid w:val="00C91221"/>
    <w:rsid w:val="00C9225D"/>
    <w:rsid w:val="00C93F58"/>
    <w:rsid w:val="00CA3E3D"/>
    <w:rsid w:val="00CB0F36"/>
    <w:rsid w:val="00CB6357"/>
    <w:rsid w:val="00CB6638"/>
    <w:rsid w:val="00CC1B26"/>
    <w:rsid w:val="00CC51D5"/>
    <w:rsid w:val="00CD5606"/>
    <w:rsid w:val="00CE297A"/>
    <w:rsid w:val="00CF1851"/>
    <w:rsid w:val="00CF78D5"/>
    <w:rsid w:val="00CF79F5"/>
    <w:rsid w:val="00CF7C89"/>
    <w:rsid w:val="00D00154"/>
    <w:rsid w:val="00D12657"/>
    <w:rsid w:val="00D12F01"/>
    <w:rsid w:val="00D20762"/>
    <w:rsid w:val="00D2192E"/>
    <w:rsid w:val="00D23AF7"/>
    <w:rsid w:val="00D35D66"/>
    <w:rsid w:val="00D40185"/>
    <w:rsid w:val="00D423A2"/>
    <w:rsid w:val="00D46909"/>
    <w:rsid w:val="00D50F54"/>
    <w:rsid w:val="00D520D8"/>
    <w:rsid w:val="00D5224A"/>
    <w:rsid w:val="00D5783F"/>
    <w:rsid w:val="00D63AC2"/>
    <w:rsid w:val="00D6740F"/>
    <w:rsid w:val="00D7383B"/>
    <w:rsid w:val="00D75951"/>
    <w:rsid w:val="00D81048"/>
    <w:rsid w:val="00D869C6"/>
    <w:rsid w:val="00D94E63"/>
    <w:rsid w:val="00D9691E"/>
    <w:rsid w:val="00D97EF3"/>
    <w:rsid w:val="00DA231B"/>
    <w:rsid w:val="00DA53ED"/>
    <w:rsid w:val="00DA7EF2"/>
    <w:rsid w:val="00DB3FC9"/>
    <w:rsid w:val="00DC2CB5"/>
    <w:rsid w:val="00DC39FC"/>
    <w:rsid w:val="00DF1273"/>
    <w:rsid w:val="00DF5254"/>
    <w:rsid w:val="00E162C6"/>
    <w:rsid w:val="00E16408"/>
    <w:rsid w:val="00E20894"/>
    <w:rsid w:val="00E245AB"/>
    <w:rsid w:val="00E247A7"/>
    <w:rsid w:val="00E25F97"/>
    <w:rsid w:val="00E2764C"/>
    <w:rsid w:val="00E27F2E"/>
    <w:rsid w:val="00E375C0"/>
    <w:rsid w:val="00E37A29"/>
    <w:rsid w:val="00E4003A"/>
    <w:rsid w:val="00E50A09"/>
    <w:rsid w:val="00E50AFE"/>
    <w:rsid w:val="00E57695"/>
    <w:rsid w:val="00E57CDE"/>
    <w:rsid w:val="00E724E5"/>
    <w:rsid w:val="00E75C92"/>
    <w:rsid w:val="00E771DC"/>
    <w:rsid w:val="00E80185"/>
    <w:rsid w:val="00E85B68"/>
    <w:rsid w:val="00E8772A"/>
    <w:rsid w:val="00E90F6B"/>
    <w:rsid w:val="00E914BE"/>
    <w:rsid w:val="00E92C27"/>
    <w:rsid w:val="00E93F26"/>
    <w:rsid w:val="00EA0E3D"/>
    <w:rsid w:val="00EB0B00"/>
    <w:rsid w:val="00EB1BD0"/>
    <w:rsid w:val="00EB72E9"/>
    <w:rsid w:val="00EC38A7"/>
    <w:rsid w:val="00ED2A56"/>
    <w:rsid w:val="00ED3690"/>
    <w:rsid w:val="00EE0B88"/>
    <w:rsid w:val="00EE1AA8"/>
    <w:rsid w:val="00EF3D98"/>
    <w:rsid w:val="00F04E45"/>
    <w:rsid w:val="00F10743"/>
    <w:rsid w:val="00F109CF"/>
    <w:rsid w:val="00F2176E"/>
    <w:rsid w:val="00F22329"/>
    <w:rsid w:val="00F22E63"/>
    <w:rsid w:val="00F262D3"/>
    <w:rsid w:val="00F27CF8"/>
    <w:rsid w:val="00F31EDC"/>
    <w:rsid w:val="00F33F66"/>
    <w:rsid w:val="00F45FFC"/>
    <w:rsid w:val="00F462B3"/>
    <w:rsid w:val="00F505B0"/>
    <w:rsid w:val="00F5664F"/>
    <w:rsid w:val="00F666C4"/>
    <w:rsid w:val="00F730FB"/>
    <w:rsid w:val="00F76AFC"/>
    <w:rsid w:val="00F91508"/>
    <w:rsid w:val="00F923E5"/>
    <w:rsid w:val="00FA47C0"/>
    <w:rsid w:val="00FB5DD1"/>
    <w:rsid w:val="00FC0EA5"/>
    <w:rsid w:val="00FC2B5D"/>
    <w:rsid w:val="00FF1449"/>
    <w:rsid w:val="00FF56C1"/>
    <w:rsid w:val="3239A092"/>
    <w:rsid w:val="56EA2E15"/>
    <w:rsid w:val="76058E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0CC"/>
    <w:pPr>
      <w:spacing w:line="25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262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62D3"/>
    <w:rPr>
      <w:rFonts w:ascii="Geomanist Light" w:hAnsi="Geomanist Light"/>
      <w:lang w:val="es-ES"/>
    </w:rPr>
  </w:style>
  <w:style w:type="paragraph" w:styleId="Sinespaciado">
    <w:name w:val="No Spacing"/>
    <w:aliases w:val="No Indent"/>
    <w:uiPriority w:val="3"/>
    <w:qFormat/>
    <w:rsid w:val="00F262D3"/>
    <w:pPr>
      <w:spacing w:after="0" w:line="240" w:lineRule="auto"/>
    </w:pPr>
    <w:rPr>
      <w:sz w:val="24"/>
      <w:lang w:val="es-MX"/>
    </w:rPr>
  </w:style>
  <w:style w:type="character" w:customStyle="1" w:styleId="baj">
    <w:name w:val="b_aj"/>
    <w:basedOn w:val="Fuentedeprrafopredeter"/>
    <w:rsid w:val="0040386C"/>
  </w:style>
  <w:style w:type="character" w:styleId="nfasis">
    <w:name w:val="Emphasis"/>
    <w:basedOn w:val="Fuentedeprrafopredeter"/>
    <w:uiPriority w:val="20"/>
    <w:qFormat/>
    <w:rsid w:val="00024942"/>
    <w:rPr>
      <w:i/>
      <w:iCs/>
    </w:rPr>
  </w:style>
  <w:style w:type="table" w:customStyle="1" w:styleId="Tablaconcuadrcula1">
    <w:name w:val="Tabla con cuadrícula1"/>
    <w:basedOn w:val="Tablanormal"/>
    <w:next w:val="Tablaconcuadrcula"/>
    <w:uiPriority w:val="39"/>
    <w:qFormat/>
    <w:rsid w:val="002A38E9"/>
    <w:pPr>
      <w:spacing w:after="0" w:line="240" w:lineRule="auto"/>
    </w:pPr>
    <w:tblPr/>
  </w:style>
  <w:style w:type="character" w:customStyle="1" w:styleId="NormalWebCar">
    <w:name w:val="Normal (Web) Car"/>
    <w:link w:val="NormalWeb"/>
    <w:uiPriority w:val="99"/>
    <w:locked/>
    <w:rsid w:val="00992E50"/>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arlosbm@idea.gov.co"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alejandrazh@idea.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archivos/circular/circular-externa-006-de-2025"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180A14B-7D2A-47FB-BCE6-19AFB83E5666}">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AB62D1A-2E13-4E3B-ADE5-F652723281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27</Pages>
  <Words>9118</Words>
  <Characters>49604</Characters>
  <Application>Microsoft Office Word</Application>
  <DocSecurity>0</DocSecurity>
  <Lines>953</Lines>
  <Paragraphs>187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2025-11-13T20:14:00Z</dcterms:created>
  <dcterms:modified xsi:type="dcterms:W3CDTF">2025-11-13T22:11:00Z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