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5103A" w14:textId="77777777" w:rsidR="00DC6A1A" w:rsidRDefault="00DC6A1A" w:rsidP="00DC6A1A">
      <w:pPr>
        <w:spacing w:after="0" w:line="240" w:lineRule="auto"/>
        <w:jc w:val="both"/>
        <w:rPr>
          <w:rFonts w:ascii="Verdana" w:hAnsi="Verdana" w:cs="Arial"/>
          <w:b/>
          <w:lang w:eastAsia="es-ES" w:bidi="es-ES"/>
        </w:rPr>
      </w:pPr>
      <w:bookmarkStart w:id="0" w:name="_Hlk181166130"/>
      <w:bookmarkStart w:id="1" w:name="_Hlk209714638"/>
      <w:r w:rsidRPr="0002306B">
        <w:rPr>
          <w:rFonts w:ascii="Verdana" w:hAnsi="Verdana" w:cs="Arial"/>
          <w:b/>
          <w:lang w:eastAsia="es-ES" w:bidi="es-ES"/>
        </w:rPr>
        <w:t>MODIFICACION DE LOS CONTRATOS ESTATALES – Aspectos generales – Límites</w:t>
      </w:r>
    </w:p>
    <w:p w14:paraId="275C51D8" w14:textId="77777777" w:rsidR="00DC6A1A" w:rsidRDefault="00DC6A1A" w:rsidP="00DC6A1A">
      <w:pPr>
        <w:spacing w:after="0" w:line="240" w:lineRule="auto"/>
        <w:jc w:val="both"/>
        <w:rPr>
          <w:rFonts w:ascii="Verdana" w:hAnsi="Verdana" w:cs="Arial"/>
          <w:b/>
          <w:lang w:eastAsia="es-ES" w:bidi="es-ES"/>
        </w:rPr>
      </w:pPr>
    </w:p>
    <w:p w14:paraId="1BBC9DF8" w14:textId="77777777" w:rsidR="00DC6A1A" w:rsidRPr="0002306B" w:rsidRDefault="00DC6A1A" w:rsidP="00DC6A1A">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El </w:t>
      </w:r>
      <w:r w:rsidRPr="0002306B">
        <w:rPr>
          <w:rFonts w:ascii="Verdana" w:eastAsia="Calibri" w:hAnsi="Verdana" w:cs="Arial"/>
          <w:color w:val="000000" w:themeColor="text1"/>
          <w:sz w:val="20"/>
          <w:szCs w:val="20"/>
        </w:rPr>
        <w:t xml:space="preserve">Estatuto General de Contratación de la Administración Pública […] </w:t>
      </w:r>
      <w:r w:rsidRPr="0002306B">
        <w:rPr>
          <w:rFonts w:ascii="Verdana" w:eastAsia="Calibri" w:hAnsi="Verdana" w:cs="Arial"/>
          <w:color w:val="000000"/>
          <w:sz w:val="20"/>
          <w:szCs w:val="20"/>
        </w:rPr>
        <w:t>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es el caso del artículo 40 de la Ley 80 de 1993.</w:t>
      </w:r>
    </w:p>
    <w:p w14:paraId="2E04E60C" w14:textId="77777777" w:rsidR="00DC6A1A" w:rsidRPr="0002306B" w:rsidRDefault="00DC6A1A" w:rsidP="00DC6A1A">
      <w:pPr>
        <w:spacing w:after="0" w:line="240" w:lineRule="auto"/>
        <w:jc w:val="both"/>
        <w:rPr>
          <w:rFonts w:ascii="Verdana" w:eastAsia="Calibri" w:hAnsi="Verdana" w:cs="Arial"/>
          <w:color w:val="000000"/>
          <w:sz w:val="20"/>
          <w:szCs w:val="20"/>
        </w:rPr>
      </w:pPr>
    </w:p>
    <w:p w14:paraId="0CFA219F" w14:textId="77777777" w:rsidR="00DC6A1A" w:rsidRPr="0002306B" w:rsidRDefault="00DC6A1A" w:rsidP="00DC6A1A">
      <w:pPr>
        <w:tabs>
          <w:tab w:val="left" w:pos="284"/>
        </w:tabs>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planeación, transparencia, economía y responsabilidad, así como los demás principios de la función administrativa aplicables al proceso de gestión contractual. </w:t>
      </w:r>
    </w:p>
    <w:p w14:paraId="72E87A45" w14:textId="77777777" w:rsidR="00DC6A1A" w:rsidRDefault="00DC6A1A" w:rsidP="00DC6A1A">
      <w:pPr>
        <w:spacing w:after="0" w:line="240" w:lineRule="auto"/>
        <w:jc w:val="both"/>
        <w:rPr>
          <w:rFonts w:ascii="Verdana" w:eastAsia="Calibri" w:hAnsi="Verdana" w:cs="Arial"/>
          <w:color w:val="000000"/>
          <w:sz w:val="20"/>
          <w:szCs w:val="20"/>
        </w:rPr>
      </w:pPr>
    </w:p>
    <w:p w14:paraId="5BA79B08" w14:textId="77777777" w:rsidR="00DC6A1A" w:rsidRPr="0002306B" w:rsidRDefault="00DC6A1A" w:rsidP="00DC6A1A">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Ahora bien, no existe restricción expresa para modificar los contratos estatales y los principios antes referidos puede evidenciar la necesidad de cambiar las estipulaciones establecidas en un comienzo. En este contexto, la jurisprudencia ha fijado pautas generales conforme a las cuales la Administración Pública debe evaluar si es procedente modificar los contratos que ha celebrado según las particularidades de cada caso.</w:t>
      </w:r>
    </w:p>
    <w:p w14:paraId="47F36663" w14:textId="77777777" w:rsidR="00DC6A1A" w:rsidRPr="0002306B" w:rsidRDefault="00DC6A1A" w:rsidP="00DC6A1A">
      <w:pPr>
        <w:spacing w:after="0" w:line="240" w:lineRule="auto"/>
        <w:jc w:val="both"/>
        <w:rPr>
          <w:rFonts w:ascii="Verdana" w:eastAsia="Calibri" w:hAnsi="Verdana" w:cs="Arial"/>
          <w:color w:val="000000"/>
          <w:sz w:val="20"/>
          <w:szCs w:val="20"/>
        </w:rPr>
      </w:pPr>
    </w:p>
    <w:p w14:paraId="5FABADB1" w14:textId="77777777" w:rsidR="00DC6A1A" w:rsidRPr="0002306B" w:rsidRDefault="00DC6A1A" w:rsidP="00DC6A1A">
      <w:pPr>
        <w:spacing w:after="0" w:line="240" w:lineRule="auto"/>
        <w:jc w:val="both"/>
        <w:rPr>
          <w:rFonts w:ascii="Verdana" w:hAnsi="Verdana"/>
          <w:bCs/>
          <w:sz w:val="20"/>
          <w:szCs w:val="20"/>
        </w:rPr>
      </w:pPr>
      <w:r w:rsidRPr="0002306B">
        <w:rPr>
          <w:rFonts w:ascii="Verdana" w:eastAsia="Calibri" w:hAnsi="Verdana" w:cs="Arial"/>
          <w:color w:val="000000"/>
          <w:sz w:val="20"/>
          <w:szCs w:val="20"/>
        </w:rPr>
        <w:t xml:space="preserve">[…] </w:t>
      </w:r>
      <w:r w:rsidRPr="0002306B">
        <w:rPr>
          <w:rFonts w:ascii="Verdana" w:eastAsia="Arial" w:hAnsi="Verdana" w:cs="Arial"/>
          <w:sz w:val="20"/>
          <w:szCs w:val="20"/>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p>
    <w:p w14:paraId="58335550" w14:textId="77777777" w:rsidR="00DC6A1A" w:rsidRDefault="00DC6A1A" w:rsidP="00DC6A1A">
      <w:pPr>
        <w:spacing w:after="0" w:line="240" w:lineRule="auto"/>
        <w:jc w:val="both"/>
        <w:rPr>
          <w:rFonts w:ascii="Verdana" w:hAnsi="Verdana"/>
        </w:rPr>
      </w:pPr>
    </w:p>
    <w:p w14:paraId="445CBB20" w14:textId="77777777" w:rsidR="00DC6A1A" w:rsidRPr="0002306B" w:rsidRDefault="00DC6A1A" w:rsidP="00DC6A1A">
      <w:pPr>
        <w:spacing w:after="0" w:line="240" w:lineRule="auto"/>
        <w:jc w:val="both"/>
        <w:rPr>
          <w:rFonts w:ascii="Verdana" w:hAnsi="Verdana"/>
          <w:b/>
        </w:rPr>
      </w:pPr>
      <w:r w:rsidRPr="0002306B">
        <w:rPr>
          <w:rFonts w:ascii="Verdana" w:hAnsi="Verdana" w:cs="Arial"/>
          <w:b/>
          <w:lang w:eastAsia="es-ES" w:bidi="es-ES"/>
        </w:rPr>
        <w:t>MODIFICACION DE LOS CONTRATOS ESTATALES – Carácter Excepciona</w:t>
      </w:r>
      <w:r>
        <w:rPr>
          <w:rFonts w:ascii="Verdana" w:hAnsi="Verdana" w:cs="Arial"/>
          <w:b/>
          <w:lang w:eastAsia="es-ES" w:bidi="es-ES"/>
        </w:rPr>
        <w:t>l</w:t>
      </w:r>
    </w:p>
    <w:p w14:paraId="34838508" w14:textId="77777777" w:rsidR="00DC6A1A" w:rsidRDefault="00DC6A1A" w:rsidP="00DC6A1A">
      <w:pPr>
        <w:spacing w:after="0" w:line="240" w:lineRule="auto"/>
        <w:jc w:val="both"/>
        <w:rPr>
          <w:rFonts w:ascii="Verdana" w:hAnsi="Verdana"/>
        </w:rPr>
      </w:pPr>
    </w:p>
    <w:p w14:paraId="3493458B" w14:textId="77777777" w:rsidR="00DC6A1A" w:rsidRPr="0002306B" w:rsidRDefault="00DC6A1A" w:rsidP="00DC6A1A">
      <w:pPr>
        <w:widowControl w:val="0"/>
        <w:autoSpaceDE w:val="0"/>
        <w:autoSpaceDN w:val="0"/>
        <w:spacing w:after="0" w:line="240" w:lineRule="auto"/>
        <w:jc w:val="both"/>
        <w:rPr>
          <w:rFonts w:ascii="Verdana" w:eastAsia="Arial" w:hAnsi="Verdana" w:cs="Arial"/>
          <w:color w:val="000000"/>
          <w:sz w:val="20"/>
          <w:szCs w:val="20"/>
          <w:lang w:val="es-ES" w:eastAsia="es-ES" w:bidi="es-ES"/>
        </w:rPr>
      </w:pPr>
      <w:r w:rsidRPr="0002306B">
        <w:rPr>
          <w:rFonts w:ascii="Verdana" w:eastAsia="Arial" w:hAnsi="Verdana" w:cs="Arial"/>
          <w:color w:val="000000"/>
          <w:sz w:val="20"/>
          <w:szCs w:val="20"/>
          <w:lang w:val="es-ES" w:eastAsia="es-ES" w:bidi="es-ES"/>
        </w:rPr>
        <w:t xml:space="preserve">Es claro, entonces, que según el marco jurídico y los parámetros fijados por el Consejo de Estado y la Corte Constitucional, los cuales comparte esta Agencia, es viable jurídicamente modificar los contratos estatales, pero esta medida tienen </w:t>
      </w:r>
      <w:r w:rsidRPr="0002306B">
        <w:rPr>
          <w:rFonts w:ascii="Verdana" w:eastAsia="Arial" w:hAnsi="Verdana" w:cs="Arial"/>
          <w:i/>
          <w:iCs/>
          <w:color w:val="000000"/>
          <w:sz w:val="20"/>
          <w:szCs w:val="20"/>
          <w:lang w:val="es-ES" w:eastAsia="es-ES" w:bidi="es-ES"/>
        </w:rPr>
        <w:t>carácter excepcional</w:t>
      </w:r>
      <w:r w:rsidRPr="0002306B">
        <w:rPr>
          <w:rFonts w:ascii="Verdana" w:eastAsia="Arial" w:hAnsi="Verdana" w:cs="Arial"/>
          <w:color w:val="000000"/>
          <w:sz w:val="20"/>
          <w:szCs w:val="20"/>
          <w:lang w:val="es-ES" w:eastAsia="es-ES" w:bidi="es-ES"/>
        </w:rPr>
        <w:t xml:space="preserve"> y solo procede cuando: se pretenda garantizar el interés público, la entidad haya verificado y cualquiera pueda constatar que la causa de la modificación es real y cierta, y la modificación 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10DFC3D6" w14:textId="77777777" w:rsidR="00DC6A1A" w:rsidRDefault="00DC6A1A" w:rsidP="00DC6A1A">
      <w:pPr>
        <w:widowControl w:val="0"/>
        <w:autoSpaceDE w:val="0"/>
        <w:autoSpaceDN w:val="0"/>
        <w:spacing w:after="0" w:line="240" w:lineRule="auto"/>
        <w:jc w:val="both"/>
        <w:rPr>
          <w:rFonts w:ascii="Verdana" w:eastAsia="Arial" w:hAnsi="Verdana" w:cs="Arial"/>
          <w:color w:val="000000"/>
          <w:sz w:val="20"/>
          <w:szCs w:val="20"/>
          <w:lang w:val="es-ES" w:eastAsia="es-ES" w:bidi="es-ES"/>
        </w:rPr>
      </w:pPr>
    </w:p>
    <w:p w14:paraId="73689027" w14:textId="77777777" w:rsidR="00DC6A1A" w:rsidRDefault="00DC6A1A" w:rsidP="00DC6A1A">
      <w:pPr>
        <w:spacing w:after="0" w:line="240" w:lineRule="auto"/>
        <w:rPr>
          <w:rFonts w:ascii="Verdana" w:hAnsi="Verdana"/>
        </w:rPr>
      </w:pPr>
    </w:p>
    <w:p w14:paraId="0D6F16D7" w14:textId="77777777" w:rsidR="00DC6A1A" w:rsidRDefault="00DC6A1A" w:rsidP="00DC6A1A">
      <w:pPr>
        <w:spacing w:after="0" w:line="240" w:lineRule="auto"/>
        <w:rPr>
          <w:rFonts w:ascii="Verdana" w:hAnsi="Verdana"/>
        </w:rPr>
      </w:pPr>
    </w:p>
    <w:p w14:paraId="68F9F11D" w14:textId="03BE40F8" w:rsidR="00DC6A1A" w:rsidRDefault="00DC6A1A" w:rsidP="00DC6A1A">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A85D80">
        <w:rPr>
          <w:rFonts w:ascii="Verdana" w:hAnsi="Verdana"/>
        </w:rPr>
        <w:t>13</w:t>
      </w:r>
      <w:r>
        <w:rPr>
          <w:rFonts w:ascii="Verdana" w:hAnsi="Verdana"/>
        </w:rPr>
        <w:t xml:space="preserve"> de </w:t>
      </w:r>
      <w:r w:rsidR="00A85D80">
        <w:rPr>
          <w:rFonts w:ascii="Verdana" w:hAnsi="Verdana"/>
        </w:rPr>
        <w:t>noviembre</w:t>
      </w:r>
      <w:r>
        <w:rPr>
          <w:rFonts w:ascii="Verdana" w:hAnsi="Verdana"/>
        </w:rPr>
        <w:t xml:space="preserve"> de </w:t>
      </w:r>
      <w:r w:rsidR="00A85D80">
        <w:rPr>
          <w:rFonts w:ascii="Verdana" w:hAnsi="Verdana"/>
        </w:rPr>
        <w:t>2025</w:t>
      </w:r>
      <w:r>
        <w:rPr>
          <w:rFonts w:ascii="Verdana" w:hAnsi="Verdana"/>
        </w:rPr>
        <w:t>.</w:t>
      </w:r>
    </w:p>
    <w:bookmarkEnd w:id="0"/>
    <w:p w14:paraId="57A3C837" w14:textId="77777777" w:rsidR="00DC6A1A" w:rsidRDefault="00DC6A1A" w:rsidP="00DC6A1A">
      <w:pPr>
        <w:spacing w:after="0" w:line="240" w:lineRule="auto"/>
        <w:rPr>
          <w:rFonts w:ascii="Verdana" w:hAnsi="Verdana"/>
        </w:rPr>
      </w:pPr>
    </w:p>
    <w:p w14:paraId="4144C849" w14:textId="36396629" w:rsidR="00DC6A1A" w:rsidRDefault="00A85D80" w:rsidP="00A85D80">
      <w:pPr>
        <w:spacing w:after="0" w:line="240" w:lineRule="auto"/>
        <w:jc w:val="right"/>
        <w:rPr>
          <w:rFonts w:ascii="Verdana" w:hAnsi="Verdana"/>
        </w:rPr>
      </w:pPr>
      <w:r>
        <w:rPr>
          <w:rFonts w:ascii="Verdana" w:hAnsi="Verdana"/>
          <w:noProof/>
        </w:rPr>
        <w:drawing>
          <wp:inline distT="0" distB="0" distL="0" distR="0" wp14:anchorId="2B1EFDFA" wp14:editId="2FAA6034">
            <wp:extent cx="2078990" cy="511810"/>
            <wp:effectExtent l="0" t="0" r="0" b="2540"/>
            <wp:docPr id="17468542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78990" cy="511810"/>
                    </a:xfrm>
                    <a:prstGeom prst="rect">
                      <a:avLst/>
                    </a:prstGeom>
                    <a:noFill/>
                  </pic:spPr>
                </pic:pic>
              </a:graphicData>
            </a:graphic>
          </wp:inline>
        </w:drawing>
      </w:r>
    </w:p>
    <w:p w14:paraId="56983690" w14:textId="77777777" w:rsidR="00A85D80" w:rsidRDefault="00A85D80" w:rsidP="00DC6A1A">
      <w:pPr>
        <w:spacing w:after="0" w:line="240" w:lineRule="auto"/>
        <w:rPr>
          <w:rFonts w:ascii="Verdana" w:hAnsi="Verdana"/>
        </w:rPr>
      </w:pPr>
    </w:p>
    <w:p w14:paraId="06C47E5A" w14:textId="77777777" w:rsidR="00DC6A1A" w:rsidRDefault="00DC6A1A" w:rsidP="00DC6A1A">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B2FF067" w14:textId="77777777" w:rsidR="00DC6A1A" w:rsidRPr="00C31B11" w:rsidRDefault="00DC6A1A" w:rsidP="00DC6A1A">
      <w:pPr>
        <w:spacing w:after="0" w:line="240" w:lineRule="auto"/>
        <w:jc w:val="both"/>
        <w:rPr>
          <w:rFonts w:ascii="Verdana" w:eastAsia="Calibri" w:hAnsi="Verdana" w:cs="Arial"/>
          <w:b/>
          <w:bCs/>
          <w:lang w:eastAsia="es-ES"/>
        </w:rPr>
      </w:pPr>
      <w:r w:rsidRPr="007A6489">
        <w:rPr>
          <w:rFonts w:ascii="Verdana" w:eastAsia="Calibri" w:hAnsi="Verdana" w:cs="Arial"/>
          <w:b/>
          <w:bCs/>
          <w:lang w:eastAsia="es-ES"/>
        </w:rPr>
        <w:t>CARLOS EMILIO GIRALDO GIRALDO</w:t>
      </w:r>
    </w:p>
    <w:p w14:paraId="3926719D" w14:textId="77777777" w:rsidR="00DC6A1A" w:rsidRPr="007A6489" w:rsidRDefault="00DC6A1A" w:rsidP="00DC6A1A">
      <w:pPr>
        <w:spacing w:after="0" w:line="240" w:lineRule="auto"/>
        <w:rPr>
          <w:rFonts w:ascii="Verdana" w:eastAsia="Calibri" w:hAnsi="Verdana" w:cs="Arial"/>
          <w:u w:val="single"/>
          <w:lang w:eastAsia="es-ES"/>
        </w:rPr>
      </w:pPr>
      <w:r w:rsidRPr="001F4CA1">
        <w:rPr>
          <w:rFonts w:ascii="Verdana" w:hAnsi="Verdana"/>
          <w:color w:val="4472C4" w:themeColor="accent1"/>
          <w:u w:val="single"/>
        </w:rPr>
        <w:t>c</w:t>
      </w:r>
      <w:hyperlink r:id="rId11" w:history="1">
        <w:r w:rsidRPr="007A6489">
          <w:rPr>
            <w:rStyle w:val="Hipervnculo"/>
            <w:rFonts w:ascii="Verdana" w:hAnsi="Verdana"/>
          </w:rPr>
          <w:t>arlosgiraldo1984@gmail.com</w:t>
        </w:r>
      </w:hyperlink>
      <w:r w:rsidRPr="007A6489">
        <w:rPr>
          <w:rFonts w:ascii="Verdana" w:hAnsi="Verdana"/>
          <w:u w:val="single"/>
        </w:rPr>
        <w:t xml:space="preserve">  </w:t>
      </w:r>
      <w:r w:rsidRPr="007A6489">
        <w:rPr>
          <w:rFonts w:ascii="Verdana" w:eastAsia="Calibri" w:hAnsi="Verdana" w:cs="Arial"/>
          <w:u w:val="single"/>
          <w:lang w:eastAsia="es-ES"/>
        </w:rPr>
        <w:t xml:space="preserve"> </w:t>
      </w:r>
      <w:r w:rsidRPr="007A6489">
        <w:rPr>
          <w:rFonts w:ascii="Verdana" w:hAnsi="Verdana"/>
          <w:u w:val="single"/>
        </w:rPr>
        <w:t xml:space="preserve"> </w:t>
      </w:r>
      <w:r w:rsidRPr="007A6489">
        <w:rPr>
          <w:rFonts w:ascii="Verdana" w:eastAsia="Calibri" w:hAnsi="Verdana" w:cs="Arial"/>
          <w:u w:val="single"/>
          <w:lang w:eastAsia="es-ES"/>
        </w:rPr>
        <w:t xml:space="preserve">  </w:t>
      </w:r>
    </w:p>
    <w:p w14:paraId="12E177D8" w14:textId="77777777" w:rsidR="00DC6A1A" w:rsidRDefault="00DC6A1A" w:rsidP="00DC6A1A">
      <w:pPr>
        <w:spacing w:after="0" w:line="240" w:lineRule="auto"/>
        <w:rPr>
          <w:rFonts w:ascii="Verdana" w:hAnsi="Verdana"/>
        </w:rPr>
      </w:pPr>
      <w:r>
        <w:rPr>
          <w:rFonts w:ascii="Verdana" w:hAnsi="Verdana"/>
        </w:rPr>
        <w:t xml:space="preserve">Bogotá D.C. </w:t>
      </w:r>
    </w:p>
    <w:p w14:paraId="6EBF4AD8" w14:textId="77777777" w:rsidR="00DC6A1A" w:rsidRPr="00FE3DEC" w:rsidRDefault="00DC6A1A" w:rsidP="00DC6A1A">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DC6A1A" w:rsidRPr="00593A5F" w14:paraId="6CACC3B7" w14:textId="77777777">
        <w:trPr>
          <w:trHeight w:val="273"/>
        </w:trPr>
        <w:tc>
          <w:tcPr>
            <w:tcW w:w="2295" w:type="dxa"/>
          </w:tcPr>
          <w:p w14:paraId="3BA73535" w14:textId="77777777" w:rsidR="00DC6A1A" w:rsidRPr="00E5644F" w:rsidRDefault="00DC6A1A">
            <w:pPr>
              <w:jc w:val="both"/>
              <w:rPr>
                <w:rFonts w:ascii="Verdana" w:eastAsia="Calibri" w:hAnsi="Verdana" w:cs="Arial"/>
                <w:b/>
                <w:bCs/>
                <w:color w:val="7030A0"/>
                <w:lang w:val="es-ES_tradnl" w:eastAsia="es-ES_tradnl"/>
              </w:rPr>
            </w:pPr>
          </w:p>
        </w:tc>
        <w:tc>
          <w:tcPr>
            <w:tcW w:w="6481" w:type="dxa"/>
            <w:gridSpan w:val="2"/>
          </w:tcPr>
          <w:p w14:paraId="18B10C18" w14:textId="77777777" w:rsidR="00DC6A1A" w:rsidRDefault="00DC6A1A">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1433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5B29C664" w14:textId="77777777" w:rsidR="00DC6A1A" w:rsidRPr="00E5644F" w:rsidRDefault="00DC6A1A">
            <w:pPr>
              <w:jc w:val="both"/>
              <w:rPr>
                <w:rFonts w:ascii="Verdana" w:eastAsia="Calibri" w:hAnsi="Verdana" w:cs="Arial"/>
                <w:b/>
                <w:bCs/>
                <w:color w:val="7030A0"/>
                <w:lang w:val="es-ES" w:eastAsia="es-ES"/>
              </w:rPr>
            </w:pPr>
          </w:p>
        </w:tc>
      </w:tr>
      <w:tr w:rsidR="00DC6A1A" w:rsidRPr="00280D79" w14:paraId="0E75C73A" w14:textId="77777777">
        <w:trPr>
          <w:trHeight w:val="1583"/>
        </w:trPr>
        <w:tc>
          <w:tcPr>
            <w:tcW w:w="2295" w:type="dxa"/>
          </w:tcPr>
          <w:p w14:paraId="3ADD3812" w14:textId="77777777" w:rsidR="00DC6A1A" w:rsidRPr="00593A5F" w:rsidRDefault="00DC6A1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3BCD64A" w14:textId="77777777" w:rsidR="00DC6A1A" w:rsidRPr="00280D79" w:rsidRDefault="00DC6A1A">
            <w:pPr>
              <w:jc w:val="both"/>
              <w:rPr>
                <w:rFonts w:ascii="Verdana" w:eastAsia="Calibri" w:hAnsi="Verdana" w:cs="Arial"/>
                <w:b/>
                <w:highlight w:val="yellow"/>
                <w:lang w:val="es-ES" w:eastAsia="es-ES"/>
              </w:rPr>
            </w:pPr>
            <w:r w:rsidRPr="00B31C7B">
              <w:rPr>
                <w:rFonts w:ascii="Verdana" w:hAnsi="Verdana" w:cs="Arial"/>
                <w:bCs/>
                <w:lang w:eastAsia="es-ES" w:bidi="es-ES"/>
              </w:rPr>
              <w:t xml:space="preserve">MODIFICACION DE LOS CONTRATOS ESTATALES – Aspectos generales – Límites / </w:t>
            </w:r>
            <w:r w:rsidRPr="00BC1639">
              <w:rPr>
                <w:rFonts w:ascii="Verdana" w:hAnsi="Verdana" w:cs="Arial"/>
                <w:bCs/>
                <w:lang w:eastAsia="es-ES" w:bidi="es-ES"/>
              </w:rPr>
              <w:t>MODIFICACION DE LOS CONTRATOS ESTATALES – Carácter Excepcional</w:t>
            </w:r>
            <w:r>
              <w:rPr>
                <w:rFonts w:ascii="Verdana" w:hAnsi="Verdana" w:cs="Arial"/>
                <w:bCs/>
                <w:lang w:eastAsia="es-ES" w:bidi="es-ES"/>
              </w:rPr>
              <w:t>.</w:t>
            </w:r>
          </w:p>
        </w:tc>
      </w:tr>
      <w:tr w:rsidR="00DC6A1A" w:rsidRPr="00593A5F" w14:paraId="73EF9F84" w14:textId="77777777">
        <w:trPr>
          <w:trHeight w:val="545"/>
        </w:trPr>
        <w:tc>
          <w:tcPr>
            <w:tcW w:w="2295" w:type="dxa"/>
          </w:tcPr>
          <w:p w14:paraId="5768B697" w14:textId="77777777" w:rsidR="00DC6A1A" w:rsidRPr="006730E9" w:rsidRDefault="00DC6A1A">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731935F" w14:textId="77777777" w:rsidR="00DC6A1A" w:rsidRPr="006730E9" w:rsidRDefault="00DC6A1A">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7A6489">
              <w:rPr>
                <w:rFonts w:ascii="Verdana" w:eastAsia="Calibri" w:hAnsi="Verdana" w:cs="Arial"/>
                <w:lang w:val="es-ES_tradnl" w:eastAsia="es-ES_tradnl"/>
              </w:rPr>
              <w:t>1_2025_10_03_011041</w:t>
            </w:r>
            <w:r>
              <w:rPr>
                <w:rFonts w:ascii="Verdana" w:eastAsia="Calibri" w:hAnsi="Verdana" w:cs="Arial"/>
                <w:lang w:val="es-ES_tradnl" w:eastAsia="es-ES_tradnl"/>
              </w:rPr>
              <w:t>.</w:t>
            </w:r>
          </w:p>
        </w:tc>
      </w:tr>
      <w:tr w:rsidR="00DC6A1A" w:rsidRPr="00DB23D2" w14:paraId="61FC08D4" w14:textId="77777777">
        <w:trPr>
          <w:gridAfter w:val="1"/>
          <w:wAfter w:w="319" w:type="dxa"/>
          <w:trHeight w:val="242"/>
        </w:trPr>
        <w:tc>
          <w:tcPr>
            <w:tcW w:w="8457" w:type="dxa"/>
            <w:gridSpan w:val="2"/>
          </w:tcPr>
          <w:p w14:paraId="4AC77C65" w14:textId="77777777" w:rsidR="00DC6A1A" w:rsidRPr="00DB23D2" w:rsidRDefault="00DC6A1A">
            <w:pPr>
              <w:spacing w:line="276" w:lineRule="auto"/>
              <w:jc w:val="both"/>
              <w:rPr>
                <w:rFonts w:ascii="Verdana" w:eastAsia="Calibri" w:hAnsi="Verdana" w:cs="Arial"/>
                <w:lang w:val="es-ES_tradnl" w:eastAsia="es-ES"/>
              </w:rPr>
            </w:pPr>
          </w:p>
        </w:tc>
      </w:tr>
    </w:tbl>
    <w:p w14:paraId="1CEB9A90" w14:textId="77777777" w:rsidR="00DC6A1A" w:rsidRPr="006730E9" w:rsidRDefault="00DC6A1A" w:rsidP="00DC6A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 xml:space="preserve">a </w:t>
      </w:r>
      <w:r w:rsidRPr="007A6489">
        <w:rPr>
          <w:rFonts w:ascii="Verdana" w:eastAsia="Calibri" w:hAnsi="Verdana" w:cs="Arial"/>
          <w:lang w:val="es-ES" w:eastAsia="es-ES"/>
        </w:rPr>
        <w:t>Giraldo</w:t>
      </w:r>
      <w:r>
        <w:rPr>
          <w:rFonts w:ascii="Verdana" w:eastAsia="Calibri" w:hAnsi="Verdana" w:cs="Arial"/>
          <w:lang w:val="es-ES" w:eastAsia="es-ES"/>
        </w:rPr>
        <w:t>;</w:t>
      </w:r>
    </w:p>
    <w:p w14:paraId="15954F38" w14:textId="77777777" w:rsidR="00DC6A1A" w:rsidRDefault="00DC6A1A" w:rsidP="00DC6A1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1C0CE712" w14:textId="77777777" w:rsidR="00DC6A1A" w:rsidRPr="006730E9" w:rsidRDefault="00DC6A1A" w:rsidP="00DC6A1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03</w:t>
      </w:r>
      <w:r w:rsidRPr="00656A22">
        <w:rPr>
          <w:rFonts w:ascii="Verdana" w:eastAsia="Calibri" w:hAnsi="Verdana" w:cs="Arial"/>
          <w:lang w:val="es-ES" w:eastAsia="es-ES"/>
        </w:rPr>
        <w:t xml:space="preserve"> 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36095B35" w14:textId="77777777" w:rsidR="00DC6A1A" w:rsidRPr="00326382" w:rsidRDefault="00DC6A1A" w:rsidP="00DC6A1A">
      <w:pPr>
        <w:spacing w:after="0" w:line="276" w:lineRule="auto"/>
        <w:ind w:left="709" w:right="474"/>
        <w:jc w:val="both"/>
        <w:rPr>
          <w:rFonts w:ascii="Verdana" w:hAnsi="Verdana" w:cs="Arial"/>
          <w:sz w:val="20"/>
          <w:szCs w:val="20"/>
          <w:shd w:val="clear" w:color="auto" w:fill="FFFFFF"/>
        </w:rPr>
      </w:pPr>
      <w:bookmarkStart w:id="2" w:name="_Hlk95313578"/>
    </w:p>
    <w:bookmarkEnd w:id="2"/>
    <w:p w14:paraId="1FFCC68A" w14:textId="77777777" w:rsidR="00DC6A1A" w:rsidRDefault="00DC6A1A" w:rsidP="00DC6A1A">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3F595E25" w14:textId="77777777" w:rsidR="00DC6A1A" w:rsidRPr="007A6489" w:rsidRDefault="00DC6A1A" w:rsidP="00DC6A1A">
      <w:pPr>
        <w:tabs>
          <w:tab w:val="left" w:pos="142"/>
          <w:tab w:val="left" w:pos="567"/>
        </w:tabs>
        <w:spacing w:after="0" w:line="240" w:lineRule="auto"/>
        <w:ind w:left="851" w:right="709"/>
        <w:jc w:val="both"/>
        <w:rPr>
          <w:rFonts w:ascii="Verdana" w:eastAsia="Century Gothic" w:hAnsi="Verdana" w:cs="Century Gothic"/>
          <w:i/>
          <w:iCs/>
          <w:sz w:val="20"/>
          <w:szCs w:val="20"/>
        </w:rPr>
      </w:pPr>
      <w:r w:rsidRPr="007A6489">
        <w:rPr>
          <w:rFonts w:ascii="Verdana" w:eastAsia="Century Gothic" w:hAnsi="Verdana" w:cs="Century Gothic"/>
          <w:i/>
          <w:iCs/>
          <w:sz w:val="20"/>
          <w:szCs w:val="20"/>
        </w:rPr>
        <w:t>¿Al momento de la ejecución de un contrato con una entidad territorial, en caso de  un servicio logístico, es obligatorio que la ejecución del contrato se haga con las personas que fueron presentadas en la propuesta o las mismas pueden ser cambiadas por otras que cumplan las mismas calidades y preparación académica a las presentadas en la propuesta?</w:t>
      </w:r>
    </w:p>
    <w:p w14:paraId="627D8C41" w14:textId="77777777" w:rsidR="00DC6A1A" w:rsidRPr="00EA70F7" w:rsidRDefault="00DC6A1A" w:rsidP="00DC6A1A">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057A7927" w14:textId="77777777" w:rsidR="00DC6A1A" w:rsidRDefault="00DC6A1A" w:rsidP="00DC6A1A">
      <w:pPr>
        <w:spacing w:after="0" w:line="276" w:lineRule="auto"/>
        <w:ind w:firstLine="709"/>
        <w:jc w:val="both"/>
        <w:rPr>
          <w:rFonts w:ascii="Verdana" w:eastAsia="Calibri" w:hAnsi="Verdana" w:cs="Arial"/>
          <w:lang w:val="es-ES" w:eastAsia="es-ES"/>
        </w:rPr>
      </w:pPr>
    </w:p>
    <w:p w14:paraId="468670FC" w14:textId="77777777" w:rsidR="00DC6A1A" w:rsidRPr="00AA3B9F" w:rsidRDefault="00DC6A1A" w:rsidP="00DC6A1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EA946A5" w14:textId="77777777" w:rsidR="00DC6A1A" w:rsidRDefault="00DC6A1A" w:rsidP="00DC6A1A">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F07EC47" w14:textId="77777777" w:rsidR="00DC6A1A" w:rsidRDefault="00DC6A1A" w:rsidP="00DC6A1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E002C71" w14:textId="77777777" w:rsidR="00DC6A1A" w:rsidRDefault="00DC6A1A" w:rsidP="00DC6A1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7B5E449" w14:textId="77777777" w:rsidR="00DC6A1A" w:rsidRDefault="00DC6A1A" w:rsidP="00DC6A1A">
      <w:pPr>
        <w:pStyle w:val="Prrafodelista"/>
        <w:tabs>
          <w:tab w:val="left" w:pos="142"/>
          <w:tab w:val="left" w:pos="284"/>
        </w:tabs>
        <w:spacing w:after="0" w:line="276" w:lineRule="auto"/>
        <w:ind w:left="0"/>
        <w:jc w:val="both"/>
        <w:rPr>
          <w:rFonts w:ascii="Verdana" w:eastAsia="Century Gothic" w:hAnsi="Verdana" w:cs="Century Gothic"/>
          <w:b/>
          <w:bCs/>
        </w:rPr>
      </w:pPr>
    </w:p>
    <w:p w14:paraId="28039A50" w14:textId="77777777" w:rsidR="00DC6A1A" w:rsidRDefault="00DC6A1A" w:rsidP="00DC6A1A">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FE2584">
        <w:rPr>
          <w:rFonts w:ascii="Verdana" w:eastAsia="Calibri" w:hAnsi="Verdana" w:cs="Arial"/>
          <w:lang w:eastAsia="es-ES"/>
        </w:rPr>
        <w:t xml:space="preserve">¿En la ejecución de un contrato suscrito por una entidad territorial, es obligatorio que el contratista ejecute el contrato con las personas que fueron presentadas en su propuesta de adjudicación, o bien puede </w:t>
      </w:r>
      <w:r>
        <w:rPr>
          <w:rFonts w:ascii="Verdana" w:eastAsia="Calibri" w:hAnsi="Verdana" w:cs="Arial"/>
          <w:lang w:eastAsia="es-ES"/>
        </w:rPr>
        <w:t>modificarse el contrato frente al recurso humano presentado</w:t>
      </w:r>
      <w:r w:rsidRPr="001A0639">
        <w:rPr>
          <w:rFonts w:ascii="Verdana" w:eastAsia="Calibri" w:hAnsi="Verdana" w:cs="Arial"/>
          <w:lang w:eastAsia="es-ES"/>
        </w:rPr>
        <w:t>?</w:t>
      </w:r>
    </w:p>
    <w:p w14:paraId="2D43C814" w14:textId="77777777" w:rsidR="00DC6A1A" w:rsidRDefault="00DC6A1A" w:rsidP="00DC6A1A">
      <w:pPr>
        <w:spacing w:after="0" w:line="276" w:lineRule="auto"/>
        <w:jc w:val="both"/>
        <w:rPr>
          <w:rFonts w:ascii="Verdana" w:eastAsia="Calibri" w:hAnsi="Verdana" w:cs="Arial"/>
          <w:lang w:eastAsia="es-ES"/>
        </w:rPr>
      </w:pPr>
    </w:p>
    <w:bookmarkEnd w:id="3"/>
    <w:p w14:paraId="1C5F7904" w14:textId="77777777" w:rsidR="00DC6A1A" w:rsidRDefault="00DC6A1A" w:rsidP="00DC6A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5B24873" w14:textId="77777777" w:rsidR="00DC6A1A" w:rsidRPr="00593A5F" w:rsidRDefault="00DC6A1A" w:rsidP="00DC6A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C6A1A" w:rsidRPr="00593A5F" w14:paraId="11187EFE" w14:textId="77777777">
        <w:tc>
          <w:tcPr>
            <w:tcW w:w="8828" w:type="dxa"/>
          </w:tcPr>
          <w:p w14:paraId="73922DE1" w14:textId="09977D17" w:rsidR="00DC6A1A" w:rsidRDefault="00DC6A1A">
            <w:pPr>
              <w:tabs>
                <w:tab w:val="left" w:pos="284"/>
              </w:tabs>
              <w:spacing w:after="160" w:line="259" w:lineRule="auto"/>
              <w:jc w:val="both"/>
              <w:rPr>
                <w:rFonts w:ascii="Verdana" w:eastAsia="Calibri" w:hAnsi="Verdana" w:cs="Arial"/>
                <w:color w:val="000000"/>
              </w:rPr>
            </w:pPr>
            <w:r w:rsidRPr="70B142D0">
              <w:rPr>
                <w:rFonts w:ascii="Verdana" w:eastAsia="Arial" w:hAnsi="Verdana" w:cs="Arial"/>
                <w:color w:val="000000" w:themeColor="text1"/>
              </w:rPr>
              <w:t xml:space="preserve">          </w:t>
            </w:r>
            <w:r>
              <w:rPr>
                <w:rFonts w:ascii="Verdana" w:hAnsi="Verdana"/>
              </w:rPr>
              <w:t>De manera preliminar es pertinente indicar que e</w:t>
            </w:r>
            <w:r w:rsidRPr="70B142D0">
              <w:rPr>
                <w:rFonts w:ascii="Verdana" w:eastAsia="Calibri" w:hAnsi="Verdana" w:cs="Arial"/>
                <w:color w:val="000000" w:themeColor="text1"/>
              </w:rPr>
              <w:t xml:space="preserv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planeación, transparencia, economía y responsabilidad, así </w:t>
            </w:r>
            <w:r w:rsidRPr="70B142D0">
              <w:rPr>
                <w:rFonts w:ascii="Verdana" w:eastAsia="Calibri" w:hAnsi="Verdana" w:cs="Arial"/>
                <w:color w:val="000000" w:themeColor="text1"/>
              </w:rPr>
              <w:lastRenderedPageBreak/>
              <w:t>como los demás principios de la función administrativa aplicables al proceso de gestión contractual. Ahora bien, no existe restricción expresa para modificar los contratos estatales y los principios antes referidos puede evidenciar la necesidad de cambiar las estipulaciones establecidas en un comienzo</w:t>
            </w:r>
            <w:r w:rsidR="4772CF72" w:rsidRPr="70B142D0">
              <w:rPr>
                <w:rFonts w:ascii="Verdana" w:eastAsia="Calibri" w:hAnsi="Verdana" w:cs="Arial"/>
                <w:color w:val="000000" w:themeColor="text1"/>
              </w:rPr>
              <w:t>, siempre y cuando se cumplan las finalidades que se buscan con la contratación y los perfiles del personal que se va a sus</w:t>
            </w:r>
            <w:r w:rsidR="39377694" w:rsidRPr="70B142D0">
              <w:rPr>
                <w:rFonts w:ascii="Verdana" w:eastAsia="Calibri" w:hAnsi="Verdana" w:cs="Arial"/>
                <w:color w:val="000000" w:themeColor="text1"/>
              </w:rPr>
              <w:t>tituir</w:t>
            </w:r>
            <w:r w:rsidR="4772CF72" w:rsidRPr="70B142D0">
              <w:rPr>
                <w:rFonts w:ascii="Verdana" w:eastAsia="Calibri" w:hAnsi="Verdana" w:cs="Arial"/>
                <w:color w:val="000000" w:themeColor="text1"/>
              </w:rPr>
              <w:t xml:space="preserve"> cumpla</w:t>
            </w:r>
            <w:r w:rsidR="33608EAE" w:rsidRPr="70B142D0">
              <w:rPr>
                <w:rFonts w:ascii="Verdana" w:eastAsia="Calibri" w:hAnsi="Verdana" w:cs="Arial"/>
                <w:color w:val="000000" w:themeColor="text1"/>
              </w:rPr>
              <w:t>n</w:t>
            </w:r>
            <w:r w:rsidR="4772CF72" w:rsidRPr="70B142D0">
              <w:rPr>
                <w:rFonts w:ascii="Verdana" w:eastAsia="Calibri" w:hAnsi="Verdana" w:cs="Arial"/>
                <w:color w:val="000000" w:themeColor="text1"/>
              </w:rPr>
              <w:t xml:space="preserve"> con lo</w:t>
            </w:r>
            <w:r w:rsidR="1421BAE0" w:rsidRPr="70B142D0">
              <w:rPr>
                <w:rFonts w:ascii="Verdana" w:eastAsia="Calibri" w:hAnsi="Verdana" w:cs="Arial"/>
                <w:color w:val="000000" w:themeColor="text1"/>
              </w:rPr>
              <w:t>s</w:t>
            </w:r>
            <w:r w:rsidR="4772CF72" w:rsidRPr="70B142D0">
              <w:rPr>
                <w:rFonts w:ascii="Verdana" w:eastAsia="Calibri" w:hAnsi="Verdana" w:cs="Arial"/>
                <w:color w:val="000000" w:themeColor="text1"/>
              </w:rPr>
              <w:t xml:space="preserve"> </w:t>
            </w:r>
            <w:r w:rsidR="44BFF9BB" w:rsidRPr="70B142D0">
              <w:rPr>
                <w:rFonts w:ascii="Verdana" w:eastAsia="Calibri" w:hAnsi="Verdana" w:cs="Arial"/>
                <w:color w:val="000000" w:themeColor="text1"/>
              </w:rPr>
              <w:t>requisitos</w:t>
            </w:r>
            <w:r w:rsidR="4772CF72" w:rsidRPr="70B142D0">
              <w:rPr>
                <w:rFonts w:ascii="Verdana" w:eastAsia="Calibri" w:hAnsi="Verdana" w:cs="Arial"/>
                <w:color w:val="000000" w:themeColor="text1"/>
              </w:rPr>
              <w:t xml:space="preserve"> </w:t>
            </w:r>
            <w:r w:rsidR="474DE71C" w:rsidRPr="70B142D0">
              <w:rPr>
                <w:rFonts w:ascii="Verdana" w:eastAsia="Calibri" w:hAnsi="Verdana" w:cs="Arial"/>
                <w:color w:val="000000" w:themeColor="text1"/>
              </w:rPr>
              <w:t>mínimos</w:t>
            </w:r>
            <w:r w:rsidR="4772CF72" w:rsidRPr="70B142D0">
              <w:rPr>
                <w:rFonts w:ascii="Verdana" w:eastAsia="Calibri" w:hAnsi="Verdana" w:cs="Arial"/>
                <w:color w:val="000000" w:themeColor="text1"/>
              </w:rPr>
              <w:t xml:space="preserve"> exigidos del </w:t>
            </w:r>
            <w:r w:rsidR="5D2346AF" w:rsidRPr="70B142D0">
              <w:rPr>
                <w:rFonts w:ascii="Verdana" w:eastAsia="Calibri" w:hAnsi="Verdana" w:cs="Arial"/>
                <w:color w:val="000000" w:themeColor="text1"/>
              </w:rPr>
              <w:t>personal</w:t>
            </w:r>
            <w:r w:rsidR="4772CF72" w:rsidRPr="70B142D0">
              <w:rPr>
                <w:rFonts w:ascii="Verdana" w:eastAsia="Calibri" w:hAnsi="Verdana" w:cs="Arial"/>
                <w:color w:val="000000" w:themeColor="text1"/>
              </w:rPr>
              <w:t xml:space="preserve"> </w:t>
            </w:r>
            <w:r w:rsidR="56544B89" w:rsidRPr="70B142D0">
              <w:rPr>
                <w:rFonts w:ascii="Verdana" w:eastAsia="Calibri" w:hAnsi="Verdana" w:cs="Arial"/>
                <w:color w:val="000000" w:themeColor="text1"/>
              </w:rPr>
              <w:t>que</w:t>
            </w:r>
            <w:r w:rsidR="4772CF72" w:rsidRPr="70B142D0">
              <w:rPr>
                <w:rFonts w:ascii="Verdana" w:eastAsia="Calibri" w:hAnsi="Verdana" w:cs="Arial"/>
                <w:color w:val="000000" w:themeColor="text1"/>
              </w:rPr>
              <w:t xml:space="preserve"> fue </w:t>
            </w:r>
            <w:r w:rsidR="2BBFAC95" w:rsidRPr="70B142D0">
              <w:rPr>
                <w:rFonts w:ascii="Verdana" w:eastAsia="Calibri" w:hAnsi="Verdana" w:cs="Arial"/>
                <w:color w:val="000000" w:themeColor="text1"/>
              </w:rPr>
              <w:t>evaluado</w:t>
            </w:r>
            <w:r w:rsidR="4772CF72" w:rsidRPr="70B142D0">
              <w:rPr>
                <w:rFonts w:ascii="Verdana" w:eastAsia="Calibri" w:hAnsi="Verdana" w:cs="Arial"/>
                <w:color w:val="000000" w:themeColor="text1"/>
              </w:rPr>
              <w:t xml:space="preserve"> en el proceso de convocatoria </w:t>
            </w:r>
            <w:r w:rsidR="172E9ED1" w:rsidRPr="70B142D0">
              <w:rPr>
                <w:rFonts w:ascii="Verdana" w:eastAsia="Calibri" w:hAnsi="Verdana" w:cs="Arial"/>
                <w:color w:val="000000" w:themeColor="text1"/>
              </w:rPr>
              <w:t>pública</w:t>
            </w:r>
            <w:r w:rsidRPr="70B142D0">
              <w:rPr>
                <w:rFonts w:ascii="Verdana" w:eastAsia="Calibri" w:hAnsi="Verdana" w:cs="Arial"/>
                <w:color w:val="000000" w:themeColor="text1"/>
              </w:rPr>
              <w:t>.</w:t>
            </w:r>
          </w:p>
          <w:p w14:paraId="49F7033A" w14:textId="77777777" w:rsidR="00DC6A1A" w:rsidRDefault="00DC6A1A">
            <w:pPr>
              <w:tabs>
                <w:tab w:val="left" w:pos="284"/>
              </w:tabs>
              <w:spacing w:after="160" w:line="259" w:lineRule="auto"/>
              <w:ind w:firstLine="284"/>
              <w:jc w:val="both"/>
              <w:rPr>
                <w:rFonts w:ascii="Verdana" w:eastAsia="Arial" w:hAnsi="Verdana" w:cs="Arial"/>
                <w:lang w:val="es-MX" w:eastAsia="es-ES" w:bidi="es-ES"/>
              </w:rPr>
            </w:pPr>
            <w:r>
              <w:rPr>
                <w:rFonts w:ascii="Verdana" w:eastAsia="Arial" w:hAnsi="Verdana" w:cs="Arial"/>
                <w:lang w:val="es-MX" w:eastAsia="es-ES" w:bidi="es-ES"/>
              </w:rPr>
              <w:t xml:space="preserve">     </w:t>
            </w: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w:t>
            </w:r>
            <w:r>
              <w:rPr>
                <w:rFonts w:ascii="Verdana" w:eastAsia="Arial" w:hAnsi="Verdana" w:cs="Arial"/>
                <w:lang w:val="es-MX" w:eastAsia="es-ES" w:bidi="es-ES"/>
              </w:rPr>
              <w:t>.</w:t>
            </w:r>
          </w:p>
          <w:p w14:paraId="2443B6E4" w14:textId="4DAFBABC" w:rsidR="00DC6A1A" w:rsidRPr="006A5CD8" w:rsidRDefault="00DC6A1A">
            <w:pPr>
              <w:tabs>
                <w:tab w:val="left" w:pos="284"/>
              </w:tabs>
              <w:spacing w:after="160" w:line="259" w:lineRule="auto"/>
              <w:ind w:firstLine="284"/>
              <w:jc w:val="both"/>
              <w:rPr>
                <w:rFonts w:ascii="Verdana" w:eastAsia="Calibri" w:hAnsi="Verdana" w:cs="Arial"/>
                <w:color w:val="000000"/>
              </w:rPr>
            </w:pPr>
            <w:r w:rsidRPr="70B142D0">
              <w:rPr>
                <w:rFonts w:ascii="Verdana" w:eastAsia="Calibri" w:hAnsi="Verdana" w:cs="Arial"/>
                <w:color w:val="000000" w:themeColor="text1"/>
              </w:rPr>
              <w:t xml:space="preserve">     Dentro de los límites de orden temporal están comprendidos: i) la vigencia del contrato, pues no podría modificarse un contrato cuyo plazo </w:t>
            </w:r>
            <w:r w:rsidR="5F7BFCFF" w:rsidRPr="70B142D0">
              <w:rPr>
                <w:rFonts w:ascii="Verdana" w:eastAsia="Calibri" w:hAnsi="Verdana" w:cs="Arial"/>
                <w:color w:val="000000" w:themeColor="text1"/>
              </w:rPr>
              <w:t>de ejecución</w:t>
            </w:r>
            <w:r w:rsidRPr="70B142D0">
              <w:rPr>
                <w:rFonts w:ascii="Verdana" w:eastAsia="Calibri" w:hAnsi="Verdana" w:cs="Arial"/>
                <w:color w:val="000000" w:themeColor="text1"/>
              </w:rPr>
              <w:t xml:space="preserve"> ha culminado y; ii) la prohibición de consagrar prórrogas automáticas, sucesivas o indefinidas, en tanto resultan contrarias al derecho esencial de la libertad de competencia.</w:t>
            </w:r>
          </w:p>
          <w:p w14:paraId="54CC151B" w14:textId="77777777" w:rsidR="00DC6A1A" w:rsidRDefault="00DC6A1A">
            <w:pPr>
              <w:tabs>
                <w:tab w:val="left" w:pos="284"/>
              </w:tabs>
              <w:spacing w:after="160" w:line="259" w:lineRule="auto"/>
              <w:ind w:firstLine="284"/>
              <w:jc w:val="both"/>
              <w:rPr>
                <w:rFonts w:ascii="Verdana" w:eastAsia="Calibri" w:hAnsi="Verdana" w:cs="Arial"/>
                <w:color w:val="000000"/>
              </w:rPr>
            </w:pPr>
            <w:r>
              <w:rPr>
                <w:rFonts w:ascii="Verdana" w:eastAsia="Calibri" w:hAnsi="Verdana" w:cs="Arial"/>
                <w:color w:val="000000"/>
              </w:rPr>
              <w:t xml:space="preserve">     </w:t>
            </w:r>
            <w:r w:rsidRPr="006A5CD8">
              <w:rPr>
                <w:rFonts w:ascii="Verdana" w:eastAsia="Calibri" w:hAnsi="Verdana" w:cs="Arial"/>
                <w:color w:val="000000"/>
              </w:rPr>
              <w:t>En torno a los límites de orden formal, debe señalarse que, por un lado, es necesario que, la 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w:t>
            </w:r>
          </w:p>
          <w:p w14:paraId="34528334" w14:textId="77777777" w:rsidR="00DC6A1A" w:rsidRDefault="00DC6A1A">
            <w:pPr>
              <w:tabs>
                <w:tab w:val="left" w:pos="284"/>
              </w:tabs>
              <w:spacing w:after="160" w:line="259" w:lineRule="auto"/>
              <w:ind w:firstLine="284"/>
              <w:jc w:val="both"/>
            </w:pPr>
            <w:r>
              <w:rPr>
                <w:rFonts w:ascii="Verdana" w:eastAsia="Calibri" w:hAnsi="Verdana" w:cs="Arial"/>
              </w:rPr>
              <w:t xml:space="preserve">     </w:t>
            </w: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Pr>
                <w:rFonts w:ascii="Verdana" w:eastAsia="Arial" w:hAnsi="Verdana" w:cs="Arial"/>
                <w:i/>
                <w:lang w:val="es-MX" w:eastAsia="es-ES" w:bidi="es-ES"/>
              </w:rPr>
              <w:t>”.</w:t>
            </w:r>
            <w:r>
              <w:t xml:space="preserve"> </w:t>
            </w:r>
          </w:p>
          <w:p w14:paraId="5C8025ED" w14:textId="4F79393E" w:rsidR="00DC6A1A" w:rsidRPr="00C543FB" w:rsidRDefault="00DC6A1A">
            <w:pPr>
              <w:spacing w:after="120" w:line="276" w:lineRule="auto"/>
              <w:ind w:firstLine="709"/>
              <w:jc w:val="both"/>
              <w:rPr>
                <w:rFonts w:ascii="Verdana" w:eastAsia="Times New Roman" w:hAnsi="Verdana" w:cs="Arial"/>
                <w:color w:val="000000"/>
                <w:lang w:val="es-ES" w:eastAsia="es-MX"/>
              </w:rPr>
            </w:pPr>
            <w:r w:rsidRPr="70B142D0">
              <w:rPr>
                <w:rFonts w:ascii="Verdana" w:eastAsia="Times New Roman" w:hAnsi="Verdana" w:cs="Arial"/>
                <w:color w:val="000000" w:themeColor="text1"/>
                <w:lang w:val="es-ES" w:eastAsia="es-MX"/>
              </w:rPr>
              <w:t xml:space="preserve">Ahora bien, frente al problema jurídico planteado, corresponde a los equipos jurídicos de la entidad territorial verificar que las nuevas personas propuestas para la ejecución del contrato acrediten calidades, experiencia y preparación académica iguales o superiores a las exigidas en los pliegos de condiciones y a las del personal inicialmente ofertado. No obstante, esta </w:t>
            </w:r>
            <w:r w:rsidRPr="70B142D0">
              <w:rPr>
                <w:rFonts w:ascii="Verdana" w:eastAsia="Times New Roman" w:hAnsi="Verdana" w:cs="Arial"/>
                <w:color w:val="000000" w:themeColor="text1"/>
                <w:lang w:val="es-ES" w:eastAsia="es-MX"/>
              </w:rPr>
              <w:lastRenderedPageBreak/>
              <w:t>sustitución no opera de manera automática, pues debe ser solicitada formalmente por el contratista y autorizada previamente por la entidad, a través del supervisor o interventor designado</w:t>
            </w:r>
            <w:r w:rsidR="35B5C16B" w:rsidRPr="70B142D0">
              <w:rPr>
                <w:rFonts w:ascii="Verdana" w:eastAsia="Times New Roman" w:hAnsi="Verdana" w:cs="Arial"/>
                <w:color w:val="000000" w:themeColor="text1"/>
                <w:lang w:val="es-ES" w:eastAsia="es-MX"/>
              </w:rPr>
              <w:t xml:space="preserve"> y formalizada si es del caso a través de una modificación contractual según proceda en cada caso específico</w:t>
            </w:r>
            <w:r w:rsidRPr="70B142D0">
              <w:rPr>
                <w:rFonts w:ascii="Verdana" w:eastAsia="Times New Roman" w:hAnsi="Verdana" w:cs="Arial"/>
                <w:color w:val="000000" w:themeColor="text1"/>
                <w:lang w:val="es-ES" w:eastAsia="es-MX"/>
              </w:rPr>
              <w:t xml:space="preserve">. Solo con dicha aprobación puede llevarse a cabo el reemplazo, garantizando así que la modificación no afecte la calidad del servicio, la correcta ejecución del objeto contractual ni las condiciones bajo las cuales se adjudicó el contrato. </w:t>
            </w:r>
          </w:p>
          <w:p w14:paraId="3B3BCC3D" w14:textId="77777777" w:rsidR="00DC6A1A" w:rsidRPr="00DB4737" w:rsidRDefault="00DC6A1A">
            <w:pPr>
              <w:spacing w:line="276" w:lineRule="auto"/>
              <w:jc w:val="both"/>
              <w:rPr>
                <w:rFonts w:ascii="Verdana" w:eastAsia="Calibri" w:hAnsi="Verdana" w:cs="Times New Roman"/>
                <w:lang w:val="es-ES"/>
              </w:rPr>
            </w:pPr>
            <w:r w:rsidRPr="004C6846">
              <w:rPr>
                <w:rFonts w:ascii="Verdana" w:eastAsia="Calibri" w:hAnsi="Verdana" w:cs="Arial"/>
              </w:rPr>
              <w:t xml:space="preserve"> </w:t>
            </w: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0172385" w14:textId="77777777" w:rsidR="00DC6A1A" w:rsidRDefault="00DC6A1A">
            <w:pPr>
              <w:spacing w:line="276" w:lineRule="auto"/>
              <w:contextualSpacing/>
              <w:jc w:val="both"/>
              <w:rPr>
                <w:rFonts w:ascii="Verdana" w:eastAsia="Calibri" w:hAnsi="Verdana" w:cs="Times New Roman"/>
                <w:lang w:val="es-ES"/>
              </w:rPr>
            </w:pPr>
          </w:p>
          <w:p w14:paraId="12BA5340" w14:textId="77777777" w:rsidR="00DC6A1A" w:rsidRPr="00E529C2" w:rsidRDefault="00DC6A1A">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DC6A1A" w:rsidRPr="00593A5F" w14:paraId="0A7D40FF" w14:textId="77777777">
        <w:tc>
          <w:tcPr>
            <w:tcW w:w="8828" w:type="dxa"/>
          </w:tcPr>
          <w:p w14:paraId="73CC9501" w14:textId="77777777" w:rsidR="00DC6A1A" w:rsidRDefault="00DC6A1A">
            <w:pPr>
              <w:spacing w:after="120" w:line="276" w:lineRule="auto"/>
              <w:jc w:val="both"/>
              <w:rPr>
                <w:rFonts w:ascii="Verdana" w:eastAsia="Calibri" w:hAnsi="Verdana" w:cs="Arial"/>
                <w:bCs/>
                <w:lang w:eastAsia="es-ES_tradnl"/>
              </w:rPr>
            </w:pPr>
          </w:p>
        </w:tc>
      </w:tr>
    </w:tbl>
    <w:p w14:paraId="02331AD5" w14:textId="77777777" w:rsidR="00DC6A1A" w:rsidRDefault="00DC6A1A" w:rsidP="00DC6A1A">
      <w:pPr>
        <w:tabs>
          <w:tab w:val="left" w:pos="142"/>
          <w:tab w:val="left" w:pos="284"/>
        </w:tabs>
        <w:spacing w:after="0" w:line="276" w:lineRule="auto"/>
        <w:jc w:val="both"/>
        <w:rPr>
          <w:rFonts w:ascii="Verdana" w:eastAsia="Century Gothic" w:hAnsi="Verdana" w:cs="Century Gothic"/>
          <w:b/>
          <w:bCs/>
          <w:lang w:val="es-ES"/>
        </w:rPr>
      </w:pPr>
    </w:p>
    <w:p w14:paraId="7D990696" w14:textId="77777777" w:rsidR="00DC6A1A" w:rsidRDefault="00DC6A1A" w:rsidP="00DC6A1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29EA4F3" w14:textId="77777777" w:rsidR="00DC6A1A" w:rsidRDefault="00DC6A1A" w:rsidP="00DC6A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B2AE3CE" w14:textId="77777777" w:rsidR="00DC6A1A" w:rsidRDefault="00DC6A1A" w:rsidP="00DC6A1A">
      <w:pPr>
        <w:pStyle w:val="Prrafodelista"/>
        <w:tabs>
          <w:tab w:val="left" w:pos="142"/>
          <w:tab w:val="left" w:pos="284"/>
        </w:tabs>
        <w:spacing w:after="0" w:line="276" w:lineRule="auto"/>
        <w:ind w:left="0"/>
        <w:contextualSpacing w:val="0"/>
        <w:jc w:val="both"/>
        <w:rPr>
          <w:rFonts w:ascii="Verdana" w:eastAsia="Calibri" w:hAnsi="Verdana" w:cs="Arial"/>
          <w:color w:val="000000"/>
        </w:rPr>
      </w:pPr>
      <w:r>
        <w:rPr>
          <w:rFonts w:ascii="Verdana" w:hAnsi="Verdana"/>
        </w:rPr>
        <w:t xml:space="preserve">       </w:t>
      </w:r>
      <w:r w:rsidRPr="00F56F02">
        <w:rPr>
          <w:rFonts w:ascii="Verdana" w:hAnsi="Verdana"/>
        </w:rPr>
        <w:t xml:space="preserve"> </w:t>
      </w:r>
      <w:bookmarkStart w:id="4" w:name="_Hlk35876968"/>
      <w:bookmarkStart w:id="5" w:name="_Hlk37183512"/>
      <w:r>
        <w:rPr>
          <w:rFonts w:ascii="Verdana" w:eastAsia="Calibri" w:hAnsi="Verdana" w:cs="Arial"/>
        </w:rPr>
        <w:tab/>
      </w:r>
      <w:bookmarkStart w:id="6" w:name="_Hlk80881612"/>
      <w:bookmarkEnd w:id="4"/>
      <w:bookmarkEnd w:id="5"/>
      <w:r w:rsidRPr="00B31C7B">
        <w:rPr>
          <w:rFonts w:ascii="Verdana" w:eastAsia="Calibri" w:hAnsi="Verdana" w:cs="Arial"/>
          <w:color w:val="000000"/>
        </w:rPr>
        <w:t xml:space="preserve">El </w:t>
      </w:r>
      <w:r w:rsidRPr="00A106E8">
        <w:rPr>
          <w:rFonts w:ascii="Verdana" w:eastAsia="Calibri" w:hAnsi="Verdana" w:cs="Arial"/>
          <w:color w:val="000000" w:themeColor="text1"/>
        </w:rPr>
        <w:t>Estatuto General de Contratación de la Administración Pública</w:t>
      </w:r>
      <w:r>
        <w:rPr>
          <w:rFonts w:ascii="Verdana" w:eastAsia="Calibri" w:hAnsi="Verdana" w:cs="Arial"/>
          <w:color w:val="000000" w:themeColor="text1"/>
        </w:rPr>
        <w:t xml:space="preserve"> (en adelante EGCAP)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w:t>
      </w:r>
      <w:r w:rsidRPr="00B31C7B">
        <w:rPr>
          <w:rFonts w:ascii="Verdana" w:eastAsia="Calibri" w:hAnsi="Verdana" w:cs="Arial"/>
          <w:color w:val="000000"/>
        </w:rPr>
        <w:lastRenderedPageBreak/>
        <w:t xml:space="preserve">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B31C7B">
        <w:rPr>
          <w:rFonts w:ascii="Verdana" w:eastAsia="Calibri" w:hAnsi="Verdana" w:cs="Arial"/>
          <w:color w:val="000000"/>
          <w:vertAlign w:val="superscript"/>
          <w:lang w:val="es-MX"/>
        </w:rPr>
        <w:footnoteReference w:id="1"/>
      </w:r>
      <w:r w:rsidRPr="00B31C7B">
        <w:rPr>
          <w:rFonts w:ascii="Verdana" w:eastAsia="Calibri" w:hAnsi="Verdana" w:cs="Arial"/>
          <w:color w:val="000000"/>
        </w:rPr>
        <w:t xml:space="preserve">. </w:t>
      </w:r>
    </w:p>
    <w:p w14:paraId="47723478" w14:textId="77777777" w:rsidR="00DC6A1A" w:rsidRDefault="00DC6A1A" w:rsidP="00DC6A1A">
      <w:pPr>
        <w:pStyle w:val="Prrafodelista"/>
        <w:tabs>
          <w:tab w:val="left" w:pos="142"/>
          <w:tab w:val="left" w:pos="284"/>
        </w:tabs>
        <w:spacing w:after="0" w:line="276" w:lineRule="auto"/>
        <w:ind w:left="0"/>
        <w:contextualSpacing w:val="0"/>
        <w:jc w:val="both"/>
        <w:rPr>
          <w:rFonts w:ascii="Verdana" w:eastAsia="Calibri" w:hAnsi="Verdana" w:cs="Arial"/>
          <w:color w:val="000000"/>
        </w:rPr>
      </w:pPr>
    </w:p>
    <w:p w14:paraId="0353C93F" w14:textId="77777777" w:rsidR="00DC6A1A" w:rsidRPr="00B31C7B" w:rsidRDefault="00DC6A1A" w:rsidP="00DC6A1A">
      <w:pPr>
        <w:tabs>
          <w:tab w:val="left" w:pos="284"/>
        </w:tabs>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w:t>
      </w:r>
    </w:p>
    <w:p w14:paraId="405C2DB5" w14:textId="77777777" w:rsidR="00DC6A1A" w:rsidRPr="00B31C7B" w:rsidRDefault="00DC6A1A" w:rsidP="00DC6A1A">
      <w:pPr>
        <w:tabs>
          <w:tab w:val="left" w:pos="284"/>
        </w:tabs>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t xml:space="preserve">Ahora bien,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 xml:space="preserve">establecidas </w:t>
      </w:r>
      <w:r w:rsidRPr="00B31C7B">
        <w:rPr>
          <w:rFonts w:ascii="Verdana" w:eastAsia="Calibri" w:hAnsi="Verdana" w:cs="Arial"/>
          <w:color w:val="000000"/>
        </w:rPr>
        <w:t>en un comienzo.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2"/>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2B525EF6" w14:textId="77777777" w:rsidR="00DC6A1A" w:rsidRPr="006864B6" w:rsidRDefault="00DC6A1A" w:rsidP="00DC6A1A">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6864B6">
        <w:rPr>
          <w:rFonts w:ascii="Verdana" w:eastAsia="Calibri" w:hAnsi="Verdana" w:cs="Arial"/>
          <w:b/>
          <w:bCs/>
          <w:color w:val="000000"/>
          <w:sz w:val="20"/>
          <w:szCs w:val="20"/>
          <w:lang w:val="es-ES"/>
        </w:rPr>
        <w:t>los contratos estatales pueden ser modificados cuando sea necesario para lograr su finalidad y en aras de la realización de los fines del Estado</w:t>
      </w:r>
      <w:r w:rsidRPr="006864B6">
        <w:rPr>
          <w:rFonts w:ascii="Verdana" w:eastAsia="Calibri" w:hAnsi="Verdana" w:cs="Arial"/>
          <w:bCs/>
          <w:color w:val="000000"/>
          <w:sz w:val="20"/>
          <w:szCs w:val="20"/>
          <w:lang w:val="es-ES"/>
        </w:rPr>
        <w:t>, a los cuales sirve el contrato.</w:t>
      </w:r>
      <w:r w:rsidRPr="006864B6">
        <w:rPr>
          <w:rFonts w:ascii="Verdana" w:eastAsia="Calibri" w:hAnsi="Verdana" w:cs="Arial"/>
          <w:bCs/>
          <w:color w:val="000000"/>
          <w:sz w:val="20"/>
          <w:szCs w:val="20"/>
          <w:vertAlign w:val="superscript"/>
          <w:lang w:val="es-ES"/>
        </w:rPr>
        <w:footnoteReference w:id="3"/>
      </w:r>
      <w:r w:rsidRPr="006864B6">
        <w:rPr>
          <w:rFonts w:ascii="Verdana" w:eastAsia="Calibri" w:hAnsi="Verdana" w:cs="Arial"/>
          <w:bCs/>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w:t>
      </w:r>
      <w:r w:rsidRPr="006864B6">
        <w:rPr>
          <w:rFonts w:ascii="Verdana" w:eastAsia="Calibri" w:hAnsi="Verdana" w:cs="Arial"/>
          <w:b/>
          <w:bCs/>
          <w:color w:val="000000"/>
          <w:sz w:val="20"/>
          <w:szCs w:val="20"/>
          <w:lang w:val="es-ES"/>
        </w:rPr>
        <w:t>sentencia C-949 de 2001</w:t>
      </w:r>
      <w:r w:rsidRPr="006864B6">
        <w:rPr>
          <w:rFonts w:ascii="Verdana" w:eastAsia="Calibri" w:hAnsi="Verdana" w:cs="Arial"/>
          <w:bCs/>
          <w:color w:val="000000"/>
          <w:sz w:val="20"/>
          <w:szCs w:val="20"/>
          <w:vertAlign w:val="superscript"/>
          <w:lang w:val="es-ES"/>
        </w:rPr>
        <w:footnoteReference w:id="4"/>
      </w:r>
      <w:r w:rsidRPr="006864B6">
        <w:rPr>
          <w:rFonts w:ascii="Verdana" w:eastAsia="Calibri" w:hAnsi="Verdana" w:cs="Arial"/>
          <w:bCs/>
          <w:color w:val="000000"/>
          <w:sz w:val="20"/>
          <w:szCs w:val="20"/>
          <w:lang w:val="es-ES"/>
        </w:rPr>
        <w:t>, la Corte Constitucional señaló que las prórrogas de los 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5"/>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1211C48F" w14:textId="77777777" w:rsidR="00DC6A1A" w:rsidRPr="006864B6" w:rsidRDefault="00DC6A1A" w:rsidP="00DC6A1A">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4EAE5679" w14:textId="77777777" w:rsidR="00DC6A1A" w:rsidRPr="006864B6" w:rsidRDefault="00DC6A1A" w:rsidP="00DC6A1A">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11384676" w14:textId="77777777" w:rsidR="00DC6A1A" w:rsidRDefault="00DC6A1A" w:rsidP="00DC6A1A">
      <w:pPr>
        <w:tabs>
          <w:tab w:val="left" w:pos="284"/>
        </w:tabs>
        <w:spacing w:after="0" w:line="240" w:lineRule="auto"/>
        <w:ind w:left="709" w:right="709"/>
        <w:jc w:val="both"/>
        <w:rPr>
          <w:rFonts w:ascii="Verdana" w:eastAsia="Calibri" w:hAnsi="Verdana" w:cs="Arial"/>
          <w:bCs/>
          <w:color w:val="000000"/>
          <w:sz w:val="20"/>
          <w:szCs w:val="20"/>
          <w:lang w:val="es-ES"/>
        </w:rPr>
      </w:pPr>
    </w:p>
    <w:p w14:paraId="36F3E2ED" w14:textId="77777777" w:rsidR="00DC6A1A" w:rsidRPr="006864B6" w:rsidRDefault="00DC6A1A" w:rsidP="00DC6A1A">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lastRenderedPageBreak/>
        <w:t xml:space="preserve">La modificación de los contratos estatales es especialmente importante en aquellos por naturaleza </w:t>
      </w:r>
      <w:r w:rsidRPr="006864B6">
        <w:rPr>
          <w:rFonts w:ascii="Verdana" w:eastAsia="Calibri" w:hAnsi="Verdana" w:cs="Arial"/>
          <w:b/>
          <w:color w:val="000000"/>
          <w:sz w:val="20"/>
          <w:szCs w:val="20"/>
          <w:lang w:val="es-ES"/>
        </w:rPr>
        <w:t>incompletos</w:t>
      </w:r>
      <w:r w:rsidRPr="006864B6">
        <w:rPr>
          <w:rFonts w:ascii="Verdana" w:eastAsia="Calibri" w:hAnsi="Verdana" w:cs="Arial"/>
          <w:bCs/>
          <w:color w:val="000000"/>
          <w:sz w:val="20"/>
          <w:szCs w:val="20"/>
          <w:lang w:val="es-ES"/>
        </w:rPr>
        <w:t xml:space="preserve">, es decir, </w:t>
      </w:r>
      <w:r w:rsidRPr="006864B6">
        <w:rPr>
          <w:rFonts w:ascii="Verdana" w:eastAsia="Calibri" w:hAnsi="Verdana" w:cs="Arial"/>
          <w:b/>
          <w:color w:val="000000"/>
          <w:sz w:val="20"/>
          <w:szCs w:val="20"/>
          <w:lang w:val="es-ES"/>
        </w:rPr>
        <w:t xml:space="preserve">(i) </w:t>
      </w:r>
      <w:r w:rsidRPr="006864B6">
        <w:rPr>
          <w:rFonts w:ascii="Verdana" w:eastAsia="Calibri" w:hAnsi="Verdana" w:cs="Arial"/>
          <w:bCs/>
          <w:color w:val="000000"/>
          <w:sz w:val="20"/>
          <w:szCs w:val="20"/>
          <w:lang w:val="es-ES"/>
        </w:rPr>
        <w:t xml:space="preserve">los afectados por asimetrías de información que impiden la previsión de todas las contingencias que pueden afectar su ejecución, y </w:t>
      </w:r>
      <w:r w:rsidRPr="006864B6">
        <w:rPr>
          <w:rFonts w:ascii="Verdana" w:eastAsia="Calibri" w:hAnsi="Verdana" w:cs="Arial"/>
          <w:b/>
          <w:color w:val="000000"/>
          <w:sz w:val="20"/>
          <w:szCs w:val="20"/>
          <w:lang w:val="es-ES"/>
        </w:rPr>
        <w:t xml:space="preserve">(ii)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6"/>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45557191" w14:textId="77777777" w:rsidR="00DC6A1A" w:rsidRPr="00E54E87" w:rsidRDefault="00DC6A1A" w:rsidP="00DC6A1A">
      <w:pPr>
        <w:tabs>
          <w:tab w:val="left" w:pos="284"/>
        </w:tabs>
        <w:spacing w:after="0" w:line="240" w:lineRule="auto"/>
        <w:ind w:left="1049" w:right="709"/>
        <w:jc w:val="both"/>
        <w:rPr>
          <w:rFonts w:ascii="Verdana" w:eastAsia="Arial MT" w:hAnsi="Verdana" w:cs="Arial"/>
          <w:color w:val="000000"/>
        </w:rPr>
      </w:pPr>
    </w:p>
    <w:p w14:paraId="79F2AED9" w14:textId="77777777" w:rsidR="00DC6A1A" w:rsidRPr="00B31C7B" w:rsidRDefault="00DC6A1A" w:rsidP="00DC6A1A">
      <w:pPr>
        <w:widowControl w:val="0"/>
        <w:autoSpaceDE w:val="0"/>
        <w:autoSpaceDN w:val="0"/>
        <w:spacing w:after="0" w:line="276" w:lineRule="auto"/>
        <w:ind w:right="-2"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7"/>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6E2ABF9A" w14:textId="77777777" w:rsidR="00DC6A1A" w:rsidRPr="00B31C7B" w:rsidRDefault="00DC6A1A" w:rsidP="00DC6A1A">
      <w:pPr>
        <w:widowControl w:val="0"/>
        <w:autoSpaceDE w:val="0"/>
        <w:autoSpaceDN w:val="0"/>
        <w:spacing w:after="0" w:line="240" w:lineRule="auto"/>
        <w:ind w:firstLine="709"/>
        <w:jc w:val="both"/>
        <w:rPr>
          <w:rFonts w:ascii="Verdana" w:eastAsia="Calibri" w:hAnsi="Verdana" w:cs="Arial"/>
          <w:color w:val="000000"/>
        </w:rPr>
      </w:pPr>
    </w:p>
    <w:p w14:paraId="7905720D"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 xml:space="preserve">la posibilidad de modificar los contratos estatales es una especial forma de hacer prevalecer la finalidad del contrato sobre los restantes </w:t>
      </w:r>
      <w:r w:rsidRPr="006864B6">
        <w:rPr>
          <w:rFonts w:ascii="Verdana" w:eastAsia="Calibri" w:hAnsi="Verdana" w:cs="Arial"/>
          <w:color w:val="000000"/>
          <w:sz w:val="20"/>
          <w:szCs w:val="20"/>
        </w:rPr>
        <w:lastRenderedPageBreak/>
        <w:t>elementos del mismo.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60F54758" w14:textId="77777777" w:rsidR="00DC6A1A"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3CBEE717"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p>
    <w:p w14:paraId="02B43B52" w14:textId="77777777" w:rsidR="00DC6A1A"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575463B9"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w:t>
      </w:r>
      <w:r>
        <w:rPr>
          <w:rFonts w:ascii="Verdana" w:eastAsia="Calibri" w:hAnsi="Verdana" w:cs="Arial"/>
          <w:color w:val="000000"/>
          <w:sz w:val="20"/>
          <w:szCs w:val="20"/>
        </w:rPr>
        <w:t xml:space="preserve"> (…)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5B828D1E"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3A6CB1BC"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76EB3A1B"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39212295" w14:textId="77777777" w:rsidR="00DC6A1A" w:rsidRPr="006864B6"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473882DF" w14:textId="77777777" w:rsidR="00DC6A1A" w:rsidRPr="00E54E87" w:rsidRDefault="00DC6A1A" w:rsidP="00DC6A1A">
      <w:pPr>
        <w:tabs>
          <w:tab w:val="left" w:pos="284"/>
        </w:tabs>
        <w:spacing w:after="0" w:line="276" w:lineRule="auto"/>
        <w:ind w:left="709" w:right="709"/>
        <w:jc w:val="both"/>
        <w:rPr>
          <w:rFonts w:ascii="Verdana" w:eastAsia="Calibri" w:hAnsi="Verdana" w:cs="Arial"/>
          <w:color w:val="000000"/>
        </w:rPr>
      </w:pPr>
    </w:p>
    <w:p w14:paraId="5E018F8F" w14:textId="77777777" w:rsidR="00DC6A1A" w:rsidRPr="000E3F53" w:rsidRDefault="00DC6A1A" w:rsidP="00DC6A1A">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7CED4606"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35A455A8" w14:textId="77777777" w:rsidR="00DC6A1A"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7C76E312"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w:t>
      </w:r>
      <w:r w:rsidRPr="00B31C7B">
        <w:rPr>
          <w:rFonts w:ascii="Verdana" w:eastAsia="Calibri" w:hAnsi="Verdana" w:cs="Arial"/>
          <w:color w:val="000000"/>
          <w:sz w:val="20"/>
          <w:szCs w:val="20"/>
        </w:rPr>
        <w:lastRenderedPageBreak/>
        <w:t>eventual modificación debe asegurar que lo adjudicado, y posteriormente alterado, consulte la mejor opción para el servicio público.</w:t>
      </w:r>
    </w:p>
    <w:p w14:paraId="77F22FF5"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2126C51D"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6764ADCB"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1C6C30CC" w14:textId="77777777" w:rsidR="00DC6A1A"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2.Límites de orden temporal, entre los que están comprendidos: i) la vigencia del contrato, pues no podría modificarse un contrato cuyo plazo ha culminado y ii) la prohibición de consagrar prórrogas automáticas, sucesivas o indefinidas, en tanto resultan contrarias al derecho esencial de la libertad de competencia.</w:t>
      </w:r>
    </w:p>
    <w:p w14:paraId="7D98B2BC" w14:textId="77777777" w:rsidR="00DC6A1A"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660DD214"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8"/>
      </w:r>
      <w:r w:rsidRPr="00B31C7B">
        <w:rPr>
          <w:rFonts w:ascii="Verdana" w:eastAsia="Calibri" w:hAnsi="Verdana" w:cs="Arial"/>
          <w:color w:val="000000"/>
          <w:sz w:val="20"/>
          <w:szCs w:val="20"/>
        </w:rPr>
        <w:t>; ii) la motivación y justificación de la modificación, la cual constituye un elemento esencial que permite determinar la juridicidad y la necesidad de una modificación determinada; así como su racionalidad y la proporcionalidad de su contenido.</w:t>
      </w:r>
    </w:p>
    <w:p w14:paraId="3B4125CD" w14:textId="77777777" w:rsidR="00DC6A1A" w:rsidRPr="00B31C7B" w:rsidRDefault="00DC6A1A" w:rsidP="00DC6A1A">
      <w:pPr>
        <w:tabs>
          <w:tab w:val="left" w:pos="284"/>
        </w:tabs>
        <w:spacing w:after="0" w:line="240" w:lineRule="auto"/>
        <w:ind w:left="709" w:right="709"/>
        <w:jc w:val="both"/>
        <w:rPr>
          <w:rFonts w:ascii="Verdana" w:eastAsia="Calibri" w:hAnsi="Verdana" w:cs="Arial"/>
          <w:color w:val="000000"/>
          <w:sz w:val="20"/>
          <w:szCs w:val="20"/>
        </w:rPr>
      </w:pPr>
    </w:p>
    <w:p w14:paraId="4D540FD3" w14:textId="77777777" w:rsidR="00DC6A1A" w:rsidRPr="00AD53BB" w:rsidRDefault="00DC6A1A" w:rsidP="00DC6A1A">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2CEFF023" w14:textId="77777777" w:rsidR="00DC6A1A" w:rsidRPr="00E54E87" w:rsidRDefault="00DC6A1A" w:rsidP="00DC6A1A">
      <w:pPr>
        <w:tabs>
          <w:tab w:val="left" w:pos="284"/>
        </w:tabs>
        <w:spacing w:after="0" w:line="240" w:lineRule="auto"/>
        <w:ind w:left="709" w:right="709"/>
        <w:jc w:val="both"/>
        <w:rPr>
          <w:rFonts w:ascii="Verdana" w:eastAsia="Calibri" w:hAnsi="Verdana" w:cs="Arial"/>
          <w:color w:val="000000"/>
        </w:rPr>
      </w:pPr>
    </w:p>
    <w:p w14:paraId="0BDC4A6E" w14:textId="77777777" w:rsidR="00DC6A1A" w:rsidRPr="00B31C7B" w:rsidRDefault="00DC6A1A" w:rsidP="00DC6A1A">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9"/>
      </w:r>
      <w:r w:rsidRPr="00B31C7B">
        <w:rPr>
          <w:rFonts w:ascii="Verdana" w:eastAsia="Arial" w:hAnsi="Verdana" w:cs="Arial"/>
          <w:color w:val="000000"/>
          <w:lang w:val="es-MX" w:eastAsia="es-ES" w:bidi="es-ES"/>
        </w:rPr>
        <w:t>:</w:t>
      </w:r>
    </w:p>
    <w:p w14:paraId="1D201E07" w14:textId="77777777" w:rsidR="00DC6A1A" w:rsidRPr="00B31C7B"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“Así, frente a circunstancias excepcionales la Administración podría usar </w:t>
      </w:r>
      <w:r w:rsidRPr="00B31C7B">
        <w:rPr>
          <w:rFonts w:ascii="Verdana" w:eastAsia="Arial" w:hAnsi="Verdana" w:cs="Arial"/>
          <w:bCs/>
          <w:iCs/>
          <w:color w:val="000000"/>
          <w:sz w:val="20"/>
          <w:szCs w:val="20"/>
          <w:lang w:val="es-MX" w:eastAsia="es-ES" w:bidi="es-ES"/>
        </w:rPr>
        <w:lastRenderedPageBreak/>
        <w:t>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742CB1A1" w14:textId="77777777" w:rsidR="00DC6A1A" w:rsidRPr="00B31C7B"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1A76B71"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3ED1B4ED"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E16D113"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1C5F8BBD"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1880903A"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1729CE40"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9DA242C"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00AA8B4C"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29AE97E3" w14:textId="77777777" w:rsidR="00DC6A1A" w:rsidRPr="00B31C7B"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2A059890"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33BA9B07"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18DA1B0C"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24C5FBC"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47016C40"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1CA2B73F" w14:textId="77777777" w:rsidR="00DC6A1A" w:rsidRDefault="00DC6A1A" w:rsidP="00DC6A1A">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295CB279" w14:textId="77777777" w:rsidR="00DC6A1A" w:rsidRDefault="00DC6A1A" w:rsidP="00DC6A1A">
      <w:pPr>
        <w:widowControl w:val="0"/>
        <w:autoSpaceDE w:val="0"/>
        <w:autoSpaceDN w:val="0"/>
        <w:spacing w:after="0" w:line="276" w:lineRule="auto"/>
        <w:ind w:right="49" w:firstLine="708"/>
        <w:jc w:val="both"/>
        <w:rPr>
          <w:rFonts w:ascii="Verdana" w:eastAsia="Arial" w:hAnsi="Verdana" w:cs="Arial"/>
          <w:lang w:val="es-MX" w:eastAsia="es-ES" w:bidi="es-ES"/>
        </w:rPr>
      </w:pPr>
    </w:p>
    <w:p w14:paraId="6437837A" w14:textId="77777777" w:rsidR="00DC6A1A" w:rsidRPr="00AD53BB" w:rsidRDefault="00DC6A1A" w:rsidP="00DC6A1A">
      <w:pPr>
        <w:widowControl w:val="0"/>
        <w:autoSpaceDE w:val="0"/>
        <w:autoSpaceDN w:val="0"/>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0"/>
      </w:r>
      <w:r w:rsidRPr="00AD53BB">
        <w:rPr>
          <w:rFonts w:ascii="Verdana" w:eastAsia="Arial" w:hAnsi="Verdana" w:cs="Arial"/>
          <w:lang w:val="es-MX" w:eastAsia="es-ES" w:bidi="es-ES"/>
        </w:rPr>
        <w:t xml:space="preserve">. </w:t>
      </w:r>
    </w:p>
    <w:p w14:paraId="40BBD003" w14:textId="77777777" w:rsidR="00DC6A1A" w:rsidRDefault="00DC6A1A" w:rsidP="00DC6A1A">
      <w:pPr>
        <w:widowControl w:val="0"/>
        <w:autoSpaceDE w:val="0"/>
        <w:autoSpaceDN w:val="0"/>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i) la vigencia del contrato, pues no podría modificarse un contrato cuyo plazo ha culminado y; ii)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0027E420" w14:textId="77777777" w:rsidR="00DC6A1A" w:rsidRPr="000E3F53" w:rsidRDefault="00DC6A1A" w:rsidP="00DC6A1A">
      <w:pPr>
        <w:widowControl w:val="0"/>
        <w:autoSpaceDE w:val="0"/>
        <w:autoSpaceDN w:val="0"/>
        <w:ind w:firstLine="709"/>
        <w:jc w:val="both"/>
        <w:rPr>
          <w:rFonts w:ascii="Verdana" w:eastAsia="Calibri" w:hAnsi="Verdana" w:cs="Arial"/>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1"/>
      </w:r>
      <w:r w:rsidRPr="00B31C7B">
        <w:rPr>
          <w:rFonts w:ascii="Verdana" w:eastAsia="Arial" w:hAnsi="Verdana" w:cs="Arial"/>
          <w:lang w:val="es-MX" w:eastAsia="es-ES" w:bidi="es-ES"/>
        </w:rPr>
        <w:t xml:space="preserve"> y 12 de </w:t>
      </w:r>
      <w:r w:rsidRPr="00B31C7B">
        <w:rPr>
          <w:rFonts w:ascii="Verdana" w:eastAsia="Arial" w:hAnsi="Verdana" w:cs="Arial"/>
          <w:lang w:val="es-MX" w:eastAsia="es-ES" w:bidi="es-ES"/>
        </w:rPr>
        <w:lastRenderedPageBreak/>
        <w:t>la Ley 80 de 1993</w:t>
      </w:r>
      <w:r w:rsidRPr="00B31C7B">
        <w:rPr>
          <w:rFonts w:ascii="Verdana" w:eastAsia="Arial" w:hAnsi="Verdana" w:cs="Arial"/>
          <w:vertAlign w:val="superscript"/>
          <w:lang w:val="es-MX" w:eastAsia="es-ES" w:bidi="es-ES"/>
        </w:rPr>
        <w:footnoteReference w:id="12"/>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15675BB8" w14:textId="77777777" w:rsidR="00DC6A1A" w:rsidRPr="00B31C7B" w:rsidRDefault="00DC6A1A" w:rsidP="00DC6A1A">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39366F3F" w14:textId="77777777" w:rsidR="00DC6A1A" w:rsidRPr="00B31C7B" w:rsidRDefault="00DC6A1A" w:rsidP="00DC6A1A">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78569E14" w14:textId="77777777" w:rsidR="00DC6A1A" w:rsidRDefault="00DC6A1A" w:rsidP="00DC6A1A">
      <w:pPr>
        <w:spacing w:after="0" w:line="240" w:lineRule="auto"/>
        <w:ind w:left="709" w:right="709"/>
        <w:jc w:val="both"/>
        <w:rPr>
          <w:rFonts w:ascii="Verdana" w:hAnsi="Verdana"/>
          <w:sz w:val="20"/>
          <w:szCs w:val="20"/>
        </w:rPr>
      </w:pPr>
    </w:p>
    <w:p w14:paraId="2DFB61A6" w14:textId="77777777" w:rsidR="00DC6A1A" w:rsidRPr="00B31C7B" w:rsidRDefault="00DC6A1A" w:rsidP="00DC6A1A">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13"/>
      </w:r>
      <w:r w:rsidRPr="00B31C7B">
        <w:rPr>
          <w:rFonts w:ascii="Verdana" w:hAnsi="Verdana"/>
          <w:sz w:val="20"/>
          <w:szCs w:val="20"/>
        </w:rPr>
        <w:t>.</w:t>
      </w:r>
    </w:p>
    <w:p w14:paraId="1FDDE4DD" w14:textId="77777777" w:rsidR="00DC6A1A" w:rsidRPr="00B31C7B" w:rsidRDefault="00DC6A1A" w:rsidP="00DC6A1A">
      <w:pPr>
        <w:widowControl w:val="0"/>
        <w:autoSpaceDE w:val="0"/>
        <w:autoSpaceDN w:val="0"/>
        <w:spacing w:after="0" w:line="240" w:lineRule="auto"/>
        <w:jc w:val="both"/>
        <w:rPr>
          <w:rFonts w:ascii="Verdana" w:eastAsia="Calibri" w:hAnsi="Verdana" w:cs="Arial"/>
        </w:rPr>
      </w:pPr>
    </w:p>
    <w:p w14:paraId="1EA1B7AC" w14:textId="77777777" w:rsidR="00DC6A1A" w:rsidRDefault="00DC6A1A" w:rsidP="00DC6A1A">
      <w:pPr>
        <w:widowControl w:val="0"/>
        <w:autoSpaceDE w:val="0"/>
        <w:autoSpaceDN w:val="0"/>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 xml:space="preserve">“habiendo figurado en el procedimiento inicial, hubiera permitido la participación de otros interesados aparte de los inicialmente </w:t>
      </w:r>
      <w:r w:rsidRPr="00B31C7B">
        <w:rPr>
          <w:rFonts w:ascii="Verdana" w:eastAsia="Arial" w:hAnsi="Verdana" w:cs="Arial"/>
          <w:i/>
          <w:lang w:val="es-MX" w:eastAsia="es-ES" w:bidi="es-ES"/>
        </w:rPr>
        <w:lastRenderedPageBreak/>
        <w:t>admitidos, o seleccionar una oferta distinta de la inicialmente seleccionada”</w:t>
      </w:r>
      <w:r w:rsidRPr="00B31C7B">
        <w:rPr>
          <w:rFonts w:ascii="Verdana" w:eastAsia="Arial" w:hAnsi="Verdana" w:cs="Arial"/>
          <w:i/>
          <w:vertAlign w:val="superscript"/>
          <w:lang w:val="es-MX" w:eastAsia="es-ES" w:bidi="es-ES"/>
        </w:rPr>
        <w:footnoteReference w:id="14"/>
      </w:r>
      <w:r w:rsidRPr="00B31C7B">
        <w:rPr>
          <w:rFonts w:ascii="Verdana" w:eastAsia="Arial" w:hAnsi="Verdana" w:cs="Arial"/>
          <w:i/>
          <w:lang w:val="es-MX" w:eastAsia="es-ES" w:bidi="es-ES"/>
        </w:rPr>
        <w:t xml:space="preserve">. </w:t>
      </w:r>
    </w:p>
    <w:p w14:paraId="3D0FFC9A" w14:textId="3977CD17" w:rsidR="00DC6A1A" w:rsidRPr="00B31C7B" w:rsidRDefault="00DC6A1A" w:rsidP="00DC6A1A">
      <w:pPr>
        <w:widowControl w:val="0"/>
        <w:autoSpaceDE w:val="0"/>
        <w:autoSpaceDN w:val="0"/>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70B142D0">
        <w:rPr>
          <w:rFonts w:ascii="Verdana" w:eastAsia="Calibri" w:hAnsi="Verdana" w:cs="Arial"/>
          <w:lang w:eastAsia="es-ES"/>
        </w:rPr>
        <w:t xml:space="preserve">Lo anterior, con la finalidad de realizar la escogencia diligente de la mejor oferta, para beneficiar los intereses y fines públicos inmersos en la contratación de las entidades estatales. </w:t>
      </w:r>
      <w:r w:rsidRPr="00B31C7B">
        <w:rPr>
          <w:rFonts w:ascii="Verdana" w:eastAsia="Calibri" w:hAnsi="Verdana" w:cs="Arial"/>
        </w:rPr>
        <w:t xml:space="preserve"> </w:t>
      </w:r>
    </w:p>
    <w:p w14:paraId="295A85D9" w14:textId="77777777" w:rsidR="00DC6A1A" w:rsidRPr="00AD53BB" w:rsidRDefault="00DC6A1A" w:rsidP="00DC6A1A">
      <w:pPr>
        <w:widowControl w:val="0"/>
        <w:autoSpaceDE w:val="0"/>
        <w:autoSpaceDN w:val="0"/>
        <w:ind w:firstLine="709"/>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10CDB0E0"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3E072916"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se refieren a alteraciones, variaciones, 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lo previsto en la ley, esto es, que </w:t>
      </w:r>
      <w:r w:rsidRPr="000E6A15">
        <w:rPr>
          <w:rFonts w:ascii="Verdana" w:eastAsia="Arial" w:hAnsi="Verdana" w:cs="Arial"/>
          <w:i/>
          <w:iCs/>
          <w:color w:val="000000"/>
          <w:lang w:val="es-ES" w:eastAsia="es-ES" w:bidi="es-ES"/>
        </w:rPr>
        <w:t>se encuentren debidamente justificadas</w:t>
      </w:r>
      <w:r w:rsidRPr="00B31C7B">
        <w:rPr>
          <w:rFonts w:ascii="Verdana" w:eastAsia="Arial" w:hAnsi="Verdana" w:cs="Arial"/>
          <w:color w:val="000000"/>
          <w:lang w:val="es-ES" w:eastAsia="es-ES" w:bidi="es-ES"/>
        </w:rPr>
        <w:t xml:space="preserve">, que </w:t>
      </w:r>
      <w:r w:rsidRPr="000E6A15">
        <w:rPr>
          <w:rFonts w:ascii="Verdana" w:eastAsia="Arial" w:hAnsi="Verdana" w:cs="Arial"/>
          <w:i/>
          <w:iCs/>
          <w:color w:val="000000"/>
          <w:lang w:val="es-ES" w:eastAsia="es-ES" w:bidi="es-ES"/>
        </w:rPr>
        <w:t>no sean el resultado de una indebida planeación</w:t>
      </w:r>
      <w:r w:rsidRPr="00B31C7B">
        <w:rPr>
          <w:rFonts w:ascii="Verdana" w:eastAsia="Arial" w:hAnsi="Verdana" w:cs="Arial"/>
          <w:color w:val="000000"/>
          <w:lang w:val="es-ES" w:eastAsia="es-ES" w:bidi="es-ES"/>
        </w:rPr>
        <w:t xml:space="preserve"> y que consten por escrito, de tal manera que de las mismas se predique su existencia, validez y eficacia. </w:t>
      </w:r>
    </w:p>
    <w:p w14:paraId="33C0152C"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Según</w:t>
      </w:r>
      <w:r>
        <w:rPr>
          <w:rFonts w:ascii="Verdana" w:eastAsia="Arial" w:hAnsi="Verdana" w:cs="Arial"/>
          <w:color w:val="000000"/>
          <w:lang w:val="es-ES" w:eastAsia="es-ES" w:bidi="es-ES"/>
        </w:rPr>
        <w:t xml:space="preserve"> el artículo </w:t>
      </w:r>
      <w:r w:rsidRPr="00B31C7B">
        <w:rPr>
          <w:rFonts w:ascii="Verdana" w:eastAsia="Arial" w:hAnsi="Verdana" w:cs="Arial"/>
          <w:color w:val="000000"/>
          <w:lang w:val="es-ES" w:eastAsia="es-ES" w:bidi="es-ES"/>
        </w:rPr>
        <w:t>14</w:t>
      </w:r>
      <w:r w:rsidRPr="00B31C7B">
        <w:rPr>
          <w:rFonts w:ascii="Verdana" w:eastAsia="Arial" w:hAnsi="Verdana" w:cs="Arial"/>
          <w:color w:val="000000"/>
          <w:vertAlign w:val="superscript"/>
          <w:lang w:val="es-ES" w:eastAsia="es-ES" w:bidi="es-ES"/>
        </w:rPr>
        <w:footnoteReference w:id="15"/>
      </w:r>
      <w:r>
        <w:rPr>
          <w:rFonts w:ascii="Verdana" w:eastAsia="Arial" w:hAnsi="Verdana" w:cs="Arial"/>
          <w:color w:val="000000"/>
          <w:lang w:val="es-ES" w:eastAsia="es-ES" w:bidi="es-ES"/>
        </w:rPr>
        <w:t xml:space="preserve"> de</w:t>
      </w:r>
      <w:r w:rsidRPr="00B31C7B">
        <w:rPr>
          <w:rFonts w:ascii="Verdana" w:eastAsia="Arial" w:hAnsi="Verdana" w:cs="Arial"/>
          <w:color w:val="000000"/>
          <w:lang w:val="es-ES" w:eastAsia="es-ES" w:bidi="es-ES"/>
        </w:rPr>
        <w:t xml:space="preserve"> la Ley 80 de 1993, otro mecanismo con el que </w:t>
      </w:r>
      <w:r w:rsidRPr="00B31C7B">
        <w:rPr>
          <w:rFonts w:ascii="Verdana" w:eastAsia="Arial" w:hAnsi="Verdana" w:cs="Arial"/>
          <w:color w:val="000000"/>
          <w:lang w:val="es-ES" w:eastAsia="es-ES" w:bidi="es-ES"/>
        </w:rPr>
        <w:lastRenderedPageBreak/>
        <w:t>cuentan las entidades estatales es el uso de la facultad excepcional de modificación unilateral del contrato, l</w:t>
      </w:r>
      <w:r>
        <w:rPr>
          <w:rFonts w:ascii="Verdana" w:eastAsia="Arial" w:hAnsi="Verdana" w:cs="Arial"/>
          <w:color w:val="000000"/>
          <w:lang w:val="es-ES" w:eastAsia="es-ES" w:bidi="es-ES"/>
        </w:rPr>
        <w:t>a</w:t>
      </w:r>
      <w:r w:rsidRPr="00B31C7B">
        <w:rPr>
          <w:rFonts w:ascii="Verdana" w:eastAsia="Arial" w:hAnsi="Verdana" w:cs="Arial"/>
          <w:color w:val="000000"/>
          <w:lang w:val="es-ES" w:eastAsia="es-ES" w:bidi="es-ES"/>
        </w:rPr>
        <w:t xml:space="preserve"> cual procede siempre y cuando se trate de un contrato que incorpore es</w:t>
      </w:r>
      <w:r>
        <w:rPr>
          <w:rFonts w:ascii="Verdana" w:eastAsia="Arial" w:hAnsi="Verdana" w:cs="Arial"/>
          <w:color w:val="000000"/>
          <w:lang w:val="es-ES" w:eastAsia="es-ES" w:bidi="es-ES"/>
        </w:rPr>
        <w:t>t</w:t>
      </w:r>
      <w:r w:rsidRPr="00B31C7B">
        <w:rPr>
          <w:rFonts w:ascii="Verdana" w:eastAsia="Arial" w:hAnsi="Verdana" w:cs="Arial"/>
          <w:color w:val="000000"/>
          <w:lang w:val="es-ES" w:eastAsia="es-ES" w:bidi="es-ES"/>
        </w:rPr>
        <w:t>a facultad de manera obligatoria o facultativa. En este sentido, el legislador estableció la posibilidad de pactar esta cláusula excepcional en los contratos que tengan por objeto el ejercicio de una actividad que constituya monopolio estatal, la prestación de servicios públicos o la explotación y concesión de bienes del Estado, en los contratos de obra, así como los contratos relacionados con el programa de alimentación escolar.</w:t>
      </w:r>
    </w:p>
    <w:p w14:paraId="6AF90D34"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Conforme a lo anterior, la modificación unilateral es la facultad que tiene la entidad estatal durante de introducir variaciones al contrato, siempre y cuando no haya acuerdo con el contratista sobre estas. </w:t>
      </w:r>
      <w:r>
        <w:rPr>
          <w:rFonts w:ascii="Verdana" w:eastAsia="Arial" w:hAnsi="Verdana" w:cs="Arial"/>
          <w:color w:val="000000"/>
          <w:lang w:val="es-ES" w:eastAsia="es-ES" w:bidi="es-ES"/>
        </w:rPr>
        <w:t xml:space="preserve">En este caso, </w:t>
      </w:r>
      <w:r w:rsidRPr="00B31C7B">
        <w:rPr>
          <w:rFonts w:ascii="Verdana" w:eastAsia="Arial" w:hAnsi="Verdana" w:cs="Arial"/>
          <w:color w:val="000000"/>
          <w:lang w:val="es-ES" w:eastAsia="es-ES" w:bidi="es-ES"/>
        </w:rPr>
        <w:t xml:space="preserve">la entidad estatal </w:t>
      </w:r>
      <w:r>
        <w:rPr>
          <w:rFonts w:ascii="Verdana" w:eastAsia="Arial" w:hAnsi="Verdana" w:cs="Arial"/>
          <w:color w:val="000000"/>
          <w:lang w:val="es-ES" w:eastAsia="es-ES" w:bidi="es-ES"/>
        </w:rPr>
        <w:t xml:space="preserve">podrá </w:t>
      </w:r>
      <w:r w:rsidRPr="00B31C7B">
        <w:rPr>
          <w:rFonts w:ascii="Verdana" w:eastAsia="Arial" w:hAnsi="Verdana" w:cs="Arial"/>
          <w:color w:val="000000"/>
          <w:lang w:val="es-ES" w:eastAsia="es-ES" w:bidi="es-ES"/>
        </w:rPr>
        <w:t>modificar de manera unilateral el contrato a través de acto administrativo motivado. A su vez, la modificación unilateral sólo procede cuando la entidad estatal evidenci</w:t>
      </w:r>
      <w:r>
        <w:rPr>
          <w:rFonts w:ascii="Verdana" w:eastAsia="Arial" w:hAnsi="Verdana" w:cs="Arial"/>
          <w:color w:val="000000"/>
          <w:lang w:val="es-ES" w:eastAsia="es-ES" w:bidi="es-ES"/>
        </w:rPr>
        <w:t>e</w:t>
      </w:r>
      <w:r w:rsidRPr="00B31C7B">
        <w:rPr>
          <w:rFonts w:ascii="Verdana" w:eastAsia="Arial" w:hAnsi="Verdana" w:cs="Arial"/>
          <w:color w:val="000000"/>
          <w:lang w:val="es-ES" w:eastAsia="es-ES" w:bidi="es-ES"/>
        </w:rPr>
        <w:t xml:space="preserve"> que existe una situación que puede afectar o paralizar de manera grave</w:t>
      </w:r>
      <w:r>
        <w:rPr>
          <w:rFonts w:ascii="Verdana" w:eastAsia="Arial" w:hAnsi="Verdana" w:cs="Arial"/>
          <w:color w:val="000000"/>
          <w:lang w:val="es-ES" w:eastAsia="es-ES" w:bidi="es-ES"/>
        </w:rPr>
        <w:t xml:space="preserve"> la ejecución</w:t>
      </w:r>
      <w:r w:rsidRPr="00B31C7B">
        <w:rPr>
          <w:rFonts w:ascii="Verdana" w:eastAsia="Arial" w:hAnsi="Verdana" w:cs="Arial"/>
          <w:color w:val="000000"/>
          <w:vertAlign w:val="superscript"/>
          <w:lang w:val="es-ES" w:eastAsia="es-ES" w:bidi="es-ES"/>
        </w:rPr>
        <w:footnoteReference w:id="16"/>
      </w:r>
      <w:r w:rsidRPr="00B31C7B">
        <w:rPr>
          <w:rFonts w:ascii="Verdana" w:eastAsia="Arial" w:hAnsi="Verdana" w:cs="Arial"/>
          <w:color w:val="000000"/>
          <w:lang w:val="es-ES" w:eastAsia="es-ES" w:bidi="es-ES"/>
        </w:rPr>
        <w:t>.</w:t>
      </w:r>
    </w:p>
    <w:p w14:paraId="6F7C6405"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lastRenderedPageBreak/>
        <w:t xml:space="preserve">Sin perjuicio de lo anterior, las modificaciones no </w:t>
      </w:r>
      <w:r>
        <w:rPr>
          <w:rFonts w:ascii="Verdana" w:eastAsia="Arial" w:hAnsi="Verdana" w:cs="Arial"/>
          <w:color w:val="000000"/>
          <w:lang w:val="es-ES" w:eastAsia="es-ES" w:bidi="es-ES"/>
        </w:rPr>
        <w:t xml:space="preserve">pueden </w:t>
      </w:r>
      <w:r w:rsidRPr="00B31C7B">
        <w:rPr>
          <w:rFonts w:ascii="Verdana" w:eastAsia="Arial" w:hAnsi="Verdana" w:cs="Arial"/>
          <w:color w:val="000000"/>
          <w:lang w:val="es-ES" w:eastAsia="es-ES" w:bidi="es-ES"/>
        </w:rPr>
        <w:t>suponer la variación del objeto d</w:t>
      </w:r>
      <w:r>
        <w:rPr>
          <w:rFonts w:ascii="Verdana" w:eastAsia="Arial" w:hAnsi="Verdana" w:cs="Arial"/>
          <w:color w:val="000000"/>
          <w:lang w:val="es-ES" w:eastAsia="es-ES" w:bidi="es-ES"/>
        </w:rPr>
        <w:t>el</w:t>
      </w:r>
      <w:r w:rsidRPr="00B31C7B">
        <w:rPr>
          <w:rFonts w:ascii="Verdana" w:eastAsia="Arial" w:hAnsi="Verdana" w:cs="Arial"/>
          <w:color w:val="000000"/>
          <w:lang w:val="es-ES" w:eastAsia="es-ES" w:bidi="es-ES"/>
        </w:rPr>
        <w:t xml:space="preserve"> contrato, pues </w:t>
      </w:r>
      <w:r>
        <w:rPr>
          <w:rFonts w:ascii="Verdana" w:eastAsia="Arial" w:hAnsi="Verdana" w:cs="Arial"/>
          <w:color w:val="000000"/>
          <w:lang w:val="es-ES" w:eastAsia="es-ES" w:bidi="es-ES"/>
        </w:rPr>
        <w:t xml:space="preserve">esto </w:t>
      </w:r>
      <w:r w:rsidRPr="00B31C7B">
        <w:rPr>
          <w:rFonts w:ascii="Verdana" w:eastAsia="Arial" w:hAnsi="Verdana" w:cs="Arial"/>
          <w:color w:val="000000"/>
          <w:lang w:val="es-ES" w:eastAsia="es-ES" w:bidi="es-ES"/>
        </w:rPr>
        <w:t xml:space="preserve">implica la alteración de su esencia y lo </w:t>
      </w:r>
      <w:r>
        <w:rPr>
          <w:rFonts w:ascii="Verdana" w:eastAsia="Arial" w:hAnsi="Verdana" w:cs="Arial"/>
          <w:color w:val="000000"/>
          <w:lang w:val="es-ES" w:eastAsia="es-ES" w:bidi="es-ES"/>
        </w:rPr>
        <w:t xml:space="preserve">convierte </w:t>
      </w:r>
      <w:r w:rsidRPr="00B31C7B">
        <w:rPr>
          <w:rFonts w:ascii="Verdana" w:eastAsia="Arial" w:hAnsi="Verdana" w:cs="Arial"/>
          <w:color w:val="000000"/>
          <w:lang w:val="es-ES" w:eastAsia="es-ES" w:bidi="es-ES"/>
        </w:rPr>
        <w:t xml:space="preserve">en otro tipo de negocio jurídico. </w:t>
      </w:r>
      <w:r>
        <w:rPr>
          <w:rFonts w:ascii="Verdana" w:eastAsia="Arial" w:hAnsi="Verdana" w:cs="Arial"/>
          <w:color w:val="000000"/>
          <w:lang w:val="es-ES" w:eastAsia="es-ES" w:bidi="es-ES"/>
        </w:rPr>
        <w:t xml:space="preserve">En estos casos, lo </w:t>
      </w:r>
      <w:r w:rsidRPr="00B31C7B">
        <w:rPr>
          <w:rFonts w:ascii="Verdana" w:eastAsia="Arial" w:hAnsi="Verdana" w:cs="Arial"/>
          <w:color w:val="000000"/>
          <w:lang w:val="es-ES" w:eastAsia="es-ES" w:bidi="es-ES"/>
        </w:rPr>
        <w:t>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footnoteReference w:id="17"/>
      </w:r>
      <w:r w:rsidRPr="00B31C7B">
        <w:rPr>
          <w:rFonts w:ascii="Verdana" w:eastAsia="Arial" w:hAnsi="Verdana" w:cs="Arial"/>
          <w:color w:val="000000"/>
          <w:lang w:val="es-ES" w:eastAsia="es-ES" w:bidi="es-ES"/>
        </w:rPr>
        <w:t xml:space="preserve"> 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i/>
          <w:iCs/>
          <w:color w:val="000000"/>
          <w:vertAlign w:val="superscript"/>
          <w:lang w:val="es-MX" w:eastAsia="es-ES" w:bidi="es-ES"/>
        </w:rPr>
        <w:footnoteReference w:id="18"/>
      </w:r>
      <w:r w:rsidRPr="00B31C7B">
        <w:rPr>
          <w:rFonts w:ascii="Verdana" w:eastAsia="Arial" w:hAnsi="Verdana" w:cs="Arial"/>
          <w:color w:val="000000"/>
          <w:lang w:val="es-ES" w:eastAsia="es-ES" w:bidi="es-ES"/>
        </w:rPr>
        <w:t xml:space="preserve">. </w:t>
      </w:r>
    </w:p>
    <w:p w14:paraId="121615D2" w14:textId="77777777" w:rsidR="00DC6A1A" w:rsidRPr="00B31C7B" w:rsidRDefault="00DC6A1A" w:rsidP="00DC6A1A">
      <w:pPr>
        <w:widowControl w:val="0"/>
        <w:autoSpaceDE w:val="0"/>
        <w:autoSpaceDN w:val="0"/>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Para </w:t>
      </w:r>
      <w:r>
        <w:rPr>
          <w:rFonts w:ascii="Verdana" w:eastAsia="Arial" w:hAnsi="Verdana" w:cs="Arial"/>
          <w:color w:val="000000"/>
          <w:lang w:val="es-ES" w:eastAsia="es-ES" w:bidi="es-ES"/>
        </w:rPr>
        <w:t xml:space="preserve">determinar </w:t>
      </w:r>
      <w:r w:rsidRPr="00B31C7B">
        <w:rPr>
          <w:rFonts w:ascii="Verdana" w:eastAsia="Arial" w:hAnsi="Verdana" w:cs="Arial"/>
          <w:color w:val="000000"/>
          <w:lang w:val="es-ES" w:eastAsia="es-ES" w:bidi="es-ES"/>
        </w:rPr>
        <w:t xml:space="preserve">los aspectos que no alteran </w:t>
      </w:r>
      <w:r w:rsidRPr="00305FD0">
        <w:rPr>
          <w:rFonts w:ascii="Verdana" w:eastAsia="Arial" w:hAnsi="Verdana" w:cs="Arial"/>
          <w:i/>
          <w:iCs/>
          <w:color w:val="000000"/>
          <w:lang w:val="es-ES" w:eastAsia="es-ES" w:bidi="es-ES"/>
        </w:rPr>
        <w:t>la esencia</w:t>
      </w:r>
      <w:r w:rsidRPr="00B31C7B">
        <w:rPr>
          <w:rFonts w:ascii="Verdana" w:eastAsia="Arial" w:hAnsi="Verdana" w:cs="Arial"/>
          <w:color w:val="000000"/>
          <w:lang w:val="es-ES" w:eastAsia="es-ES" w:bidi="es-ES"/>
        </w:rPr>
        <w:t xml:space="preserve"> del contrato estatal y </w:t>
      </w:r>
      <w:r>
        <w:rPr>
          <w:rFonts w:ascii="Verdana" w:eastAsia="Arial" w:hAnsi="Verdana" w:cs="Arial"/>
          <w:color w:val="000000"/>
          <w:lang w:val="es-ES" w:eastAsia="es-ES" w:bidi="es-ES"/>
        </w:rPr>
        <w:t xml:space="preserve">cuya modificación no </w:t>
      </w:r>
      <w:r w:rsidRPr="00B31C7B">
        <w:rPr>
          <w:rFonts w:ascii="Verdana" w:eastAsia="Arial" w:hAnsi="Verdana" w:cs="Arial"/>
          <w:color w:val="000000"/>
          <w:lang w:val="es-ES" w:eastAsia="es-ES" w:bidi="es-ES"/>
        </w:rPr>
        <w:t xml:space="preserve">lo convierte en otro contrato, resulta útil remitirse a lo previsto en el artículo 1501 del Código Civil que establece que los contratos tienen elementos de su esencia, de su naturaleza y accidentales. En todo caso, corresponderá a cada entidad estatal </w:t>
      </w:r>
      <w:r>
        <w:rPr>
          <w:rFonts w:ascii="Verdana" w:eastAsia="Arial" w:hAnsi="Verdana" w:cs="Arial"/>
          <w:color w:val="000000"/>
          <w:lang w:val="es-ES" w:eastAsia="es-ES" w:bidi="es-ES"/>
        </w:rPr>
        <w:t xml:space="preserve">analizar si la modificación es procedente </w:t>
      </w:r>
      <w:r w:rsidRPr="00B31C7B">
        <w:rPr>
          <w:rFonts w:ascii="Verdana" w:eastAsia="Arial" w:hAnsi="Verdana" w:cs="Arial"/>
          <w:color w:val="000000"/>
          <w:lang w:val="es-ES" w:eastAsia="es-ES" w:bidi="es-ES"/>
        </w:rPr>
        <w:t>desde la perspectiva jurídica, administrativa, técnica y financiera</w:t>
      </w:r>
      <w:r>
        <w:rPr>
          <w:rFonts w:ascii="Verdana" w:eastAsia="Arial" w:hAnsi="Verdana" w:cs="Arial"/>
          <w:color w:val="000000"/>
          <w:lang w:val="es-ES" w:eastAsia="es-ES" w:bidi="es-ES"/>
        </w:rPr>
        <w:t>, así como constatar que cuente con la documentación que</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la sustente </w:t>
      </w:r>
      <w:r w:rsidRPr="00B31C7B">
        <w:rPr>
          <w:rFonts w:ascii="Verdana" w:eastAsia="Arial" w:hAnsi="Verdana" w:cs="Arial"/>
          <w:color w:val="000000"/>
          <w:lang w:val="es-ES" w:eastAsia="es-ES" w:bidi="es-ES"/>
        </w:rPr>
        <w:t>por parte de los funcionarios que participan dentro del proceso de contratación, como los supervisores y/o interventores</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y comités internos de contratación.  </w:t>
      </w:r>
    </w:p>
    <w:p w14:paraId="744FD275" w14:textId="77777777" w:rsidR="00DC6A1A" w:rsidRDefault="00DC6A1A" w:rsidP="00DC6A1A">
      <w:pPr>
        <w:widowControl w:val="0"/>
        <w:autoSpaceDE w:val="0"/>
        <w:autoSpaceDN w:val="0"/>
        <w:ind w:firstLine="709"/>
        <w:jc w:val="both"/>
        <w:rPr>
          <w:rFonts w:ascii="Verdana" w:eastAsia="Arial" w:hAnsi="Verdana" w:cs="Arial"/>
          <w:color w:val="000000"/>
          <w:lang w:eastAsia="es-ES" w:bidi="es-ES"/>
        </w:rPr>
      </w:pPr>
      <w:r w:rsidRPr="00B31C7B">
        <w:rPr>
          <w:rFonts w:ascii="Verdana" w:eastAsia="Arial" w:hAnsi="Verdana" w:cs="Arial"/>
          <w:color w:val="000000"/>
          <w:lang w:val="es-ES" w:eastAsia="es-ES" w:bidi="es-ES"/>
        </w:rPr>
        <w:t>Ahora bien, la norma no contempló un procedimiento</w:t>
      </w:r>
      <w:r>
        <w:rPr>
          <w:rFonts w:ascii="Verdana" w:eastAsia="Arial" w:hAnsi="Verdana" w:cs="Arial"/>
          <w:color w:val="000000"/>
          <w:lang w:val="es-ES" w:eastAsia="es-ES" w:bidi="es-ES"/>
        </w:rPr>
        <w:t xml:space="preserve"> específico sobre la forma en que las entidades deben realizar la modificación</w:t>
      </w:r>
      <w:r w:rsidRPr="00B31C7B">
        <w:rPr>
          <w:rFonts w:ascii="Verdana" w:eastAsia="Arial" w:hAnsi="Verdana" w:cs="Arial"/>
          <w:color w:val="000000"/>
          <w:lang w:val="es-ES" w:eastAsia="es-ES" w:bidi="es-ES"/>
        </w:rPr>
        <w:t>,</w:t>
      </w:r>
      <w:r>
        <w:rPr>
          <w:rFonts w:ascii="Verdana" w:eastAsia="Arial" w:hAnsi="Verdana" w:cs="Arial"/>
          <w:color w:val="000000"/>
          <w:lang w:val="es-ES" w:eastAsia="es-ES" w:bidi="es-ES"/>
        </w:rPr>
        <w:t xml:space="preserve"> por lo que deberán acudir a sus manuales de contratación. N</w:t>
      </w:r>
      <w:r w:rsidRPr="00B31C7B">
        <w:rPr>
          <w:rFonts w:ascii="Verdana" w:eastAsia="Arial" w:hAnsi="Verdana" w:cs="Arial"/>
          <w:color w:val="000000"/>
          <w:lang w:val="es-ES" w:eastAsia="es-ES" w:bidi="es-ES"/>
        </w:rPr>
        <w:t xml:space="preserve">o obstante, </w:t>
      </w:r>
      <w:r w:rsidRPr="00B31C7B">
        <w:rPr>
          <w:rFonts w:ascii="Verdana" w:eastAsia="Arial" w:hAnsi="Verdana" w:cs="Arial"/>
          <w:color w:val="000000"/>
          <w:lang w:eastAsia="es-ES" w:bidi="es-ES"/>
        </w:rPr>
        <w:t>los contratos estatales</w:t>
      </w:r>
      <w:r>
        <w:rPr>
          <w:rFonts w:ascii="Verdana" w:eastAsia="Arial" w:hAnsi="Verdana" w:cs="Arial"/>
          <w:color w:val="000000"/>
          <w:lang w:eastAsia="es-ES" w:bidi="es-ES"/>
        </w:rPr>
        <w:t xml:space="preserve"> </w:t>
      </w:r>
      <w:r w:rsidRPr="00B31C7B">
        <w:rPr>
          <w:rFonts w:ascii="Verdana" w:eastAsia="Arial" w:hAnsi="Verdana" w:cs="Arial"/>
          <w:color w:val="000000"/>
          <w:lang w:eastAsia="es-ES" w:bidi="es-ES"/>
        </w:rPr>
        <w:t>son solemnes, lo cual significa que están sujetos a la observancia de ciertas formalidades especiales, de manera que sin ellas no producen ningún efecto</w:t>
      </w:r>
      <w:r w:rsidRPr="00B31C7B">
        <w:rPr>
          <w:rFonts w:ascii="Verdana" w:eastAsia="Arial" w:hAnsi="Verdana" w:cs="Arial"/>
          <w:color w:val="000000"/>
          <w:vertAlign w:val="superscript"/>
          <w:lang w:val="es-ES" w:eastAsia="es-ES" w:bidi="es-ES"/>
        </w:rPr>
        <w:footnoteReference w:id="19"/>
      </w:r>
      <w:r>
        <w:rPr>
          <w:rFonts w:ascii="Verdana" w:eastAsia="Arial" w:hAnsi="Verdana" w:cs="Arial"/>
          <w:color w:val="000000"/>
          <w:lang w:eastAsia="es-ES" w:bidi="es-ES"/>
        </w:rPr>
        <w:t>.</w:t>
      </w:r>
      <w:r w:rsidRPr="00B31C7B">
        <w:rPr>
          <w:rFonts w:ascii="Verdana" w:eastAsia="Arial" w:hAnsi="Verdana" w:cs="Arial"/>
          <w:color w:val="000000"/>
          <w:lang w:eastAsia="es-ES" w:bidi="es-ES"/>
        </w:rPr>
        <w:t xml:space="preserve"> </w:t>
      </w:r>
      <w:r>
        <w:rPr>
          <w:rFonts w:ascii="Verdana" w:eastAsia="Arial" w:hAnsi="Verdana" w:cs="Arial"/>
          <w:color w:val="000000"/>
          <w:lang w:eastAsia="es-ES" w:bidi="es-ES"/>
        </w:rPr>
        <w:t>P</w:t>
      </w:r>
      <w:r w:rsidRPr="00B31C7B">
        <w:rPr>
          <w:rFonts w:ascii="Verdana" w:eastAsia="Arial" w:hAnsi="Verdana" w:cs="Arial"/>
          <w:color w:val="000000"/>
          <w:lang w:eastAsia="es-ES" w:bidi="es-ES"/>
        </w:rPr>
        <w:t>or tanto, la modificación debe suscribirse mediante un documento firmado por ambas partes. En todo caso, el jefe o representante legal de la entidad</w:t>
      </w:r>
      <w:r>
        <w:rPr>
          <w:rFonts w:ascii="Verdana" w:eastAsia="Arial" w:hAnsi="Verdana" w:cs="Arial"/>
          <w:color w:val="000000"/>
          <w:lang w:eastAsia="es-ES" w:bidi="es-ES"/>
        </w:rPr>
        <w:t xml:space="preserve"> es quien </w:t>
      </w:r>
      <w:r>
        <w:rPr>
          <w:rFonts w:ascii="Verdana" w:eastAsia="Arial" w:hAnsi="Verdana" w:cs="Arial"/>
          <w:color w:val="000000"/>
          <w:lang w:eastAsia="es-ES" w:bidi="es-ES"/>
        </w:rPr>
        <w:lastRenderedPageBreak/>
        <w:t>tiene la competencia para ello,</w:t>
      </w:r>
      <w:r w:rsidRPr="00B31C7B">
        <w:rPr>
          <w:rFonts w:ascii="Verdana" w:eastAsia="Arial" w:hAnsi="Verdana" w:cs="Arial"/>
          <w:color w:val="000000"/>
          <w:lang w:eastAsia="es-ES" w:bidi="es-ES"/>
        </w:rPr>
        <w:t xml:space="preserve"> de conformidad con el artículo 11 de la Ley 80 de 1993. </w:t>
      </w:r>
    </w:p>
    <w:p w14:paraId="3549C30C" w14:textId="31D4B035" w:rsidR="00DC6A1A" w:rsidRPr="00C543FB" w:rsidRDefault="00DC6A1A" w:rsidP="00DC6A1A">
      <w:pPr>
        <w:spacing w:after="120" w:line="276" w:lineRule="auto"/>
        <w:ind w:firstLine="709"/>
        <w:jc w:val="both"/>
        <w:rPr>
          <w:rFonts w:ascii="Verdana" w:eastAsia="Times New Roman" w:hAnsi="Verdana" w:cs="Arial"/>
          <w:color w:val="000000"/>
          <w:lang w:val="es-ES" w:eastAsia="es-MX"/>
        </w:rPr>
      </w:pPr>
      <w:r w:rsidRPr="70B142D0">
        <w:rPr>
          <w:rFonts w:ascii="Verdana" w:eastAsia="Times New Roman" w:hAnsi="Verdana" w:cs="Arial"/>
          <w:color w:val="000000" w:themeColor="text1"/>
          <w:lang w:val="es-ES" w:eastAsia="es-MX"/>
        </w:rPr>
        <w:t>Ahora bien, frente al problema jurídico planteado, corresponde a los equipos jurídicos de la entidad territorial verificar que las nuevas personas propuestas para la ejecución del contrato acrediten calidades, experiencia y preparación académica iguales o superiores a las exigidas en los pliegos de condiciones y a las del personal inicialmente ofertado. No obstante, esta sustitución no opera de manera automática, pues debe ser solicitada formalmente por el contratista y autorizada previamente por la entidad, a través del supervisor o interventor designado</w:t>
      </w:r>
      <w:r w:rsidR="14DB6399" w:rsidRPr="70B142D0">
        <w:rPr>
          <w:rFonts w:ascii="Verdana" w:eastAsia="Times New Roman" w:hAnsi="Verdana" w:cs="Arial"/>
          <w:color w:val="000000" w:themeColor="text1"/>
          <w:lang w:val="es-ES" w:eastAsia="es-MX"/>
        </w:rPr>
        <w:t xml:space="preserve"> y formalizada si es del caso a través de una modificación contractual según proceda en cada caso específico</w:t>
      </w:r>
      <w:r w:rsidRPr="70B142D0">
        <w:rPr>
          <w:rFonts w:ascii="Verdana" w:eastAsia="Times New Roman" w:hAnsi="Verdana" w:cs="Arial"/>
          <w:color w:val="000000" w:themeColor="text1"/>
          <w:lang w:val="es-ES" w:eastAsia="es-MX"/>
        </w:rPr>
        <w:t xml:space="preserve">. Solo con dicha aprobación puede llevarse a cabo el reemplazo, garantizando así que la modificación no afecte la calidad del servicio, la correcta ejecución del objeto contractual ni las condiciones bajo las cuales se adjudicó el contrato. </w:t>
      </w:r>
    </w:p>
    <w:p w14:paraId="69CC769A" w14:textId="77777777" w:rsidR="00DC6A1A" w:rsidRPr="00DB4737" w:rsidRDefault="00DC6A1A" w:rsidP="00DC6A1A">
      <w:pPr>
        <w:spacing w:line="276" w:lineRule="auto"/>
        <w:jc w:val="both"/>
        <w:rPr>
          <w:rFonts w:ascii="Verdana" w:eastAsia="Calibri" w:hAnsi="Verdana" w:cs="Times New Roman"/>
          <w:lang w:val="es-ES"/>
        </w:rPr>
      </w:pPr>
      <w:r w:rsidRPr="004C6846">
        <w:rPr>
          <w:rFonts w:ascii="Verdana" w:eastAsia="Calibri" w:hAnsi="Verdana" w:cs="Arial"/>
        </w:rPr>
        <w:t xml:space="preserve"> </w:t>
      </w: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3EEEA94" w14:textId="77777777" w:rsidR="00DC6A1A" w:rsidRDefault="00DC6A1A" w:rsidP="00DC6A1A">
      <w:pPr>
        <w:widowControl w:val="0"/>
        <w:autoSpaceDE w:val="0"/>
        <w:autoSpaceDN w:val="0"/>
        <w:ind w:firstLine="709"/>
        <w:jc w:val="both"/>
        <w:rPr>
          <w:rFonts w:ascii="Verdana" w:eastAsia="Arial" w:hAnsi="Verdana" w:cs="Arial"/>
          <w:color w:val="000000"/>
          <w:lang w:eastAsia="es-ES" w:bidi="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bookmarkEnd w:id="6"/>
    <w:p w14:paraId="5FAA1A89" w14:textId="77777777" w:rsidR="00DC6A1A" w:rsidRPr="0060676F" w:rsidRDefault="00DC6A1A" w:rsidP="00DC6A1A">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BC8F3C1" w14:textId="77777777" w:rsidR="00DC6A1A" w:rsidRPr="00593A5F" w:rsidRDefault="00DC6A1A" w:rsidP="00DC6A1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C6A1A" w:rsidRPr="00593A5F" w14:paraId="1A692C5A" w14:textId="77777777">
        <w:trPr>
          <w:trHeight w:val="870"/>
        </w:trPr>
        <w:tc>
          <w:tcPr>
            <w:tcW w:w="8647" w:type="dxa"/>
          </w:tcPr>
          <w:p w14:paraId="073C01DE"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Arial MT" w:hAnsi="Verdana" w:cs="Arial"/>
                <w:lang w:eastAsia="es-ES" w:bidi="es-ES"/>
              </w:rPr>
              <w:t>Ley 80 de 1993. Artículo</w:t>
            </w:r>
            <w:r>
              <w:rPr>
                <w:rFonts w:ascii="Verdana" w:eastAsia="Arial MT" w:hAnsi="Verdana" w:cs="Arial"/>
                <w:lang w:eastAsia="es-ES" w:bidi="es-ES"/>
              </w:rPr>
              <w:t>s:</w:t>
            </w:r>
            <w:r w:rsidRPr="009835ED">
              <w:rPr>
                <w:rFonts w:ascii="Verdana" w:eastAsia="Arial MT" w:hAnsi="Verdana" w:cs="Arial"/>
                <w:lang w:eastAsia="es-ES" w:bidi="es-ES"/>
              </w:rPr>
              <w:t xml:space="preserve"> </w:t>
            </w:r>
            <w:r>
              <w:rPr>
                <w:rFonts w:ascii="Verdana" w:eastAsia="Arial MT" w:hAnsi="Verdana" w:cs="Arial"/>
                <w:lang w:eastAsia="es-ES" w:bidi="es-ES"/>
              </w:rPr>
              <w:t xml:space="preserve">11, 12, 14, 16, </w:t>
            </w:r>
            <w:r w:rsidRPr="009835ED">
              <w:rPr>
                <w:rFonts w:ascii="Verdana" w:eastAsia="Arial MT" w:hAnsi="Verdana" w:cs="Arial"/>
                <w:lang w:eastAsia="es-ES" w:bidi="es-ES"/>
              </w:rPr>
              <w:t xml:space="preserve">40. </w:t>
            </w:r>
          </w:p>
          <w:p w14:paraId="24205174"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Código Civil. Artículo 1501.</w:t>
            </w:r>
          </w:p>
          <w:p w14:paraId="06E1A4A3"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Ley 1474 de 2011. Artículo 85.</w:t>
            </w:r>
          </w:p>
          <w:p w14:paraId="1975BE5C"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sidRPr="005C1F44">
              <w:rPr>
                <w:rFonts w:ascii="Verdana" w:eastAsia="Arial MT" w:hAnsi="Verdana" w:cs="Arial"/>
                <w:lang w:eastAsia="es-ES" w:bidi="es-ES"/>
              </w:rPr>
              <w:lastRenderedPageBreak/>
              <w:t>Consejo de Estado</w:t>
            </w:r>
            <w:r>
              <w:rPr>
                <w:rFonts w:ascii="Verdana" w:eastAsia="Arial MT" w:hAnsi="Verdana" w:cs="Arial"/>
                <w:lang w:eastAsia="es-ES" w:bidi="es-ES"/>
              </w:rPr>
              <w:t>.</w:t>
            </w:r>
            <w:r w:rsidRPr="005C1F44">
              <w:rPr>
                <w:rFonts w:ascii="Verdana" w:eastAsia="Arial MT" w:hAnsi="Verdana" w:cs="Arial"/>
                <w:lang w:eastAsia="es-ES" w:bidi="es-ES"/>
              </w:rPr>
              <w:t xml:space="preserve"> Sala de Consulta y Servicio Civil</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C</w:t>
            </w:r>
            <w:r w:rsidRPr="005C1F44">
              <w:rPr>
                <w:rFonts w:ascii="Verdana" w:eastAsia="Arial MT" w:hAnsi="Verdana" w:cs="Arial"/>
                <w:lang w:eastAsia="es-ES" w:bidi="es-ES"/>
              </w:rPr>
              <w:t>oncepto del 13 de agosto de 2009</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 xml:space="preserve">Radicado: </w:t>
            </w:r>
            <w:r w:rsidRPr="00F61FD8">
              <w:rPr>
                <w:rFonts w:ascii="Verdana" w:eastAsia="Arial MT" w:hAnsi="Verdana" w:cs="Arial"/>
                <w:lang w:val="es-CO" w:eastAsia="es-ES" w:bidi="es-ES"/>
              </w:rPr>
              <w:t>11001-03-06-000-2009-00033-00</w:t>
            </w:r>
            <w:r w:rsidRPr="005C1F44">
              <w:rPr>
                <w:rFonts w:ascii="Verdana" w:eastAsia="Arial MT" w:hAnsi="Verdana" w:cs="Arial"/>
                <w:lang w:eastAsia="es-ES" w:bidi="es-ES"/>
              </w:rPr>
              <w:t xml:space="preserve"> </w:t>
            </w:r>
            <w:r>
              <w:rPr>
                <w:rFonts w:ascii="Verdana" w:eastAsia="Arial MT" w:hAnsi="Verdana" w:cs="Arial"/>
                <w:lang w:eastAsia="es-ES" w:bidi="es-ES"/>
              </w:rPr>
              <w:t>(</w:t>
            </w:r>
            <w:r w:rsidRPr="005C1F44">
              <w:rPr>
                <w:rFonts w:ascii="Verdana" w:eastAsia="Arial MT" w:hAnsi="Verdana" w:cs="Arial"/>
                <w:lang w:eastAsia="es-ES" w:bidi="es-ES"/>
              </w:rPr>
              <w:t>1952</w:t>
            </w:r>
            <w:r>
              <w:rPr>
                <w:rFonts w:ascii="Verdana" w:eastAsia="Arial MT" w:hAnsi="Verdana" w:cs="Arial"/>
                <w:lang w:eastAsia="es-ES" w:bidi="es-ES"/>
              </w:rPr>
              <w:t>).</w:t>
            </w:r>
            <w:r w:rsidRPr="005C1F44">
              <w:rPr>
                <w:rFonts w:ascii="Verdana" w:eastAsia="Arial MT" w:hAnsi="Verdana" w:cs="Arial"/>
                <w:lang w:eastAsia="es-ES" w:bidi="es-ES"/>
              </w:rPr>
              <w:t xml:space="preserve"> C.P</w:t>
            </w:r>
            <w:r>
              <w:rPr>
                <w:rFonts w:ascii="Verdana" w:eastAsia="Arial MT" w:hAnsi="Verdana" w:cs="Arial"/>
                <w:lang w:eastAsia="es-ES" w:bidi="es-ES"/>
              </w:rPr>
              <w:t>:</w:t>
            </w:r>
            <w:r w:rsidRPr="005C1F44">
              <w:rPr>
                <w:rFonts w:ascii="Verdana" w:eastAsia="Arial MT" w:hAnsi="Verdana" w:cs="Arial"/>
                <w:lang w:eastAsia="es-ES" w:bidi="es-ES"/>
              </w:rPr>
              <w:t xml:space="preserve"> Enrique José Arboleda Perdomo</w:t>
            </w:r>
            <w:r>
              <w:rPr>
                <w:rFonts w:ascii="Verdana" w:eastAsia="Arial MT" w:hAnsi="Verdana" w:cs="Arial"/>
                <w:lang w:eastAsia="es-ES" w:bidi="es-ES"/>
              </w:rPr>
              <w:t>.</w:t>
            </w:r>
          </w:p>
          <w:p w14:paraId="55148B4A" w14:textId="77777777" w:rsidR="00DC6A1A" w:rsidRPr="009F17CE"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Consejo de Estado. </w:t>
            </w:r>
            <w:r w:rsidRPr="00B31C7B">
              <w:rPr>
                <w:rFonts w:ascii="Verdana" w:eastAsia="Arial" w:hAnsi="Verdana" w:cs="Arial"/>
                <w:color w:val="000000"/>
                <w:lang w:eastAsia="es-ES" w:bidi="es-ES"/>
              </w:rPr>
              <w:t>Sala de Consulta y Servicio Civil</w:t>
            </w:r>
            <w:r>
              <w:rPr>
                <w:rFonts w:ascii="Verdana" w:eastAsia="Arial" w:hAnsi="Verdana" w:cs="Arial"/>
                <w:color w:val="000000"/>
                <w:lang w:eastAsia="es-ES" w:bidi="es-ES"/>
              </w:rPr>
              <w:t xml:space="preserve">. </w:t>
            </w:r>
            <w:r w:rsidRPr="00B31C7B">
              <w:rPr>
                <w:rFonts w:ascii="Verdana" w:eastAsia="Arial" w:hAnsi="Verdana" w:cs="Arial"/>
                <w:color w:val="000000"/>
                <w:lang w:eastAsia="es-ES" w:bidi="es-ES"/>
              </w:rPr>
              <w:t>Concepto 2263 del 17 de marzo del 2016</w:t>
            </w:r>
            <w:r>
              <w:rPr>
                <w:rFonts w:ascii="Verdana" w:eastAsia="Arial" w:hAnsi="Verdana" w:cs="Arial"/>
                <w:color w:val="000000"/>
                <w:lang w:eastAsia="es-ES" w:bidi="es-ES"/>
              </w:rPr>
              <w:t>.</w:t>
            </w:r>
          </w:p>
          <w:p w14:paraId="103074BF" w14:textId="77777777" w:rsidR="00DC6A1A" w:rsidRPr="00776858" w:rsidRDefault="00DC6A1A" w:rsidP="00DC6A1A">
            <w:pPr>
              <w:pStyle w:val="Prrafodelista"/>
              <w:numPr>
                <w:ilvl w:val="0"/>
                <w:numId w:val="17"/>
              </w:numPr>
              <w:spacing w:line="276" w:lineRule="auto"/>
              <w:jc w:val="both"/>
              <w:rPr>
                <w:rFonts w:ascii="Verdana" w:eastAsia="Arial MT" w:hAnsi="Verdana" w:cs="Arial"/>
                <w:lang w:eastAsia="es-ES" w:bidi="es-ES"/>
              </w:rPr>
            </w:pPr>
            <w:r w:rsidRPr="009F17CE">
              <w:rPr>
                <w:rFonts w:ascii="Verdana" w:eastAsia="Arial" w:hAnsi="Verdana" w:cs="Arial"/>
                <w:color w:val="000000"/>
                <w:lang w:eastAsia="es-ES" w:bidi="es-ES"/>
              </w:rPr>
              <w:t>Consejo de Estado. Sala de Consulta y Servicio Civil. Concepto del 06 de junio 2018. Radicado:</w:t>
            </w:r>
            <w:r>
              <w:rPr>
                <w:rFonts w:ascii="Verdana" w:eastAsia="Arial" w:hAnsi="Verdana" w:cs="Arial"/>
                <w:color w:val="000000"/>
                <w:lang w:eastAsia="es-ES" w:bidi="es-ES"/>
              </w:rPr>
              <w:t xml:space="preserve"> </w:t>
            </w:r>
            <w:r w:rsidRPr="00776858">
              <w:rPr>
                <w:rFonts w:ascii="Verdana" w:eastAsia="Arial" w:hAnsi="Verdana" w:cs="Arial"/>
                <w:color w:val="000000"/>
                <w:lang w:val="es-CO" w:eastAsia="es-ES" w:bidi="es-ES"/>
              </w:rPr>
              <w:t>11001-03-06-000-2018-00034-00</w:t>
            </w:r>
            <w:r w:rsidRPr="009F17CE">
              <w:rPr>
                <w:rFonts w:ascii="Verdana" w:eastAsia="Arial" w:hAnsi="Verdana" w:cs="Arial"/>
                <w:color w:val="000000"/>
                <w:lang w:eastAsia="es-ES" w:bidi="es-ES"/>
              </w:rPr>
              <w:t xml:space="preserve"> </w:t>
            </w:r>
            <w:r>
              <w:rPr>
                <w:rFonts w:ascii="Verdana" w:eastAsia="Arial" w:hAnsi="Verdana" w:cs="Arial"/>
                <w:color w:val="000000"/>
                <w:lang w:eastAsia="es-ES" w:bidi="es-ES"/>
              </w:rPr>
              <w:t>(</w:t>
            </w:r>
            <w:r w:rsidRPr="009F17CE">
              <w:rPr>
                <w:rFonts w:ascii="Verdana" w:eastAsia="Arial" w:hAnsi="Verdana" w:cs="Arial"/>
                <w:color w:val="000000"/>
                <w:lang w:eastAsia="es-ES" w:bidi="es-ES"/>
              </w:rPr>
              <w:t>2369</w:t>
            </w:r>
            <w:r>
              <w:rPr>
                <w:rFonts w:ascii="Verdana" w:eastAsia="Arial" w:hAnsi="Verdana" w:cs="Arial"/>
                <w:color w:val="000000"/>
                <w:lang w:eastAsia="es-ES" w:bidi="es-ES"/>
              </w:rPr>
              <w:t>)</w:t>
            </w:r>
            <w:r w:rsidRPr="009F17CE">
              <w:rPr>
                <w:rFonts w:ascii="Verdana" w:eastAsia="Arial" w:hAnsi="Verdana" w:cs="Arial"/>
                <w:color w:val="000000"/>
                <w:lang w:eastAsia="es-ES" w:bidi="es-ES"/>
              </w:rPr>
              <w:t>.</w:t>
            </w:r>
            <w:r>
              <w:rPr>
                <w:rFonts w:ascii="Verdana" w:eastAsia="Arial" w:hAnsi="Verdana" w:cs="Arial"/>
                <w:color w:val="000000"/>
                <w:lang w:eastAsia="es-ES" w:bidi="es-ES"/>
              </w:rPr>
              <w:t xml:space="preserve"> </w:t>
            </w:r>
            <w:r w:rsidRPr="009F17CE">
              <w:rPr>
                <w:rFonts w:ascii="Verdana" w:eastAsia="Arial" w:hAnsi="Verdana" w:cs="Arial"/>
                <w:color w:val="000000"/>
                <w:lang w:eastAsia="es-ES" w:bidi="es-ES"/>
              </w:rPr>
              <w:t>C.P: Óscar Darí</w:t>
            </w:r>
            <w:r>
              <w:rPr>
                <w:rFonts w:ascii="Verdana" w:eastAsia="Arial" w:hAnsi="Verdana" w:cs="Arial"/>
                <w:color w:val="000000"/>
                <w:lang w:eastAsia="es-ES" w:bidi="es-ES"/>
              </w:rPr>
              <w:t>o</w:t>
            </w:r>
            <w:r w:rsidRPr="009F17CE">
              <w:rPr>
                <w:rFonts w:ascii="Verdana" w:eastAsia="Arial" w:hAnsi="Verdana" w:cs="Arial"/>
                <w:color w:val="000000"/>
                <w:lang w:eastAsia="es-ES" w:bidi="es-ES"/>
              </w:rPr>
              <w:t xml:space="preserve"> Amaya Navas.</w:t>
            </w:r>
          </w:p>
          <w:p w14:paraId="2DFB7537" w14:textId="77777777" w:rsidR="00DC6A1A" w:rsidRPr="00776858" w:rsidRDefault="00DC6A1A" w:rsidP="00DC6A1A">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A. Sentencia del 22 de agosto de 2023. Exp. No. 58634. </w:t>
            </w:r>
            <w:r w:rsidRPr="00776858">
              <w:rPr>
                <w:rFonts w:ascii="Verdana" w:hAnsi="Verdana"/>
                <w:lang w:val="es-CO"/>
              </w:rPr>
              <w:t>C.P: María Adriana Marín.</w:t>
            </w:r>
          </w:p>
          <w:p w14:paraId="22CC90CE" w14:textId="77777777" w:rsidR="00DC6A1A" w:rsidRPr="00776858" w:rsidRDefault="00DC6A1A" w:rsidP="00DC6A1A">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Consejo de Estado. Sala de lo Contencioso Administrativo. Sección Tercera</w:t>
            </w:r>
            <w:r w:rsidRPr="00776858">
              <w:rPr>
                <w:rFonts w:ascii="Verdana" w:hAnsi="Verdana"/>
                <w:lang w:val="es-CO"/>
              </w:rPr>
              <w:t>. Subsección C. Sentencia del 19 de septiembre de 2022. Exp. No. 54714. C.P: Jaime Enrique Rodríguez Navas.</w:t>
            </w:r>
          </w:p>
          <w:p w14:paraId="1CDBEFCD" w14:textId="77777777" w:rsidR="00DC6A1A" w:rsidRPr="00776858" w:rsidRDefault="00DC6A1A" w:rsidP="00DC6A1A">
            <w:pPr>
              <w:pStyle w:val="Prrafodelista"/>
              <w:numPr>
                <w:ilvl w:val="0"/>
                <w:numId w:val="17"/>
              </w:numPr>
              <w:spacing w:line="276" w:lineRule="auto"/>
              <w:jc w:val="both"/>
              <w:rPr>
                <w:rFonts w:ascii="Verdana" w:eastAsia="Arial MT" w:hAnsi="Verdana" w:cs="Arial"/>
                <w:lang w:eastAsia="es-ES" w:bidi="es-ES"/>
              </w:rPr>
            </w:pPr>
            <w:r w:rsidRPr="00776858">
              <w:rPr>
                <w:rFonts w:ascii="Verdana" w:hAnsi="Verdana"/>
              </w:rPr>
              <w:t xml:space="preserve">Consejo de Estado. Sala de lo Contencioso Administrativo. Sección Tercera. Subsección C. Sentencia del 24 de abril de 2024. Exp. No. 67095. </w:t>
            </w:r>
            <w:r w:rsidRPr="00776858">
              <w:rPr>
                <w:rFonts w:ascii="Verdana" w:hAnsi="Verdana"/>
                <w:lang w:val="es-CO"/>
              </w:rPr>
              <w:t>C.P: Nicolás Yepes Corrales.</w:t>
            </w:r>
          </w:p>
          <w:p w14:paraId="3C8B5175" w14:textId="77777777" w:rsidR="00DC6A1A" w:rsidRPr="009835ED"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B31C7B">
              <w:rPr>
                <w:rFonts w:ascii="Verdana" w:eastAsia="Calibri" w:hAnsi="Verdana" w:cs="Arial"/>
                <w:color w:val="000000"/>
              </w:rPr>
              <w:t>C–300 de 2012</w:t>
            </w:r>
            <w:r>
              <w:rPr>
                <w:rFonts w:ascii="Verdana" w:eastAsia="Calibri" w:hAnsi="Verdana" w:cs="Arial"/>
                <w:color w:val="000000"/>
              </w:rPr>
              <w:t xml:space="preserve">. M.P: </w:t>
            </w:r>
            <w:r>
              <w:t xml:space="preserve"> </w:t>
            </w:r>
            <w:r w:rsidRPr="009835ED">
              <w:rPr>
                <w:rFonts w:ascii="Verdana" w:eastAsia="Calibri" w:hAnsi="Verdana" w:cs="Arial"/>
                <w:color w:val="000000"/>
              </w:rPr>
              <w:t>Jorge Ignacio Pretelt Chaljub</w:t>
            </w:r>
            <w:r>
              <w:rPr>
                <w:rFonts w:ascii="Verdana" w:eastAsia="Calibri" w:hAnsi="Verdana" w:cs="Arial"/>
                <w:color w:val="000000"/>
              </w:rPr>
              <w:t>.</w:t>
            </w:r>
          </w:p>
          <w:p w14:paraId="47C0C201" w14:textId="77777777" w:rsidR="00DC6A1A" w:rsidRPr="009835ED" w:rsidRDefault="00DC6A1A" w:rsidP="00DC6A1A">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Calibri" w:hAnsi="Verdana" w:cs="Arial"/>
                <w:color w:val="000000"/>
              </w:rPr>
              <w:t xml:space="preserve">Corte Constitucional. Sentencia </w:t>
            </w:r>
            <w:r w:rsidRPr="009835ED">
              <w:rPr>
                <w:rFonts w:ascii="Verdana" w:hAnsi="Verdana"/>
              </w:rPr>
              <w:t>C-932 de 2007, M.P. Marco Gerardo Monroy Cabra.</w:t>
            </w:r>
          </w:p>
          <w:p w14:paraId="48DF8BA9" w14:textId="77777777" w:rsidR="00DC6A1A" w:rsidRPr="00703300"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C-949 de 2001.</w:t>
            </w:r>
            <w:r w:rsidRPr="00703300">
              <w:rPr>
                <w:rFonts w:ascii="Verdana" w:hAnsi="Verdana"/>
              </w:rPr>
              <w:t xml:space="preserve"> M.P. Clara Inés Vargas Hernández</w:t>
            </w:r>
            <w:r>
              <w:rPr>
                <w:rFonts w:ascii="Verdana" w:hAnsi="Verdana"/>
              </w:rPr>
              <w:t>.</w:t>
            </w:r>
          </w:p>
          <w:p w14:paraId="42FDB06E"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703300">
              <w:rPr>
                <w:rFonts w:ascii="Verdana" w:eastAsia="Arial MT" w:hAnsi="Verdana" w:cs="Arial"/>
                <w:lang w:eastAsia="es-ES" w:bidi="es-ES"/>
              </w:rPr>
              <w:t>C-068 de 2009, M.P. Mauricio González Cuervo</w:t>
            </w:r>
            <w:r>
              <w:rPr>
                <w:rFonts w:ascii="Verdana" w:eastAsia="Arial MT" w:hAnsi="Verdana" w:cs="Arial"/>
                <w:lang w:eastAsia="es-ES" w:bidi="es-ES"/>
              </w:rPr>
              <w:t>.</w:t>
            </w:r>
          </w:p>
          <w:p w14:paraId="1966443B"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sidRPr="00776858">
              <w:rPr>
                <w:rFonts w:ascii="Verdana" w:eastAsia="Arial MT" w:hAnsi="Verdana" w:cs="Arial"/>
                <w:lang w:eastAsia="es-ES" w:bidi="es-ES"/>
              </w:rPr>
              <w:t>DAVILA VINUEZA Luis Guillermo. Régimen Jurídico de la contratación estatal. Bogotá: Editorial Legis, 2001.</w:t>
            </w:r>
          </w:p>
          <w:p w14:paraId="03543DDD" w14:textId="77777777" w:rsidR="00DC6A1A" w:rsidRDefault="00DC6A1A" w:rsidP="00DC6A1A">
            <w:pPr>
              <w:pStyle w:val="Prrafodelista"/>
              <w:numPr>
                <w:ilvl w:val="0"/>
                <w:numId w:val="17"/>
              </w:numPr>
              <w:spacing w:line="276" w:lineRule="auto"/>
              <w:jc w:val="both"/>
              <w:rPr>
                <w:rFonts w:ascii="Verdana" w:eastAsia="Arial MT" w:hAnsi="Verdana" w:cs="Arial"/>
                <w:lang w:eastAsia="es-ES" w:bidi="es-ES"/>
              </w:rPr>
            </w:pPr>
            <w:r w:rsidRPr="00E21522">
              <w:rPr>
                <w:rFonts w:ascii="Verdana" w:eastAsia="Arial MT" w:hAnsi="Verdana" w:cs="Arial"/>
                <w:lang w:eastAsia="es-ES" w:bidi="es-ES"/>
              </w:rPr>
              <w:t>SANTOFIMIO GAMBOA, Jaime Orlando. Delitos de celebración indebida de contratos, Bogotá, Universidad Externado de Colombia, 2000</w:t>
            </w:r>
            <w:r>
              <w:rPr>
                <w:rFonts w:ascii="Verdana" w:eastAsia="Arial MT" w:hAnsi="Verdana" w:cs="Arial"/>
                <w:lang w:eastAsia="es-ES" w:bidi="es-ES"/>
              </w:rPr>
              <w:t>.</w:t>
            </w:r>
          </w:p>
          <w:p w14:paraId="51D60420" w14:textId="77777777" w:rsidR="00DC6A1A" w:rsidRPr="0003480F" w:rsidRDefault="00DC6A1A">
            <w:pPr>
              <w:widowControl w:val="0"/>
              <w:autoSpaceDE w:val="0"/>
              <w:autoSpaceDN w:val="0"/>
              <w:spacing w:after="120" w:line="276" w:lineRule="auto"/>
              <w:ind w:left="720"/>
              <w:jc w:val="both"/>
              <w:rPr>
                <w:rFonts w:ascii="Verdana" w:hAnsi="Verdana" w:cs="Arial"/>
                <w:color w:val="000000" w:themeColor="text1"/>
              </w:rPr>
            </w:pPr>
            <w:r w:rsidRPr="005A4D17">
              <w:rPr>
                <w:rFonts w:ascii="Verdana" w:hAnsi="Verdana"/>
              </w:rPr>
              <w:t xml:space="preserve">Guía para el ejercicio de las funciones de supervisión e interventoría de los contratos suscrito por las entidades estatales. Disponible en </w:t>
            </w:r>
            <w:hyperlink r:id="rId12" w:history="1">
              <w:r w:rsidRPr="005A4D17">
                <w:rPr>
                  <w:rStyle w:val="Hipervnculo"/>
                  <w:rFonts w:ascii="Verdana" w:hAnsi="Verdana"/>
                </w:rPr>
                <w:t>cce_guia_supervision_interventoria.pdf</w:t>
              </w:r>
            </w:hyperlink>
          </w:p>
        </w:tc>
      </w:tr>
    </w:tbl>
    <w:p w14:paraId="4FD73251" w14:textId="77777777" w:rsidR="00DC6A1A" w:rsidRDefault="00DC6A1A" w:rsidP="00DC6A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DB21B0E" w14:textId="77777777" w:rsidR="00DC6A1A" w:rsidRDefault="00DC6A1A" w:rsidP="00DC6A1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4C4A276" w14:textId="77777777" w:rsidR="00DC6A1A" w:rsidRPr="00593A5F" w:rsidRDefault="00DC6A1A" w:rsidP="00DC6A1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6992917" w14:textId="77777777" w:rsidR="00DC6A1A" w:rsidRPr="00AE7E03" w:rsidRDefault="00DC6A1A" w:rsidP="00DC6A1A">
      <w:pPr>
        <w:widowControl w:val="0"/>
        <w:autoSpaceDE w:val="0"/>
        <w:autoSpaceDN w:val="0"/>
        <w:spacing w:after="0" w:line="276" w:lineRule="auto"/>
        <w:jc w:val="both"/>
        <w:rPr>
          <w:rFonts w:ascii="Verdana" w:eastAsia="Arial" w:hAnsi="Verdana" w:cs="Arial"/>
          <w:lang w:val="es-MX" w:eastAsia="es-ES"/>
        </w:rPr>
      </w:pPr>
      <w:r w:rsidRPr="00F7651F">
        <w:rPr>
          <w:rStyle w:val="normaltextrun"/>
          <w:rFonts w:ascii="Verdana" w:hAnsi="Verdana" w:cs="Arial"/>
          <w:color w:val="000000" w:themeColor="text1"/>
          <w:shd w:val="clear" w:color="auto" w:fill="FFFFFF"/>
          <w:lang w:val="es-ES"/>
        </w:rPr>
        <w:t xml:space="preserve">La Agencia Nacional de Contratación Pública – Colombia Compra Eficiente ha </w:t>
      </w:r>
      <w:r w:rsidRPr="00F7651F">
        <w:rPr>
          <w:rStyle w:val="normaltextrun"/>
          <w:rFonts w:ascii="Verdana" w:hAnsi="Verdana" w:cs="Arial"/>
          <w:color w:val="000000" w:themeColor="text1"/>
          <w:shd w:val="clear" w:color="auto" w:fill="FFFFFF"/>
          <w:lang w:val="es-ES"/>
        </w:rPr>
        <w:lastRenderedPageBreak/>
        <w:t xml:space="preserve">analizado </w:t>
      </w:r>
      <w:r w:rsidRPr="00A106E8">
        <w:rPr>
          <w:rFonts w:ascii="Verdana" w:hAnsi="Verdana" w:cs="Arial"/>
          <w:color w:val="000000" w:themeColor="text1"/>
          <w:lang w:eastAsia="es-ES_tradnl"/>
        </w:rPr>
        <w:t xml:space="preserve">la </w:t>
      </w:r>
      <w:r>
        <w:rPr>
          <w:rFonts w:ascii="Verdana" w:hAnsi="Verdana" w:cs="Arial"/>
          <w:color w:val="000000" w:themeColor="text1"/>
          <w:lang w:eastAsia="es-ES_tradnl"/>
        </w:rPr>
        <w:t xml:space="preserve">modificación </w:t>
      </w:r>
      <w:r w:rsidRPr="00A106E8">
        <w:rPr>
          <w:rFonts w:ascii="Verdana" w:hAnsi="Verdana" w:cs="Arial"/>
          <w:color w:val="000000" w:themeColor="text1"/>
          <w:lang w:eastAsia="es-ES_tradnl"/>
        </w:rPr>
        <w:t>de los contratos estatales</w:t>
      </w:r>
      <w:r w:rsidRPr="00A106E8">
        <w:rPr>
          <w:rStyle w:val="normaltextrun"/>
          <w:rFonts w:ascii="Verdana" w:hAnsi="Verdana" w:cs="Arial"/>
          <w:color w:val="000000" w:themeColor="text1"/>
          <w:shd w:val="clear" w:color="auto" w:fill="FFFFFF"/>
          <w:lang w:val="es-ES"/>
        </w:rPr>
        <w:t xml:space="preserve"> en los conceptos</w:t>
      </w:r>
      <w:r w:rsidRPr="00A106E8">
        <w:rPr>
          <w:rStyle w:val="normaltextrun"/>
          <w:rFonts w:ascii="Verdana" w:hAnsi="Verdana" w:cs="Calibri"/>
          <w:color w:val="000000" w:themeColor="text1"/>
          <w:shd w:val="clear" w:color="auto" w:fill="FFFFFF"/>
        </w:rPr>
        <w:t xml:space="preserve"> </w:t>
      </w:r>
      <w:r w:rsidRPr="00A106E8">
        <w:rPr>
          <w:rFonts w:ascii="Verdana" w:hAnsi="Verdana" w:cs="Arial"/>
          <w:color w:val="000000" w:themeColor="text1"/>
          <w:lang w:eastAsia="es-ES_tradnl"/>
        </w:rPr>
        <w:t>con radicado Nos. 4201912000007298 de 23 de octubre de 2019, 4201913000006294 del 16 de septiembre de 2019, así como en los conceptos C-062 del 25 de marzo de 2020, C-100 del 27 de marzo de 2020, C-318 del 28 de mayo de 2020, C–452 del 28 de julio de 2020,</w:t>
      </w:r>
      <w:r w:rsidRPr="00A106E8">
        <w:rPr>
          <w:rFonts w:ascii="Verdana" w:hAnsi="Verdana" w:cs="Arial"/>
          <w:bCs/>
          <w:color w:val="000000" w:themeColor="text1"/>
          <w:lang w:eastAsia="es-ES_tradnl"/>
        </w:rPr>
        <w:t xml:space="preserve"> C-560 del 24 de agosto de 2020, C-628 del 23 de septiembre del 2020,</w:t>
      </w:r>
      <w:r w:rsidRPr="00A106E8">
        <w:rPr>
          <w:rFonts w:ascii="Verdana" w:hAnsi="Verdana" w:cs="Arial"/>
          <w:color w:val="000000" w:themeColor="text1"/>
          <w:lang w:eastAsia="es-ES_tradnl"/>
        </w:rPr>
        <w:t xml:space="preserve"> C-750 del 21 de diciembre de 2020,</w:t>
      </w:r>
      <w:r w:rsidRPr="00A106E8">
        <w:rPr>
          <w:rFonts w:ascii="Verdana" w:hAnsi="Verdana" w:cs="Arial"/>
          <w:bCs/>
          <w:color w:val="000000" w:themeColor="text1"/>
          <w:lang w:eastAsia="es-ES_tradnl"/>
        </w:rPr>
        <w:t xml:space="preserve"> C-073 de 16 de marzo de 2021, C-277 de 21 de junio de 2021, C-644 de 18 de noviembre de 2021, C-755 de 21 de enero de 2022, C-152 de 1 de abril de 2022, C-267 de 5 de mayo de 2022 y C-432 de 13 de julio de 2022 y C-630 del 29 de septiembre de 2022,</w:t>
      </w:r>
      <w:r w:rsidRPr="00A106E8">
        <w:rPr>
          <w:rFonts w:ascii="Verdana" w:hAnsi="Verdana" w:cs="Arial"/>
          <w:color w:val="000000" w:themeColor="text1"/>
          <w:lang w:eastAsia="es-ES_tradnl"/>
        </w:rPr>
        <w:t xml:space="preserve"> </w:t>
      </w:r>
      <w:r w:rsidRPr="00A106E8">
        <w:rPr>
          <w:rFonts w:ascii="Verdana" w:hAnsi="Verdana" w:cs="Arial"/>
          <w:bCs/>
          <w:color w:val="000000" w:themeColor="text1"/>
          <w:szCs w:val="24"/>
          <w:lang w:eastAsia="es-ES_tradnl"/>
        </w:rPr>
        <w:t xml:space="preserve">C-784 del 21 de noviembre de 2022, C-202 del 31 de julio de 2024, </w:t>
      </w:r>
      <w:r w:rsidRPr="00A106E8">
        <w:rPr>
          <w:rStyle w:val="normaltextrun"/>
          <w:rFonts w:ascii="Verdana" w:hAnsi="Verdana" w:cs="Arial"/>
          <w:color w:val="000000" w:themeColor="text1"/>
          <w:shd w:val="clear" w:color="auto" w:fill="FFFFFF"/>
        </w:rPr>
        <w:t xml:space="preserve">C-466 del 23 de septiembre de 2024, </w:t>
      </w:r>
      <w:r>
        <w:rPr>
          <w:rStyle w:val="normaltextrun"/>
          <w:rFonts w:ascii="Verdana" w:hAnsi="Verdana" w:cs="Arial"/>
          <w:color w:val="000000" w:themeColor="text1"/>
          <w:shd w:val="clear" w:color="auto" w:fill="FFFFFF"/>
        </w:rPr>
        <w:t xml:space="preserve">C-197 del 8 de marzo de 2025, C-109 del 09 de marzo de 2015, y C-308 del 28 de abril de 2025, C-384 del 7 de mayo de 2025, C-583 del 18 de junio de 2025 y Conceptos C-1212 del 30 de septiembre de 2025, </w:t>
      </w:r>
      <w:r w:rsidRPr="00A106E8">
        <w:rPr>
          <w:rStyle w:val="normaltextrun"/>
          <w:rFonts w:ascii="Verdana" w:hAnsi="Verdana" w:cs="Arial"/>
          <w:color w:val="000000" w:themeColor="text1"/>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CCA0EE1" w14:textId="77777777" w:rsidR="00DC6A1A" w:rsidRPr="0065720B" w:rsidRDefault="005A6E32" w:rsidP="00DC6A1A">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DC6A1A" w:rsidRPr="00191357">
          <w:rPr>
            <w:rStyle w:val="Hipervnculo"/>
            <w:rFonts w:ascii="Verdana" w:eastAsia="Calibri" w:hAnsi="Verdana" w:cs="Times New Roman"/>
            <w:lang w:val="es-ES"/>
          </w:rPr>
          <w:t>https://relatoria.colombiacompra.gov.co/busqueda/conceptos</w:t>
        </w:r>
      </w:hyperlink>
      <w:r w:rsidR="00DC6A1A" w:rsidRPr="00185EE9">
        <w:rPr>
          <w:rFonts w:ascii="Verdana" w:eastAsia="Calibri" w:hAnsi="Verdana" w:cs="Times New Roman"/>
        </w:rPr>
        <w:t>.</w:t>
      </w:r>
    </w:p>
    <w:p w14:paraId="2EA99812" w14:textId="77777777" w:rsidR="00DC6A1A" w:rsidRPr="00505CD6" w:rsidRDefault="00DC6A1A" w:rsidP="00DC6A1A">
      <w:pPr>
        <w:widowControl w:val="0"/>
        <w:autoSpaceDE w:val="0"/>
        <w:autoSpaceDN w:val="0"/>
        <w:spacing w:after="0" w:line="276" w:lineRule="auto"/>
        <w:jc w:val="both"/>
        <w:rPr>
          <w:rFonts w:ascii="Verdana" w:hAnsi="Verdana" w:cs="Arial"/>
          <w:color w:val="000000" w:themeColor="text1"/>
          <w:shd w:val="clear" w:color="auto" w:fill="FFFFFF"/>
        </w:rPr>
      </w:pPr>
    </w:p>
    <w:p w14:paraId="3B3BA535" w14:textId="77777777" w:rsidR="00DC6A1A" w:rsidRPr="00103B90" w:rsidRDefault="00DC6A1A" w:rsidP="00DC6A1A">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7A3DC4B5" w14:textId="77777777" w:rsidR="00DC6A1A" w:rsidRPr="00103B90" w:rsidRDefault="00DC6A1A" w:rsidP="00DC6A1A">
      <w:pPr>
        <w:widowControl w:val="0"/>
        <w:autoSpaceDE w:val="0"/>
        <w:autoSpaceDN w:val="0"/>
        <w:spacing w:after="0" w:line="276" w:lineRule="auto"/>
        <w:jc w:val="both"/>
        <w:rPr>
          <w:rFonts w:ascii="Verdana" w:hAnsi="Verdana"/>
        </w:rPr>
      </w:pPr>
    </w:p>
    <w:p w14:paraId="2EB04785" w14:textId="77777777" w:rsidR="00DC6A1A" w:rsidRPr="00505CD6" w:rsidRDefault="00DC6A1A" w:rsidP="00DC6A1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BB48538" w14:textId="77777777" w:rsidR="00DC6A1A" w:rsidRPr="00505CD6" w:rsidRDefault="00DC6A1A" w:rsidP="00DC6A1A">
      <w:pPr>
        <w:widowControl w:val="0"/>
        <w:autoSpaceDE w:val="0"/>
        <w:autoSpaceDN w:val="0"/>
        <w:spacing w:after="0" w:line="276" w:lineRule="auto"/>
        <w:jc w:val="both"/>
        <w:rPr>
          <w:rFonts w:ascii="Verdana" w:hAnsi="Verdana" w:cs="Arial"/>
        </w:rPr>
      </w:pPr>
    </w:p>
    <w:p w14:paraId="17678F43" w14:textId="77777777" w:rsidR="00DC6A1A" w:rsidRDefault="00DC6A1A" w:rsidP="00DC6A1A">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AEFAF9D" w14:textId="7AC8FEC8" w:rsidR="00DC6A1A" w:rsidRDefault="00D871E4" w:rsidP="00DC6A1A">
      <w:pPr>
        <w:spacing w:line="276" w:lineRule="auto"/>
        <w:jc w:val="center"/>
        <w:rPr>
          <w:noProof/>
        </w:rPr>
      </w:pPr>
      <w:r>
        <w:rPr>
          <w:noProof/>
        </w:rPr>
        <w:lastRenderedPageBreak/>
        <w:drawing>
          <wp:inline distT="0" distB="0" distL="0" distR="0" wp14:anchorId="0BE337E5" wp14:editId="26E3FBC6">
            <wp:extent cx="3563420" cy="1381125"/>
            <wp:effectExtent l="0" t="0" r="0" b="0"/>
            <wp:docPr id="14551427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80262" cy="1387653"/>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C6A1A" w:rsidRPr="00593A5F" w14:paraId="7B471E5A" w14:textId="77777777">
        <w:trPr>
          <w:trHeight w:val="315"/>
        </w:trPr>
        <w:tc>
          <w:tcPr>
            <w:tcW w:w="893" w:type="dxa"/>
            <w:vAlign w:val="center"/>
            <w:hideMark/>
          </w:tcPr>
          <w:p w14:paraId="583115AA" w14:textId="77777777" w:rsidR="00DC6A1A" w:rsidRPr="003751C7" w:rsidRDefault="00DC6A1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E190FDE" w14:textId="77777777" w:rsidR="00DC6A1A" w:rsidRPr="007911EE" w:rsidRDefault="00DC6A1A">
            <w:pPr>
              <w:contextualSpacing/>
              <w:rPr>
                <w:rFonts w:ascii="Verdana" w:hAnsi="Verdana"/>
                <w:sz w:val="16"/>
                <w:szCs w:val="16"/>
              </w:rPr>
            </w:pPr>
            <w:r>
              <w:rPr>
                <w:rFonts w:ascii="Verdana" w:hAnsi="Verdana"/>
                <w:sz w:val="16"/>
                <w:szCs w:val="16"/>
              </w:rPr>
              <w:t xml:space="preserve">Nicolas Andrés Guzman </w:t>
            </w:r>
          </w:p>
          <w:p w14:paraId="5282B42E" w14:textId="77777777" w:rsidR="00DC6A1A" w:rsidRPr="007911EE" w:rsidRDefault="00DC6A1A">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DC6A1A" w:rsidRPr="00593A5F" w14:paraId="1DCED5CD" w14:textId="77777777">
        <w:trPr>
          <w:trHeight w:val="330"/>
        </w:trPr>
        <w:tc>
          <w:tcPr>
            <w:tcW w:w="893" w:type="dxa"/>
            <w:vAlign w:val="center"/>
            <w:hideMark/>
          </w:tcPr>
          <w:p w14:paraId="72645422" w14:textId="77777777" w:rsidR="00DC6A1A" w:rsidRPr="003751C7" w:rsidRDefault="00DC6A1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FC9CDB" w14:textId="77777777" w:rsidR="00DC6A1A" w:rsidRDefault="00DC6A1A">
            <w:pPr>
              <w:spacing w:line="276" w:lineRule="auto"/>
              <w:contextualSpacing/>
              <w:jc w:val="both"/>
              <w:rPr>
                <w:rFonts w:ascii="Verdana" w:hAnsi="Verdana"/>
                <w:sz w:val="16"/>
                <w:szCs w:val="16"/>
              </w:rPr>
            </w:pPr>
            <w:r w:rsidRPr="000E442B">
              <w:rPr>
                <w:rFonts w:ascii="Verdana" w:hAnsi="Verdana"/>
                <w:sz w:val="16"/>
                <w:szCs w:val="16"/>
              </w:rPr>
              <w:t>Juan Carlos González</w:t>
            </w:r>
            <w:r>
              <w:rPr>
                <w:rFonts w:ascii="Verdana" w:hAnsi="Verdana"/>
                <w:sz w:val="16"/>
                <w:szCs w:val="16"/>
              </w:rPr>
              <w:t>.</w:t>
            </w:r>
          </w:p>
          <w:p w14:paraId="2F1A44D1" w14:textId="77777777" w:rsidR="00DC6A1A" w:rsidRPr="007911EE" w:rsidRDefault="00DC6A1A">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DC6A1A" w:rsidRPr="00593A5F" w14:paraId="7B30F5B5" w14:textId="77777777">
        <w:trPr>
          <w:trHeight w:val="330"/>
        </w:trPr>
        <w:tc>
          <w:tcPr>
            <w:tcW w:w="893" w:type="dxa"/>
            <w:vAlign w:val="center"/>
          </w:tcPr>
          <w:p w14:paraId="22ECE514" w14:textId="77777777" w:rsidR="00DC6A1A" w:rsidRPr="003751C7" w:rsidRDefault="00DC6A1A">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1CEE4E" w14:textId="77777777" w:rsidR="00DC6A1A" w:rsidRDefault="00DC6A1A">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71EF0F75" w14:textId="77777777" w:rsidR="00DC6A1A" w:rsidRDefault="00DC6A1A">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04F2AD9" w14:textId="77777777" w:rsidR="00DC6A1A" w:rsidRPr="00F30C63" w:rsidRDefault="00DC6A1A" w:rsidP="00DC6A1A"/>
    <w:p w14:paraId="0F293BF4" w14:textId="74180A48" w:rsidR="00127233" w:rsidRPr="00EF4FEF" w:rsidRDefault="00127233" w:rsidP="00EF4FEF"/>
    <w:sectPr w:rsidR="00127233" w:rsidRPr="00EF4FE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ACE31" w14:textId="77777777" w:rsidR="005A6E32" w:rsidRDefault="005A6E32" w:rsidP="004A1847">
      <w:pPr>
        <w:spacing w:after="0" w:line="240" w:lineRule="auto"/>
      </w:pPr>
      <w:r>
        <w:separator/>
      </w:r>
    </w:p>
  </w:endnote>
  <w:endnote w:type="continuationSeparator" w:id="0">
    <w:p w14:paraId="5381138A" w14:textId="77777777" w:rsidR="005A6E32" w:rsidRDefault="005A6E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D6828" w14:textId="77777777" w:rsidR="005A6E32" w:rsidRDefault="005A6E32" w:rsidP="004A1847">
      <w:pPr>
        <w:spacing w:after="0" w:line="240" w:lineRule="auto"/>
      </w:pPr>
      <w:r>
        <w:separator/>
      </w:r>
    </w:p>
  </w:footnote>
  <w:footnote w:type="continuationSeparator" w:id="0">
    <w:p w14:paraId="0860DE69" w14:textId="77777777" w:rsidR="005A6E32" w:rsidRDefault="005A6E32" w:rsidP="004A1847">
      <w:pPr>
        <w:spacing w:after="0" w:line="240" w:lineRule="auto"/>
      </w:pPr>
      <w:r>
        <w:continuationSeparator/>
      </w:r>
    </w:p>
  </w:footnote>
  <w:footnote w:id="1">
    <w:p w14:paraId="11070D0B" w14:textId="77777777" w:rsidR="00DC6A1A" w:rsidRPr="00B84695" w:rsidRDefault="00DC6A1A" w:rsidP="00DC6A1A">
      <w:pPr>
        <w:pStyle w:val="Textonotapie"/>
        <w:spacing w:before="120" w:after="120"/>
        <w:ind w:firstLine="708"/>
        <w:contextualSpacing/>
        <w:jc w:val="both"/>
        <w:rPr>
          <w:rFonts w:ascii="Verdana" w:hAnsi="Verdana" w:cs="Arial"/>
          <w:sz w:val="16"/>
          <w:szCs w:val="16"/>
          <w:lang w:val="es-CO"/>
        </w:rPr>
      </w:pPr>
      <w:r w:rsidRPr="00B84695">
        <w:rPr>
          <w:rStyle w:val="Refdenotaalpie"/>
          <w:rFonts w:ascii="Verdana" w:hAnsi="Verdana" w:cs="Arial"/>
          <w:sz w:val="16"/>
          <w:szCs w:val="16"/>
        </w:rPr>
        <w:footnoteRef/>
      </w:r>
      <w:r w:rsidRPr="00B84695">
        <w:rPr>
          <w:rFonts w:ascii="Verdana" w:hAnsi="Verdana" w:cs="Arial"/>
          <w:sz w:val="16"/>
          <w:szCs w:val="16"/>
        </w:rPr>
        <w:t xml:space="preserve"> </w:t>
      </w:r>
      <w:r w:rsidRPr="00B84695">
        <w:rPr>
          <w:rFonts w:ascii="Verdana" w:hAnsi="Verdana" w:cs="Arial"/>
          <w:sz w:val="16"/>
          <w:szCs w:val="16"/>
          <w:lang w:val="es-CO"/>
        </w:rPr>
        <w:t>El artículo 40 de la Ley 80 de 1993 dispone que los contratos no podrán adicionarse en más del 50% de su valor inicial, expresado en SMLMV.</w:t>
      </w:r>
    </w:p>
  </w:footnote>
  <w:footnote w:id="2">
    <w:p w14:paraId="568C26A0" w14:textId="77777777" w:rsidR="00DC6A1A" w:rsidRPr="00B84695" w:rsidRDefault="00DC6A1A" w:rsidP="00DC6A1A">
      <w:pPr>
        <w:pStyle w:val="Textonotapie"/>
        <w:spacing w:before="120" w:after="120"/>
        <w:ind w:firstLine="708"/>
        <w:contextualSpacing/>
        <w:rPr>
          <w:rFonts w:ascii="Verdana" w:hAnsi="Verdana"/>
          <w:sz w:val="16"/>
          <w:szCs w:val="16"/>
          <w:lang w:val="pt-BR"/>
        </w:rPr>
      </w:pPr>
      <w:r w:rsidRPr="00B84695">
        <w:rPr>
          <w:rStyle w:val="Refdenotaalpie"/>
          <w:rFonts w:ascii="Verdana" w:hAnsi="Verdana"/>
          <w:sz w:val="16"/>
          <w:szCs w:val="16"/>
        </w:rPr>
        <w:footnoteRef/>
      </w:r>
      <w:r w:rsidRPr="00B84695">
        <w:rPr>
          <w:rFonts w:ascii="Verdana" w:hAnsi="Verdana"/>
          <w:sz w:val="16"/>
          <w:szCs w:val="16"/>
          <w:lang w:val="pt-BR"/>
        </w:rPr>
        <w:t xml:space="preserve"> Corte Constitucional. Sentencia C-300 de 2012. M.P: Jorge Ignacio Pretelt Chaljub.</w:t>
      </w:r>
    </w:p>
  </w:footnote>
  <w:footnote w:id="3">
    <w:p w14:paraId="59B2BAD7" w14:textId="77777777" w:rsidR="00DC6A1A" w:rsidRPr="00B84695" w:rsidRDefault="00DC6A1A" w:rsidP="00DC6A1A">
      <w:pPr>
        <w:pStyle w:val="Textonotapie"/>
        <w:spacing w:before="120" w:after="120"/>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Sobre la naturaleza instrumental del contrato para alcanzar los fines propios del estado social de derecho, ver la sentencia C-932 de 2007, M.P: Marco Gerardo Monroy Cabra.</w:t>
      </w:r>
    </w:p>
  </w:footnote>
  <w:footnote w:id="4">
    <w:p w14:paraId="38B6A778" w14:textId="77777777" w:rsidR="00DC6A1A" w:rsidRPr="00B84695" w:rsidRDefault="00DC6A1A" w:rsidP="00DC6A1A">
      <w:pPr>
        <w:pStyle w:val="Textonotapie"/>
        <w:spacing w:before="120" w:after="120"/>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M.P: Clara Inés Vargas Hernández.</w:t>
      </w:r>
    </w:p>
  </w:footnote>
  <w:footnote w:id="5">
    <w:p w14:paraId="52436682" w14:textId="77777777" w:rsidR="00DC6A1A" w:rsidRPr="00B84695" w:rsidRDefault="00DC6A1A" w:rsidP="00DC6A1A">
      <w:pPr>
        <w:pStyle w:val="Textonotapie"/>
        <w:spacing w:before="120" w:after="120"/>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Ver también la sentencia C-068 de 2009, M.P: Mauricio González Cuervo</w:t>
      </w:r>
      <w:r w:rsidRPr="00B84695">
        <w:rPr>
          <w:rFonts w:ascii="Verdana" w:hAnsi="Verdana"/>
          <w:b/>
          <w:sz w:val="16"/>
          <w:szCs w:val="16"/>
        </w:rPr>
        <w:t xml:space="preserve">, </w:t>
      </w:r>
      <w:r w:rsidRPr="00B84695">
        <w:rPr>
          <w:rFonts w:ascii="Verdana" w:hAnsi="Verdana"/>
          <w:sz w:val="16"/>
          <w:szCs w:val="16"/>
        </w:rPr>
        <w:t>sobre la constitucional</w:t>
      </w:r>
      <w:r w:rsidRPr="00B84695">
        <w:rPr>
          <w:rFonts w:ascii="Verdana" w:hAnsi="Verdana"/>
          <w:b/>
          <w:sz w:val="16"/>
          <w:szCs w:val="16"/>
        </w:rPr>
        <w:t xml:space="preserve"> </w:t>
      </w:r>
      <w:r w:rsidRPr="00B84695">
        <w:rPr>
          <w:rFonts w:ascii="Verdana" w:hAnsi="Verdana"/>
          <w:sz w:val="16"/>
          <w:szCs w:val="16"/>
          <w:lang w:val="es-CO"/>
        </w:rPr>
        <w:t>de la posibilidad de prorrogar los contratos de concesión portuaria (artículo 8º de la ley 1º de 1991).</w:t>
      </w:r>
    </w:p>
  </w:footnote>
  <w:footnote w:id="6">
    <w:p w14:paraId="7EC060BD" w14:textId="77777777" w:rsidR="00DC6A1A" w:rsidRPr="00B84695" w:rsidRDefault="00DC6A1A" w:rsidP="00DC6A1A">
      <w:pPr>
        <w:pStyle w:val="Textonotapie"/>
        <w:spacing w:before="120" w:after="120"/>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Esta clasificación es tomada de la literatura del análisis económico del derecho. </w:t>
      </w:r>
      <w:r w:rsidRPr="00B84695">
        <w:rPr>
          <w:rFonts w:ascii="Verdana" w:hAnsi="Verdana"/>
          <w:sz w:val="16"/>
          <w:szCs w:val="16"/>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B84695">
        <w:rPr>
          <w:rFonts w:ascii="Verdana" w:hAnsi="Verdana"/>
          <w:sz w:val="16"/>
          <w:szCs w:val="16"/>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p w14:paraId="354C38DC" w14:textId="77777777" w:rsidR="00DC6A1A" w:rsidRPr="00B84695" w:rsidRDefault="00DC6A1A" w:rsidP="00DC6A1A">
      <w:pPr>
        <w:pStyle w:val="Textonotapie"/>
        <w:spacing w:before="120" w:after="120"/>
        <w:ind w:firstLine="708"/>
        <w:contextualSpacing/>
        <w:jc w:val="both"/>
        <w:rPr>
          <w:rFonts w:ascii="Verdana" w:hAnsi="Verdana"/>
          <w:sz w:val="16"/>
          <w:szCs w:val="16"/>
        </w:rPr>
      </w:pPr>
    </w:p>
  </w:footnote>
  <w:footnote w:id="7">
    <w:p w14:paraId="482E0FB0" w14:textId="77777777" w:rsidR="00DC6A1A" w:rsidRPr="00B84695" w:rsidRDefault="00DC6A1A" w:rsidP="00DC6A1A">
      <w:pPr>
        <w:pStyle w:val="Textonotapie"/>
        <w:spacing w:before="120" w:after="120"/>
        <w:ind w:firstLine="708"/>
        <w:contextualSpacing/>
        <w:jc w:val="both"/>
        <w:rPr>
          <w:rFonts w:ascii="Verdana" w:hAnsi="Verdana" w:cs="Arial"/>
          <w:sz w:val="16"/>
          <w:szCs w:val="16"/>
        </w:rPr>
      </w:pPr>
      <w:r w:rsidRPr="00B84695">
        <w:rPr>
          <w:rStyle w:val="Refdenotaalpie"/>
          <w:rFonts w:ascii="Verdana" w:hAnsi="Verdana" w:cs="Arial"/>
          <w:sz w:val="16"/>
          <w:szCs w:val="16"/>
        </w:rPr>
        <w:footnoteRef/>
      </w:r>
      <w:r w:rsidRPr="00B84695">
        <w:rPr>
          <w:rFonts w:ascii="Verdana" w:hAnsi="Verdana" w:cs="Arial"/>
          <w:sz w:val="16"/>
          <w:szCs w:val="16"/>
        </w:rPr>
        <w:t xml:space="preserve"> </w:t>
      </w:r>
      <w:r w:rsidRPr="00B84695">
        <w:rPr>
          <w:rFonts w:ascii="Verdana" w:hAnsi="Verdana" w:cs="Arial"/>
          <w:i/>
          <w:sz w:val="16"/>
          <w:szCs w:val="16"/>
        </w:rPr>
        <w:t xml:space="preserve">Cfr. </w:t>
      </w:r>
      <w:r w:rsidRPr="00B84695">
        <w:rPr>
          <w:rFonts w:ascii="Verdana" w:hAnsi="Verdana" w:cs="Arial"/>
          <w:sz w:val="16"/>
          <w:szCs w:val="16"/>
        </w:rPr>
        <w:t>Consejo de Estado. Sala de Consulta y Servicio Civil. Concepto del 13 de agosto de 2009. Radicado: 11001-03-06-000-2009-00033-00 (</w:t>
      </w:r>
      <w:r w:rsidRPr="00B84695">
        <w:rPr>
          <w:rFonts w:ascii="Verdana" w:hAnsi="Verdana" w:cs="Arial"/>
          <w:bCs/>
          <w:sz w:val="16"/>
          <w:szCs w:val="16"/>
        </w:rPr>
        <w:t>1952), C.P. Enrique José Arboleda Perdomo. En este concepto la Sala de Consulta se ocupó, entre otras preguntas, de la siguiente formulada por el Ministerio de Transporte: “</w:t>
      </w:r>
      <w:r w:rsidRPr="00B84695">
        <w:rPr>
          <w:rFonts w:ascii="Verdana" w:hAnsi="Verdana" w:cs="Arial"/>
          <w:bCs/>
          <w:iCs/>
          <w:sz w:val="16"/>
          <w:szCs w:val="16"/>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8">
    <w:p w14:paraId="2A1C9C85" w14:textId="77777777" w:rsidR="00DC6A1A" w:rsidRPr="00B84695" w:rsidRDefault="00DC6A1A" w:rsidP="00DC6A1A">
      <w:pPr>
        <w:pStyle w:val="Textonotapie"/>
        <w:spacing w:before="120" w:after="120"/>
        <w:ind w:firstLine="708"/>
        <w:contextualSpacing/>
        <w:jc w:val="both"/>
        <w:rPr>
          <w:rFonts w:ascii="Verdana" w:hAnsi="Verdana" w:cs="Arial"/>
          <w:bCs/>
          <w:iCs/>
          <w:sz w:val="16"/>
          <w:szCs w:val="16"/>
          <w:lang w:val="es-ES_tradnl"/>
        </w:rPr>
      </w:pPr>
      <w:r w:rsidRPr="00B84695">
        <w:rPr>
          <w:rStyle w:val="Refdenotaalpie"/>
          <w:rFonts w:ascii="Verdana" w:hAnsi="Verdana" w:cs="Arial"/>
          <w:sz w:val="16"/>
          <w:szCs w:val="16"/>
        </w:rPr>
        <w:footnoteRef/>
      </w:r>
      <w:r w:rsidRPr="00B84695">
        <w:rPr>
          <w:rFonts w:ascii="Verdana" w:hAnsi="Verdana" w:cs="Arial"/>
          <w:sz w:val="16"/>
          <w:szCs w:val="16"/>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B84695">
        <w:rPr>
          <w:rFonts w:ascii="Verdana" w:hAnsi="Verdana" w:cs="Arial"/>
          <w:bCs/>
          <w:iCs/>
          <w:sz w:val="16"/>
          <w:szCs w:val="16"/>
          <w:lang w:val="es-ES_tradnl"/>
        </w:rPr>
        <w:t>”.</w:t>
      </w:r>
    </w:p>
    <w:p w14:paraId="26AD5C08" w14:textId="77777777" w:rsidR="00DC6A1A" w:rsidRPr="00B84695" w:rsidRDefault="00DC6A1A" w:rsidP="00DC6A1A">
      <w:pPr>
        <w:pStyle w:val="Textonotapie"/>
        <w:spacing w:before="120" w:after="120"/>
        <w:ind w:firstLine="708"/>
        <w:contextualSpacing/>
        <w:jc w:val="both"/>
        <w:rPr>
          <w:rFonts w:ascii="Verdana" w:hAnsi="Verdana" w:cs="Arial"/>
          <w:sz w:val="16"/>
          <w:szCs w:val="16"/>
          <w:lang w:val="es-CO"/>
        </w:rPr>
      </w:pPr>
    </w:p>
  </w:footnote>
  <w:footnote w:id="9">
    <w:p w14:paraId="63B05DD8" w14:textId="77777777" w:rsidR="00DC6A1A" w:rsidRPr="00B84695" w:rsidRDefault="00DC6A1A" w:rsidP="00DC6A1A">
      <w:pPr>
        <w:pStyle w:val="Textonotapie"/>
        <w:spacing w:before="120" w:after="120"/>
        <w:ind w:firstLine="708"/>
        <w:contextualSpacing/>
        <w:jc w:val="both"/>
        <w:rPr>
          <w:rFonts w:ascii="Verdana" w:hAnsi="Verdana" w:cs="Arial"/>
          <w:sz w:val="16"/>
          <w:szCs w:val="16"/>
          <w:lang w:val="es-CO"/>
        </w:rPr>
      </w:pPr>
      <w:r w:rsidRPr="00B84695">
        <w:rPr>
          <w:rStyle w:val="Refdenotaalpie"/>
          <w:rFonts w:ascii="Verdana" w:hAnsi="Verdana" w:cs="Arial"/>
          <w:sz w:val="16"/>
          <w:szCs w:val="16"/>
        </w:rPr>
        <w:footnoteRef/>
      </w:r>
      <w:r w:rsidRPr="00B84695">
        <w:rPr>
          <w:rFonts w:ascii="Verdana" w:hAnsi="Verdana" w:cs="Arial"/>
          <w:sz w:val="16"/>
          <w:szCs w:val="16"/>
        </w:rPr>
        <w:t xml:space="preserve"> Ibídem.</w:t>
      </w:r>
    </w:p>
  </w:footnote>
  <w:footnote w:id="10">
    <w:p w14:paraId="000D177E" w14:textId="77777777" w:rsidR="00DC6A1A" w:rsidRPr="00B84695" w:rsidRDefault="00DC6A1A" w:rsidP="00DC6A1A">
      <w:pPr>
        <w:spacing w:before="120" w:after="0" w:line="240" w:lineRule="auto"/>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Consejo de Estado. Sala de Consulta y Servicio Civil.</w:t>
      </w:r>
      <w:r w:rsidRPr="00B84695">
        <w:rPr>
          <w:rFonts w:ascii="Verdana" w:hAnsi="Verdana"/>
          <w:i/>
          <w:iCs/>
          <w:sz w:val="16"/>
          <w:szCs w:val="16"/>
        </w:rPr>
        <w:t xml:space="preserve"> </w:t>
      </w:r>
      <w:r w:rsidRPr="00B84695">
        <w:rPr>
          <w:rFonts w:ascii="Verdana" w:hAnsi="Verdana"/>
          <w:sz w:val="16"/>
          <w:szCs w:val="16"/>
        </w:rPr>
        <w:t>Concepto del 06 de junio 2018. Radicado: 2369. C.P: Óscar Darío Amaya Navas.</w:t>
      </w:r>
    </w:p>
    <w:p w14:paraId="114ADF18" w14:textId="77777777" w:rsidR="00DC6A1A" w:rsidRPr="00B84695" w:rsidRDefault="00DC6A1A" w:rsidP="00DC6A1A">
      <w:pPr>
        <w:spacing w:before="120" w:after="0" w:line="240" w:lineRule="auto"/>
        <w:ind w:firstLine="708"/>
        <w:contextualSpacing/>
        <w:jc w:val="both"/>
        <w:rPr>
          <w:rFonts w:ascii="Verdana" w:hAnsi="Verdana"/>
          <w:sz w:val="16"/>
          <w:szCs w:val="16"/>
        </w:rPr>
      </w:pPr>
    </w:p>
  </w:footnote>
  <w:footnote w:id="11">
    <w:p w14:paraId="005D568B" w14:textId="77777777" w:rsidR="00DC6A1A" w:rsidRPr="00B84695" w:rsidRDefault="00DC6A1A" w:rsidP="00DC6A1A">
      <w:pPr>
        <w:pStyle w:val="Textonotapie"/>
        <w:spacing w:after="120"/>
        <w:ind w:firstLine="709"/>
        <w:contextualSpacing/>
        <w:jc w:val="both"/>
        <w:rPr>
          <w:rFonts w:ascii="Verdana" w:hAnsi="Verdana"/>
          <w:sz w:val="16"/>
          <w:szCs w:val="16"/>
          <w:lang w:val="es-CO"/>
        </w:rPr>
      </w:pPr>
      <w:r w:rsidRPr="00B84695">
        <w:rPr>
          <w:rStyle w:val="Refdenotaalpie"/>
          <w:rFonts w:ascii="Verdana" w:hAnsi="Verdana"/>
          <w:sz w:val="16"/>
          <w:szCs w:val="16"/>
        </w:rPr>
        <w:footnoteRef/>
      </w:r>
      <w:r w:rsidRPr="00B84695">
        <w:rPr>
          <w:rFonts w:ascii="Verdana" w:hAnsi="Verdana"/>
          <w:sz w:val="16"/>
          <w:szCs w:val="16"/>
        </w:rPr>
        <w:t xml:space="preserve"> </w:t>
      </w:r>
      <w:r w:rsidRPr="00B84695">
        <w:rPr>
          <w:rFonts w:ascii="Verdana" w:hAnsi="Verdana"/>
          <w:bCs/>
          <w:sz w:val="16"/>
          <w:szCs w:val="16"/>
          <w:lang w:val="es-CO"/>
        </w:rPr>
        <w:t>ARTICULO 11. DE LA COMPETENCIA PARA DIRIGIR LICITACIONES O CONCURSOS Y PARA CELEBRAR CONTRATOS ESTATALES. </w:t>
      </w:r>
      <w:r w:rsidRPr="00B84695">
        <w:rPr>
          <w:rFonts w:ascii="Verdana" w:hAnsi="Verdana"/>
          <w:sz w:val="16"/>
          <w:szCs w:val="16"/>
          <w:lang w:val="es-CO"/>
        </w:rPr>
        <w:t>En las entidades estatales a que se refiere el artículo 2o.: </w:t>
      </w:r>
    </w:p>
    <w:p w14:paraId="17CDC3D2"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4BDE0ED9"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2o. Tiene competencia para celebrar contratos a nombre de la Nación, el Presidente de la República. </w:t>
      </w:r>
    </w:p>
    <w:p w14:paraId="20EC7C64"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3o. Tienen competencia para celebrar contratos a nombre de la entidad respectiva: </w:t>
      </w:r>
    </w:p>
    <w:p w14:paraId="2B6CCED6"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0847BEAA"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36A27D8"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c) Los representantes legales de las entidades descentralizadas en todos los órdenes y niveles. </w:t>
      </w:r>
      <w:bookmarkStart w:id="7" w:name="ver_30161404"/>
      <w:bookmarkStart w:id="8" w:name="ver_1790120"/>
      <w:bookmarkEnd w:id="7"/>
      <w:bookmarkEnd w:id="8"/>
    </w:p>
    <w:p w14:paraId="5A876A20"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p>
  </w:footnote>
  <w:footnote w:id="12">
    <w:p w14:paraId="17FF339B"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Style w:val="Refdenotaalpie"/>
          <w:rFonts w:ascii="Verdana" w:hAnsi="Verdana"/>
          <w:sz w:val="16"/>
          <w:szCs w:val="16"/>
        </w:rPr>
        <w:footnoteRef/>
      </w:r>
      <w:r w:rsidRPr="00B84695">
        <w:rPr>
          <w:rFonts w:ascii="Verdana" w:hAnsi="Verdana"/>
          <w:sz w:val="16"/>
          <w:szCs w:val="16"/>
        </w:rPr>
        <w:t xml:space="preserve"> </w:t>
      </w:r>
      <w:r w:rsidRPr="00B84695">
        <w:rPr>
          <w:rFonts w:ascii="Verdana" w:hAnsi="Verdana"/>
          <w:bCs/>
          <w:sz w:val="16"/>
          <w:szCs w:val="16"/>
          <w:lang w:val="es-CO"/>
        </w:rPr>
        <w:t>ARTICULO 12. DE LA DELEGACION PARA CONTRATAR.</w:t>
      </w:r>
      <w:r w:rsidRPr="00B84695">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346B7CF4" w14:textId="77777777" w:rsidR="00DC6A1A" w:rsidRPr="00B84695" w:rsidRDefault="00DC6A1A" w:rsidP="00DC6A1A">
      <w:pPr>
        <w:pStyle w:val="Textonotapie"/>
        <w:spacing w:before="120" w:after="120"/>
        <w:ind w:firstLine="709"/>
        <w:contextualSpacing/>
        <w:jc w:val="both"/>
        <w:rPr>
          <w:rFonts w:ascii="Verdana" w:hAnsi="Verdana"/>
          <w:sz w:val="16"/>
          <w:szCs w:val="16"/>
          <w:lang w:val="es-CO"/>
        </w:rPr>
      </w:pPr>
      <w:r w:rsidRPr="00B84695">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1AA56699" w14:textId="77777777" w:rsidR="00DC6A1A" w:rsidRPr="00B84695" w:rsidRDefault="00DC6A1A" w:rsidP="00DC6A1A">
      <w:pPr>
        <w:pStyle w:val="Textonotapie"/>
        <w:spacing w:before="120" w:after="120"/>
        <w:ind w:firstLine="708"/>
        <w:contextualSpacing/>
        <w:jc w:val="both"/>
        <w:rPr>
          <w:rFonts w:ascii="Verdana" w:hAnsi="Verdana"/>
          <w:sz w:val="16"/>
          <w:szCs w:val="16"/>
          <w:lang w:val="es-ES"/>
        </w:rPr>
      </w:pPr>
      <w:r w:rsidRPr="00B84695">
        <w:rPr>
          <w:rFonts w:ascii="Verdana" w:hAnsi="Verdana"/>
          <w:bCs/>
          <w:sz w:val="16"/>
          <w:szCs w:val="16"/>
          <w:lang w:val="es-CO"/>
        </w:rPr>
        <w:t>Parágrafo. </w:t>
      </w:r>
      <w:r w:rsidRPr="00B84695">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13">
    <w:p w14:paraId="565DB9C5" w14:textId="77777777" w:rsidR="00DC6A1A" w:rsidRPr="00B84695" w:rsidRDefault="00DC6A1A" w:rsidP="00DC6A1A">
      <w:pPr>
        <w:spacing w:before="120" w:after="120" w:line="240" w:lineRule="auto"/>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Consejo de Estado. Sala de Consulta y Servicio Civil. C.P.: Óscar Darío Amaya Navas. Concepto del 6 de junio de 2018. Radicación número: 2369.</w:t>
      </w:r>
    </w:p>
  </w:footnote>
  <w:footnote w:id="14">
    <w:p w14:paraId="64ACB1A0" w14:textId="77777777" w:rsidR="00DC6A1A" w:rsidRPr="00B84695" w:rsidRDefault="00DC6A1A" w:rsidP="00DC6A1A">
      <w:pPr>
        <w:pStyle w:val="Textonotapie"/>
        <w:spacing w:before="120" w:after="120"/>
        <w:ind w:firstLine="708"/>
        <w:contextualSpacing/>
        <w:jc w:val="both"/>
        <w:rPr>
          <w:rFonts w:ascii="Verdana" w:hAnsi="Verdana"/>
          <w:sz w:val="16"/>
          <w:szCs w:val="16"/>
        </w:rPr>
      </w:pPr>
      <w:r w:rsidRPr="00B84695">
        <w:rPr>
          <w:rStyle w:val="Refdenotaalpie"/>
          <w:rFonts w:ascii="Verdana" w:hAnsi="Verdana"/>
          <w:sz w:val="16"/>
          <w:szCs w:val="16"/>
        </w:rPr>
        <w:footnoteRef/>
      </w:r>
      <w:r w:rsidRPr="00B84695">
        <w:rPr>
          <w:rFonts w:ascii="Verdana" w:hAnsi="Verdana"/>
          <w:sz w:val="16"/>
          <w:szCs w:val="16"/>
        </w:rPr>
        <w:t xml:space="preserve"> Ibidem. </w:t>
      </w:r>
    </w:p>
  </w:footnote>
  <w:footnote w:id="15">
    <w:p w14:paraId="50273904"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Style w:val="Refdenotaalpie"/>
          <w:rFonts w:ascii="Verdana" w:hAnsi="Verdana"/>
          <w:sz w:val="16"/>
          <w:szCs w:val="16"/>
        </w:rPr>
        <w:footnoteRef/>
      </w:r>
      <w:r w:rsidRPr="00B84695">
        <w:rPr>
          <w:rFonts w:ascii="Verdana" w:hAnsi="Verdana"/>
          <w:sz w:val="16"/>
          <w:szCs w:val="16"/>
        </w:rPr>
        <w:t xml:space="preserve"> </w:t>
      </w:r>
      <w:r w:rsidRPr="00B84695">
        <w:rPr>
          <w:rFonts w:ascii="Verdana" w:hAnsi="Verdana"/>
          <w:bCs/>
          <w:sz w:val="16"/>
          <w:szCs w:val="16"/>
          <w:lang w:val="es-CO"/>
        </w:rPr>
        <w:t>Artículo 14. De los medios que pueden utilizar las entidades estatales para el cumplimiento del objeto contractual.</w:t>
      </w:r>
      <w:r w:rsidRPr="00B84695">
        <w:rPr>
          <w:rFonts w:ascii="Verdana" w:hAnsi="Verdana"/>
          <w:b/>
          <w:bCs/>
          <w:sz w:val="16"/>
          <w:szCs w:val="16"/>
          <w:lang w:val="es-CO"/>
        </w:rPr>
        <w:t> </w:t>
      </w:r>
      <w:r w:rsidRPr="00B84695">
        <w:rPr>
          <w:rFonts w:ascii="Verdana" w:hAnsi="Verdana"/>
          <w:sz w:val="16"/>
          <w:szCs w:val="16"/>
          <w:lang w:val="es-CO"/>
        </w:rPr>
        <w:t>Para el cumplimiento de los fines de la contratación, las entidades estatales al celebrar un contrato: </w:t>
      </w:r>
    </w:p>
    <w:p w14:paraId="0BC32BE4"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1o. Tendrán la dirección general y la responsabilidad de ejercer el control y vigilancia de la ejecución del contrato. En consecuencia, con el exclusivo objeto de evitar la paralización o la afectación grave de los servicios públicos a su cargo y asegurar la inmediata, continua y adecuada prestación, podrán, en los casos previstos en el numeral 2o. de este artículo, interpretar los documentos contractuales y las estipulaciones en ellos convenidas, introducir modificaciones a lo contratado y, cuando las condiciones particulares de la prestación así lo exijan, terminar unilateralmente el contrato celebrado. </w:t>
      </w:r>
    </w:p>
    <w:p w14:paraId="597790B6"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En los actos en que se ejercite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 </w:t>
      </w:r>
    </w:p>
    <w:p w14:paraId="5AF76983"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Contra los actos administrativos que ordenen la interpretación, modificación y terminación unilaterales, procederá el recurso de reposición, sin perjuicio de la acción contractual que puede intentar el contratista, según lo previsto en el artículo 77 de esta ley. </w:t>
      </w:r>
    </w:p>
    <w:p w14:paraId="6097A6CC"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 </w:t>
      </w:r>
    </w:p>
    <w:p w14:paraId="34E6C2A4"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Las entidades estatales podrán pactar estas cláusulas en los contratos de suministro y de prestación de servicios.  </w:t>
      </w:r>
    </w:p>
    <w:p w14:paraId="13C5E1F3"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En los casos previstos en este numeral, las cláusulas excepcionales se entienden pactadas aun cuando no se consignen expresamente. </w:t>
      </w:r>
    </w:p>
    <w:p w14:paraId="2979EEFC"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bCs/>
          <w:sz w:val="16"/>
          <w:szCs w:val="16"/>
          <w:lang w:val="es-CO"/>
        </w:rPr>
        <w:t>PARAGRAFO.</w:t>
      </w:r>
      <w:r w:rsidRPr="00B84695">
        <w:rPr>
          <w:rFonts w:ascii="Verdana" w:hAnsi="Verdana"/>
          <w:sz w:val="16"/>
          <w:szCs w:val="16"/>
          <w:lang w:val="es-CO"/>
        </w:rPr>
        <w:t> En los contratos que se celebren con personas públicas internacionales, o de cooperación, ayuda o asistencia; en los interadministrativos; en los de empréstito, donación y arrendamiento y en los contratos que tengan por objeto actividades comerciales o industriales de las entidades estatales que no correspondan a las señaladas en el numeral 2o. de este artículo, o que tengan por objeto el desarrollo directo de actividades científicas o tecnológicas, así como en los contratos de seguro tomados por las entidades estatales, se prescindirá de la utilización de las cláusulas o estipulaciones excepcionales. </w:t>
      </w:r>
    </w:p>
  </w:footnote>
  <w:footnote w:id="16">
    <w:p w14:paraId="45D20CDE"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Style w:val="Refdenotaalpie"/>
          <w:rFonts w:ascii="Verdana" w:hAnsi="Verdana"/>
          <w:sz w:val="16"/>
          <w:szCs w:val="16"/>
        </w:rPr>
        <w:footnoteRef/>
      </w:r>
      <w:r w:rsidRPr="00B84695">
        <w:rPr>
          <w:rFonts w:ascii="Verdana" w:hAnsi="Verdana"/>
          <w:sz w:val="16"/>
          <w:szCs w:val="16"/>
        </w:rPr>
        <w:t xml:space="preserve"> </w:t>
      </w:r>
      <w:r w:rsidRPr="00B84695">
        <w:rPr>
          <w:rFonts w:ascii="Verdana" w:hAnsi="Verdana"/>
          <w:bCs/>
          <w:sz w:val="16"/>
          <w:szCs w:val="16"/>
          <w:lang w:val="es-CO"/>
        </w:rPr>
        <w:t>ARTICULO 16. DE LA MODIFICACION UNILATERAL.</w:t>
      </w:r>
      <w:r w:rsidRPr="00B84695">
        <w:rPr>
          <w:rFonts w:ascii="Verdana" w:hAnsi="Verdana"/>
          <w:sz w:val="16"/>
          <w:szCs w:val="16"/>
          <w:lang w:val="es-CO"/>
        </w:rPr>
        <w:t> Si durante la ejecución del contrato y para evitar la paralización o la afectación grave del servicio público que se deba satisfacer con él, fuere necesario introducir variaciones en el contrato y previamente las partes no llegan al acuerdo respectivo, la entidad en acto administrativo debidamente motivado, lo modificará mediante la supresión o adición de obras, trabajos, suministros o servicios. </w:t>
      </w:r>
    </w:p>
    <w:p w14:paraId="264479E4"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Fonts w:ascii="Verdana" w:hAnsi="Verdana"/>
          <w:sz w:val="16"/>
          <w:szCs w:val="16"/>
          <w:lang w:val="es-CO"/>
        </w:rPr>
        <w:t>Si las modificaciones alteran el valor del contrato en un veinte por ciento (20%) o más del valor inicial, el contratista podrá renunciar a la continuación de la ejecución. En este evento, se ordenará la liquidación del contrato y la entidad adoptará de manera inmediata las medidas que fueren necesarias para garantizar la terminación del objeto del mismo.</w:t>
      </w:r>
    </w:p>
    <w:p w14:paraId="2C04E01E"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p>
  </w:footnote>
  <w:footnote w:id="17">
    <w:p w14:paraId="5216B2E4" w14:textId="77777777" w:rsidR="00DC6A1A" w:rsidRPr="00B84695" w:rsidRDefault="00DC6A1A" w:rsidP="00DC6A1A">
      <w:pPr>
        <w:pStyle w:val="Textonotapie"/>
        <w:spacing w:before="120" w:after="120"/>
        <w:ind w:firstLine="708"/>
        <w:contextualSpacing/>
        <w:jc w:val="both"/>
        <w:rPr>
          <w:rFonts w:ascii="Verdana" w:hAnsi="Verdana" w:cs="Arial"/>
          <w:sz w:val="16"/>
          <w:szCs w:val="16"/>
        </w:rPr>
      </w:pPr>
      <w:r w:rsidRPr="00B84695">
        <w:rPr>
          <w:rStyle w:val="Refdenotaalpie"/>
          <w:rFonts w:ascii="Verdana" w:hAnsi="Verdana" w:cs="Arial"/>
          <w:sz w:val="16"/>
          <w:szCs w:val="16"/>
        </w:rPr>
        <w:footnoteRef/>
      </w:r>
      <w:r w:rsidRPr="00B84695">
        <w:rPr>
          <w:rFonts w:ascii="Verdana" w:hAnsi="Verdana" w:cs="Arial"/>
          <w:sz w:val="16"/>
          <w:szCs w:val="16"/>
        </w:rPr>
        <w:t xml:space="preserve"> </w:t>
      </w:r>
      <w:r w:rsidRPr="00B84695">
        <w:rPr>
          <w:rFonts w:ascii="Verdana" w:hAnsi="Verdana" w:cs="Arial"/>
          <w:bCs/>
          <w:i/>
          <w:sz w:val="16"/>
          <w:szCs w:val="16"/>
        </w:rPr>
        <w:t xml:space="preserve">Cfr. </w:t>
      </w:r>
      <w:r w:rsidRPr="00B84695">
        <w:rPr>
          <w:rFonts w:ascii="Verdana" w:hAnsi="Verdana" w:cs="Arial"/>
          <w:sz w:val="16"/>
          <w:szCs w:val="16"/>
        </w:rPr>
        <w:t>DAVILA VINUEZA Luis Guillermo. Régimen Jurídico de la contratación estatal. Bogotá: Editorial Legis, 2001, p. 387.</w:t>
      </w:r>
    </w:p>
    <w:p w14:paraId="4BD9C66B" w14:textId="77777777" w:rsidR="00DC6A1A" w:rsidRPr="00B84695" w:rsidRDefault="00DC6A1A" w:rsidP="00DC6A1A">
      <w:pPr>
        <w:pStyle w:val="Textonotapie"/>
        <w:spacing w:before="120" w:after="120"/>
        <w:ind w:firstLine="708"/>
        <w:contextualSpacing/>
        <w:jc w:val="both"/>
        <w:rPr>
          <w:rFonts w:ascii="Verdana" w:hAnsi="Verdana" w:cs="Arial"/>
          <w:sz w:val="16"/>
          <w:szCs w:val="16"/>
        </w:rPr>
      </w:pPr>
    </w:p>
  </w:footnote>
  <w:footnote w:id="18">
    <w:p w14:paraId="7C9DDECB" w14:textId="77777777" w:rsidR="00DC6A1A" w:rsidRPr="00B84695" w:rsidRDefault="00DC6A1A" w:rsidP="00DC6A1A">
      <w:pPr>
        <w:pStyle w:val="Textonotapie"/>
        <w:spacing w:before="120" w:after="120"/>
        <w:ind w:firstLine="708"/>
        <w:contextualSpacing/>
        <w:jc w:val="both"/>
        <w:rPr>
          <w:rFonts w:ascii="Verdana" w:eastAsia="Times New Roman" w:hAnsi="Verdana" w:cs="Arial"/>
          <w:bCs/>
          <w:sz w:val="16"/>
          <w:szCs w:val="16"/>
          <w:lang w:val="es-ES" w:eastAsia="es-ES"/>
        </w:rPr>
      </w:pPr>
      <w:r w:rsidRPr="00B84695">
        <w:rPr>
          <w:rStyle w:val="Refdenotaalpie"/>
          <w:rFonts w:ascii="Verdana" w:hAnsi="Verdana" w:cs="Arial"/>
          <w:sz w:val="16"/>
          <w:szCs w:val="16"/>
        </w:rPr>
        <w:footnoteRef/>
      </w:r>
      <w:r w:rsidRPr="00B84695">
        <w:rPr>
          <w:rFonts w:ascii="Verdana" w:hAnsi="Verdana" w:cs="Arial"/>
          <w:sz w:val="16"/>
          <w:szCs w:val="16"/>
        </w:rPr>
        <w:t xml:space="preserve"> </w:t>
      </w:r>
      <w:r w:rsidRPr="00B84695">
        <w:rPr>
          <w:rFonts w:ascii="Verdana" w:hAnsi="Verdana" w:cs="Arial"/>
          <w:sz w:val="16"/>
          <w:szCs w:val="16"/>
          <w:lang w:val="es-CO"/>
        </w:rPr>
        <w:t>Sobre el particular resultan pertinentes las consideraciones efectuadas en el mismo sentido por la</w:t>
      </w:r>
      <w:r w:rsidRPr="00B84695">
        <w:rPr>
          <w:rFonts w:ascii="Verdana" w:eastAsia="Times New Roman" w:hAnsi="Verdana" w:cs="Arial"/>
          <w:sz w:val="16"/>
          <w:szCs w:val="16"/>
          <w:lang w:val="es-ES" w:eastAsia="es-ES"/>
        </w:rPr>
        <w:t xml:space="preserve"> Sala de Consulta y Servicio Civil del Consejo de Estado en el concepto del 13 de agosto de 2009, rad. </w:t>
      </w:r>
      <w:r w:rsidRPr="00B84695">
        <w:rPr>
          <w:rFonts w:ascii="Verdana" w:eastAsia="Times New Roman" w:hAnsi="Verdana" w:cs="Arial"/>
          <w:bCs/>
          <w:sz w:val="16"/>
          <w:szCs w:val="16"/>
          <w:lang w:val="es-ES" w:eastAsia="es-ES"/>
        </w:rPr>
        <w:t xml:space="preserve">1.952, C.P. Enrique José Arboleda Perdomo y por la Corte Constitucional en la sentencia C-300 de 2012. </w:t>
      </w:r>
    </w:p>
    <w:p w14:paraId="4F790F7A" w14:textId="77777777" w:rsidR="00DC6A1A" w:rsidRPr="00B84695" w:rsidRDefault="00DC6A1A" w:rsidP="00DC6A1A">
      <w:pPr>
        <w:pStyle w:val="Textonotapie"/>
        <w:spacing w:before="120" w:after="120"/>
        <w:ind w:firstLine="708"/>
        <w:contextualSpacing/>
        <w:jc w:val="both"/>
        <w:rPr>
          <w:rFonts w:ascii="Verdana" w:hAnsi="Verdana" w:cs="Arial"/>
          <w:sz w:val="16"/>
          <w:szCs w:val="16"/>
          <w:lang w:val="es-CO"/>
        </w:rPr>
      </w:pPr>
    </w:p>
  </w:footnote>
  <w:footnote w:id="19">
    <w:p w14:paraId="72538D5D" w14:textId="77777777" w:rsidR="00DC6A1A" w:rsidRPr="00B84695" w:rsidRDefault="00DC6A1A" w:rsidP="00DC6A1A">
      <w:pPr>
        <w:pStyle w:val="Textonotapie"/>
        <w:spacing w:before="120" w:after="120"/>
        <w:ind w:firstLine="708"/>
        <w:contextualSpacing/>
        <w:jc w:val="both"/>
        <w:rPr>
          <w:rFonts w:ascii="Verdana" w:hAnsi="Verdana"/>
          <w:sz w:val="16"/>
          <w:szCs w:val="16"/>
          <w:lang w:val="es-CO"/>
        </w:rPr>
      </w:pPr>
      <w:r w:rsidRPr="00B84695">
        <w:rPr>
          <w:rStyle w:val="Refdenotaalpie"/>
          <w:rFonts w:ascii="Verdana" w:hAnsi="Verdana"/>
          <w:sz w:val="16"/>
          <w:szCs w:val="16"/>
        </w:rPr>
        <w:footnoteRef/>
      </w:r>
      <w:r w:rsidRPr="00B84695">
        <w:rPr>
          <w:rFonts w:ascii="Verdana" w:hAnsi="Verdana"/>
          <w:sz w:val="16"/>
          <w:szCs w:val="16"/>
        </w:rPr>
        <w:t xml:space="preserve"> </w:t>
      </w:r>
      <w:r w:rsidRPr="00B84695">
        <w:rPr>
          <w:rFonts w:ascii="Verdana" w:hAnsi="Verdana"/>
          <w:sz w:val="16"/>
          <w:szCs w:val="16"/>
          <w:lang w:val="es-CO"/>
        </w:rPr>
        <w:t>SANTOFIMIO GAMBOA, Jaime Orlando. Delitos de celebración indebida de contratos, Bogotá, Universidad Externado de Colombia, 2000, p. 290.</w:t>
      </w:r>
    </w:p>
    <w:p w14:paraId="0A632505" w14:textId="77777777" w:rsidR="00DC6A1A" w:rsidRPr="00B84695" w:rsidRDefault="00DC6A1A" w:rsidP="00DC6A1A">
      <w:pPr>
        <w:pStyle w:val="Textonotapie"/>
        <w:spacing w:before="120" w:after="120"/>
        <w:ind w:firstLine="708"/>
        <w:contextualSpacing/>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A7322E"/>
    <w:multiLevelType w:val="hybridMultilevel"/>
    <w:tmpl w:val="91E0AE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CF6"/>
    <w:rsid w:val="00046945"/>
    <w:rsid w:val="00061B2A"/>
    <w:rsid w:val="00082362"/>
    <w:rsid w:val="000A683E"/>
    <w:rsid w:val="000B19B9"/>
    <w:rsid w:val="000D0334"/>
    <w:rsid w:val="000D5DA7"/>
    <w:rsid w:val="000F6486"/>
    <w:rsid w:val="00116940"/>
    <w:rsid w:val="00125105"/>
    <w:rsid w:val="00127233"/>
    <w:rsid w:val="00134BA8"/>
    <w:rsid w:val="001378FB"/>
    <w:rsid w:val="0015699B"/>
    <w:rsid w:val="001A33BF"/>
    <w:rsid w:val="001C09A9"/>
    <w:rsid w:val="001E4177"/>
    <w:rsid w:val="001F0B24"/>
    <w:rsid w:val="001F7DC6"/>
    <w:rsid w:val="00205C54"/>
    <w:rsid w:val="0022400B"/>
    <w:rsid w:val="002421BB"/>
    <w:rsid w:val="00253B95"/>
    <w:rsid w:val="0025796E"/>
    <w:rsid w:val="002707A2"/>
    <w:rsid w:val="002951A0"/>
    <w:rsid w:val="002962BC"/>
    <w:rsid w:val="002A093D"/>
    <w:rsid w:val="002A0DD0"/>
    <w:rsid w:val="002A49AC"/>
    <w:rsid w:val="002A64FD"/>
    <w:rsid w:val="002C7A84"/>
    <w:rsid w:val="002E2BF8"/>
    <w:rsid w:val="002E4FD9"/>
    <w:rsid w:val="002E6FDB"/>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39C"/>
    <w:rsid w:val="00406575"/>
    <w:rsid w:val="00414C74"/>
    <w:rsid w:val="0042722E"/>
    <w:rsid w:val="0044528D"/>
    <w:rsid w:val="00466E39"/>
    <w:rsid w:val="004A1847"/>
    <w:rsid w:val="004A305D"/>
    <w:rsid w:val="004F21C4"/>
    <w:rsid w:val="004F685F"/>
    <w:rsid w:val="005566E8"/>
    <w:rsid w:val="00574867"/>
    <w:rsid w:val="00591460"/>
    <w:rsid w:val="005A65E0"/>
    <w:rsid w:val="005A6E32"/>
    <w:rsid w:val="005C3777"/>
    <w:rsid w:val="005C5CDC"/>
    <w:rsid w:val="005D476C"/>
    <w:rsid w:val="006200BF"/>
    <w:rsid w:val="006219F8"/>
    <w:rsid w:val="006302F7"/>
    <w:rsid w:val="00646B9F"/>
    <w:rsid w:val="00665D70"/>
    <w:rsid w:val="006900D9"/>
    <w:rsid w:val="006A473D"/>
    <w:rsid w:val="006E4AC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32CC"/>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6BEC"/>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5D80"/>
    <w:rsid w:val="00AA4134"/>
    <w:rsid w:val="00AB0ADB"/>
    <w:rsid w:val="00AB1A17"/>
    <w:rsid w:val="00B00C0E"/>
    <w:rsid w:val="00B01B1A"/>
    <w:rsid w:val="00B0381D"/>
    <w:rsid w:val="00B44A47"/>
    <w:rsid w:val="00B72CD3"/>
    <w:rsid w:val="00B72FFF"/>
    <w:rsid w:val="00BC3D36"/>
    <w:rsid w:val="00BD54A6"/>
    <w:rsid w:val="00BD7F72"/>
    <w:rsid w:val="00BF7425"/>
    <w:rsid w:val="00C04FB3"/>
    <w:rsid w:val="00C11D8B"/>
    <w:rsid w:val="00C15139"/>
    <w:rsid w:val="00C208E6"/>
    <w:rsid w:val="00C330EB"/>
    <w:rsid w:val="00C50D69"/>
    <w:rsid w:val="00C5365C"/>
    <w:rsid w:val="00C754BE"/>
    <w:rsid w:val="00C76B1C"/>
    <w:rsid w:val="00C925AC"/>
    <w:rsid w:val="00CB6357"/>
    <w:rsid w:val="00CC1B26"/>
    <w:rsid w:val="00CD0256"/>
    <w:rsid w:val="00D10B54"/>
    <w:rsid w:val="00D1435D"/>
    <w:rsid w:val="00D361FD"/>
    <w:rsid w:val="00D40C1B"/>
    <w:rsid w:val="00D423A2"/>
    <w:rsid w:val="00D44E26"/>
    <w:rsid w:val="00D520D8"/>
    <w:rsid w:val="00D63AC2"/>
    <w:rsid w:val="00D7383B"/>
    <w:rsid w:val="00D7788A"/>
    <w:rsid w:val="00D871E4"/>
    <w:rsid w:val="00DA231B"/>
    <w:rsid w:val="00DC39FC"/>
    <w:rsid w:val="00DC6A1A"/>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4FEF"/>
    <w:rsid w:val="00F23FEA"/>
    <w:rsid w:val="00F31EDC"/>
    <w:rsid w:val="00F36B17"/>
    <w:rsid w:val="00F462B3"/>
    <w:rsid w:val="00F5664F"/>
    <w:rsid w:val="00F666C4"/>
    <w:rsid w:val="00F76AFC"/>
    <w:rsid w:val="00FA47C0"/>
    <w:rsid w:val="00FB5DD1"/>
    <w:rsid w:val="00FC2B5D"/>
    <w:rsid w:val="00FE2B87"/>
    <w:rsid w:val="00FF1449"/>
    <w:rsid w:val="00FF7963"/>
    <w:rsid w:val="0430E5A3"/>
    <w:rsid w:val="09908A09"/>
    <w:rsid w:val="0B7E1428"/>
    <w:rsid w:val="13CFC91B"/>
    <w:rsid w:val="1421BAE0"/>
    <w:rsid w:val="14DB6399"/>
    <w:rsid w:val="172E9ED1"/>
    <w:rsid w:val="19A2EC2C"/>
    <w:rsid w:val="1C8EADAD"/>
    <w:rsid w:val="2859CA1B"/>
    <w:rsid w:val="2BBFAC95"/>
    <w:rsid w:val="2C81D1F1"/>
    <w:rsid w:val="32A4F9CF"/>
    <w:rsid w:val="33608EAE"/>
    <w:rsid w:val="356CEDFD"/>
    <w:rsid w:val="35B5C16B"/>
    <w:rsid w:val="39377694"/>
    <w:rsid w:val="3BC39B7C"/>
    <w:rsid w:val="412F2EAE"/>
    <w:rsid w:val="44BFF9BB"/>
    <w:rsid w:val="474DE71C"/>
    <w:rsid w:val="4772CF72"/>
    <w:rsid w:val="4835F499"/>
    <w:rsid w:val="4F87A4C2"/>
    <w:rsid w:val="56544B89"/>
    <w:rsid w:val="5D2346AF"/>
    <w:rsid w:val="5F7BFCFF"/>
    <w:rsid w:val="69614A15"/>
    <w:rsid w:val="70B142D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6FACE0BC-B283-4841-BD2F-EB03BFED1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6A1A"/>
    <w:rPr>
      <w:rFonts w:ascii="Geomanist Light" w:hAnsi="Geomanist Light"/>
      <w:lang w:val="es-ES"/>
    </w:rPr>
  </w:style>
  <w:style w:type="paragraph" w:customStyle="1" w:styleId="Appelnotedebasde">
    <w:name w:val="Appel note de bas de..."/>
    <w:basedOn w:val="Normal"/>
    <w:link w:val="Refdenotaalpie"/>
    <w:uiPriority w:val="99"/>
    <w:rsid w:val="00DC6A1A"/>
    <w:pPr>
      <w:spacing w:line="240" w:lineRule="exact"/>
    </w:pPr>
    <w:rPr>
      <w:vertAlign w:val="superscript"/>
    </w:rPr>
  </w:style>
  <w:style w:type="paragraph" w:styleId="Textocomentario">
    <w:name w:val="annotation text"/>
    <w:basedOn w:val="Normal"/>
    <w:link w:val="TextocomentarioCar"/>
    <w:uiPriority w:val="99"/>
    <w:semiHidden/>
    <w:unhideWhenUsed/>
    <w:rsid w:val="00D10B5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10B54"/>
    <w:rPr>
      <w:sz w:val="20"/>
      <w:szCs w:val="20"/>
    </w:rPr>
  </w:style>
  <w:style w:type="character" w:styleId="Refdecomentario">
    <w:name w:val="annotation reference"/>
    <w:basedOn w:val="Fuentedeprrafopredeter"/>
    <w:uiPriority w:val="99"/>
    <w:semiHidden/>
    <w:unhideWhenUsed/>
    <w:rsid w:val="00D10B5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wp-content/uploads/2024/08/cce_guia_supervision_interventoria.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losgiraldo1984@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A39DD6E-1995-48D9-8E9B-20B7CEC183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19</Pages>
  <Words>5847</Words>
  <Characters>32159</Characters>
  <Application>Microsoft Office Word</Application>
  <DocSecurity>0</DocSecurity>
  <Lines>267</Lines>
  <Paragraphs>75</Paragraphs>
  <ScaleCrop>false</ScaleCrop>
  <Company/>
  <LinksUpToDate>false</LinksUpToDate>
  <CharactersWithSpaces>37931</CharactersWithSpaces>
  <SharedDoc>false</SharedDoc>
  <HLinks>
    <vt:vector size="24"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7077970</vt:i4>
      </vt:variant>
      <vt:variant>
        <vt:i4>3</vt:i4>
      </vt:variant>
      <vt:variant>
        <vt:i4>0</vt:i4>
      </vt:variant>
      <vt:variant>
        <vt:i4>5</vt:i4>
      </vt:variant>
      <vt:variant>
        <vt:lpwstr>https://colombiacompra.gov.co/wp-content/uploads/2024/08/cce_guia_supervision_interventoria.pdf</vt:lpwstr>
      </vt:variant>
      <vt:variant>
        <vt:lpwstr/>
      </vt:variant>
      <vt:variant>
        <vt:i4>8126533</vt:i4>
      </vt:variant>
      <vt:variant>
        <vt:i4>0</vt:i4>
      </vt:variant>
      <vt:variant>
        <vt:i4>0</vt:i4>
      </vt:variant>
      <vt:variant>
        <vt:i4>5</vt:i4>
      </vt:variant>
      <vt:variant>
        <vt:lpwstr>mailto:arlosgiraldo1984@gmail.com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6</cp:revision>
  <cp:lastPrinted>2023-01-10T21:18:00Z</cp:lastPrinted>
  <dcterms:created xsi:type="dcterms:W3CDTF">2025-11-13T14:50:00Z</dcterms:created>
  <dcterms:modified xsi:type="dcterms:W3CDTF">2025-11-21T14:59:00Z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