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4285D" w14:textId="77777777" w:rsidR="00CE4F1A" w:rsidRPr="006A5743" w:rsidRDefault="00CE4F1A" w:rsidP="00CE4F1A">
      <w:pPr>
        <w:spacing w:line="276" w:lineRule="auto"/>
        <w:jc w:val="both"/>
        <w:rPr>
          <w:rFonts w:ascii="Verdana" w:eastAsia="Century Gothic" w:hAnsi="Verdana" w:cs="Century Gothic"/>
          <w:b/>
        </w:rPr>
      </w:pPr>
      <w:bookmarkStart w:id="0" w:name="_Hlk181166130"/>
      <w:bookmarkStart w:id="1" w:name="_Hlk209714638"/>
      <w:r w:rsidRPr="006A5743">
        <w:rPr>
          <w:rFonts w:ascii="Verdana" w:eastAsia="Century Gothic" w:hAnsi="Verdana" w:cs="Century Gothic"/>
          <w:b/>
        </w:rPr>
        <w:t xml:space="preserve">PROMOCIÓN AL DESARROLLO – Ley 2069 de 2020 – Artículo 34 </w:t>
      </w:r>
    </w:p>
    <w:p w14:paraId="3A4D24F8" w14:textId="77777777" w:rsidR="00CE4F1A" w:rsidRPr="006A5743" w:rsidRDefault="00CE4F1A" w:rsidP="00CE4F1A">
      <w:pPr>
        <w:spacing w:after="0" w:line="240" w:lineRule="auto"/>
        <w:jc w:val="both"/>
        <w:rPr>
          <w:rStyle w:val="eop"/>
          <w:rFonts w:ascii="Verdana" w:hAnsi="Verdana" w:cs="Arial"/>
          <w:color w:val="000000"/>
          <w:sz w:val="20"/>
          <w:szCs w:val="20"/>
          <w:shd w:val="clear" w:color="auto" w:fill="FFFFFF"/>
        </w:rPr>
      </w:pPr>
      <w:r w:rsidRPr="006A5743">
        <w:rPr>
          <w:rStyle w:val="normaltextrun"/>
          <w:rFonts w:ascii="Verdana" w:hAnsi="Verdana" w:cs="Arial"/>
          <w:color w:val="000000"/>
          <w:sz w:val="20"/>
          <w:szCs w:val="20"/>
          <w:shd w:val="clear" w:color="auto" w:fill="FFFFFF"/>
          <w:lang w:val="es-ES"/>
        </w:rPr>
        <w:t xml:space="preserve">El artículo 34 de la Ley 2069 de 2020 dispone nuevas reglas sobre la promoción al desarrollo en la contratación estatal. Concretamente, modifica el contenido del artículo 12 de la Ley 1150 de 2007, regulación que se resume en los siguientes aspectos: i) Encomienda, con carácter imperativo, al gobierno nacional definir las condiciones y los montos para que las entidades estatales –cualquiera sea su régimen contractual–, los patrimonios autónomos constituidos por aquellas y los particulares que administren recursos públicos efectúen convocatorias limitadas a MiPymes en los procesos de contratación. Además, agrega que estas convocatorias se pueden realizar también en el ámbito municipal o departamental en el que se ejecute el contrato. </w:t>
      </w:r>
      <w:proofErr w:type="spellStart"/>
      <w:r w:rsidRPr="006A5743">
        <w:rPr>
          <w:rStyle w:val="normaltextrun"/>
          <w:rFonts w:ascii="Verdana" w:hAnsi="Verdana" w:cs="Arial"/>
          <w:color w:val="000000"/>
          <w:sz w:val="20"/>
          <w:szCs w:val="20"/>
          <w:shd w:val="clear" w:color="auto" w:fill="FFFFFF"/>
          <w:lang w:val="es-ES"/>
        </w:rPr>
        <w:t>ii</w:t>
      </w:r>
      <w:proofErr w:type="spellEnd"/>
      <w:r w:rsidRPr="006A5743">
        <w:rPr>
          <w:rStyle w:val="normaltextrun"/>
          <w:rFonts w:ascii="Verdana" w:hAnsi="Verdana" w:cs="Arial"/>
          <w:color w:val="000000"/>
          <w:sz w:val="20"/>
          <w:szCs w:val="20"/>
          <w:shd w:val="clear" w:color="auto" w:fill="FFFFFF"/>
          <w:lang w:val="es-ES"/>
        </w:rPr>
        <w:t>) Indica que dichas convocatorias se deben efectuar –y así lo deberá reglamentar el gobierno nacional– siempre y cuando, antes del acto administrativo de apertura del proceso de selección, por lo menos dos (2) MiPymes hayan manifestado su interés. […]</w:t>
      </w:r>
      <w:r w:rsidRPr="006A5743">
        <w:rPr>
          <w:rStyle w:val="eop"/>
          <w:rFonts w:ascii="Verdana" w:hAnsi="Verdana" w:cs="Arial"/>
          <w:color w:val="000000"/>
          <w:sz w:val="20"/>
          <w:szCs w:val="20"/>
          <w:shd w:val="clear" w:color="auto" w:fill="FFFFFF"/>
        </w:rPr>
        <w:t> </w:t>
      </w:r>
    </w:p>
    <w:p w14:paraId="3C9005E1" w14:textId="77777777" w:rsidR="00CE4F1A" w:rsidRPr="006A5743" w:rsidRDefault="00CE4F1A" w:rsidP="00CE4F1A">
      <w:pPr>
        <w:spacing w:after="0" w:line="240" w:lineRule="auto"/>
        <w:jc w:val="both"/>
        <w:rPr>
          <w:rStyle w:val="eop"/>
          <w:rFonts w:ascii="Verdana" w:hAnsi="Verdana" w:cs="Arial"/>
          <w:color w:val="000000"/>
          <w:sz w:val="20"/>
          <w:szCs w:val="20"/>
          <w:shd w:val="clear" w:color="auto" w:fill="FFFFFF"/>
        </w:rPr>
      </w:pPr>
    </w:p>
    <w:p w14:paraId="7C3E53AA" w14:textId="77777777" w:rsidR="00CE4F1A" w:rsidRPr="006A5743" w:rsidRDefault="00CE4F1A" w:rsidP="00CE4F1A">
      <w:pPr>
        <w:spacing w:after="0" w:line="240" w:lineRule="auto"/>
        <w:jc w:val="both"/>
        <w:rPr>
          <w:rFonts w:ascii="Verdana" w:eastAsia="Century Gothic" w:hAnsi="Verdana" w:cs="Century Gothic"/>
          <w:b/>
        </w:rPr>
      </w:pPr>
      <w:r w:rsidRPr="006A5743">
        <w:rPr>
          <w:rFonts w:ascii="Verdana" w:eastAsia="Century Gothic" w:hAnsi="Verdana" w:cs="Century Gothic"/>
          <w:b/>
        </w:rPr>
        <w:t xml:space="preserve">CONVOCATORIAS LIMITADAS A MIPYMES NACIONALES – Requisitos </w:t>
      </w:r>
    </w:p>
    <w:p w14:paraId="7E1C932B" w14:textId="77777777" w:rsidR="00CE4F1A" w:rsidRPr="006A5743" w:rsidRDefault="00CE4F1A" w:rsidP="00CE4F1A">
      <w:pPr>
        <w:spacing w:after="0" w:line="240" w:lineRule="auto"/>
        <w:jc w:val="both"/>
        <w:rPr>
          <w:rFonts w:ascii="Verdana" w:eastAsia="Century Gothic" w:hAnsi="Verdana" w:cs="Century Gothic"/>
          <w:b/>
        </w:rPr>
      </w:pPr>
    </w:p>
    <w:p w14:paraId="2946E6E9" w14:textId="77777777" w:rsidR="00CE4F1A" w:rsidRPr="006A5743" w:rsidRDefault="00CE4F1A" w:rsidP="00CE4F1A">
      <w:pPr>
        <w:pStyle w:val="paragraph"/>
        <w:spacing w:before="0" w:beforeAutospacing="0" w:after="0" w:afterAutospacing="0"/>
        <w:jc w:val="both"/>
        <w:textAlignment w:val="baseline"/>
        <w:rPr>
          <w:rStyle w:val="eop"/>
          <w:rFonts w:ascii="Verdana" w:hAnsi="Verdana" w:cs="Arial"/>
          <w:color w:val="000000"/>
          <w:sz w:val="20"/>
          <w:szCs w:val="20"/>
        </w:rPr>
      </w:pPr>
      <w:r w:rsidRPr="006A5743">
        <w:rPr>
          <w:rStyle w:val="normaltextrun"/>
          <w:rFonts w:ascii="Verdana" w:hAnsi="Verdana" w:cs="Arial"/>
          <w:color w:val="000000"/>
          <w:sz w:val="20"/>
          <w:szCs w:val="20"/>
        </w:rPr>
        <w:t>El artículo 2.2.1.2.4.2.2. del Decreto 1082 de 2015 establece los requisitos que se deben acreditar en las “convocatorias limitadas a MiPymes”. El primer elemento delimitador del ámbito de aplicación de esta norma deriva del primer inciso en donde se estable que la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 Esta redacción obedece a un cambio introducido por el Decreto 1860 de 2021, el cual solo permitía la limitación a MiPymes nacionales en los procedimientos de licitación pública, selección abreviada y concurso de méritos. </w:t>
      </w:r>
      <w:r w:rsidRPr="006A5743">
        <w:rPr>
          <w:rStyle w:val="eop"/>
          <w:rFonts w:ascii="Verdana" w:hAnsi="Verdana" w:cs="Arial"/>
          <w:color w:val="000000"/>
        </w:rPr>
        <w:t> </w:t>
      </w:r>
    </w:p>
    <w:p w14:paraId="20155017" w14:textId="77777777" w:rsidR="00CE4F1A" w:rsidRPr="006A5743" w:rsidRDefault="00CE4F1A" w:rsidP="00CE4F1A">
      <w:pPr>
        <w:spacing w:after="0" w:line="240" w:lineRule="auto"/>
        <w:jc w:val="both"/>
        <w:rPr>
          <w:rFonts w:ascii="Verdana" w:eastAsia="Century Gothic" w:hAnsi="Verdana" w:cs="Century Gothic"/>
          <w:b/>
        </w:rPr>
      </w:pPr>
    </w:p>
    <w:p w14:paraId="6CAE34DB" w14:textId="77777777" w:rsidR="00CE4F1A" w:rsidRPr="006A5743" w:rsidRDefault="00CE4F1A" w:rsidP="00CE4F1A">
      <w:pPr>
        <w:spacing w:after="0" w:line="240" w:lineRule="auto"/>
        <w:jc w:val="both"/>
        <w:rPr>
          <w:rFonts w:ascii="Verdana" w:hAnsi="Verdana" w:cs="Arial"/>
          <w:color w:val="000000"/>
          <w:sz w:val="20"/>
          <w:szCs w:val="20"/>
          <w:shd w:val="clear" w:color="auto" w:fill="FFFFFF"/>
        </w:rPr>
      </w:pPr>
      <w:r w:rsidRPr="006A5743">
        <w:rPr>
          <w:rFonts w:ascii="Verdana" w:eastAsia="Century Gothic" w:hAnsi="Verdana" w:cs="Century Gothic"/>
          <w:b/>
        </w:rPr>
        <w:t xml:space="preserve"> CONVOCATORIAS LIMITADAS A MIPYMES EN EL ÁMBITO TERRITORIAL – Limitación territorial – Facultad discrecional </w:t>
      </w:r>
    </w:p>
    <w:p w14:paraId="722E9FBB" w14:textId="77777777" w:rsidR="00CE4F1A" w:rsidRPr="006A5743" w:rsidRDefault="00CE4F1A" w:rsidP="00CE4F1A">
      <w:pPr>
        <w:spacing w:after="0"/>
        <w:rPr>
          <w:rFonts w:ascii="Verdana" w:hAnsi="Verdana"/>
        </w:rPr>
      </w:pPr>
    </w:p>
    <w:p w14:paraId="01B2B19D" w14:textId="77777777" w:rsidR="00CE4F1A" w:rsidRPr="006A5743" w:rsidRDefault="00CE4F1A" w:rsidP="00CE4F1A">
      <w:pPr>
        <w:pStyle w:val="paragraph"/>
        <w:spacing w:before="0" w:beforeAutospacing="0" w:after="0" w:afterAutospacing="0"/>
        <w:jc w:val="both"/>
        <w:textAlignment w:val="baseline"/>
        <w:rPr>
          <w:rFonts w:ascii="Verdana" w:hAnsi="Verdana" w:cs="Segoe UI"/>
          <w:sz w:val="18"/>
          <w:szCs w:val="18"/>
        </w:rPr>
      </w:pPr>
      <w:r w:rsidRPr="006A5743">
        <w:rPr>
          <w:rStyle w:val="normaltextrun"/>
          <w:rFonts w:ascii="Verdana" w:hAnsi="Verdana" w:cs="Arial"/>
          <w:color w:val="000000"/>
          <w:sz w:val="20"/>
          <w:szCs w:val="20"/>
        </w:rPr>
        <w:t xml:space="preserve">Cumplidos los dos requisitos del artículo 2.2.1.2.4.2.2. </w:t>
      </w:r>
      <w:r w:rsidRPr="006A5743">
        <w:rPr>
          <w:rStyle w:val="normaltextrun"/>
          <w:rFonts w:ascii="Verdana" w:hAnsi="Verdana" w:cs="Arial"/>
          <w:i/>
          <w:iCs/>
          <w:color w:val="000000"/>
          <w:sz w:val="20"/>
          <w:szCs w:val="20"/>
        </w:rPr>
        <w:t>ibidem</w:t>
      </w:r>
      <w:r w:rsidRPr="006A5743">
        <w:rPr>
          <w:rStyle w:val="normaltextrun"/>
          <w:rFonts w:ascii="Verdana" w:hAnsi="Verdana" w:cs="Arial"/>
          <w:color w:val="000000"/>
          <w:sz w:val="20"/>
          <w:szCs w:val="20"/>
        </w:rPr>
        <w:t>, la entidad puede ─no tiene que─ decidir si limita la convocatoria a las MiPymes nacionales domiciliadas en el municipio o departamento en el que se ejecutará el contrato</w:t>
      </w:r>
      <w:r w:rsidRPr="006A5743">
        <w:rPr>
          <w:rStyle w:val="superscript"/>
          <w:rFonts w:ascii="Verdana" w:hAnsi="Verdana" w:cs="Arial"/>
          <w:color w:val="000000"/>
          <w:vertAlign w:val="superscript"/>
        </w:rPr>
        <w:t>1</w:t>
      </w:r>
      <w:r w:rsidRPr="006A5743">
        <w:rPr>
          <w:rStyle w:val="normaltextrun"/>
          <w:rFonts w:ascii="Verdana" w:hAnsi="Verdana" w:cs="Arial"/>
          <w:color w:val="000000"/>
          <w:sz w:val="20"/>
          <w:szCs w:val="20"/>
        </w:rPr>
        <w:t xml:space="preserve">. Esto de acuerdo con lo establecido en artículo 2.2.1.2.4.2.3. del Decreto 1082 de 2015, norma que se refiere a la facultad de la administración con el verbo infinitivo “poder”, no “deber”. En cualquier caso, Colombia Compra Eficiente ha sostenido que es discrecional la decisión de limitar territorialmente una convocatoria de MiPymes, y ha precisado que, de todos modos, la decisión debe estar justificada en los correspondientes “estudios del sector”. […] los artículos 2.2.1.2.4.2.2 y 2.2.1.2.4.2.3  deben ser interpretados de manera armónica, comoquiera que para proceder a limitar hacer una limitación territoriales es indispensable que se cumplan, no solo el presupuestos establecidos en el artículo 2.2.1.2.4.2.3.–domicilio en el municipio o departamento de ejecución del contrato–, sino también los establecidos en el artículo 2.2.1.2.4.2.2 –valor del proceso de contratación en el rango indicado y solicitudes de al menos dos MiPymes presentadas </w:t>
      </w:r>
      <w:r w:rsidRPr="006A5743">
        <w:rPr>
          <w:rStyle w:val="normaltextrun"/>
          <w:rFonts w:ascii="Verdana" w:hAnsi="Verdana" w:cs="Arial"/>
          <w:color w:val="000000"/>
          <w:sz w:val="20"/>
          <w:szCs w:val="20"/>
        </w:rPr>
        <w:lastRenderedPageBreak/>
        <w:t>oportunamente–. En ese sentido, para que proceda la limitación territorial es necesario que se presenten al menos dos solicitudes de MiPymes domiciliadas en el departamento o municipio en donde se va a ejecutar el contrato.  Este entendimiento de la norma, sin embargo, da lugar a dos interpretaciones sobre las que se deben hacer unas precisiones.</w:t>
      </w:r>
      <w:r w:rsidRPr="006A5743">
        <w:rPr>
          <w:rStyle w:val="eop"/>
          <w:rFonts w:ascii="Verdana" w:hAnsi="Verdana" w:cs="Arial"/>
          <w:color w:val="000000"/>
          <w:sz w:val="20"/>
          <w:szCs w:val="20"/>
        </w:rPr>
        <w:t> </w:t>
      </w:r>
    </w:p>
    <w:p w14:paraId="3F547E12" w14:textId="77777777" w:rsidR="00CE4F1A" w:rsidRDefault="00CE4F1A" w:rsidP="00CE4F1A">
      <w:pPr>
        <w:spacing w:after="0" w:line="240" w:lineRule="auto"/>
        <w:rPr>
          <w:rFonts w:ascii="Verdana" w:hAnsi="Verdana"/>
        </w:rPr>
      </w:pPr>
    </w:p>
    <w:p w14:paraId="27754E90" w14:textId="77777777" w:rsidR="00CE4F1A" w:rsidRDefault="00CE4F1A" w:rsidP="00CE4F1A">
      <w:pPr>
        <w:spacing w:after="0" w:line="240" w:lineRule="auto"/>
        <w:rPr>
          <w:rFonts w:ascii="Verdana" w:hAnsi="Verdana"/>
        </w:rPr>
      </w:pPr>
    </w:p>
    <w:p w14:paraId="5A53A282" w14:textId="77777777" w:rsidR="00CE4F1A" w:rsidRDefault="00CE4F1A" w:rsidP="00CE4F1A">
      <w:pPr>
        <w:spacing w:after="0" w:line="240" w:lineRule="auto"/>
        <w:rPr>
          <w:rFonts w:ascii="Verdana" w:hAnsi="Verdana"/>
        </w:rPr>
      </w:pPr>
    </w:p>
    <w:p w14:paraId="558E37E8" w14:textId="77777777" w:rsidR="00CE4F1A" w:rsidRDefault="00CE4F1A" w:rsidP="00CE4F1A">
      <w:pPr>
        <w:spacing w:after="0" w:line="240" w:lineRule="auto"/>
        <w:rPr>
          <w:rFonts w:ascii="Verdana" w:hAnsi="Verdana"/>
        </w:rPr>
      </w:pPr>
    </w:p>
    <w:p w14:paraId="4C03A196" w14:textId="77777777" w:rsidR="00CE4F1A" w:rsidRDefault="00CE4F1A" w:rsidP="00CE4F1A">
      <w:pPr>
        <w:spacing w:after="0" w:line="240" w:lineRule="auto"/>
        <w:rPr>
          <w:rFonts w:ascii="Verdana" w:hAnsi="Verdana"/>
        </w:rPr>
      </w:pPr>
    </w:p>
    <w:p w14:paraId="425ADD52" w14:textId="77777777" w:rsidR="00CE4F1A" w:rsidRDefault="00CE4F1A" w:rsidP="00CE4F1A">
      <w:pPr>
        <w:spacing w:after="0" w:line="240" w:lineRule="auto"/>
        <w:rPr>
          <w:rFonts w:ascii="Verdana" w:hAnsi="Verdana"/>
        </w:rPr>
      </w:pPr>
    </w:p>
    <w:p w14:paraId="32E966DC" w14:textId="77777777" w:rsidR="00CE4F1A" w:rsidRDefault="00CE4F1A" w:rsidP="00CE4F1A">
      <w:pPr>
        <w:spacing w:after="0" w:line="240" w:lineRule="auto"/>
        <w:rPr>
          <w:rFonts w:ascii="Verdana" w:hAnsi="Verdana"/>
        </w:rPr>
      </w:pPr>
    </w:p>
    <w:p w14:paraId="3F1BD81E" w14:textId="77777777" w:rsidR="00CE4F1A" w:rsidRDefault="00CE4F1A" w:rsidP="00CE4F1A">
      <w:pPr>
        <w:spacing w:after="0" w:line="240" w:lineRule="auto"/>
        <w:rPr>
          <w:rFonts w:ascii="Verdana" w:hAnsi="Verdana"/>
        </w:rPr>
      </w:pPr>
    </w:p>
    <w:p w14:paraId="2A3EDAB4" w14:textId="77777777" w:rsidR="00CE4F1A" w:rsidRDefault="00CE4F1A" w:rsidP="00CE4F1A">
      <w:pPr>
        <w:spacing w:after="0" w:line="240" w:lineRule="auto"/>
        <w:rPr>
          <w:rFonts w:ascii="Verdana" w:hAnsi="Verdana"/>
        </w:rPr>
      </w:pPr>
    </w:p>
    <w:p w14:paraId="48590322" w14:textId="77777777" w:rsidR="00CE4F1A" w:rsidRDefault="00CE4F1A" w:rsidP="00CE4F1A">
      <w:pPr>
        <w:spacing w:after="0" w:line="240" w:lineRule="auto"/>
        <w:rPr>
          <w:rFonts w:ascii="Verdana" w:hAnsi="Verdana"/>
        </w:rPr>
      </w:pPr>
    </w:p>
    <w:p w14:paraId="19D9FDBB" w14:textId="77777777" w:rsidR="00CE4F1A" w:rsidRDefault="00CE4F1A" w:rsidP="00CE4F1A">
      <w:pPr>
        <w:spacing w:after="0" w:line="240" w:lineRule="auto"/>
        <w:rPr>
          <w:rFonts w:ascii="Verdana" w:hAnsi="Verdana"/>
        </w:rPr>
      </w:pPr>
    </w:p>
    <w:p w14:paraId="5AE7A242" w14:textId="77777777" w:rsidR="00CE4F1A" w:rsidRDefault="00CE4F1A" w:rsidP="00CE4F1A">
      <w:pPr>
        <w:spacing w:after="0" w:line="240" w:lineRule="auto"/>
        <w:rPr>
          <w:rFonts w:ascii="Verdana" w:hAnsi="Verdana"/>
        </w:rPr>
      </w:pPr>
    </w:p>
    <w:p w14:paraId="0348A814" w14:textId="77777777" w:rsidR="00CE4F1A" w:rsidRDefault="00CE4F1A" w:rsidP="00CE4F1A">
      <w:pPr>
        <w:spacing w:after="0" w:line="240" w:lineRule="auto"/>
        <w:rPr>
          <w:rFonts w:ascii="Verdana" w:hAnsi="Verdana"/>
        </w:rPr>
      </w:pPr>
    </w:p>
    <w:p w14:paraId="1564C289" w14:textId="77777777" w:rsidR="00CE4F1A" w:rsidRDefault="00CE4F1A" w:rsidP="00CE4F1A">
      <w:pPr>
        <w:spacing w:after="0" w:line="240" w:lineRule="auto"/>
        <w:rPr>
          <w:rFonts w:ascii="Verdana" w:hAnsi="Verdana"/>
        </w:rPr>
      </w:pPr>
    </w:p>
    <w:p w14:paraId="5587CF3F" w14:textId="77777777" w:rsidR="00CE4F1A" w:rsidRDefault="00CE4F1A" w:rsidP="00CE4F1A">
      <w:pPr>
        <w:spacing w:after="0" w:line="240" w:lineRule="auto"/>
        <w:rPr>
          <w:rFonts w:ascii="Verdana" w:hAnsi="Verdana"/>
        </w:rPr>
      </w:pPr>
    </w:p>
    <w:p w14:paraId="56268DAF" w14:textId="77777777" w:rsidR="00CE4F1A" w:rsidRDefault="00CE4F1A" w:rsidP="00CE4F1A">
      <w:pPr>
        <w:spacing w:after="0" w:line="240" w:lineRule="auto"/>
        <w:rPr>
          <w:rFonts w:ascii="Verdana" w:hAnsi="Verdana"/>
        </w:rPr>
      </w:pPr>
    </w:p>
    <w:p w14:paraId="20165EB3" w14:textId="77777777" w:rsidR="00CE4F1A" w:rsidRDefault="00CE4F1A" w:rsidP="00CE4F1A">
      <w:pPr>
        <w:spacing w:after="0" w:line="240" w:lineRule="auto"/>
        <w:rPr>
          <w:rFonts w:ascii="Verdana" w:hAnsi="Verdana"/>
        </w:rPr>
      </w:pPr>
    </w:p>
    <w:p w14:paraId="153BB0A1" w14:textId="77777777" w:rsidR="00CE4F1A" w:rsidRDefault="00CE4F1A" w:rsidP="00CE4F1A">
      <w:pPr>
        <w:spacing w:after="0" w:line="240" w:lineRule="auto"/>
        <w:rPr>
          <w:rFonts w:ascii="Verdana" w:hAnsi="Verdana"/>
        </w:rPr>
      </w:pPr>
    </w:p>
    <w:p w14:paraId="2DF3BB6C" w14:textId="77777777" w:rsidR="00CE4F1A" w:rsidRDefault="00CE4F1A" w:rsidP="00CE4F1A">
      <w:pPr>
        <w:spacing w:after="0" w:line="240" w:lineRule="auto"/>
        <w:rPr>
          <w:rFonts w:ascii="Verdana" w:hAnsi="Verdana"/>
        </w:rPr>
      </w:pPr>
    </w:p>
    <w:p w14:paraId="7A69FB24" w14:textId="77777777" w:rsidR="00CE4F1A" w:rsidRDefault="00CE4F1A" w:rsidP="00CE4F1A">
      <w:pPr>
        <w:spacing w:after="0" w:line="240" w:lineRule="auto"/>
        <w:rPr>
          <w:rFonts w:ascii="Verdana" w:hAnsi="Verdana"/>
        </w:rPr>
      </w:pPr>
    </w:p>
    <w:p w14:paraId="4ED49D45" w14:textId="77777777" w:rsidR="00CE4F1A" w:rsidRDefault="00CE4F1A" w:rsidP="00CE4F1A">
      <w:pPr>
        <w:spacing w:after="0" w:line="240" w:lineRule="auto"/>
        <w:rPr>
          <w:rFonts w:ascii="Verdana" w:hAnsi="Verdana"/>
        </w:rPr>
      </w:pPr>
    </w:p>
    <w:p w14:paraId="4DA25062" w14:textId="77777777" w:rsidR="00CE4F1A" w:rsidRDefault="00CE4F1A" w:rsidP="00CE4F1A">
      <w:pPr>
        <w:spacing w:after="0" w:line="240" w:lineRule="auto"/>
        <w:rPr>
          <w:rFonts w:ascii="Verdana" w:hAnsi="Verdana"/>
        </w:rPr>
      </w:pPr>
    </w:p>
    <w:p w14:paraId="66F2A427" w14:textId="77777777" w:rsidR="00CE4F1A" w:rsidRDefault="00CE4F1A" w:rsidP="00CE4F1A">
      <w:pPr>
        <w:spacing w:after="0" w:line="240" w:lineRule="auto"/>
        <w:rPr>
          <w:rFonts w:ascii="Verdana" w:hAnsi="Verdana"/>
        </w:rPr>
      </w:pPr>
    </w:p>
    <w:p w14:paraId="0590633C" w14:textId="77777777" w:rsidR="00CE4F1A" w:rsidRDefault="00CE4F1A" w:rsidP="00CE4F1A">
      <w:pPr>
        <w:spacing w:after="0" w:line="240" w:lineRule="auto"/>
        <w:rPr>
          <w:rFonts w:ascii="Verdana" w:hAnsi="Verdana"/>
        </w:rPr>
      </w:pPr>
    </w:p>
    <w:p w14:paraId="0F3B99F7" w14:textId="77777777" w:rsidR="00CE4F1A" w:rsidRDefault="00CE4F1A" w:rsidP="00CE4F1A">
      <w:pPr>
        <w:spacing w:after="0" w:line="240" w:lineRule="auto"/>
        <w:rPr>
          <w:rFonts w:ascii="Verdana" w:hAnsi="Verdana"/>
        </w:rPr>
      </w:pPr>
    </w:p>
    <w:p w14:paraId="7C8E4FCD" w14:textId="77777777" w:rsidR="00CE4F1A" w:rsidRDefault="00CE4F1A" w:rsidP="00CE4F1A">
      <w:pPr>
        <w:spacing w:after="0" w:line="240" w:lineRule="auto"/>
        <w:rPr>
          <w:rFonts w:ascii="Verdana" w:hAnsi="Verdana"/>
        </w:rPr>
      </w:pPr>
    </w:p>
    <w:p w14:paraId="7A9858B7" w14:textId="77777777" w:rsidR="00CE4F1A" w:rsidRDefault="00CE4F1A" w:rsidP="00CE4F1A">
      <w:pPr>
        <w:spacing w:after="0" w:line="240" w:lineRule="auto"/>
        <w:rPr>
          <w:rFonts w:ascii="Verdana" w:hAnsi="Verdana"/>
        </w:rPr>
      </w:pPr>
    </w:p>
    <w:p w14:paraId="41905E64" w14:textId="77777777" w:rsidR="00CE4F1A" w:rsidRDefault="00CE4F1A" w:rsidP="00CE4F1A">
      <w:pPr>
        <w:spacing w:after="0" w:line="240" w:lineRule="auto"/>
        <w:rPr>
          <w:rFonts w:ascii="Verdana" w:hAnsi="Verdana"/>
        </w:rPr>
      </w:pPr>
    </w:p>
    <w:p w14:paraId="5A81EA2F" w14:textId="77777777" w:rsidR="00CE4F1A" w:rsidRDefault="00CE4F1A" w:rsidP="00CE4F1A">
      <w:pPr>
        <w:spacing w:after="0" w:line="240" w:lineRule="auto"/>
        <w:rPr>
          <w:rFonts w:ascii="Verdana" w:hAnsi="Verdana"/>
        </w:rPr>
      </w:pPr>
    </w:p>
    <w:p w14:paraId="4501EE55" w14:textId="77777777" w:rsidR="00CE4F1A" w:rsidRDefault="00CE4F1A" w:rsidP="00CE4F1A">
      <w:pPr>
        <w:spacing w:after="0" w:line="240" w:lineRule="auto"/>
        <w:rPr>
          <w:rFonts w:ascii="Verdana" w:hAnsi="Verdana"/>
        </w:rPr>
      </w:pPr>
    </w:p>
    <w:p w14:paraId="762103E0" w14:textId="77777777" w:rsidR="00CE4F1A" w:rsidRDefault="00CE4F1A" w:rsidP="00CE4F1A">
      <w:pPr>
        <w:spacing w:after="0" w:line="240" w:lineRule="auto"/>
        <w:rPr>
          <w:rFonts w:ascii="Verdana" w:hAnsi="Verdana"/>
        </w:rPr>
      </w:pPr>
    </w:p>
    <w:p w14:paraId="6B9E8FC6" w14:textId="77777777" w:rsidR="00CE4F1A" w:rsidRDefault="00CE4F1A" w:rsidP="00CE4F1A">
      <w:pPr>
        <w:spacing w:after="0" w:line="240" w:lineRule="auto"/>
        <w:rPr>
          <w:rFonts w:ascii="Verdana" w:hAnsi="Verdana"/>
        </w:rPr>
      </w:pPr>
    </w:p>
    <w:p w14:paraId="3CFE923F" w14:textId="77777777" w:rsidR="00CE4F1A" w:rsidRDefault="00CE4F1A" w:rsidP="00CE4F1A">
      <w:pPr>
        <w:spacing w:after="0" w:line="240" w:lineRule="auto"/>
        <w:rPr>
          <w:rFonts w:ascii="Verdana" w:hAnsi="Verdana"/>
        </w:rPr>
      </w:pPr>
    </w:p>
    <w:p w14:paraId="0D3D4359" w14:textId="77777777" w:rsidR="00CE4F1A" w:rsidRDefault="00CE4F1A" w:rsidP="00CE4F1A">
      <w:pPr>
        <w:spacing w:after="0" w:line="240" w:lineRule="auto"/>
        <w:rPr>
          <w:rFonts w:ascii="Verdana" w:hAnsi="Verdana"/>
        </w:rPr>
      </w:pPr>
    </w:p>
    <w:p w14:paraId="024D5340" w14:textId="77777777" w:rsidR="00CE4F1A" w:rsidRDefault="00CE4F1A" w:rsidP="00CE4F1A">
      <w:pPr>
        <w:spacing w:after="0" w:line="240" w:lineRule="auto"/>
        <w:rPr>
          <w:rFonts w:ascii="Verdana" w:hAnsi="Verdana"/>
        </w:rPr>
      </w:pPr>
    </w:p>
    <w:p w14:paraId="6B7F6E47" w14:textId="77777777" w:rsidR="00CE4F1A" w:rsidRDefault="00CE4F1A" w:rsidP="00CE4F1A">
      <w:pPr>
        <w:spacing w:after="0" w:line="240" w:lineRule="auto"/>
        <w:rPr>
          <w:rFonts w:ascii="Verdana" w:hAnsi="Verdana"/>
        </w:rPr>
      </w:pPr>
    </w:p>
    <w:p w14:paraId="12B68432" w14:textId="77777777" w:rsidR="00CE4F1A" w:rsidRDefault="00CE4F1A" w:rsidP="00CE4F1A">
      <w:pPr>
        <w:spacing w:after="0" w:line="240" w:lineRule="auto"/>
        <w:rPr>
          <w:rFonts w:ascii="Verdana" w:hAnsi="Verdana"/>
        </w:rPr>
      </w:pPr>
    </w:p>
    <w:p w14:paraId="2665F68F" w14:textId="77777777" w:rsidR="00CE4F1A" w:rsidRDefault="00CE4F1A" w:rsidP="00CE4F1A">
      <w:pPr>
        <w:spacing w:after="0" w:line="240" w:lineRule="auto"/>
        <w:rPr>
          <w:rFonts w:ascii="Verdana" w:hAnsi="Verdana"/>
        </w:rPr>
      </w:pPr>
    </w:p>
    <w:p w14:paraId="4B4CF4DD" w14:textId="08CB096F" w:rsidR="00CE4F1A" w:rsidRDefault="00CE4F1A" w:rsidP="00CE4F1A">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05388E">
        <w:rPr>
          <w:rFonts w:ascii="Verdana" w:hAnsi="Verdana"/>
        </w:rPr>
        <w:t xml:space="preserve">13 de noviembre de </w:t>
      </w:r>
      <w:proofErr w:type="gramStart"/>
      <w:r w:rsidR="0005388E">
        <w:rPr>
          <w:rFonts w:ascii="Verdana" w:hAnsi="Verdana"/>
        </w:rPr>
        <w:t>2025</w:t>
      </w:r>
      <w:r>
        <w:rPr>
          <w:rFonts w:ascii="Verdana" w:hAnsi="Verdana"/>
        </w:rPr>
        <w:t xml:space="preserve"> .</w:t>
      </w:r>
      <w:proofErr w:type="gramEnd"/>
    </w:p>
    <w:bookmarkEnd w:id="0"/>
    <w:p w14:paraId="625AADE1" w14:textId="77777777" w:rsidR="00CE4F1A" w:rsidRDefault="00CE4F1A" w:rsidP="00CE4F1A">
      <w:pPr>
        <w:spacing w:after="0" w:line="240" w:lineRule="auto"/>
        <w:rPr>
          <w:rFonts w:ascii="Verdana" w:hAnsi="Verdana"/>
        </w:rPr>
      </w:pPr>
    </w:p>
    <w:p w14:paraId="4BCD8AA5" w14:textId="2E7FEB21" w:rsidR="00CE4F1A" w:rsidRDefault="0005388E" w:rsidP="0005388E">
      <w:pPr>
        <w:spacing w:after="0" w:line="240" w:lineRule="auto"/>
        <w:jc w:val="right"/>
        <w:rPr>
          <w:rFonts w:ascii="Verdana" w:hAnsi="Verdana"/>
        </w:rPr>
      </w:pPr>
      <w:r>
        <w:rPr>
          <w:rFonts w:ascii="Verdana" w:hAnsi="Verdana"/>
          <w:noProof/>
        </w:rPr>
        <w:drawing>
          <wp:inline distT="0" distB="0" distL="0" distR="0" wp14:anchorId="2DCEAD0B" wp14:editId="422F5FED">
            <wp:extent cx="2590800" cy="828675"/>
            <wp:effectExtent l="0" t="0" r="0" b="9525"/>
            <wp:docPr id="5715299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90800" cy="828675"/>
                    </a:xfrm>
                    <a:prstGeom prst="rect">
                      <a:avLst/>
                    </a:prstGeom>
                    <a:noFill/>
                    <a:ln>
                      <a:noFill/>
                    </a:ln>
                  </pic:spPr>
                </pic:pic>
              </a:graphicData>
            </a:graphic>
          </wp:inline>
        </w:drawing>
      </w:r>
    </w:p>
    <w:p w14:paraId="15912234" w14:textId="77777777" w:rsidR="0005388E" w:rsidRDefault="0005388E" w:rsidP="00CE4F1A">
      <w:pPr>
        <w:spacing w:after="0" w:line="240" w:lineRule="auto"/>
        <w:rPr>
          <w:rFonts w:ascii="Verdana" w:hAnsi="Verdana"/>
        </w:rPr>
      </w:pPr>
    </w:p>
    <w:p w14:paraId="7195E590" w14:textId="77777777" w:rsidR="0005388E" w:rsidRDefault="0005388E" w:rsidP="00CE4F1A">
      <w:pPr>
        <w:spacing w:after="0" w:line="240" w:lineRule="auto"/>
        <w:rPr>
          <w:rFonts w:ascii="Verdana" w:hAnsi="Verdana"/>
        </w:rPr>
      </w:pPr>
    </w:p>
    <w:p w14:paraId="274CCA16" w14:textId="77777777" w:rsidR="00CE4F1A" w:rsidRDefault="00CE4F1A" w:rsidP="00CE4F1A">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47F18848" w14:textId="77777777" w:rsidR="00CE4F1A" w:rsidRPr="00D36635" w:rsidRDefault="00CE4F1A" w:rsidP="00CE4F1A">
      <w:pPr>
        <w:spacing w:after="0" w:line="240" w:lineRule="auto"/>
        <w:rPr>
          <w:rFonts w:ascii="Verdana" w:eastAsia="Calibri" w:hAnsi="Verdana" w:cs="Arial"/>
          <w:b/>
          <w:bCs/>
          <w:sz w:val="24"/>
          <w:szCs w:val="24"/>
          <w:lang w:eastAsia="es-ES"/>
        </w:rPr>
      </w:pPr>
      <w:r w:rsidRPr="00D36635">
        <w:rPr>
          <w:rFonts w:ascii="Verdana" w:eastAsia="Calibri" w:hAnsi="Verdana" w:cs="Arial"/>
          <w:b/>
          <w:bCs/>
          <w:sz w:val="24"/>
          <w:szCs w:val="24"/>
          <w:lang w:eastAsia="es-ES"/>
        </w:rPr>
        <w:t xml:space="preserve">Edward Oswaldo Castellanos Torres </w:t>
      </w:r>
    </w:p>
    <w:p w14:paraId="18060747" w14:textId="77777777" w:rsidR="00CE4F1A" w:rsidRPr="001A6583" w:rsidRDefault="00857BDD" w:rsidP="00CE4F1A">
      <w:pPr>
        <w:spacing w:after="0" w:line="240" w:lineRule="auto"/>
        <w:rPr>
          <w:rFonts w:ascii="Verdana" w:eastAsia="Calibri" w:hAnsi="Verdana" w:cs="Arial"/>
          <w:lang w:eastAsia="es-ES"/>
        </w:rPr>
      </w:pPr>
      <w:hyperlink r:id="rId11" w:history="1">
        <w:r w:rsidR="00CE4F1A" w:rsidRPr="00A57157">
          <w:rPr>
            <w:rStyle w:val="Hipervnculo"/>
            <w:rFonts w:ascii="Verdana" w:eastAsia="Calibri" w:hAnsi="Verdana" w:cs="Arial"/>
            <w:lang w:eastAsia="es-ES"/>
          </w:rPr>
          <w:t>agrocas1232@hotmail.com</w:t>
        </w:r>
      </w:hyperlink>
      <w:r w:rsidR="00CE4F1A">
        <w:rPr>
          <w:rFonts w:ascii="Verdana" w:eastAsia="Calibri" w:hAnsi="Verdana" w:cs="Arial"/>
          <w:lang w:eastAsia="es-ES"/>
        </w:rPr>
        <w:t xml:space="preserve"> </w:t>
      </w:r>
      <w:r w:rsidR="00CE4F1A" w:rsidRPr="001A6583">
        <w:rPr>
          <w:rFonts w:ascii="Verdana" w:hAnsi="Verdana"/>
        </w:rPr>
        <w:t xml:space="preserve"> </w:t>
      </w:r>
      <w:r w:rsidR="00CE4F1A" w:rsidRPr="001A6583">
        <w:rPr>
          <w:rFonts w:ascii="Verdana" w:eastAsia="Calibri" w:hAnsi="Verdana" w:cs="Arial"/>
          <w:lang w:eastAsia="es-ES"/>
        </w:rPr>
        <w:t xml:space="preserve">  </w:t>
      </w:r>
    </w:p>
    <w:p w14:paraId="3A51EF75" w14:textId="77777777" w:rsidR="00CE4F1A" w:rsidRDefault="00CE4F1A" w:rsidP="00CE4F1A">
      <w:pPr>
        <w:spacing w:after="0" w:line="240" w:lineRule="auto"/>
        <w:rPr>
          <w:rFonts w:ascii="Verdana" w:hAnsi="Verdana"/>
        </w:rPr>
      </w:pPr>
      <w:r>
        <w:rPr>
          <w:rFonts w:ascii="Verdana" w:hAnsi="Verdana"/>
        </w:rPr>
        <w:t>Villavicencio (Meta)</w:t>
      </w:r>
    </w:p>
    <w:p w14:paraId="745C2BF9" w14:textId="77777777" w:rsidR="00CE4F1A" w:rsidRPr="00FE3DEC" w:rsidRDefault="00CE4F1A" w:rsidP="00CE4F1A">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47"/>
        <w:gridCol w:w="319"/>
      </w:tblGrid>
      <w:tr w:rsidR="00CE4F1A" w:rsidRPr="00593A5F" w14:paraId="01CF8450" w14:textId="77777777" w:rsidTr="0005388E">
        <w:trPr>
          <w:trHeight w:val="273"/>
        </w:trPr>
        <w:tc>
          <w:tcPr>
            <w:tcW w:w="2410" w:type="dxa"/>
          </w:tcPr>
          <w:p w14:paraId="0F0FF2CF" w14:textId="77777777" w:rsidR="00CE4F1A" w:rsidRPr="00E5644F" w:rsidRDefault="00CE4F1A" w:rsidP="008B3546">
            <w:pPr>
              <w:jc w:val="both"/>
              <w:rPr>
                <w:rFonts w:ascii="Verdana" w:eastAsia="Calibri" w:hAnsi="Verdana" w:cs="Arial"/>
                <w:b/>
                <w:bCs/>
                <w:color w:val="7030A0"/>
                <w:lang w:val="es-ES_tradnl" w:eastAsia="es-ES_tradnl"/>
              </w:rPr>
            </w:pPr>
          </w:p>
        </w:tc>
        <w:tc>
          <w:tcPr>
            <w:tcW w:w="6366" w:type="dxa"/>
            <w:gridSpan w:val="2"/>
          </w:tcPr>
          <w:p w14:paraId="71E2B2B5" w14:textId="77777777" w:rsidR="00CE4F1A" w:rsidRDefault="00CE4F1A" w:rsidP="008B3546">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1435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20EEBCD9" w14:textId="77777777" w:rsidR="00CE4F1A" w:rsidRPr="00E5644F" w:rsidRDefault="00CE4F1A" w:rsidP="008B3546">
            <w:pPr>
              <w:jc w:val="both"/>
              <w:rPr>
                <w:rFonts w:ascii="Verdana" w:eastAsia="Calibri" w:hAnsi="Verdana" w:cs="Arial"/>
                <w:b/>
                <w:bCs/>
                <w:color w:val="7030A0"/>
                <w:lang w:val="es-ES" w:eastAsia="es-ES"/>
              </w:rPr>
            </w:pPr>
          </w:p>
        </w:tc>
      </w:tr>
      <w:tr w:rsidR="00CE4F1A" w:rsidRPr="00280D79" w14:paraId="35CD947E" w14:textId="77777777" w:rsidTr="0005388E">
        <w:trPr>
          <w:trHeight w:val="1583"/>
        </w:trPr>
        <w:tc>
          <w:tcPr>
            <w:tcW w:w="2410" w:type="dxa"/>
          </w:tcPr>
          <w:p w14:paraId="11139C60" w14:textId="77777777" w:rsidR="00CE4F1A" w:rsidRPr="00593A5F" w:rsidRDefault="00CE4F1A" w:rsidP="008B354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366" w:type="dxa"/>
            <w:gridSpan w:val="2"/>
          </w:tcPr>
          <w:p w14:paraId="3862C1E8" w14:textId="77777777" w:rsidR="00CE4F1A" w:rsidRPr="003E61A0" w:rsidRDefault="00CE4F1A" w:rsidP="008B3546">
            <w:pPr>
              <w:jc w:val="both"/>
              <w:rPr>
                <w:rFonts w:ascii="Verdana" w:eastAsia="Century Gothic" w:hAnsi="Verdana" w:cs="Century Gothic"/>
                <w:bCs/>
              </w:rPr>
            </w:pPr>
            <w:r w:rsidRPr="003E61A0">
              <w:rPr>
                <w:rFonts w:ascii="Verdana" w:eastAsia="Century Gothic" w:hAnsi="Verdana" w:cs="Century Gothic"/>
                <w:bCs/>
              </w:rPr>
              <w:t>PROMOCIÓN AL DESARROLLO – Ley 2069 de 2020 – Artículo 34 / CONVOCATORIAS LIMITADAS A MIPYMES NACIONALES – Requisitos / CONVOCATORIAS LIMITADAS A MIPYMES EN EL ÁMBITO TERRITORIAL – Limitación territorial – Facultad discrecional</w:t>
            </w:r>
            <w:r>
              <w:rPr>
                <w:rFonts w:ascii="Verdana" w:eastAsia="Century Gothic" w:hAnsi="Verdana" w:cs="Century Gothic"/>
                <w:bCs/>
              </w:rPr>
              <w:t>.</w:t>
            </w:r>
            <w:r w:rsidRPr="003E61A0">
              <w:rPr>
                <w:rFonts w:ascii="Verdana" w:eastAsia="Century Gothic" w:hAnsi="Verdana" w:cs="Century Gothic"/>
                <w:bCs/>
              </w:rPr>
              <w:t xml:space="preserve"> </w:t>
            </w:r>
          </w:p>
          <w:p w14:paraId="3FB5A025" w14:textId="77777777" w:rsidR="00CE4F1A" w:rsidRPr="00280D79" w:rsidRDefault="00CE4F1A" w:rsidP="008B3546">
            <w:pPr>
              <w:jc w:val="both"/>
              <w:rPr>
                <w:rFonts w:ascii="Verdana" w:eastAsia="Calibri" w:hAnsi="Verdana" w:cs="Arial"/>
                <w:b/>
                <w:highlight w:val="yellow"/>
                <w:lang w:val="es-ES" w:eastAsia="es-ES"/>
              </w:rPr>
            </w:pPr>
          </w:p>
        </w:tc>
      </w:tr>
      <w:tr w:rsidR="00CE4F1A" w:rsidRPr="00593A5F" w14:paraId="4B2CAF2B" w14:textId="77777777" w:rsidTr="0005388E">
        <w:trPr>
          <w:trHeight w:val="545"/>
        </w:trPr>
        <w:tc>
          <w:tcPr>
            <w:tcW w:w="2410" w:type="dxa"/>
          </w:tcPr>
          <w:p w14:paraId="2AC67294" w14:textId="77777777" w:rsidR="00CE4F1A" w:rsidRPr="006730E9" w:rsidRDefault="00CE4F1A" w:rsidP="008B354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366" w:type="dxa"/>
            <w:gridSpan w:val="2"/>
          </w:tcPr>
          <w:p w14:paraId="1A265236" w14:textId="77777777" w:rsidR="00CE4F1A" w:rsidRPr="006730E9" w:rsidRDefault="00CE4F1A" w:rsidP="008B354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D36635">
              <w:rPr>
                <w:rFonts w:ascii="Verdana" w:eastAsia="Calibri" w:hAnsi="Verdana" w:cs="Arial"/>
                <w:lang w:val="es-ES_tradnl" w:eastAsia="es-ES_tradnl"/>
              </w:rPr>
              <w:t>1_2025_10_03_011054</w:t>
            </w:r>
            <w:r>
              <w:rPr>
                <w:rFonts w:ascii="Verdana" w:eastAsia="Calibri" w:hAnsi="Verdana" w:cs="Arial"/>
                <w:lang w:val="es-ES_tradnl" w:eastAsia="es-ES_tradnl"/>
              </w:rPr>
              <w:t>.</w:t>
            </w:r>
          </w:p>
        </w:tc>
      </w:tr>
      <w:tr w:rsidR="00CE4F1A" w:rsidRPr="00DB23D2" w14:paraId="628846AB" w14:textId="77777777" w:rsidTr="008B3546">
        <w:trPr>
          <w:gridAfter w:val="1"/>
          <w:wAfter w:w="319" w:type="dxa"/>
          <w:trHeight w:val="242"/>
        </w:trPr>
        <w:tc>
          <w:tcPr>
            <w:tcW w:w="8457" w:type="dxa"/>
            <w:gridSpan w:val="2"/>
          </w:tcPr>
          <w:p w14:paraId="0C48DE63" w14:textId="77777777" w:rsidR="00CE4F1A" w:rsidRPr="00DB23D2" w:rsidRDefault="00CE4F1A" w:rsidP="008B3546">
            <w:pPr>
              <w:spacing w:line="276" w:lineRule="auto"/>
              <w:jc w:val="both"/>
              <w:rPr>
                <w:rFonts w:ascii="Verdana" w:eastAsia="Calibri" w:hAnsi="Verdana" w:cs="Arial"/>
                <w:lang w:val="es-ES_tradnl" w:eastAsia="es-ES"/>
              </w:rPr>
            </w:pPr>
          </w:p>
        </w:tc>
      </w:tr>
    </w:tbl>
    <w:p w14:paraId="210BEBA2" w14:textId="77777777" w:rsidR="00CE4F1A" w:rsidRPr="006730E9" w:rsidRDefault="00CE4F1A" w:rsidP="00CE4F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Castellanos;</w:t>
      </w:r>
    </w:p>
    <w:p w14:paraId="615B73B3" w14:textId="77777777" w:rsidR="00CE4F1A" w:rsidRDefault="00CE4F1A" w:rsidP="00CE4F1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0C728FAB" w14:textId="77777777" w:rsidR="00CE4F1A" w:rsidRPr="006730E9" w:rsidRDefault="00CE4F1A" w:rsidP="00CE4F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trasladada por competencia por la </w:t>
      </w:r>
      <w:r w:rsidRPr="00D36635">
        <w:rPr>
          <w:rFonts w:ascii="Verdana" w:eastAsia="Calibri" w:hAnsi="Verdana" w:cs="Arial"/>
          <w:lang w:val="es-ES" w:eastAsia="es-ES"/>
        </w:rPr>
        <w:t>Alcaldía Municipal de Lejanías Meta</w:t>
      </w:r>
      <w:r>
        <w:rPr>
          <w:rFonts w:ascii="Verdana" w:eastAsia="Calibri" w:hAnsi="Verdana" w:cs="Arial"/>
          <w:lang w:val="es-ES" w:eastAsia="es-ES"/>
        </w:rPr>
        <w:t xml:space="preserve">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03</w:t>
      </w:r>
      <w:r w:rsidRPr="00656A22">
        <w:rPr>
          <w:rFonts w:ascii="Verdana" w:eastAsia="Calibri" w:hAnsi="Verdana" w:cs="Arial"/>
          <w:lang w:val="es-ES" w:eastAsia="es-ES"/>
        </w:rPr>
        <w:t xml:space="preserve"> 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21FE4D58" w14:textId="77777777" w:rsidR="00CE4F1A" w:rsidRPr="00326382" w:rsidRDefault="00CE4F1A" w:rsidP="00CE4F1A">
      <w:pPr>
        <w:spacing w:after="0" w:line="276" w:lineRule="auto"/>
        <w:ind w:left="709" w:right="474"/>
        <w:jc w:val="both"/>
        <w:rPr>
          <w:rFonts w:ascii="Verdana" w:hAnsi="Verdana" w:cs="Arial"/>
          <w:sz w:val="20"/>
          <w:szCs w:val="20"/>
          <w:shd w:val="clear" w:color="auto" w:fill="FFFFFF"/>
        </w:rPr>
      </w:pPr>
      <w:bookmarkStart w:id="2" w:name="_Hlk95313578"/>
    </w:p>
    <w:bookmarkEnd w:id="2"/>
    <w:p w14:paraId="33E9E19E" w14:textId="77777777" w:rsidR="00CE4F1A" w:rsidRDefault="00CE4F1A" w:rsidP="00CE4F1A">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2E812A2A" w14:textId="77777777" w:rsidR="00CE4F1A" w:rsidRDefault="00CE4F1A" w:rsidP="00CE4F1A">
      <w:pPr>
        <w:tabs>
          <w:tab w:val="left" w:pos="142"/>
          <w:tab w:val="left" w:pos="567"/>
        </w:tabs>
        <w:spacing w:after="0" w:line="240" w:lineRule="auto"/>
        <w:ind w:right="709"/>
        <w:jc w:val="both"/>
        <w:rPr>
          <w:rFonts w:ascii="Verdana" w:eastAsia="Century Gothic" w:hAnsi="Verdana" w:cs="Century Gothic"/>
          <w:i/>
          <w:iCs/>
          <w:sz w:val="20"/>
          <w:szCs w:val="20"/>
        </w:rPr>
      </w:pPr>
    </w:p>
    <w:p w14:paraId="2C3B56D7" w14:textId="77777777" w:rsidR="00CE4F1A" w:rsidRPr="00D36635" w:rsidRDefault="00CE4F1A" w:rsidP="00CE4F1A">
      <w:pPr>
        <w:tabs>
          <w:tab w:val="left" w:pos="142"/>
          <w:tab w:val="left" w:pos="567"/>
        </w:tabs>
        <w:spacing w:after="0" w:line="240" w:lineRule="auto"/>
        <w:ind w:left="709" w:right="709"/>
        <w:jc w:val="both"/>
        <w:rPr>
          <w:rFonts w:ascii="Verdana" w:eastAsia="Century Gothic" w:hAnsi="Verdana" w:cs="Century Gothic"/>
          <w:i/>
          <w:iCs/>
          <w:sz w:val="20"/>
          <w:szCs w:val="20"/>
        </w:rPr>
      </w:pPr>
      <w:r w:rsidRPr="00D36635">
        <w:rPr>
          <w:rFonts w:ascii="Verdana" w:eastAsia="Century Gothic" w:hAnsi="Verdana" w:cs="Century Gothic"/>
          <w:i/>
          <w:iCs/>
          <w:sz w:val="20"/>
          <w:szCs w:val="20"/>
        </w:rPr>
        <w:t>Solicito muy respetuosamente me ayuden a resolver esta inquietud: Cuando un proceso de contratación</w:t>
      </w:r>
      <w:r>
        <w:rPr>
          <w:rFonts w:ascii="Verdana" w:eastAsia="Century Gothic" w:hAnsi="Verdana" w:cs="Century Gothic"/>
          <w:i/>
          <w:iCs/>
          <w:sz w:val="20"/>
          <w:szCs w:val="20"/>
        </w:rPr>
        <w:t xml:space="preserve"> </w:t>
      </w:r>
      <w:r w:rsidRPr="00D36635">
        <w:rPr>
          <w:rFonts w:ascii="Verdana" w:eastAsia="Century Gothic" w:hAnsi="Verdana" w:cs="Century Gothic"/>
          <w:i/>
          <w:iCs/>
          <w:sz w:val="20"/>
          <w:szCs w:val="20"/>
        </w:rPr>
        <w:t>es limitado a MIPYMES municipales, claramente los oferentes deben estar domiciliados en el municipio,</w:t>
      </w:r>
      <w:r>
        <w:rPr>
          <w:rFonts w:ascii="Verdana" w:eastAsia="Century Gothic" w:hAnsi="Verdana" w:cs="Century Gothic"/>
          <w:i/>
          <w:iCs/>
          <w:sz w:val="20"/>
          <w:szCs w:val="20"/>
        </w:rPr>
        <w:t xml:space="preserve"> </w:t>
      </w:r>
      <w:r w:rsidRPr="00D36635">
        <w:rPr>
          <w:rFonts w:ascii="Verdana" w:eastAsia="Century Gothic" w:hAnsi="Verdana" w:cs="Century Gothic"/>
          <w:i/>
          <w:iCs/>
          <w:sz w:val="20"/>
          <w:szCs w:val="20"/>
        </w:rPr>
        <w:t>por esta razón se encuentran habilitados para presentar propuesta, en el caso de que les sea adjudicado</w:t>
      </w:r>
      <w:r>
        <w:rPr>
          <w:rFonts w:ascii="Verdana" w:eastAsia="Century Gothic" w:hAnsi="Verdana" w:cs="Century Gothic"/>
          <w:i/>
          <w:iCs/>
          <w:sz w:val="20"/>
          <w:szCs w:val="20"/>
        </w:rPr>
        <w:t xml:space="preserve"> </w:t>
      </w:r>
      <w:r w:rsidRPr="00D36635">
        <w:rPr>
          <w:rFonts w:ascii="Verdana" w:eastAsia="Century Gothic" w:hAnsi="Verdana" w:cs="Century Gothic"/>
          <w:i/>
          <w:iCs/>
          <w:sz w:val="20"/>
          <w:szCs w:val="20"/>
        </w:rPr>
        <w:t xml:space="preserve">el proceso o se les acepte la oferta, ¿Debe el </w:t>
      </w:r>
      <w:r w:rsidRPr="00D36635">
        <w:rPr>
          <w:rFonts w:ascii="Verdana" w:eastAsia="Century Gothic" w:hAnsi="Verdana" w:cs="Century Gothic"/>
          <w:i/>
          <w:iCs/>
          <w:sz w:val="20"/>
          <w:szCs w:val="20"/>
        </w:rPr>
        <w:lastRenderedPageBreak/>
        <w:t>oferente mantener su domicilio en el municipio, por lo</w:t>
      </w:r>
      <w:r>
        <w:rPr>
          <w:rFonts w:ascii="Verdana" w:eastAsia="Century Gothic" w:hAnsi="Verdana" w:cs="Century Gothic"/>
          <w:i/>
          <w:iCs/>
          <w:sz w:val="20"/>
          <w:szCs w:val="20"/>
        </w:rPr>
        <w:t xml:space="preserve"> </w:t>
      </w:r>
      <w:r w:rsidRPr="00D36635">
        <w:rPr>
          <w:rFonts w:ascii="Verdana" w:eastAsia="Century Gothic" w:hAnsi="Verdana" w:cs="Century Gothic"/>
          <w:i/>
          <w:iCs/>
          <w:sz w:val="20"/>
          <w:szCs w:val="20"/>
        </w:rPr>
        <w:t>menos durante la ejecución de ese contrato que se le adjudicó? O ¿puede cambiar de domicilio, antes de</w:t>
      </w:r>
      <w:r>
        <w:rPr>
          <w:rFonts w:ascii="Verdana" w:eastAsia="Century Gothic" w:hAnsi="Verdana" w:cs="Century Gothic"/>
          <w:i/>
          <w:iCs/>
          <w:sz w:val="20"/>
          <w:szCs w:val="20"/>
        </w:rPr>
        <w:t xml:space="preserve"> </w:t>
      </w:r>
      <w:r w:rsidRPr="00D36635">
        <w:rPr>
          <w:rFonts w:ascii="Verdana" w:eastAsia="Century Gothic" w:hAnsi="Verdana" w:cs="Century Gothic"/>
          <w:i/>
          <w:iCs/>
          <w:sz w:val="20"/>
          <w:szCs w:val="20"/>
        </w:rPr>
        <w:t>ejecutar el contrato, teniendo en cuenta</w:t>
      </w:r>
      <w:r>
        <w:rPr>
          <w:rFonts w:ascii="Verdana" w:eastAsia="Century Gothic" w:hAnsi="Verdana" w:cs="Century Gothic"/>
          <w:i/>
          <w:iCs/>
          <w:sz w:val="20"/>
          <w:szCs w:val="20"/>
        </w:rPr>
        <w:t xml:space="preserve"> </w:t>
      </w:r>
      <w:r w:rsidRPr="00D36635">
        <w:rPr>
          <w:rFonts w:ascii="Verdana" w:eastAsia="Century Gothic" w:hAnsi="Verdana" w:cs="Century Gothic"/>
          <w:i/>
          <w:iCs/>
          <w:sz w:val="20"/>
          <w:szCs w:val="20"/>
        </w:rPr>
        <w:t>que gracias a estar domiciliados en el municipio fue que pudo en</w:t>
      </w:r>
    </w:p>
    <w:p w14:paraId="7B7F37D0" w14:textId="77777777" w:rsidR="00CE4F1A" w:rsidRPr="00EA70F7" w:rsidRDefault="00CE4F1A" w:rsidP="00CE4F1A">
      <w:pPr>
        <w:tabs>
          <w:tab w:val="left" w:pos="142"/>
          <w:tab w:val="left" w:pos="567"/>
        </w:tabs>
        <w:spacing w:after="0" w:line="240" w:lineRule="auto"/>
        <w:ind w:left="709" w:right="709"/>
        <w:jc w:val="both"/>
        <w:rPr>
          <w:rFonts w:ascii="Verdana" w:eastAsia="Century Gothic" w:hAnsi="Verdana" w:cs="Century Gothic"/>
          <w:i/>
          <w:iCs/>
          <w:sz w:val="20"/>
          <w:szCs w:val="20"/>
        </w:rPr>
      </w:pPr>
      <w:r w:rsidRPr="00D36635">
        <w:rPr>
          <w:rFonts w:ascii="Verdana" w:eastAsia="Century Gothic" w:hAnsi="Verdana" w:cs="Century Gothic"/>
          <w:i/>
          <w:iCs/>
          <w:sz w:val="20"/>
          <w:szCs w:val="20"/>
        </w:rPr>
        <w:t xml:space="preserve">primer lugar participar del proceso? </w:t>
      </w:r>
      <w:r w:rsidRPr="00EA70F7">
        <w:rPr>
          <w:rFonts w:ascii="Verdana" w:eastAsia="Century Gothic" w:hAnsi="Verdana" w:cs="Century Gothic"/>
          <w:i/>
          <w:iCs/>
          <w:sz w:val="20"/>
          <w:szCs w:val="20"/>
        </w:rPr>
        <w:t xml:space="preserve">(…)”. </w:t>
      </w:r>
    </w:p>
    <w:p w14:paraId="5A8D323A" w14:textId="77777777" w:rsidR="00CE4F1A" w:rsidRDefault="00CE4F1A" w:rsidP="00CE4F1A">
      <w:pPr>
        <w:spacing w:after="0" w:line="276" w:lineRule="auto"/>
        <w:ind w:firstLine="709"/>
        <w:jc w:val="both"/>
        <w:rPr>
          <w:rFonts w:ascii="Verdana" w:eastAsia="Calibri" w:hAnsi="Verdana" w:cs="Arial"/>
          <w:lang w:val="es-ES" w:eastAsia="es-ES"/>
        </w:rPr>
      </w:pPr>
    </w:p>
    <w:p w14:paraId="75CCCB16" w14:textId="77777777" w:rsidR="00CE4F1A" w:rsidRPr="00AA3B9F" w:rsidRDefault="00CE4F1A" w:rsidP="00CE4F1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4C97FA09" w14:textId="77777777" w:rsidR="00CE4F1A" w:rsidRDefault="00CE4F1A" w:rsidP="00CE4F1A">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7D600C99" w14:textId="77777777" w:rsidR="00CE4F1A" w:rsidRDefault="00CE4F1A" w:rsidP="00CE4F1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68D047E9" w14:textId="77777777" w:rsidR="00CE4F1A" w:rsidRDefault="00CE4F1A" w:rsidP="00CE4F1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19639914" w14:textId="77777777" w:rsidR="00CE4F1A" w:rsidRDefault="00CE4F1A" w:rsidP="00CE4F1A">
      <w:pPr>
        <w:pStyle w:val="Prrafodelista"/>
        <w:tabs>
          <w:tab w:val="left" w:pos="142"/>
          <w:tab w:val="left" w:pos="284"/>
        </w:tabs>
        <w:spacing w:after="0" w:line="276" w:lineRule="auto"/>
        <w:ind w:left="0"/>
        <w:jc w:val="both"/>
        <w:rPr>
          <w:rFonts w:ascii="Verdana" w:eastAsia="Century Gothic" w:hAnsi="Verdana" w:cs="Century Gothic"/>
          <w:b/>
          <w:bCs/>
        </w:rPr>
      </w:pPr>
    </w:p>
    <w:p w14:paraId="1CF4492B" w14:textId="77777777" w:rsidR="00CE4F1A" w:rsidRDefault="00CE4F1A" w:rsidP="00CE4F1A">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S</w:t>
      </w:r>
      <w:r w:rsidRPr="008303DD">
        <w:rPr>
          <w:rFonts w:ascii="Verdana" w:eastAsia="Calibri" w:hAnsi="Verdana" w:cs="Arial"/>
          <w:lang w:eastAsia="es-ES"/>
        </w:rPr>
        <w:t xml:space="preserve">i un proponente resultó habilitado y obtuvo la adjudicación basándose en su domicilio en dicho municipio, ¿debe obligatoriamente mantener dicho domicilio en el municipio durante toda la ejecución del contrato adjudicado? </w:t>
      </w:r>
    </w:p>
    <w:p w14:paraId="62A7B33C" w14:textId="77777777" w:rsidR="00CE4F1A" w:rsidRDefault="00CE4F1A" w:rsidP="00CE4F1A">
      <w:pPr>
        <w:spacing w:after="0" w:line="276" w:lineRule="auto"/>
        <w:jc w:val="both"/>
        <w:rPr>
          <w:rFonts w:ascii="Verdana" w:eastAsia="Calibri" w:hAnsi="Verdana" w:cs="Arial"/>
          <w:lang w:eastAsia="es-ES"/>
        </w:rPr>
      </w:pPr>
    </w:p>
    <w:bookmarkEnd w:id="3"/>
    <w:p w14:paraId="569402FA" w14:textId="77777777" w:rsidR="00CE4F1A" w:rsidRDefault="00CE4F1A" w:rsidP="00CE4F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743062B" w14:textId="77777777" w:rsidR="00CE4F1A" w:rsidRPr="00593A5F" w:rsidRDefault="00CE4F1A" w:rsidP="00CE4F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E4F1A" w:rsidRPr="00593A5F" w14:paraId="3942E3F5" w14:textId="77777777" w:rsidTr="008B3546">
        <w:tc>
          <w:tcPr>
            <w:tcW w:w="8828" w:type="dxa"/>
          </w:tcPr>
          <w:p w14:paraId="31504ED4" w14:textId="77777777" w:rsidR="00CE4F1A" w:rsidRPr="005D1EF3" w:rsidRDefault="00CE4F1A" w:rsidP="008B3546">
            <w:pPr>
              <w:spacing w:after="120" w:line="276" w:lineRule="auto"/>
              <w:jc w:val="both"/>
              <w:rPr>
                <w:rFonts w:ascii="Verdana" w:eastAsia="Calibri" w:hAnsi="Verdana" w:cs="Arial"/>
              </w:rPr>
            </w:pPr>
            <w:r>
              <w:rPr>
                <w:rFonts w:ascii="Verdana" w:eastAsia="Arial" w:hAnsi="Verdana" w:cs="Arial"/>
                <w:color w:val="000000"/>
              </w:rPr>
              <w:lastRenderedPageBreak/>
              <w:t xml:space="preserve">          </w:t>
            </w:r>
            <w:r>
              <w:rPr>
                <w:rFonts w:ascii="Verdana" w:hAnsi="Verdana"/>
              </w:rPr>
              <w:t xml:space="preserve">De manera preliminar es pertinente indicar que </w:t>
            </w:r>
            <w:r w:rsidRPr="00E673D9">
              <w:rPr>
                <w:rFonts w:ascii="Verdana" w:eastAsia="Calibri" w:hAnsi="Verdana" w:cs="Arial"/>
                <w:lang w:val="es-ES"/>
              </w:rPr>
              <w:t xml:space="preserve">la limitación territorial a </w:t>
            </w:r>
            <w:proofErr w:type="spellStart"/>
            <w:r w:rsidRPr="00E673D9">
              <w:rPr>
                <w:rFonts w:ascii="Verdana" w:eastAsia="Calibri" w:hAnsi="Verdana" w:cs="Arial"/>
                <w:lang w:val="es-ES"/>
              </w:rPr>
              <w:t>Mipymes</w:t>
            </w:r>
            <w:proofErr w:type="spellEnd"/>
            <w:r w:rsidRPr="00E673D9">
              <w:rPr>
                <w:rFonts w:ascii="Verdana" w:eastAsia="Calibri" w:hAnsi="Verdana" w:cs="Arial"/>
                <w:lang w:val="es-ES"/>
              </w:rPr>
              <w:t xml:space="preserve"> constituye una facultad discrecional de la entidad pública.</w:t>
            </w:r>
            <w:r>
              <w:rPr>
                <w:rFonts w:ascii="Verdana" w:eastAsia="Calibri" w:hAnsi="Verdana" w:cs="Arial"/>
                <w:color w:val="000000" w:themeColor="text1"/>
              </w:rPr>
              <w:t xml:space="preserve"> L</w:t>
            </w:r>
            <w:r w:rsidRPr="005D1EF3">
              <w:rPr>
                <w:rFonts w:ascii="Verdana" w:eastAsia="Arial" w:hAnsi="Verdana" w:cs="Arial"/>
                <w:color w:val="000000" w:themeColor="text1"/>
              </w:rPr>
              <w:t xml:space="preserve">a decisión de limitar “a </w:t>
            </w:r>
            <w:proofErr w:type="spellStart"/>
            <w:r w:rsidRPr="005D1EF3">
              <w:rPr>
                <w:rFonts w:ascii="Verdana" w:eastAsia="Arial" w:hAnsi="Verdana" w:cs="Arial"/>
                <w:color w:val="000000" w:themeColor="text1"/>
              </w:rPr>
              <w:t>Mipyme</w:t>
            </w:r>
            <w:proofErr w:type="spellEnd"/>
            <w:r w:rsidRPr="005D1EF3">
              <w:rPr>
                <w:rFonts w:ascii="Verdana" w:eastAsia="Arial" w:hAnsi="Verdana" w:cs="Arial"/>
                <w:color w:val="000000" w:themeColor="text1"/>
              </w:rPr>
              <w:t xml:space="preserv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w:t>
            </w:r>
          </w:p>
          <w:p w14:paraId="70ECDF1F" w14:textId="77777777" w:rsidR="00CE4F1A" w:rsidRPr="005D1EF3" w:rsidRDefault="00CE4F1A" w:rsidP="008B3546">
            <w:pPr>
              <w:spacing w:after="120" w:line="276" w:lineRule="auto"/>
              <w:ind w:firstLine="709"/>
              <w:jc w:val="both"/>
              <w:rPr>
                <w:rFonts w:ascii="Verdana" w:eastAsia="Calibri" w:hAnsi="Verdana" w:cs="Arial"/>
              </w:rPr>
            </w:pPr>
            <w:r w:rsidRPr="005D1EF3">
              <w:rPr>
                <w:rFonts w:ascii="Verdana" w:hAnsi="Verdana" w:cs="Arial"/>
                <w:color w:val="000000" w:themeColor="text1"/>
              </w:rPr>
              <w:t xml:space="preserve">Cumplidos los dos requisitos del artículo 2.2.1.2.4.2.2 </w:t>
            </w:r>
            <w:proofErr w:type="spellStart"/>
            <w:r w:rsidRPr="005D1EF3">
              <w:rPr>
                <w:rFonts w:ascii="Verdana" w:hAnsi="Verdana" w:cs="Arial"/>
                <w:i/>
                <w:iCs/>
                <w:color w:val="000000" w:themeColor="text1"/>
              </w:rPr>
              <w:t>ibídem</w:t>
            </w:r>
            <w:proofErr w:type="spellEnd"/>
            <w:r w:rsidRPr="005D1EF3">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w:t>
            </w:r>
            <w:r w:rsidRPr="008303DD">
              <w:rPr>
                <w:rFonts w:ascii="Verdana" w:hAnsi="Verdana" w:cs="Arial"/>
                <w:color w:val="000000" w:themeColor="text1"/>
              </w:rPr>
              <w:t xml:space="preserve">pueden ─sin estar obligadas─ decidir si limitan la convocatoria a las </w:t>
            </w:r>
            <w:proofErr w:type="spellStart"/>
            <w:r w:rsidRPr="008303DD">
              <w:rPr>
                <w:rFonts w:ascii="Verdana" w:hAnsi="Verdana" w:cs="Arial"/>
                <w:color w:val="000000" w:themeColor="text1"/>
              </w:rPr>
              <w:t>MiPyme</w:t>
            </w:r>
            <w:proofErr w:type="spellEnd"/>
            <w:r w:rsidRPr="008303DD">
              <w:rPr>
                <w:rFonts w:ascii="Verdana" w:hAnsi="Verdana" w:cs="Arial"/>
                <w:color w:val="000000" w:themeColor="text1"/>
              </w:rPr>
              <w:t xml:space="preserve"> colombianas domiciliadas en el municipio o departamento en el que se ejecutará el contrato. </w:t>
            </w:r>
            <w:r w:rsidRPr="005D1EF3">
              <w:rPr>
                <w:rFonts w:ascii="Verdana" w:hAnsi="Verdana" w:cs="Arial"/>
                <w:color w:val="000000" w:themeColor="text1"/>
              </w:rPr>
              <w:t xml:space="preserve">Esto de acuerdo con el artículo 2.2.1.2.4.2.3 del Decreto 1082 de 2015 </w:t>
            </w:r>
            <w:r w:rsidRPr="005D1EF3">
              <w:rPr>
                <w:rFonts w:ascii="Verdana" w:eastAsia="Arial" w:hAnsi="Verdana" w:cs="Arial"/>
                <w:color w:val="000000"/>
                <w:lang w:val="es-ES_tradnl"/>
              </w:rPr>
              <w:t>modificado por el Decreto 1860 de 2021</w:t>
            </w:r>
            <w:r w:rsidRPr="005D1EF3">
              <w:rPr>
                <w:rFonts w:ascii="Verdana" w:hAnsi="Verdana" w:cs="Arial"/>
                <w:color w:val="000000" w:themeColor="text1"/>
              </w:rPr>
              <w:t xml:space="preserve">, norma que se refiere a la facultad de la administración con el verbo infinitivo “poder”, no “deber”. </w:t>
            </w:r>
          </w:p>
          <w:p w14:paraId="4A38ACBC" w14:textId="77777777" w:rsidR="00CE4F1A" w:rsidRPr="008303DD" w:rsidRDefault="00CE4F1A" w:rsidP="008B3546">
            <w:pPr>
              <w:spacing w:after="120" w:line="276" w:lineRule="auto"/>
              <w:ind w:firstLine="709"/>
              <w:jc w:val="both"/>
              <w:rPr>
                <w:rFonts w:ascii="Verdana" w:eastAsia="Calibri" w:hAnsi="Verdana" w:cs="Arial"/>
                <w:color w:val="000000" w:themeColor="text1"/>
              </w:rPr>
            </w:pPr>
            <w:r w:rsidRPr="006A0288">
              <w:rPr>
                <w:rFonts w:ascii="Verdana" w:eastAsia="Calibri" w:hAnsi="Verdana" w:cs="Arial"/>
                <w:color w:val="000000" w:themeColor="text1"/>
              </w:rPr>
              <w:t xml:space="preserve">Ahora bien, en </w:t>
            </w:r>
            <w:proofErr w:type="gramStart"/>
            <w:r w:rsidRPr="006A0288">
              <w:rPr>
                <w:rFonts w:ascii="Verdana" w:eastAsia="Calibri" w:hAnsi="Verdana" w:cs="Arial"/>
                <w:color w:val="000000" w:themeColor="text1"/>
              </w:rPr>
              <w:t>atención  al</w:t>
            </w:r>
            <w:proofErr w:type="gramEnd"/>
            <w:r w:rsidRPr="006A0288">
              <w:rPr>
                <w:rFonts w:ascii="Verdana" w:eastAsia="Calibri" w:hAnsi="Verdana" w:cs="Arial"/>
                <w:color w:val="000000" w:themeColor="text1"/>
              </w:rPr>
              <w:t xml:space="preserve"> problema jurídico planteado y en virtud de lo anteriormente indicado</w:t>
            </w:r>
            <w:r>
              <w:rPr>
                <w:rFonts w:ascii="Verdana" w:eastAsia="Calibri" w:hAnsi="Verdana" w:cs="Arial"/>
                <w:color w:val="000000" w:themeColor="text1"/>
              </w:rPr>
              <w:t>,</w:t>
            </w:r>
            <w:r w:rsidRPr="006A0288">
              <w:rPr>
                <w:rFonts w:ascii="Verdana" w:eastAsia="Calibri" w:hAnsi="Verdana" w:cs="Arial"/>
                <w:color w:val="000000" w:themeColor="text1"/>
              </w:rPr>
              <w:t xml:space="preserve"> e</w:t>
            </w:r>
            <w:r w:rsidRPr="008303DD">
              <w:rPr>
                <w:rFonts w:ascii="Verdana" w:eastAsia="Calibri" w:hAnsi="Verdana" w:cs="Arial"/>
                <w:color w:val="000000" w:themeColor="text1"/>
              </w:rPr>
              <w:t xml:space="preserve">l </w:t>
            </w:r>
            <w:r>
              <w:rPr>
                <w:rFonts w:ascii="Verdana" w:eastAsia="Calibri" w:hAnsi="Verdana" w:cs="Arial"/>
                <w:color w:val="000000" w:themeColor="text1"/>
              </w:rPr>
              <w:t xml:space="preserve">requisito del </w:t>
            </w:r>
            <w:r w:rsidRPr="008303DD">
              <w:rPr>
                <w:rFonts w:ascii="Verdana" w:eastAsia="Calibri" w:hAnsi="Verdana" w:cs="Arial"/>
                <w:color w:val="000000" w:themeColor="text1"/>
              </w:rPr>
              <w:t xml:space="preserve">domicilio es una condición habilitante que, dado su carácter discrecional pero justificado </w:t>
            </w:r>
            <w:r>
              <w:rPr>
                <w:rFonts w:ascii="Verdana" w:eastAsia="Calibri" w:hAnsi="Verdana" w:cs="Arial"/>
                <w:color w:val="000000" w:themeColor="text1"/>
              </w:rPr>
              <w:t>por parte de</w:t>
            </w:r>
            <w:r w:rsidRPr="008303DD">
              <w:rPr>
                <w:rFonts w:ascii="Verdana" w:eastAsia="Calibri" w:hAnsi="Verdana" w:cs="Arial"/>
                <w:color w:val="000000" w:themeColor="text1"/>
              </w:rPr>
              <w:t xml:space="preserve"> la entidad estatal </w:t>
            </w:r>
            <w:r>
              <w:rPr>
                <w:rFonts w:ascii="Verdana" w:eastAsia="Calibri" w:hAnsi="Verdana" w:cs="Arial"/>
                <w:color w:val="000000" w:themeColor="text1"/>
              </w:rPr>
              <w:t>en los términos</w:t>
            </w:r>
            <w:r w:rsidRPr="008303DD">
              <w:rPr>
                <w:rFonts w:ascii="Verdana" w:eastAsia="Calibri" w:hAnsi="Verdana" w:cs="Arial"/>
                <w:color w:val="000000" w:themeColor="text1"/>
              </w:rPr>
              <w:t xml:space="preserve"> </w:t>
            </w:r>
            <w:r>
              <w:rPr>
                <w:rFonts w:ascii="Verdana" w:eastAsia="Calibri" w:hAnsi="Verdana" w:cs="Arial"/>
                <w:color w:val="000000" w:themeColor="text1"/>
              </w:rPr>
              <w:t>d</w:t>
            </w:r>
            <w:r w:rsidRPr="008303DD">
              <w:rPr>
                <w:rFonts w:ascii="Verdana" w:eastAsia="Calibri" w:hAnsi="Verdana" w:cs="Arial"/>
                <w:color w:val="000000" w:themeColor="text1"/>
              </w:rPr>
              <w:t xml:space="preserve">el </w:t>
            </w:r>
            <w:r>
              <w:rPr>
                <w:rFonts w:ascii="Verdana" w:eastAsia="Calibri" w:hAnsi="Verdana" w:cs="Arial"/>
                <w:color w:val="000000" w:themeColor="text1"/>
              </w:rPr>
              <w:t>a</w:t>
            </w:r>
            <w:r w:rsidRPr="008303DD">
              <w:rPr>
                <w:rFonts w:ascii="Verdana" w:eastAsia="Calibri" w:hAnsi="Verdana" w:cs="Arial"/>
                <w:color w:val="000000" w:themeColor="text1"/>
              </w:rPr>
              <w:t xml:space="preserve">rtículo 2.2.1.2.4.2.3 del Decreto 1082 de 2015, debe cumplirse obligatoriamente al momento del cierre de la convocatoria para validar la participación de la MIPYME. Al verificarse el cumplimiento en ese momento, la adjudicación es jurídicamente válida y no puede ser invalidada </w:t>
            </w:r>
            <w:r w:rsidRPr="008303DD">
              <w:rPr>
                <w:rFonts w:ascii="Verdana" w:eastAsia="Calibri" w:hAnsi="Verdana" w:cs="Arial"/>
                <w:i/>
                <w:iCs/>
                <w:color w:val="000000" w:themeColor="text1"/>
              </w:rPr>
              <w:t>automáticamente</w:t>
            </w:r>
            <w:r w:rsidRPr="008303DD">
              <w:rPr>
                <w:rFonts w:ascii="Verdana" w:eastAsia="Calibri" w:hAnsi="Verdana" w:cs="Arial"/>
                <w:color w:val="000000" w:themeColor="text1"/>
              </w:rPr>
              <w:t xml:space="preserve"> por un cambio de domicilio posterior, pues el acto administrativo de selección se perfeccionó con base en las condiciones habilitantes satisfechas.</w:t>
            </w:r>
          </w:p>
          <w:p w14:paraId="7B478787" w14:textId="77777777" w:rsidR="00CE4F1A" w:rsidRPr="00854443" w:rsidRDefault="00CE4F1A" w:rsidP="008B3546">
            <w:pPr>
              <w:spacing w:after="120" w:line="276" w:lineRule="auto"/>
              <w:ind w:firstLine="709"/>
              <w:jc w:val="both"/>
              <w:rPr>
                <w:rFonts w:ascii="Verdana" w:eastAsia="Calibri" w:hAnsi="Verdana" w:cs="Arial"/>
                <w:color w:val="000000" w:themeColor="text1"/>
              </w:rPr>
            </w:pPr>
            <w:r w:rsidRPr="008303DD">
              <w:rPr>
                <w:rFonts w:ascii="Verdana" w:eastAsia="Calibri" w:hAnsi="Verdana" w:cs="Arial"/>
                <w:color w:val="000000" w:themeColor="text1"/>
              </w:rPr>
              <w:t xml:space="preserve">Sin embargo, el mantenimiento del domicilio durante la ejecución no es una consecuencia automática, sino que depende de la finalidad y justificación de la limitación territorial adoptada por la Entidad Estatal. Dado que esta limitación es facultativa y debe sustentarse en los estudios del sector (Artículo 2.2.1.2.4.2.3), </w:t>
            </w:r>
            <w:r w:rsidRPr="00854443">
              <w:rPr>
                <w:rFonts w:ascii="Verdana" w:eastAsia="Calibri" w:hAnsi="Verdana" w:cs="Arial"/>
                <w:color w:val="000000" w:themeColor="text1"/>
              </w:rPr>
              <w:t xml:space="preserve">por lo que deberá revisarse </w:t>
            </w:r>
            <w:r w:rsidRPr="008303DD">
              <w:rPr>
                <w:rFonts w:ascii="Verdana" w:eastAsia="Calibri" w:hAnsi="Verdana" w:cs="Arial"/>
                <w:color w:val="000000" w:themeColor="text1"/>
              </w:rPr>
              <w:t xml:space="preserve">si </w:t>
            </w:r>
            <w:r w:rsidRPr="00854443">
              <w:rPr>
                <w:rFonts w:ascii="Verdana" w:eastAsia="Calibri" w:hAnsi="Verdana" w:cs="Arial"/>
                <w:color w:val="000000" w:themeColor="text1"/>
              </w:rPr>
              <w:t xml:space="preserve">en </w:t>
            </w:r>
            <w:r w:rsidRPr="008303DD">
              <w:rPr>
                <w:rFonts w:ascii="Verdana" w:eastAsia="Calibri" w:hAnsi="Verdana" w:cs="Arial"/>
                <w:color w:val="000000" w:themeColor="text1"/>
              </w:rPr>
              <w:t xml:space="preserve">el pliego de condiciones o el contrato </w:t>
            </w:r>
            <w:r w:rsidRPr="00854443">
              <w:rPr>
                <w:rFonts w:ascii="Verdana" w:eastAsia="Calibri" w:hAnsi="Verdana" w:cs="Arial"/>
                <w:color w:val="000000" w:themeColor="text1"/>
              </w:rPr>
              <w:t xml:space="preserve">se establece </w:t>
            </w:r>
            <w:r w:rsidRPr="008303DD">
              <w:rPr>
                <w:rFonts w:ascii="Verdana" w:eastAsia="Calibri" w:hAnsi="Verdana" w:cs="Arial"/>
                <w:color w:val="000000" w:themeColor="text1"/>
              </w:rPr>
              <w:t xml:space="preserve">que el domicilio local es vital para garantizar la ejecución del objeto contractual o para cumplir el propósito de fomento local que justificó </w:t>
            </w:r>
            <w:r w:rsidRPr="008303DD">
              <w:rPr>
                <w:rFonts w:ascii="Verdana" w:eastAsia="Calibri" w:hAnsi="Verdana" w:cs="Arial"/>
                <w:color w:val="000000" w:themeColor="text1"/>
              </w:rPr>
              <w:lastRenderedPageBreak/>
              <w:t xml:space="preserve">la restricción, el cambio de domicilio podría interpretarse como un incumplimiento de una condición esencial de la propuesta. </w:t>
            </w:r>
          </w:p>
          <w:p w14:paraId="02274114" w14:textId="77777777" w:rsidR="00CE4F1A" w:rsidRDefault="00CE4F1A" w:rsidP="008B3546">
            <w:pPr>
              <w:spacing w:after="120" w:line="276" w:lineRule="auto"/>
              <w:ind w:firstLine="709"/>
              <w:jc w:val="both"/>
              <w:rPr>
                <w:rFonts w:ascii="Verdana" w:eastAsia="Calibri" w:hAnsi="Verdana" w:cs="Arial"/>
                <w:color w:val="000000" w:themeColor="text1"/>
              </w:rPr>
            </w:pPr>
            <w:r w:rsidRPr="00854443">
              <w:rPr>
                <w:rFonts w:ascii="Verdana" w:eastAsia="Calibri" w:hAnsi="Verdana" w:cs="Arial"/>
                <w:color w:val="000000" w:themeColor="text1"/>
              </w:rPr>
              <w:t>En ese sentido, corresponde a los equipos jurídicos de las entidades estatales evaluar, con base en lo señalado en los estudios previos y en la justificación de la limitación territorial, si el domicilio local constituye o no un elemento esencial para garantizar la adecuada ejecución del objeto contractual. Solo a partir de ese análisis técnico y jurídico podrá determinarse si el mantenimiento del domicilio durante la ejecución del contrato resulta indispensable para cumplir los fines de fomento y desarrollo local que motivaron la restricción, o si, por el contrario, basta con que la condición se haya verificado válidamente al momento de la presentación y evaluación de la oferta.</w:t>
            </w:r>
          </w:p>
          <w:p w14:paraId="36F859A2" w14:textId="77777777" w:rsidR="00CE4F1A" w:rsidRDefault="00CE4F1A" w:rsidP="008B354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Por último</w:t>
            </w:r>
            <w:r w:rsidRPr="00854443">
              <w:rPr>
                <w:rFonts w:ascii="Verdana" w:eastAsia="Calibri" w:hAnsi="Verdana" w:cs="Arial"/>
                <w:color w:val="000000" w:themeColor="text1"/>
              </w:rPr>
              <w:t>, se recomienda la consulta de la “Guía para promover la participación de las MIPYMES en los procesos de compra pública”</w:t>
            </w:r>
            <w:r>
              <w:rPr>
                <w:rStyle w:val="Refdenotaalpie"/>
                <w:rFonts w:ascii="Verdana" w:eastAsia="Calibri" w:hAnsi="Verdana" w:cs="Arial"/>
                <w:color w:val="000000" w:themeColor="text1"/>
              </w:rPr>
              <w:footnoteReference w:id="1"/>
            </w:r>
            <w:r w:rsidRPr="00854443">
              <w:rPr>
                <w:rFonts w:ascii="Verdana" w:eastAsia="Calibri" w:hAnsi="Verdana" w:cs="Arial"/>
                <w:color w:val="000000" w:themeColor="text1"/>
              </w:rPr>
              <w:t xml:space="preserve"> elaborada por Colombia Compra Eficiente, la cual ofrece orientaciones prácticas sobre la aplicación de las normas que regulan la participación de las micro, pequeñas y medianas empresas en la contratación estatal. Dicha guía resulta especialmente útil para este caso, pues proporciona criterios sobre cómo justificar y aplicar adecuadamente las limitaciones territoriales y las condiciones de domicilio local, así como sobre la forma en que estas medidas deben armonizarse con los principios de transparencia, igualdad y fomento del desarrollo económico local.</w:t>
            </w:r>
          </w:p>
          <w:p w14:paraId="70936CA0" w14:textId="77777777" w:rsidR="00CE4F1A" w:rsidRPr="00DB4737" w:rsidRDefault="00CE4F1A" w:rsidP="008B3546">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2BB1F9F" w14:textId="77777777" w:rsidR="00CE4F1A" w:rsidRDefault="00CE4F1A" w:rsidP="008B3546">
            <w:pPr>
              <w:spacing w:line="276" w:lineRule="auto"/>
              <w:contextualSpacing/>
              <w:jc w:val="both"/>
              <w:rPr>
                <w:rFonts w:ascii="Verdana" w:eastAsia="Calibri" w:hAnsi="Verdana" w:cs="Times New Roman"/>
                <w:lang w:val="es-ES"/>
              </w:rPr>
            </w:pPr>
          </w:p>
          <w:p w14:paraId="3FB90D60" w14:textId="77777777" w:rsidR="00CE4F1A" w:rsidRPr="00E529C2" w:rsidRDefault="00CE4F1A" w:rsidP="008B3546">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w:t>
            </w:r>
            <w:r w:rsidRPr="00DB4737">
              <w:rPr>
                <w:rFonts w:ascii="Verdana" w:eastAsia="Calibri" w:hAnsi="Verdana" w:cs="Times New Roman"/>
                <w:lang w:val="es-ES"/>
              </w:rPr>
              <w:lastRenderedPageBreak/>
              <w:t>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CE4F1A" w:rsidRPr="00593A5F" w14:paraId="0A288C79" w14:textId="77777777" w:rsidTr="008B3546">
        <w:tc>
          <w:tcPr>
            <w:tcW w:w="8828" w:type="dxa"/>
          </w:tcPr>
          <w:p w14:paraId="562FFDCD" w14:textId="77777777" w:rsidR="00CE4F1A" w:rsidRDefault="00CE4F1A" w:rsidP="008B3546">
            <w:pPr>
              <w:spacing w:after="120" w:line="276" w:lineRule="auto"/>
              <w:jc w:val="both"/>
              <w:rPr>
                <w:rFonts w:ascii="Verdana" w:eastAsia="Calibri" w:hAnsi="Verdana" w:cs="Arial"/>
                <w:bCs/>
                <w:lang w:eastAsia="es-ES_tradnl"/>
              </w:rPr>
            </w:pPr>
          </w:p>
        </w:tc>
      </w:tr>
    </w:tbl>
    <w:p w14:paraId="50A1C01E" w14:textId="77777777" w:rsidR="00CE4F1A" w:rsidRDefault="00CE4F1A" w:rsidP="00CE4F1A">
      <w:pPr>
        <w:tabs>
          <w:tab w:val="left" w:pos="142"/>
          <w:tab w:val="left" w:pos="284"/>
        </w:tabs>
        <w:spacing w:after="0" w:line="276" w:lineRule="auto"/>
        <w:jc w:val="both"/>
        <w:rPr>
          <w:rFonts w:ascii="Verdana" w:eastAsia="Century Gothic" w:hAnsi="Verdana" w:cs="Century Gothic"/>
          <w:b/>
          <w:bCs/>
          <w:lang w:val="es-ES"/>
        </w:rPr>
      </w:pPr>
    </w:p>
    <w:p w14:paraId="685427A5" w14:textId="77777777" w:rsidR="00CE4F1A" w:rsidRDefault="00CE4F1A" w:rsidP="00CE4F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F81E298" w14:textId="77777777" w:rsidR="00CE4F1A" w:rsidRDefault="00CE4F1A" w:rsidP="00CE4F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4DED283" w14:textId="77777777" w:rsidR="00CE4F1A" w:rsidRPr="006C0D93" w:rsidRDefault="00CE4F1A" w:rsidP="00CE4F1A">
      <w:pPr>
        <w:spacing w:after="120" w:line="276" w:lineRule="auto"/>
        <w:jc w:val="both"/>
        <w:rPr>
          <w:rFonts w:ascii="Verdana" w:eastAsia="Calibri" w:hAnsi="Verdana" w:cs="Arial"/>
        </w:rPr>
      </w:pPr>
      <w:r>
        <w:rPr>
          <w:rFonts w:ascii="Verdana" w:hAnsi="Verdana"/>
        </w:rPr>
        <w:t xml:space="preserve">       </w:t>
      </w:r>
      <w:r w:rsidRPr="00F56F02">
        <w:rPr>
          <w:rFonts w:ascii="Verdana" w:hAnsi="Verdana"/>
        </w:rPr>
        <w:t xml:space="preserve"> </w:t>
      </w:r>
      <w:r w:rsidRPr="006C0D93">
        <w:rPr>
          <w:rFonts w:ascii="Verdana" w:hAnsi="Verdana" w:cs="Arial"/>
          <w:color w:val="000000" w:themeColor="text1"/>
          <w:lang w:val="es-ES_tradnl"/>
        </w:rPr>
        <w:t xml:space="preserve">Respecto a las convocatorias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633EB7A4" w14:textId="77777777" w:rsidR="00CE4F1A" w:rsidRPr="006C0D93" w:rsidRDefault="00CE4F1A" w:rsidP="00CE4F1A">
      <w:pPr>
        <w:spacing w:after="120" w:line="276" w:lineRule="auto"/>
        <w:ind w:firstLine="709"/>
        <w:jc w:val="both"/>
        <w:rPr>
          <w:rFonts w:ascii="Verdana" w:eastAsia="Calibri" w:hAnsi="Verdana" w:cs="Arial"/>
        </w:rPr>
      </w:pPr>
      <w:r w:rsidRPr="006C0D93">
        <w:rPr>
          <w:rFonts w:ascii="Verdana" w:hAnsi="Verdana" w:cs="Arial"/>
          <w:color w:val="000000" w:themeColor="text1"/>
          <w:lang w:val="es-ES_tradnl"/>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7817F66D" w14:textId="77777777" w:rsidR="00CE4F1A" w:rsidRPr="006C0D93" w:rsidRDefault="00CE4F1A" w:rsidP="00CE4F1A">
      <w:pPr>
        <w:spacing w:after="120" w:line="276" w:lineRule="auto"/>
        <w:ind w:firstLine="709"/>
        <w:jc w:val="both"/>
        <w:rPr>
          <w:rFonts w:ascii="Verdana" w:eastAsia="Calibri" w:hAnsi="Verdana" w:cs="Arial"/>
        </w:rPr>
      </w:pPr>
      <w:r w:rsidRPr="006C0D93">
        <w:rPr>
          <w:rFonts w:ascii="Verdana" w:eastAsia="Calibri" w:hAnsi="Verdana" w:cs="Arial"/>
        </w:rPr>
        <w:t>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MiPymes, a continuación de se estudiará el contenido y alcance del artículo 34.</w:t>
      </w:r>
    </w:p>
    <w:p w14:paraId="4A55AA5C" w14:textId="77777777" w:rsidR="00CE4F1A" w:rsidRPr="006C0D93" w:rsidRDefault="00CE4F1A" w:rsidP="00CE4F1A">
      <w:pPr>
        <w:spacing w:after="120" w:line="276" w:lineRule="auto"/>
        <w:ind w:firstLine="709"/>
        <w:jc w:val="both"/>
        <w:rPr>
          <w:rFonts w:ascii="Verdana" w:eastAsia="Calibri" w:hAnsi="Verdana" w:cs="Arial"/>
        </w:rPr>
      </w:pPr>
      <w:r w:rsidRPr="006C0D93">
        <w:rPr>
          <w:rFonts w:ascii="Verdana" w:eastAsia="Calibri" w:hAnsi="Verdana" w:cs="Arial"/>
        </w:rPr>
        <w:t xml:space="preserve">El artículo 34 de la Ley 2069 de 2020 modificó el artículo 12 de la Ley 1150 de 2007, el cual regula la promoción del desarrollo en la contratación pública, cambiando </w:t>
      </w:r>
      <w:r w:rsidRPr="006C0D93">
        <w:rPr>
          <w:rFonts w:ascii="Verdana" w:eastAsia="Calibri" w:hAnsi="Verdana" w:cs="Arial"/>
          <w:bdr w:val="none" w:sz="0" w:space="0" w:color="auto" w:frame="1"/>
        </w:rPr>
        <w:t xml:space="preserve">los requisitos esenciales para que procedan las convocatorias limitadas a MiPymes, de la siguiente forma: i) estableció que estas </w:t>
      </w:r>
      <w:r w:rsidRPr="006C0D93">
        <w:rPr>
          <w:rFonts w:ascii="Verdana" w:eastAsia="Calibri" w:hAnsi="Verdana" w:cs="Arial"/>
          <w:bdr w:val="none" w:sz="0" w:space="0" w:color="auto" w:frame="1"/>
        </w:rPr>
        <w:lastRenderedPageBreak/>
        <w:t xml:space="preserve">deben desarrollarse independientemente del régimen de contratación de la Entidad Estatal –es decir, también deben efectuarlas las Entidades Estatales exceptuadas del EGCAP o que se rigen por derecho privado–; </w:t>
      </w:r>
      <w:proofErr w:type="spellStart"/>
      <w:r w:rsidRPr="006C0D93">
        <w:rPr>
          <w:rFonts w:ascii="Verdana" w:eastAsia="Calibri" w:hAnsi="Verdana" w:cs="Arial"/>
          <w:bdr w:val="none" w:sz="0" w:space="0" w:color="auto" w:frame="1"/>
        </w:rPr>
        <w:t>ii</w:t>
      </w:r>
      <w:proofErr w:type="spellEnd"/>
      <w:r w:rsidRPr="006C0D93">
        <w:rPr>
          <w:rFonts w:ascii="Verdana" w:eastAsia="Calibri" w:hAnsi="Verdana" w:cs="Arial"/>
          <w:bdr w:val="none" w:sz="0" w:space="0" w:color="auto" w:frame="1"/>
        </w:rPr>
        <w:t xml:space="preserve">) señaló que los patrimonios autónomos constituidos por Entidades Estatales y los particulares que ejecuten recursos públicos también son destinatarios de esta exigencia; y,  </w:t>
      </w:r>
      <w:proofErr w:type="spellStart"/>
      <w:r w:rsidRPr="006C0D93">
        <w:rPr>
          <w:rFonts w:ascii="Verdana" w:eastAsia="Calibri" w:hAnsi="Verdana" w:cs="Arial"/>
          <w:bdr w:val="none" w:sz="0" w:space="0" w:color="auto" w:frame="1"/>
        </w:rPr>
        <w:t>iii</w:t>
      </w:r>
      <w:proofErr w:type="spellEnd"/>
      <w:r w:rsidRPr="006C0D93">
        <w:rPr>
          <w:rFonts w:ascii="Verdana" w:eastAsia="Calibri" w:hAnsi="Verdana" w:cs="Arial"/>
          <w:bdr w:val="none" w:sz="0" w:space="0" w:color="auto" w:frame="1"/>
        </w:rPr>
        <w:t xml:space="preserve">) indicó que para que pueda haber convocatorias limitadas a MiPymes, dos (2) de ellas deben manifestar su interés. </w:t>
      </w:r>
    </w:p>
    <w:p w14:paraId="53756183" w14:textId="77777777" w:rsidR="00CE4F1A" w:rsidRPr="009A051F" w:rsidRDefault="00CE4F1A" w:rsidP="00CE4F1A">
      <w:pPr>
        <w:spacing w:after="0"/>
        <w:ind w:firstLine="708"/>
        <w:jc w:val="both"/>
        <w:rPr>
          <w:rFonts w:ascii="Verdana" w:eastAsia="Calibri" w:hAnsi="Verdana" w:cs="Arial"/>
          <w:lang w:val="es-ES"/>
        </w:rPr>
      </w:pPr>
      <w:r>
        <w:rPr>
          <w:rFonts w:ascii="Verdana" w:eastAsia="Verdana" w:hAnsi="Verdana" w:cs="Verdana"/>
          <w:lang w:val="es-ES"/>
        </w:rPr>
        <w:t>En desarrollo de la anterior disposición, e</w:t>
      </w:r>
      <w:r w:rsidRPr="00D96ED6">
        <w:rPr>
          <w:rFonts w:ascii="Verdana" w:eastAsia="Verdana" w:hAnsi="Verdana" w:cs="Verdana"/>
          <w:lang w:val="es-ES"/>
        </w:rPr>
        <w:t>l artículo 2.2.1.2.4.2.2. del Decreto 1082 de 2015 -modificado por el Decreto 1860</w:t>
      </w:r>
      <w:r w:rsidRPr="00D96ED6">
        <w:rPr>
          <w:rFonts w:ascii="Verdana" w:eastAsia="Verdana" w:hAnsi="Verdana" w:cs="Verdana"/>
          <w:spacing w:val="66"/>
          <w:w w:val="150"/>
          <w:lang w:val="es-ES"/>
        </w:rPr>
        <w:t xml:space="preserve"> </w:t>
      </w:r>
      <w:r w:rsidRPr="00D96ED6">
        <w:rPr>
          <w:rFonts w:ascii="Verdana" w:eastAsia="Verdana" w:hAnsi="Verdana" w:cs="Verdana"/>
          <w:lang w:val="es-ES"/>
        </w:rPr>
        <w:t>de</w:t>
      </w:r>
      <w:r w:rsidRPr="00D96ED6">
        <w:rPr>
          <w:rFonts w:ascii="Verdana" w:eastAsia="Verdana" w:hAnsi="Verdana" w:cs="Verdana"/>
          <w:spacing w:val="65"/>
          <w:w w:val="150"/>
          <w:lang w:val="es-ES"/>
        </w:rPr>
        <w:t xml:space="preserve"> </w:t>
      </w:r>
      <w:r w:rsidRPr="00D96ED6">
        <w:rPr>
          <w:rFonts w:ascii="Verdana" w:eastAsia="Verdana" w:hAnsi="Verdana" w:cs="Verdana"/>
          <w:lang w:val="es-ES"/>
        </w:rPr>
        <w:t>2021-</w:t>
      </w:r>
      <w:r w:rsidRPr="00D96ED6">
        <w:rPr>
          <w:rFonts w:ascii="Verdana" w:eastAsia="Verdana" w:hAnsi="Verdana" w:cs="Verdana"/>
          <w:spacing w:val="66"/>
          <w:w w:val="150"/>
          <w:lang w:val="es-ES"/>
        </w:rPr>
        <w:t xml:space="preserve"> </w:t>
      </w:r>
      <w:r w:rsidRPr="00D96ED6">
        <w:rPr>
          <w:rFonts w:ascii="Verdana" w:eastAsia="Verdana" w:hAnsi="Verdana" w:cs="Verdana"/>
          <w:lang w:val="es-ES"/>
        </w:rPr>
        <w:t>establece</w:t>
      </w:r>
      <w:r w:rsidRPr="00D96ED6">
        <w:rPr>
          <w:rFonts w:ascii="Verdana" w:eastAsia="Verdana" w:hAnsi="Verdana" w:cs="Verdana"/>
          <w:spacing w:val="68"/>
          <w:w w:val="150"/>
          <w:lang w:val="es-ES"/>
        </w:rPr>
        <w:t xml:space="preserve"> </w:t>
      </w:r>
      <w:r w:rsidRPr="00D96ED6">
        <w:rPr>
          <w:rFonts w:ascii="Verdana" w:eastAsia="Verdana" w:hAnsi="Verdana" w:cs="Verdana"/>
          <w:lang w:val="es-ES"/>
        </w:rPr>
        <w:t>los</w:t>
      </w:r>
      <w:r w:rsidRPr="00D96ED6">
        <w:rPr>
          <w:rFonts w:ascii="Verdana" w:eastAsia="Verdana" w:hAnsi="Verdana" w:cs="Verdana"/>
          <w:spacing w:val="65"/>
          <w:w w:val="150"/>
          <w:lang w:val="es-ES"/>
        </w:rPr>
        <w:t xml:space="preserve"> </w:t>
      </w:r>
      <w:r w:rsidRPr="00D96ED6">
        <w:rPr>
          <w:rFonts w:ascii="Verdana" w:eastAsia="Verdana" w:hAnsi="Verdana" w:cs="Verdana"/>
          <w:lang w:val="es-ES"/>
        </w:rPr>
        <w:t>requisitos</w:t>
      </w:r>
      <w:r w:rsidRPr="00D96ED6">
        <w:rPr>
          <w:rFonts w:ascii="Verdana" w:eastAsia="Verdana" w:hAnsi="Verdana" w:cs="Verdana"/>
          <w:spacing w:val="67"/>
          <w:w w:val="150"/>
          <w:lang w:val="es-ES"/>
        </w:rPr>
        <w:t xml:space="preserve"> </w:t>
      </w:r>
      <w:r w:rsidRPr="00D96ED6">
        <w:rPr>
          <w:rFonts w:ascii="Verdana" w:eastAsia="Verdana" w:hAnsi="Verdana" w:cs="Verdana"/>
          <w:lang w:val="es-ES"/>
        </w:rPr>
        <w:t>que</w:t>
      </w:r>
      <w:r w:rsidRPr="00D96ED6">
        <w:rPr>
          <w:rFonts w:ascii="Verdana" w:eastAsia="Verdana" w:hAnsi="Verdana" w:cs="Verdana"/>
          <w:spacing w:val="66"/>
          <w:w w:val="150"/>
          <w:lang w:val="es-ES"/>
        </w:rPr>
        <w:t xml:space="preserve"> </w:t>
      </w:r>
      <w:r w:rsidRPr="00D96ED6">
        <w:rPr>
          <w:rFonts w:ascii="Verdana" w:eastAsia="Verdana" w:hAnsi="Verdana" w:cs="Verdana"/>
          <w:lang w:val="es-ES"/>
        </w:rPr>
        <w:t>se</w:t>
      </w:r>
      <w:r w:rsidRPr="00D96ED6">
        <w:rPr>
          <w:rFonts w:ascii="Verdana" w:eastAsia="Verdana" w:hAnsi="Verdana" w:cs="Verdana"/>
          <w:spacing w:val="65"/>
          <w:w w:val="150"/>
          <w:lang w:val="es-ES"/>
        </w:rPr>
        <w:t xml:space="preserve"> </w:t>
      </w:r>
      <w:r w:rsidRPr="00D96ED6">
        <w:rPr>
          <w:rFonts w:ascii="Verdana" w:eastAsia="Verdana" w:hAnsi="Verdana" w:cs="Verdana"/>
          <w:lang w:val="es-ES"/>
        </w:rPr>
        <w:t>deben</w:t>
      </w:r>
      <w:r w:rsidRPr="00D96ED6">
        <w:rPr>
          <w:rFonts w:ascii="Verdana" w:eastAsia="Verdana" w:hAnsi="Verdana" w:cs="Verdana"/>
          <w:spacing w:val="66"/>
          <w:w w:val="150"/>
          <w:lang w:val="es-ES"/>
        </w:rPr>
        <w:t xml:space="preserve"> </w:t>
      </w:r>
      <w:r w:rsidRPr="00D96ED6">
        <w:rPr>
          <w:rFonts w:ascii="Verdana" w:eastAsia="Verdana" w:hAnsi="Verdana" w:cs="Verdana"/>
          <w:lang w:val="es-ES"/>
        </w:rPr>
        <w:t>acreditar</w:t>
      </w:r>
      <w:r w:rsidRPr="00D96ED6">
        <w:rPr>
          <w:rFonts w:ascii="Verdana" w:eastAsia="Verdana" w:hAnsi="Verdana" w:cs="Verdana"/>
          <w:spacing w:val="68"/>
          <w:w w:val="150"/>
          <w:lang w:val="es-ES"/>
        </w:rPr>
        <w:t xml:space="preserve"> </w:t>
      </w:r>
      <w:r w:rsidRPr="00D96ED6">
        <w:rPr>
          <w:rFonts w:ascii="Verdana" w:eastAsia="Verdana" w:hAnsi="Verdana" w:cs="Verdana"/>
          <w:lang w:val="es-ES"/>
        </w:rPr>
        <w:t>en</w:t>
      </w:r>
      <w:r w:rsidRPr="00D96ED6">
        <w:rPr>
          <w:rFonts w:ascii="Verdana" w:eastAsia="Verdana" w:hAnsi="Verdana" w:cs="Verdana"/>
          <w:spacing w:val="65"/>
          <w:w w:val="150"/>
          <w:lang w:val="es-ES"/>
        </w:rPr>
        <w:t xml:space="preserve"> </w:t>
      </w:r>
      <w:r w:rsidRPr="00D96ED6">
        <w:rPr>
          <w:rFonts w:ascii="Verdana" w:eastAsia="Verdana" w:hAnsi="Verdana" w:cs="Verdana"/>
          <w:lang w:val="es-ES"/>
        </w:rPr>
        <w:t xml:space="preserve">las “convocatorias limitadas a </w:t>
      </w:r>
      <w:proofErr w:type="spellStart"/>
      <w:r w:rsidRPr="00D96ED6">
        <w:rPr>
          <w:rFonts w:ascii="Verdana" w:eastAsia="Verdana" w:hAnsi="Verdana" w:cs="Verdana"/>
          <w:lang w:val="es-ES"/>
        </w:rPr>
        <w:t>Mipymes</w:t>
      </w:r>
      <w:proofErr w:type="spellEnd"/>
      <w:r w:rsidRPr="00D96ED6">
        <w:rPr>
          <w:rFonts w:ascii="Verdana" w:eastAsia="Verdana" w:hAnsi="Verdana" w:cs="Verdana"/>
          <w:lang w:val="es-ES"/>
        </w:rPr>
        <w:t>”. Al respecto indica lo siguiente:</w:t>
      </w:r>
    </w:p>
    <w:p w14:paraId="592AD37A" w14:textId="77777777" w:rsidR="00CE4F1A" w:rsidRDefault="00CE4F1A" w:rsidP="00CE4F1A">
      <w:pPr>
        <w:widowControl w:val="0"/>
        <w:tabs>
          <w:tab w:val="left" w:pos="382"/>
        </w:tabs>
        <w:autoSpaceDE w:val="0"/>
        <w:autoSpaceDN w:val="0"/>
        <w:spacing w:after="0" w:line="276" w:lineRule="auto"/>
        <w:jc w:val="both"/>
        <w:outlineLvl w:val="0"/>
        <w:rPr>
          <w:rFonts w:ascii="Verdana" w:eastAsia="Verdana" w:hAnsi="Verdana" w:cs="Verdana"/>
          <w:b/>
          <w:bCs/>
          <w:lang w:val="es-ES"/>
        </w:rPr>
      </w:pPr>
    </w:p>
    <w:p w14:paraId="5AFFD6F2" w14:textId="77777777" w:rsidR="00CE4F1A" w:rsidRPr="00594E5E" w:rsidRDefault="00CE4F1A" w:rsidP="00CE4F1A">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594E5E">
        <w:rPr>
          <w:rFonts w:ascii="Verdana" w:eastAsia="Verdana" w:hAnsi="Verdana" w:cs="Verdana"/>
          <w:sz w:val="20"/>
          <w:szCs w:val="20"/>
          <w:lang w:val="es-ES"/>
        </w:rPr>
        <w:t xml:space="preserve">“Artículo 2.2.1.2.4.2.2. Convocatorias Imitadas a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Las Entidades Estatales independientemente de su régimen de contratación, los patrimonios autónomos constituidos por Entidades Estatales y los particulares</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ejecuten</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recursos</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públicos,</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deben</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limitar</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convocatoria 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los</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Procesos</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Contratación</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pluralidad</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oferentes</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a</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las</w:t>
      </w:r>
      <w:r w:rsidRPr="00594E5E">
        <w:rPr>
          <w:rFonts w:ascii="Verdana" w:eastAsia="Verdana" w:hAnsi="Verdana" w:cs="Verdana"/>
          <w:spacing w:val="-4"/>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con mínimo un (1) año de existencia, cuando concurran los siguientes requisitos:</w:t>
      </w:r>
    </w:p>
    <w:p w14:paraId="23E5E3C6" w14:textId="77777777" w:rsidR="00CE4F1A" w:rsidRPr="00594E5E" w:rsidRDefault="00CE4F1A" w:rsidP="00CE4F1A">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p>
    <w:p w14:paraId="455FDEF2" w14:textId="77777777" w:rsidR="00CE4F1A" w:rsidRPr="00594E5E" w:rsidRDefault="00CE4F1A" w:rsidP="00CE4F1A">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r w:rsidRPr="00594E5E">
        <w:rPr>
          <w:rFonts w:ascii="Verdana" w:eastAsia="Verdana" w:hAnsi="Verdana" w:cs="Verdana"/>
          <w:sz w:val="20"/>
          <w:szCs w:val="20"/>
          <w:lang w:val="es-ES"/>
        </w:rPr>
        <w:t>1. El</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valor</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del</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Proceso</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Contratación</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sea</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menor</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a</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ciento</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veinticinco</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mil dólares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los</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Estados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Unidos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América</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(US$125.000),</w:t>
      </w:r>
      <w:r w:rsidRPr="00594E5E">
        <w:rPr>
          <w:rFonts w:ascii="Verdana" w:eastAsia="Verdana" w:hAnsi="Verdana" w:cs="Verdana"/>
          <w:spacing w:val="-11"/>
          <w:sz w:val="20"/>
          <w:szCs w:val="20"/>
          <w:lang w:val="es-ES"/>
        </w:rPr>
        <w:t xml:space="preserve"> </w:t>
      </w:r>
      <w:r w:rsidRPr="00594E5E">
        <w:rPr>
          <w:rFonts w:ascii="Verdana" w:eastAsia="Verdana" w:hAnsi="Verdana" w:cs="Verdana"/>
          <w:sz w:val="20"/>
          <w:szCs w:val="20"/>
          <w:lang w:val="es-ES"/>
        </w:rPr>
        <w:t>liquidados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la tasa de cambio que para el efecto determina cada dos años el Ministerio de Comercio, Industria y Turismo.</w:t>
      </w:r>
    </w:p>
    <w:p w14:paraId="09F8D6B7" w14:textId="77777777" w:rsidR="00CE4F1A" w:rsidRPr="00594E5E" w:rsidRDefault="00CE4F1A" w:rsidP="00CE4F1A">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2A51D411" w14:textId="77777777" w:rsidR="00CE4F1A" w:rsidRPr="00594E5E" w:rsidRDefault="00CE4F1A" w:rsidP="00CE4F1A">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594E5E">
        <w:rPr>
          <w:rFonts w:ascii="Verdana" w:eastAsia="Verdana" w:hAnsi="Verdana" w:cs="Verdana"/>
          <w:sz w:val="20"/>
          <w:szCs w:val="20"/>
          <w:lang w:val="es-ES"/>
        </w:rPr>
        <w:t xml:space="preserve">2. Se hayan recibido solicitudes de por lo menos dos (2)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para limitar la convocatoria a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Las Entidades Estatales independientemente de su régimen de contratación, los patrimonios autónomos constituidos por Entidades Estatales y los particulares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ejecuten</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recursos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públicos,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deben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recibir</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estas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solicitudes por</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lo</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menos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un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(1)</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día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hábil</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antes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expedición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del</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acto</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administrativo 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apertura,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o</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el</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haga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sus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veces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acuerdo</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normativa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aplicable a cada Proceso de Contratación. Tratándose de personas jurídicas, las solicitudes</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solo</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las</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podrán</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realizar</w:t>
      </w:r>
      <w:r w:rsidRPr="00594E5E">
        <w:rPr>
          <w:rFonts w:ascii="Verdana" w:eastAsia="Verdana" w:hAnsi="Verdana" w:cs="Verdana"/>
          <w:spacing w:val="-6"/>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w:t>
      </w:r>
      <w:r w:rsidRPr="00594E5E">
        <w:rPr>
          <w:rFonts w:ascii="Verdana" w:eastAsia="Verdana" w:hAnsi="Verdana" w:cs="Verdana"/>
          <w:spacing w:val="-9"/>
          <w:sz w:val="20"/>
          <w:szCs w:val="20"/>
          <w:lang w:val="es-ES"/>
        </w:rPr>
        <w:t xml:space="preserve"> </w:t>
      </w:r>
      <w:r w:rsidRPr="00594E5E">
        <w:rPr>
          <w:rFonts w:ascii="Verdana" w:eastAsia="Verdana" w:hAnsi="Verdana" w:cs="Verdana"/>
          <w:sz w:val="20"/>
          <w:szCs w:val="20"/>
          <w:lang w:val="es-ES"/>
        </w:rPr>
        <w:t>cuyo</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objeto</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social</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les</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permita ejecutar el contrato relacionado con el proceso contractual.</w:t>
      </w:r>
    </w:p>
    <w:p w14:paraId="204162C0" w14:textId="77777777" w:rsidR="00CE4F1A" w:rsidRPr="00594E5E" w:rsidRDefault="00CE4F1A" w:rsidP="00CE4F1A">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077619AC" w14:textId="77777777" w:rsidR="00CE4F1A" w:rsidRPr="00594E5E" w:rsidRDefault="00CE4F1A" w:rsidP="00CE4F1A">
      <w:pPr>
        <w:widowControl w:val="0"/>
        <w:tabs>
          <w:tab w:val="left" w:pos="382"/>
        </w:tabs>
        <w:autoSpaceDE w:val="0"/>
        <w:autoSpaceDN w:val="0"/>
        <w:spacing w:after="0" w:line="240" w:lineRule="auto"/>
        <w:ind w:left="709" w:right="709"/>
        <w:jc w:val="both"/>
        <w:outlineLvl w:val="0"/>
        <w:rPr>
          <w:rFonts w:ascii="Verdana" w:eastAsia="Verdana" w:hAnsi="Verdana" w:cs="Verdana"/>
          <w:b/>
          <w:bCs/>
          <w:lang w:val="es-ES"/>
        </w:rPr>
      </w:pPr>
      <w:r w:rsidRPr="00594E5E">
        <w:rPr>
          <w:rFonts w:ascii="Verdana" w:eastAsia="Verdana" w:hAnsi="Verdana" w:cs="Verdana"/>
          <w:sz w:val="20"/>
          <w:szCs w:val="20"/>
          <w:lang w:val="es-ES"/>
        </w:rPr>
        <w:t>Parágrafo. Las cooperativas y demás entidades de economía solidaria, siempre</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tengan</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calidad</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5"/>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podrán</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solicitar</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y</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participar</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en las convocatorias limitadas en las mismas condiciones dispuestas en el presente artículo”.</w:t>
      </w:r>
    </w:p>
    <w:p w14:paraId="58C39E9E" w14:textId="77777777" w:rsidR="00CE4F1A" w:rsidRDefault="00CE4F1A" w:rsidP="00CE4F1A">
      <w:pPr>
        <w:spacing w:after="0" w:line="276" w:lineRule="auto"/>
        <w:ind w:firstLine="708"/>
        <w:jc w:val="both"/>
        <w:rPr>
          <w:rFonts w:ascii="Verdana" w:hAnsi="Verdana"/>
          <w:lang w:val="es-ES"/>
        </w:rPr>
      </w:pPr>
    </w:p>
    <w:p w14:paraId="63A90A02" w14:textId="77777777" w:rsidR="00CE4F1A" w:rsidRPr="0022587E" w:rsidRDefault="00CE4F1A" w:rsidP="00CE4F1A">
      <w:pPr>
        <w:spacing w:after="120" w:line="276" w:lineRule="auto"/>
        <w:ind w:firstLine="708"/>
        <w:jc w:val="both"/>
        <w:rPr>
          <w:rFonts w:ascii="Verdana" w:hAnsi="Verdana"/>
          <w:lang w:val="es-ES"/>
        </w:rPr>
      </w:pPr>
      <w:r w:rsidRPr="0022587E">
        <w:rPr>
          <w:rFonts w:ascii="Verdana" w:hAnsi="Verdana"/>
          <w:lang w:val="es-ES"/>
        </w:rPr>
        <w:lastRenderedPageBreak/>
        <w:t xml:space="preserve">Según se evidencia, el numeral primero del </w:t>
      </w:r>
      <w:r w:rsidRPr="0022587E">
        <w:rPr>
          <w:rFonts w:ascii="Verdana" w:hAnsi="Verdana"/>
          <w:lang w:val="es-ES_tradnl"/>
        </w:rPr>
        <w:t xml:space="preserve">artículo 2.2.1.2.4.2.2 del Decreto 1082 de 2015 </w:t>
      </w:r>
      <w:r w:rsidRPr="0022587E">
        <w:rPr>
          <w:rFonts w:ascii="Verdana" w:hAnsi="Verdana"/>
          <w:lang w:val="es-ES"/>
        </w:rPr>
        <w:t xml:space="preserve">limita cuantitativamente los procesos contractuales para las convocatorias limitadas a </w:t>
      </w:r>
      <w:proofErr w:type="spellStart"/>
      <w:r w:rsidRPr="0022587E">
        <w:rPr>
          <w:rFonts w:ascii="Verdana" w:hAnsi="Verdana"/>
          <w:lang w:val="es-ES"/>
        </w:rPr>
        <w:t>Mipyme</w:t>
      </w:r>
      <w:proofErr w:type="spellEnd"/>
      <w:r w:rsidRPr="0022587E">
        <w:rPr>
          <w:rFonts w:ascii="Verdana" w:hAnsi="Verdana"/>
          <w:lang w:val="es-ES"/>
        </w:rPr>
        <w:t>, puesto que el valor del proceso de contratación debe ser “menor a ciento veinticinco mil dólares de los Estados Unidos de América”. Esto de acuerdo con la tasa que determine cada dos</w:t>
      </w:r>
      <w:r>
        <w:rPr>
          <w:rFonts w:ascii="Verdana" w:hAnsi="Verdana"/>
          <w:lang w:val="es-ES"/>
        </w:rPr>
        <w:t xml:space="preserve"> (2)</w:t>
      </w:r>
      <w:r w:rsidRPr="0022587E">
        <w:rPr>
          <w:rFonts w:ascii="Verdana" w:hAnsi="Verdana"/>
          <w:lang w:val="es-ES"/>
        </w:rPr>
        <w:t xml:space="preserve"> años el Ministerio de Comercio, Industria y Turismo. </w:t>
      </w:r>
      <w:r>
        <w:rPr>
          <w:rFonts w:ascii="Verdana" w:hAnsi="Verdana"/>
          <w:lang w:val="es-ES"/>
        </w:rPr>
        <w:t>E</w:t>
      </w:r>
      <w:r w:rsidRPr="0022587E">
        <w:rPr>
          <w:rFonts w:ascii="Verdana" w:hAnsi="Verdana"/>
          <w:lang w:val="es-ES"/>
        </w:rPr>
        <w:t>l numeral segundo establece</w:t>
      </w:r>
      <w:r>
        <w:rPr>
          <w:rFonts w:ascii="Verdana" w:hAnsi="Verdana"/>
          <w:lang w:val="es-ES"/>
        </w:rPr>
        <w:t>, por un lado,</w:t>
      </w:r>
      <w:r w:rsidRPr="0022587E">
        <w:rPr>
          <w:rFonts w:ascii="Verdana" w:hAnsi="Verdana"/>
          <w:lang w:val="es-ES"/>
        </w:rPr>
        <w:t xml:space="preserve"> que al menos dos (2) </w:t>
      </w:r>
      <w:proofErr w:type="spellStart"/>
      <w:r w:rsidRPr="0022587E">
        <w:rPr>
          <w:rFonts w:ascii="Verdana" w:hAnsi="Verdana"/>
          <w:lang w:val="es-ES"/>
        </w:rPr>
        <w:t>Mi</w:t>
      </w:r>
      <w:r>
        <w:rPr>
          <w:rFonts w:ascii="Verdana" w:hAnsi="Verdana"/>
          <w:lang w:val="es-ES"/>
        </w:rPr>
        <w:t>p</w:t>
      </w:r>
      <w:r w:rsidRPr="0022587E">
        <w:rPr>
          <w:rFonts w:ascii="Verdana" w:hAnsi="Verdana"/>
          <w:lang w:val="es-ES"/>
        </w:rPr>
        <w:t>ymes</w:t>
      </w:r>
      <w:proofErr w:type="spellEnd"/>
      <w:r w:rsidRPr="0022587E">
        <w:rPr>
          <w:rFonts w:ascii="Verdana" w:hAnsi="Verdana"/>
          <w:lang w:val="es-ES"/>
        </w:rPr>
        <w:t xml:space="preserve">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14:paraId="66F1DD2B" w14:textId="77777777" w:rsidR="00CE4F1A" w:rsidRPr="0022587E" w:rsidRDefault="00CE4F1A" w:rsidP="00CE4F1A">
      <w:pPr>
        <w:spacing w:after="120" w:line="276" w:lineRule="auto"/>
        <w:ind w:firstLine="708"/>
        <w:jc w:val="both"/>
        <w:rPr>
          <w:rFonts w:ascii="Verdana" w:eastAsia="Calibri" w:hAnsi="Verdana" w:cs="Arial"/>
          <w:color w:val="000000" w:themeColor="text1"/>
        </w:rPr>
      </w:pPr>
      <w:r w:rsidRPr="0022587E">
        <w:rPr>
          <w:rFonts w:ascii="Verdana" w:hAnsi="Verdana"/>
          <w:lang w:val="es-ES"/>
        </w:rPr>
        <w:t>Asimism</w:t>
      </w:r>
      <w:r>
        <w:rPr>
          <w:rFonts w:ascii="Verdana" w:hAnsi="Verdana"/>
          <w:lang w:val="es-ES"/>
        </w:rPr>
        <w:t>o, la norma dispone</w:t>
      </w:r>
      <w:r w:rsidRPr="0022587E">
        <w:rPr>
          <w:rFonts w:ascii="Verdana" w:hAnsi="Verdana"/>
          <w:lang w:val="es-ES"/>
        </w:rPr>
        <w:t xml:space="preserve"> que, tratándose de personas jurídicas, las solicitudes solo las podrán realizar la</w:t>
      </w:r>
      <w:r>
        <w:rPr>
          <w:rFonts w:ascii="Verdana" w:hAnsi="Verdana"/>
          <w:lang w:val="es-ES"/>
        </w:rPr>
        <w:t>s</w:t>
      </w:r>
      <w:r w:rsidRPr="0022587E">
        <w:rPr>
          <w:rFonts w:ascii="Verdana" w:hAnsi="Verdana"/>
          <w:lang w:val="es-ES"/>
        </w:rPr>
        <w:t xml:space="preserve"> </w:t>
      </w:r>
      <w:proofErr w:type="spellStart"/>
      <w:r w:rsidRPr="0022587E">
        <w:rPr>
          <w:rFonts w:ascii="Verdana" w:hAnsi="Verdana"/>
          <w:lang w:val="es-ES"/>
        </w:rPr>
        <w:t>Mipyme</w:t>
      </w:r>
      <w:proofErr w:type="spellEnd"/>
      <w:r>
        <w:rPr>
          <w:rFonts w:ascii="Verdana" w:hAnsi="Verdana"/>
          <w:lang w:val="es-ES"/>
        </w:rPr>
        <w:t xml:space="preserve"> </w:t>
      </w:r>
      <w:r w:rsidRPr="0022587E">
        <w:rPr>
          <w:rFonts w:ascii="Verdana" w:hAnsi="Verdana"/>
          <w:lang w:val="es-ES"/>
        </w:rPr>
        <w:t xml:space="preserve">cuyo objeto social les permita ejecutar el contrato relacionado con el proceso contractual. </w:t>
      </w:r>
      <w:r w:rsidRPr="0022587E">
        <w:rPr>
          <w:rFonts w:ascii="Verdana" w:eastAsia="Calibri" w:hAnsi="Verdana" w:cs="Arial"/>
          <w:color w:val="000000" w:themeColor="text1"/>
        </w:rPr>
        <w:t xml:space="preserve">En relación con la posibilidad que una sociedad por acciones simplificada pueda solicitar la limitación de la convocatoria a </w:t>
      </w:r>
      <w:proofErr w:type="spellStart"/>
      <w:r w:rsidRPr="0022587E">
        <w:rPr>
          <w:rFonts w:ascii="Verdana" w:eastAsia="Calibri" w:hAnsi="Verdana" w:cs="Arial"/>
          <w:color w:val="000000" w:themeColor="text1"/>
        </w:rPr>
        <w:t>Mipyme</w:t>
      </w:r>
      <w:proofErr w:type="spellEnd"/>
      <w:r w:rsidRPr="0022587E">
        <w:rPr>
          <w:rFonts w:ascii="Verdana" w:eastAsia="Calibri" w:hAnsi="Verdana" w:cs="Arial"/>
          <w:color w:val="000000" w:themeColor="text1"/>
        </w:rPr>
        <w:t xml:space="preserve"> debido a la necesidad de que el objeto social </w:t>
      </w:r>
      <w:r w:rsidRPr="0022587E">
        <w:rPr>
          <w:rFonts w:ascii="Verdana" w:hAnsi="Verdana"/>
          <w:lang w:val="es-ES"/>
        </w:rPr>
        <w:t xml:space="preserve">les permita ejecutar el contrato relacionado con el proceso contractual debe señalarse que, </w:t>
      </w:r>
      <w:r w:rsidRPr="0022587E">
        <w:rPr>
          <w:rFonts w:ascii="Verdana" w:eastAsia="Calibri" w:hAnsi="Verdana" w:cs="Arial"/>
          <w:color w:val="000000" w:themeColor="text1"/>
        </w:rPr>
        <w:t xml:space="preserve">la capacidad </w:t>
      </w:r>
      <w:proofErr w:type="spellStart"/>
      <w:r w:rsidRPr="0022587E">
        <w:rPr>
          <w:rFonts w:ascii="Verdana" w:eastAsia="Calibri" w:hAnsi="Verdana" w:cs="Arial"/>
          <w:color w:val="000000" w:themeColor="text1"/>
        </w:rPr>
        <w:t>juridica</w:t>
      </w:r>
      <w:proofErr w:type="spellEnd"/>
      <w:r w:rsidRPr="0022587E">
        <w:rPr>
          <w:rFonts w:ascii="Verdana" w:eastAsia="Calibri" w:hAnsi="Verdana" w:cs="Arial"/>
          <w:color w:val="000000" w:themeColor="text1"/>
        </w:rPr>
        <w:t xml:space="preserve"> de las </w:t>
      </w:r>
      <w:r w:rsidRPr="0022587E">
        <w:rPr>
          <w:rFonts w:ascii="Verdana" w:eastAsia="Calibri" w:hAnsi="Verdana" w:cs="Arial"/>
          <w:i/>
          <w:iCs/>
          <w:color w:val="000000" w:themeColor="text1"/>
        </w:rPr>
        <w:t>personas jurídicas</w:t>
      </w:r>
      <w:r w:rsidRPr="0022587E">
        <w:rPr>
          <w:rFonts w:ascii="Verdana" w:eastAsia="Calibri" w:hAnsi="Verdana" w:cs="Arial"/>
          <w:color w:val="000000" w:themeColor="text1"/>
        </w:rPr>
        <w:t xml:space="preserve"> se circunscribe a las actividades principales y conexas del objeto social. </w:t>
      </w:r>
    </w:p>
    <w:p w14:paraId="67BEB0C8" w14:textId="77777777" w:rsidR="00CE4F1A" w:rsidRPr="0022587E" w:rsidRDefault="00CE4F1A" w:rsidP="00CE4F1A">
      <w:pPr>
        <w:spacing w:after="120" w:line="276" w:lineRule="auto"/>
        <w:ind w:firstLine="708"/>
        <w:jc w:val="both"/>
        <w:rPr>
          <w:rFonts w:ascii="Verdana" w:hAnsi="Verdana"/>
          <w:lang w:val="es-ES"/>
        </w:rPr>
      </w:pPr>
      <w:r w:rsidRPr="0022587E">
        <w:rPr>
          <w:rFonts w:ascii="Verdana" w:eastAsia="Calibri" w:hAnsi="Verdana" w:cs="Arial"/>
          <w:color w:val="000000" w:themeColor="text1"/>
        </w:rPr>
        <w:t>Las primeras constituyen la verdadera labor empresarial del ente societario, es decir, la “[…] actividad económica organizada para la producción, transformación, circulación, administración o custodia de bienes, o para la prestación de servicios […]” en los términos del artículo 25 del Código de Comercio: su explotación rentable contribuye al ánimo de lucro de quienes tengan la calidad de socios, accionistas o constituyentes. Por su parte, las segundas son aquellas que complementan, facilitan o guardan relación directa con las actividades principales, por lo que contribuyen al cumplimiento de los fines principales de la empresa, así como los necesarios para el ejercicio de los derechos de la sociedad o para cumplir obligaciones derivadas de su existencia o actividad</w:t>
      </w:r>
      <w:r w:rsidRPr="0022587E">
        <w:rPr>
          <w:rStyle w:val="Refdenotaalpie"/>
          <w:rFonts w:ascii="Verdana" w:eastAsia="Calibri" w:hAnsi="Verdana" w:cs="Arial"/>
          <w:color w:val="000000" w:themeColor="text1"/>
        </w:rPr>
        <w:footnoteReference w:id="2"/>
      </w:r>
      <w:r w:rsidRPr="0022587E">
        <w:rPr>
          <w:rFonts w:ascii="Verdana" w:eastAsia="Calibri" w:hAnsi="Verdana" w:cs="Arial"/>
          <w:color w:val="000000" w:themeColor="text1"/>
        </w:rPr>
        <w:t xml:space="preserve">. Estas limitaciones a la capacidad se justifican en la medida que "[…] </w:t>
      </w:r>
      <w:r w:rsidRPr="0022587E">
        <w:rPr>
          <w:rFonts w:ascii="Verdana" w:eastAsia="Calibri" w:hAnsi="Verdana" w:cs="Arial"/>
          <w:color w:val="000000" w:themeColor="text1"/>
        </w:rPr>
        <w:lastRenderedPageBreak/>
        <w:t>los aportes al fondo social se hacen precisamente para los negocios sociales y, por eso, no pueden ser distraídos en actividades distintas, para no desvirtuar y dejar de cumplir el contrato social”</w:t>
      </w:r>
      <w:r w:rsidRPr="0022587E">
        <w:rPr>
          <w:rStyle w:val="Refdenotaalpie"/>
          <w:rFonts w:ascii="Verdana" w:eastAsia="Calibri" w:hAnsi="Verdana" w:cs="Arial"/>
          <w:color w:val="000000" w:themeColor="text1"/>
        </w:rPr>
        <w:footnoteReference w:id="3"/>
      </w:r>
      <w:r w:rsidRPr="0022587E">
        <w:rPr>
          <w:rFonts w:ascii="Verdana" w:eastAsia="Calibri" w:hAnsi="Verdana" w:cs="Arial"/>
          <w:color w:val="000000" w:themeColor="text1"/>
        </w:rPr>
        <w:t>.</w:t>
      </w:r>
    </w:p>
    <w:p w14:paraId="1990D3A8" w14:textId="77777777" w:rsidR="00CE4F1A" w:rsidRPr="0022587E" w:rsidRDefault="00CE4F1A" w:rsidP="00CE4F1A">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22587E">
        <w:rPr>
          <w:rFonts w:ascii="Verdana" w:eastAsia="Calibri" w:hAnsi="Verdana" w:cs="Arial"/>
          <w:color w:val="000000" w:themeColor="text1"/>
        </w:rPr>
        <w:t>Aunque lo descrito en los párrafos precedentes constituye la regla general, excepcionalmente el ordenamiento jurídico permite la constitución de personas jurídicas con objeto indeterminado. Este es el caso de las sociedades por acciones simplificadas, especialmente,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sidRPr="0022587E">
        <w:rPr>
          <w:rStyle w:val="Refdenotaalpie"/>
          <w:rFonts w:ascii="Verdana" w:eastAsia="Calibri" w:hAnsi="Verdana" w:cs="Arial"/>
          <w:color w:val="000000" w:themeColor="text1"/>
        </w:rPr>
        <w:footnoteReference w:id="4"/>
      </w:r>
      <w:r w:rsidRPr="0022587E">
        <w:rPr>
          <w:rFonts w:ascii="Verdana" w:eastAsia="Calibri" w:hAnsi="Verdana" w:cs="Arial"/>
          <w:color w:val="000000" w:themeColor="text1"/>
        </w:rPr>
        <w:t>. En ese sen</w:t>
      </w:r>
      <w:r>
        <w:rPr>
          <w:rFonts w:ascii="Verdana" w:eastAsia="Calibri" w:hAnsi="Verdana" w:cs="Arial"/>
          <w:color w:val="000000" w:themeColor="text1"/>
        </w:rPr>
        <w:t xml:space="preserve">tido, </w:t>
      </w:r>
      <w:r w:rsidRPr="0022587E">
        <w:rPr>
          <w:rFonts w:ascii="Verdana" w:eastAsia="Calibri" w:hAnsi="Verdana" w:cs="Arial"/>
          <w:color w:val="000000" w:themeColor="text1"/>
        </w:rPr>
        <w:t xml:space="preserve">debe señalarse que, las sociedades con objeto indeterminado –como las sociedades por acciones simplificadas– pueden solicitar la limitación de la convocatoria a </w:t>
      </w:r>
      <w:proofErr w:type="spellStart"/>
      <w:r w:rsidRPr="0022587E">
        <w:rPr>
          <w:rFonts w:ascii="Verdana" w:eastAsia="Calibri" w:hAnsi="Verdana" w:cs="Arial"/>
          <w:color w:val="000000" w:themeColor="text1"/>
        </w:rPr>
        <w:t>Mipymes</w:t>
      </w:r>
      <w:proofErr w:type="spellEnd"/>
      <w:r w:rsidRPr="0022587E">
        <w:rPr>
          <w:rFonts w:ascii="Verdana" w:eastAsia="Calibri" w:hAnsi="Verdana" w:cs="Arial"/>
          <w:color w:val="000000" w:themeColor="text1"/>
        </w:rPr>
        <w:t>,</w:t>
      </w:r>
      <w:r w:rsidRPr="0022587E">
        <w:rPr>
          <w:rFonts w:ascii="Verdana" w:eastAsia="Times New Roman" w:hAnsi="Verdana" w:cs="Arial"/>
          <w:color w:val="000000" w:themeColor="text1"/>
          <w:lang w:val="es-ES_tradnl" w:eastAsia="es-ES_tradnl"/>
        </w:rPr>
        <w:t xml:space="preserve"> ya que –en las condiciones del</w:t>
      </w:r>
      <w:r w:rsidRPr="0022587E">
        <w:rPr>
          <w:rFonts w:ascii="Verdana" w:eastAsia="Calibri" w:hAnsi="Verdana" w:cs="Arial"/>
          <w:color w:val="000000" w:themeColor="text1"/>
        </w:rPr>
        <w:t xml:space="preserve"> artículo 5.4 de la Ley 1258 de 2008– </w:t>
      </w:r>
      <w:r w:rsidRPr="0022587E">
        <w:rPr>
          <w:rFonts w:ascii="Verdana" w:eastAsia="Times New Roman" w:hAnsi="Verdana" w:cs="Arial"/>
          <w:color w:val="000000" w:themeColor="text1"/>
          <w:lang w:val="es-ES_tradnl" w:eastAsia="es-ES_tradnl"/>
        </w:rPr>
        <w:t>pueden ejecutar cualquier actividad lícita.</w:t>
      </w:r>
      <w:r w:rsidRPr="0022587E">
        <w:rPr>
          <w:rFonts w:ascii="Verdana" w:eastAsia="Calibri" w:hAnsi="Verdana" w:cs="Arial"/>
          <w:color w:val="000000" w:themeColor="text1"/>
        </w:rPr>
        <w:t xml:space="preserve"> </w:t>
      </w:r>
    </w:p>
    <w:p w14:paraId="64149631" w14:textId="77777777" w:rsidR="00CE4F1A" w:rsidRPr="0022587E" w:rsidRDefault="00CE4F1A" w:rsidP="00CE4F1A">
      <w:pPr>
        <w:spacing w:after="120" w:line="276" w:lineRule="auto"/>
        <w:ind w:firstLine="708"/>
        <w:jc w:val="both"/>
        <w:rPr>
          <w:rFonts w:ascii="Verdana" w:hAnsi="Verdana"/>
          <w:lang w:val="es-ES"/>
        </w:rPr>
      </w:pPr>
      <w:r w:rsidRPr="0022587E">
        <w:rPr>
          <w:rFonts w:ascii="Verdana" w:hAnsi="Verdana"/>
          <w:lang w:val="es-ES"/>
        </w:rPr>
        <w:lastRenderedPageBreak/>
        <w:t xml:space="preserve">Por lo demás, el artículo </w:t>
      </w:r>
      <w:r w:rsidRPr="0022587E">
        <w:rPr>
          <w:rFonts w:ascii="Verdana" w:hAnsi="Verdana"/>
          <w:lang w:val="es-ES_tradnl"/>
        </w:rPr>
        <w:t xml:space="preserve">2.1.2.4.2.2 del Decreto 1082 de 2015 </w:t>
      </w:r>
      <w:r w:rsidRPr="0022587E">
        <w:rPr>
          <w:rFonts w:ascii="Verdana" w:hAnsi="Verdana"/>
          <w:lang w:val="es-ES"/>
        </w:rPr>
        <w:t xml:space="preserve">incluye a las cooperativas y demás entidades de economía solidaria dentro de los sujetos que pueden solicitar y participar en las convocatorias limitadas a </w:t>
      </w:r>
      <w:proofErr w:type="spellStart"/>
      <w:r w:rsidRPr="0022587E">
        <w:rPr>
          <w:rFonts w:ascii="Verdana" w:hAnsi="Verdana"/>
          <w:lang w:val="es-ES"/>
        </w:rPr>
        <w:t>Mipyme</w:t>
      </w:r>
      <w:proofErr w:type="spellEnd"/>
      <w:r w:rsidRPr="0022587E">
        <w:rPr>
          <w:rFonts w:ascii="Verdana" w:hAnsi="Verdana"/>
          <w:lang w:val="es-ES"/>
        </w:rPr>
        <w:t>, siempre que estas cumplan con las condiciones señaladas en el artículo.</w:t>
      </w:r>
    </w:p>
    <w:p w14:paraId="04D2BE8E" w14:textId="77777777" w:rsidR="00CE4F1A" w:rsidRPr="006C0D93" w:rsidRDefault="00CE4F1A" w:rsidP="00CE4F1A">
      <w:pPr>
        <w:spacing w:after="120" w:line="276" w:lineRule="auto"/>
        <w:ind w:firstLine="709"/>
        <w:jc w:val="both"/>
        <w:rPr>
          <w:rFonts w:ascii="Verdana" w:eastAsia="Calibri" w:hAnsi="Verdana" w:cs="Arial"/>
        </w:rPr>
      </w:pPr>
      <w:r w:rsidRPr="006C0D93">
        <w:rPr>
          <w:rFonts w:ascii="Verdana" w:eastAsia="Calibri" w:hAnsi="Verdana" w:cs="Arial"/>
          <w:lang w:val="es-ES_tradnl"/>
        </w:rPr>
        <w:t xml:space="preserve">De la redacción del parágrafo 1 del artículo 34 de la Ley 2069 de 2020, según el cual, “En los procesos de selección que se desarrollen con base en el primer inciso, las entidades podrán realizar las convocatorias limitadas que beneficien a las MiPymes del ámbito municipal o departamental correspondiente al de la ejecución del contrato”, se desprende que en tales términos, la norma citada solo contempla la posibilidad de limitar convocatorias a MiPymes con domicilio en esos dos tipos de entidades territoriales. </w:t>
      </w:r>
    </w:p>
    <w:p w14:paraId="23E4FE84" w14:textId="77777777" w:rsidR="00CE4F1A" w:rsidRPr="006C0D93" w:rsidRDefault="00CE4F1A" w:rsidP="00CE4F1A">
      <w:pPr>
        <w:spacing w:after="120" w:line="276" w:lineRule="auto"/>
        <w:ind w:firstLine="709"/>
        <w:jc w:val="both"/>
        <w:rPr>
          <w:rFonts w:ascii="Verdana" w:eastAsia="Calibri" w:hAnsi="Verdana" w:cs="Arial"/>
        </w:rPr>
      </w:pPr>
      <w:r w:rsidRPr="006C0D93">
        <w:rPr>
          <w:rFonts w:ascii="Verdana" w:eastAsia="Arial" w:hAnsi="Verdana" w:cs="Arial"/>
          <w:color w:val="000000" w:themeColor="text1"/>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6C0D93">
        <w:rPr>
          <w:rFonts w:ascii="Verdana" w:eastAsia="Arial" w:hAnsi="Verdana" w:cs="Arial"/>
          <w:color w:val="000000" w:themeColor="text1"/>
        </w:rPr>
        <w:t>MiPyme</w:t>
      </w:r>
      <w:proofErr w:type="spellEnd"/>
      <w:r w:rsidRPr="006C0D93">
        <w:rPr>
          <w:rFonts w:ascii="Verdana" w:eastAsia="Arial" w:hAnsi="Verdana" w:cs="Arial"/>
          <w:color w:val="000000" w:themeColor="text1"/>
        </w:rPr>
        <w:t xml:space="preserve"> nacional. Además, las normas de contratación permiten que las </w:t>
      </w:r>
      <w:proofErr w:type="spellStart"/>
      <w:r w:rsidRPr="006C0D93">
        <w:rPr>
          <w:rFonts w:ascii="Verdana" w:eastAsia="Arial" w:hAnsi="Verdana" w:cs="Arial"/>
          <w:color w:val="000000" w:themeColor="text1"/>
        </w:rPr>
        <w:t>MiPyme</w:t>
      </w:r>
      <w:proofErr w:type="spellEnd"/>
      <w:r w:rsidRPr="006C0D93">
        <w:rPr>
          <w:rFonts w:ascii="Verdana" w:eastAsia="Arial" w:hAnsi="Verdana" w:cs="Arial"/>
          <w:color w:val="000000" w:themeColor="text1"/>
        </w:rPr>
        <w:t xml:space="preserve"> nacionales puedan beneficiarse de la ejecución de un contrato dentro de la entidad territorial en la que tienen su “domicilio”. </w:t>
      </w:r>
    </w:p>
    <w:p w14:paraId="2304D8E2" w14:textId="77777777" w:rsidR="00CE4F1A" w:rsidRPr="006C0D93" w:rsidRDefault="00CE4F1A" w:rsidP="00CE4F1A">
      <w:pPr>
        <w:spacing w:after="120" w:line="276" w:lineRule="auto"/>
        <w:ind w:firstLine="709"/>
        <w:jc w:val="both"/>
        <w:rPr>
          <w:rFonts w:ascii="Verdana" w:eastAsia="Calibri" w:hAnsi="Verdana" w:cs="Arial"/>
        </w:rPr>
      </w:pPr>
      <w:r w:rsidRPr="006C0D93">
        <w:rPr>
          <w:rFonts w:ascii="Verdana" w:eastAsia="Arial" w:hAnsi="Verdana" w:cs="Arial"/>
          <w:color w:val="000000" w:themeColor="text1"/>
        </w:rPr>
        <w:t xml:space="preserve">Por otro lado, no puede perderse de vista que la decisión de limitar “a </w:t>
      </w:r>
      <w:proofErr w:type="spellStart"/>
      <w:r w:rsidRPr="006C0D93">
        <w:rPr>
          <w:rFonts w:ascii="Verdana" w:eastAsia="Arial" w:hAnsi="Verdana" w:cs="Arial"/>
          <w:color w:val="000000" w:themeColor="text1"/>
        </w:rPr>
        <w:t>Mipyme</w:t>
      </w:r>
      <w:proofErr w:type="spellEnd"/>
      <w:r w:rsidRPr="006C0D93">
        <w:rPr>
          <w:rFonts w:ascii="Verdana" w:eastAsia="Arial" w:hAnsi="Verdana" w:cs="Arial"/>
          <w:color w:val="000000" w:themeColor="text1"/>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En ese sentido, si la Entidad no recibió las solicitudes para limitar la convocatoria a </w:t>
      </w:r>
      <w:proofErr w:type="spellStart"/>
      <w:r w:rsidRPr="006C0D93">
        <w:rPr>
          <w:rFonts w:ascii="Verdana" w:eastAsia="Arial" w:hAnsi="Verdana" w:cs="Arial"/>
          <w:color w:val="000000" w:themeColor="text1"/>
        </w:rPr>
        <w:t>MiPyme</w:t>
      </w:r>
      <w:proofErr w:type="spellEnd"/>
      <w:r w:rsidRPr="006C0D93">
        <w:rPr>
          <w:rFonts w:ascii="Verdana" w:eastAsia="Arial" w:hAnsi="Verdana" w:cs="Arial"/>
          <w:color w:val="000000" w:themeColor="text1"/>
        </w:rPr>
        <w:t xml:space="preserve">, no puede </w:t>
      </w:r>
      <w:r w:rsidRPr="006C0D93">
        <w:rPr>
          <w:rFonts w:ascii="Verdana" w:eastAsia="Arial" w:hAnsi="Verdana" w:cs="Arial"/>
          <w:i/>
          <w:iCs/>
          <w:color w:val="000000" w:themeColor="text1"/>
        </w:rPr>
        <w:t xml:space="preserve">motu proprio </w:t>
      </w:r>
      <w:r w:rsidRPr="006C0D93">
        <w:rPr>
          <w:rFonts w:ascii="Verdana" w:eastAsia="Arial" w:hAnsi="Verdana" w:cs="Arial"/>
          <w:color w:val="000000" w:themeColor="text1"/>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0C012228" w14:textId="77777777" w:rsidR="00CE4F1A" w:rsidRPr="006C0D93" w:rsidRDefault="00CE4F1A" w:rsidP="00CE4F1A">
      <w:pPr>
        <w:spacing w:after="120" w:line="276" w:lineRule="auto"/>
        <w:ind w:firstLine="709"/>
        <w:jc w:val="both"/>
        <w:rPr>
          <w:rFonts w:ascii="Verdana" w:eastAsia="Calibri" w:hAnsi="Verdana" w:cs="Arial"/>
        </w:rPr>
      </w:pPr>
      <w:r w:rsidRPr="006C0D93">
        <w:rPr>
          <w:rFonts w:ascii="Verdana" w:hAnsi="Verdana" w:cs="Arial"/>
          <w:color w:val="000000" w:themeColor="text1"/>
        </w:rPr>
        <w:t xml:space="preserve">Cumplidos los dos requisitos del artículo 2.2.1.2.4.2.2 </w:t>
      </w:r>
      <w:proofErr w:type="spellStart"/>
      <w:r w:rsidRPr="006C0D93">
        <w:rPr>
          <w:rFonts w:ascii="Verdana" w:hAnsi="Verdana" w:cs="Arial"/>
          <w:i/>
          <w:iCs/>
          <w:color w:val="000000" w:themeColor="text1"/>
        </w:rPr>
        <w:t>ibídem</w:t>
      </w:r>
      <w:proofErr w:type="spellEnd"/>
      <w:r w:rsidRPr="006C0D93">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w:t>
      </w:r>
      <w:r w:rsidRPr="00D10C3B">
        <w:rPr>
          <w:rFonts w:ascii="Verdana" w:hAnsi="Verdana" w:cs="Arial"/>
          <w:color w:val="000000" w:themeColor="text1"/>
        </w:rPr>
        <w:t xml:space="preserve">pueden ─sin estar obligadas─ decidir si limitan la convocatoria a las </w:t>
      </w:r>
      <w:proofErr w:type="spellStart"/>
      <w:r w:rsidRPr="00D10C3B">
        <w:rPr>
          <w:rFonts w:ascii="Verdana" w:hAnsi="Verdana" w:cs="Arial"/>
          <w:color w:val="000000" w:themeColor="text1"/>
        </w:rPr>
        <w:t>MiPyme</w:t>
      </w:r>
      <w:proofErr w:type="spellEnd"/>
      <w:r w:rsidRPr="00D10C3B">
        <w:rPr>
          <w:rFonts w:ascii="Verdana" w:hAnsi="Verdana" w:cs="Arial"/>
          <w:color w:val="000000" w:themeColor="text1"/>
        </w:rPr>
        <w:t xml:space="preserve"> colombianas domiciliadas en el municipio o departamento en el que se ejecutará el contrato</w:t>
      </w:r>
      <w:r w:rsidRPr="006C0D93">
        <w:rPr>
          <w:rFonts w:ascii="Verdana" w:hAnsi="Verdana" w:cs="Arial"/>
          <w:color w:val="000000" w:themeColor="text1"/>
        </w:rPr>
        <w:t xml:space="preserve">. Esto de acuerdo con el artículo 2.2.1.2.4.2.3 del Decreto 1082 de 2015 </w:t>
      </w:r>
      <w:r w:rsidRPr="006C0D93">
        <w:rPr>
          <w:rFonts w:ascii="Verdana" w:eastAsia="Arial" w:hAnsi="Verdana" w:cs="Arial"/>
          <w:color w:val="000000"/>
          <w:lang w:val="es-ES_tradnl"/>
        </w:rPr>
        <w:t>modificado por el Decreto 1860 de 2021</w:t>
      </w:r>
      <w:r w:rsidRPr="006C0D93">
        <w:rPr>
          <w:rFonts w:ascii="Verdana" w:hAnsi="Verdana" w:cs="Arial"/>
          <w:color w:val="000000" w:themeColor="text1"/>
        </w:rPr>
        <w:t xml:space="preserve">, norma que se </w:t>
      </w:r>
      <w:r w:rsidRPr="006C0D93">
        <w:rPr>
          <w:rFonts w:ascii="Verdana" w:hAnsi="Verdana" w:cs="Arial"/>
          <w:color w:val="000000" w:themeColor="text1"/>
        </w:rPr>
        <w:lastRenderedPageBreak/>
        <w:t xml:space="preserve">refiere a la facultad de la administración con el verbo infinitivo “poder”, no “deber”. </w:t>
      </w:r>
    </w:p>
    <w:p w14:paraId="22881A05" w14:textId="77777777" w:rsidR="00CE4F1A" w:rsidRDefault="00CE4F1A" w:rsidP="00CE4F1A">
      <w:pPr>
        <w:spacing w:after="120" w:line="276" w:lineRule="auto"/>
        <w:ind w:firstLine="709"/>
        <w:jc w:val="both"/>
        <w:rPr>
          <w:rFonts w:ascii="Verdana" w:eastAsia="Calibri" w:hAnsi="Verdana" w:cs="Arial"/>
          <w:color w:val="000000" w:themeColor="text1"/>
        </w:rPr>
      </w:pPr>
      <w:r w:rsidRPr="006C0D93">
        <w:rPr>
          <w:rFonts w:ascii="Verdana" w:hAnsi="Verdana" w:cs="Arial"/>
          <w:color w:val="000000" w:themeColor="text1"/>
        </w:rPr>
        <w:t xml:space="preserve">En tal sentido, </w:t>
      </w:r>
      <w:r w:rsidRPr="006C0D93">
        <w:rPr>
          <w:rFonts w:ascii="Verdana" w:eastAsia="Calibri" w:hAnsi="Verdana" w:cs="Arial"/>
          <w:color w:val="000000" w:themeColor="text1"/>
        </w:rPr>
        <w:t>lo que debe adoptarse obligatoriamente es la</w:t>
      </w:r>
      <w:r w:rsidRPr="006C0D93">
        <w:rPr>
          <w:rFonts w:ascii="Verdana" w:hAnsi="Verdana" w:cs="Arial"/>
          <w:color w:val="000000" w:themeColor="text1"/>
        </w:rPr>
        <w:t xml:space="preserve"> limitación a MiPymes colombianas</w:t>
      </w:r>
      <w:r w:rsidRPr="006C0D93">
        <w:rPr>
          <w:rFonts w:ascii="Verdana" w:eastAsia="Calibri" w:hAnsi="Verdana" w:cs="Arial"/>
          <w:color w:val="000000" w:themeColor="text1"/>
        </w:rPr>
        <w:t xml:space="preserve"> siempre que se cumplan las condiciones del artículo 2.2.1.2.4.2.2 del Decreto 1082 de 2015, pero no la “limitación territorial” referida en el artículo 2.2.1.2.4.2.3 </w:t>
      </w:r>
      <w:proofErr w:type="spellStart"/>
      <w:r w:rsidRPr="006C0D93">
        <w:rPr>
          <w:rFonts w:ascii="Verdana" w:eastAsia="Calibri" w:hAnsi="Verdana" w:cs="Arial"/>
          <w:i/>
          <w:iCs/>
          <w:color w:val="000000" w:themeColor="text1"/>
        </w:rPr>
        <w:t>ibídem</w:t>
      </w:r>
      <w:proofErr w:type="spellEnd"/>
      <w:r w:rsidRPr="006C0D93">
        <w:rPr>
          <w:rFonts w:ascii="Verdana" w:eastAsia="Calibri" w:hAnsi="Verdana" w:cs="Arial"/>
          <w:color w:val="000000" w:themeColor="text1"/>
        </w:rPr>
        <w:t>, pues esta es facultativa para la Entidad. Las únicas exigencias son que la convocatoria esté l</w:t>
      </w:r>
      <w:r w:rsidRPr="006C0D93">
        <w:rPr>
          <w:rFonts w:ascii="Verdana" w:hAnsi="Verdana" w:cs="Arial"/>
          <w:color w:val="000000" w:themeColor="text1"/>
        </w:rPr>
        <w:t xml:space="preserve">imitada a las </w:t>
      </w:r>
      <w:proofErr w:type="spellStart"/>
      <w:r w:rsidRPr="006C0D93">
        <w:rPr>
          <w:rFonts w:ascii="Verdana" w:hAnsi="Verdana" w:cs="Arial"/>
          <w:color w:val="000000" w:themeColor="text1"/>
        </w:rPr>
        <w:t>Mipyme</w:t>
      </w:r>
      <w:proofErr w:type="spellEnd"/>
      <w:r w:rsidRPr="006C0D93">
        <w:rPr>
          <w:rFonts w:ascii="Verdana" w:hAnsi="Verdana" w:cs="Arial"/>
          <w:color w:val="000000" w:themeColor="text1"/>
        </w:rPr>
        <w:t xml:space="preserve"> colombianas</w:t>
      </w:r>
      <w:r w:rsidRPr="006C0D93">
        <w:rPr>
          <w:rFonts w:ascii="Verdana" w:eastAsia="Calibri" w:hAnsi="Verdana" w:cs="Arial"/>
          <w:color w:val="000000" w:themeColor="text1"/>
        </w:rPr>
        <w:t xml:space="preserve"> “</w:t>
      </w:r>
      <w:r w:rsidRPr="002F2B7D">
        <w:rPr>
          <w:rFonts w:ascii="Verdana" w:eastAsia="Calibri" w:hAnsi="Verdana" w:cs="Arial"/>
          <w:b/>
          <w:bCs/>
          <w:color w:val="000000" w:themeColor="text1"/>
        </w:rPr>
        <w:t>domiciliadas en los departamentos o municipios en donde se va a ejecutar el contrato</w:t>
      </w:r>
      <w:r w:rsidRPr="006C0D93">
        <w:rPr>
          <w:rFonts w:ascii="Verdana" w:eastAsia="Calibri" w:hAnsi="Verdana" w:cs="Arial"/>
          <w:color w:val="000000" w:themeColor="text1"/>
        </w:rPr>
        <w:t>” y que la entidad justifique su decisión con base en los “estudios del sector”</w:t>
      </w:r>
      <w:r w:rsidRPr="00C02F37">
        <w:rPr>
          <w:rStyle w:val="Refdenotaalpie"/>
          <w:rFonts w:ascii="Verdana" w:eastAsia="Calibri" w:hAnsi="Verdana" w:cs="Arial"/>
          <w:color w:val="000000" w:themeColor="text1"/>
        </w:rPr>
        <w:footnoteReference w:id="5"/>
      </w:r>
      <w:r w:rsidRPr="006C0D93">
        <w:rPr>
          <w:rFonts w:ascii="Verdana" w:eastAsia="Calibri" w:hAnsi="Verdana" w:cs="Arial"/>
          <w:color w:val="000000" w:themeColor="text1"/>
        </w:rPr>
        <w:t xml:space="preserve"> No es procedente, entonces, que sean las MiPymes las que soliciten la “limitación territorial” a la que se refiere el artículo 2.2.1.2.4.2.3 del Decreto 1082 de 2015. </w:t>
      </w:r>
    </w:p>
    <w:p w14:paraId="5A5B0237" w14:textId="77777777" w:rsidR="00CE4F1A" w:rsidRPr="008303DD" w:rsidRDefault="00CE4F1A" w:rsidP="00CE4F1A">
      <w:pPr>
        <w:spacing w:after="120" w:line="276" w:lineRule="auto"/>
        <w:ind w:firstLine="709"/>
        <w:jc w:val="both"/>
        <w:rPr>
          <w:rFonts w:ascii="Verdana" w:eastAsia="Calibri" w:hAnsi="Verdana" w:cs="Arial"/>
          <w:color w:val="000000" w:themeColor="text1"/>
        </w:rPr>
      </w:pPr>
      <w:r w:rsidRPr="006A0288">
        <w:rPr>
          <w:rFonts w:ascii="Verdana" w:eastAsia="Calibri" w:hAnsi="Verdana" w:cs="Arial"/>
          <w:color w:val="000000" w:themeColor="text1"/>
        </w:rPr>
        <w:t xml:space="preserve">Ahora bien, en </w:t>
      </w:r>
      <w:proofErr w:type="gramStart"/>
      <w:r w:rsidRPr="006A0288">
        <w:rPr>
          <w:rFonts w:ascii="Verdana" w:eastAsia="Calibri" w:hAnsi="Verdana" w:cs="Arial"/>
          <w:color w:val="000000" w:themeColor="text1"/>
        </w:rPr>
        <w:t>atención  al</w:t>
      </w:r>
      <w:proofErr w:type="gramEnd"/>
      <w:r w:rsidRPr="006A0288">
        <w:rPr>
          <w:rFonts w:ascii="Verdana" w:eastAsia="Calibri" w:hAnsi="Verdana" w:cs="Arial"/>
          <w:color w:val="000000" w:themeColor="text1"/>
        </w:rPr>
        <w:t xml:space="preserve"> problema jurídico planteado y en virtud de lo anteriormente indicado</w:t>
      </w:r>
      <w:r>
        <w:rPr>
          <w:rFonts w:ascii="Verdana" w:eastAsia="Calibri" w:hAnsi="Verdana" w:cs="Arial"/>
          <w:color w:val="000000" w:themeColor="text1"/>
        </w:rPr>
        <w:t>,</w:t>
      </w:r>
      <w:r w:rsidRPr="006A0288">
        <w:rPr>
          <w:rFonts w:ascii="Verdana" w:eastAsia="Calibri" w:hAnsi="Verdana" w:cs="Arial"/>
          <w:color w:val="000000" w:themeColor="text1"/>
        </w:rPr>
        <w:t xml:space="preserve"> e</w:t>
      </w:r>
      <w:r w:rsidRPr="008303DD">
        <w:rPr>
          <w:rFonts w:ascii="Verdana" w:eastAsia="Calibri" w:hAnsi="Verdana" w:cs="Arial"/>
          <w:color w:val="000000" w:themeColor="text1"/>
        </w:rPr>
        <w:t xml:space="preserve">l </w:t>
      </w:r>
      <w:r>
        <w:rPr>
          <w:rFonts w:ascii="Verdana" w:eastAsia="Calibri" w:hAnsi="Verdana" w:cs="Arial"/>
          <w:color w:val="000000" w:themeColor="text1"/>
        </w:rPr>
        <w:t xml:space="preserve">requisito del </w:t>
      </w:r>
      <w:r w:rsidRPr="008303DD">
        <w:rPr>
          <w:rFonts w:ascii="Verdana" w:eastAsia="Calibri" w:hAnsi="Verdana" w:cs="Arial"/>
          <w:color w:val="000000" w:themeColor="text1"/>
        </w:rPr>
        <w:t xml:space="preserve">domicilio es una condición habilitante que, dado su carácter discrecional pero justificado </w:t>
      </w:r>
      <w:r>
        <w:rPr>
          <w:rFonts w:ascii="Verdana" w:eastAsia="Calibri" w:hAnsi="Verdana" w:cs="Arial"/>
          <w:color w:val="000000" w:themeColor="text1"/>
        </w:rPr>
        <w:t>por parte de</w:t>
      </w:r>
      <w:r w:rsidRPr="008303DD">
        <w:rPr>
          <w:rFonts w:ascii="Verdana" w:eastAsia="Calibri" w:hAnsi="Verdana" w:cs="Arial"/>
          <w:color w:val="000000" w:themeColor="text1"/>
        </w:rPr>
        <w:t xml:space="preserve"> la Entidad Estatal </w:t>
      </w:r>
      <w:r>
        <w:rPr>
          <w:rFonts w:ascii="Verdana" w:eastAsia="Calibri" w:hAnsi="Verdana" w:cs="Arial"/>
          <w:color w:val="000000" w:themeColor="text1"/>
        </w:rPr>
        <w:t>en los términos</w:t>
      </w:r>
      <w:r w:rsidRPr="008303DD">
        <w:rPr>
          <w:rFonts w:ascii="Verdana" w:eastAsia="Calibri" w:hAnsi="Verdana" w:cs="Arial"/>
          <w:color w:val="000000" w:themeColor="text1"/>
        </w:rPr>
        <w:t xml:space="preserve"> </w:t>
      </w:r>
      <w:r>
        <w:rPr>
          <w:rFonts w:ascii="Verdana" w:eastAsia="Calibri" w:hAnsi="Verdana" w:cs="Arial"/>
          <w:color w:val="000000" w:themeColor="text1"/>
        </w:rPr>
        <w:t>d</w:t>
      </w:r>
      <w:r w:rsidRPr="008303DD">
        <w:rPr>
          <w:rFonts w:ascii="Verdana" w:eastAsia="Calibri" w:hAnsi="Verdana" w:cs="Arial"/>
          <w:color w:val="000000" w:themeColor="text1"/>
        </w:rPr>
        <w:t xml:space="preserve">el </w:t>
      </w:r>
      <w:r>
        <w:rPr>
          <w:rFonts w:ascii="Verdana" w:eastAsia="Calibri" w:hAnsi="Verdana" w:cs="Arial"/>
          <w:color w:val="000000" w:themeColor="text1"/>
        </w:rPr>
        <w:t>a</w:t>
      </w:r>
      <w:r w:rsidRPr="008303DD">
        <w:rPr>
          <w:rFonts w:ascii="Verdana" w:eastAsia="Calibri" w:hAnsi="Verdana" w:cs="Arial"/>
          <w:color w:val="000000" w:themeColor="text1"/>
        </w:rPr>
        <w:t xml:space="preserve">rtículo 2.2.1.2.4.2.3 del Decreto 1082 de 2015, debe cumplirse obligatoriamente al momento del cierre de la convocatoria para validar </w:t>
      </w:r>
      <w:r w:rsidRPr="008303DD">
        <w:rPr>
          <w:rFonts w:ascii="Verdana" w:eastAsia="Calibri" w:hAnsi="Verdana" w:cs="Arial"/>
          <w:color w:val="000000" w:themeColor="text1"/>
        </w:rPr>
        <w:lastRenderedPageBreak/>
        <w:t xml:space="preserve">la participación de la MIPYME. Al verificarse el cumplimiento en ese momento, la adjudicación es jurídicamente válida y no puede ser invalidada </w:t>
      </w:r>
      <w:r w:rsidRPr="008303DD">
        <w:rPr>
          <w:rFonts w:ascii="Verdana" w:eastAsia="Calibri" w:hAnsi="Verdana" w:cs="Arial"/>
          <w:i/>
          <w:iCs/>
          <w:color w:val="000000" w:themeColor="text1"/>
        </w:rPr>
        <w:t>automáticamente</w:t>
      </w:r>
      <w:r w:rsidRPr="008303DD">
        <w:rPr>
          <w:rFonts w:ascii="Verdana" w:eastAsia="Calibri" w:hAnsi="Verdana" w:cs="Arial"/>
          <w:color w:val="000000" w:themeColor="text1"/>
        </w:rPr>
        <w:t xml:space="preserve"> por un cambio de domicilio posterior, pues el acto administrativo de selección se perfeccionó con base en las condiciones habilitantes satisfechas.</w:t>
      </w:r>
    </w:p>
    <w:p w14:paraId="7070CDFF" w14:textId="77777777" w:rsidR="00CE4F1A" w:rsidRPr="00854443" w:rsidRDefault="00CE4F1A" w:rsidP="00CE4F1A">
      <w:pPr>
        <w:spacing w:after="120" w:line="276" w:lineRule="auto"/>
        <w:ind w:firstLine="709"/>
        <w:jc w:val="both"/>
        <w:rPr>
          <w:rFonts w:ascii="Verdana" w:eastAsia="Calibri" w:hAnsi="Verdana" w:cs="Arial"/>
          <w:color w:val="000000" w:themeColor="text1"/>
        </w:rPr>
      </w:pPr>
      <w:r w:rsidRPr="008303DD">
        <w:rPr>
          <w:rFonts w:ascii="Verdana" w:eastAsia="Calibri" w:hAnsi="Verdana" w:cs="Arial"/>
          <w:color w:val="000000" w:themeColor="text1"/>
        </w:rPr>
        <w:t xml:space="preserve">Sin embargo, el mantenimiento del domicilio durante la ejecución no es una consecuencia automática, sino que depende de la finalidad y justificación de la limitación territorial adoptada por la Entidad Estatal. Dado que esta limitación es facultativa y debe sustentarse en los estudios del sector (Artículo 2.2.1.2.4.2.3), </w:t>
      </w:r>
      <w:r w:rsidRPr="00854443">
        <w:rPr>
          <w:rFonts w:ascii="Verdana" w:eastAsia="Calibri" w:hAnsi="Verdana" w:cs="Arial"/>
          <w:color w:val="000000" w:themeColor="text1"/>
        </w:rPr>
        <w:t xml:space="preserve">por lo que deberá revisarse </w:t>
      </w:r>
      <w:r w:rsidRPr="008303DD">
        <w:rPr>
          <w:rFonts w:ascii="Verdana" w:eastAsia="Calibri" w:hAnsi="Verdana" w:cs="Arial"/>
          <w:color w:val="000000" w:themeColor="text1"/>
        </w:rPr>
        <w:t xml:space="preserve">si </w:t>
      </w:r>
      <w:r w:rsidRPr="00854443">
        <w:rPr>
          <w:rFonts w:ascii="Verdana" w:eastAsia="Calibri" w:hAnsi="Verdana" w:cs="Arial"/>
          <w:color w:val="000000" w:themeColor="text1"/>
        </w:rPr>
        <w:t xml:space="preserve">en </w:t>
      </w:r>
      <w:r w:rsidRPr="008303DD">
        <w:rPr>
          <w:rFonts w:ascii="Verdana" w:eastAsia="Calibri" w:hAnsi="Verdana" w:cs="Arial"/>
          <w:color w:val="000000" w:themeColor="text1"/>
        </w:rPr>
        <w:t xml:space="preserve">el pliego de condiciones o el contrato </w:t>
      </w:r>
      <w:r w:rsidRPr="00854443">
        <w:rPr>
          <w:rFonts w:ascii="Verdana" w:eastAsia="Calibri" w:hAnsi="Verdana" w:cs="Arial"/>
          <w:color w:val="000000" w:themeColor="text1"/>
        </w:rPr>
        <w:t xml:space="preserve">se establece </w:t>
      </w:r>
      <w:r w:rsidRPr="008303DD">
        <w:rPr>
          <w:rFonts w:ascii="Verdana" w:eastAsia="Calibri" w:hAnsi="Verdana" w:cs="Arial"/>
          <w:color w:val="000000" w:themeColor="text1"/>
        </w:rPr>
        <w:t xml:space="preserve">que el domicilio local es vital para garantizar la ejecución del objeto contractual o para cumplir el propósito de fomento local que justificó la restricción, el cambio de domicilio podría interpretarse como un incumplimiento de una condición esencial de la propuesta. </w:t>
      </w:r>
    </w:p>
    <w:p w14:paraId="329B9D8F" w14:textId="77777777" w:rsidR="00CE4F1A" w:rsidRDefault="00CE4F1A" w:rsidP="00CE4F1A">
      <w:pPr>
        <w:spacing w:after="120" w:line="276" w:lineRule="auto"/>
        <w:ind w:firstLine="709"/>
        <w:jc w:val="both"/>
        <w:rPr>
          <w:rFonts w:ascii="Verdana" w:eastAsia="Calibri" w:hAnsi="Verdana" w:cs="Arial"/>
          <w:color w:val="000000" w:themeColor="text1"/>
        </w:rPr>
      </w:pPr>
      <w:r w:rsidRPr="00854443">
        <w:rPr>
          <w:rFonts w:ascii="Verdana" w:eastAsia="Calibri" w:hAnsi="Verdana" w:cs="Arial"/>
          <w:color w:val="000000" w:themeColor="text1"/>
        </w:rPr>
        <w:t>En ese sentido, corresponde a los equipos jurídicos de las entidades estatales evaluar, con base en lo señalado en los estudios previos y en la justificación de la limitación territorial, si el domicilio local constituye o no un elemento esencial para garantizar la adecuada ejecución del objeto contractual. Solo a partir de ese análisis técnico y jurídico podrá determinarse si el mantenimiento del domicilio durante la ejecución del contrato resulta indispensable para cumplir los fines de fomento y desarrollo local que motivaron la restricción, o si, por el contrario, basta con que la condición se haya verificado válidamente al momento de la presentación y evaluación de la oferta.</w:t>
      </w:r>
    </w:p>
    <w:p w14:paraId="16F83C69" w14:textId="77777777" w:rsidR="00CE4F1A" w:rsidRDefault="00CE4F1A" w:rsidP="00CE4F1A">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Por último</w:t>
      </w:r>
      <w:r w:rsidRPr="00854443">
        <w:rPr>
          <w:rFonts w:ascii="Verdana" w:eastAsia="Calibri" w:hAnsi="Verdana" w:cs="Arial"/>
          <w:color w:val="000000" w:themeColor="text1"/>
        </w:rPr>
        <w:t>, se recomienda la consulta de la “Guía para promover la participación de las MIPYMES en los procesos de compra pública”</w:t>
      </w:r>
      <w:r>
        <w:rPr>
          <w:rStyle w:val="Refdenotaalpie"/>
          <w:rFonts w:ascii="Verdana" w:eastAsia="Calibri" w:hAnsi="Verdana" w:cs="Arial"/>
          <w:color w:val="000000" w:themeColor="text1"/>
        </w:rPr>
        <w:footnoteReference w:id="6"/>
      </w:r>
      <w:r w:rsidRPr="00854443">
        <w:rPr>
          <w:rFonts w:ascii="Verdana" w:eastAsia="Calibri" w:hAnsi="Verdana" w:cs="Arial"/>
          <w:color w:val="000000" w:themeColor="text1"/>
        </w:rPr>
        <w:t xml:space="preserve"> elaborada por Colombia Compra Eficiente, la cual ofrece orientaciones prácticas sobre la aplicación de las normas que regulan la participación de las micro, pequeñas y medianas empresas en la contratación estatal. Dicha guía resulta especialmente útil para este caso, pues proporciona criterios sobre cómo justificar y aplicar adecuadamente las limitaciones territoriales y las condiciones de domicilio local, así como sobre la forma en que estas medidas deben armonizarse con los principios de transparencia, igualdad y fomento del desarrollo económico local.</w:t>
      </w:r>
    </w:p>
    <w:p w14:paraId="4C324A3B" w14:textId="77777777" w:rsidR="00CE4F1A" w:rsidRPr="0060676F" w:rsidRDefault="00CE4F1A" w:rsidP="00CE4F1A">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lastRenderedPageBreak/>
        <w:t>Referencias normativas, jurisprudenciales y otras fuentes:</w:t>
      </w:r>
    </w:p>
    <w:p w14:paraId="40569B37" w14:textId="77777777" w:rsidR="00CE4F1A" w:rsidRPr="00593A5F" w:rsidRDefault="00CE4F1A" w:rsidP="00CE4F1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E4F1A" w:rsidRPr="00593A5F" w14:paraId="5B9568E4" w14:textId="77777777" w:rsidTr="008B3546">
        <w:trPr>
          <w:trHeight w:val="870"/>
        </w:trPr>
        <w:tc>
          <w:tcPr>
            <w:tcW w:w="8647" w:type="dxa"/>
          </w:tcPr>
          <w:p w14:paraId="558D6864" w14:textId="77777777" w:rsidR="00CE4F1A" w:rsidRPr="00814A46" w:rsidRDefault="00CE4F1A" w:rsidP="008B3546">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C02F37">
              <w:rPr>
                <w:rFonts w:ascii="Verdana" w:hAnsi="Verdana" w:cs="Arial"/>
                <w:color w:val="000000" w:themeColor="text1"/>
                <w:lang w:val="es-ES_tradnl"/>
              </w:rPr>
              <w:t xml:space="preserve">Decreto 1860 de 2021, numerales 1 y 2 del artículo 2.2.1.2.4.2.2. artículos, 2.2.1.2.4.2.3 2.2.1.2.4.2.4. </w:t>
            </w:r>
          </w:p>
          <w:p w14:paraId="2CEAB53F" w14:textId="77777777" w:rsidR="00CE4F1A" w:rsidRPr="00C02F37" w:rsidRDefault="00CE4F1A" w:rsidP="008B3546">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C02F37">
              <w:rPr>
                <w:rFonts w:ascii="Verdana" w:hAnsi="Verdana" w:cs="Arial"/>
                <w:color w:val="000000" w:themeColor="text1"/>
                <w:lang w:val="es-ES_tradnl"/>
              </w:rPr>
              <w:t>Ley 1150 de 2007 artículo 12.</w:t>
            </w:r>
          </w:p>
          <w:p w14:paraId="43380176" w14:textId="77777777" w:rsidR="00CE4F1A" w:rsidRPr="00C02F37" w:rsidRDefault="00CE4F1A" w:rsidP="008B3546">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C02F37">
              <w:rPr>
                <w:rFonts w:ascii="Verdana" w:eastAsia="Calibri" w:hAnsi="Verdana" w:cs="Arial"/>
                <w:lang w:val="es-ES_tradnl"/>
              </w:rPr>
              <w:t>Ley 80 de 1993, literal g), numeral 1, Artículo 8.</w:t>
            </w:r>
          </w:p>
          <w:p w14:paraId="569CE1F5" w14:textId="77777777" w:rsidR="00CE4F1A" w:rsidRPr="0003480F" w:rsidRDefault="00CE4F1A" w:rsidP="008B3546">
            <w:pPr>
              <w:widowControl w:val="0"/>
              <w:autoSpaceDE w:val="0"/>
              <w:autoSpaceDN w:val="0"/>
              <w:spacing w:after="120" w:line="276" w:lineRule="auto"/>
              <w:ind w:left="720"/>
              <w:jc w:val="both"/>
              <w:rPr>
                <w:rFonts w:ascii="Verdana" w:hAnsi="Verdana" w:cs="Arial"/>
                <w:color w:val="000000" w:themeColor="text1"/>
              </w:rPr>
            </w:pPr>
            <w:r w:rsidRPr="00C02F37">
              <w:rPr>
                <w:rFonts w:ascii="Verdana" w:eastAsia="Calibri" w:hAnsi="Verdana" w:cs="Arial"/>
                <w:lang w:val="es-ES_tradnl"/>
              </w:rPr>
              <w:t>Ley 1150 de 2007, parágrafo 1, Artículo 5.</w:t>
            </w:r>
          </w:p>
        </w:tc>
      </w:tr>
    </w:tbl>
    <w:p w14:paraId="0DE5DA75" w14:textId="77777777" w:rsidR="00CE4F1A" w:rsidRDefault="00CE4F1A" w:rsidP="00CE4F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5FA75FF" w14:textId="77777777" w:rsidR="00CE4F1A" w:rsidRDefault="00CE4F1A" w:rsidP="00CE4F1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48D9A05" w14:textId="77777777" w:rsidR="00CE4F1A" w:rsidRPr="00593A5F" w:rsidRDefault="00CE4F1A" w:rsidP="00CE4F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75A7840" w14:textId="77777777" w:rsidR="00CE4F1A" w:rsidRPr="00AE7E03" w:rsidRDefault="00CE4F1A" w:rsidP="00CE4F1A">
      <w:pPr>
        <w:widowControl w:val="0"/>
        <w:autoSpaceDE w:val="0"/>
        <w:autoSpaceDN w:val="0"/>
        <w:spacing w:after="0" w:line="276" w:lineRule="auto"/>
        <w:jc w:val="both"/>
        <w:rPr>
          <w:rFonts w:ascii="Verdana" w:eastAsia="Arial" w:hAnsi="Verdana" w:cs="Arial"/>
          <w:lang w:val="es-MX" w:eastAsia="es-ES"/>
        </w:rPr>
      </w:pPr>
      <w:r w:rsidRPr="003037F8">
        <w:rPr>
          <w:rFonts w:ascii="Verdana" w:eastAsia="Calibri" w:hAnsi="Verdana" w:cs="Arial"/>
          <w:lang w:val="es-ES_tradnl" w:eastAsia="es-ES_tradnl"/>
        </w:rPr>
        <w:t>En lo relacionado con el ámbito de la consulta, esta Subdirección se ha pronunciado sobre las convocatorias limitadas a MiPymes, sus requisitos y características, en los Conceptos Nro. C − 366 del 8 de septiembre de 2023 C-436 del 24 de octubre de 2023, C-279 del 31 de octubre de 2023, C-048 del 23 de abril de 2024, C-084 del 30 de mayo de 2024, C-165 del 22 de julio de 2024, C-569 del 21 de octubre del 2024, C-532 del 10 de octubre de 2024, C-586 del 22 de octubre del 2024, C-623 del 30 de octubre del 2024, C-752 del 28 de noviembre del 2024, C-829 del 03 de diciembre del 2024, C-217 del 27 de marzo de 2025, C-715 del 14 de julio de 2025</w:t>
      </w:r>
      <w:r>
        <w:rPr>
          <w:rFonts w:ascii="Verdana" w:eastAsia="Calibri" w:hAnsi="Verdana" w:cs="Arial"/>
          <w:lang w:val="es-ES_tradnl" w:eastAsia="es-ES_tradnl"/>
        </w:rPr>
        <w:t xml:space="preserve">, </w:t>
      </w:r>
      <w:r w:rsidRPr="003037F8">
        <w:rPr>
          <w:rFonts w:ascii="Verdana" w:eastAsia="Calibri" w:hAnsi="Verdana" w:cs="Arial"/>
          <w:lang w:val="es-ES_tradnl" w:eastAsia="es-ES_tradnl"/>
        </w:rPr>
        <w:t>1234 del 6 de octubre de 2025</w:t>
      </w:r>
      <w:r>
        <w:rPr>
          <w:rFonts w:ascii="Verdana" w:eastAsia="Calibri" w:hAnsi="Verdana" w:cs="Arial"/>
          <w:lang w:val="es-ES_tradnl" w:eastAsia="es-ES_tradnl"/>
        </w:rPr>
        <w:t xml:space="preserve"> y C-1380 del 26 de octubre de 2025 </w:t>
      </w:r>
      <w:r w:rsidRPr="003037F8">
        <w:rPr>
          <w:rFonts w:ascii="Verdana" w:eastAsia="Calibri" w:hAnsi="Verdana" w:cs="Arial"/>
          <w:lang w:val="es-ES_tradnl" w:eastAsia="es-ES_tradnl"/>
        </w:rPr>
        <w:t>.</w:t>
      </w:r>
      <w:r>
        <w:rPr>
          <w:rFonts w:ascii="Verdana" w:hAnsi="Verdana" w:cs="Arial"/>
          <w:shd w:val="clear" w:color="auto" w:fill="FFFFFF"/>
        </w:rPr>
        <w:t xml:space="preserve">, </w:t>
      </w:r>
      <w:r w:rsidRPr="0027034B">
        <w:rPr>
          <w:rFonts w:ascii="Verdana" w:eastAsia="Calibri" w:hAnsi="Verdana" w:cs="Arial"/>
          <w:lang w:val="es-ES_tradnl" w:eastAsia="es-ES_tradnl"/>
        </w:rPr>
        <w:t>entre otros</w:t>
      </w:r>
      <w:r>
        <w:rPr>
          <w:rFonts w:ascii="Verdana" w:eastAsia="Calibri" w:hAnsi="Verdana" w:cs="Arial"/>
          <w:lang w:val="es-ES" w:eastAsia="es-ES_tradnl"/>
        </w:rPr>
        <w:t>;</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4C3FF33" w14:textId="77777777" w:rsidR="00CE4F1A" w:rsidRPr="0065720B" w:rsidRDefault="00857BDD" w:rsidP="00CE4F1A">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00CE4F1A" w:rsidRPr="00191357">
          <w:rPr>
            <w:rStyle w:val="Hipervnculo"/>
            <w:rFonts w:ascii="Verdana" w:eastAsia="Calibri" w:hAnsi="Verdana" w:cs="Times New Roman"/>
            <w:lang w:val="es-ES"/>
          </w:rPr>
          <w:t>https://relatoria.colombiacompra.gov.co/busqueda/conceptos</w:t>
        </w:r>
      </w:hyperlink>
      <w:r w:rsidR="00CE4F1A" w:rsidRPr="00185EE9">
        <w:rPr>
          <w:rFonts w:ascii="Verdana" w:eastAsia="Calibri" w:hAnsi="Verdana" w:cs="Times New Roman"/>
        </w:rPr>
        <w:t>.</w:t>
      </w:r>
    </w:p>
    <w:p w14:paraId="0E221A1A" w14:textId="77777777" w:rsidR="00CE4F1A" w:rsidRPr="00505CD6" w:rsidRDefault="00CE4F1A" w:rsidP="00CE4F1A">
      <w:pPr>
        <w:widowControl w:val="0"/>
        <w:autoSpaceDE w:val="0"/>
        <w:autoSpaceDN w:val="0"/>
        <w:spacing w:after="0" w:line="276" w:lineRule="auto"/>
        <w:jc w:val="both"/>
        <w:rPr>
          <w:rFonts w:ascii="Verdana" w:hAnsi="Verdana" w:cs="Arial"/>
          <w:color w:val="000000" w:themeColor="text1"/>
          <w:shd w:val="clear" w:color="auto" w:fill="FFFFFF"/>
        </w:rPr>
      </w:pPr>
    </w:p>
    <w:p w14:paraId="4D50115D" w14:textId="77777777" w:rsidR="00CE4F1A" w:rsidRPr="00103B90" w:rsidRDefault="00CE4F1A" w:rsidP="00CE4F1A">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13B7064A" w14:textId="77777777" w:rsidR="00CE4F1A" w:rsidRPr="00103B90" w:rsidRDefault="00CE4F1A" w:rsidP="00CE4F1A">
      <w:pPr>
        <w:widowControl w:val="0"/>
        <w:autoSpaceDE w:val="0"/>
        <w:autoSpaceDN w:val="0"/>
        <w:spacing w:after="0" w:line="276" w:lineRule="auto"/>
        <w:jc w:val="both"/>
        <w:rPr>
          <w:rFonts w:ascii="Verdana" w:hAnsi="Verdana"/>
        </w:rPr>
      </w:pPr>
    </w:p>
    <w:p w14:paraId="6F78EEC4" w14:textId="77777777" w:rsidR="00CE4F1A" w:rsidRPr="00505CD6" w:rsidRDefault="00CE4F1A" w:rsidP="00CE4F1A">
      <w:pPr>
        <w:widowControl w:val="0"/>
        <w:autoSpaceDE w:val="0"/>
        <w:autoSpaceDN w:val="0"/>
        <w:spacing w:after="0" w:line="276" w:lineRule="auto"/>
        <w:jc w:val="both"/>
        <w:rPr>
          <w:rFonts w:ascii="Verdana" w:hAnsi="Verdana" w:cs="Arial"/>
          <w:lang w:val="es-ES_tradnl"/>
        </w:rPr>
      </w:pPr>
      <w:r w:rsidRPr="00505CD6">
        <w:rPr>
          <w:rFonts w:ascii="Verdana" w:hAnsi="Verdana" w:cs="Arial"/>
        </w:rPr>
        <w:lastRenderedPageBreak/>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0D6CC3A7" w14:textId="77777777" w:rsidR="00CE4F1A" w:rsidRPr="00505CD6" w:rsidRDefault="00CE4F1A" w:rsidP="00CE4F1A">
      <w:pPr>
        <w:widowControl w:val="0"/>
        <w:autoSpaceDE w:val="0"/>
        <w:autoSpaceDN w:val="0"/>
        <w:spacing w:after="0" w:line="276" w:lineRule="auto"/>
        <w:jc w:val="both"/>
        <w:rPr>
          <w:rFonts w:ascii="Verdana" w:hAnsi="Verdana" w:cs="Arial"/>
        </w:rPr>
      </w:pPr>
    </w:p>
    <w:p w14:paraId="209A8741" w14:textId="77777777" w:rsidR="00CE4F1A" w:rsidRDefault="00CE4F1A" w:rsidP="00CE4F1A">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3439B2F" w14:textId="17556D3A" w:rsidR="00CE4F1A" w:rsidRDefault="00CE4F1A" w:rsidP="00CE4F1A">
      <w:pPr>
        <w:spacing w:line="276" w:lineRule="auto"/>
        <w:jc w:val="center"/>
        <w:rPr>
          <w:noProof/>
        </w:rPr>
      </w:pPr>
    </w:p>
    <w:p w14:paraId="56D1A3F1" w14:textId="1DD083E1" w:rsidR="008B6BCB" w:rsidRDefault="008B6BCB" w:rsidP="00CE4F1A">
      <w:pPr>
        <w:spacing w:line="276" w:lineRule="auto"/>
        <w:jc w:val="center"/>
        <w:rPr>
          <w:noProof/>
        </w:rPr>
      </w:pPr>
      <w:r>
        <w:rPr>
          <w:noProof/>
        </w:rPr>
        <w:drawing>
          <wp:inline distT="0" distB="0" distL="0" distR="0" wp14:anchorId="4BDA3D3F" wp14:editId="6EDAA646">
            <wp:extent cx="3059430" cy="1313360"/>
            <wp:effectExtent l="0" t="0" r="7620" b="1270"/>
            <wp:docPr id="156671859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66932" cy="1316580"/>
                    </a:xfrm>
                    <a:prstGeom prst="rect">
                      <a:avLst/>
                    </a:prstGeom>
                    <a:noFill/>
                    <a:ln>
                      <a:noFill/>
                    </a:ln>
                  </pic:spPr>
                </pic:pic>
              </a:graphicData>
            </a:graphic>
          </wp:inline>
        </w:drawing>
      </w:r>
    </w:p>
    <w:p w14:paraId="6F8CE2B0" w14:textId="77777777" w:rsidR="008B6BCB" w:rsidRDefault="008B6BCB" w:rsidP="00CE4F1A">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E4F1A" w:rsidRPr="00593A5F" w14:paraId="4677009C" w14:textId="77777777" w:rsidTr="008B3546">
        <w:trPr>
          <w:trHeight w:val="315"/>
        </w:trPr>
        <w:tc>
          <w:tcPr>
            <w:tcW w:w="893" w:type="dxa"/>
            <w:vAlign w:val="center"/>
            <w:hideMark/>
          </w:tcPr>
          <w:p w14:paraId="33A53A5C" w14:textId="77777777" w:rsidR="00CE4F1A" w:rsidRPr="003751C7" w:rsidRDefault="00CE4F1A"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4BC9E8E" w14:textId="77777777" w:rsidR="00CE4F1A" w:rsidRPr="007911EE" w:rsidRDefault="00CE4F1A" w:rsidP="008B3546">
            <w:pPr>
              <w:contextualSpacing/>
              <w:rPr>
                <w:rFonts w:ascii="Verdana" w:hAnsi="Verdana"/>
                <w:sz w:val="16"/>
                <w:szCs w:val="16"/>
              </w:rPr>
            </w:pPr>
            <w:r>
              <w:rPr>
                <w:rFonts w:ascii="Verdana" w:hAnsi="Verdana"/>
                <w:sz w:val="16"/>
                <w:szCs w:val="16"/>
              </w:rPr>
              <w:t>Daniel Eduardo Rojas Poveda</w:t>
            </w:r>
          </w:p>
          <w:p w14:paraId="331BA433" w14:textId="77777777" w:rsidR="00CE4F1A" w:rsidRPr="007911EE" w:rsidRDefault="00CE4F1A" w:rsidP="008B354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CE4F1A" w:rsidRPr="00593A5F" w14:paraId="37C6BCFD" w14:textId="77777777" w:rsidTr="008B3546">
        <w:trPr>
          <w:trHeight w:val="330"/>
        </w:trPr>
        <w:tc>
          <w:tcPr>
            <w:tcW w:w="893" w:type="dxa"/>
            <w:vAlign w:val="center"/>
            <w:hideMark/>
          </w:tcPr>
          <w:p w14:paraId="5E5F3078" w14:textId="77777777" w:rsidR="00CE4F1A" w:rsidRPr="003751C7" w:rsidRDefault="00CE4F1A"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D35698" w14:textId="77777777" w:rsidR="00CE4F1A" w:rsidRDefault="00CE4F1A" w:rsidP="008B3546">
            <w:pPr>
              <w:spacing w:line="276" w:lineRule="auto"/>
              <w:contextualSpacing/>
              <w:jc w:val="both"/>
              <w:rPr>
                <w:rFonts w:ascii="Verdana" w:hAnsi="Verdana"/>
                <w:sz w:val="16"/>
                <w:szCs w:val="16"/>
              </w:rPr>
            </w:pPr>
            <w:r>
              <w:rPr>
                <w:rFonts w:ascii="Verdana" w:hAnsi="Verdana"/>
                <w:sz w:val="16"/>
                <w:szCs w:val="16"/>
              </w:rPr>
              <w:t>Diana Lucia Saavedra.</w:t>
            </w:r>
          </w:p>
          <w:p w14:paraId="3AADC762" w14:textId="77777777" w:rsidR="00CE4F1A" w:rsidRPr="007911EE" w:rsidRDefault="00CE4F1A" w:rsidP="008B354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CE4F1A" w:rsidRPr="00593A5F" w14:paraId="6D19E374" w14:textId="77777777" w:rsidTr="008B3546">
        <w:trPr>
          <w:trHeight w:val="330"/>
        </w:trPr>
        <w:tc>
          <w:tcPr>
            <w:tcW w:w="893" w:type="dxa"/>
            <w:vAlign w:val="center"/>
          </w:tcPr>
          <w:p w14:paraId="5E4D0D33" w14:textId="77777777" w:rsidR="00CE4F1A" w:rsidRPr="003751C7" w:rsidRDefault="00CE4F1A" w:rsidP="008B354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D004ED2" w14:textId="77777777" w:rsidR="00CE4F1A" w:rsidRDefault="00CE4F1A" w:rsidP="008B3546">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1FDC9A58" w14:textId="77777777" w:rsidR="00CE4F1A" w:rsidRDefault="00CE4F1A" w:rsidP="008B354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1537CFE8" w14:textId="77777777" w:rsidR="00CE4F1A" w:rsidRPr="00F30C63" w:rsidRDefault="00CE4F1A" w:rsidP="00CE4F1A"/>
    <w:p w14:paraId="0F293BF4" w14:textId="7E731199" w:rsidR="00127233" w:rsidRPr="00213291" w:rsidRDefault="00127233" w:rsidP="00213291"/>
    <w:sectPr w:rsidR="00127233" w:rsidRPr="0021329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9F1AFE" w14:textId="77777777" w:rsidR="00547DDA" w:rsidRDefault="00547DDA" w:rsidP="004A1847">
      <w:pPr>
        <w:spacing w:after="0" w:line="240" w:lineRule="auto"/>
      </w:pPr>
      <w:r>
        <w:separator/>
      </w:r>
    </w:p>
  </w:endnote>
  <w:endnote w:type="continuationSeparator" w:id="0">
    <w:p w14:paraId="328886E5" w14:textId="77777777" w:rsidR="00547DDA" w:rsidRDefault="00547DD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377F4" w14:textId="77777777" w:rsidR="00547DDA" w:rsidRDefault="00547DDA" w:rsidP="004A1847">
      <w:pPr>
        <w:spacing w:after="0" w:line="240" w:lineRule="auto"/>
      </w:pPr>
      <w:r>
        <w:separator/>
      </w:r>
    </w:p>
  </w:footnote>
  <w:footnote w:type="continuationSeparator" w:id="0">
    <w:p w14:paraId="1ACB4746" w14:textId="77777777" w:rsidR="00547DDA" w:rsidRDefault="00547DDA" w:rsidP="004A1847">
      <w:pPr>
        <w:spacing w:after="0" w:line="240" w:lineRule="auto"/>
      </w:pPr>
      <w:r>
        <w:continuationSeparator/>
      </w:r>
    </w:p>
  </w:footnote>
  <w:footnote w:id="1">
    <w:p w14:paraId="74502AA8" w14:textId="77777777" w:rsidR="00CE4F1A" w:rsidRPr="00854443" w:rsidRDefault="00CE4F1A" w:rsidP="00CE4F1A">
      <w:pPr>
        <w:pStyle w:val="Textonotapie"/>
        <w:rPr>
          <w:rFonts w:ascii="Verdana" w:hAnsi="Verdana"/>
          <w:sz w:val="16"/>
          <w:szCs w:val="16"/>
          <w:lang w:val="es-ES"/>
        </w:rPr>
      </w:pPr>
      <w:r w:rsidRPr="00854443">
        <w:rPr>
          <w:rStyle w:val="Refdenotaalpie"/>
          <w:rFonts w:ascii="Verdana" w:hAnsi="Verdana"/>
          <w:sz w:val="16"/>
          <w:szCs w:val="16"/>
        </w:rPr>
        <w:footnoteRef/>
      </w:r>
      <w:hyperlink r:id="rId1" w:history="1">
        <w:r w:rsidRPr="00A57157">
          <w:rPr>
            <w:rStyle w:val="Hipervnculo"/>
            <w:rFonts w:ascii="Verdana" w:hAnsi="Verdana"/>
            <w:sz w:val="16"/>
            <w:szCs w:val="16"/>
          </w:rPr>
          <w:t xml:space="preserve">https://www.colombiacompra.gov.co/wp-content/uploads/2024/08/guia_para_promover_la_ participación_ </w:t>
        </w:r>
        <w:proofErr w:type="spellStart"/>
        <w:r w:rsidRPr="00A57157">
          <w:rPr>
            <w:rStyle w:val="Hipervnculo"/>
            <w:rFonts w:ascii="Verdana" w:hAnsi="Verdana"/>
            <w:sz w:val="16"/>
            <w:szCs w:val="16"/>
          </w:rPr>
          <w:t>de_las</w:t>
        </w:r>
        <w:proofErr w:type="spellEnd"/>
        <w:r w:rsidRPr="00A57157">
          <w:rPr>
            <w:rStyle w:val="Hipervnculo"/>
            <w:rFonts w:ascii="Verdana" w:hAnsi="Verdana"/>
            <w:sz w:val="16"/>
            <w:szCs w:val="16"/>
          </w:rPr>
          <w:t xml:space="preserve"> mipymes_en_los_procesos_de_compra_publica_cce-gad-gi-26_1.pdf</w:t>
        </w:r>
      </w:hyperlink>
      <w:r>
        <w:rPr>
          <w:rFonts w:ascii="Verdana" w:hAnsi="Verdana"/>
          <w:sz w:val="16"/>
          <w:szCs w:val="16"/>
        </w:rPr>
        <w:t xml:space="preserve"> </w:t>
      </w:r>
    </w:p>
  </w:footnote>
  <w:footnote w:id="2">
    <w:p w14:paraId="42817740" w14:textId="77777777" w:rsidR="00CE4F1A" w:rsidRPr="00F22A64" w:rsidRDefault="00CE4F1A" w:rsidP="00CE4F1A">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Sobre este punto, “La doctrina distingue entre un objeto social </w:t>
      </w:r>
      <w:r w:rsidRPr="00F22A64">
        <w:rPr>
          <w:rFonts w:ascii="Verdana" w:hAnsi="Verdana"/>
          <w:i/>
          <w:iCs/>
          <w:sz w:val="16"/>
          <w:szCs w:val="16"/>
        </w:rPr>
        <w:t>principal</w:t>
      </w:r>
      <w:r w:rsidRPr="00F22A64">
        <w:rPr>
          <w:rFonts w:ascii="Verdana" w:hAnsi="Verdana"/>
          <w:sz w:val="16"/>
          <w:szCs w:val="16"/>
        </w:rPr>
        <w:t xml:space="preserve"> representado por las actividades que forman parte de la </w:t>
      </w:r>
      <w:r w:rsidRPr="00F22A64">
        <w:rPr>
          <w:rFonts w:ascii="Verdana" w:hAnsi="Verdana"/>
          <w:i/>
          <w:iCs/>
          <w:sz w:val="16"/>
          <w:szCs w:val="16"/>
        </w:rPr>
        <w:t>empresa socia</w:t>
      </w:r>
      <w:r w:rsidRPr="00F22A64">
        <w:rPr>
          <w:rFonts w:ascii="Verdana" w:hAnsi="Verdana"/>
          <w:sz w:val="16"/>
          <w:szCs w:val="16"/>
        </w:rPr>
        <w:t xml:space="preserve">l, y un objeto </w:t>
      </w:r>
      <w:r w:rsidRPr="00F22A64">
        <w:rPr>
          <w:rFonts w:ascii="Verdana" w:hAnsi="Verdana"/>
          <w:i/>
          <w:iCs/>
          <w:sz w:val="16"/>
          <w:szCs w:val="16"/>
        </w:rPr>
        <w:t>secundario</w:t>
      </w:r>
      <w:r w:rsidRPr="00F22A64">
        <w:rPr>
          <w:rFonts w:ascii="Verdana" w:hAnsi="Verdana"/>
          <w:sz w:val="16"/>
          <w:szCs w:val="16"/>
        </w:rPr>
        <w:t xml:space="preserve"> compuesto por todos aquellos actos que sirven de medio para cumplir tales actividades principales. De manera que si, por ejemplo, una compañía se dedica al transporte aéreo de personas, éste será su objeto principal; en cambio, la apertura de cuentas bancarias, la celebración de contratos de mutuo activos y pasivos, la inversión en otras sociedades de objetos semejantes, la compra de bienes, entre otras, formarán parte de su objeto </w:t>
      </w:r>
      <w:r w:rsidRPr="00F22A64">
        <w:rPr>
          <w:rFonts w:ascii="Verdana" w:hAnsi="Verdana"/>
          <w:i/>
          <w:iCs/>
          <w:sz w:val="16"/>
          <w:szCs w:val="16"/>
        </w:rPr>
        <w:t>secundario</w:t>
      </w:r>
      <w:r w:rsidRPr="00F22A64">
        <w:rPr>
          <w:rFonts w:ascii="Verdana" w:hAnsi="Verdana"/>
          <w:sz w:val="16"/>
          <w:szCs w:val="16"/>
        </w:rPr>
        <w:t>. En palabras de la Superintendencia de Sociedades, ‘existe un objeto principal conformado por las actividades económicas indicadas como marco general trazado por voluntad de los contratantes; y un objeto secundario que está compuesto por la serie de actos que la compañía puede realizar en desarrollo de aquéllas’.</w:t>
      </w:r>
    </w:p>
    <w:p w14:paraId="7BC8B4C7" w14:textId="77777777" w:rsidR="00CE4F1A" w:rsidRPr="00F22A64" w:rsidRDefault="00CE4F1A" w:rsidP="00CE4F1A">
      <w:pPr>
        <w:pStyle w:val="Textonotapie"/>
        <w:ind w:firstLine="709"/>
        <w:jc w:val="both"/>
        <w:rPr>
          <w:rFonts w:ascii="Verdana" w:hAnsi="Verdana"/>
          <w:sz w:val="16"/>
          <w:szCs w:val="16"/>
        </w:rPr>
      </w:pPr>
      <w:r w:rsidRPr="00F22A64">
        <w:rPr>
          <w:rFonts w:ascii="Verdana" w:hAnsi="Verdana"/>
          <w:sz w:val="16"/>
          <w:szCs w:val="16"/>
        </w:rPr>
        <w:t xml:space="preserve">Podría, inclusive, afirmarse que el objeto social </w:t>
      </w:r>
      <w:r w:rsidRPr="00F22A64">
        <w:rPr>
          <w:rFonts w:ascii="Verdana" w:hAnsi="Verdana"/>
          <w:i/>
          <w:iCs/>
          <w:sz w:val="16"/>
          <w:szCs w:val="16"/>
        </w:rPr>
        <w:t>secundario</w:t>
      </w:r>
      <w:r w:rsidRPr="00F22A64">
        <w:rPr>
          <w:rFonts w:ascii="Verdana" w:hAnsi="Verdana"/>
          <w:sz w:val="16"/>
          <w:szCs w:val="16"/>
        </w:rPr>
        <w:t xml:space="preserve"> es presunto o </w:t>
      </w:r>
      <w:proofErr w:type="gramStart"/>
      <w:r w:rsidRPr="00F22A64">
        <w:rPr>
          <w:rFonts w:ascii="Verdana" w:hAnsi="Verdana"/>
          <w:sz w:val="16"/>
          <w:szCs w:val="16"/>
        </w:rPr>
        <w:t>que</w:t>
      </w:r>
      <w:proofErr w:type="gramEnd"/>
      <w:r w:rsidRPr="00F22A64">
        <w:rPr>
          <w:rFonts w:ascii="Verdana" w:hAnsi="Verdana"/>
          <w:sz w:val="16"/>
          <w:szCs w:val="16"/>
        </w:rPr>
        <w:t xml:space="preserve"> por ser un elemento de la </w:t>
      </w:r>
      <w:r w:rsidRPr="00F22A64">
        <w:rPr>
          <w:rFonts w:ascii="Verdana" w:hAnsi="Verdana"/>
          <w:i/>
          <w:iCs/>
          <w:sz w:val="16"/>
          <w:szCs w:val="16"/>
        </w:rPr>
        <w:t>naturaleza</w:t>
      </w:r>
      <w:r w:rsidRPr="00F22A64">
        <w:rPr>
          <w:rFonts w:ascii="Verdana" w:hAnsi="Verdana"/>
          <w:sz w:val="16"/>
          <w:szCs w:val="16"/>
        </w:rPr>
        <w:t xml:space="preserve"> del contrato de sociedad, rige de manera supletiva, aunque los asociados no lo hubieren previsto en forma explícita en los estatutos sociales. Sin embargo, la práctica mercantil, en especial de formalistas entidades financieras y gubernamentales, hace recomendable la detallada inclusión de las actividades de explotación económica que la sociedad podrá realizar en </w:t>
      </w:r>
      <w:r w:rsidRPr="00F22A64">
        <w:rPr>
          <w:rFonts w:ascii="Verdana" w:hAnsi="Verdana"/>
          <w:i/>
          <w:iCs/>
          <w:sz w:val="16"/>
          <w:szCs w:val="16"/>
        </w:rPr>
        <w:t>desarrollo de su objeto social</w:t>
      </w:r>
      <w:r w:rsidRPr="00F22A64">
        <w:rPr>
          <w:rFonts w:ascii="Verdana" w:hAnsi="Verdana"/>
          <w:sz w:val="16"/>
          <w:szCs w:val="16"/>
        </w:rPr>
        <w:t>, según la conocida expresión que se utiliza para dividir el objeto principal del secundario […]” (REYES VILLAMIZAR, Francisco. Derecho societario. Cuarta edición. Bogotá: Temis, 2020. pp. 196-197).</w:t>
      </w:r>
    </w:p>
  </w:footnote>
  <w:footnote w:id="3">
    <w:p w14:paraId="5DCC3106" w14:textId="77777777" w:rsidR="00CE4F1A" w:rsidRPr="00F22A64" w:rsidRDefault="00CE4F1A" w:rsidP="00CE4F1A">
      <w:pPr>
        <w:pStyle w:val="Textonotapie"/>
        <w:ind w:firstLine="709"/>
        <w:jc w:val="both"/>
        <w:rPr>
          <w:rFonts w:ascii="Verdana" w:hAnsi="Verdana"/>
          <w:sz w:val="16"/>
          <w:szCs w:val="16"/>
          <w:lang w:val="es-CO"/>
        </w:rPr>
      </w:pPr>
      <w:r w:rsidRPr="00F22A64">
        <w:rPr>
          <w:rStyle w:val="Refdenotaalpie"/>
          <w:rFonts w:ascii="Verdana" w:hAnsi="Verdana"/>
          <w:sz w:val="16"/>
          <w:szCs w:val="16"/>
        </w:rPr>
        <w:footnoteRef/>
      </w:r>
      <w:r w:rsidRPr="00F22A64">
        <w:rPr>
          <w:rFonts w:ascii="Verdana" w:hAnsi="Verdana"/>
          <w:sz w:val="16"/>
          <w:szCs w:val="16"/>
        </w:rPr>
        <w:t xml:space="preserve"> PINZÓN, Gabino. Sociedades comerciales. Bogotá: Temis, 1977. p. 186.</w:t>
      </w:r>
    </w:p>
  </w:footnote>
  <w:footnote w:id="4">
    <w:p w14:paraId="7D81A165" w14:textId="77777777" w:rsidR="00CE4F1A" w:rsidRPr="00F22A64" w:rsidRDefault="00CE4F1A" w:rsidP="00CE4F1A">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De acuerdo con el Oficio 220-060112 del 8 de agosto de 2012 de la Superintendencia de Sociedades, “[…] es enteramente discrecional de los asociados acoger según su conveniencia y necesidad, un objeto social determinado o indeterminado. En el primer caso se deberán identificar de manera explícita el acto o los actos que constituyan la empresa, en el entendido de que la capacidad de la sociedad, como las actuaciones del representante legal y los administradores, se han </w:t>
      </w:r>
      <w:proofErr w:type="spellStart"/>
      <w:r w:rsidRPr="00F22A64">
        <w:rPr>
          <w:rFonts w:ascii="Verdana" w:hAnsi="Verdana"/>
          <w:sz w:val="16"/>
          <w:szCs w:val="16"/>
        </w:rPr>
        <w:t>d e</w:t>
      </w:r>
      <w:proofErr w:type="spellEnd"/>
      <w:r w:rsidRPr="00F22A64">
        <w:rPr>
          <w:rFonts w:ascii="Verdana" w:hAnsi="Verdana"/>
          <w:sz w:val="16"/>
          <w:szCs w:val="16"/>
        </w:rPr>
        <w:t xml:space="preserve"> establecer igualmente en consideración a las actividades en él enunciadas, con sujeción a las reglas y las consecuencias que al efecto prevén las disposiciones consagradas el Código de Comercio, particularmente el artículo 110, ordinal 4°, en concordancia con el 99 </w:t>
      </w:r>
      <w:r w:rsidRPr="00F22A64">
        <w:rPr>
          <w:rFonts w:ascii="Verdana" w:hAnsi="Verdana"/>
          <w:i/>
          <w:iCs/>
          <w:sz w:val="16"/>
          <w:szCs w:val="16"/>
        </w:rPr>
        <w:t>ibidem</w:t>
      </w:r>
      <w:r w:rsidRPr="00F22A64">
        <w:rPr>
          <w:rFonts w:ascii="Verdana" w:hAnsi="Verdana"/>
          <w:sz w:val="16"/>
          <w:szCs w:val="16"/>
        </w:rPr>
        <w:t>.</w:t>
      </w:r>
    </w:p>
    <w:p w14:paraId="7119A74F" w14:textId="77777777" w:rsidR="00CE4F1A" w:rsidRPr="00F22A64" w:rsidRDefault="00CE4F1A" w:rsidP="00CE4F1A">
      <w:pPr>
        <w:pStyle w:val="Textonotapie"/>
        <w:ind w:firstLine="709"/>
        <w:jc w:val="both"/>
        <w:rPr>
          <w:rFonts w:ascii="Verdana" w:hAnsi="Verdana"/>
          <w:sz w:val="16"/>
          <w:szCs w:val="16"/>
        </w:rPr>
      </w:pPr>
      <w:r w:rsidRPr="00F22A64">
        <w:rPr>
          <w:rFonts w:ascii="Verdana" w:hAnsi="Verdana"/>
          <w:sz w:val="16"/>
          <w:szCs w:val="16"/>
        </w:rPr>
        <w:t>v) En el segundo caso, se podrá optar por un objeto indeterminado que bien identifique una o algunas de las actividades a las que especialmente se pretenda aplicar la empresa y, adicionalmente incluya las demás actividades licitas; o simplemente exprese que la sociedad podrá realizar cualquier actividad comercial o civil lícita sin mencionar en particular ninguna, lo que igualmente se entenderá para todos los efectos cuando en el acto de constitución no se diga nada sobre ese aspecto, y en estos casos la capacidad de la compañía será de todas formas ilimitada.</w:t>
      </w:r>
    </w:p>
    <w:p w14:paraId="00347937" w14:textId="77777777" w:rsidR="00CE4F1A" w:rsidRPr="00F22A64" w:rsidRDefault="00CE4F1A" w:rsidP="00CE4F1A">
      <w:pPr>
        <w:pStyle w:val="Textonotapie"/>
        <w:ind w:firstLine="709"/>
        <w:jc w:val="both"/>
        <w:rPr>
          <w:rFonts w:ascii="Verdana" w:hAnsi="Verdana"/>
          <w:sz w:val="16"/>
          <w:szCs w:val="16"/>
        </w:rPr>
      </w:pPr>
      <w:proofErr w:type="spellStart"/>
      <w:r w:rsidRPr="00F22A64">
        <w:rPr>
          <w:rFonts w:ascii="Verdana" w:hAnsi="Verdana"/>
          <w:sz w:val="16"/>
          <w:szCs w:val="16"/>
        </w:rPr>
        <w:t>vii</w:t>
      </w:r>
      <w:proofErr w:type="spellEnd"/>
      <w:r w:rsidRPr="00F22A64">
        <w:rPr>
          <w:rFonts w:ascii="Verdana" w:hAnsi="Verdana"/>
          <w:sz w:val="16"/>
          <w:szCs w:val="16"/>
        </w:rPr>
        <w:t>) Luego, en el documento privado de constitución, debe expresarse una relación clara y completa de las actividades principales a las cuales se dedicará la compañía, salvo que en el mismo se indique que ella podrá realizar toda clase de actividad comercial o civil lícita.</w:t>
      </w:r>
    </w:p>
    <w:p w14:paraId="781ADBAA" w14:textId="77777777" w:rsidR="00CE4F1A" w:rsidRPr="00F22A64" w:rsidRDefault="00CE4F1A" w:rsidP="00CE4F1A">
      <w:pPr>
        <w:pStyle w:val="Textonotapie"/>
        <w:ind w:firstLine="709"/>
        <w:jc w:val="both"/>
        <w:rPr>
          <w:rFonts w:ascii="Verdana" w:hAnsi="Verdana"/>
          <w:sz w:val="16"/>
          <w:szCs w:val="16"/>
        </w:rPr>
      </w:pPr>
      <w:r w:rsidRPr="00F22A64">
        <w:rPr>
          <w:rFonts w:ascii="Verdana" w:hAnsi="Verdana"/>
          <w:sz w:val="16"/>
          <w:szCs w:val="16"/>
        </w:rPr>
        <w:t>De no expresarse nada en los estatutos, necesariamente debe entenderse que la compañía puede efectuar cualquier actividad licita”.</w:t>
      </w:r>
    </w:p>
  </w:footnote>
  <w:footnote w:id="5">
    <w:p w14:paraId="3969FACD" w14:textId="77777777" w:rsidR="00CE4F1A" w:rsidRPr="00D37D18" w:rsidRDefault="00CE4F1A" w:rsidP="00CE4F1A">
      <w:pPr>
        <w:pStyle w:val="Textonotapie"/>
        <w:ind w:firstLine="708"/>
        <w:jc w:val="both"/>
        <w:rPr>
          <w:rFonts w:ascii="Verdana" w:hAnsi="Verdana" w:cs="Arial"/>
          <w:sz w:val="18"/>
          <w:szCs w:val="18"/>
        </w:rPr>
      </w:pPr>
      <w:r w:rsidRPr="0040622E">
        <w:rPr>
          <w:rStyle w:val="Refdenotaalpie"/>
          <w:rFonts w:ascii="Verdana" w:hAnsi="Verdana" w:cs="Arial"/>
          <w:sz w:val="10"/>
          <w:szCs w:val="10"/>
        </w:rPr>
        <w:footnoteRef/>
      </w:r>
      <w:r w:rsidRPr="0040622E">
        <w:rPr>
          <w:rFonts w:ascii="Verdana" w:hAnsi="Verdana" w:cs="Arial"/>
          <w:sz w:val="10"/>
          <w:szCs w:val="10"/>
        </w:rPr>
        <w:t xml:space="preserve"> </w:t>
      </w:r>
      <w:r w:rsidRPr="00D37D18">
        <w:rPr>
          <w:rFonts w:ascii="Verdana" w:hAnsi="Verdana" w:cs="Arial"/>
          <w:sz w:val="18"/>
          <w:szCs w:val="18"/>
        </w:rPr>
        <w:t>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31C75DDE" w14:textId="77777777" w:rsidR="00CE4F1A" w:rsidRPr="00D37D18" w:rsidRDefault="00CE4F1A" w:rsidP="00CE4F1A">
      <w:pPr>
        <w:pStyle w:val="Textonotapie"/>
        <w:ind w:firstLine="708"/>
        <w:jc w:val="both"/>
        <w:rPr>
          <w:rFonts w:ascii="Verdana" w:hAnsi="Verdana" w:cs="Arial"/>
          <w:sz w:val="18"/>
          <w:szCs w:val="18"/>
        </w:rPr>
      </w:pPr>
    </w:p>
    <w:p w14:paraId="4868EDDB" w14:textId="77777777" w:rsidR="00CE4F1A" w:rsidRPr="00D37D18" w:rsidRDefault="00CE4F1A" w:rsidP="00CE4F1A">
      <w:pPr>
        <w:pStyle w:val="Textonotapie"/>
        <w:ind w:firstLine="708"/>
        <w:jc w:val="both"/>
        <w:rPr>
          <w:rFonts w:ascii="Verdana" w:hAnsi="Verdana" w:cs="Arial"/>
          <w:sz w:val="18"/>
          <w:szCs w:val="18"/>
        </w:rPr>
      </w:pPr>
      <w:r w:rsidRPr="00D37D18">
        <w:rPr>
          <w:rFonts w:ascii="Verdana" w:hAnsi="Verdana" w:cs="Arial"/>
          <w:sz w:val="18"/>
          <w:szCs w:val="18"/>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7C79CD16" w14:textId="77777777" w:rsidR="00CE4F1A" w:rsidRPr="00D37D18" w:rsidRDefault="00CE4F1A" w:rsidP="00CE4F1A">
      <w:pPr>
        <w:pStyle w:val="Textonotapie"/>
        <w:ind w:firstLine="708"/>
        <w:jc w:val="both"/>
        <w:rPr>
          <w:rFonts w:ascii="Verdana" w:hAnsi="Verdana" w:cs="Arial"/>
          <w:sz w:val="18"/>
          <w:szCs w:val="18"/>
        </w:rPr>
      </w:pPr>
    </w:p>
  </w:footnote>
  <w:footnote w:id="6">
    <w:p w14:paraId="67BDBFB9" w14:textId="77777777" w:rsidR="00CE4F1A" w:rsidRPr="00854443" w:rsidRDefault="00CE4F1A" w:rsidP="00CE4F1A">
      <w:pPr>
        <w:pStyle w:val="Textonotapie"/>
        <w:rPr>
          <w:rFonts w:ascii="Verdana" w:hAnsi="Verdana"/>
          <w:sz w:val="16"/>
          <w:szCs w:val="16"/>
          <w:lang w:val="es-ES"/>
        </w:rPr>
      </w:pPr>
      <w:r w:rsidRPr="00854443">
        <w:rPr>
          <w:rStyle w:val="Refdenotaalpie"/>
          <w:rFonts w:ascii="Verdana" w:hAnsi="Verdana"/>
          <w:sz w:val="16"/>
          <w:szCs w:val="16"/>
        </w:rPr>
        <w:footnoteRef/>
      </w:r>
      <w:hyperlink r:id="rId2" w:history="1">
        <w:r w:rsidRPr="00A57157">
          <w:rPr>
            <w:rStyle w:val="Hipervnculo"/>
            <w:rFonts w:ascii="Verdana" w:hAnsi="Verdana"/>
            <w:sz w:val="16"/>
            <w:szCs w:val="16"/>
          </w:rPr>
          <w:t xml:space="preserve">https://www.colombiacompra.gov.co/wp-content/uploads/2024/08/guia_para_promover_la_ participación_ </w:t>
        </w:r>
        <w:proofErr w:type="spellStart"/>
        <w:r w:rsidRPr="00A57157">
          <w:rPr>
            <w:rStyle w:val="Hipervnculo"/>
            <w:rFonts w:ascii="Verdana" w:hAnsi="Verdana"/>
            <w:sz w:val="16"/>
            <w:szCs w:val="16"/>
          </w:rPr>
          <w:t>de_las</w:t>
        </w:r>
        <w:proofErr w:type="spellEnd"/>
        <w:r w:rsidRPr="00A57157">
          <w:rPr>
            <w:rStyle w:val="Hipervnculo"/>
            <w:rFonts w:ascii="Verdana" w:hAnsi="Verdana"/>
            <w:sz w:val="16"/>
            <w:szCs w:val="16"/>
          </w:rPr>
          <w:t xml:space="preserve"> mipymes_en_los_procesos_de_compra_publica_cce-gad-gi-26_1.pdf</w:t>
        </w:r>
      </w:hyperlink>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0"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388E"/>
    <w:rsid w:val="00061B2A"/>
    <w:rsid w:val="00082362"/>
    <w:rsid w:val="000A683E"/>
    <w:rsid w:val="000B19B9"/>
    <w:rsid w:val="000D0334"/>
    <w:rsid w:val="000D5DA7"/>
    <w:rsid w:val="000F6486"/>
    <w:rsid w:val="00106A85"/>
    <w:rsid w:val="00116940"/>
    <w:rsid w:val="00125105"/>
    <w:rsid w:val="00127233"/>
    <w:rsid w:val="0015699B"/>
    <w:rsid w:val="001A33BF"/>
    <w:rsid w:val="001E4177"/>
    <w:rsid w:val="001F0B24"/>
    <w:rsid w:val="001F7DC6"/>
    <w:rsid w:val="00213291"/>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47DDA"/>
    <w:rsid w:val="005566E8"/>
    <w:rsid w:val="00574867"/>
    <w:rsid w:val="00591460"/>
    <w:rsid w:val="005A65E0"/>
    <w:rsid w:val="005C3777"/>
    <w:rsid w:val="005C5CDC"/>
    <w:rsid w:val="005D476C"/>
    <w:rsid w:val="006200BF"/>
    <w:rsid w:val="006219F8"/>
    <w:rsid w:val="006302F7"/>
    <w:rsid w:val="00646B9F"/>
    <w:rsid w:val="00665D70"/>
    <w:rsid w:val="006900D9"/>
    <w:rsid w:val="006F0C82"/>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7BDD"/>
    <w:rsid w:val="00867F95"/>
    <w:rsid w:val="008843B6"/>
    <w:rsid w:val="00891928"/>
    <w:rsid w:val="008A446D"/>
    <w:rsid w:val="008B25F1"/>
    <w:rsid w:val="008B6BCB"/>
    <w:rsid w:val="008D180B"/>
    <w:rsid w:val="008F0EA7"/>
    <w:rsid w:val="00923EEF"/>
    <w:rsid w:val="009419F9"/>
    <w:rsid w:val="0095685E"/>
    <w:rsid w:val="00961B09"/>
    <w:rsid w:val="00965334"/>
    <w:rsid w:val="0097093E"/>
    <w:rsid w:val="009A0DFA"/>
    <w:rsid w:val="009A1C6F"/>
    <w:rsid w:val="009B2D26"/>
    <w:rsid w:val="009C0897"/>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1DDA"/>
    <w:rsid w:val="00CB6357"/>
    <w:rsid w:val="00CC1B26"/>
    <w:rsid w:val="00CE4F1A"/>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E4F1A"/>
    <w:rPr>
      <w:rFonts w:ascii="Geomanist Light" w:hAnsi="Geomanist Light"/>
      <w:lang w:val="es-ES"/>
    </w:rPr>
  </w:style>
  <w:style w:type="paragraph" w:customStyle="1" w:styleId="Appelnotedebasde">
    <w:name w:val="Appel note de bas de..."/>
    <w:basedOn w:val="Normal"/>
    <w:link w:val="Refdenotaalpie"/>
    <w:uiPriority w:val="99"/>
    <w:rsid w:val="00CE4F1A"/>
    <w:pPr>
      <w:spacing w:line="240" w:lineRule="exact"/>
    </w:pPr>
    <w:rPr>
      <w:vertAlign w:val="superscript"/>
    </w:rPr>
  </w:style>
  <w:style w:type="character" w:customStyle="1" w:styleId="superscript">
    <w:name w:val="superscript"/>
    <w:basedOn w:val="Fuentedeprrafopredeter"/>
    <w:rsid w:val="00CE4F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grocas1232@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guia_para_promover_la_%20participaci&#243;n_%20de_las%20mipymes_en_los_procesos_de_compra_publica_cce-gad-gi-26_1.pdf" TargetMode="External"/><Relationship Id="rId1" Type="http://schemas.openxmlformats.org/officeDocument/2006/relationships/hyperlink" Target="https://www.colombiacompra.gov.co/wp-content/uploads/2024/08/guia_para_promover_la_%20participaci&#243;n_%20de_las%20mipymes_en_los_procesos_de_compra_publica_cce-gad-gi-26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AD4710-69DA-4E00-8A7C-1330F1DE37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terms/"/>
    <ds:schemaRef ds:uri="http://purl.org/dc/dcmitype/"/>
    <ds:schemaRef ds:uri="http://schemas.openxmlformats.org/package/2006/metadata/core-properties"/>
    <ds:schemaRef ds:uri="http://purl.org/dc/elements/1.1/"/>
    <ds:schemaRef ds:uri="a6cb9e4b-f1d1-4245-83ec-6cad768d538a"/>
    <ds:schemaRef ds:uri="http://schemas.microsoft.com/office/2006/metadata/properties"/>
    <ds:schemaRef ds:uri="9d85dbaf-23eb-4e57-a637-93dcacc8b1a1"/>
    <ds:schemaRef ds:uri="http://schemas.microsoft.com/office/2006/documentManagement/typ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4538</Words>
  <Characters>24964</Characters>
  <Application>Microsoft Office Word</Application>
  <DocSecurity>0</DocSecurity>
  <Lines>208</Lines>
  <Paragraphs>58</Paragraphs>
  <ScaleCrop>false</ScaleCrop>
  <Company/>
  <LinksUpToDate>false</LinksUpToDate>
  <CharactersWithSpaces>29444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2025-11-14T23:08:00Z</dcterms:created>
  <dcterms:modified xsi:type="dcterms:W3CDTF">2025-11-14T23:08:00Z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