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E3580" w14:textId="77777777" w:rsidR="00315F18" w:rsidRPr="00315F18" w:rsidRDefault="00315F18" w:rsidP="00261EDF">
      <w:pPr>
        <w:spacing w:after="0" w:line="240" w:lineRule="auto"/>
        <w:jc w:val="both"/>
        <w:rPr>
          <w:rFonts w:ascii="Verdana" w:hAnsi="Verdana"/>
          <w:b/>
          <w:lang w:val="es-ES"/>
        </w:rPr>
      </w:pPr>
      <w:bookmarkStart w:id="0" w:name="_Hlk143780582"/>
      <w:r w:rsidRPr="00315F18">
        <w:rPr>
          <w:rFonts w:ascii="Verdana" w:hAnsi="Verdana"/>
          <w:b/>
          <w:lang w:val="es-ES"/>
        </w:rPr>
        <w:t>GARANTÍAS – Contratación estatal – Constitución de garantías – Finalidad – Cumplimiento – Obligaciones contractuales</w:t>
      </w:r>
    </w:p>
    <w:p w14:paraId="5C770A37" w14:textId="2A3CD9F3" w:rsidR="00315F18" w:rsidRDefault="00315F18" w:rsidP="00261EDF">
      <w:pPr>
        <w:spacing w:after="0" w:line="240" w:lineRule="auto"/>
        <w:jc w:val="both"/>
        <w:rPr>
          <w:rFonts w:ascii="Verdana" w:hAnsi="Verdana"/>
          <w:b/>
          <w:lang w:val="es-ES"/>
        </w:rPr>
      </w:pPr>
    </w:p>
    <w:p w14:paraId="7B8200FC" w14:textId="764D0D8C" w:rsidR="00E414C2" w:rsidRPr="00E414C2" w:rsidRDefault="00E414C2" w:rsidP="00261EDF">
      <w:pPr>
        <w:spacing w:after="0" w:line="240" w:lineRule="auto"/>
        <w:jc w:val="both"/>
        <w:rPr>
          <w:rFonts w:ascii="Verdana" w:hAnsi="Verdana"/>
          <w:sz w:val="20"/>
          <w:szCs w:val="20"/>
          <w:lang w:val="es-ES_tradnl"/>
        </w:rPr>
      </w:pPr>
      <w:r w:rsidRPr="00E414C2">
        <w:rPr>
          <w:rFonts w:ascii="Verdana" w:hAnsi="Verdana"/>
          <w:sz w:val="20"/>
          <w:szCs w:val="20"/>
          <w:lang w:val="es-ES_tradnl"/>
        </w:rPr>
        <w:t xml:space="preserve">El Estatuto General de Contratación de la Administración Pública exige, por regla general, en los procesos de contratación pública </w:t>
      </w:r>
      <w:r w:rsidRPr="00E414C2">
        <w:rPr>
          <w:rFonts w:ascii="Verdana" w:hAnsi="Verdana"/>
          <w:sz w:val="20"/>
          <w:szCs w:val="20"/>
          <w:lang w:val="es-ES"/>
        </w:rPr>
        <w:t>la constitución de garantías, ya sea en la etapa precontractual, contractual o postcontractual, con el fin de evitar o mitigar posibles riesgos</w:t>
      </w:r>
      <w:r w:rsidRPr="00E414C2">
        <w:rPr>
          <w:rFonts w:ascii="Verdana" w:hAnsi="Verdana"/>
          <w:sz w:val="20"/>
          <w:szCs w:val="20"/>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050DA947" w14:textId="43E9A7A8" w:rsidR="00E414C2" w:rsidRPr="00E414C2" w:rsidRDefault="00E414C2" w:rsidP="00261EDF">
      <w:pPr>
        <w:spacing w:after="0" w:line="240" w:lineRule="auto"/>
        <w:jc w:val="both"/>
        <w:rPr>
          <w:rFonts w:ascii="Verdana" w:hAnsi="Verdana"/>
          <w:sz w:val="20"/>
          <w:szCs w:val="20"/>
          <w:lang w:val="es-ES"/>
        </w:rPr>
      </w:pPr>
      <w:r w:rsidRPr="00E414C2">
        <w:rPr>
          <w:rFonts w:ascii="Verdana" w:hAnsi="Verdana"/>
          <w:sz w:val="20"/>
          <w:szCs w:val="20"/>
          <w:lang w:val="es-ES"/>
        </w:rPr>
        <w:t>[…]</w:t>
      </w:r>
    </w:p>
    <w:p w14:paraId="7A4329E8" w14:textId="77777777" w:rsidR="00E414C2" w:rsidRPr="00E414C2" w:rsidRDefault="00E414C2" w:rsidP="00261EDF">
      <w:pPr>
        <w:spacing w:after="0" w:line="240" w:lineRule="auto"/>
        <w:jc w:val="both"/>
        <w:rPr>
          <w:rFonts w:ascii="Verdana" w:hAnsi="Verdana"/>
          <w:sz w:val="20"/>
          <w:szCs w:val="20"/>
          <w:lang w:val="es-ES_tradnl"/>
        </w:rPr>
      </w:pPr>
      <w:r w:rsidRPr="00E414C2">
        <w:rPr>
          <w:rFonts w:ascii="Verdana" w:hAnsi="Verdana"/>
          <w:sz w:val="20"/>
          <w:szCs w:val="20"/>
          <w:lang w:val="es-ES_tradnl"/>
        </w:rPr>
        <w:t xml:space="preserve">Las condiciones para el cumplimiento de estas obligaciones fueron reglamentadas por el Decreto 1082 de 2015, el cual prescribe en los artículos 2.2.1.2.3.1.1. a 2.2.1.2.3.1.19 las clases de garantías permitidas; la indivisibilidad, por regla general, de las mismas; los riesgos objeto de cobertura; la vigencia y valores mínimos, entre otros aspectos que deben cumplir las garantías constituidas, ya sea mediante pólizas de seguro, garantías bancarias o patrimonios autónomos. Este último tipo de garantía fue establecida por el reglamento, previa autorización del artículo 7° de la Ley 1150 de 2007. </w:t>
      </w:r>
    </w:p>
    <w:p w14:paraId="52FB06EC" w14:textId="5A4A0B78" w:rsidR="00E414C2" w:rsidRPr="00E414C2" w:rsidRDefault="00E414C2" w:rsidP="00261EDF">
      <w:pPr>
        <w:spacing w:after="0" w:line="240" w:lineRule="auto"/>
        <w:jc w:val="both"/>
        <w:rPr>
          <w:rFonts w:ascii="Verdana" w:hAnsi="Verdana"/>
          <w:b/>
          <w:lang w:val="es-ES"/>
        </w:rPr>
      </w:pPr>
    </w:p>
    <w:p w14:paraId="791874C5" w14:textId="77777777" w:rsidR="00315F18" w:rsidRPr="00315F18" w:rsidRDefault="00315F18" w:rsidP="00261EDF">
      <w:pPr>
        <w:spacing w:after="0" w:line="240" w:lineRule="auto"/>
        <w:jc w:val="both"/>
        <w:rPr>
          <w:rFonts w:ascii="Verdana" w:hAnsi="Verdana"/>
          <w:b/>
          <w:lang w:val="es-ES"/>
        </w:rPr>
      </w:pPr>
      <w:r w:rsidRPr="00315F18">
        <w:rPr>
          <w:rFonts w:ascii="Verdana" w:hAnsi="Verdana"/>
          <w:b/>
          <w:lang w:val="es-ES"/>
        </w:rPr>
        <w:t xml:space="preserve">TIPOS DE GARANTÍAS – Póliza de seguro – Garantía bancaria o cartas de crédito de stand by – fiducia mercantil de garantía </w:t>
      </w:r>
    </w:p>
    <w:p w14:paraId="4BC2C18F" w14:textId="6F43ED72" w:rsidR="00315F18" w:rsidRDefault="00315F18" w:rsidP="00261EDF">
      <w:pPr>
        <w:spacing w:after="0" w:line="240" w:lineRule="auto"/>
        <w:jc w:val="both"/>
        <w:rPr>
          <w:rFonts w:ascii="Verdana" w:hAnsi="Verdana"/>
          <w:b/>
          <w:lang w:val="es-ES"/>
        </w:rPr>
      </w:pPr>
    </w:p>
    <w:p w14:paraId="6066A3DF" w14:textId="051518B7" w:rsidR="00E414C2" w:rsidRPr="00E414C2" w:rsidRDefault="00E414C2" w:rsidP="00261EDF">
      <w:pPr>
        <w:spacing w:after="0" w:line="240" w:lineRule="auto"/>
        <w:jc w:val="both"/>
        <w:rPr>
          <w:rFonts w:ascii="Verdana" w:hAnsi="Verdana"/>
          <w:sz w:val="20"/>
          <w:szCs w:val="20"/>
        </w:rPr>
      </w:pPr>
      <w:r w:rsidRPr="00E414C2">
        <w:rPr>
          <w:rFonts w:ascii="Verdana" w:hAnsi="Verdana"/>
          <w:sz w:val="20"/>
          <w:szCs w:val="20"/>
          <w:lang w:val="es-ES_tradnl"/>
        </w:rPr>
        <w:t>De acuerdo a lo expresado anteriormente, l</w:t>
      </w:r>
      <w:r w:rsidRPr="00E414C2">
        <w:rPr>
          <w:rFonts w:ascii="Verdana" w:hAnsi="Verdana"/>
          <w:sz w:val="20"/>
          <w:szCs w:val="20"/>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para amparar los riesgos contractuales; ii)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  iii) garantías bancarias o cartas de crédito </w:t>
      </w:r>
      <w:r w:rsidRPr="00E414C2">
        <w:rPr>
          <w:rFonts w:ascii="Verdana" w:hAnsi="Verdana"/>
          <w:i/>
          <w:iCs/>
          <w:sz w:val="20"/>
          <w:szCs w:val="20"/>
        </w:rPr>
        <w:t>stand</w:t>
      </w:r>
      <w:r w:rsidRPr="00E414C2">
        <w:rPr>
          <w:rFonts w:ascii="Verdana" w:hAnsi="Verdana"/>
          <w:sz w:val="20"/>
          <w:szCs w:val="20"/>
        </w:rPr>
        <w:t xml:space="preserve"> </w:t>
      </w:r>
      <w:r w:rsidRPr="00E414C2">
        <w:rPr>
          <w:rFonts w:ascii="Verdana" w:hAnsi="Verdana"/>
          <w:i/>
          <w:iCs/>
          <w:sz w:val="20"/>
          <w:szCs w:val="20"/>
        </w:rPr>
        <w:t>by</w:t>
      </w:r>
      <w:r w:rsidRPr="00E414C2">
        <w:rPr>
          <w:rFonts w:ascii="Verdana" w:hAnsi="Verdana"/>
          <w:sz w:val="20"/>
          <w:szCs w:val="20"/>
        </w:rPr>
        <w:t xml:space="preserve">, que consisten en compromisos irrevocables o incondicionales asumidos por una entidad financiera de pagar una suma determinada de dinero. La suficiencia y la vigencia de las garantías deben ser las reguladas en los artículos 2.2.1.2.3.1.9 a 2.2.1.2.3.1.16 del Decreto 1082 de 2015. </w:t>
      </w:r>
    </w:p>
    <w:p w14:paraId="478A3A12" w14:textId="478AD1F5" w:rsidR="00E414C2" w:rsidRPr="00315F18" w:rsidRDefault="00E414C2" w:rsidP="00261EDF">
      <w:pPr>
        <w:spacing w:after="0" w:line="240" w:lineRule="auto"/>
        <w:jc w:val="both"/>
        <w:rPr>
          <w:rFonts w:ascii="Verdana" w:hAnsi="Verdana"/>
          <w:b/>
          <w:lang w:val="es-ES"/>
        </w:rPr>
      </w:pPr>
    </w:p>
    <w:p w14:paraId="62FC4954" w14:textId="77777777" w:rsidR="00315F18" w:rsidRPr="00315F18" w:rsidRDefault="00315F18" w:rsidP="00261EDF">
      <w:pPr>
        <w:spacing w:after="0" w:line="240" w:lineRule="auto"/>
        <w:jc w:val="both"/>
        <w:rPr>
          <w:rFonts w:ascii="Verdana" w:hAnsi="Verdana"/>
          <w:b/>
          <w:lang w:val="es-ES"/>
        </w:rPr>
      </w:pPr>
      <w:r w:rsidRPr="00315F18">
        <w:rPr>
          <w:rFonts w:ascii="Verdana" w:hAnsi="Verdana"/>
          <w:b/>
          <w:lang w:val="es-ES"/>
        </w:rPr>
        <w:t xml:space="preserve">EXIGENCIA DE GARANTÍAS – Potestativo – Mínima Cuantía – Obra Pública - Posturas </w:t>
      </w:r>
    </w:p>
    <w:p w14:paraId="68E9A008" w14:textId="78139199" w:rsidR="00315F18" w:rsidRDefault="00315F18" w:rsidP="00261EDF">
      <w:pPr>
        <w:spacing w:after="0" w:line="240" w:lineRule="auto"/>
        <w:jc w:val="both"/>
        <w:rPr>
          <w:rFonts w:ascii="Verdana" w:hAnsi="Verdana"/>
          <w:b/>
          <w:lang w:val="es-ES"/>
        </w:rPr>
      </w:pPr>
    </w:p>
    <w:p w14:paraId="09D9366E" w14:textId="77777777" w:rsidR="00261EDF" w:rsidRDefault="00261EDF" w:rsidP="00261EDF">
      <w:pPr>
        <w:spacing w:after="0" w:line="240" w:lineRule="auto"/>
        <w:jc w:val="both"/>
        <w:rPr>
          <w:rFonts w:ascii="Verdana" w:hAnsi="Verdana"/>
          <w:sz w:val="20"/>
        </w:rPr>
      </w:pPr>
      <w:r w:rsidRPr="00261EDF">
        <w:rPr>
          <w:rFonts w:ascii="Verdana" w:hAnsi="Verdana"/>
          <w:sz w:val="20"/>
        </w:rPr>
        <w:t xml:space="preserve">La primera postura es que, en los contratos de obra pública, la exigencia de la garantía de responsabilidad civil extracontractual no depende de la cuantía del proceso, sino de la naturaleza del objeto contractual. Esta garantía tiene como propósito cubrir los </w:t>
      </w:r>
      <w:r w:rsidRPr="00261EDF">
        <w:rPr>
          <w:rFonts w:ascii="Verdana" w:hAnsi="Verdana"/>
          <w:sz w:val="20"/>
        </w:rPr>
        <w:lastRenderedPageBreak/>
        <w:t>perjuicios que puedan sufrir terceros por hechos, actos u omisiones del contratista durante la ejecución de la obra, lo cual resulta especialmente relevante en actividades que implican riesgos físicos, ambientales o patrimoniales. Bajo esta posición, la exigencia se mantiene incluso en procesos de mínima cuantía, en virtud del principio de gestión del riesgo y de la protección de intereses de terceros. En consecuencia, las entidades públicas deben incluir esta garantía en la invitación pública de los procesos de mínima cuantía cuando el objeto sea la ejecución de una obra. Esta exigencia no solo responde al marco legal, sino que también garantiza la protección de terceros y la responsabilidad patrimonial del contratista frente a eventuales daños.</w:t>
      </w:r>
    </w:p>
    <w:p w14:paraId="6501D27C" w14:textId="715FF8D0" w:rsidR="00261EDF" w:rsidRPr="00261EDF" w:rsidRDefault="00261EDF" w:rsidP="00261EDF">
      <w:pPr>
        <w:spacing w:after="0" w:line="240" w:lineRule="auto"/>
        <w:jc w:val="both"/>
        <w:rPr>
          <w:rFonts w:ascii="Verdana" w:hAnsi="Verdana"/>
          <w:sz w:val="20"/>
        </w:rPr>
      </w:pPr>
      <w:r w:rsidRPr="00261EDF">
        <w:rPr>
          <w:rFonts w:ascii="Verdana" w:hAnsi="Verdana"/>
          <w:sz w:val="20"/>
        </w:rPr>
        <w:t xml:space="preserve"> </w:t>
      </w:r>
    </w:p>
    <w:p w14:paraId="11F4BDAF" w14:textId="77777777" w:rsidR="00261EDF" w:rsidRPr="00261EDF" w:rsidRDefault="00261EDF" w:rsidP="00261EDF">
      <w:pPr>
        <w:spacing w:after="0" w:line="240" w:lineRule="auto"/>
        <w:jc w:val="both"/>
        <w:rPr>
          <w:rFonts w:ascii="Verdana" w:hAnsi="Verdana"/>
          <w:sz w:val="20"/>
        </w:rPr>
      </w:pPr>
      <w:r w:rsidRPr="00261EDF">
        <w:rPr>
          <w:rFonts w:ascii="Verdana" w:hAnsi="Verdana"/>
          <w:sz w:val="20"/>
        </w:rPr>
        <w:t>La segunda postura es que la exigencia de la garantía de responsabilidad civil extracontractual en la modalidad de selección de mínima cuantía independiente de la naturaleza del objeto es discrecional, pues no implica que la entidad estatal determine su exigencia de manera arbitraria, sino que demanda de aquellas que, en el evento en que considere pertinente establecer como condición su constitución, la decisión debe justificarse mediante motivos objetivos que permitan conocer la necesidad de su exigencia, según las condiciones propias de la entidad contratante, del objeto contractual, el valor del contrato, su naturaleza, y demás aspectos que la fundamenta.</w:t>
      </w:r>
    </w:p>
    <w:p w14:paraId="42F10695" w14:textId="2EDBBCF1" w:rsidR="00261EDF" w:rsidRPr="00261EDF" w:rsidRDefault="00261EDF" w:rsidP="00261EDF">
      <w:pPr>
        <w:spacing w:after="0" w:line="240" w:lineRule="auto"/>
        <w:jc w:val="both"/>
        <w:rPr>
          <w:rFonts w:ascii="Verdana" w:hAnsi="Verdana"/>
          <w:sz w:val="20"/>
        </w:rPr>
      </w:pPr>
      <w:r w:rsidRPr="00261EDF">
        <w:rPr>
          <w:rFonts w:ascii="Verdana" w:hAnsi="Verdana"/>
          <w:sz w:val="20"/>
        </w:rPr>
        <w:t xml:space="preserve">En ese orden, de conformidad con el artículo 4 de la Ley 1150 de 2007, la entidad estatal deberá consignar en los pliegos de condiciones o sus equivalentes (en mínima cuantía será la invitación pública), la estimación, tipificación y asignación de los riesgos previsibles involucrados en la contratación. Lo anterior se encuentra regulado por el artículo 2.2.1.1.2.1.3. Decreto 1082 de 2015, incluyendo como aspectos básicos o información esencial de los pliegos de condiciones los elementos del numeral 8 (riesgos asociados al contrato, forma de mitigarlos y asignación del riesgo entre las partes) y 9 (garantías exigidas en el proceso de contratación y sus condiciones). </w:t>
      </w:r>
    </w:p>
    <w:p w14:paraId="51707D64" w14:textId="61561F73" w:rsidR="00261EDF" w:rsidRPr="00261EDF" w:rsidRDefault="00261EDF" w:rsidP="00261EDF">
      <w:pPr>
        <w:spacing w:after="0" w:line="240" w:lineRule="auto"/>
        <w:jc w:val="both"/>
        <w:rPr>
          <w:rFonts w:ascii="Verdana" w:hAnsi="Verdana"/>
          <w:sz w:val="20"/>
        </w:rPr>
      </w:pPr>
      <w:r w:rsidRPr="00261EDF">
        <w:rPr>
          <w:rFonts w:ascii="Verdana" w:hAnsi="Verdana"/>
          <w:sz w:val="20"/>
        </w:rPr>
        <w:t>[…]</w:t>
      </w:r>
    </w:p>
    <w:p w14:paraId="3A933D16" w14:textId="2BE6D46F" w:rsidR="00261EDF" w:rsidRPr="00261EDF" w:rsidRDefault="00261EDF" w:rsidP="00261EDF">
      <w:pPr>
        <w:spacing w:after="0" w:line="240" w:lineRule="auto"/>
        <w:jc w:val="both"/>
        <w:rPr>
          <w:rFonts w:ascii="Verdana" w:hAnsi="Verdana"/>
          <w:sz w:val="20"/>
        </w:rPr>
      </w:pPr>
      <w:r w:rsidRPr="00261EDF">
        <w:rPr>
          <w:rFonts w:ascii="Verdana" w:hAnsi="Verdana"/>
          <w:sz w:val="20"/>
        </w:rPr>
        <w:t xml:space="preserve">En torno a estas dos posturas, se acoge la segunda, teniendo en cuenta que el artículo 7 de la Ley 1150 de 2007 no establece una distinción sobre la exigencia de garantías en los procesos de mínima cuantía dependiendo del objeto contractual, por lo que no excluye a los contratos de obra pública. Ahora bien, la exigencia de la póliza de responsabilidad civil extracontractual en los contratos de obra pública regulada en el Decreto 1082 de 2015 es aplicable en los procesos de contratación, en las que se establece su obligatoriedad. Por tanto, en los procesos de mínima cuantía independiente del objeto del contrato no es obligatoria, pero la entidad debe justificar su decisión con base en los estudios previos y en los riesgos inherentes al contrato. </w:t>
      </w:r>
    </w:p>
    <w:p w14:paraId="21C5A547" w14:textId="77777777" w:rsidR="00261EDF" w:rsidRPr="00261EDF" w:rsidRDefault="00261EDF" w:rsidP="00261EDF">
      <w:pPr>
        <w:spacing w:after="0" w:line="240" w:lineRule="auto"/>
        <w:jc w:val="both"/>
        <w:rPr>
          <w:rFonts w:ascii="Verdana" w:hAnsi="Verdana"/>
          <w:b/>
        </w:rPr>
      </w:pPr>
    </w:p>
    <w:p w14:paraId="655B188E" w14:textId="687B9AAC" w:rsidR="00315F18" w:rsidRPr="00315F18" w:rsidRDefault="00315F18" w:rsidP="00261EDF">
      <w:pPr>
        <w:spacing w:after="0" w:line="240" w:lineRule="auto"/>
        <w:jc w:val="both"/>
        <w:rPr>
          <w:rFonts w:ascii="Verdana" w:hAnsi="Verdana"/>
          <w:b/>
        </w:rPr>
      </w:pPr>
      <w:r w:rsidRPr="00315F18">
        <w:rPr>
          <w:rFonts w:ascii="Verdana" w:hAnsi="Verdana"/>
          <w:b/>
          <w:lang w:val="es-ES"/>
        </w:rPr>
        <w:t xml:space="preserve">GARANTÍA DE RESPONSABILIDAD CIVIL EXTRACONTRACTUAL – Alcance – Suficiencia.  </w:t>
      </w:r>
    </w:p>
    <w:p w14:paraId="32194DC3" w14:textId="632BC7E8" w:rsidR="00315F18" w:rsidRDefault="00315F18" w:rsidP="00261EDF">
      <w:pPr>
        <w:spacing w:after="0" w:line="240" w:lineRule="auto"/>
        <w:rPr>
          <w:rFonts w:ascii="Verdana" w:hAnsi="Verdana"/>
        </w:rPr>
      </w:pPr>
    </w:p>
    <w:p w14:paraId="1C8DB911" w14:textId="5EC7E4C5" w:rsidR="00261EDF" w:rsidRDefault="00261EDF" w:rsidP="00261EDF">
      <w:pPr>
        <w:spacing w:after="0" w:line="240" w:lineRule="auto"/>
        <w:jc w:val="both"/>
        <w:rPr>
          <w:rFonts w:ascii="Verdana" w:hAnsi="Verdana"/>
          <w:sz w:val="20"/>
        </w:rPr>
      </w:pPr>
      <w:r w:rsidRPr="00261EDF">
        <w:rPr>
          <w:rFonts w:ascii="Verdana" w:hAnsi="Verdana"/>
          <w:sz w:val="20"/>
        </w:rPr>
        <w:t xml:space="preserve">En este escenario, en los contratos de obra pública cuya modalidad de selección es la mínima cuantía deben tomar una decisión basada en el riesgo, esto es, un análisis de si el objeto del contrato presenta riesgos para terceros, como daños a personas o bienes. Así pues, la entidad debe documentar en los estudios previos sobre la necesidad de exigir </w:t>
      </w:r>
      <w:r w:rsidRPr="00261EDF">
        <w:rPr>
          <w:rFonts w:ascii="Verdana" w:hAnsi="Verdana"/>
          <w:sz w:val="20"/>
        </w:rPr>
        <w:lastRenderedPageBreak/>
        <w:t xml:space="preserve">la garantía de responsabilidad civil extracontractual, y si lo hace, deberá someterse a las condiciones definidas en el Decreto 1082 de 2015. </w:t>
      </w:r>
    </w:p>
    <w:p w14:paraId="35A03B93" w14:textId="77777777" w:rsidR="00261EDF" w:rsidRPr="00261EDF" w:rsidRDefault="00261EDF" w:rsidP="00261EDF">
      <w:pPr>
        <w:spacing w:after="0" w:line="240" w:lineRule="auto"/>
        <w:jc w:val="both"/>
        <w:rPr>
          <w:rFonts w:ascii="Verdana" w:hAnsi="Verdana"/>
          <w:sz w:val="20"/>
        </w:rPr>
      </w:pPr>
    </w:p>
    <w:p w14:paraId="040179FA" w14:textId="33225691" w:rsidR="00261EDF" w:rsidRDefault="00261EDF" w:rsidP="00261EDF">
      <w:pPr>
        <w:spacing w:after="0" w:line="240" w:lineRule="auto"/>
        <w:jc w:val="both"/>
        <w:rPr>
          <w:rFonts w:ascii="Verdana" w:hAnsi="Verdana"/>
          <w:sz w:val="20"/>
        </w:rPr>
      </w:pPr>
      <w:r w:rsidRPr="00261EDF">
        <w:rPr>
          <w:rFonts w:ascii="Verdana" w:hAnsi="Verdana"/>
          <w:sz w:val="20"/>
        </w:rPr>
        <w:t>Al respecto, dicho Decreto exige una serie de requisitos que deben cumplir los seguros de responsabilidad civil extracontractual a favor de Entidades Estatales: i) cobertura básica de predios, labores y operaciones; ii) el daño emergente y el lucro cesante; iii) los perjuicios extrapatrimoniales; iv) responsabilidad surgida por actos de contratistas y subcontratistas, salvo que el subcontratista tenga su propio seguro de responsabilidad civil extracontractual, con los mismos amparos; v) cobertura expresa de amparo patronal, que cubre los perjuicios causados por accidentes de trabajo de los empleados al servicio del contratista; vi) la cobertura expresa de vehículos propios y no propios, que cubre daños materiales, las lesiones personales y/o la muerte que se ocasionen a terceros con vehículos que estén al servicio de la entidad asegurada en el giro normal de sus actividades.</w:t>
      </w:r>
    </w:p>
    <w:p w14:paraId="475FB704" w14:textId="77777777" w:rsidR="00261EDF" w:rsidRPr="00261EDF" w:rsidRDefault="00261EDF" w:rsidP="00261EDF">
      <w:pPr>
        <w:spacing w:after="0" w:line="240" w:lineRule="auto"/>
        <w:jc w:val="both"/>
        <w:rPr>
          <w:rFonts w:ascii="Verdana" w:hAnsi="Verdana"/>
          <w:sz w:val="20"/>
        </w:rPr>
      </w:pPr>
    </w:p>
    <w:p w14:paraId="21A102F9" w14:textId="2881C926" w:rsidR="00261EDF" w:rsidRDefault="00261EDF" w:rsidP="00261EDF">
      <w:pPr>
        <w:spacing w:after="0" w:line="240" w:lineRule="auto"/>
        <w:jc w:val="both"/>
        <w:rPr>
          <w:rFonts w:ascii="Verdana" w:hAnsi="Verdana"/>
          <w:sz w:val="20"/>
          <w:lang w:val="es-ES"/>
        </w:rPr>
      </w:pPr>
      <w:r w:rsidRPr="00261EDF">
        <w:rPr>
          <w:rFonts w:ascii="Verdana" w:hAnsi="Verdana"/>
          <w:sz w:val="20"/>
          <w:lang w:val="es-ES"/>
        </w:rPr>
        <w:t>Así mismo, el artículo 2.2.1.2.3.1.17 determina el valor que debe ser asegurado con el contrato de seguro, teniendo en cuenta el valor en salarios mínimos mensuales legales vigentes del contrato [..]</w:t>
      </w:r>
    </w:p>
    <w:p w14:paraId="160E6E2E" w14:textId="2312CFC6" w:rsidR="00261EDF" w:rsidRDefault="00261EDF" w:rsidP="00261EDF">
      <w:pPr>
        <w:spacing w:after="0" w:line="240" w:lineRule="auto"/>
        <w:jc w:val="both"/>
        <w:rPr>
          <w:rFonts w:ascii="Verdana" w:hAnsi="Verdana"/>
          <w:sz w:val="20"/>
          <w:lang w:val="es-ES"/>
        </w:rPr>
      </w:pPr>
    </w:p>
    <w:p w14:paraId="23B99DA6" w14:textId="61A893A9" w:rsidR="00261EDF" w:rsidRDefault="00261EDF" w:rsidP="00261EDF">
      <w:pPr>
        <w:spacing w:after="0" w:line="240" w:lineRule="auto"/>
        <w:jc w:val="both"/>
        <w:rPr>
          <w:rFonts w:ascii="Verdana" w:hAnsi="Verdana"/>
          <w:sz w:val="20"/>
          <w:lang w:val="es-ES"/>
        </w:rPr>
      </w:pPr>
    </w:p>
    <w:p w14:paraId="1B3598CF" w14:textId="5AD1D791" w:rsidR="00261EDF" w:rsidRDefault="00261EDF" w:rsidP="00261EDF">
      <w:pPr>
        <w:spacing w:after="0" w:line="240" w:lineRule="auto"/>
        <w:jc w:val="both"/>
        <w:rPr>
          <w:rFonts w:ascii="Verdana" w:hAnsi="Verdana"/>
          <w:sz w:val="20"/>
          <w:lang w:val="es-ES"/>
        </w:rPr>
      </w:pPr>
    </w:p>
    <w:p w14:paraId="3F47C23F" w14:textId="0F94AA84" w:rsidR="00261EDF" w:rsidRDefault="00261EDF" w:rsidP="00261EDF">
      <w:pPr>
        <w:spacing w:after="0" w:line="240" w:lineRule="auto"/>
        <w:jc w:val="both"/>
        <w:rPr>
          <w:rFonts w:ascii="Verdana" w:hAnsi="Verdana"/>
          <w:sz w:val="20"/>
          <w:lang w:val="es-ES"/>
        </w:rPr>
      </w:pPr>
    </w:p>
    <w:p w14:paraId="555E3A0E" w14:textId="6E3820A8" w:rsidR="00261EDF" w:rsidRDefault="00261EDF" w:rsidP="00261EDF">
      <w:pPr>
        <w:spacing w:after="0" w:line="240" w:lineRule="auto"/>
        <w:jc w:val="both"/>
        <w:rPr>
          <w:rFonts w:ascii="Verdana" w:hAnsi="Verdana"/>
          <w:sz w:val="20"/>
          <w:lang w:val="es-ES"/>
        </w:rPr>
      </w:pPr>
    </w:p>
    <w:p w14:paraId="7A49CFDA" w14:textId="019C3E55" w:rsidR="00261EDF" w:rsidRDefault="00261EDF" w:rsidP="00261EDF">
      <w:pPr>
        <w:spacing w:after="0" w:line="240" w:lineRule="auto"/>
        <w:jc w:val="both"/>
        <w:rPr>
          <w:rFonts w:ascii="Verdana" w:hAnsi="Verdana"/>
          <w:sz w:val="20"/>
          <w:lang w:val="es-ES"/>
        </w:rPr>
      </w:pPr>
    </w:p>
    <w:p w14:paraId="620FF18F" w14:textId="1F25369E" w:rsidR="00261EDF" w:rsidRDefault="00261EDF" w:rsidP="00261EDF">
      <w:pPr>
        <w:spacing w:after="0" w:line="240" w:lineRule="auto"/>
        <w:jc w:val="both"/>
        <w:rPr>
          <w:rFonts w:ascii="Verdana" w:hAnsi="Verdana"/>
          <w:sz w:val="20"/>
          <w:lang w:val="es-ES"/>
        </w:rPr>
      </w:pPr>
    </w:p>
    <w:p w14:paraId="71AD0A8F" w14:textId="758B464F" w:rsidR="00261EDF" w:rsidRDefault="00261EDF" w:rsidP="00261EDF">
      <w:pPr>
        <w:spacing w:after="0" w:line="240" w:lineRule="auto"/>
        <w:jc w:val="both"/>
        <w:rPr>
          <w:rFonts w:ascii="Verdana" w:hAnsi="Verdana"/>
          <w:sz w:val="20"/>
          <w:lang w:val="es-ES"/>
        </w:rPr>
      </w:pPr>
    </w:p>
    <w:p w14:paraId="7B152AAC" w14:textId="56960BEC" w:rsidR="00261EDF" w:rsidRDefault="00261EDF" w:rsidP="00261EDF">
      <w:pPr>
        <w:spacing w:after="0" w:line="240" w:lineRule="auto"/>
        <w:jc w:val="both"/>
        <w:rPr>
          <w:rFonts w:ascii="Verdana" w:hAnsi="Verdana"/>
          <w:sz w:val="20"/>
          <w:lang w:val="es-ES"/>
        </w:rPr>
      </w:pPr>
    </w:p>
    <w:p w14:paraId="55542F01" w14:textId="3F325EDD" w:rsidR="00261EDF" w:rsidRDefault="00261EDF" w:rsidP="00261EDF">
      <w:pPr>
        <w:spacing w:after="0" w:line="240" w:lineRule="auto"/>
        <w:jc w:val="both"/>
        <w:rPr>
          <w:rFonts w:ascii="Verdana" w:hAnsi="Verdana"/>
          <w:sz w:val="20"/>
          <w:lang w:val="es-ES"/>
        </w:rPr>
      </w:pPr>
    </w:p>
    <w:p w14:paraId="0A6E1CB4" w14:textId="5C7D2515" w:rsidR="00261EDF" w:rsidRDefault="00261EDF" w:rsidP="00261EDF">
      <w:pPr>
        <w:spacing w:after="0" w:line="240" w:lineRule="auto"/>
        <w:jc w:val="both"/>
        <w:rPr>
          <w:rFonts w:ascii="Verdana" w:hAnsi="Verdana"/>
          <w:sz w:val="20"/>
          <w:lang w:val="es-ES"/>
        </w:rPr>
      </w:pPr>
    </w:p>
    <w:p w14:paraId="48047A35" w14:textId="14298158" w:rsidR="00261EDF" w:rsidRDefault="00261EDF" w:rsidP="00261EDF">
      <w:pPr>
        <w:spacing w:after="0" w:line="240" w:lineRule="auto"/>
        <w:jc w:val="both"/>
        <w:rPr>
          <w:rFonts w:ascii="Verdana" w:hAnsi="Verdana"/>
          <w:sz w:val="20"/>
          <w:lang w:val="es-ES"/>
        </w:rPr>
      </w:pPr>
    </w:p>
    <w:p w14:paraId="1753BE6D" w14:textId="7B6B1E4B" w:rsidR="00261EDF" w:rsidRDefault="00261EDF" w:rsidP="00261EDF">
      <w:pPr>
        <w:spacing w:after="0" w:line="240" w:lineRule="auto"/>
        <w:jc w:val="both"/>
        <w:rPr>
          <w:rFonts w:ascii="Verdana" w:hAnsi="Verdana"/>
          <w:sz w:val="20"/>
          <w:lang w:val="es-ES"/>
        </w:rPr>
      </w:pPr>
    </w:p>
    <w:p w14:paraId="57762E8A" w14:textId="2A84C94B" w:rsidR="00261EDF" w:rsidRDefault="00261EDF" w:rsidP="00261EDF">
      <w:pPr>
        <w:spacing w:after="0" w:line="240" w:lineRule="auto"/>
        <w:jc w:val="both"/>
        <w:rPr>
          <w:rFonts w:ascii="Verdana" w:hAnsi="Verdana"/>
          <w:sz w:val="20"/>
          <w:lang w:val="es-ES"/>
        </w:rPr>
      </w:pPr>
    </w:p>
    <w:p w14:paraId="432B1830" w14:textId="04876EC6" w:rsidR="00261EDF" w:rsidRDefault="00261EDF" w:rsidP="00261EDF">
      <w:pPr>
        <w:spacing w:after="0" w:line="240" w:lineRule="auto"/>
        <w:jc w:val="both"/>
        <w:rPr>
          <w:rFonts w:ascii="Verdana" w:hAnsi="Verdana"/>
          <w:sz w:val="20"/>
          <w:lang w:val="es-ES"/>
        </w:rPr>
      </w:pPr>
    </w:p>
    <w:p w14:paraId="5AB14C90" w14:textId="2005794F" w:rsidR="00261EDF" w:rsidRDefault="00261EDF" w:rsidP="00261EDF">
      <w:pPr>
        <w:spacing w:after="0" w:line="240" w:lineRule="auto"/>
        <w:jc w:val="both"/>
        <w:rPr>
          <w:rFonts w:ascii="Verdana" w:hAnsi="Verdana"/>
          <w:sz w:val="20"/>
          <w:lang w:val="es-ES"/>
        </w:rPr>
      </w:pPr>
    </w:p>
    <w:p w14:paraId="0D0B9A27" w14:textId="7B2A5A10" w:rsidR="00261EDF" w:rsidRDefault="00261EDF" w:rsidP="00261EDF">
      <w:pPr>
        <w:spacing w:after="0" w:line="240" w:lineRule="auto"/>
        <w:jc w:val="both"/>
        <w:rPr>
          <w:rFonts w:ascii="Verdana" w:hAnsi="Verdana"/>
          <w:sz w:val="20"/>
          <w:lang w:val="es-ES"/>
        </w:rPr>
      </w:pPr>
    </w:p>
    <w:p w14:paraId="22CE1B50" w14:textId="48059664" w:rsidR="00261EDF" w:rsidRDefault="00261EDF" w:rsidP="00261EDF">
      <w:pPr>
        <w:spacing w:after="0" w:line="240" w:lineRule="auto"/>
        <w:jc w:val="both"/>
        <w:rPr>
          <w:rFonts w:ascii="Verdana" w:hAnsi="Verdana"/>
          <w:sz w:val="20"/>
          <w:lang w:val="es-ES"/>
        </w:rPr>
      </w:pPr>
    </w:p>
    <w:p w14:paraId="196755D1" w14:textId="1A031913" w:rsidR="00261EDF" w:rsidRDefault="00261EDF" w:rsidP="00261EDF">
      <w:pPr>
        <w:spacing w:after="0" w:line="240" w:lineRule="auto"/>
        <w:jc w:val="both"/>
        <w:rPr>
          <w:rFonts w:ascii="Verdana" w:hAnsi="Verdana"/>
          <w:sz w:val="20"/>
          <w:lang w:val="es-ES"/>
        </w:rPr>
      </w:pPr>
    </w:p>
    <w:p w14:paraId="03E59E03" w14:textId="5EB72616" w:rsidR="00261EDF" w:rsidRDefault="00261EDF" w:rsidP="00261EDF">
      <w:pPr>
        <w:spacing w:after="0" w:line="240" w:lineRule="auto"/>
        <w:jc w:val="both"/>
        <w:rPr>
          <w:rFonts w:ascii="Verdana" w:hAnsi="Verdana"/>
          <w:sz w:val="20"/>
          <w:lang w:val="es-ES"/>
        </w:rPr>
      </w:pPr>
    </w:p>
    <w:p w14:paraId="333CF51B" w14:textId="6AB8AD74" w:rsidR="00261EDF" w:rsidRDefault="00261EDF" w:rsidP="00261EDF">
      <w:pPr>
        <w:spacing w:after="0" w:line="240" w:lineRule="auto"/>
        <w:jc w:val="both"/>
        <w:rPr>
          <w:rFonts w:ascii="Verdana" w:hAnsi="Verdana"/>
          <w:sz w:val="20"/>
          <w:lang w:val="es-ES"/>
        </w:rPr>
      </w:pPr>
    </w:p>
    <w:p w14:paraId="49E32DC8" w14:textId="676065B9" w:rsidR="00261EDF" w:rsidRDefault="00261EDF" w:rsidP="00261EDF">
      <w:pPr>
        <w:spacing w:after="0" w:line="240" w:lineRule="auto"/>
        <w:jc w:val="both"/>
        <w:rPr>
          <w:rFonts w:ascii="Verdana" w:hAnsi="Verdana"/>
          <w:sz w:val="20"/>
          <w:lang w:val="es-ES"/>
        </w:rPr>
      </w:pPr>
    </w:p>
    <w:p w14:paraId="782B54E7" w14:textId="42A9B4FF" w:rsidR="00261EDF" w:rsidRDefault="00261EDF" w:rsidP="00261EDF">
      <w:pPr>
        <w:spacing w:after="0" w:line="240" w:lineRule="auto"/>
        <w:jc w:val="both"/>
        <w:rPr>
          <w:rFonts w:ascii="Verdana" w:hAnsi="Verdana"/>
          <w:sz w:val="20"/>
          <w:lang w:val="es-ES"/>
        </w:rPr>
      </w:pPr>
    </w:p>
    <w:p w14:paraId="039168A4" w14:textId="5FCC96E5" w:rsidR="00261EDF" w:rsidRDefault="00261EDF" w:rsidP="00261EDF">
      <w:pPr>
        <w:spacing w:after="0" w:line="240" w:lineRule="auto"/>
        <w:jc w:val="both"/>
        <w:rPr>
          <w:rFonts w:ascii="Verdana" w:hAnsi="Verdana"/>
          <w:sz w:val="20"/>
          <w:lang w:val="es-ES"/>
        </w:rPr>
      </w:pPr>
    </w:p>
    <w:p w14:paraId="46C5CA4C" w14:textId="081CC8D9" w:rsidR="00261EDF" w:rsidRDefault="00261EDF" w:rsidP="00261EDF">
      <w:pPr>
        <w:spacing w:after="0" w:line="240" w:lineRule="auto"/>
        <w:jc w:val="both"/>
        <w:rPr>
          <w:rFonts w:ascii="Verdana" w:hAnsi="Verdana"/>
          <w:sz w:val="20"/>
          <w:lang w:val="es-ES"/>
        </w:rPr>
      </w:pPr>
    </w:p>
    <w:p w14:paraId="5351E7CD" w14:textId="7765FA72" w:rsidR="00261EDF" w:rsidRDefault="00261EDF" w:rsidP="00261EDF">
      <w:pPr>
        <w:spacing w:after="0" w:line="240" w:lineRule="auto"/>
        <w:jc w:val="both"/>
        <w:rPr>
          <w:rFonts w:ascii="Verdana" w:hAnsi="Verdana"/>
          <w:sz w:val="20"/>
          <w:lang w:val="es-ES"/>
        </w:rPr>
      </w:pPr>
    </w:p>
    <w:p w14:paraId="205C9A96" w14:textId="32DFC9C8" w:rsidR="00261EDF" w:rsidRPr="00261EDF" w:rsidRDefault="00261EDF" w:rsidP="00261EDF">
      <w:pPr>
        <w:spacing w:after="0" w:line="240" w:lineRule="auto"/>
        <w:jc w:val="both"/>
        <w:rPr>
          <w:rFonts w:ascii="Verdana" w:hAnsi="Verdana"/>
          <w:sz w:val="20"/>
        </w:rPr>
      </w:pPr>
    </w:p>
    <w:p w14:paraId="6C59E8A4" w14:textId="36359AEF" w:rsidR="004F1E0E" w:rsidRDefault="00B1652B" w:rsidP="004F1E0E">
      <w:pPr>
        <w:spacing w:after="0"/>
        <w:rPr>
          <w:rFonts w:ascii="Verdana" w:hAnsi="Verdana"/>
        </w:rPr>
      </w:pPr>
      <w:r w:rsidRPr="00261EDF">
        <w:rPr>
          <w:rFonts w:ascii="Verdana" w:hAnsi="Verdana"/>
          <w:noProof/>
          <w:lang w:val="en-US"/>
        </w:rPr>
        <w:lastRenderedPageBreak/>
        <w:drawing>
          <wp:anchor distT="0" distB="0" distL="114300" distR="114300" simplePos="0" relativeHeight="251659264" behindDoc="0" locked="0" layoutInCell="1" allowOverlap="1" wp14:anchorId="7F8772D5" wp14:editId="7EABD183">
            <wp:simplePos x="0" y="0"/>
            <wp:positionH relativeFrom="column">
              <wp:posOffset>2888615</wp:posOffset>
            </wp:positionH>
            <wp:positionV relativeFrom="paragraph">
              <wp:posOffset>153035</wp:posOffset>
            </wp:positionV>
            <wp:extent cx="2774315" cy="786130"/>
            <wp:effectExtent l="0" t="0" r="698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4315" cy="786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1E0E" w:rsidRPr="0024624F">
        <w:rPr>
          <w:rFonts w:ascii="Verdana" w:hAnsi="Verdana"/>
        </w:rPr>
        <w:t xml:space="preserve">Bogotá D.C., </w:t>
      </w:r>
      <w:r w:rsidR="00315F18">
        <w:rPr>
          <w:rFonts w:ascii="Verdana" w:hAnsi="Verdana"/>
        </w:rPr>
        <w:t>19 de noviembre de 2025</w:t>
      </w:r>
      <w:r w:rsidR="004F1E0E">
        <w:rPr>
          <w:rFonts w:ascii="Verdana" w:hAnsi="Verdana"/>
        </w:rPr>
        <w:tab/>
      </w:r>
    </w:p>
    <w:p w14:paraId="503ECA65" w14:textId="39A4DBC0" w:rsidR="004F1E0E" w:rsidRDefault="004F1E0E" w:rsidP="004F1E0E">
      <w:pPr>
        <w:spacing w:after="0" w:line="240" w:lineRule="auto"/>
        <w:rPr>
          <w:rFonts w:ascii="Verdana" w:hAnsi="Verdana"/>
        </w:rPr>
      </w:pPr>
    </w:p>
    <w:p w14:paraId="13E77769" w14:textId="34B702DB" w:rsidR="004F1E0E" w:rsidRPr="00B57A1B" w:rsidRDefault="004F1E0E" w:rsidP="004F1E0E">
      <w:pPr>
        <w:spacing w:after="0" w:line="240" w:lineRule="auto"/>
        <w:rPr>
          <w:rFonts w:ascii="Verdana" w:hAnsi="Verdana"/>
        </w:rPr>
      </w:pPr>
    </w:p>
    <w:p w14:paraId="31DCAE25" w14:textId="40717A07" w:rsidR="004F1E0E" w:rsidRPr="00381BAB" w:rsidRDefault="004F1E0E" w:rsidP="004F1E0E">
      <w:pPr>
        <w:spacing w:after="0" w:line="240" w:lineRule="auto"/>
        <w:rPr>
          <w:rFonts w:ascii="Verdana" w:eastAsia="Calibri" w:hAnsi="Verdana" w:cs="Times New Roman"/>
          <w:lang w:val="es-MX"/>
        </w:rPr>
      </w:pPr>
      <w:r w:rsidRPr="00381BAB">
        <w:rPr>
          <w:rFonts w:ascii="Verdana" w:eastAsia="Calibri" w:hAnsi="Verdana" w:cs="Times New Roman"/>
          <w:lang w:val="es-MX"/>
        </w:rPr>
        <w:t>Señor</w:t>
      </w:r>
      <w:r>
        <w:rPr>
          <w:rFonts w:ascii="Verdana" w:eastAsia="Calibri" w:hAnsi="Verdana" w:cs="Times New Roman"/>
          <w:lang w:val="es-MX"/>
        </w:rPr>
        <w:t>a</w:t>
      </w:r>
    </w:p>
    <w:p w14:paraId="7A11815A" w14:textId="66D2E8E0" w:rsidR="004F1E0E" w:rsidRDefault="00B1652B" w:rsidP="004F1E0E">
      <w:pPr>
        <w:spacing w:after="0" w:line="240" w:lineRule="auto"/>
        <w:rPr>
          <w:rFonts w:ascii="Verdana" w:eastAsia="Calibri" w:hAnsi="Verdana" w:cs="Times New Roman"/>
          <w:b/>
        </w:rPr>
      </w:pPr>
      <w:r w:rsidRPr="00B1652B">
        <w:rPr>
          <w:rFonts w:ascii="Verdana" w:hAnsi="Verdana"/>
          <w:noProof/>
          <w:lang w:val="en-US"/>
        </w:rPr>
        <w:drawing>
          <wp:anchor distT="0" distB="0" distL="114300" distR="114300" simplePos="0" relativeHeight="251658240" behindDoc="0" locked="0" layoutInCell="1" allowOverlap="1" wp14:anchorId="0B5D031E" wp14:editId="5DD471DD">
            <wp:simplePos x="0" y="0"/>
            <wp:positionH relativeFrom="margin">
              <wp:posOffset>2888615</wp:posOffset>
            </wp:positionH>
            <wp:positionV relativeFrom="paragraph">
              <wp:posOffset>97790</wp:posOffset>
            </wp:positionV>
            <wp:extent cx="2774315" cy="765810"/>
            <wp:effectExtent l="0" t="0" r="698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74315" cy="765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1E0E">
        <w:rPr>
          <w:rFonts w:ascii="Verdana" w:eastAsia="Calibri" w:hAnsi="Verdana" w:cs="Times New Roman"/>
          <w:b/>
        </w:rPr>
        <w:t>Cinddy Paola Benavides Martínez</w:t>
      </w:r>
    </w:p>
    <w:p w14:paraId="0C9C5794" w14:textId="539A704C" w:rsidR="004F1E0E" w:rsidRPr="00FA0B55" w:rsidRDefault="00504067" w:rsidP="004F1E0E">
      <w:pPr>
        <w:spacing w:after="0" w:line="240" w:lineRule="auto"/>
        <w:rPr>
          <w:rFonts w:ascii="Verdana" w:eastAsia="Calibri" w:hAnsi="Verdana" w:cs="Times New Roman"/>
          <w:bCs/>
        </w:rPr>
      </w:pPr>
      <w:hyperlink r:id="rId13" w:history="1">
        <w:r w:rsidR="004F1E0E" w:rsidRPr="00FA0B55">
          <w:rPr>
            <w:rStyle w:val="Hipervnculo"/>
            <w:rFonts w:ascii="Verdana" w:eastAsia="Calibri" w:hAnsi="Verdana" w:cs="Times New Roman"/>
            <w:bCs/>
          </w:rPr>
          <w:t>c-benavides@hotmail.com</w:t>
        </w:r>
      </w:hyperlink>
      <w:r w:rsidR="004F1E0E" w:rsidRPr="00FA0B55">
        <w:rPr>
          <w:rFonts w:ascii="Verdana" w:eastAsia="Calibri" w:hAnsi="Verdana" w:cs="Times New Roman"/>
          <w:bCs/>
        </w:rPr>
        <w:t xml:space="preserve"> </w:t>
      </w:r>
    </w:p>
    <w:p w14:paraId="64D8823C" w14:textId="77777777" w:rsidR="004F1E0E" w:rsidRPr="00FA0B55" w:rsidRDefault="004F1E0E" w:rsidP="004F1E0E">
      <w:pPr>
        <w:spacing w:after="0" w:line="240" w:lineRule="auto"/>
        <w:rPr>
          <w:rFonts w:ascii="Verdana" w:eastAsia="Calibri" w:hAnsi="Verdana" w:cs="Times New Roman"/>
        </w:rPr>
      </w:pPr>
      <w:r w:rsidRPr="00FA0B55">
        <w:rPr>
          <w:rFonts w:ascii="Verdana" w:eastAsia="Calibri" w:hAnsi="Verdana" w:cs="Times New Roman"/>
        </w:rPr>
        <w:t>Bogotá D.C.</w:t>
      </w:r>
    </w:p>
    <w:p w14:paraId="61091DD9" w14:textId="5F010DD8" w:rsidR="004F1E0E" w:rsidRDefault="004F1E0E" w:rsidP="004F1E0E">
      <w:pPr>
        <w:spacing w:after="0" w:line="240" w:lineRule="auto"/>
        <w:rPr>
          <w:rFonts w:ascii="Verdana" w:eastAsia="Calibri" w:hAnsi="Verdana" w:cs="Times New Roman"/>
        </w:rPr>
      </w:pPr>
    </w:p>
    <w:p w14:paraId="467CEE3C" w14:textId="0EDA83FD" w:rsidR="004F1E0E" w:rsidRDefault="004F1E0E" w:rsidP="004F1E0E">
      <w:pPr>
        <w:spacing w:after="0" w:line="240" w:lineRule="auto"/>
        <w:rPr>
          <w:rFonts w:ascii="Verdana" w:eastAsia="Calibri" w:hAnsi="Verdana" w:cs="Times New Roman"/>
        </w:rPr>
      </w:pPr>
    </w:p>
    <w:p w14:paraId="70063A87" w14:textId="77777777" w:rsidR="00B1652B" w:rsidRPr="00FA0B55" w:rsidRDefault="00B1652B" w:rsidP="004F1E0E">
      <w:pPr>
        <w:spacing w:after="0" w:line="240" w:lineRule="auto"/>
        <w:rPr>
          <w:rFonts w:ascii="Verdana" w:eastAsia="Calibri" w:hAnsi="Verdana" w:cs="Times New Roman"/>
        </w:rPr>
      </w:pPr>
    </w:p>
    <w:p w14:paraId="35CAF6CF" w14:textId="77777777" w:rsidR="004F1E0E" w:rsidRPr="00B57A1B" w:rsidRDefault="004F1E0E" w:rsidP="004F1E0E">
      <w:pPr>
        <w:spacing w:after="0" w:line="256" w:lineRule="auto"/>
        <w:rPr>
          <w:rFonts w:ascii="Verdana" w:eastAsia="Calibri" w:hAnsi="Verdana" w:cs="Times New Roman"/>
          <w:b/>
          <w:bCs/>
          <w:lang w:val="es-ES"/>
        </w:rPr>
      </w:pPr>
      <w:r w:rsidRPr="00FA0B55">
        <w:rPr>
          <w:rFonts w:ascii="Verdana" w:eastAsia="Calibri" w:hAnsi="Verdana" w:cs="Times New Roman"/>
          <w:b/>
          <w:bCs/>
        </w:rPr>
        <w:t xml:space="preserve">                                    </w:t>
      </w:r>
      <w:r>
        <w:rPr>
          <w:rFonts w:ascii="Verdana" w:eastAsia="Calibri" w:hAnsi="Verdana" w:cs="Times New Roman"/>
          <w:b/>
          <w:bCs/>
          <w:lang w:val="es-ES"/>
        </w:rPr>
        <w:t>Concepto C–1442 de 2025</w:t>
      </w:r>
    </w:p>
    <w:p w14:paraId="466B2908" w14:textId="77777777" w:rsidR="004F1E0E" w:rsidRPr="00B57A1B" w:rsidRDefault="004F1E0E" w:rsidP="004F1E0E">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F1E0E" w:rsidRPr="00B57A1B" w14:paraId="7D71B50E" w14:textId="77777777" w:rsidTr="002F6D1B">
        <w:trPr>
          <w:trHeight w:val="645"/>
        </w:trPr>
        <w:tc>
          <w:tcPr>
            <w:tcW w:w="2685" w:type="dxa"/>
            <w:hideMark/>
          </w:tcPr>
          <w:p w14:paraId="1811FCD6" w14:textId="77777777" w:rsidR="004F1E0E" w:rsidRPr="00B57A1B" w:rsidRDefault="004F1E0E" w:rsidP="002F6D1B">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051D6AEC" w14:textId="77777777" w:rsidR="004F1E0E" w:rsidRPr="001E1D4F" w:rsidRDefault="004F1E0E" w:rsidP="002F6D1B">
            <w:pPr>
              <w:spacing w:line="276" w:lineRule="auto"/>
              <w:jc w:val="both"/>
              <w:rPr>
                <w:rFonts w:ascii="Verdana" w:hAnsi="Verdana" w:cs="Arial"/>
                <w:lang w:val="es-ES_tradnl" w:eastAsia="es-ES"/>
              </w:rPr>
            </w:pPr>
            <w:r w:rsidRPr="00C96099">
              <w:rPr>
                <w:rFonts w:ascii="Verdana" w:hAnsi="Verdana" w:cs="Arial"/>
                <w:lang w:val="es-ES" w:eastAsia="es-ES"/>
              </w:rPr>
              <w:t>GARANTÍAS – Contratación estatal – Constitución de garantías – Finalidad – Cumplimiento – Obligaciones contractuales/ TIPOS DE GARANTÍAS – Póliza de seguro – Garantía bancaria o cartas de crédito de stand by – fiducia mercantil de garantía</w:t>
            </w:r>
            <w:r>
              <w:rPr>
                <w:rFonts w:ascii="Verdana" w:hAnsi="Verdana" w:cs="Arial"/>
                <w:lang w:val="es-ES" w:eastAsia="es-ES"/>
              </w:rPr>
              <w:t xml:space="preserve"> / EXIGENCIA DE GARANTÍAS – Potestativo – Mínima Cuantía – Obra Pública - Posturas / </w:t>
            </w:r>
            <w:r w:rsidRPr="0032032D">
              <w:rPr>
                <w:rFonts w:ascii="Verdana" w:hAnsi="Verdana" w:cs="Arial"/>
                <w:lang w:val="es-ES" w:eastAsia="es-ES"/>
              </w:rPr>
              <w:t>GARANTÍA DE RESPONSABILIDAD CIVIL EXTRACONTRACTUAL – Alcance – Suficiencia</w:t>
            </w:r>
            <w:r>
              <w:rPr>
                <w:rFonts w:ascii="Verdana" w:hAnsi="Verdana" w:cs="Arial"/>
                <w:lang w:val="es-ES" w:eastAsia="es-ES"/>
              </w:rPr>
              <w:t>.</w:t>
            </w:r>
            <w:r w:rsidRPr="0032032D">
              <w:rPr>
                <w:rFonts w:ascii="Verdana" w:hAnsi="Verdana" w:cs="Arial"/>
                <w:lang w:val="es-ES" w:eastAsia="es-ES"/>
              </w:rPr>
              <w:t xml:space="preserve">                      </w:t>
            </w:r>
          </w:p>
          <w:p w14:paraId="549B96A8" w14:textId="77777777" w:rsidR="004F1E0E" w:rsidRDefault="004F1E0E" w:rsidP="002F6D1B">
            <w:pPr>
              <w:spacing w:line="276" w:lineRule="auto"/>
              <w:jc w:val="both"/>
              <w:rPr>
                <w:rFonts w:ascii="Verdana" w:hAnsi="Verdana" w:cs="Arial"/>
                <w:bCs/>
                <w:lang w:val="es-ES_tradnl" w:eastAsia="es-ES"/>
              </w:rPr>
            </w:pPr>
          </w:p>
          <w:p w14:paraId="6FEF8A56" w14:textId="77777777" w:rsidR="004F1E0E" w:rsidRPr="001E1D4F" w:rsidRDefault="004F1E0E" w:rsidP="002F6D1B">
            <w:pPr>
              <w:spacing w:line="276" w:lineRule="auto"/>
              <w:jc w:val="both"/>
              <w:rPr>
                <w:rFonts w:ascii="Verdana" w:hAnsi="Verdana" w:cs="Arial"/>
                <w:bCs/>
                <w:lang w:val="es-ES_tradnl" w:eastAsia="es-ES"/>
              </w:rPr>
            </w:pPr>
          </w:p>
        </w:tc>
        <w:tc>
          <w:tcPr>
            <w:tcW w:w="6237" w:type="dxa"/>
          </w:tcPr>
          <w:p w14:paraId="539B073E" w14:textId="77777777" w:rsidR="004F1E0E" w:rsidRPr="004140B3" w:rsidRDefault="004F1E0E" w:rsidP="002F6D1B">
            <w:pPr>
              <w:spacing w:line="256" w:lineRule="auto"/>
              <w:rPr>
                <w:rFonts w:ascii="Verdana" w:hAnsi="Verdana"/>
                <w:lang w:val="es-ES"/>
              </w:rPr>
            </w:pPr>
          </w:p>
        </w:tc>
      </w:tr>
      <w:tr w:rsidR="004F1E0E" w:rsidRPr="00B57A1B" w14:paraId="192752C1" w14:textId="77777777" w:rsidTr="002F6D1B">
        <w:tc>
          <w:tcPr>
            <w:tcW w:w="2685" w:type="dxa"/>
          </w:tcPr>
          <w:p w14:paraId="0E3BCAA2" w14:textId="77777777" w:rsidR="004F1E0E" w:rsidRPr="00B57A1B" w:rsidRDefault="004F1E0E" w:rsidP="002F6D1B">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26D955BC" w14:textId="77777777" w:rsidR="004F1E0E" w:rsidRPr="0068664A" w:rsidRDefault="004F1E0E" w:rsidP="002F6D1B">
            <w:pPr>
              <w:spacing w:line="257" w:lineRule="auto"/>
              <w:jc w:val="both"/>
              <w:rPr>
                <w:rFonts w:ascii="Verdana" w:hAnsi="Verdana"/>
                <w:lang w:val="es-ES_tradnl"/>
              </w:rPr>
            </w:pPr>
            <w:r w:rsidRPr="00B57A1B">
              <w:rPr>
                <w:rFonts w:ascii="Verdana" w:hAnsi="Verdana"/>
                <w:lang w:val="es-ES_tradnl"/>
              </w:rPr>
              <w:t>Respuesta a consulta</w:t>
            </w:r>
            <w:r>
              <w:rPr>
                <w:rFonts w:ascii="Verdana" w:hAnsi="Verdana"/>
                <w:lang w:val="es-ES_tradnl"/>
              </w:rPr>
              <w:t>s</w:t>
            </w:r>
            <w:r w:rsidRPr="00B57A1B">
              <w:rPr>
                <w:rFonts w:ascii="Verdana" w:hAnsi="Verdana"/>
                <w:lang w:val="es-ES_tradnl"/>
              </w:rPr>
              <w:t xml:space="preserve"> con radicado</w:t>
            </w:r>
            <w:r>
              <w:rPr>
                <w:rFonts w:ascii="Verdana" w:hAnsi="Verdana"/>
                <w:lang w:val="es-ES_tradnl"/>
              </w:rPr>
              <w:t>s</w:t>
            </w:r>
            <w:r w:rsidRPr="00B57A1B">
              <w:rPr>
                <w:rFonts w:ascii="Verdana" w:hAnsi="Verdana"/>
                <w:lang w:val="es-ES_tradnl"/>
              </w:rPr>
              <w:t xml:space="preserve"> No. </w:t>
            </w:r>
            <w:r w:rsidRPr="00823FC1">
              <w:rPr>
                <w:rFonts w:ascii="Verdana" w:hAnsi="Verdana"/>
              </w:rPr>
              <w:t>1_2025_10_08_011244 y 1_2025_10_14_011475 (acumulados).</w:t>
            </w:r>
            <w:r>
              <w:rPr>
                <w:rFonts w:ascii="Verdana" w:hAnsi="Verdana"/>
                <w:u w:val="single"/>
              </w:rPr>
              <w:t xml:space="preserve"> </w:t>
            </w:r>
          </w:p>
          <w:p w14:paraId="7ABADF91" w14:textId="77777777" w:rsidR="004F1E0E" w:rsidRPr="00B57A1B" w:rsidRDefault="004F1E0E" w:rsidP="002F6D1B">
            <w:pPr>
              <w:spacing w:line="257" w:lineRule="auto"/>
              <w:jc w:val="both"/>
              <w:rPr>
                <w:rFonts w:ascii="Verdana" w:hAnsi="Verdana"/>
              </w:rPr>
            </w:pPr>
          </w:p>
          <w:p w14:paraId="6E1FA872" w14:textId="77777777" w:rsidR="004F1E0E" w:rsidRPr="00B57A1B" w:rsidRDefault="004F1E0E" w:rsidP="002F6D1B">
            <w:pPr>
              <w:spacing w:line="257" w:lineRule="auto"/>
              <w:jc w:val="both"/>
              <w:rPr>
                <w:rFonts w:ascii="Verdana" w:hAnsi="Verdana"/>
              </w:rPr>
            </w:pPr>
          </w:p>
        </w:tc>
        <w:tc>
          <w:tcPr>
            <w:tcW w:w="6237" w:type="dxa"/>
          </w:tcPr>
          <w:p w14:paraId="4F8E1779" w14:textId="77777777" w:rsidR="004F1E0E" w:rsidRPr="00B57A1B" w:rsidRDefault="004F1E0E" w:rsidP="002F6D1B">
            <w:pPr>
              <w:spacing w:line="256" w:lineRule="auto"/>
              <w:rPr>
                <w:rFonts w:ascii="Verdana" w:hAnsi="Verdana"/>
                <w:lang w:val="es-ES_tradnl"/>
              </w:rPr>
            </w:pPr>
          </w:p>
        </w:tc>
      </w:tr>
    </w:tbl>
    <w:p w14:paraId="149E68C5" w14:textId="77777777" w:rsidR="004F1E0E" w:rsidRPr="00B57A1B" w:rsidRDefault="004F1E0E" w:rsidP="004F1E0E">
      <w:pPr>
        <w:spacing w:after="0" w:line="256" w:lineRule="auto"/>
        <w:rPr>
          <w:rFonts w:ascii="Verdana" w:eastAsia="Calibri" w:hAnsi="Verdana" w:cs="Times New Roman"/>
          <w:lang w:val="es-ES"/>
        </w:rPr>
      </w:pPr>
      <w:r>
        <w:rPr>
          <w:rFonts w:ascii="Verdana" w:eastAsia="Calibri" w:hAnsi="Verdana" w:cs="Times New Roman"/>
          <w:lang w:val="es-ES"/>
        </w:rPr>
        <w:t>Estimada Señora Benavides</w:t>
      </w:r>
      <w:r w:rsidRPr="00B57A1B">
        <w:rPr>
          <w:rFonts w:ascii="Verdana" w:eastAsia="Calibri" w:hAnsi="Verdana" w:cs="Times New Roman"/>
          <w:lang w:val="es-ES"/>
        </w:rPr>
        <w:t xml:space="preserve">: </w:t>
      </w:r>
    </w:p>
    <w:p w14:paraId="1C25F8F4" w14:textId="77777777" w:rsidR="004F1E0E" w:rsidRPr="00B57A1B" w:rsidRDefault="004F1E0E" w:rsidP="004F1E0E">
      <w:pPr>
        <w:spacing w:after="0" w:line="256" w:lineRule="auto"/>
        <w:rPr>
          <w:rFonts w:ascii="Verdana" w:eastAsia="Calibri" w:hAnsi="Verdana" w:cs="Times New Roman"/>
          <w:lang w:val="es-ES"/>
        </w:rPr>
      </w:pPr>
    </w:p>
    <w:p w14:paraId="77CC62A2" w14:textId="77777777" w:rsidR="004F1E0E" w:rsidRPr="005743B2" w:rsidRDefault="004F1E0E" w:rsidP="004F1E0E">
      <w:pPr>
        <w:spacing w:after="0" w:line="276" w:lineRule="auto"/>
        <w:jc w:val="both"/>
        <w:rPr>
          <w:rFonts w:ascii="Verdana" w:eastAsia="Calibri" w:hAnsi="Verdana" w:cs="Times New Roman"/>
          <w:bCs/>
          <w:lang w:bidi="es-ES"/>
        </w:rPr>
      </w:pPr>
      <w:r w:rsidRPr="008F6705">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w:t>
      </w:r>
      <w:r>
        <w:rPr>
          <w:rFonts w:ascii="Verdana" w:eastAsia="Calibri" w:hAnsi="Verdana" w:cs="Times New Roman"/>
          <w:bCs/>
          <w:lang w:bidi="es-ES"/>
        </w:rPr>
        <w:t>así como lo establecido en la Re</w:t>
      </w:r>
      <w:r w:rsidRPr="008F6705">
        <w:rPr>
          <w:rFonts w:ascii="Verdana" w:eastAsia="Calibri" w:hAnsi="Verdana" w:cs="Times New Roman"/>
          <w:bCs/>
          <w:lang w:bidi="es-ES"/>
        </w:rPr>
        <w:t xml:space="preserve">solución N° 469 del 2025 expedida por esta Agencia, </w:t>
      </w:r>
      <w:r>
        <w:rPr>
          <w:rFonts w:ascii="Verdana" w:eastAsia="Calibri" w:hAnsi="Verdana" w:cs="Times New Roman"/>
          <w:bCs/>
          <w:lang w:val="es-ES" w:bidi="es-ES"/>
        </w:rPr>
        <w:t>responde a las solicitudes de consulta del 8 y 14 de octubre de 2025</w:t>
      </w:r>
      <w:r w:rsidRPr="005743B2">
        <w:rPr>
          <w:rFonts w:ascii="Verdana" w:eastAsia="Calibri" w:hAnsi="Verdana" w:cs="Times New Roman"/>
          <w:bCs/>
          <w:lang w:val="es-ES" w:bidi="es-ES"/>
        </w:rPr>
        <w:t>,</w:t>
      </w:r>
      <w:r w:rsidRPr="00B57A1B">
        <w:rPr>
          <w:rFonts w:ascii="Verdana" w:eastAsia="Calibri" w:hAnsi="Verdana" w:cs="Times New Roman"/>
          <w:bCs/>
          <w:lang w:val="es-ES" w:bidi="es-ES"/>
        </w:rPr>
        <w:t xml:space="preserve"> en la cual manifiesta</w:t>
      </w:r>
      <w:r>
        <w:rPr>
          <w:rFonts w:ascii="Verdana" w:eastAsia="Calibri" w:hAnsi="Verdana" w:cs="Times New Roman"/>
          <w:bCs/>
          <w:lang w:val="es-ES" w:bidi="es-ES"/>
        </w:rPr>
        <w:t>n</w:t>
      </w:r>
      <w:r w:rsidRPr="00B57A1B">
        <w:rPr>
          <w:rFonts w:ascii="Verdana" w:eastAsia="Calibri" w:hAnsi="Verdana" w:cs="Times New Roman"/>
          <w:bCs/>
          <w:lang w:val="es-ES" w:bidi="es-ES"/>
        </w:rPr>
        <w:t xml:space="preserve">: </w:t>
      </w:r>
    </w:p>
    <w:p w14:paraId="76F0D151" w14:textId="77777777" w:rsidR="004F1E0E" w:rsidRPr="002E1CAD" w:rsidRDefault="004F1E0E" w:rsidP="004F1E0E">
      <w:pPr>
        <w:spacing w:after="0" w:line="240" w:lineRule="auto"/>
        <w:ind w:left="709" w:right="709"/>
        <w:jc w:val="both"/>
        <w:rPr>
          <w:rFonts w:ascii="Verdana" w:eastAsia="Calibri" w:hAnsi="Verdana" w:cs="Times New Roman"/>
          <w:bCs/>
          <w:sz w:val="20"/>
          <w:szCs w:val="20"/>
          <w:lang w:bidi="es-ES"/>
        </w:rPr>
      </w:pPr>
    </w:p>
    <w:p w14:paraId="0F9B02FF" w14:textId="77777777" w:rsidR="004F1E0E" w:rsidRPr="005F6686" w:rsidRDefault="004F1E0E" w:rsidP="004F1E0E">
      <w:pPr>
        <w:numPr>
          <w:ilvl w:val="0"/>
          <w:numId w:val="19"/>
        </w:num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 xml:space="preserve">“A. </w:t>
      </w:r>
      <w:r w:rsidRPr="005F6686">
        <w:rPr>
          <w:rFonts w:ascii="Verdana" w:eastAsia="Calibri" w:hAnsi="Verdana" w:cs="Times New Roman"/>
          <w:bCs/>
          <w:sz w:val="20"/>
          <w:szCs w:val="20"/>
          <w:lang w:bidi="es-ES"/>
        </w:rPr>
        <w:t xml:space="preserve">El artículo citado, establece la facultad de la entidad estatal de exigir o no garantías en los procesos de selección de mínima cuantía, en este </w:t>
      </w:r>
      <w:r w:rsidRPr="005F6686">
        <w:rPr>
          <w:rFonts w:ascii="Verdana" w:eastAsia="Calibri" w:hAnsi="Verdana" w:cs="Times New Roman"/>
          <w:bCs/>
          <w:sz w:val="20"/>
          <w:szCs w:val="20"/>
          <w:lang w:bidi="es-ES"/>
        </w:rPr>
        <w:lastRenderedPageBreak/>
        <w:t xml:space="preserve">sentido, ¿es posible que las entidades estatales no requieren como requisito de ejecución la GARANTIA DE RESPONSABILIDAD CIVIL EXTRACONTRACTUAL en procesos de obra, adecuación y mantenimiento de obras existentes, que se adelanten a través de la modalidad de mínima cuantía? </w:t>
      </w:r>
    </w:p>
    <w:p w14:paraId="48CE99C6" w14:textId="77777777" w:rsidR="004F1E0E" w:rsidRPr="005F6686" w:rsidRDefault="004F1E0E" w:rsidP="004F1E0E">
      <w:pPr>
        <w:numPr>
          <w:ilvl w:val="0"/>
          <w:numId w:val="19"/>
        </w:num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 xml:space="preserve">B. </w:t>
      </w:r>
      <w:r w:rsidRPr="005F6686">
        <w:rPr>
          <w:rFonts w:ascii="Verdana" w:eastAsia="Calibri" w:hAnsi="Verdana" w:cs="Times New Roman"/>
          <w:bCs/>
          <w:sz w:val="20"/>
          <w:szCs w:val="20"/>
          <w:lang w:bidi="es-ES"/>
        </w:rPr>
        <w:t xml:space="preserve">Puede una entidad estatal contratante que adelante un proceso de contratación de obra; adecuación y mantenimiento de obra existente, bajo la modalidad de mínima cuantía, establecer para la garantía de responsabilidad civil extracontractual, una suficiencia inferior a los 200 salarios mínimos legales mensuales vigentes que señala el artículo 2.2.1.2.3.1.17. del decreto 1082 de 2015? </w:t>
      </w:r>
    </w:p>
    <w:p w14:paraId="38EE100E" w14:textId="77777777" w:rsidR="004F1E0E" w:rsidRPr="00DB4972" w:rsidRDefault="004F1E0E" w:rsidP="004F1E0E">
      <w:pPr>
        <w:spacing w:after="0" w:line="240" w:lineRule="auto"/>
        <w:ind w:right="709"/>
        <w:jc w:val="both"/>
        <w:rPr>
          <w:rFonts w:ascii="Verdana" w:eastAsia="Calibri" w:hAnsi="Verdana" w:cs="Times New Roman"/>
          <w:bCs/>
          <w:sz w:val="20"/>
          <w:szCs w:val="20"/>
          <w:lang w:bidi="es-ES"/>
        </w:rPr>
      </w:pPr>
    </w:p>
    <w:p w14:paraId="1FEABBBC" w14:textId="77777777" w:rsidR="004F1E0E" w:rsidRPr="00B57A1B" w:rsidRDefault="004F1E0E" w:rsidP="004F1E0E">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B30DC30" w14:textId="77777777" w:rsidR="004F1E0E" w:rsidRPr="00B57A1B" w:rsidRDefault="004F1E0E" w:rsidP="004F1E0E">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w:t>
      </w:r>
    </w:p>
    <w:p w14:paraId="6C7BDC73" w14:textId="77777777" w:rsidR="004F1E0E" w:rsidRPr="00B57A1B" w:rsidRDefault="004F1E0E" w:rsidP="004F1E0E">
      <w:pPr>
        <w:spacing w:after="0" w:line="256" w:lineRule="auto"/>
        <w:rPr>
          <w:rFonts w:ascii="Verdana" w:eastAsia="Calibri" w:hAnsi="Verdana" w:cs="Times New Roman"/>
          <w:lang w:val="es-ES"/>
        </w:rPr>
      </w:pPr>
    </w:p>
    <w:p w14:paraId="66C51EC3" w14:textId="77777777" w:rsidR="004F1E0E" w:rsidRPr="00B57A1B" w:rsidRDefault="004F1E0E" w:rsidP="004F1E0E">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333A09C3" w14:textId="77777777" w:rsidR="004F1E0E" w:rsidRPr="00B57A1B" w:rsidRDefault="004F1E0E" w:rsidP="004F1E0E">
      <w:pPr>
        <w:spacing w:after="0" w:line="256" w:lineRule="auto"/>
        <w:rPr>
          <w:rFonts w:ascii="Verdana" w:eastAsia="Calibri" w:hAnsi="Verdana" w:cs="Times New Roman"/>
        </w:rPr>
      </w:pPr>
    </w:p>
    <w:p w14:paraId="54955F65" w14:textId="77777777" w:rsidR="004F1E0E" w:rsidRDefault="004F1E0E" w:rsidP="004F1E0E">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Pr>
          <w:rFonts w:ascii="Verdana" w:eastAsia="Calibri" w:hAnsi="Verdana" w:cs="Times New Roman"/>
          <w:iCs/>
          <w:lang w:val="es-ES"/>
        </w:rPr>
        <w:t xml:space="preserve">: </w:t>
      </w:r>
      <w:r w:rsidRPr="00C277BE">
        <w:rPr>
          <w:rFonts w:ascii="Verdana" w:eastAsia="Calibri" w:hAnsi="Verdana" w:cs="Times New Roman"/>
          <w:iCs/>
          <w:lang w:val="es-ES"/>
        </w:rPr>
        <w:t>¿</w:t>
      </w:r>
      <w:r>
        <w:rPr>
          <w:rFonts w:ascii="Verdana" w:eastAsia="Calibri" w:hAnsi="Verdana" w:cs="Times New Roman"/>
          <w:iCs/>
          <w:lang w:val="es-ES"/>
        </w:rPr>
        <w:t>Es procedente que una</w:t>
      </w:r>
      <w:r w:rsidRPr="00C277BE">
        <w:rPr>
          <w:rFonts w:ascii="Verdana" w:eastAsia="Calibri" w:hAnsi="Verdana" w:cs="Times New Roman"/>
          <w:iCs/>
          <w:lang w:val="es-ES"/>
        </w:rPr>
        <w:t xml:space="preserve"> entidad estatal, en un proceso de contratación de obra</w:t>
      </w:r>
      <w:r>
        <w:rPr>
          <w:rFonts w:ascii="Verdana" w:eastAsia="Calibri" w:hAnsi="Verdana" w:cs="Times New Roman"/>
          <w:iCs/>
          <w:lang w:val="es-ES"/>
        </w:rPr>
        <w:t xml:space="preserve"> que se estructura</w:t>
      </w:r>
      <w:r w:rsidRPr="00C277BE">
        <w:rPr>
          <w:rFonts w:ascii="Verdana" w:eastAsia="Calibri" w:hAnsi="Verdana" w:cs="Times New Roman"/>
          <w:iCs/>
          <w:lang w:val="es-ES"/>
        </w:rPr>
        <w:t xml:space="preserve"> bajo la modalidad de mínima cuantía, </w:t>
      </w:r>
      <w:r>
        <w:rPr>
          <w:rFonts w:ascii="Verdana" w:eastAsia="Calibri" w:hAnsi="Verdana" w:cs="Times New Roman"/>
          <w:iCs/>
          <w:lang w:val="es-ES"/>
        </w:rPr>
        <w:t>se abstenga</w:t>
      </w:r>
      <w:r w:rsidRPr="00C277BE">
        <w:rPr>
          <w:rFonts w:ascii="Verdana" w:eastAsia="Calibri" w:hAnsi="Verdana" w:cs="Times New Roman"/>
          <w:iCs/>
          <w:lang w:val="es-ES"/>
        </w:rPr>
        <w:t xml:space="preserve"> de exigir la garantía de responsabilidad civil </w:t>
      </w:r>
      <w:r w:rsidRPr="00C277BE">
        <w:rPr>
          <w:rFonts w:ascii="Verdana" w:eastAsia="Calibri" w:hAnsi="Verdana" w:cs="Times New Roman"/>
          <w:iCs/>
          <w:lang w:val="es-ES"/>
        </w:rPr>
        <w:lastRenderedPageBreak/>
        <w:t xml:space="preserve">extracontractual </w:t>
      </w:r>
      <w:r>
        <w:rPr>
          <w:rFonts w:ascii="Verdana" w:eastAsia="Calibri" w:hAnsi="Verdana" w:cs="Times New Roman"/>
          <w:iCs/>
          <w:lang w:val="es-ES"/>
        </w:rPr>
        <w:t>o en su defecto</w:t>
      </w:r>
      <w:r w:rsidRPr="00C277BE">
        <w:rPr>
          <w:rFonts w:ascii="Verdana" w:eastAsia="Calibri" w:hAnsi="Verdana" w:cs="Times New Roman"/>
          <w:iCs/>
          <w:lang w:val="es-ES"/>
        </w:rPr>
        <w:t xml:space="preserve"> establecer una suficiencia inferior a los 200 salarios mínimos legales mensuales vigentes, </w:t>
      </w:r>
      <w:r>
        <w:rPr>
          <w:rFonts w:ascii="Verdana" w:eastAsia="Calibri" w:hAnsi="Verdana" w:cs="Times New Roman"/>
          <w:iCs/>
          <w:lang w:val="es-ES"/>
        </w:rPr>
        <w:t>con la condición de que</w:t>
      </w:r>
      <w:r w:rsidRPr="00C277BE">
        <w:rPr>
          <w:rFonts w:ascii="Verdana" w:eastAsia="Calibri" w:hAnsi="Verdana" w:cs="Times New Roman"/>
          <w:iCs/>
          <w:lang w:val="es-ES"/>
        </w:rPr>
        <w:t xml:space="preserve"> exista una justificación técnica</w:t>
      </w:r>
      <w:r>
        <w:rPr>
          <w:rFonts w:ascii="Verdana" w:eastAsia="Calibri" w:hAnsi="Verdana" w:cs="Times New Roman"/>
          <w:iCs/>
          <w:lang w:val="es-ES"/>
        </w:rPr>
        <w:t>?</w:t>
      </w:r>
    </w:p>
    <w:p w14:paraId="01799291" w14:textId="77777777" w:rsidR="004F1E0E" w:rsidRPr="00B57A1B" w:rsidRDefault="004F1E0E" w:rsidP="004F1E0E">
      <w:pPr>
        <w:spacing w:after="0" w:line="276" w:lineRule="auto"/>
        <w:jc w:val="both"/>
        <w:rPr>
          <w:rFonts w:ascii="Verdana" w:eastAsia="Calibri" w:hAnsi="Verdana" w:cs="Times New Roman"/>
          <w:i/>
          <w:iCs/>
          <w:lang w:val="es-ES"/>
        </w:rPr>
      </w:pPr>
    </w:p>
    <w:p w14:paraId="2FF8753B" w14:textId="77777777" w:rsidR="004F1E0E" w:rsidRPr="00B57A1B" w:rsidRDefault="004F1E0E" w:rsidP="004F1E0E">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69B626E2" w14:textId="77777777" w:rsidR="004F1E0E" w:rsidRPr="00B57A1B" w:rsidRDefault="004F1E0E" w:rsidP="004F1E0E">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4F1E0E" w:rsidRPr="00B57A1B" w14:paraId="2FD55118" w14:textId="77777777" w:rsidTr="002F6D1B">
        <w:trPr>
          <w:trHeight w:val="345"/>
          <w:jc w:val="center"/>
        </w:trPr>
        <w:tc>
          <w:tcPr>
            <w:tcW w:w="8784" w:type="dxa"/>
            <w:tcBorders>
              <w:bottom w:val="single" w:sz="4" w:space="0" w:color="auto"/>
            </w:tcBorders>
          </w:tcPr>
          <w:p w14:paraId="0BFE9844" w14:textId="77777777" w:rsidR="004F1E0E" w:rsidRPr="008D29F2" w:rsidRDefault="004F1E0E" w:rsidP="002F6D1B">
            <w:pPr>
              <w:spacing w:before="120" w:after="120" w:line="276" w:lineRule="auto"/>
              <w:jc w:val="both"/>
              <w:rPr>
                <w:rFonts w:ascii="Verdana" w:hAnsi="Verdana" w:cs="Arial"/>
                <w:color w:val="000000" w:themeColor="text1"/>
              </w:rPr>
            </w:pPr>
            <w:r w:rsidRPr="008D29F2">
              <w:rPr>
                <w:rFonts w:ascii="Verdana" w:eastAsia="Calibri" w:hAnsi="Verdana" w:cs="Times New Roman"/>
              </w:rPr>
              <w:t xml:space="preserve">En cuanto al problema jurídico, objeto de consulta, se precisa que </w:t>
            </w:r>
            <w:r w:rsidRPr="008D29F2">
              <w:rPr>
                <w:rFonts w:ascii="Verdana" w:hAnsi="Verdana" w:cs="Arial"/>
                <w:color w:val="000000" w:themeColor="text1"/>
              </w:rPr>
              <w:t xml:space="preserve">el artículo 7 de la Ley 1150 de 2007 no establece una distinción sobre la exigencia de garantías en los procesos de mínima cuantía dependiendo del objeto contractual, por lo que no excluye a los contratos de obra pública. Ahora bien, la exigencia de la póliza de responsabilidad civil extracontractual en los contratos de obra pública regulada en el Decreto 1082 de 2015 es aplicable en los procesos de contratación, en las que se establece su obligatoriedad. Por tanto, en los procesos de mínima cuantía independiente del objeto del contrato no es obligatoria, pero la entidad debe justificar su decisión con base en los estudios previos y en los riesgos inherentes al contrato. </w:t>
            </w:r>
          </w:p>
          <w:p w14:paraId="41241091" w14:textId="77777777" w:rsidR="004F1E0E" w:rsidRPr="008D29F2" w:rsidRDefault="004F1E0E" w:rsidP="002F6D1B">
            <w:pPr>
              <w:spacing w:before="120" w:after="120" w:line="276" w:lineRule="auto"/>
              <w:ind w:firstLine="708"/>
              <w:jc w:val="both"/>
              <w:rPr>
                <w:rFonts w:ascii="Verdana" w:hAnsi="Verdana" w:cs="Arial"/>
                <w:color w:val="000000" w:themeColor="text1"/>
              </w:rPr>
            </w:pPr>
            <w:r w:rsidRPr="008D29F2">
              <w:rPr>
                <w:rFonts w:ascii="Verdana" w:hAnsi="Verdana" w:cs="Arial"/>
                <w:color w:val="000000" w:themeColor="text1"/>
              </w:rPr>
              <w:t xml:space="preserve">En este escenario, en los contratos de obra pública cuya modalidad de selección es la mínima cuantía deben tomar una decisión basada en el riesgo, esto es, un análisis de si el objeto del contrato presenta riesgos para terceros, como daños a personas o bienes. Así pues, la entidad debe documentar en los estudios previos sobre la necesidad de exigir la garantía de responsabilidad civil extracontractual, y si lo hace, deberá someterse a las condiciones definidas en el Decreto 1082 de 2015. </w:t>
            </w:r>
          </w:p>
          <w:p w14:paraId="1F9C566E" w14:textId="77777777" w:rsidR="004F1E0E" w:rsidRPr="008D29F2" w:rsidRDefault="004F1E0E" w:rsidP="002F6D1B">
            <w:pPr>
              <w:spacing w:before="120" w:after="120" w:line="276" w:lineRule="auto"/>
              <w:ind w:firstLine="709"/>
              <w:jc w:val="both"/>
              <w:rPr>
                <w:rFonts w:ascii="Verdana" w:hAnsi="Verdana" w:cs="Arial"/>
                <w:lang w:eastAsia="es-ES"/>
              </w:rPr>
            </w:pPr>
            <w:r w:rsidRPr="008D29F2">
              <w:rPr>
                <w:rFonts w:ascii="Verdana" w:hAnsi="Verdana" w:cs="Arial"/>
                <w:lang w:eastAsia="es-ES"/>
              </w:rPr>
              <w:t>Al respecto, dicho Decreto exige una serie de requisitos que deben cumplir los seguros de responsabilidad civil extracontractual a favor de Entidades Estatales: i) cobertura básica de predios, labores y operaciones; ii) el daño emergente y el lucro cesante; iii) los perjuicios extrapatrimoniales; iv)</w:t>
            </w:r>
            <w:r w:rsidRPr="008D29F2">
              <w:rPr>
                <w:rFonts w:ascii="Verdana" w:hAnsi="Verdana"/>
              </w:rPr>
              <w:t xml:space="preserve"> </w:t>
            </w:r>
            <w:r w:rsidRPr="008D29F2">
              <w:rPr>
                <w:rFonts w:ascii="Verdana" w:hAnsi="Verdana" w:cs="Arial"/>
                <w:lang w:eastAsia="es-ES"/>
              </w:rPr>
              <w:t>responsabilidad surgida por actos de contratistas y subcontratistas, salvo que el subcontratista tenga su propio seguro de responsabilidad civil extracontractual, con los mismos amparos; v) cobertura expresa de amparo patronal, que cubre los perjuicios causados por accidentes de trabajo de los empleados al servicio del contratista; vi) la cobertura expresa de vehículos propios y no propios, que cubre daños materiales, las lesiones personales y/o la muerte que se ocasionen a terceros con vehículos que estén al servicio de la entidad asegurada en el giro normal de sus actividades.</w:t>
            </w:r>
          </w:p>
          <w:p w14:paraId="4BAC85F0" w14:textId="77777777" w:rsidR="004F1E0E" w:rsidRPr="008D29F2" w:rsidRDefault="004F1E0E" w:rsidP="002F6D1B">
            <w:pPr>
              <w:snapToGrid w:val="0"/>
              <w:spacing w:before="120" w:after="120" w:line="276" w:lineRule="auto"/>
              <w:ind w:firstLine="708"/>
              <w:jc w:val="both"/>
              <w:rPr>
                <w:rFonts w:ascii="Verdana" w:eastAsia="Calibri" w:hAnsi="Verdana" w:cs="Arial"/>
                <w:color w:val="000000"/>
                <w:lang w:val="es-ES"/>
              </w:rPr>
            </w:pPr>
            <w:r w:rsidRPr="008D29F2">
              <w:rPr>
                <w:rFonts w:ascii="Verdana" w:eastAsia="Calibri" w:hAnsi="Verdana" w:cs="Arial"/>
                <w:color w:val="000000"/>
                <w:lang w:val="es-ES"/>
              </w:rPr>
              <w:t>Así mismo, el artículo 2.2.1.2.3.1.17 determina el valor que debe ser asegurado con el contrato de seguro, teniendo en cuenta el valor en salarios mínimos mensuales legales vigentes del contrato, tal como se cita a continuación: “Artículo 2.2.1.2.3.1.17. Suficiencia del seguro de responsabilidad civil extracontractual. El valor asegurado por los contratos de seguro que amparan la responsabilidad civil extracontractual no debe ser inferior a: 1. Doscientos (200) SMMLV para contratos cuyo valor sea inferior o igual a mil quinientos (1.500) SMMLV […]</w:t>
            </w:r>
            <w:r>
              <w:rPr>
                <w:rFonts w:ascii="Verdana" w:eastAsia="Calibri" w:hAnsi="Verdana" w:cs="Arial"/>
                <w:color w:val="000000"/>
                <w:lang w:val="es-ES"/>
              </w:rPr>
              <w:t>”</w:t>
            </w:r>
            <w:r w:rsidRPr="008D29F2">
              <w:rPr>
                <w:rFonts w:ascii="Verdana" w:eastAsia="Calibri" w:hAnsi="Verdana" w:cs="Arial"/>
                <w:color w:val="000000"/>
                <w:lang w:val="es-ES"/>
              </w:rPr>
              <w:t>.</w:t>
            </w:r>
          </w:p>
          <w:p w14:paraId="349B2912" w14:textId="77777777" w:rsidR="004F1E0E" w:rsidRDefault="004F1E0E" w:rsidP="002F6D1B">
            <w:pPr>
              <w:widowControl w:val="0"/>
              <w:autoSpaceDE w:val="0"/>
              <w:autoSpaceDN w:val="0"/>
              <w:snapToGrid w:val="0"/>
              <w:spacing w:before="120" w:after="120" w:line="276" w:lineRule="auto"/>
              <w:ind w:right="98" w:firstLine="708"/>
              <w:jc w:val="both"/>
              <w:rPr>
                <w:rFonts w:ascii="Verdana" w:hAnsi="Verdana" w:cs="Arial"/>
                <w:lang w:eastAsia="es-ES"/>
              </w:rPr>
            </w:pPr>
            <w:r w:rsidRPr="008D29F2">
              <w:rPr>
                <w:rFonts w:ascii="Verdana" w:hAnsi="Verdana" w:cs="Arial"/>
                <w:lang w:eastAsia="es-ES"/>
              </w:rPr>
              <w:t xml:space="preserve">Nótese que el artículo referido no estableció distinción alguna frente a los supuestos en los que es aplicable la </w:t>
            </w:r>
            <w:r w:rsidRPr="008D29F2">
              <w:rPr>
                <w:rFonts w:ascii="Verdana" w:eastAsia="Calibri" w:hAnsi="Verdana" w:cs="Arial"/>
                <w:color w:val="000000"/>
                <w:lang w:val="es-ES"/>
              </w:rPr>
              <w:t>suficiencia del seguro de responsabilidad civil extracontractual, sino que determinó que el valor asegurado, de manera general, no podrá ser inferior al allí dispuesto. En consecuencia, tanto en los contratos de obra, como en aquellos en los que por su objeto o naturaleza la entidad requiera el seguro de responsabilidad civil extracontractual, las entidades deberán cumplir con la suficiencia establecida en el artículo 2.2.1.2.3.1.17. del Decreto 1082 de 2015, independiente que el proceso de contratación sea de mínima cuantía. Es decir, debe cumplir con las reglas sobre condiciones de suficiencia del Decreto 1082, por lo que no es susceptible de modifica</w:t>
            </w:r>
            <w:r>
              <w:rPr>
                <w:rFonts w:ascii="Verdana" w:eastAsia="Calibri" w:hAnsi="Verdana" w:cs="Arial"/>
                <w:color w:val="000000"/>
                <w:lang w:val="es-ES"/>
              </w:rPr>
              <w:t>rse</w:t>
            </w:r>
            <w:r w:rsidRPr="008D29F2">
              <w:rPr>
                <w:rFonts w:ascii="Verdana" w:eastAsia="Calibri" w:hAnsi="Verdana" w:cs="Arial"/>
                <w:color w:val="000000"/>
                <w:lang w:val="es-ES"/>
              </w:rPr>
              <w:t xml:space="preserve"> por las partes. Adicionalmente, </w:t>
            </w:r>
            <w:r w:rsidRPr="008D29F2">
              <w:rPr>
                <w:rFonts w:ascii="Verdana" w:hAnsi="Verdana" w:cs="Arial"/>
                <w:lang w:eastAsia="es-ES"/>
              </w:rPr>
              <w:t>la vigencia de este seguro deberá ser igual al período de ejecución del contrato, pues no tiene sentido prolongar la vigencia después de este periodo dado que para ese momento el contratista no estará realizando actividades o labores susceptibles de causar daños a terceros y, por lo tanto, no habrá riesgo que cubrir a través de esta póliza.</w:t>
            </w:r>
          </w:p>
          <w:p w14:paraId="3F836C0F" w14:textId="77777777" w:rsidR="004F1E0E" w:rsidRPr="008D29F2" w:rsidRDefault="004F1E0E" w:rsidP="002F6D1B">
            <w:pPr>
              <w:widowControl w:val="0"/>
              <w:autoSpaceDE w:val="0"/>
              <w:autoSpaceDN w:val="0"/>
              <w:snapToGrid w:val="0"/>
              <w:spacing w:before="120" w:after="120" w:line="276" w:lineRule="auto"/>
              <w:ind w:right="98" w:firstLine="708"/>
              <w:jc w:val="both"/>
              <w:rPr>
                <w:rFonts w:ascii="Verdana" w:eastAsia="Calibri" w:hAnsi="Verdana" w:cs="Arial"/>
                <w:color w:val="000000"/>
                <w:lang w:val="es-ES"/>
              </w:rPr>
            </w:pPr>
            <w:r w:rsidRPr="0032032D">
              <w:rPr>
                <w:rFonts w:ascii="Verdana" w:hAnsi="Verdana" w:cs="Arial"/>
                <w:bCs/>
                <w:lang w:val="es-ES" w:eastAsia="es-ES"/>
              </w:rPr>
              <w:t xml:space="preserve">Al </w:t>
            </w:r>
            <w:r w:rsidRPr="0032032D">
              <w:rPr>
                <w:rFonts w:ascii="Verdana" w:hAnsi="Verdana" w:cs="Arial"/>
                <w:lang w:val="es-ES_tradnl" w:eastAsia="es-ES"/>
              </w:rPr>
              <w:t xml:space="preserve">margen de la explicación precedente debe advertirse que el análisis requerido para resolver problemas específicos en torno a la obligatoriedad de la </w:t>
            </w:r>
            <w:r>
              <w:rPr>
                <w:rFonts w:ascii="Verdana" w:hAnsi="Verdana" w:cs="Arial"/>
                <w:lang w:val="es-ES_tradnl" w:eastAsia="es-ES"/>
              </w:rPr>
              <w:t>póliza</w:t>
            </w:r>
            <w:r w:rsidRPr="0032032D">
              <w:rPr>
                <w:rFonts w:ascii="Verdana" w:hAnsi="Verdana" w:cs="Arial"/>
                <w:lang w:val="es-ES_tradnl" w:eastAsia="es-ES"/>
              </w:rPr>
              <w:t xml:space="preserve"> de responsabilidad civil extracontractual debe realizarse por quienes tengan interés en ello, de acuerdo con lo explicado la aclaración preliminar del presente oficio. De esta manera,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15618D">
              <w:rPr>
                <w:rFonts w:ascii="Verdana" w:hAnsi="Verdana" w:cs="Arial"/>
                <w:lang w:eastAsia="es-ES"/>
              </w:rPr>
              <w:t xml:space="preserve"> </w:t>
            </w:r>
          </w:p>
        </w:tc>
      </w:tr>
    </w:tbl>
    <w:p w14:paraId="2594D0CD" w14:textId="77777777" w:rsidR="004F1E0E" w:rsidRPr="00B57A1B" w:rsidRDefault="004F1E0E" w:rsidP="004F1E0E">
      <w:pPr>
        <w:spacing w:after="0" w:line="276" w:lineRule="auto"/>
        <w:jc w:val="both"/>
        <w:rPr>
          <w:rFonts w:ascii="Verdana" w:eastAsia="Calibri" w:hAnsi="Verdana" w:cs="Arial"/>
          <w:bCs/>
          <w:color w:val="000000" w:themeColor="text1"/>
        </w:rPr>
      </w:pPr>
    </w:p>
    <w:p w14:paraId="591AFC19" w14:textId="77777777" w:rsidR="004F1E0E" w:rsidRPr="00B57A1B" w:rsidRDefault="004F1E0E" w:rsidP="004F1E0E">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7B462AB0" w14:textId="77777777" w:rsidR="004F1E0E" w:rsidRPr="00B57A1B" w:rsidRDefault="004F1E0E" w:rsidP="004F1E0E">
      <w:pPr>
        <w:spacing w:after="0" w:line="256" w:lineRule="auto"/>
        <w:rPr>
          <w:rFonts w:ascii="Verdana" w:eastAsia="Calibri" w:hAnsi="Verdana" w:cs="Times New Roman"/>
          <w:b/>
          <w:bCs/>
          <w:lang w:val="es-ES"/>
        </w:rPr>
      </w:pPr>
    </w:p>
    <w:p w14:paraId="4DE09973" w14:textId="77777777" w:rsidR="004F1E0E" w:rsidRDefault="004F1E0E" w:rsidP="004F1E0E">
      <w:pPr>
        <w:spacing w:after="0" w:line="276" w:lineRule="auto"/>
        <w:jc w:val="both"/>
        <w:rPr>
          <w:rFonts w:ascii="Verdana" w:eastAsia="Calibri" w:hAnsi="Verdana" w:cs="Arial"/>
          <w:lang w:val="es-ES"/>
        </w:rPr>
      </w:pPr>
      <w:r w:rsidRPr="00B57A1B">
        <w:rPr>
          <w:rFonts w:ascii="Verdana" w:eastAsia="Calibri" w:hAnsi="Verdana" w:cs="Arial"/>
          <w:lang w:val="es-ES"/>
        </w:rPr>
        <w:t>Lo anterior se sustenta en las siguientes consideraciones:</w:t>
      </w:r>
    </w:p>
    <w:p w14:paraId="3C6B9FD4" w14:textId="77777777" w:rsidR="004F1E0E" w:rsidRDefault="004F1E0E" w:rsidP="004F1E0E">
      <w:pPr>
        <w:widowControl w:val="0"/>
        <w:autoSpaceDE w:val="0"/>
        <w:autoSpaceDN w:val="0"/>
        <w:spacing w:after="120" w:line="276" w:lineRule="auto"/>
        <w:jc w:val="both"/>
        <w:rPr>
          <w:rFonts w:ascii="Verdana" w:eastAsia="Calibri" w:hAnsi="Verdana" w:cs="Arial"/>
          <w:lang w:val="es-ES"/>
        </w:rPr>
      </w:pPr>
    </w:p>
    <w:p w14:paraId="07DF53B2" w14:textId="77777777" w:rsidR="004F1E0E" w:rsidRPr="00D011DD" w:rsidRDefault="004F1E0E" w:rsidP="004F1E0E">
      <w:pPr>
        <w:spacing w:after="120" w:line="276" w:lineRule="auto"/>
        <w:jc w:val="both"/>
        <w:rPr>
          <w:rFonts w:ascii="Verdana" w:eastAsia="Calibri" w:hAnsi="Verdana" w:cs="Arial"/>
          <w:lang w:val="es-ES_tradnl"/>
        </w:rPr>
      </w:pPr>
      <w:r w:rsidRPr="002E1CAD">
        <w:rPr>
          <w:rFonts w:ascii="Verdana" w:eastAsia="Calibri" w:hAnsi="Verdana" w:cs="Arial"/>
          <w:lang w:val="es-ES"/>
        </w:rPr>
        <w:t xml:space="preserve">i. </w:t>
      </w:r>
      <w:bookmarkStart w:id="1" w:name="_Hlk35876968"/>
      <w:bookmarkStart w:id="2" w:name="_Hlk190626642"/>
      <w:r w:rsidRPr="00D011DD">
        <w:rPr>
          <w:rFonts w:ascii="Verdana" w:eastAsia="Calibri" w:hAnsi="Verdana" w:cs="Arial"/>
          <w:lang w:val="es-ES_tradnl"/>
        </w:rPr>
        <w:t xml:space="preserve">El Estatuto General de Contratación de la Administración Pública exige, por regla general, en los procesos de contratación pública </w:t>
      </w:r>
      <w:r w:rsidRPr="00D011DD">
        <w:rPr>
          <w:rFonts w:ascii="Verdana" w:eastAsia="Calibri" w:hAnsi="Verdana" w:cs="Arial"/>
          <w:lang w:val="es-ES"/>
        </w:rPr>
        <w:t>la constitución de garantías, ya sea en la etapa precontractual, contractual o postcontractual, con el fin de evitar o mitigar posibles riesgos</w:t>
      </w:r>
      <w:r w:rsidRPr="00D011DD">
        <w:rPr>
          <w:rFonts w:ascii="Verdana" w:eastAsia="Calibri" w:hAnsi="Verdana" w:cs="Arial"/>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La precitada norma dispone:</w:t>
      </w:r>
    </w:p>
    <w:p w14:paraId="1D9A98AD" w14:textId="77777777" w:rsidR="004F1E0E" w:rsidRPr="00D011DD" w:rsidRDefault="004F1E0E" w:rsidP="004F1E0E">
      <w:pPr>
        <w:spacing w:after="0" w:line="240" w:lineRule="auto"/>
        <w:ind w:left="709" w:right="709"/>
        <w:jc w:val="both"/>
        <w:rPr>
          <w:rFonts w:ascii="Verdana" w:eastAsia="Calibri" w:hAnsi="Verdana" w:cs="Arial"/>
          <w:sz w:val="20"/>
          <w:szCs w:val="20"/>
          <w:lang w:val="es-ES_tradnl"/>
        </w:rPr>
      </w:pPr>
    </w:p>
    <w:p w14:paraId="4EDFE37D" w14:textId="77777777" w:rsidR="004F1E0E" w:rsidRPr="00D011DD" w:rsidRDefault="004F1E0E" w:rsidP="004F1E0E">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 xml:space="preserve">Los contratistas prestarán garantía única para el cumplimiento de las obligaciones surgidas del contrato. Los proponentes prestarán garantía de seriedad de los ofrecimientos hechos. </w:t>
      </w:r>
    </w:p>
    <w:p w14:paraId="7E27068D" w14:textId="77777777" w:rsidR="004F1E0E" w:rsidRPr="00D011DD" w:rsidRDefault="004F1E0E" w:rsidP="004F1E0E">
      <w:pPr>
        <w:spacing w:after="0" w:line="240" w:lineRule="auto"/>
        <w:ind w:left="709" w:right="709"/>
        <w:jc w:val="both"/>
        <w:rPr>
          <w:rFonts w:ascii="Verdana" w:eastAsia="Calibri" w:hAnsi="Verdana" w:cs="Arial"/>
          <w:sz w:val="20"/>
          <w:szCs w:val="20"/>
          <w:lang w:val="es-ES_tradnl"/>
        </w:rPr>
      </w:pPr>
    </w:p>
    <w:p w14:paraId="3A334EC0" w14:textId="77777777" w:rsidR="004F1E0E" w:rsidRPr="00D011DD" w:rsidRDefault="004F1E0E" w:rsidP="004F1E0E">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 xml:space="preserve">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w:t>
      </w:r>
    </w:p>
    <w:p w14:paraId="5D60FB95" w14:textId="77777777" w:rsidR="004F1E0E" w:rsidRPr="00D011DD" w:rsidRDefault="004F1E0E" w:rsidP="004F1E0E">
      <w:pPr>
        <w:spacing w:after="0" w:line="240" w:lineRule="auto"/>
        <w:ind w:left="709" w:right="709"/>
        <w:jc w:val="both"/>
        <w:rPr>
          <w:rFonts w:ascii="Verdana" w:eastAsia="Calibri" w:hAnsi="Verdana" w:cs="Arial"/>
          <w:sz w:val="20"/>
          <w:szCs w:val="20"/>
          <w:lang w:val="es-ES_tradnl"/>
        </w:rPr>
      </w:pPr>
    </w:p>
    <w:p w14:paraId="6CA0692E" w14:textId="77777777" w:rsidR="004F1E0E" w:rsidRPr="00D011DD" w:rsidRDefault="004F1E0E" w:rsidP="004F1E0E">
      <w:pPr>
        <w:spacing w:after="0" w:line="240" w:lineRule="auto"/>
        <w:ind w:left="709" w:right="709"/>
        <w:jc w:val="both"/>
        <w:rPr>
          <w:rFonts w:ascii="Verdana" w:eastAsia="Calibri" w:hAnsi="Verdana" w:cs="Arial"/>
          <w:sz w:val="20"/>
          <w:szCs w:val="20"/>
          <w:lang w:val="es-ES"/>
        </w:rPr>
      </w:pPr>
      <w:r w:rsidRPr="25B5AA68">
        <w:rPr>
          <w:rFonts w:ascii="Verdana" w:eastAsia="Calibri" w:hAnsi="Verdana" w:cs="Arial"/>
          <w:sz w:val="20"/>
          <w:szCs w:val="20"/>
          <w:lang w:val="es-ES"/>
        </w:rPr>
        <w:t xml:space="preserve">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60EFF2AF" w14:textId="77777777" w:rsidR="004F1E0E" w:rsidRPr="00D011DD" w:rsidRDefault="004F1E0E" w:rsidP="004F1E0E">
      <w:pPr>
        <w:spacing w:after="0" w:line="240" w:lineRule="auto"/>
        <w:ind w:left="709" w:right="709"/>
        <w:jc w:val="both"/>
        <w:rPr>
          <w:rFonts w:ascii="Verdana" w:eastAsia="Calibri" w:hAnsi="Verdana" w:cs="Arial"/>
          <w:sz w:val="20"/>
          <w:szCs w:val="20"/>
          <w:lang w:val="es-ES_tradnl"/>
        </w:rPr>
      </w:pPr>
    </w:p>
    <w:p w14:paraId="703E0FD8" w14:textId="77777777" w:rsidR="004F1E0E" w:rsidRPr="00D011DD" w:rsidRDefault="004F1E0E" w:rsidP="004F1E0E">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El acaecimiento del siniestro que amparan las garantías será comunicado por la entidad pública al respectivo asegurador mediante la notificación del acto administrativo que así lo declare.</w:t>
      </w:r>
    </w:p>
    <w:p w14:paraId="17F2BD5E" w14:textId="77777777" w:rsidR="004F1E0E" w:rsidRPr="00D011DD" w:rsidRDefault="004F1E0E" w:rsidP="004F1E0E">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 xml:space="preserve"> </w:t>
      </w:r>
    </w:p>
    <w:p w14:paraId="56578834" w14:textId="77777777" w:rsidR="004F1E0E" w:rsidRDefault="004F1E0E" w:rsidP="004F1E0E">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bookmarkEnd w:id="1"/>
    </w:p>
    <w:p w14:paraId="7711108C" w14:textId="77777777" w:rsidR="004F1E0E" w:rsidRPr="00D011DD" w:rsidRDefault="004F1E0E" w:rsidP="004F1E0E">
      <w:pPr>
        <w:spacing w:after="0" w:line="240" w:lineRule="auto"/>
        <w:ind w:left="709" w:right="709"/>
        <w:jc w:val="both"/>
        <w:rPr>
          <w:rFonts w:ascii="Verdana" w:eastAsia="Calibri" w:hAnsi="Verdana" w:cs="Arial"/>
          <w:sz w:val="20"/>
          <w:szCs w:val="20"/>
          <w:lang w:val="es-ES_tradnl"/>
        </w:rPr>
      </w:pPr>
    </w:p>
    <w:p w14:paraId="64B4CD02" w14:textId="77777777" w:rsidR="004F1E0E" w:rsidRPr="002D321A" w:rsidRDefault="004F1E0E" w:rsidP="004F1E0E">
      <w:pPr>
        <w:spacing w:after="120" w:line="276" w:lineRule="auto"/>
        <w:ind w:firstLine="709"/>
        <w:jc w:val="both"/>
        <w:rPr>
          <w:rFonts w:ascii="Verdana" w:eastAsia="Calibri" w:hAnsi="Verdana" w:cs="Arial"/>
          <w:color w:val="000000" w:themeColor="text1"/>
          <w:lang w:val="es-ES_tradnl"/>
        </w:rPr>
      </w:pPr>
      <w:r w:rsidRPr="002D321A">
        <w:rPr>
          <w:rFonts w:ascii="Verdana" w:eastAsia="Calibri" w:hAnsi="Verdana" w:cs="Arial"/>
          <w:color w:val="000000" w:themeColor="text1"/>
          <w:lang w:val="es-ES_tradnl"/>
        </w:rPr>
        <w:t xml:space="preserve">Las condiciones para el cumplimiento de estas obligaciones fueron reglamentadas por el Decreto 1082 de 2015, el cual prescribe en los artículos 2.2.1.2.3.1.1. a 2.2.1.2.3.1.19 las clases de garantías permitidas; la indivisibilidad, por regla general, de las mismas; los riesgos objeto de cobertura; la vigencia y valores mínimos, entre otros aspectos que deben cumplir las garantías constituidas, ya sea mediante pólizas de seguro, garantías bancarias o patrimonios autónomos. Este último tipo de garantía fue establecida por el reglamento, previa autorización del artículo 7° de la Ley 1150 de 2007. </w:t>
      </w:r>
    </w:p>
    <w:p w14:paraId="0729B333" w14:textId="77777777" w:rsidR="004F1E0E" w:rsidRPr="002D321A" w:rsidRDefault="004F1E0E" w:rsidP="004F1E0E">
      <w:pPr>
        <w:spacing w:after="120" w:line="276" w:lineRule="auto"/>
        <w:ind w:firstLine="709"/>
        <w:jc w:val="both"/>
        <w:rPr>
          <w:rFonts w:ascii="Verdana" w:hAnsi="Verdana" w:cs="Arial"/>
          <w:color w:val="000000" w:themeColor="text1"/>
        </w:rPr>
      </w:pPr>
      <w:r w:rsidRPr="002D321A">
        <w:rPr>
          <w:rFonts w:ascii="Verdana" w:eastAsia="Calibri" w:hAnsi="Verdana" w:cs="Arial"/>
          <w:color w:val="000000" w:themeColor="text1"/>
          <w:lang w:val="es-ES_tradnl"/>
        </w:rPr>
        <w:t>De acuerdo a lo expresado anteriormente, l</w:t>
      </w:r>
      <w:r w:rsidRPr="002D321A">
        <w:rPr>
          <w:rFonts w:ascii="Verdana" w:hAnsi="Verdana" w:cs="Arial"/>
          <w:color w:val="000000" w:themeColor="text1"/>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2D321A">
        <w:rPr>
          <w:rFonts w:ascii="Verdana" w:eastAsia="Calibri" w:hAnsi="Verdana" w:cs="Arial"/>
          <w:color w:val="000000" w:themeColor="text1"/>
        </w:rPr>
        <w:t xml:space="preserve">para amparar los riesgos contractuales; </w:t>
      </w:r>
      <w:r w:rsidRPr="002D321A">
        <w:rPr>
          <w:rFonts w:ascii="Verdana" w:hAnsi="Verdana" w:cs="Arial"/>
          <w:color w:val="000000" w:themeColor="text1"/>
        </w:rPr>
        <w:t>ii)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2D321A">
        <w:rPr>
          <w:rFonts w:ascii="Verdana" w:hAnsi="Verdana" w:cs="Arial"/>
          <w:color w:val="000000" w:themeColor="text1"/>
          <w:vertAlign w:val="superscript"/>
        </w:rPr>
        <w:footnoteReference w:id="1"/>
      </w:r>
      <w:r w:rsidRPr="002D321A">
        <w:rPr>
          <w:rFonts w:ascii="Verdana" w:hAnsi="Verdana" w:cs="Arial"/>
          <w:color w:val="000000" w:themeColor="text1"/>
        </w:rPr>
        <w:t xml:space="preserve">;  iii) garantías bancarias o cartas de crédito </w:t>
      </w:r>
      <w:r w:rsidRPr="002D321A">
        <w:rPr>
          <w:rFonts w:ascii="Verdana" w:hAnsi="Verdana" w:cs="Arial"/>
          <w:i/>
          <w:iCs/>
          <w:color w:val="000000" w:themeColor="text1"/>
        </w:rPr>
        <w:t>stand</w:t>
      </w:r>
      <w:r w:rsidRPr="002D321A">
        <w:rPr>
          <w:rFonts w:ascii="Verdana" w:hAnsi="Verdana" w:cs="Arial"/>
          <w:color w:val="000000" w:themeColor="text1"/>
        </w:rPr>
        <w:t xml:space="preserve"> </w:t>
      </w:r>
      <w:r w:rsidRPr="002D321A">
        <w:rPr>
          <w:rFonts w:ascii="Verdana" w:hAnsi="Verdana" w:cs="Arial"/>
          <w:i/>
          <w:iCs/>
          <w:color w:val="000000" w:themeColor="text1"/>
        </w:rPr>
        <w:t>by</w:t>
      </w:r>
      <w:r w:rsidRPr="002D321A">
        <w:rPr>
          <w:rFonts w:ascii="Verdana" w:hAnsi="Verdana" w:cs="Arial"/>
          <w:color w:val="000000" w:themeColor="text1"/>
        </w:rPr>
        <w:t>, que consisten en compromisos irrevocables o incondicionales asumidos por una entidad financiera de pagar una suma determinada de dinero</w:t>
      </w:r>
      <w:r w:rsidRPr="002D321A">
        <w:rPr>
          <w:rFonts w:ascii="Verdana" w:hAnsi="Verdana" w:cs="Arial"/>
          <w:color w:val="000000" w:themeColor="text1"/>
          <w:vertAlign w:val="superscript"/>
        </w:rPr>
        <w:footnoteReference w:id="2"/>
      </w:r>
      <w:r w:rsidRPr="002D321A">
        <w:rPr>
          <w:rFonts w:ascii="Verdana" w:hAnsi="Verdana" w:cs="Arial"/>
          <w:color w:val="000000" w:themeColor="text1"/>
        </w:rPr>
        <w:t xml:space="preserve">. La suficiencia y la vigencia de las garantías deben ser las reguladas en los artículos 2.2.1.2.3.1.9 a 2.2.1.2.3.1.16 del Decreto 1082 de 2015. </w:t>
      </w:r>
    </w:p>
    <w:p w14:paraId="65CC6D76" w14:textId="77777777" w:rsidR="004F1E0E" w:rsidRPr="002D321A" w:rsidRDefault="004F1E0E" w:rsidP="004F1E0E">
      <w:pPr>
        <w:spacing w:after="120" w:line="276" w:lineRule="auto"/>
        <w:ind w:firstLine="709"/>
        <w:jc w:val="both"/>
        <w:rPr>
          <w:rFonts w:ascii="Verdana" w:hAnsi="Verdana" w:cs="Arial"/>
          <w:color w:val="000000" w:themeColor="text1"/>
        </w:rPr>
      </w:pPr>
      <w:r w:rsidRPr="002D321A">
        <w:rPr>
          <w:rFonts w:ascii="Verdana" w:hAnsi="Verdana" w:cs="Arial"/>
          <w:color w:val="000000" w:themeColor="text1"/>
        </w:rPr>
        <w:t>Ahora bien, las garantías cubren ciertos riesgos identificados por las entidades estatales. Por ejemplo, en las modalidades de selección de contratación directa y mínima cuantía, así como en la contratación de seguros, la entidad estatal debe justificar la necesidad de exigir la constitución de garantías. Con respecto a las demás modalidades de selección, en principio, son obligatorias las garantías de seriedad de la oferta y de cumplimiento, y la garantía de responsabilidad civil extracontractual es obligatoria en los contratos de obra y en aquellos en que por su objeto o naturaleza la entidad estatal lo considere necesario.</w:t>
      </w:r>
    </w:p>
    <w:p w14:paraId="6E904213" w14:textId="77777777" w:rsidR="004F1E0E" w:rsidRPr="00AD6DC3" w:rsidRDefault="004F1E0E" w:rsidP="004F1E0E">
      <w:pPr>
        <w:spacing w:after="12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En </w:t>
      </w:r>
      <w:r w:rsidRPr="00B40E23">
        <w:rPr>
          <w:rFonts w:ascii="Verdana" w:eastAsia="Times New Roman" w:hAnsi="Verdana" w:cs="Arial"/>
          <w:color w:val="000000" w:themeColor="text1"/>
          <w:lang w:eastAsia="es-CO"/>
        </w:rPr>
        <w:t>torno al amparo de responsabilidad civil extracontractual,</w:t>
      </w:r>
      <w:r>
        <w:rPr>
          <w:rFonts w:ascii="Verdana" w:eastAsia="Times New Roman" w:hAnsi="Verdana" w:cs="Arial"/>
          <w:color w:val="000000" w:themeColor="text1"/>
          <w:lang w:eastAsia="es-CO"/>
        </w:rPr>
        <w:t xml:space="preserve"> el artículo 2.2.1.2.3.1.8. del Decreto 1082 de 2015</w:t>
      </w:r>
      <w:r>
        <w:rPr>
          <w:rStyle w:val="Refdenotaalpie"/>
          <w:rFonts w:ascii="Verdana" w:eastAsia="Times New Roman" w:hAnsi="Verdana" w:cs="Arial"/>
          <w:color w:val="000000" w:themeColor="text1"/>
          <w:lang w:eastAsia="es-CO"/>
        </w:rPr>
        <w:footnoteReference w:id="3"/>
      </w:r>
      <w:r>
        <w:rPr>
          <w:rFonts w:ascii="Verdana" w:eastAsia="Times New Roman" w:hAnsi="Verdana" w:cs="Arial"/>
          <w:color w:val="000000" w:themeColor="text1"/>
          <w:lang w:eastAsia="es-CO"/>
        </w:rPr>
        <w:t xml:space="preserve"> dispone que la Entidad Estatal debe exigirse</w:t>
      </w:r>
      <w:r w:rsidRPr="00B40E23">
        <w:rPr>
          <w:rFonts w:ascii="Verdana" w:eastAsia="Times New Roman" w:hAnsi="Verdana" w:cs="Arial"/>
          <w:color w:val="000000" w:themeColor="text1"/>
          <w:lang w:eastAsia="es-CO"/>
        </w:rPr>
        <w:t xml:space="preserve"> en los contratos de obra, así como en aquellos en que por su objeto o naturaleza se considere necesario con ocasión de los riesgos previstos en el negocio, para efectos de la cobertura frente a eventuales reclamaciones de terceros que surja de las actuaciones, hechos u omisiones de su contratista. </w:t>
      </w:r>
      <w:r>
        <w:rPr>
          <w:rFonts w:ascii="Verdana" w:eastAsia="Times New Roman" w:hAnsi="Verdana" w:cs="Arial"/>
          <w:color w:val="000000" w:themeColor="text1"/>
          <w:lang w:eastAsia="es-CO"/>
        </w:rPr>
        <w:t>Así mismo, d</w:t>
      </w:r>
      <w:r w:rsidRPr="00B40E23">
        <w:rPr>
          <w:rFonts w:ascii="Verdana" w:eastAsia="Times New Roman" w:hAnsi="Verdana" w:cs="Arial"/>
          <w:color w:val="000000" w:themeColor="text1"/>
          <w:lang w:eastAsia="es-CO"/>
        </w:rPr>
        <w:t xml:space="preserve">e acuerdo con el inciso segundo del artículo 2.2.1.2.3.1.8 </w:t>
      </w:r>
      <w:r w:rsidRPr="00B40E23">
        <w:rPr>
          <w:rFonts w:ascii="Verdana" w:eastAsia="Times New Roman" w:hAnsi="Verdana" w:cs="Arial"/>
          <w:i/>
          <w:iCs/>
          <w:color w:val="000000" w:themeColor="text1"/>
          <w:lang w:eastAsia="es-CO"/>
        </w:rPr>
        <w:t>ibidem</w:t>
      </w:r>
      <w:r w:rsidRPr="00B40E23">
        <w:rPr>
          <w:rFonts w:ascii="Verdana" w:eastAsia="Times New Roman" w:hAnsi="Verdana" w:cs="Arial"/>
          <w:color w:val="000000" w:themeColor="text1"/>
          <w:lang w:eastAsia="es-CO"/>
        </w:rPr>
        <w:t>,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p w14:paraId="2F43B68F" w14:textId="77777777" w:rsidR="004F1E0E" w:rsidRPr="00B40E23" w:rsidRDefault="004F1E0E" w:rsidP="004F1E0E">
      <w:pPr>
        <w:spacing w:before="120" w:after="120" w:line="276" w:lineRule="auto"/>
        <w:ind w:firstLine="708"/>
        <w:jc w:val="both"/>
        <w:rPr>
          <w:rFonts w:ascii="Verdana" w:eastAsia="Calibri" w:hAnsi="Verdana" w:cs="Arial"/>
        </w:rPr>
      </w:pPr>
      <w:r w:rsidRPr="00B40E23">
        <w:rPr>
          <w:rFonts w:ascii="Verdana" w:eastAsia="Calibri" w:hAnsi="Verdana" w:cs="Arial"/>
        </w:rPr>
        <w:t xml:space="preserve">En ese sentido, el artículo </w:t>
      </w:r>
      <w:bookmarkStart w:id="3" w:name="_Hlk184016589"/>
      <w:r w:rsidRPr="00B40E23">
        <w:rPr>
          <w:rFonts w:ascii="Verdana" w:eastAsia="Calibri" w:hAnsi="Verdana" w:cs="Arial"/>
        </w:rPr>
        <w:t>2.2.1.2.3.1.5</w:t>
      </w:r>
      <w:r w:rsidRPr="00152CAB">
        <w:rPr>
          <w:vertAlign w:val="superscript"/>
        </w:rPr>
        <w:footnoteReference w:id="4"/>
      </w:r>
      <w:r w:rsidRPr="00B40E23">
        <w:rPr>
          <w:rFonts w:ascii="Verdana" w:eastAsia="Calibri" w:hAnsi="Verdana" w:cs="Arial"/>
        </w:rPr>
        <w:t xml:space="preserve"> del Decreto 1082 de 2015 </w:t>
      </w:r>
      <w:bookmarkEnd w:id="3"/>
      <w:r w:rsidRPr="00B40E23">
        <w:rPr>
          <w:rFonts w:ascii="Verdana" w:eastAsia="Calibri" w:hAnsi="Verdana" w:cs="Arial"/>
        </w:rPr>
        <w:t>establece, respecto de la cobertura de la responsabilidad civil extracontractual proveniente de hechos, acciones u omisiones</w:t>
      </w:r>
      <w:r w:rsidRPr="00152CAB">
        <w:rPr>
          <w:vertAlign w:val="superscript"/>
        </w:rPr>
        <w:footnoteReference w:id="5"/>
      </w:r>
      <w:r w:rsidRPr="00B40E23">
        <w:rPr>
          <w:rFonts w:ascii="Verdana" w:eastAsia="Calibri" w:hAnsi="Verdana" w:cs="Arial"/>
        </w:rPr>
        <w:t xml:space="preserve"> del contratista o subcontratista, únicamente puede ser amparada mediante un contrato de seguro.</w:t>
      </w:r>
      <w:r>
        <w:rPr>
          <w:rFonts w:ascii="Verdana" w:eastAsia="Calibri" w:hAnsi="Verdana" w:cs="Arial"/>
        </w:rPr>
        <w:t xml:space="preserve"> </w:t>
      </w:r>
    </w:p>
    <w:bookmarkEnd w:id="2"/>
    <w:p w14:paraId="53BF55E7" w14:textId="77777777" w:rsidR="004F1E0E" w:rsidRPr="00C51446" w:rsidRDefault="004F1E0E" w:rsidP="004F1E0E">
      <w:pPr>
        <w:spacing w:after="120" w:line="276" w:lineRule="auto"/>
        <w:ind w:firstLine="708"/>
        <w:jc w:val="both"/>
        <w:rPr>
          <w:rFonts w:ascii="Verdana" w:hAnsi="Verdana" w:cs="Arial"/>
          <w:color w:val="000000" w:themeColor="text1"/>
        </w:rPr>
      </w:pPr>
      <w:r w:rsidRPr="00C51446">
        <w:rPr>
          <w:rFonts w:ascii="Verdana" w:hAnsi="Verdana" w:cs="Arial"/>
          <w:color w:val="000000" w:themeColor="text1"/>
        </w:rPr>
        <w:t>Abordados los elementos generales de la</w:t>
      </w:r>
      <w:r>
        <w:rPr>
          <w:rFonts w:ascii="Verdana" w:hAnsi="Verdana" w:cs="Arial"/>
          <w:color w:val="000000" w:themeColor="text1"/>
        </w:rPr>
        <w:t xml:space="preserve"> garantía de responsabilidad civil extracontractual</w:t>
      </w:r>
      <w:r w:rsidRPr="00C51446">
        <w:rPr>
          <w:rFonts w:ascii="Verdana" w:hAnsi="Verdana" w:cs="Arial"/>
          <w:color w:val="000000" w:themeColor="text1"/>
        </w:rPr>
        <w:t>, procede a revisar</w:t>
      </w:r>
      <w:r>
        <w:rPr>
          <w:rFonts w:ascii="Verdana" w:hAnsi="Verdana" w:cs="Arial"/>
          <w:color w:val="000000" w:themeColor="text1"/>
        </w:rPr>
        <w:t>se</w:t>
      </w:r>
      <w:r w:rsidRPr="00C51446">
        <w:rPr>
          <w:rFonts w:ascii="Verdana" w:hAnsi="Verdana" w:cs="Arial"/>
          <w:color w:val="000000" w:themeColor="text1"/>
        </w:rPr>
        <w:t xml:space="preserve"> si su exigencia en los procesos de selección adelantados mediante la modalidad de mínima cuantía </w:t>
      </w:r>
      <w:r>
        <w:rPr>
          <w:rFonts w:ascii="Verdana" w:hAnsi="Verdana" w:cs="Arial"/>
          <w:color w:val="000000" w:themeColor="text1"/>
        </w:rPr>
        <w:t xml:space="preserve">cuyo objeto es una obra pública. Al respecto, el artículo 7 de la Ley 1150 de 2007 prescribe que </w:t>
      </w:r>
      <w:r w:rsidRPr="00C51446">
        <w:rPr>
          <w:rFonts w:ascii="Verdana" w:hAnsi="Verdana" w:cs="Arial"/>
          <w:color w:val="000000" w:themeColor="text1"/>
        </w:rPr>
        <w:t>el Gobierno Nacional quien defina los criterios que deberán seguir las entidades estatales para su exigencia, las clases y niveles de amparo de los riesgos de los contratos, entre otros aspectos. Termina el artículo en cita indicando que las garantías no serán obligatorias en los contratos de empréstito, en los interadministrativos, en los de seguro y en los contratos cuyo valor sea inferior al 10% de la menor cuantía, dejando en cabeza de las entidades estatales la facultad discrecional de determinar la pertinencia de su exigencia, en consideración a la naturaleza del objeto del contrato y a la forma de pago, así como en los demás elementos que señale el reglamento. </w:t>
      </w:r>
    </w:p>
    <w:p w14:paraId="6E4F6378" w14:textId="77777777" w:rsidR="004F1E0E" w:rsidRPr="00C51446" w:rsidRDefault="004F1E0E" w:rsidP="004F1E0E">
      <w:pPr>
        <w:spacing w:after="120" w:line="276" w:lineRule="auto"/>
        <w:ind w:firstLine="709"/>
        <w:jc w:val="both"/>
        <w:rPr>
          <w:rFonts w:ascii="Verdana" w:hAnsi="Verdana" w:cs="Arial"/>
          <w:color w:val="000000" w:themeColor="text1"/>
        </w:rPr>
      </w:pPr>
      <w:r w:rsidRPr="00C51446">
        <w:rPr>
          <w:rFonts w:ascii="Verdana" w:hAnsi="Verdana" w:cs="Arial"/>
          <w:color w:val="000000" w:themeColor="text1"/>
        </w:rPr>
        <w:t>Ahora bien, al revisar el artículo 2.2.1.2.1.5.5. del Decreto 1082 de 2015, disposición que hace parte de la Subsección 5 que incorpora las normas referentes al procedimiento de mínima cuantía, dicha norma deja como potestativa la posibilidad de exigencia de garantías en este tipo de procesos de selección y aquellos que adquieren bienes en “grandes almacenes”, en cabeza de las entidades contratantes, incluyendo la garantía de seriedad de la oferta.</w:t>
      </w:r>
    </w:p>
    <w:p w14:paraId="76A7E9A7" w14:textId="77777777" w:rsidR="004F1E0E" w:rsidRDefault="004F1E0E" w:rsidP="004F1E0E">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En este escenario, hay una aparente contradicción parcial entre la no obligatoriedad de exigir garantías en los procesos de contratación que se adelantan bajo la modalidad de selección de mínima cuantía, y la exigencia de la garantía civil extracontractual en los procesos cuyo objeto de contrato es la obra pública. En torno a este problema, se plantean dos posturas: </w:t>
      </w:r>
    </w:p>
    <w:p w14:paraId="22BB9DA3" w14:textId="77777777" w:rsidR="004F1E0E" w:rsidRDefault="004F1E0E" w:rsidP="004F1E0E">
      <w:pPr>
        <w:spacing w:after="120" w:line="276" w:lineRule="auto"/>
        <w:ind w:firstLine="708"/>
        <w:jc w:val="both"/>
        <w:rPr>
          <w:rFonts w:ascii="Verdana" w:hAnsi="Verdana" w:cs="Arial"/>
          <w:color w:val="000000" w:themeColor="text1"/>
        </w:rPr>
      </w:pPr>
      <w:r>
        <w:rPr>
          <w:rFonts w:ascii="Verdana" w:hAnsi="Verdana" w:cs="Arial"/>
          <w:color w:val="000000" w:themeColor="text1"/>
        </w:rPr>
        <w:t>La primera postura es que, e</w:t>
      </w:r>
      <w:r w:rsidRPr="00C44B98">
        <w:rPr>
          <w:rFonts w:ascii="Verdana" w:hAnsi="Verdana" w:cs="Arial"/>
          <w:color w:val="000000" w:themeColor="text1"/>
        </w:rPr>
        <w:t xml:space="preserve">n los contratos de obra pública, la exigencia de la garantía de responsabilidad civil extracontractual no depende de la cuantía del proceso, sino de la naturaleza del objeto contractual. Esta garantía tiene como propósito cubrir los perjuicios que puedan sufrir terceros por hechos, actos u omisiones del contratista durante la ejecución de la obra, lo cual resulta especialmente relevante en actividades que implican riesgos físicos, ambientales o patrimoniales. </w:t>
      </w:r>
      <w:r>
        <w:rPr>
          <w:rFonts w:ascii="Verdana" w:hAnsi="Verdana" w:cs="Arial"/>
          <w:color w:val="000000" w:themeColor="text1"/>
        </w:rPr>
        <w:t xml:space="preserve">Bajo esta posición, la </w:t>
      </w:r>
      <w:r w:rsidRPr="00C44B98">
        <w:rPr>
          <w:rFonts w:ascii="Verdana" w:hAnsi="Verdana" w:cs="Arial"/>
          <w:color w:val="000000" w:themeColor="text1"/>
        </w:rPr>
        <w:t>exigencia se mantiene incluso en procesos de mínima cuantía, en virtud del principio de gestión del riesgo y de la protección de intereses de terceros.</w:t>
      </w:r>
      <w:r>
        <w:rPr>
          <w:rFonts w:ascii="Verdana" w:hAnsi="Verdana" w:cs="Arial"/>
          <w:color w:val="000000" w:themeColor="text1"/>
        </w:rPr>
        <w:t xml:space="preserve"> </w:t>
      </w:r>
      <w:r w:rsidRPr="00C44B98">
        <w:rPr>
          <w:rFonts w:ascii="Verdana" w:hAnsi="Verdana" w:cs="Arial"/>
          <w:color w:val="000000" w:themeColor="text1"/>
        </w:rPr>
        <w:t>En consecuencia, las entidades públicas deben incluir esta garantía en l</w:t>
      </w:r>
      <w:r>
        <w:rPr>
          <w:rFonts w:ascii="Verdana" w:hAnsi="Verdana" w:cs="Arial"/>
          <w:color w:val="000000" w:themeColor="text1"/>
        </w:rPr>
        <w:t xml:space="preserve">a invitación pública </w:t>
      </w:r>
      <w:r w:rsidRPr="00C44B98">
        <w:rPr>
          <w:rFonts w:ascii="Verdana" w:hAnsi="Verdana" w:cs="Arial"/>
          <w:color w:val="000000" w:themeColor="text1"/>
        </w:rPr>
        <w:t xml:space="preserve">de los procesos de mínima cuantía cuando el objeto sea la ejecución de una obra. Esta exigencia no solo responde al marco legal, sino que también garantiza la protección de terceros y la responsabilidad patrimonial del contratista frente a eventuales daños. </w:t>
      </w:r>
    </w:p>
    <w:p w14:paraId="129B3455" w14:textId="77777777" w:rsidR="004F1E0E" w:rsidRPr="00C51446" w:rsidRDefault="004F1E0E" w:rsidP="004F1E0E">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La segunda postura es que la exigencia de la garantía de responsabilidad civil extracontractual en la modalidad de selección de mínima cuantía independiente de la naturaleza del objeto es </w:t>
      </w:r>
      <w:r w:rsidRPr="00C51446">
        <w:rPr>
          <w:rFonts w:ascii="Verdana" w:hAnsi="Verdana" w:cs="Arial"/>
          <w:color w:val="000000" w:themeColor="text1"/>
        </w:rPr>
        <w:t>discrecional</w:t>
      </w:r>
      <w:r>
        <w:rPr>
          <w:rFonts w:ascii="Verdana" w:hAnsi="Verdana" w:cs="Arial"/>
          <w:color w:val="000000" w:themeColor="text1"/>
        </w:rPr>
        <w:t>, pues</w:t>
      </w:r>
      <w:r w:rsidRPr="00C51446">
        <w:rPr>
          <w:rFonts w:ascii="Verdana" w:hAnsi="Verdana" w:cs="Arial"/>
          <w:color w:val="000000" w:themeColor="text1"/>
        </w:rPr>
        <w:t xml:space="preserve"> no implica que la entidad estatal determine su exigencia de manera arbitraria, sino que demanda de aquellas que, en el evento en que considere pertinente establecer como condición su constitución, la decisión debe justificarse mediante motivos objetivos que permitan conocer la necesidad de su exigencia, según las condiciones propias de la entidad contratante, del objeto contractual, el valor del contrato, su naturaleza, y demás aspectos que la fundamenta.</w:t>
      </w:r>
    </w:p>
    <w:p w14:paraId="67336A9B" w14:textId="77777777" w:rsidR="004F1E0E" w:rsidRPr="00C51446" w:rsidRDefault="004F1E0E" w:rsidP="004F1E0E">
      <w:pPr>
        <w:spacing w:after="120" w:line="276" w:lineRule="auto"/>
        <w:ind w:firstLine="709"/>
        <w:jc w:val="both"/>
        <w:rPr>
          <w:rFonts w:ascii="Verdana" w:hAnsi="Verdana"/>
        </w:rPr>
      </w:pPr>
      <w:r w:rsidRPr="00C51446">
        <w:rPr>
          <w:rFonts w:ascii="Verdana" w:hAnsi="Verdana" w:cs="Arial"/>
          <w:color w:val="000000" w:themeColor="text1"/>
        </w:rPr>
        <w:t xml:space="preserve">En ese orden, </w:t>
      </w:r>
      <w:r w:rsidRPr="00C51446">
        <w:rPr>
          <w:rFonts w:ascii="Verdana" w:hAnsi="Verdana"/>
        </w:rPr>
        <w:t xml:space="preserve">de conformidad con el artículo 4 de la Ley 1150 de 2007, la entidad estatal deberá consignar en los pliegos de condiciones o sus equivalentes (en mínima cuantía será la invitación pública), la estimación, tipificación y asignación de los riesgos previsibles involucrados en la contratación. Lo anterior se encuentra regulado por el artículo 2.2.1.1.2.1.3. Decreto 1082 de 2015, incluyendo como aspectos básicos o información esencial de los pliegos de condiciones los elementos del numeral 8 (riesgos asociados al contrato, forma de mitigarlos y asignación del riesgo entre las partes) y 9 (garantías exigidas en el proceso de contratación y sus condiciones). </w:t>
      </w:r>
    </w:p>
    <w:p w14:paraId="3A8DB252" w14:textId="77777777" w:rsidR="004F1E0E" w:rsidRPr="00C51446" w:rsidRDefault="004F1E0E" w:rsidP="004F1E0E">
      <w:pPr>
        <w:spacing w:after="120" w:line="276" w:lineRule="auto"/>
        <w:ind w:firstLine="709"/>
        <w:jc w:val="both"/>
        <w:rPr>
          <w:rFonts w:ascii="Verdana" w:eastAsia="Times New Roman" w:hAnsi="Verdana" w:cs="Arial"/>
          <w:szCs w:val="24"/>
          <w:lang w:eastAsia="es-MX"/>
        </w:rPr>
      </w:pPr>
      <w:r w:rsidRPr="00C51446">
        <w:rPr>
          <w:rFonts w:ascii="Verdana" w:eastAsia="Times New Roman" w:hAnsi="Verdana" w:cs="Arial"/>
          <w:szCs w:val="24"/>
          <w:lang w:eastAsia="es-MX"/>
        </w:rPr>
        <w:t xml:space="preserve">Ante ese panorama, es claro que las entidades estatales deben incluir en los estudios previos la identificación concreta de los riesgos previsibles, siendo entonces las garantías, los instrumentos de cobertura de algunos riesgos comunes en los procesos de contratación, las cuales deben ser identificadas y solicitadas por la entidad estatal de acuerdo con el objeto, el valor, la naturaleza y las obligaciones del contrato. En otras palabras, en las modalidades de selección de contratación directa y </w:t>
      </w:r>
      <w:r w:rsidRPr="00C51446">
        <w:rPr>
          <w:rFonts w:ascii="Verdana" w:eastAsia="Times New Roman" w:hAnsi="Verdana" w:cs="Arial"/>
          <w:i/>
          <w:iCs/>
          <w:szCs w:val="24"/>
          <w:lang w:eastAsia="es-MX"/>
        </w:rPr>
        <w:t>mínima cuantía</w:t>
      </w:r>
      <w:r w:rsidRPr="00C51446">
        <w:rPr>
          <w:rFonts w:ascii="Verdana" w:eastAsia="Times New Roman" w:hAnsi="Verdana" w:cs="Arial"/>
          <w:szCs w:val="24"/>
          <w:lang w:eastAsia="es-MX"/>
        </w:rPr>
        <w:t>, así como en los contratos de empréstito, en los interadministrativos y en los de seguro, la entidad estatal deberá justificar la necesidad de exigir o no la constitución de garantías, evaluando aspectos técnicos, administrativos y jurídicos que brinden soporte de una necesidad de exigibilidad de garantía en los términos de suficiencia y vigencia señalados en el régimen de la contratación estatal.</w:t>
      </w:r>
    </w:p>
    <w:p w14:paraId="68FED0D9" w14:textId="77777777" w:rsidR="004F1E0E" w:rsidRDefault="004F1E0E" w:rsidP="004F1E0E">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En torno a estas dos posturas, se acoge la segunda, teniendo en cuenta que el artículo 7 de la Ley 1150 de 2007 no establece una distinción sobre la exigencia de garantías en los procesos de mínima cuantía dependiendo del objeto contractual, por lo que no excluye a los contratos de obra pública. Ahora bien, la exigencia de la póliza de responsabilidad civil extracontractual en los contratos de obra pública regulada en el Decreto 1082 de 2015 es aplicable en los procesos de contratación, en las que se establece su obligatoriedad. Por tanto, en los procesos de mínima cuantía independiente del objeto del contrato no es obligatoria, pero la entidad debe justificar su decisión con base en los estudios previos y en los riesgos inherentes al contrato. </w:t>
      </w:r>
    </w:p>
    <w:p w14:paraId="129F059A" w14:textId="77777777" w:rsidR="004F1E0E" w:rsidRPr="002567A2" w:rsidRDefault="004F1E0E" w:rsidP="004F1E0E">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En este escenario, en los contratos de obra pública cuya modalidad de selección es la mínima cuantía deben tomar una decisión basada en el riesgo, esto es, un análisis de si el objeto del contrato presenta riesgos para terceros, como daños a personas o bienes. Así pues, la entidad debe documentar en los estudios previos sobre la necesidad de exigir la garantía de responsabilidad civil extracontractual, y si lo hace, deberá someterse a las condiciones definidas en el Decreto 1082 de 2015. </w:t>
      </w:r>
    </w:p>
    <w:p w14:paraId="79A6A694" w14:textId="77777777" w:rsidR="004F1E0E" w:rsidRDefault="004F1E0E" w:rsidP="004F1E0E">
      <w:pPr>
        <w:spacing w:before="120" w:after="120" w:line="276" w:lineRule="auto"/>
        <w:ind w:firstLine="709"/>
        <w:jc w:val="both"/>
        <w:rPr>
          <w:rFonts w:ascii="Verdana" w:hAnsi="Verdana" w:cs="Arial"/>
          <w:lang w:eastAsia="es-ES"/>
        </w:rPr>
      </w:pPr>
      <w:r>
        <w:rPr>
          <w:rFonts w:ascii="Verdana" w:hAnsi="Verdana" w:cs="Arial"/>
          <w:lang w:eastAsia="es-ES"/>
        </w:rPr>
        <w:t xml:space="preserve">Al respecto, dicho Decreto </w:t>
      </w:r>
      <w:r w:rsidRPr="00266192">
        <w:rPr>
          <w:rFonts w:ascii="Verdana" w:hAnsi="Verdana" w:cs="Arial"/>
          <w:lang w:eastAsia="es-ES"/>
        </w:rPr>
        <w:t xml:space="preserve">exige una serie de requisitos que deben </w:t>
      </w:r>
      <w:r>
        <w:rPr>
          <w:rFonts w:ascii="Verdana" w:hAnsi="Verdana" w:cs="Arial"/>
          <w:lang w:eastAsia="es-ES"/>
        </w:rPr>
        <w:t xml:space="preserve">cumplir </w:t>
      </w:r>
      <w:r w:rsidRPr="00266192">
        <w:rPr>
          <w:rFonts w:ascii="Verdana" w:hAnsi="Verdana" w:cs="Arial"/>
          <w:lang w:eastAsia="es-ES"/>
        </w:rPr>
        <w:t xml:space="preserve">los seguros de responsabilidad civil extracontractual a favor de Entidades Estatales: </w:t>
      </w:r>
      <w:r>
        <w:rPr>
          <w:rFonts w:ascii="Verdana" w:hAnsi="Verdana" w:cs="Arial"/>
          <w:lang w:eastAsia="es-ES"/>
        </w:rPr>
        <w:t>i) c</w:t>
      </w:r>
      <w:r w:rsidRPr="00266192">
        <w:rPr>
          <w:rFonts w:ascii="Verdana" w:hAnsi="Verdana" w:cs="Arial"/>
          <w:lang w:eastAsia="es-ES"/>
        </w:rPr>
        <w:t>obertura básica de predios, labores y operaciones</w:t>
      </w:r>
      <w:r>
        <w:rPr>
          <w:rFonts w:ascii="Verdana" w:hAnsi="Verdana" w:cs="Arial"/>
          <w:lang w:eastAsia="es-ES"/>
        </w:rPr>
        <w:t>;</w:t>
      </w:r>
      <w:r w:rsidRPr="00266192">
        <w:rPr>
          <w:rFonts w:ascii="Verdana" w:hAnsi="Verdana" w:cs="Arial"/>
          <w:lang w:eastAsia="es-ES"/>
        </w:rPr>
        <w:t xml:space="preserve"> </w:t>
      </w:r>
      <w:r>
        <w:rPr>
          <w:rFonts w:ascii="Verdana" w:hAnsi="Verdana" w:cs="Arial"/>
          <w:lang w:eastAsia="es-ES"/>
        </w:rPr>
        <w:t>ii) el d</w:t>
      </w:r>
      <w:r w:rsidRPr="00266192">
        <w:rPr>
          <w:rFonts w:ascii="Verdana" w:hAnsi="Verdana" w:cs="Arial"/>
          <w:lang w:eastAsia="es-ES"/>
        </w:rPr>
        <w:t>año emergente y el lucro cesante</w:t>
      </w:r>
      <w:r>
        <w:rPr>
          <w:rFonts w:ascii="Verdana" w:hAnsi="Verdana" w:cs="Arial"/>
          <w:lang w:eastAsia="es-ES"/>
        </w:rPr>
        <w:t>; iii) los p</w:t>
      </w:r>
      <w:r w:rsidRPr="00266192">
        <w:rPr>
          <w:rFonts w:ascii="Verdana" w:hAnsi="Verdana" w:cs="Arial"/>
          <w:lang w:eastAsia="es-ES"/>
        </w:rPr>
        <w:t>erjuicios extrapatrimoniales</w:t>
      </w:r>
      <w:r>
        <w:rPr>
          <w:rFonts w:ascii="Verdana" w:hAnsi="Verdana" w:cs="Arial"/>
          <w:lang w:eastAsia="es-ES"/>
        </w:rPr>
        <w:t>; iv)</w:t>
      </w:r>
      <w:r w:rsidRPr="00266192">
        <w:t xml:space="preserve"> </w:t>
      </w:r>
      <w:r>
        <w:rPr>
          <w:rFonts w:ascii="Verdana" w:hAnsi="Verdana" w:cs="Arial"/>
          <w:lang w:eastAsia="es-ES"/>
        </w:rPr>
        <w:t>r</w:t>
      </w:r>
      <w:r w:rsidRPr="00266192">
        <w:rPr>
          <w:rFonts w:ascii="Verdana" w:hAnsi="Verdana" w:cs="Arial"/>
          <w:lang w:eastAsia="es-ES"/>
        </w:rPr>
        <w:t>esponsabilidad surgida por actos de contratistas y subcontratistas, salvo que el subcontratista tenga su propio seguro de responsabilidad civil extracontractual, con los mismos amparos</w:t>
      </w:r>
      <w:r>
        <w:rPr>
          <w:rFonts w:ascii="Verdana" w:hAnsi="Verdana" w:cs="Arial"/>
          <w:lang w:eastAsia="es-ES"/>
        </w:rPr>
        <w:t>; v) c</w:t>
      </w:r>
      <w:r w:rsidRPr="00266192">
        <w:rPr>
          <w:rFonts w:ascii="Verdana" w:hAnsi="Verdana" w:cs="Arial"/>
          <w:lang w:eastAsia="es-ES"/>
        </w:rPr>
        <w:t xml:space="preserve">obertura expresa de amparo patronal, que cubre los perjuicios causados por accidentes de trabajo </w:t>
      </w:r>
      <w:r>
        <w:rPr>
          <w:rFonts w:ascii="Verdana" w:hAnsi="Verdana" w:cs="Arial"/>
          <w:lang w:eastAsia="es-ES"/>
        </w:rPr>
        <w:t xml:space="preserve">de </w:t>
      </w:r>
      <w:r w:rsidRPr="00266192">
        <w:rPr>
          <w:rFonts w:ascii="Verdana" w:hAnsi="Verdana" w:cs="Arial"/>
          <w:lang w:eastAsia="es-ES"/>
        </w:rPr>
        <w:t>los empleados al servicio del contratista</w:t>
      </w:r>
      <w:r>
        <w:rPr>
          <w:rFonts w:ascii="Verdana" w:hAnsi="Verdana" w:cs="Arial"/>
          <w:lang w:eastAsia="es-ES"/>
        </w:rPr>
        <w:t>; vi) la c</w:t>
      </w:r>
      <w:r w:rsidRPr="00266192">
        <w:rPr>
          <w:rFonts w:ascii="Verdana" w:hAnsi="Verdana" w:cs="Arial"/>
          <w:lang w:eastAsia="es-ES"/>
        </w:rPr>
        <w:t>obertura expresa de vehículos propios y no propios, que cubre daños materiales, las lesiones personales y/o la muerte que se ocasionen a terceros con vehículos que estén al servicio de la entidad asegurada en el giro normal de sus actividades</w:t>
      </w:r>
      <w:r>
        <w:rPr>
          <w:rStyle w:val="Refdenotaalpie"/>
          <w:rFonts w:ascii="Verdana" w:hAnsi="Verdana" w:cs="Arial"/>
          <w:lang w:eastAsia="es-ES"/>
        </w:rPr>
        <w:footnoteReference w:id="6"/>
      </w:r>
      <w:r w:rsidRPr="00266192">
        <w:rPr>
          <w:rFonts w:ascii="Verdana" w:hAnsi="Verdana" w:cs="Arial"/>
          <w:lang w:eastAsia="es-ES"/>
        </w:rPr>
        <w:t>.</w:t>
      </w:r>
    </w:p>
    <w:p w14:paraId="09518078" w14:textId="77777777" w:rsidR="004F1E0E" w:rsidRPr="00635D9B" w:rsidRDefault="004F1E0E" w:rsidP="004F1E0E">
      <w:pPr>
        <w:snapToGrid w:val="0"/>
        <w:spacing w:after="0" w:line="276" w:lineRule="auto"/>
        <w:ind w:firstLine="708"/>
        <w:jc w:val="both"/>
        <w:rPr>
          <w:rFonts w:ascii="Verdana" w:eastAsia="Calibri" w:hAnsi="Verdana" w:cs="Arial"/>
          <w:color w:val="000000"/>
          <w:lang w:val="es-ES"/>
        </w:rPr>
      </w:pPr>
      <w:r w:rsidRPr="00635D9B">
        <w:rPr>
          <w:rFonts w:ascii="Verdana" w:eastAsia="Calibri" w:hAnsi="Verdana" w:cs="Arial"/>
          <w:color w:val="000000"/>
          <w:lang w:val="es-ES"/>
        </w:rPr>
        <w:t xml:space="preserve">Así mismo, el artículo </w:t>
      </w:r>
      <w:bookmarkStart w:id="6" w:name="2.2.1.2.3.1.17"/>
      <w:bookmarkEnd w:id="6"/>
      <w:r w:rsidRPr="00635D9B">
        <w:rPr>
          <w:rFonts w:ascii="Verdana" w:eastAsia="Calibri" w:hAnsi="Verdana" w:cs="Arial"/>
          <w:color w:val="000000"/>
          <w:lang w:val="es-ES"/>
        </w:rPr>
        <w:t xml:space="preserve">2.2.1.2.3.1.17 determina el valor que debe ser asegurado con el contrato de seguro, teniendo en cuenta el valor en salarios mínimos mensuales legales vigentes del contrato, tal como se cita a continuación:  </w:t>
      </w:r>
    </w:p>
    <w:p w14:paraId="16BA2315" w14:textId="77777777" w:rsidR="004F1E0E" w:rsidRDefault="004F1E0E" w:rsidP="004F1E0E">
      <w:pPr>
        <w:snapToGrid w:val="0"/>
        <w:spacing w:after="0" w:line="276" w:lineRule="auto"/>
        <w:ind w:left="709" w:right="709"/>
        <w:jc w:val="both"/>
        <w:rPr>
          <w:rFonts w:ascii="Verdana" w:eastAsia="Calibri" w:hAnsi="Verdana" w:cs="Arial"/>
          <w:color w:val="000000"/>
          <w:lang w:val="es-ES"/>
        </w:rPr>
      </w:pPr>
    </w:p>
    <w:p w14:paraId="7DE0ABE6" w14:textId="77777777" w:rsidR="004F1E0E" w:rsidRPr="006C156F" w:rsidRDefault="004F1E0E" w:rsidP="004F1E0E">
      <w:pPr>
        <w:snapToGrid w:val="0"/>
        <w:spacing w:after="0" w:line="240" w:lineRule="auto"/>
        <w:ind w:left="709" w:right="709"/>
        <w:jc w:val="both"/>
        <w:rPr>
          <w:rFonts w:ascii="Verdana" w:eastAsia="Calibri" w:hAnsi="Verdana" w:cs="Arial"/>
          <w:color w:val="000000"/>
          <w:sz w:val="20"/>
          <w:szCs w:val="20"/>
          <w:lang w:val="es-ES"/>
        </w:rPr>
      </w:pPr>
      <w:r w:rsidRPr="006C156F">
        <w:rPr>
          <w:rFonts w:ascii="Verdana" w:eastAsia="Calibri" w:hAnsi="Verdana" w:cs="Arial"/>
          <w:color w:val="000000"/>
          <w:sz w:val="20"/>
          <w:szCs w:val="20"/>
          <w:lang w:val="es-ES"/>
        </w:rPr>
        <w:t>“Artículo 2.2.1.2.3.1.17. Suficiencia del seguro de responsabilidad civil extracontractual. El valor asegurado por los contratos de seguro que amparan la responsabilidad civil extracontractual no debe ser inferior a:</w:t>
      </w:r>
    </w:p>
    <w:p w14:paraId="2F2F9D80" w14:textId="77777777" w:rsidR="004F1E0E" w:rsidRPr="006C156F" w:rsidRDefault="004F1E0E" w:rsidP="004F1E0E">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7" w:name="2.2.1.2.3.1.17.1"/>
      <w:bookmarkEnd w:id="7"/>
      <w:r w:rsidRPr="006C156F">
        <w:rPr>
          <w:rFonts w:ascii="Verdana" w:eastAsia="Calibri" w:hAnsi="Verdana" w:cs="Arial"/>
          <w:color w:val="000000"/>
          <w:sz w:val="20"/>
          <w:szCs w:val="20"/>
          <w:lang w:val="es-ES"/>
        </w:rPr>
        <w:t>1. Doscientos (200) SMMLV para contratos cuyo valor sea inferior o igual a mil quinientos (1.500) SMMLV.</w:t>
      </w:r>
    </w:p>
    <w:p w14:paraId="50BA1695" w14:textId="77777777" w:rsidR="004F1E0E" w:rsidRPr="006C156F" w:rsidRDefault="004F1E0E" w:rsidP="004F1E0E">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8" w:name="2.2.1.2.3.1.17.2"/>
      <w:bookmarkEnd w:id="8"/>
      <w:r w:rsidRPr="006C156F">
        <w:rPr>
          <w:rFonts w:ascii="Verdana" w:eastAsia="Calibri" w:hAnsi="Verdana" w:cs="Arial"/>
          <w:color w:val="000000"/>
          <w:sz w:val="20"/>
          <w:szCs w:val="20"/>
          <w:lang w:val="es-ES"/>
        </w:rPr>
        <w:t>2. Trescientos (300) SMMLV para contratos cuyo valor sea superior a mil quinientos (1.500) SMMLV e inferior o igual a dos mil quinientos (2.500) SMMLV.</w:t>
      </w:r>
    </w:p>
    <w:p w14:paraId="0E013F3A" w14:textId="77777777" w:rsidR="004F1E0E" w:rsidRPr="006C156F" w:rsidRDefault="004F1E0E" w:rsidP="004F1E0E">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9" w:name="2.2.1.2.3.1.17.3"/>
      <w:bookmarkEnd w:id="9"/>
      <w:r w:rsidRPr="006C156F">
        <w:rPr>
          <w:rFonts w:ascii="Verdana" w:eastAsia="Calibri" w:hAnsi="Verdana" w:cs="Arial"/>
          <w:color w:val="000000"/>
          <w:sz w:val="20"/>
          <w:szCs w:val="20"/>
          <w:lang w:val="es-ES"/>
        </w:rPr>
        <w:t>3. Cuatrocientos (400) SMMLV para contratos cuyo valor sea superior a dos mil quinientos (2.500) SMMLV e inferior o igual a cinco mil (5.000) SMMLV.</w:t>
      </w:r>
    </w:p>
    <w:p w14:paraId="60E35987" w14:textId="77777777" w:rsidR="004F1E0E" w:rsidRPr="006C156F" w:rsidRDefault="004F1E0E" w:rsidP="004F1E0E">
      <w:pPr>
        <w:shd w:val="clear" w:color="auto" w:fill="FFFFFF"/>
        <w:snapToGrid w:val="0"/>
        <w:spacing w:after="0" w:line="240" w:lineRule="auto"/>
        <w:ind w:left="709" w:right="709"/>
        <w:jc w:val="both"/>
        <w:rPr>
          <w:rFonts w:ascii="Verdana" w:eastAsia="Calibri" w:hAnsi="Verdana" w:cs="Arial"/>
          <w:color w:val="000000"/>
          <w:sz w:val="20"/>
          <w:szCs w:val="20"/>
          <w:lang w:val="es-ES"/>
        </w:rPr>
      </w:pPr>
      <w:bookmarkStart w:id="10" w:name="2.2.1.2.3.1.17.4"/>
      <w:bookmarkEnd w:id="10"/>
      <w:r w:rsidRPr="006C156F">
        <w:rPr>
          <w:rFonts w:ascii="Verdana" w:eastAsia="Calibri" w:hAnsi="Verdana" w:cs="Arial"/>
          <w:color w:val="000000"/>
          <w:sz w:val="20"/>
          <w:szCs w:val="20"/>
          <w:lang w:val="es-ES"/>
        </w:rPr>
        <w:t>4. Quinientos (500) SMMLV para contratos cuyo valor sea superior a cinco mil (5.000) SMMLV e inferior o igual a diez mil (10.000) SMMLV.</w:t>
      </w:r>
      <w:bookmarkStart w:id="11" w:name="2.2.1.2.3.1.17.5"/>
      <w:bookmarkEnd w:id="11"/>
    </w:p>
    <w:p w14:paraId="0CEE787F" w14:textId="77777777" w:rsidR="004F1E0E" w:rsidRPr="006C156F" w:rsidRDefault="004F1E0E" w:rsidP="004F1E0E">
      <w:pPr>
        <w:shd w:val="clear" w:color="auto" w:fill="FFFFFF"/>
        <w:snapToGrid w:val="0"/>
        <w:spacing w:after="0" w:line="240" w:lineRule="auto"/>
        <w:ind w:left="709" w:right="709"/>
        <w:jc w:val="both"/>
        <w:rPr>
          <w:rFonts w:ascii="Verdana" w:eastAsia="Calibri" w:hAnsi="Verdana" w:cs="Arial"/>
          <w:color w:val="000000"/>
          <w:sz w:val="20"/>
          <w:szCs w:val="20"/>
          <w:lang w:val="es-ES"/>
        </w:rPr>
      </w:pPr>
      <w:r w:rsidRPr="006C156F">
        <w:rPr>
          <w:rFonts w:ascii="Verdana" w:eastAsia="Calibri" w:hAnsi="Verdana" w:cs="Arial"/>
          <w:color w:val="000000"/>
          <w:sz w:val="20"/>
          <w:szCs w:val="20"/>
          <w:lang w:val="es-ES"/>
        </w:rPr>
        <w:t>5. El cinco por ciento (5%) del valor del contrato cuando este sea superior a diez mil (10.000) SMMLV, caso en el cual el valor asegurado debe ser máximo setenta y cinco mil (75.000) SMMLV.</w:t>
      </w:r>
    </w:p>
    <w:p w14:paraId="33915B8E" w14:textId="77777777" w:rsidR="004F1E0E" w:rsidRPr="006C156F" w:rsidRDefault="004F1E0E" w:rsidP="004F1E0E">
      <w:pPr>
        <w:shd w:val="clear" w:color="auto" w:fill="FFFFFF"/>
        <w:snapToGrid w:val="0"/>
        <w:spacing w:after="0" w:line="240" w:lineRule="auto"/>
        <w:ind w:left="709" w:right="709"/>
        <w:jc w:val="both"/>
        <w:rPr>
          <w:rFonts w:ascii="Verdana" w:eastAsia="Calibri" w:hAnsi="Verdana" w:cs="Arial"/>
          <w:color w:val="000000"/>
          <w:sz w:val="20"/>
          <w:szCs w:val="20"/>
          <w:lang w:val="es-ES"/>
        </w:rPr>
      </w:pPr>
      <w:r w:rsidRPr="006C156F">
        <w:rPr>
          <w:rFonts w:ascii="Verdana" w:eastAsia="Calibri" w:hAnsi="Verdana" w:cs="Arial"/>
          <w:color w:val="000000"/>
          <w:sz w:val="20"/>
          <w:szCs w:val="20"/>
          <w:lang w:val="es-ES"/>
        </w:rPr>
        <w:t>La vigencia de esta garantía deberá ser igual al período de ejecución del contrato”.</w:t>
      </w:r>
    </w:p>
    <w:p w14:paraId="6A7231FF" w14:textId="77777777" w:rsidR="004F1E0E" w:rsidRDefault="004F1E0E" w:rsidP="004F1E0E">
      <w:pPr>
        <w:widowControl w:val="0"/>
        <w:autoSpaceDE w:val="0"/>
        <w:autoSpaceDN w:val="0"/>
        <w:spacing w:after="0" w:line="276" w:lineRule="auto"/>
        <w:ind w:right="98"/>
        <w:jc w:val="both"/>
        <w:rPr>
          <w:rFonts w:ascii="Verdana" w:hAnsi="Verdana" w:cs="Arial"/>
          <w:lang w:eastAsia="es-ES"/>
        </w:rPr>
      </w:pPr>
    </w:p>
    <w:p w14:paraId="39F4F48E" w14:textId="77777777" w:rsidR="004F1E0E" w:rsidRPr="0015618D" w:rsidRDefault="004F1E0E" w:rsidP="004F1E0E">
      <w:pPr>
        <w:widowControl w:val="0"/>
        <w:autoSpaceDE w:val="0"/>
        <w:autoSpaceDN w:val="0"/>
        <w:snapToGrid w:val="0"/>
        <w:spacing w:after="0" w:line="276" w:lineRule="auto"/>
        <w:ind w:right="98" w:firstLine="708"/>
        <w:jc w:val="both"/>
        <w:rPr>
          <w:rFonts w:ascii="Verdana" w:eastAsia="Calibri" w:hAnsi="Verdana" w:cs="Arial"/>
          <w:color w:val="000000"/>
          <w:lang w:val="es-ES"/>
        </w:rPr>
      </w:pPr>
      <w:r>
        <w:rPr>
          <w:rFonts w:ascii="Verdana" w:hAnsi="Verdana" w:cs="Arial"/>
          <w:lang w:eastAsia="es-ES"/>
        </w:rPr>
        <w:t xml:space="preserve">Nótese que </w:t>
      </w:r>
      <w:r w:rsidRPr="007D1C5C">
        <w:rPr>
          <w:rFonts w:ascii="Verdana" w:hAnsi="Verdana" w:cs="Arial"/>
          <w:lang w:eastAsia="es-ES"/>
        </w:rPr>
        <w:t xml:space="preserve">el artículo referido no estableció distinción alguna frente a </w:t>
      </w:r>
      <w:r>
        <w:rPr>
          <w:rFonts w:ascii="Verdana" w:hAnsi="Verdana" w:cs="Arial"/>
          <w:lang w:eastAsia="es-ES"/>
        </w:rPr>
        <w:t xml:space="preserve">los supuestos en los que es aplicable </w:t>
      </w:r>
      <w:r w:rsidRPr="007D1C5C">
        <w:rPr>
          <w:rFonts w:ascii="Verdana" w:hAnsi="Verdana" w:cs="Arial"/>
          <w:lang w:eastAsia="es-ES"/>
        </w:rPr>
        <w:t xml:space="preserve">la </w:t>
      </w:r>
      <w:r w:rsidRPr="007D1C5C">
        <w:rPr>
          <w:rFonts w:ascii="Verdana" w:eastAsia="Calibri" w:hAnsi="Verdana" w:cs="Arial"/>
          <w:color w:val="000000"/>
          <w:lang w:val="es-ES"/>
        </w:rPr>
        <w:t>suficiencia del seguro de responsabilidad civil extracontractual</w:t>
      </w:r>
      <w:r>
        <w:rPr>
          <w:rFonts w:ascii="Verdana" w:eastAsia="Calibri" w:hAnsi="Verdana" w:cs="Arial"/>
          <w:color w:val="000000"/>
          <w:lang w:val="es-ES"/>
        </w:rPr>
        <w:t xml:space="preserve">, sino que determinó que el valor asegurado, de manera general, no podrá ser inferior al allí dispuesto. En consecuencia, tanto en los contratos de obra, como en aquellos en los que por su objeto o naturaleza la entidad requiera el seguro de responsabilidad civil extracontractual, las entidades deberán cumplir con la suficiencia establecida en el artículo </w:t>
      </w:r>
      <w:r w:rsidRPr="0015618D">
        <w:rPr>
          <w:rFonts w:ascii="Verdana" w:eastAsia="Calibri" w:hAnsi="Verdana" w:cs="Arial"/>
          <w:color w:val="000000"/>
          <w:lang w:val="es-ES"/>
        </w:rPr>
        <w:t>2.2.1.2.3.1.17. del Decreto 1082 de 2015</w:t>
      </w:r>
      <w:r>
        <w:rPr>
          <w:rFonts w:ascii="Verdana" w:eastAsia="Calibri" w:hAnsi="Verdana" w:cs="Arial"/>
          <w:color w:val="000000"/>
          <w:lang w:val="es-ES"/>
        </w:rPr>
        <w:t>, independiente que el proceso de contratación sea de mínima cuantía</w:t>
      </w:r>
      <w:r w:rsidRPr="0015618D">
        <w:rPr>
          <w:rFonts w:ascii="Verdana" w:eastAsia="Calibri" w:hAnsi="Verdana" w:cs="Arial"/>
          <w:color w:val="000000"/>
          <w:lang w:val="es-ES"/>
        </w:rPr>
        <w:t>.</w:t>
      </w:r>
      <w:r>
        <w:rPr>
          <w:rFonts w:ascii="Verdana" w:eastAsia="Calibri" w:hAnsi="Verdana" w:cs="Arial"/>
          <w:color w:val="000000"/>
          <w:sz w:val="20"/>
          <w:szCs w:val="20"/>
          <w:lang w:val="es-ES"/>
        </w:rPr>
        <w:t xml:space="preserve"> </w:t>
      </w:r>
      <w:r w:rsidRPr="0015618D">
        <w:rPr>
          <w:rFonts w:ascii="Verdana" w:eastAsia="Calibri" w:hAnsi="Verdana" w:cs="Arial"/>
          <w:color w:val="000000"/>
          <w:lang w:val="es-ES"/>
        </w:rPr>
        <w:t xml:space="preserve">Adicionalmente, </w:t>
      </w:r>
      <w:r w:rsidRPr="0015618D">
        <w:rPr>
          <w:rFonts w:ascii="Verdana" w:hAnsi="Verdana" w:cs="Arial"/>
          <w:lang w:eastAsia="es-ES"/>
        </w:rPr>
        <w:t>la</w:t>
      </w:r>
      <w:r w:rsidRPr="00266192">
        <w:rPr>
          <w:rFonts w:ascii="Verdana" w:hAnsi="Verdana" w:cs="Arial"/>
          <w:lang w:eastAsia="es-ES"/>
        </w:rPr>
        <w:t xml:space="preserve"> vigencia de este seguro deberá ser igual al período de ejecución del </w:t>
      </w:r>
      <w:r w:rsidRPr="0015618D">
        <w:rPr>
          <w:rFonts w:ascii="Verdana" w:hAnsi="Verdana" w:cs="Arial"/>
          <w:lang w:eastAsia="es-ES"/>
        </w:rPr>
        <w:t xml:space="preserve">contrato, pues no tiene sentido prolongar la vigencia después de este periodo dado que para ese momento el contratista no estará realizando actividades o labores susceptibles de causar daños a terceros y, por lo tanto, no habrá </w:t>
      </w:r>
      <w:r>
        <w:rPr>
          <w:rFonts w:ascii="Verdana" w:hAnsi="Verdana" w:cs="Arial"/>
          <w:lang w:eastAsia="es-ES"/>
        </w:rPr>
        <w:t>r</w:t>
      </w:r>
      <w:r w:rsidRPr="0015618D">
        <w:rPr>
          <w:rFonts w:ascii="Verdana" w:hAnsi="Verdana" w:cs="Arial"/>
          <w:lang w:eastAsia="es-ES"/>
        </w:rPr>
        <w:t xml:space="preserve">iesgo que cubrir a través de esta póliza. </w:t>
      </w:r>
    </w:p>
    <w:p w14:paraId="0556BB2A" w14:textId="77777777" w:rsidR="004F1E0E" w:rsidRDefault="004F1E0E" w:rsidP="004F1E0E">
      <w:pPr>
        <w:widowControl w:val="0"/>
        <w:autoSpaceDE w:val="0"/>
        <w:autoSpaceDN w:val="0"/>
        <w:snapToGrid w:val="0"/>
        <w:spacing w:before="120" w:after="0" w:line="276" w:lineRule="auto"/>
        <w:ind w:right="98" w:firstLine="708"/>
        <w:jc w:val="both"/>
        <w:rPr>
          <w:rFonts w:ascii="Verdana" w:eastAsia="Calibri" w:hAnsi="Verdana" w:cs="Arial"/>
          <w:color w:val="000000"/>
          <w:lang w:val="es-ES"/>
        </w:rPr>
      </w:pPr>
      <w:r w:rsidRPr="0015618D">
        <w:rPr>
          <w:rFonts w:ascii="Verdana" w:eastAsia="Calibri" w:hAnsi="Verdana" w:cs="Arial"/>
          <w:color w:val="000000"/>
          <w:lang w:val="es-ES"/>
        </w:rPr>
        <w:t xml:space="preserve">Finalmente, el artículo </w:t>
      </w:r>
      <w:bookmarkStart w:id="12" w:name="2.2.1.2.3.2.9"/>
      <w:bookmarkEnd w:id="12"/>
      <w:r w:rsidRPr="0015618D">
        <w:rPr>
          <w:rFonts w:ascii="Verdana" w:eastAsia="Calibri" w:hAnsi="Verdana" w:cs="Arial"/>
          <w:color w:val="000000"/>
          <w:lang w:val="es-ES"/>
        </w:rPr>
        <w:t xml:space="preserve">2.2.1.2.3.2.9. establece los requisitos del seguro de responsabilidad civil extracontractual, los cuales, al ser esenciales deben estar presentes en todo contrato de seguro contenido en una póliza que cubra lo relativo a la responsabilidad civil extracontractual. Los requisitos se transcriben a continuación: </w:t>
      </w:r>
    </w:p>
    <w:p w14:paraId="6B56E9FC" w14:textId="77777777" w:rsidR="004F1E0E" w:rsidRPr="0015618D" w:rsidRDefault="004F1E0E" w:rsidP="004F1E0E">
      <w:pPr>
        <w:widowControl w:val="0"/>
        <w:autoSpaceDE w:val="0"/>
        <w:autoSpaceDN w:val="0"/>
        <w:snapToGrid w:val="0"/>
        <w:spacing w:after="0" w:line="276" w:lineRule="auto"/>
        <w:ind w:right="98" w:firstLine="708"/>
        <w:jc w:val="both"/>
        <w:rPr>
          <w:rFonts w:ascii="Verdana" w:eastAsia="Calibri" w:hAnsi="Verdana" w:cs="Arial"/>
          <w:color w:val="000000"/>
          <w:lang w:val="es-ES"/>
        </w:rPr>
      </w:pPr>
    </w:p>
    <w:p w14:paraId="005B5D70" w14:textId="77777777" w:rsidR="004F1E0E" w:rsidRPr="006C156F" w:rsidRDefault="004F1E0E" w:rsidP="004F1E0E">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13" w:name="2.2.1.2.3.2.9.1"/>
      <w:bookmarkEnd w:id="13"/>
      <w:r w:rsidRPr="006C156F">
        <w:rPr>
          <w:rFonts w:ascii="Verdana" w:eastAsia="Calibri" w:hAnsi="Verdana" w:cs="Arial"/>
          <w:color w:val="000000"/>
          <w:sz w:val="20"/>
          <w:szCs w:val="20"/>
          <w:lang w:val="es-ES"/>
        </w:rPr>
        <w:t>“1.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4C1C52F3" w14:textId="77777777" w:rsidR="004F1E0E" w:rsidRPr="006C156F" w:rsidRDefault="004F1E0E" w:rsidP="004F1E0E">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14" w:name="2.2.1.2.3.2.9.2"/>
      <w:bookmarkEnd w:id="14"/>
      <w:r w:rsidRPr="006C156F">
        <w:rPr>
          <w:rFonts w:ascii="Verdana" w:eastAsia="Calibri" w:hAnsi="Verdana" w:cs="Arial"/>
          <w:color w:val="000000"/>
          <w:sz w:val="20"/>
          <w:szCs w:val="20"/>
          <w:lang w:val="es-ES"/>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75A71622" w14:textId="77777777" w:rsidR="004F1E0E" w:rsidRPr="006C156F" w:rsidRDefault="004F1E0E" w:rsidP="004F1E0E">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15" w:name="2.2.1.2.3.2.9.3"/>
      <w:bookmarkEnd w:id="15"/>
      <w:r w:rsidRPr="006C156F">
        <w:rPr>
          <w:rFonts w:ascii="Verdana" w:eastAsia="Calibri" w:hAnsi="Verdana" w:cs="Arial"/>
          <w:color w:val="000000"/>
          <w:sz w:val="20"/>
          <w:szCs w:val="20"/>
          <w:lang w:val="es-ES"/>
        </w:rPr>
        <w:t>3. Amparos. El amparo de responsabilidad civil extracontractual debe contener además de la cobertura básica de predios, labores y operaciones, mínimo los siguientes amparos:</w:t>
      </w:r>
    </w:p>
    <w:p w14:paraId="2609071F" w14:textId="77777777" w:rsidR="004F1E0E" w:rsidRPr="006C156F" w:rsidRDefault="004F1E0E" w:rsidP="004F1E0E">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16" w:name="2.2.1.2.3.2.9.3.1"/>
      <w:bookmarkEnd w:id="16"/>
      <w:r w:rsidRPr="006C156F">
        <w:rPr>
          <w:rFonts w:ascii="Verdana" w:eastAsia="Calibri" w:hAnsi="Verdana" w:cs="Arial"/>
          <w:color w:val="000000"/>
          <w:sz w:val="20"/>
          <w:szCs w:val="20"/>
          <w:lang w:val="es-ES"/>
        </w:rPr>
        <w:t>3.1. Cobertura expresa de perjuicios por daño emergente y lucro cesante.</w:t>
      </w:r>
    </w:p>
    <w:p w14:paraId="4362F1F9" w14:textId="77777777" w:rsidR="004F1E0E" w:rsidRPr="006C156F" w:rsidRDefault="004F1E0E" w:rsidP="004F1E0E">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17" w:name="2.2.1.2.3.2.9.3.2"/>
      <w:bookmarkEnd w:id="17"/>
      <w:r w:rsidRPr="006C156F">
        <w:rPr>
          <w:rFonts w:ascii="Verdana" w:eastAsia="Calibri" w:hAnsi="Verdana" w:cs="Arial"/>
          <w:color w:val="000000"/>
          <w:sz w:val="20"/>
          <w:szCs w:val="20"/>
          <w:lang w:val="es-ES"/>
        </w:rPr>
        <w:t>3.2. Cobertura expresa de perjuicios extrapatrimoniales.</w:t>
      </w:r>
    </w:p>
    <w:p w14:paraId="45E9C2C3" w14:textId="77777777" w:rsidR="004F1E0E" w:rsidRPr="006C156F" w:rsidRDefault="004F1E0E" w:rsidP="004F1E0E">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18" w:name="2.2.1.2.3.2.9.3.3"/>
      <w:bookmarkEnd w:id="18"/>
      <w:r w:rsidRPr="006C156F">
        <w:rPr>
          <w:rFonts w:ascii="Verdana" w:eastAsia="Calibri" w:hAnsi="Verdana" w:cs="Arial"/>
          <w:color w:val="000000"/>
          <w:sz w:val="20"/>
          <w:szCs w:val="20"/>
          <w:lang w:val="es-ES"/>
        </w:rPr>
        <w:t>3.3. Cobertura expresa de la responsabilidad surgida por actos de contratistas y subcontratistas, salvo que el subcontratista tenga su propio seguro de responsabilidad extracontractual, con los mismos amparos aquí requeridos</w:t>
      </w:r>
      <w:r w:rsidRPr="006C156F">
        <w:rPr>
          <w:rStyle w:val="Refdenotaalpie"/>
          <w:rFonts w:ascii="Verdana" w:eastAsia="Calibri" w:hAnsi="Verdana" w:cs="Arial"/>
          <w:color w:val="000000"/>
          <w:sz w:val="20"/>
          <w:szCs w:val="20"/>
          <w:lang w:val="es-ES"/>
        </w:rPr>
        <w:footnoteReference w:id="7"/>
      </w:r>
      <w:r w:rsidRPr="006C156F">
        <w:rPr>
          <w:rFonts w:ascii="Verdana" w:eastAsia="Calibri" w:hAnsi="Verdana" w:cs="Arial"/>
          <w:color w:val="000000"/>
          <w:sz w:val="20"/>
          <w:szCs w:val="20"/>
          <w:lang w:val="es-ES"/>
        </w:rPr>
        <w:t>.</w:t>
      </w:r>
    </w:p>
    <w:p w14:paraId="33E17C7F" w14:textId="77777777" w:rsidR="004F1E0E" w:rsidRPr="006C156F" w:rsidRDefault="004F1E0E" w:rsidP="004F1E0E">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19" w:name="2.2.1.2.3.2.9.3.4"/>
      <w:bookmarkEnd w:id="19"/>
      <w:r w:rsidRPr="006C156F">
        <w:rPr>
          <w:rFonts w:ascii="Verdana" w:eastAsia="Calibri" w:hAnsi="Verdana" w:cs="Arial"/>
          <w:color w:val="000000"/>
          <w:sz w:val="20"/>
          <w:szCs w:val="20"/>
          <w:lang w:val="es-ES"/>
        </w:rPr>
        <w:t>3.4. Cobertura expresa de amparo patronal.</w:t>
      </w:r>
    </w:p>
    <w:p w14:paraId="6C71DCD1" w14:textId="77777777" w:rsidR="004F1E0E" w:rsidRPr="006C156F" w:rsidRDefault="004F1E0E" w:rsidP="004F1E0E">
      <w:pPr>
        <w:shd w:val="clear" w:color="auto" w:fill="FFFFFF"/>
        <w:snapToGrid w:val="0"/>
        <w:spacing w:after="0" w:line="240" w:lineRule="auto"/>
        <w:ind w:left="709" w:rightChars="256" w:right="563"/>
        <w:contextualSpacing/>
        <w:jc w:val="both"/>
        <w:rPr>
          <w:rFonts w:ascii="Verdana" w:eastAsia="Calibri" w:hAnsi="Verdana" w:cs="Arial"/>
          <w:color w:val="000000"/>
          <w:sz w:val="20"/>
          <w:szCs w:val="20"/>
          <w:lang w:val="es-ES"/>
        </w:rPr>
      </w:pPr>
      <w:bookmarkStart w:id="20" w:name="2.2.1.2.3.2.9.3.5"/>
      <w:bookmarkEnd w:id="20"/>
      <w:r w:rsidRPr="006C156F">
        <w:rPr>
          <w:rFonts w:ascii="Verdana" w:eastAsia="Calibri" w:hAnsi="Verdana" w:cs="Arial"/>
          <w:color w:val="000000"/>
          <w:sz w:val="20"/>
          <w:szCs w:val="20"/>
          <w:lang w:val="es-ES"/>
        </w:rPr>
        <w:t>3.5. Cobertura expresa de vehículos propios y no propios”.</w:t>
      </w:r>
    </w:p>
    <w:p w14:paraId="67311F1B" w14:textId="77777777" w:rsidR="004F1E0E" w:rsidRPr="00901487" w:rsidRDefault="004F1E0E" w:rsidP="004F1E0E">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p>
    <w:p w14:paraId="62833F46" w14:textId="77777777" w:rsidR="004F1E0E" w:rsidRPr="002023FE" w:rsidRDefault="004F1E0E" w:rsidP="004F1E0E">
      <w:pPr>
        <w:spacing w:after="120" w:line="276" w:lineRule="auto"/>
        <w:ind w:firstLine="708"/>
        <w:jc w:val="both"/>
        <w:rPr>
          <w:rFonts w:ascii="Verdana" w:eastAsia="Calibri" w:hAnsi="Verdana" w:cs="Arial"/>
          <w:color w:val="000000"/>
          <w:lang w:val="es-ES"/>
        </w:rPr>
      </w:pPr>
      <w:r w:rsidRPr="000A669C">
        <w:rPr>
          <w:rFonts w:ascii="Verdana" w:eastAsia="Calibri" w:hAnsi="Verdana" w:cs="Arial"/>
          <w:color w:val="000000"/>
          <w:lang w:val="es-ES"/>
        </w:rPr>
        <w:t xml:space="preserve">Ahora, sin perjuicio de que en todo caso se deba verificar en cada caso concreto el cumplimiento de todas las condiciones establecidas en la norma transcrita, es importante resaltar el requisito contenido en el numeral 2, que exige que la entidad estatal contratante tenga la calidad de asegurado y beneficiario. En ese sentido, en la póliza deberá relacionarse la entidad correspondiente y el contrato objeto de amparo, de allí, que en un análisis particular y concreto de la póliza presentada por el contratista, en todo caso, debe ser posible verificar que su alcance cumpla, especialmente, con este criterio, además de los demás prescritos en la normativa referida. En cualquier caso, son las entidades estatales las que, en cada caso particular, deberán analizar el cumplimiento estricto de los requisitos contemplados en el artículo 2.2.1.2.3.2.9., de forma tal que la póliza presentada resulte acorde con las exigencias que impone el reglamento. </w:t>
      </w:r>
    </w:p>
    <w:p w14:paraId="601F52EB" w14:textId="77777777" w:rsidR="004F1E0E" w:rsidRPr="007552D1" w:rsidRDefault="004F1E0E" w:rsidP="004F1E0E">
      <w:pPr>
        <w:spacing w:after="120" w:line="276" w:lineRule="auto"/>
        <w:ind w:firstLine="708"/>
        <w:jc w:val="both"/>
        <w:rPr>
          <w:rFonts w:ascii="Verdana" w:eastAsia="Calibri" w:hAnsi="Verdana" w:cs="Arial"/>
          <w:bCs/>
          <w:lang w:val="es-ES"/>
        </w:rPr>
      </w:pPr>
      <w:r>
        <w:rPr>
          <w:rFonts w:ascii="Verdana" w:eastAsia="Calibri" w:hAnsi="Verdana" w:cs="Arial"/>
          <w:bCs/>
          <w:lang w:val="es-ES"/>
        </w:rPr>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obligatoriedad de la garantía de responsabilidad civil extracontractual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w:t>
      </w:r>
      <w:r>
        <w:rPr>
          <w:rFonts w:ascii="Verdana" w:hAnsi="Verdana" w:cs="Arial"/>
          <w:lang w:val="es-ES_tradnl" w:eastAsia="es-ES"/>
        </w:rPr>
        <w:t xml:space="preserve">interpretarse </w:t>
      </w:r>
      <w:r w:rsidRPr="00B17041">
        <w:rPr>
          <w:rFonts w:ascii="Verdana" w:hAnsi="Verdana" w:cs="Arial"/>
          <w:lang w:val="es-ES_tradnl" w:eastAsia="es-ES"/>
        </w:rPr>
        <w:t>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CBCF031" w14:textId="77777777" w:rsidR="004F1E0E" w:rsidRPr="00CD0DCD" w:rsidRDefault="004F1E0E" w:rsidP="004F1E0E">
      <w:pPr>
        <w:spacing w:after="0" w:line="276" w:lineRule="auto"/>
        <w:jc w:val="both"/>
        <w:rPr>
          <w:rFonts w:ascii="Verdana" w:eastAsia="Calibri" w:hAnsi="Verdana" w:cs="Arial"/>
          <w:lang w:val="es-ES" w:eastAsia="es-MX"/>
        </w:rPr>
      </w:pPr>
    </w:p>
    <w:p w14:paraId="67575413" w14:textId="77777777" w:rsidR="004F1E0E" w:rsidRPr="00B57A1B" w:rsidRDefault="004F1E0E" w:rsidP="004F1E0E">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1C4159A9" w14:textId="77777777" w:rsidR="004F1E0E" w:rsidRPr="00B57A1B" w:rsidRDefault="004F1E0E" w:rsidP="004F1E0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F1E0E" w:rsidRPr="00B57A1B" w14:paraId="06207BEC" w14:textId="77777777" w:rsidTr="002F6D1B">
        <w:trPr>
          <w:trHeight w:val="487"/>
          <w:jc w:val="center"/>
        </w:trPr>
        <w:tc>
          <w:tcPr>
            <w:tcW w:w="8647" w:type="dxa"/>
          </w:tcPr>
          <w:p w14:paraId="12196C6F" w14:textId="77777777" w:rsidR="004F1E0E" w:rsidRPr="00984996" w:rsidRDefault="004F1E0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11469F">
              <w:rPr>
                <w:rFonts w:ascii="Verdana" w:eastAsia="Arial MT" w:hAnsi="Verdana" w:cs="Arial"/>
                <w:lang w:val="es-ES" w:eastAsia="es-ES" w:bidi="es-ES"/>
              </w:rPr>
              <w:t xml:space="preserve"> </w:t>
            </w:r>
            <w:r w:rsidRPr="00984996">
              <w:rPr>
                <w:rFonts w:ascii="Verdana" w:eastAsia="Arial MT" w:hAnsi="Verdana" w:cs="Arial"/>
                <w:lang w:val="es-ES" w:eastAsia="es-ES" w:bidi="es-ES"/>
              </w:rPr>
              <w:t>Ley 1150 de 2007, artículo</w:t>
            </w:r>
            <w:r>
              <w:rPr>
                <w:rFonts w:ascii="Verdana" w:eastAsia="Arial MT" w:hAnsi="Verdana" w:cs="Arial"/>
                <w:lang w:val="es-ES" w:eastAsia="es-ES" w:bidi="es-ES"/>
              </w:rPr>
              <w:t xml:space="preserve">s 4 y 7. </w:t>
            </w:r>
          </w:p>
          <w:p w14:paraId="74618F1A" w14:textId="77777777" w:rsidR="004F1E0E" w:rsidRPr="006D6938" w:rsidRDefault="004F1E0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84996">
              <w:rPr>
                <w:rFonts w:ascii="Verdana" w:eastAsia="Arial MT" w:hAnsi="Verdana" w:cs="Arial"/>
                <w:lang w:val="es-ES" w:eastAsia="es-ES" w:bidi="es-ES"/>
              </w:rPr>
              <w:t>Decreto 1082 de 2015, artículos 2.2.1.2.3.1.1 a 2.2.1.2.3.1.19.</w:t>
            </w:r>
          </w:p>
          <w:p w14:paraId="5DBBBBCC" w14:textId="77777777" w:rsidR="004F1E0E" w:rsidRPr="006D6938" w:rsidRDefault="004F1E0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84996">
              <w:rPr>
                <w:rFonts w:ascii="Verdana" w:eastAsia="Arial MT" w:hAnsi="Verdana" w:cs="Arial"/>
                <w:lang w:val="es-ES" w:eastAsia="es-ES" w:bidi="es-ES"/>
              </w:rPr>
              <w:t xml:space="preserve">COLOMBIA COMPRA EFICIENTE. Guía de garantías en procesos de contratación. p. 12. Disponible en: </w:t>
            </w:r>
            <w:hyperlink r:id="rId14" w:history="1">
              <w:r w:rsidRPr="00BC2E34">
                <w:rPr>
                  <w:rStyle w:val="Hipervnculo"/>
                  <w:rFonts w:ascii="Verdana" w:eastAsia="Arial MT" w:hAnsi="Verdana" w:cs="Arial"/>
                  <w:lang w:val="es-ES" w:eastAsia="es-ES" w:bidi="es-ES"/>
                </w:rPr>
                <w:t>https://www.colombiacompra.gov.co/manuales-guias-y-pliegos-tipo/manuales-y-guias</w:t>
              </w:r>
            </w:hyperlink>
            <w:r w:rsidRPr="00984996">
              <w:rPr>
                <w:rFonts w:ascii="Verdana" w:eastAsia="Arial MT" w:hAnsi="Verdana" w:cs="Arial"/>
                <w:lang w:val="es-ES" w:eastAsia="es-ES" w:bidi="es-ES"/>
              </w:rPr>
              <w:t>.</w:t>
            </w:r>
            <w:r>
              <w:rPr>
                <w:rFonts w:ascii="Verdana" w:eastAsia="Arial MT" w:hAnsi="Verdana" w:cs="Arial"/>
                <w:lang w:val="es-ES" w:eastAsia="es-ES" w:bidi="es-ES"/>
              </w:rPr>
              <w:t xml:space="preserve"> </w:t>
            </w:r>
          </w:p>
        </w:tc>
      </w:tr>
    </w:tbl>
    <w:p w14:paraId="273EB50C" w14:textId="77777777" w:rsidR="004F1E0E" w:rsidRPr="00B57A1B" w:rsidRDefault="004F1E0E" w:rsidP="004F1E0E">
      <w:pPr>
        <w:widowControl w:val="0"/>
        <w:autoSpaceDE w:val="0"/>
        <w:autoSpaceDN w:val="0"/>
        <w:spacing w:after="0" w:line="276" w:lineRule="auto"/>
        <w:jc w:val="both"/>
        <w:rPr>
          <w:rFonts w:ascii="Verdana" w:hAnsi="Verdana" w:cs="Arial"/>
        </w:rPr>
      </w:pPr>
    </w:p>
    <w:p w14:paraId="2BB45C8F" w14:textId="77777777" w:rsidR="004F1E0E" w:rsidRPr="00B57A1B" w:rsidRDefault="004F1E0E" w:rsidP="004F1E0E">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414FB390" w14:textId="77777777" w:rsidR="004F1E0E" w:rsidRPr="00B57A1B" w:rsidRDefault="004F1E0E" w:rsidP="004F1E0E">
      <w:pPr>
        <w:widowControl w:val="0"/>
        <w:autoSpaceDE w:val="0"/>
        <w:autoSpaceDN w:val="0"/>
        <w:spacing w:after="0" w:line="276" w:lineRule="auto"/>
        <w:jc w:val="both"/>
        <w:rPr>
          <w:rFonts w:ascii="Verdana" w:hAnsi="Verdana" w:cs="Arial"/>
        </w:rPr>
      </w:pPr>
    </w:p>
    <w:p w14:paraId="29A87E72" w14:textId="77777777" w:rsidR="004F1E0E" w:rsidRPr="007D6CC8" w:rsidRDefault="004F1E0E" w:rsidP="004F1E0E">
      <w:pPr>
        <w:widowControl w:val="0"/>
        <w:autoSpaceDE w:val="0"/>
        <w:autoSpaceDN w:val="0"/>
        <w:spacing w:after="0" w:line="276" w:lineRule="auto"/>
        <w:jc w:val="both"/>
        <w:rPr>
          <w:rFonts w:ascii="Verdana" w:hAnsi="Verdana" w:cs="Arial"/>
          <w:shd w:val="clear" w:color="auto" w:fill="FFFFFF"/>
        </w:rPr>
      </w:pPr>
      <w:r w:rsidRPr="00B547DE">
        <w:rPr>
          <w:rFonts w:ascii="Verdana" w:eastAsia="Calibri" w:hAnsi="Verdana" w:cs="Arial"/>
          <w:lang w:val="es-ES"/>
        </w:rPr>
        <w:t>La Agencia Nacional de Contratación Pública – Colombia Compra Eficiente se ha</w:t>
      </w:r>
      <w:r>
        <w:rPr>
          <w:rFonts w:ascii="Verdana" w:eastAsia="Calibri" w:hAnsi="Verdana" w:cs="Arial"/>
          <w:lang w:val="es-ES"/>
        </w:rPr>
        <w:t xml:space="preserve"> pronunciado </w:t>
      </w:r>
      <w:r w:rsidRPr="00106FA6">
        <w:rPr>
          <w:rFonts w:ascii="Verdana" w:eastAsia="Calibri" w:hAnsi="Verdana" w:cs="Arial"/>
          <w:shd w:val="clear" w:color="auto" w:fill="FFFFFF"/>
        </w:rPr>
        <w:t>sobre el régimen de garantías en los Conceptos 2201913000009075 del 9 de diciembre de 2019, C-080 del 8 de abril de 2021, C-525 del 27 de septiembre de 2021, C-567 del 08 de octubre del 2021, C-036 del 28 de febrero del 2022, C-126 de 25 de marzo de 2022, C-583 del 19 de octubre de 2022, C-584 del 26 de septiembre de 2022, C-712 del 13 de octubre de 2022 y C-845 del 7 de diciembre de 2022, C-036 del 31 de marzo de 2023, C-386 del 31 de enero de 2024</w:t>
      </w:r>
      <w:r>
        <w:rPr>
          <w:rFonts w:ascii="Verdana" w:eastAsia="Calibri" w:hAnsi="Verdana" w:cs="Arial"/>
          <w:shd w:val="clear" w:color="auto" w:fill="FFFFFF"/>
        </w:rPr>
        <w:t>,</w:t>
      </w:r>
      <w:r w:rsidRPr="00106FA6">
        <w:rPr>
          <w:rFonts w:ascii="Verdana" w:eastAsia="Calibri" w:hAnsi="Verdana" w:cs="Arial"/>
          <w:shd w:val="clear" w:color="auto" w:fill="FFFFFF"/>
        </w:rPr>
        <w:t xml:space="preserve"> C-306 del 12 de agosto de 2024</w:t>
      </w:r>
      <w:r>
        <w:rPr>
          <w:rFonts w:ascii="Verdana" w:eastAsia="Calibri" w:hAnsi="Verdana" w:cs="Arial"/>
          <w:shd w:val="clear" w:color="auto" w:fill="FFFFFF"/>
        </w:rPr>
        <w:t xml:space="preserve"> y C-099 del 21 de febrero de 2025. Sobre </w:t>
      </w:r>
      <w:r>
        <w:rPr>
          <w:rFonts w:ascii="Verdana" w:eastAsia="Calibri" w:hAnsi="Verdana" w:cs="Arial"/>
          <w:lang w:val="es-ES"/>
        </w:rPr>
        <w:t xml:space="preserve">el seguro de responsabilidad civil extracontractual se ha referido en los conceptos </w:t>
      </w:r>
      <w:r w:rsidRPr="00B92002">
        <w:rPr>
          <w:rFonts w:ascii="Verdana" w:eastAsia="Calibri" w:hAnsi="Verdana" w:cs="Arial"/>
          <w:lang w:val="es-ES"/>
        </w:rPr>
        <w:t>C-099 del 21 de febrero de 2025, C-124 del</w:t>
      </w:r>
      <w:r>
        <w:rPr>
          <w:rFonts w:ascii="Verdana" w:eastAsia="Calibri" w:hAnsi="Verdana" w:cs="Arial"/>
        </w:rPr>
        <w:t xml:space="preserve"> 10 de marzo de</w:t>
      </w:r>
      <w:r w:rsidRPr="00B92002">
        <w:rPr>
          <w:rFonts w:ascii="Verdana" w:eastAsia="Calibri" w:hAnsi="Verdana" w:cs="Arial"/>
        </w:rPr>
        <w:t xml:space="preserve"> 2025</w:t>
      </w:r>
      <w:r>
        <w:rPr>
          <w:rFonts w:ascii="Verdana" w:eastAsia="Calibri" w:hAnsi="Verdana" w:cs="Arial"/>
        </w:rPr>
        <w:t>,</w:t>
      </w:r>
      <w:r w:rsidRPr="00B92002">
        <w:rPr>
          <w:rFonts w:ascii="Verdana" w:eastAsia="Calibri" w:hAnsi="Verdana" w:cs="Arial"/>
          <w:b/>
          <w:bCs/>
          <w:lang w:val="es-ES" w:eastAsia="es-ES"/>
        </w:rPr>
        <w:t xml:space="preserve"> </w:t>
      </w:r>
      <w:r w:rsidRPr="00B92002">
        <w:rPr>
          <w:rFonts w:ascii="Verdana" w:eastAsia="Calibri" w:hAnsi="Verdana" w:cs="Arial"/>
          <w:lang w:val="es-ES" w:eastAsia="es-ES"/>
        </w:rPr>
        <w:t>C-452 del 15 de mayo de 2025</w:t>
      </w:r>
      <w:r w:rsidRPr="008D776B">
        <w:rPr>
          <w:rFonts w:ascii="Verdana" w:eastAsia="Calibri" w:hAnsi="Verdana" w:cs="Arial"/>
          <w:lang w:val="es-ES" w:eastAsia="es-ES"/>
        </w:rPr>
        <w:t>,</w:t>
      </w:r>
      <w:r w:rsidRPr="005F0612">
        <w:rPr>
          <w:rFonts w:ascii="Verdana" w:eastAsia="Aptos" w:hAnsi="Verdana" w:cs="Arial"/>
          <w:shd w:val="clear" w:color="auto" w:fill="FFFFFF"/>
          <w:lang w:val="es-ES"/>
        </w:rPr>
        <w:t xml:space="preserve"> </w:t>
      </w:r>
      <w:r w:rsidRPr="007A24AF">
        <w:rPr>
          <w:rFonts w:ascii="Verdana" w:eastAsia="Calibri" w:hAnsi="Verdana" w:cs="Arial"/>
          <w:lang w:val="es-ES" w:eastAsia="es-ES"/>
        </w:rPr>
        <w:t xml:space="preserve">C–1260 del 25 de septiembre de 2025, </w:t>
      </w:r>
      <w:r>
        <w:rPr>
          <w:rFonts w:ascii="Verdana" w:eastAsia="Calibri" w:hAnsi="Verdana" w:cs="Arial"/>
          <w:lang w:val="es-ES" w:eastAsia="es-ES"/>
        </w:rPr>
        <w:t xml:space="preserve">C-1301 del 17 de octubre de 2025, </w:t>
      </w:r>
      <w:r w:rsidRPr="007A24AF">
        <w:rPr>
          <w:rFonts w:ascii="Verdana" w:eastAsia="Calibri" w:hAnsi="Verdana" w:cs="Arial"/>
          <w:lang w:val="es-ES" w:eastAsia="es-ES"/>
        </w:rPr>
        <w:t>entre otros</w:t>
      </w:r>
      <w:r w:rsidRPr="00B547DE">
        <w:rPr>
          <w:rFonts w:ascii="Verdana" w:eastAsia="Calibri" w:hAnsi="Verdana" w:cs="Arial"/>
          <w:lang w:val="es-ES" w:eastAsia="es-ES"/>
        </w:rPr>
        <w:t>.</w:t>
      </w:r>
      <w:r w:rsidRPr="00B547DE">
        <w:rPr>
          <w:rFonts w:ascii="Verdana" w:hAnsi="Verdana" w:cs="Arial"/>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0079ACE" w14:textId="77777777" w:rsidR="004F1E0E" w:rsidRPr="00185EE9" w:rsidRDefault="00504067" w:rsidP="004F1E0E">
      <w:pPr>
        <w:spacing w:after="0" w:line="256" w:lineRule="auto"/>
        <w:jc w:val="both"/>
        <w:rPr>
          <w:rFonts w:ascii="Verdana" w:eastAsia="Calibri" w:hAnsi="Verdana" w:cs="Times New Roman"/>
        </w:rPr>
      </w:pPr>
      <w:hyperlink r:id="rId15" w:history="1">
        <w:r w:rsidR="004F1E0E" w:rsidRPr="00F14AAD">
          <w:rPr>
            <w:rStyle w:val="Hipervnculo"/>
            <w:rFonts w:ascii="Verdana" w:eastAsia="Calibri" w:hAnsi="Verdana" w:cs="Times New Roman"/>
            <w:lang w:val="es-ES"/>
          </w:rPr>
          <w:t>https://relatoria.colombiacompra.gov.co/busqueda/conceptos</w:t>
        </w:r>
      </w:hyperlink>
      <w:r w:rsidR="004F1E0E" w:rsidRPr="00185EE9">
        <w:rPr>
          <w:rFonts w:ascii="Verdana" w:eastAsia="Calibri" w:hAnsi="Verdana" w:cs="Times New Roman"/>
        </w:rPr>
        <w:t xml:space="preserve">. </w:t>
      </w:r>
    </w:p>
    <w:p w14:paraId="7ECA9DEF" w14:textId="77777777" w:rsidR="004F1E0E" w:rsidRPr="00B57A1B" w:rsidRDefault="004F1E0E" w:rsidP="004F1E0E">
      <w:pPr>
        <w:spacing w:after="0"/>
        <w:jc w:val="both"/>
        <w:rPr>
          <w:rFonts w:ascii="Verdana" w:hAnsi="Verdana"/>
        </w:rPr>
      </w:pPr>
    </w:p>
    <w:p w14:paraId="3E19D681" w14:textId="77777777" w:rsidR="004F1E0E" w:rsidRPr="00B57A1B" w:rsidRDefault="004F1E0E" w:rsidP="004F1E0E">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0046F64C" w14:textId="77777777" w:rsidR="004F1E0E" w:rsidRPr="00B57A1B" w:rsidRDefault="004F1E0E" w:rsidP="004F1E0E">
      <w:pPr>
        <w:spacing w:after="0" w:line="240" w:lineRule="auto"/>
        <w:jc w:val="both"/>
        <w:rPr>
          <w:rFonts w:ascii="Verdana" w:hAnsi="Verdana"/>
        </w:rPr>
      </w:pPr>
    </w:p>
    <w:p w14:paraId="3D637682" w14:textId="77777777" w:rsidR="004F1E0E" w:rsidRPr="00B57A1B" w:rsidRDefault="004F1E0E" w:rsidP="004F1E0E">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BC63C36" w14:textId="77777777" w:rsidR="004F1E0E" w:rsidRPr="00B57A1B" w:rsidRDefault="004F1E0E" w:rsidP="004F1E0E">
      <w:pPr>
        <w:spacing w:after="0" w:line="256" w:lineRule="auto"/>
        <w:jc w:val="both"/>
        <w:rPr>
          <w:rFonts w:ascii="Verdana" w:eastAsia="Calibri" w:hAnsi="Verdana" w:cs="Times New Roman"/>
        </w:rPr>
      </w:pPr>
    </w:p>
    <w:p w14:paraId="6F00A374" w14:textId="77777777" w:rsidR="004F1E0E" w:rsidRPr="00330FB6" w:rsidRDefault="004F1E0E" w:rsidP="004F1E0E">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068B900E" w14:textId="77777777" w:rsidR="004F1E0E" w:rsidRDefault="004F1E0E" w:rsidP="004F1E0E">
      <w:pPr>
        <w:spacing w:after="0"/>
        <w:rPr>
          <w:rFonts w:ascii="Verdana" w:hAnsi="Verdana"/>
          <w:sz w:val="16"/>
          <w:szCs w:val="16"/>
        </w:rPr>
      </w:pPr>
    </w:p>
    <w:p w14:paraId="332226C1" w14:textId="0799ED8D" w:rsidR="004F1E0E" w:rsidRDefault="00315F18" w:rsidP="004F1E0E">
      <w:pPr>
        <w:spacing w:after="0" w:line="256" w:lineRule="auto"/>
        <w:jc w:val="center"/>
      </w:pPr>
      <w:r>
        <w:rPr>
          <w:noProof/>
          <w:lang w:val="en-US"/>
        </w:rPr>
        <w:drawing>
          <wp:inline distT="0" distB="0" distL="0" distR="0" wp14:anchorId="373AFA4A" wp14:editId="10A29A78">
            <wp:extent cx="3190009" cy="1346309"/>
            <wp:effectExtent l="0" t="0" r="0" b="6350"/>
            <wp:docPr id="1" name="Imagen 1" descr="C:\Users\José Luis\OneDrive\Documentos\COLOMBIA COMPRA EFICIENTE\2025\REPARTO\C-800 PAGO DE LA SEGURIDAD SOCIAL- REFORMA PENSIONAL 14-07-2025\thumbnail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é Luis\OneDrive\Documentos\COLOMBIA COMPRA EFICIENTE\2025\REPARTO\C-800 PAGO DE LA SEGURIDAD SOCIAL- REFORMA PENSIONAL 14-07-2025\thumbnail_imag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5662" cy="1382458"/>
                    </a:xfrm>
                    <a:prstGeom prst="rect">
                      <a:avLst/>
                    </a:prstGeom>
                    <a:noFill/>
                    <a:ln>
                      <a:noFill/>
                    </a:ln>
                  </pic:spPr>
                </pic:pic>
              </a:graphicData>
            </a:graphic>
          </wp:inline>
        </w:drawing>
      </w:r>
    </w:p>
    <w:p w14:paraId="40358065" w14:textId="77777777" w:rsidR="004F1E0E" w:rsidRDefault="004F1E0E" w:rsidP="004F1E0E">
      <w:pPr>
        <w:spacing w:after="0" w:line="256" w:lineRule="auto"/>
        <w:jc w:val="cente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F1E0E" w:rsidRPr="00624164" w14:paraId="311DB198" w14:textId="77777777" w:rsidTr="002F6D1B">
        <w:trPr>
          <w:trHeight w:val="409"/>
        </w:trPr>
        <w:tc>
          <w:tcPr>
            <w:tcW w:w="817" w:type="dxa"/>
            <w:tcBorders>
              <w:top w:val="nil"/>
              <w:left w:val="nil"/>
              <w:bottom w:val="nil"/>
              <w:right w:val="nil"/>
            </w:tcBorders>
            <w:vAlign w:val="center"/>
            <w:hideMark/>
          </w:tcPr>
          <w:p w14:paraId="5F8B8B11" w14:textId="77777777" w:rsidR="004F1E0E" w:rsidRPr="00624164" w:rsidRDefault="004F1E0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0762E5FE" w14:textId="77777777" w:rsidR="004F1E0E" w:rsidRPr="00624164" w:rsidRDefault="004F1E0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José Luis Sánchez Cardona</w:t>
            </w:r>
          </w:p>
          <w:p w14:paraId="781DFA71" w14:textId="77777777" w:rsidR="004F1E0E" w:rsidRPr="00624164" w:rsidRDefault="004F1E0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Contratista de la Subdirección de Gestión Contractual</w:t>
            </w:r>
          </w:p>
        </w:tc>
      </w:tr>
      <w:tr w:rsidR="004F1E0E" w:rsidRPr="00624164" w14:paraId="3049080D" w14:textId="77777777" w:rsidTr="002F6D1B">
        <w:trPr>
          <w:trHeight w:val="409"/>
        </w:trPr>
        <w:tc>
          <w:tcPr>
            <w:tcW w:w="817" w:type="dxa"/>
            <w:tcBorders>
              <w:top w:val="nil"/>
              <w:left w:val="nil"/>
              <w:bottom w:val="nil"/>
              <w:right w:val="nil"/>
            </w:tcBorders>
            <w:vAlign w:val="center"/>
            <w:hideMark/>
          </w:tcPr>
          <w:p w14:paraId="5B32E776" w14:textId="77777777" w:rsidR="004F1E0E" w:rsidRPr="00624164" w:rsidRDefault="004F1E0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AE69280" w14:textId="77777777" w:rsidR="004F1E0E" w:rsidRPr="00624164" w:rsidRDefault="004F1E0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Alejandro Sarmiento Cantillo</w:t>
            </w:r>
          </w:p>
          <w:p w14:paraId="0A8F2347" w14:textId="77777777" w:rsidR="004F1E0E" w:rsidRPr="00624164" w:rsidRDefault="004F1E0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Gestor T1-15 de la Subdirección de Gestión Contractual </w:t>
            </w:r>
          </w:p>
        </w:tc>
      </w:tr>
      <w:tr w:rsidR="004F1E0E" w:rsidRPr="00624164" w14:paraId="2DB6A439" w14:textId="77777777" w:rsidTr="002F6D1B">
        <w:trPr>
          <w:trHeight w:val="389"/>
        </w:trPr>
        <w:tc>
          <w:tcPr>
            <w:tcW w:w="817" w:type="dxa"/>
            <w:tcBorders>
              <w:top w:val="nil"/>
              <w:left w:val="nil"/>
              <w:bottom w:val="nil"/>
              <w:right w:val="nil"/>
            </w:tcBorders>
            <w:vAlign w:val="center"/>
            <w:hideMark/>
          </w:tcPr>
          <w:p w14:paraId="7CC6A978" w14:textId="77777777" w:rsidR="004F1E0E" w:rsidRPr="00624164" w:rsidRDefault="004F1E0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C605D1F" w14:textId="77777777" w:rsidR="004F1E0E" w:rsidRPr="00624164" w:rsidRDefault="004F1E0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Ana María Tolosa Rico</w:t>
            </w:r>
          </w:p>
          <w:p w14:paraId="47E16A45" w14:textId="77777777" w:rsidR="004F1E0E" w:rsidRPr="00624164" w:rsidRDefault="004F1E0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 xml:space="preserve">Subdirectora de Gestión Contractual </w:t>
            </w:r>
            <w:r>
              <w:rPr>
                <w:rFonts w:ascii="Verdana" w:eastAsia="Calibri" w:hAnsi="Verdana" w:cs="Times New Roman"/>
                <w:sz w:val="16"/>
                <w:szCs w:val="16"/>
              </w:rPr>
              <w:t>(</w:t>
            </w:r>
            <w:r w:rsidRPr="00624164">
              <w:rPr>
                <w:rFonts w:ascii="Verdana" w:eastAsia="Calibri" w:hAnsi="Verdana" w:cs="Times New Roman"/>
                <w:sz w:val="16"/>
                <w:szCs w:val="16"/>
              </w:rPr>
              <w:t>E) ANC</w:t>
            </w:r>
            <w:r>
              <w:rPr>
                <w:rFonts w:ascii="Verdana" w:eastAsia="Calibri" w:hAnsi="Verdana" w:cs="Times New Roman"/>
                <w:sz w:val="16"/>
                <w:szCs w:val="16"/>
              </w:rPr>
              <w:t>P</w:t>
            </w:r>
            <w:r w:rsidRPr="00624164">
              <w:rPr>
                <w:rFonts w:ascii="Verdana" w:eastAsia="Calibri" w:hAnsi="Verdana" w:cs="Times New Roman"/>
                <w:sz w:val="16"/>
                <w:szCs w:val="16"/>
              </w:rPr>
              <w:t xml:space="preserve"> – CCE </w:t>
            </w:r>
          </w:p>
        </w:tc>
      </w:tr>
    </w:tbl>
    <w:p w14:paraId="52C6D94D" w14:textId="77777777" w:rsidR="004F1E0E" w:rsidRPr="00330FB6" w:rsidRDefault="004F1E0E" w:rsidP="004F1E0E">
      <w:pPr>
        <w:spacing w:after="0"/>
        <w:rPr>
          <w:rFonts w:ascii="Verdana" w:hAnsi="Verdana"/>
          <w:sz w:val="16"/>
          <w:szCs w:val="16"/>
        </w:rPr>
      </w:pPr>
    </w:p>
    <w:bookmarkEnd w:id="0"/>
    <w:p w14:paraId="5D64733D" w14:textId="47D5F93F" w:rsidR="007A1830" w:rsidRPr="004F1E0E" w:rsidRDefault="007A1830" w:rsidP="004F1E0E"/>
    <w:sectPr w:rsidR="007A1830" w:rsidRPr="004F1E0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6C32A" w14:textId="77777777" w:rsidR="00192521" w:rsidRDefault="00192521" w:rsidP="004A1847">
      <w:pPr>
        <w:spacing w:after="0" w:line="240" w:lineRule="auto"/>
      </w:pPr>
      <w:r>
        <w:separator/>
      </w:r>
    </w:p>
  </w:endnote>
  <w:endnote w:type="continuationSeparator" w:id="0">
    <w:p w14:paraId="043DC2A2" w14:textId="77777777" w:rsidR="00192521" w:rsidRDefault="0019252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altName w:val="Calibri"/>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49B0AFDC"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B1652B" w:rsidRPr="00B1652B">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AF3A6" w14:textId="77777777" w:rsidR="00192521" w:rsidRDefault="00192521" w:rsidP="004A1847">
      <w:pPr>
        <w:spacing w:after="0" w:line="240" w:lineRule="auto"/>
      </w:pPr>
      <w:r>
        <w:separator/>
      </w:r>
    </w:p>
  </w:footnote>
  <w:footnote w:type="continuationSeparator" w:id="0">
    <w:p w14:paraId="6A5026DC" w14:textId="77777777" w:rsidR="00192521" w:rsidRDefault="00192521" w:rsidP="004A1847">
      <w:pPr>
        <w:spacing w:after="0" w:line="240" w:lineRule="auto"/>
      </w:pPr>
      <w:r>
        <w:continuationSeparator/>
      </w:r>
    </w:p>
  </w:footnote>
  <w:footnote w:id="1">
    <w:p w14:paraId="7252D1C7" w14:textId="77777777" w:rsidR="004F1E0E" w:rsidRPr="00683240" w:rsidRDefault="004F1E0E" w:rsidP="004F1E0E">
      <w:pPr>
        <w:pStyle w:val="Textonotapie"/>
        <w:ind w:firstLine="708"/>
        <w:rPr>
          <w:rFonts w:ascii="Verdana" w:hAnsi="Verdana" w:cs="Arial"/>
          <w:sz w:val="16"/>
          <w:szCs w:val="16"/>
        </w:rPr>
      </w:pPr>
      <w:r w:rsidRPr="00683240">
        <w:rPr>
          <w:rStyle w:val="Refdenotaalpie"/>
          <w:rFonts w:ascii="Verdana" w:hAnsi="Verdana" w:cs="Arial"/>
          <w:sz w:val="16"/>
          <w:szCs w:val="16"/>
        </w:rPr>
        <w:footnoteRef/>
      </w:r>
      <w:r w:rsidRPr="00683240">
        <w:rPr>
          <w:rFonts w:ascii="Verdana" w:hAnsi="Verdana" w:cs="Arial"/>
          <w:sz w:val="16"/>
          <w:szCs w:val="16"/>
        </w:rPr>
        <w:t xml:space="preserve"> COLOMBIA COMPRA EFICIENTE. Guía de garantías en procesos de contratación. p. 12. Disponible en: </w:t>
      </w:r>
      <w:hyperlink r:id="rId1" w:history="1">
        <w:r w:rsidRPr="00683240">
          <w:rPr>
            <w:rStyle w:val="Hipervnculo"/>
            <w:rFonts w:ascii="Verdana" w:hAnsi="Verdana" w:cs="Arial"/>
            <w:sz w:val="16"/>
            <w:szCs w:val="16"/>
          </w:rPr>
          <w:t>https://www.colombiacompra.gov.co/manuales-guias-y-pliegos-tipo/manuales-y-guias</w:t>
        </w:r>
      </w:hyperlink>
      <w:r w:rsidRPr="00683240">
        <w:rPr>
          <w:rFonts w:ascii="Verdana" w:hAnsi="Verdana" w:cs="Arial"/>
          <w:sz w:val="16"/>
          <w:szCs w:val="16"/>
        </w:rPr>
        <w:t xml:space="preserve">. </w:t>
      </w:r>
    </w:p>
    <w:p w14:paraId="6E46BC1F" w14:textId="77777777" w:rsidR="004F1E0E" w:rsidRPr="00683240" w:rsidRDefault="004F1E0E" w:rsidP="004F1E0E">
      <w:pPr>
        <w:pStyle w:val="Textonotapie"/>
        <w:ind w:firstLine="708"/>
        <w:rPr>
          <w:rFonts w:ascii="Verdana" w:hAnsi="Verdana" w:cs="Arial"/>
          <w:sz w:val="16"/>
          <w:szCs w:val="16"/>
          <w:lang w:val="es-CO"/>
        </w:rPr>
      </w:pPr>
    </w:p>
  </w:footnote>
  <w:footnote w:id="2">
    <w:p w14:paraId="2AABE2C8" w14:textId="77777777" w:rsidR="004F1E0E" w:rsidRPr="00683240" w:rsidRDefault="004F1E0E" w:rsidP="004F1E0E">
      <w:pPr>
        <w:pStyle w:val="Textonotapie"/>
        <w:ind w:firstLine="708"/>
        <w:jc w:val="both"/>
        <w:rPr>
          <w:rFonts w:ascii="Verdana" w:hAnsi="Verdana" w:cs="Arial"/>
          <w:sz w:val="16"/>
          <w:szCs w:val="16"/>
        </w:rPr>
      </w:pPr>
      <w:r w:rsidRPr="00683240">
        <w:rPr>
          <w:rStyle w:val="Refdenotaalpie"/>
          <w:rFonts w:ascii="Verdana" w:hAnsi="Verdana" w:cs="Arial"/>
          <w:sz w:val="16"/>
          <w:szCs w:val="16"/>
        </w:rPr>
        <w:footnoteRef/>
      </w:r>
      <w:r w:rsidRPr="00683240">
        <w:rPr>
          <w:rFonts w:ascii="Verdana" w:hAnsi="Verdana" w:cs="Arial"/>
          <w:sz w:val="16"/>
          <w:szCs w:val="16"/>
        </w:rPr>
        <w:t xml:space="preserve"> Ibídem., p. 17. La guía además señala en relación con las garantías bancarias y cartas de crédito stand 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 w:id="3">
    <w:p w14:paraId="1F27CD54" w14:textId="77777777" w:rsidR="004F1E0E" w:rsidRPr="00683240" w:rsidRDefault="004F1E0E" w:rsidP="004F1E0E">
      <w:pPr>
        <w:pStyle w:val="Textonotapie"/>
        <w:ind w:firstLine="708"/>
        <w:jc w:val="both"/>
        <w:rPr>
          <w:rFonts w:ascii="Verdana" w:hAnsi="Verdana"/>
          <w:sz w:val="16"/>
          <w:szCs w:val="16"/>
          <w:lang w:val="es-CO"/>
        </w:rPr>
      </w:pPr>
      <w:r w:rsidRPr="00683240">
        <w:rPr>
          <w:rStyle w:val="Refdenotaalpie"/>
          <w:rFonts w:ascii="Verdana" w:hAnsi="Verdana"/>
          <w:sz w:val="16"/>
          <w:szCs w:val="16"/>
        </w:rPr>
        <w:footnoteRef/>
      </w:r>
      <w:r w:rsidRPr="00683240">
        <w:rPr>
          <w:rFonts w:ascii="Verdana" w:hAnsi="Verdana"/>
          <w:sz w:val="16"/>
          <w:szCs w:val="16"/>
        </w:rPr>
        <w:t xml:space="preserve"> </w:t>
      </w:r>
      <w:r w:rsidRPr="00683240">
        <w:rPr>
          <w:rFonts w:ascii="Verdana" w:hAnsi="Verdana"/>
          <w:sz w:val="16"/>
          <w:szCs w:val="16"/>
          <w:lang w:val="es-CO"/>
        </w:rPr>
        <w:t>Artículo 2.2.1.2.3.1.8. </w:t>
      </w:r>
      <w:r w:rsidRPr="00683240">
        <w:rPr>
          <w:rFonts w:ascii="Verdana" w:hAnsi="Verdana"/>
          <w:i/>
          <w:iCs/>
          <w:sz w:val="16"/>
          <w:szCs w:val="16"/>
          <w:lang w:val="es-CO"/>
        </w:rPr>
        <w:t>Cubrimiento de la responsabilidad civil extracontractual. </w:t>
      </w:r>
      <w:r w:rsidRPr="00683240">
        <w:rPr>
          <w:rFonts w:ascii="Verdana" w:hAnsi="Verdana"/>
          <w:sz w:val="16"/>
          <w:szCs w:val="16"/>
          <w:lang w:val="es-CO"/>
        </w:rPr>
        <w:t>La Entidad Estatal debe exigir en los contratos de obra, y en aquellos en que por su objeto o naturaleza lo considere necesario con ocasión de los Riesgos del contrato, el otorgamiento de una póliza de responsabilidad civil extracontractual que la proteja de eventuales reclamaciones de terceros derivadas de la responsabilidad extracontractual que surja de las actuaciones, hechos u omisiones de su contratista.</w:t>
      </w:r>
    </w:p>
    <w:p w14:paraId="54FCCB9B" w14:textId="77777777" w:rsidR="004F1E0E" w:rsidRPr="00683240" w:rsidRDefault="004F1E0E" w:rsidP="004F1E0E">
      <w:pPr>
        <w:pStyle w:val="Textonotapie"/>
        <w:ind w:firstLine="708"/>
        <w:jc w:val="both"/>
        <w:rPr>
          <w:rFonts w:ascii="Verdana" w:hAnsi="Verdana"/>
          <w:sz w:val="16"/>
          <w:szCs w:val="16"/>
          <w:lang w:val="es-CO"/>
        </w:rPr>
      </w:pPr>
      <w:r w:rsidRPr="00683240">
        <w:rPr>
          <w:rFonts w:ascii="Verdana" w:hAnsi="Verdana"/>
          <w:sz w:val="16"/>
          <w:szCs w:val="16"/>
          <w:lang w:val="es-CO"/>
        </w:rPr>
        <w:t>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p w14:paraId="011BED14" w14:textId="77777777" w:rsidR="004F1E0E" w:rsidRPr="00683240" w:rsidRDefault="004F1E0E" w:rsidP="004F1E0E">
      <w:pPr>
        <w:pStyle w:val="Textonotapie"/>
        <w:ind w:firstLine="708"/>
        <w:rPr>
          <w:sz w:val="16"/>
          <w:szCs w:val="16"/>
          <w:lang w:val="es-CO"/>
        </w:rPr>
      </w:pPr>
    </w:p>
  </w:footnote>
  <w:footnote w:id="4">
    <w:p w14:paraId="2762BDBB" w14:textId="77777777" w:rsidR="004F1E0E" w:rsidRPr="00683240" w:rsidRDefault="004F1E0E" w:rsidP="004F1E0E">
      <w:pPr>
        <w:spacing w:after="0" w:line="240" w:lineRule="auto"/>
        <w:ind w:firstLine="708"/>
        <w:jc w:val="both"/>
        <w:rPr>
          <w:rFonts w:ascii="Verdana" w:hAnsi="Verdana" w:cs="Arial"/>
          <w:color w:val="000000" w:themeColor="text1"/>
          <w:sz w:val="16"/>
          <w:szCs w:val="16"/>
          <w:shd w:val="clear" w:color="auto" w:fill="FFFFFF"/>
        </w:rPr>
      </w:pPr>
      <w:r w:rsidRPr="00683240">
        <w:rPr>
          <w:rStyle w:val="Refdenotaalpie"/>
          <w:rFonts w:ascii="Verdana" w:hAnsi="Verdana" w:cs="Arial"/>
          <w:color w:val="000000" w:themeColor="text1"/>
          <w:sz w:val="16"/>
          <w:szCs w:val="16"/>
        </w:rPr>
        <w:footnoteRef/>
      </w:r>
      <w:r w:rsidRPr="00683240">
        <w:rPr>
          <w:rFonts w:ascii="Verdana" w:hAnsi="Verdana" w:cs="Arial"/>
          <w:color w:val="000000" w:themeColor="text1"/>
          <w:sz w:val="16"/>
          <w:szCs w:val="16"/>
        </w:rPr>
        <w:t xml:space="preserve"> Decreto 1082 de 2015: “Artículo</w:t>
      </w:r>
      <w:r w:rsidRPr="00683240">
        <w:rPr>
          <w:rFonts w:ascii="Verdana" w:hAnsi="Verdana" w:cs="Arial"/>
          <w:color w:val="000000" w:themeColor="text1"/>
          <w:sz w:val="16"/>
          <w:szCs w:val="16"/>
          <w:shd w:val="clear" w:color="auto" w:fill="FFFFFF"/>
        </w:rPr>
        <w:t> </w:t>
      </w:r>
      <w:bookmarkStart w:id="4" w:name="2.2.1.2.3.1.5"/>
      <w:bookmarkEnd w:id="4"/>
      <w:r w:rsidRPr="00683240">
        <w:rPr>
          <w:rFonts w:ascii="Verdana" w:hAnsi="Verdana" w:cs="Arial"/>
          <w:color w:val="000000" w:themeColor="text1"/>
          <w:sz w:val="16"/>
          <w:szCs w:val="16"/>
          <w:shd w:val="clear" w:color="auto" w:fill="FFFFFF"/>
        </w:rPr>
        <w:t>2.2.1.2.3.1.5. </w:t>
      </w:r>
      <w:r w:rsidRPr="00683240">
        <w:rPr>
          <w:rFonts w:ascii="Verdana" w:hAnsi="Verdana" w:cs="Arial"/>
          <w:i/>
          <w:iCs/>
          <w:color w:val="000000" w:themeColor="text1"/>
          <w:sz w:val="16"/>
          <w:szCs w:val="16"/>
          <w:shd w:val="clear" w:color="auto" w:fill="FFFFFF"/>
        </w:rPr>
        <w:t>Cobertura del Riesgo de responsabilidad civil extracontractual. </w:t>
      </w:r>
      <w:r w:rsidRPr="00683240">
        <w:rPr>
          <w:rFonts w:ascii="Verdana" w:hAnsi="Verdana" w:cs="Arial"/>
          <w:color w:val="000000" w:themeColor="text1"/>
          <w:sz w:val="16"/>
          <w:szCs w:val="16"/>
          <w:shd w:val="clear" w:color="auto" w:fill="FFFFFF"/>
        </w:rPr>
        <w:t>La responsabilidad extracontractual de la administración derivada de las actuaciones, hechos u omisiones de sus contratistas o subcontratistas solamente puede ser amparada con un contrato de seguro”.</w:t>
      </w:r>
    </w:p>
  </w:footnote>
  <w:footnote w:id="5">
    <w:p w14:paraId="121581E2" w14:textId="77777777" w:rsidR="004F1E0E" w:rsidRPr="00683240" w:rsidRDefault="004F1E0E" w:rsidP="004F1E0E">
      <w:pPr>
        <w:shd w:val="clear" w:color="auto" w:fill="FFFFFF"/>
        <w:spacing w:after="0" w:line="240" w:lineRule="auto"/>
        <w:ind w:firstLine="709"/>
        <w:jc w:val="both"/>
        <w:rPr>
          <w:rFonts w:ascii="Verdana" w:eastAsia="Times New Roman" w:hAnsi="Verdana" w:cs="Arial"/>
          <w:color w:val="000000" w:themeColor="text1"/>
          <w:sz w:val="16"/>
          <w:szCs w:val="16"/>
          <w:lang w:eastAsia="es-CO"/>
        </w:rPr>
      </w:pPr>
      <w:r w:rsidRPr="00683240">
        <w:rPr>
          <w:rStyle w:val="Refdenotaalpie"/>
          <w:rFonts w:ascii="Verdana" w:hAnsi="Verdana" w:cs="Arial"/>
          <w:color w:val="000000" w:themeColor="text1"/>
          <w:sz w:val="16"/>
          <w:szCs w:val="16"/>
        </w:rPr>
        <w:footnoteRef/>
      </w:r>
      <w:r w:rsidRPr="00683240">
        <w:rPr>
          <w:rFonts w:ascii="Verdana" w:hAnsi="Verdana" w:cs="Arial"/>
          <w:color w:val="000000" w:themeColor="text1"/>
          <w:sz w:val="16"/>
          <w:szCs w:val="16"/>
        </w:rPr>
        <w:t xml:space="preserve"> Decreto 1082 de 2015: “Artículo</w:t>
      </w:r>
      <w:r w:rsidRPr="00683240">
        <w:rPr>
          <w:rFonts w:ascii="Verdana" w:eastAsia="Times New Roman" w:hAnsi="Verdana" w:cs="Arial"/>
          <w:color w:val="000000" w:themeColor="text1"/>
          <w:sz w:val="16"/>
          <w:szCs w:val="16"/>
          <w:lang w:eastAsia="es-CO"/>
        </w:rPr>
        <w:t> </w:t>
      </w:r>
      <w:bookmarkStart w:id="5" w:name="2.2.1.2.3.1.8"/>
      <w:bookmarkEnd w:id="5"/>
      <w:r w:rsidRPr="00683240">
        <w:rPr>
          <w:rFonts w:ascii="Verdana" w:eastAsia="Times New Roman" w:hAnsi="Verdana" w:cs="Arial"/>
          <w:color w:val="000000" w:themeColor="text1"/>
          <w:sz w:val="16"/>
          <w:szCs w:val="16"/>
          <w:lang w:eastAsia="es-CO"/>
        </w:rPr>
        <w:t>2.2.1.2.3.1.8.</w:t>
      </w:r>
      <w:r w:rsidRPr="00683240">
        <w:rPr>
          <w:rFonts w:ascii="Verdana" w:eastAsia="Times New Roman" w:hAnsi="Verdana" w:cs="Arial"/>
          <w:i/>
          <w:iCs/>
          <w:color w:val="000000" w:themeColor="text1"/>
          <w:sz w:val="16"/>
          <w:szCs w:val="16"/>
          <w:lang w:eastAsia="es-CO"/>
        </w:rPr>
        <w:t> Cubrimiento de la responsabilidad civil extracontractual.</w:t>
      </w:r>
      <w:r w:rsidRPr="00683240">
        <w:rPr>
          <w:rFonts w:ascii="Verdana" w:eastAsia="Times New Roman" w:hAnsi="Verdana" w:cs="Arial"/>
          <w:color w:val="000000" w:themeColor="text1"/>
          <w:sz w:val="16"/>
          <w:szCs w:val="16"/>
          <w:lang w:eastAsia="es-CO"/>
        </w:rPr>
        <w:t> La Entidad Estatal debe exigir en los contratos de obra, y en aquellos en que por su objeto o naturaleza lo considere necesario con ocasión de los Riesgos del contrato, el otorgamiento de una póliza de responsabilidad civil extracontractual que la proteja de eventuales reclamaciones de terceros derivadas de la responsabilidad extracontractual que surja de las actuaciones, hechos u omisiones de su contratista.</w:t>
      </w:r>
    </w:p>
    <w:p w14:paraId="5E247D00" w14:textId="77777777" w:rsidR="004F1E0E" w:rsidRPr="00683240" w:rsidRDefault="004F1E0E" w:rsidP="004F1E0E">
      <w:pPr>
        <w:shd w:val="clear" w:color="auto" w:fill="FFFFFF"/>
        <w:spacing w:after="0" w:line="240" w:lineRule="auto"/>
        <w:ind w:firstLine="709"/>
        <w:jc w:val="both"/>
        <w:rPr>
          <w:rFonts w:ascii="Verdana" w:eastAsia="Times New Roman" w:hAnsi="Verdana" w:cs="Arial"/>
          <w:color w:val="000000" w:themeColor="text1"/>
          <w:sz w:val="16"/>
          <w:szCs w:val="16"/>
          <w:lang w:eastAsia="es-CO"/>
        </w:rPr>
      </w:pPr>
      <w:r w:rsidRPr="00683240">
        <w:rPr>
          <w:rFonts w:ascii="Verdana" w:eastAsia="Times New Roman" w:hAnsi="Verdana" w:cs="Arial"/>
          <w:color w:val="000000" w:themeColor="text1"/>
          <w:sz w:val="16"/>
          <w:szCs w:val="16"/>
          <w:lang w:eastAsia="es-CO"/>
        </w:rPr>
        <w:t>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footnote>
  <w:footnote w:id="6">
    <w:p w14:paraId="38DC4C8B" w14:textId="77777777" w:rsidR="004F1E0E" w:rsidRPr="00683240" w:rsidRDefault="004F1E0E" w:rsidP="004F1E0E">
      <w:pPr>
        <w:pStyle w:val="Textonotapie"/>
        <w:ind w:firstLine="708"/>
        <w:jc w:val="both"/>
        <w:rPr>
          <w:rFonts w:ascii="Verdana" w:hAnsi="Verdana"/>
          <w:sz w:val="16"/>
          <w:szCs w:val="16"/>
          <w:lang w:val="es-ES"/>
        </w:rPr>
      </w:pPr>
      <w:r w:rsidRPr="00683240">
        <w:rPr>
          <w:rStyle w:val="Refdenotaalpie"/>
          <w:rFonts w:ascii="Verdana" w:hAnsi="Verdana"/>
          <w:sz w:val="16"/>
          <w:szCs w:val="16"/>
        </w:rPr>
        <w:footnoteRef/>
      </w:r>
      <w:r w:rsidRPr="00683240">
        <w:rPr>
          <w:rFonts w:ascii="Verdana" w:hAnsi="Verdana"/>
          <w:sz w:val="16"/>
          <w:szCs w:val="16"/>
        </w:rPr>
        <w:t xml:space="preserve"> </w:t>
      </w:r>
      <w:r w:rsidRPr="00683240">
        <w:rPr>
          <w:rFonts w:ascii="Verdana" w:hAnsi="Verdana"/>
          <w:sz w:val="16"/>
          <w:szCs w:val="16"/>
          <w:lang w:val="es-ES"/>
        </w:rPr>
        <w:t xml:space="preserve">Agencia Nacional de Contratación Pública. </w:t>
      </w:r>
      <w:r w:rsidRPr="00683240">
        <w:rPr>
          <w:rFonts w:ascii="Verdana" w:hAnsi="Verdana"/>
          <w:sz w:val="16"/>
          <w:szCs w:val="16"/>
          <w:lang w:val="es-CO"/>
        </w:rPr>
        <w:t xml:space="preserve">Guía de garantías en Procesos de Contratación. Disponible en: </w:t>
      </w:r>
      <w:hyperlink r:id="rId2" w:history="1">
        <w:r w:rsidRPr="009B12C8">
          <w:rPr>
            <w:rStyle w:val="Hipervnculo"/>
            <w:rFonts w:ascii="Verdana" w:hAnsi="Verdana"/>
            <w:sz w:val="16"/>
            <w:szCs w:val="16"/>
            <w:lang w:val="es-CO"/>
          </w:rPr>
          <w:t>https://www.colombiacompra.gov.co/wp-content/uploads/2024/08/2016-Guia-de-garantias-en-Procesos-de-Contratacion-G-GPC-01.pdf</w:t>
        </w:r>
      </w:hyperlink>
      <w:r>
        <w:rPr>
          <w:rFonts w:ascii="Verdana" w:hAnsi="Verdana"/>
          <w:sz w:val="16"/>
          <w:szCs w:val="16"/>
          <w:lang w:val="es-CO"/>
        </w:rPr>
        <w:t xml:space="preserve"> </w:t>
      </w:r>
    </w:p>
  </w:footnote>
  <w:footnote w:id="7">
    <w:p w14:paraId="76714310" w14:textId="77777777" w:rsidR="004F1E0E" w:rsidRPr="00D36066" w:rsidRDefault="004F1E0E" w:rsidP="004F1E0E">
      <w:pPr>
        <w:spacing w:after="0" w:line="240" w:lineRule="auto"/>
        <w:ind w:firstLine="708"/>
        <w:jc w:val="both"/>
        <w:rPr>
          <w:rFonts w:ascii="Verdana" w:hAnsi="Verdana" w:cs="Arial"/>
          <w:sz w:val="15"/>
          <w:szCs w:val="15"/>
        </w:rPr>
      </w:pPr>
      <w:r w:rsidRPr="00683240">
        <w:rPr>
          <w:rStyle w:val="Refdenotaalpie"/>
          <w:rFonts w:ascii="Verdana" w:hAnsi="Verdana" w:cs="Arial"/>
          <w:sz w:val="16"/>
          <w:szCs w:val="16"/>
        </w:rPr>
        <w:footnoteRef/>
      </w:r>
      <w:r w:rsidRPr="00683240">
        <w:rPr>
          <w:rFonts w:ascii="Verdana" w:hAnsi="Verdana" w:cs="Arial"/>
          <w:sz w:val="16"/>
          <w:szCs w:val="16"/>
        </w:rPr>
        <w:t xml:space="preserve"> En relación con esta exigencia, el inciso segundo del artículo 2.2.1.2.3.1.8. establece que: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6"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8D9314C"/>
    <w:multiLevelType w:val="hybridMultilevel"/>
    <w:tmpl w:val="9432A6A8"/>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7"/>
  </w:num>
  <w:num w:numId="2">
    <w:abstractNumId w:val="1"/>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4"/>
  </w:num>
  <w:num w:numId="7">
    <w:abstractNumId w:val="6"/>
  </w:num>
  <w:num w:numId="8">
    <w:abstractNumId w:val="13"/>
  </w:num>
  <w:num w:numId="9">
    <w:abstractNumId w:val="8"/>
  </w:num>
  <w:num w:numId="10">
    <w:abstractNumId w:val="12"/>
  </w:num>
  <w:num w:numId="11">
    <w:abstractNumId w:val="9"/>
  </w:num>
  <w:num w:numId="12">
    <w:abstractNumId w:val="0"/>
  </w:num>
  <w:num w:numId="13">
    <w:abstractNumId w:val="3"/>
  </w:num>
  <w:num w:numId="14">
    <w:abstractNumId w:val="15"/>
  </w:num>
  <w:num w:numId="15">
    <w:abstractNumId w:val="11"/>
  </w:num>
  <w:num w:numId="16">
    <w:abstractNumId w:val="4"/>
  </w:num>
  <w:num w:numId="17">
    <w:abstractNumId w:val="10"/>
  </w:num>
  <w:num w:numId="18">
    <w:abstractNumId w:val="16"/>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6945"/>
    <w:rsid w:val="00061B2A"/>
    <w:rsid w:val="000711CF"/>
    <w:rsid w:val="00082362"/>
    <w:rsid w:val="000923AD"/>
    <w:rsid w:val="000A683E"/>
    <w:rsid w:val="000B19B9"/>
    <w:rsid w:val="000D0334"/>
    <w:rsid w:val="000D5DA7"/>
    <w:rsid w:val="000E1059"/>
    <w:rsid w:val="000F6486"/>
    <w:rsid w:val="00103B27"/>
    <w:rsid w:val="00105C57"/>
    <w:rsid w:val="00111FFE"/>
    <w:rsid w:val="00116940"/>
    <w:rsid w:val="001169DE"/>
    <w:rsid w:val="00125105"/>
    <w:rsid w:val="00127233"/>
    <w:rsid w:val="001328F3"/>
    <w:rsid w:val="0015699B"/>
    <w:rsid w:val="00192521"/>
    <w:rsid w:val="001A33BF"/>
    <w:rsid w:val="001E2E05"/>
    <w:rsid w:val="001E4177"/>
    <w:rsid w:val="001F0B24"/>
    <w:rsid w:val="001F7DC6"/>
    <w:rsid w:val="002201D9"/>
    <w:rsid w:val="0022400B"/>
    <w:rsid w:val="002421BB"/>
    <w:rsid w:val="0025796E"/>
    <w:rsid w:val="00261EDF"/>
    <w:rsid w:val="002707A2"/>
    <w:rsid w:val="00276B96"/>
    <w:rsid w:val="0028778F"/>
    <w:rsid w:val="002951A0"/>
    <w:rsid w:val="002962BC"/>
    <w:rsid w:val="002A093D"/>
    <w:rsid w:val="002A0DD0"/>
    <w:rsid w:val="002A49AC"/>
    <w:rsid w:val="002A64FD"/>
    <w:rsid w:val="002B05C4"/>
    <w:rsid w:val="002B730F"/>
    <w:rsid w:val="002C7A84"/>
    <w:rsid w:val="002E2BF8"/>
    <w:rsid w:val="002E4FD9"/>
    <w:rsid w:val="0030657A"/>
    <w:rsid w:val="00315F18"/>
    <w:rsid w:val="00316053"/>
    <w:rsid w:val="00322A85"/>
    <w:rsid w:val="00324168"/>
    <w:rsid w:val="00330834"/>
    <w:rsid w:val="003324D1"/>
    <w:rsid w:val="003448F4"/>
    <w:rsid w:val="00374F5E"/>
    <w:rsid w:val="00377E3E"/>
    <w:rsid w:val="00381BAB"/>
    <w:rsid w:val="003A779E"/>
    <w:rsid w:val="003D0F4D"/>
    <w:rsid w:val="003D5B0D"/>
    <w:rsid w:val="003E0499"/>
    <w:rsid w:val="003E4F80"/>
    <w:rsid w:val="003E6439"/>
    <w:rsid w:val="003F3941"/>
    <w:rsid w:val="00406575"/>
    <w:rsid w:val="0041072F"/>
    <w:rsid w:val="004140B3"/>
    <w:rsid w:val="00414C74"/>
    <w:rsid w:val="0042722E"/>
    <w:rsid w:val="0044528D"/>
    <w:rsid w:val="004555EA"/>
    <w:rsid w:val="00466E39"/>
    <w:rsid w:val="00494F04"/>
    <w:rsid w:val="004A1847"/>
    <w:rsid w:val="004A305D"/>
    <w:rsid w:val="004B3DAC"/>
    <w:rsid w:val="004F1E0E"/>
    <w:rsid w:val="004F21C4"/>
    <w:rsid w:val="004F685F"/>
    <w:rsid w:val="00504067"/>
    <w:rsid w:val="00526FC1"/>
    <w:rsid w:val="005566E8"/>
    <w:rsid w:val="005743B2"/>
    <w:rsid w:val="00574867"/>
    <w:rsid w:val="00591460"/>
    <w:rsid w:val="005A65E0"/>
    <w:rsid w:val="005C0881"/>
    <w:rsid w:val="005C3777"/>
    <w:rsid w:val="005C5CDC"/>
    <w:rsid w:val="005D476C"/>
    <w:rsid w:val="005F20A4"/>
    <w:rsid w:val="005F6686"/>
    <w:rsid w:val="00603C5B"/>
    <w:rsid w:val="00605DE4"/>
    <w:rsid w:val="006200BF"/>
    <w:rsid w:val="0062143E"/>
    <w:rsid w:val="006219F8"/>
    <w:rsid w:val="006302F7"/>
    <w:rsid w:val="006406D1"/>
    <w:rsid w:val="00641052"/>
    <w:rsid w:val="00646B9F"/>
    <w:rsid w:val="00665D70"/>
    <w:rsid w:val="00667EB5"/>
    <w:rsid w:val="0068232A"/>
    <w:rsid w:val="00684F67"/>
    <w:rsid w:val="0068664A"/>
    <w:rsid w:val="006900D9"/>
    <w:rsid w:val="00695E7D"/>
    <w:rsid w:val="006A2BE4"/>
    <w:rsid w:val="006E1754"/>
    <w:rsid w:val="006E3EDA"/>
    <w:rsid w:val="007025D7"/>
    <w:rsid w:val="0070439D"/>
    <w:rsid w:val="00706C16"/>
    <w:rsid w:val="00731F30"/>
    <w:rsid w:val="007340C3"/>
    <w:rsid w:val="0075235A"/>
    <w:rsid w:val="00756841"/>
    <w:rsid w:val="007649AB"/>
    <w:rsid w:val="00771D0C"/>
    <w:rsid w:val="007833AC"/>
    <w:rsid w:val="00795086"/>
    <w:rsid w:val="007A1830"/>
    <w:rsid w:val="007B268C"/>
    <w:rsid w:val="007B7171"/>
    <w:rsid w:val="007C0C0F"/>
    <w:rsid w:val="007C3DC2"/>
    <w:rsid w:val="007D3058"/>
    <w:rsid w:val="007E5497"/>
    <w:rsid w:val="00806F5F"/>
    <w:rsid w:val="00820278"/>
    <w:rsid w:val="008258C9"/>
    <w:rsid w:val="00844AE9"/>
    <w:rsid w:val="00867F95"/>
    <w:rsid w:val="008843B6"/>
    <w:rsid w:val="00891928"/>
    <w:rsid w:val="008A446D"/>
    <w:rsid w:val="008B25F1"/>
    <w:rsid w:val="008D180B"/>
    <w:rsid w:val="008F0EA7"/>
    <w:rsid w:val="008F17DC"/>
    <w:rsid w:val="008F4334"/>
    <w:rsid w:val="008F6705"/>
    <w:rsid w:val="00923EEF"/>
    <w:rsid w:val="009419F9"/>
    <w:rsid w:val="0095685E"/>
    <w:rsid w:val="00961B09"/>
    <w:rsid w:val="00965334"/>
    <w:rsid w:val="0097093E"/>
    <w:rsid w:val="009879B0"/>
    <w:rsid w:val="009A0486"/>
    <w:rsid w:val="009A0DFA"/>
    <w:rsid w:val="009B2D26"/>
    <w:rsid w:val="009C71FA"/>
    <w:rsid w:val="009C72E7"/>
    <w:rsid w:val="009C7F7E"/>
    <w:rsid w:val="009D3058"/>
    <w:rsid w:val="009E656D"/>
    <w:rsid w:val="009F3A13"/>
    <w:rsid w:val="00A0334B"/>
    <w:rsid w:val="00A122D3"/>
    <w:rsid w:val="00A14468"/>
    <w:rsid w:val="00A17F13"/>
    <w:rsid w:val="00A20739"/>
    <w:rsid w:val="00A23AF9"/>
    <w:rsid w:val="00A31A76"/>
    <w:rsid w:val="00A33C78"/>
    <w:rsid w:val="00A53ECA"/>
    <w:rsid w:val="00A6496D"/>
    <w:rsid w:val="00A73F45"/>
    <w:rsid w:val="00A75CD5"/>
    <w:rsid w:val="00A83793"/>
    <w:rsid w:val="00AA2991"/>
    <w:rsid w:val="00AB0ADB"/>
    <w:rsid w:val="00B00C0E"/>
    <w:rsid w:val="00B01B1A"/>
    <w:rsid w:val="00B1652B"/>
    <w:rsid w:val="00B44A47"/>
    <w:rsid w:val="00B54271"/>
    <w:rsid w:val="00B72CD3"/>
    <w:rsid w:val="00B72FFF"/>
    <w:rsid w:val="00B74092"/>
    <w:rsid w:val="00BC3D36"/>
    <w:rsid w:val="00BC70CB"/>
    <w:rsid w:val="00BD54A6"/>
    <w:rsid w:val="00BD7F72"/>
    <w:rsid w:val="00BF5C08"/>
    <w:rsid w:val="00BF7425"/>
    <w:rsid w:val="00C04FB3"/>
    <w:rsid w:val="00C11D8B"/>
    <w:rsid w:val="00C277BE"/>
    <w:rsid w:val="00C330EB"/>
    <w:rsid w:val="00C50D69"/>
    <w:rsid w:val="00C51446"/>
    <w:rsid w:val="00C5365C"/>
    <w:rsid w:val="00C54672"/>
    <w:rsid w:val="00C754BE"/>
    <w:rsid w:val="00C76B1C"/>
    <w:rsid w:val="00C925AC"/>
    <w:rsid w:val="00CB6357"/>
    <w:rsid w:val="00CC1B26"/>
    <w:rsid w:val="00CE64E4"/>
    <w:rsid w:val="00D06146"/>
    <w:rsid w:val="00D0699E"/>
    <w:rsid w:val="00D17D12"/>
    <w:rsid w:val="00D334DD"/>
    <w:rsid w:val="00D361FD"/>
    <w:rsid w:val="00D423A2"/>
    <w:rsid w:val="00D44E26"/>
    <w:rsid w:val="00D520D8"/>
    <w:rsid w:val="00D62B9C"/>
    <w:rsid w:val="00D63AC2"/>
    <w:rsid w:val="00D7383B"/>
    <w:rsid w:val="00D7788A"/>
    <w:rsid w:val="00DA231B"/>
    <w:rsid w:val="00DB4972"/>
    <w:rsid w:val="00DC39FC"/>
    <w:rsid w:val="00DC7CCB"/>
    <w:rsid w:val="00DF5254"/>
    <w:rsid w:val="00DF5F07"/>
    <w:rsid w:val="00E02524"/>
    <w:rsid w:val="00E16408"/>
    <w:rsid w:val="00E20894"/>
    <w:rsid w:val="00E245AB"/>
    <w:rsid w:val="00E2764C"/>
    <w:rsid w:val="00E27F2E"/>
    <w:rsid w:val="00E414C2"/>
    <w:rsid w:val="00E50AFE"/>
    <w:rsid w:val="00E75C92"/>
    <w:rsid w:val="00E771DC"/>
    <w:rsid w:val="00E81F14"/>
    <w:rsid w:val="00E8772A"/>
    <w:rsid w:val="00E90F6B"/>
    <w:rsid w:val="00E92C27"/>
    <w:rsid w:val="00EA0E3D"/>
    <w:rsid w:val="00EC38A7"/>
    <w:rsid w:val="00EE1AA8"/>
    <w:rsid w:val="00EE1D66"/>
    <w:rsid w:val="00EF2687"/>
    <w:rsid w:val="00EF5E13"/>
    <w:rsid w:val="00EF647F"/>
    <w:rsid w:val="00F23FEA"/>
    <w:rsid w:val="00F27B7B"/>
    <w:rsid w:val="00F31EDC"/>
    <w:rsid w:val="00F462B3"/>
    <w:rsid w:val="00F5664F"/>
    <w:rsid w:val="00F666C4"/>
    <w:rsid w:val="00F76AFC"/>
    <w:rsid w:val="00F862B4"/>
    <w:rsid w:val="00FA47C0"/>
    <w:rsid w:val="00FB5DD1"/>
    <w:rsid w:val="00FC2B5D"/>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859CB12D-4C05-4589-BAD8-602472951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1ED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4889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4820396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benavides@hotmail.com"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manuales-guias-y-pliegos-tipo/manuales-y-guia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2016-Guia-de-garantias-en-Procesos-de-Contratacion-G-GPC-01.pdf" TargetMode="External"/><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689F5D8D-C447-45AF-9676-C5B38DA7E2B4}">
  <ds:schemaRefs>
    <ds:schemaRef ds:uri="http://schemas.openxmlformats.org/officeDocument/2006/bibliography"/>
  </ds:schemaRefs>
</ds:datastoreItem>
</file>

<file path=customXml/itemProps2.xml><?xml version="1.0" encoding="utf-8"?>
<ds:datastoreItem xmlns:ds="http://schemas.openxmlformats.org/officeDocument/2006/customXml" ds:itemID="{EA8F9A4F-37AC-4B4A-B2C9-B5F2F6270A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purl.org/dc/dcmitype/"/>
    <ds:schemaRef ds:uri="http://schemas.openxmlformats.org/package/2006/metadata/core-properties"/>
    <ds:schemaRef ds:uri="a6cb9e4b-f1d1-4245-83ec-6cad768d538a"/>
    <ds:schemaRef ds:uri="http://www.w3.org/XML/1998/namespace"/>
    <ds:schemaRef ds:uri="9d85dbaf-23eb-4e57-a637-93dcacc8b1a1"/>
    <ds:schemaRef ds:uri="http://schemas.microsoft.com/office/2006/documentManagement/types"/>
    <ds:schemaRef ds:uri="http://purl.org/dc/terms/"/>
    <ds:schemaRef ds:uri="http://schemas.microsoft.com/office/2006/metadata/properties"/>
    <ds:schemaRef ds:uri="http://schemas.microsoft.com/office/infopath/2007/PartnerControl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5896</Words>
  <Characters>32433</Characters>
  <Application>Microsoft Office Word</Application>
  <DocSecurity>0</DocSecurity>
  <Lines>270</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2025-11-20T15:24:00Z</dcterms:created>
  <dcterms:modified xsi:type="dcterms:W3CDTF">2025-11-20T15:24:00Z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