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30D3C" w14:textId="77777777" w:rsidR="00C71C1F" w:rsidRPr="00676F99" w:rsidRDefault="00C71C1F" w:rsidP="00C71C1F">
      <w:pPr>
        <w:spacing w:line="276" w:lineRule="auto"/>
        <w:jc w:val="both"/>
        <w:rPr>
          <w:rFonts w:ascii="Verdana" w:eastAsia="Calibri" w:hAnsi="Verdana" w:cs="Arial"/>
          <w:b/>
          <w:bCs/>
          <w:lang w:eastAsia="es-ES"/>
        </w:rPr>
      </w:pPr>
      <w:bookmarkStart w:id="0" w:name="_Hlk143780582"/>
      <w:r w:rsidRPr="00676F99">
        <w:rPr>
          <w:rFonts w:ascii="Verdana" w:eastAsia="Calibri" w:hAnsi="Verdana" w:cs="Arial"/>
          <w:b/>
          <w:bCs/>
          <w:lang w:eastAsia="es-ES"/>
        </w:rPr>
        <w:t xml:space="preserve">LEY DE GARANTÍAS ELECTORALES – Finalidad </w:t>
      </w:r>
    </w:p>
    <w:p w14:paraId="35F912EC" w14:textId="77777777" w:rsidR="00676F99" w:rsidRPr="00676F99" w:rsidRDefault="002D0C1F" w:rsidP="00676F99">
      <w:pPr>
        <w:tabs>
          <w:tab w:val="left" w:pos="426"/>
        </w:tabs>
        <w:spacing w:after="0" w:line="240" w:lineRule="auto"/>
        <w:jc w:val="both"/>
        <w:rPr>
          <w:rFonts w:ascii="Verdana" w:eastAsia="Calibri" w:hAnsi="Verdana" w:cs="Arial"/>
          <w:sz w:val="20"/>
          <w:szCs w:val="20"/>
          <w:lang w:val="es-ES_tradnl"/>
        </w:rPr>
      </w:pPr>
      <w:r w:rsidRPr="00676F99">
        <w:rPr>
          <w:rFonts w:ascii="Verdana" w:eastAsia="Times New Roman" w:hAnsi="Verdana" w:cs="Arial"/>
          <w:sz w:val="20"/>
          <w:szCs w:val="20"/>
          <w:lang w:val="es-MX" w:eastAsia="es-CO"/>
        </w:rPr>
        <w:t>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676F99">
        <w:rPr>
          <w:rFonts w:ascii="Verdana" w:eastAsia="Calibri" w:hAnsi="Verdana" w:cs="Arial"/>
          <w:sz w:val="20"/>
          <w:szCs w:val="20"/>
          <w:lang w:val="es-ES_tradnl"/>
        </w:rPr>
        <w:t xml:space="preserve"> </w:t>
      </w:r>
    </w:p>
    <w:p w14:paraId="522909EB" w14:textId="77777777" w:rsidR="00676F99" w:rsidRPr="00676F99" w:rsidRDefault="00676F99" w:rsidP="00676F99">
      <w:pPr>
        <w:tabs>
          <w:tab w:val="left" w:pos="426"/>
        </w:tabs>
        <w:spacing w:after="0" w:line="240" w:lineRule="auto"/>
        <w:jc w:val="both"/>
        <w:rPr>
          <w:rFonts w:ascii="Verdana" w:eastAsia="Calibri" w:hAnsi="Verdana" w:cs="Arial"/>
          <w:sz w:val="20"/>
          <w:szCs w:val="20"/>
          <w:lang w:val="es-ES_tradnl"/>
        </w:rPr>
      </w:pPr>
    </w:p>
    <w:p w14:paraId="08240FAD" w14:textId="77777777" w:rsidR="00676F99" w:rsidRPr="00676F99" w:rsidRDefault="00C71C1F" w:rsidP="00676F99">
      <w:pPr>
        <w:tabs>
          <w:tab w:val="left" w:pos="426"/>
        </w:tabs>
        <w:spacing w:after="0" w:line="240" w:lineRule="auto"/>
        <w:jc w:val="both"/>
        <w:rPr>
          <w:rFonts w:ascii="Verdana" w:eastAsia="Calibri" w:hAnsi="Verdana" w:cs="Arial"/>
          <w:b/>
          <w:bCs/>
          <w:lang w:val="es-ES_tradnl"/>
        </w:rPr>
      </w:pPr>
      <w:r w:rsidRPr="00676F99">
        <w:rPr>
          <w:rFonts w:ascii="Verdana" w:eastAsia="Calibri" w:hAnsi="Verdana" w:cs="Arial"/>
          <w:b/>
          <w:bCs/>
          <w:lang w:eastAsia="es-ES"/>
        </w:rPr>
        <w:t xml:space="preserve">LEY DE GARANTÍAS ELECTORALES ‒ Restricciones ‒ Contratación </w:t>
      </w:r>
    </w:p>
    <w:p w14:paraId="699A396F" w14:textId="77777777" w:rsidR="00676F99" w:rsidRDefault="00676F99" w:rsidP="00676F99">
      <w:pPr>
        <w:tabs>
          <w:tab w:val="left" w:pos="426"/>
        </w:tabs>
        <w:spacing w:after="0" w:line="240" w:lineRule="auto"/>
        <w:jc w:val="both"/>
        <w:rPr>
          <w:rFonts w:ascii="Verdana" w:eastAsia="Calibri" w:hAnsi="Verdana" w:cs="Arial"/>
          <w:lang w:val="es-ES_tradnl"/>
        </w:rPr>
      </w:pPr>
    </w:p>
    <w:p w14:paraId="1C68975F" w14:textId="77777777" w:rsidR="00676F99" w:rsidRPr="00676F99" w:rsidRDefault="002D0C1F" w:rsidP="00676F99">
      <w:pPr>
        <w:tabs>
          <w:tab w:val="left" w:pos="426"/>
        </w:tabs>
        <w:spacing w:after="0" w:line="240" w:lineRule="auto"/>
        <w:jc w:val="both"/>
        <w:rPr>
          <w:rFonts w:ascii="Verdana" w:eastAsia="Calibri" w:hAnsi="Verdana" w:cs="Arial"/>
          <w:sz w:val="20"/>
          <w:szCs w:val="20"/>
          <w:lang w:val="es-ES_tradnl"/>
        </w:rPr>
      </w:pPr>
      <w:r w:rsidRPr="00676F99">
        <w:rPr>
          <w:rFonts w:ascii="Verdana" w:eastAsia="Arial" w:hAnsi="Verdana" w:cs="Arial"/>
          <w:sz w:val="20"/>
          <w:szCs w:val="20"/>
          <w:lang w:val="es-ES" w:eastAsia="es-ES" w:bidi="es-ES"/>
        </w:rPr>
        <w:t>[…]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2636ADBC" w14:textId="77777777" w:rsidR="00676F99" w:rsidRPr="00676F99" w:rsidRDefault="00676F99" w:rsidP="00676F99">
      <w:pPr>
        <w:tabs>
          <w:tab w:val="left" w:pos="426"/>
        </w:tabs>
        <w:spacing w:after="0" w:line="240" w:lineRule="auto"/>
        <w:jc w:val="both"/>
        <w:rPr>
          <w:rFonts w:ascii="Verdana" w:eastAsia="Calibri" w:hAnsi="Verdana" w:cs="Arial"/>
          <w:sz w:val="20"/>
          <w:szCs w:val="20"/>
          <w:lang w:val="es-ES_tradnl"/>
        </w:rPr>
      </w:pPr>
    </w:p>
    <w:p w14:paraId="203018C7" w14:textId="77777777" w:rsidR="00676F99" w:rsidRPr="00676F99" w:rsidRDefault="002D0C1F" w:rsidP="00676F99">
      <w:pPr>
        <w:tabs>
          <w:tab w:val="left" w:pos="426"/>
        </w:tabs>
        <w:spacing w:after="0" w:line="240" w:lineRule="auto"/>
        <w:jc w:val="both"/>
        <w:rPr>
          <w:rFonts w:ascii="Verdana" w:eastAsia="Calibri" w:hAnsi="Verdana" w:cs="Arial"/>
          <w:sz w:val="20"/>
          <w:szCs w:val="20"/>
          <w:lang w:val="es-ES_tradnl"/>
        </w:rPr>
      </w:pPr>
      <w:r w:rsidRPr="00676F99">
        <w:rPr>
          <w:rFonts w:ascii="Verdana" w:eastAsia="Calibri" w:hAnsi="Verdana" w:cs="Arial"/>
          <w:sz w:val="20"/>
          <w:szCs w:val="20"/>
        </w:rPr>
        <w:t xml:space="preserve">Por un lado, el </w:t>
      </w:r>
      <w:r w:rsidRPr="00676F99">
        <w:rPr>
          <w:rFonts w:ascii="Verdana" w:eastAsia="Calibri" w:hAnsi="Verdana" w:cs="Arial"/>
          <w:i/>
          <w:iCs/>
          <w:sz w:val="20"/>
          <w:szCs w:val="20"/>
        </w:rPr>
        <w:t>artículo 33 de la Ley 996 de 2005</w:t>
      </w:r>
      <w:r w:rsidRPr="00676F99">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E1103F8" w14:textId="77777777" w:rsidR="00676F99" w:rsidRPr="00676F99" w:rsidRDefault="00676F99" w:rsidP="00676F99">
      <w:pPr>
        <w:tabs>
          <w:tab w:val="left" w:pos="426"/>
        </w:tabs>
        <w:spacing w:after="0" w:line="240" w:lineRule="auto"/>
        <w:jc w:val="both"/>
        <w:rPr>
          <w:rFonts w:ascii="Verdana" w:eastAsia="Calibri" w:hAnsi="Verdana" w:cs="Arial"/>
          <w:sz w:val="20"/>
          <w:szCs w:val="20"/>
          <w:lang w:val="es-ES_tradnl"/>
        </w:rPr>
      </w:pPr>
    </w:p>
    <w:p w14:paraId="28F43711" w14:textId="77777777" w:rsidR="00676F99" w:rsidRDefault="002D0C1F" w:rsidP="00676F99">
      <w:pPr>
        <w:tabs>
          <w:tab w:val="left" w:pos="426"/>
        </w:tabs>
        <w:spacing w:after="0" w:line="240" w:lineRule="auto"/>
        <w:jc w:val="both"/>
        <w:rPr>
          <w:rFonts w:ascii="Verdana" w:eastAsia="Calibri" w:hAnsi="Verdana" w:cs="Arial"/>
          <w:sz w:val="20"/>
          <w:szCs w:val="20"/>
          <w:lang w:val="es-ES_tradnl"/>
        </w:rPr>
      </w:pPr>
      <w:r w:rsidRPr="00676F99">
        <w:rPr>
          <w:rFonts w:ascii="Verdana" w:eastAsia="Calibri" w:hAnsi="Verdana" w:cs="Arial"/>
          <w:sz w:val="20"/>
          <w:szCs w:val="20"/>
        </w:rPr>
        <w:t xml:space="preserve">Por otro lado, </w:t>
      </w:r>
      <w:r w:rsidRPr="00676F99">
        <w:rPr>
          <w:rFonts w:ascii="Verdana" w:eastAsia="Calibri" w:hAnsi="Verdana" w:cs="Arial"/>
          <w:i/>
          <w:iCs/>
          <w:sz w:val="20"/>
          <w:szCs w:val="20"/>
        </w:rPr>
        <w:t>el parágrafo del artículo 38 de la Ley 996 de 2005</w:t>
      </w:r>
      <w:r w:rsidRPr="00676F99">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676F99">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76F99">
        <w:rPr>
          <w:rFonts w:ascii="Verdana" w:eastAsia="Calibri" w:hAnsi="Verdana" w:cs="Arial"/>
          <w:sz w:val="20"/>
          <w:szCs w:val="20"/>
        </w:rPr>
        <w:t>”</w:t>
      </w:r>
      <w:r w:rsidRPr="00676F99">
        <w:rPr>
          <w:rFonts w:ascii="Verdana" w:eastAsia="Calibri" w:hAnsi="Verdana" w:cs="Arial"/>
          <w:sz w:val="20"/>
          <w:szCs w:val="20"/>
          <w:lang w:val="es-MX"/>
        </w:rPr>
        <w:t>.</w:t>
      </w:r>
      <w:r w:rsidRPr="00676F99">
        <w:rPr>
          <w:rFonts w:ascii="Verdana" w:eastAsia="Arial" w:hAnsi="Verdana" w:cs="Arial"/>
          <w:sz w:val="20"/>
          <w:szCs w:val="20"/>
          <w:lang w:val="es-ES" w:eastAsia="es-ES" w:bidi="es-ES"/>
        </w:rPr>
        <w:t xml:space="preserve"> </w:t>
      </w:r>
    </w:p>
    <w:p w14:paraId="36462693" w14:textId="77777777" w:rsidR="00676F99" w:rsidRDefault="00676F99" w:rsidP="00676F99">
      <w:pPr>
        <w:tabs>
          <w:tab w:val="left" w:pos="426"/>
        </w:tabs>
        <w:spacing w:after="0" w:line="240" w:lineRule="auto"/>
        <w:jc w:val="both"/>
        <w:rPr>
          <w:rFonts w:ascii="Verdana" w:eastAsia="Calibri" w:hAnsi="Verdana" w:cs="Arial"/>
          <w:sz w:val="20"/>
          <w:szCs w:val="20"/>
          <w:lang w:val="es-ES_tradnl"/>
        </w:rPr>
      </w:pPr>
    </w:p>
    <w:p w14:paraId="00773765" w14:textId="77777777" w:rsidR="00676F99" w:rsidRDefault="00C71C1F" w:rsidP="00676F99">
      <w:pPr>
        <w:tabs>
          <w:tab w:val="left" w:pos="426"/>
        </w:tabs>
        <w:spacing w:after="0" w:line="240" w:lineRule="auto"/>
        <w:jc w:val="both"/>
        <w:rPr>
          <w:rFonts w:ascii="Verdana" w:eastAsia="Calibri" w:hAnsi="Verdana" w:cs="Arial"/>
          <w:b/>
          <w:bCs/>
          <w:sz w:val="20"/>
          <w:szCs w:val="20"/>
        </w:rPr>
      </w:pPr>
      <w:r w:rsidRPr="00676F99">
        <w:rPr>
          <w:rFonts w:ascii="Verdana" w:eastAsia="Calibri" w:hAnsi="Verdana" w:cs="Arial"/>
          <w:b/>
          <w:bCs/>
          <w:lang w:eastAsia="es-ES"/>
        </w:rPr>
        <w:t>LEY DE GARANTÍAS ELECTORALES ‒ Artículo 38 – Alcance</w:t>
      </w:r>
      <w:r w:rsidR="00676F99" w:rsidRPr="00676F99">
        <w:rPr>
          <w:rFonts w:ascii="Verdana" w:eastAsia="Calibri" w:hAnsi="Verdana" w:cs="Arial"/>
          <w:b/>
          <w:bCs/>
          <w:lang w:eastAsia="es-ES"/>
        </w:rPr>
        <w:t>.</w:t>
      </w:r>
    </w:p>
    <w:p w14:paraId="0145C37F" w14:textId="77777777" w:rsidR="00676F99" w:rsidRDefault="00676F99" w:rsidP="00676F99">
      <w:pPr>
        <w:tabs>
          <w:tab w:val="left" w:pos="426"/>
        </w:tabs>
        <w:spacing w:after="0" w:line="240" w:lineRule="auto"/>
        <w:jc w:val="both"/>
        <w:rPr>
          <w:rFonts w:ascii="Verdana" w:eastAsia="Calibri" w:hAnsi="Verdana" w:cs="Arial"/>
          <w:b/>
          <w:bCs/>
          <w:sz w:val="20"/>
          <w:szCs w:val="20"/>
        </w:rPr>
      </w:pPr>
    </w:p>
    <w:p w14:paraId="4B6333C7" w14:textId="7894D895" w:rsidR="002D0C1F" w:rsidRPr="00676F99" w:rsidRDefault="002D0C1F" w:rsidP="00676F99">
      <w:pPr>
        <w:tabs>
          <w:tab w:val="left" w:pos="426"/>
        </w:tabs>
        <w:spacing w:after="0" w:line="240" w:lineRule="auto"/>
        <w:jc w:val="both"/>
        <w:rPr>
          <w:rFonts w:ascii="Verdana" w:eastAsia="Calibri" w:hAnsi="Verdana" w:cs="Arial"/>
          <w:b/>
          <w:bCs/>
          <w:sz w:val="20"/>
          <w:szCs w:val="20"/>
          <w:lang w:val="es-ES_tradnl"/>
        </w:rPr>
      </w:pPr>
      <w:r w:rsidRPr="00676F99">
        <w:rPr>
          <w:rFonts w:ascii="Verdana" w:eastAsia="Arial" w:hAnsi="Verdana" w:cs="Arial"/>
          <w:sz w:val="20"/>
          <w:szCs w:val="20"/>
          <w:lang w:val="es-ES" w:eastAsia="es-ES" w:bidi="es-ES"/>
        </w:rPr>
        <w:t>[…]</w:t>
      </w:r>
      <w:r w:rsidRPr="00676F99">
        <w:rPr>
          <w:rFonts w:ascii="Verdana" w:eastAsia="Calibri" w:hAnsi="Verdana" w:cs="Arial"/>
          <w:sz w:val="20"/>
          <w:szCs w:val="20"/>
          <w:lang w:eastAsia="es-ES" w:bidi="es-ES"/>
        </w:rPr>
        <w:t xml:space="preserve"> resulta necesario precisar el alcance de la prohibición </w:t>
      </w:r>
      <w:r w:rsidRPr="00676F99">
        <w:rPr>
          <w:rFonts w:ascii="Verdana" w:eastAsia="Arial" w:hAnsi="Verdana" w:cs="Arial"/>
          <w:sz w:val="20"/>
          <w:szCs w:val="20"/>
          <w:lang w:val="es-ES" w:eastAsia="es-ES" w:bidi="es-ES"/>
        </w:rPr>
        <w:t>establecida en e</w:t>
      </w:r>
      <w:r w:rsidRPr="00676F99">
        <w:rPr>
          <w:rFonts w:ascii="Verdana" w:eastAsia="Calibri" w:hAnsi="Verdana" w:cs="Arial"/>
          <w:sz w:val="20"/>
          <w:szCs w:val="20"/>
        </w:rPr>
        <w:t xml:space="preserve">l parágrafo del artículo 38 de la Ley 996 de 2005. La citada norma dispone que “[l]os Gobernadores, </w:t>
      </w:r>
      <w:proofErr w:type="gramStart"/>
      <w:r w:rsidRPr="00676F99">
        <w:rPr>
          <w:rFonts w:ascii="Verdana" w:eastAsia="Calibri" w:hAnsi="Verdana" w:cs="Arial"/>
          <w:sz w:val="20"/>
          <w:szCs w:val="20"/>
        </w:rPr>
        <w:t>Alcaldes</w:t>
      </w:r>
      <w:proofErr w:type="gramEnd"/>
      <w:r w:rsidRPr="00676F99">
        <w:rPr>
          <w:rFonts w:ascii="Verdana" w:eastAsia="Calibri" w:hAnsi="Verdana" w:cs="Arial"/>
          <w:sz w:val="20"/>
          <w:szCs w:val="20"/>
        </w:rPr>
        <w:t xml:space="preserve"> Municipales y/o Distritales, </w:t>
      </w:r>
      <w:proofErr w:type="gramStart"/>
      <w:r w:rsidRPr="00676F99">
        <w:rPr>
          <w:rFonts w:ascii="Verdana" w:eastAsia="Calibri" w:hAnsi="Verdana" w:cs="Arial"/>
          <w:sz w:val="20"/>
          <w:szCs w:val="20"/>
        </w:rPr>
        <w:t>Secretarios</w:t>
      </w:r>
      <w:proofErr w:type="gramEnd"/>
      <w:r w:rsidRPr="00676F99">
        <w:rPr>
          <w:rFonts w:ascii="Verdana" w:eastAsia="Calibri" w:hAnsi="Verdana" w:cs="Arial"/>
          <w:sz w:val="20"/>
          <w:szCs w:val="20"/>
        </w:rPr>
        <w:t xml:space="preserve">, Gerentes y directores de Entidades Descentralizadas del orden Municipal, Departamental o Distrital, dentro de los cuatro (4) meses anteriores a las elecciones, no podrán celebrar </w:t>
      </w:r>
      <w:r w:rsidRPr="00676F99">
        <w:rPr>
          <w:rFonts w:ascii="Verdana" w:eastAsia="Calibri" w:hAnsi="Verdana" w:cs="Arial"/>
          <w:i/>
          <w:iCs/>
          <w:sz w:val="20"/>
          <w:szCs w:val="20"/>
        </w:rPr>
        <w:t>convenios interadministrativos</w:t>
      </w:r>
      <w:r w:rsidRPr="00676F99">
        <w:rPr>
          <w:rFonts w:ascii="Verdana" w:eastAsia="Calibri" w:hAnsi="Verdana" w:cs="Arial"/>
          <w:sz w:val="20"/>
          <w:szCs w:val="20"/>
        </w:rPr>
        <w:t xml:space="preserve"> para la ejecución de recursos públicos”.</w:t>
      </w:r>
    </w:p>
    <w:p w14:paraId="3E4E9218" w14:textId="77777777" w:rsidR="00676F99" w:rsidRDefault="00676F99" w:rsidP="00676F99">
      <w:pPr>
        <w:spacing w:after="0" w:line="240" w:lineRule="auto"/>
        <w:jc w:val="both"/>
        <w:rPr>
          <w:rFonts w:ascii="Verdana" w:eastAsia="Times New Roman" w:hAnsi="Verdana" w:cs="Arial"/>
          <w:sz w:val="20"/>
          <w:szCs w:val="20"/>
          <w:lang w:val="es-MX" w:eastAsia="x-none"/>
        </w:rPr>
      </w:pPr>
    </w:p>
    <w:p w14:paraId="479898F1" w14:textId="49BEF876" w:rsidR="002D0C1F" w:rsidRPr="00676F99" w:rsidRDefault="002D0C1F" w:rsidP="00676F99">
      <w:pPr>
        <w:spacing w:after="0" w:line="240" w:lineRule="auto"/>
        <w:jc w:val="both"/>
        <w:rPr>
          <w:rFonts w:ascii="Verdana" w:eastAsia="Calibri" w:hAnsi="Verdana" w:cs="Arial"/>
          <w:sz w:val="20"/>
          <w:szCs w:val="20"/>
          <w:lang w:bidi="es-ES"/>
        </w:rPr>
      </w:pPr>
      <w:r w:rsidRPr="00676F99">
        <w:rPr>
          <w:rFonts w:ascii="Verdana" w:eastAsia="Times New Roman" w:hAnsi="Verdana" w:cs="Arial"/>
          <w:sz w:val="20"/>
          <w:szCs w:val="20"/>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676F99">
        <w:rPr>
          <w:rFonts w:ascii="Verdana" w:eastAsia="Arial" w:hAnsi="Verdana" w:cs="Arial"/>
          <w:sz w:val="20"/>
          <w:szCs w:val="20"/>
          <w:lang w:val="es-ES" w:eastAsia="es-ES" w:bidi="es-ES"/>
        </w:rPr>
        <w:t>e</w:t>
      </w:r>
      <w:r w:rsidRPr="00676F99">
        <w:rPr>
          <w:rFonts w:ascii="Verdana" w:eastAsia="Calibri" w:hAnsi="Verdana" w:cs="Arial"/>
          <w:sz w:val="20"/>
          <w:szCs w:val="20"/>
        </w:rPr>
        <w:t xml:space="preserve">l parágrafo del artículo 38 cobija tanto a los convenios como a los contratos interadministrativos. Esta tesis se </w:t>
      </w:r>
      <w:r w:rsidRPr="00676F99">
        <w:rPr>
          <w:rFonts w:ascii="Verdana" w:eastAsia="Calibri" w:hAnsi="Verdana" w:cs="Arial"/>
          <w:sz w:val="20"/>
          <w:szCs w:val="20"/>
        </w:rPr>
        <w:lastRenderedPageBreak/>
        <w:t xml:space="preserve">fundamenta en que </w:t>
      </w:r>
      <w:r w:rsidRPr="00676F99">
        <w:rPr>
          <w:rFonts w:ascii="Verdana" w:eastAsia="Calibri" w:hAnsi="Verdana" w:cs="Arial"/>
          <w:sz w:val="20"/>
          <w:szCs w:val="20"/>
          <w:lang w:bidi="es-ES"/>
        </w:rPr>
        <w:t xml:space="preserve">si bien actualmente el Estatuto General de Contratación de la Administración Pública – en adelante EGCAP – hace referencia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3E9EB34F" w14:textId="77777777" w:rsidR="00676F99" w:rsidRDefault="00676F99" w:rsidP="00676F99">
      <w:pPr>
        <w:spacing w:after="0" w:line="240" w:lineRule="auto"/>
        <w:jc w:val="both"/>
        <w:rPr>
          <w:rFonts w:ascii="Verdana" w:eastAsia="Calibri" w:hAnsi="Verdana" w:cs="Arial"/>
          <w:sz w:val="20"/>
          <w:szCs w:val="20"/>
          <w:lang w:bidi="es-ES"/>
        </w:rPr>
      </w:pPr>
    </w:p>
    <w:p w14:paraId="1A423885" w14:textId="67478AA4" w:rsidR="00676F99" w:rsidRPr="00676F99" w:rsidRDefault="002D0C1F" w:rsidP="00676F99">
      <w:pPr>
        <w:spacing w:after="0" w:line="240" w:lineRule="auto"/>
        <w:jc w:val="both"/>
        <w:rPr>
          <w:rFonts w:ascii="Verdana" w:eastAsia="Calibri" w:hAnsi="Verdana" w:cs="Arial"/>
          <w:sz w:val="20"/>
          <w:szCs w:val="20"/>
          <w:lang w:bidi="es-ES"/>
        </w:rPr>
      </w:pPr>
      <w:r w:rsidRPr="00676F99">
        <w:rPr>
          <w:rFonts w:ascii="Verdana" w:eastAsia="Calibri" w:hAnsi="Verdana" w:cs="Arial"/>
          <w:sz w:val="20"/>
          <w:szCs w:val="20"/>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676F99">
        <w:rPr>
          <w:rFonts w:ascii="Verdana" w:eastAsia="Arial" w:hAnsi="Verdana" w:cs="Arial"/>
          <w:sz w:val="20"/>
          <w:szCs w:val="20"/>
          <w:lang w:val="es-ES" w:eastAsia="es-ES" w:bidi="es-ES"/>
        </w:rPr>
        <w:t>el legislador y el ordenamiento jurídico, en general, en distintas ocasiones utiliza de forma indistinta los conceptos de contrato o convenio para referirse a la misma institución jurídica. Incluso, la Corte Constitucional fundamenta la posibilidad de celebrar convenios interadministrativos de forma directa, con fundamento en la causal establecida en la Ley 1150 de 2007 respecto a los contratos interadministrativos.</w:t>
      </w:r>
    </w:p>
    <w:p w14:paraId="1B8EA0E4" w14:textId="77777777" w:rsidR="00676F99" w:rsidRDefault="00676F99" w:rsidP="00676F99">
      <w:pPr>
        <w:spacing w:after="0" w:line="240" w:lineRule="auto"/>
        <w:jc w:val="both"/>
        <w:rPr>
          <w:rFonts w:ascii="Verdana" w:eastAsia="Calibri" w:hAnsi="Verdana" w:cs="Arial"/>
          <w:lang w:bidi="es-ES"/>
        </w:rPr>
      </w:pPr>
    </w:p>
    <w:p w14:paraId="648D5F1E" w14:textId="77777777" w:rsidR="00676F99" w:rsidRDefault="00C71C1F" w:rsidP="00676F99">
      <w:pPr>
        <w:spacing w:after="0" w:line="240" w:lineRule="auto"/>
        <w:jc w:val="both"/>
        <w:rPr>
          <w:rFonts w:ascii="Verdana" w:eastAsia="Calibri" w:hAnsi="Verdana" w:cs="Arial"/>
          <w:b/>
          <w:bCs/>
          <w:lang w:val="es-MX" w:bidi="es-ES"/>
        </w:rPr>
      </w:pPr>
      <w:r w:rsidRPr="00676F99">
        <w:rPr>
          <w:rFonts w:ascii="Verdana" w:eastAsia="Calibri" w:hAnsi="Verdana" w:cs="Arial"/>
          <w:b/>
          <w:bCs/>
          <w:lang w:eastAsia="es-ES"/>
        </w:rPr>
        <w:t xml:space="preserve">LEY DE GARANTÍAS ELECTORALES – Aplicación a convenios interadministrativos </w:t>
      </w:r>
      <w:r w:rsidRPr="00676F99">
        <w:rPr>
          <w:rFonts w:ascii="Verdana" w:eastAsia="Calibri" w:hAnsi="Verdana" w:cs="Arial"/>
          <w:b/>
          <w:bCs/>
          <w:lang w:val="es-MX" w:eastAsia="es-ES_tradnl"/>
        </w:rPr>
        <w:t xml:space="preserve">Prohibición por elección de cargos populares </w:t>
      </w:r>
    </w:p>
    <w:p w14:paraId="3954D48E" w14:textId="77777777" w:rsidR="00676F99" w:rsidRDefault="00676F99" w:rsidP="00676F99">
      <w:pPr>
        <w:spacing w:after="0" w:line="240" w:lineRule="auto"/>
        <w:jc w:val="both"/>
        <w:rPr>
          <w:rFonts w:ascii="Verdana" w:eastAsia="Calibri" w:hAnsi="Verdana" w:cs="Arial"/>
          <w:b/>
          <w:bCs/>
          <w:lang w:val="es-MX" w:bidi="es-ES"/>
        </w:rPr>
      </w:pPr>
    </w:p>
    <w:p w14:paraId="6C03B276" w14:textId="77777777" w:rsidR="00676F99" w:rsidRDefault="002D0C1F" w:rsidP="00676F99">
      <w:pPr>
        <w:spacing w:after="0" w:line="240" w:lineRule="auto"/>
        <w:jc w:val="both"/>
        <w:rPr>
          <w:rFonts w:ascii="Verdana" w:eastAsia="Calibri" w:hAnsi="Verdana" w:cs="Arial"/>
          <w:b/>
          <w:bCs/>
          <w:lang w:bidi="es-ES"/>
        </w:rPr>
      </w:pPr>
      <w:r w:rsidRPr="00676F99">
        <w:rPr>
          <w:rFonts w:ascii="Verdana" w:eastAsia="Arial" w:hAnsi="Verdana" w:cs="Arial"/>
          <w:sz w:val="20"/>
          <w:szCs w:val="20"/>
          <w:lang w:val="es-MX" w:eastAsia="es-ES" w:bidi="es-ES"/>
        </w:rPr>
        <w:t>De esta manera, s</w:t>
      </w:r>
      <w:proofErr w:type="spellStart"/>
      <w:r w:rsidRPr="00676F99">
        <w:rPr>
          <w:rFonts w:ascii="Verdana" w:eastAsia="Times New Roman" w:hAnsi="Verdana" w:cs="Arial"/>
          <w:sz w:val="20"/>
          <w:szCs w:val="20"/>
          <w:lang w:eastAsia="es-CO"/>
        </w:rPr>
        <w:t>e</w:t>
      </w:r>
      <w:proofErr w:type="spellEnd"/>
      <w:r w:rsidRPr="00676F99">
        <w:rPr>
          <w:rFonts w:ascii="Verdana" w:eastAsia="Times New Roman" w:hAnsi="Verdana" w:cs="Arial"/>
          <w:sz w:val="20"/>
          <w:szCs w:val="20"/>
          <w:lang w:eastAsia="es-CO"/>
        </w:rPr>
        <w:t xml:space="preserve"> observa entonces que </w:t>
      </w:r>
      <w:r w:rsidRPr="00676F99">
        <w:rPr>
          <w:rFonts w:ascii="Verdana" w:eastAsia="Times New Roman" w:hAnsi="Verdana" w:cs="Arial"/>
          <w:sz w:val="20"/>
          <w:szCs w:val="20"/>
          <w:lang w:val="es-MX" w:eastAsia="es-CO"/>
        </w:rPr>
        <w:t xml:space="preserve">el parágrafo del artículo 38 de la Ley 996 de 2005 prohíbe a los </w:t>
      </w:r>
      <w:proofErr w:type="gramStart"/>
      <w:r w:rsidRPr="00676F99">
        <w:rPr>
          <w:rFonts w:ascii="Verdana" w:eastAsia="Times New Roman" w:hAnsi="Verdana" w:cs="Arial"/>
          <w:sz w:val="20"/>
          <w:szCs w:val="20"/>
          <w:lang w:val="es-MX" w:eastAsia="es-CO"/>
        </w:rPr>
        <w:t>Alcaldes</w:t>
      </w:r>
      <w:proofErr w:type="gramEnd"/>
      <w:r w:rsidRPr="00676F99">
        <w:rPr>
          <w:rFonts w:ascii="Verdana" w:eastAsia="Times New Roman" w:hAnsi="Verdana" w:cs="Arial"/>
          <w:sz w:val="20"/>
          <w:szCs w:val="20"/>
          <w:lang w:val="es-MX" w:eastAsia="es-CO"/>
        </w:rPr>
        <w:t xml:space="preserve">, Gobernadores, </w:t>
      </w:r>
      <w:proofErr w:type="gramStart"/>
      <w:r w:rsidRPr="00676F99">
        <w:rPr>
          <w:rFonts w:ascii="Verdana" w:eastAsia="Times New Roman" w:hAnsi="Verdana" w:cs="Arial"/>
          <w:sz w:val="20"/>
          <w:szCs w:val="20"/>
          <w:lang w:val="es-MX" w:eastAsia="es-CO"/>
        </w:rPr>
        <w:t>Secretarios</w:t>
      </w:r>
      <w:proofErr w:type="gramEnd"/>
      <w:r w:rsidRPr="00676F99">
        <w:rPr>
          <w:rFonts w:ascii="Verdana" w:eastAsia="Times New Roman" w:hAnsi="Verdana" w:cs="Arial"/>
          <w:sz w:val="20"/>
          <w:szCs w:val="20"/>
          <w:lang w:val="es-MX" w:eastAsia="es-CO"/>
        </w:rPr>
        <w:t xml:space="preserve">, Gerentes y </w:t>
      </w:r>
      <w:proofErr w:type="gramStart"/>
      <w:r w:rsidRPr="00676F99">
        <w:rPr>
          <w:rFonts w:ascii="Verdana" w:eastAsia="Times New Roman" w:hAnsi="Verdana" w:cs="Arial"/>
          <w:sz w:val="20"/>
          <w:szCs w:val="20"/>
          <w:lang w:val="es-MX" w:eastAsia="es-CO"/>
        </w:rPr>
        <w:t>Directores</w:t>
      </w:r>
      <w:proofErr w:type="gramEnd"/>
      <w:r w:rsidRPr="00676F99">
        <w:rPr>
          <w:rFonts w:ascii="Verdana" w:eastAsia="Times New Roman" w:hAnsi="Verdana" w:cs="Arial"/>
          <w:sz w:val="20"/>
          <w:szCs w:val="20"/>
          <w:lang w:val="es-MX" w:eastAsia="es-CO"/>
        </w:rPr>
        <w:t xml:space="preserve"> de las entidades del orden municipal, departamental o distrital celebrar </w:t>
      </w:r>
      <w:r w:rsidRPr="00676F99">
        <w:rPr>
          <w:rFonts w:ascii="Verdana" w:eastAsia="Times New Roman" w:hAnsi="Verdana" w:cs="Arial"/>
          <w:i/>
          <w:iCs/>
          <w:sz w:val="20"/>
          <w:szCs w:val="20"/>
          <w:lang w:val="es-MX" w:eastAsia="es-CO"/>
        </w:rPr>
        <w:t>convenios interadministrativos</w:t>
      </w:r>
      <w:r w:rsidRPr="00676F99">
        <w:rPr>
          <w:rFonts w:ascii="Verdana" w:eastAsia="Times New Roman" w:hAnsi="Verdana" w:cs="Arial"/>
          <w:sz w:val="20"/>
          <w:szCs w:val="20"/>
          <w:lang w:val="es-MX" w:eastAsia="es-CO"/>
        </w:rPr>
        <w:t xml:space="preserve"> para la ejecución de recursos públicos. En este sentido, si una o ambas partes de la relación contractual es una entidad de aquellas descritas en el parágrafo </w:t>
      </w:r>
      <w:r w:rsidRPr="00676F99">
        <w:rPr>
          <w:rFonts w:ascii="Verdana" w:eastAsia="Times New Roman" w:hAnsi="Verdana" w:cs="Arial"/>
          <w:i/>
          <w:sz w:val="20"/>
          <w:szCs w:val="20"/>
          <w:lang w:val="es-MX" w:eastAsia="es-CO"/>
        </w:rPr>
        <w:t>ibidem</w:t>
      </w:r>
      <w:r w:rsidRPr="00676F99">
        <w:rPr>
          <w:rFonts w:ascii="Verdana" w:eastAsia="Times New Roman" w:hAnsi="Verdana" w:cs="Arial"/>
          <w:sz w:val="20"/>
          <w:szCs w:val="20"/>
          <w:lang w:val="es-MX" w:eastAsia="es-CO"/>
        </w:rPr>
        <w:t xml:space="preserve">, no podrá celebrar tales </w:t>
      </w:r>
      <w:r w:rsidRPr="00676F99">
        <w:rPr>
          <w:rFonts w:ascii="Verdana" w:eastAsia="Times New Roman" w:hAnsi="Verdana" w:cs="Arial"/>
          <w:i/>
          <w:iCs/>
          <w:sz w:val="20"/>
          <w:szCs w:val="20"/>
          <w:lang w:val="es-MX" w:eastAsia="es-CO"/>
        </w:rPr>
        <w:t>convenios</w:t>
      </w:r>
      <w:r w:rsidRPr="00676F99">
        <w:rPr>
          <w:rFonts w:ascii="Verdana" w:eastAsia="Times New Roman" w:hAnsi="Verdana" w:cs="Arial"/>
          <w:sz w:val="20"/>
          <w:szCs w:val="20"/>
          <w:lang w:val="es-MX" w:eastAsia="es-CO"/>
        </w:rPr>
        <w:t xml:space="preserve"> durante la aplicación de la Ley de Garantías Electorales, toda vez que la citada disposición hace referencia a dicha tipología contractual sin que el legislador hubiere contemplado un efecto extensivo a otra tipología. Ahora bien, como se expuso anteriormente, para esta Agencia tal restricción también cobijaría a los contratos interadministrativos</w:t>
      </w:r>
      <w:r w:rsidRPr="00461891">
        <w:rPr>
          <w:rFonts w:ascii="Verdana" w:eastAsia="Times New Roman" w:hAnsi="Verdana" w:cs="Arial"/>
          <w:lang w:val="es-MX" w:eastAsia="es-CO"/>
        </w:rPr>
        <w:t xml:space="preserve">.  </w:t>
      </w:r>
    </w:p>
    <w:p w14:paraId="58551252" w14:textId="77777777" w:rsidR="00676F99" w:rsidRDefault="00676F99" w:rsidP="00676F99">
      <w:pPr>
        <w:spacing w:after="0" w:line="240" w:lineRule="auto"/>
        <w:jc w:val="both"/>
        <w:rPr>
          <w:rFonts w:ascii="Verdana" w:eastAsia="Calibri" w:hAnsi="Verdana" w:cs="Arial"/>
          <w:b/>
          <w:bCs/>
          <w:lang w:bidi="es-ES"/>
        </w:rPr>
      </w:pPr>
    </w:p>
    <w:p w14:paraId="718B8694" w14:textId="77777777" w:rsidR="00676F99" w:rsidRPr="00676F99" w:rsidRDefault="00C71C1F" w:rsidP="00676F99">
      <w:pPr>
        <w:spacing w:after="0" w:line="240" w:lineRule="auto"/>
        <w:jc w:val="both"/>
        <w:rPr>
          <w:rFonts w:ascii="Verdana" w:eastAsia="Calibri" w:hAnsi="Verdana" w:cs="Arial"/>
          <w:b/>
          <w:bCs/>
          <w:lang w:bidi="es-ES"/>
        </w:rPr>
      </w:pPr>
      <w:r w:rsidRPr="00676F99">
        <w:rPr>
          <w:rFonts w:ascii="Verdana" w:eastAsia="Calibri" w:hAnsi="Verdana" w:cs="Arial"/>
          <w:b/>
          <w:bCs/>
          <w:lang w:val="es-MX" w:eastAsia="es-ES_tradnl"/>
        </w:rPr>
        <w:t>ELECCIONES ATÍPICAS</w:t>
      </w:r>
      <w:r w:rsidRPr="00676F99">
        <w:rPr>
          <w:rFonts w:ascii="Verdana" w:eastAsia="Calibri" w:hAnsi="Verdana" w:cs="Arial"/>
          <w:b/>
          <w:bCs/>
          <w:lang w:val="es-ES" w:eastAsia="es-ES"/>
        </w:rPr>
        <w:t xml:space="preserve"> – Aplicación ley de garantías </w:t>
      </w:r>
    </w:p>
    <w:p w14:paraId="52CE0315" w14:textId="77777777" w:rsidR="00676F99" w:rsidRDefault="00676F99" w:rsidP="00676F99">
      <w:pPr>
        <w:spacing w:after="0" w:line="240" w:lineRule="auto"/>
        <w:jc w:val="both"/>
        <w:rPr>
          <w:rFonts w:ascii="Verdana" w:eastAsia="Calibri" w:hAnsi="Verdana" w:cs="Arial"/>
          <w:b/>
          <w:bCs/>
          <w:lang w:bidi="es-ES"/>
        </w:rPr>
      </w:pPr>
    </w:p>
    <w:p w14:paraId="0AD2660A" w14:textId="10B6E078" w:rsidR="002D0C1F" w:rsidRPr="00676F99" w:rsidRDefault="002D0C1F" w:rsidP="00676F99">
      <w:pPr>
        <w:spacing w:after="0" w:line="240" w:lineRule="auto"/>
        <w:jc w:val="both"/>
        <w:rPr>
          <w:rFonts w:ascii="Verdana" w:eastAsia="Calibri" w:hAnsi="Verdana" w:cs="Arial"/>
          <w:b/>
          <w:bCs/>
          <w:sz w:val="20"/>
          <w:szCs w:val="20"/>
          <w:lang w:bidi="es-ES"/>
        </w:rPr>
      </w:pPr>
      <w:r w:rsidRPr="00676F99">
        <w:rPr>
          <w:rFonts w:ascii="Verdana" w:eastAsia="Arial" w:hAnsi="Verdana" w:cs="Arial"/>
          <w:sz w:val="20"/>
          <w:szCs w:val="20"/>
          <w:lang w:val="es-ES" w:eastAsia="es-ES" w:bidi="es-ES"/>
        </w:rPr>
        <w:t xml:space="preserve">Precisado lo anterior, en relación con el problema jurídico planteado se tiene que, tratándose de elecciones en general, excluyendo las correspondientes al </w:t>
      </w:r>
      <w:proofErr w:type="gramStart"/>
      <w:r w:rsidRPr="00676F99">
        <w:rPr>
          <w:rFonts w:ascii="Verdana" w:eastAsia="Arial" w:hAnsi="Verdana" w:cs="Arial"/>
          <w:sz w:val="20"/>
          <w:szCs w:val="20"/>
          <w:lang w:val="es-ES" w:eastAsia="es-ES" w:bidi="es-ES"/>
        </w:rPr>
        <w:t>Presidente</w:t>
      </w:r>
      <w:proofErr w:type="gramEnd"/>
      <w:r w:rsidRPr="00676F99">
        <w:rPr>
          <w:rFonts w:ascii="Verdana" w:eastAsia="Arial" w:hAnsi="Verdana" w:cs="Arial"/>
          <w:sz w:val="20"/>
          <w:szCs w:val="20"/>
          <w:lang w:val="es-ES" w:eastAsia="es-ES" w:bidi="es-ES"/>
        </w:rPr>
        <w:t xml:space="preserve"> de la República, las restricciones que resultan aplicables son las contenidas en el parágrafo del artículo 38. Es decir, cuando se convoca a elecciones para cargos de elección popular los </w:t>
      </w:r>
      <w:r w:rsidRPr="00676F99">
        <w:rPr>
          <w:rFonts w:ascii="Verdana" w:eastAsia="Calibri" w:hAnsi="Verdana" w:cs="Arial"/>
          <w:sz w:val="20"/>
          <w:szCs w:val="20"/>
        </w:rPr>
        <w:t xml:space="preserve">Gobernadores, </w:t>
      </w:r>
      <w:proofErr w:type="gramStart"/>
      <w:r w:rsidRPr="00676F99">
        <w:rPr>
          <w:rFonts w:ascii="Verdana" w:eastAsia="Calibri" w:hAnsi="Verdana" w:cs="Arial"/>
          <w:sz w:val="20"/>
          <w:szCs w:val="20"/>
        </w:rPr>
        <w:t>Alcaldes</w:t>
      </w:r>
      <w:proofErr w:type="gramEnd"/>
      <w:r w:rsidRPr="00676F99">
        <w:rPr>
          <w:rFonts w:ascii="Verdana" w:eastAsia="Calibri" w:hAnsi="Verdana" w:cs="Arial"/>
          <w:sz w:val="20"/>
          <w:szCs w:val="20"/>
        </w:rPr>
        <w:t xml:space="preserve"> Municipales y/o Distritales, </w:t>
      </w:r>
      <w:proofErr w:type="gramStart"/>
      <w:r w:rsidRPr="00676F99">
        <w:rPr>
          <w:rFonts w:ascii="Verdana" w:eastAsia="Calibri" w:hAnsi="Verdana" w:cs="Arial"/>
          <w:sz w:val="20"/>
          <w:szCs w:val="20"/>
        </w:rPr>
        <w:t>Secretarios</w:t>
      </w:r>
      <w:proofErr w:type="gramEnd"/>
      <w:r w:rsidRPr="00676F99">
        <w:rPr>
          <w:rFonts w:ascii="Verdana" w:eastAsia="Calibri" w:hAnsi="Verdana" w:cs="Arial"/>
          <w:sz w:val="20"/>
          <w:szCs w:val="20"/>
        </w:rPr>
        <w:t xml:space="preserve">, Gerentes y directores de Entidades Descentralizadas del orden Municipal, Departamental o Distrital, no podrán celebrar convenios interadministrativos para la ejecución de recursos públicos, dentro de los cuatro (4) meses anteriores a las elecciones. Esta prohibición aplica incluso cuando se trate de elecciones atípicas de alcaldes o gobernadores, esto es, elecciones que se realicen por fuera del calendario ordinario electoral. </w:t>
      </w:r>
    </w:p>
    <w:p w14:paraId="23B1EF0F" w14:textId="77777777" w:rsidR="00676F99" w:rsidRDefault="00676F99" w:rsidP="00676F99">
      <w:pPr>
        <w:jc w:val="both"/>
        <w:rPr>
          <w:rFonts w:ascii="Verdana" w:eastAsia="Calibri" w:hAnsi="Verdana" w:cs="Arial"/>
          <w:sz w:val="20"/>
          <w:szCs w:val="20"/>
          <w:lang w:eastAsia="es-ES"/>
        </w:rPr>
      </w:pPr>
      <w:r w:rsidRPr="00676F99">
        <w:rPr>
          <w:rFonts w:ascii="Verdana" w:eastAsia="Calibri" w:hAnsi="Verdana" w:cs="Arial"/>
          <w:sz w:val="20"/>
          <w:szCs w:val="20"/>
        </w:rPr>
        <w:lastRenderedPageBreak/>
        <w:t>En efecto, al analizar el contenido del parágrafo del artículo 38 de la Ley 996 de 2005 se evidencia que la prohibición se refiere de forma general a las “elecciones” sin realizar distinción respecto de si esta jornada de votación se realizará dentro del calendario electoral ordinario o de forma atípica. Este último tipo de elecciones “son eventos electorales que se realizan por fuera del calendario electoral ordinario, con el fin de cubrir la vacancia absoluta de un mandatario y elegir una autoridad por el tiempo que resta del periodo constitucional del cargo, cuando esta vacancia se registra faltando 18 meses o más para la terminación de dicho periodo”. Su convocatoria puede derivar de diferentes situaciones como la muerte del gobernador o el alcalde, la renuncia aceptada, incapacidad física permanente, la declaratoria de nulidad por su elección, la interdicción judicial, la destitución, la revocatoria del mandato y la incapacidad por enfermedad superior a ciento ochenta (180) días.</w:t>
      </w:r>
    </w:p>
    <w:p w14:paraId="707055CF" w14:textId="77777777" w:rsidR="00676F99" w:rsidRDefault="00C71C1F" w:rsidP="00676F99">
      <w:pPr>
        <w:jc w:val="both"/>
        <w:rPr>
          <w:rFonts w:ascii="Verdana" w:eastAsia="Calibri" w:hAnsi="Verdana" w:cs="Arial"/>
          <w:b/>
          <w:bCs/>
          <w:sz w:val="20"/>
          <w:szCs w:val="20"/>
          <w:lang w:eastAsia="es-ES"/>
        </w:rPr>
      </w:pPr>
      <w:r w:rsidRPr="00676F99">
        <w:rPr>
          <w:rFonts w:ascii="Verdana" w:eastAsia="Calibri" w:hAnsi="Verdana" w:cs="Arial"/>
          <w:b/>
          <w:bCs/>
          <w:lang w:val="es-ES" w:eastAsia="es-ES"/>
        </w:rPr>
        <w:t>LEY DE GARANTÍAS ELECTORALES –</w:t>
      </w:r>
      <w:r w:rsidRPr="00676F99">
        <w:rPr>
          <w:rFonts w:ascii="Verdana" w:eastAsia="Calibri" w:hAnsi="Verdana" w:cs="Arial"/>
          <w:b/>
          <w:bCs/>
          <w:lang w:val="es-MX" w:eastAsia="es-ES"/>
        </w:rPr>
        <w:t xml:space="preserve"> Contratación directa</w:t>
      </w:r>
    </w:p>
    <w:p w14:paraId="17D7AEAD" w14:textId="77777777" w:rsidR="00676F99" w:rsidRDefault="00676F99" w:rsidP="00676F99">
      <w:pPr>
        <w:jc w:val="both"/>
        <w:rPr>
          <w:rFonts w:ascii="Verdana" w:eastAsia="Calibri" w:hAnsi="Verdana" w:cs="Arial"/>
          <w:b/>
          <w:bCs/>
          <w:sz w:val="20"/>
          <w:szCs w:val="20"/>
          <w:lang w:eastAsia="es-ES"/>
        </w:rPr>
      </w:pPr>
      <w:r w:rsidRPr="00676F99">
        <w:rPr>
          <w:rFonts w:ascii="Verdana" w:eastAsia="Calibri" w:hAnsi="Verdana" w:cs="Arial"/>
          <w:sz w:val="20"/>
          <w:szCs w:val="20"/>
          <w:lang w:eastAsia="es-ES" w:bidi="es-ES"/>
        </w:rPr>
        <w:t>Bajo estas consideraciones, se concluye que para las elecciones atípicas territoriales resulta aplicable las restricciones señaladas en el parágrafo del artículo 38 de la Ley 996 de 2005, lo que significa que, en materia de contratación estatal, los Alcaldes, los Gobernadores, Alcaldes Municipales y/o Distritales, Secretarios, Gerentes y directores de Entidades Descentralizadas del orden Municipal, Departamental o Distrital, no podrán celebrar convenios interadministrativos para la ejecución de recursos públicos, dentro del periodo en que se convocó a las elecciones atípicas y su votación.</w:t>
      </w:r>
    </w:p>
    <w:p w14:paraId="5E84E7BE" w14:textId="77777777" w:rsidR="00676F99" w:rsidRDefault="00676F99" w:rsidP="00676F99">
      <w:pPr>
        <w:jc w:val="both"/>
        <w:rPr>
          <w:rFonts w:ascii="Verdana" w:eastAsia="Calibri" w:hAnsi="Verdana" w:cs="Arial"/>
          <w:b/>
          <w:bCs/>
          <w:sz w:val="20"/>
          <w:szCs w:val="20"/>
          <w:lang w:eastAsia="es-ES"/>
        </w:rPr>
      </w:pPr>
      <w:r w:rsidRPr="00676F99">
        <w:rPr>
          <w:rFonts w:ascii="Verdana" w:eastAsia="Calibri" w:hAnsi="Verdana" w:cs="Arial"/>
          <w:sz w:val="20"/>
          <w:szCs w:val="20"/>
          <w:lang w:eastAsia="es-ES" w:bidi="es-ES"/>
        </w:rPr>
        <w:t xml:space="preserve">[…] </w:t>
      </w:r>
    </w:p>
    <w:p w14:paraId="0E69B423" w14:textId="77777777" w:rsidR="00676F99" w:rsidRDefault="00676F99" w:rsidP="00676F99">
      <w:pPr>
        <w:jc w:val="both"/>
        <w:rPr>
          <w:rFonts w:ascii="Verdana" w:eastAsia="Calibri" w:hAnsi="Verdana" w:cs="Arial"/>
          <w:b/>
          <w:bCs/>
          <w:sz w:val="20"/>
          <w:szCs w:val="20"/>
          <w:lang w:eastAsia="es-ES"/>
        </w:rPr>
      </w:pPr>
      <w:r w:rsidRPr="00676F99">
        <w:rPr>
          <w:rFonts w:ascii="Verdana" w:hAnsi="Verdana"/>
          <w:sz w:val="20"/>
          <w:szCs w:val="20"/>
        </w:rPr>
        <w:t xml:space="preserve">Por último […] la interpretación del parágrafo del artículo 38 de la Ley 996 de 2005 debe realizarse conforme al principio de legalidad administrativa, según el cual las </w:t>
      </w:r>
      <w:proofErr w:type="gramStart"/>
      <w:r w:rsidRPr="00676F99">
        <w:rPr>
          <w:rFonts w:ascii="Verdana" w:hAnsi="Verdana"/>
          <w:sz w:val="20"/>
          <w:szCs w:val="20"/>
        </w:rPr>
        <w:t>autoridades públicas</w:t>
      </w:r>
      <w:proofErr w:type="gramEnd"/>
      <w:r w:rsidRPr="00676F99">
        <w:rPr>
          <w:rFonts w:ascii="Verdana" w:hAnsi="Verdana"/>
          <w:sz w:val="20"/>
          <w:szCs w:val="20"/>
        </w:rPr>
        <w:t xml:space="preserve"> sólo pueden hacer aquello que les está expresamente permitido por la ley. En esa medida, al tratarse de una norma que impone una prohibición, su alcance debe ser objeto de una interpretación estricta y restrictiva, como lo ha sostenido reiteradamente la jurisprudencia del Consejo de Estado. La norma en cuestión prohíbe de forma específica la celebración de convenios interadministrativos por parte de determinadas autoridades territoriales durante los cuatro (4) meses previos a las elecciones, sin hacer mención alguna a otros tipos contractuales. </w:t>
      </w:r>
    </w:p>
    <w:p w14:paraId="6FC1582B" w14:textId="0EC3F3B9" w:rsidR="00676F99" w:rsidRPr="00676F99" w:rsidRDefault="00676F99" w:rsidP="00676F99">
      <w:pPr>
        <w:spacing w:after="0" w:line="240" w:lineRule="auto"/>
        <w:jc w:val="both"/>
        <w:rPr>
          <w:rFonts w:ascii="Verdana" w:eastAsia="Calibri" w:hAnsi="Verdana" w:cs="Arial"/>
          <w:b/>
          <w:bCs/>
          <w:sz w:val="20"/>
          <w:szCs w:val="20"/>
          <w:lang w:eastAsia="es-ES"/>
        </w:rPr>
      </w:pPr>
      <w:r w:rsidRPr="00676F99">
        <w:rPr>
          <w:rFonts w:ascii="Verdana" w:hAnsi="Verdana"/>
          <w:sz w:val="20"/>
          <w:szCs w:val="20"/>
        </w:rPr>
        <w:t>Por tanto, no puede extenderse dicha restricción a contratos distintos —como los de prestación de servicios, suministros, entre otros— aun cuando se celebren por la modalidad de contratación directa, ya que ello equivaldría a una interpretación extensiva en perjuicio de la función administrativa. Adicionalmente, los convenios interadministrativos, por su naturaleza, suponen relaciones entre entidades estatales y una ejecución conjunta de recursos públicos, lo que justifica su especial regulación en contexto electoral. Así, la limitación contenida en el artículo 38 debe entenderse aplicable exclusivamente a la figura contractual expresamente señalada, sin que proceda su extensión a otros contratos que no comparten la misma finalidad ni estructura jurídica.</w:t>
      </w:r>
    </w:p>
    <w:p w14:paraId="34608DAE" w14:textId="54D51952" w:rsidR="00676F99" w:rsidRPr="00676F99" w:rsidRDefault="00676F99" w:rsidP="00676F99">
      <w:pPr>
        <w:widowControl w:val="0"/>
        <w:autoSpaceDE w:val="0"/>
        <w:autoSpaceDN w:val="0"/>
        <w:spacing w:after="120" w:line="276" w:lineRule="auto"/>
        <w:jc w:val="both"/>
        <w:rPr>
          <w:rFonts w:ascii="Verdana" w:eastAsia="Calibri" w:hAnsi="Verdana" w:cs="Arial"/>
          <w:sz w:val="20"/>
          <w:szCs w:val="20"/>
          <w:lang w:eastAsia="es-ES" w:bidi="es-ES"/>
        </w:rPr>
      </w:pPr>
      <w:r w:rsidRPr="00676F99">
        <w:rPr>
          <w:rFonts w:ascii="Verdana" w:eastAsia="Calibri" w:hAnsi="Verdana" w:cs="Arial"/>
          <w:sz w:val="20"/>
          <w:szCs w:val="20"/>
          <w:lang w:eastAsia="es-ES" w:bidi="es-ES"/>
        </w:rPr>
        <w:t xml:space="preserve"> </w:t>
      </w:r>
    </w:p>
    <w:p w14:paraId="20FA10BB" w14:textId="77777777" w:rsidR="00676F99" w:rsidRPr="00676F99" w:rsidRDefault="00676F99" w:rsidP="00C71C1F">
      <w:pPr>
        <w:spacing w:line="276" w:lineRule="auto"/>
        <w:jc w:val="both"/>
        <w:rPr>
          <w:rFonts w:ascii="Verdana" w:eastAsia="Calibri" w:hAnsi="Verdana" w:cs="Arial"/>
          <w:lang w:eastAsia="es-ES"/>
        </w:rPr>
      </w:pPr>
    </w:p>
    <w:p w14:paraId="07815BF7" w14:textId="77777777" w:rsidR="00327995" w:rsidRPr="00C71C1F" w:rsidRDefault="00327995" w:rsidP="00E245AB">
      <w:pPr>
        <w:spacing w:after="0"/>
        <w:rPr>
          <w:rFonts w:ascii="Verdana" w:hAnsi="Verdana"/>
          <w:lang w:val="es-ES"/>
        </w:rPr>
      </w:pPr>
    </w:p>
    <w:p w14:paraId="3FE2184B" w14:textId="6F1AE4A7" w:rsidR="00E245AB" w:rsidRPr="0044528D" w:rsidRDefault="00897A3A" w:rsidP="00E245AB">
      <w:pPr>
        <w:spacing w:after="0"/>
        <w:rPr>
          <w:rFonts w:ascii="Verdana" w:hAnsi="Verdana"/>
        </w:rPr>
      </w:pPr>
      <w:r w:rsidRPr="0044528D">
        <w:rPr>
          <w:rFonts w:ascii="Verdana" w:hAnsi="Verdana"/>
        </w:rPr>
        <w:t xml:space="preserve">Bogotá D.C., </w:t>
      </w:r>
      <w:r w:rsidR="00327995">
        <w:rPr>
          <w:rFonts w:ascii="Verdana" w:hAnsi="Verdana"/>
        </w:rPr>
        <w:t>31 de octubre de 2025</w:t>
      </w:r>
      <w:r w:rsidR="00891928" w:rsidRPr="0044528D">
        <w:rPr>
          <w:rFonts w:ascii="Verdana" w:hAnsi="Verdana"/>
        </w:rPr>
        <w:tab/>
      </w:r>
    </w:p>
    <w:p w14:paraId="7E975AAB" w14:textId="27F32D06" w:rsidR="00063368" w:rsidRDefault="00327995" w:rsidP="00327995">
      <w:pPr>
        <w:spacing w:after="0" w:line="240" w:lineRule="auto"/>
        <w:jc w:val="right"/>
        <w:rPr>
          <w:rFonts w:ascii="Verdana" w:eastAsia="Calibri" w:hAnsi="Verdana" w:cs="Arial"/>
          <w:lang w:eastAsia="es-ES"/>
        </w:rPr>
      </w:pPr>
      <w:bookmarkStart w:id="1" w:name="_Hlk202875225"/>
      <w:bookmarkStart w:id="2" w:name="_Hlk203032812"/>
      <w:bookmarkStart w:id="3" w:name="_Hlk204367265"/>
      <w:bookmarkStart w:id="4" w:name="_Hlk206116713"/>
      <w:bookmarkStart w:id="5" w:name="_Hlk211857901"/>
      <w:bookmarkStart w:id="6" w:name="_Hlk197462763"/>
      <w:bookmarkStart w:id="7" w:name="_Hlk197529996"/>
      <w:bookmarkStart w:id="8" w:name="_Hlk212042664"/>
      <w:r w:rsidRPr="00327995">
        <w:rPr>
          <w:rFonts w:ascii="Verdana" w:eastAsia="Calibri" w:hAnsi="Verdana" w:cs="Arial"/>
          <w:noProof/>
          <w:lang w:eastAsia="es-ES"/>
        </w:rPr>
        <w:drawing>
          <wp:inline distT="0" distB="0" distL="0" distR="0" wp14:anchorId="37131978" wp14:editId="259E5482">
            <wp:extent cx="2597265" cy="752733"/>
            <wp:effectExtent l="0" t="0" r="0" b="9525"/>
            <wp:docPr id="12152074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207497" name=""/>
                    <pic:cNvPicPr/>
                  </pic:nvPicPr>
                  <pic:blipFill>
                    <a:blip r:embed="rId10"/>
                    <a:stretch>
                      <a:fillRect/>
                    </a:stretch>
                  </pic:blipFill>
                  <pic:spPr>
                    <a:xfrm>
                      <a:off x="0" y="0"/>
                      <a:ext cx="2635806" cy="763903"/>
                    </a:xfrm>
                    <a:prstGeom prst="rect">
                      <a:avLst/>
                    </a:prstGeom>
                  </pic:spPr>
                </pic:pic>
              </a:graphicData>
            </a:graphic>
          </wp:inline>
        </w:drawing>
      </w:r>
    </w:p>
    <w:p w14:paraId="76400546" w14:textId="77777777" w:rsidR="00327995" w:rsidRPr="005644FE" w:rsidRDefault="00327995" w:rsidP="00063368">
      <w:pPr>
        <w:spacing w:after="0" w:line="240" w:lineRule="auto"/>
        <w:jc w:val="both"/>
        <w:rPr>
          <w:rFonts w:ascii="Verdana" w:eastAsia="Calibri" w:hAnsi="Verdana" w:cs="Arial"/>
          <w:lang w:eastAsia="es-ES"/>
        </w:rPr>
      </w:pPr>
    </w:p>
    <w:p w14:paraId="0F7E5A58" w14:textId="77777777" w:rsidR="00063368" w:rsidRPr="005644FE" w:rsidRDefault="00063368" w:rsidP="00063368">
      <w:pPr>
        <w:spacing w:after="0" w:line="240" w:lineRule="auto"/>
        <w:jc w:val="both"/>
        <w:rPr>
          <w:rFonts w:ascii="Verdana" w:eastAsia="Calibri" w:hAnsi="Verdana" w:cs="Arial"/>
          <w:lang w:eastAsia="es-ES"/>
        </w:rPr>
      </w:pPr>
      <w:r w:rsidRPr="005644FE">
        <w:rPr>
          <w:rFonts w:ascii="Verdana" w:eastAsia="Calibri" w:hAnsi="Verdana" w:cs="Arial"/>
          <w:lang w:eastAsia="es-ES"/>
        </w:rPr>
        <w:t>Señor</w:t>
      </w:r>
    </w:p>
    <w:p w14:paraId="7D5C9E22" w14:textId="77777777" w:rsidR="00063368" w:rsidRPr="005644FE" w:rsidRDefault="00063368" w:rsidP="00063368">
      <w:pPr>
        <w:spacing w:after="0" w:line="240" w:lineRule="auto"/>
        <w:jc w:val="both"/>
        <w:rPr>
          <w:rFonts w:ascii="Verdana" w:eastAsia="Calibri" w:hAnsi="Verdana" w:cs="Arial"/>
          <w:b/>
          <w:lang w:eastAsia="es-ES_tradnl"/>
        </w:rPr>
      </w:pPr>
      <w:r w:rsidRPr="005644FE">
        <w:rPr>
          <w:rFonts w:ascii="Verdana" w:eastAsia="Calibri" w:hAnsi="Verdana" w:cs="Arial"/>
          <w:b/>
          <w:lang w:eastAsia="es-ES_tradnl"/>
        </w:rPr>
        <w:t xml:space="preserve">Carlos Eduardo Mejía Salazar </w:t>
      </w:r>
    </w:p>
    <w:p w14:paraId="652B7915" w14:textId="77777777" w:rsidR="00063368" w:rsidRPr="005644FE" w:rsidRDefault="00063368" w:rsidP="00063368">
      <w:pPr>
        <w:spacing w:after="0" w:line="240" w:lineRule="auto"/>
        <w:jc w:val="both"/>
        <w:rPr>
          <w:rFonts w:ascii="Verdana" w:hAnsi="Verdana"/>
          <w:b/>
          <w:bCs/>
        </w:rPr>
      </w:pPr>
      <w:hyperlink r:id="rId11" w:history="1">
        <w:r w:rsidRPr="005644FE">
          <w:rPr>
            <w:rStyle w:val="Hipervnculo"/>
            <w:rFonts w:ascii="Verdana" w:hAnsi="Verdana"/>
            <w:b/>
            <w:bCs/>
          </w:rPr>
          <w:t>c_emejia@outlook.com</w:t>
        </w:r>
      </w:hyperlink>
    </w:p>
    <w:p w14:paraId="4FD108D9" w14:textId="77777777" w:rsidR="00063368" w:rsidRPr="005644FE" w:rsidRDefault="00063368" w:rsidP="00063368">
      <w:pPr>
        <w:spacing w:after="0" w:line="240" w:lineRule="auto"/>
        <w:jc w:val="both"/>
        <w:rPr>
          <w:rFonts w:ascii="Verdana" w:hAnsi="Verdana"/>
        </w:rPr>
      </w:pPr>
      <w:r w:rsidRPr="005644FE">
        <w:rPr>
          <w:rFonts w:ascii="Verdana" w:hAnsi="Verdana"/>
        </w:rPr>
        <w:t xml:space="preserve">Ciudad </w:t>
      </w:r>
    </w:p>
    <w:p w14:paraId="214D4E17" w14:textId="77777777" w:rsidR="00063368" w:rsidRPr="005644FE" w:rsidRDefault="00063368" w:rsidP="00063368">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063368" w:rsidRPr="005644FE" w14:paraId="438D7EA6" w14:textId="77777777" w:rsidTr="007B2ACE">
        <w:trPr>
          <w:trHeight w:val="162"/>
        </w:trPr>
        <w:tc>
          <w:tcPr>
            <w:tcW w:w="3119" w:type="dxa"/>
          </w:tcPr>
          <w:p w14:paraId="2DB9995B" w14:textId="77777777" w:rsidR="00063368" w:rsidRPr="005644FE" w:rsidRDefault="00063368" w:rsidP="007B2ACE">
            <w:pPr>
              <w:jc w:val="both"/>
              <w:rPr>
                <w:rFonts w:ascii="Verdana" w:eastAsia="Calibri" w:hAnsi="Verdana" w:cs="Arial"/>
                <w:b/>
                <w:bCs/>
                <w:color w:val="7030A0"/>
                <w:lang w:eastAsia="es-ES_tradnl"/>
              </w:rPr>
            </w:pPr>
          </w:p>
        </w:tc>
        <w:tc>
          <w:tcPr>
            <w:tcW w:w="5670" w:type="dxa"/>
          </w:tcPr>
          <w:p w14:paraId="443CF919" w14:textId="77777777" w:rsidR="00063368" w:rsidRPr="005644FE" w:rsidRDefault="00063368" w:rsidP="007B2ACE">
            <w:pPr>
              <w:jc w:val="both"/>
              <w:rPr>
                <w:rFonts w:ascii="Verdana" w:eastAsia="Calibri" w:hAnsi="Verdana" w:cs="Arial"/>
                <w:b/>
                <w:bCs/>
                <w:lang w:eastAsia="es-ES"/>
              </w:rPr>
            </w:pPr>
            <w:r w:rsidRPr="005644FE">
              <w:rPr>
                <w:rFonts w:ascii="Verdana" w:eastAsia="Calibri" w:hAnsi="Verdana" w:cs="Arial"/>
                <w:b/>
                <w:bCs/>
                <w:lang w:eastAsia="es-ES"/>
              </w:rPr>
              <w:t>Concepto C-1443 de 2025</w:t>
            </w:r>
          </w:p>
          <w:p w14:paraId="722D0108" w14:textId="77777777" w:rsidR="00063368" w:rsidRPr="005644FE" w:rsidRDefault="00063368" w:rsidP="007B2ACE">
            <w:pPr>
              <w:jc w:val="both"/>
              <w:rPr>
                <w:rFonts w:ascii="Verdana" w:eastAsia="Calibri" w:hAnsi="Verdana" w:cs="Arial"/>
                <w:b/>
                <w:bCs/>
                <w:color w:val="7030A0"/>
                <w:lang w:eastAsia="es-ES"/>
              </w:rPr>
            </w:pPr>
          </w:p>
        </w:tc>
      </w:tr>
      <w:tr w:rsidR="00063368" w:rsidRPr="005644FE" w14:paraId="6B96D4FC" w14:textId="77777777" w:rsidTr="007B2ACE">
        <w:trPr>
          <w:trHeight w:val="884"/>
        </w:trPr>
        <w:tc>
          <w:tcPr>
            <w:tcW w:w="3119" w:type="dxa"/>
          </w:tcPr>
          <w:p w14:paraId="26409221" w14:textId="77777777" w:rsidR="00063368" w:rsidRPr="005644FE" w:rsidRDefault="00063368" w:rsidP="007B2ACE">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1632BE14" w14:textId="4292F8B6" w:rsidR="00063368" w:rsidRPr="004E4517" w:rsidRDefault="00063368" w:rsidP="007B2ACE">
            <w:pPr>
              <w:spacing w:line="276" w:lineRule="auto"/>
              <w:jc w:val="both"/>
              <w:rPr>
                <w:rFonts w:ascii="Verdana" w:eastAsia="Calibri" w:hAnsi="Verdana" w:cs="Arial"/>
                <w:lang w:val="es-ES" w:eastAsia="es-ES"/>
              </w:rPr>
            </w:pPr>
            <w:r w:rsidRPr="004E4517">
              <w:rPr>
                <w:rFonts w:ascii="Verdana" w:eastAsia="Calibri" w:hAnsi="Verdana" w:cs="Arial"/>
                <w:lang w:eastAsia="es-ES"/>
              </w:rPr>
              <w:t xml:space="preserve">LEY DE GARANTÍAS ELECTORALES – Finalidad / LEY DE GARANTÍAS ELECTORALES ‒ Restricciones ‒ Contratación / LEY DE GARANTÍAS ELECTORALES ‒ Artículo 38 – Alcance / LEY DE GARANTÍAS ELECTORALES – Aplicación a convenios interadministrativos </w:t>
            </w:r>
            <w:r w:rsidR="00187EF7">
              <w:rPr>
                <w:rFonts w:ascii="Verdana" w:eastAsia="Calibri" w:hAnsi="Verdana" w:cs="Arial"/>
                <w:lang w:eastAsia="es-ES"/>
              </w:rPr>
              <w:t xml:space="preserve">- </w:t>
            </w:r>
            <w:r w:rsidRPr="004E4517">
              <w:rPr>
                <w:rFonts w:ascii="Verdana" w:eastAsia="Calibri" w:hAnsi="Verdana" w:cs="Arial"/>
                <w:lang w:val="es-MX" w:eastAsia="es-ES_tradnl"/>
              </w:rPr>
              <w:t>Prohibición por elección de cargos populares / ELECCIONES ATÍPICAS</w:t>
            </w:r>
            <w:r w:rsidRPr="004E4517">
              <w:rPr>
                <w:rFonts w:ascii="Verdana" w:eastAsia="Calibri" w:hAnsi="Verdana" w:cs="Arial"/>
                <w:lang w:val="es-ES" w:eastAsia="es-ES"/>
              </w:rPr>
              <w:t xml:space="preserve"> – Aplicación ley de garantías / LEY DE GARANT</w:t>
            </w:r>
            <w:r>
              <w:rPr>
                <w:rFonts w:ascii="Verdana" w:eastAsia="Calibri" w:hAnsi="Verdana" w:cs="Arial"/>
                <w:lang w:val="es-ES" w:eastAsia="es-ES"/>
              </w:rPr>
              <w:t>Í</w:t>
            </w:r>
            <w:r w:rsidRPr="004E4517">
              <w:rPr>
                <w:rFonts w:ascii="Verdana" w:eastAsia="Calibri" w:hAnsi="Verdana" w:cs="Arial"/>
                <w:lang w:val="es-ES" w:eastAsia="es-ES"/>
              </w:rPr>
              <w:t xml:space="preserve">AS ELECTORALES </w:t>
            </w:r>
            <w:r>
              <w:rPr>
                <w:rFonts w:ascii="Verdana" w:eastAsia="Calibri" w:hAnsi="Verdana" w:cs="Arial"/>
                <w:lang w:val="es-ES" w:eastAsia="es-ES"/>
              </w:rPr>
              <w:t>–</w:t>
            </w:r>
            <w:r w:rsidRPr="004E4517">
              <w:rPr>
                <w:rFonts w:ascii="Verdana" w:eastAsia="Calibri" w:hAnsi="Verdana" w:cs="Arial"/>
                <w:lang w:val="es-MX" w:eastAsia="es-ES"/>
              </w:rPr>
              <w:t xml:space="preserve"> </w:t>
            </w:r>
            <w:r>
              <w:rPr>
                <w:rFonts w:ascii="Verdana" w:eastAsia="Calibri" w:hAnsi="Verdana" w:cs="Arial"/>
                <w:lang w:val="es-MX" w:eastAsia="es-ES"/>
              </w:rPr>
              <w:t>Contratación directa</w:t>
            </w:r>
          </w:p>
          <w:p w14:paraId="33B2C0AF" w14:textId="77777777" w:rsidR="00063368" w:rsidRPr="005644FE" w:rsidRDefault="00063368" w:rsidP="007B2ACE">
            <w:pPr>
              <w:jc w:val="both"/>
              <w:rPr>
                <w:rFonts w:ascii="Verdana" w:hAnsi="Verdana" w:cs="Arial"/>
                <w:color w:val="000000" w:themeColor="text1"/>
                <w:highlight w:val="yellow"/>
              </w:rPr>
            </w:pPr>
          </w:p>
        </w:tc>
      </w:tr>
      <w:tr w:rsidR="00063368" w:rsidRPr="005644FE" w14:paraId="42EDA0CD" w14:textId="77777777" w:rsidTr="007B2ACE">
        <w:tc>
          <w:tcPr>
            <w:tcW w:w="3119" w:type="dxa"/>
          </w:tcPr>
          <w:p w14:paraId="1475B878" w14:textId="77777777" w:rsidR="00063368" w:rsidRPr="005644FE" w:rsidRDefault="00063368" w:rsidP="007B2ACE">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03327CE2" w14:textId="77777777" w:rsidR="00063368" w:rsidRPr="005644FE" w:rsidRDefault="00063368" w:rsidP="007B2ACE">
            <w:pPr>
              <w:jc w:val="both"/>
              <w:rPr>
                <w:rFonts w:ascii="Verdana" w:eastAsia="Calibri" w:hAnsi="Verdana" w:cs="Arial"/>
                <w:lang w:eastAsia="es-ES_tradnl"/>
              </w:rPr>
            </w:pPr>
            <w:r w:rsidRPr="005644FE">
              <w:rPr>
                <w:rFonts w:ascii="Verdana" w:eastAsia="Calibri" w:hAnsi="Verdana" w:cs="Arial"/>
                <w:lang w:eastAsia="es-ES_tradnl"/>
              </w:rPr>
              <w:t>Respuesta a consulta con radicado 1_2025_10_06_011108</w:t>
            </w:r>
          </w:p>
        </w:tc>
      </w:tr>
    </w:tbl>
    <w:p w14:paraId="313EA2E1" w14:textId="77777777" w:rsidR="00063368" w:rsidRPr="005644FE" w:rsidRDefault="00063368" w:rsidP="00063368">
      <w:pPr>
        <w:spacing w:after="0" w:line="276" w:lineRule="auto"/>
        <w:jc w:val="both"/>
        <w:rPr>
          <w:rFonts w:ascii="Verdana" w:eastAsia="Calibri" w:hAnsi="Verdana" w:cs="Arial"/>
          <w:lang w:eastAsia="es-ES_tradnl"/>
        </w:rPr>
      </w:pPr>
    </w:p>
    <w:p w14:paraId="4AFB6A61" w14:textId="77777777" w:rsidR="00063368" w:rsidRPr="005644FE" w:rsidRDefault="00063368" w:rsidP="00063368">
      <w:pPr>
        <w:spacing w:after="0" w:line="276" w:lineRule="auto"/>
        <w:jc w:val="both"/>
        <w:rPr>
          <w:rFonts w:ascii="Verdana" w:eastAsia="Calibri" w:hAnsi="Verdana" w:cs="Arial"/>
          <w:lang w:eastAsia="es-ES"/>
        </w:rPr>
      </w:pPr>
      <w:r w:rsidRPr="005644FE">
        <w:rPr>
          <w:rFonts w:ascii="Verdana" w:eastAsia="Calibri" w:hAnsi="Verdana" w:cs="Arial"/>
          <w:lang w:eastAsia="es-ES"/>
        </w:rPr>
        <w:t>Estimado señor Mejía:</w:t>
      </w:r>
    </w:p>
    <w:p w14:paraId="2A2CE082" w14:textId="77777777" w:rsidR="00063368" w:rsidRPr="005644FE" w:rsidRDefault="00063368" w:rsidP="00063368">
      <w:pPr>
        <w:spacing w:after="0" w:line="276" w:lineRule="auto"/>
        <w:jc w:val="both"/>
        <w:rPr>
          <w:rFonts w:ascii="Verdana" w:eastAsia="Calibri" w:hAnsi="Verdana" w:cs="Arial"/>
          <w:lang w:eastAsia="es-ES"/>
        </w:rPr>
      </w:pPr>
      <w:r w:rsidRPr="005644FE">
        <w:rPr>
          <w:rFonts w:ascii="Verdana" w:eastAsia="Calibri" w:hAnsi="Verdana" w:cs="Arial"/>
          <w:lang w:eastAsia="es-ES"/>
        </w:rPr>
        <w:t xml:space="preserve"> </w:t>
      </w:r>
    </w:p>
    <w:p w14:paraId="16ADA9D4" w14:textId="77777777" w:rsidR="00063368" w:rsidRPr="005644FE" w:rsidRDefault="00063368" w:rsidP="00373062">
      <w:pPr>
        <w:tabs>
          <w:tab w:val="left" w:pos="3768"/>
        </w:tabs>
        <w:spacing w:after="0" w:line="276" w:lineRule="auto"/>
        <w:jc w:val="both"/>
        <w:rPr>
          <w:rFonts w:ascii="Verdana" w:eastAsia="Calibri" w:hAnsi="Verdana" w:cs="Arial"/>
          <w:lang w:eastAsia="es-ES"/>
        </w:rPr>
      </w:pPr>
      <w:r w:rsidRPr="005644FE">
        <w:rPr>
          <w:rFonts w:ascii="Verdana" w:eastAsia="Calibri" w:hAnsi="Verdana" w:cs="Arial"/>
          <w:lang w:eastAsia="es-ES"/>
        </w:rPr>
        <w:t>En ejercicio de la competencia otorgada por los artículos 3, numeral 5º, y 11, numeral 8º, del Decreto Ley 4170 de 2011,</w:t>
      </w:r>
      <w:r w:rsidRPr="005644FE">
        <w:rPr>
          <w:rFonts w:ascii="Verdana" w:eastAsia="Arial MT" w:hAnsi="Verdana" w:cs="Arial MT"/>
          <w:lang w:eastAsia="es-ES"/>
        </w:rPr>
        <w:t xml:space="preserve"> </w:t>
      </w:r>
      <w:r w:rsidRPr="005644FE">
        <w:rPr>
          <w:rFonts w:ascii="Verdana" w:hAnsi="Verdana" w:cs="Arial"/>
        </w:rPr>
        <w:t xml:space="preserve">así como lo establecido en el artículo 4 de la Resolución 1707 de 2018 expedida por esta Entidad, </w:t>
      </w:r>
      <w:r w:rsidRPr="005644FE">
        <w:rPr>
          <w:rFonts w:ascii="Verdana" w:eastAsia="Calibri" w:hAnsi="Verdana" w:cs="Arial"/>
          <w:lang w:eastAsia="es-ES"/>
        </w:rPr>
        <w:t xml:space="preserve">la Agencia Nacional de Contratación Pública – Colombia Compra Eficiente– responde su solicitud de consulta de fecha 6 de octubre de 2025, en la cual manifiesta lo siguiente: </w:t>
      </w:r>
    </w:p>
    <w:p w14:paraId="66EA5C5E" w14:textId="77777777" w:rsidR="00373062" w:rsidRPr="005644FE" w:rsidRDefault="00373062" w:rsidP="008E5CF0">
      <w:pPr>
        <w:tabs>
          <w:tab w:val="left" w:pos="3768"/>
        </w:tabs>
        <w:spacing w:after="0" w:line="276" w:lineRule="auto"/>
        <w:jc w:val="both"/>
        <w:rPr>
          <w:rFonts w:ascii="Verdana" w:eastAsia="Calibri" w:hAnsi="Verdana" w:cs="Arial"/>
          <w:lang w:eastAsia="es-ES"/>
        </w:rPr>
      </w:pPr>
    </w:p>
    <w:p w14:paraId="1F58F240" w14:textId="77777777" w:rsidR="00063368" w:rsidRPr="005644FE" w:rsidRDefault="00063368" w:rsidP="00063368">
      <w:pPr>
        <w:spacing w:after="0" w:line="240" w:lineRule="auto"/>
        <w:ind w:left="709" w:right="709"/>
        <w:jc w:val="both"/>
        <w:rPr>
          <w:rFonts w:ascii="Verdana" w:eastAsia="Century Gothic" w:hAnsi="Verdana" w:cs="Century Gothic"/>
          <w:sz w:val="20"/>
          <w:szCs w:val="20"/>
        </w:rPr>
      </w:pPr>
      <w:bookmarkStart w:id="9" w:name="_Hlk192699624"/>
      <w:bookmarkStart w:id="10" w:name="_Hlk199394899"/>
      <w:r w:rsidRPr="005644FE">
        <w:rPr>
          <w:rFonts w:ascii="Verdana" w:eastAsia="Century Gothic" w:hAnsi="Verdana" w:cs="Century Gothic"/>
          <w:sz w:val="20"/>
          <w:szCs w:val="20"/>
        </w:rPr>
        <w:t xml:space="preserve">“(…) </w:t>
      </w:r>
      <w:bookmarkEnd w:id="9"/>
      <w:bookmarkEnd w:id="10"/>
      <w:r w:rsidRPr="005644FE">
        <w:rPr>
          <w:rFonts w:ascii="Verdana" w:eastAsia="Century Gothic" w:hAnsi="Verdana" w:cs="Century Gothic"/>
          <w:sz w:val="20"/>
          <w:szCs w:val="20"/>
        </w:rPr>
        <w:t>¿Las restricciones de contratación directa previstas en la Ley de Garantías aplican de manera automática y plena en elecciones atípicas territoriales?</w:t>
      </w:r>
    </w:p>
    <w:p w14:paraId="325238A0" w14:textId="77777777" w:rsidR="00063368" w:rsidRPr="005644FE" w:rsidRDefault="00063368" w:rsidP="00063368">
      <w:pPr>
        <w:spacing w:after="0" w:line="240" w:lineRule="auto"/>
        <w:ind w:left="709" w:right="709"/>
        <w:jc w:val="both"/>
        <w:rPr>
          <w:rFonts w:ascii="Verdana" w:eastAsia="Century Gothic" w:hAnsi="Verdana" w:cs="Century Gothic"/>
          <w:sz w:val="20"/>
          <w:szCs w:val="20"/>
        </w:rPr>
      </w:pPr>
      <w:r w:rsidRPr="005644FE">
        <w:rPr>
          <w:rFonts w:ascii="Verdana" w:eastAsia="Century Gothic" w:hAnsi="Verdana" w:cs="Century Gothic"/>
          <w:sz w:val="20"/>
          <w:szCs w:val="20"/>
        </w:rPr>
        <w:lastRenderedPageBreak/>
        <w:t xml:space="preserve">2. ¿Existe jurisprudencia, concepto técnico o directriz institucional que delimite el alcance de dicha restricción en estos casos? </w:t>
      </w:r>
    </w:p>
    <w:p w14:paraId="17530E85" w14:textId="77777777" w:rsidR="00063368" w:rsidRPr="005644FE" w:rsidRDefault="00063368" w:rsidP="00063368">
      <w:pPr>
        <w:spacing w:after="0" w:line="240" w:lineRule="auto"/>
        <w:ind w:left="709" w:right="709"/>
        <w:jc w:val="both"/>
        <w:rPr>
          <w:rFonts w:ascii="Verdana" w:eastAsia="Century Gothic" w:hAnsi="Verdana" w:cs="Century Gothic"/>
          <w:sz w:val="20"/>
          <w:szCs w:val="20"/>
        </w:rPr>
      </w:pPr>
      <w:r w:rsidRPr="005644FE">
        <w:rPr>
          <w:rFonts w:ascii="Verdana" w:eastAsia="Century Gothic" w:hAnsi="Verdana" w:cs="Century Gothic"/>
          <w:sz w:val="20"/>
          <w:szCs w:val="20"/>
        </w:rPr>
        <w:t xml:space="preserve">3. En caso afirmativo, desde qué momento se considera vigente la restricción (acto de convocatoria, inscripción de candidatos etc.) (…)”. </w:t>
      </w:r>
    </w:p>
    <w:p w14:paraId="6860C73A" w14:textId="77777777" w:rsidR="00063368" w:rsidRPr="005644FE" w:rsidRDefault="00063368" w:rsidP="008E5CF0">
      <w:pPr>
        <w:pStyle w:val="Prrafodelista"/>
        <w:spacing w:after="0" w:line="240" w:lineRule="auto"/>
        <w:ind w:left="1429" w:right="709"/>
        <w:contextualSpacing w:val="0"/>
        <w:jc w:val="both"/>
        <w:rPr>
          <w:rFonts w:ascii="Verdana" w:eastAsia="Century Gothic" w:hAnsi="Verdana" w:cs="Century Gothic"/>
          <w:sz w:val="20"/>
          <w:szCs w:val="20"/>
          <w:lang w:val="es-CO"/>
        </w:rPr>
      </w:pPr>
    </w:p>
    <w:p w14:paraId="63C7DDC6" w14:textId="77777777" w:rsidR="00063368" w:rsidRPr="005644FE" w:rsidRDefault="00063368" w:rsidP="00063368">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593EFBE" w14:textId="3B546BFB" w:rsidR="00063368" w:rsidRPr="005644FE" w:rsidRDefault="00063368" w:rsidP="00373062">
      <w:pPr>
        <w:spacing w:after="0" w:line="276" w:lineRule="auto"/>
        <w:ind w:firstLine="709"/>
        <w:jc w:val="both"/>
        <w:rPr>
          <w:rFonts w:ascii="Verdana" w:eastAsia="Calibri" w:hAnsi="Verdana" w:cs="Arial"/>
          <w:lang w:eastAsia="es-ES"/>
        </w:rPr>
      </w:pPr>
      <w:r w:rsidRPr="005644FE">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w:t>
      </w:r>
      <w:r w:rsidR="008E5CF0">
        <w:rPr>
          <w:rFonts w:ascii="Verdana" w:eastAsia="Calibri" w:hAnsi="Verdana" w:cs="Arial"/>
          <w:color w:val="000000"/>
          <w:lang w:eastAsia="es-ES"/>
        </w:rPr>
        <w:t>los problemas</w:t>
      </w:r>
      <w:r w:rsidRPr="005644FE">
        <w:rPr>
          <w:rFonts w:ascii="Verdana" w:eastAsia="Calibri" w:hAnsi="Verdana" w:cs="Arial"/>
          <w:color w:val="000000"/>
          <w:lang w:eastAsia="es-ES"/>
        </w:rPr>
        <w:t xml:space="preserve"> jurídico</w:t>
      </w:r>
      <w:r w:rsidR="008E5CF0">
        <w:rPr>
          <w:rFonts w:ascii="Verdana" w:eastAsia="Calibri" w:hAnsi="Verdana" w:cs="Arial"/>
          <w:color w:val="000000"/>
          <w:lang w:eastAsia="es-ES"/>
        </w:rPr>
        <w:t>s</w:t>
      </w:r>
      <w:r w:rsidRPr="005644FE">
        <w:rPr>
          <w:rFonts w:ascii="Verdana" w:eastAsia="Calibri" w:hAnsi="Verdana" w:cs="Arial"/>
          <w:color w:val="EE0000"/>
          <w:lang w:eastAsia="es-ES"/>
        </w:rPr>
        <w:t xml:space="preserve"> </w:t>
      </w:r>
      <w:r w:rsidRPr="005644FE">
        <w:rPr>
          <w:rFonts w:ascii="Verdana" w:eastAsia="Calibri" w:hAnsi="Verdana" w:cs="Arial"/>
          <w:lang w:eastAsia="es-ES"/>
        </w:rPr>
        <w:t xml:space="preserve">de su consulta.  </w:t>
      </w:r>
    </w:p>
    <w:p w14:paraId="159C319E" w14:textId="77777777" w:rsidR="00373062" w:rsidRPr="005644FE" w:rsidRDefault="00373062" w:rsidP="008E5CF0">
      <w:pPr>
        <w:spacing w:after="0" w:line="276" w:lineRule="auto"/>
        <w:ind w:firstLine="709"/>
        <w:jc w:val="both"/>
        <w:rPr>
          <w:rFonts w:ascii="Verdana" w:eastAsia="Calibri" w:hAnsi="Verdana" w:cs="Arial"/>
          <w:lang w:eastAsia="es-ES"/>
        </w:rPr>
      </w:pPr>
    </w:p>
    <w:p w14:paraId="1760F456" w14:textId="77777777" w:rsidR="00063368" w:rsidRPr="005644FE" w:rsidRDefault="00063368" w:rsidP="000633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5644FE">
        <w:rPr>
          <w:rFonts w:ascii="Verdana" w:eastAsia="Century Gothic" w:hAnsi="Verdana" w:cs="Century Gothic"/>
          <w:b/>
          <w:bCs/>
          <w:lang w:val="es-CO"/>
        </w:rPr>
        <w:t>Problema planteado:</w:t>
      </w:r>
    </w:p>
    <w:p w14:paraId="7D8A5670" w14:textId="77777777" w:rsidR="00063368" w:rsidRPr="005644FE" w:rsidRDefault="00063368" w:rsidP="008E5CF0">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3F2306AA" w14:textId="0B8E931D" w:rsidR="00063368" w:rsidRPr="005644FE" w:rsidRDefault="00063368" w:rsidP="00063368">
      <w:pPr>
        <w:spacing w:after="0" w:line="276" w:lineRule="auto"/>
        <w:jc w:val="both"/>
        <w:rPr>
          <w:rFonts w:ascii="Verdana" w:eastAsia="Calibri" w:hAnsi="Verdana" w:cs="Arial"/>
          <w:lang w:eastAsia="es-ES"/>
        </w:rPr>
      </w:pPr>
      <w:r w:rsidRPr="005644FE">
        <w:rPr>
          <w:rFonts w:ascii="Verdana" w:eastAsia="Calibri" w:hAnsi="Verdana" w:cs="Arial"/>
          <w:color w:val="000000"/>
          <w:lang w:eastAsia="es-ES"/>
        </w:rPr>
        <w:t xml:space="preserve">De acuerdo con el contenido de su solicitud, esta Agencia resolverá </w:t>
      </w:r>
      <w:r w:rsidR="008E5CF0">
        <w:rPr>
          <w:rFonts w:ascii="Verdana" w:eastAsia="Calibri" w:hAnsi="Verdana" w:cs="Arial"/>
          <w:color w:val="000000"/>
          <w:lang w:eastAsia="es-ES"/>
        </w:rPr>
        <w:t>los siguientes problemas jurídicos</w:t>
      </w:r>
      <w:r w:rsidRPr="005644FE">
        <w:rPr>
          <w:rFonts w:ascii="Verdana" w:eastAsia="Calibri" w:hAnsi="Verdana" w:cs="Arial"/>
          <w:color w:val="000000"/>
          <w:lang w:eastAsia="es-ES"/>
        </w:rPr>
        <w:t xml:space="preserve">: </w:t>
      </w:r>
      <w:r>
        <w:rPr>
          <w:rFonts w:ascii="Verdana" w:eastAsia="Calibri" w:hAnsi="Verdana" w:cs="Arial"/>
          <w:color w:val="000000"/>
          <w:lang w:eastAsia="es-ES"/>
        </w:rPr>
        <w:t xml:space="preserve">i) </w:t>
      </w:r>
      <w:r w:rsidRPr="005644FE">
        <w:rPr>
          <w:rFonts w:ascii="Verdana" w:eastAsia="Calibri" w:hAnsi="Verdana" w:cs="Arial"/>
          <w:color w:val="000000"/>
          <w:lang w:eastAsia="es-ES"/>
        </w:rPr>
        <w:t>¿</w:t>
      </w:r>
      <w:r w:rsidRPr="005644FE">
        <w:rPr>
          <w:rFonts w:ascii="Verdana" w:eastAsia="Arial" w:hAnsi="Verdana" w:cs="Arial"/>
          <w:color w:val="000000"/>
        </w:rPr>
        <w:t xml:space="preserve">Las restricciones contenidas en la Ley de Garantías Electorales en materia de contratación estatal son aplicables </w:t>
      </w:r>
      <w:r>
        <w:rPr>
          <w:rFonts w:ascii="Verdana" w:eastAsia="Arial" w:hAnsi="Verdana" w:cs="Arial"/>
          <w:color w:val="000000"/>
        </w:rPr>
        <w:t>en</w:t>
      </w:r>
      <w:r w:rsidRPr="005644FE">
        <w:rPr>
          <w:rFonts w:ascii="Verdana" w:eastAsia="Arial" w:hAnsi="Verdana" w:cs="Arial"/>
          <w:color w:val="000000"/>
        </w:rPr>
        <w:t xml:space="preserve"> las elecciones atípicas territoriales que se realizan por fuera del calendario electoral ordinario?</w:t>
      </w:r>
      <w:r w:rsidRPr="005644FE">
        <w:rPr>
          <w:rFonts w:ascii="Verdana" w:eastAsia="Calibri" w:hAnsi="Verdana" w:cs="Arial"/>
          <w:lang w:eastAsia="es-ES"/>
        </w:rPr>
        <w:t xml:space="preserve"> </w:t>
      </w:r>
      <w:proofErr w:type="spellStart"/>
      <w:r>
        <w:rPr>
          <w:rFonts w:ascii="Verdana" w:eastAsia="Calibri" w:hAnsi="Verdana" w:cs="Arial"/>
          <w:lang w:eastAsia="es-ES"/>
        </w:rPr>
        <w:t>ii</w:t>
      </w:r>
      <w:proofErr w:type="spellEnd"/>
      <w:r>
        <w:rPr>
          <w:rFonts w:ascii="Verdana" w:eastAsia="Calibri" w:hAnsi="Verdana" w:cs="Arial"/>
          <w:lang w:eastAsia="es-ES"/>
        </w:rPr>
        <w:t>)</w:t>
      </w:r>
      <w:r>
        <w:rPr>
          <w:rFonts w:ascii="Verdana" w:eastAsia="Calibri" w:hAnsi="Verdana" w:cs="Arial"/>
        </w:rPr>
        <w:t xml:space="preserve"> ¿Desde cuándo inicia la restricción definida en la ley de garantías electorales? </w:t>
      </w:r>
      <w:proofErr w:type="spellStart"/>
      <w:r>
        <w:rPr>
          <w:rFonts w:ascii="Verdana" w:eastAsia="Calibri" w:hAnsi="Verdana" w:cs="Arial"/>
        </w:rPr>
        <w:t>iii</w:t>
      </w:r>
      <w:proofErr w:type="spellEnd"/>
      <w:r>
        <w:rPr>
          <w:rFonts w:ascii="Verdana" w:eastAsia="Calibri" w:hAnsi="Verdana" w:cs="Arial"/>
        </w:rPr>
        <w:t xml:space="preserve">) </w:t>
      </w:r>
      <w:r w:rsidRPr="00D74E56">
        <w:rPr>
          <w:rFonts w:ascii="Verdana" w:hAnsi="Verdana"/>
        </w:rPr>
        <w:t>¿</w:t>
      </w:r>
      <w:r>
        <w:rPr>
          <w:rFonts w:ascii="Verdana" w:eastAsia="Calibri" w:hAnsi="Verdana" w:cs="Arial"/>
        </w:rPr>
        <w:t>La restricción</w:t>
      </w:r>
      <w:r w:rsidRPr="00D74E56">
        <w:rPr>
          <w:rFonts w:ascii="Verdana" w:eastAsia="Calibri" w:hAnsi="Verdana" w:cs="Arial"/>
        </w:rPr>
        <w:t xml:space="preserve"> consagrada en el artículo 38 de la Ley de Garantías Electorales </w:t>
      </w:r>
      <w:r>
        <w:rPr>
          <w:rFonts w:ascii="Verdana" w:eastAsia="Calibri" w:hAnsi="Verdana" w:cs="Arial"/>
        </w:rPr>
        <w:t xml:space="preserve">aplica </w:t>
      </w:r>
      <w:r w:rsidRPr="00D74E56">
        <w:rPr>
          <w:rFonts w:ascii="Verdana" w:eastAsia="Calibri" w:hAnsi="Verdana" w:cs="Arial"/>
        </w:rPr>
        <w:t>para la suscripción de contratos de prestación de servicios y de apoyo a la gestión?</w:t>
      </w:r>
    </w:p>
    <w:p w14:paraId="3DC38AE3" w14:textId="77777777" w:rsidR="00063368" w:rsidRPr="005644FE" w:rsidRDefault="00063368" w:rsidP="0067777A">
      <w:pPr>
        <w:spacing w:after="0" w:line="276" w:lineRule="auto"/>
        <w:ind w:right="709"/>
        <w:jc w:val="both"/>
        <w:rPr>
          <w:rFonts w:ascii="Verdana" w:eastAsia="Century Gothic" w:hAnsi="Verdana" w:cs="Century Gothic"/>
          <w:sz w:val="20"/>
          <w:szCs w:val="20"/>
        </w:rPr>
      </w:pPr>
    </w:p>
    <w:p w14:paraId="11B40C38" w14:textId="77777777" w:rsidR="00063368" w:rsidRPr="005644FE" w:rsidRDefault="00063368" w:rsidP="00063368">
      <w:pPr>
        <w:spacing w:after="0" w:line="276" w:lineRule="auto"/>
        <w:jc w:val="both"/>
        <w:rPr>
          <w:rFonts w:ascii="Verdana" w:eastAsia="Century Gothic" w:hAnsi="Verdana" w:cs="Century Gothic"/>
          <w:b/>
          <w:bCs/>
        </w:rPr>
      </w:pPr>
      <w:r w:rsidRPr="005644FE">
        <w:rPr>
          <w:rFonts w:ascii="Verdana" w:eastAsia="Century Gothic" w:hAnsi="Verdana" w:cs="Century Gothic"/>
          <w:b/>
          <w:bCs/>
        </w:rPr>
        <w:t>2. Respuesta:</w:t>
      </w:r>
    </w:p>
    <w:p w14:paraId="43458D72" w14:textId="77777777" w:rsidR="00063368" w:rsidRPr="005644FE" w:rsidRDefault="00063368" w:rsidP="0067777A">
      <w:pPr>
        <w:spacing w:after="0" w:line="276" w:lineRule="auto"/>
        <w:jc w:val="both"/>
        <w:rPr>
          <w:rFonts w:ascii="Verdana" w:eastAsia="Century Gothic" w:hAnsi="Verdana" w:cs="Century Gothic"/>
          <w:b/>
          <w:bC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28"/>
      </w:tblGrid>
      <w:tr w:rsidR="00063368" w:rsidRPr="005644FE" w14:paraId="44F5BCCE" w14:textId="77777777" w:rsidTr="00187EF7">
        <w:tc>
          <w:tcPr>
            <w:tcW w:w="8828" w:type="dxa"/>
          </w:tcPr>
          <w:p w14:paraId="439DFD5D" w14:textId="56BF5F27" w:rsidR="00063368" w:rsidRDefault="00063368" w:rsidP="0067777A">
            <w:pPr>
              <w:spacing w:after="120" w:line="276" w:lineRule="auto"/>
              <w:jc w:val="both"/>
              <w:rPr>
                <w:rFonts w:ascii="Verdana" w:eastAsia="Calibri" w:hAnsi="Verdana" w:cs="Arial"/>
                <w:lang w:bidi="es-ES"/>
              </w:rPr>
            </w:pPr>
            <w:r>
              <w:rPr>
                <w:rFonts w:ascii="Verdana" w:eastAsia="Arial" w:hAnsi="Verdana" w:cs="Arial"/>
                <w:lang w:val="es-ES" w:eastAsia="es-ES" w:bidi="es-ES"/>
              </w:rPr>
              <w:t xml:space="preserve">i) </w:t>
            </w:r>
            <w:r w:rsidR="00386375" w:rsidRPr="00461891">
              <w:rPr>
                <w:rFonts w:ascii="Verdana" w:hAnsi="Verdana" w:cs="Arial"/>
                <w:lang w:bidi="es-ES"/>
              </w:rPr>
              <w:t>De acuerdo con la interpretación de las normas generales del sistema de compras públicas,</w:t>
            </w:r>
            <w:r w:rsidR="00386375" w:rsidRPr="00461891">
              <w:rPr>
                <w:rFonts w:ascii="Verdana" w:eastAsia="Arial" w:hAnsi="Verdana" w:cs="Arial"/>
                <w:lang w:val="es-ES" w:eastAsia="es-ES" w:bidi="es-ES"/>
              </w:rPr>
              <w:t xml:space="preserve"> la Ley 996 de 2005 establece dos (2) tipos de restricciones </w:t>
            </w:r>
            <w:r w:rsidR="00386375" w:rsidRPr="00461891">
              <w:rPr>
                <w:rFonts w:ascii="Verdana" w:eastAsia="Arial" w:hAnsi="Verdana" w:cs="Arial"/>
                <w:lang w:val="es-ES" w:eastAsia="es-ES" w:bidi="es-ES"/>
              </w:rPr>
              <w:lastRenderedPageBreak/>
              <w:t xml:space="preserve">en materia de contratación, las cuales coinciden parcialmente. </w:t>
            </w:r>
            <w:r w:rsidR="00386375" w:rsidRPr="00461891">
              <w:rPr>
                <w:rFonts w:ascii="Verdana" w:eastAsia="Arial" w:hAnsi="Verdana" w:cs="Arial"/>
                <w:i/>
                <w:lang w:val="es-ES" w:eastAsia="es-ES" w:bidi="es-ES"/>
              </w:rPr>
              <w:t>En primer lugar</w:t>
            </w:r>
            <w:r w:rsidR="00386375" w:rsidRPr="00461891">
              <w:rPr>
                <w:rFonts w:ascii="Verdana" w:eastAsia="Arial" w:hAnsi="Verdana" w:cs="Arial"/>
                <w:lang w:val="es-ES" w:eastAsia="es-ES" w:bidi="es-ES"/>
              </w:rPr>
              <w:t>,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w:t>
            </w:r>
            <w:r>
              <w:rPr>
                <w:rFonts w:ascii="Verdana" w:eastAsia="Arial" w:hAnsi="Verdana" w:cs="Arial"/>
                <w:lang w:val="es-ES" w:eastAsia="es-ES" w:bidi="es-ES"/>
              </w:rPr>
              <w:t xml:space="preserve"> </w:t>
            </w:r>
          </w:p>
          <w:p w14:paraId="44633757" w14:textId="4D70C2EF" w:rsidR="00816129" w:rsidRDefault="00386375" w:rsidP="007B2ACE">
            <w:pPr>
              <w:spacing w:after="120" w:line="276" w:lineRule="auto"/>
              <w:ind w:firstLine="709"/>
              <w:jc w:val="both"/>
              <w:rPr>
                <w:rFonts w:ascii="Verdana" w:eastAsia="Calibri" w:hAnsi="Verdana" w:cs="Arial"/>
              </w:rPr>
            </w:pPr>
            <w:r>
              <w:rPr>
                <w:rFonts w:ascii="Verdana" w:eastAsia="Calibri" w:hAnsi="Verdana" w:cs="Arial"/>
                <w:lang w:bidi="es-ES"/>
              </w:rPr>
              <w:t>En segundo lugar</w:t>
            </w:r>
            <w:r w:rsidR="00063368">
              <w:rPr>
                <w:rFonts w:ascii="Verdana" w:eastAsia="Calibri" w:hAnsi="Verdana" w:cs="Arial"/>
                <w:lang w:bidi="es-ES"/>
              </w:rPr>
              <w:t xml:space="preserve">, </w:t>
            </w:r>
            <w:r w:rsidR="00063368" w:rsidRPr="00461891">
              <w:rPr>
                <w:rFonts w:ascii="Verdana" w:eastAsia="Arial" w:hAnsi="Verdana" w:cs="Arial"/>
                <w:lang w:val="es-ES" w:eastAsia="es-ES" w:bidi="es-ES"/>
              </w:rPr>
              <w:t>cuando se convoca a elecciones para cargos de elección popular</w:t>
            </w:r>
            <w:r>
              <w:rPr>
                <w:rFonts w:ascii="Verdana" w:eastAsia="Arial" w:hAnsi="Verdana" w:cs="Arial"/>
                <w:lang w:val="es-ES" w:eastAsia="es-ES" w:bidi="es-ES"/>
              </w:rPr>
              <w:t>,</w:t>
            </w:r>
            <w:r w:rsidR="00063368" w:rsidRPr="00461891">
              <w:rPr>
                <w:rFonts w:ascii="Verdana" w:eastAsia="Arial" w:hAnsi="Verdana" w:cs="Arial"/>
                <w:lang w:val="es-ES" w:eastAsia="es-ES" w:bidi="es-ES"/>
              </w:rPr>
              <w:t xml:space="preserve"> los </w:t>
            </w:r>
            <w:r w:rsidR="00063368" w:rsidRPr="00461891">
              <w:rPr>
                <w:rFonts w:ascii="Verdana" w:eastAsia="Calibri" w:hAnsi="Verdana" w:cs="Arial"/>
              </w:rPr>
              <w:t xml:space="preserve">Gobernadores, </w:t>
            </w:r>
            <w:proofErr w:type="gramStart"/>
            <w:r w:rsidR="00063368" w:rsidRPr="00461891">
              <w:rPr>
                <w:rFonts w:ascii="Verdana" w:eastAsia="Calibri" w:hAnsi="Verdana" w:cs="Arial"/>
              </w:rPr>
              <w:t>Alcaldes</w:t>
            </w:r>
            <w:proofErr w:type="gramEnd"/>
            <w:r w:rsidR="00063368" w:rsidRPr="00461891">
              <w:rPr>
                <w:rFonts w:ascii="Verdana" w:eastAsia="Calibri" w:hAnsi="Verdana" w:cs="Arial"/>
              </w:rPr>
              <w:t xml:space="preserve"> Municipales y/o Distritales, </w:t>
            </w:r>
            <w:proofErr w:type="gramStart"/>
            <w:r w:rsidR="00063368" w:rsidRPr="00461891">
              <w:rPr>
                <w:rFonts w:ascii="Verdana" w:eastAsia="Calibri" w:hAnsi="Verdana" w:cs="Arial"/>
              </w:rPr>
              <w:t>Secretarios</w:t>
            </w:r>
            <w:proofErr w:type="gramEnd"/>
            <w:r w:rsidR="00063368" w:rsidRPr="00461891">
              <w:rPr>
                <w:rFonts w:ascii="Verdana" w:eastAsia="Calibri" w:hAnsi="Verdana" w:cs="Arial"/>
              </w:rPr>
              <w:t xml:space="preserve">, Gerentes y directores de Entidades Descentralizadas del orden Municipal, Departamental o Distrital, no podrán celebrar convenios interadministrativos para la ejecución de recursos públicos, dentro de los cuatro (4) meses anteriores a las elecciones. </w:t>
            </w:r>
          </w:p>
          <w:p w14:paraId="6BC11356" w14:textId="5CB89348" w:rsidR="00063368" w:rsidRDefault="00063368" w:rsidP="007B2ACE">
            <w:pPr>
              <w:spacing w:after="120" w:line="276" w:lineRule="auto"/>
              <w:ind w:firstLine="709"/>
              <w:jc w:val="both"/>
              <w:rPr>
                <w:rFonts w:ascii="Verdana" w:eastAsia="Calibri" w:hAnsi="Verdana" w:cs="Arial"/>
              </w:rPr>
            </w:pPr>
            <w:r w:rsidRPr="00461891">
              <w:rPr>
                <w:rFonts w:ascii="Verdana" w:eastAsia="Calibri" w:hAnsi="Verdana" w:cs="Arial"/>
              </w:rPr>
              <w:t xml:space="preserve">Esta prohibición aplica incluso cuando se trate de elecciones atípicas de alcaldes o gobernadores, esto es, elecciones que se realicen por fuera del calendario ordinario electoral. En efecto, al analizar el contenido del parágrafo del artículo 38 de la Ley 996 de 2005 se evidencia que la prohibición se refiere de forma general a las “elecciones” sin realizar distinción respecto de si esta jornada de votación se realizará dentro del calendario electoral ordinario o de forma atípica. </w:t>
            </w:r>
          </w:p>
          <w:p w14:paraId="6A468004" w14:textId="77777777" w:rsidR="00571009" w:rsidRDefault="00063368" w:rsidP="00571009">
            <w:pPr>
              <w:spacing w:line="276" w:lineRule="auto"/>
              <w:ind w:firstLine="743"/>
              <w:jc w:val="both"/>
              <w:rPr>
                <w:rFonts w:ascii="Verdana" w:eastAsia="Calibri" w:hAnsi="Verdana" w:cs="Arial"/>
                <w:lang w:eastAsia="es-ES" w:bidi="es-ES"/>
              </w:rPr>
            </w:pPr>
            <w:r w:rsidRPr="00461891">
              <w:rPr>
                <w:rFonts w:ascii="Verdana" w:eastAsia="Calibri" w:hAnsi="Verdana" w:cs="Arial"/>
              </w:rPr>
              <w:t xml:space="preserve">En tal sentido, aunque las elecciones atípicas se efectúan fuera de las fechas establecidas en la Ley, por circunstancias excepcionales que requieren una convocatoria urgente, tienen el mismo propósito de las elecciones ordinarias de asegurar la provisión de un cargo de elección popular. Por tanto, la naturaleza y el fin de las elecciones atípicas son idénticos a los de las elecciones ordinarias, ya que ambas buscan asegurar el adecuado funcionamiento de las instituciones públicas y salvaguardar la democracia. </w:t>
            </w:r>
            <w:r w:rsidR="00571009" w:rsidRPr="00461891">
              <w:rPr>
                <w:rFonts w:ascii="Verdana" w:eastAsia="Calibri" w:hAnsi="Verdana" w:cs="Arial"/>
              </w:rPr>
              <w:t>Además,</w:t>
            </w:r>
            <w:r w:rsidR="00571009" w:rsidRPr="00461891">
              <w:rPr>
                <w:rFonts w:ascii="Verdana" w:eastAsia="Calibri" w:hAnsi="Verdana" w:cs="Arial"/>
                <w:lang w:eastAsia="es-ES" w:bidi="es-ES"/>
              </w:rPr>
              <w:t xml:space="preserve"> las restricciones establecidas en la Ley de Garantías Electorales buscan cumplir el propósito de proteger la democracia participativa y la igualdad entre candidatos, independientemente de la naturaleza de la elección. Por ello, la Ley de Garantías debe ser aplicada sin distinción </w:t>
            </w:r>
            <w:r w:rsidR="00571009" w:rsidRPr="00461891">
              <w:rPr>
                <w:rFonts w:ascii="Verdana" w:eastAsia="Calibri" w:hAnsi="Verdana" w:cs="Arial"/>
                <w:lang w:eastAsia="es-ES" w:bidi="es-ES"/>
              </w:rPr>
              <w:lastRenderedPageBreak/>
              <w:t>asegurando que, tanto en elecciones ordinarias como las atípicas, se mantenga la integridad del proceso electoral.</w:t>
            </w:r>
          </w:p>
          <w:p w14:paraId="1D88AC95" w14:textId="43AD596B" w:rsidR="00063368" w:rsidRDefault="00063368" w:rsidP="0067777A">
            <w:pPr>
              <w:widowControl w:val="0"/>
              <w:autoSpaceDE w:val="0"/>
              <w:autoSpaceDN w:val="0"/>
              <w:spacing w:line="276" w:lineRule="auto"/>
              <w:contextualSpacing/>
              <w:jc w:val="both"/>
              <w:rPr>
                <w:rFonts w:ascii="Verdana" w:eastAsia="Calibri" w:hAnsi="Verdana" w:cs="Arial"/>
                <w:lang w:eastAsia="es-ES" w:bidi="es-ES"/>
              </w:rPr>
            </w:pPr>
            <w:proofErr w:type="spellStart"/>
            <w:r>
              <w:rPr>
                <w:rFonts w:ascii="Verdana" w:eastAsia="Calibri" w:hAnsi="Verdana" w:cs="Arial"/>
                <w:lang w:eastAsia="es-ES" w:bidi="es-ES"/>
              </w:rPr>
              <w:t>ii</w:t>
            </w:r>
            <w:proofErr w:type="spellEnd"/>
            <w:r>
              <w:rPr>
                <w:rFonts w:ascii="Verdana" w:eastAsia="Calibri" w:hAnsi="Verdana" w:cs="Arial"/>
                <w:lang w:eastAsia="es-ES" w:bidi="es-ES"/>
              </w:rPr>
              <w:t xml:space="preserve">) Naturalmente </w:t>
            </w:r>
            <w:r w:rsidRPr="00461891">
              <w:rPr>
                <w:rFonts w:ascii="Verdana" w:eastAsia="Calibri" w:hAnsi="Verdana" w:cs="Arial"/>
                <w:lang w:eastAsia="es-ES" w:bidi="es-ES"/>
              </w:rPr>
              <w:t xml:space="preserve">las restricciones del parágrafo del artículo 38, como lo expone el Consejo Nacional Electoral, no podrán aplicarse dentro del plazo señalado en la norma, por ello, tendrán lugar respecto del </w:t>
            </w:r>
            <w:r>
              <w:rPr>
                <w:rFonts w:ascii="Verdana" w:eastAsia="Calibri" w:hAnsi="Verdana" w:cs="Arial"/>
                <w:lang w:eastAsia="es-ES" w:bidi="es-ES"/>
              </w:rPr>
              <w:t>término</w:t>
            </w:r>
            <w:r w:rsidRPr="00461891">
              <w:rPr>
                <w:rFonts w:ascii="Verdana" w:eastAsia="Calibri" w:hAnsi="Verdana" w:cs="Arial"/>
                <w:lang w:eastAsia="es-ES" w:bidi="es-ES"/>
              </w:rPr>
              <w:t xml:space="preserve"> que transcurre entre el momento en que se convoca a elecciones y el día en que se realizan efectivamente conforme con la normatividad vigente. </w:t>
            </w:r>
          </w:p>
          <w:p w14:paraId="1F517F56" w14:textId="77777777" w:rsidR="00063368" w:rsidRDefault="00063368" w:rsidP="0067777A">
            <w:pPr>
              <w:widowControl w:val="0"/>
              <w:autoSpaceDE w:val="0"/>
              <w:autoSpaceDN w:val="0"/>
              <w:contextualSpacing/>
              <w:jc w:val="both"/>
              <w:rPr>
                <w:rFonts w:ascii="Verdana" w:eastAsia="Calibri" w:hAnsi="Verdana" w:cs="Arial"/>
                <w:lang w:eastAsia="es-ES" w:bidi="es-ES"/>
              </w:rPr>
            </w:pPr>
          </w:p>
          <w:p w14:paraId="19172960" w14:textId="6094D54B" w:rsidR="000701D4" w:rsidRDefault="00063368" w:rsidP="00386375">
            <w:pPr>
              <w:widowControl w:val="0"/>
              <w:autoSpaceDE w:val="0"/>
              <w:autoSpaceDN w:val="0"/>
              <w:spacing w:after="120" w:line="276" w:lineRule="auto"/>
              <w:jc w:val="both"/>
              <w:rPr>
                <w:rFonts w:ascii="Verdana" w:hAnsi="Verdana"/>
              </w:rPr>
            </w:pPr>
            <w:proofErr w:type="spellStart"/>
            <w:r w:rsidRPr="00BF1A4A">
              <w:rPr>
                <w:rFonts w:ascii="Verdana" w:hAnsi="Verdana"/>
              </w:rPr>
              <w:t>ii</w:t>
            </w:r>
            <w:r>
              <w:rPr>
                <w:rFonts w:ascii="Verdana" w:hAnsi="Verdana"/>
              </w:rPr>
              <w:t>i</w:t>
            </w:r>
            <w:proofErr w:type="spellEnd"/>
            <w:r w:rsidRPr="00BF1A4A">
              <w:rPr>
                <w:rFonts w:ascii="Verdana" w:hAnsi="Verdana"/>
              </w:rPr>
              <w:t xml:space="preserve">) </w:t>
            </w:r>
            <w:r>
              <w:rPr>
                <w:rFonts w:ascii="Verdana" w:hAnsi="Verdana"/>
              </w:rPr>
              <w:t xml:space="preserve">Por último, </w:t>
            </w:r>
            <w:r w:rsidRPr="00BF1A4A">
              <w:rPr>
                <w:rFonts w:ascii="Verdana" w:hAnsi="Verdana"/>
              </w:rPr>
              <w:t xml:space="preserve">la interpretación del parágrafo del artículo 38 de la Ley 996 de 2005 debe realizarse conforme al principio de legalidad administrativa, según el cual las </w:t>
            </w:r>
            <w:proofErr w:type="gramStart"/>
            <w:r w:rsidRPr="00BF1A4A">
              <w:rPr>
                <w:rFonts w:ascii="Verdana" w:hAnsi="Verdana"/>
              </w:rPr>
              <w:t>autoridades públicas</w:t>
            </w:r>
            <w:proofErr w:type="gramEnd"/>
            <w:r w:rsidRPr="00BF1A4A">
              <w:rPr>
                <w:rFonts w:ascii="Verdana" w:hAnsi="Verdana"/>
              </w:rPr>
              <w:t xml:space="preserve"> sólo pueden hacer aquello que les está expresamente permitido por la ley. En esa medida, al tratarse de una norma que impone una prohibición, su alcance debe ser objeto de una interpretación estricta y restrictiva, como lo ha sostenido reiteradamente la jurisprudencia del Consejo de Estado. La norma en cuestión prohíbe de forma específica la celebración de convenios interadministrativos por parte de determinadas autoridades territoriales durante los cuatro </w:t>
            </w:r>
            <w:r w:rsidR="000701D4">
              <w:rPr>
                <w:rFonts w:ascii="Verdana" w:hAnsi="Verdana"/>
              </w:rPr>
              <w:t xml:space="preserve">(4) </w:t>
            </w:r>
            <w:r w:rsidRPr="00BF1A4A">
              <w:rPr>
                <w:rFonts w:ascii="Verdana" w:hAnsi="Verdana"/>
              </w:rPr>
              <w:t xml:space="preserve">meses previos a las elecciones, sin hacer mención alguna a otros tipos contractuales. </w:t>
            </w:r>
          </w:p>
          <w:p w14:paraId="148ECA5B" w14:textId="00A36427" w:rsidR="00063368" w:rsidRPr="00355B73" w:rsidRDefault="00063368" w:rsidP="0067777A">
            <w:pPr>
              <w:widowControl w:val="0"/>
              <w:autoSpaceDE w:val="0"/>
              <w:autoSpaceDN w:val="0"/>
              <w:spacing w:line="276" w:lineRule="auto"/>
              <w:ind w:firstLine="709"/>
              <w:jc w:val="both"/>
              <w:rPr>
                <w:rFonts w:ascii="Verdana" w:eastAsia="Calibri" w:hAnsi="Verdana" w:cs="Arial"/>
                <w:lang w:eastAsia="es-ES" w:bidi="es-ES"/>
              </w:rPr>
            </w:pPr>
            <w:r w:rsidRPr="00BF1A4A">
              <w:rPr>
                <w:rFonts w:ascii="Verdana" w:hAnsi="Verdana"/>
              </w:rPr>
              <w:t>Por tanto, no puede extenderse dicha restricción a contratos distintos —como los de prestación de servicios, suministros, entre otros— aun cuando se celebren por la modalidad de contratación directa, ya que ello equivaldría a una interpretación extensiva en perjuicio de la función administrativa. Adicionalmente, los con</w:t>
            </w:r>
            <w:r w:rsidR="00CA7F44">
              <w:rPr>
                <w:rFonts w:ascii="Verdana" w:hAnsi="Verdana"/>
              </w:rPr>
              <w:t>venios</w:t>
            </w:r>
            <w:r w:rsidRPr="00BF1A4A">
              <w:rPr>
                <w:rFonts w:ascii="Verdana" w:hAnsi="Verdana"/>
              </w:rPr>
              <w:t xml:space="preserve"> interadministrativos, por su naturaleza, suponen relaciones entre entidades estatales y una ejecución conjunta de recursos públicos, lo que justifica su especial regulación en contexto electoral. Así, la limitación contenida en el artículo 38 debe entenderse aplicable exclusivamente a la figura contractual expresamente señalada, sin que proceda su extensión a otros contratos que no comparten la misma finalidad ni estructura jurídica</w:t>
            </w:r>
            <w:r>
              <w:rPr>
                <w:rFonts w:ascii="Verdana" w:hAnsi="Verdana"/>
              </w:rPr>
              <w:t>.</w:t>
            </w:r>
          </w:p>
        </w:tc>
      </w:tr>
    </w:tbl>
    <w:p w14:paraId="22590A12" w14:textId="77777777" w:rsidR="00063368" w:rsidRPr="005644FE" w:rsidRDefault="00063368" w:rsidP="00063368">
      <w:pPr>
        <w:tabs>
          <w:tab w:val="left" w:pos="142"/>
          <w:tab w:val="left" w:pos="284"/>
        </w:tabs>
        <w:spacing w:after="0" w:line="276" w:lineRule="auto"/>
        <w:jc w:val="both"/>
        <w:rPr>
          <w:rFonts w:ascii="Verdana" w:eastAsia="Century Gothic" w:hAnsi="Verdana" w:cs="Century Gothic"/>
          <w:b/>
          <w:bCs/>
        </w:rPr>
      </w:pPr>
    </w:p>
    <w:p w14:paraId="4CE42935" w14:textId="77777777" w:rsidR="00063368" w:rsidRPr="005644FE" w:rsidRDefault="00063368" w:rsidP="00063368">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680DB9D5" w14:textId="77777777" w:rsidR="00063368" w:rsidRPr="005644FE" w:rsidRDefault="00063368" w:rsidP="00063368">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719F0993" w14:textId="77777777" w:rsidR="00063368" w:rsidRDefault="00063368" w:rsidP="00063368">
      <w:pPr>
        <w:pStyle w:val="Prrafodelista"/>
        <w:tabs>
          <w:tab w:val="left" w:pos="142"/>
          <w:tab w:val="left" w:pos="284"/>
          <w:tab w:val="left" w:pos="6900"/>
        </w:tabs>
        <w:spacing w:after="0" w:line="276" w:lineRule="auto"/>
        <w:ind w:left="0"/>
        <w:contextualSpacing w:val="0"/>
        <w:jc w:val="both"/>
        <w:rPr>
          <w:rFonts w:ascii="Verdana" w:eastAsia="Calibri" w:hAnsi="Verdana" w:cs="Arial"/>
          <w:lang w:val="es-CO"/>
        </w:rPr>
      </w:pPr>
      <w:r w:rsidRPr="005644FE">
        <w:rPr>
          <w:rFonts w:ascii="Verdana" w:eastAsia="Calibri" w:hAnsi="Verdana" w:cs="Arial"/>
          <w:lang w:val="es-CO"/>
        </w:rPr>
        <w:t xml:space="preserve">Lo anterior se sustenta en las siguientes consideraciones: </w:t>
      </w:r>
      <w:r>
        <w:rPr>
          <w:rFonts w:ascii="Verdana" w:eastAsia="Calibri" w:hAnsi="Verdana" w:cs="Arial"/>
          <w:lang w:val="es-CO"/>
        </w:rPr>
        <w:tab/>
      </w:r>
    </w:p>
    <w:p w14:paraId="7D3F4D80" w14:textId="77777777" w:rsidR="00063368" w:rsidRDefault="00063368" w:rsidP="00063368">
      <w:pPr>
        <w:pStyle w:val="Prrafodelista"/>
        <w:tabs>
          <w:tab w:val="left" w:pos="142"/>
          <w:tab w:val="left" w:pos="284"/>
          <w:tab w:val="left" w:pos="6900"/>
        </w:tabs>
        <w:spacing w:after="0" w:line="240" w:lineRule="auto"/>
        <w:ind w:left="0"/>
        <w:contextualSpacing w:val="0"/>
        <w:jc w:val="both"/>
        <w:rPr>
          <w:rFonts w:ascii="Verdana" w:eastAsia="Calibri" w:hAnsi="Verdana" w:cs="Arial"/>
          <w:lang w:val="es-CO"/>
        </w:rPr>
      </w:pPr>
    </w:p>
    <w:p w14:paraId="008D2682" w14:textId="77777777" w:rsidR="00063368" w:rsidRPr="00461891" w:rsidRDefault="00063368" w:rsidP="00063368">
      <w:pPr>
        <w:tabs>
          <w:tab w:val="left" w:pos="426"/>
        </w:tabs>
        <w:spacing w:after="120" w:line="276" w:lineRule="auto"/>
        <w:jc w:val="both"/>
        <w:rPr>
          <w:rFonts w:ascii="Verdana" w:eastAsia="Times New Roman" w:hAnsi="Verdana" w:cs="Arial"/>
          <w:lang w:eastAsia="es-CO"/>
        </w:rPr>
      </w:pPr>
      <w:r w:rsidRPr="00461891">
        <w:rPr>
          <w:rFonts w:ascii="Verdana" w:eastAsia="Calibri" w:hAnsi="Verdana" w:cs="Arial"/>
        </w:rPr>
        <w:t>El ordenamiento jurídico colombiano contempla previsiones claras para evitar la obtención de beneficios personales en asuntos propios de la administración pública</w:t>
      </w:r>
      <w:r w:rsidRPr="00461891">
        <w:rPr>
          <w:rFonts w:ascii="Verdana" w:eastAsia="Calibri" w:hAnsi="Verdana" w:cs="Arial"/>
          <w:i/>
        </w:rPr>
        <w:t xml:space="preserve">. </w:t>
      </w:r>
      <w:r w:rsidRPr="00461891">
        <w:rPr>
          <w:rFonts w:ascii="Verdana" w:eastAsia="Calibri" w:hAnsi="Verdana" w:cs="Arial"/>
        </w:rPr>
        <w:t xml:space="preserve">Por ejemplo, el artículo 127 de la Constitución Política establece una </w:t>
      </w:r>
      <w:r w:rsidRPr="00461891">
        <w:rPr>
          <w:rFonts w:ascii="Verdana" w:eastAsia="Calibri" w:hAnsi="Verdana" w:cs="Arial"/>
        </w:rPr>
        <w:lastRenderedPageBreak/>
        <w:t>prohibición contractual a los servidores públicos y, en cuanto a aspectos políticos, consagra restricciones a ciertos empleados del Estado, incluso en época no electoral</w:t>
      </w:r>
      <w:r w:rsidRPr="00461891">
        <w:rPr>
          <w:vertAlign w:val="superscript"/>
        </w:rPr>
        <w:footnoteReference w:id="1"/>
      </w:r>
      <w:r w:rsidRPr="00461891">
        <w:rPr>
          <w:rFonts w:ascii="Verdana" w:eastAsia="Calibri" w:hAnsi="Verdana" w:cs="Arial"/>
        </w:rPr>
        <w:t xml:space="preserve">. </w:t>
      </w:r>
    </w:p>
    <w:p w14:paraId="420AF835" w14:textId="77777777" w:rsidR="00063368" w:rsidRPr="00461891" w:rsidRDefault="00063368" w:rsidP="00063368">
      <w:pPr>
        <w:tabs>
          <w:tab w:val="left" w:pos="426"/>
        </w:tabs>
        <w:spacing w:after="120" w:line="276" w:lineRule="auto"/>
        <w:ind w:firstLine="709"/>
        <w:jc w:val="both"/>
        <w:rPr>
          <w:rFonts w:ascii="Verdana" w:eastAsia="Calibri" w:hAnsi="Verdana" w:cs="Arial"/>
          <w:lang w:val="es-ES_tradnl"/>
        </w:rPr>
      </w:pPr>
      <w:r w:rsidRPr="00461891">
        <w:rPr>
          <w:rFonts w:ascii="Verdana" w:eastAsia="Times New Roman" w:hAnsi="Verdana" w:cs="Arial"/>
          <w:lang w:eastAsia="es-CO"/>
        </w:rPr>
        <w:t>En el mismo sentido</w:t>
      </w:r>
      <w:r w:rsidRPr="00461891">
        <w:rPr>
          <w:rFonts w:ascii="Verdana" w:eastAsia="Times New Roman" w:hAnsi="Verdana" w:cs="Arial"/>
          <w:lang w:val="es-MX" w:eastAsia="es-CO"/>
        </w:rPr>
        <w:t xml:space="preserve">, </w:t>
      </w:r>
      <w:bookmarkStart w:id="11" w:name="_Hlk99576829"/>
      <w:r w:rsidRPr="00461891">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461891">
        <w:rPr>
          <w:rFonts w:ascii="Verdana" w:eastAsia="Times New Roman" w:hAnsi="Verdana" w:cs="Arial"/>
          <w:vertAlign w:val="superscript"/>
          <w:lang w:val="es-MX" w:eastAsia="es-CO"/>
        </w:rPr>
        <w:footnoteReference w:id="2"/>
      </w:r>
      <w:r w:rsidRPr="00461891">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461891">
        <w:rPr>
          <w:rFonts w:ascii="Verdana" w:eastAsia="Calibri" w:hAnsi="Verdana" w:cs="Arial"/>
          <w:lang w:val="es-ES_tradnl"/>
        </w:rPr>
        <w:t xml:space="preserve"> </w:t>
      </w:r>
      <w:bookmarkEnd w:id="11"/>
    </w:p>
    <w:p w14:paraId="39E0DED3" w14:textId="77777777" w:rsidR="00063368" w:rsidRPr="00461891" w:rsidRDefault="00063368" w:rsidP="00063368">
      <w:pPr>
        <w:tabs>
          <w:tab w:val="left" w:pos="426"/>
        </w:tabs>
        <w:spacing w:after="0" w:line="276" w:lineRule="auto"/>
        <w:ind w:firstLine="709"/>
        <w:jc w:val="both"/>
        <w:rPr>
          <w:rFonts w:ascii="Verdana" w:eastAsia="Times New Roman" w:hAnsi="Verdana" w:cs="Arial"/>
          <w:lang w:val="es-MX" w:eastAsia="es-CO"/>
        </w:rPr>
      </w:pPr>
      <w:r w:rsidRPr="00461891">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02D1143B" w14:textId="77777777" w:rsidR="00063368" w:rsidRPr="00461891" w:rsidRDefault="00063368" w:rsidP="00063368">
      <w:pPr>
        <w:spacing w:after="0" w:line="276" w:lineRule="auto"/>
        <w:ind w:right="709"/>
        <w:contextualSpacing/>
        <w:jc w:val="both"/>
        <w:rPr>
          <w:rFonts w:ascii="Verdana" w:eastAsia="Times New Roman" w:hAnsi="Verdana" w:cs="Arial"/>
          <w:lang w:val="es-ES" w:eastAsia="es-CO"/>
        </w:rPr>
      </w:pPr>
    </w:p>
    <w:p w14:paraId="2A01CB2A" w14:textId="77777777" w:rsidR="00063368" w:rsidRPr="00461891" w:rsidRDefault="00063368" w:rsidP="00063368">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ES" w:eastAsia="es-CO"/>
        </w:rPr>
        <w:t xml:space="preserve">“[…] </w:t>
      </w:r>
      <w:r w:rsidRPr="00461891">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21DBD8CA" w14:textId="77777777" w:rsidR="00063368" w:rsidRPr="00461891" w:rsidRDefault="00063368" w:rsidP="00063368">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MX" w:eastAsia="es-CO"/>
        </w:rPr>
        <w:t xml:space="preserve">[…] </w:t>
      </w:r>
    </w:p>
    <w:p w14:paraId="0A186F4A" w14:textId="77777777" w:rsidR="00063368" w:rsidRPr="00461891" w:rsidRDefault="00063368" w:rsidP="00063368">
      <w:pPr>
        <w:spacing w:after="0" w:line="240" w:lineRule="auto"/>
        <w:ind w:right="709"/>
        <w:contextualSpacing/>
        <w:jc w:val="both"/>
        <w:rPr>
          <w:rFonts w:ascii="Verdana" w:eastAsia="Times New Roman" w:hAnsi="Verdana" w:cs="Arial"/>
          <w:sz w:val="20"/>
          <w:szCs w:val="20"/>
          <w:lang w:val="es-MX" w:eastAsia="es-CO"/>
        </w:rPr>
      </w:pPr>
    </w:p>
    <w:p w14:paraId="42B4E5E8" w14:textId="5F9D992F" w:rsidR="00063368" w:rsidRPr="00676F99" w:rsidRDefault="00063368" w:rsidP="00676F99">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MX"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w:t>
      </w:r>
      <w:r w:rsidRPr="00461891">
        <w:rPr>
          <w:rFonts w:ascii="Verdana" w:eastAsia="Times New Roman" w:hAnsi="Verdana" w:cs="Arial"/>
          <w:sz w:val="20"/>
          <w:szCs w:val="20"/>
          <w:lang w:val="es-MX" w:eastAsia="es-CO"/>
        </w:rPr>
        <w:lastRenderedPageBreak/>
        <w:t>las ideas y las propuestas las que definan el ascenso al poder, y no el músculo económico de los que se lo disputan”.</w:t>
      </w:r>
      <w:r w:rsidRPr="00461891">
        <w:rPr>
          <w:rFonts w:ascii="Verdana" w:eastAsia="Calibri" w:hAnsi="Verdana" w:cs="Arial"/>
          <w:sz w:val="20"/>
          <w:szCs w:val="20"/>
          <w:vertAlign w:val="superscript"/>
          <w:lang w:val="es-MX"/>
        </w:rPr>
        <w:footnoteReference w:id="3"/>
      </w:r>
      <w:bookmarkStart w:id="12" w:name="_Hlk78818186"/>
    </w:p>
    <w:p w14:paraId="30E4BBA4" w14:textId="77777777" w:rsidR="00063368" w:rsidRPr="00461891" w:rsidRDefault="00063368" w:rsidP="00063368">
      <w:pPr>
        <w:spacing w:after="0" w:line="276" w:lineRule="auto"/>
        <w:ind w:firstLine="709"/>
        <w:jc w:val="both"/>
        <w:rPr>
          <w:rFonts w:ascii="Verdana" w:eastAsia="Times New Roman" w:hAnsi="Verdana" w:cs="Arial"/>
          <w:lang w:val="es-MX" w:eastAsia="es-CO"/>
        </w:rPr>
      </w:pPr>
      <w:r w:rsidRPr="00461891">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el actuar de los servidores públicos, evitando interferencias en la contienda electoral, así como la posible desviación de recursos públicos en aspiraciones electorales. </w:t>
      </w:r>
      <w:bookmarkEnd w:id="12"/>
      <w:r w:rsidRPr="00461891">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51FF4B8F" w14:textId="77777777" w:rsidR="00063368" w:rsidRPr="00461891" w:rsidRDefault="00063368" w:rsidP="00063368">
      <w:pPr>
        <w:spacing w:after="0" w:line="240" w:lineRule="auto"/>
        <w:ind w:firstLine="709"/>
        <w:jc w:val="both"/>
        <w:rPr>
          <w:rFonts w:ascii="Verdana" w:eastAsia="Times New Roman" w:hAnsi="Verdana" w:cs="Arial"/>
          <w:lang w:val="es-MX" w:eastAsia="es-CO"/>
        </w:rPr>
      </w:pPr>
    </w:p>
    <w:p w14:paraId="4A0283A4" w14:textId="77777777" w:rsidR="00063368" w:rsidRPr="00461891" w:rsidRDefault="00063368" w:rsidP="00063368">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461891">
        <w:rPr>
          <w:rFonts w:ascii="Verdana" w:eastAsia="Times New Roman" w:hAnsi="Verdana" w:cs="Arial"/>
          <w:sz w:val="20"/>
          <w:szCs w:val="20"/>
          <w:lang w:val="es-MX" w:eastAsia="es-CO"/>
        </w:rPr>
        <w:t>legis</w:t>
      </w:r>
      <w:proofErr w:type="spellEnd"/>
      <w:r w:rsidRPr="00461891">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D810A7C" w14:textId="77777777" w:rsidR="00063368" w:rsidRPr="00461891" w:rsidRDefault="00063368" w:rsidP="00063368">
      <w:pPr>
        <w:spacing w:after="0" w:line="240" w:lineRule="auto"/>
        <w:ind w:right="709"/>
        <w:contextualSpacing/>
        <w:jc w:val="both"/>
        <w:rPr>
          <w:rFonts w:ascii="Verdana" w:eastAsia="Times New Roman" w:hAnsi="Verdana" w:cs="Arial"/>
          <w:lang w:val="es-MX" w:eastAsia="es-CO"/>
        </w:rPr>
      </w:pPr>
    </w:p>
    <w:p w14:paraId="3A7C2411" w14:textId="77777777" w:rsidR="00063368" w:rsidRPr="004E4517" w:rsidRDefault="00063368" w:rsidP="00063368">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MX" w:eastAsia="es-CO"/>
        </w:rPr>
        <w:t>La jurisprudencia de la Corte Constitucional</w:t>
      </w:r>
      <w:r w:rsidRPr="00461891">
        <w:rPr>
          <w:rFonts w:ascii="Verdana" w:eastAsia="Times New Roman" w:hAnsi="Verdana" w:cs="Arial"/>
          <w:sz w:val="20"/>
          <w:szCs w:val="20"/>
          <w:vertAlign w:val="superscript"/>
          <w:lang w:val="es-MX" w:eastAsia="es-CO"/>
        </w:rPr>
        <w:footnoteReference w:id="4"/>
      </w:r>
      <w:r w:rsidRPr="00461891">
        <w:rPr>
          <w:rFonts w:ascii="Verdana" w:eastAsia="Times New Roman" w:hAnsi="Verdana" w:cs="Arial"/>
          <w:sz w:val="20"/>
          <w:szCs w:val="20"/>
          <w:lang w:val="es-MX" w:eastAsia="es-CO"/>
        </w:rPr>
        <w:t> y del Consejo de Estado</w:t>
      </w:r>
      <w:r w:rsidRPr="00461891">
        <w:rPr>
          <w:rFonts w:ascii="Verdana" w:eastAsia="Times New Roman" w:hAnsi="Verdana" w:cs="Arial"/>
          <w:sz w:val="20"/>
          <w:szCs w:val="20"/>
          <w:vertAlign w:val="superscript"/>
          <w:lang w:val="es-MX" w:eastAsia="es-CO"/>
        </w:rPr>
        <w:footnoteReference w:id="5"/>
      </w:r>
      <w:r w:rsidRPr="00461891">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461891">
        <w:rPr>
          <w:rFonts w:ascii="Verdana" w:eastAsia="Times New Roman" w:hAnsi="Verdana" w:cs="Arial"/>
          <w:sz w:val="20"/>
          <w:szCs w:val="20"/>
          <w:vertAlign w:val="superscript"/>
          <w:lang w:val="es-MX" w:eastAsia="es-CO"/>
        </w:rPr>
        <w:footnoteReference w:id="6"/>
      </w:r>
      <w:r w:rsidRPr="00461891">
        <w:rPr>
          <w:rFonts w:ascii="Verdana" w:eastAsia="Times New Roman" w:hAnsi="Verdana" w:cs="Arial"/>
          <w:sz w:val="20"/>
          <w:szCs w:val="20"/>
          <w:lang w:val="es-MX" w:eastAsia="es-CO"/>
        </w:rPr>
        <w:t>.</w:t>
      </w:r>
    </w:p>
    <w:p w14:paraId="47808507" w14:textId="77777777" w:rsidR="00063368" w:rsidRDefault="00063368" w:rsidP="00063368">
      <w:pPr>
        <w:spacing w:after="0" w:line="240" w:lineRule="auto"/>
        <w:ind w:firstLine="709"/>
        <w:jc w:val="both"/>
        <w:rPr>
          <w:rFonts w:ascii="Verdana" w:eastAsia="Times New Roman" w:hAnsi="Verdana" w:cs="Arial"/>
          <w:lang w:val="es-MX" w:eastAsia="es-CO"/>
        </w:rPr>
      </w:pPr>
    </w:p>
    <w:p w14:paraId="287C4A1E" w14:textId="77777777" w:rsidR="00063368" w:rsidRPr="00461891" w:rsidRDefault="00063368" w:rsidP="00063368">
      <w:pPr>
        <w:spacing w:after="120" w:line="276" w:lineRule="auto"/>
        <w:ind w:firstLine="709"/>
        <w:jc w:val="both"/>
        <w:rPr>
          <w:rFonts w:ascii="Verdana" w:eastAsia="Arial" w:hAnsi="Verdana" w:cs="Arial"/>
          <w:lang w:val="es-ES" w:eastAsia="es-ES" w:bidi="es-ES"/>
        </w:rPr>
      </w:pPr>
      <w:r w:rsidRPr="00461891">
        <w:rPr>
          <w:rFonts w:ascii="Verdana" w:eastAsia="Times New Roman" w:hAnsi="Verdana" w:cs="Arial"/>
          <w:lang w:val="es-MX" w:eastAsia="es-CO"/>
        </w:rPr>
        <w:lastRenderedPageBreak/>
        <w:t>De</w:t>
      </w:r>
      <w:r w:rsidRPr="00461891">
        <w:rPr>
          <w:rFonts w:ascii="Verdana" w:eastAsia="Arial" w:hAnsi="Verdana" w:cs="Arial"/>
          <w:lang w:val="es-ES" w:eastAsia="es-ES" w:bidi="es-ES"/>
        </w:rPr>
        <w:t xml:space="preserve"> conformidad con lo anterior, </w:t>
      </w:r>
      <w:bookmarkStart w:id="13" w:name="_Hlk77236098"/>
      <w:bookmarkStart w:id="14" w:name="_Hlk100679383"/>
      <w:r w:rsidRPr="00461891">
        <w:rPr>
          <w:rFonts w:ascii="Verdana" w:eastAsia="Arial" w:hAnsi="Verdana" w:cs="Arial"/>
          <w:lang w:val="es-ES" w:eastAsia="es-ES" w:bidi="es-ES"/>
        </w:rPr>
        <w:t xml:space="preserve">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3341BF1" w14:textId="77777777" w:rsidR="00063368" w:rsidRPr="00461891" w:rsidRDefault="00063368" w:rsidP="00063368">
      <w:pPr>
        <w:spacing w:after="120" w:line="276" w:lineRule="auto"/>
        <w:ind w:firstLine="709"/>
        <w:jc w:val="both"/>
        <w:rPr>
          <w:rFonts w:ascii="Verdana" w:eastAsia="Arial" w:hAnsi="Verdana" w:cs="Arial"/>
          <w:lang w:val="es-ES" w:eastAsia="es-ES" w:bidi="es-ES"/>
        </w:rPr>
      </w:pPr>
      <w:r w:rsidRPr="00461891">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13"/>
    </w:p>
    <w:p w14:paraId="4120CB7C" w14:textId="77777777" w:rsidR="00063368" w:rsidRPr="00461891" w:rsidRDefault="00063368" w:rsidP="00063368">
      <w:pPr>
        <w:spacing w:after="120" w:line="276" w:lineRule="auto"/>
        <w:ind w:firstLine="708"/>
        <w:jc w:val="both"/>
        <w:rPr>
          <w:rFonts w:ascii="Verdana" w:eastAsia="Calibri" w:hAnsi="Verdana" w:cs="Arial"/>
        </w:rPr>
      </w:pPr>
      <w:r w:rsidRPr="00461891">
        <w:rPr>
          <w:rFonts w:ascii="Verdana" w:eastAsia="Calibri" w:hAnsi="Verdana" w:cs="Arial"/>
        </w:rPr>
        <w:t xml:space="preserve">Por un lado, el </w:t>
      </w:r>
      <w:r w:rsidRPr="00461891">
        <w:rPr>
          <w:rFonts w:ascii="Verdana" w:eastAsia="Calibri" w:hAnsi="Verdana" w:cs="Arial"/>
          <w:i/>
          <w:iCs/>
        </w:rPr>
        <w:t>artículo 33 de la Ley 996 de 2005</w:t>
      </w:r>
      <w:r w:rsidRPr="00461891">
        <w:rPr>
          <w:rFonts w:ascii="Verdana" w:eastAsia="Calibri" w:hAnsi="Verdana" w:cs="Arial"/>
        </w:rPr>
        <w:t xml:space="preserve"> prohíbe “</w:t>
      </w:r>
      <w:r>
        <w:rPr>
          <w:rFonts w:ascii="Verdana" w:eastAsia="Calibri" w:hAnsi="Verdana" w:cs="Arial"/>
        </w:rPr>
        <w:t xml:space="preserve">(…) </w:t>
      </w:r>
      <w:r w:rsidRPr="00461891">
        <w:rPr>
          <w:rFonts w:ascii="Verdana" w:eastAsia="Calibri" w:hAnsi="Verdana" w:cs="Arial"/>
        </w:rPr>
        <w:t>la contratación directa por parte de todos los entes del Estado” durante los cuatro (4) meses anteriores a las elecciones presidenciales, salvo “</w:t>
      </w:r>
      <w:r>
        <w:rPr>
          <w:rFonts w:ascii="Verdana" w:eastAsia="Calibri" w:hAnsi="Verdana" w:cs="Arial"/>
        </w:rPr>
        <w:t>(…)</w:t>
      </w:r>
      <w:r w:rsidRPr="00461891">
        <w:rPr>
          <w:rFonts w:ascii="Verdana" w:eastAsia="Calibri" w:hAnsi="Verdana" w:cs="Arial"/>
        </w:rPr>
        <w:t xml:space="preserve">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61891">
        <w:rPr>
          <w:rFonts w:ascii="Verdana" w:eastAsia="Calibri" w:hAnsi="Verdana" w:cs="Arial"/>
          <w:vertAlign w:val="superscript"/>
        </w:rPr>
        <w:footnoteReference w:id="7"/>
      </w:r>
      <w:r w:rsidRPr="00461891">
        <w:rPr>
          <w:rFonts w:ascii="Verdana" w:eastAsia="Calibri" w:hAnsi="Verdana" w:cs="Arial"/>
        </w:rPr>
        <w:t>.</w:t>
      </w:r>
    </w:p>
    <w:p w14:paraId="222B3335" w14:textId="77777777" w:rsidR="00063368" w:rsidRPr="00461891" w:rsidRDefault="00063368" w:rsidP="00063368">
      <w:pPr>
        <w:widowControl w:val="0"/>
        <w:autoSpaceDE w:val="0"/>
        <w:autoSpaceDN w:val="0"/>
        <w:spacing w:after="120" w:line="276" w:lineRule="auto"/>
        <w:ind w:right="113" w:firstLine="709"/>
        <w:jc w:val="both"/>
        <w:rPr>
          <w:rFonts w:ascii="Verdana" w:eastAsia="Arial" w:hAnsi="Verdana" w:cs="Arial"/>
          <w:lang w:val="es-ES" w:eastAsia="es-ES" w:bidi="es-ES"/>
        </w:rPr>
      </w:pPr>
      <w:r w:rsidRPr="00461891">
        <w:rPr>
          <w:rFonts w:ascii="Verdana" w:eastAsia="Calibri" w:hAnsi="Verdana" w:cs="Arial"/>
        </w:rPr>
        <w:t xml:space="preserve">Por otro lado, </w:t>
      </w:r>
      <w:r w:rsidRPr="00461891">
        <w:rPr>
          <w:rFonts w:ascii="Verdana" w:eastAsia="Calibri" w:hAnsi="Verdana" w:cs="Arial"/>
          <w:i/>
          <w:iCs/>
        </w:rPr>
        <w:t>el parágrafo del artículo 38 de la Ley 996 de 2005</w:t>
      </w:r>
      <w:r w:rsidRPr="00461891">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rPr>
        <w:t>(…)</w:t>
      </w:r>
      <w:r w:rsidRPr="00461891">
        <w:rPr>
          <w:rFonts w:ascii="Verdana" w:eastAsia="Calibri" w:hAnsi="Verdana" w:cs="Arial"/>
        </w:rPr>
        <w:t xml:space="preserve"> </w:t>
      </w:r>
      <w:r w:rsidRPr="00461891">
        <w:rPr>
          <w:rFonts w:ascii="Verdana" w:eastAsia="Calibri" w:hAnsi="Verdana" w:cs="Arial"/>
          <w:lang w:val="es-MX"/>
        </w:rPr>
        <w:t xml:space="preserve">celebrar convenios interadministrativos para la ejecución de recursos públicos, ni participar, promover y destinar recursos públicos de las entidades a su cargo, como tampoco de las que participen como miembros de sus juntas directivas, en o para reuniones de carácter </w:t>
      </w:r>
      <w:r w:rsidRPr="00461891">
        <w:rPr>
          <w:rFonts w:ascii="Verdana" w:eastAsia="Calibri" w:hAnsi="Verdana" w:cs="Arial"/>
          <w:lang w:val="es-MX"/>
        </w:rPr>
        <w:lastRenderedPageBreak/>
        <w:t>proselitista</w:t>
      </w:r>
      <w:r w:rsidRPr="00461891">
        <w:rPr>
          <w:rFonts w:ascii="Verdana" w:eastAsia="Calibri" w:hAnsi="Verdana" w:cs="Arial"/>
        </w:rPr>
        <w:t>”</w:t>
      </w:r>
      <w:bookmarkEnd w:id="14"/>
      <w:r w:rsidRPr="00461891">
        <w:rPr>
          <w:rFonts w:ascii="Verdana" w:eastAsia="Calibri" w:hAnsi="Verdana" w:cs="Arial"/>
          <w:vertAlign w:val="superscript"/>
        </w:rPr>
        <w:footnoteReference w:id="8"/>
      </w:r>
      <w:r w:rsidRPr="00461891">
        <w:rPr>
          <w:rFonts w:ascii="Verdana" w:eastAsia="Calibri" w:hAnsi="Verdana" w:cs="Arial"/>
          <w:lang w:val="es-MX"/>
        </w:rPr>
        <w:t>.</w:t>
      </w:r>
      <w:r w:rsidRPr="00461891">
        <w:rPr>
          <w:rFonts w:ascii="Verdana" w:eastAsia="Arial" w:hAnsi="Verdana" w:cs="Arial"/>
          <w:lang w:val="es-ES" w:eastAsia="es-ES" w:bidi="es-ES"/>
        </w:rPr>
        <w:t xml:space="preserve"> </w:t>
      </w:r>
    </w:p>
    <w:p w14:paraId="4B808957" w14:textId="1FC6F554" w:rsidR="00063368" w:rsidRPr="00461891" w:rsidRDefault="00063368" w:rsidP="00063368">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461891">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4E4FC688" w14:textId="77777777" w:rsidR="008C59AF" w:rsidRPr="00461891" w:rsidRDefault="008C59AF" w:rsidP="00063368">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p>
    <w:p w14:paraId="1D21B76F" w14:textId="77777777" w:rsidR="00063368" w:rsidRPr="00461891" w:rsidRDefault="00063368" w:rsidP="00063368">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461891">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17" w:name="_Hlk76109421"/>
      <w:r w:rsidRPr="00461891">
        <w:rPr>
          <w:rFonts w:ascii="Verdana" w:eastAsia="Arial" w:hAnsi="Verdana" w:cs="Arial"/>
          <w:sz w:val="20"/>
          <w:szCs w:val="20"/>
          <w:lang w:eastAsia="es-ES" w:bidi="es-ES"/>
        </w:rPr>
        <w:t>se integran parcialmente</w:t>
      </w:r>
      <w:bookmarkEnd w:id="17"/>
      <w:r w:rsidRPr="00461891">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461891">
        <w:rPr>
          <w:rFonts w:ascii="Verdana" w:eastAsia="Arial" w:hAnsi="Verdana" w:cs="Arial"/>
          <w:sz w:val="20"/>
          <w:szCs w:val="20"/>
          <w:lang w:eastAsia="es-ES" w:bidi="es-ES"/>
        </w:rPr>
        <w:t>Presidente</w:t>
      </w:r>
      <w:proofErr w:type="gramEnd"/>
      <w:r w:rsidRPr="00461891">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461891">
        <w:rPr>
          <w:rFonts w:ascii="Verdana" w:eastAsia="Arial" w:hAnsi="Verdana" w:cs="Arial"/>
          <w:sz w:val="20"/>
          <w:szCs w:val="20"/>
          <w:vertAlign w:val="superscript"/>
          <w:lang w:eastAsia="es-ES" w:bidi="es-ES"/>
        </w:rPr>
        <w:footnoteReference w:id="9"/>
      </w:r>
    </w:p>
    <w:p w14:paraId="3186D539" w14:textId="77777777" w:rsidR="00063368" w:rsidRPr="00461891" w:rsidRDefault="00063368" w:rsidP="00063368">
      <w:pPr>
        <w:widowControl w:val="0"/>
        <w:autoSpaceDE w:val="0"/>
        <w:autoSpaceDN w:val="0"/>
        <w:spacing w:after="0" w:line="276" w:lineRule="auto"/>
        <w:contextualSpacing/>
        <w:rPr>
          <w:rFonts w:ascii="Verdana" w:eastAsia="Arial" w:hAnsi="Verdana" w:cs="Arial"/>
          <w:lang w:val="es-ES" w:eastAsia="es-ES" w:bidi="es-ES"/>
        </w:rPr>
      </w:pPr>
    </w:p>
    <w:p w14:paraId="1CAEB284" w14:textId="77777777" w:rsidR="00063368" w:rsidRDefault="00063368" w:rsidP="00063368">
      <w:pPr>
        <w:spacing w:after="120" w:line="276" w:lineRule="auto"/>
        <w:ind w:firstLine="709"/>
        <w:jc w:val="both"/>
        <w:rPr>
          <w:rFonts w:ascii="Verdana" w:eastAsia="Arial" w:hAnsi="Verdana" w:cs="Arial"/>
          <w:lang w:val="es-ES" w:eastAsia="es-ES" w:bidi="es-ES"/>
        </w:rPr>
      </w:pPr>
      <w:r w:rsidRPr="00461891">
        <w:rPr>
          <w:rFonts w:ascii="Verdana" w:eastAsia="Arial" w:hAnsi="Verdana" w:cs="Arial"/>
          <w:lang w:val="es-ES" w:eastAsia="es-ES" w:bidi="es-ES"/>
        </w:rPr>
        <w:t xml:space="preserve">De conformidad con lo anterior, </w:t>
      </w:r>
      <w:bookmarkStart w:id="18" w:name="_Hlk77236420"/>
      <w:bookmarkStart w:id="19" w:name="_Hlk78818435"/>
      <w:bookmarkStart w:id="20" w:name="_Hlk75780333"/>
      <w:r w:rsidRPr="00461891">
        <w:rPr>
          <w:rFonts w:ascii="Verdana" w:eastAsia="Arial" w:hAnsi="Verdana" w:cs="Arial"/>
          <w:lang w:val="es-ES" w:eastAsia="es-ES" w:bidi="es-ES"/>
        </w:rPr>
        <w:t xml:space="preserve">la Ley 996 de 2005 establece dos (2) tipos de restricciones en materia de contratación, las cuales coinciden parcialmente. </w:t>
      </w:r>
    </w:p>
    <w:p w14:paraId="75033E61" w14:textId="77777777" w:rsidR="00063368" w:rsidRDefault="00063368" w:rsidP="00063368">
      <w:pPr>
        <w:spacing w:after="120" w:line="276" w:lineRule="auto"/>
        <w:ind w:firstLine="709"/>
        <w:jc w:val="both"/>
        <w:rPr>
          <w:rFonts w:ascii="Verdana" w:eastAsia="Arial" w:hAnsi="Verdana" w:cs="Arial"/>
          <w:lang w:val="es-ES" w:eastAsia="es-ES" w:bidi="es-ES"/>
        </w:rPr>
      </w:pPr>
      <w:r w:rsidRPr="00461891">
        <w:rPr>
          <w:rFonts w:ascii="Verdana" w:eastAsia="Arial" w:hAnsi="Verdana" w:cs="Arial"/>
          <w:i/>
          <w:lang w:val="es-ES" w:eastAsia="es-ES" w:bidi="es-ES"/>
        </w:rPr>
        <w:t>En primer lugar</w:t>
      </w:r>
      <w:r w:rsidRPr="00461891">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w:t>
      </w:r>
      <w:r w:rsidRPr="00461891">
        <w:rPr>
          <w:rFonts w:ascii="Verdana" w:eastAsia="Arial" w:hAnsi="Verdana" w:cs="Arial"/>
          <w:lang w:val="es-ES" w:eastAsia="es-ES" w:bidi="es-ES"/>
        </w:rPr>
        <w:lastRenderedPageBreak/>
        <w:t xml:space="preserve">de la Constitución Política. Para estos efectos, la restricción se extenderá hasta la fecha en la que se realice la segunda vuelta. </w:t>
      </w:r>
    </w:p>
    <w:p w14:paraId="187CF392" w14:textId="77777777" w:rsidR="00063368" w:rsidRPr="00461891" w:rsidRDefault="00063368" w:rsidP="00063368">
      <w:pPr>
        <w:spacing w:after="120" w:line="276" w:lineRule="auto"/>
        <w:ind w:firstLine="709"/>
        <w:jc w:val="both"/>
        <w:rPr>
          <w:rFonts w:ascii="Verdana" w:eastAsia="Arial" w:hAnsi="Verdana" w:cs="Arial"/>
          <w:lang w:val="es-ES" w:eastAsia="es-ES" w:bidi="es-ES"/>
        </w:rPr>
      </w:pPr>
      <w:r w:rsidRPr="00461891">
        <w:rPr>
          <w:rFonts w:ascii="Verdana" w:eastAsia="Arial" w:hAnsi="Verdana" w:cs="Arial"/>
          <w:i/>
          <w:lang w:val="es-ES" w:eastAsia="es-ES" w:bidi="es-ES"/>
        </w:rPr>
        <w:t>En segundo lugar</w:t>
      </w:r>
      <w:r w:rsidRPr="00461891">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8"/>
    </w:p>
    <w:bookmarkEnd w:id="19"/>
    <w:p w14:paraId="0C98E3E9" w14:textId="77777777" w:rsidR="00063368" w:rsidRPr="00461891" w:rsidRDefault="00063368" w:rsidP="00063368">
      <w:pPr>
        <w:spacing w:after="120" w:line="276" w:lineRule="auto"/>
        <w:ind w:firstLine="709"/>
        <w:jc w:val="both"/>
        <w:rPr>
          <w:rFonts w:ascii="Verdana" w:eastAsia="Arial" w:hAnsi="Verdana" w:cs="Arial"/>
          <w:lang w:val="es-ES" w:eastAsia="es-ES" w:bidi="es-ES"/>
        </w:rPr>
      </w:pPr>
      <w:r w:rsidRPr="00461891">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20"/>
    <w:p w14:paraId="606C1A24" w14:textId="77777777" w:rsidR="00063368" w:rsidRPr="00461891" w:rsidRDefault="00063368" w:rsidP="00063368">
      <w:pPr>
        <w:spacing w:after="120" w:line="276" w:lineRule="auto"/>
        <w:ind w:firstLine="708"/>
        <w:jc w:val="both"/>
        <w:rPr>
          <w:rFonts w:ascii="Verdana" w:eastAsia="Arial" w:hAnsi="Verdana" w:cs="Arial"/>
          <w:lang w:val="es-ES" w:eastAsia="es-ES" w:bidi="es-ES"/>
        </w:rPr>
      </w:pPr>
      <w:r w:rsidRPr="00461891">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o el </w:t>
      </w:r>
      <w:proofErr w:type="gramStart"/>
      <w:r w:rsidRPr="00461891">
        <w:rPr>
          <w:rFonts w:ascii="Verdana" w:eastAsia="Arial" w:hAnsi="Verdana" w:cs="Arial"/>
          <w:lang w:val="es-ES" w:eastAsia="es-ES" w:bidi="es-ES"/>
        </w:rPr>
        <w:t>Vicepresidente</w:t>
      </w:r>
      <w:proofErr w:type="gramEnd"/>
      <w:r w:rsidRPr="00461891">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y el </w:t>
      </w:r>
      <w:proofErr w:type="gramStart"/>
      <w:r w:rsidRPr="00461891">
        <w:rPr>
          <w:rFonts w:ascii="Verdana" w:eastAsia="Arial" w:hAnsi="Verdana" w:cs="Arial"/>
          <w:lang w:val="es-ES" w:eastAsia="es-ES" w:bidi="es-ES"/>
        </w:rPr>
        <w:t>Vicepresidente</w:t>
      </w:r>
      <w:proofErr w:type="gramEnd"/>
      <w:r w:rsidRPr="00461891">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461891">
        <w:rPr>
          <w:rFonts w:ascii="Verdana" w:eastAsia="Arial" w:hAnsi="Verdana" w:cs="Arial"/>
          <w:lang w:val="es-ES" w:eastAsia="es-ES" w:bidi="es-ES"/>
        </w:rPr>
        <w:t>Vicepresidente</w:t>
      </w:r>
      <w:proofErr w:type="gramEnd"/>
      <w:r w:rsidRPr="00461891">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2E33AF45" w14:textId="6BFFF59C" w:rsidR="00063368" w:rsidRPr="00461891" w:rsidRDefault="00063368" w:rsidP="00063368">
      <w:pPr>
        <w:spacing w:after="120" w:line="276" w:lineRule="auto"/>
        <w:ind w:firstLine="709"/>
        <w:jc w:val="both"/>
        <w:rPr>
          <w:rFonts w:ascii="Verdana" w:eastAsia="Times New Roman" w:hAnsi="Verdana" w:cs="Arial"/>
          <w:lang w:val="es-MX" w:eastAsia="x-none"/>
        </w:rPr>
      </w:pPr>
      <w:r w:rsidRPr="00461891">
        <w:rPr>
          <w:rFonts w:ascii="Verdana" w:eastAsia="Arial" w:hAnsi="Verdana" w:cs="Arial"/>
          <w:lang w:val="es-ES" w:eastAsia="es-ES" w:bidi="es-ES"/>
        </w:rPr>
        <w:t xml:space="preserve">Ahora bien, </w:t>
      </w:r>
      <w:r w:rsidRPr="00461891">
        <w:rPr>
          <w:rFonts w:ascii="Verdana" w:eastAsia="Calibri" w:hAnsi="Verdana" w:cs="Arial"/>
          <w:lang w:eastAsia="es-ES" w:bidi="es-ES"/>
        </w:rPr>
        <w:t xml:space="preserve">para dar respuesta al </w:t>
      </w:r>
      <w:r>
        <w:rPr>
          <w:rFonts w:ascii="Verdana" w:eastAsia="Calibri" w:hAnsi="Verdana" w:cs="Arial"/>
          <w:lang w:eastAsia="es-ES" w:bidi="es-ES"/>
        </w:rPr>
        <w:t xml:space="preserve">primer </w:t>
      </w:r>
      <w:r w:rsidRPr="00461891">
        <w:rPr>
          <w:rFonts w:ascii="Verdana" w:eastAsia="Calibri" w:hAnsi="Verdana" w:cs="Arial"/>
          <w:lang w:eastAsia="es-ES" w:bidi="es-ES"/>
        </w:rPr>
        <w:t xml:space="preserve">problema jurídico planteado resulta necesario precisar el alcance de la prohibición </w:t>
      </w:r>
      <w:r w:rsidRPr="00461891">
        <w:rPr>
          <w:rFonts w:ascii="Verdana" w:eastAsia="Arial" w:hAnsi="Verdana" w:cs="Arial"/>
          <w:lang w:val="es-ES" w:eastAsia="es-ES" w:bidi="es-ES"/>
        </w:rPr>
        <w:t>establecida en e</w:t>
      </w:r>
      <w:r w:rsidRPr="00461891">
        <w:rPr>
          <w:rFonts w:ascii="Verdana" w:eastAsia="Calibri" w:hAnsi="Verdana" w:cs="Arial"/>
        </w:rPr>
        <w:t xml:space="preserve">l parágrafo del artículo 38 de la Ley 996 de 2005. La citada norma dispone que “[l]os Gobernadores, </w:t>
      </w:r>
      <w:proofErr w:type="gramStart"/>
      <w:r w:rsidRPr="00461891">
        <w:rPr>
          <w:rFonts w:ascii="Verdana" w:eastAsia="Calibri" w:hAnsi="Verdana" w:cs="Arial"/>
        </w:rPr>
        <w:t>Alcaldes</w:t>
      </w:r>
      <w:proofErr w:type="gramEnd"/>
      <w:r w:rsidRPr="00461891">
        <w:rPr>
          <w:rFonts w:ascii="Verdana" w:eastAsia="Calibri" w:hAnsi="Verdana" w:cs="Arial"/>
        </w:rPr>
        <w:t xml:space="preserve"> Municipales y/o Distritales, </w:t>
      </w:r>
      <w:proofErr w:type="gramStart"/>
      <w:r w:rsidRPr="00461891">
        <w:rPr>
          <w:rFonts w:ascii="Verdana" w:eastAsia="Calibri" w:hAnsi="Verdana" w:cs="Arial"/>
        </w:rPr>
        <w:t>Secretarios</w:t>
      </w:r>
      <w:proofErr w:type="gramEnd"/>
      <w:r w:rsidRPr="00461891">
        <w:rPr>
          <w:rFonts w:ascii="Verdana" w:eastAsia="Calibri" w:hAnsi="Verdana" w:cs="Arial"/>
        </w:rPr>
        <w:t xml:space="preserve">, Gerentes y directores de Entidades Descentralizadas del orden Municipal, Departamental o Distrital, dentro de los cuatro (4) meses anteriores a las elecciones, no podrán celebrar </w:t>
      </w:r>
      <w:r w:rsidRPr="00461891">
        <w:rPr>
          <w:rFonts w:ascii="Verdana" w:eastAsia="Calibri" w:hAnsi="Verdana" w:cs="Arial"/>
          <w:i/>
          <w:iCs/>
        </w:rPr>
        <w:t>convenios interadministrativos</w:t>
      </w:r>
      <w:r w:rsidRPr="00461891">
        <w:rPr>
          <w:rFonts w:ascii="Verdana" w:eastAsia="Calibri" w:hAnsi="Verdana" w:cs="Arial"/>
        </w:rPr>
        <w:t xml:space="preserve"> para la ejecución de recursos públicos”.</w:t>
      </w:r>
      <w:r w:rsidRPr="00461891">
        <w:rPr>
          <w:rFonts w:ascii="Verdana" w:eastAsia="Times New Roman" w:hAnsi="Verdana" w:cs="Arial"/>
          <w:lang w:val="es-MX" w:eastAsia="x-none"/>
        </w:rPr>
        <w:t xml:space="preserve"> </w:t>
      </w:r>
      <w:bookmarkStart w:id="21" w:name="_Hlk99578153"/>
      <w:r w:rsidRPr="00461891">
        <w:rPr>
          <w:rFonts w:ascii="Verdana" w:eastAsia="Times New Roman" w:hAnsi="Verdana" w:cs="Arial"/>
          <w:lang w:val="es-MX" w:eastAsia="x-none"/>
        </w:rPr>
        <w:t>[Énfasis fuera del texto original]</w:t>
      </w:r>
    </w:p>
    <w:p w14:paraId="0FD7BBE4" w14:textId="77777777" w:rsidR="00063368" w:rsidRPr="00461891" w:rsidRDefault="00063368" w:rsidP="00063368">
      <w:pPr>
        <w:spacing w:after="120" w:line="276" w:lineRule="auto"/>
        <w:ind w:firstLine="709"/>
        <w:jc w:val="both"/>
        <w:rPr>
          <w:rFonts w:ascii="Verdana" w:eastAsia="Calibri" w:hAnsi="Verdana" w:cs="Arial"/>
          <w:lang w:bidi="es-ES"/>
        </w:rPr>
      </w:pPr>
      <w:r w:rsidRPr="00461891">
        <w:rPr>
          <w:rFonts w:ascii="Verdana" w:eastAsia="Times New Roman" w:hAnsi="Verdana" w:cs="Arial"/>
          <w:lang w:val="es-MX" w:eastAsia="x-none"/>
        </w:rPr>
        <w:lastRenderedPageBreak/>
        <w:t xml:space="preserve">Sobre este aspecto, es importante señalar que esta Subdirección, en los conceptos emitidos sobre la aplicación de la Ley de Garantías Electorales, ha defendido y mantenido la postura acerca de que la prohibición señalada en </w:t>
      </w:r>
      <w:r w:rsidRPr="00461891">
        <w:rPr>
          <w:rFonts w:ascii="Verdana" w:eastAsia="Arial" w:hAnsi="Verdana" w:cs="Arial"/>
          <w:lang w:val="es-ES" w:eastAsia="es-ES" w:bidi="es-ES"/>
        </w:rPr>
        <w:t>e</w:t>
      </w:r>
      <w:r w:rsidRPr="00461891">
        <w:rPr>
          <w:rFonts w:ascii="Verdana" w:eastAsia="Calibri" w:hAnsi="Verdana" w:cs="Arial"/>
        </w:rPr>
        <w:t xml:space="preserve">l parágrafo del artículo 38 cobija tanto a los convenios como a los contratos interadministrativos. Esta tesis se fundamenta en que </w:t>
      </w:r>
      <w:r w:rsidRPr="00461891">
        <w:rPr>
          <w:rFonts w:ascii="Verdana" w:eastAsia="Calibri" w:hAnsi="Verdana" w:cs="Arial"/>
          <w:lang w:bidi="es-ES"/>
        </w:rPr>
        <w:t xml:space="preserve">si bien actualmente el Estatuto General de Contratación de la Administración Pública – en adelante EGCAP – hace referencia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624FDACA" w14:textId="77777777" w:rsidR="00063368" w:rsidRPr="00461891" w:rsidRDefault="00063368" w:rsidP="00063368">
      <w:pPr>
        <w:spacing w:after="120" w:line="276" w:lineRule="auto"/>
        <w:ind w:firstLine="709"/>
        <w:jc w:val="both"/>
        <w:rPr>
          <w:rFonts w:ascii="Verdana" w:eastAsia="Calibri" w:hAnsi="Verdana" w:cs="Arial"/>
          <w:lang w:bidi="es-ES"/>
        </w:rPr>
      </w:pPr>
      <w:r w:rsidRPr="00461891">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461891">
        <w:rPr>
          <w:rFonts w:ascii="Verdana" w:eastAsia="Arial" w:hAnsi="Verdana" w:cs="Arial"/>
          <w:lang w:val="es-ES" w:eastAsia="es-ES" w:bidi="es-ES"/>
        </w:rPr>
        <w:t>el legislador y el ordenamiento jurídico, en general, en distintas ocasiones utiliza de forma indistinta los conceptos de contrato o convenio para referirse a la misma institución jurídica</w:t>
      </w:r>
      <w:r w:rsidRPr="00461891">
        <w:rPr>
          <w:rFonts w:ascii="Verdana" w:eastAsia="Arial" w:hAnsi="Verdana" w:cs="Arial"/>
          <w:vertAlign w:val="superscript"/>
          <w:lang w:val="es-ES" w:eastAsia="es-ES" w:bidi="es-ES"/>
        </w:rPr>
        <w:footnoteReference w:id="10"/>
      </w:r>
      <w:r w:rsidRPr="00461891">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461891">
        <w:rPr>
          <w:rFonts w:ascii="Verdana" w:eastAsia="Arial" w:hAnsi="Verdana" w:cs="Arial"/>
          <w:vertAlign w:val="superscript"/>
          <w:lang w:val="es-ES" w:eastAsia="es-ES" w:bidi="es-ES"/>
        </w:rPr>
        <w:footnoteReference w:id="11"/>
      </w:r>
      <w:r w:rsidRPr="00461891">
        <w:rPr>
          <w:rFonts w:ascii="Verdana" w:eastAsia="Arial" w:hAnsi="Verdana" w:cs="Arial"/>
          <w:lang w:val="es-ES" w:eastAsia="es-ES" w:bidi="es-ES"/>
        </w:rPr>
        <w:t>.</w:t>
      </w:r>
    </w:p>
    <w:p w14:paraId="2C8963BB" w14:textId="77777777" w:rsidR="00063368" w:rsidRPr="00461891" w:rsidRDefault="00063368" w:rsidP="00063368">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461891">
        <w:rPr>
          <w:rFonts w:ascii="Verdana" w:eastAsia="Calibri" w:hAnsi="Verdana" w:cs="Arial"/>
          <w:lang w:val="es-ES" w:bidi="es-ES"/>
        </w:rPr>
        <w:t>De este modo, en la Circular Externa</w:t>
      </w:r>
      <w:r w:rsidRPr="00461891">
        <w:rPr>
          <w:rFonts w:ascii="Verdana" w:eastAsia="Arial" w:hAnsi="Verdana" w:cs="Arial"/>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w:t>
      </w:r>
      <w:r w:rsidRPr="00461891">
        <w:rPr>
          <w:rFonts w:ascii="Verdana" w:eastAsia="Arial" w:hAnsi="Verdana" w:cs="Arial"/>
          <w:lang w:val="es-ES" w:eastAsia="es-ES" w:bidi="es-ES"/>
        </w:rPr>
        <w:lastRenderedPageBreak/>
        <w:t>2005, expresa lo siguiente en el numeral 16.2:</w:t>
      </w:r>
    </w:p>
    <w:p w14:paraId="2DC3C970" w14:textId="77777777" w:rsidR="00063368" w:rsidRPr="00461891" w:rsidRDefault="00063368" w:rsidP="00063368">
      <w:pPr>
        <w:widowControl w:val="0"/>
        <w:autoSpaceDE w:val="0"/>
        <w:autoSpaceDN w:val="0"/>
        <w:spacing w:after="0" w:line="276" w:lineRule="auto"/>
        <w:contextualSpacing/>
        <w:jc w:val="both"/>
        <w:rPr>
          <w:rFonts w:ascii="Verdana" w:eastAsia="Arial" w:hAnsi="Verdana" w:cs="Arial"/>
          <w:lang w:val="es-ES" w:eastAsia="es-ES" w:bidi="es-ES"/>
        </w:rPr>
      </w:pPr>
    </w:p>
    <w:p w14:paraId="4B13929F" w14:textId="77777777" w:rsidR="00063368" w:rsidRPr="00461891" w:rsidRDefault="00063368" w:rsidP="00063368">
      <w:pPr>
        <w:spacing w:after="0" w:line="240" w:lineRule="auto"/>
        <w:ind w:left="709" w:right="709"/>
        <w:jc w:val="both"/>
        <w:rPr>
          <w:rFonts w:ascii="Verdana" w:eastAsia="Calibri" w:hAnsi="Verdana" w:cs="Arial"/>
          <w:sz w:val="20"/>
          <w:szCs w:val="20"/>
          <w:lang w:val="es-MX"/>
        </w:rPr>
      </w:pPr>
      <w:r w:rsidRPr="00461891">
        <w:rPr>
          <w:rFonts w:ascii="Verdana" w:eastAsia="Calibri" w:hAnsi="Verdana" w:cs="Arial"/>
          <w:sz w:val="20"/>
          <w:szCs w:val="20"/>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461891">
        <w:rPr>
          <w:rFonts w:ascii="Verdana" w:eastAsia="Calibri" w:hAnsi="Verdana" w:cs="Arial"/>
          <w:sz w:val="20"/>
          <w:szCs w:val="20"/>
          <w:lang w:val="es-MX"/>
        </w:rPr>
        <w:t>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p>
    <w:p w14:paraId="48ECBBCC" w14:textId="77777777" w:rsidR="00063368" w:rsidRPr="00461891" w:rsidRDefault="00063368" w:rsidP="00063368">
      <w:pPr>
        <w:spacing w:after="0" w:line="240" w:lineRule="auto"/>
        <w:ind w:left="709" w:right="709"/>
        <w:jc w:val="both"/>
        <w:rPr>
          <w:rFonts w:ascii="Verdana" w:eastAsia="Calibri" w:hAnsi="Verdana" w:cs="Arial"/>
          <w:sz w:val="20"/>
          <w:szCs w:val="20"/>
          <w:lang w:val="es-MX"/>
        </w:rPr>
      </w:pPr>
    </w:p>
    <w:p w14:paraId="3CED5960" w14:textId="77777777" w:rsidR="00063368" w:rsidRPr="00461891" w:rsidRDefault="00063368" w:rsidP="00063368">
      <w:pPr>
        <w:spacing w:after="0" w:line="240" w:lineRule="auto"/>
        <w:ind w:left="709" w:right="709"/>
        <w:jc w:val="both"/>
        <w:rPr>
          <w:rFonts w:ascii="Verdana" w:eastAsia="Calibri" w:hAnsi="Verdana" w:cs="Arial"/>
          <w:sz w:val="20"/>
          <w:szCs w:val="20"/>
          <w:lang w:val="es-MX"/>
        </w:rPr>
      </w:pPr>
      <w:r w:rsidRPr="00461891">
        <w:rPr>
          <w:rFonts w:ascii="Verdana" w:eastAsia="Calibri" w:hAnsi="Verdana" w:cs="Arial"/>
          <w:sz w:val="20"/>
          <w:szCs w:val="20"/>
          <w:lang w:val="es-MX"/>
        </w:rPr>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788A90A9" w14:textId="77777777" w:rsidR="00063368" w:rsidRPr="00461891" w:rsidRDefault="00063368" w:rsidP="00063368">
      <w:pPr>
        <w:spacing w:after="0" w:line="240" w:lineRule="auto"/>
        <w:ind w:left="709" w:right="709"/>
        <w:jc w:val="both"/>
        <w:rPr>
          <w:rFonts w:ascii="Verdana" w:eastAsia="Calibri" w:hAnsi="Verdana" w:cs="Arial"/>
          <w:sz w:val="20"/>
          <w:szCs w:val="20"/>
          <w:lang w:val="es-MX"/>
        </w:rPr>
      </w:pPr>
    </w:p>
    <w:p w14:paraId="76DCACF6" w14:textId="77777777" w:rsidR="00063368" w:rsidRPr="00461891" w:rsidRDefault="00063368" w:rsidP="00063368">
      <w:pPr>
        <w:spacing w:after="0" w:line="240" w:lineRule="auto"/>
        <w:ind w:left="709" w:right="709"/>
        <w:jc w:val="both"/>
        <w:rPr>
          <w:rFonts w:ascii="Verdana" w:eastAsia="Calibri" w:hAnsi="Verdana" w:cs="Arial"/>
          <w:sz w:val="20"/>
          <w:szCs w:val="20"/>
          <w:lang w:val="es-MX"/>
        </w:rPr>
      </w:pPr>
      <w:bookmarkStart w:id="22" w:name="_Hlk193459059"/>
      <w:r w:rsidRPr="00461891">
        <w:rPr>
          <w:rFonts w:ascii="Verdana" w:eastAsia="Calibri" w:hAnsi="Verdana" w:cs="Arial"/>
          <w:sz w:val="20"/>
          <w:szCs w:val="20"/>
          <w:lang w:val="es-MX"/>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w:t>
      </w:r>
      <w:bookmarkEnd w:id="22"/>
      <w:r w:rsidRPr="00461891">
        <w:rPr>
          <w:rFonts w:ascii="Verdana" w:eastAsia="Calibri" w:hAnsi="Verdana" w:cs="Arial"/>
          <w:sz w:val="20"/>
          <w:szCs w:val="20"/>
          <w:lang w:val="es-MX"/>
        </w:rPr>
        <w:t>o”.</w:t>
      </w:r>
    </w:p>
    <w:p w14:paraId="0AE44617" w14:textId="77777777" w:rsidR="00063368" w:rsidRPr="00461891" w:rsidRDefault="00063368" w:rsidP="00063368">
      <w:pPr>
        <w:widowControl w:val="0"/>
        <w:autoSpaceDE w:val="0"/>
        <w:autoSpaceDN w:val="0"/>
        <w:spacing w:after="0" w:line="276" w:lineRule="auto"/>
        <w:contextualSpacing/>
        <w:jc w:val="both"/>
        <w:rPr>
          <w:rFonts w:ascii="Verdana" w:eastAsia="Arial" w:hAnsi="Verdana" w:cs="Arial"/>
          <w:lang w:val="es-ES" w:eastAsia="es-ES" w:bidi="es-ES"/>
        </w:rPr>
      </w:pPr>
    </w:p>
    <w:p w14:paraId="7261A968" w14:textId="77777777" w:rsidR="00063368" w:rsidRPr="00461891" w:rsidRDefault="00063368" w:rsidP="00063368">
      <w:pPr>
        <w:spacing w:after="120" w:line="276" w:lineRule="auto"/>
        <w:ind w:firstLine="709"/>
        <w:jc w:val="both"/>
        <w:rPr>
          <w:rFonts w:ascii="Verdana" w:eastAsia="Arial" w:hAnsi="Verdana" w:cs="Arial"/>
          <w:lang w:val="es-MX" w:eastAsia="es-ES" w:bidi="es-ES"/>
        </w:rPr>
      </w:pPr>
      <w:r w:rsidRPr="00461891">
        <w:rPr>
          <w:rFonts w:ascii="Verdana" w:eastAsia="Arial" w:hAnsi="Verdana" w:cs="Arial"/>
          <w:lang w:val="es-ES" w:eastAsia="es-ES" w:bidi="es-ES"/>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461891">
        <w:rPr>
          <w:rFonts w:ascii="Verdana" w:eastAsia="Arial" w:hAnsi="Verdana" w:cs="Arial"/>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27ACFECF" w14:textId="77777777" w:rsidR="00063368" w:rsidRDefault="00063368" w:rsidP="00063368">
      <w:pPr>
        <w:spacing w:after="0" w:line="276" w:lineRule="auto"/>
        <w:ind w:firstLine="709"/>
        <w:jc w:val="both"/>
      </w:pPr>
      <w:r w:rsidRPr="00461891">
        <w:rPr>
          <w:rFonts w:ascii="Verdana" w:eastAsia="Arial" w:hAnsi="Verdana" w:cs="Arial"/>
          <w:lang w:val="es-MX" w:eastAsia="es-ES" w:bidi="es-ES"/>
        </w:rPr>
        <w:lastRenderedPageBreak/>
        <w:t xml:space="preserve">No obstante, conviene señalar que, mediante auto de 4 de octubre del 2024, el Consejo de Estado, Sección Tercera, decretó medida de suspensión provisional parcial del </w:t>
      </w:r>
      <w:r w:rsidRPr="00461891">
        <w:rPr>
          <w:rFonts w:ascii="Verdana" w:hAnsi="Verdana"/>
        </w:rPr>
        <w:t>numeral 16.2 de la Circular Externa Única de 2022 expedida por la Agencia Nacional de Contratación Pública -Colombia Compra Eficiente-, concretamente, respecto de los siguientes apartes normativos</w:t>
      </w:r>
      <w:r w:rsidRPr="00461891">
        <w:rPr>
          <w:rFonts w:ascii="Verdana" w:hAnsi="Verdana"/>
          <w:vertAlign w:val="superscript"/>
        </w:rPr>
        <w:footnoteReference w:id="12"/>
      </w:r>
      <w:r w:rsidRPr="00461891">
        <w:rPr>
          <w:rFonts w:ascii="Verdana" w:hAnsi="Verdana"/>
        </w:rPr>
        <w:t>:</w:t>
      </w:r>
      <w:r w:rsidRPr="00461891">
        <w:t xml:space="preserve"> </w:t>
      </w:r>
    </w:p>
    <w:p w14:paraId="32B800C6" w14:textId="77777777" w:rsidR="00063368" w:rsidRPr="00461891" w:rsidRDefault="00063368" w:rsidP="00063368">
      <w:pPr>
        <w:spacing w:after="0" w:line="240" w:lineRule="auto"/>
        <w:ind w:firstLine="709"/>
        <w:jc w:val="both"/>
      </w:pPr>
    </w:p>
    <w:p w14:paraId="580280E6" w14:textId="77777777" w:rsidR="00063368" w:rsidRPr="00461891" w:rsidRDefault="00063368" w:rsidP="00063368">
      <w:pPr>
        <w:spacing w:after="0" w:line="240" w:lineRule="auto"/>
        <w:ind w:left="709" w:right="709"/>
        <w:jc w:val="both"/>
        <w:rPr>
          <w:rFonts w:ascii="Verdana" w:eastAsia="Calibri" w:hAnsi="Verdana" w:cs="Arial"/>
          <w:sz w:val="20"/>
          <w:szCs w:val="20"/>
        </w:rPr>
      </w:pPr>
      <w:r w:rsidRPr="00461891">
        <w:rPr>
          <w:rFonts w:ascii="Verdana" w:eastAsia="Calibri" w:hAnsi="Verdana" w:cs="Arial"/>
          <w:sz w:val="20"/>
          <w:szCs w:val="20"/>
          <w:lang w:val="es-MX"/>
        </w:rPr>
        <w:t>i)</w:t>
      </w:r>
      <w:r w:rsidRPr="00461891">
        <w:rPr>
          <w:rFonts w:ascii="Verdana" w:eastAsia="Calibri"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7317D0A4" w14:textId="77777777" w:rsidR="00063368" w:rsidRPr="00461891" w:rsidRDefault="00063368" w:rsidP="00063368">
      <w:pPr>
        <w:spacing w:after="0" w:line="240" w:lineRule="auto"/>
        <w:ind w:left="709" w:right="709"/>
        <w:jc w:val="both"/>
        <w:rPr>
          <w:rFonts w:ascii="Verdana" w:eastAsia="Calibri" w:hAnsi="Verdana" w:cs="Arial"/>
          <w:sz w:val="20"/>
          <w:szCs w:val="20"/>
        </w:rPr>
      </w:pPr>
    </w:p>
    <w:p w14:paraId="73AC22A7" w14:textId="77777777" w:rsidR="00063368" w:rsidRPr="00461891" w:rsidRDefault="00063368" w:rsidP="00063368">
      <w:pPr>
        <w:spacing w:after="0" w:line="240" w:lineRule="auto"/>
        <w:ind w:left="709" w:right="709"/>
        <w:jc w:val="both"/>
        <w:rPr>
          <w:rFonts w:ascii="Verdana" w:hAnsi="Verdana"/>
          <w:sz w:val="20"/>
          <w:szCs w:val="20"/>
        </w:rPr>
      </w:pPr>
      <w:proofErr w:type="spellStart"/>
      <w:r w:rsidRPr="00461891">
        <w:rPr>
          <w:rFonts w:ascii="Verdana" w:hAnsi="Verdana"/>
          <w:sz w:val="20"/>
          <w:szCs w:val="20"/>
        </w:rPr>
        <w:t>ii</w:t>
      </w:r>
      <w:proofErr w:type="spellEnd"/>
      <w:r w:rsidRPr="00461891">
        <w:rPr>
          <w:rFonts w:ascii="Verdana" w:hAnsi="Verdana"/>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2DBA6345" w14:textId="77777777" w:rsidR="00063368" w:rsidRPr="00461891" w:rsidRDefault="00063368" w:rsidP="00063368">
      <w:pPr>
        <w:spacing w:after="0" w:line="276" w:lineRule="auto"/>
        <w:ind w:left="709" w:right="709"/>
        <w:jc w:val="both"/>
        <w:rPr>
          <w:rFonts w:ascii="Verdana" w:hAnsi="Verdana"/>
        </w:rPr>
      </w:pPr>
    </w:p>
    <w:p w14:paraId="627F189E" w14:textId="77777777" w:rsidR="00063368" w:rsidRPr="00461891" w:rsidRDefault="00063368" w:rsidP="00063368">
      <w:pPr>
        <w:spacing w:after="120" w:line="276" w:lineRule="auto"/>
        <w:ind w:firstLine="709"/>
        <w:jc w:val="both"/>
        <w:rPr>
          <w:rFonts w:ascii="Verdana" w:eastAsia="Arial" w:hAnsi="Verdana" w:cs="Arial"/>
          <w:i/>
          <w:iCs/>
          <w:lang w:val="es-MX" w:eastAsia="es-ES" w:bidi="es-ES"/>
        </w:rPr>
      </w:pPr>
      <w:r w:rsidRPr="00461891">
        <w:rPr>
          <w:rFonts w:ascii="Verdana" w:eastAsia="Arial" w:hAnsi="Verdana" w:cs="Arial"/>
          <w:lang w:val="es-MX" w:eastAsia="es-ES" w:bidi="es-ES"/>
        </w:rPr>
        <w:t xml:space="preserve">De conformidad con los argumentos de dicha providencia, se parte de la distinción entre los conceptos </w:t>
      </w:r>
      <w:r w:rsidRPr="00461891">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461891">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461891">
        <w:rPr>
          <w:rFonts w:ascii="Verdana" w:eastAsia="Arial" w:hAnsi="Verdana" w:cs="Arial"/>
          <w:lang w:eastAsia="es-ES" w:bidi="es-ES"/>
        </w:rPr>
        <w:t xml:space="preserve">Por tal motivo, para efectos de decretar la medida de suspensión provisional de los apartes señalados del numeral </w:t>
      </w:r>
      <w:bookmarkStart w:id="23" w:name="_Hlk192497089"/>
      <w:r w:rsidRPr="00461891">
        <w:rPr>
          <w:rFonts w:ascii="Verdana" w:eastAsia="Arial" w:hAnsi="Verdana" w:cs="Arial"/>
          <w:lang w:eastAsia="es-ES" w:bidi="es-ES"/>
        </w:rPr>
        <w:t>16.2 de la Circular Externa Única</w:t>
      </w:r>
      <w:bookmarkEnd w:id="23"/>
      <w:r w:rsidRPr="00461891">
        <w:rPr>
          <w:rFonts w:ascii="Verdana" w:eastAsia="Arial" w:hAnsi="Verdana" w:cs="Arial"/>
          <w:lang w:eastAsia="es-ES" w:bidi="es-ES"/>
        </w:rPr>
        <w:t xml:space="preserve">, argumentó que </w:t>
      </w:r>
      <w:r w:rsidRPr="00461891">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w:t>
      </w:r>
      <w:r w:rsidRPr="00461891">
        <w:rPr>
          <w:rFonts w:ascii="Verdana" w:eastAsia="Arial" w:hAnsi="Verdana" w:cs="Arial"/>
          <w:i/>
          <w:iCs/>
          <w:lang w:eastAsia="es-ES" w:bidi="es-ES"/>
        </w:rPr>
        <w:lastRenderedPageBreak/>
        <w:t xml:space="preserve">incorporó en la prohibición una categoría que no quedó comprendida expresa e inequívocamente en la ley”. </w:t>
      </w:r>
    </w:p>
    <w:p w14:paraId="40E05B56" w14:textId="77777777" w:rsidR="00063368" w:rsidRPr="00461891" w:rsidRDefault="00063368" w:rsidP="00063368">
      <w:pPr>
        <w:spacing w:after="120" w:line="276" w:lineRule="auto"/>
        <w:ind w:firstLine="709"/>
        <w:jc w:val="both"/>
        <w:rPr>
          <w:rFonts w:ascii="Verdana" w:eastAsia="Calibri" w:hAnsi="Verdana" w:cs="Arial"/>
          <w:lang w:val="es-MX"/>
        </w:rPr>
      </w:pPr>
      <w:r w:rsidRPr="00461891">
        <w:rPr>
          <w:rFonts w:ascii="Verdana" w:eastAsia="Arial" w:hAnsi="Verdana" w:cs="Arial"/>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461891">
        <w:rPr>
          <w:rFonts w:ascii="Verdana" w:eastAsia="Arial" w:hAnsi="Verdana" w:cs="Arial"/>
          <w:lang w:eastAsia="es-ES" w:bidi="es-ES"/>
        </w:rPr>
        <w:t>16.2 de la Circular Externa Única</w:t>
      </w:r>
      <w:r w:rsidRPr="00461891">
        <w:rPr>
          <w:rFonts w:ascii="Verdana" w:eastAsia="Arial" w:hAnsi="Verdana" w:cs="Arial"/>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461891">
        <w:rPr>
          <w:rFonts w:ascii="Verdana" w:eastAsia="Times New Roman" w:hAnsi="Verdana" w:cs="Arial"/>
          <w:lang w:val="es-MX" w:eastAsia="es-CO"/>
        </w:rPr>
        <w:t xml:space="preserve">evitar cualquier tipo de arbitrariedad, de ventaja injustificada, de uso irregular de los recursos del Estado en las campañas políticas, o que </w:t>
      </w:r>
      <w:r w:rsidRPr="00461891">
        <w:rPr>
          <w:rFonts w:ascii="Verdana" w:eastAsia="Calibri" w:hAnsi="Verdana" w:cs="Arial"/>
          <w:lang w:val="es-MX"/>
        </w:rPr>
        <w:t xml:space="preserve">los recursos del Estado se ejecuten para lograr apoyos indebidos mediante la suscripción de contratos y/o convenios, que para efectos de la Ley de Garantías tienen la misma connotación y propósitos. </w:t>
      </w:r>
    </w:p>
    <w:p w14:paraId="7A1CC855" w14:textId="77777777" w:rsidR="00063368" w:rsidRPr="00461891" w:rsidRDefault="00063368" w:rsidP="00063368">
      <w:pPr>
        <w:spacing w:after="120" w:line="276" w:lineRule="auto"/>
        <w:ind w:firstLine="709"/>
        <w:jc w:val="both"/>
        <w:rPr>
          <w:rFonts w:ascii="Verdana" w:eastAsia="Arial" w:hAnsi="Verdana" w:cs="Arial"/>
          <w:lang w:val="es-MX" w:eastAsia="es-ES" w:bidi="es-ES"/>
        </w:rPr>
      </w:pPr>
      <w:r w:rsidRPr="00461891">
        <w:rPr>
          <w:rFonts w:ascii="Verdana" w:eastAsia="Calibri" w:hAnsi="Verdana" w:cs="Arial"/>
        </w:rPr>
        <w:t xml:space="preserve">Conforme a lo anterior, si bien la Agencia es respetuosa de las providencias proferidas por las autoridades judiciales, es necesario expresar el desacuerdo con el decreto de medida cautelar de suspensión provisional y la oposición a que se declare la nulidad del numeral </w:t>
      </w:r>
      <w:r w:rsidRPr="00461891">
        <w:rPr>
          <w:rFonts w:ascii="Verdana" w:eastAsia="Arial" w:hAnsi="Verdana" w:cs="Arial"/>
          <w:lang w:eastAsia="es-ES" w:bidi="es-ES"/>
        </w:rPr>
        <w:t xml:space="preserve">16.2 de la Circular Externa Única. Al señalar que los contratos interadministrativos deberían estar sujetos a las restricciones consagradas en el parágrafo del artículo 38, la Agencia busca proteger la transparencia, igualdad e integridad del proceso electoral. Así las cosas, </w:t>
      </w:r>
      <w:r w:rsidRPr="00461891">
        <w:rPr>
          <w:rFonts w:ascii="Verdana" w:eastAsia="Calibri" w:hAnsi="Verdana" w:cs="Arial"/>
          <w:lang w:val="es-MX"/>
        </w:rPr>
        <w:t xml:space="preserve">a la fecha, se espera la decisión final respecto a la declaratoria de nulidad del numeral 16.2 de la Circular Externa Única que adopte el Consejo de Estado. </w:t>
      </w:r>
    </w:p>
    <w:p w14:paraId="3D3E59C4" w14:textId="77777777" w:rsidR="00063368" w:rsidRPr="00461891" w:rsidRDefault="00063368" w:rsidP="00063368">
      <w:pPr>
        <w:spacing w:after="120" w:line="276" w:lineRule="auto"/>
        <w:ind w:firstLine="709"/>
        <w:jc w:val="both"/>
        <w:rPr>
          <w:rFonts w:ascii="Verdana" w:eastAsia="Times New Roman" w:hAnsi="Verdana" w:cs="Arial"/>
          <w:lang w:val="es-MX" w:eastAsia="es-CO"/>
        </w:rPr>
      </w:pPr>
      <w:r w:rsidRPr="00461891">
        <w:rPr>
          <w:rFonts w:ascii="Verdana" w:eastAsia="Arial" w:hAnsi="Verdana" w:cs="Arial"/>
          <w:lang w:val="es-MX" w:eastAsia="es-ES" w:bidi="es-ES"/>
        </w:rPr>
        <w:t xml:space="preserve"> De esta manera, </w:t>
      </w:r>
      <w:bookmarkStart w:id="24" w:name="_Hlk78820161"/>
      <w:bookmarkEnd w:id="21"/>
      <w:r w:rsidRPr="00461891">
        <w:rPr>
          <w:rFonts w:ascii="Verdana" w:eastAsia="Arial" w:hAnsi="Verdana" w:cs="Arial"/>
          <w:lang w:val="es-MX" w:eastAsia="es-ES" w:bidi="es-ES"/>
        </w:rPr>
        <w:t>s</w:t>
      </w:r>
      <w:proofErr w:type="spellStart"/>
      <w:r w:rsidRPr="00461891">
        <w:rPr>
          <w:rFonts w:ascii="Verdana" w:eastAsia="Times New Roman" w:hAnsi="Verdana" w:cs="Arial"/>
          <w:lang w:eastAsia="es-CO"/>
        </w:rPr>
        <w:t>e</w:t>
      </w:r>
      <w:proofErr w:type="spellEnd"/>
      <w:r w:rsidRPr="00461891">
        <w:rPr>
          <w:rFonts w:ascii="Verdana" w:eastAsia="Times New Roman" w:hAnsi="Verdana" w:cs="Arial"/>
          <w:lang w:eastAsia="es-CO"/>
        </w:rPr>
        <w:t xml:space="preserve"> observa entonces que </w:t>
      </w:r>
      <w:r w:rsidRPr="00461891">
        <w:rPr>
          <w:rFonts w:ascii="Verdana" w:eastAsia="Times New Roman" w:hAnsi="Verdana" w:cs="Arial"/>
          <w:lang w:val="es-MX" w:eastAsia="es-CO"/>
        </w:rPr>
        <w:t xml:space="preserve">el parágrafo del artículo 38 de la Ley 996 de 2005 prohíbe a los </w:t>
      </w:r>
      <w:proofErr w:type="gramStart"/>
      <w:r w:rsidRPr="00461891">
        <w:rPr>
          <w:rFonts w:ascii="Verdana" w:eastAsia="Times New Roman" w:hAnsi="Verdana" w:cs="Arial"/>
          <w:lang w:val="es-MX" w:eastAsia="es-CO"/>
        </w:rPr>
        <w:t>Alcaldes</w:t>
      </w:r>
      <w:proofErr w:type="gramEnd"/>
      <w:r w:rsidRPr="00461891">
        <w:rPr>
          <w:rFonts w:ascii="Verdana" w:eastAsia="Times New Roman" w:hAnsi="Verdana" w:cs="Arial"/>
          <w:lang w:val="es-MX" w:eastAsia="es-CO"/>
        </w:rPr>
        <w:t xml:space="preserve">, Gobernadores, </w:t>
      </w:r>
      <w:proofErr w:type="gramStart"/>
      <w:r w:rsidRPr="00461891">
        <w:rPr>
          <w:rFonts w:ascii="Verdana" w:eastAsia="Times New Roman" w:hAnsi="Verdana" w:cs="Arial"/>
          <w:lang w:val="es-MX" w:eastAsia="es-CO"/>
        </w:rPr>
        <w:t>Secretarios</w:t>
      </w:r>
      <w:proofErr w:type="gramEnd"/>
      <w:r w:rsidRPr="00461891">
        <w:rPr>
          <w:rFonts w:ascii="Verdana" w:eastAsia="Times New Roman" w:hAnsi="Verdana" w:cs="Arial"/>
          <w:lang w:val="es-MX" w:eastAsia="es-CO"/>
        </w:rPr>
        <w:t xml:space="preserve">, Gerentes y </w:t>
      </w:r>
      <w:proofErr w:type="gramStart"/>
      <w:r w:rsidRPr="00461891">
        <w:rPr>
          <w:rFonts w:ascii="Verdana" w:eastAsia="Times New Roman" w:hAnsi="Verdana" w:cs="Arial"/>
          <w:lang w:val="es-MX" w:eastAsia="es-CO"/>
        </w:rPr>
        <w:t>Directores</w:t>
      </w:r>
      <w:proofErr w:type="gramEnd"/>
      <w:r w:rsidRPr="00461891">
        <w:rPr>
          <w:rFonts w:ascii="Verdana" w:eastAsia="Times New Roman" w:hAnsi="Verdana" w:cs="Arial"/>
          <w:lang w:val="es-MX" w:eastAsia="es-CO"/>
        </w:rPr>
        <w:t xml:space="preserve"> de las entidades del orden municipal, departamental o distrital celebrar </w:t>
      </w:r>
      <w:r w:rsidRPr="00461891">
        <w:rPr>
          <w:rFonts w:ascii="Verdana" w:eastAsia="Times New Roman" w:hAnsi="Verdana" w:cs="Arial"/>
          <w:i/>
          <w:iCs/>
          <w:lang w:val="es-MX" w:eastAsia="es-CO"/>
        </w:rPr>
        <w:t>convenios interadministrativos</w:t>
      </w:r>
      <w:r w:rsidRPr="00461891">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461891">
        <w:rPr>
          <w:rFonts w:ascii="Verdana" w:eastAsia="Times New Roman" w:hAnsi="Verdana" w:cs="Arial"/>
          <w:i/>
          <w:lang w:val="es-MX" w:eastAsia="es-CO"/>
        </w:rPr>
        <w:t>ibidem</w:t>
      </w:r>
      <w:r w:rsidRPr="00461891">
        <w:rPr>
          <w:rFonts w:ascii="Verdana" w:eastAsia="Times New Roman" w:hAnsi="Verdana" w:cs="Arial"/>
          <w:lang w:val="es-MX" w:eastAsia="es-CO"/>
        </w:rPr>
        <w:t xml:space="preserve">, no podrá celebrar tales </w:t>
      </w:r>
      <w:r w:rsidRPr="00461891">
        <w:rPr>
          <w:rFonts w:ascii="Verdana" w:eastAsia="Times New Roman" w:hAnsi="Verdana" w:cs="Arial"/>
          <w:i/>
          <w:iCs/>
          <w:lang w:val="es-MX" w:eastAsia="es-CO"/>
        </w:rPr>
        <w:t>convenios</w:t>
      </w:r>
      <w:r w:rsidRPr="00461891">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Ahora bien, como se expuso anteriormente, para esta Agencia tal restricción también cobijaría a los contratos interadministrativos.  </w:t>
      </w:r>
    </w:p>
    <w:p w14:paraId="1C069BD5" w14:textId="77777777" w:rsidR="00063368" w:rsidRDefault="00063368" w:rsidP="00063368">
      <w:pPr>
        <w:spacing w:after="120" w:line="276" w:lineRule="auto"/>
        <w:ind w:firstLine="709"/>
        <w:jc w:val="both"/>
        <w:rPr>
          <w:rFonts w:ascii="Verdana" w:eastAsia="Arial" w:hAnsi="Verdana" w:cs="Arial"/>
          <w:lang w:val="es-ES" w:eastAsia="es-ES" w:bidi="es-ES"/>
        </w:rPr>
      </w:pPr>
      <w:bookmarkStart w:id="25" w:name="_Hlk77154098"/>
      <w:r w:rsidRPr="00461891">
        <w:rPr>
          <w:rFonts w:ascii="Verdana" w:eastAsia="Times New Roman" w:hAnsi="Verdana" w:cs="Arial"/>
          <w:lang w:val="es-ES" w:eastAsia="es-CO" w:bidi="es-ES"/>
        </w:rPr>
        <w:t>En todo caso</w:t>
      </w:r>
      <w:r w:rsidRPr="00461891">
        <w:rPr>
          <w:rFonts w:ascii="Verdana" w:eastAsia="Arial" w:hAnsi="Verdana" w:cs="Arial"/>
          <w:lang w:val="es-ES" w:eastAsia="es-ES" w:bidi="es-ES"/>
        </w:rPr>
        <w:t xml:space="preserve">, es importante resaltar que la Sala de Consulta y Servicio Civil del Consejo de Estado se ha pronunciado en el sentido de que </w:t>
      </w:r>
      <w:bookmarkStart w:id="26" w:name="_Hlk78820889"/>
      <w:r w:rsidRPr="00461891">
        <w:rPr>
          <w:rFonts w:ascii="Verdana" w:eastAsia="Arial" w:hAnsi="Verdana" w:cs="Arial"/>
          <w:lang w:val="es-ES" w:eastAsia="es-ES" w:bidi="es-ES"/>
        </w:rPr>
        <w:t xml:space="preserve">no se les </w:t>
      </w:r>
      <w:r w:rsidRPr="00461891">
        <w:rPr>
          <w:rFonts w:ascii="Verdana" w:eastAsia="Arial" w:hAnsi="Verdana" w:cs="Arial"/>
          <w:lang w:val="es-ES" w:eastAsia="es-ES" w:bidi="es-ES"/>
        </w:rPr>
        <w:lastRenderedPageBreak/>
        <w:t>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26"/>
      <w:r w:rsidRPr="00461891">
        <w:rPr>
          <w:rFonts w:ascii="Verdana" w:eastAsia="Arial" w:hAnsi="Verdana" w:cs="Arial"/>
          <w:vertAlign w:val="superscript"/>
          <w:lang w:val="es-ES" w:eastAsia="es-ES" w:bidi="es-ES"/>
        </w:rPr>
        <w:footnoteReference w:id="13"/>
      </w:r>
      <w:r w:rsidRPr="00461891">
        <w:rPr>
          <w:rFonts w:ascii="Verdana" w:eastAsia="Arial" w:hAnsi="Verdana" w:cs="Arial"/>
          <w:lang w:val="es-ES" w:eastAsia="es-ES" w:bidi="es-ES"/>
        </w:rPr>
        <w:t>.</w:t>
      </w:r>
      <w:bookmarkEnd w:id="25"/>
    </w:p>
    <w:p w14:paraId="4494F5DF" w14:textId="77777777" w:rsidR="00063368" w:rsidRPr="00461891" w:rsidRDefault="00063368" w:rsidP="00063368">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La Circular Externa No. 006 del 25 de septiembre de 2025 expedida por la Agencia Nacional de Contratación Pública hizo algunas precisiones sobre la aplicación de las prohibiciones establecidas en el artículo 33 y el parágrafo del artículo 38 de la Ley 996 de 2025, la cual se encuentra disponible para su consulta</w:t>
      </w:r>
      <w:r>
        <w:rPr>
          <w:rStyle w:val="Refdenotaalpie"/>
          <w:rFonts w:ascii="Verdana" w:eastAsia="Arial" w:hAnsi="Verdana" w:cs="Arial"/>
          <w:lang w:val="es-ES" w:eastAsia="es-ES" w:bidi="es-ES"/>
        </w:rPr>
        <w:footnoteReference w:id="14"/>
      </w:r>
      <w:r>
        <w:rPr>
          <w:rFonts w:ascii="Verdana" w:eastAsia="Arial" w:hAnsi="Verdana" w:cs="Arial"/>
          <w:lang w:val="es-ES" w:eastAsia="es-ES" w:bidi="es-ES"/>
        </w:rPr>
        <w:t xml:space="preserve">. </w:t>
      </w:r>
    </w:p>
    <w:p w14:paraId="21A94E65" w14:textId="77777777" w:rsidR="00063368" w:rsidRPr="00461891" w:rsidRDefault="00063368" w:rsidP="00063368">
      <w:pPr>
        <w:spacing w:after="120" w:line="276" w:lineRule="auto"/>
        <w:ind w:firstLine="709"/>
        <w:jc w:val="both"/>
        <w:rPr>
          <w:rFonts w:ascii="Verdana" w:eastAsia="Calibri" w:hAnsi="Verdana" w:cs="Arial"/>
        </w:rPr>
      </w:pPr>
      <w:r w:rsidRPr="00461891">
        <w:rPr>
          <w:rFonts w:ascii="Verdana" w:eastAsia="Arial" w:hAnsi="Verdana" w:cs="Arial"/>
          <w:lang w:val="es-ES" w:eastAsia="es-ES" w:bidi="es-ES"/>
        </w:rPr>
        <w:t xml:space="preserve">Precisado lo anterior, en relación con el problema jurídico planteado se tiene que, tratándose de elecciones en general, excluyendo las correspondientes al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de la República, las restricciones que resultan aplicables son las contenidas en el parágrafo del artículo 38. Es decir, cuando se convoca a elecciones para cargos de elección popular los </w:t>
      </w:r>
      <w:r w:rsidRPr="00461891">
        <w:rPr>
          <w:rFonts w:ascii="Verdana" w:eastAsia="Calibri" w:hAnsi="Verdana" w:cs="Arial"/>
        </w:rPr>
        <w:t xml:space="preserve">Gobernadores, </w:t>
      </w:r>
      <w:proofErr w:type="gramStart"/>
      <w:r w:rsidRPr="00461891">
        <w:rPr>
          <w:rFonts w:ascii="Verdana" w:eastAsia="Calibri" w:hAnsi="Verdana" w:cs="Arial"/>
        </w:rPr>
        <w:t>Alcaldes</w:t>
      </w:r>
      <w:proofErr w:type="gramEnd"/>
      <w:r w:rsidRPr="00461891">
        <w:rPr>
          <w:rFonts w:ascii="Verdana" w:eastAsia="Calibri" w:hAnsi="Verdana" w:cs="Arial"/>
        </w:rPr>
        <w:t xml:space="preserve"> Municipales y/o Distritales, </w:t>
      </w:r>
      <w:proofErr w:type="gramStart"/>
      <w:r w:rsidRPr="00461891">
        <w:rPr>
          <w:rFonts w:ascii="Verdana" w:eastAsia="Calibri" w:hAnsi="Verdana" w:cs="Arial"/>
        </w:rPr>
        <w:t>Secretarios</w:t>
      </w:r>
      <w:proofErr w:type="gramEnd"/>
      <w:r w:rsidRPr="00461891">
        <w:rPr>
          <w:rFonts w:ascii="Verdana" w:eastAsia="Calibri" w:hAnsi="Verdana" w:cs="Arial"/>
        </w:rPr>
        <w:t xml:space="preserve">, Gerentes y directores de Entidades Descentralizadas del orden Municipal, Departamental o Distrital, no podrán celebrar convenios interadministrativos para la ejecución de recursos públicos, dentro de los cuatro (4) meses anteriores a las elecciones. Esta prohibición aplica incluso cuando se trate de elecciones atípicas de alcaldes o gobernadores, esto es, elecciones que se realicen por fuera del calendario ordinario electoral. </w:t>
      </w:r>
    </w:p>
    <w:p w14:paraId="77313F1F" w14:textId="77777777" w:rsidR="00063368" w:rsidRPr="00461891" w:rsidRDefault="00063368" w:rsidP="00063368">
      <w:pPr>
        <w:spacing w:after="120" w:line="276" w:lineRule="auto"/>
        <w:ind w:firstLine="709"/>
        <w:jc w:val="both"/>
        <w:rPr>
          <w:rFonts w:ascii="Verdana" w:eastAsia="Calibri" w:hAnsi="Verdana" w:cs="Arial"/>
        </w:rPr>
      </w:pPr>
      <w:r w:rsidRPr="00461891">
        <w:rPr>
          <w:rFonts w:ascii="Verdana" w:eastAsia="Calibri" w:hAnsi="Verdana" w:cs="Arial"/>
        </w:rPr>
        <w:t xml:space="preserve">En efecto, al analizar el contenido del parágrafo del artículo 38 de la Ley 996 de 2005 se evidencia que la prohibición se refiere de forma general a las “elecciones” sin realizar distinción respecto de si esta jornada de votación se realizará dentro del calendario electoral ordinario o de forma atípica. Este último tipo de elecciones “son eventos electorales que se realizan por fuera del calendario electoral ordinario, con el fin de cubrir la vacancia absoluta de un mandatario y elegir una autoridad por el tiempo que resta del periodo constitucional del cargo, cuando esta vacancia se registra faltando 18 meses o </w:t>
      </w:r>
      <w:r w:rsidRPr="00461891">
        <w:rPr>
          <w:rFonts w:ascii="Verdana" w:eastAsia="Calibri" w:hAnsi="Verdana" w:cs="Arial"/>
        </w:rPr>
        <w:lastRenderedPageBreak/>
        <w:t>más para la terminación de dicho periodo”</w:t>
      </w:r>
      <w:r w:rsidRPr="00461891">
        <w:rPr>
          <w:rFonts w:ascii="Verdana" w:eastAsia="Calibri" w:hAnsi="Verdana" w:cs="Arial"/>
          <w:vertAlign w:val="superscript"/>
        </w:rPr>
        <w:footnoteReference w:id="15"/>
      </w:r>
      <w:r w:rsidRPr="00461891">
        <w:rPr>
          <w:rFonts w:ascii="Verdana" w:eastAsia="Calibri" w:hAnsi="Verdana" w:cs="Arial"/>
        </w:rPr>
        <w:t>. Su convocatoria puede derivar de diferentes situaciones como la muerte del gobernador o el alcalde, la renuncia aceptada, incapacidad física permanente, la declaratoria de nulidad por su elección, la interdicción judicial, la destitución, la revocatoria del mandato y la incapacidad por enfermedad superior a ciento ochenta (180) días</w:t>
      </w:r>
      <w:r w:rsidRPr="00461891">
        <w:rPr>
          <w:rFonts w:ascii="Verdana" w:eastAsia="Calibri" w:hAnsi="Verdana" w:cs="Arial"/>
          <w:vertAlign w:val="superscript"/>
        </w:rPr>
        <w:footnoteReference w:id="16"/>
      </w:r>
      <w:r w:rsidRPr="00461891">
        <w:rPr>
          <w:rFonts w:ascii="Verdana" w:eastAsia="Calibri" w:hAnsi="Verdana" w:cs="Arial"/>
        </w:rPr>
        <w:t>.</w:t>
      </w:r>
    </w:p>
    <w:p w14:paraId="374F7E93" w14:textId="77777777" w:rsidR="00063368" w:rsidRPr="00461891" w:rsidRDefault="00063368" w:rsidP="00063368">
      <w:pPr>
        <w:spacing w:after="120" w:line="276" w:lineRule="auto"/>
        <w:ind w:firstLine="709"/>
        <w:jc w:val="both"/>
        <w:rPr>
          <w:rFonts w:ascii="Verdana" w:eastAsia="Calibri" w:hAnsi="Verdana" w:cs="Arial"/>
        </w:rPr>
      </w:pPr>
      <w:r w:rsidRPr="00461891">
        <w:rPr>
          <w:rFonts w:ascii="Verdana" w:eastAsia="Calibri" w:hAnsi="Verdana" w:cs="Arial"/>
        </w:rPr>
        <w:t xml:space="preserve">En tal sentido, aunque las elecciones atípicas se efectúan fuera de las fechas establecidas en la Ley, por circunstancias excepcionales que requieren una convocatoria urgente, tienen el mismo propósito de las elecciones ordinarias de asegurar la provisión de un cargo de elección popular. Por tanto, la naturaleza y el fin de las elecciones atípicas son idénticos a los de las elecciones ordinarias, ya que ambas buscan asegurar el adecuado funcionamiento de las instituciones públicas y salvaguardar la democracia. </w:t>
      </w:r>
    </w:p>
    <w:p w14:paraId="7FB7A00B" w14:textId="77777777" w:rsidR="00063368" w:rsidRPr="00461891" w:rsidRDefault="00063368" w:rsidP="00063368">
      <w:pPr>
        <w:spacing w:after="0" w:line="276" w:lineRule="auto"/>
        <w:ind w:firstLine="709"/>
        <w:jc w:val="both"/>
        <w:rPr>
          <w:rFonts w:ascii="Verdana" w:eastAsia="Calibri" w:hAnsi="Verdana" w:cs="Arial"/>
        </w:rPr>
      </w:pPr>
      <w:r w:rsidRPr="00461891">
        <w:rPr>
          <w:rFonts w:ascii="Verdana" w:eastAsia="Calibri" w:hAnsi="Verdana" w:cs="Arial"/>
        </w:rPr>
        <w:t xml:space="preserve">Aunado a lo anterior, como se expuso, el propósito de la Ley 996 de 2005 es asegurar condiciones de igualdad y transparencia para todos los aspirantes en el proceso electoral, de manera que los participantes tengan las mismas oportunidades y no enfrenten ventajas indebidas durante la contienda electoral. Al mismo tiempo, la Ley establece restricciones que previenen la desviación de recursos públicos con fines electorales, prohibiendo que los fondos y bienes del Estado sean utilizados para beneficiar a ciertos aspirantes. De este modo, en la Ley de Garantías se plantea como objetivos: </w:t>
      </w:r>
    </w:p>
    <w:p w14:paraId="4283D39C" w14:textId="77777777" w:rsidR="00063368" w:rsidRPr="00461891" w:rsidRDefault="00063368" w:rsidP="00063368">
      <w:pPr>
        <w:spacing w:after="0" w:line="276" w:lineRule="auto"/>
        <w:ind w:firstLine="709"/>
        <w:jc w:val="both"/>
        <w:rPr>
          <w:rFonts w:ascii="Verdana" w:eastAsia="Calibri" w:hAnsi="Verdana" w:cs="Arial"/>
        </w:rPr>
      </w:pPr>
    </w:p>
    <w:p w14:paraId="5659ED33" w14:textId="77777777" w:rsidR="00063368" w:rsidRPr="00461891" w:rsidRDefault="00063368" w:rsidP="00063368">
      <w:pPr>
        <w:spacing w:after="0" w:line="240" w:lineRule="auto"/>
        <w:ind w:left="709" w:right="709"/>
        <w:jc w:val="both"/>
        <w:rPr>
          <w:rFonts w:ascii="Verdana" w:eastAsia="Calibri" w:hAnsi="Verdana" w:cs="Arial"/>
          <w:sz w:val="20"/>
          <w:szCs w:val="20"/>
        </w:rPr>
      </w:pPr>
      <w:r w:rsidRPr="00461891">
        <w:rPr>
          <w:rFonts w:ascii="Verdana" w:eastAsia="Calibri" w:hAnsi="Verdana" w:cs="Arial"/>
          <w:sz w:val="20"/>
          <w:szCs w:val="20"/>
        </w:rPr>
        <w:t>“a) garantizar la igualdad y equidad entre los candidatos que aspiran a ocupar cargos de elección popular, b) evitar que la voluntad de los electores sea influenciada por la acción u omisión de los servidores públicos, c) asegurar la objetividad y transparencia en las decisiones administrativas, d) impedir que el empleo público se utilice para obtener votos de los servidores o sus allegados, e) proteger al empleado que tiene una inclinación política distinta al nominador, y f) imposibilitar que las vinculaciones al Estado se utilicen como un mecanismo para buscar favores políticos durante las contiendas electorales”</w:t>
      </w:r>
      <w:r w:rsidRPr="00461891">
        <w:rPr>
          <w:rFonts w:ascii="Verdana" w:eastAsia="Calibri" w:hAnsi="Verdana" w:cs="Arial"/>
          <w:sz w:val="20"/>
          <w:szCs w:val="20"/>
          <w:vertAlign w:val="superscript"/>
        </w:rPr>
        <w:footnoteReference w:id="17"/>
      </w:r>
      <w:r w:rsidRPr="00461891">
        <w:rPr>
          <w:rFonts w:ascii="Verdana" w:eastAsia="Calibri" w:hAnsi="Verdana" w:cs="Arial"/>
          <w:sz w:val="20"/>
          <w:szCs w:val="20"/>
        </w:rPr>
        <w:t>. </w:t>
      </w:r>
    </w:p>
    <w:p w14:paraId="52ED9C16" w14:textId="77777777" w:rsidR="00063368" w:rsidRPr="00461891" w:rsidRDefault="00063368" w:rsidP="00063368">
      <w:pPr>
        <w:widowControl w:val="0"/>
        <w:autoSpaceDE w:val="0"/>
        <w:autoSpaceDN w:val="0"/>
        <w:spacing w:after="0" w:line="276" w:lineRule="auto"/>
        <w:ind w:firstLine="709"/>
        <w:contextualSpacing/>
        <w:jc w:val="both"/>
        <w:rPr>
          <w:rFonts w:ascii="Verdana" w:eastAsia="Calibri" w:hAnsi="Verdana" w:cs="Arial"/>
          <w:lang w:eastAsia="es-ES" w:bidi="es-ES"/>
        </w:rPr>
      </w:pPr>
    </w:p>
    <w:p w14:paraId="0089DAAD" w14:textId="77777777" w:rsidR="00063368" w:rsidRPr="00461891" w:rsidRDefault="00063368" w:rsidP="00063368">
      <w:pPr>
        <w:widowControl w:val="0"/>
        <w:autoSpaceDE w:val="0"/>
        <w:autoSpaceDN w:val="0"/>
        <w:spacing w:after="0" w:line="276" w:lineRule="auto"/>
        <w:ind w:firstLine="709"/>
        <w:contextualSpacing/>
        <w:jc w:val="both"/>
        <w:rPr>
          <w:rFonts w:ascii="Verdana" w:eastAsia="Calibri" w:hAnsi="Verdana" w:cs="Arial"/>
          <w:lang w:eastAsia="es-ES" w:bidi="es-ES"/>
        </w:rPr>
      </w:pPr>
      <w:r w:rsidRPr="00461891">
        <w:rPr>
          <w:rFonts w:ascii="Verdana" w:eastAsia="Calibri" w:hAnsi="Verdana" w:cs="Arial"/>
          <w:lang w:eastAsia="es-ES" w:bidi="es-ES"/>
        </w:rPr>
        <w:t xml:space="preserve">Así las cosas, las restricciones establecidas en la Ley de Garantías Electorales buscan cumplir el propósito de proteger la democracia participativa </w:t>
      </w:r>
      <w:r w:rsidRPr="00461891">
        <w:rPr>
          <w:rFonts w:ascii="Verdana" w:eastAsia="Calibri" w:hAnsi="Verdana" w:cs="Arial"/>
          <w:lang w:eastAsia="es-ES" w:bidi="es-ES"/>
        </w:rPr>
        <w:lastRenderedPageBreak/>
        <w:t>y la igualdad entre candidatos, independientemente de la naturaleza de la elección. Por ello, la Ley de Garantías debe ser aplicada sin distinción asegurando que, tanto en elecciones ordinarias como las atípicas, se mantenga la integridad del proceso electoral. Sobre el particular, el Consejo Nacional Electoral en concepto 9519 del 14 de octubre de 2020</w:t>
      </w:r>
      <w:r w:rsidRPr="00461891">
        <w:rPr>
          <w:rFonts w:ascii="Verdana" w:eastAsia="Calibri" w:hAnsi="Verdana" w:cs="Arial"/>
          <w:vertAlign w:val="superscript"/>
          <w:lang w:eastAsia="es-ES" w:bidi="es-ES"/>
        </w:rPr>
        <w:footnoteReference w:id="18"/>
      </w:r>
      <w:r w:rsidRPr="00461891">
        <w:rPr>
          <w:rFonts w:ascii="Verdana" w:eastAsia="Calibri" w:hAnsi="Verdana" w:cs="Arial"/>
          <w:lang w:eastAsia="es-ES" w:bidi="es-ES"/>
        </w:rPr>
        <w:t xml:space="preserve">, frente a la aplicación de la ley de garantías en elecciones atípicas señaló lo siguiente: </w:t>
      </w:r>
    </w:p>
    <w:p w14:paraId="4396DACA" w14:textId="77777777" w:rsidR="00063368" w:rsidRPr="00461891" w:rsidRDefault="00063368" w:rsidP="00063368">
      <w:pPr>
        <w:widowControl w:val="0"/>
        <w:autoSpaceDE w:val="0"/>
        <w:autoSpaceDN w:val="0"/>
        <w:spacing w:after="0" w:line="240" w:lineRule="auto"/>
        <w:ind w:firstLine="709"/>
        <w:contextualSpacing/>
        <w:jc w:val="both"/>
        <w:rPr>
          <w:rFonts w:ascii="Verdana" w:eastAsia="Calibri" w:hAnsi="Verdana" w:cs="Arial"/>
          <w:lang w:eastAsia="es-ES" w:bidi="es-ES"/>
        </w:rPr>
      </w:pPr>
    </w:p>
    <w:p w14:paraId="0D545D37" w14:textId="77777777" w:rsidR="00063368" w:rsidRPr="00461891" w:rsidRDefault="00063368" w:rsidP="00063368">
      <w:pPr>
        <w:widowControl w:val="0"/>
        <w:autoSpaceDE w:val="0"/>
        <w:autoSpaceDN w:val="0"/>
        <w:spacing w:after="0" w:line="240" w:lineRule="auto"/>
        <w:ind w:left="709" w:right="616"/>
        <w:contextualSpacing/>
        <w:jc w:val="both"/>
        <w:rPr>
          <w:rFonts w:ascii="Verdana" w:eastAsia="Calibri" w:hAnsi="Verdana" w:cs="Arial"/>
          <w:sz w:val="20"/>
          <w:szCs w:val="20"/>
          <w:lang w:eastAsia="es-ES" w:bidi="es-ES"/>
        </w:rPr>
      </w:pPr>
      <w:r w:rsidRPr="00461891">
        <w:rPr>
          <w:rFonts w:ascii="Verdana" w:eastAsia="Calibri" w:hAnsi="Verdana" w:cs="Arial"/>
          <w:sz w:val="20"/>
          <w:szCs w:val="20"/>
          <w:lang w:eastAsia="es-ES" w:bidi="es-ES"/>
        </w:rPr>
        <w:t xml:space="preserve">“En esta elección atípica como evento electoral extraordinario que se realiza por fuera del calendario electoral ordinario, con el fin de cubrir la vacancia absoluta de un mandatario y elegir una autoridad por el tiempo que resta del periodo constitucional del cargo, siempre y cuando esta vacancia se registre faltando 18 meses o más para la terminación de dicho periodo, como es el caso concreto </w:t>
      </w:r>
      <w:r w:rsidRPr="00461891">
        <w:rPr>
          <w:rFonts w:ascii="Verdana" w:eastAsia="Calibri" w:hAnsi="Verdana" w:cs="Arial"/>
          <w:i/>
          <w:iCs/>
          <w:sz w:val="20"/>
          <w:szCs w:val="20"/>
          <w:lang w:eastAsia="es-ES" w:bidi="es-ES"/>
        </w:rPr>
        <w:t>solo le es aplicable de la Ley 996 de 2005 el parágrafo del artículo 38</w:t>
      </w:r>
      <w:r w:rsidRPr="00461891">
        <w:rPr>
          <w:rFonts w:ascii="Verdana" w:eastAsia="Calibri" w:hAnsi="Verdana" w:cs="Arial"/>
          <w:sz w:val="20"/>
          <w:szCs w:val="20"/>
          <w:lang w:eastAsia="es-ES" w:bidi="es-ES"/>
        </w:rPr>
        <w:t xml:space="preserve"> y enunciado en el numeral 3.1.2 de los fundamentos jurídicos.</w:t>
      </w:r>
    </w:p>
    <w:p w14:paraId="7888C026" w14:textId="77777777" w:rsidR="00063368" w:rsidRPr="00461891" w:rsidRDefault="00063368" w:rsidP="00063368">
      <w:pPr>
        <w:widowControl w:val="0"/>
        <w:autoSpaceDE w:val="0"/>
        <w:autoSpaceDN w:val="0"/>
        <w:spacing w:after="0" w:line="240" w:lineRule="auto"/>
        <w:ind w:firstLine="709"/>
        <w:contextualSpacing/>
        <w:jc w:val="both"/>
        <w:rPr>
          <w:rFonts w:ascii="Verdana" w:eastAsia="Calibri" w:hAnsi="Verdana" w:cs="Arial"/>
          <w:sz w:val="20"/>
          <w:szCs w:val="20"/>
          <w:lang w:eastAsia="es-ES" w:bidi="es-ES"/>
        </w:rPr>
      </w:pPr>
    </w:p>
    <w:p w14:paraId="31406259" w14:textId="77777777" w:rsidR="00063368" w:rsidRPr="00461891" w:rsidRDefault="00063368" w:rsidP="00063368">
      <w:pPr>
        <w:widowControl w:val="0"/>
        <w:autoSpaceDE w:val="0"/>
        <w:autoSpaceDN w:val="0"/>
        <w:spacing w:after="0" w:line="240" w:lineRule="auto"/>
        <w:ind w:left="709" w:right="616"/>
        <w:contextualSpacing/>
        <w:jc w:val="both"/>
        <w:rPr>
          <w:rFonts w:ascii="Verdana" w:hAnsi="Verdana"/>
          <w:sz w:val="20"/>
          <w:szCs w:val="20"/>
        </w:rPr>
      </w:pPr>
      <w:r w:rsidRPr="00461891">
        <w:rPr>
          <w:rFonts w:ascii="Verdana" w:hAnsi="Verdana"/>
          <w:sz w:val="20"/>
          <w:szCs w:val="20"/>
        </w:rPr>
        <w:t xml:space="preserve">Por lo expuesto, en los procesos </w:t>
      </w:r>
      <w:proofErr w:type="spellStart"/>
      <w:r w:rsidRPr="00461891">
        <w:rPr>
          <w:rFonts w:ascii="Verdana" w:hAnsi="Verdana"/>
          <w:sz w:val="20"/>
          <w:szCs w:val="20"/>
        </w:rPr>
        <w:t>pre-electorales</w:t>
      </w:r>
      <w:proofErr w:type="spellEnd"/>
      <w:r w:rsidRPr="00461891">
        <w:rPr>
          <w:rFonts w:ascii="Verdana" w:hAnsi="Verdana"/>
          <w:sz w:val="20"/>
          <w:szCs w:val="20"/>
        </w:rPr>
        <w:t xml:space="preserve"> de estas elecciones atípicos para Alcaldía Municipal, deben seguirse las siguientes reglas: </w:t>
      </w:r>
    </w:p>
    <w:p w14:paraId="0E09C395" w14:textId="77777777" w:rsidR="00063368" w:rsidRPr="00461891" w:rsidRDefault="00063368" w:rsidP="00063368">
      <w:pPr>
        <w:widowControl w:val="0"/>
        <w:autoSpaceDE w:val="0"/>
        <w:autoSpaceDN w:val="0"/>
        <w:spacing w:after="0" w:line="240" w:lineRule="auto"/>
        <w:ind w:left="709" w:right="616"/>
        <w:contextualSpacing/>
        <w:jc w:val="both"/>
        <w:rPr>
          <w:rFonts w:ascii="Verdana" w:hAnsi="Verdana"/>
          <w:sz w:val="20"/>
          <w:szCs w:val="20"/>
        </w:rPr>
      </w:pPr>
    </w:p>
    <w:p w14:paraId="27A0D70A" w14:textId="77777777" w:rsidR="00063368" w:rsidRPr="00461891" w:rsidRDefault="00063368" w:rsidP="00063368">
      <w:pPr>
        <w:widowControl w:val="0"/>
        <w:autoSpaceDE w:val="0"/>
        <w:autoSpaceDN w:val="0"/>
        <w:spacing w:after="0" w:line="240" w:lineRule="auto"/>
        <w:ind w:left="709" w:right="616"/>
        <w:contextualSpacing/>
        <w:jc w:val="both"/>
        <w:rPr>
          <w:rFonts w:ascii="Verdana" w:hAnsi="Verdana"/>
          <w:sz w:val="20"/>
          <w:szCs w:val="20"/>
        </w:rPr>
      </w:pPr>
      <w:r w:rsidRPr="00461891">
        <w:rPr>
          <w:rFonts w:ascii="Verdana" w:hAnsi="Verdana"/>
          <w:sz w:val="20"/>
          <w:szCs w:val="20"/>
        </w:rPr>
        <w:t xml:space="preserve">a) Los gobernadores, alcaldes municipales o distritales, secretarios, gerentes y directores de las entidades descentralizadas del orden municipal, departamental o distrital no pueden celebrar convenios interadministrativos para la ejecución de recursos públicos, ni participar, promover o destinar recursos públicos de las entidades a su cargo, como tampoco de las que participen como miembros de sus juntas directivas, en o para reuniones de carácter proselitista dentro de los cuatro (4) meses anteriores a las elecciones. </w:t>
      </w:r>
    </w:p>
    <w:p w14:paraId="60665F0A" w14:textId="77777777" w:rsidR="00063368" w:rsidRPr="00461891" w:rsidRDefault="00063368" w:rsidP="00063368">
      <w:pPr>
        <w:widowControl w:val="0"/>
        <w:autoSpaceDE w:val="0"/>
        <w:autoSpaceDN w:val="0"/>
        <w:spacing w:after="0" w:line="240" w:lineRule="auto"/>
        <w:ind w:left="709" w:right="616"/>
        <w:contextualSpacing/>
        <w:jc w:val="both"/>
        <w:rPr>
          <w:rFonts w:ascii="Verdana" w:hAnsi="Verdana"/>
          <w:sz w:val="20"/>
          <w:szCs w:val="20"/>
        </w:rPr>
      </w:pPr>
    </w:p>
    <w:p w14:paraId="5258FC9E" w14:textId="77777777" w:rsidR="00063368" w:rsidRPr="00461891" w:rsidRDefault="00063368" w:rsidP="00063368">
      <w:pPr>
        <w:widowControl w:val="0"/>
        <w:autoSpaceDE w:val="0"/>
        <w:autoSpaceDN w:val="0"/>
        <w:spacing w:after="0" w:line="240" w:lineRule="auto"/>
        <w:ind w:left="709" w:right="616"/>
        <w:contextualSpacing/>
        <w:jc w:val="both"/>
        <w:rPr>
          <w:rFonts w:ascii="Verdana" w:hAnsi="Verdana"/>
          <w:sz w:val="20"/>
          <w:szCs w:val="20"/>
        </w:rPr>
      </w:pPr>
      <w:r w:rsidRPr="00461891">
        <w:rPr>
          <w:rFonts w:ascii="Verdana" w:hAnsi="Verdana"/>
          <w:sz w:val="20"/>
          <w:szCs w:val="20"/>
        </w:rPr>
        <w:t>(….)</w:t>
      </w:r>
    </w:p>
    <w:p w14:paraId="3AE00826" w14:textId="77777777" w:rsidR="00063368" w:rsidRPr="00461891" w:rsidRDefault="00063368" w:rsidP="00063368">
      <w:pPr>
        <w:widowControl w:val="0"/>
        <w:autoSpaceDE w:val="0"/>
        <w:autoSpaceDN w:val="0"/>
        <w:spacing w:after="0" w:line="240" w:lineRule="auto"/>
        <w:ind w:left="709" w:right="616"/>
        <w:contextualSpacing/>
        <w:jc w:val="both"/>
        <w:rPr>
          <w:rFonts w:ascii="Verdana" w:hAnsi="Verdana"/>
          <w:sz w:val="20"/>
          <w:szCs w:val="20"/>
        </w:rPr>
      </w:pPr>
    </w:p>
    <w:p w14:paraId="3FA56FF9" w14:textId="77777777" w:rsidR="00063368" w:rsidRPr="00461891" w:rsidRDefault="00063368" w:rsidP="00063368">
      <w:pPr>
        <w:widowControl w:val="0"/>
        <w:autoSpaceDE w:val="0"/>
        <w:autoSpaceDN w:val="0"/>
        <w:spacing w:after="0" w:line="240" w:lineRule="auto"/>
        <w:ind w:left="709" w:right="616"/>
        <w:contextualSpacing/>
        <w:jc w:val="both"/>
        <w:rPr>
          <w:rFonts w:ascii="Verdana" w:eastAsia="Calibri" w:hAnsi="Verdana" w:cs="Arial"/>
          <w:sz w:val="20"/>
          <w:szCs w:val="20"/>
          <w:lang w:eastAsia="es-ES" w:bidi="es-ES"/>
        </w:rPr>
      </w:pPr>
      <w:r w:rsidRPr="00461891">
        <w:rPr>
          <w:rFonts w:ascii="Verdana" w:hAnsi="Verdana"/>
          <w:sz w:val="20"/>
          <w:szCs w:val="20"/>
        </w:rPr>
        <w:t>Ahora bien, como se referenció previamente, las normas vigentes establecen que entre el Decreto que convoca a elecciones complementarias, y la votación para las mismas transcurren aproximadamente 60 días o lo que es lo mismo, dos (2) meses. En consecuencia, si la norma establece un plazo aproximado de 60 días para que se celebren las votaciones complementarias, no es posible aplicar al efecto la prohibición de modificar nómina y de celebrar convenios interadministrativos, dentro de los cuatro (4) meses anteriores a las elecciones, contemplados en el parágrafo del artículo 38 de la Ley 996 de 2005”. (Énfasis por fuera de texto)</w:t>
      </w:r>
    </w:p>
    <w:p w14:paraId="48C578F3" w14:textId="77777777" w:rsidR="00063368" w:rsidRPr="00461891" w:rsidRDefault="00063368" w:rsidP="00063368">
      <w:pPr>
        <w:widowControl w:val="0"/>
        <w:autoSpaceDE w:val="0"/>
        <w:autoSpaceDN w:val="0"/>
        <w:spacing w:after="0" w:line="240" w:lineRule="auto"/>
        <w:ind w:firstLine="709"/>
        <w:contextualSpacing/>
        <w:jc w:val="both"/>
        <w:rPr>
          <w:rFonts w:ascii="Verdana" w:eastAsia="Calibri" w:hAnsi="Verdana" w:cs="Arial"/>
          <w:lang w:eastAsia="es-ES" w:bidi="es-ES"/>
        </w:rPr>
      </w:pPr>
    </w:p>
    <w:p w14:paraId="5ABDE5C8" w14:textId="77777777" w:rsidR="00063368" w:rsidRDefault="00063368" w:rsidP="00063368">
      <w:pPr>
        <w:widowControl w:val="0"/>
        <w:autoSpaceDE w:val="0"/>
        <w:autoSpaceDN w:val="0"/>
        <w:spacing w:after="120" w:line="276" w:lineRule="auto"/>
        <w:ind w:firstLine="709"/>
        <w:jc w:val="both"/>
        <w:rPr>
          <w:rFonts w:ascii="Verdana" w:eastAsia="Calibri" w:hAnsi="Verdana" w:cs="Arial"/>
          <w:lang w:eastAsia="es-ES" w:bidi="es-ES"/>
        </w:rPr>
      </w:pPr>
      <w:r w:rsidRPr="00461891">
        <w:rPr>
          <w:rFonts w:ascii="Verdana" w:eastAsia="Calibri" w:hAnsi="Verdana" w:cs="Arial"/>
          <w:lang w:eastAsia="es-ES" w:bidi="es-ES"/>
        </w:rPr>
        <w:t xml:space="preserve">Bajo estas consideraciones, se concluye que para las elecciones atípicas </w:t>
      </w:r>
      <w:r>
        <w:rPr>
          <w:rFonts w:ascii="Verdana" w:eastAsia="Calibri" w:hAnsi="Verdana" w:cs="Arial"/>
          <w:lang w:eastAsia="es-ES" w:bidi="es-ES"/>
        </w:rPr>
        <w:t>territoriales</w:t>
      </w:r>
      <w:r w:rsidRPr="00461891">
        <w:rPr>
          <w:rFonts w:ascii="Verdana" w:eastAsia="Calibri" w:hAnsi="Verdana" w:cs="Arial"/>
          <w:lang w:eastAsia="es-ES" w:bidi="es-ES"/>
        </w:rPr>
        <w:t xml:space="preserve"> resulta aplicable las restricciones señaladas en el parágrafo del </w:t>
      </w:r>
      <w:r w:rsidRPr="00461891">
        <w:rPr>
          <w:rFonts w:ascii="Verdana" w:eastAsia="Calibri" w:hAnsi="Verdana" w:cs="Arial"/>
          <w:lang w:eastAsia="es-ES" w:bidi="es-ES"/>
        </w:rPr>
        <w:lastRenderedPageBreak/>
        <w:t xml:space="preserve">artículo 38 de la Ley 996 de 2005, lo que significa que, en materia de contratación estatal, los Alcaldes, los Gobernadores, Alcaldes Municipales y/o Distritales, Secretarios, Gerentes y directores de Entidades Descentralizadas del orden Municipal, Departamental o Distrital, no podrán celebrar convenios interadministrativos para la ejecución de recursos públicos, dentro del periodo en que se convocó a las elecciones atípicas y su votación. </w:t>
      </w:r>
    </w:p>
    <w:p w14:paraId="5AB3AD43" w14:textId="77777777" w:rsidR="00676F99" w:rsidRDefault="00063368" w:rsidP="00676F99">
      <w:pPr>
        <w:widowControl w:val="0"/>
        <w:autoSpaceDE w:val="0"/>
        <w:autoSpaceDN w:val="0"/>
        <w:spacing w:after="120" w:line="276" w:lineRule="auto"/>
        <w:ind w:firstLine="709"/>
        <w:contextualSpacing/>
        <w:jc w:val="both"/>
        <w:rPr>
          <w:rFonts w:ascii="Verdana" w:eastAsia="Calibri" w:hAnsi="Verdana" w:cs="Arial"/>
          <w:lang w:eastAsia="es-ES" w:bidi="es-ES"/>
        </w:rPr>
      </w:pPr>
      <w:r>
        <w:rPr>
          <w:rFonts w:ascii="Verdana" w:eastAsia="Calibri" w:hAnsi="Verdana" w:cs="Arial"/>
          <w:lang w:eastAsia="es-ES" w:bidi="es-ES"/>
        </w:rPr>
        <w:t xml:space="preserve">Naturalmente </w:t>
      </w:r>
      <w:r w:rsidRPr="00461891">
        <w:rPr>
          <w:rFonts w:ascii="Verdana" w:eastAsia="Calibri" w:hAnsi="Verdana" w:cs="Arial"/>
          <w:lang w:eastAsia="es-ES" w:bidi="es-ES"/>
        </w:rPr>
        <w:t xml:space="preserve">las restricciones del parágrafo del artículo 38, como lo expone el Consejo Nacional Electoral, no podrán aplicarse dentro del plazo señalado en la norma, por ello, tendrán lugar respecto del </w:t>
      </w:r>
      <w:r>
        <w:rPr>
          <w:rFonts w:ascii="Verdana" w:eastAsia="Calibri" w:hAnsi="Verdana" w:cs="Arial"/>
          <w:lang w:eastAsia="es-ES" w:bidi="es-ES"/>
        </w:rPr>
        <w:t>término</w:t>
      </w:r>
      <w:r w:rsidRPr="00461891">
        <w:rPr>
          <w:rFonts w:ascii="Verdana" w:eastAsia="Calibri" w:hAnsi="Verdana" w:cs="Arial"/>
          <w:lang w:eastAsia="es-ES" w:bidi="es-ES"/>
        </w:rPr>
        <w:t xml:space="preserve"> que transcurre entre el momento en que se convoca a elecciones y el día en que se realizan efectivamente conforme con la normatividad vigente. </w:t>
      </w:r>
    </w:p>
    <w:p w14:paraId="498C996F" w14:textId="77777777" w:rsidR="00676F99" w:rsidRDefault="00676F99" w:rsidP="00676F99">
      <w:pPr>
        <w:widowControl w:val="0"/>
        <w:autoSpaceDE w:val="0"/>
        <w:autoSpaceDN w:val="0"/>
        <w:spacing w:after="0" w:line="240" w:lineRule="auto"/>
        <w:ind w:firstLine="709"/>
        <w:contextualSpacing/>
        <w:jc w:val="both"/>
        <w:rPr>
          <w:rFonts w:ascii="Verdana" w:eastAsia="Calibri" w:hAnsi="Verdana" w:cs="Arial"/>
          <w:lang w:eastAsia="es-ES" w:bidi="es-ES"/>
        </w:rPr>
      </w:pPr>
    </w:p>
    <w:p w14:paraId="034CC4EA" w14:textId="77777777" w:rsidR="00676F99" w:rsidRDefault="00063368" w:rsidP="00676F99">
      <w:pPr>
        <w:widowControl w:val="0"/>
        <w:autoSpaceDE w:val="0"/>
        <w:autoSpaceDN w:val="0"/>
        <w:spacing w:after="120" w:line="276" w:lineRule="auto"/>
        <w:ind w:firstLine="709"/>
        <w:contextualSpacing/>
        <w:jc w:val="both"/>
        <w:rPr>
          <w:rFonts w:ascii="Verdana" w:eastAsia="Calibri" w:hAnsi="Verdana" w:cs="Arial"/>
          <w:lang w:eastAsia="es-ES" w:bidi="es-ES"/>
        </w:rPr>
      </w:pPr>
      <w:r>
        <w:rPr>
          <w:rFonts w:ascii="Verdana" w:hAnsi="Verdana"/>
        </w:rPr>
        <w:t xml:space="preserve">Por último, para dar respuesta al tercer </w:t>
      </w:r>
      <w:r w:rsidRPr="00BF1A4A">
        <w:rPr>
          <w:rFonts w:ascii="Verdana" w:hAnsi="Verdana"/>
        </w:rPr>
        <w:t xml:space="preserve">problema jurídico, la interpretación del parágrafo del artículo 38 de la Ley 996 de 2005 debe realizarse conforme al principio de legalidad administrativa, según el cual las </w:t>
      </w:r>
      <w:proofErr w:type="gramStart"/>
      <w:r w:rsidRPr="00BF1A4A">
        <w:rPr>
          <w:rFonts w:ascii="Verdana" w:hAnsi="Verdana"/>
        </w:rPr>
        <w:t>autoridades públicas</w:t>
      </w:r>
      <w:proofErr w:type="gramEnd"/>
      <w:r w:rsidRPr="00BF1A4A">
        <w:rPr>
          <w:rFonts w:ascii="Verdana" w:hAnsi="Verdana"/>
        </w:rPr>
        <w:t xml:space="preserve"> sólo pueden hacer aquello que les está expresamente permitido por la ley. En esa medida, al tratarse de una norma que impone una prohibición, su alcance debe ser objeto de una interpretación estricta y restrictiva, como lo ha sostenido reiteradamente la jurisprudencia del Consejo de Estado. La norma en cuestión prohíbe de forma específica la celebración de convenios interadministrativos por parte de determinadas autoridades territoriales durante los cuatro </w:t>
      </w:r>
      <w:r w:rsidR="007E4E0E">
        <w:rPr>
          <w:rFonts w:ascii="Verdana" w:hAnsi="Verdana"/>
        </w:rPr>
        <w:t>(4)</w:t>
      </w:r>
      <w:r w:rsidRPr="00BF1A4A">
        <w:rPr>
          <w:rFonts w:ascii="Verdana" w:hAnsi="Verdana"/>
        </w:rPr>
        <w:t xml:space="preserve"> meses previos a las elecciones, sin hacer mención alguna a otros tipos contractuales. </w:t>
      </w:r>
    </w:p>
    <w:p w14:paraId="137CF3DC" w14:textId="77777777" w:rsidR="00676F99" w:rsidRDefault="00676F99" w:rsidP="00676F99">
      <w:pPr>
        <w:widowControl w:val="0"/>
        <w:autoSpaceDE w:val="0"/>
        <w:autoSpaceDN w:val="0"/>
        <w:spacing w:after="0" w:line="240" w:lineRule="auto"/>
        <w:ind w:firstLine="709"/>
        <w:contextualSpacing/>
        <w:jc w:val="both"/>
        <w:rPr>
          <w:rFonts w:ascii="Verdana" w:eastAsia="Calibri" w:hAnsi="Verdana" w:cs="Arial"/>
          <w:lang w:eastAsia="es-ES" w:bidi="es-ES"/>
        </w:rPr>
      </w:pPr>
    </w:p>
    <w:p w14:paraId="6E086257" w14:textId="332AFEC7" w:rsidR="00063368" w:rsidRPr="00676F99" w:rsidRDefault="00063368" w:rsidP="00676F99">
      <w:pPr>
        <w:widowControl w:val="0"/>
        <w:autoSpaceDE w:val="0"/>
        <w:autoSpaceDN w:val="0"/>
        <w:spacing w:after="120" w:line="276" w:lineRule="auto"/>
        <w:ind w:firstLine="709"/>
        <w:contextualSpacing/>
        <w:jc w:val="both"/>
        <w:rPr>
          <w:rFonts w:ascii="Verdana" w:eastAsia="Calibri" w:hAnsi="Verdana" w:cs="Arial"/>
          <w:lang w:eastAsia="es-ES" w:bidi="es-ES"/>
        </w:rPr>
      </w:pPr>
      <w:r w:rsidRPr="00BF1A4A">
        <w:rPr>
          <w:rFonts w:ascii="Verdana" w:hAnsi="Verdana"/>
        </w:rPr>
        <w:t>Por tanto, no puede extenderse dicha restricción a contratos distintos —como los de prestación de servicios, suministros, entre otros— aun cuando se celebren por la modalidad de contratación directa, ya que ello equivaldría a una interpretación extensiva en perjuicio de la función administrativa. Adicionalmente, los con</w:t>
      </w:r>
      <w:r w:rsidR="007E4E0E">
        <w:rPr>
          <w:rFonts w:ascii="Verdana" w:hAnsi="Verdana"/>
        </w:rPr>
        <w:t>venios</w:t>
      </w:r>
      <w:r w:rsidRPr="00BF1A4A">
        <w:rPr>
          <w:rFonts w:ascii="Verdana" w:hAnsi="Verdana"/>
        </w:rPr>
        <w:t xml:space="preserve"> interadministrativos, por su naturaleza, suponen relaciones entre entidades estatales y una ejecución conjunta de recursos públicos, lo que justifica su especial regulación en contexto electoral. Así, la limitación contenida en el artículo 38 debe entenderse aplicable exclusivamente a la figura contractual expresamente señalada, sin que proceda su extensión a otros contratos que no comparten la misma finalidad ni estructura jurídica.</w:t>
      </w:r>
      <w:bookmarkEnd w:id="24"/>
    </w:p>
    <w:p w14:paraId="6002332E" w14:textId="77777777" w:rsidR="00110DFA" w:rsidRPr="005644FE" w:rsidRDefault="00110DFA" w:rsidP="0067777A">
      <w:pPr>
        <w:widowControl w:val="0"/>
        <w:autoSpaceDE w:val="0"/>
        <w:autoSpaceDN w:val="0"/>
        <w:spacing w:after="0" w:line="276" w:lineRule="auto"/>
        <w:ind w:firstLine="709"/>
        <w:jc w:val="both"/>
        <w:rPr>
          <w:rFonts w:ascii="Verdana" w:eastAsia="Calibri" w:hAnsi="Verdana" w:cs="Arial"/>
          <w:lang w:eastAsia="es-ES" w:bidi="es-ES"/>
        </w:rPr>
      </w:pPr>
    </w:p>
    <w:p w14:paraId="52B19BCA" w14:textId="1E4B2D03" w:rsidR="00063368" w:rsidRPr="005644FE" w:rsidRDefault="00063368" w:rsidP="00063368">
      <w:pPr>
        <w:tabs>
          <w:tab w:val="left" w:pos="142"/>
          <w:tab w:val="left" w:pos="284"/>
        </w:tabs>
        <w:spacing w:after="0" w:line="240" w:lineRule="auto"/>
        <w:rPr>
          <w:rFonts w:ascii="Verdana" w:eastAsia="Century Gothic" w:hAnsi="Verdana" w:cs="Century Gothic"/>
          <w:b/>
          <w:bCs/>
        </w:rPr>
      </w:pPr>
      <w:bookmarkStart w:id="28" w:name="_Hlk204854194"/>
      <w:r w:rsidRPr="005644FE">
        <w:rPr>
          <w:rFonts w:ascii="Verdana" w:eastAsia="Century Gothic" w:hAnsi="Verdana" w:cs="Century Gothic"/>
          <w:b/>
          <w:bCs/>
        </w:rPr>
        <w:t>4. Referencias normativas</w:t>
      </w:r>
      <w:bookmarkEnd w:id="28"/>
      <w:r w:rsidR="00110DFA">
        <w:rPr>
          <w:rFonts w:ascii="Verdana" w:eastAsia="Century Gothic" w:hAnsi="Verdana" w:cs="Century Gothic"/>
          <w:b/>
          <w:bCs/>
        </w:rPr>
        <w:t xml:space="preserve"> y jurisprudenciales</w:t>
      </w:r>
      <w:r w:rsidRPr="005644FE">
        <w:rPr>
          <w:rFonts w:ascii="Verdana" w:eastAsia="Century Gothic" w:hAnsi="Verdana" w:cs="Century Gothic"/>
          <w:b/>
          <w:bCs/>
        </w:rPr>
        <w:t>:</w:t>
      </w:r>
    </w:p>
    <w:p w14:paraId="02B27BB7" w14:textId="77777777" w:rsidR="00063368" w:rsidRPr="005644FE" w:rsidRDefault="00063368" w:rsidP="00063368">
      <w:pPr>
        <w:tabs>
          <w:tab w:val="left" w:pos="142"/>
          <w:tab w:val="left" w:pos="284"/>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63368" w:rsidRPr="005644FE" w14:paraId="1EB4F889" w14:textId="77777777" w:rsidTr="007B2ACE">
        <w:trPr>
          <w:trHeight w:val="1288"/>
          <w:jc w:val="center"/>
        </w:trPr>
        <w:tc>
          <w:tcPr>
            <w:tcW w:w="8647" w:type="dxa"/>
          </w:tcPr>
          <w:p w14:paraId="1440BB1A" w14:textId="77777777" w:rsidR="00063368" w:rsidRDefault="00063368" w:rsidP="007B2ACE">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lastRenderedPageBreak/>
              <w:t xml:space="preserve">Constitución Política. Artículo 127. </w:t>
            </w:r>
          </w:p>
          <w:p w14:paraId="74F011D7" w14:textId="77777777" w:rsidR="000D612A" w:rsidRDefault="000D612A" w:rsidP="007B2ACE">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Ley 136 de 1994. Artículo 98. </w:t>
            </w:r>
          </w:p>
          <w:p w14:paraId="1256A0F4" w14:textId="78DDED93" w:rsidR="00063368" w:rsidRDefault="00063368" w:rsidP="007B2ACE">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Ley 996 de 2005. Artículos 33 y parágrafo del artículo 38.</w:t>
            </w:r>
          </w:p>
          <w:p w14:paraId="068320F4" w14:textId="77777777" w:rsidR="00063368" w:rsidRDefault="00063368" w:rsidP="007B2ACE">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t>Consejo de Estado. Sala de lo Contencioso Administrativo. Sección Primera. Sentencia de 3 de marzo de 2005, Radicado: 25001-23-15-000-2004-00823-01 (PI). C.P: Camilo Arciniegas Andrade</w:t>
            </w:r>
            <w:r>
              <w:rPr>
                <w:rFonts w:ascii="Verdana" w:eastAsia="Arial MT" w:hAnsi="Verdana" w:cs="Arial"/>
                <w:lang w:val="es-CO" w:eastAsia="es-ES" w:bidi="es-ES"/>
              </w:rPr>
              <w:t>.</w:t>
            </w:r>
          </w:p>
          <w:p w14:paraId="29B94099" w14:textId="77777777" w:rsidR="000D612A" w:rsidRDefault="000D612A" w:rsidP="000D612A">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t xml:space="preserve">Consejo de Estado. Sala de Consulta y Servicio Civil. Concepto del 15 de noviembre de 2007. Expediente número 1863. Consejero Ponente: Luis Fernando Álvarez Jaramillo. </w:t>
            </w:r>
          </w:p>
          <w:p w14:paraId="6F93E35D" w14:textId="77777777" w:rsidR="00063368" w:rsidRDefault="00063368" w:rsidP="007B2ACE">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t xml:space="preserve">Consejo de Estado, Sala de Consulta y Servicio Civil de fecha 24 de julio de 2013. Radicado: Radicado: 11001-03-06-000-2013-00407-00 (2166). C.P: Álvaro </w:t>
            </w:r>
            <w:proofErr w:type="spellStart"/>
            <w:r w:rsidRPr="00E268CB">
              <w:rPr>
                <w:rFonts w:ascii="Verdana" w:eastAsia="Arial MT" w:hAnsi="Verdana" w:cs="Arial"/>
                <w:lang w:val="es-CO" w:eastAsia="es-ES" w:bidi="es-ES"/>
              </w:rPr>
              <w:t>Namén</w:t>
            </w:r>
            <w:proofErr w:type="spellEnd"/>
            <w:r w:rsidRPr="00E268CB">
              <w:rPr>
                <w:rFonts w:ascii="Verdana" w:eastAsia="Arial MT" w:hAnsi="Verdana" w:cs="Arial"/>
                <w:lang w:val="es-CO" w:eastAsia="es-ES" w:bidi="es-ES"/>
              </w:rPr>
              <w:t xml:space="preserve"> Vargas. </w:t>
            </w:r>
          </w:p>
          <w:p w14:paraId="178665DE" w14:textId="77777777" w:rsidR="00063368" w:rsidRDefault="00063368" w:rsidP="007B2ACE">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t>Consejo de Estado. Sala de Consulta y Servicio Civil. Concepto del 17 de febrero de 2015. Radicación No. 11001-03-06-000-2015-00164-00 (2269) C.P: William Zambrano Cetina</w:t>
            </w:r>
            <w:r>
              <w:rPr>
                <w:rFonts w:ascii="Verdana" w:eastAsia="Arial MT" w:hAnsi="Verdana" w:cs="Arial"/>
                <w:lang w:val="es-CO" w:eastAsia="es-ES" w:bidi="es-ES"/>
              </w:rPr>
              <w:t>.</w:t>
            </w:r>
          </w:p>
          <w:p w14:paraId="58171666" w14:textId="77777777" w:rsidR="000D612A" w:rsidRDefault="000D612A" w:rsidP="000D612A">
            <w:pPr>
              <w:pStyle w:val="Prrafodelista"/>
              <w:numPr>
                <w:ilvl w:val="0"/>
                <w:numId w:val="17"/>
              </w:numPr>
              <w:spacing w:line="276" w:lineRule="auto"/>
              <w:jc w:val="both"/>
              <w:rPr>
                <w:rFonts w:ascii="Verdana" w:eastAsia="Arial MT" w:hAnsi="Verdana" w:cs="Arial"/>
                <w:lang w:val="es-CO" w:eastAsia="es-ES" w:bidi="es-ES"/>
              </w:rPr>
            </w:pPr>
            <w:r w:rsidRPr="009F68F1">
              <w:rPr>
                <w:rFonts w:ascii="Verdana" w:eastAsia="Arial MT" w:hAnsi="Verdana" w:cs="Arial"/>
                <w:lang w:val="es-CO" w:eastAsia="es-ES" w:bidi="es-ES"/>
              </w:rPr>
              <w:t>Consejo de Estado. Sala de Consulta y Servicio Civil. Concepto del 20 de febrero de 2018. Expediente número 12366. Consejero Ponente: Oscar Darío Amaya Navas.</w:t>
            </w:r>
          </w:p>
          <w:p w14:paraId="19FEAB86" w14:textId="77777777" w:rsidR="00063368" w:rsidRDefault="00063368" w:rsidP="007B2ACE">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t xml:space="preserve">Consejo de Estado. Sala de lo Contencioso Administrativo. Sección Tercera. Auto del 4 de octubre de 2024. </w:t>
            </w:r>
            <w:proofErr w:type="spellStart"/>
            <w:r w:rsidRPr="00E268CB">
              <w:rPr>
                <w:rFonts w:ascii="Verdana" w:eastAsia="Arial MT" w:hAnsi="Verdana" w:cs="Arial"/>
                <w:lang w:val="es-CO" w:eastAsia="es-ES" w:bidi="es-ES"/>
              </w:rPr>
              <w:t>Exp</w:t>
            </w:r>
            <w:proofErr w:type="spellEnd"/>
            <w:r w:rsidRPr="00E268CB">
              <w:rPr>
                <w:rFonts w:ascii="Verdana" w:eastAsia="Arial MT" w:hAnsi="Verdana" w:cs="Arial"/>
                <w:lang w:val="es-CO" w:eastAsia="es-ES" w:bidi="es-ES"/>
              </w:rPr>
              <w:t>. 70.313. C.P: Fredy Ibarra Martínez.</w:t>
            </w:r>
          </w:p>
          <w:p w14:paraId="57632DA1" w14:textId="77777777" w:rsidR="00063368" w:rsidRDefault="00063368" w:rsidP="007B2ACE">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t xml:space="preserve">Corte Constitucional. Sentencia C-233 de 4 de abril de 2002, M.P: Álvaro Tafur Galvis. </w:t>
            </w:r>
          </w:p>
          <w:p w14:paraId="12DA64A4" w14:textId="77777777" w:rsidR="00063368" w:rsidRDefault="00063368" w:rsidP="007B2ACE">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t xml:space="preserve">Corte Constitucional. Sentencia C-551 de 9 de julio de 2003. M.P: Eduardo Montealegre </w:t>
            </w:r>
            <w:proofErr w:type="spellStart"/>
            <w:r w:rsidRPr="00E268CB">
              <w:rPr>
                <w:rFonts w:ascii="Verdana" w:eastAsia="Arial MT" w:hAnsi="Verdana" w:cs="Arial"/>
                <w:lang w:val="es-CO" w:eastAsia="es-ES" w:bidi="es-ES"/>
              </w:rPr>
              <w:t>Lynett</w:t>
            </w:r>
            <w:proofErr w:type="spellEnd"/>
            <w:r w:rsidRPr="00E268CB">
              <w:rPr>
                <w:rFonts w:ascii="Verdana" w:eastAsia="Arial MT" w:hAnsi="Verdana" w:cs="Arial"/>
                <w:lang w:val="es-CO" w:eastAsia="es-ES" w:bidi="es-ES"/>
              </w:rPr>
              <w:t xml:space="preserve">. </w:t>
            </w:r>
          </w:p>
          <w:p w14:paraId="5F539150" w14:textId="77777777" w:rsidR="00063368" w:rsidRDefault="00063368" w:rsidP="007B2ACE">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t xml:space="preserve">Corte Constitucional. Sentencia C-652 de 5 de agosto de 2003. M.P: Jaime Córdoba Triviño. </w:t>
            </w:r>
          </w:p>
          <w:p w14:paraId="143213AF" w14:textId="77777777" w:rsidR="000D612A" w:rsidRDefault="000D612A" w:rsidP="000D612A">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t>Corte Constitucional. Sentencia C- 1153 de 2005, M.P: Marco Gerardo Monroy Cabra.</w:t>
            </w:r>
          </w:p>
          <w:p w14:paraId="23FA8A92" w14:textId="77777777" w:rsidR="00063368" w:rsidRDefault="00063368" w:rsidP="007B2ACE">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t xml:space="preserve">Corte Constitucional. Sentencia C-353 de 20 de mayo de 2009. M.P: Jorge Iván Palacio </w:t>
            </w:r>
            <w:proofErr w:type="spellStart"/>
            <w:r w:rsidRPr="00E268CB">
              <w:rPr>
                <w:rFonts w:ascii="Verdana" w:eastAsia="Arial MT" w:hAnsi="Verdana" w:cs="Arial"/>
                <w:lang w:val="es-CO" w:eastAsia="es-ES" w:bidi="es-ES"/>
              </w:rPr>
              <w:t>Palacio</w:t>
            </w:r>
            <w:proofErr w:type="spellEnd"/>
            <w:r w:rsidRPr="00E268CB">
              <w:rPr>
                <w:rFonts w:ascii="Verdana" w:eastAsia="Arial MT" w:hAnsi="Verdana" w:cs="Arial"/>
                <w:lang w:val="es-CO" w:eastAsia="es-ES" w:bidi="es-ES"/>
              </w:rPr>
              <w:t xml:space="preserve">. </w:t>
            </w:r>
          </w:p>
          <w:p w14:paraId="5DA2DB14" w14:textId="77777777" w:rsidR="00063368" w:rsidRDefault="00063368" w:rsidP="007B2ACE">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t>Corte Constitucional. Sentencia C-541 de 30 de junio de 2010, M.P: Gabriel Eduardo Mendoza Martelo.</w:t>
            </w:r>
          </w:p>
          <w:p w14:paraId="4BBB7883" w14:textId="77777777" w:rsidR="00063368" w:rsidRPr="009F68F1" w:rsidRDefault="00063368" w:rsidP="007B2ACE">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hAnsi="Verdana"/>
              </w:rPr>
              <w:t xml:space="preserve">Circular Externa No. 006 de 2025 expedida por la Agencia Nacional de Contratación Pública. Disponible en </w:t>
            </w:r>
            <w:hyperlink r:id="rId12" w:history="1">
              <w:r w:rsidRPr="00E268CB">
                <w:rPr>
                  <w:rStyle w:val="Hipervnculo"/>
                  <w:rFonts w:ascii="Verdana" w:hAnsi="Verdana"/>
                  <w:lang w:val="es-CO"/>
                </w:rPr>
                <w:t>006-de-2025-Circular-Externa-L996-ajustado-comentarios-BM-BID-Rev-ARSC-V3.d-1.pdf</w:t>
              </w:r>
            </w:hyperlink>
          </w:p>
          <w:p w14:paraId="720B2928" w14:textId="77777777" w:rsidR="00063368" w:rsidRPr="009F68F1" w:rsidRDefault="00063368" w:rsidP="007B2ACE">
            <w:pPr>
              <w:pStyle w:val="Prrafodelista"/>
              <w:numPr>
                <w:ilvl w:val="0"/>
                <w:numId w:val="17"/>
              </w:numPr>
              <w:spacing w:line="276" w:lineRule="auto"/>
              <w:jc w:val="both"/>
              <w:rPr>
                <w:rFonts w:ascii="Verdana" w:eastAsia="Arial MT" w:hAnsi="Verdana" w:cs="Arial"/>
                <w:lang w:val="es-CO" w:eastAsia="es-ES" w:bidi="es-ES"/>
              </w:rPr>
            </w:pPr>
            <w:hyperlink r:id="rId13" w:history="1">
              <w:r w:rsidRPr="009F68F1">
                <w:rPr>
                  <w:rStyle w:val="Hipervnculo"/>
                  <w:rFonts w:ascii="Verdana" w:hAnsi="Verdana"/>
                </w:rPr>
                <w:t>https://registraduria.gov.co/Que-son-las-elecciones-atipicas.html</w:t>
              </w:r>
            </w:hyperlink>
            <w:r w:rsidRPr="009F68F1">
              <w:rPr>
                <w:rFonts w:ascii="Verdana" w:hAnsi="Verdana"/>
              </w:rPr>
              <w:t xml:space="preserve"> </w:t>
            </w:r>
          </w:p>
          <w:p w14:paraId="3136CF21" w14:textId="77777777" w:rsidR="00063368" w:rsidRPr="00E268CB" w:rsidRDefault="00063368" w:rsidP="007B2ACE">
            <w:pPr>
              <w:pStyle w:val="Prrafodelista"/>
              <w:numPr>
                <w:ilvl w:val="0"/>
                <w:numId w:val="17"/>
              </w:numPr>
              <w:spacing w:line="276" w:lineRule="auto"/>
              <w:jc w:val="both"/>
              <w:rPr>
                <w:rFonts w:ascii="Verdana" w:eastAsia="Arial MT" w:hAnsi="Verdana" w:cs="Arial"/>
                <w:lang w:val="es-CO" w:eastAsia="es-ES" w:bidi="es-ES"/>
              </w:rPr>
            </w:pPr>
            <w:r w:rsidRPr="009F68F1">
              <w:rPr>
                <w:rFonts w:ascii="Verdana" w:eastAsia="Calibri" w:hAnsi="Verdana" w:cs="Arial"/>
                <w:lang w:eastAsia="es-ES" w:bidi="es-ES"/>
              </w:rPr>
              <w:lastRenderedPageBreak/>
              <w:t xml:space="preserve">Consejo Nacional Electoral. Concepto 9519 del 14 de octubre de 2020 </w:t>
            </w:r>
            <w:hyperlink r:id="rId14" w:history="1">
              <w:r w:rsidRPr="009F68F1">
                <w:rPr>
                  <w:rStyle w:val="Hipervnculo"/>
                  <w:rFonts w:ascii="Verdana" w:hAnsi="Verdana"/>
                </w:rPr>
                <w:t>https://relatoria.cne.gov.co/relatoria/</w:t>
              </w:r>
            </w:hyperlink>
          </w:p>
        </w:tc>
      </w:tr>
    </w:tbl>
    <w:p w14:paraId="1FAF678E" w14:textId="77777777" w:rsidR="00063368" w:rsidRPr="005644FE" w:rsidRDefault="00063368" w:rsidP="00063368">
      <w:pPr>
        <w:widowControl w:val="0"/>
        <w:autoSpaceDE w:val="0"/>
        <w:autoSpaceDN w:val="0"/>
        <w:spacing w:after="0" w:line="276" w:lineRule="auto"/>
        <w:jc w:val="both"/>
        <w:rPr>
          <w:rFonts w:ascii="Verdana" w:hAnsi="Verdana" w:cs="Arial"/>
        </w:rPr>
      </w:pPr>
    </w:p>
    <w:p w14:paraId="27246683" w14:textId="77777777" w:rsidR="00063368" w:rsidRPr="005644FE" w:rsidRDefault="00063368" w:rsidP="00063368">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3A7D84B6" w14:textId="77777777" w:rsidR="00063368" w:rsidRPr="005644FE" w:rsidRDefault="00063368" w:rsidP="00063368">
      <w:pPr>
        <w:widowControl w:val="0"/>
        <w:autoSpaceDE w:val="0"/>
        <w:autoSpaceDN w:val="0"/>
        <w:spacing w:after="0" w:line="276" w:lineRule="auto"/>
        <w:jc w:val="both"/>
        <w:rPr>
          <w:rFonts w:ascii="Verdana" w:hAnsi="Verdana" w:cs="Arial"/>
          <w:shd w:val="clear" w:color="auto" w:fill="FFFFFF"/>
        </w:rPr>
      </w:pPr>
    </w:p>
    <w:p w14:paraId="7C58FAC7" w14:textId="77777777" w:rsidR="00063368" w:rsidRPr="005644FE" w:rsidRDefault="00063368" w:rsidP="00063368">
      <w:pPr>
        <w:widowControl w:val="0"/>
        <w:autoSpaceDE w:val="0"/>
        <w:autoSpaceDN w:val="0"/>
        <w:spacing w:after="0" w:line="276" w:lineRule="auto"/>
        <w:jc w:val="both"/>
        <w:rPr>
          <w:rFonts w:ascii="Verdana" w:eastAsia="Times New Roman" w:hAnsi="Verdana" w:cs="Arial"/>
          <w:shd w:val="clear" w:color="auto" w:fill="FFFFFF"/>
        </w:rPr>
      </w:pP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entre otros. Sobre la aplicación de la Ley de garantías electorales en elecciones atípicas la Subdirección se refirió en los conceptos C-180 del 21 de marzo de 2025,</w:t>
      </w:r>
      <w:r>
        <w:rPr>
          <w:rFonts w:ascii="Verdana" w:hAnsi="Verdana" w:cs="Arial"/>
          <w:shd w:val="clear" w:color="auto" w:fill="FFFFFF"/>
        </w:rPr>
        <w:t xml:space="preserve"> C-317 del 25 de abril de 2025, </w:t>
      </w:r>
      <w:r w:rsidRPr="000F79CF">
        <w:rPr>
          <w:rFonts w:ascii="Verdana" w:hAnsi="Verdana" w:cs="Arial"/>
          <w:shd w:val="clear" w:color="auto" w:fill="FFFFFF"/>
        </w:rPr>
        <w:t>C-510 del 4 de junio de 2025</w:t>
      </w:r>
      <w:r w:rsidRPr="000F79CF">
        <w:rPr>
          <w:rFonts w:ascii="Verdana" w:eastAsia="Times New Roman" w:hAnsi="Verdana" w:cs="Arial"/>
          <w:shd w:val="clear" w:color="auto" w:fill="FFFFFF"/>
        </w:rPr>
        <w:t xml:space="preserve">. </w:t>
      </w:r>
      <w:r>
        <w:rPr>
          <w:rFonts w:ascii="Verdana" w:eastAsia="Times New Roman" w:hAnsi="Verdana" w:cs="Arial"/>
          <w:shd w:val="clear" w:color="auto" w:fill="FFFFFF"/>
        </w:rPr>
        <w:t xml:space="preserve">Por último, respecto de la posibilidad de celebrar contratos de prestación de servicios en el marco del artículo 38 de la Ley 996 de 2025, la Subdirección </w:t>
      </w:r>
      <w:r w:rsidRPr="00E158A8">
        <w:rPr>
          <w:rFonts w:ascii="Verdana" w:eastAsia="Times New Roman" w:hAnsi="Verdana" w:cs="Arial"/>
          <w:shd w:val="clear" w:color="auto" w:fill="FFFFFF"/>
        </w:rPr>
        <w:t xml:space="preserve">se ha pronunciado en los conceptos C-708 del 15 de julio de 2025, C-1302 del 9 de octubre de 2025, entre otros. </w:t>
      </w:r>
      <w:r w:rsidRPr="00E158A8">
        <w:rPr>
          <w:rFonts w:ascii="Verdana" w:hAnsi="Verdana" w:cs="Arial"/>
        </w:rPr>
        <w:t>Estos</w:t>
      </w:r>
      <w:r w:rsidRPr="000F79CF">
        <w:rPr>
          <w:rFonts w:ascii="Verdana" w:hAnsi="Verdana" w:cs="Arial"/>
        </w:rPr>
        <w:t xml:space="preserve"> y otros </w:t>
      </w:r>
      <w:r w:rsidRPr="000F79CF">
        <w:rPr>
          <w:rFonts w:ascii="Verdana" w:hAnsi="Verdana"/>
        </w:rPr>
        <w:t>conceptos se encuentran disponibles para consulta en el Sistema de relatoría de la Agencia, al cual se puede acceder a través del siguiente enlace:</w:t>
      </w:r>
      <w:r w:rsidRPr="005644FE">
        <w:rPr>
          <w:rFonts w:ascii="Verdana" w:hAnsi="Verdana" w:cs="Arial"/>
          <w:shd w:val="clear" w:color="auto" w:fill="FFFFFF"/>
        </w:rPr>
        <w:t xml:space="preserve"> </w:t>
      </w:r>
    </w:p>
    <w:p w14:paraId="7C999B20" w14:textId="77777777" w:rsidR="00063368" w:rsidRPr="005644FE" w:rsidRDefault="00063368" w:rsidP="00063368">
      <w:pPr>
        <w:widowControl w:val="0"/>
        <w:autoSpaceDE w:val="0"/>
        <w:autoSpaceDN w:val="0"/>
        <w:spacing w:after="0" w:line="276" w:lineRule="auto"/>
        <w:jc w:val="both"/>
        <w:rPr>
          <w:rFonts w:ascii="Verdana" w:hAnsi="Verdana" w:cs="Arial"/>
          <w:shd w:val="clear" w:color="auto" w:fill="FFFFFF"/>
        </w:rPr>
      </w:pPr>
      <w:hyperlink r:id="rId15" w:history="1">
        <w:r w:rsidRPr="005644FE">
          <w:rPr>
            <w:rStyle w:val="Hipervnculo"/>
            <w:rFonts w:ascii="Verdana" w:hAnsi="Verdana" w:cs="Arial"/>
            <w:shd w:val="clear" w:color="auto" w:fill="FFFFFF"/>
          </w:rPr>
          <w:t>https://relatoria.colombiacompra.gov.co/busqueda/conceptos</w:t>
        </w:r>
      </w:hyperlink>
      <w:r w:rsidRPr="005644FE">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2BE11E20" w14:textId="77777777" w:rsidR="00063368" w:rsidRPr="005644FE" w:rsidRDefault="00063368" w:rsidP="0067777A">
      <w:pPr>
        <w:spacing w:after="0" w:line="276" w:lineRule="auto"/>
        <w:jc w:val="both"/>
        <w:rPr>
          <w:rFonts w:ascii="Verdana" w:hAnsi="Verdana"/>
        </w:rPr>
      </w:pPr>
    </w:p>
    <w:p w14:paraId="764D8312" w14:textId="77777777" w:rsidR="00063368" w:rsidRPr="005644FE" w:rsidRDefault="00063368" w:rsidP="0067777A">
      <w:pPr>
        <w:spacing w:after="0" w:line="276" w:lineRule="auto"/>
        <w:jc w:val="both"/>
        <w:rPr>
          <w:rFonts w:ascii="Verdana" w:eastAsia="Calibri" w:hAnsi="Verdana" w:cs="Times New Roman"/>
        </w:rPr>
      </w:pPr>
      <w:r w:rsidRPr="005644FE">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6AA3464" w14:textId="77777777" w:rsidR="00063368" w:rsidRPr="005644FE" w:rsidRDefault="00063368" w:rsidP="00063368">
      <w:pPr>
        <w:pStyle w:val="Prrafodelista"/>
        <w:numPr>
          <w:ilvl w:val="0"/>
          <w:numId w:val="15"/>
        </w:numPr>
        <w:spacing w:after="0" w:line="276" w:lineRule="auto"/>
        <w:contextualSpacing w:val="0"/>
        <w:jc w:val="both"/>
        <w:rPr>
          <w:rFonts w:ascii="Verdana" w:hAnsi="Verdana"/>
          <w:lang w:val="es-CO"/>
        </w:rPr>
      </w:pPr>
      <w:r w:rsidRPr="005644FE">
        <w:rPr>
          <w:rFonts w:ascii="Verdana" w:hAnsi="Verdana"/>
          <w:lang w:val="es-CO"/>
        </w:rPr>
        <w:t>Línea nacional gratuita o servicio a la ciudadanía: 01800 0520808</w:t>
      </w:r>
    </w:p>
    <w:p w14:paraId="1AA894B5" w14:textId="77777777" w:rsidR="00063368" w:rsidRPr="005644FE" w:rsidRDefault="00063368" w:rsidP="00063368">
      <w:pPr>
        <w:pStyle w:val="Prrafodelista"/>
        <w:numPr>
          <w:ilvl w:val="0"/>
          <w:numId w:val="15"/>
        </w:numPr>
        <w:spacing w:after="0" w:line="276" w:lineRule="auto"/>
        <w:contextualSpacing w:val="0"/>
        <w:jc w:val="both"/>
        <w:rPr>
          <w:rFonts w:ascii="Verdana" w:hAnsi="Verdana"/>
          <w:lang w:val="es-CO"/>
        </w:rPr>
      </w:pPr>
      <w:r w:rsidRPr="005644FE">
        <w:rPr>
          <w:rFonts w:ascii="Verdana" w:hAnsi="Verdana"/>
          <w:lang w:val="es-CO"/>
        </w:rPr>
        <w:t>Línea en Bogotá (Mesa de servicio): +57 601 7456788</w:t>
      </w:r>
    </w:p>
    <w:p w14:paraId="505D95F5" w14:textId="77777777" w:rsidR="00063368" w:rsidRPr="005644FE" w:rsidRDefault="00063368" w:rsidP="00063368">
      <w:pPr>
        <w:pStyle w:val="Prrafodelista"/>
        <w:numPr>
          <w:ilvl w:val="0"/>
          <w:numId w:val="15"/>
        </w:numPr>
        <w:spacing w:after="0" w:line="276" w:lineRule="auto"/>
        <w:contextualSpacing w:val="0"/>
        <w:jc w:val="both"/>
        <w:rPr>
          <w:rFonts w:ascii="Verdana" w:hAnsi="Verdana"/>
          <w:lang w:val="es-CO"/>
        </w:rPr>
      </w:pPr>
      <w:r w:rsidRPr="005644FE">
        <w:rPr>
          <w:rFonts w:ascii="Verdana" w:hAnsi="Verdana"/>
          <w:lang w:val="es-CO"/>
        </w:rPr>
        <w:lastRenderedPageBreak/>
        <w:t>Línea de servicio y atención al ciudadano: +57 601 7956600</w:t>
      </w:r>
    </w:p>
    <w:p w14:paraId="314EA64E" w14:textId="77777777" w:rsidR="00063368" w:rsidRPr="005644FE" w:rsidRDefault="00063368" w:rsidP="00063368">
      <w:pPr>
        <w:pStyle w:val="Prrafodelista"/>
        <w:numPr>
          <w:ilvl w:val="0"/>
          <w:numId w:val="15"/>
        </w:numPr>
        <w:spacing w:after="0" w:line="276" w:lineRule="auto"/>
        <w:contextualSpacing w:val="0"/>
        <w:jc w:val="both"/>
        <w:rPr>
          <w:rFonts w:ascii="Verdana" w:hAnsi="Verdana"/>
          <w:lang w:val="es-CO"/>
        </w:rPr>
      </w:pPr>
      <w:r w:rsidRPr="005644FE">
        <w:rPr>
          <w:rFonts w:ascii="Verdana" w:hAnsi="Verdana"/>
          <w:lang w:val="es-CO"/>
        </w:rPr>
        <w:t xml:space="preserve">Página web: </w:t>
      </w:r>
      <w:hyperlink r:id="rId16" w:history="1">
        <w:r w:rsidRPr="005644FE">
          <w:rPr>
            <w:rStyle w:val="Hipervnculo"/>
            <w:rFonts w:ascii="Verdana" w:hAnsi="Verdana"/>
            <w:lang w:val="es-CO"/>
          </w:rPr>
          <w:t>www.colombiacompra.gov.co</w:t>
        </w:r>
      </w:hyperlink>
    </w:p>
    <w:p w14:paraId="70E6F3FE" w14:textId="77777777" w:rsidR="00676F99" w:rsidRDefault="00676F99" w:rsidP="00676F99">
      <w:pPr>
        <w:spacing w:after="0" w:line="240" w:lineRule="auto"/>
        <w:jc w:val="both"/>
        <w:rPr>
          <w:rFonts w:ascii="Verdana" w:hAnsi="Verdana"/>
        </w:rPr>
      </w:pPr>
    </w:p>
    <w:p w14:paraId="314ED10F" w14:textId="188CE983" w:rsidR="00063368" w:rsidRPr="005644FE" w:rsidRDefault="00063368" w:rsidP="0067777A">
      <w:pPr>
        <w:spacing w:after="0" w:line="276" w:lineRule="auto"/>
        <w:jc w:val="both"/>
        <w:rPr>
          <w:rFonts w:ascii="Verdana" w:hAnsi="Verdana"/>
        </w:rPr>
      </w:pPr>
      <w:r w:rsidRPr="005644FE">
        <w:rPr>
          <w:rFonts w:ascii="Verdana" w:hAnsi="Verdana"/>
        </w:rPr>
        <w:t xml:space="preserve">Por último, lo invitamos a seguirnos en las redes sociales en las cuales se difunde información institucional: </w:t>
      </w:r>
    </w:p>
    <w:p w14:paraId="00C73599" w14:textId="77777777" w:rsidR="00063368" w:rsidRPr="005644FE" w:rsidRDefault="00063368" w:rsidP="00063368">
      <w:pPr>
        <w:spacing w:after="0" w:line="276" w:lineRule="auto"/>
        <w:jc w:val="both"/>
        <w:rPr>
          <w:rFonts w:ascii="Verdana" w:hAnsi="Verdana"/>
        </w:rPr>
      </w:pPr>
      <w:r w:rsidRPr="005644FE">
        <w:rPr>
          <w:rFonts w:ascii="Verdana" w:hAnsi="Verdana"/>
        </w:rPr>
        <w:t xml:space="preserve">Twitter: </w:t>
      </w:r>
      <w:r w:rsidRPr="005644FE">
        <w:rPr>
          <w:rStyle w:val="Hipervnculo"/>
          <w:rFonts w:ascii="Verdana" w:hAnsi="Verdana"/>
        </w:rPr>
        <w:t>@colombiacompra</w:t>
      </w:r>
      <w:r w:rsidRPr="005644FE">
        <w:rPr>
          <w:rFonts w:ascii="Verdana" w:hAnsi="Verdana"/>
        </w:rPr>
        <w:t xml:space="preserve"> </w:t>
      </w:r>
    </w:p>
    <w:p w14:paraId="755FD937" w14:textId="77777777" w:rsidR="00063368" w:rsidRPr="005644FE" w:rsidRDefault="00063368" w:rsidP="00063368">
      <w:pPr>
        <w:spacing w:after="0" w:line="276" w:lineRule="auto"/>
        <w:jc w:val="both"/>
        <w:rPr>
          <w:rFonts w:ascii="Verdana" w:hAnsi="Verdana"/>
        </w:rPr>
      </w:pPr>
      <w:r w:rsidRPr="005644FE">
        <w:rPr>
          <w:rFonts w:ascii="Verdana" w:hAnsi="Verdana"/>
        </w:rPr>
        <w:t xml:space="preserve">Facebook: </w:t>
      </w:r>
      <w:proofErr w:type="spellStart"/>
      <w:r w:rsidRPr="005644FE">
        <w:rPr>
          <w:rStyle w:val="Hipervnculo"/>
          <w:rFonts w:ascii="Verdana" w:hAnsi="Verdana"/>
        </w:rPr>
        <w:t>ColombiaCompraEficiente</w:t>
      </w:r>
      <w:proofErr w:type="spellEnd"/>
    </w:p>
    <w:p w14:paraId="791CFA61" w14:textId="77777777" w:rsidR="00063368" w:rsidRPr="005644FE" w:rsidRDefault="00063368" w:rsidP="00063368">
      <w:pPr>
        <w:spacing w:after="0" w:line="276" w:lineRule="auto"/>
        <w:jc w:val="both"/>
        <w:rPr>
          <w:rFonts w:ascii="Verdana" w:hAnsi="Verdana"/>
        </w:rPr>
      </w:pPr>
      <w:r w:rsidRPr="005644FE">
        <w:rPr>
          <w:rFonts w:ascii="Verdana" w:hAnsi="Verdana"/>
        </w:rPr>
        <w:t xml:space="preserve">LinkedIn: </w:t>
      </w:r>
      <w:r w:rsidRPr="005644FE">
        <w:rPr>
          <w:rStyle w:val="Hipervnculo"/>
          <w:rFonts w:ascii="Verdana" w:hAnsi="Verdana"/>
        </w:rPr>
        <w:t>Agencia Nacional de Contratación Pública - Colombia Compra Eficiente</w:t>
      </w:r>
      <w:r w:rsidRPr="005644FE">
        <w:rPr>
          <w:rFonts w:ascii="Verdana" w:hAnsi="Verdana"/>
        </w:rPr>
        <w:t xml:space="preserve"> Instagram: </w:t>
      </w:r>
      <w:r w:rsidRPr="005644FE">
        <w:rPr>
          <w:rStyle w:val="Hipervnculo"/>
          <w:rFonts w:ascii="Verdana" w:hAnsi="Verdana"/>
        </w:rPr>
        <w:t>@colombiacompraeficiente_cce</w:t>
      </w:r>
    </w:p>
    <w:p w14:paraId="67BE5A17" w14:textId="77777777" w:rsidR="00063368" w:rsidRPr="005644FE" w:rsidRDefault="00063368" w:rsidP="0067777A">
      <w:pPr>
        <w:spacing w:after="0" w:line="276" w:lineRule="auto"/>
        <w:jc w:val="both"/>
        <w:rPr>
          <w:rFonts w:ascii="Verdana" w:hAnsi="Verdana"/>
        </w:rPr>
      </w:pPr>
      <w:r w:rsidRPr="005644FE">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C931221" w14:textId="77777777" w:rsidR="00063368" w:rsidRPr="005644FE" w:rsidRDefault="00063368" w:rsidP="00063368">
      <w:pPr>
        <w:spacing w:after="0" w:line="276" w:lineRule="auto"/>
        <w:jc w:val="both"/>
        <w:rPr>
          <w:rFonts w:ascii="Verdana" w:eastAsia="Calibri" w:hAnsi="Verdana" w:cs="Times New Roman"/>
        </w:rPr>
      </w:pPr>
    </w:p>
    <w:p w14:paraId="012B3370" w14:textId="77777777" w:rsidR="00063368" w:rsidRDefault="00063368" w:rsidP="00063368">
      <w:pPr>
        <w:spacing w:after="0" w:line="276" w:lineRule="auto"/>
        <w:jc w:val="both"/>
        <w:rPr>
          <w:rFonts w:ascii="Verdana" w:eastAsia="Calibri" w:hAnsi="Verdana" w:cs="Times New Roman"/>
        </w:rPr>
      </w:pPr>
      <w:r w:rsidRPr="005644FE">
        <w:rPr>
          <w:rFonts w:ascii="Verdana" w:eastAsia="Calibri" w:hAnsi="Verdana" w:cs="Times New Roman"/>
        </w:rPr>
        <w:t>Atentamente,</w:t>
      </w:r>
    </w:p>
    <w:p w14:paraId="01F80220" w14:textId="77777777" w:rsidR="0067777A" w:rsidRDefault="0067777A" w:rsidP="00063368">
      <w:pPr>
        <w:spacing w:after="0" w:line="276" w:lineRule="auto"/>
        <w:jc w:val="both"/>
        <w:rPr>
          <w:rFonts w:ascii="Verdana" w:eastAsia="Calibri" w:hAnsi="Verdana" w:cs="Times New Roman"/>
        </w:rPr>
      </w:pPr>
    </w:p>
    <w:p w14:paraId="70BD9152" w14:textId="66560EF3" w:rsidR="0067777A" w:rsidRPr="005644FE" w:rsidRDefault="00327995" w:rsidP="00D25D3D">
      <w:pPr>
        <w:spacing w:after="0" w:line="276" w:lineRule="auto"/>
        <w:jc w:val="center"/>
        <w:rPr>
          <w:rFonts w:ascii="Verdana" w:eastAsia="Calibri" w:hAnsi="Verdana" w:cs="Times New Roman"/>
        </w:rPr>
      </w:pPr>
      <w:r w:rsidRPr="0065791A">
        <w:rPr>
          <w:rFonts w:ascii="Century Gothic" w:hAnsi="Century Gothic"/>
          <w:noProof/>
        </w:rPr>
        <w:drawing>
          <wp:inline distT="0" distB="0" distL="0" distR="0" wp14:anchorId="0E887279" wp14:editId="239C388B">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7"/>
                    <a:stretch>
                      <a:fillRect/>
                    </a:stretch>
                  </pic:blipFill>
                  <pic:spPr>
                    <a:xfrm>
                      <a:off x="0" y="0"/>
                      <a:ext cx="3962953" cy="1867161"/>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063368" w:rsidRPr="005644FE" w14:paraId="769BD786" w14:textId="77777777" w:rsidTr="007B2ACE">
        <w:trPr>
          <w:trHeight w:val="315"/>
        </w:trPr>
        <w:tc>
          <w:tcPr>
            <w:tcW w:w="893" w:type="dxa"/>
            <w:vAlign w:val="center"/>
            <w:hideMark/>
          </w:tcPr>
          <w:p w14:paraId="34249884" w14:textId="77777777" w:rsidR="00063368" w:rsidRPr="005644FE" w:rsidRDefault="00063368" w:rsidP="007B2ACE">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7AFBC735" w14:textId="77777777" w:rsidR="00063368" w:rsidRPr="005644FE" w:rsidRDefault="00063368" w:rsidP="007B2ACE">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2816327E" w14:textId="77777777" w:rsidR="00063368" w:rsidRPr="005644FE" w:rsidRDefault="00063368" w:rsidP="007B2ACE">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063368" w:rsidRPr="005644FE" w14:paraId="678B996E" w14:textId="77777777" w:rsidTr="007B2ACE">
        <w:trPr>
          <w:trHeight w:val="330"/>
        </w:trPr>
        <w:tc>
          <w:tcPr>
            <w:tcW w:w="893" w:type="dxa"/>
            <w:vAlign w:val="center"/>
            <w:hideMark/>
          </w:tcPr>
          <w:p w14:paraId="53A82205" w14:textId="77777777" w:rsidR="00063368" w:rsidRPr="005644FE" w:rsidRDefault="00063368" w:rsidP="007B2ACE">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742DFAD8" w14:textId="77777777" w:rsidR="00063368" w:rsidRPr="005644FE" w:rsidRDefault="00063368" w:rsidP="007B2ACE">
            <w:pPr>
              <w:pStyle w:val="paragraph"/>
              <w:spacing w:before="0" w:beforeAutospacing="0" w:after="0" w:afterAutospacing="0"/>
              <w:contextualSpacing/>
              <w:textAlignment w:val="baseline"/>
              <w:rPr>
                <w:rStyle w:val="normaltextrun"/>
                <w:rFonts w:ascii="Verdana" w:hAnsi="Verdana"/>
                <w:sz w:val="16"/>
                <w:szCs w:val="16"/>
              </w:rPr>
            </w:pPr>
            <w:r w:rsidRPr="005644FE">
              <w:rPr>
                <w:rStyle w:val="normaltextrun"/>
                <w:rFonts w:ascii="Verdana" w:hAnsi="Verdana"/>
                <w:sz w:val="16"/>
                <w:szCs w:val="16"/>
              </w:rPr>
              <w:t>Diana Lucía Saavedra Castañeda</w:t>
            </w:r>
          </w:p>
          <w:p w14:paraId="22FD394A" w14:textId="77777777" w:rsidR="00063368" w:rsidRPr="005644FE" w:rsidRDefault="00063368" w:rsidP="007B2ACE">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063368" w:rsidRPr="005644FE" w14:paraId="059CF118" w14:textId="77777777" w:rsidTr="007B2ACE">
        <w:trPr>
          <w:trHeight w:val="300"/>
        </w:trPr>
        <w:tc>
          <w:tcPr>
            <w:tcW w:w="893" w:type="dxa"/>
            <w:vAlign w:val="center"/>
          </w:tcPr>
          <w:p w14:paraId="718A1116" w14:textId="77777777" w:rsidR="00063368" w:rsidRPr="005644FE" w:rsidRDefault="00063368" w:rsidP="007B2ACE">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58BE6A0F" w14:textId="77777777" w:rsidR="00063368" w:rsidRPr="005644FE" w:rsidRDefault="00063368" w:rsidP="007B2ACE">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 xml:space="preserve">Carolina Quintero </w:t>
            </w:r>
            <w:proofErr w:type="spellStart"/>
            <w:r w:rsidRPr="005644FE">
              <w:rPr>
                <w:rFonts w:ascii="Verdana" w:eastAsia="Calibri" w:hAnsi="Verdana" w:cs="Arial"/>
                <w:sz w:val="16"/>
                <w:szCs w:val="16"/>
                <w:lang w:eastAsia="es-ES"/>
              </w:rPr>
              <w:t>Gacharná</w:t>
            </w:r>
            <w:proofErr w:type="spellEnd"/>
          </w:p>
          <w:p w14:paraId="1BF79F0A" w14:textId="77777777" w:rsidR="00063368" w:rsidRPr="005644FE" w:rsidRDefault="00063368" w:rsidP="007B2ACE">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1"/>
      <w:bookmarkEnd w:id="2"/>
      <w:bookmarkEnd w:id="3"/>
      <w:bookmarkEnd w:id="4"/>
      <w:bookmarkEnd w:id="5"/>
      <w:bookmarkEnd w:id="6"/>
      <w:bookmarkEnd w:id="7"/>
    </w:tbl>
    <w:p w14:paraId="70D9CA82" w14:textId="77777777" w:rsidR="00063368" w:rsidRPr="005644FE" w:rsidRDefault="00063368" w:rsidP="00063368"/>
    <w:bookmarkEnd w:id="8"/>
    <w:p w14:paraId="6E3ABE2E" w14:textId="77777777" w:rsidR="00063368" w:rsidRPr="00D452F6" w:rsidRDefault="00063368" w:rsidP="00063368"/>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11C3B5" w14:textId="77777777" w:rsidR="004C6845" w:rsidRDefault="004C6845" w:rsidP="004A1847">
      <w:pPr>
        <w:spacing w:after="0" w:line="240" w:lineRule="auto"/>
      </w:pPr>
      <w:r>
        <w:separator/>
      </w:r>
    </w:p>
  </w:endnote>
  <w:endnote w:type="continuationSeparator" w:id="0">
    <w:p w14:paraId="2A0E6957" w14:textId="77777777" w:rsidR="004C6845" w:rsidRDefault="004C684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C25CC7" w14:textId="77777777" w:rsidR="004C6845" w:rsidRDefault="004C6845" w:rsidP="004A1847">
      <w:pPr>
        <w:spacing w:after="0" w:line="240" w:lineRule="auto"/>
      </w:pPr>
      <w:r>
        <w:separator/>
      </w:r>
    </w:p>
  </w:footnote>
  <w:footnote w:type="continuationSeparator" w:id="0">
    <w:p w14:paraId="32B7CC80" w14:textId="77777777" w:rsidR="004C6845" w:rsidRDefault="004C6845" w:rsidP="004A1847">
      <w:pPr>
        <w:spacing w:after="0" w:line="240" w:lineRule="auto"/>
      </w:pPr>
      <w:r>
        <w:continuationSeparator/>
      </w:r>
    </w:p>
  </w:footnote>
  <w:footnote w:id="1">
    <w:p w14:paraId="213C8DD9" w14:textId="77777777" w:rsidR="00063368" w:rsidRPr="00FA6811" w:rsidRDefault="00063368" w:rsidP="00063368">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B1A90EE" w14:textId="77777777" w:rsidR="00063368" w:rsidRPr="00FA6811" w:rsidRDefault="00063368" w:rsidP="00063368">
      <w:pPr>
        <w:pStyle w:val="Textonotapie"/>
        <w:ind w:firstLine="709"/>
        <w:contextualSpacing/>
        <w:jc w:val="both"/>
        <w:rPr>
          <w:rFonts w:ascii="Verdana" w:hAnsi="Verdana" w:cs="Arial"/>
          <w:sz w:val="16"/>
          <w:szCs w:val="16"/>
        </w:rPr>
      </w:pPr>
      <w:r w:rsidRPr="00FA6811">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3536BECC" w14:textId="77777777" w:rsidR="00063368" w:rsidRPr="00FA6811" w:rsidRDefault="00063368" w:rsidP="00063368">
      <w:pPr>
        <w:pStyle w:val="Textonotapie"/>
        <w:ind w:firstLine="709"/>
        <w:contextualSpacing/>
        <w:jc w:val="both"/>
        <w:rPr>
          <w:rFonts w:ascii="Verdana" w:hAnsi="Verdana" w:cs="Arial"/>
          <w:sz w:val="16"/>
          <w:szCs w:val="16"/>
        </w:rPr>
      </w:pPr>
    </w:p>
  </w:footnote>
  <w:footnote w:id="2">
    <w:p w14:paraId="104264C4" w14:textId="77777777" w:rsidR="00063368" w:rsidRDefault="00063368" w:rsidP="00063368">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Gaceta del Congreso de la República No. 71 del 2005.</w:t>
      </w:r>
    </w:p>
    <w:p w14:paraId="5E205FB6" w14:textId="77777777" w:rsidR="00063368" w:rsidRPr="00FA6811" w:rsidRDefault="00063368" w:rsidP="00063368">
      <w:pPr>
        <w:pStyle w:val="Textonotapie"/>
        <w:ind w:firstLine="709"/>
        <w:contextualSpacing/>
        <w:jc w:val="both"/>
        <w:rPr>
          <w:rFonts w:ascii="Verdana" w:hAnsi="Verdana" w:cs="Arial"/>
          <w:sz w:val="16"/>
          <w:szCs w:val="16"/>
        </w:rPr>
      </w:pPr>
    </w:p>
  </w:footnote>
  <w:footnote w:id="3">
    <w:p w14:paraId="1B049EEA" w14:textId="77777777" w:rsidR="00063368" w:rsidRDefault="00063368" w:rsidP="00063368">
      <w:pPr>
        <w:pStyle w:val="Textonotapie"/>
        <w:ind w:firstLine="709"/>
        <w:contextualSpacing/>
        <w:jc w:val="both"/>
        <w:rPr>
          <w:rFonts w:ascii="Verdana" w:hAnsi="Verdana" w:cs="Arial"/>
          <w:sz w:val="16"/>
          <w:szCs w:val="16"/>
          <w:lang w:val="pt-BR"/>
        </w:rPr>
      </w:pPr>
      <w:r w:rsidRPr="00FA6811">
        <w:rPr>
          <w:rStyle w:val="Refdenotaalpie"/>
          <w:rFonts w:ascii="Verdana" w:hAnsi="Verdana" w:cs="Arial"/>
          <w:sz w:val="16"/>
          <w:szCs w:val="16"/>
        </w:rPr>
        <w:footnoteRef/>
      </w:r>
      <w:r w:rsidRPr="00B80F4D">
        <w:rPr>
          <w:rFonts w:ascii="Verdana" w:hAnsi="Verdana" w:cs="Arial"/>
          <w:sz w:val="16"/>
          <w:szCs w:val="16"/>
          <w:lang w:val="pt-BR"/>
        </w:rPr>
        <w:t xml:space="preserve"> Corte Constitucional</w:t>
      </w:r>
      <w:r>
        <w:rPr>
          <w:rFonts w:ascii="Verdana" w:hAnsi="Verdana" w:cs="Arial"/>
          <w:sz w:val="16"/>
          <w:szCs w:val="16"/>
          <w:lang w:val="pt-BR"/>
        </w:rPr>
        <w:t xml:space="preserve">. </w:t>
      </w:r>
      <w:r w:rsidRPr="00B80F4D">
        <w:rPr>
          <w:rFonts w:ascii="Verdana" w:hAnsi="Verdana" w:cs="Arial"/>
          <w:sz w:val="16"/>
          <w:szCs w:val="16"/>
          <w:lang w:val="pt-BR"/>
        </w:rPr>
        <w:t>Sentencia C- 1153 de 2005, M.P</w:t>
      </w:r>
      <w:r>
        <w:rPr>
          <w:rFonts w:ascii="Verdana" w:hAnsi="Verdana" w:cs="Arial"/>
          <w:sz w:val="16"/>
          <w:szCs w:val="16"/>
          <w:lang w:val="pt-BR"/>
        </w:rPr>
        <w:t>:</w:t>
      </w:r>
      <w:r w:rsidRPr="00B80F4D">
        <w:rPr>
          <w:rFonts w:ascii="Verdana" w:hAnsi="Verdana" w:cs="Arial"/>
          <w:sz w:val="16"/>
          <w:szCs w:val="16"/>
          <w:lang w:val="pt-BR"/>
        </w:rPr>
        <w:t xml:space="preserve"> Marco Gerardo </w:t>
      </w:r>
      <w:proofErr w:type="spellStart"/>
      <w:r w:rsidRPr="00B80F4D">
        <w:rPr>
          <w:rFonts w:ascii="Verdana" w:hAnsi="Verdana" w:cs="Arial"/>
          <w:sz w:val="16"/>
          <w:szCs w:val="16"/>
          <w:lang w:val="pt-BR"/>
        </w:rPr>
        <w:t>Monroy</w:t>
      </w:r>
      <w:proofErr w:type="spellEnd"/>
      <w:r w:rsidRPr="00B80F4D">
        <w:rPr>
          <w:rFonts w:ascii="Verdana" w:hAnsi="Verdana" w:cs="Arial"/>
          <w:sz w:val="16"/>
          <w:szCs w:val="16"/>
          <w:lang w:val="pt-BR"/>
        </w:rPr>
        <w:t xml:space="preserve"> Cabra.</w:t>
      </w:r>
    </w:p>
    <w:p w14:paraId="1B5129A9" w14:textId="77777777" w:rsidR="00063368" w:rsidRPr="00B80F4D" w:rsidRDefault="00063368" w:rsidP="00063368">
      <w:pPr>
        <w:pStyle w:val="Textonotapie"/>
        <w:ind w:firstLine="709"/>
        <w:contextualSpacing/>
        <w:jc w:val="both"/>
        <w:rPr>
          <w:rFonts w:ascii="Verdana" w:hAnsi="Verdana" w:cs="Arial"/>
          <w:sz w:val="16"/>
          <w:szCs w:val="16"/>
          <w:lang w:val="pt-BR"/>
        </w:rPr>
      </w:pPr>
    </w:p>
  </w:footnote>
  <w:footnote w:id="4">
    <w:p w14:paraId="13B80A25" w14:textId="77777777" w:rsidR="00063368" w:rsidRPr="00723DE5" w:rsidRDefault="00063368" w:rsidP="00063368">
      <w:pPr>
        <w:pStyle w:val="Textonotapie"/>
        <w:ind w:firstLine="709"/>
        <w:contextualSpacing/>
        <w:jc w:val="both"/>
        <w:rPr>
          <w:rFonts w:ascii="Verdana" w:hAnsi="Verdana" w:cs="Arial"/>
          <w:sz w:val="16"/>
          <w:szCs w:val="16"/>
          <w:lang w:val="es-CO"/>
        </w:rPr>
      </w:pPr>
      <w:r w:rsidRPr="00FA6811">
        <w:rPr>
          <w:rStyle w:val="Refdenotaalpie"/>
          <w:rFonts w:ascii="Verdana" w:hAnsi="Verdana" w:cs="Arial"/>
          <w:sz w:val="16"/>
          <w:szCs w:val="16"/>
        </w:rPr>
        <w:footnoteRef/>
      </w:r>
      <w:r w:rsidRPr="00B80F4D">
        <w:rPr>
          <w:rFonts w:ascii="Verdana" w:hAnsi="Verdana" w:cs="Arial"/>
          <w:sz w:val="16"/>
          <w:szCs w:val="16"/>
          <w:lang w:val="pt-BR"/>
        </w:rPr>
        <w:t xml:space="preserve"> </w:t>
      </w:r>
      <w:r w:rsidRPr="00F3158D">
        <w:rPr>
          <w:rFonts w:ascii="Verdana" w:hAnsi="Verdana" w:cs="Arial"/>
          <w:sz w:val="16"/>
          <w:szCs w:val="16"/>
          <w:lang w:val="es-CO"/>
        </w:rPr>
        <w:t xml:space="preserve">Corte Constitucional. Sentencias: C-233 de 4 de abril de 2002, M.P: Álvaro Tafur Galvis. C-551 de 9 de julio de 2003. M.P: Eduardo Montealegre </w:t>
      </w:r>
      <w:proofErr w:type="spellStart"/>
      <w:r w:rsidRPr="00F3158D">
        <w:rPr>
          <w:rFonts w:ascii="Verdana" w:hAnsi="Verdana" w:cs="Arial"/>
          <w:sz w:val="16"/>
          <w:szCs w:val="16"/>
          <w:lang w:val="es-CO"/>
        </w:rPr>
        <w:t>Lynett</w:t>
      </w:r>
      <w:proofErr w:type="spellEnd"/>
      <w:r w:rsidRPr="00F3158D">
        <w:rPr>
          <w:rFonts w:ascii="Verdana" w:hAnsi="Verdana" w:cs="Arial"/>
          <w:sz w:val="16"/>
          <w:szCs w:val="16"/>
          <w:lang w:val="es-CO"/>
        </w:rPr>
        <w:t>. C-652 de 5 de agosto de 2003. M.</w:t>
      </w:r>
      <w:r>
        <w:rPr>
          <w:rFonts w:ascii="Verdana" w:hAnsi="Verdana" w:cs="Arial"/>
          <w:sz w:val="16"/>
          <w:szCs w:val="16"/>
          <w:lang w:val="es-CO"/>
        </w:rPr>
        <w:t>P:</w:t>
      </w:r>
      <w:r w:rsidRPr="00F3158D">
        <w:rPr>
          <w:rFonts w:ascii="Verdana" w:hAnsi="Verdana" w:cs="Arial"/>
          <w:sz w:val="16"/>
          <w:szCs w:val="16"/>
          <w:lang w:val="es-CO"/>
        </w:rPr>
        <w:t xml:space="preserve"> Jaime Córdoba Triviño. Sentencia C-353 de 20 de mayo de 2009. M.P: Jorge Iván Palacio </w:t>
      </w:r>
      <w:proofErr w:type="spellStart"/>
      <w:r w:rsidRPr="00F3158D">
        <w:rPr>
          <w:rFonts w:ascii="Verdana" w:hAnsi="Verdana" w:cs="Arial"/>
          <w:sz w:val="16"/>
          <w:szCs w:val="16"/>
          <w:lang w:val="es-CO"/>
        </w:rPr>
        <w:t>Palacio</w:t>
      </w:r>
      <w:proofErr w:type="spellEnd"/>
      <w:r w:rsidRPr="00F3158D">
        <w:rPr>
          <w:rFonts w:ascii="Verdana" w:hAnsi="Verdana" w:cs="Arial"/>
          <w:sz w:val="16"/>
          <w:szCs w:val="16"/>
          <w:lang w:val="es-CO"/>
        </w:rPr>
        <w:t>. C-541 de 30 de junio de 2010, M.P: Gabriel Eduardo Mendoza Martelo.</w:t>
      </w:r>
    </w:p>
    <w:p w14:paraId="1669E770" w14:textId="77777777" w:rsidR="00063368" w:rsidRPr="00B80F4D" w:rsidRDefault="00063368" w:rsidP="00063368">
      <w:pPr>
        <w:pStyle w:val="Textonotapie"/>
        <w:ind w:firstLine="709"/>
        <w:contextualSpacing/>
        <w:jc w:val="both"/>
        <w:rPr>
          <w:rFonts w:ascii="Verdana" w:hAnsi="Verdana" w:cs="Arial"/>
          <w:sz w:val="16"/>
          <w:szCs w:val="16"/>
          <w:lang w:val="pt-BR"/>
        </w:rPr>
      </w:pPr>
    </w:p>
  </w:footnote>
  <w:footnote w:id="5">
    <w:p w14:paraId="77E07DCA" w14:textId="77777777" w:rsidR="00063368" w:rsidRPr="00FF007A" w:rsidRDefault="00063368" w:rsidP="00063368">
      <w:pPr>
        <w:pStyle w:val="Textonotapie"/>
        <w:ind w:firstLine="709"/>
        <w:contextualSpacing/>
        <w:jc w:val="both"/>
        <w:rPr>
          <w:rFonts w:ascii="Verdana" w:hAnsi="Verdana" w:cs="Arial"/>
          <w:sz w:val="16"/>
          <w:szCs w:val="16"/>
          <w:lang w:val="es-CO"/>
        </w:rPr>
      </w:pPr>
      <w:r w:rsidRPr="00FA6811">
        <w:rPr>
          <w:rStyle w:val="Refdenotaalpie"/>
          <w:rFonts w:ascii="Verdana" w:hAnsi="Verdana" w:cs="Arial"/>
          <w:sz w:val="16"/>
          <w:szCs w:val="16"/>
        </w:rPr>
        <w:footnoteRef/>
      </w:r>
      <w:r w:rsidRPr="00FA6811">
        <w:rPr>
          <w:rFonts w:ascii="Verdana" w:hAnsi="Verdana" w:cs="Arial"/>
          <w:sz w:val="16"/>
          <w:szCs w:val="16"/>
          <w:lang w:val="es-CO"/>
        </w:rPr>
        <w:t xml:space="preserve"> </w:t>
      </w:r>
      <w:r w:rsidRPr="00FF007A">
        <w:rPr>
          <w:rFonts w:ascii="Verdana" w:hAnsi="Verdana" w:cs="Arial"/>
          <w:sz w:val="16"/>
          <w:szCs w:val="16"/>
          <w:lang w:val="es-CO"/>
        </w:rPr>
        <w:t>Consejo de Estado</w:t>
      </w:r>
      <w:r>
        <w:rPr>
          <w:rFonts w:ascii="Verdana" w:hAnsi="Verdana" w:cs="Arial"/>
          <w:sz w:val="16"/>
          <w:szCs w:val="16"/>
          <w:lang w:val="es-CO"/>
        </w:rPr>
        <w:t>.</w:t>
      </w:r>
      <w:r w:rsidRPr="00FF007A">
        <w:rPr>
          <w:rFonts w:ascii="Verdana" w:hAnsi="Verdana" w:cs="Arial"/>
          <w:sz w:val="16"/>
          <w:szCs w:val="16"/>
          <w:lang w:val="es-CO"/>
        </w:rPr>
        <w:t xml:space="preserve"> Sala de lo Contencioso Administrativo</w:t>
      </w:r>
      <w:r>
        <w:rPr>
          <w:rFonts w:ascii="Verdana" w:hAnsi="Verdana" w:cs="Arial"/>
          <w:sz w:val="16"/>
          <w:szCs w:val="16"/>
          <w:lang w:val="es-CO"/>
        </w:rPr>
        <w:t>.</w:t>
      </w:r>
      <w:r w:rsidRPr="00FF007A">
        <w:rPr>
          <w:rFonts w:ascii="Verdana" w:hAnsi="Verdana" w:cs="Arial"/>
          <w:sz w:val="16"/>
          <w:szCs w:val="16"/>
          <w:lang w:val="es-CO"/>
        </w:rPr>
        <w:t xml:space="preserve"> Sección Primera. Sentencia de 3 de marzo de 2005, </w:t>
      </w:r>
      <w:r w:rsidRPr="005F28C0">
        <w:rPr>
          <w:rFonts w:ascii="Verdana" w:hAnsi="Verdana" w:cs="Arial"/>
          <w:sz w:val="16"/>
          <w:szCs w:val="16"/>
          <w:lang w:val="es-CO"/>
        </w:rPr>
        <w:t>Radicado: 25001-23-15-000-2004-00823-01 (PI). C.P: Camilo Arciniegas Andrade</w:t>
      </w:r>
      <w:r w:rsidRPr="00FF007A">
        <w:rPr>
          <w:rFonts w:ascii="Verdana" w:hAnsi="Verdana" w:cs="Arial"/>
          <w:sz w:val="16"/>
          <w:szCs w:val="16"/>
          <w:lang w:val="es-CO"/>
        </w:rPr>
        <w:t>.</w:t>
      </w:r>
    </w:p>
    <w:p w14:paraId="7A46A0DF" w14:textId="77777777" w:rsidR="00063368" w:rsidRPr="00FA6811" w:rsidRDefault="00063368" w:rsidP="00063368">
      <w:pPr>
        <w:pStyle w:val="Textonotapie"/>
        <w:ind w:firstLine="709"/>
        <w:contextualSpacing/>
        <w:jc w:val="both"/>
        <w:rPr>
          <w:rFonts w:ascii="Verdana" w:hAnsi="Verdana" w:cs="Arial"/>
          <w:sz w:val="16"/>
          <w:szCs w:val="16"/>
          <w:lang w:val="es-CO"/>
        </w:rPr>
      </w:pPr>
    </w:p>
  </w:footnote>
  <w:footnote w:id="6">
    <w:p w14:paraId="029679D6" w14:textId="77777777" w:rsidR="00063368" w:rsidRPr="00FA6811" w:rsidRDefault="00063368" w:rsidP="00063368">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w:t>
      </w:r>
      <w:r w:rsidRPr="00FF007A">
        <w:rPr>
          <w:rFonts w:ascii="Verdana" w:hAnsi="Verdana" w:cs="Arial"/>
          <w:sz w:val="16"/>
          <w:szCs w:val="16"/>
          <w:lang w:val="es-CO"/>
        </w:rPr>
        <w:t>Consejo de Estado, Sala de Consulta y Servicio Civil de fecha 24 de julio de 2013</w:t>
      </w:r>
      <w:r>
        <w:rPr>
          <w:rFonts w:ascii="Verdana" w:hAnsi="Verdana" w:cs="Arial"/>
          <w:sz w:val="16"/>
          <w:szCs w:val="16"/>
          <w:lang w:val="es-CO"/>
        </w:rPr>
        <w:t xml:space="preserve">. Radicado: </w:t>
      </w:r>
      <w:r w:rsidRPr="005F28C0">
        <w:rPr>
          <w:rFonts w:ascii="Verdana" w:hAnsi="Verdana" w:cs="Arial"/>
          <w:sz w:val="16"/>
          <w:szCs w:val="16"/>
          <w:lang w:val="es-CO"/>
        </w:rPr>
        <w:t xml:space="preserve">Radicado: 11001-03-06-000-2013-00407-00 </w:t>
      </w:r>
      <w:r>
        <w:rPr>
          <w:rFonts w:ascii="Verdana" w:hAnsi="Verdana" w:cs="Arial"/>
          <w:sz w:val="16"/>
          <w:szCs w:val="16"/>
          <w:lang w:val="es-CO"/>
        </w:rPr>
        <w:t>(2166).</w:t>
      </w:r>
      <w:r w:rsidRPr="00FF007A">
        <w:rPr>
          <w:rFonts w:ascii="Verdana" w:hAnsi="Verdana" w:cs="Arial"/>
          <w:sz w:val="16"/>
          <w:szCs w:val="16"/>
          <w:lang w:val="es-CO"/>
        </w:rPr>
        <w:t xml:space="preserve"> C.P</w:t>
      </w:r>
      <w:r>
        <w:rPr>
          <w:rFonts w:ascii="Verdana" w:hAnsi="Verdana" w:cs="Arial"/>
          <w:sz w:val="16"/>
          <w:szCs w:val="16"/>
          <w:lang w:val="es-CO"/>
        </w:rPr>
        <w:t>:</w:t>
      </w:r>
      <w:r w:rsidRPr="00FF007A">
        <w:rPr>
          <w:rFonts w:ascii="Verdana" w:hAnsi="Verdana" w:cs="Arial"/>
          <w:sz w:val="16"/>
          <w:szCs w:val="16"/>
          <w:lang w:val="es-CO"/>
        </w:rPr>
        <w:t xml:space="preserve"> Álvaro </w:t>
      </w:r>
      <w:proofErr w:type="spellStart"/>
      <w:r w:rsidRPr="00FF007A">
        <w:rPr>
          <w:rFonts w:ascii="Verdana" w:hAnsi="Verdana" w:cs="Arial"/>
          <w:sz w:val="16"/>
          <w:szCs w:val="16"/>
          <w:lang w:val="es-CO"/>
        </w:rPr>
        <w:t>Namén</w:t>
      </w:r>
      <w:proofErr w:type="spellEnd"/>
      <w:r w:rsidRPr="00FF007A">
        <w:rPr>
          <w:rFonts w:ascii="Verdana" w:hAnsi="Verdana" w:cs="Arial"/>
          <w:sz w:val="16"/>
          <w:szCs w:val="16"/>
          <w:lang w:val="es-CO"/>
        </w:rPr>
        <w:t xml:space="preserve"> Vargas</w:t>
      </w:r>
      <w:r w:rsidRPr="00FA6811">
        <w:rPr>
          <w:rFonts w:ascii="Verdana" w:hAnsi="Verdana" w:cs="Arial"/>
          <w:sz w:val="16"/>
          <w:szCs w:val="16"/>
        </w:rPr>
        <w:t xml:space="preserve">.  </w:t>
      </w:r>
    </w:p>
  </w:footnote>
  <w:footnote w:id="7">
    <w:p w14:paraId="61CCACBB" w14:textId="77777777" w:rsidR="00063368" w:rsidRPr="00FA6811" w:rsidRDefault="00063368" w:rsidP="00063368">
      <w:pPr>
        <w:spacing w:after="0" w:line="240" w:lineRule="auto"/>
        <w:ind w:firstLine="709"/>
        <w:contextualSpacing/>
        <w:jc w:val="both"/>
        <w:rPr>
          <w:rFonts w:ascii="Verdana" w:eastAsia="Times New Roman"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w:t>
      </w:r>
      <w:bookmarkStart w:id="15" w:name="33"/>
      <w:r w:rsidRPr="00FA6811">
        <w:rPr>
          <w:rFonts w:ascii="Verdana" w:eastAsia="Calibri" w:hAnsi="Verdana" w:cs="Arial"/>
          <w:color w:val="000000"/>
          <w:sz w:val="16"/>
          <w:szCs w:val="16"/>
        </w:rPr>
        <w:t>“</w:t>
      </w:r>
      <w:r w:rsidRPr="00FA6811">
        <w:rPr>
          <w:rFonts w:ascii="Verdana" w:eastAsia="Times New Roman" w:hAnsi="Verdana" w:cs="Arial"/>
          <w:sz w:val="16"/>
          <w:szCs w:val="16"/>
        </w:rPr>
        <w:t>Artículo 33. Restricciones a la contratación pública.</w:t>
      </w:r>
      <w:bookmarkEnd w:id="15"/>
      <w:r w:rsidRPr="00FA6811">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040B5F4D" w14:textId="77777777" w:rsidR="00063368" w:rsidRPr="00FA6811" w:rsidRDefault="00063368" w:rsidP="00063368">
      <w:pPr>
        <w:spacing w:after="0" w:line="240" w:lineRule="auto"/>
        <w:ind w:firstLine="709"/>
        <w:contextualSpacing/>
        <w:jc w:val="both"/>
        <w:rPr>
          <w:rFonts w:ascii="Verdana" w:eastAsia="Times New Roman" w:hAnsi="Verdana" w:cs="Arial"/>
          <w:sz w:val="16"/>
          <w:szCs w:val="16"/>
        </w:rPr>
      </w:pPr>
      <w:r w:rsidRPr="00FA6811">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A6811">
        <w:rPr>
          <w:rFonts w:ascii="Verdana" w:eastAsia="Calibri" w:hAnsi="Verdana" w:cs="Arial"/>
          <w:color w:val="000000"/>
          <w:sz w:val="16"/>
          <w:szCs w:val="16"/>
        </w:rPr>
        <w:t>”</w:t>
      </w:r>
      <w:r>
        <w:rPr>
          <w:rFonts w:ascii="Verdana" w:eastAsia="Times New Roman" w:hAnsi="Verdana" w:cs="Arial"/>
          <w:sz w:val="16"/>
          <w:szCs w:val="16"/>
        </w:rPr>
        <w:t>.</w:t>
      </w:r>
    </w:p>
  </w:footnote>
  <w:footnote w:id="8">
    <w:p w14:paraId="4353BD87" w14:textId="77777777" w:rsidR="00063368" w:rsidRPr="00FA6811" w:rsidRDefault="00063368" w:rsidP="0067777A">
      <w:pPr>
        <w:pStyle w:val="NormalWeb"/>
        <w:spacing w:before="0" w:beforeAutospacing="0" w:after="0" w:afterAutospacing="0"/>
        <w:ind w:firstLine="709"/>
        <w:contextualSpacing/>
        <w:jc w:val="both"/>
        <w:rPr>
          <w:rFonts w:ascii="Verdana" w:hAnsi="Verdana" w:cs="Arial"/>
          <w:sz w:val="16"/>
          <w:szCs w:val="16"/>
          <w:lang w:val="es-MX"/>
        </w:rPr>
      </w:pPr>
      <w:r w:rsidRPr="00FA6811">
        <w:rPr>
          <w:rStyle w:val="Refdenotaalpie"/>
          <w:rFonts w:ascii="Verdana" w:hAnsi="Verdana" w:cs="Arial"/>
          <w:sz w:val="16"/>
          <w:szCs w:val="16"/>
        </w:rPr>
        <w:footnoteRef/>
      </w:r>
      <w:r w:rsidRPr="00FA6811">
        <w:rPr>
          <w:rFonts w:ascii="Verdana" w:hAnsi="Verdana" w:cs="Arial"/>
          <w:sz w:val="16"/>
          <w:szCs w:val="16"/>
        </w:rPr>
        <w:t xml:space="preserve"> </w:t>
      </w:r>
      <w:bookmarkStart w:id="16" w:name="38"/>
      <w:r w:rsidRPr="00FA6811">
        <w:rPr>
          <w:rFonts w:ascii="Verdana" w:eastAsia="Calibri" w:hAnsi="Verdana" w:cs="Arial"/>
          <w:color w:val="000000"/>
          <w:sz w:val="16"/>
          <w:szCs w:val="16"/>
        </w:rPr>
        <w:t>“</w:t>
      </w:r>
      <w:r w:rsidRPr="00FA6811">
        <w:rPr>
          <w:rFonts w:ascii="Verdana" w:hAnsi="Verdana" w:cs="Arial"/>
          <w:sz w:val="16"/>
          <w:szCs w:val="16"/>
          <w:lang w:val="es-MX"/>
        </w:rPr>
        <w:t>Artículo 38. Prohibiciones para los servidores públicos. A los empleados del Estado les está prohibido:</w:t>
      </w:r>
      <w:bookmarkEnd w:id="16"/>
      <w:r w:rsidRPr="00FA6811">
        <w:rPr>
          <w:rFonts w:ascii="Verdana" w:hAnsi="Verdana" w:cs="Arial"/>
          <w:sz w:val="16"/>
          <w:szCs w:val="16"/>
          <w:lang w:val="es-MX"/>
        </w:rPr>
        <w:t xml:space="preserve"> </w:t>
      </w:r>
      <w:r>
        <w:rPr>
          <w:rFonts w:ascii="Verdana" w:hAnsi="Verdana" w:cs="Arial"/>
          <w:sz w:val="16"/>
          <w:szCs w:val="16"/>
          <w:lang w:val="es-MX"/>
        </w:rPr>
        <w:t>(…)</w:t>
      </w:r>
    </w:p>
    <w:p w14:paraId="7E9AB27D" w14:textId="77777777" w:rsidR="00063368" w:rsidRPr="00FA6811" w:rsidRDefault="00063368" w:rsidP="0067777A">
      <w:pPr>
        <w:pStyle w:val="NormalWeb"/>
        <w:spacing w:before="0" w:beforeAutospacing="0" w:after="0" w:afterAutospacing="0"/>
        <w:ind w:firstLine="709"/>
        <w:contextualSpacing/>
        <w:jc w:val="both"/>
        <w:rPr>
          <w:rFonts w:ascii="Verdana" w:hAnsi="Verdana" w:cs="Arial"/>
          <w:sz w:val="16"/>
          <w:szCs w:val="16"/>
          <w:lang w:val="es-MX"/>
        </w:rPr>
      </w:pPr>
      <w:r w:rsidRPr="00FA6811">
        <w:rPr>
          <w:rStyle w:val="baj"/>
          <w:rFonts w:ascii="Verdana" w:hAnsi="Verdana" w:cs="Arial"/>
          <w:sz w:val="16"/>
          <w:szCs w:val="16"/>
          <w:lang w:val="es-MX"/>
        </w:rPr>
        <w:t>Parágrafo.</w:t>
      </w:r>
      <w:r w:rsidRPr="00FA6811">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A6811">
        <w:rPr>
          <w:rFonts w:ascii="Verdana" w:eastAsia="Calibri" w:hAnsi="Verdana" w:cs="Arial"/>
          <w:color w:val="000000"/>
          <w:sz w:val="16"/>
          <w:szCs w:val="16"/>
        </w:rPr>
        <w:t>”</w:t>
      </w:r>
      <w:r>
        <w:rPr>
          <w:rFonts w:ascii="Verdana" w:hAnsi="Verdana" w:cs="Arial"/>
          <w:sz w:val="16"/>
          <w:szCs w:val="16"/>
          <w:lang w:val="es-MX"/>
        </w:rPr>
        <w:t>.</w:t>
      </w:r>
    </w:p>
  </w:footnote>
  <w:footnote w:id="9">
    <w:p w14:paraId="0FBE6C6F" w14:textId="77777777" w:rsidR="00063368" w:rsidRPr="0020788E" w:rsidRDefault="00063368" w:rsidP="00063368">
      <w:pPr>
        <w:spacing w:after="0" w:line="240" w:lineRule="auto"/>
        <w:ind w:left="100" w:right="244"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w:t>
      </w:r>
      <w:r w:rsidRPr="00FF007A">
        <w:rPr>
          <w:rFonts w:ascii="Verdana" w:hAnsi="Verdana" w:cs="Arial"/>
          <w:sz w:val="16"/>
          <w:szCs w:val="16"/>
        </w:rPr>
        <w:t>Consejo de Estado. Sala de Consulta y Servicio Civil. Concepto del 17 de febrero de 2015. Radicación No. 11001-03-06-000-2015-00164-00 (2269) C.P: William Zambrano Cetina.</w:t>
      </w:r>
    </w:p>
  </w:footnote>
  <w:footnote w:id="10">
    <w:p w14:paraId="17529E17" w14:textId="77777777" w:rsidR="00063368" w:rsidRDefault="00063368" w:rsidP="0067777A">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Es lo que sucede, por ejemplo, con el Decreto 092 de 2017, que en su desarrollo hace referencia tanto a los “contratos” como a los “convenios”. </w:t>
      </w:r>
    </w:p>
    <w:p w14:paraId="5787A1EF" w14:textId="77777777" w:rsidR="00063368" w:rsidRPr="00FA6811" w:rsidRDefault="00063368" w:rsidP="0067777A">
      <w:pPr>
        <w:pStyle w:val="Textonotapie"/>
        <w:ind w:firstLine="709"/>
        <w:contextualSpacing/>
        <w:jc w:val="both"/>
        <w:rPr>
          <w:rFonts w:ascii="Verdana" w:hAnsi="Verdana" w:cs="Arial"/>
          <w:sz w:val="16"/>
          <w:szCs w:val="16"/>
        </w:rPr>
      </w:pPr>
    </w:p>
  </w:footnote>
  <w:footnote w:id="11">
    <w:p w14:paraId="095C35E7" w14:textId="77777777" w:rsidR="00063368" w:rsidRPr="00B80F4D" w:rsidRDefault="00063368" w:rsidP="0067777A">
      <w:pPr>
        <w:pStyle w:val="Textonotapie"/>
        <w:ind w:firstLine="709"/>
        <w:contextualSpacing/>
        <w:jc w:val="both"/>
        <w:rPr>
          <w:rFonts w:ascii="Verdana" w:hAnsi="Verdana" w:cs="Arial"/>
          <w:sz w:val="16"/>
          <w:szCs w:val="16"/>
          <w:lang w:val="pt-BR"/>
        </w:rPr>
      </w:pPr>
      <w:r w:rsidRPr="00FA6811">
        <w:rPr>
          <w:rStyle w:val="Refdenotaalpie"/>
          <w:rFonts w:ascii="Verdana" w:hAnsi="Verdana" w:cs="Arial"/>
          <w:sz w:val="16"/>
          <w:szCs w:val="16"/>
        </w:rPr>
        <w:footnoteRef/>
      </w:r>
      <w:r w:rsidRPr="00FA6811">
        <w:rPr>
          <w:rFonts w:ascii="Verdana" w:hAnsi="Verdana" w:cs="Arial"/>
          <w:sz w:val="16"/>
          <w:szCs w:val="16"/>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B80F4D">
        <w:rPr>
          <w:rFonts w:ascii="Verdana" w:hAnsi="Verdana" w:cs="Arial"/>
          <w:sz w:val="16"/>
          <w:szCs w:val="16"/>
          <w:lang w:val="pt-BR"/>
        </w:rPr>
        <w:t>(Corte Constitucional. Sentencia C-671 de 2015. M.P</w:t>
      </w:r>
      <w:r>
        <w:rPr>
          <w:rFonts w:ascii="Verdana" w:hAnsi="Verdana" w:cs="Arial"/>
          <w:sz w:val="16"/>
          <w:szCs w:val="16"/>
          <w:lang w:val="pt-BR"/>
        </w:rPr>
        <w:t>:</w:t>
      </w:r>
      <w:r w:rsidRPr="00B80F4D">
        <w:rPr>
          <w:rFonts w:ascii="Verdana" w:hAnsi="Verdana" w:cs="Arial"/>
          <w:sz w:val="16"/>
          <w:szCs w:val="16"/>
          <w:lang w:val="pt-BR"/>
        </w:rPr>
        <w:t xml:space="preserve"> Alberto Rojas Ríos).</w:t>
      </w:r>
    </w:p>
  </w:footnote>
  <w:footnote w:id="12">
    <w:p w14:paraId="318C9DDC" w14:textId="77777777" w:rsidR="00063368" w:rsidRPr="0067777A" w:rsidRDefault="00063368" w:rsidP="0067777A">
      <w:pPr>
        <w:pStyle w:val="Textonotapie"/>
        <w:ind w:firstLine="709"/>
        <w:contextualSpacing/>
        <w:rPr>
          <w:rFonts w:ascii="Verdana" w:hAnsi="Verdana"/>
          <w:sz w:val="16"/>
          <w:szCs w:val="16"/>
          <w:lang w:val="pt-BR"/>
        </w:rPr>
      </w:pPr>
      <w:r w:rsidRPr="0067777A">
        <w:rPr>
          <w:rStyle w:val="Refdenotaalpie"/>
          <w:rFonts w:ascii="Verdana" w:hAnsi="Verdana"/>
          <w:sz w:val="16"/>
          <w:szCs w:val="16"/>
        </w:rPr>
        <w:footnoteRef/>
      </w:r>
      <w:r w:rsidRPr="0067777A">
        <w:rPr>
          <w:rFonts w:ascii="Verdana" w:hAnsi="Verdana"/>
          <w:sz w:val="16"/>
          <w:szCs w:val="16"/>
          <w:lang w:val="pt-BR"/>
        </w:rPr>
        <w:t xml:space="preserve"> </w:t>
      </w:r>
      <w:r w:rsidRPr="0069134B">
        <w:rPr>
          <w:rFonts w:ascii="Verdana" w:hAnsi="Verdana" w:cs="Arial"/>
          <w:sz w:val="16"/>
          <w:szCs w:val="16"/>
          <w:lang w:val="es-CO"/>
        </w:rPr>
        <w:t>Consejo de Estado</w:t>
      </w:r>
      <w:r>
        <w:rPr>
          <w:rFonts w:ascii="Verdana" w:hAnsi="Verdana" w:cs="Arial"/>
          <w:sz w:val="16"/>
          <w:szCs w:val="16"/>
          <w:lang w:val="es-CO"/>
        </w:rPr>
        <w:t xml:space="preserve">. Sala de lo Contencioso Administrativo. </w:t>
      </w:r>
      <w:r w:rsidRPr="0069134B">
        <w:rPr>
          <w:rFonts w:ascii="Verdana" w:hAnsi="Verdana" w:cs="Arial"/>
          <w:sz w:val="16"/>
          <w:szCs w:val="16"/>
          <w:lang w:val="es-CO"/>
        </w:rPr>
        <w:t xml:space="preserve">Sección Tercera. Auto del 4 de octubre de 2024. </w:t>
      </w:r>
      <w:proofErr w:type="spellStart"/>
      <w:r w:rsidRPr="0069134B">
        <w:rPr>
          <w:rFonts w:ascii="Verdana" w:hAnsi="Verdana" w:cs="Arial"/>
          <w:sz w:val="16"/>
          <w:szCs w:val="16"/>
          <w:lang w:val="es-CO"/>
        </w:rPr>
        <w:t>Exp</w:t>
      </w:r>
      <w:proofErr w:type="spellEnd"/>
      <w:r w:rsidRPr="0069134B">
        <w:rPr>
          <w:rFonts w:ascii="Verdana" w:hAnsi="Verdana" w:cs="Arial"/>
          <w:sz w:val="16"/>
          <w:szCs w:val="16"/>
          <w:lang w:val="es-CO"/>
        </w:rPr>
        <w:t>. 70.313. C.P: Fredy Ibarra Martínez</w:t>
      </w:r>
      <w:r>
        <w:rPr>
          <w:rFonts w:ascii="Verdana" w:hAnsi="Verdana" w:cs="Arial"/>
          <w:sz w:val="16"/>
          <w:szCs w:val="16"/>
          <w:lang w:val="es-CO"/>
        </w:rPr>
        <w:t>.</w:t>
      </w:r>
    </w:p>
  </w:footnote>
  <w:footnote w:id="13">
    <w:p w14:paraId="7A90CA93" w14:textId="77777777" w:rsidR="00063368" w:rsidRDefault="00063368" w:rsidP="00063368">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w:t>
      </w:r>
      <w:bookmarkStart w:id="27" w:name="_Hlk192533196"/>
      <w:r w:rsidRPr="00FA6811">
        <w:rPr>
          <w:rFonts w:ascii="Verdana" w:hAnsi="Verdana" w:cs="Arial"/>
          <w:sz w:val="16"/>
          <w:szCs w:val="16"/>
        </w:rPr>
        <w:t>Consejo de Estado. Sala de Consulta y Servicio Civil. Concepto del 15 de noviembre de 2007. Expediente número 1863. Consejero Ponente: Luis Fernando Álvarez Jaramillo.</w:t>
      </w:r>
    </w:p>
    <w:p w14:paraId="1FB85873" w14:textId="77777777" w:rsidR="00063368" w:rsidRPr="00FA6811" w:rsidRDefault="00063368" w:rsidP="00063368">
      <w:pPr>
        <w:pStyle w:val="Textonotapie"/>
        <w:ind w:firstLine="709"/>
        <w:contextualSpacing/>
        <w:jc w:val="both"/>
        <w:rPr>
          <w:rFonts w:ascii="Verdana" w:hAnsi="Verdana" w:cs="Arial"/>
          <w:sz w:val="16"/>
          <w:szCs w:val="16"/>
        </w:rPr>
      </w:pPr>
    </w:p>
    <w:bookmarkEnd w:id="27"/>
  </w:footnote>
  <w:footnote w:id="14">
    <w:p w14:paraId="7E25EEBE" w14:textId="77777777" w:rsidR="00063368" w:rsidRDefault="00063368" w:rsidP="0067777A">
      <w:pPr>
        <w:pStyle w:val="Textonotapie"/>
        <w:ind w:firstLine="709"/>
        <w:contextualSpacing/>
        <w:rPr>
          <w:rFonts w:ascii="Verdana" w:hAnsi="Verdana"/>
          <w:sz w:val="16"/>
          <w:szCs w:val="16"/>
        </w:rPr>
      </w:pPr>
      <w:r w:rsidRPr="00E55DA4">
        <w:rPr>
          <w:rStyle w:val="Refdenotaalpie"/>
          <w:rFonts w:ascii="Verdana" w:hAnsi="Verdana"/>
          <w:sz w:val="16"/>
          <w:szCs w:val="16"/>
        </w:rPr>
        <w:footnoteRef/>
      </w:r>
      <w:r w:rsidRPr="00E55DA4">
        <w:rPr>
          <w:rFonts w:ascii="Verdana" w:hAnsi="Verdana"/>
          <w:sz w:val="16"/>
          <w:szCs w:val="16"/>
        </w:rPr>
        <w:t xml:space="preserve"> Circular Externa No. 006 de 2025 expedida por la Agencia Nacional de Contratación Pública. Disponible en </w:t>
      </w:r>
      <w:hyperlink r:id="rId1" w:history="1">
        <w:r w:rsidRPr="00E55DA4">
          <w:rPr>
            <w:rStyle w:val="Hipervnculo"/>
            <w:rFonts w:ascii="Verdana" w:hAnsi="Verdana"/>
            <w:sz w:val="16"/>
            <w:szCs w:val="16"/>
            <w:lang w:val="es-CO"/>
          </w:rPr>
          <w:t>006-de-2025-Circular-Externa-L996-ajustado-comentarios-BM-BID-Rev-ARSC-V3.d-1.pdf</w:t>
        </w:r>
      </w:hyperlink>
    </w:p>
    <w:p w14:paraId="1044ED5B" w14:textId="77777777" w:rsidR="00063368" w:rsidRPr="00E55DA4" w:rsidRDefault="00063368" w:rsidP="0067777A">
      <w:pPr>
        <w:pStyle w:val="Textonotapie"/>
        <w:ind w:firstLine="709"/>
        <w:contextualSpacing/>
        <w:rPr>
          <w:rFonts w:ascii="Verdana" w:hAnsi="Verdana"/>
          <w:sz w:val="16"/>
          <w:szCs w:val="16"/>
        </w:rPr>
      </w:pPr>
    </w:p>
  </w:footnote>
  <w:footnote w:id="15">
    <w:p w14:paraId="3F527920" w14:textId="77777777" w:rsidR="00063368" w:rsidRDefault="00063368" w:rsidP="0067777A">
      <w:pPr>
        <w:pStyle w:val="Textonotapie"/>
        <w:ind w:firstLine="709"/>
        <w:contextualSpacing/>
        <w:rPr>
          <w:rFonts w:ascii="Verdana" w:hAnsi="Verdana"/>
          <w:sz w:val="16"/>
          <w:szCs w:val="16"/>
        </w:rPr>
      </w:pPr>
      <w:r w:rsidRPr="0067738A">
        <w:rPr>
          <w:rStyle w:val="Refdenotaalpie"/>
          <w:rFonts w:ascii="Verdana" w:hAnsi="Verdana"/>
          <w:sz w:val="16"/>
          <w:szCs w:val="16"/>
        </w:rPr>
        <w:footnoteRef/>
      </w:r>
      <w:r w:rsidRPr="0067738A">
        <w:rPr>
          <w:rFonts w:ascii="Verdana" w:hAnsi="Verdana"/>
          <w:sz w:val="16"/>
          <w:szCs w:val="16"/>
        </w:rPr>
        <w:t xml:space="preserve"> </w:t>
      </w:r>
      <w:hyperlink r:id="rId2" w:history="1">
        <w:r w:rsidRPr="0067738A">
          <w:rPr>
            <w:rStyle w:val="Hipervnculo"/>
            <w:rFonts w:ascii="Verdana" w:hAnsi="Verdana"/>
            <w:sz w:val="16"/>
            <w:szCs w:val="16"/>
          </w:rPr>
          <w:t>https://registraduria.gov.co/Que-son-las-elecciones-atipicas.html</w:t>
        </w:r>
      </w:hyperlink>
      <w:r w:rsidRPr="0067738A">
        <w:rPr>
          <w:rFonts w:ascii="Verdana" w:hAnsi="Verdana"/>
          <w:sz w:val="16"/>
          <w:szCs w:val="16"/>
        </w:rPr>
        <w:t xml:space="preserve"> </w:t>
      </w:r>
    </w:p>
    <w:p w14:paraId="59FD9BE3" w14:textId="77777777" w:rsidR="00063368" w:rsidRPr="0067738A" w:rsidRDefault="00063368" w:rsidP="0067777A">
      <w:pPr>
        <w:pStyle w:val="Textonotapie"/>
        <w:ind w:firstLine="709"/>
        <w:contextualSpacing/>
        <w:rPr>
          <w:rFonts w:ascii="Verdana" w:hAnsi="Verdana"/>
          <w:sz w:val="16"/>
          <w:szCs w:val="16"/>
          <w:lang w:val="es-CO"/>
        </w:rPr>
      </w:pPr>
    </w:p>
  </w:footnote>
  <w:footnote w:id="16">
    <w:p w14:paraId="71523671" w14:textId="77777777" w:rsidR="00063368" w:rsidRDefault="00063368" w:rsidP="0067777A">
      <w:pPr>
        <w:pStyle w:val="Textonotapie"/>
        <w:ind w:firstLine="709"/>
        <w:contextualSpacing/>
        <w:rPr>
          <w:rFonts w:ascii="Verdana" w:hAnsi="Verdana"/>
          <w:sz w:val="16"/>
          <w:szCs w:val="16"/>
          <w:lang w:val="es-CO"/>
        </w:rPr>
      </w:pPr>
      <w:r w:rsidRPr="0067738A">
        <w:rPr>
          <w:rStyle w:val="Refdenotaalpie"/>
          <w:rFonts w:ascii="Verdana" w:hAnsi="Verdana"/>
          <w:sz w:val="16"/>
          <w:szCs w:val="16"/>
        </w:rPr>
        <w:footnoteRef/>
      </w:r>
      <w:r w:rsidRPr="0067738A">
        <w:rPr>
          <w:rFonts w:ascii="Verdana" w:hAnsi="Verdana"/>
          <w:sz w:val="16"/>
          <w:szCs w:val="16"/>
        </w:rPr>
        <w:t xml:space="preserve"> </w:t>
      </w:r>
      <w:r w:rsidRPr="0067738A">
        <w:rPr>
          <w:rFonts w:ascii="Verdana" w:hAnsi="Verdana"/>
          <w:sz w:val="16"/>
          <w:szCs w:val="16"/>
          <w:lang w:val="es-CO"/>
        </w:rPr>
        <w:t>Ley 136 de 1994. Artículo 98</w:t>
      </w:r>
      <w:r>
        <w:rPr>
          <w:rFonts w:ascii="Verdana" w:hAnsi="Verdana"/>
          <w:sz w:val="16"/>
          <w:szCs w:val="16"/>
          <w:lang w:val="es-CO"/>
        </w:rPr>
        <w:t>.</w:t>
      </w:r>
    </w:p>
    <w:p w14:paraId="79FF8B3A" w14:textId="77777777" w:rsidR="00063368" w:rsidRPr="0067738A" w:rsidRDefault="00063368" w:rsidP="0067777A">
      <w:pPr>
        <w:pStyle w:val="Textonotapie"/>
        <w:ind w:firstLine="709"/>
        <w:contextualSpacing/>
        <w:rPr>
          <w:rFonts w:ascii="Verdana" w:hAnsi="Verdana"/>
          <w:sz w:val="16"/>
          <w:szCs w:val="16"/>
          <w:lang w:val="es-CO"/>
        </w:rPr>
      </w:pPr>
    </w:p>
  </w:footnote>
  <w:footnote w:id="17">
    <w:p w14:paraId="5B8D2BC7" w14:textId="77777777" w:rsidR="00063368" w:rsidRDefault="00063368" w:rsidP="00063368">
      <w:pPr>
        <w:pStyle w:val="Textonotapie"/>
        <w:ind w:firstLine="709"/>
        <w:contextualSpacing/>
        <w:jc w:val="both"/>
        <w:rPr>
          <w:rFonts w:ascii="Verdana" w:hAnsi="Verdana" w:cs="Arial"/>
          <w:sz w:val="16"/>
          <w:szCs w:val="16"/>
        </w:rPr>
      </w:pPr>
      <w:r w:rsidRPr="0067777A">
        <w:rPr>
          <w:rStyle w:val="Refdenotaalpie"/>
          <w:rFonts w:ascii="Verdana" w:hAnsi="Verdana"/>
          <w:sz w:val="16"/>
          <w:szCs w:val="16"/>
        </w:rPr>
        <w:footnoteRef/>
      </w:r>
      <w:r w:rsidRPr="0067777A">
        <w:rPr>
          <w:rFonts w:ascii="Verdana" w:hAnsi="Verdana"/>
          <w:sz w:val="16"/>
          <w:szCs w:val="16"/>
        </w:rPr>
        <w:t xml:space="preserve"> </w:t>
      </w:r>
      <w:r w:rsidRPr="00FA6811">
        <w:rPr>
          <w:rFonts w:ascii="Verdana" w:hAnsi="Verdana" w:cs="Arial"/>
          <w:sz w:val="16"/>
          <w:szCs w:val="16"/>
        </w:rPr>
        <w:t xml:space="preserve">Consejo de Estado. Sala de Consulta y Servicio Civil. Concepto del </w:t>
      </w:r>
      <w:r>
        <w:rPr>
          <w:rFonts w:ascii="Verdana" w:hAnsi="Verdana" w:cs="Arial"/>
          <w:sz w:val="16"/>
          <w:szCs w:val="16"/>
        </w:rPr>
        <w:t>20</w:t>
      </w:r>
      <w:r w:rsidRPr="00FA6811">
        <w:rPr>
          <w:rFonts w:ascii="Verdana" w:hAnsi="Verdana" w:cs="Arial"/>
          <w:sz w:val="16"/>
          <w:szCs w:val="16"/>
        </w:rPr>
        <w:t xml:space="preserve"> de </w:t>
      </w:r>
      <w:r>
        <w:rPr>
          <w:rFonts w:ascii="Verdana" w:hAnsi="Verdana" w:cs="Arial"/>
          <w:sz w:val="16"/>
          <w:szCs w:val="16"/>
        </w:rPr>
        <w:t>febrero</w:t>
      </w:r>
      <w:r w:rsidRPr="00FA6811">
        <w:rPr>
          <w:rFonts w:ascii="Verdana" w:hAnsi="Verdana" w:cs="Arial"/>
          <w:sz w:val="16"/>
          <w:szCs w:val="16"/>
        </w:rPr>
        <w:t xml:space="preserve"> de 20</w:t>
      </w:r>
      <w:r>
        <w:rPr>
          <w:rFonts w:ascii="Verdana" w:hAnsi="Verdana" w:cs="Arial"/>
          <w:sz w:val="16"/>
          <w:szCs w:val="16"/>
        </w:rPr>
        <w:t>18</w:t>
      </w:r>
      <w:r w:rsidRPr="00FA6811">
        <w:rPr>
          <w:rFonts w:ascii="Verdana" w:hAnsi="Verdana" w:cs="Arial"/>
          <w:sz w:val="16"/>
          <w:szCs w:val="16"/>
        </w:rPr>
        <w:t>. Expediente número 1</w:t>
      </w:r>
      <w:r>
        <w:rPr>
          <w:rFonts w:ascii="Verdana" w:hAnsi="Verdana" w:cs="Arial"/>
          <w:sz w:val="16"/>
          <w:szCs w:val="16"/>
        </w:rPr>
        <w:t>2366</w:t>
      </w:r>
      <w:r w:rsidRPr="00FA6811">
        <w:rPr>
          <w:rFonts w:ascii="Verdana" w:hAnsi="Verdana" w:cs="Arial"/>
          <w:sz w:val="16"/>
          <w:szCs w:val="16"/>
        </w:rPr>
        <w:t xml:space="preserve">. Consejero Ponente: </w:t>
      </w:r>
      <w:r>
        <w:rPr>
          <w:rFonts w:ascii="Verdana" w:hAnsi="Verdana" w:cs="Arial"/>
          <w:sz w:val="16"/>
          <w:szCs w:val="16"/>
        </w:rPr>
        <w:t>Oscar Darío Amaya Navas</w:t>
      </w:r>
      <w:r w:rsidRPr="00FA6811">
        <w:rPr>
          <w:rFonts w:ascii="Verdana" w:hAnsi="Verdana" w:cs="Arial"/>
          <w:sz w:val="16"/>
          <w:szCs w:val="16"/>
        </w:rPr>
        <w:t>.</w:t>
      </w:r>
    </w:p>
    <w:p w14:paraId="51D546EF" w14:textId="77777777" w:rsidR="00063368" w:rsidRPr="00E776AA" w:rsidRDefault="00063368" w:rsidP="00063368">
      <w:pPr>
        <w:pStyle w:val="Textonotapie"/>
        <w:ind w:firstLine="709"/>
        <w:contextualSpacing/>
        <w:jc w:val="both"/>
        <w:rPr>
          <w:rFonts w:ascii="Verdana" w:hAnsi="Verdana" w:cs="Arial"/>
          <w:sz w:val="16"/>
          <w:szCs w:val="16"/>
        </w:rPr>
      </w:pPr>
    </w:p>
  </w:footnote>
  <w:footnote w:id="18">
    <w:p w14:paraId="7E0F3043" w14:textId="77777777" w:rsidR="00063368" w:rsidRPr="0020788E" w:rsidRDefault="00063368" w:rsidP="0067777A">
      <w:pPr>
        <w:pStyle w:val="Textonotapie"/>
        <w:ind w:firstLine="709"/>
        <w:contextualSpacing/>
        <w:rPr>
          <w:rFonts w:ascii="Verdana" w:hAnsi="Verdana"/>
          <w:sz w:val="16"/>
          <w:szCs w:val="16"/>
          <w:lang w:val="es-CO"/>
        </w:rPr>
      </w:pPr>
      <w:r w:rsidRPr="0067777A">
        <w:rPr>
          <w:rStyle w:val="Refdenotaalpie"/>
          <w:rFonts w:ascii="Verdana" w:hAnsi="Verdana"/>
          <w:sz w:val="16"/>
          <w:szCs w:val="16"/>
        </w:rPr>
        <w:footnoteRef/>
      </w:r>
      <w:r w:rsidRPr="0067777A">
        <w:rPr>
          <w:rFonts w:ascii="Verdana" w:hAnsi="Verdana"/>
          <w:sz w:val="16"/>
          <w:szCs w:val="16"/>
        </w:rPr>
        <w:t xml:space="preserve"> </w:t>
      </w:r>
      <w:r w:rsidRPr="0020788E">
        <w:rPr>
          <w:rFonts w:ascii="Verdana" w:hAnsi="Verdana"/>
          <w:sz w:val="16"/>
          <w:szCs w:val="16"/>
        </w:rPr>
        <w:t xml:space="preserve">Disponible en: </w:t>
      </w:r>
      <w:hyperlink r:id="rId3" w:history="1">
        <w:r w:rsidRPr="0020788E">
          <w:rPr>
            <w:rStyle w:val="Hipervnculo"/>
            <w:rFonts w:ascii="Verdana" w:hAnsi="Verdana"/>
            <w:sz w:val="16"/>
            <w:szCs w:val="16"/>
          </w:rPr>
          <w:t>https://relatoria.cne.gov.co/relatoria/</w:t>
        </w:r>
      </w:hyperlink>
      <w:r w:rsidRPr="0020788E">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D2909C8"/>
    <w:multiLevelType w:val="hybridMultilevel"/>
    <w:tmpl w:val="E2F20D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21058801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3368"/>
    <w:rsid w:val="000701D4"/>
    <w:rsid w:val="00082362"/>
    <w:rsid w:val="000A683E"/>
    <w:rsid w:val="000B19B9"/>
    <w:rsid w:val="000D0334"/>
    <w:rsid w:val="000D612A"/>
    <w:rsid w:val="000F6486"/>
    <w:rsid w:val="00106EA7"/>
    <w:rsid w:val="00110DFA"/>
    <w:rsid w:val="00125105"/>
    <w:rsid w:val="00127233"/>
    <w:rsid w:val="00187EF7"/>
    <w:rsid w:val="001E4177"/>
    <w:rsid w:val="001F7DC6"/>
    <w:rsid w:val="002421BB"/>
    <w:rsid w:val="0025796E"/>
    <w:rsid w:val="002707A2"/>
    <w:rsid w:val="002951A0"/>
    <w:rsid w:val="002962BC"/>
    <w:rsid w:val="002A093D"/>
    <w:rsid w:val="002A0DD0"/>
    <w:rsid w:val="002A49AC"/>
    <w:rsid w:val="002A64FD"/>
    <w:rsid w:val="002C7A84"/>
    <w:rsid w:val="002D0C1F"/>
    <w:rsid w:val="002E4FD9"/>
    <w:rsid w:val="00322A85"/>
    <w:rsid w:val="00324168"/>
    <w:rsid w:val="00327995"/>
    <w:rsid w:val="003448F4"/>
    <w:rsid w:val="00373062"/>
    <w:rsid w:val="00374F5E"/>
    <w:rsid w:val="00377E3E"/>
    <w:rsid w:val="00386375"/>
    <w:rsid w:val="003A779E"/>
    <w:rsid w:val="003D0F4D"/>
    <w:rsid w:val="003D5B0D"/>
    <w:rsid w:val="003E0499"/>
    <w:rsid w:val="003F3941"/>
    <w:rsid w:val="00400E04"/>
    <w:rsid w:val="00406575"/>
    <w:rsid w:val="00414C74"/>
    <w:rsid w:val="0042722E"/>
    <w:rsid w:val="0044528D"/>
    <w:rsid w:val="004A1847"/>
    <w:rsid w:val="004A305D"/>
    <w:rsid w:val="004C6845"/>
    <w:rsid w:val="004F21C4"/>
    <w:rsid w:val="004F685F"/>
    <w:rsid w:val="005429B4"/>
    <w:rsid w:val="005566E8"/>
    <w:rsid w:val="00571009"/>
    <w:rsid w:val="00574867"/>
    <w:rsid w:val="00591460"/>
    <w:rsid w:val="005A5512"/>
    <w:rsid w:val="005C3777"/>
    <w:rsid w:val="005C5CDC"/>
    <w:rsid w:val="005D476C"/>
    <w:rsid w:val="005D73C4"/>
    <w:rsid w:val="006219F8"/>
    <w:rsid w:val="006302F7"/>
    <w:rsid w:val="00665D70"/>
    <w:rsid w:val="00676F99"/>
    <w:rsid w:val="0067777A"/>
    <w:rsid w:val="006900D9"/>
    <w:rsid w:val="006A760C"/>
    <w:rsid w:val="006F662B"/>
    <w:rsid w:val="00706C16"/>
    <w:rsid w:val="00756841"/>
    <w:rsid w:val="007649AB"/>
    <w:rsid w:val="00771D0C"/>
    <w:rsid w:val="007833AC"/>
    <w:rsid w:val="007B268C"/>
    <w:rsid w:val="007B651B"/>
    <w:rsid w:val="007B7171"/>
    <w:rsid w:val="007C0C0F"/>
    <w:rsid w:val="007C3DC2"/>
    <w:rsid w:val="007E4E0E"/>
    <w:rsid w:val="007E5497"/>
    <w:rsid w:val="00806F5F"/>
    <w:rsid w:val="00816129"/>
    <w:rsid w:val="00820278"/>
    <w:rsid w:val="00867F95"/>
    <w:rsid w:val="008726CE"/>
    <w:rsid w:val="008843B6"/>
    <w:rsid w:val="00891928"/>
    <w:rsid w:val="00897A3A"/>
    <w:rsid w:val="008A446D"/>
    <w:rsid w:val="008C59AF"/>
    <w:rsid w:val="008D180B"/>
    <w:rsid w:val="008E5CF0"/>
    <w:rsid w:val="008F0EA7"/>
    <w:rsid w:val="00923EEF"/>
    <w:rsid w:val="009419F9"/>
    <w:rsid w:val="0095685E"/>
    <w:rsid w:val="00961B09"/>
    <w:rsid w:val="00965334"/>
    <w:rsid w:val="0097093E"/>
    <w:rsid w:val="009A0DFA"/>
    <w:rsid w:val="009B25A8"/>
    <w:rsid w:val="009B2D26"/>
    <w:rsid w:val="009C71FA"/>
    <w:rsid w:val="009C72E7"/>
    <w:rsid w:val="009D1285"/>
    <w:rsid w:val="009D3058"/>
    <w:rsid w:val="009F3A13"/>
    <w:rsid w:val="00A122D3"/>
    <w:rsid w:val="00A17F13"/>
    <w:rsid w:val="00A20739"/>
    <w:rsid w:val="00A33C78"/>
    <w:rsid w:val="00AB0ADB"/>
    <w:rsid w:val="00B00C0E"/>
    <w:rsid w:val="00B01B1A"/>
    <w:rsid w:val="00B44A47"/>
    <w:rsid w:val="00B72CD3"/>
    <w:rsid w:val="00B72FFF"/>
    <w:rsid w:val="00BC3D36"/>
    <w:rsid w:val="00BD7F72"/>
    <w:rsid w:val="00C04FB3"/>
    <w:rsid w:val="00C330EB"/>
    <w:rsid w:val="00C645ED"/>
    <w:rsid w:val="00C71C1F"/>
    <w:rsid w:val="00C754BE"/>
    <w:rsid w:val="00C76B1C"/>
    <w:rsid w:val="00CA7F44"/>
    <w:rsid w:val="00CB6357"/>
    <w:rsid w:val="00CC1B26"/>
    <w:rsid w:val="00D25D3D"/>
    <w:rsid w:val="00D423A2"/>
    <w:rsid w:val="00D502E9"/>
    <w:rsid w:val="00D520D8"/>
    <w:rsid w:val="00D63AC2"/>
    <w:rsid w:val="00D7383B"/>
    <w:rsid w:val="00DA231B"/>
    <w:rsid w:val="00DC39FC"/>
    <w:rsid w:val="00DF5254"/>
    <w:rsid w:val="00E16408"/>
    <w:rsid w:val="00E20894"/>
    <w:rsid w:val="00E245AB"/>
    <w:rsid w:val="00E2764C"/>
    <w:rsid w:val="00E27F2E"/>
    <w:rsid w:val="00E3281F"/>
    <w:rsid w:val="00E50AFE"/>
    <w:rsid w:val="00E75C92"/>
    <w:rsid w:val="00E771DC"/>
    <w:rsid w:val="00E8772A"/>
    <w:rsid w:val="00E90F6B"/>
    <w:rsid w:val="00E92C27"/>
    <w:rsid w:val="00EA0E3D"/>
    <w:rsid w:val="00EC38A7"/>
    <w:rsid w:val="00EE1AA8"/>
    <w:rsid w:val="00F136F0"/>
    <w:rsid w:val="00F31EDC"/>
    <w:rsid w:val="00F462B3"/>
    <w:rsid w:val="00F5664F"/>
    <w:rsid w:val="00F666C4"/>
    <w:rsid w:val="00F76AFC"/>
    <w:rsid w:val="00FA47C0"/>
    <w:rsid w:val="00FB3BE4"/>
    <w:rsid w:val="00FB5DD1"/>
    <w:rsid w:val="00FB7604"/>
    <w:rsid w:val="00FC2B5D"/>
    <w:rsid w:val="00FD0CAA"/>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6336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63368"/>
    <w:rPr>
      <w:rFonts w:ascii="Geomanist Light" w:hAnsi="Geomanist Light"/>
      <w:lang w:val="es-ES"/>
    </w:rPr>
  </w:style>
  <w:style w:type="character" w:customStyle="1" w:styleId="NormalWebCar">
    <w:name w:val="Normal (Web) Car"/>
    <w:link w:val="NormalWeb"/>
    <w:uiPriority w:val="99"/>
    <w:locked/>
    <w:rsid w:val="00063368"/>
    <w:rPr>
      <w:rFonts w:ascii="Times New Roman" w:eastAsia="Times New Roman" w:hAnsi="Times New Roman" w:cs="Times New Roman"/>
      <w:sz w:val="24"/>
      <w:szCs w:val="24"/>
      <w:lang w:eastAsia="es-CO"/>
    </w:rPr>
  </w:style>
  <w:style w:type="character" w:customStyle="1" w:styleId="baj">
    <w:name w:val="b_aj"/>
    <w:basedOn w:val="Fuentedeprrafopredeter"/>
    <w:rsid w:val="000633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gistraduria.gov.co/Que-son-las-elecciones-atipicas.html"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wp-content/uploads/2025/09/006-de-2025-Circular-Externa-L996-ajustado-comentarios-BM-BID-Rev-ARSC-V3.d-1.pdf"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www.colombiacompra.gov.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_emejia@outlook.com"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ne.gov.co/relatoria/"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relatoria.cne.gov.co/relatoria/" TargetMode="External"/><Relationship Id="rId2" Type="http://schemas.openxmlformats.org/officeDocument/2006/relationships/hyperlink" Target="https://registraduria.gov.co/Que-son-las-elecciones-atipicas.html" TargetMode="External"/><Relationship Id="rId1" Type="http://schemas.openxmlformats.org/officeDocument/2006/relationships/hyperlink" Target="https://www.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8DC08B-194E-4D69-A2E4-E0C889C670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103</TotalTime>
  <Pages>23</Pages>
  <Words>8166</Words>
  <Characters>45409</Characters>
  <Application>Microsoft Office Word</Application>
  <DocSecurity>0</DocSecurity>
  <Lines>840</Lines>
  <Paragraphs>170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5</cp:revision>
  <cp:lastPrinted>2023-01-10T21:18:00Z</cp:lastPrinted>
  <dcterms:created xsi:type="dcterms:W3CDTF">2025-10-31T13:19:00Z</dcterms:created>
  <dcterms:modified xsi:type="dcterms:W3CDTF">2025-11-03T18:42:00Z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