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2C091" w14:textId="77777777" w:rsidR="00C1511F" w:rsidRPr="00E4475B" w:rsidRDefault="00C1511F" w:rsidP="00C1511F">
      <w:pPr>
        <w:spacing w:line="276" w:lineRule="auto"/>
        <w:jc w:val="both"/>
        <w:rPr>
          <w:rFonts w:ascii="Verdana" w:eastAsia="Calibri" w:hAnsi="Verdana" w:cs="Arial"/>
          <w:b/>
          <w:bCs/>
          <w:lang w:val="es-ES" w:eastAsia="es-ES"/>
        </w:rPr>
      </w:pPr>
      <w:bookmarkStart w:id="0" w:name="_Hlk211854899"/>
      <w:bookmarkStart w:id="1" w:name="_Hlk181166130"/>
      <w:bookmarkStart w:id="2" w:name="_Hlk209714638"/>
      <w:bookmarkEnd w:id="0"/>
      <w:r w:rsidRPr="00E4475B">
        <w:rPr>
          <w:rFonts w:ascii="Verdana" w:eastAsia="Calibri" w:hAnsi="Verdana" w:cs="Arial"/>
          <w:b/>
          <w:bCs/>
          <w:lang w:val="es-ES" w:eastAsia="es-ES"/>
        </w:rPr>
        <w:t xml:space="preserve">PLAN ANUAL DE ADQUISICIONES – Contenido </w:t>
      </w:r>
    </w:p>
    <w:p w14:paraId="6BF26320" w14:textId="77777777" w:rsidR="00C1511F" w:rsidRPr="00E4475B" w:rsidRDefault="00C1511F" w:rsidP="00C1511F">
      <w:pPr>
        <w:jc w:val="both"/>
        <w:rPr>
          <w:rFonts w:ascii="Verdana" w:eastAsia="Calibri" w:hAnsi="Verdana" w:cs="Arial"/>
          <w:lang w:val="es-ES" w:eastAsia="es-ES"/>
        </w:rPr>
      </w:pPr>
      <w:r w:rsidRPr="00E4475B">
        <w:rPr>
          <w:rFonts w:ascii="Verdana" w:eastAsia="Calibri" w:hAnsi="Verdana" w:cs="Arial"/>
          <w:lang w:val="es-ES" w:eastAsia="es-ES"/>
        </w:rPr>
        <w:t xml:space="preserve">El artículo 2.2.1.1.1.4.1. del Decreto 1082 de 2015 establece el deber de elaborar el plan anual de adquisiciones, que debe contener un listado de lo que la entidad adquirirá durante el año, para satisfacer sus necesidades de bienes, obras o servicios, y debe tener la información desagregada, principalmente en los siguientes aspectos: i) identificación con el clasificador de bienes y servicios, </w:t>
      </w:r>
      <w:proofErr w:type="spellStart"/>
      <w:r w:rsidRPr="00E4475B">
        <w:rPr>
          <w:rFonts w:ascii="Verdana" w:eastAsia="Calibri" w:hAnsi="Verdana" w:cs="Arial"/>
          <w:lang w:val="es-ES" w:eastAsia="es-ES"/>
        </w:rPr>
        <w:t>ii</w:t>
      </w:r>
      <w:proofErr w:type="spellEnd"/>
      <w:r w:rsidRPr="00E4475B">
        <w:rPr>
          <w:rFonts w:ascii="Verdana" w:eastAsia="Calibri" w:hAnsi="Verdana" w:cs="Arial"/>
          <w:lang w:val="es-ES" w:eastAsia="es-ES"/>
        </w:rPr>
        <w:t xml:space="preserve">) valor estimado del contrato, </w:t>
      </w:r>
      <w:proofErr w:type="spellStart"/>
      <w:r w:rsidRPr="00E4475B">
        <w:rPr>
          <w:rFonts w:ascii="Verdana" w:eastAsia="Calibri" w:hAnsi="Verdana" w:cs="Arial"/>
          <w:lang w:val="es-ES" w:eastAsia="es-ES"/>
        </w:rPr>
        <w:t>iii</w:t>
      </w:r>
      <w:proofErr w:type="spellEnd"/>
      <w:r w:rsidRPr="00E4475B">
        <w:rPr>
          <w:rFonts w:ascii="Verdana" w:eastAsia="Calibri" w:hAnsi="Verdana" w:cs="Arial"/>
          <w:lang w:val="es-ES" w:eastAsia="es-ES"/>
        </w:rPr>
        <w:t xml:space="preserve">) tipo de recursos, </w:t>
      </w:r>
      <w:proofErr w:type="spellStart"/>
      <w:r w:rsidRPr="00E4475B">
        <w:rPr>
          <w:rFonts w:ascii="Verdana" w:eastAsia="Calibri" w:hAnsi="Verdana" w:cs="Arial"/>
          <w:lang w:val="es-ES" w:eastAsia="es-ES"/>
        </w:rPr>
        <w:t>iv</w:t>
      </w:r>
      <w:proofErr w:type="spellEnd"/>
      <w:r w:rsidRPr="00E4475B">
        <w:rPr>
          <w:rFonts w:ascii="Verdana" w:eastAsia="Calibri" w:hAnsi="Verdana" w:cs="Arial"/>
          <w:lang w:val="es-ES" w:eastAsia="es-ES"/>
        </w:rPr>
        <w:t>) modalidad de selección y v) fecha de inicio del proceso contractual. Con relación a la configuración de dicho listado, en primer lugar, es necesario resaltar que el objetivo del Plan Anual de Adquisiciones es indicar los bienes, obras y servicios que la entidad pretende adquirir, sin consideración a la forma en que estos se obtendrán, pues es el criterio de necesidad de aquellos el que fundamenta la inclusión o no en la lista del plan y no el carácter pecuniario. Por tanto, bastará con que la entidad identifique la necesidad contractual para que deba incluirlo en el listado.</w:t>
      </w:r>
    </w:p>
    <w:p w14:paraId="4CD1A48E" w14:textId="77777777" w:rsidR="00C1511F" w:rsidRPr="00E4475B" w:rsidRDefault="00C1511F" w:rsidP="00C1511F">
      <w:pPr>
        <w:spacing w:line="276" w:lineRule="auto"/>
        <w:jc w:val="both"/>
        <w:rPr>
          <w:rFonts w:ascii="Verdana" w:eastAsia="Calibri" w:hAnsi="Verdana" w:cs="Arial"/>
          <w:b/>
          <w:bCs/>
          <w:lang w:val="es-ES" w:eastAsia="es-ES"/>
        </w:rPr>
      </w:pPr>
      <w:r w:rsidRPr="00E4475B">
        <w:rPr>
          <w:rFonts w:ascii="Verdana" w:eastAsia="Calibri" w:hAnsi="Verdana" w:cs="Arial"/>
          <w:b/>
          <w:bCs/>
          <w:lang w:val="es-ES" w:eastAsia="es-ES"/>
        </w:rPr>
        <w:t>PLAN ANUAL DE ADQUISICIONES – Carácter estimativo</w:t>
      </w:r>
    </w:p>
    <w:p w14:paraId="21A2C503" w14:textId="77777777" w:rsidR="00C1511F" w:rsidRPr="00E4475B" w:rsidRDefault="00C1511F" w:rsidP="00C1511F">
      <w:pPr>
        <w:spacing w:line="276" w:lineRule="auto"/>
        <w:jc w:val="both"/>
        <w:rPr>
          <w:rFonts w:ascii="Verdana" w:eastAsia="Calibri" w:hAnsi="Verdana" w:cs="Arial"/>
          <w:lang w:val="es-ES" w:eastAsia="es-ES"/>
        </w:rPr>
      </w:pPr>
      <w:r w:rsidRPr="00E4475B">
        <w:rPr>
          <w:rFonts w:ascii="Verdana" w:eastAsia="Calibri" w:hAnsi="Verdana" w:cs="Arial"/>
          <w:lang w:val="es-ES" w:eastAsia="es-ES"/>
        </w:rPr>
        <w:t>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Lo anterior, explica por qué no tiene que existir necesariamente identidad entre el valor del contrato previsto en el plan y el de cada procedimiento de contratación, porque la norma señaló que el valor del contrato, señalado en el plan, es “estimado”. La misma conclusión aplica para todas las modalidades de contratación que deberán ser incluidas en el Plan Anual de Adquisiciones, porque la norma señala que deben incluirse todas las necesidades de contratación, sin importar que generen o no erogación, la fecha aproximada en que se iniciará el proceso de contratación y, en general, para todo el contenido del plan. Incluso, por esta misma razón, es innecesaria la identidad entre el valor señalado en el plan y el monto por el cual finalmente se suscribe el contrato, pues lo usual es que luego de realizar el procedimiento de selección, el valor inicial definido de acuerdo con los ofrecimientos realizados por los proponentes será por dicho valor que finalmente se suscriba el contrato.</w:t>
      </w:r>
    </w:p>
    <w:p w14:paraId="7C6CCD5E" w14:textId="11580CAA" w:rsidR="00C1511F" w:rsidRPr="00E4475B" w:rsidRDefault="00C1511F" w:rsidP="00C1511F">
      <w:pPr>
        <w:spacing w:after="0" w:line="240" w:lineRule="auto"/>
        <w:rPr>
          <w:rFonts w:ascii="Verdana" w:eastAsia="Calibri" w:hAnsi="Verdana" w:cs="Arial"/>
          <w:b/>
          <w:bCs/>
          <w:lang w:val="es-ES" w:eastAsia="es-ES"/>
        </w:rPr>
      </w:pPr>
      <w:r w:rsidRPr="00E4475B">
        <w:rPr>
          <w:rFonts w:ascii="Verdana" w:eastAsia="Calibri" w:hAnsi="Verdana" w:cs="Arial"/>
          <w:b/>
          <w:bCs/>
          <w:lang w:val="es-ES" w:eastAsia="es-ES"/>
        </w:rPr>
        <w:t xml:space="preserve">PLAN ANUAL DE ADQUISICIONES – Actualización </w:t>
      </w:r>
      <w:r w:rsidR="00D530FB">
        <w:rPr>
          <w:rFonts w:ascii="Verdana" w:eastAsia="Calibri" w:hAnsi="Verdana" w:cs="Arial"/>
          <w:b/>
          <w:bCs/>
          <w:lang w:val="es-ES" w:eastAsia="es-ES"/>
        </w:rPr>
        <w:t xml:space="preserve">– modificación. </w:t>
      </w:r>
    </w:p>
    <w:p w14:paraId="750F81B6" w14:textId="77777777" w:rsidR="00C1511F" w:rsidRPr="00E4475B" w:rsidRDefault="00C1511F" w:rsidP="00C1511F">
      <w:pPr>
        <w:spacing w:after="0" w:line="240" w:lineRule="auto"/>
        <w:jc w:val="both"/>
        <w:rPr>
          <w:rFonts w:ascii="Verdana" w:eastAsia="Calibri" w:hAnsi="Verdana" w:cs="Arial"/>
          <w:lang w:val="es-ES" w:eastAsia="es-ES"/>
        </w:rPr>
      </w:pPr>
    </w:p>
    <w:p w14:paraId="6EF018FA" w14:textId="77777777" w:rsidR="00C1511F" w:rsidRPr="00E4475B" w:rsidRDefault="00C1511F" w:rsidP="00C1511F">
      <w:pPr>
        <w:spacing w:after="0" w:line="240" w:lineRule="auto"/>
        <w:jc w:val="both"/>
        <w:rPr>
          <w:rFonts w:ascii="Verdana" w:eastAsia="Calibri" w:hAnsi="Verdana" w:cs="Arial"/>
          <w:lang w:val="es-ES" w:eastAsia="es-ES"/>
        </w:rPr>
      </w:pPr>
      <w:r w:rsidRPr="00E4475B">
        <w:rPr>
          <w:rFonts w:ascii="Verdana" w:eastAsia="Calibri" w:hAnsi="Verdana" w:cs="Arial"/>
          <w:lang w:val="es-ES" w:eastAsia="es-ES"/>
        </w:rPr>
        <w:lastRenderedPageBreak/>
        <w:t xml:space="preserve">El artículo 2.2.1.1.1.4.4. del Decreto 1082 de 2015, en el inciso 1, fijó, en criterio de esta Subdirección, el alcance de la facultad otorgada a las entidades para actualizar el plan anual de adquisiciones. Por ello es pertinente consultar el significado natural del verbo rector de la disposición y luego establecer los límites establecidos en la norma. </w:t>
      </w:r>
    </w:p>
    <w:p w14:paraId="0BFB2463" w14:textId="77777777" w:rsidR="00C1511F" w:rsidRDefault="00C1511F" w:rsidP="00C1511F">
      <w:pPr>
        <w:spacing w:after="0" w:line="240" w:lineRule="auto"/>
        <w:rPr>
          <w:rFonts w:ascii="Verdana" w:hAnsi="Verdana"/>
        </w:rPr>
      </w:pPr>
    </w:p>
    <w:p w14:paraId="3CAF9D4B" w14:textId="77777777" w:rsidR="00C1511F" w:rsidRDefault="00C1511F" w:rsidP="00C1511F">
      <w:pPr>
        <w:spacing w:after="0" w:line="240" w:lineRule="auto"/>
        <w:rPr>
          <w:rFonts w:ascii="Verdana" w:hAnsi="Verdana"/>
        </w:rPr>
      </w:pPr>
    </w:p>
    <w:p w14:paraId="383209FB" w14:textId="77777777" w:rsidR="00C1511F" w:rsidRDefault="00C1511F" w:rsidP="00C1511F">
      <w:pPr>
        <w:spacing w:after="0" w:line="240" w:lineRule="auto"/>
        <w:rPr>
          <w:rFonts w:ascii="Verdana" w:hAnsi="Verdana"/>
        </w:rPr>
      </w:pPr>
    </w:p>
    <w:p w14:paraId="72B5C3D0" w14:textId="77777777" w:rsidR="00C1511F" w:rsidRDefault="00C1511F" w:rsidP="00C1511F">
      <w:pPr>
        <w:spacing w:after="0" w:line="240" w:lineRule="auto"/>
        <w:rPr>
          <w:rFonts w:ascii="Verdana" w:hAnsi="Verdana"/>
        </w:rPr>
      </w:pPr>
    </w:p>
    <w:p w14:paraId="4225F667" w14:textId="77777777" w:rsidR="00C1511F" w:rsidRDefault="00C1511F" w:rsidP="00C1511F">
      <w:pPr>
        <w:spacing w:after="0" w:line="240" w:lineRule="auto"/>
        <w:rPr>
          <w:rFonts w:ascii="Verdana" w:hAnsi="Verdana"/>
        </w:rPr>
      </w:pPr>
    </w:p>
    <w:p w14:paraId="456AA05D" w14:textId="77777777" w:rsidR="00C1511F" w:rsidRDefault="00C1511F" w:rsidP="00C1511F">
      <w:pPr>
        <w:spacing w:after="0" w:line="240" w:lineRule="auto"/>
        <w:rPr>
          <w:rFonts w:ascii="Verdana" w:hAnsi="Verdana"/>
        </w:rPr>
      </w:pPr>
    </w:p>
    <w:p w14:paraId="2696EC8C" w14:textId="77777777" w:rsidR="00C1511F" w:rsidRDefault="00C1511F" w:rsidP="00C1511F">
      <w:pPr>
        <w:spacing w:after="0" w:line="240" w:lineRule="auto"/>
        <w:rPr>
          <w:rFonts w:ascii="Verdana" w:hAnsi="Verdana"/>
        </w:rPr>
      </w:pPr>
    </w:p>
    <w:p w14:paraId="06FD8BC2" w14:textId="77777777" w:rsidR="00C1511F" w:rsidRDefault="00C1511F" w:rsidP="00C1511F">
      <w:pPr>
        <w:spacing w:after="0" w:line="240" w:lineRule="auto"/>
        <w:rPr>
          <w:rFonts w:ascii="Verdana" w:hAnsi="Verdana"/>
        </w:rPr>
      </w:pPr>
    </w:p>
    <w:p w14:paraId="47E73D3C" w14:textId="77777777" w:rsidR="00C1511F" w:rsidRDefault="00C1511F" w:rsidP="00C1511F">
      <w:pPr>
        <w:spacing w:after="0" w:line="240" w:lineRule="auto"/>
        <w:rPr>
          <w:rFonts w:ascii="Verdana" w:hAnsi="Verdana"/>
        </w:rPr>
      </w:pPr>
    </w:p>
    <w:p w14:paraId="0D2503A3" w14:textId="77777777" w:rsidR="00C1511F" w:rsidRDefault="00C1511F" w:rsidP="00C1511F">
      <w:pPr>
        <w:spacing w:after="0" w:line="240" w:lineRule="auto"/>
        <w:rPr>
          <w:rFonts w:ascii="Verdana" w:hAnsi="Verdana"/>
        </w:rPr>
      </w:pPr>
    </w:p>
    <w:p w14:paraId="600939B6" w14:textId="77777777" w:rsidR="00C1511F" w:rsidRDefault="00C1511F" w:rsidP="00C1511F">
      <w:pPr>
        <w:spacing w:after="0" w:line="240" w:lineRule="auto"/>
        <w:rPr>
          <w:rFonts w:ascii="Verdana" w:hAnsi="Verdana"/>
        </w:rPr>
      </w:pPr>
    </w:p>
    <w:p w14:paraId="5CF7EF7B" w14:textId="77777777" w:rsidR="00C1511F" w:rsidRDefault="00C1511F" w:rsidP="00C1511F">
      <w:pPr>
        <w:spacing w:after="0" w:line="240" w:lineRule="auto"/>
        <w:rPr>
          <w:rFonts w:ascii="Verdana" w:hAnsi="Verdana"/>
        </w:rPr>
      </w:pPr>
    </w:p>
    <w:p w14:paraId="2EAB1EE5" w14:textId="77777777" w:rsidR="00C1511F" w:rsidRDefault="00C1511F" w:rsidP="00C1511F">
      <w:pPr>
        <w:spacing w:after="0" w:line="240" w:lineRule="auto"/>
        <w:rPr>
          <w:rFonts w:ascii="Verdana" w:hAnsi="Verdana"/>
        </w:rPr>
      </w:pPr>
    </w:p>
    <w:p w14:paraId="75CD0F87" w14:textId="77777777" w:rsidR="00C1511F" w:rsidRDefault="00C1511F" w:rsidP="00C1511F">
      <w:pPr>
        <w:spacing w:after="0" w:line="240" w:lineRule="auto"/>
        <w:rPr>
          <w:rFonts w:ascii="Verdana" w:hAnsi="Verdana"/>
        </w:rPr>
      </w:pPr>
    </w:p>
    <w:p w14:paraId="56D9B42A" w14:textId="77777777" w:rsidR="00C1511F" w:rsidRDefault="00C1511F" w:rsidP="00C1511F">
      <w:pPr>
        <w:spacing w:after="0" w:line="240" w:lineRule="auto"/>
        <w:rPr>
          <w:rFonts w:ascii="Verdana" w:hAnsi="Verdana"/>
        </w:rPr>
      </w:pPr>
    </w:p>
    <w:p w14:paraId="78E18E7D" w14:textId="77777777" w:rsidR="00C1511F" w:rsidRDefault="00C1511F" w:rsidP="00C1511F">
      <w:pPr>
        <w:spacing w:after="0" w:line="240" w:lineRule="auto"/>
        <w:rPr>
          <w:rFonts w:ascii="Verdana" w:hAnsi="Verdana"/>
        </w:rPr>
      </w:pPr>
    </w:p>
    <w:p w14:paraId="00244C72" w14:textId="77777777" w:rsidR="00C1511F" w:rsidRDefault="00C1511F" w:rsidP="00C1511F">
      <w:pPr>
        <w:spacing w:after="0" w:line="240" w:lineRule="auto"/>
        <w:rPr>
          <w:rFonts w:ascii="Verdana" w:hAnsi="Verdana"/>
        </w:rPr>
      </w:pPr>
    </w:p>
    <w:p w14:paraId="0B956EC9" w14:textId="77777777" w:rsidR="00C1511F" w:rsidRDefault="00C1511F" w:rsidP="00C1511F">
      <w:pPr>
        <w:spacing w:after="0" w:line="240" w:lineRule="auto"/>
        <w:rPr>
          <w:rFonts w:ascii="Verdana" w:hAnsi="Verdana"/>
        </w:rPr>
      </w:pPr>
    </w:p>
    <w:p w14:paraId="7EC7BF6D" w14:textId="77777777" w:rsidR="00C1511F" w:rsidRDefault="00C1511F" w:rsidP="00C1511F">
      <w:pPr>
        <w:spacing w:after="0" w:line="240" w:lineRule="auto"/>
        <w:rPr>
          <w:rFonts w:ascii="Verdana" w:hAnsi="Verdana"/>
        </w:rPr>
      </w:pPr>
    </w:p>
    <w:p w14:paraId="5007BFD5" w14:textId="77777777" w:rsidR="00C1511F" w:rsidRDefault="00C1511F" w:rsidP="00C1511F">
      <w:pPr>
        <w:spacing w:after="0" w:line="240" w:lineRule="auto"/>
        <w:rPr>
          <w:rFonts w:ascii="Verdana" w:hAnsi="Verdana"/>
        </w:rPr>
      </w:pPr>
    </w:p>
    <w:p w14:paraId="54573A0D" w14:textId="77777777" w:rsidR="00C1511F" w:rsidRDefault="00C1511F" w:rsidP="00C1511F">
      <w:pPr>
        <w:spacing w:after="0" w:line="240" w:lineRule="auto"/>
        <w:rPr>
          <w:rFonts w:ascii="Verdana" w:hAnsi="Verdana"/>
        </w:rPr>
      </w:pPr>
    </w:p>
    <w:p w14:paraId="315ADF3D" w14:textId="77777777" w:rsidR="00C1511F" w:rsidRDefault="00C1511F" w:rsidP="00C1511F">
      <w:pPr>
        <w:spacing w:after="0" w:line="240" w:lineRule="auto"/>
        <w:rPr>
          <w:rFonts w:ascii="Verdana" w:hAnsi="Verdana"/>
        </w:rPr>
      </w:pPr>
    </w:p>
    <w:p w14:paraId="0632EAD3" w14:textId="77777777" w:rsidR="00C1511F" w:rsidRDefault="00C1511F" w:rsidP="00C1511F">
      <w:pPr>
        <w:spacing w:after="0" w:line="240" w:lineRule="auto"/>
        <w:rPr>
          <w:rFonts w:ascii="Verdana" w:hAnsi="Verdana"/>
        </w:rPr>
      </w:pPr>
    </w:p>
    <w:p w14:paraId="6A6754F3" w14:textId="77777777" w:rsidR="00C1511F" w:rsidRDefault="00C1511F" w:rsidP="00C1511F">
      <w:pPr>
        <w:spacing w:after="0" w:line="240" w:lineRule="auto"/>
        <w:rPr>
          <w:rFonts w:ascii="Verdana" w:hAnsi="Verdana"/>
        </w:rPr>
      </w:pPr>
    </w:p>
    <w:p w14:paraId="1932E63D" w14:textId="77777777" w:rsidR="00C1511F" w:rsidRDefault="00C1511F" w:rsidP="00C1511F">
      <w:pPr>
        <w:spacing w:after="0" w:line="240" w:lineRule="auto"/>
        <w:rPr>
          <w:rFonts w:ascii="Verdana" w:hAnsi="Verdana"/>
        </w:rPr>
      </w:pPr>
    </w:p>
    <w:p w14:paraId="50B78495" w14:textId="77777777" w:rsidR="00C1511F" w:rsidRDefault="00C1511F" w:rsidP="00C1511F">
      <w:pPr>
        <w:spacing w:after="0" w:line="240" w:lineRule="auto"/>
        <w:rPr>
          <w:rFonts w:ascii="Verdana" w:hAnsi="Verdana"/>
        </w:rPr>
      </w:pPr>
    </w:p>
    <w:p w14:paraId="2B661A7A" w14:textId="77777777" w:rsidR="00C1511F" w:rsidRDefault="00C1511F" w:rsidP="00C1511F">
      <w:pPr>
        <w:spacing w:after="0" w:line="240" w:lineRule="auto"/>
        <w:rPr>
          <w:rFonts w:ascii="Verdana" w:hAnsi="Verdana"/>
        </w:rPr>
      </w:pPr>
    </w:p>
    <w:p w14:paraId="071285B4" w14:textId="77777777" w:rsidR="00C1511F" w:rsidRDefault="00C1511F" w:rsidP="00C1511F">
      <w:pPr>
        <w:spacing w:after="0" w:line="240" w:lineRule="auto"/>
        <w:rPr>
          <w:rFonts w:ascii="Verdana" w:hAnsi="Verdana"/>
        </w:rPr>
      </w:pPr>
    </w:p>
    <w:p w14:paraId="6C9FF386" w14:textId="77777777" w:rsidR="00C1511F" w:rsidRDefault="00C1511F" w:rsidP="00C1511F">
      <w:pPr>
        <w:spacing w:after="0" w:line="240" w:lineRule="auto"/>
        <w:rPr>
          <w:rFonts w:ascii="Verdana" w:hAnsi="Verdana"/>
        </w:rPr>
      </w:pPr>
    </w:p>
    <w:p w14:paraId="4F4E512B" w14:textId="77777777" w:rsidR="00C1511F" w:rsidRDefault="00C1511F" w:rsidP="00C1511F">
      <w:pPr>
        <w:spacing w:after="0" w:line="240" w:lineRule="auto"/>
        <w:rPr>
          <w:rFonts w:ascii="Verdana" w:hAnsi="Verdana"/>
        </w:rPr>
      </w:pPr>
    </w:p>
    <w:p w14:paraId="0A8CB145" w14:textId="77777777" w:rsidR="00C1511F" w:rsidRDefault="00C1511F" w:rsidP="00C1511F">
      <w:pPr>
        <w:spacing w:after="0" w:line="240" w:lineRule="auto"/>
        <w:rPr>
          <w:rFonts w:ascii="Verdana" w:hAnsi="Verdana"/>
        </w:rPr>
      </w:pPr>
    </w:p>
    <w:p w14:paraId="527964F4" w14:textId="77777777" w:rsidR="00C1511F" w:rsidRDefault="00C1511F" w:rsidP="00C1511F">
      <w:pPr>
        <w:spacing w:after="0" w:line="240" w:lineRule="auto"/>
        <w:rPr>
          <w:rFonts w:ascii="Verdana" w:hAnsi="Verdana"/>
        </w:rPr>
      </w:pPr>
    </w:p>
    <w:p w14:paraId="1622CA05" w14:textId="77777777" w:rsidR="00C1511F" w:rsidRDefault="00C1511F" w:rsidP="00C1511F">
      <w:pPr>
        <w:spacing w:after="0" w:line="240" w:lineRule="auto"/>
        <w:rPr>
          <w:rFonts w:ascii="Verdana" w:hAnsi="Verdana"/>
        </w:rPr>
      </w:pPr>
    </w:p>
    <w:p w14:paraId="4FACF270" w14:textId="77777777" w:rsidR="00C1511F" w:rsidRDefault="00C1511F" w:rsidP="00C1511F">
      <w:pPr>
        <w:spacing w:after="0" w:line="240" w:lineRule="auto"/>
        <w:rPr>
          <w:rFonts w:ascii="Verdana" w:hAnsi="Verdana"/>
        </w:rPr>
      </w:pPr>
    </w:p>
    <w:p w14:paraId="38DD9D9C" w14:textId="77777777" w:rsidR="00C1511F" w:rsidRDefault="00C1511F" w:rsidP="00C1511F">
      <w:pPr>
        <w:spacing w:after="0" w:line="240" w:lineRule="auto"/>
        <w:rPr>
          <w:rFonts w:ascii="Verdana" w:hAnsi="Verdana"/>
        </w:rPr>
      </w:pPr>
    </w:p>
    <w:p w14:paraId="28F44B3B" w14:textId="77777777" w:rsidR="00C1511F" w:rsidRDefault="00C1511F" w:rsidP="00C1511F">
      <w:pPr>
        <w:spacing w:after="0" w:line="240" w:lineRule="auto"/>
        <w:rPr>
          <w:rFonts w:ascii="Verdana" w:hAnsi="Verdana"/>
        </w:rPr>
      </w:pPr>
    </w:p>
    <w:p w14:paraId="3EF6DCF1" w14:textId="77777777" w:rsidR="00C1511F" w:rsidRDefault="00C1511F" w:rsidP="00C1511F">
      <w:pPr>
        <w:spacing w:after="0" w:line="240" w:lineRule="auto"/>
        <w:rPr>
          <w:rFonts w:ascii="Verdana" w:hAnsi="Verdana"/>
        </w:rPr>
      </w:pPr>
    </w:p>
    <w:p w14:paraId="1F86E078" w14:textId="77777777" w:rsidR="00C1511F" w:rsidRDefault="00C1511F" w:rsidP="00C1511F">
      <w:pPr>
        <w:spacing w:after="0" w:line="240" w:lineRule="auto"/>
        <w:rPr>
          <w:rFonts w:ascii="Verdana" w:hAnsi="Verdana"/>
        </w:rPr>
      </w:pPr>
    </w:p>
    <w:p w14:paraId="145E2A0C" w14:textId="77777777" w:rsidR="00C1511F" w:rsidRDefault="00C1511F" w:rsidP="00C1511F">
      <w:pPr>
        <w:spacing w:after="0" w:line="240" w:lineRule="auto"/>
        <w:rPr>
          <w:rFonts w:ascii="Verdana" w:hAnsi="Verdana"/>
        </w:rPr>
      </w:pPr>
    </w:p>
    <w:p w14:paraId="7B7FC8A6" w14:textId="598B945E" w:rsidR="00C1511F" w:rsidRDefault="00C1511F" w:rsidP="00C1511F">
      <w:pPr>
        <w:spacing w:after="0" w:line="240" w:lineRule="auto"/>
        <w:rPr>
          <w:rFonts w:ascii="Verdana" w:hAnsi="Verdana"/>
        </w:rPr>
      </w:pPr>
      <w:r>
        <w:rPr>
          <w:rFonts w:ascii="Verdana" w:hAnsi="Verdana"/>
        </w:rPr>
        <w:t>B</w:t>
      </w:r>
      <w:r w:rsidRPr="0044528D">
        <w:rPr>
          <w:rFonts w:ascii="Verdana" w:hAnsi="Verdana"/>
        </w:rPr>
        <w:t xml:space="preserve">ogotá D.C., </w:t>
      </w:r>
      <w:r w:rsidR="006105DF">
        <w:rPr>
          <w:rFonts w:ascii="Verdana" w:hAnsi="Verdana"/>
        </w:rPr>
        <w:t>13</w:t>
      </w:r>
      <w:r>
        <w:rPr>
          <w:rFonts w:ascii="Verdana" w:hAnsi="Verdana"/>
        </w:rPr>
        <w:t xml:space="preserve"> de </w:t>
      </w:r>
      <w:r w:rsidR="006105DF">
        <w:rPr>
          <w:rFonts w:ascii="Verdana" w:hAnsi="Verdana"/>
        </w:rPr>
        <w:t>noviembre</w:t>
      </w:r>
      <w:r w:rsidR="00CA4CCC">
        <w:rPr>
          <w:rFonts w:ascii="Verdana" w:hAnsi="Verdana"/>
        </w:rPr>
        <w:t xml:space="preserve"> </w:t>
      </w:r>
      <w:r>
        <w:rPr>
          <w:rFonts w:ascii="Verdana" w:hAnsi="Verdana"/>
        </w:rPr>
        <w:t xml:space="preserve">de </w:t>
      </w:r>
      <w:r w:rsidR="00131D54">
        <w:rPr>
          <w:rFonts w:ascii="Verdana" w:hAnsi="Verdana"/>
        </w:rPr>
        <w:t>2025</w:t>
      </w:r>
      <w:r>
        <w:rPr>
          <w:rFonts w:ascii="Verdana" w:hAnsi="Verdana"/>
        </w:rPr>
        <w:t>.</w:t>
      </w:r>
    </w:p>
    <w:bookmarkEnd w:id="1"/>
    <w:p w14:paraId="704194A5" w14:textId="77777777" w:rsidR="00C1511F" w:rsidRDefault="00C1511F" w:rsidP="00C1511F">
      <w:pPr>
        <w:spacing w:after="0" w:line="240" w:lineRule="auto"/>
        <w:rPr>
          <w:rFonts w:ascii="Verdana" w:hAnsi="Verdana"/>
        </w:rPr>
      </w:pPr>
    </w:p>
    <w:p w14:paraId="1EF06006" w14:textId="238502E5" w:rsidR="00C1511F" w:rsidRDefault="006105DF" w:rsidP="006105DF">
      <w:pPr>
        <w:spacing w:after="0" w:line="240" w:lineRule="auto"/>
        <w:jc w:val="right"/>
        <w:rPr>
          <w:rFonts w:ascii="Verdana" w:hAnsi="Verdana"/>
        </w:rPr>
      </w:pPr>
      <w:r>
        <w:rPr>
          <w:rFonts w:ascii="Verdana" w:hAnsi="Verdana"/>
          <w:noProof/>
        </w:rPr>
        <w:drawing>
          <wp:inline distT="0" distB="0" distL="0" distR="0" wp14:anchorId="6F190C71" wp14:editId="4B9EBB51">
            <wp:extent cx="2114550" cy="514350"/>
            <wp:effectExtent l="0" t="0" r="0" b="0"/>
            <wp:docPr id="3752405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14550" cy="514350"/>
                    </a:xfrm>
                    <a:prstGeom prst="rect">
                      <a:avLst/>
                    </a:prstGeom>
                    <a:noFill/>
                    <a:ln>
                      <a:noFill/>
                    </a:ln>
                  </pic:spPr>
                </pic:pic>
              </a:graphicData>
            </a:graphic>
          </wp:inline>
        </w:drawing>
      </w:r>
    </w:p>
    <w:p w14:paraId="10A69C8F" w14:textId="77777777" w:rsidR="006105DF" w:rsidRDefault="006105DF" w:rsidP="00C1511F">
      <w:pPr>
        <w:spacing w:after="0" w:line="240" w:lineRule="auto"/>
        <w:rPr>
          <w:rFonts w:ascii="Verdana" w:hAnsi="Verdana"/>
        </w:rPr>
      </w:pPr>
    </w:p>
    <w:p w14:paraId="7FD89B18" w14:textId="77777777" w:rsidR="006105DF" w:rsidRDefault="006105DF" w:rsidP="00C1511F">
      <w:pPr>
        <w:spacing w:after="0" w:line="240" w:lineRule="auto"/>
        <w:rPr>
          <w:rFonts w:ascii="Verdana" w:hAnsi="Verdana"/>
        </w:rPr>
      </w:pPr>
    </w:p>
    <w:p w14:paraId="06A0972E" w14:textId="7637F335" w:rsidR="00C1511F" w:rsidRPr="003575D1" w:rsidRDefault="00C1511F" w:rsidP="00C1511F">
      <w:pPr>
        <w:spacing w:after="0" w:line="240" w:lineRule="auto"/>
        <w:jc w:val="both"/>
        <w:rPr>
          <w:rFonts w:ascii="Verdana" w:eastAsia="Calibri" w:hAnsi="Verdana" w:cs="Arial"/>
          <w:lang w:eastAsia="es-ES"/>
        </w:rPr>
      </w:pPr>
      <w:r w:rsidRPr="003575D1">
        <w:rPr>
          <w:rFonts w:ascii="Verdana" w:eastAsia="Calibri" w:hAnsi="Verdana" w:cs="Arial"/>
          <w:lang w:eastAsia="es-ES"/>
        </w:rPr>
        <w:t>Señor</w:t>
      </w:r>
      <w:r w:rsidR="006370D8">
        <w:rPr>
          <w:rFonts w:ascii="Verdana" w:eastAsia="Calibri" w:hAnsi="Verdana" w:cs="Arial"/>
          <w:lang w:eastAsia="es-ES"/>
        </w:rPr>
        <w:t>a</w:t>
      </w:r>
      <w:r w:rsidRPr="003575D1">
        <w:rPr>
          <w:rFonts w:ascii="Verdana" w:eastAsia="Calibri" w:hAnsi="Verdana" w:cs="Arial"/>
          <w:lang w:eastAsia="es-ES"/>
        </w:rPr>
        <w:tab/>
      </w:r>
    </w:p>
    <w:p w14:paraId="5A61946C" w14:textId="77777777" w:rsidR="00CA4CCC" w:rsidRDefault="00CA4CCC" w:rsidP="00C1511F">
      <w:pPr>
        <w:spacing w:after="0" w:line="240" w:lineRule="auto"/>
        <w:rPr>
          <w:rFonts w:ascii="Verdana" w:eastAsia="Calibri" w:hAnsi="Verdana" w:cs="Arial"/>
          <w:b/>
          <w:bCs/>
          <w:lang w:eastAsia="es-ES"/>
        </w:rPr>
      </w:pPr>
      <w:r w:rsidRPr="00CA4CCC">
        <w:rPr>
          <w:rFonts w:ascii="Verdana" w:eastAsia="Calibri" w:hAnsi="Verdana" w:cs="Arial"/>
          <w:b/>
          <w:bCs/>
          <w:lang w:eastAsia="es-ES"/>
        </w:rPr>
        <w:t>MARIA ELIZETTE ROJAS CALDERON</w:t>
      </w:r>
    </w:p>
    <w:p w14:paraId="485C12B4" w14:textId="60FBF75B" w:rsidR="00C1511F" w:rsidRDefault="006370D8" w:rsidP="00C1511F">
      <w:pPr>
        <w:spacing w:after="0" w:line="240" w:lineRule="auto"/>
        <w:rPr>
          <w:rFonts w:ascii="Verdana" w:hAnsi="Verdana"/>
        </w:rPr>
      </w:pPr>
      <w:hyperlink r:id="rId12" w:history="1">
        <w:r w:rsidRPr="00D855BC">
          <w:rPr>
            <w:rStyle w:val="Hipervnculo"/>
            <w:rFonts w:ascii="Verdana" w:hAnsi="Verdana"/>
          </w:rPr>
          <w:t>maria.rojas@alcaldianeiva.gov.co</w:t>
        </w:r>
      </w:hyperlink>
      <w:r>
        <w:rPr>
          <w:rFonts w:ascii="Verdana" w:hAnsi="Verdana"/>
        </w:rPr>
        <w:t xml:space="preserve"> </w:t>
      </w:r>
    </w:p>
    <w:p w14:paraId="5B850941" w14:textId="03CB7A92" w:rsidR="006370D8" w:rsidRPr="003575D1" w:rsidRDefault="006370D8" w:rsidP="00C1511F">
      <w:pPr>
        <w:spacing w:after="0" w:line="240" w:lineRule="auto"/>
        <w:rPr>
          <w:rFonts w:ascii="Verdana" w:hAnsi="Verdana"/>
          <w:highlight w:val="yellow"/>
        </w:rPr>
      </w:pPr>
      <w:r>
        <w:rPr>
          <w:rFonts w:ascii="Verdana" w:hAnsi="Verdana"/>
        </w:rPr>
        <w:t>Nieva (Huila)</w:t>
      </w:r>
    </w:p>
    <w:p w14:paraId="0F464BC6" w14:textId="77777777" w:rsidR="00C1511F" w:rsidRPr="00FE3DEC" w:rsidRDefault="00C1511F" w:rsidP="00C1511F">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C1511F" w:rsidRPr="00593A5F" w14:paraId="2CC523E4" w14:textId="77777777" w:rsidTr="00660F64">
        <w:trPr>
          <w:trHeight w:val="273"/>
        </w:trPr>
        <w:tc>
          <w:tcPr>
            <w:tcW w:w="2295" w:type="dxa"/>
          </w:tcPr>
          <w:p w14:paraId="16D5B03E" w14:textId="77777777" w:rsidR="00C1511F" w:rsidRPr="00E5644F" w:rsidRDefault="00C1511F" w:rsidP="00660F64">
            <w:pPr>
              <w:jc w:val="both"/>
              <w:rPr>
                <w:rFonts w:ascii="Verdana" w:eastAsia="Calibri" w:hAnsi="Verdana" w:cs="Arial"/>
                <w:b/>
                <w:bCs/>
                <w:color w:val="7030A0"/>
                <w:lang w:val="es-ES_tradnl" w:eastAsia="es-ES_tradnl"/>
              </w:rPr>
            </w:pPr>
          </w:p>
        </w:tc>
        <w:tc>
          <w:tcPr>
            <w:tcW w:w="6481" w:type="dxa"/>
            <w:gridSpan w:val="2"/>
          </w:tcPr>
          <w:p w14:paraId="1ED6EEAD" w14:textId="3145E570" w:rsidR="00C1511F" w:rsidRDefault="00C1511F" w:rsidP="00660F64">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CA4CCC">
              <w:rPr>
                <w:rFonts w:ascii="Verdana" w:eastAsia="Calibri" w:hAnsi="Verdana" w:cs="Arial"/>
                <w:b/>
                <w:bCs/>
                <w:lang w:val="es-ES" w:eastAsia="es-ES"/>
              </w:rPr>
              <w:t>1448</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68F2682" w14:textId="77777777" w:rsidR="00C1511F" w:rsidRPr="00E5644F" w:rsidRDefault="00C1511F" w:rsidP="00660F64">
            <w:pPr>
              <w:jc w:val="both"/>
              <w:rPr>
                <w:rFonts w:ascii="Verdana" w:eastAsia="Calibri" w:hAnsi="Verdana" w:cs="Arial"/>
                <w:b/>
                <w:bCs/>
                <w:color w:val="7030A0"/>
                <w:lang w:val="es-ES" w:eastAsia="es-ES"/>
              </w:rPr>
            </w:pPr>
          </w:p>
        </w:tc>
      </w:tr>
      <w:tr w:rsidR="00C1511F" w:rsidRPr="00280D79" w14:paraId="49EB07A3" w14:textId="77777777" w:rsidTr="00660F64">
        <w:trPr>
          <w:trHeight w:val="1228"/>
        </w:trPr>
        <w:tc>
          <w:tcPr>
            <w:tcW w:w="2295" w:type="dxa"/>
          </w:tcPr>
          <w:p w14:paraId="21FEB36D" w14:textId="77777777" w:rsidR="00C1511F" w:rsidRPr="00593A5F" w:rsidRDefault="00C1511F" w:rsidP="00660F6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43362F05" w14:textId="0750B511" w:rsidR="00C1511F" w:rsidRPr="00C95794" w:rsidRDefault="00C1511F" w:rsidP="00660F64">
            <w:pPr>
              <w:jc w:val="both"/>
              <w:rPr>
                <w:rFonts w:ascii="Verdana" w:eastAsia="Calibri" w:hAnsi="Verdana" w:cs="Arial"/>
                <w:color w:val="000000"/>
                <w:lang w:val="es-ES"/>
              </w:rPr>
            </w:pPr>
            <w:r w:rsidRPr="003918F7">
              <w:rPr>
                <w:rFonts w:ascii="Verdana" w:eastAsia="Calibri" w:hAnsi="Verdana" w:cs="Arial"/>
                <w:color w:val="000000" w:themeColor="text1"/>
                <w:szCs w:val="24"/>
                <w:lang w:eastAsia="es-ES_tradnl"/>
              </w:rPr>
              <w:t>PLAN ANUAL DE ADQUISICIONES – Contenido / PLAN ANUAL DE ADQUISICIONES – Carácter estimativo / PLAN ANUAL DE ADQUISICIONES – Actualización</w:t>
            </w:r>
            <w:r w:rsidR="002D1330">
              <w:rPr>
                <w:rFonts w:ascii="Verdana" w:eastAsia="Calibri" w:hAnsi="Verdana" w:cs="Arial"/>
                <w:color w:val="000000" w:themeColor="text1"/>
                <w:szCs w:val="24"/>
                <w:lang w:eastAsia="es-ES_tradnl"/>
              </w:rPr>
              <w:t xml:space="preserve"> – Modificación </w:t>
            </w:r>
          </w:p>
          <w:p w14:paraId="10B6A52A" w14:textId="77777777" w:rsidR="00C1511F" w:rsidRPr="00280D79" w:rsidRDefault="00C1511F" w:rsidP="00660F64">
            <w:pPr>
              <w:jc w:val="both"/>
              <w:rPr>
                <w:rFonts w:ascii="Verdana" w:eastAsia="Calibri" w:hAnsi="Verdana" w:cs="Arial"/>
                <w:b/>
                <w:highlight w:val="yellow"/>
                <w:lang w:val="es-ES" w:eastAsia="es-ES"/>
              </w:rPr>
            </w:pPr>
          </w:p>
        </w:tc>
      </w:tr>
      <w:tr w:rsidR="00C1511F" w:rsidRPr="00593A5F" w14:paraId="571ABAF4" w14:textId="77777777" w:rsidTr="00660F64">
        <w:trPr>
          <w:trHeight w:val="545"/>
        </w:trPr>
        <w:tc>
          <w:tcPr>
            <w:tcW w:w="2295" w:type="dxa"/>
          </w:tcPr>
          <w:p w14:paraId="5890C7B6" w14:textId="77777777" w:rsidR="00C1511F" w:rsidRPr="006730E9" w:rsidRDefault="00C1511F" w:rsidP="00660F6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454A869B" w14:textId="18685956" w:rsidR="00C1511F" w:rsidRPr="006730E9" w:rsidRDefault="00C1511F" w:rsidP="00660F6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6370D8" w:rsidRPr="006370D8">
              <w:rPr>
                <w:rFonts w:ascii="Verdana" w:eastAsia="Calibri" w:hAnsi="Verdana" w:cs="Arial"/>
                <w:lang w:val="es-ES_tradnl" w:eastAsia="es-ES_tradnl"/>
              </w:rPr>
              <w:t>1_2025_10_03_011075</w:t>
            </w:r>
          </w:p>
        </w:tc>
      </w:tr>
      <w:tr w:rsidR="00C1511F" w:rsidRPr="00DB23D2" w14:paraId="391F5535" w14:textId="77777777" w:rsidTr="00660F64">
        <w:trPr>
          <w:gridAfter w:val="1"/>
          <w:wAfter w:w="319" w:type="dxa"/>
          <w:trHeight w:val="242"/>
        </w:trPr>
        <w:tc>
          <w:tcPr>
            <w:tcW w:w="8457" w:type="dxa"/>
            <w:gridSpan w:val="2"/>
          </w:tcPr>
          <w:p w14:paraId="378309E5" w14:textId="77777777" w:rsidR="00C1511F" w:rsidRPr="00DB23D2" w:rsidRDefault="00C1511F" w:rsidP="00660F64">
            <w:pPr>
              <w:spacing w:line="276" w:lineRule="auto"/>
              <w:jc w:val="both"/>
              <w:rPr>
                <w:rFonts w:ascii="Verdana" w:eastAsia="Calibri" w:hAnsi="Verdana" w:cs="Arial"/>
                <w:lang w:val="es-ES_tradnl" w:eastAsia="es-ES"/>
              </w:rPr>
            </w:pPr>
          </w:p>
        </w:tc>
      </w:tr>
    </w:tbl>
    <w:p w14:paraId="0214A2E1" w14:textId="27116CB9" w:rsidR="00C1511F" w:rsidRPr="006730E9" w:rsidRDefault="00C1511F" w:rsidP="00C1511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6370D8">
        <w:rPr>
          <w:rFonts w:ascii="Verdana" w:eastAsia="Calibri" w:hAnsi="Verdana" w:cs="Arial"/>
          <w:lang w:val="es-ES" w:eastAsia="es-ES"/>
        </w:rPr>
        <w:t>a</w:t>
      </w:r>
      <w:r>
        <w:rPr>
          <w:rFonts w:ascii="Verdana" w:eastAsia="Calibri" w:hAnsi="Verdana" w:cs="Arial"/>
          <w:lang w:val="es-ES" w:eastAsia="es-ES"/>
        </w:rPr>
        <w:t xml:space="preserve"> </w:t>
      </w:r>
      <w:r w:rsidRPr="006730E9">
        <w:rPr>
          <w:rFonts w:ascii="Verdana" w:eastAsia="Calibri" w:hAnsi="Verdana" w:cs="Arial"/>
          <w:lang w:val="es-ES" w:eastAsia="es-ES"/>
        </w:rPr>
        <w:t>señor</w:t>
      </w:r>
      <w:r w:rsidR="006370D8">
        <w:rPr>
          <w:rFonts w:ascii="Verdana" w:eastAsia="Calibri" w:hAnsi="Verdana" w:cs="Arial"/>
          <w:lang w:val="es-ES" w:eastAsia="es-ES"/>
        </w:rPr>
        <w:t>a</w:t>
      </w:r>
      <w:r>
        <w:rPr>
          <w:rFonts w:ascii="Verdana" w:eastAsia="Calibri" w:hAnsi="Verdana" w:cs="Arial"/>
          <w:lang w:val="es-ES" w:eastAsia="es-ES"/>
        </w:rPr>
        <w:t xml:space="preserve"> </w:t>
      </w:r>
      <w:r w:rsidR="006370D8">
        <w:rPr>
          <w:rFonts w:ascii="Verdana" w:eastAsia="Calibri" w:hAnsi="Verdana" w:cs="Arial"/>
          <w:lang w:val="es-ES" w:eastAsia="es-ES"/>
        </w:rPr>
        <w:t>Rojas</w:t>
      </w:r>
      <w:r>
        <w:rPr>
          <w:rFonts w:ascii="Verdana" w:eastAsia="Calibri" w:hAnsi="Verdana" w:cs="Arial"/>
          <w:lang w:val="es-ES" w:eastAsia="es-ES"/>
        </w:rPr>
        <w:t>;</w:t>
      </w:r>
    </w:p>
    <w:p w14:paraId="6CB9564C" w14:textId="77777777" w:rsidR="00C1511F" w:rsidRDefault="00C1511F" w:rsidP="00C1511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1D30832C" w14:textId="2E1582BE" w:rsidR="00C1511F" w:rsidRPr="006730E9" w:rsidRDefault="00C1511F" w:rsidP="00C1511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sidR="006370D8">
        <w:rPr>
          <w:rFonts w:ascii="Verdana" w:eastAsia="Calibri" w:hAnsi="Verdana" w:cs="Arial"/>
          <w:lang w:val="es-ES" w:eastAsia="es-ES"/>
        </w:rPr>
        <w:t>0</w:t>
      </w:r>
      <w:r>
        <w:rPr>
          <w:rFonts w:ascii="Verdana" w:eastAsia="Calibri" w:hAnsi="Verdana" w:cs="Arial"/>
          <w:lang w:val="es-ES" w:eastAsia="es-ES"/>
        </w:rPr>
        <w:t>3</w:t>
      </w:r>
      <w:r w:rsidRPr="00656A22">
        <w:rPr>
          <w:rFonts w:ascii="Verdana" w:eastAsia="Calibri" w:hAnsi="Verdana" w:cs="Arial"/>
          <w:lang w:val="es-ES" w:eastAsia="es-ES"/>
        </w:rPr>
        <w:t xml:space="preserve"> de </w:t>
      </w:r>
      <w:r w:rsidR="006370D8">
        <w:rPr>
          <w:rFonts w:ascii="Verdana" w:eastAsia="Calibri" w:hAnsi="Verdana" w:cs="Arial"/>
          <w:lang w:val="es-ES" w:eastAsia="es-ES"/>
        </w:rPr>
        <w:t>octu</w:t>
      </w:r>
      <w:r>
        <w:rPr>
          <w:rFonts w:ascii="Verdana" w:eastAsia="Calibri" w:hAnsi="Verdana" w:cs="Arial"/>
          <w:lang w:val="es-ES" w:eastAsia="es-ES"/>
        </w:rPr>
        <w:t>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6924E634" w14:textId="77777777" w:rsidR="00C1511F" w:rsidRPr="00326382" w:rsidRDefault="00C1511F" w:rsidP="00C1511F">
      <w:pPr>
        <w:spacing w:after="0" w:line="276" w:lineRule="auto"/>
        <w:ind w:left="709" w:right="474"/>
        <w:jc w:val="both"/>
        <w:rPr>
          <w:rFonts w:ascii="Verdana" w:hAnsi="Verdana" w:cs="Arial"/>
          <w:sz w:val="20"/>
          <w:szCs w:val="20"/>
          <w:shd w:val="clear" w:color="auto" w:fill="FFFFFF"/>
        </w:rPr>
      </w:pPr>
      <w:bookmarkStart w:id="3" w:name="_Hlk95313578"/>
    </w:p>
    <w:bookmarkEnd w:id="3"/>
    <w:p w14:paraId="47A05413" w14:textId="77777777" w:rsidR="00C1511F" w:rsidRPr="003575D1" w:rsidRDefault="00C1511F" w:rsidP="00C1511F">
      <w:pPr>
        <w:tabs>
          <w:tab w:val="left" w:pos="142"/>
          <w:tab w:val="left" w:pos="567"/>
        </w:tabs>
        <w:spacing w:after="0" w:line="240" w:lineRule="auto"/>
        <w:ind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 xml:space="preserve">          “(…) </w:t>
      </w:r>
    </w:p>
    <w:p w14:paraId="21CE14D9" w14:textId="77777777" w:rsidR="006370D8" w:rsidRPr="006370D8" w:rsidRDefault="006370D8" w:rsidP="006370D8">
      <w:pPr>
        <w:tabs>
          <w:tab w:val="left" w:pos="142"/>
          <w:tab w:val="left" w:pos="567"/>
        </w:tabs>
        <w:spacing w:after="0" w:line="240" w:lineRule="auto"/>
        <w:ind w:left="709" w:right="709"/>
        <w:jc w:val="both"/>
        <w:rPr>
          <w:rFonts w:ascii="Verdana" w:eastAsia="Century Gothic" w:hAnsi="Verdana" w:cs="Century Gothic"/>
          <w:i/>
          <w:iCs/>
          <w:sz w:val="20"/>
          <w:szCs w:val="20"/>
        </w:rPr>
      </w:pPr>
      <w:r w:rsidRPr="006370D8">
        <w:rPr>
          <w:rFonts w:ascii="Verdana" w:eastAsia="Century Gothic" w:hAnsi="Verdana" w:cs="Century Gothic"/>
          <w:i/>
          <w:iCs/>
          <w:sz w:val="20"/>
          <w:szCs w:val="20"/>
        </w:rPr>
        <w:t>Requiero información respecto a modificaciones de valor del Plan Anual de</w:t>
      </w:r>
    </w:p>
    <w:p w14:paraId="7A027E54" w14:textId="77777777" w:rsidR="006370D8" w:rsidRPr="006370D8" w:rsidRDefault="006370D8" w:rsidP="006370D8">
      <w:pPr>
        <w:tabs>
          <w:tab w:val="left" w:pos="142"/>
          <w:tab w:val="left" w:pos="567"/>
        </w:tabs>
        <w:spacing w:after="0" w:line="240" w:lineRule="auto"/>
        <w:ind w:left="709" w:right="709"/>
        <w:jc w:val="both"/>
        <w:rPr>
          <w:rFonts w:ascii="Verdana" w:eastAsia="Century Gothic" w:hAnsi="Verdana" w:cs="Century Gothic"/>
          <w:i/>
          <w:iCs/>
          <w:sz w:val="20"/>
          <w:szCs w:val="20"/>
        </w:rPr>
      </w:pPr>
      <w:r w:rsidRPr="006370D8">
        <w:rPr>
          <w:rFonts w:ascii="Verdana" w:eastAsia="Century Gothic" w:hAnsi="Verdana" w:cs="Century Gothic"/>
          <w:i/>
          <w:iCs/>
          <w:sz w:val="20"/>
          <w:szCs w:val="20"/>
        </w:rPr>
        <w:t>Adquisiciones cuando ya una adquisición está asociada a un proceso de</w:t>
      </w:r>
    </w:p>
    <w:p w14:paraId="25ED77A7" w14:textId="28950AE2" w:rsidR="006370D8" w:rsidRPr="006370D8" w:rsidRDefault="006370D8" w:rsidP="006370D8">
      <w:pPr>
        <w:tabs>
          <w:tab w:val="left" w:pos="142"/>
          <w:tab w:val="left" w:pos="567"/>
        </w:tabs>
        <w:spacing w:after="0" w:line="240" w:lineRule="auto"/>
        <w:ind w:left="709" w:right="709"/>
        <w:jc w:val="both"/>
        <w:rPr>
          <w:rFonts w:ascii="Verdana" w:eastAsia="Century Gothic" w:hAnsi="Verdana" w:cs="Century Gothic"/>
          <w:i/>
          <w:iCs/>
          <w:sz w:val="20"/>
          <w:szCs w:val="20"/>
        </w:rPr>
      </w:pPr>
      <w:r w:rsidRPr="006370D8">
        <w:rPr>
          <w:rFonts w:ascii="Verdana" w:eastAsia="Century Gothic" w:hAnsi="Verdana" w:cs="Century Gothic"/>
          <w:i/>
          <w:iCs/>
          <w:sz w:val="20"/>
          <w:szCs w:val="20"/>
        </w:rPr>
        <w:t>contratación. Si bien una Institución Educativa con régimen especial, publica aviso</w:t>
      </w:r>
      <w:r>
        <w:rPr>
          <w:rFonts w:ascii="Verdana" w:eastAsia="Century Gothic" w:hAnsi="Verdana" w:cs="Century Gothic"/>
          <w:i/>
          <w:iCs/>
          <w:sz w:val="20"/>
          <w:szCs w:val="20"/>
        </w:rPr>
        <w:t xml:space="preserve"> </w:t>
      </w:r>
      <w:r w:rsidRPr="006370D8">
        <w:rPr>
          <w:rFonts w:ascii="Verdana" w:eastAsia="Century Gothic" w:hAnsi="Verdana" w:cs="Century Gothic"/>
          <w:i/>
          <w:iCs/>
          <w:sz w:val="20"/>
          <w:szCs w:val="20"/>
        </w:rPr>
        <w:t>de convocatoria a través del SECOP II donde por regla se debe asociar la</w:t>
      </w:r>
      <w:r>
        <w:rPr>
          <w:rFonts w:ascii="Verdana" w:eastAsia="Century Gothic" w:hAnsi="Verdana" w:cs="Century Gothic"/>
          <w:i/>
          <w:iCs/>
          <w:sz w:val="20"/>
          <w:szCs w:val="20"/>
        </w:rPr>
        <w:t xml:space="preserve"> </w:t>
      </w:r>
      <w:r w:rsidRPr="006370D8">
        <w:rPr>
          <w:rFonts w:ascii="Verdana" w:eastAsia="Century Gothic" w:hAnsi="Verdana" w:cs="Century Gothic"/>
          <w:i/>
          <w:iCs/>
          <w:sz w:val="20"/>
          <w:szCs w:val="20"/>
        </w:rPr>
        <w:t>adquisición (esto lo hace con el fin de que se presenten varios oferentes y mayor</w:t>
      </w:r>
      <w:r>
        <w:rPr>
          <w:rFonts w:ascii="Verdana" w:eastAsia="Century Gothic" w:hAnsi="Verdana" w:cs="Century Gothic"/>
          <w:i/>
          <w:iCs/>
          <w:sz w:val="20"/>
          <w:szCs w:val="20"/>
        </w:rPr>
        <w:t xml:space="preserve"> </w:t>
      </w:r>
      <w:r w:rsidRPr="006370D8">
        <w:rPr>
          <w:rFonts w:ascii="Verdana" w:eastAsia="Century Gothic" w:hAnsi="Verdana" w:cs="Century Gothic"/>
          <w:i/>
          <w:iCs/>
          <w:sz w:val="20"/>
          <w:szCs w:val="20"/>
        </w:rPr>
        <w:t xml:space="preserve">transparencia) una vez adjudicado el contrato, éste se crea en </w:t>
      </w:r>
      <w:proofErr w:type="spellStart"/>
      <w:r w:rsidRPr="006370D8">
        <w:rPr>
          <w:rFonts w:ascii="Verdana" w:eastAsia="Century Gothic" w:hAnsi="Verdana" w:cs="Century Gothic"/>
          <w:i/>
          <w:iCs/>
          <w:sz w:val="20"/>
          <w:szCs w:val="20"/>
        </w:rPr>
        <w:t>secop</w:t>
      </w:r>
      <w:proofErr w:type="spellEnd"/>
      <w:r w:rsidRPr="006370D8">
        <w:rPr>
          <w:rFonts w:ascii="Verdana" w:eastAsia="Century Gothic" w:hAnsi="Verdana" w:cs="Century Gothic"/>
          <w:i/>
          <w:iCs/>
          <w:sz w:val="20"/>
          <w:szCs w:val="20"/>
        </w:rPr>
        <w:t xml:space="preserve"> pero queda</w:t>
      </w:r>
      <w:r>
        <w:rPr>
          <w:rFonts w:ascii="Verdana" w:eastAsia="Century Gothic" w:hAnsi="Verdana" w:cs="Century Gothic"/>
          <w:i/>
          <w:iCs/>
          <w:sz w:val="20"/>
          <w:szCs w:val="20"/>
        </w:rPr>
        <w:t xml:space="preserve"> </w:t>
      </w:r>
      <w:r w:rsidRPr="006370D8">
        <w:rPr>
          <w:rFonts w:ascii="Verdana" w:eastAsia="Century Gothic" w:hAnsi="Verdana" w:cs="Century Gothic"/>
          <w:i/>
          <w:iCs/>
          <w:sz w:val="20"/>
          <w:szCs w:val="20"/>
        </w:rPr>
        <w:t xml:space="preserve">con el </w:t>
      </w:r>
      <w:proofErr w:type="spellStart"/>
      <w:r w:rsidRPr="006370D8">
        <w:rPr>
          <w:rFonts w:ascii="Verdana" w:eastAsia="Century Gothic" w:hAnsi="Verdana" w:cs="Century Gothic"/>
          <w:i/>
          <w:iCs/>
          <w:sz w:val="20"/>
          <w:szCs w:val="20"/>
        </w:rPr>
        <w:t>vr</w:t>
      </w:r>
      <w:proofErr w:type="spellEnd"/>
      <w:r w:rsidRPr="006370D8">
        <w:rPr>
          <w:rFonts w:ascii="Verdana" w:eastAsia="Century Gothic" w:hAnsi="Verdana" w:cs="Century Gothic"/>
          <w:i/>
          <w:iCs/>
          <w:sz w:val="20"/>
          <w:szCs w:val="20"/>
        </w:rPr>
        <w:t xml:space="preserve"> de la </w:t>
      </w:r>
      <w:proofErr w:type="spellStart"/>
      <w:r w:rsidRPr="006370D8">
        <w:rPr>
          <w:rFonts w:ascii="Verdana" w:eastAsia="Century Gothic" w:hAnsi="Verdana" w:cs="Century Gothic"/>
          <w:i/>
          <w:iCs/>
          <w:sz w:val="20"/>
          <w:szCs w:val="20"/>
        </w:rPr>
        <w:t>adquisicion</w:t>
      </w:r>
      <w:proofErr w:type="spellEnd"/>
      <w:r w:rsidRPr="006370D8">
        <w:rPr>
          <w:rFonts w:ascii="Verdana" w:eastAsia="Century Gothic" w:hAnsi="Verdana" w:cs="Century Gothic"/>
          <w:i/>
          <w:iCs/>
          <w:sz w:val="20"/>
          <w:szCs w:val="20"/>
        </w:rPr>
        <w:t xml:space="preserve"> inicialmente estimado en el PAA. Qué hacer para que el</w:t>
      </w:r>
      <w:r>
        <w:rPr>
          <w:rFonts w:ascii="Verdana" w:eastAsia="Century Gothic" w:hAnsi="Verdana" w:cs="Century Gothic"/>
          <w:i/>
          <w:iCs/>
          <w:sz w:val="20"/>
          <w:szCs w:val="20"/>
        </w:rPr>
        <w:t xml:space="preserve"> </w:t>
      </w:r>
      <w:r w:rsidRPr="006370D8">
        <w:rPr>
          <w:rFonts w:ascii="Verdana" w:eastAsia="Century Gothic" w:hAnsi="Verdana" w:cs="Century Gothic"/>
          <w:i/>
          <w:iCs/>
          <w:sz w:val="20"/>
          <w:szCs w:val="20"/>
        </w:rPr>
        <w:t xml:space="preserve">proceso quede con el valor real?. </w:t>
      </w:r>
      <w:r w:rsidR="004C3576" w:rsidRPr="006370D8">
        <w:rPr>
          <w:rFonts w:ascii="Verdana" w:eastAsia="Century Gothic" w:hAnsi="Verdana" w:cs="Century Gothic"/>
          <w:i/>
          <w:iCs/>
          <w:sz w:val="20"/>
          <w:szCs w:val="20"/>
        </w:rPr>
        <w:t>¿Se debe segur publicando el Aviso?</w:t>
      </w:r>
    </w:p>
    <w:p w14:paraId="7D4F856C" w14:textId="219C1657" w:rsidR="006370D8" w:rsidRDefault="006370D8" w:rsidP="00C1511F">
      <w:pPr>
        <w:tabs>
          <w:tab w:val="left" w:pos="142"/>
          <w:tab w:val="left" w:pos="567"/>
        </w:tabs>
        <w:spacing w:after="0" w:line="240" w:lineRule="auto"/>
        <w:ind w:left="709" w:right="709"/>
        <w:jc w:val="both"/>
        <w:rPr>
          <w:rFonts w:ascii="Verdana" w:eastAsia="Century Gothic" w:hAnsi="Verdana" w:cs="Century Gothic"/>
          <w:i/>
          <w:iCs/>
          <w:sz w:val="20"/>
          <w:szCs w:val="20"/>
        </w:rPr>
      </w:pPr>
      <w:r w:rsidRPr="006370D8">
        <w:rPr>
          <w:rFonts w:ascii="Verdana" w:eastAsia="Century Gothic" w:hAnsi="Verdana" w:cs="Century Gothic"/>
          <w:i/>
          <w:iCs/>
          <w:sz w:val="20"/>
          <w:szCs w:val="20"/>
        </w:rPr>
        <w:t>como Institución Educativa, se ha tenido hallazgos por parte de los entes de control</w:t>
      </w:r>
      <w:r>
        <w:rPr>
          <w:rFonts w:ascii="Verdana" w:eastAsia="Century Gothic" w:hAnsi="Verdana" w:cs="Century Gothic"/>
          <w:i/>
          <w:iCs/>
          <w:sz w:val="20"/>
          <w:szCs w:val="20"/>
        </w:rPr>
        <w:t xml:space="preserve"> </w:t>
      </w:r>
      <w:r w:rsidRPr="006370D8">
        <w:rPr>
          <w:rFonts w:ascii="Verdana" w:eastAsia="Century Gothic" w:hAnsi="Verdana" w:cs="Century Gothic"/>
          <w:i/>
          <w:iCs/>
          <w:sz w:val="20"/>
          <w:szCs w:val="20"/>
        </w:rPr>
        <w:t>por cuanto el valor contratado no son coherentes con el relacionado en el PAA. Es</w:t>
      </w:r>
      <w:r>
        <w:rPr>
          <w:rFonts w:ascii="Verdana" w:eastAsia="Century Gothic" w:hAnsi="Verdana" w:cs="Century Gothic"/>
          <w:i/>
          <w:iCs/>
          <w:sz w:val="20"/>
          <w:szCs w:val="20"/>
        </w:rPr>
        <w:t xml:space="preserve"> </w:t>
      </w:r>
      <w:r w:rsidRPr="006370D8">
        <w:rPr>
          <w:rFonts w:ascii="Verdana" w:eastAsia="Century Gothic" w:hAnsi="Verdana" w:cs="Century Gothic"/>
          <w:i/>
          <w:iCs/>
          <w:sz w:val="20"/>
          <w:szCs w:val="20"/>
        </w:rPr>
        <w:t>importante aclarar, que la Institución puede modificar la Adquisición antes de</w:t>
      </w:r>
      <w:r>
        <w:rPr>
          <w:rFonts w:ascii="Verdana" w:eastAsia="Century Gothic" w:hAnsi="Verdana" w:cs="Century Gothic"/>
          <w:i/>
          <w:iCs/>
          <w:sz w:val="20"/>
          <w:szCs w:val="20"/>
        </w:rPr>
        <w:t xml:space="preserve"> </w:t>
      </w:r>
      <w:r w:rsidRPr="006370D8">
        <w:rPr>
          <w:rFonts w:ascii="Verdana" w:eastAsia="Century Gothic" w:hAnsi="Verdana" w:cs="Century Gothic"/>
          <w:i/>
          <w:iCs/>
          <w:sz w:val="20"/>
          <w:szCs w:val="20"/>
        </w:rPr>
        <w:t>realizar la publicación del Aviso de convocatoria, sin embargo, no es posible porque</w:t>
      </w:r>
      <w:r>
        <w:rPr>
          <w:rFonts w:ascii="Verdana" w:eastAsia="Century Gothic" w:hAnsi="Verdana" w:cs="Century Gothic"/>
          <w:i/>
          <w:iCs/>
          <w:sz w:val="20"/>
          <w:szCs w:val="20"/>
        </w:rPr>
        <w:t xml:space="preserve"> </w:t>
      </w:r>
      <w:r w:rsidRPr="006370D8">
        <w:rPr>
          <w:rFonts w:ascii="Verdana" w:eastAsia="Century Gothic" w:hAnsi="Verdana" w:cs="Century Gothic"/>
          <w:i/>
          <w:iCs/>
          <w:sz w:val="20"/>
          <w:szCs w:val="20"/>
        </w:rPr>
        <w:t>aún no se sabe con exactitud el valor del contrato</w:t>
      </w:r>
      <w:r>
        <w:rPr>
          <w:rFonts w:ascii="Verdana" w:eastAsia="Century Gothic" w:hAnsi="Verdana" w:cs="Century Gothic"/>
          <w:i/>
          <w:iCs/>
          <w:sz w:val="20"/>
          <w:szCs w:val="20"/>
        </w:rPr>
        <w:t>.</w:t>
      </w:r>
    </w:p>
    <w:p w14:paraId="08FB820C" w14:textId="35E06A01" w:rsidR="00C1511F" w:rsidRPr="00EA70F7" w:rsidRDefault="00C1511F" w:rsidP="00C1511F">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33B8BBA2" w14:textId="77777777" w:rsidR="00C1511F" w:rsidRDefault="00C1511F" w:rsidP="00C1511F">
      <w:pPr>
        <w:spacing w:after="0" w:line="276" w:lineRule="auto"/>
        <w:ind w:firstLine="709"/>
        <w:jc w:val="both"/>
        <w:rPr>
          <w:rFonts w:ascii="Verdana" w:eastAsia="Calibri" w:hAnsi="Verdana" w:cs="Arial"/>
          <w:lang w:val="es-ES" w:eastAsia="es-ES"/>
        </w:rPr>
      </w:pPr>
    </w:p>
    <w:p w14:paraId="5103154F" w14:textId="77777777" w:rsidR="00C1511F" w:rsidRPr="00AA3B9F" w:rsidRDefault="00C1511F" w:rsidP="00C1511F">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7E556145" w14:textId="77777777" w:rsidR="00C1511F" w:rsidRDefault="00C1511F" w:rsidP="00C1511F">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C8191A6" w14:textId="77777777" w:rsidR="00C1511F" w:rsidRDefault="00C1511F" w:rsidP="00C1511F">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01BD5145" w14:textId="27A165EA" w:rsidR="00C1511F" w:rsidRDefault="00C1511F" w:rsidP="00C1511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s jurídicos </w:t>
      </w:r>
      <w:r w:rsidRPr="00593A5F">
        <w:rPr>
          <w:rFonts w:ascii="Verdana" w:eastAsia="Century Gothic" w:hAnsi="Verdana" w:cs="Century Gothic"/>
          <w:b/>
          <w:bCs/>
        </w:rPr>
        <w:t>planteado</w:t>
      </w:r>
      <w:r>
        <w:rPr>
          <w:rFonts w:ascii="Verdana" w:eastAsia="Century Gothic" w:hAnsi="Verdana" w:cs="Century Gothic"/>
          <w:b/>
          <w:bCs/>
        </w:rPr>
        <w:t>s</w:t>
      </w:r>
      <w:r w:rsidR="001672A5">
        <w:rPr>
          <w:rFonts w:ascii="Verdana" w:eastAsia="Century Gothic" w:hAnsi="Verdana" w:cs="Century Gothic"/>
          <w:b/>
          <w:bCs/>
        </w:rPr>
        <w:t xml:space="preserve"> </w:t>
      </w:r>
      <w:r w:rsidRPr="00593A5F">
        <w:rPr>
          <w:rFonts w:ascii="Verdana" w:eastAsia="Century Gothic" w:hAnsi="Verdana" w:cs="Century Gothic"/>
          <w:b/>
          <w:bCs/>
        </w:rPr>
        <w:t>:</w:t>
      </w:r>
    </w:p>
    <w:p w14:paraId="56E36DE0" w14:textId="77777777" w:rsidR="00C1511F" w:rsidRDefault="00C1511F" w:rsidP="00C1511F">
      <w:pPr>
        <w:pStyle w:val="Prrafodelista"/>
        <w:tabs>
          <w:tab w:val="left" w:pos="142"/>
          <w:tab w:val="left" w:pos="284"/>
        </w:tabs>
        <w:spacing w:after="0" w:line="276" w:lineRule="auto"/>
        <w:ind w:left="0"/>
        <w:jc w:val="both"/>
        <w:rPr>
          <w:rFonts w:ascii="Verdana" w:eastAsia="Century Gothic" w:hAnsi="Verdana" w:cs="Century Gothic"/>
          <w:b/>
          <w:bCs/>
        </w:rPr>
      </w:pPr>
    </w:p>
    <w:p w14:paraId="53E8C31E" w14:textId="2D9F45E6" w:rsidR="00C1511F" w:rsidRDefault="00C1511F" w:rsidP="00C1511F">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4" w:name="_Hlk196737317"/>
      <w:r>
        <w:rPr>
          <w:rFonts w:ascii="Verdana" w:eastAsia="Calibri" w:hAnsi="Verdana" w:cs="Arial"/>
          <w:lang w:eastAsia="es-ES"/>
        </w:rPr>
        <w:t xml:space="preserve"> </w:t>
      </w:r>
      <w:r w:rsidR="002D1330" w:rsidRPr="002D1330">
        <w:rPr>
          <w:rFonts w:ascii="Verdana" w:eastAsia="Calibri" w:hAnsi="Verdana" w:cs="Arial"/>
          <w:lang w:eastAsia="es-ES"/>
        </w:rPr>
        <w:t>¿Puede modificarse el Plan Anual de Adquisiciones (PAA) después de la adjudicación del contrato para ajustar la información al proceso contractual ejecutado?</w:t>
      </w:r>
    </w:p>
    <w:p w14:paraId="35F934B1" w14:textId="77777777" w:rsidR="002D1330" w:rsidRDefault="002D1330" w:rsidP="00C1511F">
      <w:pPr>
        <w:spacing w:after="0" w:line="276" w:lineRule="auto"/>
        <w:jc w:val="both"/>
        <w:rPr>
          <w:rFonts w:ascii="Verdana" w:eastAsia="Calibri" w:hAnsi="Verdana" w:cs="Arial"/>
          <w:lang w:eastAsia="es-ES"/>
        </w:rPr>
      </w:pPr>
    </w:p>
    <w:bookmarkEnd w:id="4"/>
    <w:p w14:paraId="23923788" w14:textId="77777777" w:rsidR="00C1511F" w:rsidRDefault="00C1511F" w:rsidP="00C151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B6929E2" w14:textId="77777777" w:rsidR="00C1511F" w:rsidRPr="00593A5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1511F" w:rsidRPr="00593A5F" w14:paraId="10B80104" w14:textId="77777777" w:rsidTr="00660F64">
        <w:tc>
          <w:tcPr>
            <w:tcW w:w="8828" w:type="dxa"/>
          </w:tcPr>
          <w:p w14:paraId="4C7895E6" w14:textId="704EC797" w:rsidR="00C1511F" w:rsidRDefault="00C1511F" w:rsidP="00660F64">
            <w:pPr>
              <w:spacing w:after="120" w:line="276" w:lineRule="auto"/>
              <w:jc w:val="both"/>
              <w:rPr>
                <w:rFonts w:ascii="Verdana" w:eastAsia="Century Gothic" w:hAnsi="Verdana" w:cs="Century Gothic"/>
              </w:rPr>
            </w:pPr>
            <w:r>
              <w:rPr>
                <w:rFonts w:ascii="Verdana" w:eastAsia="Arial" w:hAnsi="Verdana" w:cs="Arial"/>
                <w:color w:val="000000"/>
              </w:rPr>
              <w:t xml:space="preserve">           </w:t>
            </w:r>
            <w:r w:rsidR="000E2446">
              <w:rPr>
                <w:rFonts w:ascii="Verdana" w:eastAsia="Arial" w:hAnsi="Verdana" w:cs="Arial"/>
                <w:color w:val="000000"/>
              </w:rPr>
              <w:t>De manera preliminar es pertinente indicar que e</w:t>
            </w:r>
            <w:r w:rsidRPr="57FAEE1D">
              <w:rPr>
                <w:rFonts w:ascii="Verdana" w:eastAsia="Century Gothic" w:hAnsi="Verdana" w:cs="Century Gothic"/>
              </w:rPr>
              <w:t xml:space="preserve">l </w:t>
            </w:r>
            <w:r w:rsidRPr="57FAEE1D">
              <w:rPr>
                <w:rFonts w:ascii="Verdana" w:hAnsi="Verdana" w:cs="Arial"/>
                <w:lang w:val="es-ES" w:eastAsia="es-ES"/>
              </w:rPr>
              <w:t>artículo 2.2.1.1.1.4.1. del Decreto 1082 de 2015 señala que “las entidades deben elaborar un plan anual de adquisiciones, el cual debe contener la lista de bienes, obras y servicios que pretenden adquirir durante el año”, por ende el</w:t>
            </w:r>
            <w:r w:rsidRPr="57FAEE1D">
              <w:rPr>
                <w:rFonts w:ascii="Verdana" w:eastAsia="Century Gothic" w:hAnsi="Verdana" w:cs="Century Gothic"/>
              </w:rPr>
              <w:t xml:space="preserve"> objetivo del Plan Anual de Adquisiciones (es indicar los bienes, obras y servicios que la Entidad pretende adquirir, sin consideración a la forma en que estos deberán obtenerse, pues es el criterio de necesidad de aquellos el que fundamenta la inclusión o no en la lista del Plan y no el carácter pecuniario de este ni su modalidad de contratación. </w:t>
            </w:r>
          </w:p>
          <w:p w14:paraId="7FC2213E" w14:textId="6C38A45F" w:rsidR="00C1511F" w:rsidRPr="003018B0" w:rsidRDefault="00C1511F" w:rsidP="005226A3">
            <w:pPr>
              <w:spacing w:after="120" w:line="276" w:lineRule="auto"/>
              <w:jc w:val="both"/>
              <w:rPr>
                <w:rFonts w:ascii="Verdana" w:eastAsia="Century Gothic" w:hAnsi="Verdana" w:cs="Century Gothic"/>
              </w:rPr>
            </w:pPr>
            <w:r>
              <w:rPr>
                <w:rFonts w:ascii="Verdana" w:eastAsia="Century Gothic" w:hAnsi="Verdana" w:cs="Century Gothic"/>
              </w:rPr>
              <w:t xml:space="preserve">          </w:t>
            </w:r>
            <w:r w:rsidRPr="57FAEE1D">
              <w:rPr>
                <w:rFonts w:ascii="Verdana" w:eastAsia="Century Gothic" w:hAnsi="Verdana" w:cs="Century Gothic"/>
              </w:rPr>
              <w:t xml:space="preserve"> Ahora bien, </w:t>
            </w:r>
            <w:r w:rsidR="00D25B7B">
              <w:rPr>
                <w:rFonts w:ascii="Verdana" w:eastAsia="Century Gothic" w:hAnsi="Verdana" w:cs="Century Gothic"/>
              </w:rPr>
              <w:t xml:space="preserve">en atención al problema jurídico planteado es de precisar que </w:t>
            </w:r>
            <w:r w:rsidRPr="57FAEE1D">
              <w:rPr>
                <w:rFonts w:ascii="Verdana" w:eastAsia="Century Gothic" w:hAnsi="Verdana" w:cs="Century Gothic"/>
              </w:rPr>
              <w:t>la Guía para elaborar el Plan Anual de Adquisiciones</w:t>
            </w:r>
            <w:r w:rsidR="000E2446">
              <w:rPr>
                <w:rStyle w:val="Refdenotaalpie"/>
                <w:rFonts w:ascii="Verdana" w:eastAsia="Century Gothic" w:hAnsi="Verdana" w:cs="Century Gothic"/>
              </w:rPr>
              <w:footnoteReference w:id="2"/>
            </w:r>
            <w:r w:rsidRPr="57FAEE1D">
              <w:rPr>
                <w:rFonts w:ascii="Verdana" w:eastAsia="Century Gothic" w:hAnsi="Verdana" w:cs="Century Gothic"/>
              </w:rPr>
              <w:t>,</w:t>
            </w:r>
            <w:r>
              <w:t xml:space="preserve"> </w:t>
            </w:r>
            <w:r w:rsidRPr="57FAEE1D">
              <w:rPr>
                <w:rFonts w:ascii="Verdana" w:eastAsia="Century Gothic" w:hAnsi="Verdana" w:cs="Century Gothic"/>
              </w:rPr>
              <w:t>sugiere el siguiente procedimiento para elaborar el Plan Anual de Adquisiciones:</w:t>
            </w:r>
          </w:p>
          <w:p w14:paraId="558251C4" w14:textId="54BC2690" w:rsidR="000E2446" w:rsidRPr="00F74E3C" w:rsidRDefault="00C1511F" w:rsidP="000E2446">
            <w:pPr>
              <w:spacing w:after="120" w:line="276" w:lineRule="auto"/>
              <w:ind w:right="934" w:firstLine="709"/>
              <w:jc w:val="both"/>
              <w:rPr>
                <w:rFonts w:ascii="Verdana" w:eastAsia="Century Gothic" w:hAnsi="Verdana" w:cs="Century Gothic"/>
                <w:sz w:val="20"/>
                <w:szCs w:val="20"/>
              </w:rPr>
            </w:pPr>
            <w:r w:rsidRPr="00F74E3C">
              <w:rPr>
                <w:rFonts w:ascii="Verdana" w:eastAsia="Century Gothic" w:hAnsi="Verdana" w:cs="Century Gothic"/>
                <w:sz w:val="20"/>
                <w:szCs w:val="20"/>
              </w:rPr>
              <w:t>“(…)</w:t>
            </w:r>
          </w:p>
          <w:p w14:paraId="75432F39" w14:textId="77777777" w:rsidR="00F74E3C" w:rsidRDefault="00F74E3C" w:rsidP="00F74E3C">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xml:space="preserve">El Plan Anual de Adquisiciones se considera un documento de carácter estimativo, en el sentido en </w:t>
            </w:r>
            <w:r w:rsidRPr="00F74E3C">
              <w:rPr>
                <w:rFonts w:ascii="Verdana" w:eastAsia="Century Gothic" w:hAnsi="Verdana" w:cs="Century Gothic"/>
                <w:b/>
                <w:bCs/>
                <w:sz w:val="20"/>
                <w:szCs w:val="20"/>
              </w:rPr>
              <w:t>que puede ser modificado</w:t>
            </w:r>
            <w:r w:rsidRPr="00F74E3C">
              <w:rPr>
                <w:rFonts w:ascii="Verdana" w:eastAsia="Century Gothic" w:hAnsi="Verdana" w:cs="Century Gothic"/>
                <w:sz w:val="20"/>
                <w:szCs w:val="20"/>
              </w:rPr>
              <w:t xml:space="preserve"> por la entidad, y que además tiene entre otras finalidades, servir como referente inicial para organizar la ejecución del presupuesto y planear la demanda de bienes y servicios de la entidad durante el año referido en el plan.</w:t>
            </w:r>
          </w:p>
          <w:p w14:paraId="3E857101" w14:textId="3D9A0EB3" w:rsidR="00F74E3C" w:rsidRDefault="00F74E3C" w:rsidP="00F74E3C">
            <w:pPr>
              <w:spacing w:after="120" w:line="276" w:lineRule="auto"/>
              <w:ind w:right="934"/>
              <w:jc w:val="both"/>
              <w:rPr>
                <w:rFonts w:ascii="Verdana" w:eastAsia="Century Gothic" w:hAnsi="Verdana" w:cs="Century Gothic"/>
                <w:sz w:val="20"/>
                <w:szCs w:val="20"/>
              </w:rPr>
            </w:pPr>
            <w:r>
              <w:rPr>
                <w:rFonts w:ascii="Verdana" w:eastAsia="Century Gothic" w:hAnsi="Verdana" w:cs="Century Gothic"/>
                <w:sz w:val="20"/>
                <w:szCs w:val="20"/>
              </w:rPr>
              <w:t xml:space="preserve">         (…)</w:t>
            </w:r>
          </w:p>
          <w:p w14:paraId="483B6ADD" w14:textId="77777777" w:rsidR="00E031CE" w:rsidRDefault="005226A3" w:rsidP="005226A3">
            <w:pPr>
              <w:spacing w:after="120" w:line="276" w:lineRule="auto"/>
              <w:ind w:right="84"/>
              <w:jc w:val="both"/>
              <w:rPr>
                <w:rFonts w:ascii="Verdana" w:eastAsia="Century Gothic" w:hAnsi="Verdana" w:cs="Century Gothic"/>
              </w:rPr>
            </w:pPr>
            <w:r w:rsidRPr="005226A3">
              <w:rPr>
                <w:rFonts w:ascii="Verdana" w:eastAsia="Century Gothic" w:hAnsi="Verdana" w:cs="Century Gothic"/>
              </w:rPr>
              <w:t>La misma guía en relación con las modificaciones al plan establece lo siguiente</w:t>
            </w:r>
            <w:r w:rsidR="00E031CE">
              <w:rPr>
                <w:rFonts w:ascii="Verdana" w:eastAsia="Century Gothic" w:hAnsi="Verdana" w:cs="Century Gothic"/>
              </w:rPr>
              <w:t>:</w:t>
            </w:r>
          </w:p>
          <w:p w14:paraId="05BC148C" w14:textId="1B4C30BE" w:rsidR="005226A3" w:rsidRPr="005226A3" w:rsidRDefault="00E031CE" w:rsidP="005226A3">
            <w:pPr>
              <w:spacing w:after="120" w:line="276" w:lineRule="auto"/>
              <w:ind w:right="84"/>
              <w:jc w:val="both"/>
              <w:rPr>
                <w:rFonts w:ascii="Verdana" w:eastAsia="Century Gothic" w:hAnsi="Verdana" w:cs="Century Gothic"/>
              </w:rPr>
            </w:pPr>
            <w:r>
              <w:rPr>
                <w:rFonts w:ascii="Verdana" w:eastAsia="Century Gothic" w:hAnsi="Verdana" w:cs="Century Gothic"/>
                <w:sz w:val="20"/>
                <w:szCs w:val="20"/>
              </w:rPr>
              <w:t xml:space="preserve">           (…)</w:t>
            </w:r>
            <w:r w:rsidR="005226A3" w:rsidRPr="005226A3">
              <w:rPr>
                <w:rFonts w:ascii="Verdana" w:eastAsia="Century Gothic" w:hAnsi="Verdana" w:cs="Century Gothic"/>
              </w:rPr>
              <w:t xml:space="preserve"> </w:t>
            </w:r>
          </w:p>
          <w:p w14:paraId="4ED349BE" w14:textId="77777777" w:rsidR="00F74E3C" w:rsidRDefault="00F74E3C" w:rsidP="00F74E3C">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xml:space="preserve">Adicionalmente, los funcionarios o contratistas encargados de la elaboración y actualización del Plan Anual de Adquisiciones de acuerdo con lo dispuesto en el inciso 2 del artículo 2.2.1.1.1.4.4 del Decreto 1082 de 2015, deben validar los siguientes aspectos para así determinar si es o no necesario realizar actualizaciones a dicho plan en el transcurso del año: </w:t>
            </w:r>
          </w:p>
          <w:p w14:paraId="73E3C26B" w14:textId="77777777" w:rsidR="00F74E3C" w:rsidRDefault="00F74E3C" w:rsidP="00F74E3C">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Ajustes en los cronogramas de adquisición, valores, modalidad de selección y origen de los recursos</w:t>
            </w:r>
          </w:p>
          <w:p w14:paraId="2569C860" w14:textId="77777777" w:rsidR="00F74E3C" w:rsidRDefault="00F74E3C" w:rsidP="00F74E3C">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xml:space="preserve"> • Inclusión de nuevas obras, bienes o servicios </w:t>
            </w:r>
          </w:p>
          <w:p w14:paraId="2E43C252" w14:textId="77777777" w:rsidR="00F74E3C" w:rsidRDefault="00F74E3C" w:rsidP="00F74E3C">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xml:space="preserve">• Exclusión de obras, bienes o servicios y; </w:t>
            </w:r>
          </w:p>
          <w:p w14:paraId="428A81D4" w14:textId="77777777" w:rsidR="00F74E3C" w:rsidRDefault="00F74E3C" w:rsidP="00F74E3C">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xml:space="preserve">• </w:t>
            </w:r>
            <w:r w:rsidRPr="00F74E3C">
              <w:rPr>
                <w:rFonts w:ascii="Verdana" w:eastAsia="Century Gothic" w:hAnsi="Verdana" w:cs="Century Gothic"/>
                <w:b/>
                <w:bCs/>
                <w:sz w:val="20"/>
                <w:szCs w:val="20"/>
              </w:rPr>
              <w:t>Modificación del presupuesto anual de adquisiciones</w:t>
            </w:r>
            <w:r w:rsidRPr="00F74E3C">
              <w:rPr>
                <w:rFonts w:ascii="Verdana" w:eastAsia="Century Gothic" w:hAnsi="Verdana" w:cs="Century Gothic"/>
                <w:sz w:val="20"/>
                <w:szCs w:val="20"/>
              </w:rPr>
              <w:t xml:space="preserve"> </w:t>
            </w:r>
          </w:p>
          <w:p w14:paraId="06B77D23" w14:textId="06B0A629" w:rsidR="00C1511F" w:rsidRPr="00F74E3C" w:rsidRDefault="00F74E3C" w:rsidP="00F74E3C">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xml:space="preserve">Por otro lado, se aclara que, la norma no limita la actualización del Plan Anual de Adquisiciones a un tope máximo, pero si estableció un número mínimo al disponer que las Entidades Estatales debían actualizarlo por lo menos una vez durante su vigencia </w:t>
            </w:r>
            <w:r w:rsidR="00C1511F" w:rsidRPr="00F74E3C">
              <w:rPr>
                <w:rFonts w:ascii="Verdana" w:eastAsia="Century Gothic" w:hAnsi="Verdana" w:cs="Century Gothic"/>
                <w:sz w:val="20"/>
                <w:szCs w:val="20"/>
              </w:rPr>
              <w:t xml:space="preserve">(…)”. </w:t>
            </w:r>
          </w:p>
          <w:p w14:paraId="4A4EF881" w14:textId="6D84B8B7" w:rsidR="00E031CE" w:rsidRPr="00E031CE" w:rsidRDefault="000E2446" w:rsidP="00E031CE">
            <w:pPr>
              <w:spacing w:after="120"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         </w:t>
            </w:r>
            <w:r w:rsidR="00E031CE">
              <w:rPr>
                <w:rFonts w:ascii="Verdana" w:eastAsia="Times New Roman" w:hAnsi="Verdana" w:cs="Arial"/>
                <w:color w:val="000000" w:themeColor="text1"/>
                <w:lang w:eastAsia="es-CO"/>
              </w:rPr>
              <w:t>D</w:t>
            </w:r>
            <w:r w:rsidR="00E031CE" w:rsidRPr="00E031CE">
              <w:rPr>
                <w:rFonts w:ascii="Verdana" w:eastAsia="Times New Roman" w:hAnsi="Verdana" w:cs="Arial"/>
                <w:color w:val="000000" w:themeColor="text1"/>
                <w:lang w:eastAsia="es-CO"/>
              </w:rPr>
              <w:t xml:space="preserve">e conformidad </w:t>
            </w:r>
            <w:r w:rsidR="002D1330" w:rsidRPr="002D1330">
              <w:rPr>
                <w:rFonts w:ascii="Verdana" w:eastAsia="Times New Roman" w:hAnsi="Verdana" w:cs="Arial"/>
                <w:color w:val="000000" w:themeColor="text1"/>
                <w:lang w:eastAsia="es-CO"/>
              </w:rPr>
              <w:t xml:space="preserve">se señala que el contenido inicial </w:t>
            </w:r>
            <w:r w:rsidR="002D1330">
              <w:rPr>
                <w:rFonts w:ascii="Verdana" w:eastAsia="Times New Roman" w:hAnsi="Verdana" w:cs="Arial"/>
                <w:color w:val="000000" w:themeColor="text1"/>
                <w:lang w:eastAsia="es-CO"/>
              </w:rPr>
              <w:t xml:space="preserve">del PAA </w:t>
            </w:r>
            <w:r w:rsidR="002D1330" w:rsidRPr="002D1330">
              <w:rPr>
                <w:rFonts w:ascii="Verdana" w:eastAsia="Times New Roman" w:hAnsi="Verdana" w:cs="Arial"/>
                <w:color w:val="000000" w:themeColor="text1"/>
                <w:lang w:eastAsia="es-CO"/>
              </w:rPr>
              <w:t>no es rígido ni inmodificable y, en consecuencia, por la misma dinámica de la actividad contractual de la Administración, estos datos necesariamente tendrán que modificarse</w:t>
            </w:r>
            <w:r w:rsidR="00E031CE" w:rsidRPr="00E031CE">
              <w:rPr>
                <w:rFonts w:ascii="Verdana" w:eastAsia="Times New Roman" w:hAnsi="Verdana" w:cs="Arial"/>
                <w:color w:val="000000" w:themeColor="text1"/>
                <w:lang w:eastAsia="es-CO"/>
              </w:rPr>
              <w:t>,</w:t>
            </w:r>
            <w:r w:rsidR="003547E0">
              <w:rPr>
                <w:rFonts w:ascii="Verdana" w:eastAsia="Times New Roman" w:hAnsi="Verdana" w:cs="Arial"/>
                <w:color w:val="000000" w:themeColor="text1"/>
                <w:lang w:eastAsia="es-CO"/>
              </w:rPr>
              <w:t xml:space="preserve"> por lo anterior</w:t>
            </w:r>
            <w:r w:rsidR="00E031CE" w:rsidRPr="00E031CE">
              <w:rPr>
                <w:rFonts w:ascii="Verdana" w:eastAsia="Times New Roman" w:hAnsi="Verdana" w:cs="Arial"/>
                <w:color w:val="000000" w:themeColor="text1"/>
                <w:lang w:eastAsia="es-CO"/>
              </w:rPr>
              <w:t xml:space="preserve"> es posible modificar el Plan Anual de Adquisiciones, incluso cuando ya exista un proceso contractual asociado, siempre que la actualización obedezca a ajustes en valores, cronogramas o condiciones del proceso.</w:t>
            </w:r>
          </w:p>
          <w:p w14:paraId="16E10C06" w14:textId="220B1F26" w:rsidR="000E2446" w:rsidRDefault="00E031CE" w:rsidP="00E031CE">
            <w:pPr>
              <w:spacing w:after="120"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            </w:t>
            </w:r>
            <w:r w:rsidRPr="00E031CE">
              <w:rPr>
                <w:rFonts w:ascii="Verdana" w:eastAsia="Times New Roman" w:hAnsi="Verdana" w:cs="Arial"/>
                <w:color w:val="000000" w:themeColor="text1"/>
                <w:lang w:eastAsia="es-CO"/>
              </w:rPr>
              <w:t xml:space="preserve">En ese sentido, se recomienda a las Entidades Estatales, con el fin de elaborar, modificar y publicar su Plan Anual de Adquisiciones a través del SECOP II, consultar los lineamientos dispuestos por Colombia Compra Eficiente en la “Guía Práctica para Publicar el Plan Anual de Adquisiciones en el SECOP II”, </w:t>
            </w:r>
            <w:r>
              <w:rPr>
                <w:rFonts w:ascii="Verdana" w:eastAsia="Times New Roman" w:hAnsi="Verdana" w:cs="Arial"/>
                <w:color w:val="000000" w:themeColor="text1"/>
                <w:lang w:eastAsia="es-CO"/>
              </w:rPr>
              <w:t xml:space="preserve">y  </w:t>
            </w:r>
            <w:r w:rsidRPr="00E031CE">
              <w:rPr>
                <w:rFonts w:ascii="Verdana" w:eastAsia="Times New Roman" w:hAnsi="Verdana" w:cs="Arial"/>
                <w:color w:val="000000" w:themeColor="text1"/>
                <w:lang w:eastAsia="es-CO"/>
              </w:rPr>
              <w:t>disponible en el siguiente enlace oficial:</w:t>
            </w:r>
            <w:r>
              <w:rPr>
                <w:rFonts w:ascii="Verdana" w:eastAsia="Times New Roman" w:hAnsi="Verdana" w:cs="Arial"/>
                <w:color w:val="000000" w:themeColor="text1"/>
                <w:lang w:eastAsia="es-CO"/>
              </w:rPr>
              <w:t xml:space="preserve"> </w:t>
            </w:r>
            <w:r w:rsidRPr="00E031CE">
              <w:rPr>
                <w:rFonts w:ascii="Verdana" w:eastAsia="Times New Roman" w:hAnsi="Verdana" w:cs="Arial"/>
                <w:color w:val="000000" w:themeColor="text1"/>
                <w:lang w:eastAsia="es-CO"/>
              </w:rPr>
              <w:t xml:space="preserve"> chrome-extension://efaidnbmnnnibpcajpcglclefindmkaj/https://operaciones.colombiacompra.gov.co/sites/cce_public/files/cce_step/cce-sec-gi-11eeppplananua</w:t>
            </w:r>
            <w:r w:rsidR="00D25B7B">
              <w:rPr>
                <w:rFonts w:ascii="Verdana" w:eastAsia="Times New Roman" w:hAnsi="Verdana" w:cs="Arial"/>
                <w:color w:val="000000" w:themeColor="text1"/>
                <w:lang w:eastAsia="es-CO"/>
              </w:rPr>
              <w:t xml:space="preserve"> </w:t>
            </w:r>
            <w:r w:rsidRPr="00E031CE">
              <w:rPr>
                <w:rFonts w:ascii="Verdana" w:eastAsia="Times New Roman" w:hAnsi="Verdana" w:cs="Arial"/>
                <w:color w:val="000000" w:themeColor="text1"/>
                <w:lang w:eastAsia="es-CO"/>
              </w:rPr>
              <w:t>ladquisiciones08-09-2021.pdf</w:t>
            </w:r>
            <w:r w:rsidR="00D25B7B">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w:t>
            </w:r>
          </w:p>
          <w:p w14:paraId="1A49BF33" w14:textId="1077F111" w:rsidR="00C1511F" w:rsidRDefault="00C1511F" w:rsidP="00660F64">
            <w:pPr>
              <w:spacing w:after="120" w:line="276" w:lineRule="auto"/>
              <w:jc w:val="both"/>
              <w:rPr>
                <w:rFonts w:ascii="Verdana" w:eastAsia="Times New Roman" w:hAnsi="Verdana" w:cs="Arial"/>
                <w:lang w:eastAsia="es-ES_tradnl"/>
              </w:rPr>
            </w:pPr>
            <w:r>
              <w:rPr>
                <w:rFonts w:ascii="Verdana" w:eastAsia="Times New Roman" w:hAnsi="Verdana" w:cs="Arial"/>
                <w:color w:val="000000" w:themeColor="text1"/>
                <w:lang w:eastAsia="es-CO"/>
              </w:rPr>
              <w:t xml:space="preserve">         </w:t>
            </w:r>
            <w:r w:rsidRPr="00262582">
              <w:rPr>
                <w:rFonts w:ascii="Verdana" w:eastAsia="Times New Roman" w:hAnsi="Verdana" w:cs="Arial"/>
                <w:color w:val="000000" w:themeColor="text1"/>
                <w:lang w:eastAsia="es-CO"/>
              </w:rPr>
              <w:t>No obstante,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r w:rsidRPr="00C95794">
              <w:rPr>
                <w:rFonts w:ascii="Verdana" w:eastAsia="Century Gothic" w:hAnsi="Verdana" w:cs="Century Gothic"/>
              </w:rPr>
              <w:t>.</w:t>
            </w:r>
          </w:p>
          <w:p w14:paraId="1A38D109" w14:textId="77777777" w:rsidR="00C1511F" w:rsidRPr="00E529C2" w:rsidRDefault="00C1511F" w:rsidP="00660F64">
            <w:pPr>
              <w:spacing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C1511F" w:rsidRPr="00593A5F" w14:paraId="22D8C63C" w14:textId="77777777" w:rsidTr="00660F64">
        <w:tc>
          <w:tcPr>
            <w:tcW w:w="8828" w:type="dxa"/>
          </w:tcPr>
          <w:p w14:paraId="7E0BB983" w14:textId="77777777" w:rsidR="00C1511F" w:rsidRDefault="00C1511F" w:rsidP="00660F64">
            <w:pPr>
              <w:spacing w:after="120" w:line="276" w:lineRule="auto"/>
              <w:jc w:val="both"/>
              <w:rPr>
                <w:rFonts w:ascii="Verdana" w:eastAsia="Calibri" w:hAnsi="Verdana" w:cs="Arial"/>
                <w:bCs/>
                <w:lang w:eastAsia="es-ES_tradnl"/>
              </w:rPr>
            </w:pPr>
          </w:p>
        </w:tc>
      </w:tr>
    </w:tbl>
    <w:p w14:paraId="7139B825" w14:textId="77777777" w:rsidR="00C1511F" w:rsidRDefault="00C1511F" w:rsidP="00C1511F">
      <w:pPr>
        <w:tabs>
          <w:tab w:val="left" w:pos="142"/>
          <w:tab w:val="left" w:pos="284"/>
        </w:tabs>
        <w:spacing w:after="0" w:line="276" w:lineRule="auto"/>
        <w:jc w:val="both"/>
        <w:rPr>
          <w:rFonts w:ascii="Verdana" w:eastAsia="Century Gothic" w:hAnsi="Verdana" w:cs="Century Gothic"/>
          <w:b/>
          <w:bCs/>
          <w:lang w:val="es-ES"/>
        </w:rPr>
      </w:pPr>
    </w:p>
    <w:p w14:paraId="4E5A672A" w14:textId="77777777" w:rsidR="00C1511F" w:rsidRDefault="00C1511F" w:rsidP="00C151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D349CAE" w14:textId="77777777" w:rsidR="00C1511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66BCB06" w14:textId="77777777" w:rsidR="00C1511F" w:rsidRPr="00DB118E" w:rsidRDefault="00C1511F" w:rsidP="00C1511F">
      <w:pPr>
        <w:spacing w:after="120" w:line="276" w:lineRule="auto"/>
        <w:jc w:val="both"/>
        <w:rPr>
          <w:rFonts w:ascii="Verdana" w:eastAsia="Arial" w:hAnsi="Verdana" w:cs="Arial"/>
          <w:lang w:val="es-ES"/>
        </w:rPr>
      </w:pPr>
      <w:r>
        <w:rPr>
          <w:rFonts w:ascii="Verdana" w:eastAsia="Arial" w:hAnsi="Verdana" w:cs="Arial"/>
          <w:lang w:val="es-ES"/>
        </w:rPr>
        <w:t xml:space="preserve">          </w:t>
      </w:r>
      <w:r w:rsidRPr="00DB118E">
        <w:rPr>
          <w:rFonts w:ascii="Verdana" w:eastAsia="Arial" w:hAnsi="Verdana" w:cs="Arial"/>
          <w:lang w:val="es-ES"/>
        </w:rPr>
        <w:t xml:space="preserve">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14:paraId="5058A349" w14:textId="77777777" w:rsidR="00C1511F" w:rsidRPr="00DB118E" w:rsidRDefault="00C1511F" w:rsidP="00C1511F">
      <w:pPr>
        <w:spacing w:after="120" w:line="276" w:lineRule="auto"/>
        <w:ind w:firstLine="708"/>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El artículo 74 de la Ley 1474 dispone que </w:t>
      </w:r>
      <w:r>
        <w:rPr>
          <w:rFonts w:ascii="Verdana" w:hAnsi="Verdana" w:cs="Arial"/>
          <w:szCs w:val="24"/>
          <w:lang w:val="es-ES_tradnl" w:eastAsia="es-ES_tradnl"/>
        </w:rPr>
        <w:t>“</w:t>
      </w:r>
      <w:r w:rsidRPr="00DB118E">
        <w:rPr>
          <w:rFonts w:ascii="Verdana" w:hAnsi="Verdana" w:cs="Arial"/>
          <w:szCs w:val="24"/>
          <w:lang w:val="es-ES_tradnl" w:eastAsia="es-ES_tradnl"/>
        </w:rPr>
        <w:t>todas las entidades del Estado</w:t>
      </w:r>
      <w:r>
        <w:rPr>
          <w:rFonts w:ascii="Verdana" w:hAnsi="Verdana" w:cs="Arial"/>
          <w:szCs w:val="24"/>
          <w:lang w:val="es-ES_tradnl" w:eastAsia="es-ES_tradnl"/>
        </w:rPr>
        <w:t>”</w:t>
      </w:r>
      <w:r w:rsidRPr="00DB118E">
        <w:rPr>
          <w:rFonts w:ascii="Verdana" w:hAnsi="Verdana" w:cs="Arial"/>
          <w:szCs w:val="24"/>
          <w:lang w:val="es-ES_tradnl" w:eastAsia="es-ES_tradnl"/>
        </w:rPr>
        <w:t xml:space="preserve"> deben publicar, a más tardar el 31 de enero de cada año, en su respectiva página web, el plan de acción, en el cual se incluye el plan general de compras</w:t>
      </w:r>
      <w:r w:rsidRPr="00DB118E">
        <w:rPr>
          <w:rFonts w:ascii="Verdana" w:hAnsi="Verdana" w:cs="Arial"/>
          <w:szCs w:val="24"/>
          <w:vertAlign w:val="superscript"/>
          <w:lang w:val="es-ES_tradnl" w:eastAsia="es-ES_tradnl"/>
        </w:rPr>
        <w:footnoteReference w:id="3"/>
      </w:r>
      <w:r w:rsidRPr="00DB118E">
        <w:rPr>
          <w:rFonts w:ascii="Verdana" w:hAnsi="Verdana" w:cs="Arial"/>
          <w:szCs w:val="24"/>
          <w:lang w:val="es-ES_tradnl" w:eastAsia="es-ES_tradnl"/>
        </w:rPr>
        <w:t>. El plan general de compras para el ordenamiento vigente corresponde con el concepto de Plan Anual de Adquisiciones como lo establece el artículo 2.2.1.1.1.3.1. del Decreto 1082 de 2015</w:t>
      </w:r>
      <w:r w:rsidRPr="00DB118E">
        <w:rPr>
          <w:rFonts w:ascii="Verdana" w:hAnsi="Verdana" w:cs="Arial"/>
          <w:szCs w:val="24"/>
          <w:vertAlign w:val="superscript"/>
          <w:lang w:val="es-ES_tradnl" w:eastAsia="es-ES_tradnl"/>
        </w:rPr>
        <w:footnoteReference w:id="4"/>
      </w:r>
      <w:r w:rsidRPr="00DB118E">
        <w:rPr>
          <w:rFonts w:ascii="Verdana" w:hAnsi="Verdana" w:cs="Arial"/>
          <w:szCs w:val="24"/>
          <w:lang w:val="es-ES_tradnl" w:eastAsia="es-ES_tradnl"/>
        </w:rPr>
        <w:t xml:space="preserve">.  </w:t>
      </w:r>
    </w:p>
    <w:p w14:paraId="737CF5E4" w14:textId="77777777" w:rsidR="00C1511F" w:rsidRPr="00DB118E" w:rsidRDefault="00C1511F" w:rsidP="00C1511F">
      <w:pPr>
        <w:spacing w:after="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Para continuar con las normas generales sobre la publicidad del plan de compras, debe analizarse la Ley 1712 de 2014. El artículo 9, literal e), prescribe que todo sujeto obligado deberá publicar, en los sistemas de información del Estado o herramientas que lo sustituyan, su respectivo Plan de Compras Anual</w:t>
      </w:r>
      <w:r w:rsidRPr="00DB118E">
        <w:rPr>
          <w:rFonts w:ascii="Verdana" w:hAnsi="Verdana" w:cs="Arial"/>
          <w:szCs w:val="24"/>
          <w:vertAlign w:val="superscript"/>
          <w:lang w:val="es-ES_tradnl" w:eastAsia="es-ES_tradnl"/>
        </w:rPr>
        <w:footnoteReference w:id="5"/>
      </w:r>
      <w:r w:rsidRPr="00DB118E">
        <w:rPr>
          <w:rFonts w:ascii="Verdana" w:hAnsi="Verdana" w:cs="Arial"/>
          <w:szCs w:val="24"/>
          <w:lang w:val="es-ES_tradnl" w:eastAsia="es-ES_tradnl"/>
        </w:rPr>
        <w:t xml:space="preserve">. Para determinar los sujetos obligados a publicarlo es necesario remitirse al artículo 5 </w:t>
      </w:r>
      <w:r>
        <w:rPr>
          <w:rFonts w:ascii="Verdana" w:hAnsi="Verdana" w:cs="Arial"/>
          <w:szCs w:val="24"/>
          <w:lang w:val="es-ES_tradnl" w:eastAsia="es-ES_tradnl"/>
        </w:rPr>
        <w:t>ibidem</w:t>
      </w:r>
      <w:r w:rsidRPr="00DB118E">
        <w:rPr>
          <w:rFonts w:ascii="Verdana" w:hAnsi="Verdana" w:cs="Arial"/>
          <w:szCs w:val="24"/>
          <w:lang w:val="es-ES_tradnl" w:eastAsia="es-ES_tradnl"/>
        </w:rPr>
        <w:t xml:space="preserve">. Esta norma prescribe lo siguiente: </w:t>
      </w:r>
    </w:p>
    <w:p w14:paraId="1BF22BE2" w14:textId="77777777" w:rsidR="00C1511F" w:rsidRPr="00DB118E" w:rsidRDefault="00C1511F" w:rsidP="00C1511F">
      <w:pPr>
        <w:tabs>
          <w:tab w:val="left" w:pos="709"/>
        </w:tabs>
        <w:spacing w:after="0" w:line="276" w:lineRule="auto"/>
        <w:ind w:left="709" w:right="760"/>
        <w:jc w:val="both"/>
        <w:rPr>
          <w:rFonts w:ascii="Verdana" w:hAnsi="Verdana" w:cs="Arial"/>
          <w:szCs w:val="24"/>
          <w:lang w:val="es-ES_tradnl" w:eastAsia="es-ES_tradnl"/>
        </w:rPr>
      </w:pPr>
    </w:p>
    <w:p w14:paraId="348A40EA"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Pr>
          <w:rFonts w:ascii="Verdana" w:hAnsi="Verdana" w:cs="Arial"/>
          <w:sz w:val="20"/>
          <w:szCs w:val="20"/>
          <w:lang w:val="es-ES_tradnl" w:eastAsia="es-ES_tradnl"/>
        </w:rPr>
        <w:t>“</w:t>
      </w:r>
      <w:r w:rsidRPr="00DB118E">
        <w:rPr>
          <w:rFonts w:ascii="Verdana" w:hAnsi="Verdana" w:cs="Arial"/>
          <w:sz w:val="20"/>
          <w:szCs w:val="20"/>
          <w:lang w:val="es-ES_tradnl" w:eastAsia="es-ES_tradnl"/>
        </w:rPr>
        <w:t>Artículo 5. Las disposiciones de esta ley serán aplicables a las siguientes personas en calidad de sujetos obligados:</w:t>
      </w:r>
    </w:p>
    <w:p w14:paraId="36E9133F"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2694213E"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1BCC1AB2"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0028E9F9"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b) Los órganos, organismos y entidades estatales independientes o autónomos y de control.</w:t>
      </w:r>
    </w:p>
    <w:p w14:paraId="3CA497A0"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1159A860"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c) Las personas naturales y jurídicas, públicas o privadas, que presten función pública, que presten servicios públicos respecto de la información directamente relacionada con la prestación del servicio público.</w:t>
      </w:r>
    </w:p>
    <w:p w14:paraId="379D252C"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22A7C89A"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 w:eastAsia="es-ES"/>
        </w:rPr>
      </w:pPr>
      <w:r w:rsidRPr="40DA2A3B">
        <w:rPr>
          <w:rFonts w:ascii="Verdana" w:hAnsi="Verdana" w:cs="Arial"/>
          <w:sz w:val="20"/>
          <w:szCs w:val="20"/>
          <w:lang w:val="es-ES" w:eastAsia="es-ES"/>
        </w:rPr>
        <w:t>d) Cualquier persona natural, jurídica o dependencia de persona jurídica que desempeñe función pública o de autoridad pública, respecto de la información directamente relacionada con el desempeño de su función</w:t>
      </w:r>
    </w:p>
    <w:p w14:paraId="19C77797"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1443A5D0"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e)  Las empresas públicas creadas por ley, las empresas del Estado y sociedades en que este tenga participación.</w:t>
      </w:r>
    </w:p>
    <w:p w14:paraId="023CDAC2"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73A0EECF"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f) Los partidos o movimientos políticos y los grupos significativos de ciudadanos.</w:t>
      </w:r>
    </w:p>
    <w:p w14:paraId="7FF66D17"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2BC3FFDF"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g) Las entidades que administren instituciones parafiscales, fondos o recursos de naturaleza u origen público.</w:t>
      </w:r>
    </w:p>
    <w:p w14:paraId="193BD2E0"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27158C15"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00ABB7A8"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56B15A15"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PARÁGRAFO 1o. No serán sujetos obligados aquellas personas naturales o jurídicas de carácter privado que sean usuarios de información pública</w:t>
      </w:r>
      <w:r>
        <w:rPr>
          <w:rFonts w:ascii="Verdana" w:hAnsi="Verdana" w:cs="Arial"/>
          <w:sz w:val="20"/>
          <w:szCs w:val="20"/>
          <w:lang w:val="es-ES_tradnl" w:eastAsia="es-ES_tradnl"/>
        </w:rPr>
        <w:t>”</w:t>
      </w:r>
      <w:r w:rsidRPr="00DB118E">
        <w:rPr>
          <w:rFonts w:ascii="Verdana" w:hAnsi="Verdana" w:cs="Arial"/>
          <w:sz w:val="20"/>
          <w:szCs w:val="20"/>
          <w:lang w:val="es-ES_tradnl" w:eastAsia="es-ES_tradnl"/>
        </w:rPr>
        <w:t>.</w:t>
      </w:r>
    </w:p>
    <w:p w14:paraId="6CD9BE5B" w14:textId="77777777" w:rsidR="00C1511F" w:rsidRPr="00DB118E" w:rsidRDefault="00C1511F" w:rsidP="00C1511F">
      <w:pPr>
        <w:tabs>
          <w:tab w:val="left" w:pos="426"/>
        </w:tabs>
        <w:spacing w:after="0" w:line="276" w:lineRule="auto"/>
        <w:ind w:right="760"/>
        <w:jc w:val="both"/>
        <w:rPr>
          <w:rFonts w:ascii="Verdana" w:hAnsi="Verdana" w:cs="Arial"/>
          <w:color w:val="000000" w:themeColor="text1"/>
          <w:lang w:val="es-ES"/>
        </w:rPr>
      </w:pPr>
    </w:p>
    <w:p w14:paraId="78688F7C" w14:textId="77777777" w:rsidR="00C1511F" w:rsidRPr="00DB118E" w:rsidRDefault="00C1511F" w:rsidP="00C1511F">
      <w:pPr>
        <w:spacing w:after="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La norma citada contiene una lista cuyo propósito es incluir a cualquier entidad, órgano, organismo, o persona natural que desempeñe funciones públicas o administre recursos públicos. De hecho, esta Agencia ha aclarado, en relación con el Plan Anual de Adquisiciones, que se encuentran obligadas todas las Entidades del Estado sin importar la rama a la cual pertenecen, o si se trata de entidades descentralizadas territorialmente o por servicios. También están incluidos todos los órganos con competencia para contratar, como los concejos municipales. Adicionalmente, la Agencia ha señalado que son sujetos obligados las empresas públicas, las empresas del Estado y las sociedades en las que el Estado tenga participación, sin que importe su monto. Esta obligación de origen legal tiene desarrollo reglamentario en el Decreto 103 de 2015, compilado por el Decreto 1081 de 2015. El artículo 2.1.1.2.1.10 del Decreto 1082 de 2015 dispone que: </w:t>
      </w:r>
    </w:p>
    <w:p w14:paraId="5E556D93" w14:textId="77777777" w:rsidR="00C1511F" w:rsidRPr="00DB118E" w:rsidRDefault="00C1511F" w:rsidP="00C1511F">
      <w:pPr>
        <w:tabs>
          <w:tab w:val="left" w:pos="709"/>
          <w:tab w:val="left" w:pos="7938"/>
        </w:tabs>
        <w:spacing w:after="0" w:line="240" w:lineRule="auto"/>
        <w:ind w:left="709" w:right="760"/>
        <w:jc w:val="both"/>
        <w:rPr>
          <w:rFonts w:ascii="Verdana" w:hAnsi="Verdana" w:cs="Arial"/>
          <w:szCs w:val="24"/>
          <w:lang w:val="es-ES_tradnl" w:eastAsia="es-ES_tradnl"/>
        </w:rPr>
      </w:pPr>
    </w:p>
    <w:p w14:paraId="0E597F0A"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 w:eastAsia="es-ES"/>
        </w:rPr>
      </w:pPr>
      <w:r w:rsidRPr="40DA2A3B">
        <w:rPr>
          <w:rFonts w:ascii="Verdana" w:hAnsi="Verdana" w:cs="Arial"/>
          <w:sz w:val="20"/>
          <w:szCs w:val="20"/>
          <w:lang w:val="es-ES" w:eastAsia="es-ES"/>
        </w:rPr>
        <w:t xml:space="preserve">“Los sujetos obligados que contratan con cargo a recursos públicos deben publicar en su página web y en el </w:t>
      </w:r>
      <w:proofErr w:type="spellStart"/>
      <w:r w:rsidRPr="40DA2A3B">
        <w:rPr>
          <w:rFonts w:ascii="Verdana" w:hAnsi="Verdana" w:cs="Arial"/>
          <w:sz w:val="20"/>
          <w:szCs w:val="20"/>
          <w:lang w:val="es-ES" w:eastAsia="es-ES"/>
        </w:rPr>
        <w:t>Secop</w:t>
      </w:r>
      <w:proofErr w:type="spellEnd"/>
      <w:r w:rsidRPr="40DA2A3B">
        <w:rPr>
          <w:rFonts w:ascii="Verdana" w:hAnsi="Verdana" w:cs="Arial"/>
          <w:sz w:val="20"/>
          <w:szCs w:val="20"/>
          <w:lang w:val="es-ES" w:eastAsia="es-ES"/>
        </w:rPr>
        <w:t xml:space="preserve"> el Plan Anual de Adquisiciones, de acuerdo con lo previsto en el artículo 74 de la Ley 1474 de 2011, el literal e) del artículo 9° de la Ley 1712 de 2014 y el Decreto 1510 de 2013, o el que lo modifique, sustituya o adicione.</w:t>
      </w:r>
    </w:p>
    <w:p w14:paraId="1A6B65EC"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_tradnl" w:eastAsia="es-ES_tradnl"/>
        </w:rPr>
      </w:pPr>
    </w:p>
    <w:p w14:paraId="2531C68F"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_tradnl" w:eastAsia="es-ES_tradnl"/>
        </w:rPr>
      </w:pPr>
      <w:r w:rsidRPr="000207C4">
        <w:rPr>
          <w:rFonts w:ascii="Verdana" w:hAnsi="Verdana" w:cs="Arial"/>
          <w:sz w:val="20"/>
          <w:szCs w:val="20"/>
          <w:lang w:val="es-ES_tradnl" w:eastAsia="es-ES_tradnl"/>
        </w:rPr>
        <w:t xml:space="preserve">Los sujetos obligados que no contratan con cargo a recursos públicos no están obligados a publicar su Plan Anual de Adquisiciones. </w:t>
      </w:r>
    </w:p>
    <w:p w14:paraId="019B1BCB"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_tradnl" w:eastAsia="es-ES_tradnl"/>
        </w:rPr>
      </w:pPr>
    </w:p>
    <w:p w14:paraId="3685E4EE"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 w:eastAsia="es-ES"/>
        </w:rPr>
      </w:pPr>
      <w:r w:rsidRPr="40DA2A3B">
        <w:rPr>
          <w:rFonts w:ascii="Verdana" w:hAnsi="Verdana" w:cs="Arial"/>
          <w:sz w:val="20"/>
          <w:szCs w:val="20"/>
          <w:lang w:val="es-ES" w:eastAsia="es-ES"/>
        </w:rPr>
        <w:t xml:space="preserve">Los sujetos obligados que contratan con cargo a recursos públicos y recursos privados, deben publicar en su página web y en el </w:t>
      </w:r>
      <w:proofErr w:type="spellStart"/>
      <w:r w:rsidRPr="40DA2A3B">
        <w:rPr>
          <w:rFonts w:ascii="Verdana" w:hAnsi="Verdana" w:cs="Arial"/>
          <w:sz w:val="20"/>
          <w:szCs w:val="20"/>
          <w:lang w:val="es-ES" w:eastAsia="es-ES"/>
        </w:rPr>
        <w:t>Secop</w:t>
      </w:r>
      <w:proofErr w:type="spellEnd"/>
      <w:r w:rsidRPr="40DA2A3B">
        <w:rPr>
          <w:rFonts w:ascii="Verdana" w:hAnsi="Verdana" w:cs="Arial"/>
          <w:sz w:val="20"/>
          <w:szCs w:val="20"/>
          <w:lang w:val="es-ES" w:eastAsia="es-ES"/>
        </w:rPr>
        <w:t xml:space="preserve"> el Plan Anual de Adquisiciones para los recursos de carácter público que ejecutarán en el año. </w:t>
      </w:r>
    </w:p>
    <w:p w14:paraId="49AC626B"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_tradnl" w:eastAsia="es-ES_tradnl"/>
        </w:rPr>
      </w:pPr>
    </w:p>
    <w:p w14:paraId="75486DA6"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_tradnl" w:eastAsia="es-ES_tradnl"/>
        </w:rPr>
      </w:pPr>
      <w:r w:rsidRPr="000207C4">
        <w:rPr>
          <w:rFonts w:ascii="Verdana" w:hAnsi="Verdana" w:cs="Arial"/>
          <w:sz w:val="20"/>
          <w:szCs w:val="20"/>
          <w:lang w:val="es-ES_tradnl" w:eastAsia="es-ES_tradnl"/>
        </w:rPr>
        <w:t>Se entenderá como definición de Plan Anual de Adquisiciones respecto a todos los sujetos obligados que contratan con recursos públicos, la prevista en el artículo 3° del Decreto 1510 de 2013, o el que lo modifique, sustituya o adicione</w:t>
      </w:r>
      <w:r>
        <w:rPr>
          <w:rFonts w:ascii="Verdana" w:hAnsi="Verdana" w:cs="Arial"/>
          <w:sz w:val="20"/>
          <w:szCs w:val="20"/>
          <w:lang w:val="es-ES_tradnl" w:eastAsia="es-ES_tradnl"/>
        </w:rPr>
        <w:t>”</w:t>
      </w:r>
      <w:r w:rsidRPr="000207C4">
        <w:rPr>
          <w:rFonts w:ascii="Verdana" w:hAnsi="Verdana" w:cs="Arial"/>
          <w:sz w:val="20"/>
          <w:szCs w:val="20"/>
          <w:lang w:val="es-ES_tradnl" w:eastAsia="es-ES_tradnl"/>
        </w:rPr>
        <w:t xml:space="preserve">. </w:t>
      </w:r>
    </w:p>
    <w:p w14:paraId="76A35DC8" w14:textId="77777777" w:rsidR="00C1511F" w:rsidRPr="00DB118E" w:rsidRDefault="00C1511F" w:rsidP="00C1511F">
      <w:pPr>
        <w:tabs>
          <w:tab w:val="left" w:pos="8505"/>
        </w:tabs>
        <w:spacing w:after="0" w:line="276" w:lineRule="auto"/>
        <w:ind w:rightChars="709" w:right="1560"/>
        <w:rPr>
          <w:rFonts w:ascii="Verdana" w:hAnsi="Verdana" w:cs="Arial"/>
          <w:lang w:val="es-ES"/>
        </w:rPr>
      </w:pPr>
    </w:p>
    <w:p w14:paraId="7451B1D2" w14:textId="77777777" w:rsidR="00C1511F" w:rsidRPr="00DB118E" w:rsidRDefault="00C1511F" w:rsidP="00C1511F">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El artículo citado prescribe que los sujetos obligados que contraten con cargo a recursos públicos tienen la obligación de publicar el Plan Anual de Adquisiciones en el SECOP. Los sujetos que no contratan con cargo a recursos públicos no están obligados a publicarlo, mientras que aquellos que contratan tanto con cargo a recursos públicos como recursos que no tienen esta naturaleza, solamente están obligados a publicar el Plan Anual de Adquisiciones para los recursos de carácter público que se ejecutarán durante la vigencia fiscal. </w:t>
      </w:r>
    </w:p>
    <w:p w14:paraId="7D1FC257" w14:textId="77777777" w:rsidR="00C1511F" w:rsidRPr="00DB118E" w:rsidRDefault="00C1511F" w:rsidP="00C1511F">
      <w:pPr>
        <w:spacing w:after="120" w:line="276" w:lineRule="auto"/>
        <w:ind w:firstLine="708"/>
        <w:jc w:val="both"/>
        <w:rPr>
          <w:rFonts w:ascii="Verdana" w:hAnsi="Verdana" w:cs="Arial"/>
          <w:lang w:val="es-ES" w:eastAsia="es-ES"/>
        </w:rPr>
      </w:pPr>
      <w:r w:rsidRPr="40DA2A3B">
        <w:rPr>
          <w:rFonts w:ascii="Verdana" w:hAnsi="Verdana" w:cs="Arial"/>
          <w:lang w:val="es-ES" w:eastAsia="es-ES"/>
        </w:rPr>
        <w:t>Precisar el grado de vinculatoriedad del Plan Anual de Adquisiciones supone el análisis de lo dispuesto en los artículos 2.2.1.1.1.4.1, 2.2.1.1.1.4.3</w:t>
      </w:r>
      <w:r w:rsidRPr="40DA2A3B">
        <w:rPr>
          <w:rFonts w:ascii="Verdana" w:hAnsi="Verdana" w:cs="Arial"/>
          <w:vertAlign w:val="superscript"/>
          <w:lang w:val="es-ES" w:eastAsia="es-ES"/>
        </w:rPr>
        <w:footnoteReference w:id="6"/>
      </w:r>
      <w:r w:rsidRPr="40DA2A3B">
        <w:rPr>
          <w:rFonts w:ascii="Verdana" w:hAnsi="Verdana" w:cs="Arial"/>
          <w:lang w:val="es-ES" w:eastAsia="es-ES"/>
        </w:rPr>
        <w:t xml:space="preserve"> y 2.2.1.1.1.4.4</w:t>
      </w:r>
      <w:r w:rsidRPr="40DA2A3B">
        <w:rPr>
          <w:rFonts w:ascii="Verdana" w:hAnsi="Verdana" w:cs="Arial"/>
          <w:vertAlign w:val="superscript"/>
          <w:lang w:val="es-ES" w:eastAsia="es-ES"/>
        </w:rPr>
        <w:footnoteReference w:id="7"/>
      </w:r>
      <w:r w:rsidRPr="40DA2A3B">
        <w:rPr>
          <w:rFonts w:ascii="Verdana" w:hAnsi="Verdana" w:cs="Arial"/>
          <w:lang w:val="es-ES" w:eastAsia="es-ES"/>
        </w:rPr>
        <w:t xml:space="preserve"> del Decreto 1082 de 2015. El primer artículo establece el deber de las entidades de “elaborar el plan anual de adquisiciones, el cual debe contener la lista de bienes, obras y servicios que pretenden adquirir durante el año”. El aparte trascrito permite inferir que se trata de un documento estimativo, pues contiene un listado de bienes, obras o servicios que, producto del ejercicio de planeación de la entidad, esta pretende adquirir dentro de la vigencia correspondiente. Esta redacción advierte la naturaleza estimativa del documento, pues contiene los siguientes aspectos: i) la necesidad; </w:t>
      </w:r>
      <w:proofErr w:type="spellStart"/>
      <w:r w:rsidRPr="40DA2A3B">
        <w:rPr>
          <w:rFonts w:ascii="Verdana" w:hAnsi="Verdana" w:cs="Arial"/>
          <w:lang w:val="es-ES" w:eastAsia="es-ES"/>
        </w:rPr>
        <w:t>ii</w:t>
      </w:r>
      <w:proofErr w:type="spellEnd"/>
      <w:r w:rsidRPr="40DA2A3B">
        <w:rPr>
          <w:rFonts w:ascii="Verdana" w:hAnsi="Verdana" w:cs="Arial"/>
          <w:lang w:val="es-ES" w:eastAsia="es-ES"/>
        </w:rPr>
        <w:t xml:space="preserve">) la identificación en el clasificador si la entidad conoce el bien, obra o servicio que satisface la necesidad; </w:t>
      </w:r>
      <w:proofErr w:type="spellStart"/>
      <w:r w:rsidRPr="40DA2A3B">
        <w:rPr>
          <w:rFonts w:ascii="Verdana" w:hAnsi="Verdana" w:cs="Arial"/>
          <w:lang w:val="es-ES" w:eastAsia="es-ES"/>
        </w:rPr>
        <w:t>iii</w:t>
      </w:r>
      <w:proofErr w:type="spellEnd"/>
      <w:r w:rsidRPr="40DA2A3B">
        <w:rPr>
          <w:rFonts w:ascii="Verdana" w:hAnsi="Verdana" w:cs="Arial"/>
          <w:lang w:val="es-ES" w:eastAsia="es-ES"/>
        </w:rPr>
        <w:t xml:space="preserve">) el valor estimado del contrato; </w:t>
      </w:r>
      <w:proofErr w:type="spellStart"/>
      <w:r w:rsidRPr="40DA2A3B">
        <w:rPr>
          <w:rFonts w:ascii="Verdana" w:hAnsi="Verdana" w:cs="Arial"/>
          <w:lang w:val="es-ES" w:eastAsia="es-ES"/>
        </w:rPr>
        <w:t>iv</w:t>
      </w:r>
      <w:proofErr w:type="spellEnd"/>
      <w:r w:rsidRPr="40DA2A3B">
        <w:rPr>
          <w:rFonts w:ascii="Verdana" w:hAnsi="Verdana" w:cs="Arial"/>
          <w:lang w:val="es-ES" w:eastAsia="es-ES"/>
        </w:rPr>
        <w:t xml:space="preserve">) el tipo de recursos con cargo a los cuales la entidad pagará el bien, obra o servicio; v) la modalidad de selección del contratista y vi) la fecha aproximada en la cual la entidad indicará el procedimiento de selección. </w:t>
      </w:r>
    </w:p>
    <w:p w14:paraId="466F89F4" w14:textId="77777777" w:rsidR="00C1511F" w:rsidRPr="001A1262" w:rsidRDefault="00C1511F" w:rsidP="00C1511F">
      <w:pPr>
        <w:spacing w:after="120" w:line="276" w:lineRule="auto"/>
        <w:ind w:firstLine="709"/>
        <w:jc w:val="both"/>
        <w:rPr>
          <w:rFonts w:ascii="Verdana" w:hAnsi="Verdana" w:cs="Arial"/>
          <w:lang w:val="es-ES_tradnl" w:eastAsia="es-ES_tradnl"/>
        </w:rPr>
      </w:pPr>
      <w:r w:rsidRPr="001A1262">
        <w:rPr>
          <w:rFonts w:ascii="Verdana" w:hAnsi="Verdana" w:cs="Arial"/>
          <w:lang w:val="es-ES_tradnl" w:eastAsia="es-ES_tradnl"/>
        </w:rPr>
        <w:t>La norma referida establece la obligación de enunciar la información de manera indicativa, y no impone determinar valores precisos, tiempos, bienes, obras o servicios de manera exacta; todo lo contrario, permite realizar un pronóstico indicativo de las necesidades que debe contratar. Este carácter estimativo del Plan Anual de Adquisiciones fue reconocido por la Agencia Nacional de Contratación Pública – Colombia Compra Eficiente en la “</w:t>
      </w:r>
      <w:r w:rsidRPr="001A1262">
        <w:rPr>
          <w:rFonts w:ascii="Verdana" w:eastAsia="Calibri" w:hAnsi="Verdana" w:cs="Arial"/>
          <w:lang w:val="es-ES_tradnl" w:eastAsia="es-ES_tradnl"/>
        </w:rPr>
        <w:t>Guía para elaborar el plan anual de adquisiciones”</w:t>
      </w:r>
      <w:r w:rsidRPr="001A1262">
        <w:rPr>
          <w:rFonts w:ascii="Verdana" w:hAnsi="Verdana" w:cs="Arial"/>
          <w:lang w:val="es-ES_tradnl" w:eastAsia="es-ES_tradnl"/>
        </w:rPr>
        <w:t>, donde precisó, como una de sus finalidades, “servir como referente inicial para evaluar la ejecución de presupuesto y pronosticar la demanda de bienes y servicios de la entidad durante el año referido del plan”</w:t>
      </w:r>
      <w:r w:rsidRPr="001A1262">
        <w:rPr>
          <w:rFonts w:ascii="Verdana" w:hAnsi="Verdana" w:cs="Arial"/>
          <w:vertAlign w:val="superscript"/>
          <w:lang w:val="es-ES_tradnl" w:eastAsia="es-ES_tradnl"/>
        </w:rPr>
        <w:footnoteReference w:id="8"/>
      </w:r>
      <w:r w:rsidRPr="001A1262">
        <w:rPr>
          <w:rFonts w:ascii="Verdana" w:hAnsi="Verdana" w:cs="Arial"/>
          <w:vertAlign w:val="superscript"/>
          <w:lang w:val="es-ES_tradnl" w:eastAsia="es-ES_tradnl"/>
        </w:rPr>
        <w:t>.</w:t>
      </w:r>
      <w:r w:rsidRPr="001A1262">
        <w:rPr>
          <w:rFonts w:ascii="Verdana" w:hAnsi="Verdana" w:cs="Arial"/>
          <w:lang w:val="es-ES_tradnl" w:eastAsia="es-ES_tradnl"/>
        </w:rPr>
        <w:t xml:space="preserve"> </w:t>
      </w:r>
    </w:p>
    <w:p w14:paraId="400C2357" w14:textId="77777777" w:rsidR="00C1511F" w:rsidRPr="00DB118E" w:rsidRDefault="00C1511F" w:rsidP="00C1511F">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La segunda disposición relevante –esto es, el artículo 2.2.1.1.1.4.3 del Decreto 1082 de 2015– establece el deber de publicidad de las Entidades Públicas del Plan Anual de Adquisiciones, en sus páginas web y en el SECOP II, con la información mínima señalada en </w:t>
      </w:r>
      <w:bookmarkStart w:id="5" w:name="_Hlk117519770"/>
      <w:r w:rsidRPr="40DA2A3B">
        <w:rPr>
          <w:rFonts w:ascii="Verdana" w:hAnsi="Verdana" w:cs="Arial"/>
          <w:lang w:val="es-ES" w:eastAsia="es-ES"/>
        </w:rPr>
        <w:t xml:space="preserve">el artículo 2.2.1.1.1.4.1. del Decreto 1082 de 2015. Asimismo, la norma impone a las entidades el deber de publicar las actualizaciones que realicen al Plan Anual. De esta manera, se faculta a la Administración para realizar cambios y modificaciones, por lo que no es un documento rígido que vincule la contratación, sino que, por el contrario, se trata de un instrumento de planificación que orienta y permite tener un referente de las necesidades de bienes, obras y servicio que debe contratar para la respectiva anualidad, y que además puede ser actualizado. </w:t>
      </w:r>
    </w:p>
    <w:bookmarkEnd w:id="5"/>
    <w:p w14:paraId="2CB4A84F" w14:textId="77777777" w:rsidR="00C1511F" w:rsidRPr="00DB118E" w:rsidRDefault="00C1511F" w:rsidP="00C1511F">
      <w:pPr>
        <w:spacing w:after="12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La tercera norma mencionada, el artículo 2.2.1.1.1.4.4. del Decreto 1082 de 2015, en el inciso 1, fijó, en criterio de esta Subdirección, el alcance de la facultad otorgada a las entidades para actualizar el plan anual de adquisiciones. Por ello es pertinente consultar el significado natural del verbo rector de la disposición y luego establecer los límites establecidos en la norma. El Diccionario de la Lengua Española define </w:t>
      </w:r>
      <w:r>
        <w:rPr>
          <w:rFonts w:ascii="Verdana" w:hAnsi="Verdana" w:cs="Arial"/>
          <w:szCs w:val="24"/>
          <w:lang w:val="es-ES_tradnl" w:eastAsia="es-ES_tradnl"/>
        </w:rPr>
        <w:t>“</w:t>
      </w:r>
      <w:r w:rsidRPr="00DB118E">
        <w:rPr>
          <w:rFonts w:ascii="Verdana" w:hAnsi="Verdana" w:cs="Arial"/>
          <w:szCs w:val="24"/>
          <w:lang w:val="es-ES_tradnl" w:eastAsia="es-ES_tradnl"/>
        </w:rPr>
        <w:t>actualizar</w:t>
      </w:r>
      <w:r>
        <w:rPr>
          <w:rFonts w:ascii="Verdana" w:hAnsi="Verdana" w:cs="Arial"/>
          <w:szCs w:val="24"/>
          <w:lang w:val="es-ES_tradnl" w:eastAsia="es-ES_tradnl"/>
        </w:rPr>
        <w:t>”</w:t>
      </w:r>
      <w:r w:rsidRPr="00DB118E">
        <w:rPr>
          <w:rFonts w:ascii="Verdana" w:hAnsi="Verdana" w:cs="Arial"/>
          <w:szCs w:val="24"/>
          <w:lang w:val="es-ES_tradnl" w:eastAsia="es-ES_tradnl"/>
        </w:rPr>
        <w:t xml:space="preserve"> como </w:t>
      </w:r>
      <w:r>
        <w:rPr>
          <w:rFonts w:ascii="Verdana" w:hAnsi="Verdana" w:cs="Arial"/>
          <w:szCs w:val="24"/>
          <w:lang w:val="es-ES_tradnl" w:eastAsia="es-ES_tradnl"/>
        </w:rPr>
        <w:t>“</w:t>
      </w:r>
      <w:r w:rsidRPr="00DB118E">
        <w:rPr>
          <w:rFonts w:ascii="Verdana" w:hAnsi="Verdana" w:cs="Arial"/>
          <w:szCs w:val="24"/>
          <w:lang w:val="es-ES_tradnl" w:eastAsia="es-ES_tradnl"/>
        </w:rPr>
        <w:t>hacer actual algo, darle actualidad</w:t>
      </w:r>
      <w:r>
        <w:rPr>
          <w:rFonts w:ascii="Verdana" w:hAnsi="Verdana" w:cs="Arial"/>
          <w:szCs w:val="24"/>
          <w:lang w:val="es-ES_tradnl" w:eastAsia="es-ES_tradnl"/>
        </w:rPr>
        <w:t>”</w:t>
      </w:r>
      <w:r w:rsidRPr="00DB118E">
        <w:rPr>
          <w:rFonts w:ascii="Verdana" w:hAnsi="Verdana" w:cs="Arial"/>
          <w:szCs w:val="24"/>
          <w:lang w:val="es-ES_tradnl" w:eastAsia="es-ES_tradnl"/>
        </w:rPr>
        <w:t xml:space="preserve"> o </w:t>
      </w:r>
      <w:r>
        <w:rPr>
          <w:rFonts w:ascii="Verdana" w:hAnsi="Verdana" w:cs="Arial"/>
          <w:szCs w:val="24"/>
          <w:lang w:val="es-ES_tradnl" w:eastAsia="es-ES_tradnl"/>
        </w:rPr>
        <w:t>“</w:t>
      </w:r>
      <w:r w:rsidRPr="00DB118E">
        <w:rPr>
          <w:rFonts w:ascii="Verdana" w:hAnsi="Verdana" w:cs="Arial"/>
          <w:szCs w:val="24"/>
          <w:lang w:val="es-ES_tradnl" w:eastAsia="es-ES_tradnl"/>
        </w:rPr>
        <w:t>poner al día datos, normas, precios rentas, salarios</w:t>
      </w:r>
      <w:r>
        <w:rPr>
          <w:rFonts w:ascii="Verdana" w:hAnsi="Verdana" w:cs="Arial"/>
          <w:szCs w:val="24"/>
          <w:lang w:val="es-ES_tradnl" w:eastAsia="es-ES_tradnl"/>
        </w:rPr>
        <w:t>”</w:t>
      </w:r>
      <w:r w:rsidRPr="00DB118E">
        <w:rPr>
          <w:rFonts w:ascii="Verdana" w:hAnsi="Verdana" w:cs="Arial"/>
          <w:szCs w:val="24"/>
          <w:lang w:val="es-ES_tradnl" w:eastAsia="es-ES_tradnl"/>
        </w:rPr>
        <w:t xml:space="preserve">. Es decir, </w:t>
      </w:r>
      <w:r>
        <w:rPr>
          <w:rFonts w:ascii="Verdana" w:hAnsi="Verdana" w:cs="Arial"/>
          <w:szCs w:val="24"/>
          <w:lang w:val="es-ES_tradnl" w:eastAsia="es-ES_tradnl"/>
        </w:rPr>
        <w:t>“</w:t>
      </w:r>
      <w:r w:rsidRPr="00DB118E">
        <w:rPr>
          <w:rFonts w:ascii="Verdana" w:hAnsi="Verdana" w:cs="Arial"/>
          <w:szCs w:val="24"/>
          <w:lang w:val="es-ES_tradnl" w:eastAsia="es-ES_tradnl"/>
        </w:rPr>
        <w:t>actualizar</w:t>
      </w:r>
      <w:r>
        <w:rPr>
          <w:rFonts w:ascii="Verdana" w:hAnsi="Verdana" w:cs="Arial"/>
          <w:szCs w:val="24"/>
          <w:lang w:val="es-ES_tradnl" w:eastAsia="es-ES_tradnl"/>
        </w:rPr>
        <w:t>”</w:t>
      </w:r>
      <w:r w:rsidRPr="00DB118E">
        <w:rPr>
          <w:rFonts w:ascii="Verdana" w:hAnsi="Verdana" w:cs="Arial"/>
          <w:szCs w:val="24"/>
          <w:lang w:val="es-ES_tradnl" w:eastAsia="es-ES_tradnl"/>
        </w:rPr>
        <w:t xml:space="preserve"> se puede asociar con la acción de traer al presente un dato establecido en el pasado. Aplicada esta definición a la norma citada, se tendría que el reglamento facultó a las entidades públicas para poner al día la información contenida en el documento del plan anual de adquisiciones.</w:t>
      </w:r>
    </w:p>
    <w:p w14:paraId="29A9A12A" w14:textId="77777777" w:rsidR="00C1511F" w:rsidRPr="00DB118E" w:rsidRDefault="00C1511F" w:rsidP="00C1511F">
      <w:pPr>
        <w:spacing w:after="12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El numeral 5.7 de la Circular Externa Única </w:t>
      </w:r>
      <w:r>
        <w:rPr>
          <w:rFonts w:ascii="Verdana" w:hAnsi="Verdana" w:cs="Arial"/>
          <w:szCs w:val="24"/>
          <w:lang w:val="es-ES_tradnl" w:eastAsia="es-ES_tradnl"/>
        </w:rPr>
        <w:t>“</w:t>
      </w:r>
      <w:r w:rsidRPr="00DB118E">
        <w:rPr>
          <w:rFonts w:ascii="Verdana" w:hAnsi="Verdana" w:cs="Arial"/>
          <w:szCs w:val="24"/>
          <w:lang w:val="es-ES_tradnl" w:eastAsia="es-ES_tradnl"/>
        </w:rPr>
        <w:t>Formas y oportunidades para actualizar el Plan Anual de Adquisiciones</w:t>
      </w:r>
      <w:r>
        <w:rPr>
          <w:rFonts w:ascii="Verdana" w:hAnsi="Verdana" w:cs="Arial"/>
          <w:szCs w:val="24"/>
          <w:lang w:val="es-ES_tradnl" w:eastAsia="es-ES_tradnl"/>
        </w:rPr>
        <w:t>”</w:t>
      </w:r>
      <w:r w:rsidRPr="00DB118E">
        <w:rPr>
          <w:rStyle w:val="Refdenotaalpie"/>
          <w:rFonts w:ascii="Verdana" w:hAnsi="Verdana" w:cs="Arial"/>
          <w:szCs w:val="24"/>
          <w:lang w:val="es-ES_tradnl" w:eastAsia="es-ES_tradnl"/>
        </w:rPr>
        <w:footnoteReference w:id="9"/>
      </w:r>
      <w:r w:rsidRPr="00DB118E">
        <w:rPr>
          <w:rFonts w:ascii="Verdana" w:hAnsi="Verdana" w:cs="Arial"/>
          <w:szCs w:val="24"/>
          <w:lang w:val="es-ES_tradnl" w:eastAsia="es-ES_tradnl"/>
        </w:rPr>
        <w:t xml:space="preserve">, expedida por Agencia Nacional de Contratación Pública – Colombia Compra Eficiente, dispone que las Entidades Estatales deben actualizar su Plan Anual de Adquisiciones </w:t>
      </w:r>
      <w:r w:rsidRPr="00DB118E">
        <w:rPr>
          <w:rFonts w:ascii="Verdana" w:hAnsi="Verdana" w:cs="Arial"/>
        </w:rPr>
        <w:t xml:space="preserve">cada vez que lo requieran utilizando el formato al que se refieren los numerales </w:t>
      </w:r>
      <w:r>
        <w:rPr>
          <w:rFonts w:ascii="Verdana" w:hAnsi="Verdana" w:cs="Arial"/>
        </w:rPr>
        <w:t>5.6. y 5.7.</w:t>
      </w:r>
      <w:r w:rsidRPr="00DB118E">
        <w:rPr>
          <w:rFonts w:ascii="Verdana" w:hAnsi="Verdana" w:cs="Arial"/>
        </w:rPr>
        <w:t xml:space="preserve"> de dicha Circular, según el caso. La actualización debe publicarse en la página web de la Entidad y en el SECOP, de tal manera que solo será visible el Plan Anual de Adquisiciones actualizado. En todo caso, las Entidades Estatales deben actualizarlo al menos una vez durante su vigencia</w:t>
      </w:r>
      <w:r w:rsidRPr="00DB118E">
        <w:rPr>
          <w:rFonts w:ascii="Verdana" w:hAnsi="Verdana" w:cs="Arial"/>
          <w:szCs w:val="24"/>
          <w:lang w:val="es-ES_tradnl" w:eastAsia="es-ES_tradnl"/>
        </w:rPr>
        <w:t>. Esto en concordancia con el artículo 2.2.1.1.1.4.4 del Decreto 1082 de 2015, el cual señala que la Entidad Estatal debe actualizar el Plan Anual de Adquisiciones por lo menos una vez durante su vigencia, en la forma y la oportunidad que para el efecto disponga Colombia Compra Eficiente.</w:t>
      </w:r>
    </w:p>
    <w:p w14:paraId="6B988027" w14:textId="77777777" w:rsidR="00C1511F" w:rsidRPr="00DB118E" w:rsidRDefault="00C1511F" w:rsidP="00C1511F">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Con el deber de actualizar el plan, una vez al año cuando menos, implícitamente se señala </w:t>
      </w:r>
      <w:r w:rsidRPr="003547E0">
        <w:rPr>
          <w:rFonts w:ascii="Verdana" w:hAnsi="Verdana" w:cs="Arial"/>
          <w:lang w:val="es-ES" w:eastAsia="es-ES"/>
        </w:rPr>
        <w:t>que el contenido inicial no es rígido ni inmodificable y, en consecuencia, por la misma dinámica de la actividad contractual de la Administración, estos datos necesariamente tendrán que modificarse.</w:t>
      </w:r>
      <w:r w:rsidRPr="40DA2A3B">
        <w:rPr>
          <w:rFonts w:ascii="Verdana" w:hAnsi="Verdana" w:cs="Arial"/>
          <w:lang w:val="es-ES" w:eastAsia="es-ES"/>
        </w:rPr>
        <w:t xml:space="preserve"> Además, la norma no limita la actualización del plan a un tope máximo, pero estableció un número mínimo, pues indicó que debían actualizarlo por lo menos una vez durante su vigencia. </w:t>
      </w:r>
    </w:p>
    <w:p w14:paraId="54794556" w14:textId="77777777" w:rsidR="00C1511F" w:rsidRPr="00DB118E" w:rsidRDefault="00C1511F" w:rsidP="00C1511F">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El inciso 2 del artículo citado estableció cuatro (4) eventos en los que procede actualizar el plan anual de adquisiciones: i) ajustes en los cronogramas de adquisición, valores, modalidad de selección y origen de los recursos; </w:t>
      </w:r>
      <w:proofErr w:type="spellStart"/>
      <w:r w:rsidRPr="40DA2A3B">
        <w:rPr>
          <w:rFonts w:ascii="Verdana" w:hAnsi="Verdana" w:cs="Arial"/>
          <w:lang w:val="es-ES" w:eastAsia="es-ES"/>
        </w:rPr>
        <w:t>ii</w:t>
      </w:r>
      <w:proofErr w:type="spellEnd"/>
      <w:r w:rsidRPr="40DA2A3B">
        <w:rPr>
          <w:rFonts w:ascii="Verdana" w:hAnsi="Verdana" w:cs="Arial"/>
          <w:lang w:val="es-ES" w:eastAsia="es-ES"/>
        </w:rPr>
        <w:t xml:space="preserve">) para incluir nuevas obras, bienes o servicios; </w:t>
      </w:r>
      <w:proofErr w:type="spellStart"/>
      <w:r w:rsidRPr="40DA2A3B">
        <w:rPr>
          <w:rFonts w:ascii="Verdana" w:hAnsi="Verdana" w:cs="Arial"/>
          <w:lang w:val="es-ES" w:eastAsia="es-ES"/>
        </w:rPr>
        <w:t>iii</w:t>
      </w:r>
      <w:proofErr w:type="spellEnd"/>
      <w:r w:rsidRPr="40DA2A3B">
        <w:rPr>
          <w:rFonts w:ascii="Verdana" w:hAnsi="Verdana" w:cs="Arial"/>
          <w:lang w:val="es-ES" w:eastAsia="es-ES"/>
        </w:rPr>
        <w:t xml:space="preserve">) excluir obras, bienes o servicios y </w:t>
      </w:r>
      <w:proofErr w:type="spellStart"/>
      <w:r w:rsidRPr="40DA2A3B">
        <w:rPr>
          <w:rFonts w:ascii="Verdana" w:hAnsi="Verdana" w:cs="Arial"/>
          <w:lang w:val="es-ES" w:eastAsia="es-ES"/>
        </w:rPr>
        <w:t>iv</w:t>
      </w:r>
      <w:proofErr w:type="spellEnd"/>
      <w:r w:rsidRPr="40DA2A3B">
        <w:rPr>
          <w:rFonts w:ascii="Verdana" w:hAnsi="Verdana" w:cs="Arial"/>
          <w:lang w:val="es-ES" w:eastAsia="es-ES"/>
        </w:rPr>
        <w:t xml:space="preserve">) modificar el presupuesto anual de adquisiciones. El inciso citado solo estableció los eventos en los que tiene que actualizarse, sin limitar la modificación a ciertos topes, como, por ejemplo, aumentar o disminuir valores. La norma no enfatizó en este punto, por lo cual, en principio, podrá modificarse. </w:t>
      </w:r>
    </w:p>
    <w:p w14:paraId="4B65E71B" w14:textId="77777777" w:rsidR="00C1511F" w:rsidRPr="00DB118E" w:rsidRDefault="00C1511F" w:rsidP="00C1511F">
      <w:pPr>
        <w:spacing w:after="12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Así las cosas, la Subdirección de Gestión Contractual considera que 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14:paraId="1F5FE21C" w14:textId="77777777" w:rsidR="00C1511F" w:rsidRPr="00DB118E" w:rsidRDefault="00C1511F" w:rsidP="00C1511F">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Las normas citadas permiten concluir que el objetivo del Plan Anual de Adquisiciones es indicar los bienes, obras y servicios que la entidad pretende adquirir, sin consideración a la forma en que estos deberán obtenerse, pues es el criterio de necesidad de aquellos el que fundamenta la inclusión o no en la lista del plan y no el carácter pecuniario de este ni su modalidad de contratación. Por tanto, bastará con que la entidad identifique la necesidad contractual para que deba incluirlo en el listado. </w:t>
      </w:r>
    </w:p>
    <w:p w14:paraId="43A96E1D" w14:textId="77777777" w:rsidR="00C1511F" w:rsidRDefault="00C1511F" w:rsidP="00C1511F">
      <w:pPr>
        <w:spacing w:after="0" w:line="276" w:lineRule="auto"/>
        <w:ind w:firstLine="709"/>
        <w:jc w:val="both"/>
        <w:rPr>
          <w:rFonts w:ascii="Verdana" w:hAnsi="Verdana" w:cs="Arial"/>
          <w:lang w:val="es-MX" w:eastAsia="es-ES"/>
        </w:rPr>
      </w:pPr>
      <w:r w:rsidRPr="002B0760">
        <w:rPr>
          <w:rFonts w:ascii="Verdana" w:hAnsi="Verdana" w:cs="Arial"/>
          <w:lang w:val="es-MX" w:eastAsia="es-ES"/>
        </w:rPr>
        <w:t>En conclusión, el Plan Anual de Adquisiciones constituye un instrumento de planeación estratégica que permite a las Entidades Estatales identificar, organizar y anticipar las necesidades de bienes, obras y servicios que deben ser satisfechas durante la respectiva vigencia anual mediante procesos contractuales. Conforme a lo dispuesto en el artículo 2.2.1.2.5.1 del Decreto 1082 de 2015, dichas necesidades deben ser incorporadas en el Plan, independientemente de que su adquisición implique o no una erogación presupuestal. En consecuencia, toda necesidad identificada en contratos, convenios o instrumentos equivalentes que conlleve la adquisición de bienes, obras y/o servicios deberá ser incluida en el Plan Anual de Adquisiciones de la Entidad, garantizando así la trazabilidad, transparencia y alineación con la política de gestión contractual.</w:t>
      </w:r>
    </w:p>
    <w:p w14:paraId="39218860" w14:textId="77777777" w:rsidR="003547E0" w:rsidRDefault="003547E0" w:rsidP="00C1511F">
      <w:pPr>
        <w:spacing w:after="0" w:line="276" w:lineRule="auto"/>
        <w:ind w:firstLine="709"/>
        <w:jc w:val="both"/>
        <w:rPr>
          <w:rFonts w:ascii="Verdana" w:hAnsi="Verdana" w:cs="Arial"/>
          <w:lang w:val="es-MX" w:eastAsia="es-ES"/>
        </w:rPr>
      </w:pPr>
    </w:p>
    <w:p w14:paraId="4FFC664E" w14:textId="77777777" w:rsidR="00D25B7B" w:rsidRPr="003018B0" w:rsidRDefault="00D25B7B" w:rsidP="00D25B7B">
      <w:pPr>
        <w:spacing w:after="120" w:line="276" w:lineRule="auto"/>
        <w:jc w:val="both"/>
        <w:rPr>
          <w:rFonts w:ascii="Verdana" w:eastAsia="Century Gothic" w:hAnsi="Verdana" w:cs="Century Gothic"/>
        </w:rPr>
      </w:pPr>
      <w:r>
        <w:rPr>
          <w:rFonts w:ascii="Verdana" w:eastAsia="Century Gothic" w:hAnsi="Verdana" w:cs="Century Gothic"/>
        </w:rPr>
        <w:t xml:space="preserve">          </w:t>
      </w:r>
      <w:r w:rsidRPr="57FAEE1D">
        <w:rPr>
          <w:rFonts w:ascii="Verdana" w:eastAsia="Century Gothic" w:hAnsi="Verdana" w:cs="Century Gothic"/>
        </w:rPr>
        <w:t xml:space="preserve"> Ahora bien, </w:t>
      </w:r>
      <w:r>
        <w:rPr>
          <w:rFonts w:ascii="Verdana" w:eastAsia="Century Gothic" w:hAnsi="Verdana" w:cs="Century Gothic"/>
        </w:rPr>
        <w:t xml:space="preserve">en atención al problema jurídico planteado es de precisar que </w:t>
      </w:r>
      <w:r w:rsidRPr="57FAEE1D">
        <w:rPr>
          <w:rFonts w:ascii="Verdana" w:eastAsia="Century Gothic" w:hAnsi="Verdana" w:cs="Century Gothic"/>
        </w:rPr>
        <w:t>la Guía para elaborar el Plan Anual de Adquisiciones</w:t>
      </w:r>
      <w:r>
        <w:rPr>
          <w:rStyle w:val="Refdenotaalpie"/>
          <w:rFonts w:ascii="Verdana" w:eastAsia="Century Gothic" w:hAnsi="Verdana" w:cs="Century Gothic"/>
        </w:rPr>
        <w:footnoteReference w:id="10"/>
      </w:r>
      <w:r w:rsidRPr="57FAEE1D">
        <w:rPr>
          <w:rFonts w:ascii="Verdana" w:eastAsia="Century Gothic" w:hAnsi="Verdana" w:cs="Century Gothic"/>
        </w:rPr>
        <w:t>,</w:t>
      </w:r>
      <w:r>
        <w:t xml:space="preserve"> </w:t>
      </w:r>
      <w:r w:rsidRPr="57FAEE1D">
        <w:rPr>
          <w:rFonts w:ascii="Verdana" w:eastAsia="Century Gothic" w:hAnsi="Verdana" w:cs="Century Gothic"/>
        </w:rPr>
        <w:t>sugiere el siguiente procedimiento para elaborar el Plan Anual de Adquisiciones:</w:t>
      </w:r>
    </w:p>
    <w:p w14:paraId="20EDAB95" w14:textId="77777777" w:rsidR="00D25B7B" w:rsidRPr="00F74E3C" w:rsidRDefault="00D25B7B" w:rsidP="00D25B7B">
      <w:pPr>
        <w:spacing w:after="120" w:line="276" w:lineRule="auto"/>
        <w:ind w:right="934" w:firstLine="709"/>
        <w:jc w:val="both"/>
        <w:rPr>
          <w:rFonts w:ascii="Verdana" w:eastAsia="Century Gothic" w:hAnsi="Verdana" w:cs="Century Gothic"/>
          <w:sz w:val="20"/>
          <w:szCs w:val="20"/>
        </w:rPr>
      </w:pPr>
      <w:r w:rsidRPr="00F74E3C">
        <w:rPr>
          <w:rFonts w:ascii="Verdana" w:eastAsia="Century Gothic" w:hAnsi="Verdana" w:cs="Century Gothic"/>
          <w:sz w:val="20"/>
          <w:szCs w:val="20"/>
        </w:rPr>
        <w:t>“(…)</w:t>
      </w:r>
    </w:p>
    <w:p w14:paraId="58DC4686" w14:textId="77777777" w:rsidR="00D25B7B" w:rsidRDefault="00D25B7B" w:rsidP="00D25B7B">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xml:space="preserve">El Plan Anual de Adquisiciones se considera un documento de carácter estimativo, en el sentido en </w:t>
      </w:r>
      <w:r w:rsidRPr="00F74E3C">
        <w:rPr>
          <w:rFonts w:ascii="Verdana" w:eastAsia="Century Gothic" w:hAnsi="Verdana" w:cs="Century Gothic"/>
          <w:b/>
          <w:bCs/>
          <w:sz w:val="20"/>
          <w:szCs w:val="20"/>
        </w:rPr>
        <w:t>que puede ser modificado</w:t>
      </w:r>
      <w:r w:rsidRPr="00F74E3C">
        <w:rPr>
          <w:rFonts w:ascii="Verdana" w:eastAsia="Century Gothic" w:hAnsi="Verdana" w:cs="Century Gothic"/>
          <w:sz w:val="20"/>
          <w:szCs w:val="20"/>
        </w:rPr>
        <w:t xml:space="preserve"> por la entidad, y que además tiene entre otras finalidades, servir como referente inicial para organizar la ejecución del presupuesto y planear la demanda de bienes y servicios de la entidad durante el año referido en el plan.</w:t>
      </w:r>
    </w:p>
    <w:p w14:paraId="158A62E4" w14:textId="77777777" w:rsidR="00D25B7B" w:rsidRDefault="00D25B7B" w:rsidP="00D25B7B">
      <w:pPr>
        <w:spacing w:after="120" w:line="276" w:lineRule="auto"/>
        <w:ind w:right="934"/>
        <w:jc w:val="both"/>
        <w:rPr>
          <w:rFonts w:ascii="Verdana" w:eastAsia="Century Gothic" w:hAnsi="Verdana" w:cs="Century Gothic"/>
          <w:sz w:val="20"/>
          <w:szCs w:val="20"/>
        </w:rPr>
      </w:pPr>
      <w:r>
        <w:rPr>
          <w:rFonts w:ascii="Verdana" w:eastAsia="Century Gothic" w:hAnsi="Verdana" w:cs="Century Gothic"/>
          <w:sz w:val="20"/>
          <w:szCs w:val="20"/>
        </w:rPr>
        <w:t xml:space="preserve">         (…)</w:t>
      </w:r>
    </w:p>
    <w:p w14:paraId="790080FE" w14:textId="77777777" w:rsidR="00D25B7B" w:rsidRDefault="00D25B7B" w:rsidP="00D25B7B">
      <w:pPr>
        <w:spacing w:after="120" w:line="276" w:lineRule="auto"/>
        <w:ind w:right="84"/>
        <w:jc w:val="both"/>
        <w:rPr>
          <w:rFonts w:ascii="Verdana" w:eastAsia="Century Gothic" w:hAnsi="Verdana" w:cs="Century Gothic"/>
        </w:rPr>
      </w:pPr>
      <w:r w:rsidRPr="005226A3">
        <w:rPr>
          <w:rFonts w:ascii="Verdana" w:eastAsia="Century Gothic" w:hAnsi="Verdana" w:cs="Century Gothic"/>
        </w:rPr>
        <w:t>La misma guía en relación con las modificaciones al plan establece lo siguiente</w:t>
      </w:r>
      <w:r>
        <w:rPr>
          <w:rFonts w:ascii="Verdana" w:eastAsia="Century Gothic" w:hAnsi="Verdana" w:cs="Century Gothic"/>
        </w:rPr>
        <w:t>:</w:t>
      </w:r>
    </w:p>
    <w:p w14:paraId="23618B02" w14:textId="77777777" w:rsidR="00D25B7B" w:rsidRPr="005226A3" w:rsidRDefault="00D25B7B" w:rsidP="00D25B7B">
      <w:pPr>
        <w:spacing w:after="120" w:line="276" w:lineRule="auto"/>
        <w:ind w:right="84"/>
        <w:jc w:val="both"/>
        <w:rPr>
          <w:rFonts w:ascii="Verdana" w:eastAsia="Century Gothic" w:hAnsi="Verdana" w:cs="Century Gothic"/>
        </w:rPr>
      </w:pPr>
      <w:r>
        <w:rPr>
          <w:rFonts w:ascii="Verdana" w:eastAsia="Century Gothic" w:hAnsi="Verdana" w:cs="Century Gothic"/>
          <w:sz w:val="20"/>
          <w:szCs w:val="20"/>
        </w:rPr>
        <w:t xml:space="preserve">           (…)</w:t>
      </w:r>
      <w:r w:rsidRPr="005226A3">
        <w:rPr>
          <w:rFonts w:ascii="Verdana" w:eastAsia="Century Gothic" w:hAnsi="Verdana" w:cs="Century Gothic"/>
        </w:rPr>
        <w:t xml:space="preserve"> </w:t>
      </w:r>
    </w:p>
    <w:p w14:paraId="701E9395" w14:textId="77777777" w:rsidR="00D25B7B" w:rsidRDefault="00D25B7B" w:rsidP="00D25B7B">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xml:space="preserve">Adicionalmente, los funcionarios o contratistas encargados de la elaboración y actualización del Plan Anual de Adquisiciones de acuerdo con lo dispuesto en el inciso 2 del artículo 2.2.1.1.1.4.4 del Decreto 1082 de 2015, deben validar los siguientes aspectos para así determinar si es o no necesario realizar actualizaciones a dicho plan en el transcurso del año: </w:t>
      </w:r>
    </w:p>
    <w:p w14:paraId="60109C62" w14:textId="77777777" w:rsidR="00D25B7B" w:rsidRDefault="00D25B7B" w:rsidP="00D25B7B">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Ajustes en los cronogramas de adquisición, valores, modalidad de selección y origen de los recursos</w:t>
      </w:r>
    </w:p>
    <w:p w14:paraId="784C531C" w14:textId="77777777" w:rsidR="00D25B7B" w:rsidRDefault="00D25B7B" w:rsidP="00D25B7B">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xml:space="preserve"> • Inclusión de nuevas obras, bienes o servicios </w:t>
      </w:r>
    </w:p>
    <w:p w14:paraId="231D4E83" w14:textId="77777777" w:rsidR="00D25B7B" w:rsidRDefault="00D25B7B" w:rsidP="00D25B7B">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xml:space="preserve">• Exclusión de obras, bienes o servicios y; </w:t>
      </w:r>
    </w:p>
    <w:p w14:paraId="3659BC73" w14:textId="77777777" w:rsidR="00D25B7B" w:rsidRDefault="00D25B7B" w:rsidP="00D25B7B">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xml:space="preserve">• </w:t>
      </w:r>
      <w:r w:rsidRPr="00F74E3C">
        <w:rPr>
          <w:rFonts w:ascii="Verdana" w:eastAsia="Century Gothic" w:hAnsi="Verdana" w:cs="Century Gothic"/>
          <w:b/>
          <w:bCs/>
          <w:sz w:val="20"/>
          <w:szCs w:val="20"/>
        </w:rPr>
        <w:t>Modificación del presupuesto anual de adquisiciones</w:t>
      </w:r>
      <w:r w:rsidRPr="00F74E3C">
        <w:rPr>
          <w:rFonts w:ascii="Verdana" w:eastAsia="Century Gothic" w:hAnsi="Verdana" w:cs="Century Gothic"/>
          <w:sz w:val="20"/>
          <w:szCs w:val="20"/>
        </w:rPr>
        <w:t xml:space="preserve"> </w:t>
      </w:r>
    </w:p>
    <w:p w14:paraId="2B9F5ED8" w14:textId="77777777" w:rsidR="00D25B7B" w:rsidRPr="00F74E3C" w:rsidRDefault="00D25B7B" w:rsidP="00D25B7B">
      <w:pPr>
        <w:spacing w:after="120" w:line="276" w:lineRule="auto"/>
        <w:ind w:left="731" w:right="934"/>
        <w:jc w:val="both"/>
        <w:rPr>
          <w:rFonts w:ascii="Verdana" w:eastAsia="Century Gothic" w:hAnsi="Verdana" w:cs="Century Gothic"/>
          <w:sz w:val="20"/>
          <w:szCs w:val="20"/>
        </w:rPr>
      </w:pPr>
      <w:r w:rsidRPr="00F74E3C">
        <w:rPr>
          <w:rFonts w:ascii="Verdana" w:eastAsia="Century Gothic" w:hAnsi="Verdana" w:cs="Century Gothic"/>
          <w:sz w:val="20"/>
          <w:szCs w:val="20"/>
        </w:rPr>
        <w:t xml:space="preserve">Por otro lado, se aclara que, la norma no limita la actualización del Plan Anual de Adquisiciones a un tope máximo, pero si estableció un número mínimo al disponer que las Entidades Estatales debían actualizarlo por lo menos una vez durante su vigencia (…)”. </w:t>
      </w:r>
    </w:p>
    <w:p w14:paraId="1C0660DC" w14:textId="77777777" w:rsidR="00D25B7B" w:rsidRPr="00E031CE" w:rsidRDefault="00D25B7B" w:rsidP="00D25B7B">
      <w:pPr>
        <w:spacing w:after="120"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         D</w:t>
      </w:r>
      <w:r w:rsidRPr="00E031CE">
        <w:rPr>
          <w:rFonts w:ascii="Verdana" w:eastAsia="Times New Roman" w:hAnsi="Verdana" w:cs="Arial"/>
          <w:color w:val="000000" w:themeColor="text1"/>
          <w:lang w:eastAsia="es-CO"/>
        </w:rPr>
        <w:t xml:space="preserve">e conformidad </w:t>
      </w:r>
      <w:r w:rsidRPr="002D1330">
        <w:rPr>
          <w:rFonts w:ascii="Verdana" w:eastAsia="Times New Roman" w:hAnsi="Verdana" w:cs="Arial"/>
          <w:color w:val="000000" w:themeColor="text1"/>
          <w:lang w:eastAsia="es-CO"/>
        </w:rPr>
        <w:t xml:space="preserve">se señala que el contenido inicial </w:t>
      </w:r>
      <w:r>
        <w:rPr>
          <w:rFonts w:ascii="Verdana" w:eastAsia="Times New Roman" w:hAnsi="Verdana" w:cs="Arial"/>
          <w:color w:val="000000" w:themeColor="text1"/>
          <w:lang w:eastAsia="es-CO"/>
        </w:rPr>
        <w:t xml:space="preserve">del PAA </w:t>
      </w:r>
      <w:r w:rsidRPr="002D1330">
        <w:rPr>
          <w:rFonts w:ascii="Verdana" w:eastAsia="Times New Roman" w:hAnsi="Verdana" w:cs="Arial"/>
          <w:color w:val="000000" w:themeColor="text1"/>
          <w:lang w:eastAsia="es-CO"/>
        </w:rPr>
        <w:t>no es rígido ni inmodificable y, en consecuencia, por la misma dinámica de la actividad contractual de la Administración, estos datos necesariamente tendrán que modificarse</w:t>
      </w:r>
      <w:r w:rsidRPr="00E031CE">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por lo anterior</w:t>
      </w:r>
      <w:r w:rsidRPr="00E031CE">
        <w:rPr>
          <w:rFonts w:ascii="Verdana" w:eastAsia="Times New Roman" w:hAnsi="Verdana" w:cs="Arial"/>
          <w:color w:val="000000" w:themeColor="text1"/>
          <w:lang w:eastAsia="es-CO"/>
        </w:rPr>
        <w:t xml:space="preserve"> es posible modificar el Plan Anual de Adquisiciones, incluso cuando ya exista un proceso contractual asociado, siempre que la actualización obedezca a ajustes en valores, cronogramas o condiciones del proceso.</w:t>
      </w:r>
    </w:p>
    <w:p w14:paraId="11E7C6B8" w14:textId="01DCAE8F" w:rsidR="003547E0" w:rsidRDefault="00D25B7B" w:rsidP="00D25B7B">
      <w:pPr>
        <w:spacing w:after="0" w:line="276" w:lineRule="auto"/>
        <w:ind w:firstLine="709"/>
        <w:jc w:val="both"/>
        <w:rPr>
          <w:rFonts w:ascii="Verdana" w:hAnsi="Verdana" w:cs="Arial"/>
          <w:lang w:val="es-MX" w:eastAsia="es-ES"/>
        </w:rPr>
      </w:pPr>
      <w:r>
        <w:rPr>
          <w:rFonts w:ascii="Verdana" w:eastAsia="Times New Roman" w:hAnsi="Verdana" w:cs="Arial"/>
          <w:color w:val="000000" w:themeColor="text1"/>
          <w:lang w:eastAsia="es-CO"/>
        </w:rPr>
        <w:t xml:space="preserve">   </w:t>
      </w:r>
      <w:r w:rsidRPr="00E031CE">
        <w:rPr>
          <w:rFonts w:ascii="Verdana" w:eastAsia="Times New Roman" w:hAnsi="Verdana" w:cs="Arial"/>
          <w:color w:val="000000" w:themeColor="text1"/>
          <w:lang w:eastAsia="es-CO"/>
        </w:rPr>
        <w:t xml:space="preserve">En ese sentido, se recomienda a las Entidades Estatales, con el fin de elaborar, modificar y publicar su Plan Anual de Adquisiciones a través del SECOP II, consultar los lineamientos dispuestos por Colombia Compra Eficiente en la “Guía Práctica para Publicar el Plan Anual de Adquisiciones en el SECOP II”, </w:t>
      </w:r>
      <w:r>
        <w:rPr>
          <w:rFonts w:ascii="Verdana" w:eastAsia="Times New Roman" w:hAnsi="Verdana" w:cs="Arial"/>
          <w:color w:val="000000" w:themeColor="text1"/>
          <w:lang w:eastAsia="es-CO"/>
        </w:rPr>
        <w:t xml:space="preserve">y  </w:t>
      </w:r>
      <w:r w:rsidRPr="00E031CE">
        <w:rPr>
          <w:rFonts w:ascii="Verdana" w:eastAsia="Times New Roman" w:hAnsi="Verdana" w:cs="Arial"/>
          <w:color w:val="000000" w:themeColor="text1"/>
          <w:lang w:eastAsia="es-CO"/>
        </w:rPr>
        <w:t>disponible en el siguiente enlace oficial:</w:t>
      </w:r>
      <w:r>
        <w:rPr>
          <w:rFonts w:ascii="Verdana" w:eastAsia="Times New Roman" w:hAnsi="Verdana" w:cs="Arial"/>
          <w:color w:val="000000" w:themeColor="text1"/>
          <w:lang w:eastAsia="es-CO"/>
        </w:rPr>
        <w:t xml:space="preserve"> </w:t>
      </w:r>
      <w:r w:rsidRPr="00E031CE">
        <w:rPr>
          <w:rFonts w:ascii="Verdana" w:eastAsia="Times New Roman" w:hAnsi="Verdana" w:cs="Arial"/>
          <w:color w:val="000000" w:themeColor="text1"/>
          <w:lang w:eastAsia="es-CO"/>
        </w:rPr>
        <w:t xml:space="preserve"> chrome-extension://efaidnbmnnnibpcajpcglclefindmkaj/https://operaciones.colombiacompra.gov.co/sites/cce_public/files/cce_step/cce-sec-gi-11eeppplananua</w:t>
      </w:r>
      <w:r>
        <w:rPr>
          <w:rFonts w:ascii="Verdana" w:eastAsia="Times New Roman" w:hAnsi="Verdana" w:cs="Arial"/>
          <w:color w:val="000000" w:themeColor="text1"/>
          <w:lang w:eastAsia="es-CO"/>
        </w:rPr>
        <w:t xml:space="preserve"> </w:t>
      </w:r>
      <w:r w:rsidRPr="00E031CE">
        <w:rPr>
          <w:rFonts w:ascii="Verdana" w:eastAsia="Times New Roman" w:hAnsi="Verdana" w:cs="Arial"/>
          <w:color w:val="000000" w:themeColor="text1"/>
          <w:lang w:eastAsia="es-CO"/>
        </w:rPr>
        <w:t>ladquisiciones08-09-2021.pdf</w:t>
      </w:r>
      <w:r>
        <w:rPr>
          <w:rFonts w:ascii="Verdana" w:eastAsia="Times New Roman" w:hAnsi="Verdana" w:cs="Arial"/>
          <w:color w:val="000000" w:themeColor="text1"/>
          <w:lang w:eastAsia="es-CO"/>
        </w:rPr>
        <w:t xml:space="preserve">.  </w:t>
      </w:r>
    </w:p>
    <w:p w14:paraId="59AB9AEF" w14:textId="77777777" w:rsidR="003547E0" w:rsidRPr="00DB118E" w:rsidRDefault="003547E0" w:rsidP="00C1511F">
      <w:pPr>
        <w:spacing w:after="0" w:line="276" w:lineRule="auto"/>
        <w:ind w:firstLine="709"/>
        <w:jc w:val="both"/>
        <w:rPr>
          <w:rFonts w:ascii="Verdana" w:hAnsi="Verdana" w:cs="Arial"/>
          <w:lang w:val="es-MX" w:eastAsia="es-ES"/>
        </w:rPr>
      </w:pPr>
    </w:p>
    <w:p w14:paraId="439C9839" w14:textId="77777777" w:rsidR="00C1511F" w:rsidRDefault="00C1511F" w:rsidP="00C1511F">
      <w:pPr>
        <w:autoSpaceDE w:val="0"/>
        <w:autoSpaceDN w:val="0"/>
        <w:adjustRightInd w:val="0"/>
        <w:spacing w:after="0" w:line="276" w:lineRule="auto"/>
        <w:ind w:firstLine="709"/>
        <w:jc w:val="both"/>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9889BA5" w14:textId="77777777" w:rsidR="00C1511F" w:rsidRPr="00B2552F" w:rsidRDefault="00C1511F" w:rsidP="00C1511F">
      <w:pPr>
        <w:autoSpaceDE w:val="0"/>
        <w:autoSpaceDN w:val="0"/>
        <w:adjustRightInd w:val="0"/>
        <w:spacing w:after="0" w:line="276" w:lineRule="auto"/>
        <w:ind w:firstLine="709"/>
        <w:jc w:val="both"/>
        <w:rPr>
          <w:rFonts w:ascii="Verdana" w:hAnsi="Verdana" w:cs="Arial"/>
        </w:rPr>
      </w:pPr>
    </w:p>
    <w:p w14:paraId="38C7FA15" w14:textId="77777777" w:rsidR="00C1511F" w:rsidRDefault="00C1511F" w:rsidP="00C151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0FF5E7E8" w14:textId="77777777" w:rsidR="00C1511F" w:rsidRPr="0060676F" w:rsidRDefault="00C1511F" w:rsidP="00C1511F">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7CE5891" w14:textId="77777777" w:rsidR="00C1511F" w:rsidRPr="00593A5F" w:rsidRDefault="00C1511F" w:rsidP="00C1511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1511F" w:rsidRPr="00593A5F" w14:paraId="04A8BED6" w14:textId="77777777" w:rsidTr="00660F64">
        <w:trPr>
          <w:trHeight w:val="870"/>
        </w:trPr>
        <w:tc>
          <w:tcPr>
            <w:tcW w:w="8647" w:type="dxa"/>
          </w:tcPr>
          <w:p w14:paraId="72288FBC" w14:textId="77777777" w:rsidR="00C1511F" w:rsidRPr="00C95794" w:rsidRDefault="00C1511F" w:rsidP="00C1511F">
            <w:pPr>
              <w:widowControl w:val="0"/>
              <w:numPr>
                <w:ilvl w:val="0"/>
                <w:numId w:val="18"/>
              </w:numPr>
              <w:autoSpaceDE w:val="0"/>
              <w:autoSpaceDN w:val="0"/>
              <w:spacing w:after="120" w:line="276" w:lineRule="auto"/>
              <w:ind w:left="357" w:hanging="357"/>
              <w:jc w:val="both"/>
              <w:rPr>
                <w:rFonts w:ascii="Verdana" w:eastAsia="Calibri" w:hAnsi="Verdana" w:cs="Arial"/>
                <w:color w:val="000000"/>
              </w:rPr>
            </w:pPr>
            <w:r w:rsidRPr="00C95794">
              <w:rPr>
                <w:rFonts w:ascii="Verdana" w:eastAsia="Calibri" w:hAnsi="Verdana" w:cs="Arial"/>
                <w:color w:val="000000"/>
              </w:rPr>
              <w:t>Ley 1474 de 2011, artículo 74.</w:t>
            </w:r>
          </w:p>
          <w:p w14:paraId="191F1011" w14:textId="77777777" w:rsidR="00C1511F" w:rsidRPr="00C95794" w:rsidRDefault="00C1511F" w:rsidP="00660F64">
            <w:pPr>
              <w:widowControl w:val="0"/>
              <w:numPr>
                <w:ilvl w:val="0"/>
                <w:numId w:val="17"/>
              </w:numPr>
              <w:autoSpaceDE w:val="0"/>
              <w:autoSpaceDN w:val="0"/>
              <w:spacing w:after="120" w:line="276" w:lineRule="auto"/>
              <w:ind w:left="357" w:hanging="357"/>
              <w:jc w:val="both"/>
              <w:rPr>
                <w:rFonts w:ascii="Verdana" w:eastAsia="Calibri" w:hAnsi="Verdana" w:cs="Arial"/>
                <w:color w:val="000000"/>
              </w:rPr>
            </w:pPr>
            <w:r w:rsidRPr="00C95794">
              <w:rPr>
                <w:rFonts w:ascii="Verdana" w:eastAsia="Calibri" w:hAnsi="Verdana" w:cs="Arial"/>
                <w:color w:val="000000"/>
              </w:rPr>
              <w:t>Ley 1712 de 2014, artículo 5</w:t>
            </w:r>
            <w:r w:rsidRPr="001D7877">
              <w:rPr>
                <w:rFonts w:ascii="Verdana" w:eastAsia="Calibri" w:hAnsi="Verdana" w:cs="Arial"/>
                <w:color w:val="000000"/>
              </w:rPr>
              <w:t xml:space="preserve"> y 9</w:t>
            </w:r>
            <w:r w:rsidRPr="00C95794">
              <w:rPr>
                <w:rFonts w:ascii="Verdana" w:eastAsia="Calibri" w:hAnsi="Verdana" w:cs="Arial"/>
                <w:color w:val="000000"/>
              </w:rPr>
              <w:t>.</w:t>
            </w:r>
          </w:p>
          <w:p w14:paraId="57B81DE3" w14:textId="77777777" w:rsidR="00C1511F" w:rsidRPr="00C95794" w:rsidRDefault="00C1511F" w:rsidP="00660F64">
            <w:pPr>
              <w:widowControl w:val="0"/>
              <w:numPr>
                <w:ilvl w:val="0"/>
                <w:numId w:val="17"/>
              </w:numPr>
              <w:autoSpaceDE w:val="0"/>
              <w:autoSpaceDN w:val="0"/>
              <w:spacing w:after="120" w:line="276" w:lineRule="auto"/>
              <w:ind w:left="357" w:hanging="357"/>
              <w:jc w:val="both"/>
              <w:rPr>
                <w:rFonts w:ascii="Verdana" w:eastAsia="Calibri" w:hAnsi="Verdana" w:cs="Arial"/>
                <w:color w:val="000000"/>
              </w:rPr>
            </w:pPr>
            <w:r w:rsidRPr="00C95794">
              <w:rPr>
                <w:rFonts w:ascii="Verdana" w:eastAsia="Calibri" w:hAnsi="Verdana" w:cs="Arial"/>
                <w:color w:val="000000"/>
              </w:rPr>
              <w:t>Ley 1150 de 2007, artículo 3.</w:t>
            </w:r>
          </w:p>
          <w:p w14:paraId="4D5F72C4" w14:textId="77777777" w:rsidR="00C1511F" w:rsidRPr="00C95794" w:rsidRDefault="00C1511F" w:rsidP="00660F64">
            <w:pPr>
              <w:widowControl w:val="0"/>
              <w:numPr>
                <w:ilvl w:val="0"/>
                <w:numId w:val="17"/>
              </w:numPr>
              <w:autoSpaceDE w:val="0"/>
              <w:autoSpaceDN w:val="0"/>
              <w:spacing w:after="120" w:line="276" w:lineRule="auto"/>
              <w:ind w:left="357" w:hanging="357"/>
              <w:jc w:val="both"/>
              <w:rPr>
                <w:rFonts w:ascii="Verdana" w:eastAsia="Calibri" w:hAnsi="Verdana" w:cs="Arial"/>
                <w:color w:val="000000"/>
              </w:rPr>
            </w:pPr>
            <w:r w:rsidRPr="00C95794">
              <w:rPr>
                <w:rFonts w:ascii="Verdana" w:eastAsia="Calibri" w:hAnsi="Verdana" w:cs="Arial"/>
                <w:bCs/>
                <w:color w:val="000000"/>
              </w:rPr>
              <w:t>Decreto 1081 de 2015, artículo 2.1.1.2.1.10.</w:t>
            </w:r>
          </w:p>
          <w:p w14:paraId="61C2B938" w14:textId="77777777" w:rsidR="00C1511F" w:rsidRPr="001D7877" w:rsidRDefault="00C1511F" w:rsidP="00660F64">
            <w:pPr>
              <w:widowControl w:val="0"/>
              <w:numPr>
                <w:ilvl w:val="0"/>
                <w:numId w:val="17"/>
              </w:numPr>
              <w:autoSpaceDE w:val="0"/>
              <w:autoSpaceDN w:val="0"/>
              <w:spacing w:after="120" w:line="276" w:lineRule="auto"/>
              <w:ind w:left="357" w:hanging="357"/>
              <w:jc w:val="both"/>
              <w:rPr>
                <w:rFonts w:ascii="Verdana" w:eastAsia="Calibri" w:hAnsi="Verdana" w:cs="Arial"/>
                <w:color w:val="000000"/>
              </w:rPr>
            </w:pPr>
            <w:r w:rsidRPr="001D7877">
              <w:rPr>
                <w:rFonts w:ascii="Verdana" w:eastAsia="Calibri" w:hAnsi="Verdana" w:cs="Arial"/>
                <w:color w:val="000000"/>
              </w:rPr>
              <w:t xml:space="preserve">Decreto 1082 de 2015, artículos </w:t>
            </w:r>
            <w:r w:rsidRPr="001D7877">
              <w:rPr>
                <w:rFonts w:ascii="Verdana" w:hAnsi="Verdana" w:cs="Arial"/>
                <w:lang w:val="es-ES_tradnl" w:eastAsia="es-ES_tradnl"/>
              </w:rPr>
              <w:t xml:space="preserve">2.2.1.1.1.4.1, 2.2.1.1.1.4.3 y 2.2.1.1.1.4.4. </w:t>
            </w:r>
          </w:p>
          <w:p w14:paraId="06488864" w14:textId="77777777" w:rsidR="00C1511F" w:rsidRPr="00D0757A" w:rsidRDefault="00C1511F" w:rsidP="00660F64">
            <w:pPr>
              <w:widowControl w:val="0"/>
              <w:numPr>
                <w:ilvl w:val="0"/>
                <w:numId w:val="17"/>
              </w:numPr>
              <w:autoSpaceDE w:val="0"/>
              <w:autoSpaceDN w:val="0"/>
              <w:spacing w:after="120" w:line="276" w:lineRule="auto"/>
              <w:ind w:left="357" w:hanging="357"/>
              <w:jc w:val="both"/>
              <w:rPr>
                <w:rFonts w:ascii="Verdana" w:eastAsia="Calibri" w:hAnsi="Verdana" w:cs="Arial"/>
                <w:color w:val="000000"/>
              </w:rPr>
            </w:pPr>
            <w:r w:rsidRPr="001D7877">
              <w:rPr>
                <w:rFonts w:ascii="Verdana" w:eastAsia="Calibri" w:hAnsi="Verdana" w:cs="Arial"/>
              </w:rPr>
              <w:t>Agencia Nacional de Contratación Pública - Colombia Compra Eficiente.</w:t>
            </w:r>
            <w:r w:rsidRPr="001D7877">
              <w:rPr>
                <w:rFonts w:ascii="Verdana" w:eastAsia="Calibri" w:hAnsi="Verdana" w:cs="Times New Roman"/>
              </w:rPr>
              <w:t xml:space="preserve"> </w:t>
            </w:r>
            <w:r w:rsidRPr="001D7877">
              <w:rPr>
                <w:rFonts w:ascii="Verdana" w:hAnsi="Verdana" w:cs="Arial"/>
              </w:rPr>
              <w:t xml:space="preserve">Circular Externa única actualizada </w:t>
            </w:r>
            <w:r w:rsidRPr="001D7877">
              <w:rPr>
                <w:rFonts w:ascii="Verdana" w:eastAsia="Calibri" w:hAnsi="Verdana" w:cs="Arial"/>
                <w:lang w:val="es-ES"/>
              </w:rPr>
              <w:t xml:space="preserve">Disponible en:  </w:t>
            </w:r>
            <w:hyperlink r:id="rId13" w:history="1">
              <w:r w:rsidRPr="001D7877">
                <w:rPr>
                  <w:rStyle w:val="Hipervnculo"/>
                  <w:rFonts w:ascii="Verdana" w:eastAsia="Calibri" w:hAnsi="Verdana" w:cs="Arial"/>
                  <w:lang w:val="es-ES"/>
                </w:rPr>
                <w:t>https://www.colombiacompra.gov.co/wp-content/uploads/2024/08/circular_externa_unica_version_3_vf49.pdf</w:t>
              </w:r>
            </w:hyperlink>
          </w:p>
          <w:p w14:paraId="27A51F26" w14:textId="77777777" w:rsidR="00C1511F" w:rsidRPr="00D0757A" w:rsidRDefault="00C1511F" w:rsidP="00660F64">
            <w:pPr>
              <w:widowControl w:val="0"/>
              <w:numPr>
                <w:ilvl w:val="0"/>
                <w:numId w:val="17"/>
              </w:numPr>
              <w:autoSpaceDE w:val="0"/>
              <w:autoSpaceDN w:val="0"/>
              <w:spacing w:after="120" w:line="276" w:lineRule="auto"/>
              <w:ind w:left="357" w:hanging="357"/>
              <w:jc w:val="both"/>
              <w:rPr>
                <w:rFonts w:ascii="Verdana" w:eastAsia="Calibri" w:hAnsi="Verdana" w:cs="Arial"/>
                <w:color w:val="000000"/>
              </w:rPr>
            </w:pPr>
            <w:r w:rsidRPr="00D0757A">
              <w:rPr>
                <w:rFonts w:ascii="Verdana" w:eastAsia="Calibri" w:hAnsi="Verdana" w:cs="Arial"/>
              </w:rPr>
              <w:t>Agencia Nacional de Contratación Pública - Colombia Compra Eficiente.</w:t>
            </w:r>
            <w:r w:rsidRPr="00D0757A">
              <w:rPr>
                <w:rFonts w:ascii="Verdana" w:eastAsia="Calibri" w:hAnsi="Verdana" w:cs="Times New Roman"/>
              </w:rPr>
              <w:t xml:space="preserve"> </w:t>
            </w:r>
            <w:r w:rsidRPr="00D0757A">
              <w:rPr>
                <w:rFonts w:ascii="Verdana" w:eastAsia="Calibri" w:hAnsi="Verdana" w:cs="Arial"/>
              </w:rPr>
              <w:t xml:space="preserve">Guía para elaborar el Plan Anual de Adquisiciones. Disponible en:  </w:t>
            </w:r>
            <w:r w:rsidRPr="00D0757A">
              <w:rPr>
                <w:rFonts w:ascii="Verdana" w:eastAsia="Calibri" w:hAnsi="Verdana" w:cs="Times New Roman"/>
                <w:color w:val="0000FF"/>
                <w:u w:val="single"/>
              </w:rPr>
              <w:t>https://www.colombiacompra.gov.co/archivos/manual/guia-para-elaborar-el-plan-anual-de-adquisiciones</w:t>
            </w:r>
          </w:p>
        </w:tc>
      </w:tr>
    </w:tbl>
    <w:p w14:paraId="58ADDCE6" w14:textId="77777777" w:rsidR="00C1511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100567F" w14:textId="77777777" w:rsidR="00C1511F" w:rsidRDefault="00C1511F" w:rsidP="00C1511F">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503120B" w14:textId="77777777" w:rsidR="00C1511F" w:rsidRPr="00593A5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1D7E38D" w14:textId="3CE8CC83" w:rsidR="00C1511F" w:rsidRPr="00C95794" w:rsidRDefault="00C1511F" w:rsidP="00C1511F">
      <w:pPr>
        <w:widowControl w:val="0"/>
        <w:autoSpaceDE w:val="0"/>
        <w:autoSpaceDN w:val="0"/>
        <w:spacing w:after="0" w:line="276" w:lineRule="auto"/>
        <w:jc w:val="both"/>
        <w:rPr>
          <w:rFonts w:ascii="Verdana" w:eastAsia="Times New Roman" w:hAnsi="Verdana" w:cs="Arial"/>
          <w:color w:val="4472C4"/>
          <w:szCs w:val="24"/>
          <w:lang w:eastAsia="es-ES_tradnl"/>
        </w:rPr>
      </w:pPr>
      <w:r w:rsidRPr="00C95794">
        <w:rPr>
          <w:rFonts w:ascii="Verdana" w:eastAsia="Times New Roman" w:hAnsi="Verdana" w:cs="Arial"/>
          <w:szCs w:val="24"/>
          <w:lang w:eastAsia="es-ES_tradnl"/>
        </w:rPr>
        <w:t>La Agencia Nacional de Contratación Pública – Colombia Compra Eficiente, se pronunció sobre la obligatoriedad de la elaboración del Plan Anual de Adquisiciones y su contenido en los conceptos C-733 del 13 de enero de 2022, C-026 del 18 de febrero de 2022, C-027 del 25 de febrero de 2022, C-047 del 2 de marzo de 2022, C-087 del 17 de marzo de 2022, C-408 del 23 de junio de 2022, C-622 de 28 de septiembre de 2022, C-754 de 9 de noviembre de 2022 , C-763 de 15 de noviembre de 2022, C-889 de 26 de diciembre de 2022, CU-007 del 16 de enero de 2023, C-062 del 18 de abril de 2023, C-142 de 30 de mayo de 2023, C-196 de 15 de junio de 2023, C-122 de 21 de junio de 2023, C-364 de 6 de septiembre de 2023, C-438 del 24 de octubre 2023, C-771 del 9 de diciembre de 2024, C-934 del 30 de diciembre de 2024</w:t>
      </w:r>
      <w:r w:rsidR="00CA4CCC">
        <w:rPr>
          <w:rFonts w:ascii="Verdana" w:eastAsia="Times New Roman" w:hAnsi="Verdana" w:cs="Arial"/>
          <w:szCs w:val="24"/>
          <w:lang w:eastAsia="es-ES_tradnl"/>
        </w:rPr>
        <w:t>,</w:t>
      </w:r>
      <w:r>
        <w:rPr>
          <w:rFonts w:ascii="Verdana" w:eastAsia="Times New Roman" w:hAnsi="Verdana" w:cs="Arial"/>
          <w:szCs w:val="24"/>
          <w:lang w:eastAsia="es-ES_tradnl"/>
        </w:rPr>
        <w:t xml:space="preserve"> C-1331 del 20 de octubre 2025</w:t>
      </w:r>
      <w:r w:rsidR="00CA4CCC">
        <w:rPr>
          <w:rFonts w:ascii="Verdana" w:eastAsia="Times New Roman" w:hAnsi="Verdana" w:cs="Arial"/>
          <w:szCs w:val="24"/>
          <w:lang w:eastAsia="es-ES_tradnl"/>
        </w:rPr>
        <w:t xml:space="preserve"> y C-1362 del 29 de octubre de 2025</w:t>
      </w:r>
      <w:r w:rsidRPr="00C95794">
        <w:rPr>
          <w:rFonts w:ascii="Verdana" w:eastAsia="Times New Roman" w:hAnsi="Verdana" w:cs="Arial"/>
          <w:szCs w:val="24"/>
          <w:lang w:eastAsia="es-ES_tradnl"/>
        </w:rPr>
        <w:t>.</w:t>
      </w:r>
      <w:r>
        <w:rPr>
          <w:rFonts w:ascii="Verdana" w:eastAsia="Times New Roman" w:hAnsi="Verdana" w:cs="Arial"/>
          <w:szCs w:val="24"/>
          <w:lang w:eastAsia="es-ES_tradnl"/>
        </w:rPr>
        <w:t xml:space="preserve"> </w:t>
      </w:r>
      <w:r w:rsidRPr="00C95794">
        <w:rPr>
          <w:rFonts w:ascii="Verdana" w:eastAsia="Times New Roman" w:hAnsi="Verdana" w:cs="Arial"/>
          <w:szCs w:val="24"/>
          <w:lang w:eastAsia="es-ES_tradnl"/>
        </w:rPr>
        <w:t xml:space="preserve">Estos y otros conceptos se encuentran disponibles para consulta en el Sistema de relatoría de la Agencia, al cual se puede acceder a través del siguiente enlace: </w:t>
      </w:r>
      <w:hyperlink r:id="rId14" w:history="1">
        <w:r w:rsidRPr="00C95794">
          <w:rPr>
            <w:rFonts w:ascii="Verdana" w:eastAsia="Times New Roman" w:hAnsi="Verdana" w:cs="Arial"/>
            <w:color w:val="0000FF"/>
            <w:szCs w:val="24"/>
            <w:u w:val="single"/>
            <w:lang w:eastAsia="es-ES_tradnl"/>
          </w:rPr>
          <w:t>https://relatoria.colombiacompra.gov.co</w:t>
        </w:r>
      </w:hyperlink>
    </w:p>
    <w:p w14:paraId="52414A80" w14:textId="77777777" w:rsidR="00C1511F" w:rsidRDefault="00C1511F" w:rsidP="00C1511F">
      <w:pPr>
        <w:widowControl w:val="0"/>
        <w:autoSpaceDE w:val="0"/>
        <w:autoSpaceDN w:val="0"/>
        <w:spacing w:after="0" w:line="276" w:lineRule="auto"/>
        <w:jc w:val="both"/>
        <w:rPr>
          <w:rFonts w:ascii="Verdana" w:hAnsi="Verdana" w:cs="Arial"/>
          <w:color w:val="000000" w:themeColor="text1"/>
          <w:shd w:val="clear" w:color="auto" w:fill="FFFFFF"/>
        </w:rPr>
      </w:pPr>
    </w:p>
    <w:p w14:paraId="2DD3E5C6" w14:textId="77777777" w:rsidR="00C1511F" w:rsidRPr="00103B90" w:rsidRDefault="00C1511F" w:rsidP="00C1511F">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35229C2C" w14:textId="77777777" w:rsidR="00C1511F" w:rsidRPr="00103B90" w:rsidRDefault="00C1511F" w:rsidP="00C1511F">
      <w:pPr>
        <w:widowControl w:val="0"/>
        <w:autoSpaceDE w:val="0"/>
        <w:autoSpaceDN w:val="0"/>
        <w:spacing w:after="0" w:line="276" w:lineRule="auto"/>
        <w:jc w:val="both"/>
        <w:rPr>
          <w:rFonts w:ascii="Verdana" w:hAnsi="Verdana"/>
        </w:rPr>
      </w:pPr>
    </w:p>
    <w:p w14:paraId="0BCE0327" w14:textId="77777777" w:rsidR="00C1511F" w:rsidRPr="00505CD6" w:rsidRDefault="00C1511F" w:rsidP="00C1511F">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95BA75C" w14:textId="77777777" w:rsidR="00C1511F" w:rsidRPr="00505CD6" w:rsidRDefault="00C1511F" w:rsidP="00C1511F">
      <w:pPr>
        <w:widowControl w:val="0"/>
        <w:autoSpaceDE w:val="0"/>
        <w:autoSpaceDN w:val="0"/>
        <w:spacing w:after="0" w:line="276" w:lineRule="auto"/>
        <w:jc w:val="both"/>
        <w:rPr>
          <w:rFonts w:ascii="Verdana" w:hAnsi="Verdana" w:cs="Arial"/>
        </w:rPr>
      </w:pPr>
    </w:p>
    <w:p w14:paraId="4C307D77" w14:textId="77777777" w:rsidR="00C1511F" w:rsidRDefault="00C1511F" w:rsidP="00C1511F">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B4A209C" w14:textId="77777777" w:rsidR="00C1511F" w:rsidRDefault="00C1511F" w:rsidP="00C1511F">
      <w:pPr>
        <w:spacing w:after="0" w:line="276" w:lineRule="auto"/>
        <w:jc w:val="both"/>
        <w:rPr>
          <w:noProof/>
        </w:rPr>
      </w:pPr>
    </w:p>
    <w:p w14:paraId="65D1ED77" w14:textId="5A3618C8" w:rsidR="00C1511F" w:rsidRDefault="00C1511F" w:rsidP="00C1511F">
      <w:pPr>
        <w:spacing w:line="276" w:lineRule="auto"/>
        <w:jc w:val="center"/>
        <w:rPr>
          <w:noProof/>
        </w:rPr>
      </w:pPr>
    </w:p>
    <w:p w14:paraId="032483A1" w14:textId="0AC521ED" w:rsidR="00CA4CCC" w:rsidRDefault="00CA4CCC" w:rsidP="00C1511F">
      <w:pPr>
        <w:spacing w:line="276" w:lineRule="auto"/>
        <w:jc w:val="center"/>
        <w:rPr>
          <w:noProof/>
        </w:rPr>
      </w:pPr>
      <w:r>
        <w:rPr>
          <w:noProof/>
        </w:rPr>
        <w:drawing>
          <wp:inline distT="0" distB="0" distL="0" distR="0" wp14:anchorId="4157B40A" wp14:editId="3F750776">
            <wp:extent cx="3335655" cy="1431939"/>
            <wp:effectExtent l="0" t="0" r="0" b="0"/>
            <wp:docPr id="12261595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44090" cy="143556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1511F" w:rsidRPr="00593A5F" w14:paraId="16674101" w14:textId="77777777" w:rsidTr="00660F64">
        <w:trPr>
          <w:trHeight w:val="315"/>
        </w:trPr>
        <w:tc>
          <w:tcPr>
            <w:tcW w:w="893" w:type="dxa"/>
            <w:vAlign w:val="center"/>
            <w:hideMark/>
          </w:tcPr>
          <w:p w14:paraId="418FE48B" w14:textId="77777777" w:rsidR="00C1511F" w:rsidRPr="003751C7" w:rsidRDefault="00C1511F"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83F7B11" w14:textId="34FBD586" w:rsidR="00C1511F" w:rsidRPr="007911EE" w:rsidRDefault="00CA4CCC" w:rsidP="00660F64">
            <w:pPr>
              <w:contextualSpacing/>
              <w:rPr>
                <w:rFonts w:ascii="Verdana" w:hAnsi="Verdana"/>
                <w:sz w:val="16"/>
                <w:szCs w:val="16"/>
              </w:rPr>
            </w:pPr>
            <w:r>
              <w:rPr>
                <w:rFonts w:ascii="Verdana" w:hAnsi="Verdana"/>
                <w:sz w:val="16"/>
                <w:szCs w:val="16"/>
              </w:rPr>
              <w:t xml:space="preserve">Nicolas Andres Guzman </w:t>
            </w:r>
          </w:p>
          <w:p w14:paraId="46611B75" w14:textId="77777777" w:rsidR="00C1511F" w:rsidRPr="007911EE" w:rsidRDefault="00C1511F" w:rsidP="00660F6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C1511F" w:rsidRPr="00593A5F" w14:paraId="6FBDD3A9" w14:textId="77777777" w:rsidTr="00660F64">
        <w:trPr>
          <w:trHeight w:val="330"/>
        </w:trPr>
        <w:tc>
          <w:tcPr>
            <w:tcW w:w="893" w:type="dxa"/>
            <w:vAlign w:val="center"/>
            <w:hideMark/>
          </w:tcPr>
          <w:p w14:paraId="1235939D" w14:textId="77777777" w:rsidR="00C1511F" w:rsidRPr="003751C7" w:rsidRDefault="00C1511F"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C6CB61E" w14:textId="49377F03" w:rsidR="00C1511F" w:rsidRDefault="00CA4CCC" w:rsidP="00660F64">
            <w:pPr>
              <w:spacing w:line="276" w:lineRule="auto"/>
              <w:contextualSpacing/>
              <w:jc w:val="both"/>
              <w:rPr>
                <w:rFonts w:ascii="Verdana" w:hAnsi="Verdana"/>
                <w:sz w:val="16"/>
                <w:szCs w:val="16"/>
              </w:rPr>
            </w:pPr>
            <w:r>
              <w:rPr>
                <w:rFonts w:ascii="Verdana" w:hAnsi="Verdana"/>
                <w:sz w:val="16"/>
                <w:szCs w:val="16"/>
              </w:rPr>
              <w:t>Diana Lucia Saavedra</w:t>
            </w:r>
          </w:p>
          <w:p w14:paraId="61936CB2" w14:textId="77777777" w:rsidR="00C1511F" w:rsidRPr="007911EE" w:rsidRDefault="00C1511F" w:rsidP="00660F6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C1511F" w:rsidRPr="00593A5F" w14:paraId="3849128E" w14:textId="77777777" w:rsidTr="00660F64">
        <w:trPr>
          <w:trHeight w:val="330"/>
        </w:trPr>
        <w:tc>
          <w:tcPr>
            <w:tcW w:w="893" w:type="dxa"/>
            <w:vAlign w:val="center"/>
          </w:tcPr>
          <w:p w14:paraId="606DE2EB" w14:textId="77777777" w:rsidR="00C1511F" w:rsidRPr="003751C7" w:rsidRDefault="00C1511F" w:rsidP="00660F6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2A73A31" w14:textId="77777777" w:rsidR="00C1511F" w:rsidRDefault="00C1511F" w:rsidP="00660F64">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14706E6D" w14:textId="77777777" w:rsidR="00C1511F" w:rsidRDefault="00C1511F" w:rsidP="00660F6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2"/>
    </w:tbl>
    <w:p w14:paraId="6659ABF3" w14:textId="77777777" w:rsidR="00C1511F" w:rsidRPr="00F30C63" w:rsidRDefault="00C1511F" w:rsidP="00C1511F"/>
    <w:p w14:paraId="0F293BF4" w14:textId="020DDFED" w:rsidR="00127233" w:rsidRPr="00D55B9E" w:rsidRDefault="00127233" w:rsidP="00D55B9E"/>
    <w:sectPr w:rsidR="00127233" w:rsidRPr="00D55B9E"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453372" w14:textId="77777777" w:rsidR="000812B8" w:rsidRDefault="000812B8" w:rsidP="004A1847">
      <w:pPr>
        <w:spacing w:after="0" w:line="240" w:lineRule="auto"/>
      </w:pPr>
      <w:r>
        <w:separator/>
      </w:r>
    </w:p>
  </w:endnote>
  <w:endnote w:type="continuationSeparator" w:id="0">
    <w:p w14:paraId="6C0CB813" w14:textId="77777777" w:rsidR="000812B8" w:rsidRDefault="000812B8" w:rsidP="004A1847">
      <w:pPr>
        <w:spacing w:after="0" w:line="240" w:lineRule="auto"/>
      </w:pPr>
      <w:r>
        <w:continuationSeparator/>
      </w:r>
    </w:p>
  </w:endnote>
  <w:endnote w:type="continuationNotice" w:id="1">
    <w:p w14:paraId="4B5BD073" w14:textId="77777777" w:rsidR="000812B8" w:rsidRDefault="000812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AE9BED" w14:textId="77777777" w:rsidR="000812B8" w:rsidRDefault="000812B8" w:rsidP="004A1847">
      <w:pPr>
        <w:spacing w:after="0" w:line="240" w:lineRule="auto"/>
      </w:pPr>
      <w:r>
        <w:separator/>
      </w:r>
    </w:p>
  </w:footnote>
  <w:footnote w:type="continuationSeparator" w:id="0">
    <w:p w14:paraId="496795BA" w14:textId="77777777" w:rsidR="000812B8" w:rsidRDefault="000812B8" w:rsidP="004A1847">
      <w:pPr>
        <w:spacing w:after="0" w:line="240" w:lineRule="auto"/>
      </w:pPr>
      <w:r>
        <w:continuationSeparator/>
      </w:r>
    </w:p>
  </w:footnote>
  <w:footnote w:type="continuationNotice" w:id="1">
    <w:p w14:paraId="4D1FA3E2" w14:textId="77777777" w:rsidR="000812B8" w:rsidRDefault="000812B8">
      <w:pPr>
        <w:spacing w:after="0" w:line="240" w:lineRule="auto"/>
      </w:pPr>
    </w:p>
  </w:footnote>
  <w:footnote w:id="2">
    <w:p w14:paraId="4E825C74" w14:textId="08592770" w:rsidR="000E2446" w:rsidRPr="000E2446" w:rsidRDefault="000E2446">
      <w:pPr>
        <w:pStyle w:val="Textonotapie"/>
        <w:rPr>
          <w:lang w:val="es-ES"/>
        </w:rPr>
      </w:pPr>
      <w:r>
        <w:rPr>
          <w:rStyle w:val="Refdenotaalpie"/>
        </w:rPr>
        <w:footnoteRef/>
      </w:r>
      <w:r>
        <w:t xml:space="preserve"> G</w:t>
      </w:r>
      <w:r w:rsidRPr="003A105A">
        <w:t>uía para elaborar el Plan Anual De Adquisiciones</w:t>
      </w:r>
      <w:r>
        <w:t xml:space="preserve">: </w:t>
      </w:r>
      <w:r w:rsidRPr="00971914">
        <w:t>https://www.colombiacompra.gov.co/wp-content/uploads/2024/08/guia_para_elaborar_el_plan_anual_de_adquisiciones_0-1.pdf</w:t>
      </w:r>
    </w:p>
  </w:footnote>
  <w:footnote w:id="3">
    <w:p w14:paraId="4E080158"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El artículo 74 de la Ley 1474 prescribe: “A partir de la vigencia de la presente ley, todas las entidades del Estado a más tardar el 31 de enero de cada año deberán publicar en su respectiva página web el Plan de Acción para el año siguiente, en el cual se especificarán los objetivos, las estrategias, los proyectos, las metas, los responsables, los planes generales de compras y la distribución presupuestal de sus proyectos de inversión junto a los indicadores de gestión.</w:t>
      </w:r>
    </w:p>
    <w:p w14:paraId="24286922"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A partir del año siguiente, el Plan de Acción deberá estar acompañado del informe de gestión del año inmediatamente anterior.</w:t>
      </w:r>
    </w:p>
    <w:p w14:paraId="3D5600DD"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Igualmente publicarán por dicho medio su presupuesto debidamente desagregado, así como las modificaciones a este o a su desagregación.</w:t>
      </w:r>
      <w:r w:rsidRPr="009F7CA0">
        <w:rPr>
          <w:rFonts w:ascii="Verdana" w:eastAsia="Calibri" w:hAnsi="Verdana" w:cs="Arial"/>
          <w:sz w:val="14"/>
          <w:szCs w:val="14"/>
          <w:lang w:val="es-ES_tradnl" w:eastAsia="es-ES_tradnl"/>
        </w:rPr>
        <w:tab/>
      </w:r>
    </w:p>
    <w:p w14:paraId="276BEB03"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i/>
          <w:iCs/>
          <w:sz w:val="14"/>
          <w:szCs w:val="14"/>
          <w:lang w:val="es-ES_tradnl" w:eastAsia="es-ES_tradnl"/>
        </w:rPr>
      </w:pPr>
      <w:r w:rsidRPr="009F7CA0">
        <w:rPr>
          <w:rFonts w:ascii="Verdana" w:eastAsia="Calibri" w:hAnsi="Verdana" w:cs="Arial"/>
          <w:sz w:val="14"/>
          <w:szCs w:val="14"/>
          <w:lang w:val="es-ES_tradnl" w:eastAsia="es-ES_tradnl"/>
        </w:rPr>
        <w:t>»Parágrafo. Las empresas industriales y comerciales del Estado y las Sociedades de Economía Mixta estarán exentas de publicar la información relacionada con sus proyectos de inversión”.</w:t>
      </w:r>
    </w:p>
  </w:footnote>
  <w:footnote w:id="4">
    <w:p w14:paraId="7223ABED"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i/>
          <w:iCs/>
          <w:sz w:val="14"/>
          <w:szCs w:val="14"/>
          <w:lang w:val="es-ES_tradnl" w:eastAsia="es-ES_tradnl"/>
        </w:rPr>
      </w:pPr>
    </w:p>
    <w:p w14:paraId="5D879B22"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i/>
          <w:iCs/>
          <w:sz w:val="14"/>
          <w:szCs w:val="14"/>
          <w:vertAlign w:val="superscript"/>
          <w:lang w:val="es-ES_tradnl" w:eastAsia="es-ES_tradnl"/>
        </w:rPr>
        <w:footnoteRef/>
      </w:r>
      <w:r w:rsidRPr="009F7CA0">
        <w:rPr>
          <w:rFonts w:ascii="Verdana" w:eastAsia="Calibri" w:hAnsi="Verdana" w:cs="Arial"/>
          <w:i/>
          <w:iCs/>
          <w:sz w:val="14"/>
          <w:szCs w:val="14"/>
          <w:lang w:val="es-ES_tradnl" w:eastAsia="es-ES_tradnl"/>
        </w:rPr>
        <w:t xml:space="preserve"> </w:t>
      </w:r>
      <w:r w:rsidRPr="009F7CA0">
        <w:rPr>
          <w:rFonts w:ascii="Verdana" w:eastAsia="Calibri" w:hAnsi="Verdana" w:cs="Arial"/>
          <w:sz w:val="14"/>
          <w:szCs w:val="14"/>
          <w:lang w:val="es-ES_tradnl" w:eastAsia="es-ES_tradnl"/>
        </w:rPr>
        <w:t>“Artículo 2.2.1.1.1.3.1.</w:t>
      </w:r>
      <w:r w:rsidRPr="009F7CA0">
        <w:rPr>
          <w:rFonts w:ascii="Verdana" w:eastAsia="Calibri" w:hAnsi="Verdana" w:cs="Arial"/>
          <w:b/>
          <w:bCs/>
          <w:sz w:val="14"/>
          <w:szCs w:val="14"/>
          <w:lang w:val="es-ES_tradnl" w:eastAsia="es-ES_tradnl"/>
        </w:rPr>
        <w:t> </w:t>
      </w:r>
      <w:r w:rsidRPr="009F7CA0">
        <w:rPr>
          <w:rFonts w:ascii="Verdana" w:eastAsia="Calibri" w:hAnsi="Verdana" w:cs="Arial"/>
          <w:sz w:val="14"/>
          <w:szCs w:val="14"/>
          <w:lang w:val="es-ES_tradnl" w:eastAsia="es-ES_tradnl"/>
        </w:rPr>
        <w:t>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365740E4"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w:t>
      </w:r>
    </w:p>
    <w:p w14:paraId="4C6146FD" w14:textId="77777777" w:rsidR="00C1511F" w:rsidRPr="009F7CA0" w:rsidRDefault="00C1511F" w:rsidP="00C1511F">
      <w:pPr>
        <w:pStyle w:val="NormalWeb"/>
        <w:shd w:val="clear" w:color="auto" w:fill="FFFFFF"/>
        <w:spacing w:before="0" w:beforeAutospacing="0" w:after="0" w:afterAutospacing="0"/>
        <w:ind w:firstLine="709"/>
        <w:jc w:val="both"/>
        <w:rPr>
          <w:rFonts w:ascii="Verdana" w:hAnsi="Verdana" w:cs="Arial"/>
          <w:color w:val="000000" w:themeColor="text1"/>
          <w:sz w:val="14"/>
          <w:szCs w:val="14"/>
        </w:rPr>
      </w:pPr>
      <w:r w:rsidRPr="009F7CA0">
        <w:rPr>
          <w:rFonts w:ascii="Verdana" w:eastAsia="Calibri" w:hAnsi="Verdana" w:cs="Arial"/>
          <w:sz w:val="14"/>
          <w:szCs w:val="14"/>
          <w:lang w:val="es-ES_tradnl" w:eastAsia="es-ES_tradnl"/>
        </w:rPr>
        <w:t>Plan Anual de Adquisiciones: Plan general de compras al que se refiere el </w:t>
      </w:r>
      <w:hyperlink r:id="rId1" w:history="1">
        <w:r w:rsidRPr="009F7CA0">
          <w:rPr>
            <w:rFonts w:ascii="Verdana" w:eastAsia="Calibri" w:hAnsi="Verdana" w:cs="Arial"/>
            <w:sz w:val="14"/>
            <w:szCs w:val="14"/>
            <w:lang w:val="es-ES_tradnl" w:eastAsia="es-ES_tradnl"/>
          </w:rPr>
          <w:t>artículo 74 de la Ley 1474 de 2011</w:t>
        </w:r>
      </w:hyperlink>
      <w:r w:rsidRPr="009F7CA0">
        <w:rPr>
          <w:rFonts w:ascii="Verdana" w:eastAsia="Calibri" w:hAnsi="Verdana" w:cs="Arial"/>
          <w:sz w:val="14"/>
          <w:szCs w:val="14"/>
          <w:lang w:val="es-ES_tradnl" w:eastAsia="es-ES_tradnl"/>
        </w:rPr>
        <w:t> y el plan de compras al que se refiere la Ley Anual de Presupuesto. Es un instrumento de planeación contractual que las Entidades Estatales deben diligenciar, publicar y actualizar en los términos del presente título”.</w:t>
      </w:r>
    </w:p>
  </w:footnote>
  <w:footnote w:id="5">
    <w:p w14:paraId="4AED41C9" w14:textId="77777777" w:rsidR="00C1511F" w:rsidRPr="009F7CA0" w:rsidRDefault="00C1511F" w:rsidP="00C1511F">
      <w:pPr>
        <w:pStyle w:val="NormalWeb"/>
        <w:shd w:val="clear" w:color="auto" w:fill="FFFFFF"/>
        <w:spacing w:before="0" w:beforeAutospacing="0" w:after="0" w:afterAutospacing="0"/>
        <w:ind w:firstLine="709"/>
        <w:jc w:val="both"/>
        <w:rPr>
          <w:rFonts w:ascii="Verdana" w:hAnsi="Verdana" w:cs="Arial"/>
          <w:color w:val="000000" w:themeColor="text1"/>
          <w:sz w:val="14"/>
          <w:szCs w:val="14"/>
        </w:rPr>
      </w:pPr>
    </w:p>
    <w:p w14:paraId="0B0188C0"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Style w:val="Refdenotaalpie"/>
          <w:rFonts w:ascii="Verdana" w:hAnsi="Verdana" w:cs="Arial"/>
          <w:color w:val="000000" w:themeColor="text1"/>
          <w:sz w:val="14"/>
          <w:szCs w:val="14"/>
        </w:rPr>
        <w:footnoteRef/>
      </w:r>
      <w:r w:rsidRPr="009F7CA0">
        <w:rPr>
          <w:rFonts w:ascii="Verdana" w:hAnsi="Verdana" w:cs="Arial"/>
          <w:color w:val="000000" w:themeColor="text1"/>
          <w:sz w:val="14"/>
          <w:szCs w:val="14"/>
        </w:rPr>
        <w:t xml:space="preserve"> </w:t>
      </w:r>
      <w:r w:rsidRPr="009F7CA0">
        <w:rPr>
          <w:rFonts w:ascii="Verdana" w:hAnsi="Verdana" w:cs="Arial"/>
          <w:b/>
          <w:color w:val="000000" w:themeColor="text1"/>
          <w:sz w:val="14"/>
          <w:szCs w:val="14"/>
        </w:rPr>
        <w:t>“</w:t>
      </w:r>
      <w:r w:rsidRPr="009F7CA0">
        <w:rPr>
          <w:rFonts w:ascii="Verdana" w:eastAsia="Calibri" w:hAnsi="Verdana" w:cs="Arial"/>
          <w:sz w:val="14"/>
          <w:szCs w:val="14"/>
          <w:lang w:val="es-ES_tradnl" w:eastAsia="es-ES_tradnl"/>
        </w:rPr>
        <w:t>Todo sujeto obligado deberá publicar la siguiente información mínima obligatoria de manera proactiva en los sistemas de información del Estado o herramientas que lo sustituyan:</w:t>
      </w:r>
    </w:p>
    <w:p w14:paraId="54E7E13A"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w:t>
      </w:r>
    </w:p>
    <w:p w14:paraId="5EB83FBE"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 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 […]”.</w:t>
      </w:r>
    </w:p>
    <w:p w14:paraId="5D723569" w14:textId="77777777" w:rsidR="00C1511F" w:rsidRPr="009F7CA0" w:rsidRDefault="00C1511F" w:rsidP="00C1511F">
      <w:pPr>
        <w:pStyle w:val="NormalWeb"/>
        <w:shd w:val="clear" w:color="auto" w:fill="FFFFFF"/>
        <w:spacing w:before="0" w:beforeAutospacing="0" w:after="0" w:afterAutospacing="0"/>
        <w:ind w:firstLine="709"/>
        <w:jc w:val="both"/>
        <w:rPr>
          <w:rStyle w:val="nfasis"/>
          <w:rFonts w:ascii="Verdana" w:hAnsi="Verdana" w:cs="Arial"/>
          <w:color w:val="000000" w:themeColor="text1"/>
          <w:sz w:val="14"/>
          <w:szCs w:val="14"/>
        </w:rPr>
      </w:pPr>
    </w:p>
  </w:footnote>
  <w:footnote w:id="6">
    <w:p w14:paraId="0177F1BD" w14:textId="77777777" w:rsidR="00C1511F" w:rsidRPr="009F7CA0" w:rsidRDefault="00C1511F" w:rsidP="00C1511F">
      <w:pPr>
        <w:pStyle w:val="Textonotapie"/>
        <w:ind w:firstLine="708"/>
        <w:jc w:val="both"/>
        <w:rPr>
          <w:rFonts w:ascii="Verdana" w:eastAsia="Calibri" w:hAnsi="Verdana" w:cs="Arial"/>
          <w:sz w:val="14"/>
          <w:szCs w:val="14"/>
          <w:lang w:val="es-ES_tradnl" w:eastAsia="es-ES_tradnl"/>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 xml:space="preserve">Decreto 1082 de 2015: “Artículo 2.2.1.1.1.4.3. Publicación del Plan Anual de Adquisiciones. La Entidad Estatal debe publicar su Plan Anual de Adquisiciones y las actualizaciones del mismo en su página web y en el SECOP, en la forma que para el efecto disponga Colombia Compra Eficiente”. </w:t>
      </w:r>
    </w:p>
    <w:p w14:paraId="7181850C" w14:textId="77777777" w:rsidR="00C1511F" w:rsidRPr="009F7CA0" w:rsidRDefault="00C1511F" w:rsidP="00C1511F">
      <w:pPr>
        <w:pStyle w:val="Textonotapie"/>
        <w:ind w:firstLine="708"/>
        <w:jc w:val="both"/>
        <w:rPr>
          <w:rFonts w:ascii="Verdana" w:hAnsi="Verdana" w:cs="Arial"/>
          <w:sz w:val="14"/>
          <w:szCs w:val="14"/>
        </w:rPr>
      </w:pPr>
    </w:p>
  </w:footnote>
  <w:footnote w:id="7">
    <w:p w14:paraId="10DA0FB4" w14:textId="77777777" w:rsidR="00C1511F" w:rsidRPr="009F7CA0" w:rsidRDefault="00C1511F" w:rsidP="00C1511F">
      <w:pPr>
        <w:pStyle w:val="NormalWeb"/>
        <w:shd w:val="clear" w:color="auto" w:fill="FFFFFF"/>
        <w:spacing w:before="0" w:beforeAutospacing="0" w:after="0" w:afterAutospacing="0"/>
        <w:ind w:firstLine="708"/>
        <w:jc w:val="both"/>
        <w:rPr>
          <w:rFonts w:ascii="Verdana" w:eastAsia="Calibri" w:hAnsi="Verdana" w:cs="Arial"/>
          <w:sz w:val="14"/>
          <w:szCs w:val="14"/>
          <w:lang w:val="es-ES_tradnl" w:eastAsia="es-ES_tradnl"/>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Decreto 1082 de 2015: “Artículo 2.2.1.1.1.4.4. Actualización del Plan Anual de Adquisiciones. La Entidad Estatal debe actualizar el Plan Anual de Adquisiciones por lo menos una vez durante su vigencia, en la forma y la oportunidad que para el efecto disponga Colombia Compra Eficiente.</w:t>
      </w:r>
    </w:p>
    <w:p w14:paraId="18993274" w14:textId="77777777" w:rsidR="00C1511F" w:rsidRPr="009F7CA0" w:rsidRDefault="00C1511F" w:rsidP="00C1511F">
      <w:pPr>
        <w:pStyle w:val="NormalWeb"/>
        <w:shd w:val="clear" w:color="auto" w:fill="FFFFFF"/>
        <w:spacing w:before="0" w:beforeAutospacing="0" w:after="0" w:afterAutospacing="0"/>
        <w:ind w:firstLine="708"/>
        <w:jc w:val="both"/>
        <w:rPr>
          <w:rFonts w:ascii="Verdana" w:eastAsia="Calibri" w:hAnsi="Verdana" w:cs="Arial"/>
          <w:sz w:val="14"/>
          <w:szCs w:val="14"/>
          <w:lang w:val="es-MX" w:eastAsia="en-US"/>
        </w:rPr>
      </w:pPr>
      <w:r w:rsidRPr="009F7CA0">
        <w:rPr>
          <w:rFonts w:ascii="Verdana" w:eastAsia="Calibri" w:hAnsi="Verdana" w:cs="Arial"/>
          <w:sz w:val="14"/>
          <w:szCs w:val="14"/>
          <w:lang w:val="es-ES_tradnl" w:eastAsia="es-ES_tradnl"/>
        </w:rPr>
        <w:t>La Entidad Estatal debe actualizar el Plan Anual de Adquisiciones cuando: (i) haya ajustes en los cronogramas de adquisición, valores, modalidad de selección, origen de los recursos; (</w:t>
      </w:r>
      <w:proofErr w:type="spellStart"/>
      <w:r w:rsidRPr="009F7CA0">
        <w:rPr>
          <w:rFonts w:ascii="Verdana" w:eastAsia="Calibri" w:hAnsi="Verdana" w:cs="Arial"/>
          <w:sz w:val="14"/>
          <w:szCs w:val="14"/>
          <w:lang w:val="es-ES_tradnl" w:eastAsia="es-ES_tradnl"/>
        </w:rPr>
        <w:t>ii</w:t>
      </w:r>
      <w:proofErr w:type="spellEnd"/>
      <w:r w:rsidRPr="009F7CA0">
        <w:rPr>
          <w:rFonts w:ascii="Verdana" w:eastAsia="Calibri" w:hAnsi="Verdana" w:cs="Arial"/>
          <w:sz w:val="14"/>
          <w:szCs w:val="14"/>
          <w:lang w:val="es-ES_tradnl" w:eastAsia="es-ES_tradnl"/>
        </w:rPr>
        <w:t>) para incluir nuevas obras, bienes y/o servicios; (</w:t>
      </w:r>
      <w:proofErr w:type="spellStart"/>
      <w:r w:rsidRPr="009F7CA0">
        <w:rPr>
          <w:rFonts w:ascii="Verdana" w:eastAsia="Calibri" w:hAnsi="Verdana" w:cs="Arial"/>
          <w:sz w:val="14"/>
          <w:szCs w:val="14"/>
          <w:lang w:val="es-ES_tradnl" w:eastAsia="es-ES_tradnl"/>
        </w:rPr>
        <w:t>iii</w:t>
      </w:r>
      <w:proofErr w:type="spellEnd"/>
      <w:r w:rsidRPr="009F7CA0">
        <w:rPr>
          <w:rFonts w:ascii="Verdana" w:eastAsia="Calibri" w:hAnsi="Verdana" w:cs="Arial"/>
          <w:sz w:val="14"/>
          <w:szCs w:val="14"/>
          <w:lang w:val="es-ES_tradnl" w:eastAsia="es-ES_tradnl"/>
        </w:rPr>
        <w:t>) excluir obras, bienes y/o servicios; o (</w:t>
      </w:r>
      <w:proofErr w:type="spellStart"/>
      <w:r w:rsidRPr="009F7CA0">
        <w:rPr>
          <w:rFonts w:ascii="Verdana" w:eastAsia="Calibri" w:hAnsi="Verdana" w:cs="Arial"/>
          <w:sz w:val="14"/>
          <w:szCs w:val="14"/>
          <w:lang w:val="es-ES_tradnl" w:eastAsia="es-ES_tradnl"/>
        </w:rPr>
        <w:t>iv</w:t>
      </w:r>
      <w:proofErr w:type="spellEnd"/>
      <w:r w:rsidRPr="009F7CA0">
        <w:rPr>
          <w:rFonts w:ascii="Verdana" w:eastAsia="Calibri" w:hAnsi="Verdana" w:cs="Arial"/>
          <w:sz w:val="14"/>
          <w:szCs w:val="14"/>
          <w:lang w:val="es-ES_tradnl" w:eastAsia="es-ES_tradnl"/>
        </w:rPr>
        <w:t>) modificar el presupuesto anual de adquisiciones”.</w:t>
      </w:r>
    </w:p>
  </w:footnote>
  <w:footnote w:id="8">
    <w:p w14:paraId="4831393F" w14:textId="77777777" w:rsidR="00C1511F" w:rsidRPr="009F7CA0" w:rsidRDefault="00C1511F" w:rsidP="00C1511F">
      <w:pPr>
        <w:pStyle w:val="Textonotapie"/>
        <w:ind w:firstLine="708"/>
        <w:jc w:val="both"/>
        <w:rPr>
          <w:rFonts w:ascii="Verdana" w:eastAsia="Calibri" w:hAnsi="Verdana" w:cs="Arial"/>
          <w:sz w:val="14"/>
          <w:szCs w:val="14"/>
        </w:rPr>
      </w:pPr>
    </w:p>
    <w:p w14:paraId="236E0D11" w14:textId="77777777" w:rsidR="00C1511F" w:rsidRPr="009F7CA0" w:rsidRDefault="00C1511F" w:rsidP="00C1511F">
      <w:pPr>
        <w:pStyle w:val="Textonotapie"/>
        <w:ind w:firstLine="708"/>
        <w:jc w:val="both"/>
        <w:rPr>
          <w:rFonts w:ascii="Verdana" w:hAnsi="Verdana" w:cs="Arial"/>
          <w:sz w:val="14"/>
          <w:szCs w:val="14"/>
          <w:lang w:val="es-CO"/>
        </w:rPr>
      </w:pPr>
      <w:r w:rsidRPr="009F7CA0">
        <w:rPr>
          <w:rStyle w:val="Refdenotaalpie"/>
          <w:rFonts w:ascii="Verdana" w:hAnsi="Verdana" w:cs="Arial"/>
          <w:sz w:val="14"/>
          <w:szCs w:val="14"/>
        </w:rPr>
        <w:footnoteRef/>
      </w:r>
      <w:r w:rsidRPr="009F7CA0">
        <w:rPr>
          <w:rFonts w:ascii="Verdana" w:eastAsia="Calibri" w:hAnsi="Verdana" w:cs="Arial"/>
          <w:sz w:val="14"/>
          <w:szCs w:val="14"/>
        </w:rPr>
        <w:t xml:space="preserve"> </w:t>
      </w:r>
      <w:r w:rsidRPr="009F7CA0">
        <w:rPr>
          <w:rFonts w:ascii="Verdana" w:eastAsia="Calibri" w:hAnsi="Verdana" w:cs="Arial"/>
          <w:sz w:val="14"/>
          <w:szCs w:val="14"/>
          <w:lang w:val="es-ES_tradnl" w:eastAsia="es-ES_tradnl"/>
        </w:rPr>
        <w:t>Agencia Nacional de Contratación Pública ―Colombia Compra Eficiente. Guía para elaborar el plan anual de adquisiciones. Página 3.</w:t>
      </w:r>
      <w:r w:rsidRPr="009F7CA0">
        <w:rPr>
          <w:rFonts w:ascii="Verdana" w:hAnsi="Verdana" w:cs="Arial"/>
          <w:sz w:val="14"/>
          <w:szCs w:val="14"/>
          <w:lang w:val="es-CO"/>
        </w:rPr>
        <w:t xml:space="preserve"> Disponible en: </w:t>
      </w:r>
      <w:r w:rsidRPr="009F7CA0">
        <w:rPr>
          <w:rFonts w:ascii="Verdana" w:eastAsia="Calibri" w:hAnsi="Verdana" w:cs="Times New Roman"/>
          <w:color w:val="0000FF"/>
          <w:sz w:val="14"/>
          <w:szCs w:val="14"/>
          <w:u w:val="single"/>
          <w:lang w:val="es-CO"/>
        </w:rPr>
        <w:t>https://www.colombiacompra.gov.co/archivos/manual/guia-para-elaborar-el-plan-anual-de-adquisiciones</w:t>
      </w:r>
    </w:p>
    <w:p w14:paraId="4FF7FD39" w14:textId="77777777" w:rsidR="00C1511F" w:rsidRPr="009F7CA0" w:rsidRDefault="00C1511F" w:rsidP="00C1511F">
      <w:pPr>
        <w:pStyle w:val="Textonotapie"/>
        <w:ind w:firstLine="708"/>
        <w:jc w:val="both"/>
        <w:rPr>
          <w:rFonts w:ascii="Verdana" w:hAnsi="Verdana" w:cs="Arial"/>
          <w:sz w:val="14"/>
          <w:szCs w:val="14"/>
          <w:lang w:val="es-CO"/>
        </w:rPr>
      </w:pPr>
    </w:p>
  </w:footnote>
  <w:footnote w:id="9">
    <w:p w14:paraId="77BA4873" w14:textId="77777777" w:rsidR="00C1511F" w:rsidRPr="009F7CA0" w:rsidRDefault="00C1511F" w:rsidP="00C1511F">
      <w:pPr>
        <w:pStyle w:val="Textonotapie"/>
        <w:ind w:firstLine="709"/>
        <w:jc w:val="both"/>
        <w:rPr>
          <w:rFonts w:ascii="Verdana" w:eastAsia="Calibri" w:hAnsi="Verdana" w:cs="Arial"/>
          <w:sz w:val="14"/>
          <w:szCs w:val="14"/>
          <w:lang w:val="es-ES"/>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 xml:space="preserve">Agencia Nacional de Contratación Pública ―Colombia Compra Eficiente. </w:t>
      </w:r>
      <w:r w:rsidRPr="009F7CA0">
        <w:rPr>
          <w:rFonts w:ascii="Verdana" w:hAnsi="Verdana" w:cs="Arial"/>
          <w:sz w:val="14"/>
          <w:szCs w:val="14"/>
        </w:rPr>
        <w:t xml:space="preserve">Circular Externa única actualizada </w:t>
      </w:r>
      <w:r w:rsidRPr="009F7CA0">
        <w:rPr>
          <w:rFonts w:ascii="Verdana" w:eastAsia="Calibri" w:hAnsi="Verdana" w:cs="Arial"/>
          <w:sz w:val="14"/>
          <w:szCs w:val="14"/>
          <w:lang w:val="es-ES"/>
        </w:rPr>
        <w:t xml:space="preserve">Disponible en:  </w:t>
      </w:r>
      <w:hyperlink r:id="rId2" w:history="1">
        <w:r w:rsidRPr="009F7CA0">
          <w:rPr>
            <w:rStyle w:val="Hipervnculo"/>
            <w:rFonts w:ascii="Verdana" w:eastAsia="Calibri" w:hAnsi="Verdana" w:cs="Arial"/>
            <w:sz w:val="14"/>
            <w:szCs w:val="14"/>
            <w:lang w:val="es-ES"/>
          </w:rPr>
          <w:t>https://www.colombiacompra.gov.co/wp-content/uploads/2024/08/circular_externa_unica_version_3_vf49.pdf</w:t>
        </w:r>
      </w:hyperlink>
      <w:r w:rsidRPr="009F7CA0">
        <w:rPr>
          <w:rFonts w:ascii="Verdana" w:eastAsia="Calibri" w:hAnsi="Verdana" w:cs="Arial"/>
          <w:sz w:val="14"/>
          <w:szCs w:val="14"/>
          <w:lang w:val="es-ES"/>
        </w:rPr>
        <w:t xml:space="preserve"> </w:t>
      </w:r>
    </w:p>
    <w:p w14:paraId="407A4E53" w14:textId="77777777" w:rsidR="00C1511F" w:rsidRPr="009F7CA0" w:rsidRDefault="00C1511F" w:rsidP="00C1511F">
      <w:pPr>
        <w:pStyle w:val="Textonotapie"/>
        <w:ind w:firstLine="709"/>
        <w:jc w:val="both"/>
        <w:rPr>
          <w:rFonts w:ascii="Verdana" w:hAnsi="Verdana" w:cs="Arial"/>
          <w:sz w:val="14"/>
          <w:szCs w:val="14"/>
          <w:lang w:val="es-CO"/>
        </w:rPr>
      </w:pPr>
    </w:p>
  </w:footnote>
  <w:footnote w:id="10">
    <w:p w14:paraId="17BFFC30" w14:textId="77777777" w:rsidR="00D25B7B" w:rsidRPr="000E2446" w:rsidRDefault="00D25B7B" w:rsidP="00D25B7B">
      <w:pPr>
        <w:pStyle w:val="Textonotapie"/>
        <w:rPr>
          <w:lang w:val="es-ES"/>
        </w:rPr>
      </w:pPr>
      <w:r>
        <w:rPr>
          <w:rStyle w:val="Refdenotaalpie"/>
        </w:rPr>
        <w:footnoteRef/>
      </w:r>
      <w:r>
        <w:t xml:space="preserve"> G</w:t>
      </w:r>
      <w:r w:rsidRPr="003A105A">
        <w:t>uía para elaborar el Plan Anual De Adquisiciones</w:t>
      </w:r>
      <w:r>
        <w:t xml:space="preserve">: </w:t>
      </w:r>
      <w:r w:rsidRPr="00971914">
        <w:t>https://www.colombiacompra.gov.co/wp-content/uploads/2024/08/guia_para_elaborar_el_plan_anual_de_adquisiciones_0-1.pdf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64B1"/>
    <w:multiLevelType w:val="hybridMultilevel"/>
    <w:tmpl w:val="4864A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609659350">
    <w:abstractNumId w:val="0"/>
  </w:num>
  <w:num w:numId="17" w16cid:durableId="798687251">
    <w:abstractNumId w:val="9"/>
  </w:num>
  <w:num w:numId="18" w16cid:durableId="2695045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12B8"/>
    <w:rsid w:val="00082362"/>
    <w:rsid w:val="00096743"/>
    <w:rsid w:val="000A683E"/>
    <w:rsid w:val="000B19B9"/>
    <w:rsid w:val="000D0334"/>
    <w:rsid w:val="000E2446"/>
    <w:rsid w:val="000F6486"/>
    <w:rsid w:val="001026F1"/>
    <w:rsid w:val="00125105"/>
    <w:rsid w:val="00127233"/>
    <w:rsid w:val="00131D54"/>
    <w:rsid w:val="001672A5"/>
    <w:rsid w:val="001E4177"/>
    <w:rsid w:val="001F0DF0"/>
    <w:rsid w:val="001F7DC6"/>
    <w:rsid w:val="002318C4"/>
    <w:rsid w:val="002421BB"/>
    <w:rsid w:val="00254C5E"/>
    <w:rsid w:val="0025796E"/>
    <w:rsid w:val="002707A2"/>
    <w:rsid w:val="002951A0"/>
    <w:rsid w:val="002962BC"/>
    <w:rsid w:val="002A093D"/>
    <w:rsid w:val="002A0DD0"/>
    <w:rsid w:val="002A49AC"/>
    <w:rsid w:val="002A64FD"/>
    <w:rsid w:val="002C7A84"/>
    <w:rsid w:val="002D1330"/>
    <w:rsid w:val="002E4FD9"/>
    <w:rsid w:val="00310D71"/>
    <w:rsid w:val="00322A85"/>
    <w:rsid w:val="00324168"/>
    <w:rsid w:val="003448F4"/>
    <w:rsid w:val="003547E0"/>
    <w:rsid w:val="003604E7"/>
    <w:rsid w:val="00374F5E"/>
    <w:rsid w:val="00377E3E"/>
    <w:rsid w:val="003A779E"/>
    <w:rsid w:val="003D0F4D"/>
    <w:rsid w:val="003D5B0D"/>
    <w:rsid w:val="003E0499"/>
    <w:rsid w:val="003F3941"/>
    <w:rsid w:val="00406575"/>
    <w:rsid w:val="00414C74"/>
    <w:rsid w:val="0042722E"/>
    <w:rsid w:val="0044528D"/>
    <w:rsid w:val="004A1847"/>
    <w:rsid w:val="004A305D"/>
    <w:rsid w:val="004C3576"/>
    <w:rsid w:val="004F21C4"/>
    <w:rsid w:val="004F685F"/>
    <w:rsid w:val="005226A3"/>
    <w:rsid w:val="005566E8"/>
    <w:rsid w:val="00574867"/>
    <w:rsid w:val="00591460"/>
    <w:rsid w:val="005C3777"/>
    <w:rsid w:val="005C5CDC"/>
    <w:rsid w:val="005D476C"/>
    <w:rsid w:val="006105DF"/>
    <w:rsid w:val="006219F8"/>
    <w:rsid w:val="006302F7"/>
    <w:rsid w:val="006370D8"/>
    <w:rsid w:val="00665D70"/>
    <w:rsid w:val="006900D9"/>
    <w:rsid w:val="006A760C"/>
    <w:rsid w:val="00706C16"/>
    <w:rsid w:val="00756841"/>
    <w:rsid w:val="007649AB"/>
    <w:rsid w:val="00771D0C"/>
    <w:rsid w:val="007833AC"/>
    <w:rsid w:val="007A0AF5"/>
    <w:rsid w:val="007B268C"/>
    <w:rsid w:val="007B7171"/>
    <w:rsid w:val="007B7846"/>
    <w:rsid w:val="007C0C0F"/>
    <w:rsid w:val="007C3DC2"/>
    <w:rsid w:val="007E5497"/>
    <w:rsid w:val="00806F5F"/>
    <w:rsid w:val="00820278"/>
    <w:rsid w:val="00867F95"/>
    <w:rsid w:val="008843B6"/>
    <w:rsid w:val="00891928"/>
    <w:rsid w:val="00897A3A"/>
    <w:rsid w:val="008A446D"/>
    <w:rsid w:val="008C00BE"/>
    <w:rsid w:val="008D180B"/>
    <w:rsid w:val="008F0EA7"/>
    <w:rsid w:val="00923EEF"/>
    <w:rsid w:val="00927E23"/>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427F5"/>
    <w:rsid w:val="00AB0ADB"/>
    <w:rsid w:val="00B00C0E"/>
    <w:rsid w:val="00B01B1A"/>
    <w:rsid w:val="00B44A47"/>
    <w:rsid w:val="00B575D3"/>
    <w:rsid w:val="00B72CD3"/>
    <w:rsid w:val="00B72FFF"/>
    <w:rsid w:val="00BC3D36"/>
    <w:rsid w:val="00BD7F72"/>
    <w:rsid w:val="00C04FB3"/>
    <w:rsid w:val="00C1511F"/>
    <w:rsid w:val="00C330EB"/>
    <w:rsid w:val="00C46E6B"/>
    <w:rsid w:val="00C754BE"/>
    <w:rsid w:val="00C76B1C"/>
    <w:rsid w:val="00CA4CCC"/>
    <w:rsid w:val="00CB6357"/>
    <w:rsid w:val="00CC1B26"/>
    <w:rsid w:val="00D25B7B"/>
    <w:rsid w:val="00D423A2"/>
    <w:rsid w:val="00D520D8"/>
    <w:rsid w:val="00D530FB"/>
    <w:rsid w:val="00D55B9E"/>
    <w:rsid w:val="00D56871"/>
    <w:rsid w:val="00D63AC2"/>
    <w:rsid w:val="00D7383B"/>
    <w:rsid w:val="00DA231B"/>
    <w:rsid w:val="00DC39FC"/>
    <w:rsid w:val="00DC6176"/>
    <w:rsid w:val="00DF00F0"/>
    <w:rsid w:val="00DF5254"/>
    <w:rsid w:val="00E031CE"/>
    <w:rsid w:val="00E16408"/>
    <w:rsid w:val="00E17C3A"/>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33CC"/>
    <w:rsid w:val="00F462B3"/>
    <w:rsid w:val="00F5664F"/>
    <w:rsid w:val="00F62755"/>
    <w:rsid w:val="00F666C4"/>
    <w:rsid w:val="00F74E3C"/>
    <w:rsid w:val="00F76AFC"/>
    <w:rsid w:val="00FA47C0"/>
    <w:rsid w:val="00FA724C"/>
    <w:rsid w:val="00FB5DD1"/>
    <w:rsid w:val="00FC2B5D"/>
    <w:rsid w:val="00FF1449"/>
    <w:rsid w:val="05F96E65"/>
    <w:rsid w:val="06090C9D"/>
    <w:rsid w:val="0998F53A"/>
    <w:rsid w:val="09CBEA51"/>
    <w:rsid w:val="0B06CA8E"/>
    <w:rsid w:val="0E4FE082"/>
    <w:rsid w:val="167D2C41"/>
    <w:rsid w:val="198C1964"/>
    <w:rsid w:val="1DA0FC8D"/>
    <w:rsid w:val="1ED87BA7"/>
    <w:rsid w:val="1EDA87ED"/>
    <w:rsid w:val="23DBCB4D"/>
    <w:rsid w:val="2504CB05"/>
    <w:rsid w:val="270E1229"/>
    <w:rsid w:val="2765B3BA"/>
    <w:rsid w:val="27CC9A10"/>
    <w:rsid w:val="2C5E855B"/>
    <w:rsid w:val="2DC16A4C"/>
    <w:rsid w:val="2E116E98"/>
    <w:rsid w:val="3047398B"/>
    <w:rsid w:val="3523D436"/>
    <w:rsid w:val="365D653C"/>
    <w:rsid w:val="38C9EECD"/>
    <w:rsid w:val="3B7D9243"/>
    <w:rsid w:val="3EE9DC86"/>
    <w:rsid w:val="4344087E"/>
    <w:rsid w:val="45F0E6E4"/>
    <w:rsid w:val="46A5D335"/>
    <w:rsid w:val="49580EE6"/>
    <w:rsid w:val="4BEA0D57"/>
    <w:rsid w:val="4E49A36A"/>
    <w:rsid w:val="4F40F1A6"/>
    <w:rsid w:val="50566CEE"/>
    <w:rsid w:val="526E35E6"/>
    <w:rsid w:val="5800A332"/>
    <w:rsid w:val="5E4F8E4F"/>
    <w:rsid w:val="5FBC865D"/>
    <w:rsid w:val="60D71CD1"/>
    <w:rsid w:val="60E9D9B8"/>
    <w:rsid w:val="64A157D9"/>
    <w:rsid w:val="6C959D56"/>
    <w:rsid w:val="6DA7E6B4"/>
    <w:rsid w:val="74DBBA0B"/>
    <w:rsid w:val="7665A5F6"/>
    <w:rsid w:val="792F6EA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1511F"/>
    <w:rPr>
      <w:rFonts w:ascii="Geomanist Light" w:hAnsi="Geomanist Light"/>
      <w:lang w:val="es-ES"/>
    </w:rPr>
  </w:style>
  <w:style w:type="paragraph" w:customStyle="1" w:styleId="Appelnotedebasde">
    <w:name w:val="Appel note de bas de..."/>
    <w:basedOn w:val="Normal"/>
    <w:link w:val="Refdenotaalpie"/>
    <w:uiPriority w:val="99"/>
    <w:rsid w:val="00C1511F"/>
    <w:pPr>
      <w:spacing w:line="240" w:lineRule="exact"/>
    </w:pPr>
    <w:rPr>
      <w:vertAlign w:val="superscript"/>
    </w:rPr>
  </w:style>
  <w:style w:type="character" w:customStyle="1" w:styleId="NormalWebCar">
    <w:name w:val="Normal (Web) Car"/>
    <w:link w:val="NormalWeb"/>
    <w:uiPriority w:val="99"/>
    <w:rsid w:val="00C1511F"/>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C151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circular_externa_unica_version_3_vf49.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ria.rojas@alcaldianeiv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circular_externa_unica_version_3_vf49.pdf" TargetMode="External"/><Relationship Id="rId1" Type="http://schemas.openxmlformats.org/officeDocument/2006/relationships/hyperlink" Target="http://www.alcaldiabogota.gov.co/sisjur/normas/Norma1.jsp?i=4329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77CF707-7478-4BB2-B71A-4677AE6A5BCF}"/>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76D5BB1B-6B12-4FF3-AB7D-4FC2B5F5C7A9}">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406</TotalTime>
  <Pages>16</Pages>
  <Words>4873</Words>
  <Characters>26804</Characters>
  <Application>Microsoft Office Word</Application>
  <DocSecurity>0</DocSecurity>
  <Lines>582</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18</cp:revision>
  <cp:lastPrinted>2023-01-10T21:18:00Z</cp:lastPrinted>
  <dcterms:created xsi:type="dcterms:W3CDTF">2025-10-30T18:16:00Z</dcterms:created>
  <dcterms:modified xsi:type="dcterms:W3CDTF">2025-11-18T17:06:00Z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