
<file path=[Content_Types].xml><?xml version="1.0" encoding="utf-8"?>
<Types xmlns="http://schemas.openxmlformats.org/package/2006/content-types">
  <Default Extension="gif" ContentType="image/gi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BDF9EF2" w14:textId="77777777" w:rsidR="00502AA5" w:rsidRPr="00893C18" w:rsidRDefault="00502AA5" w:rsidP="00893C18">
      <w:pPr>
        <w:snapToGrid w:val="0"/>
        <w:contextualSpacing/>
        <w:jc w:val="both"/>
        <w:rPr>
          <w:rFonts w:ascii="Verdana" w:eastAsia="Calibri" w:hAnsi="Verdana" w:cs="Arial"/>
          <w:b/>
          <w:bCs/>
          <w:lang w:val="es-ES" w:eastAsia="es-ES"/>
        </w:rPr>
      </w:pPr>
      <w:bookmarkStart w:id="0" w:name="_Hlk143780582"/>
      <w:r w:rsidRPr="00893C18">
        <w:rPr>
          <w:rFonts w:ascii="Verdana" w:eastAsia="Calibri" w:hAnsi="Verdana" w:cs="Arial"/>
          <w:b/>
          <w:bCs/>
          <w:lang w:val="es-ES" w:eastAsia="es-ES"/>
        </w:rPr>
        <w:t>LISTA CLINTON – Carácter no vinculante</w:t>
      </w:r>
    </w:p>
    <w:p w14:paraId="4B4BC1C6" w14:textId="77777777" w:rsidR="00893C18" w:rsidRPr="00893C18" w:rsidRDefault="00893C18" w:rsidP="00893C18">
      <w:pPr>
        <w:snapToGrid w:val="0"/>
        <w:spacing w:after="0" w:line="240" w:lineRule="auto"/>
        <w:contextualSpacing/>
        <w:jc w:val="both"/>
        <w:rPr>
          <w:rFonts w:ascii="Verdana" w:eastAsia="Calibri" w:hAnsi="Verdana" w:cs="Arial"/>
          <w:b/>
          <w:bCs/>
          <w:sz w:val="20"/>
          <w:szCs w:val="20"/>
          <w:lang w:val="es-ES" w:eastAsia="es-ES"/>
        </w:rPr>
      </w:pPr>
    </w:p>
    <w:p w14:paraId="2DAEF08D" w14:textId="168D1DFD" w:rsidR="00502AA5" w:rsidRDefault="00502AA5" w:rsidP="00893C18">
      <w:pPr>
        <w:snapToGrid w:val="0"/>
        <w:spacing w:after="0" w:line="240" w:lineRule="auto"/>
        <w:contextualSpacing/>
        <w:jc w:val="both"/>
        <w:rPr>
          <w:rFonts w:ascii="Verdana" w:eastAsia="Calibri" w:hAnsi="Verdana" w:cs="Arial"/>
          <w:i/>
          <w:iCs/>
          <w:color w:val="000000" w:themeColor="text1"/>
          <w:sz w:val="20"/>
          <w:szCs w:val="20"/>
          <w:lang w:val="es-ES_tradnl"/>
        </w:rPr>
      </w:pPr>
      <w:r w:rsidRPr="00893C18">
        <w:rPr>
          <w:rFonts w:ascii="Verdana" w:eastAsia="Calibri" w:hAnsi="Verdana" w:cs="Arial"/>
          <w:color w:val="000000" w:themeColor="text1"/>
          <w:sz w:val="20"/>
          <w:szCs w:val="20"/>
          <w:lang w:val="es-ES_tradnl"/>
        </w:rPr>
        <w:t xml:space="preserve">Al respecto, conforme al anexo de la Circular Conjunta 034 de 2011 de la Procuraduría General de la Nación, la Auditoría General de la Nación y la Contraloría General de Santander, cabe destacar que la Orden Ejecutiva 12.798 del Gobierno de Estados Unidos no rige en Colombia. Dado que carece de fuerza vinculante en nuestro ordenamiento jurídico, esta Agencia ha sostenido que la inclusión en dicha lista </w:t>
      </w:r>
      <w:r w:rsidRPr="00893C18">
        <w:rPr>
          <w:rFonts w:ascii="Verdana" w:eastAsia="Calibri" w:hAnsi="Verdana" w:cs="Arial"/>
          <w:i/>
          <w:iCs/>
          <w:color w:val="000000" w:themeColor="text1"/>
          <w:sz w:val="20"/>
          <w:szCs w:val="20"/>
          <w:lang w:val="es-ES_tradnl"/>
        </w:rPr>
        <w:t xml:space="preserve">no genera inhabilidad o incompatibilidad para contratar con el Estado ni puede ser considerada como una causal de terminación unilateral. </w:t>
      </w:r>
    </w:p>
    <w:p w14:paraId="68ED8CF7" w14:textId="77777777" w:rsidR="00893C18" w:rsidRPr="00893C18" w:rsidRDefault="00893C18" w:rsidP="00893C18">
      <w:pPr>
        <w:snapToGrid w:val="0"/>
        <w:spacing w:after="0" w:line="240" w:lineRule="auto"/>
        <w:contextualSpacing/>
        <w:jc w:val="both"/>
        <w:rPr>
          <w:rFonts w:ascii="Verdana" w:eastAsia="Calibri" w:hAnsi="Verdana" w:cs="Arial"/>
          <w:i/>
          <w:iCs/>
          <w:color w:val="000000" w:themeColor="text1"/>
          <w:sz w:val="20"/>
          <w:szCs w:val="20"/>
          <w:lang w:val="es-ES_tradnl"/>
        </w:rPr>
      </w:pPr>
    </w:p>
    <w:p w14:paraId="1597C4F2" w14:textId="77777777" w:rsidR="00D4527F" w:rsidRPr="00893C18" w:rsidRDefault="00502AA5" w:rsidP="00893C18">
      <w:pPr>
        <w:snapToGrid w:val="0"/>
        <w:contextualSpacing/>
        <w:jc w:val="both"/>
        <w:rPr>
          <w:rFonts w:ascii="Verdana" w:eastAsia="Calibri" w:hAnsi="Verdana" w:cs="Arial"/>
          <w:b/>
          <w:bCs/>
          <w:lang w:val="es-ES" w:eastAsia="es-ES"/>
        </w:rPr>
      </w:pPr>
      <w:r w:rsidRPr="00893C18">
        <w:rPr>
          <w:rFonts w:ascii="Verdana" w:eastAsia="Calibri" w:hAnsi="Verdana" w:cs="Arial"/>
          <w:b/>
          <w:bCs/>
          <w:lang w:val="es-ES" w:eastAsia="es-ES"/>
        </w:rPr>
        <w:t>RÉGIMEN DE INHABILIDADES E INCOMPATIBILIDADES – Reserva legal</w:t>
      </w:r>
    </w:p>
    <w:p w14:paraId="22DC78D5" w14:textId="77777777" w:rsidR="00893C18" w:rsidRPr="00893C18" w:rsidRDefault="00893C18" w:rsidP="00893C18">
      <w:pPr>
        <w:snapToGrid w:val="0"/>
        <w:spacing w:after="0" w:line="240" w:lineRule="auto"/>
        <w:contextualSpacing/>
        <w:jc w:val="both"/>
        <w:rPr>
          <w:rFonts w:ascii="Verdana" w:eastAsia="Calibri" w:hAnsi="Verdana" w:cs="Arial"/>
          <w:b/>
          <w:bCs/>
          <w:sz w:val="20"/>
          <w:szCs w:val="20"/>
          <w:lang w:val="es-ES" w:eastAsia="es-ES"/>
        </w:rPr>
      </w:pPr>
    </w:p>
    <w:p w14:paraId="56C81102" w14:textId="77777777" w:rsidR="00893C18" w:rsidRDefault="00D4527F" w:rsidP="00893C18">
      <w:pPr>
        <w:snapToGrid w:val="0"/>
        <w:spacing w:after="0" w:line="240" w:lineRule="auto"/>
        <w:contextualSpacing/>
        <w:jc w:val="both"/>
        <w:rPr>
          <w:rFonts w:ascii="Verdana" w:hAnsi="Verdana"/>
          <w:sz w:val="20"/>
          <w:szCs w:val="20"/>
        </w:rPr>
      </w:pPr>
      <w:r w:rsidRPr="00893C18">
        <w:rPr>
          <w:rFonts w:ascii="Verdana" w:eastAsia="Calibri" w:hAnsi="Verdana" w:cs="Arial"/>
          <w:color w:val="000000" w:themeColor="text1"/>
          <w:sz w:val="20"/>
          <w:szCs w:val="20"/>
          <w:lang w:val="es-ES_tradnl"/>
        </w:rPr>
        <w:t xml:space="preserve">Por un lado, </w:t>
      </w:r>
      <w:r w:rsidRPr="00893C18">
        <w:rPr>
          <w:rFonts w:ascii="Verdana" w:hAnsi="Verdana"/>
          <w:sz w:val="20"/>
          <w:szCs w:val="20"/>
        </w:rPr>
        <w:t xml:space="preserve">es necesario tener en cuenta que el carácter reconocidamente taxativo y restrictivo de </w:t>
      </w:r>
      <w:r w:rsidRPr="00893C18">
        <w:rPr>
          <w:rFonts w:ascii="Verdana" w:hAnsi="Verdana"/>
          <w:i/>
          <w:iCs/>
          <w:sz w:val="20"/>
          <w:szCs w:val="20"/>
        </w:rPr>
        <w:t>régimen de inhabilidades</w:t>
      </w:r>
      <w:r w:rsidRPr="00893C18">
        <w:rPr>
          <w:rFonts w:ascii="Verdana" w:hAnsi="Verdana"/>
          <w:sz w:val="20"/>
          <w:szCs w:val="20"/>
        </w:rPr>
        <w:t xml:space="preserve"> obedece a la necesidad de salvaguardar el interés general inherente en la contratación pública, de forma que implique el menor sacrificio posible al derecho de igualdad y de reconocimiento de la personalidad jurídica de quienes aspiran a contratar con el Estado. Bajo estas circunstancias, las entidades públicas no pueden establecer en el pliego de condiciones causales de inhabilidad o incompatibilidad no previstas en la Constitución o en la ley. En consecuencia, al tratarse de una materia que tiene reserva legal, no es posible que una entidad pública establezca nuevas causales que afecten la capacidad para contratar con el Estado, ni siquiera haciéndolas pasar como causa para rechazar los ofrecimientos realizados.  </w:t>
      </w:r>
    </w:p>
    <w:p w14:paraId="08337FAA" w14:textId="5C5F8040" w:rsidR="00502AA5" w:rsidRPr="00893C18" w:rsidRDefault="00502AA5" w:rsidP="00893C18">
      <w:pPr>
        <w:snapToGrid w:val="0"/>
        <w:spacing w:after="0" w:line="240" w:lineRule="auto"/>
        <w:contextualSpacing/>
        <w:jc w:val="both"/>
        <w:rPr>
          <w:rFonts w:ascii="Verdana" w:hAnsi="Verdana"/>
          <w:sz w:val="20"/>
          <w:szCs w:val="20"/>
        </w:rPr>
      </w:pPr>
      <w:r w:rsidRPr="00893C18">
        <w:rPr>
          <w:rFonts w:ascii="Verdana" w:eastAsia="Calibri" w:hAnsi="Verdana" w:cs="Arial"/>
          <w:b/>
          <w:bCs/>
          <w:sz w:val="20"/>
          <w:szCs w:val="20"/>
          <w:lang w:val="es-ES" w:eastAsia="es-ES"/>
        </w:rPr>
        <w:t xml:space="preserve"> </w:t>
      </w:r>
    </w:p>
    <w:p w14:paraId="237DEF73" w14:textId="77777777" w:rsidR="00502AA5" w:rsidRPr="00893C18" w:rsidRDefault="00502AA5" w:rsidP="00893C18">
      <w:pPr>
        <w:snapToGrid w:val="0"/>
        <w:contextualSpacing/>
        <w:jc w:val="both"/>
        <w:rPr>
          <w:rFonts w:ascii="Verdana" w:eastAsia="Calibri" w:hAnsi="Verdana" w:cs="Arial"/>
          <w:b/>
          <w:bCs/>
          <w:lang w:val="es-ES" w:eastAsia="es-ES"/>
        </w:rPr>
      </w:pPr>
      <w:r w:rsidRPr="00893C18">
        <w:rPr>
          <w:rFonts w:ascii="Verdana" w:eastAsia="Calibri" w:hAnsi="Verdana" w:cs="Arial"/>
          <w:b/>
          <w:bCs/>
          <w:lang w:val="es-ES" w:eastAsia="es-ES"/>
        </w:rPr>
        <w:t>SARLAFT ‒ Marco jurídico – Definición</w:t>
      </w:r>
    </w:p>
    <w:p w14:paraId="6A24085A" w14:textId="77777777" w:rsidR="00893C18" w:rsidRPr="00893C18" w:rsidRDefault="00893C18" w:rsidP="00893C18">
      <w:pPr>
        <w:snapToGrid w:val="0"/>
        <w:spacing w:after="0" w:line="240" w:lineRule="auto"/>
        <w:contextualSpacing/>
        <w:jc w:val="both"/>
        <w:rPr>
          <w:rFonts w:ascii="Verdana" w:eastAsia="Calibri" w:hAnsi="Verdana" w:cs="Arial"/>
          <w:b/>
          <w:bCs/>
          <w:sz w:val="20"/>
          <w:szCs w:val="20"/>
          <w:lang w:val="es-ES" w:eastAsia="es-ES"/>
        </w:rPr>
      </w:pPr>
    </w:p>
    <w:p w14:paraId="28ABE719" w14:textId="0E130487" w:rsidR="001A022D" w:rsidRDefault="00893C18" w:rsidP="00893C18">
      <w:pPr>
        <w:snapToGrid w:val="0"/>
        <w:spacing w:after="0" w:line="240" w:lineRule="auto"/>
        <w:contextualSpacing/>
        <w:jc w:val="both"/>
        <w:rPr>
          <w:rFonts w:ascii="Verdana" w:eastAsia="Calibri" w:hAnsi="Verdana" w:cs="Arial"/>
          <w:color w:val="000000" w:themeColor="text1"/>
          <w:sz w:val="20"/>
          <w:szCs w:val="20"/>
          <w:lang/>
        </w:rPr>
      </w:pPr>
      <w:r w:rsidRPr="00893C18">
        <w:rPr>
          <w:rFonts w:ascii="Verdana" w:eastAsia="Calibri" w:hAnsi="Verdana" w:cs="Arial"/>
          <w:color w:val="000000" w:themeColor="text1"/>
          <w:sz w:val="20"/>
          <w:szCs w:val="20"/>
        </w:rPr>
        <w:t xml:space="preserve">[…] </w:t>
      </w:r>
      <w:r w:rsidR="001A022D" w:rsidRPr="00893C18">
        <w:rPr>
          <w:rFonts w:ascii="Verdana" w:eastAsia="Calibri" w:hAnsi="Verdana" w:cs="Arial"/>
          <w:color w:val="000000" w:themeColor="text1"/>
          <w:sz w:val="20"/>
          <w:szCs w:val="20"/>
        </w:rPr>
        <w:t xml:space="preserve">el SARLAFT es un sistema de prevención y control para la adecuada gestión del riesgo de lavado de activos y financiación del terrorismo. Para esto, se deberán adoptar unas políticas, procedimientos y herramientas mínimas que contemplen todas las actividades que realizan en desarrollo de su objeto social y que se ajusten a su tamaño, actividad económica, forma de comercialización y demás </w:t>
      </w:r>
      <w:r w:rsidR="001A022D" w:rsidRPr="00893C18">
        <w:rPr>
          <w:rFonts w:ascii="Verdana" w:eastAsia="Calibri" w:hAnsi="Verdana" w:cs="Arial"/>
          <w:color w:val="000000" w:themeColor="text1"/>
          <w:sz w:val="20"/>
          <w:szCs w:val="20"/>
          <w:lang/>
        </w:rPr>
        <w:t xml:space="preserve">características particulares de cada agente sujeto a vigilancia. En el caso de las entidades vigiladas por la Superintendencia Financiera, se requiere que implementen el SARLAFT con el fin de prevenir que sean utilizadas para (i) dar apariencia de legalidad a activos provenientes de actividades delictivas y/o (ii) canalizar recursos hacia la realización de actividades terroristas. Con este fin, en desarrollo de los dispuesto en los artículos 102 y subsiguientes del Decreto Ley 663 de 1993, Estatuto Orgánico del Sistema Financiero, así como lo dispuesto en el artículo 22 de la Ley 964 de 2005, la Superintendencia determina los criterios y parámetros mínimos que las entidades vigiladas deben atender en el diseño, implementación y funcionamiento del mencionado sistema. </w:t>
      </w:r>
    </w:p>
    <w:p w14:paraId="2BBB6F06" w14:textId="77777777" w:rsidR="00893C18" w:rsidRPr="00893C18" w:rsidRDefault="00893C18" w:rsidP="00893C18">
      <w:pPr>
        <w:snapToGrid w:val="0"/>
        <w:spacing w:after="0" w:line="240" w:lineRule="auto"/>
        <w:contextualSpacing/>
        <w:jc w:val="both"/>
        <w:rPr>
          <w:rFonts w:ascii="Verdana" w:eastAsia="Calibri" w:hAnsi="Verdana" w:cs="Arial"/>
          <w:color w:val="000000" w:themeColor="text1"/>
          <w:sz w:val="20"/>
          <w:szCs w:val="20"/>
          <w:lang/>
        </w:rPr>
      </w:pPr>
    </w:p>
    <w:p w14:paraId="08416642" w14:textId="0AA17255" w:rsidR="00D4527F" w:rsidRPr="00893C18" w:rsidRDefault="001A022D" w:rsidP="00893C18">
      <w:pPr>
        <w:snapToGrid w:val="0"/>
        <w:spacing w:after="0" w:line="240" w:lineRule="auto"/>
        <w:contextualSpacing/>
        <w:jc w:val="both"/>
        <w:rPr>
          <w:rFonts w:ascii="Verdana" w:eastAsia="Calibri" w:hAnsi="Verdana" w:cs="Arial"/>
          <w:color w:val="000000" w:themeColor="text1"/>
          <w:sz w:val="20"/>
          <w:szCs w:val="20"/>
          <w:lang/>
        </w:rPr>
      </w:pPr>
      <w:r w:rsidRPr="00893C18">
        <w:rPr>
          <w:rFonts w:ascii="Verdana" w:eastAsia="Calibri" w:hAnsi="Verdana" w:cs="Arial"/>
          <w:color w:val="000000" w:themeColor="text1"/>
          <w:sz w:val="20"/>
          <w:szCs w:val="20"/>
          <w:lang/>
        </w:rPr>
        <w:t>Bajo dicho marco, las entidades deben implementar sistemas para prevenir el riesgo de que se introduzcan al sistema financiero recursos provenientes de actividades relacionadas con el lavado de activos y/o financiación del terrorismo (LA/FT), así como detectar y reportar las operaciones cuyo propósito sea dar apariencia de legalidad a operaciones vinculadas al LA/FT.</w:t>
      </w:r>
    </w:p>
    <w:p w14:paraId="469B2B74" w14:textId="77777777" w:rsidR="00502AA5" w:rsidRDefault="00502AA5" w:rsidP="00893C18">
      <w:pPr>
        <w:snapToGrid w:val="0"/>
        <w:contextualSpacing/>
        <w:jc w:val="both"/>
        <w:rPr>
          <w:rFonts w:ascii="Verdana" w:eastAsia="Calibri" w:hAnsi="Verdana" w:cs="Arial"/>
          <w:b/>
          <w:bCs/>
          <w:sz w:val="20"/>
          <w:szCs w:val="20"/>
          <w:lang w:val="es-ES" w:eastAsia="es-ES"/>
        </w:rPr>
      </w:pPr>
      <w:r w:rsidRPr="00893C18">
        <w:rPr>
          <w:rFonts w:ascii="Verdana" w:eastAsia="Calibri" w:hAnsi="Verdana" w:cs="Arial"/>
          <w:b/>
          <w:bCs/>
          <w:lang w:val="es-ES" w:eastAsia="es-ES"/>
        </w:rPr>
        <w:lastRenderedPageBreak/>
        <w:t>TERMINACIÓN UNILATERAL – Causales – Interpretación estricta</w:t>
      </w:r>
    </w:p>
    <w:p w14:paraId="0039890C" w14:textId="77777777" w:rsidR="00893C18" w:rsidRPr="00893C18" w:rsidRDefault="00893C18" w:rsidP="00893C18">
      <w:pPr>
        <w:snapToGrid w:val="0"/>
        <w:spacing w:after="0" w:line="240" w:lineRule="auto"/>
        <w:contextualSpacing/>
        <w:jc w:val="both"/>
        <w:rPr>
          <w:rFonts w:ascii="Verdana" w:eastAsia="Calibri" w:hAnsi="Verdana" w:cs="Arial"/>
          <w:b/>
          <w:bCs/>
          <w:sz w:val="20"/>
          <w:szCs w:val="20"/>
          <w:lang w:val="es-ES" w:eastAsia="es-ES"/>
        </w:rPr>
      </w:pPr>
    </w:p>
    <w:p w14:paraId="04FEA98E" w14:textId="07CB72B4" w:rsidR="005842E0" w:rsidRDefault="005842E0" w:rsidP="00893C18">
      <w:pPr>
        <w:snapToGrid w:val="0"/>
        <w:spacing w:after="0" w:line="240" w:lineRule="auto"/>
        <w:contextualSpacing/>
        <w:jc w:val="both"/>
        <w:rPr>
          <w:rFonts w:ascii="Verdana" w:hAnsi="Verdana" w:cs="Arial"/>
          <w:color w:val="000000" w:themeColor="text1"/>
          <w:sz w:val="20"/>
          <w:szCs w:val="20"/>
        </w:rPr>
      </w:pPr>
      <w:r w:rsidRPr="00893C18">
        <w:rPr>
          <w:rFonts w:ascii="Verdana" w:hAnsi="Verdana"/>
          <w:sz w:val="20"/>
          <w:szCs w:val="20"/>
        </w:rPr>
        <w:t xml:space="preserve">Por otra parte, </w:t>
      </w:r>
      <w:r w:rsidRPr="00893C18">
        <w:rPr>
          <w:rFonts w:ascii="Verdana" w:hAnsi="Verdana" w:cs="Arial"/>
          <w:color w:val="000000" w:themeColor="text1"/>
          <w:sz w:val="20"/>
          <w:szCs w:val="20"/>
        </w:rPr>
        <w:t xml:space="preserve">el artículo 17 de la Ley 80 de 1993, así como los numerales 1, 2, y 4 del artículo 44 en concordancia el inciso segundo de artículo 45 del Estatuto General de Contratación de la Administración Pública (EGCAP) establece expresamente los eventos en los cuales procede la </w:t>
      </w:r>
      <w:r w:rsidRPr="00893C18">
        <w:rPr>
          <w:rFonts w:ascii="Verdana" w:hAnsi="Verdana" w:cs="Arial"/>
          <w:i/>
          <w:iCs/>
          <w:color w:val="000000" w:themeColor="text1"/>
          <w:sz w:val="20"/>
          <w:szCs w:val="20"/>
        </w:rPr>
        <w:t>terminación unilateral</w:t>
      </w:r>
      <w:r w:rsidRPr="00893C18">
        <w:rPr>
          <w:rFonts w:ascii="Verdana" w:hAnsi="Verdana" w:cs="Arial"/>
          <w:color w:val="000000" w:themeColor="text1"/>
          <w:sz w:val="20"/>
          <w:szCs w:val="20"/>
        </w:rPr>
        <w:t xml:space="preserve"> del contrato. Adicionalmente, el inciso primero del artículo 13 de la Ley 80 de 1993 dispone que “Los contratos que celebren las entidades a que se refiere el artículo 2o. del presente estatuto se regirán por las disposiciones comerciales y civiles pertinentes, salvo en las materias particularmente reguladas en esta ley”. En consecuencia, dado que la terminación unilateral tiene regulación especial en los artículos 17 y 45 del EGCAP, las causales aplicables son de interpretación restrictiva. Ya que ninguna de las causales de terminación unilateral establecidas en la Ley 80 de 1993 se relaciona con los controles derivados del SARLAFT y que las potestades exorbitantes de las entidades públicas se rigen por el principio de legalidad, el ejercicio de la autonomía de la voluntad no les permite adicionar causales que den lugar a la terminación unilateral como resultado de que el contratista sea incluido en la Lista Clinton.</w:t>
      </w:r>
    </w:p>
    <w:p w14:paraId="1B18BF3A" w14:textId="77777777" w:rsidR="00893C18" w:rsidRPr="00893C18" w:rsidRDefault="00893C18" w:rsidP="00893C18">
      <w:pPr>
        <w:snapToGrid w:val="0"/>
        <w:spacing w:after="0" w:line="240" w:lineRule="auto"/>
        <w:contextualSpacing/>
        <w:jc w:val="both"/>
        <w:rPr>
          <w:rFonts w:ascii="Verdana" w:hAnsi="Verdana" w:cs="Arial"/>
          <w:color w:val="000000" w:themeColor="text1"/>
          <w:sz w:val="20"/>
          <w:szCs w:val="20"/>
        </w:rPr>
      </w:pPr>
    </w:p>
    <w:p w14:paraId="3B2FAE79" w14:textId="55116E1C" w:rsidR="001A022D" w:rsidRDefault="001A022D" w:rsidP="00893C18">
      <w:pPr>
        <w:snapToGrid w:val="0"/>
        <w:spacing w:after="0" w:line="240" w:lineRule="auto"/>
        <w:contextualSpacing/>
        <w:jc w:val="both"/>
        <w:rPr>
          <w:rFonts w:ascii="Verdana" w:hAnsi="Verdana" w:cs="Arial"/>
          <w:color w:val="000000" w:themeColor="text1"/>
          <w:sz w:val="20"/>
          <w:szCs w:val="20"/>
        </w:rPr>
      </w:pPr>
      <w:r w:rsidRPr="00893C18">
        <w:rPr>
          <w:rFonts w:ascii="Verdana" w:hAnsi="Verdana" w:cs="Arial"/>
          <w:color w:val="000000" w:themeColor="text1"/>
          <w:sz w:val="20"/>
          <w:szCs w:val="20"/>
        </w:rPr>
        <w:t>[…] Ninguna de las causales de terminación unilateral mencionadas en el párrafo precedente se relaciona con los controles derivados d</w:t>
      </w:r>
      <w:r w:rsidRPr="00893C18">
        <w:rPr>
          <w:rFonts w:ascii="Verdana" w:eastAsia="Calibri" w:hAnsi="Verdana" w:cs="Arial"/>
          <w:color w:val="000000" w:themeColor="text1"/>
          <w:sz w:val="20"/>
          <w:szCs w:val="20"/>
        </w:rPr>
        <w:t>el SARLAFT o la inclusión en la denominada Lista Clinton. Dado que las potestades exorbitantes de las entidades públicas se rigen por el principio de legalidad, el ejercicio de la autonomía de la voluntad no permite adicionar los supuestos planteados con el supuesto objeto de consulta. Lo anterior teniendo en cuenta que el artículo 13, inciso primero, de la Ley 80 de 1993 dispone que “Los contratos que celebren las entidades a que se refiere el artículo 2o. del presente estatuto se regirán por las disposiciones comerciales y civiles pertinentes, salvo en las materias particularmente reguladas en esta ley”.</w:t>
      </w:r>
      <w:r w:rsidRPr="00893C18">
        <w:rPr>
          <w:rFonts w:ascii="Verdana" w:hAnsi="Verdana" w:cs="Arial"/>
          <w:color w:val="000000" w:themeColor="text1"/>
          <w:sz w:val="20"/>
          <w:szCs w:val="20"/>
        </w:rPr>
        <w:t xml:space="preserve"> En consecuencia, dado que la terminación unilateral tiene regulación especial en los artículos 17 y 45 del EGCAP, las causales aplicables son de interpretación restrictiva.</w:t>
      </w:r>
    </w:p>
    <w:p w14:paraId="2F3AE8FA" w14:textId="77777777" w:rsidR="00893C18" w:rsidRPr="00893C18" w:rsidRDefault="00893C18" w:rsidP="00893C18">
      <w:pPr>
        <w:snapToGrid w:val="0"/>
        <w:spacing w:after="0" w:line="240" w:lineRule="auto"/>
        <w:contextualSpacing/>
        <w:jc w:val="both"/>
        <w:rPr>
          <w:rFonts w:ascii="Verdana" w:hAnsi="Verdana" w:cs="Arial"/>
          <w:color w:val="000000" w:themeColor="text1"/>
          <w:sz w:val="20"/>
          <w:szCs w:val="20"/>
        </w:rPr>
      </w:pPr>
    </w:p>
    <w:p w14:paraId="14B96AE2" w14:textId="0D1A577E" w:rsidR="00502AA5" w:rsidRPr="00893C18" w:rsidRDefault="00502AA5" w:rsidP="00893C18">
      <w:pPr>
        <w:snapToGrid w:val="0"/>
        <w:contextualSpacing/>
        <w:jc w:val="both"/>
        <w:rPr>
          <w:rFonts w:ascii="Verdana" w:eastAsia="Calibri" w:hAnsi="Verdana" w:cs="Arial"/>
          <w:b/>
          <w:bCs/>
          <w:lang w:val="es-ES" w:eastAsia="es-ES"/>
        </w:rPr>
      </w:pPr>
      <w:r w:rsidRPr="00893C18">
        <w:rPr>
          <w:rFonts w:ascii="Verdana" w:eastAsia="Calibri" w:hAnsi="Verdana" w:cs="Arial"/>
          <w:b/>
          <w:bCs/>
          <w:lang w:val="es-ES" w:eastAsia="es-ES"/>
        </w:rPr>
        <w:t>ACTOS DE CORRUPCIÓN – Medidas de mitigación</w:t>
      </w:r>
    </w:p>
    <w:p w14:paraId="1AE74A55" w14:textId="77777777" w:rsidR="00893C18" w:rsidRPr="00893C18" w:rsidRDefault="00893C18" w:rsidP="00893C18">
      <w:pPr>
        <w:snapToGrid w:val="0"/>
        <w:spacing w:after="0" w:line="240" w:lineRule="auto"/>
        <w:contextualSpacing/>
        <w:jc w:val="both"/>
        <w:rPr>
          <w:rFonts w:ascii="Verdana" w:eastAsia="Calibri" w:hAnsi="Verdana" w:cs="Arial"/>
          <w:b/>
          <w:bCs/>
          <w:sz w:val="20"/>
          <w:szCs w:val="20"/>
          <w:lang w:val="es-ES" w:eastAsia="es-ES"/>
        </w:rPr>
      </w:pPr>
    </w:p>
    <w:p w14:paraId="4420B892" w14:textId="4BDC6431" w:rsidR="00893C18" w:rsidRDefault="00893C18" w:rsidP="00893C18">
      <w:pPr>
        <w:snapToGrid w:val="0"/>
        <w:spacing w:after="0" w:line="240" w:lineRule="auto"/>
        <w:contextualSpacing/>
        <w:jc w:val="both"/>
        <w:rPr>
          <w:rFonts w:ascii="Verdana" w:eastAsia="Calibri" w:hAnsi="Verdana" w:cs="Arial"/>
          <w:color w:val="000000" w:themeColor="text1"/>
          <w:sz w:val="20"/>
          <w:szCs w:val="20"/>
          <w:lang/>
        </w:rPr>
      </w:pPr>
      <w:r w:rsidRPr="00893C18">
        <w:rPr>
          <w:rFonts w:ascii="Verdana" w:eastAsia="Calibri" w:hAnsi="Verdana" w:cs="Arial"/>
          <w:color w:val="000000" w:themeColor="text1"/>
          <w:sz w:val="20"/>
          <w:szCs w:val="20"/>
          <w:lang/>
        </w:rPr>
        <w:t>[…] las entidades deben implementar sistemas para prevenir el riesgo de que se introduzcan al sistema financiero recursos provenientes de actividades relacionadas con el lavado de activos y/o financiación del terrorismo (LA/FT), así como detectar y reportar las operaciones cuyo propósito sea dar apariencia de legalidad a operaciones vinculadas al LA/FT.</w:t>
      </w:r>
    </w:p>
    <w:p w14:paraId="45881E62" w14:textId="77777777" w:rsidR="00893C18" w:rsidRPr="00893C18" w:rsidRDefault="00893C18" w:rsidP="00893C18">
      <w:pPr>
        <w:snapToGrid w:val="0"/>
        <w:spacing w:after="0" w:line="240" w:lineRule="auto"/>
        <w:contextualSpacing/>
        <w:jc w:val="both"/>
        <w:rPr>
          <w:rFonts w:ascii="Verdana" w:eastAsia="Calibri" w:hAnsi="Verdana" w:cs="Arial"/>
          <w:color w:val="000000" w:themeColor="text1"/>
          <w:sz w:val="20"/>
          <w:szCs w:val="20"/>
          <w:lang/>
        </w:rPr>
      </w:pPr>
    </w:p>
    <w:p w14:paraId="648F731A" w14:textId="1CFC1735" w:rsidR="00893C18" w:rsidRPr="00893C18" w:rsidRDefault="00893C18" w:rsidP="00893C18">
      <w:pPr>
        <w:snapToGrid w:val="0"/>
        <w:spacing w:after="0" w:line="240" w:lineRule="auto"/>
        <w:contextualSpacing/>
        <w:jc w:val="both"/>
        <w:rPr>
          <w:rFonts w:ascii="Verdana" w:eastAsia="Calibri" w:hAnsi="Verdana" w:cs="Arial"/>
          <w:color w:val="000000" w:themeColor="text1"/>
          <w:sz w:val="20"/>
          <w:szCs w:val="20"/>
          <w:lang/>
        </w:rPr>
      </w:pPr>
      <w:r w:rsidRPr="00893C18">
        <w:rPr>
          <w:rFonts w:ascii="Verdana" w:eastAsia="Calibri" w:hAnsi="Verdana" w:cs="Arial"/>
          <w:color w:val="000000" w:themeColor="text1"/>
          <w:sz w:val="20"/>
          <w:szCs w:val="20"/>
        </w:rPr>
        <w:t>En particular, para prevenir el riesgo de corrupción y de delitos derivados de la celebración de contratos estatales, la Sala de Consulta y Servicio Civil del Consejo de Estado explica que las entidades –tanto las sometidas como exceptuadas de la Ley 80 de 1993– tienen las siguientes opciones: “(i) En los estudios previos que sustentan la contratación: a) tipificar, estimar y asignar los riesgos para prevenir actos de corrupción; b) contemplar las medidas tendientes a verificar las calidades de los proponentes o futuros contratistas;</w:t>
      </w:r>
      <w:r w:rsidRPr="00893C18">
        <w:rPr>
          <w:rFonts w:ascii="Verdana" w:eastAsia="Calibri" w:hAnsi="Verdana" w:cs="Arial"/>
          <w:color w:val="000000" w:themeColor="text1"/>
          <w:sz w:val="20"/>
          <w:szCs w:val="20"/>
          <w:lang/>
        </w:rPr>
        <w:t xml:space="preserve"> </w:t>
      </w:r>
      <w:r w:rsidRPr="00893C18">
        <w:rPr>
          <w:rFonts w:ascii="Verdana" w:eastAsia="Calibri" w:hAnsi="Verdana" w:cs="Arial"/>
          <w:color w:val="000000" w:themeColor="text1"/>
          <w:sz w:val="20"/>
          <w:szCs w:val="20"/>
        </w:rPr>
        <w:t>(</w:t>
      </w:r>
      <w:proofErr w:type="spellStart"/>
      <w:r w:rsidRPr="00893C18">
        <w:rPr>
          <w:rFonts w:ascii="Verdana" w:eastAsia="Calibri" w:hAnsi="Verdana" w:cs="Arial"/>
          <w:color w:val="000000" w:themeColor="text1"/>
          <w:sz w:val="20"/>
          <w:szCs w:val="20"/>
        </w:rPr>
        <w:t>ii</w:t>
      </w:r>
      <w:proofErr w:type="spellEnd"/>
      <w:r w:rsidRPr="00893C18">
        <w:rPr>
          <w:rFonts w:ascii="Verdana" w:eastAsia="Calibri" w:hAnsi="Verdana" w:cs="Arial"/>
          <w:color w:val="000000" w:themeColor="text1"/>
          <w:sz w:val="20"/>
          <w:szCs w:val="20"/>
        </w:rPr>
        <w:t xml:space="preserve">) En los pliegos de condiciones y como parte integrante de la </w:t>
      </w:r>
      <w:r w:rsidRPr="00893C18">
        <w:rPr>
          <w:rFonts w:ascii="Verdana" w:eastAsia="Calibri" w:hAnsi="Verdana" w:cs="Arial"/>
          <w:color w:val="000000" w:themeColor="text1"/>
          <w:sz w:val="20"/>
          <w:szCs w:val="20"/>
        </w:rPr>
        <w:lastRenderedPageBreak/>
        <w:t>oferta: a) exigir la suscripción de “pactos o compromisos de integridad” y de la “declaración de origen de fondos”; b) identificar plenamente al proponente y verificar los datos pertinentes, de acuerdo con la prerrogativa de la entidad, y c) señalar expresamente que uno de los riesgos asociados al contrato es el de corrupción, el cual se relaciona directamente con el riesgo financiero y, en consecuencia, exigir garantías suficientes que permitan mantener cubierta a la entidad en relación con este riesgo;</w:t>
      </w:r>
      <w:r w:rsidRPr="00893C18">
        <w:rPr>
          <w:rFonts w:ascii="Verdana" w:eastAsia="Calibri" w:hAnsi="Verdana" w:cs="Arial"/>
          <w:color w:val="000000" w:themeColor="text1"/>
          <w:sz w:val="20"/>
          <w:szCs w:val="20"/>
          <w:lang/>
        </w:rPr>
        <w:t xml:space="preserve"> </w:t>
      </w:r>
      <w:r w:rsidRPr="00893C18">
        <w:rPr>
          <w:rFonts w:ascii="Verdana" w:eastAsia="Calibri" w:hAnsi="Verdana" w:cs="Arial"/>
          <w:color w:val="000000" w:themeColor="text1"/>
          <w:sz w:val="20"/>
          <w:szCs w:val="20"/>
        </w:rPr>
        <w:t>(</w:t>
      </w:r>
      <w:proofErr w:type="spellStart"/>
      <w:r w:rsidRPr="00893C18">
        <w:rPr>
          <w:rFonts w:ascii="Verdana" w:eastAsia="Calibri" w:hAnsi="Verdana" w:cs="Arial"/>
          <w:color w:val="000000" w:themeColor="text1"/>
          <w:sz w:val="20"/>
          <w:szCs w:val="20"/>
        </w:rPr>
        <w:t>iii</w:t>
      </w:r>
      <w:proofErr w:type="spellEnd"/>
      <w:r w:rsidRPr="00893C18">
        <w:rPr>
          <w:rFonts w:ascii="Verdana" w:eastAsia="Calibri" w:hAnsi="Verdana" w:cs="Arial"/>
          <w:color w:val="000000" w:themeColor="text1"/>
          <w:sz w:val="20"/>
          <w:szCs w:val="20"/>
        </w:rPr>
        <w:t>) En las cláusulas contractuales: a) incorporar la obligación a cargo del contratista de reportar periódicamente su información societaria, financiera y comercial, así como la modificación del estado de los mencionados riesgos; b) con el fin de proteger los intereses de la administración, incluir condiciones resolutorias expresas por hechos u omisiones que, aunque no estén tipificadas como causales de inhabilidad o incompatibilidad impliquen por parte del contratista o de las personas vinculadas a él actos de corrupción u otras circunstancias de las cuales se derive el aumento considerable de los riesgos para la entidad contratante o que vulneren los principios de la contratación estatal; c) estipular multas en los términos expuestos en este concepto”.</w:t>
      </w:r>
    </w:p>
    <w:p w14:paraId="6E3F9651" w14:textId="77777777" w:rsidR="00893C18" w:rsidRPr="00926BEA" w:rsidRDefault="00893C18" w:rsidP="00893C18">
      <w:pPr>
        <w:spacing w:after="0" w:line="276" w:lineRule="auto"/>
        <w:ind w:left="709" w:right="709"/>
        <w:jc w:val="both"/>
        <w:rPr>
          <w:rFonts w:ascii="Verdana" w:eastAsia="Calibri" w:hAnsi="Verdana" w:cs="Arial"/>
          <w:color w:val="000000" w:themeColor="text1"/>
        </w:rPr>
      </w:pPr>
    </w:p>
    <w:p w14:paraId="1B025918" w14:textId="77777777" w:rsidR="00893C18" w:rsidRPr="00502AA5" w:rsidRDefault="00893C18" w:rsidP="00502AA5">
      <w:pPr>
        <w:spacing w:line="276" w:lineRule="auto"/>
        <w:jc w:val="both"/>
        <w:rPr>
          <w:rFonts w:ascii="Verdana" w:eastAsia="Calibri" w:hAnsi="Verdana" w:cs="Arial"/>
          <w:b/>
          <w:bCs/>
          <w:lang w:val="es-ES" w:eastAsia="es-ES"/>
        </w:rPr>
      </w:pPr>
    </w:p>
    <w:p w14:paraId="4040E5B7" w14:textId="77777777" w:rsidR="00502AA5" w:rsidRDefault="00502AA5" w:rsidP="004A1CED">
      <w:pPr>
        <w:spacing w:after="0"/>
        <w:rPr>
          <w:rFonts w:ascii="Verdana" w:hAnsi="Verdana"/>
          <w:lang w:val="es-ES"/>
        </w:rPr>
      </w:pPr>
    </w:p>
    <w:p w14:paraId="00B3E829" w14:textId="77777777" w:rsidR="00893C18" w:rsidRDefault="00893C18" w:rsidP="004A1CED">
      <w:pPr>
        <w:spacing w:after="0"/>
        <w:rPr>
          <w:rFonts w:ascii="Verdana" w:hAnsi="Verdana"/>
          <w:lang w:val="es-ES"/>
        </w:rPr>
      </w:pPr>
    </w:p>
    <w:p w14:paraId="345330C6" w14:textId="77777777" w:rsidR="00893C18" w:rsidRDefault="00893C18" w:rsidP="004A1CED">
      <w:pPr>
        <w:spacing w:after="0"/>
        <w:rPr>
          <w:rFonts w:ascii="Verdana" w:hAnsi="Verdana"/>
          <w:lang w:val="es-ES"/>
        </w:rPr>
      </w:pPr>
    </w:p>
    <w:p w14:paraId="15DE0D8D" w14:textId="77777777" w:rsidR="00893C18" w:rsidRDefault="00893C18" w:rsidP="004A1CED">
      <w:pPr>
        <w:spacing w:after="0"/>
        <w:rPr>
          <w:rFonts w:ascii="Verdana" w:hAnsi="Verdana"/>
          <w:lang w:val="es-ES"/>
        </w:rPr>
      </w:pPr>
    </w:p>
    <w:p w14:paraId="4C9DFDE2" w14:textId="77777777" w:rsidR="00893C18" w:rsidRDefault="00893C18" w:rsidP="004A1CED">
      <w:pPr>
        <w:spacing w:after="0"/>
        <w:rPr>
          <w:rFonts w:ascii="Verdana" w:hAnsi="Verdana"/>
          <w:lang w:val="es-ES"/>
        </w:rPr>
      </w:pPr>
    </w:p>
    <w:p w14:paraId="7C6400FA" w14:textId="77777777" w:rsidR="00893C18" w:rsidRDefault="00893C18" w:rsidP="004A1CED">
      <w:pPr>
        <w:spacing w:after="0"/>
        <w:rPr>
          <w:rFonts w:ascii="Verdana" w:hAnsi="Verdana"/>
          <w:lang w:val="es-ES"/>
        </w:rPr>
      </w:pPr>
    </w:p>
    <w:p w14:paraId="777FDF22" w14:textId="77777777" w:rsidR="00893C18" w:rsidRDefault="00893C18" w:rsidP="004A1CED">
      <w:pPr>
        <w:spacing w:after="0"/>
        <w:rPr>
          <w:rFonts w:ascii="Verdana" w:hAnsi="Verdana"/>
          <w:lang w:val="es-ES"/>
        </w:rPr>
      </w:pPr>
    </w:p>
    <w:p w14:paraId="3D6A7B9B" w14:textId="77777777" w:rsidR="00893C18" w:rsidRDefault="00893C18" w:rsidP="004A1CED">
      <w:pPr>
        <w:spacing w:after="0"/>
        <w:rPr>
          <w:rFonts w:ascii="Verdana" w:hAnsi="Verdana"/>
          <w:lang w:val="es-ES"/>
        </w:rPr>
      </w:pPr>
    </w:p>
    <w:p w14:paraId="6AF16D19" w14:textId="77777777" w:rsidR="00893C18" w:rsidRDefault="00893C18" w:rsidP="004A1CED">
      <w:pPr>
        <w:spacing w:after="0"/>
        <w:rPr>
          <w:rFonts w:ascii="Verdana" w:hAnsi="Verdana"/>
          <w:lang w:val="es-ES"/>
        </w:rPr>
      </w:pPr>
    </w:p>
    <w:p w14:paraId="716F9E37" w14:textId="77777777" w:rsidR="00893C18" w:rsidRDefault="00893C18" w:rsidP="004A1CED">
      <w:pPr>
        <w:spacing w:after="0"/>
        <w:rPr>
          <w:rFonts w:ascii="Verdana" w:hAnsi="Verdana"/>
          <w:lang w:val="es-ES"/>
        </w:rPr>
      </w:pPr>
    </w:p>
    <w:p w14:paraId="73794E8B" w14:textId="77777777" w:rsidR="00893C18" w:rsidRDefault="00893C18" w:rsidP="004A1CED">
      <w:pPr>
        <w:spacing w:after="0"/>
        <w:rPr>
          <w:rFonts w:ascii="Verdana" w:hAnsi="Verdana"/>
          <w:lang w:val="es-ES"/>
        </w:rPr>
      </w:pPr>
    </w:p>
    <w:p w14:paraId="67AC7C1D" w14:textId="77777777" w:rsidR="00893C18" w:rsidRDefault="00893C18" w:rsidP="004A1CED">
      <w:pPr>
        <w:spacing w:after="0"/>
        <w:rPr>
          <w:rFonts w:ascii="Verdana" w:hAnsi="Verdana"/>
          <w:lang w:val="es-ES"/>
        </w:rPr>
      </w:pPr>
    </w:p>
    <w:p w14:paraId="4240BDB5" w14:textId="77777777" w:rsidR="00893C18" w:rsidRDefault="00893C18" w:rsidP="004A1CED">
      <w:pPr>
        <w:spacing w:after="0"/>
        <w:rPr>
          <w:rFonts w:ascii="Verdana" w:hAnsi="Verdana"/>
          <w:lang w:val="es-ES"/>
        </w:rPr>
      </w:pPr>
    </w:p>
    <w:p w14:paraId="3B2D50B1" w14:textId="77777777" w:rsidR="00893C18" w:rsidRDefault="00893C18" w:rsidP="004A1CED">
      <w:pPr>
        <w:spacing w:after="0"/>
        <w:rPr>
          <w:rFonts w:ascii="Verdana" w:hAnsi="Verdana"/>
          <w:lang w:val="es-ES"/>
        </w:rPr>
      </w:pPr>
    </w:p>
    <w:p w14:paraId="6C327C03" w14:textId="77777777" w:rsidR="00893C18" w:rsidRDefault="00893C18" w:rsidP="004A1CED">
      <w:pPr>
        <w:spacing w:after="0"/>
        <w:rPr>
          <w:rFonts w:ascii="Verdana" w:hAnsi="Verdana"/>
          <w:lang w:val="es-ES"/>
        </w:rPr>
      </w:pPr>
    </w:p>
    <w:p w14:paraId="2BA68D22" w14:textId="77777777" w:rsidR="00893C18" w:rsidRDefault="00893C18" w:rsidP="004A1CED">
      <w:pPr>
        <w:spacing w:after="0"/>
        <w:rPr>
          <w:rFonts w:ascii="Verdana" w:hAnsi="Verdana"/>
          <w:lang w:val="es-ES"/>
        </w:rPr>
      </w:pPr>
    </w:p>
    <w:p w14:paraId="0976E792" w14:textId="77777777" w:rsidR="00893C18" w:rsidRDefault="00893C18" w:rsidP="004A1CED">
      <w:pPr>
        <w:spacing w:after="0"/>
        <w:rPr>
          <w:rFonts w:ascii="Verdana" w:hAnsi="Verdana"/>
          <w:lang w:val="es-ES"/>
        </w:rPr>
      </w:pPr>
    </w:p>
    <w:p w14:paraId="29EA8CFA" w14:textId="77777777" w:rsidR="00893C18" w:rsidRDefault="00893C18" w:rsidP="004A1CED">
      <w:pPr>
        <w:spacing w:after="0"/>
        <w:rPr>
          <w:rFonts w:ascii="Verdana" w:hAnsi="Verdana"/>
          <w:lang w:val="es-ES"/>
        </w:rPr>
      </w:pPr>
    </w:p>
    <w:p w14:paraId="7AC2C1B6" w14:textId="77777777" w:rsidR="00893C18" w:rsidRDefault="00893C18" w:rsidP="004A1CED">
      <w:pPr>
        <w:spacing w:after="0"/>
        <w:rPr>
          <w:rFonts w:ascii="Verdana" w:hAnsi="Verdana"/>
          <w:lang w:val="es-ES"/>
        </w:rPr>
      </w:pPr>
    </w:p>
    <w:p w14:paraId="1ACA91E4" w14:textId="77777777" w:rsidR="00893C18" w:rsidRDefault="00893C18" w:rsidP="004A1CED">
      <w:pPr>
        <w:spacing w:after="0"/>
        <w:rPr>
          <w:rFonts w:ascii="Verdana" w:hAnsi="Verdana"/>
          <w:lang w:val="es-ES"/>
        </w:rPr>
      </w:pPr>
    </w:p>
    <w:p w14:paraId="35B31AEE" w14:textId="77777777" w:rsidR="00893C18" w:rsidRDefault="00893C18" w:rsidP="004A1CED">
      <w:pPr>
        <w:spacing w:after="0"/>
        <w:rPr>
          <w:rFonts w:ascii="Verdana" w:hAnsi="Verdana"/>
          <w:lang w:val="es-ES"/>
        </w:rPr>
      </w:pPr>
    </w:p>
    <w:p w14:paraId="78C89DA7" w14:textId="77777777" w:rsidR="00893C18" w:rsidRDefault="00893C18" w:rsidP="004A1CED">
      <w:pPr>
        <w:spacing w:after="0"/>
        <w:rPr>
          <w:rFonts w:ascii="Verdana" w:hAnsi="Verdana"/>
          <w:lang w:val="es-ES"/>
        </w:rPr>
      </w:pPr>
    </w:p>
    <w:p w14:paraId="2D637CF8" w14:textId="77777777" w:rsidR="00893C18" w:rsidRDefault="00893C18" w:rsidP="004A1CED">
      <w:pPr>
        <w:spacing w:after="0"/>
        <w:rPr>
          <w:rFonts w:ascii="Verdana" w:hAnsi="Verdana"/>
          <w:lang w:val="es-ES"/>
        </w:rPr>
      </w:pPr>
    </w:p>
    <w:p w14:paraId="2C6A350C" w14:textId="4499182A" w:rsidR="004A1CED" w:rsidRPr="002069C6" w:rsidRDefault="004A1CED" w:rsidP="004A1CED">
      <w:pPr>
        <w:spacing w:after="0"/>
        <w:rPr>
          <w:rFonts w:ascii="Verdana" w:hAnsi="Verdana"/>
          <w:lang w:val="es-ES"/>
        </w:rPr>
      </w:pPr>
      <w:r w:rsidRPr="002069C6">
        <w:rPr>
          <w:rFonts w:ascii="Verdana" w:hAnsi="Verdana"/>
          <w:lang w:val="es-ES"/>
        </w:rPr>
        <w:lastRenderedPageBreak/>
        <w:t>Bogotá D.C.,</w:t>
      </w:r>
      <w:r w:rsidR="00502AA5">
        <w:rPr>
          <w:rFonts w:ascii="Verdana" w:hAnsi="Verdana"/>
          <w:lang w:val="es-ES"/>
        </w:rPr>
        <w:t xml:space="preserve"> 19 de noviembre de 2025</w:t>
      </w:r>
      <w:r w:rsidRPr="002069C6">
        <w:rPr>
          <w:rFonts w:ascii="Verdana" w:hAnsi="Verdana"/>
          <w:lang w:val="es-ES"/>
        </w:rPr>
        <w:tab/>
      </w:r>
    </w:p>
    <w:p w14:paraId="0181D3A5" w14:textId="74B2B619" w:rsidR="004A1CED" w:rsidRPr="002069C6" w:rsidRDefault="004A1CED" w:rsidP="004A1CED">
      <w:pPr>
        <w:spacing w:after="0"/>
        <w:rPr>
          <w:rFonts w:ascii="Verdana" w:hAnsi="Verdana"/>
          <w:lang w:val="es-ES"/>
        </w:rPr>
      </w:pPr>
    </w:p>
    <w:p w14:paraId="6CA122F3" w14:textId="76EBEBE5" w:rsidR="004A1CED" w:rsidRPr="002069C6" w:rsidRDefault="004A1CED" w:rsidP="004A1CED">
      <w:pPr>
        <w:spacing w:after="0" w:line="240" w:lineRule="auto"/>
        <w:jc w:val="both"/>
        <w:rPr>
          <w:rFonts w:ascii="Verdana" w:eastAsia="Calibri" w:hAnsi="Verdana" w:cs="Arial"/>
          <w:color w:val="000000" w:themeColor="text1"/>
          <w:lang w:val="es-ES" w:eastAsia="es-ES"/>
        </w:rPr>
      </w:pPr>
      <w:r w:rsidRPr="002069C6">
        <w:rPr>
          <w:rFonts w:ascii="Verdana" w:eastAsia="Calibri" w:hAnsi="Verdana" w:cs="Arial"/>
          <w:color w:val="000000" w:themeColor="text1"/>
          <w:lang w:val="es-ES" w:eastAsia="es-ES"/>
        </w:rPr>
        <w:t>Señor</w:t>
      </w:r>
    </w:p>
    <w:p w14:paraId="7CC6C574" w14:textId="61ADE5EF" w:rsidR="004A1CED" w:rsidRDefault="00DD33AD" w:rsidP="004A1CED">
      <w:pPr>
        <w:spacing w:after="0" w:line="240" w:lineRule="auto"/>
        <w:rPr>
          <w:rFonts w:ascii="Verdana" w:eastAsia="Calibri" w:hAnsi="Verdana" w:cs="Arial"/>
          <w:b/>
          <w:bCs/>
          <w:color w:val="000000" w:themeColor="text1"/>
          <w:lang w:eastAsia="es-ES_tradnl"/>
        </w:rPr>
      </w:pPr>
      <w:r>
        <w:rPr>
          <w:rFonts w:ascii="Verdana" w:eastAsia="Calibri" w:hAnsi="Verdana" w:cs="Arial"/>
          <w:noProof/>
          <w:color w:val="000000" w:themeColor="text1"/>
          <w:lang w:eastAsia="es-ES_tradnl"/>
        </w:rPr>
        <w:drawing>
          <wp:anchor distT="0" distB="0" distL="114300" distR="114300" simplePos="0" relativeHeight="251658240" behindDoc="0" locked="0" layoutInCell="1" allowOverlap="1" wp14:anchorId="088E5F44" wp14:editId="774F0E34">
            <wp:simplePos x="0" y="0"/>
            <wp:positionH relativeFrom="column">
              <wp:posOffset>3536526</wp:posOffset>
            </wp:positionH>
            <wp:positionV relativeFrom="page">
              <wp:posOffset>2110740</wp:posOffset>
            </wp:positionV>
            <wp:extent cx="1935480" cy="516890"/>
            <wp:effectExtent l="0" t="0" r="0" b="3810"/>
            <wp:wrapSquare wrapText="bothSides"/>
            <wp:docPr id="298337244"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8337244" name="Picture 298337244"/>
                    <pic:cNvPicPr/>
                  </pic:nvPicPr>
                  <pic:blipFill>
                    <a:blip r:embed="rId10" cstate="print">
                      <a:extLst>
                        <a:ext uri="{28A0092B-C50C-407E-A947-70E740481C1C}">
                          <a14:useLocalDpi xmlns:a14="http://schemas.microsoft.com/office/drawing/2010/main" val="0"/>
                        </a:ext>
                      </a:extLst>
                    </a:blip>
                    <a:stretch>
                      <a:fillRect/>
                    </a:stretch>
                  </pic:blipFill>
                  <pic:spPr>
                    <a:xfrm>
                      <a:off x="0" y="0"/>
                      <a:ext cx="1935480" cy="516890"/>
                    </a:xfrm>
                    <a:prstGeom prst="rect">
                      <a:avLst/>
                    </a:prstGeom>
                  </pic:spPr>
                </pic:pic>
              </a:graphicData>
            </a:graphic>
            <wp14:sizeRelH relativeFrom="page">
              <wp14:pctWidth>0</wp14:pctWidth>
            </wp14:sizeRelH>
            <wp14:sizeRelV relativeFrom="page">
              <wp14:pctHeight>0</wp14:pctHeight>
            </wp14:sizeRelV>
          </wp:anchor>
        </w:drawing>
      </w:r>
      <w:r w:rsidR="004A1CED" w:rsidRPr="001B047B">
        <w:rPr>
          <w:rFonts w:ascii="Verdana" w:eastAsia="Calibri" w:hAnsi="Verdana" w:cs="Arial"/>
          <w:b/>
          <w:bCs/>
          <w:color w:val="000000" w:themeColor="text1"/>
          <w:lang w:eastAsia="es-ES_tradnl"/>
        </w:rPr>
        <w:t>Hern</w:t>
      </w:r>
      <w:r w:rsidR="004A1CED">
        <w:rPr>
          <w:rFonts w:ascii="Verdana" w:eastAsia="Calibri" w:hAnsi="Verdana" w:cs="Arial"/>
          <w:b/>
          <w:bCs/>
          <w:color w:val="000000" w:themeColor="text1"/>
          <w:lang w:eastAsia="es-ES_tradnl"/>
        </w:rPr>
        <w:t>á</w:t>
      </w:r>
      <w:r w:rsidR="004A1CED" w:rsidRPr="001B047B">
        <w:rPr>
          <w:rFonts w:ascii="Verdana" w:eastAsia="Calibri" w:hAnsi="Verdana" w:cs="Arial"/>
          <w:b/>
          <w:bCs/>
          <w:color w:val="000000" w:themeColor="text1"/>
          <w:lang w:eastAsia="es-ES_tradnl"/>
        </w:rPr>
        <w:t xml:space="preserve">n David Henao Castrillón </w:t>
      </w:r>
    </w:p>
    <w:p w14:paraId="7091DE36" w14:textId="58C03B40" w:rsidR="004A1CED" w:rsidRDefault="004A1CED" w:rsidP="004A1CED">
      <w:pPr>
        <w:spacing w:after="0" w:line="240" w:lineRule="auto"/>
        <w:rPr>
          <w:rFonts w:ascii="Verdana" w:eastAsia="Calibri" w:hAnsi="Verdana" w:cs="Arial"/>
          <w:color w:val="000000" w:themeColor="text1"/>
          <w:lang w:eastAsia="es-ES_tradnl"/>
        </w:rPr>
      </w:pPr>
      <w:r w:rsidRPr="001B047B">
        <w:rPr>
          <w:rFonts w:ascii="Verdana" w:eastAsia="Calibri" w:hAnsi="Verdana" w:cs="Arial"/>
          <w:color w:val="000000" w:themeColor="text1"/>
          <w:lang w:eastAsia="es-ES_tradnl"/>
        </w:rPr>
        <w:t xml:space="preserve">Instituto para el Desarrollo de Antioquia – IDEA </w:t>
      </w:r>
    </w:p>
    <w:p w14:paraId="2706AD30" w14:textId="77777777" w:rsidR="004A1CED" w:rsidRDefault="004A1CED" w:rsidP="004A1CED">
      <w:pPr>
        <w:spacing w:after="0" w:line="240" w:lineRule="auto"/>
        <w:rPr>
          <w:rFonts w:ascii="Verdana" w:eastAsia="Calibri" w:hAnsi="Verdana" w:cs="Arial"/>
          <w:color w:val="000000" w:themeColor="text1"/>
          <w:lang w:eastAsia="es-ES_tradnl"/>
        </w:rPr>
      </w:pPr>
      <w:hyperlink r:id="rId11" w:history="1">
        <w:r w:rsidRPr="001B047B">
          <w:rPr>
            <w:rStyle w:val="Hipervnculo"/>
            <w:rFonts w:ascii="Verdana" w:eastAsia="Calibri" w:hAnsi="Verdana" w:cs="Arial"/>
            <w:lang w:eastAsia="es-ES_tradnl"/>
          </w:rPr>
          <w:t>hernanhc@idea.gov.co</w:t>
        </w:r>
      </w:hyperlink>
    </w:p>
    <w:p w14:paraId="462ECFBF" w14:textId="77777777" w:rsidR="004A1CED" w:rsidRDefault="004A1CED" w:rsidP="004A1CED">
      <w:pPr>
        <w:spacing w:after="0" w:line="240" w:lineRule="auto"/>
        <w:rPr>
          <w:rFonts w:ascii="Verdana" w:eastAsia="Calibri" w:hAnsi="Verdana" w:cs="Arial"/>
          <w:color w:val="000000" w:themeColor="text1"/>
          <w:lang w:eastAsia="es-ES_tradnl"/>
        </w:rPr>
      </w:pPr>
      <w:r w:rsidRPr="001B047B">
        <w:rPr>
          <w:rFonts w:ascii="Verdana" w:eastAsia="Calibri" w:hAnsi="Verdana" w:cs="Arial"/>
          <w:color w:val="000000" w:themeColor="text1"/>
          <w:lang w:eastAsia="es-ES_tradnl"/>
        </w:rPr>
        <w:t>Medellín, Antioquia</w:t>
      </w:r>
    </w:p>
    <w:p w14:paraId="0CE4ACE7" w14:textId="77777777" w:rsidR="004A1CED" w:rsidRPr="002069C6" w:rsidRDefault="004A1CED" w:rsidP="004A1CED">
      <w:pPr>
        <w:spacing w:after="0" w:line="240" w:lineRule="auto"/>
        <w:rPr>
          <w:rFonts w:ascii="Verdana" w:eastAsia="Calibri" w:hAnsi="Verdana" w:cs="Arial"/>
          <w:color w:val="000000" w:themeColor="text1"/>
          <w:lang w:eastAsia="es-ES_tradnl"/>
        </w:rPr>
      </w:pPr>
    </w:p>
    <w:p w14:paraId="3BC9DD94" w14:textId="77777777" w:rsidR="004A1CED" w:rsidRPr="002069C6" w:rsidRDefault="004A1CED" w:rsidP="004A1CED">
      <w:pPr>
        <w:spacing w:after="0" w:line="240" w:lineRule="auto"/>
        <w:rPr>
          <w:rFonts w:ascii="Verdana" w:eastAsia="Calibri" w:hAnsi="Verdana" w:cs="Arial"/>
          <w:b/>
          <w:bCs/>
          <w:color w:val="000000" w:themeColor="text1"/>
          <w:lang w:val="es-ES" w:eastAsia="es-ES_tradnl"/>
        </w:rPr>
      </w:pPr>
    </w:p>
    <w:tbl>
      <w:tblPr>
        <w:tblStyle w:val="Tablaconcuadrcula"/>
        <w:tblW w:w="1296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2689"/>
        <w:gridCol w:w="6100"/>
        <w:gridCol w:w="4179"/>
      </w:tblGrid>
      <w:tr w:rsidR="004A1CED" w:rsidRPr="002069C6" w14:paraId="108E58DC" w14:textId="77777777" w:rsidTr="00FC4C3B">
        <w:trPr>
          <w:gridAfter w:val="1"/>
          <w:wAfter w:w="4179" w:type="dxa"/>
          <w:trHeight w:val="304"/>
        </w:trPr>
        <w:tc>
          <w:tcPr>
            <w:tcW w:w="2689" w:type="dxa"/>
          </w:tcPr>
          <w:p w14:paraId="4A46516E" w14:textId="77777777" w:rsidR="004A1CED" w:rsidRPr="002069C6" w:rsidRDefault="004A1CED" w:rsidP="00FC4C3B">
            <w:pPr>
              <w:jc w:val="both"/>
              <w:rPr>
                <w:rFonts w:ascii="Verdana" w:eastAsia="Calibri" w:hAnsi="Verdana" w:cs="Arial"/>
                <w:b/>
                <w:bCs/>
                <w:color w:val="000000" w:themeColor="text1"/>
                <w:lang w:val="es-ES" w:eastAsia="es-ES_tradnl"/>
              </w:rPr>
            </w:pPr>
          </w:p>
        </w:tc>
        <w:tc>
          <w:tcPr>
            <w:tcW w:w="6100" w:type="dxa"/>
          </w:tcPr>
          <w:p w14:paraId="06AEBA90" w14:textId="3BF784D3" w:rsidR="004A1CED" w:rsidRPr="002069C6" w:rsidRDefault="004A1CED" w:rsidP="00FC4C3B">
            <w:pPr>
              <w:jc w:val="both"/>
              <w:rPr>
                <w:rFonts w:ascii="Verdana" w:eastAsia="Calibri" w:hAnsi="Verdana" w:cs="Arial"/>
                <w:b/>
                <w:bCs/>
                <w:color w:val="000000" w:themeColor="text1"/>
                <w:lang w:val="es-ES" w:eastAsia="es-ES"/>
              </w:rPr>
            </w:pPr>
            <w:r w:rsidRPr="002069C6">
              <w:rPr>
                <w:rFonts w:ascii="Verdana" w:eastAsia="Calibri" w:hAnsi="Verdana" w:cs="Arial"/>
                <w:b/>
                <w:bCs/>
                <w:color w:val="000000" w:themeColor="text1"/>
                <w:lang w:val="es-ES" w:eastAsia="es-ES"/>
              </w:rPr>
              <w:t>Concepto C-</w:t>
            </w:r>
            <w:r w:rsidR="00755B1C">
              <w:rPr>
                <w:rFonts w:ascii="Verdana" w:eastAsia="Calibri" w:hAnsi="Verdana" w:cs="Arial"/>
                <w:b/>
                <w:bCs/>
                <w:color w:val="000000" w:themeColor="text1"/>
                <w:lang w:val="es-ES" w:eastAsia="es-ES"/>
              </w:rPr>
              <w:t>1449</w:t>
            </w:r>
            <w:r w:rsidRPr="002069C6">
              <w:rPr>
                <w:rFonts w:ascii="Verdana" w:eastAsia="Calibri" w:hAnsi="Verdana" w:cs="Arial"/>
                <w:b/>
                <w:bCs/>
                <w:color w:val="000000" w:themeColor="text1"/>
                <w:lang w:val="es-ES" w:eastAsia="es-ES"/>
              </w:rPr>
              <w:t xml:space="preserve"> de 2025</w:t>
            </w:r>
          </w:p>
          <w:p w14:paraId="7837D25E" w14:textId="77777777" w:rsidR="004A1CED" w:rsidRPr="002069C6" w:rsidRDefault="004A1CED" w:rsidP="00FC4C3B">
            <w:pPr>
              <w:jc w:val="both"/>
              <w:rPr>
                <w:rFonts w:ascii="Verdana" w:eastAsia="Calibri" w:hAnsi="Verdana" w:cs="Arial"/>
                <w:b/>
                <w:bCs/>
                <w:color w:val="000000" w:themeColor="text1"/>
                <w:lang w:val="es-ES" w:eastAsia="es-ES"/>
              </w:rPr>
            </w:pPr>
          </w:p>
        </w:tc>
      </w:tr>
      <w:tr w:rsidR="004A1CED" w:rsidRPr="002069C6" w14:paraId="7310C47F" w14:textId="77777777" w:rsidTr="00FC4C3B">
        <w:trPr>
          <w:trHeight w:val="884"/>
        </w:trPr>
        <w:tc>
          <w:tcPr>
            <w:tcW w:w="2689" w:type="dxa"/>
          </w:tcPr>
          <w:p w14:paraId="3FF3BB60" w14:textId="77777777" w:rsidR="004A1CED" w:rsidRPr="002069C6" w:rsidRDefault="004A1CED" w:rsidP="00FC4C3B">
            <w:pPr>
              <w:jc w:val="both"/>
              <w:rPr>
                <w:rFonts w:ascii="Verdana" w:eastAsia="Calibri" w:hAnsi="Verdana" w:cs="Arial"/>
                <w:color w:val="000000" w:themeColor="text1"/>
                <w:lang w:val="es-ES" w:eastAsia="es-ES_tradnl"/>
              </w:rPr>
            </w:pPr>
            <w:r w:rsidRPr="002069C6">
              <w:rPr>
                <w:rFonts w:ascii="Verdana" w:eastAsia="Calibri" w:hAnsi="Verdana" w:cs="Arial"/>
                <w:b/>
                <w:color w:val="000000" w:themeColor="text1"/>
                <w:lang w:val="es-ES" w:eastAsia="es-ES_tradnl"/>
              </w:rPr>
              <w:t>Temas:</w:t>
            </w:r>
            <w:r w:rsidRPr="002069C6">
              <w:rPr>
                <w:rFonts w:ascii="Verdana" w:eastAsia="Calibri" w:hAnsi="Verdana" w:cs="Arial"/>
                <w:color w:val="000000" w:themeColor="text1"/>
                <w:lang w:val="es-ES" w:eastAsia="es-ES_tradnl"/>
              </w:rPr>
              <w:t xml:space="preserve">                   </w:t>
            </w:r>
          </w:p>
        </w:tc>
        <w:tc>
          <w:tcPr>
            <w:tcW w:w="6100" w:type="dxa"/>
          </w:tcPr>
          <w:p w14:paraId="04682859" w14:textId="77777777" w:rsidR="004A1CED" w:rsidRDefault="004A1CED" w:rsidP="00FC4C3B">
            <w:pPr>
              <w:spacing w:line="276" w:lineRule="auto"/>
              <w:jc w:val="both"/>
              <w:rPr>
                <w:rFonts w:ascii="Verdana" w:eastAsia="Calibri" w:hAnsi="Verdana" w:cs="Arial"/>
                <w:lang w:val="es-ES" w:eastAsia="es-ES"/>
              </w:rPr>
            </w:pPr>
            <w:r w:rsidRPr="00B016FD">
              <w:rPr>
                <w:rFonts w:ascii="Verdana" w:eastAsia="Calibri" w:hAnsi="Verdana" w:cs="Arial"/>
                <w:lang w:val="es-ES" w:eastAsia="es-ES"/>
              </w:rPr>
              <w:t>LISTA CLINTON – Carácter no vinculante</w:t>
            </w:r>
            <w:r w:rsidRPr="00B24DBE">
              <w:rPr>
                <w:rFonts w:ascii="Verdana" w:eastAsia="Calibri" w:hAnsi="Verdana" w:cs="Arial"/>
                <w:lang w:val="es-ES" w:eastAsia="es-ES"/>
              </w:rPr>
              <w:t xml:space="preserve"> </w:t>
            </w:r>
            <w:r>
              <w:rPr>
                <w:rFonts w:ascii="Verdana" w:eastAsia="Calibri" w:hAnsi="Verdana" w:cs="Arial"/>
                <w:lang w:val="es-ES" w:eastAsia="es-ES"/>
              </w:rPr>
              <w:t xml:space="preserve">/ </w:t>
            </w:r>
            <w:r w:rsidRPr="00B24DBE">
              <w:rPr>
                <w:rFonts w:ascii="Verdana" w:eastAsia="Calibri" w:hAnsi="Verdana" w:cs="Arial"/>
                <w:lang w:val="es-ES" w:eastAsia="es-ES"/>
              </w:rPr>
              <w:t>RÉGIMEN DE INHABILIDADES E INCOMPATIBILIDADES – Reserva legal</w:t>
            </w:r>
            <w:r>
              <w:rPr>
                <w:rFonts w:ascii="Verdana" w:eastAsia="Calibri" w:hAnsi="Verdana" w:cs="Arial"/>
                <w:lang w:val="es-ES" w:eastAsia="es-ES"/>
              </w:rPr>
              <w:t xml:space="preserve"> / </w:t>
            </w:r>
            <w:r w:rsidRPr="00B24DBE">
              <w:rPr>
                <w:rFonts w:ascii="Verdana" w:eastAsia="Calibri" w:hAnsi="Verdana" w:cs="Arial"/>
                <w:lang w:val="es-ES" w:eastAsia="es-ES"/>
              </w:rPr>
              <w:t>SARLAFT ‒ Marco jurídico – Definición</w:t>
            </w:r>
            <w:r>
              <w:rPr>
                <w:rFonts w:ascii="Verdana" w:eastAsia="Calibri" w:hAnsi="Verdana" w:cs="Arial"/>
                <w:lang w:val="es-ES" w:eastAsia="es-ES"/>
              </w:rPr>
              <w:t xml:space="preserve"> / </w:t>
            </w:r>
            <w:r w:rsidRPr="00B24DBE">
              <w:rPr>
                <w:rFonts w:ascii="Verdana" w:eastAsia="Calibri" w:hAnsi="Verdana" w:cs="Arial"/>
                <w:lang w:val="es-ES" w:eastAsia="es-ES"/>
              </w:rPr>
              <w:t>TERMINACIÓN UNILATERAL – Causales – Interpretación estricta</w:t>
            </w:r>
            <w:r>
              <w:rPr>
                <w:rFonts w:ascii="Verdana" w:eastAsia="Calibri" w:hAnsi="Verdana" w:cs="Arial"/>
                <w:lang w:val="es-ES" w:eastAsia="es-ES"/>
              </w:rPr>
              <w:t xml:space="preserve"> / </w:t>
            </w:r>
            <w:r w:rsidRPr="00B24DBE">
              <w:rPr>
                <w:rFonts w:ascii="Verdana" w:eastAsia="Calibri" w:hAnsi="Verdana" w:cs="Arial"/>
                <w:lang w:val="es-ES" w:eastAsia="es-ES"/>
              </w:rPr>
              <w:t>ACTOS DE CORRUPCIÓN – Medidas de mitigación</w:t>
            </w:r>
          </w:p>
          <w:p w14:paraId="2AE082F9" w14:textId="77777777" w:rsidR="004A1CED" w:rsidRPr="002069C6" w:rsidRDefault="004A1CED" w:rsidP="00FC4C3B">
            <w:pPr>
              <w:spacing w:line="276" w:lineRule="auto"/>
              <w:jc w:val="both"/>
              <w:rPr>
                <w:rFonts w:ascii="Verdana" w:eastAsia="Calibri" w:hAnsi="Verdana" w:cs="Arial"/>
                <w:color w:val="000000" w:themeColor="text1"/>
                <w:lang w:val="es-ES" w:eastAsia="es-ES"/>
              </w:rPr>
            </w:pPr>
          </w:p>
        </w:tc>
        <w:tc>
          <w:tcPr>
            <w:tcW w:w="4179" w:type="dxa"/>
          </w:tcPr>
          <w:p w14:paraId="020D5D7B" w14:textId="77777777" w:rsidR="004A1CED" w:rsidRPr="002069C6" w:rsidRDefault="004A1CED" w:rsidP="00FC4C3B">
            <w:pPr>
              <w:spacing w:line="276" w:lineRule="auto"/>
              <w:jc w:val="both"/>
              <w:rPr>
                <w:rFonts w:ascii="Verdana" w:eastAsia="Calibri" w:hAnsi="Verdana" w:cs="Arial"/>
                <w:b/>
                <w:bCs/>
                <w:color w:val="000000" w:themeColor="text1"/>
                <w:lang w:val="es-ES" w:eastAsia="es-ES"/>
              </w:rPr>
            </w:pPr>
          </w:p>
          <w:p w14:paraId="55C7F50D" w14:textId="77777777" w:rsidR="004A1CED" w:rsidRPr="002069C6" w:rsidRDefault="004A1CED" w:rsidP="00FC4C3B">
            <w:pPr>
              <w:rPr>
                <w:rFonts w:ascii="Verdana" w:hAnsi="Verdana"/>
                <w:lang w:val="es-ES"/>
              </w:rPr>
            </w:pPr>
          </w:p>
        </w:tc>
      </w:tr>
      <w:tr w:rsidR="004A1CED" w:rsidRPr="002069C6" w14:paraId="1328D351" w14:textId="77777777" w:rsidTr="00FC4C3B">
        <w:trPr>
          <w:gridAfter w:val="1"/>
          <w:wAfter w:w="4179" w:type="dxa"/>
        </w:trPr>
        <w:tc>
          <w:tcPr>
            <w:tcW w:w="2689" w:type="dxa"/>
          </w:tcPr>
          <w:p w14:paraId="654F25A2" w14:textId="77777777" w:rsidR="004A1CED" w:rsidRPr="002069C6" w:rsidRDefault="004A1CED" w:rsidP="00FC4C3B">
            <w:pPr>
              <w:jc w:val="both"/>
              <w:rPr>
                <w:rFonts w:ascii="Verdana" w:eastAsia="Calibri" w:hAnsi="Verdana" w:cs="Arial"/>
                <w:b/>
                <w:color w:val="000000" w:themeColor="text1"/>
                <w:lang w:val="es-ES" w:eastAsia="es-ES_tradnl"/>
              </w:rPr>
            </w:pPr>
            <w:r w:rsidRPr="002069C6">
              <w:rPr>
                <w:rFonts w:ascii="Verdana" w:eastAsia="Calibri" w:hAnsi="Verdana" w:cs="Arial"/>
                <w:b/>
                <w:color w:val="000000" w:themeColor="text1"/>
                <w:lang w:val="es-ES" w:eastAsia="es-ES_tradnl"/>
              </w:rPr>
              <w:t>Radicación:</w:t>
            </w:r>
            <w:r w:rsidRPr="002069C6">
              <w:rPr>
                <w:rFonts w:ascii="Verdana" w:eastAsia="Calibri" w:hAnsi="Verdana" w:cs="Arial"/>
                <w:color w:val="000000" w:themeColor="text1"/>
                <w:lang w:val="es-ES" w:eastAsia="es-ES_tradnl"/>
              </w:rPr>
              <w:t xml:space="preserve">               </w:t>
            </w:r>
          </w:p>
        </w:tc>
        <w:tc>
          <w:tcPr>
            <w:tcW w:w="6100" w:type="dxa"/>
          </w:tcPr>
          <w:p w14:paraId="2863AE77" w14:textId="77777777" w:rsidR="004A1CED" w:rsidRPr="002069C6" w:rsidRDefault="004A1CED" w:rsidP="00FC4C3B">
            <w:pPr>
              <w:jc w:val="both"/>
              <w:rPr>
                <w:rFonts w:ascii="Verdana" w:eastAsia="Calibri" w:hAnsi="Verdana" w:cs="Arial"/>
                <w:color w:val="000000" w:themeColor="text1"/>
                <w:lang w:val="es-ES" w:eastAsia="es-ES_tradnl"/>
              </w:rPr>
            </w:pPr>
            <w:r w:rsidRPr="002069C6">
              <w:rPr>
                <w:rFonts w:ascii="Verdana" w:eastAsia="Calibri" w:hAnsi="Verdana" w:cs="Arial"/>
                <w:color w:val="000000" w:themeColor="text1"/>
                <w:lang w:val="es-ES" w:eastAsia="es-ES_tradnl"/>
              </w:rPr>
              <w:t>Respuesta a consulta</w:t>
            </w:r>
            <w:r>
              <w:rPr>
                <w:rFonts w:ascii="Verdana" w:eastAsia="Calibri" w:hAnsi="Verdana" w:cs="Arial"/>
                <w:color w:val="000000" w:themeColor="text1"/>
                <w:lang w:val="es-ES" w:eastAsia="es-ES_tradnl"/>
              </w:rPr>
              <w:t>s</w:t>
            </w:r>
            <w:r w:rsidRPr="002069C6">
              <w:rPr>
                <w:rFonts w:ascii="Verdana" w:eastAsia="Calibri" w:hAnsi="Verdana" w:cs="Arial"/>
                <w:color w:val="000000" w:themeColor="text1"/>
                <w:lang w:val="es-ES" w:eastAsia="es-ES_tradnl"/>
              </w:rPr>
              <w:t xml:space="preserve"> con radicado</w:t>
            </w:r>
            <w:r>
              <w:rPr>
                <w:rFonts w:ascii="Verdana" w:eastAsia="Calibri" w:hAnsi="Verdana" w:cs="Arial"/>
                <w:color w:val="000000" w:themeColor="text1"/>
                <w:lang w:val="es-ES" w:eastAsia="es-ES_tradnl"/>
              </w:rPr>
              <w:t>s</w:t>
            </w:r>
            <w:r w:rsidRPr="002069C6">
              <w:rPr>
                <w:rFonts w:ascii="Verdana" w:eastAsia="Calibri" w:hAnsi="Verdana" w:cs="Arial"/>
                <w:color w:val="000000" w:themeColor="text1"/>
                <w:lang w:val="es-ES" w:eastAsia="es-ES_tradnl"/>
              </w:rPr>
              <w:t xml:space="preserve"> No. </w:t>
            </w:r>
            <w:r w:rsidRPr="001B047B">
              <w:rPr>
                <w:rFonts w:ascii="Verdana" w:eastAsia="Calibri" w:hAnsi="Verdana" w:cs="Arial"/>
                <w:color w:val="000000" w:themeColor="text1"/>
                <w:lang w:val="es-ES" w:eastAsia="es-ES_tradnl"/>
              </w:rPr>
              <w:t>1_2025_10_06_011101</w:t>
            </w:r>
          </w:p>
        </w:tc>
      </w:tr>
    </w:tbl>
    <w:p w14:paraId="203F73DD" w14:textId="77777777" w:rsidR="004A1CED" w:rsidRPr="002069C6" w:rsidRDefault="004A1CED" w:rsidP="004A1CED">
      <w:pPr>
        <w:spacing w:after="0" w:line="276" w:lineRule="auto"/>
        <w:jc w:val="both"/>
        <w:rPr>
          <w:rFonts w:ascii="Verdana" w:eastAsia="Calibri" w:hAnsi="Verdana" w:cs="Arial"/>
          <w:color w:val="000000" w:themeColor="text1"/>
          <w:lang w:val="es-ES" w:eastAsia="es-ES_tradnl"/>
        </w:rPr>
      </w:pPr>
    </w:p>
    <w:p w14:paraId="3D4CA9EC" w14:textId="77777777" w:rsidR="004A1CED" w:rsidRPr="002069C6" w:rsidRDefault="004A1CED" w:rsidP="004A1CED">
      <w:pPr>
        <w:spacing w:after="0" w:line="276" w:lineRule="auto"/>
        <w:jc w:val="both"/>
        <w:rPr>
          <w:rFonts w:ascii="Verdana" w:eastAsia="Calibri" w:hAnsi="Verdana" w:cs="Arial"/>
          <w:color w:val="000000" w:themeColor="text1"/>
          <w:lang w:val="es-ES" w:eastAsia="es-ES_tradnl"/>
        </w:rPr>
      </w:pPr>
    </w:p>
    <w:p w14:paraId="411F84E5" w14:textId="77777777" w:rsidR="004A1CED" w:rsidRPr="002069C6" w:rsidRDefault="004A1CED" w:rsidP="004A1CED">
      <w:pPr>
        <w:spacing w:after="0" w:line="276" w:lineRule="auto"/>
        <w:jc w:val="both"/>
        <w:rPr>
          <w:rFonts w:ascii="Verdana" w:eastAsia="Calibri" w:hAnsi="Verdana" w:cs="Arial"/>
          <w:color w:val="000000" w:themeColor="text1"/>
          <w:lang w:val="es-ES" w:eastAsia="es-ES"/>
        </w:rPr>
      </w:pPr>
      <w:r w:rsidRPr="002069C6">
        <w:rPr>
          <w:rFonts w:ascii="Verdana" w:eastAsia="Calibri" w:hAnsi="Verdana" w:cs="Arial"/>
          <w:color w:val="000000" w:themeColor="text1"/>
          <w:lang w:val="es-ES" w:eastAsia="es-ES"/>
        </w:rPr>
        <w:t>Estimado señ</w:t>
      </w:r>
      <w:r>
        <w:rPr>
          <w:rFonts w:ascii="Verdana" w:eastAsia="Calibri" w:hAnsi="Verdana" w:cs="Arial"/>
          <w:color w:val="000000" w:themeColor="text1"/>
          <w:lang w:val="es-ES" w:eastAsia="es-ES"/>
        </w:rPr>
        <w:t>or</w:t>
      </w:r>
      <w:r w:rsidRPr="002069C6">
        <w:rPr>
          <w:rFonts w:ascii="Verdana" w:eastAsia="Calibri" w:hAnsi="Verdana" w:cs="Arial"/>
          <w:color w:val="000000" w:themeColor="text1"/>
          <w:lang w:val="es-ES" w:eastAsia="es-ES"/>
        </w:rPr>
        <w:t xml:space="preserve"> </w:t>
      </w:r>
      <w:r>
        <w:rPr>
          <w:rFonts w:ascii="Verdana" w:eastAsia="Calibri" w:hAnsi="Verdana" w:cs="Arial"/>
          <w:color w:val="000000" w:themeColor="text1"/>
          <w:lang w:val="es-ES" w:eastAsia="es-ES"/>
        </w:rPr>
        <w:t>Henao</w:t>
      </w:r>
      <w:r w:rsidRPr="002069C6">
        <w:rPr>
          <w:rFonts w:ascii="Verdana" w:eastAsia="Calibri" w:hAnsi="Verdana" w:cs="Arial"/>
          <w:color w:val="000000" w:themeColor="text1"/>
          <w:lang w:val="es-ES" w:eastAsia="es-ES"/>
        </w:rPr>
        <w:t xml:space="preserve">: </w:t>
      </w:r>
    </w:p>
    <w:p w14:paraId="713A2DF0" w14:textId="77777777" w:rsidR="004A1CED" w:rsidRPr="002069C6" w:rsidRDefault="004A1CED" w:rsidP="004A1CED">
      <w:pPr>
        <w:tabs>
          <w:tab w:val="left" w:pos="3768"/>
        </w:tabs>
        <w:spacing w:after="0" w:line="276" w:lineRule="auto"/>
        <w:jc w:val="both"/>
        <w:rPr>
          <w:rFonts w:ascii="Verdana" w:eastAsia="Calibri" w:hAnsi="Verdana" w:cs="Arial"/>
          <w:color w:val="000000" w:themeColor="text1"/>
          <w:lang w:val="es-ES" w:eastAsia="es-ES"/>
        </w:rPr>
      </w:pPr>
      <w:r w:rsidRPr="002069C6">
        <w:rPr>
          <w:rFonts w:ascii="Verdana" w:eastAsia="Calibri" w:hAnsi="Verdana" w:cs="Arial"/>
          <w:color w:val="000000" w:themeColor="text1"/>
          <w:lang w:val="es-ES" w:eastAsia="es-ES"/>
        </w:rPr>
        <w:tab/>
      </w:r>
    </w:p>
    <w:p w14:paraId="60014DD7" w14:textId="77777777" w:rsidR="004A1CED" w:rsidRPr="002069C6" w:rsidRDefault="004A1CED" w:rsidP="004A1CED">
      <w:pPr>
        <w:spacing w:after="0" w:line="276" w:lineRule="auto"/>
        <w:jc w:val="both"/>
        <w:rPr>
          <w:rFonts w:ascii="Verdana" w:eastAsia="Calibri" w:hAnsi="Verdana" w:cs="Arial"/>
          <w:color w:val="000000" w:themeColor="text1"/>
          <w:lang w:val="es-ES" w:eastAsia="es-ES"/>
        </w:rPr>
      </w:pPr>
      <w:r w:rsidRPr="002069C6">
        <w:rPr>
          <w:rFonts w:ascii="Verdana" w:eastAsia="Calibri" w:hAnsi="Verdana" w:cs="Arial"/>
          <w:color w:val="000000" w:themeColor="text1"/>
          <w:lang w:val="es-ES" w:eastAsia="es-ES"/>
        </w:rPr>
        <w:t>En ejercicio de la competencia otorgada por los artículos 3, numeral 5º, y 11, numeral 8º, del Decreto Ley 4170 de 2011,</w:t>
      </w:r>
      <w:r w:rsidRPr="002069C6">
        <w:rPr>
          <w:rFonts w:ascii="Verdana" w:eastAsia="Arial MT" w:hAnsi="Verdana" w:cs="Arial MT"/>
          <w:color w:val="000000" w:themeColor="text1"/>
          <w:lang w:val="es-ES" w:eastAsia="es-ES"/>
        </w:rPr>
        <w:t xml:space="preserve"> </w:t>
      </w:r>
      <w:r w:rsidRPr="002069C6">
        <w:rPr>
          <w:rFonts w:ascii="Verdana" w:hAnsi="Verdana" w:cs="Arial"/>
          <w:color w:val="000000" w:themeColor="text1"/>
          <w:lang w:val="es-ES"/>
        </w:rPr>
        <w:t xml:space="preserve">así como lo establecido en el artículo 4 de la Resolución 1707 de 2018 expedida por esta Entidad, la Agencia Nacional de Contratación Pública – Colombia Compra Eficiente– responde su solicitud </w:t>
      </w:r>
      <w:r>
        <w:rPr>
          <w:rFonts w:ascii="Verdana" w:hAnsi="Verdana" w:cs="Arial"/>
          <w:color w:val="000000" w:themeColor="text1"/>
          <w:lang w:val="es-ES"/>
        </w:rPr>
        <w:t xml:space="preserve">de concepto del 06 </w:t>
      </w:r>
      <w:r w:rsidRPr="002069C6">
        <w:rPr>
          <w:rFonts w:ascii="Verdana" w:hAnsi="Verdana" w:cs="Arial"/>
          <w:color w:val="000000" w:themeColor="text1"/>
          <w:lang w:val="es-ES"/>
        </w:rPr>
        <w:t xml:space="preserve">de </w:t>
      </w:r>
      <w:r>
        <w:rPr>
          <w:rFonts w:ascii="Verdana" w:hAnsi="Verdana" w:cs="Arial"/>
          <w:color w:val="000000" w:themeColor="text1"/>
          <w:lang w:val="es-ES"/>
        </w:rPr>
        <w:t>octubre</w:t>
      </w:r>
      <w:r w:rsidRPr="002069C6">
        <w:rPr>
          <w:rFonts w:ascii="Verdana" w:hAnsi="Verdana" w:cs="Arial"/>
          <w:color w:val="000000" w:themeColor="text1"/>
          <w:lang w:val="es-ES"/>
        </w:rPr>
        <w:t xml:space="preserve"> de 2025, en la cual manifiesta lo siguiente:</w:t>
      </w:r>
      <w:r w:rsidRPr="002069C6">
        <w:rPr>
          <w:rFonts w:ascii="Verdana" w:eastAsia="Calibri" w:hAnsi="Verdana" w:cs="Arial"/>
          <w:color w:val="000000" w:themeColor="text1"/>
          <w:lang w:val="es-ES" w:eastAsia="es-ES"/>
        </w:rPr>
        <w:t xml:space="preserve"> </w:t>
      </w:r>
    </w:p>
    <w:p w14:paraId="2D142279" w14:textId="77777777" w:rsidR="004A1CED" w:rsidRPr="002069C6" w:rsidRDefault="004A1CED" w:rsidP="004A1CED">
      <w:pPr>
        <w:spacing w:after="0" w:line="276" w:lineRule="auto"/>
        <w:jc w:val="both"/>
        <w:rPr>
          <w:rFonts w:ascii="Verdana" w:eastAsia="Calibri" w:hAnsi="Verdana" w:cs="Arial"/>
          <w:color w:val="000000" w:themeColor="text1"/>
          <w:lang w:val="es-ES" w:eastAsia="es-ES"/>
        </w:rPr>
      </w:pPr>
    </w:p>
    <w:p w14:paraId="787B4EF9" w14:textId="77777777" w:rsidR="004A1CED" w:rsidRPr="001B047B" w:rsidRDefault="004A1CED" w:rsidP="004A1CED">
      <w:pPr>
        <w:spacing w:after="0"/>
        <w:ind w:left="720" w:right="709"/>
        <w:jc w:val="both"/>
        <w:rPr>
          <w:rFonts w:ascii="Verdana" w:eastAsia="Century Gothic" w:hAnsi="Verdana" w:cs="Century Gothic"/>
          <w:color w:val="000000" w:themeColor="text1"/>
          <w:sz w:val="20"/>
          <w:szCs w:val="20"/>
          <w:lang/>
        </w:rPr>
      </w:pPr>
      <w:r w:rsidRPr="002069C6">
        <w:rPr>
          <w:rFonts w:ascii="Verdana" w:eastAsia="Century Gothic" w:hAnsi="Verdana" w:cs="Century Gothic"/>
          <w:color w:val="000000" w:themeColor="text1"/>
          <w:sz w:val="20"/>
          <w:szCs w:val="20"/>
          <w:lang w:val="es-ES"/>
        </w:rPr>
        <w:t>“[…]</w:t>
      </w:r>
      <w:proofErr w:type="gramStart"/>
      <w:r>
        <w:rPr>
          <w:rFonts w:ascii="Verdana" w:eastAsia="Century Gothic" w:hAnsi="Verdana" w:cs="Century Gothic"/>
          <w:color w:val="000000" w:themeColor="text1"/>
          <w:sz w:val="20"/>
          <w:szCs w:val="20"/>
          <w:lang w:val="es-ES"/>
        </w:rPr>
        <w:t>1.</w:t>
      </w:r>
      <w:r w:rsidRPr="001B047B">
        <w:rPr>
          <w:rFonts w:ascii="Verdana" w:eastAsia="Century Gothic" w:hAnsi="Verdana" w:cs="Century Gothic"/>
          <w:color w:val="000000" w:themeColor="text1"/>
          <w:sz w:val="20"/>
          <w:szCs w:val="20"/>
          <w:lang/>
        </w:rPr>
        <w:t>¿</w:t>
      </w:r>
      <w:proofErr w:type="gramEnd"/>
      <w:r w:rsidRPr="001B047B">
        <w:rPr>
          <w:rFonts w:ascii="Verdana" w:eastAsia="Century Gothic" w:hAnsi="Verdana" w:cs="Century Gothic"/>
          <w:color w:val="000000" w:themeColor="text1"/>
          <w:sz w:val="20"/>
          <w:szCs w:val="20"/>
          <w:lang/>
        </w:rPr>
        <w:t xml:space="preserve">Cuál es el procedimiento que debe adelantar una entidad sometida a contratación estatal cuando, en el marco de un proceso de selección o durante la ejecución de un contrato, identifica que un oferente o contratista se encuentra reportado en una lista restrictiva internacional (ejemplo: OFAC / Lista Clinton), considerando que jurídicamente no lo puede excluir del proceso? </w:t>
      </w:r>
    </w:p>
    <w:p w14:paraId="2D91B08D" w14:textId="77777777" w:rsidR="004A1CED" w:rsidRPr="001B047B" w:rsidRDefault="004A1CED" w:rsidP="004A1CED">
      <w:pPr>
        <w:spacing w:after="0"/>
        <w:ind w:left="720" w:right="709"/>
        <w:jc w:val="both"/>
        <w:rPr>
          <w:rFonts w:ascii="Verdana" w:eastAsia="Century Gothic" w:hAnsi="Verdana" w:cs="Century Gothic"/>
          <w:color w:val="000000" w:themeColor="text1"/>
          <w:sz w:val="20"/>
          <w:szCs w:val="20"/>
          <w:lang/>
        </w:rPr>
      </w:pPr>
      <w:r>
        <w:rPr>
          <w:rFonts w:ascii="Verdana" w:eastAsia="Century Gothic" w:hAnsi="Verdana" w:cs="Century Gothic"/>
          <w:color w:val="000000" w:themeColor="text1"/>
          <w:sz w:val="20"/>
          <w:szCs w:val="20"/>
          <w:lang/>
        </w:rPr>
        <w:t xml:space="preserve">2. </w:t>
      </w:r>
      <w:r w:rsidRPr="001B047B">
        <w:rPr>
          <w:rFonts w:ascii="Verdana" w:eastAsia="Century Gothic" w:hAnsi="Verdana" w:cs="Century Gothic"/>
          <w:color w:val="000000" w:themeColor="text1"/>
          <w:sz w:val="20"/>
          <w:szCs w:val="20"/>
          <w:lang/>
        </w:rPr>
        <w:t xml:space="preserve">¿En tales casos, la entidad debe realizar únicamente el reporte de operación sospechosa a la UIAF y continuar con el trámite del proceso de </w:t>
      </w:r>
      <w:r w:rsidRPr="001B047B">
        <w:rPr>
          <w:rFonts w:ascii="Verdana" w:eastAsia="Century Gothic" w:hAnsi="Verdana" w:cs="Century Gothic"/>
          <w:color w:val="000000" w:themeColor="text1"/>
          <w:sz w:val="20"/>
          <w:szCs w:val="20"/>
          <w:lang/>
        </w:rPr>
        <w:lastRenderedPageBreak/>
        <w:t xml:space="preserve">selección y/o ejecución del contrato, o se requieren otras acciones adicionales? </w:t>
      </w:r>
    </w:p>
    <w:p w14:paraId="492EE212" w14:textId="77777777" w:rsidR="004A1CED" w:rsidRPr="001B047B" w:rsidRDefault="004A1CED" w:rsidP="004A1CED">
      <w:pPr>
        <w:spacing w:after="0"/>
        <w:ind w:left="720" w:right="709"/>
        <w:jc w:val="both"/>
        <w:rPr>
          <w:rFonts w:ascii="Verdana" w:eastAsia="Century Gothic" w:hAnsi="Verdana" w:cs="Century Gothic"/>
          <w:color w:val="000000" w:themeColor="text1"/>
          <w:sz w:val="20"/>
          <w:szCs w:val="20"/>
          <w:lang/>
        </w:rPr>
      </w:pPr>
      <w:r>
        <w:rPr>
          <w:rFonts w:ascii="Verdana" w:eastAsia="Century Gothic" w:hAnsi="Verdana" w:cs="Century Gothic"/>
          <w:color w:val="000000" w:themeColor="text1"/>
          <w:sz w:val="20"/>
          <w:szCs w:val="20"/>
          <w:lang/>
        </w:rPr>
        <w:t xml:space="preserve">3. </w:t>
      </w:r>
      <w:r w:rsidRPr="001B047B">
        <w:rPr>
          <w:rFonts w:ascii="Verdana" w:eastAsia="Century Gothic" w:hAnsi="Verdana" w:cs="Century Gothic"/>
          <w:color w:val="000000" w:themeColor="text1"/>
          <w:sz w:val="20"/>
          <w:szCs w:val="20"/>
          <w:lang/>
        </w:rPr>
        <w:t xml:space="preserve">¿Dada la vigilancia especial de la Superintendencia Financiera de Colombia sobre los Institutos de Fomento Territorial – Infi, y su obligación de implementar un Sistema de Administración del Riesgo de Lavado de Activos y Financiación del Terrorismo (SARLAFT), puede establecerse como causal de rechazo dentro del pliego de condiciones o como causal de terminación del contrato, el encontrase el oferente y/o contratista reportado en una lista restrictiva internacional? </w:t>
      </w:r>
    </w:p>
    <w:p w14:paraId="26A3A601" w14:textId="77777777" w:rsidR="004A1CED" w:rsidRPr="001B047B" w:rsidRDefault="004A1CED" w:rsidP="004A1CED">
      <w:pPr>
        <w:spacing w:after="0"/>
        <w:ind w:left="720" w:right="709"/>
        <w:jc w:val="both"/>
        <w:rPr>
          <w:rFonts w:ascii="Verdana" w:eastAsia="Century Gothic" w:hAnsi="Verdana" w:cs="Century Gothic"/>
          <w:color w:val="000000" w:themeColor="text1"/>
          <w:sz w:val="20"/>
          <w:szCs w:val="20"/>
          <w:lang/>
        </w:rPr>
      </w:pPr>
      <w:r>
        <w:rPr>
          <w:rFonts w:ascii="Verdana" w:eastAsia="Century Gothic" w:hAnsi="Verdana" w:cs="Century Gothic"/>
          <w:color w:val="000000" w:themeColor="text1"/>
          <w:sz w:val="20"/>
          <w:szCs w:val="20"/>
          <w:lang/>
        </w:rPr>
        <w:t xml:space="preserve">4. </w:t>
      </w:r>
      <w:r w:rsidRPr="001B047B">
        <w:rPr>
          <w:rFonts w:ascii="Verdana" w:eastAsia="Century Gothic" w:hAnsi="Verdana" w:cs="Century Gothic"/>
          <w:color w:val="000000" w:themeColor="text1"/>
          <w:sz w:val="20"/>
          <w:szCs w:val="20"/>
          <w:lang/>
        </w:rPr>
        <w:t>¿Qué lineamientos recomienda Colombia Compra Eficiente como órgano rector del Sistema de Compras Públicas para mitigar los riesgos de LA/FT que pueden surgir de la contratación con oferentes o contratistas en listas restrictivas, sin vulnerar el principio de legalidad en materia de inhabilidades e incompatibilidades?</w:t>
      </w:r>
      <w:r>
        <w:rPr>
          <w:rFonts w:ascii="Verdana" w:eastAsia="Century Gothic" w:hAnsi="Verdana" w:cs="Century Gothic"/>
          <w:color w:val="000000" w:themeColor="text1"/>
          <w:sz w:val="20"/>
          <w:szCs w:val="20"/>
        </w:rPr>
        <w:t>”</w:t>
      </w:r>
      <w:r w:rsidRPr="00897600">
        <w:rPr>
          <w:rFonts w:ascii="Verdana" w:eastAsia="Century Gothic" w:hAnsi="Verdana" w:cs="Century Gothic"/>
          <w:color w:val="000000" w:themeColor="text1"/>
          <w:sz w:val="20"/>
          <w:szCs w:val="20"/>
        </w:rPr>
        <w:t xml:space="preserve"> </w:t>
      </w:r>
    </w:p>
    <w:p w14:paraId="6F24498E" w14:textId="77777777" w:rsidR="004A1CED" w:rsidRPr="00265AA3" w:rsidRDefault="004A1CED" w:rsidP="004A1CED">
      <w:pPr>
        <w:spacing w:after="0"/>
        <w:ind w:left="709" w:right="709"/>
        <w:jc w:val="both"/>
        <w:rPr>
          <w:rFonts w:ascii="Verdana" w:eastAsia="Century Gothic" w:hAnsi="Verdana" w:cs="Century Gothic"/>
          <w:i/>
          <w:iCs/>
          <w:color w:val="000000" w:themeColor="text1"/>
          <w:sz w:val="20"/>
          <w:szCs w:val="20"/>
        </w:rPr>
      </w:pPr>
    </w:p>
    <w:p w14:paraId="5E26BA94" w14:textId="77777777" w:rsidR="004A1CED" w:rsidRPr="002069C6" w:rsidRDefault="004A1CED" w:rsidP="004A1CED">
      <w:pPr>
        <w:spacing w:after="0" w:line="276" w:lineRule="auto"/>
        <w:contextualSpacing/>
        <w:jc w:val="both"/>
        <w:rPr>
          <w:rFonts w:ascii="Verdana" w:eastAsia="Calibri" w:hAnsi="Verdana" w:cs="Arial"/>
          <w:color w:val="000000" w:themeColor="text1"/>
          <w:szCs w:val="24"/>
          <w:lang w:val="es-ES" w:eastAsia="es-ES_tradnl"/>
        </w:rPr>
      </w:pPr>
      <w:r>
        <w:rPr>
          <w:rFonts w:ascii="Verdana" w:eastAsia="Calibri" w:hAnsi="Verdana" w:cs="Arial"/>
          <w:color w:val="000000" w:themeColor="text1"/>
          <w:lang w:val="es-ES" w:eastAsia="es-ES"/>
        </w:rPr>
        <w:tab/>
      </w:r>
      <w:r w:rsidRPr="002069C6">
        <w:rPr>
          <w:rFonts w:ascii="Verdana" w:eastAsia="Calibri" w:hAnsi="Verdana" w:cs="Arial"/>
          <w:color w:val="000000" w:themeColor="text1"/>
          <w:lang w:val="es-ES" w:eastAsia="es-ES"/>
        </w:rPr>
        <w:t xml:space="preserve">De manera preliminar, resulta necesario acotar que esta entidad solo tiene competencia para responder consultas sobre la aplicación de normas de carácter general en materia de compras y contratación pública. En ese sentido, resolver casos particulares desborda las atribuciones asignadas por el legislador extraordinario, que no concibió a Colombia Compra Eficiente como una autoridad para solucionar problemas jurídicos particulares de todos los partícipes del sistema de compra pública. La competencia de esta entidad se fija con límites claros, con el objeto de evitar que la Agencia actúe como una instancia de validación de las actuaciones de las entidades sujetas a la Ley 80 de 1993 o de los demás participantes de la contratación pública. Esta competencia de interpretación de normas generales, por definición, no puede extenderse a la resolución de controversias, ni a brindar asesorías sobre casos puntuales. </w:t>
      </w:r>
      <w:r w:rsidRPr="002069C6">
        <w:rPr>
          <w:rFonts w:ascii="Verdana" w:eastAsia="Calibri" w:hAnsi="Verdana" w:cs="Arial"/>
          <w:color w:val="000000" w:themeColor="text1"/>
          <w:szCs w:val="24"/>
          <w:lang w:val="es-ES" w:eastAsia="es-ES_tradnl"/>
        </w:rPr>
        <w:tab/>
      </w:r>
    </w:p>
    <w:p w14:paraId="0ED0B27C" w14:textId="77777777" w:rsidR="004A1CED" w:rsidRPr="002069C6" w:rsidRDefault="004A1CED" w:rsidP="004A1CED">
      <w:pPr>
        <w:spacing w:before="120" w:after="120" w:line="276" w:lineRule="auto"/>
        <w:ind w:firstLine="709"/>
        <w:jc w:val="both"/>
        <w:rPr>
          <w:rFonts w:ascii="Verdana" w:eastAsia="Calibri" w:hAnsi="Verdana" w:cs="Arial"/>
          <w:color w:val="000000" w:themeColor="text1"/>
          <w:lang w:val="es-ES" w:eastAsia="es-ES"/>
        </w:rPr>
      </w:pPr>
      <w:r w:rsidRPr="002069C6">
        <w:rPr>
          <w:rFonts w:ascii="Verdana" w:eastAsia="Calibri" w:hAnsi="Verdana" w:cs="Arial"/>
          <w:color w:val="000000" w:themeColor="text1"/>
          <w:lang w:val="es-ES" w:eastAsia="es-ES"/>
        </w:rPr>
        <w:t xml:space="preserve">Conforme lo expuesto, en aras de satisfacer el derecho fundamental de petición se resolverá su consulta dentro de los límites de la referida competencia consultiva, esto es, haciendo abstracción de las circunstancias particulares y concretas mencionadas en su petición, pero haciendo unas consideraciones sobre las normas generales relacionadas con </w:t>
      </w:r>
      <w:r>
        <w:rPr>
          <w:rFonts w:ascii="Verdana" w:eastAsia="Calibri" w:hAnsi="Verdana" w:cs="Arial"/>
          <w:color w:val="000000" w:themeColor="text1"/>
          <w:lang w:val="es-ES" w:eastAsia="es-ES"/>
        </w:rPr>
        <w:t xml:space="preserve">el </w:t>
      </w:r>
      <w:r w:rsidRPr="002069C6">
        <w:rPr>
          <w:rFonts w:ascii="Verdana" w:eastAsia="Calibri" w:hAnsi="Verdana" w:cs="Arial"/>
          <w:color w:val="000000" w:themeColor="text1"/>
          <w:lang w:val="es-ES" w:eastAsia="es-ES"/>
        </w:rPr>
        <w:t xml:space="preserve">problema jurídico de su consulta. </w:t>
      </w:r>
    </w:p>
    <w:p w14:paraId="775BF60B" w14:textId="77777777" w:rsidR="004A1CED" w:rsidRPr="002069C6" w:rsidRDefault="004A1CED" w:rsidP="004A1CED">
      <w:pPr>
        <w:spacing w:after="0" w:line="276" w:lineRule="auto"/>
        <w:jc w:val="both"/>
        <w:rPr>
          <w:rFonts w:ascii="Verdana" w:eastAsia="Calibri" w:hAnsi="Verdana" w:cs="Arial"/>
          <w:color w:val="000000" w:themeColor="text1"/>
          <w:lang w:val="es-ES" w:eastAsia="es-ES"/>
        </w:rPr>
      </w:pPr>
    </w:p>
    <w:p w14:paraId="1DFAEA47" w14:textId="77777777" w:rsidR="004A1CED" w:rsidRPr="002069C6" w:rsidRDefault="004A1CED" w:rsidP="004A1CED">
      <w:pPr>
        <w:pStyle w:val="Prrafodelista"/>
        <w:numPr>
          <w:ilvl w:val="0"/>
          <w:numId w:val="16"/>
        </w:numPr>
        <w:tabs>
          <w:tab w:val="left" w:pos="142"/>
          <w:tab w:val="left" w:pos="284"/>
        </w:tabs>
        <w:spacing w:after="0" w:line="276" w:lineRule="auto"/>
        <w:ind w:left="0" w:firstLine="0"/>
        <w:jc w:val="both"/>
        <w:rPr>
          <w:rFonts w:ascii="Verdana" w:eastAsia="Century Gothic" w:hAnsi="Verdana" w:cs="Century Gothic"/>
          <w:b/>
          <w:bCs/>
          <w:color w:val="000000" w:themeColor="text1"/>
        </w:rPr>
      </w:pPr>
      <w:r w:rsidRPr="002069C6">
        <w:rPr>
          <w:rFonts w:ascii="Verdana" w:eastAsia="Century Gothic" w:hAnsi="Verdana" w:cs="Century Gothic"/>
          <w:b/>
          <w:bCs/>
          <w:color w:val="000000" w:themeColor="text1"/>
        </w:rPr>
        <w:t>Problema planteado:</w:t>
      </w:r>
    </w:p>
    <w:p w14:paraId="3DFA5705" w14:textId="77777777" w:rsidR="004A1CED" w:rsidRPr="002069C6" w:rsidRDefault="004A1CED" w:rsidP="004A1CED">
      <w:pPr>
        <w:tabs>
          <w:tab w:val="left" w:pos="426"/>
        </w:tabs>
        <w:spacing w:after="0" w:line="276" w:lineRule="auto"/>
        <w:jc w:val="both"/>
        <w:rPr>
          <w:rFonts w:ascii="Verdana" w:eastAsia="Century Gothic" w:hAnsi="Verdana" w:cs="Century Gothic"/>
          <w:color w:val="000000" w:themeColor="text1"/>
          <w:lang w:val="es-ES"/>
        </w:rPr>
      </w:pPr>
    </w:p>
    <w:p w14:paraId="47E9419E" w14:textId="77777777" w:rsidR="004A1CED" w:rsidRPr="002069C6" w:rsidRDefault="004A1CED" w:rsidP="004A1CED">
      <w:pPr>
        <w:spacing w:after="0" w:line="276" w:lineRule="auto"/>
        <w:jc w:val="both"/>
        <w:rPr>
          <w:rFonts w:ascii="Verdana" w:eastAsia="Century Gothic" w:hAnsi="Verdana" w:cs="Century Gothic"/>
          <w:color w:val="000000" w:themeColor="text1"/>
          <w:lang w:val="es-ES"/>
        </w:rPr>
      </w:pPr>
      <w:r w:rsidRPr="002069C6">
        <w:rPr>
          <w:rFonts w:ascii="Verdana" w:eastAsia="Century Gothic" w:hAnsi="Verdana" w:cs="Century Gothic"/>
          <w:color w:val="000000" w:themeColor="text1"/>
          <w:lang w:val="es-ES"/>
        </w:rPr>
        <w:t xml:space="preserve">De acuerdo con el contenido de su solicitud, esta Agencia resolverá </w:t>
      </w:r>
      <w:r>
        <w:rPr>
          <w:rFonts w:ascii="Verdana" w:eastAsia="Century Gothic" w:hAnsi="Verdana" w:cs="Century Gothic"/>
          <w:color w:val="000000" w:themeColor="text1"/>
          <w:lang w:val="es-ES"/>
        </w:rPr>
        <w:t>el</w:t>
      </w:r>
      <w:r w:rsidRPr="002069C6">
        <w:rPr>
          <w:rFonts w:ascii="Verdana" w:eastAsia="Century Gothic" w:hAnsi="Verdana" w:cs="Century Gothic"/>
          <w:color w:val="000000" w:themeColor="text1"/>
          <w:lang w:val="es-ES"/>
        </w:rPr>
        <w:t xml:space="preserve"> siguiente problema jurídico: </w:t>
      </w:r>
      <w:r>
        <w:rPr>
          <w:rFonts w:ascii="Verdana" w:eastAsia="Century Gothic" w:hAnsi="Verdana" w:cs="Century Gothic"/>
        </w:rPr>
        <w:t xml:space="preserve">¿cuáles son las implicaciones de la lucha contra el lavado de </w:t>
      </w:r>
      <w:r>
        <w:rPr>
          <w:rFonts w:ascii="Verdana" w:eastAsia="Century Gothic" w:hAnsi="Verdana" w:cs="Century Gothic"/>
        </w:rPr>
        <w:lastRenderedPageBreak/>
        <w:t xml:space="preserve">activos y financiación del terrorismo en el sistema de compras y contratación públicas?  </w:t>
      </w:r>
      <w:r w:rsidRPr="00593A5F">
        <w:rPr>
          <w:rFonts w:ascii="Verdana" w:eastAsia="Century Gothic" w:hAnsi="Verdana" w:cs="Century Gothic"/>
        </w:rPr>
        <w:t xml:space="preserve"> </w:t>
      </w:r>
    </w:p>
    <w:p w14:paraId="5A872C54" w14:textId="77777777" w:rsidR="004A1CED" w:rsidRPr="002069C6" w:rsidRDefault="004A1CED" w:rsidP="004A1CED">
      <w:pPr>
        <w:spacing w:after="0" w:line="276" w:lineRule="auto"/>
        <w:jc w:val="both"/>
        <w:rPr>
          <w:rFonts w:ascii="Verdana" w:eastAsia="Calibri" w:hAnsi="Verdana" w:cs="Arial"/>
          <w:color w:val="000000" w:themeColor="text1"/>
          <w:lang w:val="es-ES"/>
        </w:rPr>
      </w:pPr>
    </w:p>
    <w:p w14:paraId="0EBC7BDE" w14:textId="77777777" w:rsidR="004A1CED" w:rsidRPr="002069C6" w:rsidRDefault="004A1CED" w:rsidP="004A1CED">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color w:val="000000" w:themeColor="text1"/>
        </w:rPr>
      </w:pPr>
      <w:r w:rsidRPr="002069C6">
        <w:rPr>
          <w:rFonts w:ascii="Verdana" w:eastAsia="Century Gothic" w:hAnsi="Verdana" w:cs="Century Gothic"/>
          <w:b/>
          <w:bCs/>
          <w:color w:val="000000" w:themeColor="text1"/>
        </w:rPr>
        <w:t>Respuesta:</w:t>
      </w:r>
    </w:p>
    <w:p w14:paraId="6FE8B5F5" w14:textId="77777777" w:rsidR="004A1CED" w:rsidRPr="002069C6" w:rsidRDefault="004A1CED" w:rsidP="004A1CED">
      <w:pPr>
        <w:tabs>
          <w:tab w:val="left" w:pos="142"/>
          <w:tab w:val="left" w:pos="284"/>
        </w:tabs>
        <w:spacing w:after="0" w:line="276" w:lineRule="auto"/>
        <w:jc w:val="both"/>
        <w:rPr>
          <w:rFonts w:ascii="Verdana" w:eastAsia="Century Gothic" w:hAnsi="Verdana" w:cs="Century Gothic"/>
          <w:b/>
          <w:bCs/>
          <w:color w:val="000000" w:themeColor="text1"/>
          <w:lang w:val="es-ES"/>
        </w:rPr>
      </w:pPr>
    </w:p>
    <w:tbl>
      <w:tblPr>
        <w:tblStyle w:val="Tablaconcuadrcula"/>
        <w:tblW w:w="0" w:type="auto"/>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4A0" w:firstRow="1" w:lastRow="0" w:firstColumn="1" w:lastColumn="0" w:noHBand="0" w:noVBand="1"/>
      </w:tblPr>
      <w:tblGrid>
        <w:gridCol w:w="8828"/>
      </w:tblGrid>
      <w:tr w:rsidR="004A1CED" w:rsidRPr="002069C6" w14:paraId="0951ED1C" w14:textId="77777777" w:rsidTr="00FC4C3B">
        <w:tc>
          <w:tcPr>
            <w:tcW w:w="8828" w:type="dxa"/>
          </w:tcPr>
          <w:p w14:paraId="4D996EB1" w14:textId="77777777" w:rsidR="004A1CED" w:rsidRDefault="004A1CED" w:rsidP="00FC4C3B">
            <w:pPr>
              <w:spacing w:before="120" w:after="120" w:line="276" w:lineRule="auto"/>
              <w:jc w:val="both"/>
              <w:rPr>
                <w:rFonts w:ascii="Verdana" w:eastAsia="Calibri" w:hAnsi="Verdana" w:cs="Arial"/>
                <w:color w:val="000000" w:themeColor="text1"/>
                <w:lang w:val="es-ES_tradnl"/>
              </w:rPr>
            </w:pPr>
            <w:r>
              <w:rPr>
                <w:rFonts w:ascii="Verdana" w:eastAsia="Times New Roman" w:hAnsi="Verdana" w:cs="Arial"/>
                <w:color w:val="000000"/>
                <w:lang w:val="es-ES_tradnl" w:eastAsia="es-ES_tradnl"/>
              </w:rPr>
              <w:t>Conforme a la interpretación general de las normas del sistema de compras y contratación pública, l</w:t>
            </w:r>
            <w:r w:rsidRPr="00926BEA">
              <w:rPr>
                <w:rFonts w:ascii="Verdana" w:eastAsia="Calibri" w:hAnsi="Verdana" w:cs="Arial"/>
                <w:color w:val="000000" w:themeColor="text1"/>
              </w:rPr>
              <w:t xml:space="preserve">a debida diligencia o verificación en listas vinculantes, restrictivas y no restrictivas es una acción fundamental al interior de todos los sistemas de gestión del riesgo de lavado de activos y financiación del terrorismo, pues se configura en la etapa de conocimiento del proveedor, así como en la vinculación del extremo contractual, satisfaciendo </w:t>
            </w:r>
            <w:r w:rsidRPr="00926BEA">
              <w:rPr>
                <w:rFonts w:ascii="Verdana" w:eastAsia="Calibri" w:hAnsi="Verdana" w:cs="Arial"/>
                <w:color w:val="000000" w:themeColor="text1"/>
                <w:lang w:val="es-ES_tradnl"/>
              </w:rPr>
              <w:t>la necesidad de salvaguardar el interés general inherente en la contratación pública, de forma que implique el menor sacrificio posible al derecho de igualdad y al reconocimiento de la personalidad jurídica de quienes aspiran a contratar con el Estado.</w:t>
            </w:r>
            <w:r>
              <w:rPr>
                <w:rFonts w:ascii="Verdana" w:eastAsia="Calibri" w:hAnsi="Verdana" w:cs="Arial"/>
                <w:color w:val="000000" w:themeColor="text1"/>
                <w:lang w:val="es-ES_tradnl"/>
              </w:rPr>
              <w:t xml:space="preserve"> Sin embargo, </w:t>
            </w:r>
            <w:r>
              <w:rPr>
                <w:rFonts w:ascii="Verdana" w:eastAsia="Times New Roman" w:hAnsi="Verdana" w:cs="Arial"/>
                <w:color w:val="000000"/>
                <w:lang w:val="es-ES_tradnl" w:eastAsia="es-ES_tradnl"/>
              </w:rPr>
              <w:t xml:space="preserve">la Lista Clinton es un acto de un gobierno extranjero y, por ende, carece de efectos vinculantes para Colombia. Por ello, </w:t>
            </w:r>
            <w:r>
              <w:rPr>
                <w:rFonts w:ascii="Verdana" w:eastAsia="Calibri" w:hAnsi="Verdana" w:cs="Arial"/>
                <w:color w:val="000000" w:themeColor="text1"/>
                <w:lang w:val="es-ES_tradnl"/>
              </w:rPr>
              <w:t xml:space="preserve">la Agencia ha sostenido que la inclusión en esta lista no genera inhabilidad o incompatibilidad para contratar con el Estado, ni puede dar lugar a la terminación unilateral del contrato. </w:t>
            </w:r>
          </w:p>
          <w:p w14:paraId="12384B5A" w14:textId="77777777" w:rsidR="004A1CED" w:rsidRDefault="004A1CED" w:rsidP="00FC4C3B">
            <w:pPr>
              <w:spacing w:after="120" w:line="276" w:lineRule="auto"/>
              <w:ind w:firstLine="708"/>
              <w:jc w:val="both"/>
              <w:rPr>
                <w:rFonts w:ascii="Verdana" w:hAnsi="Verdana" w:cs="Arial"/>
                <w:color w:val="000000" w:themeColor="text1"/>
              </w:rPr>
            </w:pPr>
            <w:r>
              <w:rPr>
                <w:rFonts w:ascii="Verdana" w:eastAsia="Calibri" w:hAnsi="Verdana" w:cs="Arial"/>
                <w:color w:val="000000" w:themeColor="text1"/>
                <w:lang w:val="es-ES_tradnl"/>
              </w:rPr>
              <w:t>E</w:t>
            </w:r>
            <w:r w:rsidRPr="00926BEA">
              <w:rPr>
                <w:rFonts w:ascii="Verdana" w:hAnsi="Verdana"/>
              </w:rPr>
              <w:t>l carácter reconocidamente taxativo y restrictivo</w:t>
            </w:r>
            <w:r>
              <w:rPr>
                <w:rFonts w:ascii="Verdana" w:hAnsi="Verdana"/>
              </w:rPr>
              <w:t xml:space="preserve"> supone que las entidades </w:t>
            </w:r>
            <w:r w:rsidRPr="00926BEA">
              <w:rPr>
                <w:rFonts w:ascii="Verdana" w:hAnsi="Verdana"/>
              </w:rPr>
              <w:t>no pueden establecer en el pliego de condiciones causales de inhabilidad o incompatibilidad no previstas en la Constitución o en la ley</w:t>
            </w:r>
            <w:r>
              <w:rPr>
                <w:rFonts w:ascii="Verdana" w:hAnsi="Verdana"/>
              </w:rPr>
              <w:t xml:space="preserve">, </w:t>
            </w:r>
            <w:r w:rsidRPr="00926BEA">
              <w:rPr>
                <w:rFonts w:ascii="Verdana" w:hAnsi="Verdana"/>
              </w:rPr>
              <w:t xml:space="preserve">ni siquiera haciéndolas pasar como causa para rechazar los ofrecimientos realizados. </w:t>
            </w:r>
            <w:r>
              <w:rPr>
                <w:rFonts w:ascii="Verdana" w:hAnsi="Verdana"/>
              </w:rPr>
              <w:t xml:space="preserve">De forma similar, </w:t>
            </w:r>
            <w:r w:rsidRPr="00EE7518">
              <w:rPr>
                <w:rFonts w:ascii="Verdana" w:hAnsi="Verdana" w:cs="Arial"/>
                <w:color w:val="000000" w:themeColor="text1"/>
              </w:rPr>
              <w:t xml:space="preserve">dado que la terminación unilateral tiene regulación especial en los artículos 17 y 45 del EGCAP, </w:t>
            </w:r>
            <w:r>
              <w:rPr>
                <w:rFonts w:ascii="Verdana" w:hAnsi="Verdana" w:cs="Arial"/>
                <w:color w:val="000000" w:themeColor="text1"/>
              </w:rPr>
              <w:t>estas</w:t>
            </w:r>
            <w:r w:rsidRPr="00EE7518">
              <w:rPr>
                <w:rFonts w:ascii="Verdana" w:hAnsi="Verdana" w:cs="Arial"/>
                <w:color w:val="000000" w:themeColor="text1"/>
              </w:rPr>
              <w:t xml:space="preserve"> causales aplicables son de interpretación restrictiva</w:t>
            </w:r>
            <w:r>
              <w:rPr>
                <w:rFonts w:ascii="Verdana" w:hAnsi="Verdana" w:cs="Arial"/>
                <w:color w:val="000000" w:themeColor="text1"/>
              </w:rPr>
              <w:t>. Ya que n</w:t>
            </w:r>
            <w:r w:rsidRPr="00EE7518">
              <w:rPr>
                <w:rFonts w:ascii="Verdana" w:hAnsi="Verdana" w:cs="Arial"/>
                <w:color w:val="000000" w:themeColor="text1"/>
              </w:rPr>
              <w:t xml:space="preserve">inguna de las causales de terminación unilateral </w:t>
            </w:r>
            <w:r>
              <w:rPr>
                <w:rFonts w:ascii="Verdana" w:hAnsi="Verdana" w:cs="Arial"/>
                <w:color w:val="000000" w:themeColor="text1"/>
              </w:rPr>
              <w:t xml:space="preserve">establecidas en la Ley 80 de 1993 </w:t>
            </w:r>
            <w:r w:rsidRPr="00EE7518">
              <w:rPr>
                <w:rFonts w:ascii="Verdana" w:hAnsi="Verdana" w:cs="Arial"/>
                <w:color w:val="000000" w:themeColor="text1"/>
              </w:rPr>
              <w:t>se relaciona con los controles derivados del SARLAFT</w:t>
            </w:r>
            <w:r>
              <w:rPr>
                <w:rFonts w:ascii="Verdana" w:hAnsi="Verdana" w:cs="Arial"/>
                <w:color w:val="000000" w:themeColor="text1"/>
              </w:rPr>
              <w:t xml:space="preserve"> o la inclusión en la Lista Clinton</w:t>
            </w:r>
            <w:r w:rsidRPr="00EE7518">
              <w:rPr>
                <w:rFonts w:ascii="Verdana" w:hAnsi="Verdana" w:cs="Arial"/>
                <w:color w:val="000000" w:themeColor="text1"/>
              </w:rPr>
              <w:t>, el ejercicio de la autonomía de la voluntad no permite</w:t>
            </w:r>
            <w:r>
              <w:rPr>
                <w:rFonts w:ascii="Verdana" w:hAnsi="Verdana" w:cs="Arial"/>
                <w:color w:val="000000" w:themeColor="text1"/>
              </w:rPr>
              <w:t xml:space="preserve"> a las entidades adicionar causales que den lugar a la terminación unilateral en estos supuestos.</w:t>
            </w:r>
          </w:p>
          <w:p w14:paraId="14AF8760" w14:textId="77777777" w:rsidR="004A1CED" w:rsidRPr="00064714" w:rsidRDefault="004A1CED" w:rsidP="00FC4C3B">
            <w:pPr>
              <w:spacing w:after="120" w:line="276" w:lineRule="auto"/>
              <w:ind w:firstLine="708"/>
              <w:jc w:val="both"/>
              <w:rPr>
                <w:rFonts w:ascii="Verdana" w:hAnsi="Verdana" w:cs="Arial"/>
                <w:color w:val="000000" w:themeColor="text1"/>
              </w:rPr>
            </w:pPr>
            <w:r>
              <w:rPr>
                <w:rFonts w:ascii="Verdana" w:hAnsi="Verdana" w:cs="Arial"/>
                <w:color w:val="000000" w:themeColor="text1"/>
              </w:rPr>
              <w:t xml:space="preserve">Sin embargo, </w:t>
            </w:r>
            <w:r w:rsidRPr="00926BEA">
              <w:rPr>
                <w:rFonts w:ascii="Verdana" w:eastAsia="Calibri" w:hAnsi="Verdana" w:cs="Arial"/>
                <w:color w:val="000000" w:themeColor="text1"/>
              </w:rPr>
              <w:t>para prevenir el riesgo de corrupción y de delitos derivados de la celebración de contratos estatales</w:t>
            </w:r>
            <w:r>
              <w:rPr>
                <w:rFonts w:ascii="Verdana" w:eastAsia="Calibri" w:hAnsi="Verdana" w:cs="Arial"/>
                <w:color w:val="000000" w:themeColor="text1"/>
              </w:rPr>
              <w:t xml:space="preserve">, es recomendable que las entidades adopten las medidas y condiciones </w:t>
            </w:r>
            <w:r>
              <w:rPr>
                <w:rFonts w:ascii="Verdana" w:eastAsia="Calibri" w:hAnsi="Verdana" w:cs="Arial"/>
                <w:lang w:val="es-ES"/>
              </w:rPr>
              <w:t>referidas</w:t>
            </w:r>
            <w:r w:rsidRPr="00FC74A2">
              <w:rPr>
                <w:rFonts w:ascii="Verdana" w:eastAsia="Calibri" w:hAnsi="Verdana" w:cs="Arial"/>
                <w:lang w:val="es-ES"/>
              </w:rPr>
              <w:t xml:space="preserve"> por la Sala de Consulta y Servicio Civil</w:t>
            </w:r>
            <w:r>
              <w:rPr>
                <w:rFonts w:ascii="Verdana" w:eastAsia="Calibri" w:hAnsi="Verdana" w:cs="Arial"/>
                <w:lang w:val="es-ES"/>
              </w:rPr>
              <w:t xml:space="preserve"> en el </w:t>
            </w:r>
            <w:r w:rsidRPr="00F24E53">
              <w:rPr>
                <w:rFonts w:ascii="Verdana" w:eastAsia="Calibri" w:hAnsi="Verdana" w:cs="Arial"/>
                <w:lang w:val="es-ES"/>
              </w:rPr>
              <w:t>Concepto del 27 de agosto de 2015</w:t>
            </w:r>
            <w:r>
              <w:rPr>
                <w:rFonts w:ascii="Verdana" w:eastAsia="Calibri" w:hAnsi="Verdana" w:cs="Arial"/>
                <w:lang w:val="es-ES"/>
              </w:rPr>
              <w:t xml:space="preserve">. Respecto al riesgo de corrupción, sumado a las medidas previstas en el artículo 9 del EGCAP y de </w:t>
            </w:r>
            <w:r>
              <w:rPr>
                <w:rFonts w:ascii="Verdana" w:eastAsia="Calibri" w:hAnsi="Verdana" w:cs="Arial"/>
                <w:lang w:val="es-ES"/>
              </w:rPr>
              <w:lastRenderedPageBreak/>
              <w:t xml:space="preserve">la Ley 1150 de 2007, </w:t>
            </w:r>
            <w:r w:rsidRPr="00F24E53">
              <w:rPr>
                <w:rFonts w:ascii="Verdana" w:eastAsia="Calibri" w:hAnsi="Verdana" w:cs="Arial"/>
                <w:lang w:val="es-ES"/>
              </w:rPr>
              <w:t xml:space="preserve">siempre que se configure el supuesto de la inhabilidad del literal j) del artículo 8.1 de la Ley 80 de 1993, podrá aplicarse la causal de terminación unilateral del artículo 44.1 </w:t>
            </w:r>
            <w:r w:rsidRPr="00F24E53">
              <w:rPr>
                <w:rFonts w:ascii="Verdana" w:eastAsia="Calibri" w:hAnsi="Verdana" w:cs="Arial"/>
                <w:i/>
                <w:iCs/>
                <w:lang w:val="es-ES"/>
              </w:rPr>
              <w:t>ibidem</w:t>
            </w:r>
            <w:r w:rsidRPr="00F24E53">
              <w:rPr>
                <w:rFonts w:ascii="Verdana" w:eastAsia="Calibri" w:hAnsi="Verdana" w:cs="Arial"/>
                <w:lang w:val="es-ES"/>
              </w:rPr>
              <w:t>.</w:t>
            </w:r>
          </w:p>
          <w:p w14:paraId="2CE932E3" w14:textId="77777777" w:rsidR="004A1CED" w:rsidRPr="00F21B0C" w:rsidRDefault="004A1CED" w:rsidP="00FC4C3B">
            <w:pPr>
              <w:widowControl w:val="0"/>
              <w:autoSpaceDE w:val="0"/>
              <w:autoSpaceDN w:val="0"/>
              <w:spacing w:before="120" w:after="120" w:line="276" w:lineRule="auto"/>
              <w:ind w:firstLine="708"/>
              <w:jc w:val="both"/>
              <w:rPr>
                <w:rFonts w:ascii="Verdana" w:eastAsia="Arial" w:hAnsi="Verdana" w:cs="Arial"/>
                <w:color w:val="000000"/>
                <w:lang w:val="es-ES"/>
              </w:rPr>
            </w:pPr>
            <w:r w:rsidRPr="001941FD">
              <w:rPr>
                <w:rStyle w:val="s15"/>
                <w:rFonts w:ascii="Verdana" w:hAnsi="Verdana"/>
                <w:color w:val="000000"/>
              </w:rPr>
              <w:t>Al margen de la explicación precedente debe advertirse que el análisis requerido para resolver problemas específicos en torno a la gestión contractual de las entidades públicas debe ser realizado por quienes tengan interés en ello, de acuerdo con lo explicado la aclaración preliminar del presente oficio.</w:t>
            </w:r>
            <w:r w:rsidRPr="001941FD">
              <w:rPr>
                <w:rStyle w:val="apple-converted-space"/>
                <w:rFonts w:ascii="Verdana" w:hAnsi="Verdana"/>
                <w:color w:val="000000"/>
              </w:rPr>
              <w:t> </w:t>
            </w:r>
            <w:r w:rsidRPr="001941FD">
              <w:rPr>
                <w:rStyle w:val="s15"/>
                <w:rFonts w:ascii="Verdana" w:hAnsi="Verdana"/>
                <w:color w:val="000000"/>
              </w:rPr>
              <w:t>Por lo anterior, previo</w:t>
            </w:r>
            <w:r w:rsidRPr="001941FD">
              <w:rPr>
                <w:rStyle w:val="apple-converted-space"/>
                <w:rFonts w:ascii="Verdana" w:hAnsi="Verdana"/>
                <w:color w:val="000000"/>
              </w:rPr>
              <w:t> </w:t>
            </w:r>
            <w:r w:rsidRPr="001941FD">
              <w:rPr>
                <w:rStyle w:val="s15"/>
                <w:rFonts w:ascii="Verdana" w:hAnsi="Verdana"/>
                <w:color w:val="000000"/>
              </w:rPr>
              <w:t>concepto de sus asesores, la solución de situaciones particulares corresponde a los interesados adoptar la decisión correspondiente y, en caso de conflicto, a las autoridades judiciales, fiscales y disciplinarias. Así, cada entidad definirá la forma de adelantar su gestión contractual, sin que sea atribución de Colombia Compra Eficiente validar sus actuaciones.</w:t>
            </w:r>
          </w:p>
        </w:tc>
      </w:tr>
    </w:tbl>
    <w:p w14:paraId="2701F8F4" w14:textId="77777777" w:rsidR="004A1CED" w:rsidRPr="002069C6" w:rsidRDefault="004A1CED" w:rsidP="004A1CED">
      <w:pPr>
        <w:tabs>
          <w:tab w:val="left" w:pos="142"/>
          <w:tab w:val="left" w:pos="284"/>
        </w:tabs>
        <w:spacing w:after="0" w:line="276" w:lineRule="auto"/>
        <w:jc w:val="both"/>
        <w:rPr>
          <w:rFonts w:ascii="Verdana" w:eastAsia="Century Gothic" w:hAnsi="Verdana" w:cs="Century Gothic"/>
          <w:b/>
          <w:bCs/>
          <w:color w:val="000000" w:themeColor="text1"/>
          <w:lang w:val="es-ES"/>
        </w:rPr>
      </w:pPr>
    </w:p>
    <w:p w14:paraId="11B881CF" w14:textId="77777777" w:rsidR="004A1CED" w:rsidRPr="002069C6" w:rsidRDefault="004A1CED" w:rsidP="004A1CED">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color w:val="000000" w:themeColor="text1"/>
        </w:rPr>
      </w:pPr>
      <w:r w:rsidRPr="002069C6">
        <w:rPr>
          <w:rFonts w:ascii="Verdana" w:eastAsia="Century Gothic" w:hAnsi="Verdana" w:cs="Century Gothic"/>
          <w:b/>
          <w:bCs/>
          <w:color w:val="000000" w:themeColor="text1"/>
        </w:rPr>
        <w:t>Razones de la respuesta:</w:t>
      </w:r>
    </w:p>
    <w:p w14:paraId="6E589B84" w14:textId="77777777" w:rsidR="004A1CED" w:rsidRPr="002069C6" w:rsidRDefault="004A1CED" w:rsidP="004A1CED">
      <w:pPr>
        <w:spacing w:after="0" w:line="276" w:lineRule="auto"/>
        <w:jc w:val="both"/>
        <w:rPr>
          <w:rFonts w:ascii="Verdana" w:eastAsia="Calibri" w:hAnsi="Verdana" w:cs="Arial"/>
          <w:color w:val="000000" w:themeColor="text1"/>
          <w:lang w:val="es-ES"/>
        </w:rPr>
      </w:pPr>
    </w:p>
    <w:p w14:paraId="5853156E" w14:textId="77777777" w:rsidR="004A1CED" w:rsidRPr="002069C6" w:rsidRDefault="004A1CED" w:rsidP="004A1CED">
      <w:pPr>
        <w:spacing w:after="0" w:line="276" w:lineRule="auto"/>
        <w:jc w:val="both"/>
        <w:rPr>
          <w:rFonts w:ascii="Verdana" w:eastAsia="Calibri" w:hAnsi="Verdana" w:cs="Arial"/>
          <w:color w:val="000000" w:themeColor="text1"/>
          <w:lang w:val="es-ES"/>
        </w:rPr>
      </w:pPr>
      <w:r w:rsidRPr="002069C6">
        <w:rPr>
          <w:rFonts w:ascii="Verdana" w:eastAsia="Calibri" w:hAnsi="Verdana" w:cs="Arial"/>
          <w:color w:val="000000" w:themeColor="text1"/>
          <w:lang w:val="es-ES"/>
        </w:rPr>
        <w:t xml:space="preserve">Lo anterior se sustenta en las siguientes consideraciones: </w:t>
      </w:r>
    </w:p>
    <w:p w14:paraId="066A0E2E" w14:textId="77777777" w:rsidR="004A1CED" w:rsidRPr="002069C6" w:rsidRDefault="004A1CED" w:rsidP="004A1CED">
      <w:pPr>
        <w:spacing w:after="0" w:line="276" w:lineRule="auto"/>
        <w:jc w:val="both"/>
        <w:rPr>
          <w:rFonts w:ascii="Verdana" w:eastAsia="Calibri" w:hAnsi="Verdana" w:cs="Arial"/>
          <w:lang w:val="es-ES"/>
        </w:rPr>
      </w:pPr>
    </w:p>
    <w:p w14:paraId="2DAEBFCC" w14:textId="5E56A020" w:rsidR="004A1CED" w:rsidRPr="00DF34D8" w:rsidRDefault="004A1CED" w:rsidP="004A1CED">
      <w:pPr>
        <w:spacing w:line="276" w:lineRule="auto"/>
        <w:jc w:val="both"/>
        <w:rPr>
          <w:rFonts w:ascii="Verdana" w:eastAsia="Calibri" w:hAnsi="Verdana" w:cs="Arial"/>
          <w:color w:val="000000" w:themeColor="text1"/>
          <w:lang w:val="es-ES"/>
        </w:rPr>
      </w:pPr>
      <w:r w:rsidRPr="00C62742">
        <w:rPr>
          <w:rFonts w:ascii="Verdana" w:eastAsia="Calibri" w:hAnsi="Verdana" w:cs="Arial"/>
          <w:lang w:val="es-ES"/>
        </w:rPr>
        <w:t>i)</w:t>
      </w:r>
      <w:r w:rsidRPr="000C1847">
        <w:rPr>
          <w:rFonts w:ascii="Verdana" w:eastAsia="Calibri" w:hAnsi="Verdana" w:cs="Arial"/>
          <w:color w:val="000000" w:themeColor="text1"/>
          <w:lang w:val="es-ES"/>
        </w:rPr>
        <w:t xml:space="preserve"> </w:t>
      </w:r>
      <w:r w:rsidRPr="47D9E0E2">
        <w:rPr>
          <w:rFonts w:ascii="Verdana" w:eastAsia="Calibri" w:hAnsi="Verdana" w:cs="Arial"/>
          <w:color w:val="000000" w:themeColor="text1"/>
          <w:lang w:val="es-ES"/>
        </w:rPr>
        <w:t>La Lista Clinton</w:t>
      </w:r>
      <w:r>
        <w:rPr>
          <w:rFonts w:ascii="Verdana" w:eastAsia="Calibri" w:hAnsi="Verdana" w:cs="Arial"/>
          <w:color w:val="000000" w:themeColor="text1"/>
          <w:lang w:val="es-ES"/>
        </w:rPr>
        <w:t xml:space="preserve"> fue</w:t>
      </w:r>
      <w:r w:rsidRPr="47D9E0E2">
        <w:rPr>
          <w:rFonts w:ascii="Verdana" w:eastAsia="Calibri" w:hAnsi="Verdana" w:cs="Arial"/>
          <w:color w:val="000000" w:themeColor="text1"/>
          <w:lang w:val="es-ES"/>
        </w:rPr>
        <w:t xml:space="preserve"> creada a través de la Orden Ejecutiva 12.978 del 21 de octubre de 1995</w:t>
      </w:r>
      <w:r w:rsidR="0014203C">
        <w:rPr>
          <w:rFonts w:ascii="Verdana" w:eastAsia="Calibri" w:hAnsi="Verdana" w:cs="Arial"/>
          <w:color w:val="000000" w:themeColor="text1"/>
          <w:lang w:val="es-ES"/>
        </w:rPr>
        <w:t>.</w:t>
      </w:r>
      <w:r>
        <w:rPr>
          <w:rFonts w:ascii="Verdana" w:eastAsia="Calibri" w:hAnsi="Verdana" w:cs="Arial"/>
          <w:color w:val="000000" w:themeColor="text1"/>
          <w:lang w:val="es-ES"/>
        </w:rPr>
        <w:t xml:space="preserve"> Su </w:t>
      </w:r>
      <w:r w:rsidRPr="47D9E0E2">
        <w:rPr>
          <w:rFonts w:ascii="Verdana" w:eastAsia="Calibri" w:hAnsi="Verdana" w:cs="Arial"/>
          <w:color w:val="000000" w:themeColor="text1"/>
          <w:lang w:val="es-ES"/>
        </w:rPr>
        <w:t xml:space="preserve">objetivo </w:t>
      </w:r>
      <w:r>
        <w:rPr>
          <w:rFonts w:ascii="Verdana" w:eastAsia="Calibri" w:hAnsi="Verdana" w:cs="Arial"/>
          <w:color w:val="000000" w:themeColor="text1"/>
          <w:lang w:val="es-ES"/>
        </w:rPr>
        <w:t xml:space="preserve">es </w:t>
      </w:r>
      <w:r w:rsidRPr="47D9E0E2">
        <w:rPr>
          <w:rFonts w:ascii="Verdana" w:eastAsia="Calibri" w:hAnsi="Verdana" w:cs="Arial"/>
          <w:color w:val="000000" w:themeColor="text1"/>
          <w:lang w:val="es-ES"/>
        </w:rPr>
        <w:t xml:space="preserve">obstaculizar las actividades de empresas </w:t>
      </w:r>
      <w:r>
        <w:rPr>
          <w:rFonts w:ascii="Verdana" w:eastAsia="Calibri" w:hAnsi="Verdana" w:cs="Arial"/>
          <w:color w:val="000000" w:themeColor="text1"/>
          <w:lang w:val="es-ES"/>
        </w:rPr>
        <w:t>en las que</w:t>
      </w:r>
      <w:r w:rsidRPr="47D9E0E2">
        <w:rPr>
          <w:rFonts w:ascii="Verdana" w:eastAsia="Calibri" w:hAnsi="Verdana" w:cs="Arial"/>
          <w:color w:val="000000" w:themeColor="text1"/>
          <w:lang w:val="es-ES"/>
        </w:rPr>
        <w:t xml:space="preserve"> </w:t>
      </w:r>
      <w:r>
        <w:rPr>
          <w:rFonts w:ascii="Verdana" w:eastAsia="Calibri" w:hAnsi="Verdana" w:cs="Arial"/>
          <w:color w:val="000000" w:themeColor="text1"/>
          <w:lang w:val="es-ES"/>
        </w:rPr>
        <w:t xml:space="preserve">el narcotráfico </w:t>
      </w:r>
      <w:r w:rsidRPr="47D9E0E2">
        <w:rPr>
          <w:rFonts w:ascii="Verdana" w:eastAsia="Calibri" w:hAnsi="Verdana" w:cs="Arial"/>
          <w:color w:val="000000" w:themeColor="text1"/>
          <w:lang w:val="es-ES"/>
        </w:rPr>
        <w:t xml:space="preserve">tengan algún interés económico. Es elaborada por la Oficina de Control de Bienes Extranjeros –Office </w:t>
      </w:r>
      <w:proofErr w:type="spellStart"/>
      <w:r w:rsidRPr="47D9E0E2">
        <w:rPr>
          <w:rFonts w:ascii="Verdana" w:eastAsia="Calibri" w:hAnsi="Verdana" w:cs="Arial"/>
          <w:color w:val="000000" w:themeColor="text1"/>
          <w:lang w:val="es-ES"/>
        </w:rPr>
        <w:t>of</w:t>
      </w:r>
      <w:proofErr w:type="spellEnd"/>
      <w:r w:rsidRPr="47D9E0E2">
        <w:rPr>
          <w:rFonts w:ascii="Verdana" w:eastAsia="Calibri" w:hAnsi="Verdana" w:cs="Arial"/>
          <w:color w:val="000000" w:themeColor="text1"/>
          <w:lang w:val="es-ES"/>
        </w:rPr>
        <w:t xml:space="preserve"> </w:t>
      </w:r>
      <w:proofErr w:type="spellStart"/>
      <w:r w:rsidRPr="47D9E0E2">
        <w:rPr>
          <w:rFonts w:ascii="Verdana" w:eastAsia="Calibri" w:hAnsi="Verdana" w:cs="Arial"/>
          <w:color w:val="000000" w:themeColor="text1"/>
          <w:lang w:val="es-ES"/>
        </w:rPr>
        <w:t>Foreign</w:t>
      </w:r>
      <w:proofErr w:type="spellEnd"/>
      <w:r w:rsidRPr="47D9E0E2">
        <w:rPr>
          <w:rFonts w:ascii="Verdana" w:eastAsia="Calibri" w:hAnsi="Verdana" w:cs="Arial"/>
          <w:color w:val="000000" w:themeColor="text1"/>
          <w:lang w:val="es-ES"/>
        </w:rPr>
        <w:t xml:space="preserve"> </w:t>
      </w:r>
      <w:proofErr w:type="spellStart"/>
      <w:r w:rsidRPr="47D9E0E2">
        <w:rPr>
          <w:rFonts w:ascii="Verdana" w:eastAsia="Calibri" w:hAnsi="Verdana" w:cs="Arial"/>
          <w:color w:val="000000" w:themeColor="text1"/>
          <w:lang w:val="es-ES"/>
        </w:rPr>
        <w:t>Assets</w:t>
      </w:r>
      <w:proofErr w:type="spellEnd"/>
      <w:r w:rsidRPr="47D9E0E2">
        <w:rPr>
          <w:rFonts w:ascii="Verdana" w:eastAsia="Calibri" w:hAnsi="Verdana" w:cs="Arial"/>
          <w:color w:val="000000" w:themeColor="text1"/>
          <w:lang w:val="es-ES"/>
        </w:rPr>
        <w:t xml:space="preserve"> Control (OFAC)– del Departamento del Tesoro de los Estados Unidos, y hace parte de las medidas tomadas por </w:t>
      </w:r>
      <w:r>
        <w:rPr>
          <w:rFonts w:ascii="Verdana" w:eastAsia="Calibri" w:hAnsi="Verdana" w:cs="Arial"/>
          <w:color w:val="000000" w:themeColor="text1"/>
          <w:lang w:val="es-ES"/>
        </w:rPr>
        <w:t xml:space="preserve">este país </w:t>
      </w:r>
      <w:r w:rsidRPr="47D9E0E2">
        <w:rPr>
          <w:rFonts w:ascii="Verdana" w:eastAsia="Calibri" w:hAnsi="Verdana" w:cs="Arial"/>
          <w:color w:val="000000" w:themeColor="text1"/>
          <w:lang w:val="es-ES"/>
        </w:rPr>
        <w:t xml:space="preserve">en la guerra contra los carteles de la droga y el lavado de activos. </w:t>
      </w:r>
      <w:r>
        <w:rPr>
          <w:rFonts w:ascii="Verdana" w:eastAsia="Calibri" w:hAnsi="Verdana" w:cs="Arial"/>
          <w:color w:val="000000" w:themeColor="text1"/>
          <w:lang w:val="es-ES"/>
        </w:rPr>
        <w:t xml:space="preserve">En efecto, </w:t>
      </w:r>
      <w:r w:rsidRPr="47D9E0E2">
        <w:rPr>
          <w:rFonts w:ascii="Verdana" w:eastAsia="Calibri" w:hAnsi="Verdana" w:cs="Arial"/>
          <w:color w:val="000000" w:themeColor="text1"/>
          <w:lang w:val="es-ES"/>
        </w:rPr>
        <w:t xml:space="preserve">quien se encuentre dentro de la Lista </w:t>
      </w:r>
      <w:r>
        <w:rPr>
          <w:rFonts w:ascii="Verdana" w:eastAsia="Calibri" w:hAnsi="Verdana" w:cs="Arial"/>
          <w:color w:val="000000" w:themeColor="text1"/>
          <w:lang w:val="es-ES"/>
        </w:rPr>
        <w:t xml:space="preserve">se encuentra vetado de </w:t>
      </w:r>
      <w:r w:rsidRPr="47D9E0E2">
        <w:rPr>
          <w:rFonts w:ascii="Verdana" w:eastAsia="Calibri" w:hAnsi="Verdana" w:cs="Arial"/>
          <w:color w:val="000000" w:themeColor="text1"/>
          <w:lang w:val="es-ES"/>
        </w:rPr>
        <w:t xml:space="preserve">tener relaciones comerciales con </w:t>
      </w:r>
      <w:r>
        <w:rPr>
          <w:rFonts w:ascii="Verdana" w:eastAsia="Calibri" w:hAnsi="Verdana" w:cs="Arial"/>
          <w:color w:val="000000" w:themeColor="text1"/>
          <w:lang w:val="es-ES"/>
        </w:rPr>
        <w:t xml:space="preserve">cualquier </w:t>
      </w:r>
      <w:r w:rsidRPr="47D9E0E2">
        <w:rPr>
          <w:rFonts w:ascii="Verdana" w:eastAsia="Calibri" w:hAnsi="Verdana" w:cs="Arial"/>
          <w:color w:val="000000" w:themeColor="text1"/>
          <w:lang w:val="es-ES"/>
        </w:rPr>
        <w:t xml:space="preserve">empresa de ese país. </w:t>
      </w:r>
    </w:p>
    <w:p w14:paraId="2400BAB8" w14:textId="77777777" w:rsidR="004A1CED" w:rsidRDefault="004A1CED" w:rsidP="004A1CED">
      <w:pPr>
        <w:spacing w:before="120" w:after="0" w:line="276" w:lineRule="auto"/>
        <w:ind w:firstLine="708"/>
        <w:jc w:val="both"/>
        <w:rPr>
          <w:rFonts w:ascii="Verdana" w:eastAsia="Calibri" w:hAnsi="Verdana" w:cs="Arial"/>
          <w:color w:val="000000" w:themeColor="text1"/>
          <w:lang w:val="es-ES"/>
        </w:rPr>
      </w:pPr>
      <w:r w:rsidRPr="47D9E0E2">
        <w:rPr>
          <w:rFonts w:ascii="Verdana" w:eastAsia="Calibri" w:hAnsi="Verdana" w:cs="Arial"/>
          <w:color w:val="000000" w:themeColor="text1"/>
          <w:lang w:val="es-ES"/>
        </w:rPr>
        <w:t xml:space="preserve">De hecho, pese a que las personas colombianas </w:t>
      </w:r>
      <w:r>
        <w:rPr>
          <w:rFonts w:ascii="Verdana" w:eastAsia="Calibri" w:hAnsi="Verdana" w:cs="Arial"/>
          <w:color w:val="000000" w:themeColor="text1"/>
          <w:lang w:val="es-ES"/>
        </w:rPr>
        <w:t xml:space="preserve">incluidas en la lista </w:t>
      </w:r>
      <w:r w:rsidRPr="47D9E0E2">
        <w:rPr>
          <w:rFonts w:ascii="Verdana" w:eastAsia="Calibri" w:hAnsi="Verdana" w:cs="Arial"/>
          <w:color w:val="000000" w:themeColor="text1"/>
          <w:lang w:val="es-ES"/>
        </w:rPr>
        <w:t xml:space="preserve">no incurren en </w:t>
      </w:r>
      <w:r>
        <w:rPr>
          <w:rFonts w:ascii="Verdana" w:eastAsia="Calibri" w:hAnsi="Verdana" w:cs="Arial"/>
          <w:color w:val="000000" w:themeColor="text1"/>
          <w:lang w:val="es-ES"/>
        </w:rPr>
        <w:t xml:space="preserve">un </w:t>
      </w:r>
      <w:r w:rsidRPr="47D9E0E2">
        <w:rPr>
          <w:rFonts w:ascii="Verdana" w:eastAsia="Calibri" w:hAnsi="Verdana" w:cs="Arial"/>
          <w:color w:val="000000" w:themeColor="text1"/>
          <w:lang w:val="es-ES"/>
        </w:rPr>
        <w:t>delito dentro del territorio</w:t>
      </w:r>
      <w:r>
        <w:rPr>
          <w:rFonts w:ascii="Verdana" w:eastAsia="Calibri" w:hAnsi="Verdana" w:cs="Arial"/>
          <w:color w:val="000000" w:themeColor="text1"/>
          <w:lang w:val="es-ES"/>
        </w:rPr>
        <w:t xml:space="preserve"> nacional</w:t>
      </w:r>
      <w:r w:rsidRPr="47D9E0E2">
        <w:rPr>
          <w:rFonts w:ascii="Verdana" w:eastAsia="Calibri" w:hAnsi="Verdana" w:cs="Arial"/>
          <w:color w:val="000000" w:themeColor="text1"/>
          <w:lang w:val="es-ES"/>
        </w:rPr>
        <w:t xml:space="preserve">, </w:t>
      </w:r>
      <w:r>
        <w:rPr>
          <w:rFonts w:ascii="Verdana" w:eastAsia="Calibri" w:hAnsi="Verdana" w:cs="Arial"/>
          <w:color w:val="000000" w:themeColor="text1"/>
          <w:lang w:val="es-ES"/>
        </w:rPr>
        <w:t xml:space="preserve">tendrán vetada </w:t>
      </w:r>
      <w:r w:rsidRPr="47D9E0E2">
        <w:rPr>
          <w:rFonts w:ascii="Verdana" w:eastAsia="Calibri" w:hAnsi="Verdana" w:cs="Arial"/>
          <w:color w:val="000000" w:themeColor="text1"/>
          <w:lang w:val="es-ES"/>
        </w:rPr>
        <w:t>toda transacción y relación con el sistema financiero</w:t>
      </w:r>
      <w:r>
        <w:rPr>
          <w:rFonts w:ascii="Verdana" w:eastAsia="Calibri" w:hAnsi="Verdana" w:cs="Arial"/>
          <w:color w:val="000000" w:themeColor="text1"/>
          <w:lang w:val="es-ES"/>
        </w:rPr>
        <w:t xml:space="preserve">. Esto es congruente con lo dispuesto en </w:t>
      </w:r>
      <w:r w:rsidRPr="47D9E0E2">
        <w:rPr>
          <w:rFonts w:ascii="Verdana" w:eastAsia="Calibri" w:hAnsi="Verdana" w:cs="Arial"/>
          <w:color w:val="000000" w:themeColor="text1"/>
          <w:lang w:val="es-ES"/>
        </w:rPr>
        <w:t>el artículo 102 del Decreto Ley 663 de 1993, modificado por la Ley 1121 de 2006</w:t>
      </w:r>
      <w:r>
        <w:rPr>
          <w:rFonts w:ascii="Verdana" w:eastAsia="Calibri" w:hAnsi="Verdana" w:cs="Arial"/>
          <w:color w:val="000000" w:themeColor="text1"/>
          <w:lang w:val="es-ES"/>
        </w:rPr>
        <w:t>, según el cual:</w:t>
      </w:r>
      <w:r w:rsidRPr="47D9E0E2">
        <w:rPr>
          <w:rFonts w:ascii="Verdana" w:eastAsia="Calibri" w:hAnsi="Verdana" w:cs="Arial"/>
          <w:color w:val="000000" w:themeColor="text1"/>
          <w:lang w:val="es-ES"/>
        </w:rPr>
        <w:t xml:space="preserve"> </w:t>
      </w:r>
    </w:p>
    <w:p w14:paraId="4B07F4DE" w14:textId="77777777" w:rsidR="004A1CED" w:rsidRDefault="004A1CED" w:rsidP="004A1CED">
      <w:pPr>
        <w:spacing w:before="120" w:after="0" w:line="240" w:lineRule="auto"/>
        <w:ind w:left="709" w:right="709"/>
        <w:jc w:val="both"/>
        <w:rPr>
          <w:rFonts w:ascii="Verdana" w:eastAsia="Calibri" w:hAnsi="Verdana" w:cs="Arial"/>
          <w:color w:val="000000" w:themeColor="text1"/>
          <w:sz w:val="21"/>
          <w:szCs w:val="21"/>
          <w:lang w:val="es-ES"/>
        </w:rPr>
      </w:pPr>
      <w:r w:rsidRPr="00FD2160">
        <w:rPr>
          <w:rFonts w:ascii="Verdana" w:eastAsia="Calibri" w:hAnsi="Verdana" w:cs="Arial"/>
          <w:color w:val="000000" w:themeColor="text1"/>
          <w:sz w:val="21"/>
          <w:szCs w:val="21"/>
          <w:lang w:val="es-ES"/>
        </w:rPr>
        <w:t xml:space="preserve">“Las instituciones sometidas al control y vigilancia de la Superintendencia Financiera, o quien haga sus veces, estarán obligadas a adoptar medidas de control apropiadas y suficientes, orientadas a evitar que en la realización de sus operaciones puedan </w:t>
      </w:r>
      <w:r w:rsidRPr="00FD2160">
        <w:rPr>
          <w:rFonts w:ascii="Verdana" w:eastAsia="Calibri" w:hAnsi="Verdana" w:cs="Arial"/>
          <w:color w:val="000000" w:themeColor="text1"/>
          <w:sz w:val="21"/>
          <w:szCs w:val="21"/>
          <w:lang w:val="es-ES"/>
        </w:rPr>
        <w:lastRenderedPageBreak/>
        <w:t xml:space="preserve">ser utilizadas como instrumento para el ocultamiento, manejo, inversión o aprovechamiento en cualquier forma de dinero u otros bienes provenientes de actividades delictivas o destinados a su financiación, o para dar apariencia de legalidad a las actividades delictivas o a las transacciones y fondos vinculados con las mismas”. </w:t>
      </w:r>
    </w:p>
    <w:p w14:paraId="0B49C231" w14:textId="77777777" w:rsidR="004A1CED" w:rsidRPr="00FD2160" w:rsidRDefault="004A1CED" w:rsidP="004A1CED">
      <w:pPr>
        <w:spacing w:after="0" w:line="240" w:lineRule="auto"/>
        <w:ind w:left="709" w:right="709"/>
        <w:jc w:val="both"/>
        <w:rPr>
          <w:rFonts w:ascii="Verdana" w:eastAsia="Calibri" w:hAnsi="Verdana" w:cs="Arial"/>
          <w:color w:val="000000" w:themeColor="text1"/>
          <w:sz w:val="21"/>
          <w:szCs w:val="21"/>
          <w:lang w:val="es-ES"/>
        </w:rPr>
      </w:pPr>
    </w:p>
    <w:p w14:paraId="27AB879A" w14:textId="77777777" w:rsidR="004A1CED" w:rsidRPr="00DF34D8" w:rsidRDefault="004A1CED" w:rsidP="004A1CED">
      <w:pPr>
        <w:spacing w:after="0" w:line="276" w:lineRule="auto"/>
        <w:ind w:firstLine="708"/>
        <w:jc w:val="both"/>
        <w:rPr>
          <w:rFonts w:ascii="Verdana" w:eastAsia="Calibri" w:hAnsi="Verdana" w:cs="Arial"/>
          <w:color w:val="000000" w:themeColor="text1"/>
          <w:lang w:val="es-ES"/>
        </w:rPr>
      </w:pPr>
      <w:r>
        <w:rPr>
          <w:rFonts w:ascii="Verdana" w:eastAsia="Calibri" w:hAnsi="Verdana" w:cs="Arial"/>
          <w:color w:val="000000" w:themeColor="text1"/>
          <w:lang w:val="es-ES"/>
        </w:rPr>
        <w:t xml:space="preserve">Sobre la aplicación de la orden ejecutiva emitida por los </w:t>
      </w:r>
      <w:proofErr w:type="gramStart"/>
      <w:r>
        <w:rPr>
          <w:rFonts w:ascii="Verdana" w:eastAsia="Calibri" w:hAnsi="Verdana" w:cs="Arial"/>
          <w:color w:val="000000" w:themeColor="text1"/>
          <w:lang w:val="es-ES"/>
        </w:rPr>
        <w:t>EE.UU</w:t>
      </w:r>
      <w:proofErr w:type="gramEnd"/>
      <w:r>
        <w:rPr>
          <w:rFonts w:ascii="Verdana" w:eastAsia="Calibri" w:hAnsi="Verdana" w:cs="Arial"/>
          <w:color w:val="000000" w:themeColor="text1"/>
          <w:lang w:val="es-ES"/>
        </w:rPr>
        <w:t xml:space="preserve"> que da lugar a la creación de la Lista Clinton, la Corte Constitucional </w:t>
      </w:r>
      <w:r w:rsidRPr="47D9E0E2">
        <w:rPr>
          <w:rFonts w:ascii="Verdana" w:eastAsia="Calibri" w:hAnsi="Verdana" w:cs="Arial"/>
          <w:color w:val="000000" w:themeColor="text1"/>
          <w:lang w:val="es-ES"/>
        </w:rPr>
        <w:t>ha sostenido que:</w:t>
      </w:r>
    </w:p>
    <w:p w14:paraId="7A7DE274" w14:textId="77777777" w:rsidR="004A1CED" w:rsidRPr="00DF34D8" w:rsidRDefault="004A1CED" w:rsidP="004A1CED">
      <w:pPr>
        <w:spacing w:after="0" w:line="276" w:lineRule="auto"/>
        <w:ind w:firstLine="708"/>
        <w:jc w:val="both"/>
        <w:rPr>
          <w:rFonts w:ascii="Verdana" w:eastAsia="Calibri" w:hAnsi="Verdana" w:cs="Arial"/>
          <w:color w:val="000000" w:themeColor="text1"/>
          <w:lang w:val="es-ES_tradnl"/>
        </w:rPr>
      </w:pPr>
    </w:p>
    <w:p w14:paraId="4A656F3B" w14:textId="77777777" w:rsidR="004A1CED" w:rsidRPr="00DF34D8" w:rsidRDefault="004A1CED" w:rsidP="004A1CED">
      <w:pPr>
        <w:spacing w:line="240" w:lineRule="auto"/>
        <w:ind w:left="709" w:right="709"/>
        <w:jc w:val="both"/>
        <w:rPr>
          <w:rFonts w:ascii="Verdana" w:eastAsia="Calibri" w:hAnsi="Verdana" w:cs="Arial"/>
          <w:color w:val="000000" w:themeColor="text1"/>
          <w:sz w:val="21"/>
          <w:szCs w:val="21"/>
          <w:lang w:val="es-ES"/>
        </w:rPr>
      </w:pPr>
      <w:r w:rsidRPr="47D9E0E2">
        <w:rPr>
          <w:rFonts w:ascii="Verdana" w:eastAsia="Calibri" w:hAnsi="Verdana" w:cs="Arial"/>
          <w:color w:val="000000" w:themeColor="text1"/>
          <w:sz w:val="21"/>
          <w:szCs w:val="21"/>
          <w:lang w:val="es-ES"/>
        </w:rPr>
        <w:t xml:space="preserve">“[…] la Orden Ejecutiva No. 12.978, no constituye una decisión judicial o administrativa propia de alguna autoridad del orden </w:t>
      </w:r>
      <w:proofErr w:type="gramStart"/>
      <w:r w:rsidRPr="47D9E0E2">
        <w:rPr>
          <w:rFonts w:ascii="Verdana" w:eastAsia="Calibri" w:hAnsi="Verdana" w:cs="Arial"/>
          <w:color w:val="000000" w:themeColor="text1"/>
          <w:sz w:val="21"/>
          <w:szCs w:val="21"/>
          <w:lang w:val="es-ES"/>
        </w:rPr>
        <w:t>nacional</w:t>
      </w:r>
      <w:proofErr w:type="gramEnd"/>
      <w:r w:rsidRPr="47D9E0E2">
        <w:rPr>
          <w:rFonts w:ascii="Verdana" w:eastAsia="Calibri" w:hAnsi="Verdana" w:cs="Arial"/>
          <w:color w:val="000000" w:themeColor="text1"/>
          <w:sz w:val="21"/>
          <w:szCs w:val="21"/>
          <w:lang w:val="es-ES"/>
        </w:rPr>
        <w:t xml:space="preserve"> sino que, por el contrario, es una decisión autónoma de un gobierno extranjero (</w:t>
      </w:r>
      <w:proofErr w:type="gramStart"/>
      <w:r w:rsidRPr="47D9E0E2">
        <w:rPr>
          <w:rFonts w:ascii="Verdana" w:eastAsia="Calibri" w:hAnsi="Verdana" w:cs="Arial"/>
          <w:color w:val="000000" w:themeColor="text1"/>
          <w:sz w:val="21"/>
          <w:szCs w:val="21"/>
          <w:lang w:val="es-ES"/>
        </w:rPr>
        <w:t>EE.UU</w:t>
      </w:r>
      <w:proofErr w:type="gramEnd"/>
      <w:r w:rsidRPr="47D9E0E2">
        <w:rPr>
          <w:rFonts w:ascii="Verdana" w:eastAsia="Calibri" w:hAnsi="Verdana" w:cs="Arial"/>
          <w:color w:val="000000" w:themeColor="text1"/>
          <w:sz w:val="21"/>
          <w:szCs w:val="21"/>
          <w:lang w:val="es-ES"/>
        </w:rPr>
        <w:t>).</w:t>
      </w:r>
    </w:p>
    <w:p w14:paraId="30690446" w14:textId="77777777" w:rsidR="004A1CED" w:rsidRPr="00DF34D8" w:rsidRDefault="004A1CED" w:rsidP="004A1CED">
      <w:pPr>
        <w:spacing w:before="120" w:line="240" w:lineRule="auto"/>
        <w:ind w:left="709" w:right="709"/>
        <w:jc w:val="both"/>
        <w:rPr>
          <w:rFonts w:ascii="Verdana" w:eastAsia="Calibri" w:hAnsi="Verdana" w:cs="Arial"/>
          <w:color w:val="000000" w:themeColor="text1"/>
          <w:sz w:val="21"/>
          <w:szCs w:val="21"/>
          <w:lang w:val="es-ES_tradnl"/>
        </w:rPr>
      </w:pPr>
      <w:r w:rsidRPr="00DF34D8">
        <w:rPr>
          <w:rFonts w:ascii="Verdana" w:eastAsia="Calibri" w:hAnsi="Verdana" w:cs="Arial"/>
          <w:color w:val="000000" w:themeColor="text1"/>
          <w:sz w:val="21"/>
          <w:szCs w:val="21"/>
          <w:lang w:val="es-ES_tradnl"/>
        </w:rPr>
        <w:t>Por esta razón, dicha orden en sí misma considerada no tiene efectos vinculantes en el Estado Colombiano y no puede aplicarse coercitivamente como una norma jurídica al interior del país. Sin embargo, para la Corte es claro que las consecuencias de su incumplimiento por parte de la banca nacional, dada las relaciones comerciales ineludibles que ésta mantiene con la banca norteamericana, puede acarrear una grave alteración en la solidez del mercado financiero colombiano, por lo cual la decisión de las instituciones financieras de negar el acceso a este sistema de la(s) persona(s) que aparezcan incluidas en la Lista Clinton, constituye en realidad una causal objetiva justificada.</w:t>
      </w:r>
    </w:p>
    <w:p w14:paraId="47D5C31A" w14:textId="77777777" w:rsidR="004A1CED" w:rsidRPr="00DF34D8" w:rsidRDefault="004A1CED" w:rsidP="004A1CED">
      <w:pPr>
        <w:spacing w:before="120" w:after="0" w:line="240" w:lineRule="auto"/>
        <w:ind w:left="709" w:right="709"/>
        <w:jc w:val="both"/>
        <w:rPr>
          <w:rFonts w:ascii="Verdana" w:eastAsia="Calibri" w:hAnsi="Verdana" w:cs="Arial"/>
          <w:color w:val="000000" w:themeColor="text1"/>
          <w:sz w:val="21"/>
          <w:szCs w:val="21"/>
          <w:lang w:val="es-ES"/>
        </w:rPr>
      </w:pPr>
      <w:r w:rsidRPr="05735319">
        <w:rPr>
          <w:rFonts w:ascii="Verdana" w:eastAsia="Calibri" w:hAnsi="Verdana" w:cs="Arial"/>
          <w:color w:val="000000" w:themeColor="text1"/>
          <w:sz w:val="21"/>
          <w:szCs w:val="21"/>
          <w:lang w:val="es-ES"/>
        </w:rPr>
        <w:t>Dentro de este contexto, en aplicación a las políticas de prevención del lavado de activos a que hacen referencia la Ley 526 de 1999, el Decreto 1497 de 2002 y la Circular Externa 046 de 2002 (Superintendencia Bancaria), la Lista Clinton debe considerarse como un elemento de valoración probatoria que puede ser tenido en cuenta por las instituciones financieras al momento de evaluar el acceso de los particulares a la prestación de los servicios financieros. Máxime si dichas instituciones están directamente comprometidas a nivel nacional e internacional en las políticas de control y erradicación al lavado de activos”</w:t>
      </w:r>
      <w:r w:rsidRPr="05735319">
        <w:rPr>
          <w:rStyle w:val="Refdenotaalpie"/>
          <w:rFonts w:ascii="Verdana" w:eastAsia="Calibri" w:hAnsi="Verdana" w:cs="Arial"/>
          <w:color w:val="000000" w:themeColor="text1"/>
          <w:sz w:val="21"/>
          <w:szCs w:val="21"/>
          <w:lang w:val="es-ES"/>
        </w:rPr>
        <w:footnoteReference w:id="2"/>
      </w:r>
      <w:r w:rsidRPr="05735319">
        <w:rPr>
          <w:rFonts w:ascii="Verdana" w:eastAsia="Calibri" w:hAnsi="Verdana" w:cs="Arial"/>
          <w:color w:val="000000" w:themeColor="text1"/>
          <w:sz w:val="21"/>
          <w:szCs w:val="21"/>
          <w:lang w:val="es-ES"/>
        </w:rPr>
        <w:t>.</w:t>
      </w:r>
    </w:p>
    <w:p w14:paraId="6EAA95D5" w14:textId="77777777" w:rsidR="004A1CED" w:rsidRPr="00DF34D8" w:rsidRDefault="004A1CED" w:rsidP="004A1CED">
      <w:pPr>
        <w:spacing w:after="0" w:line="276" w:lineRule="auto"/>
        <w:ind w:firstLine="708"/>
        <w:jc w:val="both"/>
        <w:rPr>
          <w:rFonts w:ascii="Verdana" w:eastAsia="Calibri" w:hAnsi="Verdana" w:cs="Arial"/>
          <w:color w:val="000000" w:themeColor="text1"/>
          <w:lang w:val="es-ES_tradnl"/>
        </w:rPr>
      </w:pPr>
    </w:p>
    <w:p w14:paraId="214300F8" w14:textId="77777777" w:rsidR="004A1CED" w:rsidRPr="004067D6" w:rsidRDefault="004A1CED" w:rsidP="004A1CED">
      <w:pPr>
        <w:spacing w:after="120" w:line="276" w:lineRule="auto"/>
        <w:ind w:firstLine="708"/>
        <w:jc w:val="both"/>
        <w:rPr>
          <w:rFonts w:ascii="Verdana" w:eastAsia="Calibri" w:hAnsi="Verdana" w:cs="Arial"/>
          <w:i/>
          <w:iCs/>
          <w:color w:val="000000" w:themeColor="text1"/>
          <w:lang w:val="es-ES_tradnl"/>
        </w:rPr>
      </w:pPr>
      <w:r w:rsidRPr="00DF34D8">
        <w:rPr>
          <w:rFonts w:ascii="Verdana" w:eastAsia="Calibri" w:hAnsi="Verdana" w:cs="Arial"/>
          <w:color w:val="000000" w:themeColor="text1"/>
          <w:lang w:val="es-ES_tradnl"/>
        </w:rPr>
        <w:t>Al respecto, conforme al anexo de la Circular Conjunta 034 de 2011 de la Procuraduría General de la Nación, la Auditoría General de la Nación y la Contraloría General de Santander, cabe destacar que la Orden Ejecutiva 12.798 del Gobierno de Estados Unidos no rige</w:t>
      </w:r>
      <w:r>
        <w:rPr>
          <w:rFonts w:ascii="Verdana" w:eastAsia="Calibri" w:hAnsi="Verdana" w:cs="Arial"/>
          <w:color w:val="000000" w:themeColor="text1"/>
          <w:lang w:val="es-ES_tradnl"/>
        </w:rPr>
        <w:t xml:space="preserve"> e</w:t>
      </w:r>
      <w:r w:rsidRPr="00DF34D8">
        <w:rPr>
          <w:rFonts w:ascii="Verdana" w:eastAsia="Calibri" w:hAnsi="Verdana" w:cs="Arial"/>
          <w:color w:val="000000" w:themeColor="text1"/>
          <w:lang w:val="es-ES_tradnl"/>
        </w:rPr>
        <w:t>n Colombia</w:t>
      </w:r>
      <w:r>
        <w:rPr>
          <w:rFonts w:ascii="Verdana" w:eastAsia="Calibri" w:hAnsi="Verdana" w:cs="Arial"/>
          <w:color w:val="000000" w:themeColor="text1"/>
          <w:lang w:val="es-ES_tradnl"/>
        </w:rPr>
        <w:t xml:space="preserve">. Dado que carece de fuerza </w:t>
      </w:r>
      <w:r>
        <w:rPr>
          <w:rFonts w:ascii="Verdana" w:eastAsia="Calibri" w:hAnsi="Verdana" w:cs="Arial"/>
          <w:color w:val="000000" w:themeColor="text1"/>
          <w:lang w:val="es-ES_tradnl"/>
        </w:rPr>
        <w:lastRenderedPageBreak/>
        <w:t>vinculante en nuestro ordenamiento jurídico</w:t>
      </w:r>
      <w:r w:rsidRPr="00DF34D8">
        <w:rPr>
          <w:rFonts w:ascii="Verdana" w:eastAsia="Calibri" w:hAnsi="Verdana" w:cs="Arial"/>
          <w:color w:val="000000" w:themeColor="text1"/>
          <w:lang w:val="es-ES_tradnl"/>
        </w:rPr>
        <w:t xml:space="preserve">, </w:t>
      </w:r>
      <w:r>
        <w:rPr>
          <w:rFonts w:ascii="Verdana" w:eastAsia="Calibri" w:hAnsi="Verdana" w:cs="Arial"/>
          <w:color w:val="000000" w:themeColor="text1"/>
          <w:lang w:val="es-ES_tradnl"/>
        </w:rPr>
        <w:t xml:space="preserve">esta Agencia ha sostenido que la inclusión en dicha lista </w:t>
      </w:r>
      <w:r w:rsidRPr="004067D6">
        <w:rPr>
          <w:rFonts w:ascii="Verdana" w:eastAsia="Calibri" w:hAnsi="Verdana" w:cs="Arial"/>
          <w:i/>
          <w:iCs/>
          <w:color w:val="000000" w:themeColor="text1"/>
          <w:lang w:val="es-ES_tradnl"/>
        </w:rPr>
        <w:t xml:space="preserve">no genera inhabilidad o incompatibilidad para contratar con el Estado ni puede ser considerada como una causal de terminación unilateral. </w:t>
      </w:r>
    </w:p>
    <w:p w14:paraId="2288F5D9" w14:textId="77777777" w:rsidR="004A1CED" w:rsidRDefault="004A1CED" w:rsidP="004A1CED">
      <w:pPr>
        <w:spacing w:after="120" w:line="276" w:lineRule="auto"/>
        <w:ind w:firstLine="708"/>
        <w:jc w:val="both"/>
        <w:rPr>
          <w:rFonts w:ascii="Verdana" w:hAnsi="Verdana"/>
        </w:rPr>
      </w:pPr>
      <w:r>
        <w:rPr>
          <w:rFonts w:ascii="Verdana" w:eastAsia="Calibri" w:hAnsi="Verdana" w:cs="Arial"/>
          <w:color w:val="000000" w:themeColor="text1"/>
          <w:lang w:val="es-ES_tradnl"/>
        </w:rPr>
        <w:t xml:space="preserve">Por un lado, </w:t>
      </w:r>
      <w:r>
        <w:rPr>
          <w:rFonts w:ascii="Verdana" w:hAnsi="Verdana"/>
        </w:rPr>
        <w:t xml:space="preserve">es necesario tener en cuenta que </w:t>
      </w:r>
      <w:r w:rsidRPr="00926BEA">
        <w:rPr>
          <w:rFonts w:ascii="Verdana" w:hAnsi="Verdana"/>
        </w:rPr>
        <w:t xml:space="preserve">el carácter reconocidamente taxativo y restrictivo de </w:t>
      </w:r>
      <w:r w:rsidRPr="00FD57D1">
        <w:rPr>
          <w:rFonts w:ascii="Verdana" w:hAnsi="Verdana"/>
          <w:i/>
          <w:iCs/>
        </w:rPr>
        <w:t>régimen de inhabilidades</w:t>
      </w:r>
      <w:r w:rsidRPr="00926BEA">
        <w:rPr>
          <w:rFonts w:ascii="Verdana" w:hAnsi="Verdana"/>
        </w:rPr>
        <w:t xml:space="preserve"> obedece a la necesidad de salvaguardar el interés general inherente en la contratación pública, de forma que implique el menor sacrificio posible al derecho de igualdad y de reconocimiento de la personalidad jurídica de quienes aspiran a contratar con el Estado. Bajo estas circunstancias, las entidades públicas no pueden establecer en el pliego de condiciones causales de inhabilidad o incompatibilidad no previstas en la Constitución o en la ley. En consecuencia, al tratarse de una materia que tiene reserva legal, no es posible que una entidad pública establezca nuevas causales que afecten la capacidad para contratar con el Estado, ni siquiera haciéndolas pasar como causa para rechazar los ofrecimientos realizados.  </w:t>
      </w:r>
    </w:p>
    <w:p w14:paraId="7B4C51CE" w14:textId="77777777" w:rsidR="004A1CED" w:rsidRDefault="004A1CED" w:rsidP="004A1CED">
      <w:pPr>
        <w:spacing w:after="120" w:line="276" w:lineRule="auto"/>
        <w:ind w:firstLine="708"/>
        <w:jc w:val="both"/>
        <w:rPr>
          <w:rFonts w:ascii="Verdana" w:hAnsi="Verdana" w:cs="Arial"/>
          <w:color w:val="000000" w:themeColor="text1"/>
        </w:rPr>
      </w:pPr>
      <w:r>
        <w:rPr>
          <w:rFonts w:ascii="Verdana" w:hAnsi="Verdana"/>
        </w:rPr>
        <w:t xml:space="preserve">Por otra parte, </w:t>
      </w:r>
      <w:r>
        <w:rPr>
          <w:rFonts w:ascii="Verdana" w:hAnsi="Verdana" w:cs="Arial"/>
          <w:color w:val="000000" w:themeColor="text1"/>
        </w:rPr>
        <w:t>e</w:t>
      </w:r>
      <w:r w:rsidRPr="00926BEA">
        <w:rPr>
          <w:rFonts w:ascii="Verdana" w:hAnsi="Verdana" w:cs="Arial"/>
          <w:color w:val="000000" w:themeColor="text1"/>
        </w:rPr>
        <w:t>l artículo 17 de la Ley 80 de 1993</w:t>
      </w:r>
      <w:r>
        <w:rPr>
          <w:rFonts w:ascii="Verdana" w:hAnsi="Verdana" w:cs="Arial"/>
          <w:color w:val="000000" w:themeColor="text1"/>
        </w:rPr>
        <w:t xml:space="preserve">, así como </w:t>
      </w:r>
      <w:r w:rsidRPr="00EE7518">
        <w:rPr>
          <w:rFonts w:ascii="Verdana" w:hAnsi="Verdana" w:cs="Arial"/>
          <w:color w:val="000000" w:themeColor="text1"/>
        </w:rPr>
        <w:t xml:space="preserve">los numerales 1, 2, y 4 del artículo 44 </w:t>
      </w:r>
      <w:r>
        <w:rPr>
          <w:rFonts w:ascii="Verdana" w:hAnsi="Verdana" w:cs="Arial"/>
          <w:color w:val="000000" w:themeColor="text1"/>
        </w:rPr>
        <w:t>en concordancia</w:t>
      </w:r>
      <w:r w:rsidRPr="00EE7518">
        <w:rPr>
          <w:rFonts w:ascii="Verdana" w:hAnsi="Verdana" w:cs="Arial"/>
          <w:color w:val="000000" w:themeColor="text1"/>
        </w:rPr>
        <w:t xml:space="preserve"> el inciso segundo de artículo 45 del E</w:t>
      </w:r>
      <w:r>
        <w:rPr>
          <w:rFonts w:ascii="Verdana" w:hAnsi="Verdana" w:cs="Arial"/>
          <w:color w:val="000000" w:themeColor="text1"/>
        </w:rPr>
        <w:t>statuto General de Contratación de la Administración Pública (EGCAP)</w:t>
      </w:r>
      <w:r w:rsidRPr="00926BEA">
        <w:rPr>
          <w:rFonts w:ascii="Verdana" w:hAnsi="Verdana" w:cs="Arial"/>
          <w:color w:val="000000" w:themeColor="text1"/>
        </w:rPr>
        <w:t xml:space="preserve"> establece expresamente </w:t>
      </w:r>
      <w:r>
        <w:rPr>
          <w:rFonts w:ascii="Verdana" w:hAnsi="Verdana" w:cs="Arial"/>
          <w:color w:val="000000" w:themeColor="text1"/>
        </w:rPr>
        <w:t xml:space="preserve">los </w:t>
      </w:r>
      <w:r w:rsidRPr="00926BEA">
        <w:rPr>
          <w:rFonts w:ascii="Verdana" w:hAnsi="Verdana" w:cs="Arial"/>
          <w:color w:val="000000" w:themeColor="text1"/>
        </w:rPr>
        <w:t xml:space="preserve">eventos </w:t>
      </w:r>
      <w:r>
        <w:rPr>
          <w:rFonts w:ascii="Verdana" w:hAnsi="Verdana" w:cs="Arial"/>
          <w:color w:val="000000" w:themeColor="text1"/>
        </w:rPr>
        <w:t xml:space="preserve">en los cuales </w:t>
      </w:r>
      <w:r w:rsidRPr="00926BEA">
        <w:rPr>
          <w:rFonts w:ascii="Verdana" w:hAnsi="Verdana" w:cs="Arial"/>
          <w:color w:val="000000" w:themeColor="text1"/>
        </w:rPr>
        <w:t xml:space="preserve">procede la </w:t>
      </w:r>
      <w:r w:rsidRPr="00FD57D1">
        <w:rPr>
          <w:rFonts w:ascii="Verdana" w:hAnsi="Verdana" w:cs="Arial"/>
          <w:i/>
          <w:iCs/>
          <w:color w:val="000000" w:themeColor="text1"/>
        </w:rPr>
        <w:t xml:space="preserve">terminación </w:t>
      </w:r>
      <w:r w:rsidRPr="004B688A">
        <w:rPr>
          <w:rFonts w:ascii="Verdana" w:hAnsi="Verdana" w:cs="Arial"/>
          <w:i/>
          <w:iCs/>
          <w:color w:val="000000" w:themeColor="text1"/>
        </w:rPr>
        <w:t>unilateral</w:t>
      </w:r>
      <w:r w:rsidRPr="00926BEA">
        <w:rPr>
          <w:rFonts w:ascii="Verdana" w:hAnsi="Verdana" w:cs="Arial"/>
          <w:color w:val="000000" w:themeColor="text1"/>
        </w:rPr>
        <w:t xml:space="preserve"> del contrato</w:t>
      </w:r>
      <w:r>
        <w:rPr>
          <w:rStyle w:val="Refdenotaalpie"/>
          <w:rFonts w:ascii="Verdana" w:hAnsi="Verdana" w:cs="Arial"/>
          <w:color w:val="000000" w:themeColor="text1"/>
        </w:rPr>
        <w:footnoteReference w:id="3"/>
      </w:r>
      <w:r>
        <w:rPr>
          <w:rFonts w:ascii="Verdana" w:hAnsi="Verdana" w:cs="Arial"/>
          <w:color w:val="000000" w:themeColor="text1"/>
        </w:rPr>
        <w:t>. Adicionalmente, el inciso primero d</w:t>
      </w:r>
      <w:r w:rsidRPr="00EE7518">
        <w:rPr>
          <w:rFonts w:ascii="Verdana" w:hAnsi="Verdana" w:cs="Arial"/>
          <w:color w:val="000000" w:themeColor="text1"/>
        </w:rPr>
        <w:t>el artículo 13 de la Ley 80 de 1993 dispone que “Los contratos que celebren las entidades a que se refiere el artículo 2o. del presente estatuto se regirán por las disposiciones comerciales y civiles pertinentes, salvo en las materias particularmente reguladas en esta ley”. En consecuencia, dado que la terminación unilateral tiene regulación especial en los artículos 17 y 45 del EGCAP, las causales aplicables son de interpretación restrictiva</w:t>
      </w:r>
      <w:r>
        <w:rPr>
          <w:rFonts w:ascii="Verdana" w:hAnsi="Verdana" w:cs="Arial"/>
          <w:color w:val="000000" w:themeColor="text1"/>
        </w:rPr>
        <w:t>. Ya que n</w:t>
      </w:r>
      <w:r w:rsidRPr="00EE7518">
        <w:rPr>
          <w:rFonts w:ascii="Verdana" w:hAnsi="Verdana" w:cs="Arial"/>
          <w:color w:val="000000" w:themeColor="text1"/>
        </w:rPr>
        <w:t xml:space="preserve">inguna de las causales de terminación unilateral </w:t>
      </w:r>
      <w:r>
        <w:rPr>
          <w:rFonts w:ascii="Verdana" w:hAnsi="Verdana" w:cs="Arial"/>
          <w:color w:val="000000" w:themeColor="text1"/>
        </w:rPr>
        <w:t xml:space="preserve">establecidas en la Ley 80 de 1993 </w:t>
      </w:r>
      <w:r w:rsidRPr="00EE7518">
        <w:rPr>
          <w:rFonts w:ascii="Verdana" w:hAnsi="Verdana" w:cs="Arial"/>
          <w:color w:val="000000" w:themeColor="text1"/>
        </w:rPr>
        <w:t>se relaciona con los controles derivados del SARLAFT</w:t>
      </w:r>
      <w:r>
        <w:rPr>
          <w:rFonts w:ascii="Verdana" w:hAnsi="Verdana" w:cs="Arial"/>
          <w:color w:val="000000" w:themeColor="text1"/>
        </w:rPr>
        <w:t xml:space="preserve"> y</w:t>
      </w:r>
      <w:r w:rsidRPr="00EE7518">
        <w:rPr>
          <w:rFonts w:ascii="Verdana" w:hAnsi="Verdana" w:cs="Arial"/>
          <w:color w:val="000000" w:themeColor="text1"/>
        </w:rPr>
        <w:t xml:space="preserve"> que </w:t>
      </w:r>
      <w:r w:rsidRPr="00EE7518">
        <w:rPr>
          <w:rFonts w:ascii="Verdana" w:hAnsi="Verdana" w:cs="Arial"/>
          <w:color w:val="000000" w:themeColor="text1"/>
        </w:rPr>
        <w:lastRenderedPageBreak/>
        <w:t xml:space="preserve">las </w:t>
      </w:r>
      <w:r>
        <w:rPr>
          <w:rFonts w:ascii="Verdana" w:hAnsi="Verdana" w:cs="Arial"/>
          <w:color w:val="000000" w:themeColor="text1"/>
        </w:rPr>
        <w:t xml:space="preserve">potestades </w:t>
      </w:r>
      <w:r w:rsidRPr="00EE7518">
        <w:rPr>
          <w:rFonts w:ascii="Verdana" w:hAnsi="Verdana" w:cs="Arial"/>
          <w:color w:val="000000" w:themeColor="text1"/>
        </w:rPr>
        <w:t xml:space="preserve">exorbitantes de las entidades públicas se rigen por el principio de legalidad, el ejercicio de la autonomía de la voluntad no </w:t>
      </w:r>
      <w:r>
        <w:rPr>
          <w:rFonts w:ascii="Verdana" w:hAnsi="Verdana" w:cs="Arial"/>
          <w:color w:val="000000" w:themeColor="text1"/>
        </w:rPr>
        <w:t xml:space="preserve">les </w:t>
      </w:r>
      <w:r w:rsidRPr="00EE7518">
        <w:rPr>
          <w:rFonts w:ascii="Verdana" w:hAnsi="Verdana" w:cs="Arial"/>
          <w:color w:val="000000" w:themeColor="text1"/>
        </w:rPr>
        <w:t>permite</w:t>
      </w:r>
      <w:r>
        <w:rPr>
          <w:rFonts w:ascii="Verdana" w:hAnsi="Verdana" w:cs="Arial"/>
          <w:color w:val="000000" w:themeColor="text1"/>
        </w:rPr>
        <w:t xml:space="preserve"> adicionar causales que den lugar a la terminación unilateral como resultado de que el contratista sea incluido en la Lista Clinton.</w:t>
      </w:r>
    </w:p>
    <w:p w14:paraId="39EB5315" w14:textId="77777777" w:rsidR="004A1CED" w:rsidRPr="00926BEA" w:rsidRDefault="004A1CED" w:rsidP="004A1CED">
      <w:pPr>
        <w:spacing w:before="120" w:after="120" w:line="276" w:lineRule="auto"/>
        <w:jc w:val="both"/>
        <w:rPr>
          <w:rFonts w:ascii="Verdana" w:hAnsi="Verdana" w:cs="Arial"/>
          <w:color w:val="000000" w:themeColor="text1"/>
        </w:rPr>
      </w:pPr>
      <w:r w:rsidRPr="00926BEA">
        <w:rPr>
          <w:rFonts w:ascii="Verdana" w:hAnsi="Verdana" w:cs="Arial"/>
          <w:color w:val="000000" w:themeColor="text1"/>
        </w:rPr>
        <w:t> </w:t>
      </w:r>
      <w:r w:rsidRPr="00926BEA">
        <w:rPr>
          <w:rFonts w:ascii="Verdana" w:hAnsi="Verdana" w:cs="Arial"/>
          <w:color w:val="000000" w:themeColor="text1"/>
        </w:rPr>
        <w:tab/>
        <w:t>En lo relacionado con las cláusulas excepcionales al derecho común de terminación, interpretación y modificación unilaterales, el numeral 2 del mencionado artículo 14 regula su ejercicio en atención al tipo de contrato de que se trate. La exposición de motivos de la Ley 80 de 1993 establece que la administración debe estar dotada de mecanismos eficaces, así fueren excepcionales, que contribuyan a la adecuada realización de la finalidad contractual y de los fines estatales</w:t>
      </w:r>
      <w:r w:rsidRPr="00926BEA">
        <w:rPr>
          <w:rStyle w:val="Refdenotaalpie"/>
          <w:rFonts w:ascii="Verdana" w:hAnsi="Verdana" w:cs="Arial"/>
          <w:color w:val="000000" w:themeColor="text1"/>
        </w:rPr>
        <w:footnoteReference w:id="4"/>
      </w:r>
      <w:r w:rsidRPr="00926BEA">
        <w:rPr>
          <w:rFonts w:ascii="Verdana" w:hAnsi="Verdana" w:cs="Arial"/>
          <w:color w:val="000000" w:themeColor="text1"/>
        </w:rPr>
        <w:t xml:space="preserve">. Es por eso </w:t>
      </w:r>
      <w:proofErr w:type="gramStart"/>
      <w:r w:rsidRPr="00926BEA">
        <w:rPr>
          <w:rFonts w:ascii="Verdana" w:hAnsi="Verdana" w:cs="Arial"/>
          <w:color w:val="000000" w:themeColor="text1"/>
        </w:rPr>
        <w:t>que</w:t>
      </w:r>
      <w:proofErr w:type="gramEnd"/>
      <w:r w:rsidRPr="00926BEA">
        <w:rPr>
          <w:rFonts w:ascii="Verdana" w:hAnsi="Verdana" w:cs="Arial"/>
          <w:color w:val="000000" w:themeColor="text1"/>
        </w:rPr>
        <w:t xml:space="preserve"> cuando se presenten circunstancias que amenacen la paralización de los servicios, las entidades públicas pueden tomar medidas que conduzcan a garantizar la continua y adecuada prestación del servicio, con fundamento en la prevalencia del interés público sobre el particular. En este sentido, los motivos aducidos por la entidad estatal para ejercer las cláusulas excepcionales deben ser graves, ya que no cualquier hecho puede provocarla pues son inescindibles al interés general, sin que se pueda desconocer las compensaciones e indemnizaciones a que tendrán derecho las personas objeto de tales medidas, traducida en la contraprestación necesaria para mantener la igualdad contractual.</w:t>
      </w:r>
    </w:p>
    <w:p w14:paraId="13DF213A" w14:textId="77777777" w:rsidR="004A1CED" w:rsidRPr="00926BEA" w:rsidRDefault="004A1CED" w:rsidP="004A1CED">
      <w:pPr>
        <w:spacing w:before="120" w:after="120" w:line="276" w:lineRule="auto"/>
        <w:ind w:firstLine="708"/>
        <w:jc w:val="both"/>
        <w:rPr>
          <w:rFonts w:ascii="Verdana" w:hAnsi="Verdana" w:cs="Arial"/>
          <w:color w:val="000000" w:themeColor="text1"/>
        </w:rPr>
      </w:pPr>
      <w:r w:rsidRPr="00926BEA">
        <w:rPr>
          <w:rFonts w:ascii="Verdana" w:hAnsi="Verdana" w:cs="Arial"/>
          <w:color w:val="000000" w:themeColor="text1"/>
        </w:rPr>
        <w:t xml:space="preserve">En lo atinente a la terminación unilateral del contrato, si bien la ley otorga a las entidades públicas la potestad de actuar en ejercicio de una faculta exorbitante, les impone el cumplimiento de presupuestos de forzosa aplicación y a la vez restringe la medida a los eventos previstos en la misma. Efectivamente, para declarar la terminación unilateral se requiere i) que la manifestación de la voluntad de la administración se materialice en un acto administrativo, </w:t>
      </w:r>
      <w:proofErr w:type="spellStart"/>
      <w:r w:rsidRPr="00926BEA">
        <w:rPr>
          <w:rFonts w:ascii="Verdana" w:hAnsi="Verdana" w:cs="Arial"/>
          <w:color w:val="000000" w:themeColor="text1"/>
        </w:rPr>
        <w:t>ii</w:t>
      </w:r>
      <w:proofErr w:type="spellEnd"/>
      <w:r w:rsidRPr="00926BEA">
        <w:rPr>
          <w:rFonts w:ascii="Verdana" w:hAnsi="Verdana" w:cs="Arial"/>
          <w:color w:val="000000" w:themeColor="text1"/>
        </w:rPr>
        <w:t xml:space="preserve">) que dicho acto debe ser el resultado de un análisis soportado en la realidad del contrato, es decir, debe estar debidamente motivado y </w:t>
      </w:r>
      <w:proofErr w:type="spellStart"/>
      <w:r w:rsidRPr="00926BEA">
        <w:rPr>
          <w:rFonts w:ascii="Verdana" w:hAnsi="Verdana" w:cs="Arial"/>
          <w:color w:val="000000" w:themeColor="text1"/>
        </w:rPr>
        <w:t>iii</w:t>
      </w:r>
      <w:proofErr w:type="spellEnd"/>
      <w:r w:rsidRPr="00926BEA">
        <w:rPr>
          <w:rFonts w:ascii="Verdana" w:hAnsi="Verdana" w:cs="Arial"/>
          <w:color w:val="000000" w:themeColor="text1"/>
        </w:rPr>
        <w:t>) que la causal que se alegue en la decisión se encuentre enmarcada en los eventos que la ley ha dispuesto.</w:t>
      </w:r>
    </w:p>
    <w:p w14:paraId="720A6451" w14:textId="77777777" w:rsidR="004A1CED" w:rsidRDefault="004A1CED" w:rsidP="004A1CED">
      <w:pPr>
        <w:spacing w:before="120" w:line="276" w:lineRule="auto"/>
        <w:jc w:val="both"/>
        <w:rPr>
          <w:rFonts w:ascii="Verdana" w:hAnsi="Verdana" w:cs="Arial"/>
          <w:color w:val="000000" w:themeColor="text1"/>
        </w:rPr>
      </w:pPr>
      <w:r w:rsidRPr="00926BEA">
        <w:rPr>
          <w:rFonts w:ascii="Verdana" w:hAnsi="Verdana" w:cs="Arial"/>
          <w:color w:val="000000" w:themeColor="text1"/>
        </w:rPr>
        <w:t> </w:t>
      </w:r>
      <w:r w:rsidRPr="00926BEA">
        <w:rPr>
          <w:rFonts w:ascii="Verdana" w:hAnsi="Verdana" w:cs="Arial"/>
          <w:color w:val="000000" w:themeColor="text1"/>
        </w:rPr>
        <w:tab/>
        <w:t xml:space="preserve">El artículo 17 de la Ley 80 de 1993 establece expresamente en que eventos procede la terminación unilateral del contrato. Al efecto, la norma establece las siguientes causales: i) cuando las exigencias del servicio público lo </w:t>
      </w:r>
      <w:r w:rsidRPr="00926BEA">
        <w:rPr>
          <w:rFonts w:ascii="Verdana" w:hAnsi="Verdana" w:cs="Arial"/>
          <w:color w:val="000000" w:themeColor="text1"/>
        </w:rPr>
        <w:lastRenderedPageBreak/>
        <w:t xml:space="preserve">requieran o la situación de orden público lo imponga; </w:t>
      </w:r>
      <w:proofErr w:type="spellStart"/>
      <w:r w:rsidRPr="00926BEA">
        <w:rPr>
          <w:rFonts w:ascii="Verdana" w:hAnsi="Verdana" w:cs="Arial"/>
          <w:color w:val="000000" w:themeColor="text1"/>
        </w:rPr>
        <w:t>ii</w:t>
      </w:r>
      <w:proofErr w:type="spellEnd"/>
      <w:r w:rsidRPr="00926BEA">
        <w:rPr>
          <w:rFonts w:ascii="Verdana" w:hAnsi="Verdana" w:cs="Arial"/>
          <w:color w:val="000000" w:themeColor="text1"/>
        </w:rPr>
        <w:t xml:space="preserve">) por muerte o incapacidad física permanente del contratista, si es persona natural, o por disolución de la persona jurídica del contratista; </w:t>
      </w:r>
      <w:proofErr w:type="spellStart"/>
      <w:r w:rsidRPr="00926BEA">
        <w:rPr>
          <w:rFonts w:ascii="Verdana" w:hAnsi="Verdana" w:cs="Arial"/>
          <w:color w:val="000000" w:themeColor="text1"/>
        </w:rPr>
        <w:t>iii</w:t>
      </w:r>
      <w:proofErr w:type="spellEnd"/>
      <w:r w:rsidRPr="00926BEA">
        <w:rPr>
          <w:rFonts w:ascii="Verdana" w:hAnsi="Verdana" w:cs="Arial"/>
          <w:color w:val="000000" w:themeColor="text1"/>
        </w:rPr>
        <w:t xml:space="preserve">) por interdicción judicial o declaración de quiebra del contratista; y </w:t>
      </w:r>
      <w:proofErr w:type="spellStart"/>
      <w:r w:rsidRPr="00926BEA">
        <w:rPr>
          <w:rFonts w:ascii="Verdana" w:hAnsi="Verdana" w:cs="Arial"/>
          <w:color w:val="000000" w:themeColor="text1"/>
        </w:rPr>
        <w:t>iv</w:t>
      </w:r>
      <w:proofErr w:type="spellEnd"/>
      <w:r w:rsidRPr="00926BEA">
        <w:rPr>
          <w:rFonts w:ascii="Verdana" w:hAnsi="Verdana" w:cs="Arial"/>
          <w:color w:val="000000" w:themeColor="text1"/>
        </w:rPr>
        <w:t xml:space="preserve">) por cesación de pagos, concurso de acreedores o embargos judiciales del contratista que afecten de manera grave el cumplimiento del contrato. Adicionalmente, conforme a los numerales 1, 2, y 4 del artículo 44 y el inciso segundo de artículo 45 del EGCAP, el jefe o representante legal de la entidad debe dar por terminado el contrato mediante acto administrativo debidamente motivado y ordenar su liquidación en el estado en que se encuentre cuando: i) se celebre con personas incursas en causales de inhabilidad o incompatibilidad previstas en la Constitución y la ley, </w:t>
      </w:r>
      <w:proofErr w:type="spellStart"/>
      <w:r w:rsidRPr="00926BEA">
        <w:rPr>
          <w:rFonts w:ascii="Verdana" w:hAnsi="Verdana" w:cs="Arial"/>
          <w:color w:val="000000" w:themeColor="text1"/>
        </w:rPr>
        <w:t>ii</w:t>
      </w:r>
      <w:proofErr w:type="spellEnd"/>
      <w:r w:rsidRPr="00926BEA">
        <w:rPr>
          <w:rFonts w:ascii="Verdana" w:hAnsi="Verdana" w:cs="Arial"/>
          <w:color w:val="000000" w:themeColor="text1"/>
        </w:rPr>
        <w:t xml:space="preserve">) se celebren contra expresa prohibición constitucional o legal y </w:t>
      </w:r>
      <w:proofErr w:type="spellStart"/>
      <w:r w:rsidRPr="00926BEA">
        <w:rPr>
          <w:rFonts w:ascii="Verdana" w:hAnsi="Verdana" w:cs="Arial"/>
          <w:color w:val="000000" w:themeColor="text1"/>
        </w:rPr>
        <w:t>iii</w:t>
      </w:r>
      <w:proofErr w:type="spellEnd"/>
      <w:r w:rsidRPr="00926BEA">
        <w:rPr>
          <w:rFonts w:ascii="Verdana" w:hAnsi="Verdana" w:cs="Arial"/>
          <w:color w:val="000000" w:themeColor="text1"/>
        </w:rPr>
        <w:t>) se declaren nulos los actos administrativos en que se fundamenten.</w:t>
      </w:r>
    </w:p>
    <w:p w14:paraId="13B764C0" w14:textId="77777777" w:rsidR="004A1CED" w:rsidRDefault="004A1CED" w:rsidP="004A1CED">
      <w:pPr>
        <w:spacing w:before="120" w:line="276" w:lineRule="auto"/>
        <w:ind w:firstLine="708"/>
        <w:jc w:val="both"/>
        <w:rPr>
          <w:rFonts w:ascii="Verdana" w:hAnsi="Verdana" w:cs="Arial"/>
          <w:color w:val="000000" w:themeColor="text1"/>
        </w:rPr>
      </w:pPr>
      <w:r w:rsidRPr="00926BEA">
        <w:rPr>
          <w:rFonts w:ascii="Verdana" w:hAnsi="Verdana" w:cs="Arial"/>
          <w:color w:val="000000" w:themeColor="text1"/>
        </w:rPr>
        <w:t>Ninguna de las causales de terminación unilateral mencionadas en el párrafo precedente se relaciona con los controles derivados d</w:t>
      </w:r>
      <w:r w:rsidRPr="00926BEA">
        <w:rPr>
          <w:rFonts w:ascii="Verdana" w:eastAsia="Calibri" w:hAnsi="Verdana" w:cs="Arial"/>
          <w:color w:val="000000" w:themeColor="text1"/>
        </w:rPr>
        <w:t>el SARLAFT</w:t>
      </w:r>
      <w:r>
        <w:rPr>
          <w:rFonts w:ascii="Verdana" w:eastAsia="Calibri" w:hAnsi="Verdana" w:cs="Arial"/>
          <w:color w:val="000000" w:themeColor="text1"/>
        </w:rPr>
        <w:t xml:space="preserve"> o la inclusión en la denominada Lista Clinton</w:t>
      </w:r>
      <w:r w:rsidRPr="00926BEA">
        <w:rPr>
          <w:rFonts w:ascii="Verdana" w:eastAsia="Calibri" w:hAnsi="Verdana" w:cs="Arial"/>
          <w:color w:val="000000" w:themeColor="text1"/>
        </w:rPr>
        <w:t xml:space="preserve">. Dado que las </w:t>
      </w:r>
      <w:r>
        <w:rPr>
          <w:rFonts w:ascii="Verdana" w:eastAsia="Calibri" w:hAnsi="Verdana" w:cs="Arial"/>
          <w:color w:val="000000" w:themeColor="text1"/>
        </w:rPr>
        <w:t xml:space="preserve">potestades </w:t>
      </w:r>
      <w:r w:rsidRPr="00926BEA">
        <w:rPr>
          <w:rFonts w:ascii="Verdana" w:eastAsia="Calibri" w:hAnsi="Verdana" w:cs="Arial"/>
          <w:color w:val="000000" w:themeColor="text1"/>
        </w:rPr>
        <w:t>exorbitantes de las entidades públicas se rigen por el principio de legalidad, el ejercicio de la autonomía de la voluntad no permite adicionar los supuestos planteados con el supuesto objeto de consulta. Lo anterior teniendo en cuenta que el artículo 13, inciso primero, de la Ley 80 de 1993 dispone que “Los contratos que celebren las entidades a que se refiere el artículo 2o. del presente estatuto se regirán por las disposiciones comerciales y civiles pertinentes, salvo en las materias particularmente reguladas en esta ley”.</w:t>
      </w:r>
      <w:r w:rsidRPr="00926BEA">
        <w:rPr>
          <w:rFonts w:ascii="Verdana" w:hAnsi="Verdana" w:cs="Arial"/>
          <w:color w:val="000000" w:themeColor="text1"/>
        </w:rPr>
        <w:t xml:space="preserve"> En consecuencia, dado que la terminación unilateral tiene regulación especial en los artículos 17 y 45 del EGCAP, las causales aplicables son de interpretación restrictiva.</w:t>
      </w:r>
    </w:p>
    <w:p w14:paraId="7DA0CDD2" w14:textId="77777777" w:rsidR="004A1CED" w:rsidRPr="00926BEA" w:rsidRDefault="004A1CED" w:rsidP="004A1CED">
      <w:pPr>
        <w:spacing w:after="120" w:line="276" w:lineRule="auto"/>
        <w:ind w:firstLine="708"/>
        <w:jc w:val="both"/>
        <w:rPr>
          <w:rFonts w:ascii="Verdana" w:eastAsia="Calibri" w:hAnsi="Verdana" w:cs="Arial"/>
          <w:color w:val="000000" w:themeColor="text1"/>
        </w:rPr>
      </w:pPr>
      <w:proofErr w:type="spellStart"/>
      <w:r>
        <w:rPr>
          <w:rFonts w:ascii="Verdana" w:hAnsi="Verdana" w:cs="Arial"/>
          <w:color w:val="000000" w:themeColor="text1"/>
        </w:rPr>
        <w:t>ii</w:t>
      </w:r>
      <w:proofErr w:type="spellEnd"/>
      <w:r>
        <w:rPr>
          <w:rFonts w:ascii="Verdana" w:hAnsi="Verdana" w:cs="Arial"/>
          <w:color w:val="000000" w:themeColor="text1"/>
        </w:rPr>
        <w:t xml:space="preserve">) Con respecto </w:t>
      </w:r>
      <w:r w:rsidRPr="00F6122A">
        <w:rPr>
          <w:rFonts w:ascii="Verdana" w:hAnsi="Verdana"/>
          <w:i/>
          <w:iCs/>
        </w:rPr>
        <w:t>al riesgo de lavado de activos en los procesos de contratació</w:t>
      </w:r>
      <w:r>
        <w:rPr>
          <w:rFonts w:ascii="Verdana" w:hAnsi="Verdana"/>
          <w:i/>
          <w:iCs/>
        </w:rPr>
        <w:t xml:space="preserve">n, </w:t>
      </w:r>
      <w:r>
        <w:rPr>
          <w:rFonts w:ascii="Verdana" w:eastAsia="Calibri" w:hAnsi="Verdana" w:cs="Arial"/>
          <w:color w:val="000000" w:themeColor="text1"/>
        </w:rPr>
        <w:t>l</w:t>
      </w:r>
      <w:r w:rsidRPr="00926BEA">
        <w:rPr>
          <w:rFonts w:ascii="Verdana" w:eastAsia="Calibri" w:hAnsi="Verdana" w:cs="Arial"/>
          <w:color w:val="000000" w:themeColor="text1"/>
        </w:rPr>
        <w:t xml:space="preserve">a Ley 526 de 1999, modificada por las Leyes 1121 de 2006, 1621 de 2012 y 1762 de 2015, creó la </w:t>
      </w:r>
      <w:bookmarkStart w:id="1" w:name="_Hlk56670371"/>
      <w:r w:rsidRPr="00926BEA">
        <w:rPr>
          <w:rFonts w:ascii="Verdana" w:eastAsia="Calibri" w:hAnsi="Verdana" w:cs="Arial"/>
          <w:color w:val="000000" w:themeColor="text1"/>
        </w:rPr>
        <w:t>Unidad de Información y Análisis Financiero</w:t>
      </w:r>
      <w:bookmarkEnd w:id="1"/>
      <w:r w:rsidRPr="00926BEA">
        <w:rPr>
          <w:rFonts w:ascii="Verdana" w:eastAsia="Calibri" w:hAnsi="Verdana" w:cs="Arial"/>
          <w:color w:val="000000" w:themeColor="text1"/>
        </w:rPr>
        <w:t xml:space="preserve"> –UIAF– adscrita al Ministerio de Hacienda y Crédito Público, con el propósito detectar prácticas asociadas con el lavado de activos, financiación del terrorismo y las conductas relacionadas con la defraudación en materia aduanera. Adicionalmente, el artículo 2 del Decreto 1497 de 2002, actualmente compilado en el Decreto Único Reglamentario 1068 de 2015 del sector Hacienda y Crédito Público, dispuso que las entidades públicas y privadas, incluso, las </w:t>
      </w:r>
      <w:r w:rsidRPr="00926BEA">
        <w:rPr>
          <w:rFonts w:ascii="Verdana" w:eastAsia="Calibri" w:hAnsi="Verdana" w:cs="Arial"/>
          <w:color w:val="000000" w:themeColor="text1"/>
        </w:rPr>
        <w:lastRenderedPageBreak/>
        <w:t xml:space="preserve">pertenecientes a sectores diferentes al financiero, asegurador y bursátil, están obligadas reportar operaciones sospechosas a la UIAF. </w:t>
      </w:r>
    </w:p>
    <w:p w14:paraId="1D04FAB6" w14:textId="77777777" w:rsidR="004A1CED" w:rsidRDefault="004A1CED" w:rsidP="004A1CED">
      <w:pPr>
        <w:spacing w:after="0" w:line="276" w:lineRule="auto"/>
        <w:ind w:firstLine="708"/>
        <w:jc w:val="both"/>
        <w:rPr>
          <w:rFonts w:ascii="Verdana" w:eastAsia="Calibri" w:hAnsi="Verdana" w:cs="Arial"/>
          <w:color w:val="000000" w:themeColor="text1"/>
          <w:lang/>
        </w:rPr>
      </w:pPr>
      <w:r w:rsidRPr="00926BEA">
        <w:rPr>
          <w:rFonts w:ascii="Verdana" w:eastAsia="Calibri" w:hAnsi="Verdana" w:cs="Arial"/>
          <w:color w:val="000000" w:themeColor="text1"/>
        </w:rPr>
        <w:t xml:space="preserve">Dentro de este contexto, el SARLAFT es un sistema de prevención y control para la adecuada gestión del riesgo de lavado de activos y financiación del terrorismo. Para esto, se deberán adoptar unas políticas, procedimientos y herramientas mínimas que contemplen todas las actividades que realizan en desarrollo de su objeto social y que se ajusten a su tamaño, actividad económica, forma de comercialización y demás </w:t>
      </w:r>
      <w:r w:rsidRPr="009020E1">
        <w:rPr>
          <w:rFonts w:ascii="Verdana" w:eastAsia="Calibri" w:hAnsi="Verdana" w:cs="Arial"/>
          <w:color w:val="000000" w:themeColor="text1"/>
          <w:lang/>
        </w:rPr>
        <w:t xml:space="preserve">características particulares de cada agente sujeto a vigilancia. En el caso de las entidades vigiladas por la Superintendencia Financiera, se requiere que implementen </w:t>
      </w:r>
      <w:r>
        <w:rPr>
          <w:rFonts w:ascii="Verdana" w:eastAsia="Calibri" w:hAnsi="Verdana" w:cs="Arial"/>
          <w:color w:val="000000" w:themeColor="text1"/>
          <w:lang/>
        </w:rPr>
        <w:t xml:space="preserve">el SARLAFT </w:t>
      </w:r>
      <w:r w:rsidRPr="009020E1">
        <w:rPr>
          <w:rFonts w:ascii="Verdana" w:eastAsia="Calibri" w:hAnsi="Verdana" w:cs="Arial"/>
          <w:color w:val="000000" w:themeColor="text1"/>
          <w:lang/>
        </w:rPr>
        <w:t>con el fin de prevenir que sean utilizadas para</w:t>
      </w:r>
      <w:r>
        <w:rPr>
          <w:rFonts w:ascii="Verdana" w:eastAsia="Calibri" w:hAnsi="Verdana" w:cs="Arial"/>
          <w:color w:val="000000" w:themeColor="text1"/>
          <w:lang/>
        </w:rPr>
        <w:t xml:space="preserve"> (i) </w:t>
      </w:r>
      <w:r w:rsidRPr="009020E1">
        <w:rPr>
          <w:rFonts w:ascii="Verdana" w:eastAsia="Calibri" w:hAnsi="Verdana" w:cs="Arial"/>
          <w:color w:val="000000" w:themeColor="text1"/>
          <w:lang/>
        </w:rPr>
        <w:t>dar apariencia de legalidad a activos provenientes de actividades delictivas y</w:t>
      </w:r>
      <w:r>
        <w:rPr>
          <w:rFonts w:ascii="Verdana" w:eastAsia="Calibri" w:hAnsi="Verdana" w:cs="Arial"/>
          <w:color w:val="000000" w:themeColor="text1"/>
          <w:lang/>
        </w:rPr>
        <w:t>/o</w:t>
      </w:r>
      <w:r w:rsidRPr="009020E1">
        <w:rPr>
          <w:rFonts w:ascii="Verdana" w:eastAsia="Calibri" w:hAnsi="Verdana" w:cs="Arial"/>
          <w:color w:val="000000" w:themeColor="text1"/>
          <w:lang/>
        </w:rPr>
        <w:t xml:space="preserve"> (ii) canalizar recursos hacia la realización de actividades terroristas. </w:t>
      </w:r>
      <w:r>
        <w:rPr>
          <w:rFonts w:ascii="Verdana" w:eastAsia="Calibri" w:hAnsi="Verdana" w:cs="Arial"/>
          <w:color w:val="000000" w:themeColor="text1"/>
          <w:lang/>
        </w:rPr>
        <w:t>Con este fin, en desarrollo de los dispuesto en los artículos 102 y subsiguientes del D</w:t>
      </w:r>
      <w:r w:rsidRPr="009020E1">
        <w:rPr>
          <w:rFonts w:ascii="Verdana" w:eastAsia="Calibri" w:hAnsi="Verdana" w:cs="Arial"/>
          <w:color w:val="000000" w:themeColor="text1"/>
          <w:lang/>
        </w:rPr>
        <w:t xml:space="preserve">ecreto </w:t>
      </w:r>
      <w:r>
        <w:rPr>
          <w:rFonts w:ascii="Verdana" w:eastAsia="Calibri" w:hAnsi="Verdana" w:cs="Arial"/>
          <w:color w:val="000000" w:themeColor="text1"/>
          <w:lang/>
        </w:rPr>
        <w:t>L</w:t>
      </w:r>
      <w:r w:rsidRPr="009020E1">
        <w:rPr>
          <w:rFonts w:ascii="Verdana" w:eastAsia="Calibri" w:hAnsi="Verdana" w:cs="Arial"/>
          <w:color w:val="000000" w:themeColor="text1"/>
          <w:lang/>
        </w:rPr>
        <w:t xml:space="preserve">ey 663 de 1993, </w:t>
      </w:r>
      <w:r>
        <w:rPr>
          <w:rFonts w:ascii="Verdana" w:eastAsia="Calibri" w:hAnsi="Verdana" w:cs="Arial"/>
          <w:color w:val="000000" w:themeColor="text1"/>
          <w:lang/>
        </w:rPr>
        <w:t>E</w:t>
      </w:r>
      <w:r w:rsidRPr="009020E1">
        <w:rPr>
          <w:rFonts w:ascii="Verdana" w:eastAsia="Calibri" w:hAnsi="Verdana" w:cs="Arial"/>
          <w:color w:val="000000" w:themeColor="text1"/>
          <w:lang/>
        </w:rPr>
        <w:t xml:space="preserve">statuto </w:t>
      </w:r>
      <w:r>
        <w:rPr>
          <w:rFonts w:ascii="Verdana" w:eastAsia="Calibri" w:hAnsi="Verdana" w:cs="Arial"/>
          <w:color w:val="000000" w:themeColor="text1"/>
          <w:lang/>
        </w:rPr>
        <w:t>O</w:t>
      </w:r>
      <w:r w:rsidRPr="009020E1">
        <w:rPr>
          <w:rFonts w:ascii="Verdana" w:eastAsia="Calibri" w:hAnsi="Verdana" w:cs="Arial"/>
          <w:color w:val="000000" w:themeColor="text1"/>
          <w:lang/>
        </w:rPr>
        <w:t xml:space="preserve">rgánico del </w:t>
      </w:r>
      <w:r>
        <w:rPr>
          <w:rFonts w:ascii="Verdana" w:eastAsia="Calibri" w:hAnsi="Verdana" w:cs="Arial"/>
          <w:color w:val="000000" w:themeColor="text1"/>
          <w:lang/>
        </w:rPr>
        <w:t>S</w:t>
      </w:r>
      <w:r w:rsidRPr="009020E1">
        <w:rPr>
          <w:rFonts w:ascii="Verdana" w:eastAsia="Calibri" w:hAnsi="Verdana" w:cs="Arial"/>
          <w:color w:val="000000" w:themeColor="text1"/>
          <w:lang/>
        </w:rPr>
        <w:t xml:space="preserve">istema </w:t>
      </w:r>
      <w:r>
        <w:rPr>
          <w:rFonts w:ascii="Verdana" w:eastAsia="Calibri" w:hAnsi="Verdana" w:cs="Arial"/>
          <w:color w:val="000000" w:themeColor="text1"/>
          <w:lang/>
        </w:rPr>
        <w:t>F</w:t>
      </w:r>
      <w:r w:rsidRPr="009020E1">
        <w:rPr>
          <w:rFonts w:ascii="Verdana" w:eastAsia="Calibri" w:hAnsi="Verdana" w:cs="Arial"/>
          <w:color w:val="000000" w:themeColor="text1"/>
          <w:lang/>
        </w:rPr>
        <w:t xml:space="preserve">inanciero, así como lo dispuesto en el artículo 22 de la Ley 964 de 2005, la </w:t>
      </w:r>
      <w:r>
        <w:rPr>
          <w:rFonts w:ascii="Verdana" w:eastAsia="Calibri" w:hAnsi="Verdana" w:cs="Arial"/>
          <w:color w:val="000000" w:themeColor="text1"/>
          <w:lang/>
        </w:rPr>
        <w:t xml:space="preserve">Superintendencia determina </w:t>
      </w:r>
      <w:r w:rsidRPr="009020E1">
        <w:rPr>
          <w:rFonts w:ascii="Verdana" w:eastAsia="Calibri" w:hAnsi="Verdana" w:cs="Arial"/>
          <w:color w:val="000000" w:themeColor="text1"/>
          <w:lang/>
        </w:rPr>
        <w:t>los criterios y parámetros mínimos que las entidades vigiladas deben atender en el diseño, implementación y funcionamiento del mencionado sistema</w:t>
      </w:r>
      <w:r>
        <w:rPr>
          <w:rStyle w:val="Refdenotaalpie"/>
          <w:rFonts w:ascii="Verdana" w:eastAsia="Calibri" w:hAnsi="Verdana" w:cs="Arial"/>
          <w:color w:val="000000" w:themeColor="text1"/>
          <w:lang/>
        </w:rPr>
        <w:footnoteReference w:id="5"/>
      </w:r>
      <w:r w:rsidRPr="009020E1">
        <w:rPr>
          <w:rFonts w:ascii="Verdana" w:eastAsia="Calibri" w:hAnsi="Verdana" w:cs="Arial"/>
          <w:color w:val="000000" w:themeColor="text1"/>
          <w:lang/>
        </w:rPr>
        <w:t xml:space="preserve">. </w:t>
      </w:r>
    </w:p>
    <w:p w14:paraId="6312D0B0" w14:textId="77777777" w:rsidR="004A1CED" w:rsidRDefault="004A1CED" w:rsidP="004A1CED">
      <w:pPr>
        <w:spacing w:before="120" w:after="0" w:line="276" w:lineRule="auto"/>
        <w:ind w:firstLine="708"/>
        <w:jc w:val="both"/>
        <w:rPr>
          <w:rFonts w:ascii="Verdana" w:eastAsia="Calibri" w:hAnsi="Verdana" w:cs="Arial"/>
          <w:color w:val="000000" w:themeColor="text1"/>
          <w:lang/>
        </w:rPr>
      </w:pPr>
      <w:r>
        <w:rPr>
          <w:rFonts w:ascii="Verdana" w:eastAsia="Calibri" w:hAnsi="Verdana" w:cs="Arial"/>
          <w:color w:val="000000" w:themeColor="text1"/>
          <w:lang/>
        </w:rPr>
        <w:t>Bajo dicho marco, las entidades deben implementar sistemas para prevenir el riesgo de que se</w:t>
      </w:r>
      <w:r w:rsidRPr="009020E1">
        <w:rPr>
          <w:rFonts w:ascii="Verdana" w:eastAsia="Calibri" w:hAnsi="Verdana" w:cs="Arial"/>
          <w:color w:val="000000" w:themeColor="text1"/>
          <w:lang/>
        </w:rPr>
        <w:t xml:space="preserve"> introduzcan al sistema financiero recursos provenientes de actividades relacionadas con el lavado de activos y/o financiación del terrorismo (LA/F</w:t>
      </w:r>
      <w:r>
        <w:rPr>
          <w:rFonts w:ascii="Verdana" w:eastAsia="Calibri" w:hAnsi="Verdana" w:cs="Arial"/>
          <w:color w:val="000000" w:themeColor="text1"/>
          <w:lang/>
        </w:rPr>
        <w:t>T), así como</w:t>
      </w:r>
      <w:r w:rsidRPr="009020E1">
        <w:rPr>
          <w:rFonts w:ascii="Verdana" w:eastAsia="Calibri" w:hAnsi="Verdana" w:cs="Arial"/>
          <w:color w:val="000000" w:themeColor="text1"/>
          <w:lang/>
        </w:rPr>
        <w:t xml:space="preserve"> detectar y reportar las operaciones </w:t>
      </w:r>
      <w:r>
        <w:rPr>
          <w:rFonts w:ascii="Verdana" w:eastAsia="Calibri" w:hAnsi="Verdana" w:cs="Arial"/>
          <w:color w:val="000000" w:themeColor="text1"/>
          <w:lang/>
        </w:rPr>
        <w:t xml:space="preserve">cuyo propósito sea </w:t>
      </w:r>
      <w:r w:rsidRPr="009020E1">
        <w:rPr>
          <w:rFonts w:ascii="Verdana" w:eastAsia="Calibri" w:hAnsi="Verdana" w:cs="Arial"/>
          <w:color w:val="000000" w:themeColor="text1"/>
          <w:lang/>
        </w:rPr>
        <w:t>dar apariencia de legalidad a operaciones vinculadas al LA/FT.</w:t>
      </w:r>
    </w:p>
    <w:p w14:paraId="63DCCF18" w14:textId="77777777" w:rsidR="004A1CED" w:rsidRPr="0013304E" w:rsidRDefault="004A1CED" w:rsidP="004A1CED">
      <w:pPr>
        <w:spacing w:before="120" w:after="0" w:line="276" w:lineRule="auto"/>
        <w:ind w:firstLine="708"/>
        <w:jc w:val="both"/>
        <w:rPr>
          <w:rFonts w:ascii="Verdana" w:eastAsia="Calibri" w:hAnsi="Verdana" w:cs="Arial"/>
          <w:color w:val="000000" w:themeColor="text1"/>
          <w:lang/>
        </w:rPr>
      </w:pPr>
      <w:r>
        <w:rPr>
          <w:rFonts w:ascii="Verdana" w:eastAsia="Calibri" w:hAnsi="Verdana" w:cs="Arial"/>
          <w:color w:val="000000" w:themeColor="text1"/>
        </w:rPr>
        <w:t>En particular</w:t>
      </w:r>
      <w:r w:rsidRPr="00926BEA">
        <w:rPr>
          <w:rFonts w:ascii="Verdana" w:eastAsia="Calibri" w:hAnsi="Verdana" w:cs="Arial"/>
          <w:color w:val="000000" w:themeColor="text1"/>
        </w:rPr>
        <w:t xml:space="preserve">, para prevenir el riesgo de corrupción y de delitos derivados de la celebración de contratos estatales, la </w:t>
      </w:r>
      <w:bookmarkStart w:id="2" w:name="_Hlk148964958"/>
      <w:r w:rsidRPr="00926BEA">
        <w:rPr>
          <w:rFonts w:ascii="Verdana" w:eastAsia="Calibri" w:hAnsi="Verdana" w:cs="Arial"/>
          <w:color w:val="000000" w:themeColor="text1"/>
        </w:rPr>
        <w:t>Sala de Consulta y Servicio Civil del Consejo de Estado</w:t>
      </w:r>
      <w:bookmarkEnd w:id="2"/>
      <w:r w:rsidRPr="00926BEA">
        <w:rPr>
          <w:rFonts w:ascii="Verdana" w:eastAsia="Calibri" w:hAnsi="Verdana" w:cs="Arial"/>
          <w:color w:val="000000" w:themeColor="text1"/>
        </w:rPr>
        <w:t xml:space="preserve"> explica que las entidades –tanto </w:t>
      </w:r>
      <w:r>
        <w:rPr>
          <w:rFonts w:ascii="Verdana" w:eastAsia="Calibri" w:hAnsi="Verdana" w:cs="Arial"/>
          <w:color w:val="000000" w:themeColor="text1"/>
        </w:rPr>
        <w:t xml:space="preserve">las </w:t>
      </w:r>
      <w:r w:rsidRPr="00926BEA">
        <w:rPr>
          <w:rFonts w:ascii="Verdana" w:eastAsia="Calibri" w:hAnsi="Verdana" w:cs="Arial"/>
          <w:color w:val="000000" w:themeColor="text1"/>
        </w:rPr>
        <w:t xml:space="preserve">sometidas como exceptuadas de la Ley 80 de 1993– tienen las siguientes opciones: </w:t>
      </w:r>
    </w:p>
    <w:p w14:paraId="2901BFC9" w14:textId="77777777" w:rsidR="004A1CED" w:rsidRPr="00926BEA" w:rsidRDefault="004A1CED" w:rsidP="004A1CED">
      <w:pPr>
        <w:spacing w:after="0" w:line="276" w:lineRule="auto"/>
        <w:ind w:firstLine="708"/>
        <w:jc w:val="both"/>
        <w:rPr>
          <w:rFonts w:ascii="Verdana" w:eastAsia="Calibri" w:hAnsi="Verdana" w:cs="Arial"/>
          <w:color w:val="000000" w:themeColor="text1"/>
        </w:rPr>
      </w:pPr>
    </w:p>
    <w:p w14:paraId="4327435B" w14:textId="77777777" w:rsidR="004A1CED" w:rsidRPr="00926BEA" w:rsidRDefault="004A1CED" w:rsidP="004A1CED">
      <w:pPr>
        <w:spacing w:after="120" w:line="240" w:lineRule="auto"/>
        <w:ind w:left="709" w:right="709"/>
        <w:jc w:val="both"/>
        <w:rPr>
          <w:rFonts w:ascii="Verdana" w:eastAsia="Calibri" w:hAnsi="Verdana" w:cs="Arial"/>
          <w:color w:val="000000" w:themeColor="text1"/>
          <w:sz w:val="21"/>
          <w:szCs w:val="21"/>
        </w:rPr>
      </w:pPr>
      <w:r w:rsidRPr="00926BEA">
        <w:rPr>
          <w:rFonts w:ascii="Verdana" w:eastAsia="Calibri" w:hAnsi="Verdana" w:cs="Arial"/>
          <w:color w:val="000000" w:themeColor="text1"/>
          <w:sz w:val="21"/>
          <w:szCs w:val="21"/>
        </w:rPr>
        <w:t>“(i) En los estudios previos que sustentan la contratación: a) tipificar, estimar y asignar los riesgos para prevenir actos de corrupción; b) contemplar las medidas tendientes a verificar las calidades de los proponentes o futuros contratistas;</w:t>
      </w:r>
    </w:p>
    <w:p w14:paraId="544FE2E2" w14:textId="77777777" w:rsidR="004A1CED" w:rsidRPr="00926BEA" w:rsidRDefault="004A1CED" w:rsidP="004A1CED">
      <w:pPr>
        <w:spacing w:after="120" w:line="240" w:lineRule="auto"/>
        <w:ind w:left="709" w:right="709"/>
        <w:jc w:val="both"/>
        <w:rPr>
          <w:rFonts w:ascii="Verdana" w:eastAsia="Calibri" w:hAnsi="Verdana" w:cs="Arial"/>
          <w:color w:val="000000" w:themeColor="text1"/>
          <w:sz w:val="21"/>
          <w:szCs w:val="21"/>
        </w:rPr>
      </w:pPr>
      <w:r w:rsidRPr="00926BEA">
        <w:rPr>
          <w:rFonts w:ascii="Verdana" w:eastAsia="Calibri" w:hAnsi="Verdana" w:cs="Arial"/>
          <w:color w:val="000000" w:themeColor="text1"/>
          <w:sz w:val="21"/>
          <w:szCs w:val="21"/>
        </w:rPr>
        <w:lastRenderedPageBreak/>
        <w:t>(</w:t>
      </w:r>
      <w:proofErr w:type="spellStart"/>
      <w:r w:rsidRPr="00926BEA">
        <w:rPr>
          <w:rFonts w:ascii="Verdana" w:eastAsia="Calibri" w:hAnsi="Verdana" w:cs="Arial"/>
          <w:color w:val="000000" w:themeColor="text1"/>
          <w:sz w:val="21"/>
          <w:szCs w:val="21"/>
        </w:rPr>
        <w:t>ii</w:t>
      </w:r>
      <w:proofErr w:type="spellEnd"/>
      <w:r w:rsidRPr="00926BEA">
        <w:rPr>
          <w:rFonts w:ascii="Verdana" w:eastAsia="Calibri" w:hAnsi="Verdana" w:cs="Arial"/>
          <w:color w:val="000000" w:themeColor="text1"/>
          <w:sz w:val="21"/>
          <w:szCs w:val="21"/>
        </w:rPr>
        <w:t>) En los pliegos de condiciones y como parte integrante de la oferta: a) exigir la suscripción de “pactos o compromisos de integridad” y de la “declaración de origen de fondos”; b) identificar plenamente al proponente y verificar los datos pertinentes, de acuerdo con la prerrogativa de la entidad, y c) señalar expresamente que uno de los riesgos asociados al contrato es el de corrupción, el cual se relaciona directamente con el riesgo financiero y, en consecuencia, exigir garantías suficientes que permitan mantener cubierta a la entidad en relación con este riesgo;</w:t>
      </w:r>
    </w:p>
    <w:p w14:paraId="17BFD65D" w14:textId="77777777" w:rsidR="004A1CED" w:rsidRPr="00926BEA" w:rsidRDefault="004A1CED" w:rsidP="004A1CED">
      <w:pPr>
        <w:spacing w:after="0" w:line="240" w:lineRule="auto"/>
        <w:ind w:left="709" w:right="709"/>
        <w:jc w:val="both"/>
        <w:rPr>
          <w:rFonts w:ascii="Verdana" w:eastAsia="Calibri" w:hAnsi="Verdana" w:cs="Arial"/>
          <w:color w:val="000000" w:themeColor="text1"/>
          <w:sz w:val="21"/>
          <w:szCs w:val="21"/>
        </w:rPr>
      </w:pPr>
      <w:r w:rsidRPr="00926BEA">
        <w:rPr>
          <w:rFonts w:ascii="Verdana" w:eastAsia="Calibri" w:hAnsi="Verdana" w:cs="Arial"/>
          <w:color w:val="000000" w:themeColor="text1"/>
          <w:sz w:val="21"/>
          <w:szCs w:val="21"/>
        </w:rPr>
        <w:t>(</w:t>
      </w:r>
      <w:proofErr w:type="spellStart"/>
      <w:r w:rsidRPr="00926BEA">
        <w:rPr>
          <w:rFonts w:ascii="Verdana" w:eastAsia="Calibri" w:hAnsi="Verdana" w:cs="Arial"/>
          <w:color w:val="000000" w:themeColor="text1"/>
          <w:sz w:val="21"/>
          <w:szCs w:val="21"/>
        </w:rPr>
        <w:t>iii</w:t>
      </w:r>
      <w:proofErr w:type="spellEnd"/>
      <w:r w:rsidRPr="00926BEA">
        <w:rPr>
          <w:rFonts w:ascii="Verdana" w:eastAsia="Calibri" w:hAnsi="Verdana" w:cs="Arial"/>
          <w:color w:val="000000" w:themeColor="text1"/>
          <w:sz w:val="21"/>
          <w:szCs w:val="21"/>
        </w:rPr>
        <w:t>) En las cláusulas contractuales: a) incorporar la obligación a cargo del contratista de reportar periódicamente su información societaria, financiera y comercial, así como la modificación del estado de los mencionados riesgos; b) con el fin de proteger los intereses de la administración, incluir condiciones resolutorias expresas por hechos u omisiones que, aunque no estén tipificadas como causales de inhabilidad o incompatibilidad impliquen por parte del contratista o de las personas vinculadas a él actos de corrupción u otras circunstancias de las cuales se derive el aumento considerable de los riesgos para la entidad contratante o que vulneren los principios de la contratación estatal; c) estipular multas en los términos expuestos en este concepto”</w:t>
      </w:r>
      <w:r w:rsidRPr="00926BEA">
        <w:rPr>
          <w:rStyle w:val="Refdenotaalpie"/>
          <w:rFonts w:ascii="Verdana" w:eastAsia="Calibri" w:hAnsi="Verdana" w:cs="Arial"/>
          <w:color w:val="000000" w:themeColor="text1"/>
          <w:sz w:val="21"/>
          <w:szCs w:val="21"/>
        </w:rPr>
        <w:footnoteReference w:id="6"/>
      </w:r>
      <w:r w:rsidRPr="00926BEA">
        <w:rPr>
          <w:rFonts w:ascii="Verdana" w:eastAsia="Calibri" w:hAnsi="Verdana" w:cs="Arial"/>
          <w:color w:val="000000" w:themeColor="text1"/>
          <w:sz w:val="21"/>
          <w:szCs w:val="21"/>
        </w:rPr>
        <w:t>.</w:t>
      </w:r>
    </w:p>
    <w:p w14:paraId="358F7498" w14:textId="77777777" w:rsidR="004A1CED" w:rsidRPr="00926BEA" w:rsidRDefault="004A1CED" w:rsidP="004A1CED">
      <w:pPr>
        <w:spacing w:after="0" w:line="276" w:lineRule="auto"/>
        <w:ind w:left="709" w:right="709"/>
        <w:jc w:val="both"/>
        <w:rPr>
          <w:rFonts w:ascii="Verdana" w:eastAsia="Calibri" w:hAnsi="Verdana" w:cs="Arial"/>
          <w:color w:val="000000" w:themeColor="text1"/>
        </w:rPr>
      </w:pPr>
    </w:p>
    <w:p w14:paraId="5B78B7A5" w14:textId="77777777" w:rsidR="004A1CED" w:rsidRPr="00926BEA" w:rsidRDefault="004A1CED" w:rsidP="004A1CED">
      <w:pPr>
        <w:spacing w:after="120" w:line="276" w:lineRule="auto"/>
        <w:ind w:firstLine="709"/>
        <w:jc w:val="both"/>
        <w:rPr>
          <w:rFonts w:ascii="Verdana" w:eastAsia="Calibri" w:hAnsi="Verdana" w:cs="Arial"/>
          <w:color w:val="000000" w:themeColor="text1"/>
        </w:rPr>
      </w:pPr>
      <w:r w:rsidRPr="00926BEA">
        <w:rPr>
          <w:rFonts w:ascii="Verdana" w:eastAsia="Calibri" w:hAnsi="Verdana" w:cs="Arial"/>
          <w:color w:val="000000" w:themeColor="text1"/>
        </w:rPr>
        <w:t>En virtud de lo anterior, puede concluirse que el SARLAFT constituye una política de manejo del riesgo, configurando la teoría de la debida diligencia, la cual hace referencia a una validación establecida en la gestión interna del riesgo crítico de la organización, donde se busca el aseguramiento en las relaciones contractuales con sus contrapartes. Dicho aseguramiento se busca en materia de prevención de los riesgos asociados al lavado de activos, financiación del terrorismo y la proliferación de armas de destrucción masiva, donde las compañías están expuestas a los riesgos de reputación, legales, operacionales y de contagio que afectarían ostensiblemente cualquier</w:t>
      </w:r>
      <w:r>
        <w:rPr>
          <w:rFonts w:ascii="Verdana" w:eastAsia="Calibri" w:hAnsi="Verdana" w:cs="Arial"/>
          <w:color w:val="000000" w:themeColor="text1"/>
        </w:rPr>
        <w:t xml:space="preserve"> </w:t>
      </w:r>
      <w:r w:rsidRPr="00926BEA">
        <w:rPr>
          <w:rFonts w:ascii="Verdana" w:eastAsia="Calibri" w:hAnsi="Verdana" w:cs="Arial"/>
          <w:color w:val="000000" w:themeColor="text1"/>
        </w:rPr>
        <w:t xml:space="preserve">organización y la continuidad en la ejecución de una actividad contractual. </w:t>
      </w:r>
    </w:p>
    <w:p w14:paraId="412A1945" w14:textId="77777777" w:rsidR="004A1CED" w:rsidRDefault="004A1CED" w:rsidP="004A1CED">
      <w:pPr>
        <w:spacing w:after="120" w:line="276" w:lineRule="auto"/>
        <w:ind w:firstLine="709"/>
        <w:jc w:val="both"/>
        <w:rPr>
          <w:rFonts w:ascii="Verdana" w:eastAsia="Calibri" w:hAnsi="Verdana" w:cs="Arial"/>
          <w:color w:val="000000" w:themeColor="text1"/>
          <w:lang w:val="es-ES_tradnl"/>
        </w:rPr>
      </w:pPr>
      <w:r w:rsidRPr="00926BEA">
        <w:rPr>
          <w:rFonts w:ascii="Verdana" w:eastAsia="Calibri" w:hAnsi="Verdana" w:cs="Arial"/>
          <w:color w:val="000000" w:themeColor="text1"/>
        </w:rPr>
        <w:t xml:space="preserve">La debida diligencia o verificación en listas vinculantes, restrictivas y no restrictivas es una acción fundamental al interior de todos los sistemas de gestión del riesgo de lavado de activos y financiación del terrorismo, pues se configura en la etapa de conocimiento del proveedor, así como en la vinculación del extremo contractual, satisfaciendo </w:t>
      </w:r>
      <w:r w:rsidRPr="00926BEA">
        <w:rPr>
          <w:rFonts w:ascii="Verdana" w:eastAsia="Calibri" w:hAnsi="Verdana" w:cs="Arial"/>
          <w:color w:val="000000" w:themeColor="text1"/>
          <w:lang w:val="es-ES_tradnl"/>
        </w:rPr>
        <w:t xml:space="preserve">la necesidad de salvaguardar el interés </w:t>
      </w:r>
      <w:r w:rsidRPr="00926BEA">
        <w:rPr>
          <w:rFonts w:ascii="Verdana" w:eastAsia="Calibri" w:hAnsi="Verdana" w:cs="Arial"/>
          <w:color w:val="000000" w:themeColor="text1"/>
          <w:lang w:val="es-ES_tradnl"/>
        </w:rPr>
        <w:lastRenderedPageBreak/>
        <w:t>general inherente en la contratación pública, de forma que implique el menor sacrificio posible al derecho de igualdad y al reconocimiento de la personalidad jurídica de quienes aspiran a contratar con el Estado.</w:t>
      </w:r>
    </w:p>
    <w:p w14:paraId="07184E3A" w14:textId="77777777" w:rsidR="004A1CED" w:rsidRDefault="004A1CED" w:rsidP="004A1CED">
      <w:pPr>
        <w:spacing w:after="120" w:line="276" w:lineRule="auto"/>
        <w:ind w:firstLine="709"/>
        <w:jc w:val="both"/>
        <w:rPr>
          <w:rFonts w:ascii="Verdana" w:eastAsia="Calibri" w:hAnsi="Verdana" w:cs="Arial"/>
          <w:lang w:val="es-ES"/>
        </w:rPr>
      </w:pPr>
      <w:r w:rsidRPr="00FC74A2">
        <w:rPr>
          <w:rFonts w:ascii="Verdana" w:eastAsia="Calibri" w:hAnsi="Verdana" w:cs="Arial"/>
          <w:lang w:val="es-ES"/>
        </w:rPr>
        <w:t xml:space="preserve">Sin perjuicio de otras medidas que adopte la entidad que adelanta el proceso de selección, el riesgo de lavado de activos y de la financiación del terrorismo puede controlarse en las condiciones </w:t>
      </w:r>
      <w:r>
        <w:rPr>
          <w:rFonts w:ascii="Verdana" w:eastAsia="Calibri" w:hAnsi="Verdana" w:cs="Arial"/>
          <w:lang w:val="es-ES"/>
        </w:rPr>
        <w:t>antes referidas</w:t>
      </w:r>
      <w:r w:rsidRPr="00FC74A2">
        <w:rPr>
          <w:rFonts w:ascii="Verdana" w:eastAsia="Calibri" w:hAnsi="Verdana" w:cs="Arial"/>
          <w:lang w:val="es-ES"/>
        </w:rPr>
        <w:t xml:space="preserve"> por la Sala de Consulta y Servicio Civil</w:t>
      </w:r>
      <w:r>
        <w:rPr>
          <w:rFonts w:ascii="Verdana" w:eastAsia="Calibri" w:hAnsi="Verdana" w:cs="Arial"/>
          <w:lang w:val="es-ES"/>
        </w:rPr>
        <w:t xml:space="preserve"> en el </w:t>
      </w:r>
      <w:r w:rsidRPr="00F24E53">
        <w:rPr>
          <w:rFonts w:ascii="Verdana" w:eastAsia="Calibri" w:hAnsi="Verdana" w:cs="Arial"/>
          <w:lang w:val="es-ES"/>
        </w:rPr>
        <w:t>Concepto del 27 de agosto de 2015</w:t>
      </w:r>
      <w:r w:rsidRPr="00FC74A2">
        <w:rPr>
          <w:rFonts w:ascii="Verdana" w:eastAsia="Calibri" w:hAnsi="Verdana" w:cs="Arial"/>
          <w:lang w:val="es-ES"/>
        </w:rPr>
        <w:t>. Como se observa, ninguna de las medidas que sugiere el Consejo de Estado incluye la consagración de causales de rechazo con tintes habilitantes ni</w:t>
      </w:r>
      <w:r>
        <w:rPr>
          <w:rFonts w:ascii="Verdana" w:eastAsia="Calibri" w:hAnsi="Verdana" w:cs="Arial"/>
          <w:lang w:val="es-ES"/>
        </w:rPr>
        <w:t xml:space="preserve"> </w:t>
      </w:r>
      <w:r w:rsidRPr="00FC74A2">
        <w:rPr>
          <w:rFonts w:ascii="Verdana" w:eastAsia="Calibri" w:hAnsi="Verdana" w:cs="Arial"/>
          <w:lang w:val="es-ES"/>
        </w:rPr>
        <w:t>la posibilidad de terminar unilateralmente los contratos.</w:t>
      </w:r>
      <w:r>
        <w:rPr>
          <w:rFonts w:ascii="Verdana" w:eastAsia="Calibri" w:hAnsi="Verdana" w:cs="Arial"/>
          <w:lang w:val="es-ES"/>
        </w:rPr>
        <w:t xml:space="preserve"> Respecto al riesgo de corrupción, sumado a las medidas previstas en el artículo 9 del EGCAP y de la Ley 1150 de 2007, </w:t>
      </w:r>
      <w:r w:rsidRPr="00F24E53">
        <w:rPr>
          <w:rFonts w:ascii="Verdana" w:eastAsia="Calibri" w:hAnsi="Verdana" w:cs="Arial"/>
          <w:lang w:val="es-ES"/>
        </w:rPr>
        <w:t xml:space="preserve">siempre que se configure el supuesto de la inhabilidad del literal j) del artículo 8.1 de la Ley 80 de 1993, podrá aplicarse la causal de terminación unilateral del artículo 44.1 </w:t>
      </w:r>
      <w:r w:rsidRPr="00F24E53">
        <w:rPr>
          <w:rFonts w:ascii="Verdana" w:eastAsia="Calibri" w:hAnsi="Verdana" w:cs="Arial"/>
          <w:i/>
          <w:iCs/>
          <w:lang w:val="es-ES"/>
        </w:rPr>
        <w:t>ibidem</w:t>
      </w:r>
      <w:r w:rsidRPr="00F24E53">
        <w:rPr>
          <w:rFonts w:ascii="Verdana" w:eastAsia="Calibri" w:hAnsi="Verdana" w:cs="Arial"/>
          <w:lang w:val="es-ES"/>
        </w:rPr>
        <w:t>.</w:t>
      </w:r>
      <w:r>
        <w:rPr>
          <w:rFonts w:ascii="Verdana" w:eastAsia="Calibri" w:hAnsi="Verdana" w:cs="Arial"/>
          <w:lang w:val="es-ES"/>
        </w:rPr>
        <w:t xml:space="preserve"> </w:t>
      </w:r>
    </w:p>
    <w:p w14:paraId="4A7DB899" w14:textId="77777777" w:rsidR="004A1CED" w:rsidRDefault="004A1CED" w:rsidP="004A1CED">
      <w:pPr>
        <w:spacing w:after="120" w:line="276" w:lineRule="auto"/>
        <w:ind w:firstLine="709"/>
        <w:jc w:val="both"/>
        <w:rPr>
          <w:rFonts w:ascii="Verdana" w:hAnsi="Verdana" w:cs="Arial"/>
          <w:color w:val="000000" w:themeColor="text1"/>
        </w:rPr>
      </w:pPr>
      <w:r>
        <w:rPr>
          <w:rFonts w:ascii="Verdana" w:eastAsia="Calibri" w:hAnsi="Verdana" w:cs="Arial"/>
          <w:lang w:val="es-ES"/>
        </w:rPr>
        <w:t xml:space="preserve">En cualquier caso, </w:t>
      </w:r>
      <w:r w:rsidRPr="00926BEA">
        <w:rPr>
          <w:rFonts w:ascii="Verdana" w:hAnsi="Verdana"/>
        </w:rPr>
        <w:t xml:space="preserve">el carácter reconocidamente taxativo y restrictivo de régimen de inhabilidades </w:t>
      </w:r>
      <w:r>
        <w:rPr>
          <w:rFonts w:ascii="Verdana" w:hAnsi="Verdana"/>
        </w:rPr>
        <w:t xml:space="preserve">implica que </w:t>
      </w:r>
      <w:r w:rsidRPr="00926BEA">
        <w:rPr>
          <w:rFonts w:ascii="Verdana" w:hAnsi="Verdana"/>
        </w:rPr>
        <w:t>las entidades públicas no pueden establecer en el pliego de condiciones causales de inhabilidad o incompatibilidad no previstas en la Constitución o en la ley. En consecuencia, al tratarse de una materia que tiene reserva legal, no es posible que una entidad establezca nuevas causales que afecten la capacidad para contratar con el Estado</w:t>
      </w:r>
      <w:r>
        <w:rPr>
          <w:rFonts w:ascii="Verdana" w:hAnsi="Verdana"/>
        </w:rPr>
        <w:t xml:space="preserve"> que se encuentren relacionadas con el tema objeto de consulta</w:t>
      </w:r>
      <w:r w:rsidRPr="00926BEA">
        <w:rPr>
          <w:rFonts w:ascii="Verdana" w:hAnsi="Verdana"/>
        </w:rPr>
        <w:t>, ni siquiera haciéndolas pasar como causa para rechazar los ofrecimientos realizados.</w:t>
      </w:r>
      <w:r>
        <w:rPr>
          <w:rFonts w:ascii="Verdana" w:hAnsi="Verdana"/>
        </w:rPr>
        <w:t xml:space="preserve"> Tampoco podrán proceder a la terminación unilateral del contrato con ocasión a la inclusión del contratista en las señaladas listar restrictivas, teniendo en cuenta que este supuesto no fue contemplado en </w:t>
      </w:r>
      <w:r w:rsidRPr="00926BEA">
        <w:rPr>
          <w:rFonts w:ascii="Verdana" w:hAnsi="Verdana" w:cs="Arial"/>
          <w:color w:val="000000" w:themeColor="text1"/>
        </w:rPr>
        <w:t>los artículos 17 y 45 del EGCAP</w:t>
      </w:r>
      <w:r>
        <w:rPr>
          <w:rFonts w:ascii="Verdana" w:hAnsi="Verdana" w:cs="Arial"/>
          <w:color w:val="000000" w:themeColor="text1"/>
        </w:rPr>
        <w:t>.</w:t>
      </w:r>
    </w:p>
    <w:p w14:paraId="541FA1E5" w14:textId="77777777" w:rsidR="004A1CED" w:rsidRDefault="004A1CED" w:rsidP="004A1CED">
      <w:pPr>
        <w:spacing w:after="120" w:line="276" w:lineRule="auto"/>
        <w:ind w:firstLine="709"/>
        <w:jc w:val="both"/>
        <w:rPr>
          <w:rFonts w:ascii="Verdana" w:eastAsia="Calibri" w:hAnsi="Verdana" w:cs="Arial"/>
          <w:lang w:val="es-ES"/>
        </w:rPr>
      </w:pPr>
      <w:r>
        <w:rPr>
          <w:rFonts w:ascii="Verdana" w:hAnsi="Verdana" w:cs="Arial"/>
          <w:color w:val="000000" w:themeColor="text1"/>
        </w:rPr>
        <w:t xml:space="preserve">Lo anterior también es aplicable en el caso de las entidades que se encuentren vigiladas por la Superintendencia Financiera, en el sentido que no podrán determinar causales de inhabilidad o rechazo relacionadas con el tema objeto de consulta, sin que el supuesto haya sido contemplado por la ley. Corresponderá a cada una de estas entidades analizar el marco jurídico aplicable al caso concreto y determinar si existe alguna causal o restricción que pueda dar lugar a limitar la participación de proponentes que hayan sido incluidos en las listas referidas. Por otra parte, las entidades deberán determinar si la inclusión en este tipo de listas supone el incumplimiento de otros requisitos, por ejemplo, relacionados con la capacidad financiera o jurídica de los proponentes, caso en </w:t>
      </w:r>
      <w:r>
        <w:rPr>
          <w:rFonts w:ascii="Verdana" w:hAnsi="Verdana" w:cs="Arial"/>
          <w:color w:val="000000" w:themeColor="text1"/>
        </w:rPr>
        <w:lastRenderedPageBreak/>
        <w:t xml:space="preserve">el cual podría ocasionar el rechazo de sus ofertas con base en el incumplimiento de los requisitos habilitantes exigidos. </w:t>
      </w:r>
    </w:p>
    <w:p w14:paraId="5C929FA3" w14:textId="77777777" w:rsidR="004A1CED" w:rsidRPr="0085503E" w:rsidRDefault="004A1CED" w:rsidP="004A1CED">
      <w:pPr>
        <w:spacing w:after="120" w:line="276" w:lineRule="auto"/>
        <w:ind w:firstLine="709"/>
        <w:jc w:val="both"/>
        <w:rPr>
          <w:rFonts w:ascii="Verdana" w:eastAsia="Calibri" w:hAnsi="Verdana" w:cs="Arial"/>
          <w:lang w:val="es-ES"/>
        </w:rPr>
      </w:pPr>
      <w:r w:rsidRPr="00E853DE">
        <w:rPr>
          <w:rFonts w:ascii="Verdana" w:eastAsia="Calibri" w:hAnsi="Verdana" w:cs="Arial"/>
          <w:bCs/>
          <w:color w:val="000000" w:themeColor="text1"/>
        </w:rPr>
        <w:t>Al margen de la explicación precedente debe advertirse que el análisis requerido para resolver problemas específicos en torno a la gestión contractual de las entidades públicas debe ser realizado por quienes tengan interés en ello, de acuerdo con lo explicado la aclaración preliminar del presente oficio. De esta manera, las afirmaciones aquí realizadas no pueden ser interpretadas como juicios de valor sobre circunstancias concretas relacionadas con los hechos que motivan la consulta. Por lo anterior, previo concepto de sus asesores, la solución de situaciones particulares corresponde a los interesados adoptar la decisión correspondiente y, en caso de conflicto, a las autoridades judiciales, fiscales y disciplinarias.</w:t>
      </w:r>
    </w:p>
    <w:p w14:paraId="00031B11" w14:textId="77777777" w:rsidR="004A1CED" w:rsidRPr="005235CE" w:rsidRDefault="004A1CED" w:rsidP="004A1CED">
      <w:pPr>
        <w:spacing w:after="120" w:line="276" w:lineRule="auto"/>
        <w:ind w:firstLine="708"/>
        <w:jc w:val="both"/>
        <w:rPr>
          <w:rFonts w:ascii="Verdana" w:hAnsi="Verdana" w:cs="Arial"/>
          <w:lang w:val="es-ES_tradnl"/>
        </w:rPr>
      </w:pPr>
      <w:r w:rsidRPr="00E853DE">
        <w:rPr>
          <w:rFonts w:ascii="Verdana" w:eastAsia="Calibri" w:hAnsi="Verdana" w:cs="Arial"/>
          <w:bCs/>
          <w:color w:val="000000" w:themeColor="text1"/>
        </w:rPr>
        <w:t>Dentro de este marco, la entidad contratante definirá en cada caso concreto lo relacionado con el tema objeto de consulta. Al tratarse de un análisis que debe realizarse en el procedimiento contractual específico, la Agencia no puede definir un criterio universal y absoluto por vía consultiva, sino que brinda elementos de carácter general para que los partícipes del sistema de compras y contratación pública adopten la decisión que corresponda, lo cual es acorde con el principio de juridicidad. Así, cada entidad definirá la forma de adelantar su gestión contractual, sin que sea atribución de Colombia Compra Eficiente validar sus actuaciones.</w:t>
      </w:r>
    </w:p>
    <w:p w14:paraId="12320F67" w14:textId="77777777" w:rsidR="004A1CED" w:rsidRPr="002069C6" w:rsidRDefault="004A1CED" w:rsidP="004A1CED">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color w:val="000000" w:themeColor="text1"/>
        </w:rPr>
      </w:pPr>
      <w:r w:rsidRPr="002069C6">
        <w:rPr>
          <w:rFonts w:ascii="Verdana" w:eastAsia="Century Gothic" w:hAnsi="Verdana" w:cs="Century Gothic"/>
          <w:b/>
          <w:bCs/>
          <w:color w:val="000000" w:themeColor="text1"/>
        </w:rPr>
        <w:t>Referencias normativas, jurisprudenciales y otras fuentes:</w:t>
      </w:r>
    </w:p>
    <w:p w14:paraId="2585AD0D" w14:textId="77777777" w:rsidR="004A1CED" w:rsidRPr="002069C6" w:rsidRDefault="004A1CED" w:rsidP="004A1CED">
      <w:pPr>
        <w:pStyle w:val="Prrafodelista"/>
        <w:tabs>
          <w:tab w:val="left" w:pos="142"/>
          <w:tab w:val="left" w:pos="284"/>
        </w:tabs>
        <w:spacing w:after="0" w:line="276" w:lineRule="auto"/>
        <w:ind w:left="0"/>
        <w:jc w:val="both"/>
        <w:rPr>
          <w:rFonts w:ascii="Verdana" w:eastAsia="Century Gothic" w:hAnsi="Verdana" w:cs="Century Gothic"/>
          <w:b/>
          <w:bCs/>
          <w:color w:val="000000" w:themeColor="text1"/>
        </w:rPr>
      </w:pPr>
    </w:p>
    <w:tbl>
      <w:tblPr>
        <w:tblStyle w:val="Tablaconcuadrcula"/>
        <w:tblW w:w="8647" w:type="dxa"/>
        <w:tblInd w:w="137" w:type="dxa"/>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647"/>
      </w:tblGrid>
      <w:tr w:rsidR="004A1CED" w:rsidRPr="002069C6" w14:paraId="574C7707" w14:textId="77777777" w:rsidTr="00FC4C3B">
        <w:trPr>
          <w:trHeight w:val="870"/>
        </w:trPr>
        <w:tc>
          <w:tcPr>
            <w:tcW w:w="8647" w:type="dxa"/>
          </w:tcPr>
          <w:p w14:paraId="3764105D" w14:textId="5EB87B63" w:rsidR="004A1CED" w:rsidRPr="0014203C" w:rsidRDefault="002D7DCE" w:rsidP="0014203C">
            <w:pPr>
              <w:widowControl w:val="0"/>
              <w:numPr>
                <w:ilvl w:val="0"/>
                <w:numId w:val="17"/>
              </w:numPr>
              <w:autoSpaceDE w:val="0"/>
              <w:autoSpaceDN w:val="0"/>
              <w:snapToGrid w:val="0"/>
              <w:spacing w:before="120" w:after="120" w:line="276" w:lineRule="auto"/>
              <w:jc w:val="both"/>
              <w:rPr>
                <w:rFonts w:ascii="Verdana" w:eastAsia="Calibri" w:hAnsi="Verdana" w:cs="Arial"/>
                <w:color w:val="000000" w:themeColor="text1"/>
              </w:rPr>
            </w:pPr>
            <w:r w:rsidRPr="0014203C">
              <w:rPr>
                <w:rFonts w:ascii="Verdana" w:eastAsia="Calibri" w:hAnsi="Verdana" w:cs="Arial"/>
                <w:color w:val="000000" w:themeColor="text1"/>
              </w:rPr>
              <w:t xml:space="preserve">Ley 80 de 1993, artículos </w:t>
            </w:r>
            <w:r w:rsidR="00823FEE" w:rsidRPr="0014203C">
              <w:rPr>
                <w:rFonts w:ascii="Verdana" w:eastAsia="Calibri" w:hAnsi="Verdana" w:cs="Arial"/>
                <w:color w:val="000000" w:themeColor="text1"/>
              </w:rPr>
              <w:t xml:space="preserve">8, </w:t>
            </w:r>
            <w:r w:rsidR="00ED77FE" w:rsidRPr="0014203C">
              <w:rPr>
                <w:rFonts w:ascii="Verdana" w:eastAsia="Calibri" w:hAnsi="Verdana" w:cs="Arial"/>
                <w:color w:val="000000" w:themeColor="text1"/>
              </w:rPr>
              <w:t xml:space="preserve">13, </w:t>
            </w:r>
            <w:r w:rsidRPr="0014203C">
              <w:rPr>
                <w:rFonts w:ascii="Verdana" w:eastAsia="Calibri" w:hAnsi="Verdana" w:cs="Arial"/>
                <w:color w:val="000000" w:themeColor="text1"/>
              </w:rPr>
              <w:t>17</w:t>
            </w:r>
            <w:r w:rsidR="00ED77FE" w:rsidRPr="0014203C">
              <w:rPr>
                <w:rFonts w:ascii="Verdana" w:eastAsia="Calibri" w:hAnsi="Verdana" w:cs="Arial"/>
                <w:color w:val="000000" w:themeColor="text1"/>
              </w:rPr>
              <w:t>, 44</w:t>
            </w:r>
            <w:r w:rsidRPr="0014203C">
              <w:rPr>
                <w:rFonts w:ascii="Verdana" w:eastAsia="Calibri" w:hAnsi="Verdana" w:cs="Arial"/>
                <w:color w:val="000000" w:themeColor="text1"/>
              </w:rPr>
              <w:t xml:space="preserve"> y 45.</w:t>
            </w:r>
          </w:p>
          <w:p w14:paraId="2EE5983F" w14:textId="468E6F27" w:rsidR="00AE66A0" w:rsidRPr="0014203C" w:rsidRDefault="00AE66A0" w:rsidP="0014203C">
            <w:pPr>
              <w:widowControl w:val="0"/>
              <w:numPr>
                <w:ilvl w:val="0"/>
                <w:numId w:val="17"/>
              </w:numPr>
              <w:autoSpaceDE w:val="0"/>
              <w:autoSpaceDN w:val="0"/>
              <w:snapToGrid w:val="0"/>
              <w:spacing w:before="120" w:after="120" w:line="276" w:lineRule="auto"/>
              <w:jc w:val="both"/>
              <w:rPr>
                <w:rFonts w:ascii="Verdana" w:eastAsia="Calibri" w:hAnsi="Verdana" w:cs="Arial"/>
                <w:color w:val="000000" w:themeColor="text1"/>
              </w:rPr>
            </w:pPr>
            <w:r w:rsidRPr="0014203C">
              <w:rPr>
                <w:rFonts w:ascii="Verdana" w:eastAsia="Calibri" w:hAnsi="Verdana" w:cs="Arial"/>
                <w:color w:val="000000" w:themeColor="text1"/>
                <w:lang/>
              </w:rPr>
              <w:t>Decreto Ley 663 de 1993, Estatuto Orgánico del Sistema Financiero, artículos 102 y subsiguientes.</w:t>
            </w:r>
          </w:p>
          <w:p w14:paraId="156AF6A5" w14:textId="4AAEF6AA" w:rsidR="00AE66A0" w:rsidRPr="0014203C" w:rsidRDefault="00AE66A0" w:rsidP="0014203C">
            <w:pPr>
              <w:widowControl w:val="0"/>
              <w:numPr>
                <w:ilvl w:val="0"/>
                <w:numId w:val="17"/>
              </w:numPr>
              <w:autoSpaceDE w:val="0"/>
              <w:autoSpaceDN w:val="0"/>
              <w:snapToGrid w:val="0"/>
              <w:spacing w:before="120" w:after="120" w:line="276" w:lineRule="auto"/>
              <w:jc w:val="both"/>
              <w:rPr>
                <w:rFonts w:ascii="Verdana" w:eastAsia="Calibri" w:hAnsi="Verdana" w:cs="Arial"/>
                <w:color w:val="000000" w:themeColor="text1"/>
              </w:rPr>
            </w:pPr>
            <w:r w:rsidRPr="0014203C">
              <w:rPr>
                <w:rFonts w:ascii="Verdana" w:eastAsia="Calibri" w:hAnsi="Verdana" w:cs="Arial"/>
                <w:color w:val="000000" w:themeColor="text1"/>
                <w:lang/>
              </w:rPr>
              <w:t>Ley 964 de 2005, artículo 22.</w:t>
            </w:r>
          </w:p>
          <w:p w14:paraId="06AF8AA5" w14:textId="5200CB6B" w:rsidR="00ED77FE" w:rsidRPr="0014203C" w:rsidRDefault="00ED77FE" w:rsidP="0014203C">
            <w:pPr>
              <w:widowControl w:val="0"/>
              <w:numPr>
                <w:ilvl w:val="0"/>
                <w:numId w:val="17"/>
              </w:numPr>
              <w:autoSpaceDE w:val="0"/>
              <w:autoSpaceDN w:val="0"/>
              <w:snapToGrid w:val="0"/>
              <w:spacing w:before="120" w:after="120" w:line="276" w:lineRule="auto"/>
              <w:jc w:val="both"/>
              <w:rPr>
                <w:rFonts w:ascii="Verdana" w:eastAsia="Calibri" w:hAnsi="Verdana" w:cs="Arial"/>
                <w:color w:val="000000" w:themeColor="text1"/>
              </w:rPr>
            </w:pPr>
            <w:r w:rsidRPr="0014203C">
              <w:rPr>
                <w:rFonts w:ascii="Verdana" w:eastAsia="Calibri" w:hAnsi="Verdana" w:cs="Arial"/>
                <w:color w:val="000000" w:themeColor="text1"/>
              </w:rPr>
              <w:t>Ley 526 de 1999, modificada por las Leyes 1121 de 2006, 1621 de 2012 y 1762 de 2015.</w:t>
            </w:r>
          </w:p>
          <w:p w14:paraId="3CEE884A" w14:textId="2F0034EF" w:rsidR="00C3091B" w:rsidRPr="0014203C" w:rsidRDefault="00ED77FE" w:rsidP="0014203C">
            <w:pPr>
              <w:widowControl w:val="0"/>
              <w:numPr>
                <w:ilvl w:val="0"/>
                <w:numId w:val="17"/>
              </w:numPr>
              <w:autoSpaceDE w:val="0"/>
              <w:autoSpaceDN w:val="0"/>
              <w:snapToGrid w:val="0"/>
              <w:spacing w:before="120" w:after="120" w:line="276" w:lineRule="auto"/>
              <w:jc w:val="both"/>
              <w:rPr>
                <w:rFonts w:ascii="Verdana" w:eastAsia="Calibri" w:hAnsi="Verdana" w:cs="Arial"/>
                <w:color w:val="000000" w:themeColor="text1"/>
              </w:rPr>
            </w:pPr>
            <w:r w:rsidRPr="0014203C">
              <w:rPr>
                <w:rFonts w:ascii="Verdana" w:eastAsia="Calibri" w:hAnsi="Verdana" w:cs="Arial"/>
                <w:color w:val="000000" w:themeColor="text1"/>
              </w:rPr>
              <w:t>Decreto 1497 de 2002, actualmente compilado en el Decreto Único Reglamentario 1068 de 2015 del sector Hacienda y Crédito Público, artículo 2.</w:t>
            </w:r>
          </w:p>
          <w:p w14:paraId="2CE64538" w14:textId="2FAE82F9" w:rsidR="00823FEE" w:rsidRPr="0014203C" w:rsidRDefault="00C54341" w:rsidP="0014203C">
            <w:pPr>
              <w:widowControl w:val="0"/>
              <w:numPr>
                <w:ilvl w:val="0"/>
                <w:numId w:val="17"/>
              </w:numPr>
              <w:autoSpaceDE w:val="0"/>
              <w:autoSpaceDN w:val="0"/>
              <w:snapToGrid w:val="0"/>
              <w:spacing w:before="120" w:after="120" w:line="276" w:lineRule="auto"/>
              <w:jc w:val="both"/>
              <w:rPr>
                <w:rFonts w:ascii="Verdana" w:eastAsia="Calibri" w:hAnsi="Verdana" w:cs="Arial"/>
                <w:color w:val="000000" w:themeColor="text1"/>
              </w:rPr>
            </w:pPr>
            <w:r w:rsidRPr="0014203C">
              <w:rPr>
                <w:rFonts w:ascii="Verdana" w:hAnsi="Verdana" w:cs="Arial"/>
              </w:rPr>
              <w:t>Consejo De Estado</w:t>
            </w:r>
            <w:r w:rsidR="00823FEE" w:rsidRPr="0014203C">
              <w:rPr>
                <w:rFonts w:ascii="Verdana" w:hAnsi="Verdana" w:cs="Arial"/>
              </w:rPr>
              <w:t xml:space="preserve">. Sala de Consulta y Servicio Civil. Concepto del 27 </w:t>
            </w:r>
            <w:r w:rsidR="00823FEE" w:rsidRPr="0014203C">
              <w:rPr>
                <w:rFonts w:ascii="Verdana" w:hAnsi="Verdana" w:cs="Arial"/>
              </w:rPr>
              <w:lastRenderedPageBreak/>
              <w:t>de agosto de 2015. Rad. 2.264. C.P. Álvaro Namén Vargas.</w:t>
            </w:r>
          </w:p>
          <w:p w14:paraId="07A25DB4" w14:textId="5AD1CFE7" w:rsidR="00C3091B" w:rsidRPr="0014203C" w:rsidRDefault="00C54341" w:rsidP="0014203C">
            <w:pPr>
              <w:widowControl w:val="0"/>
              <w:numPr>
                <w:ilvl w:val="0"/>
                <w:numId w:val="17"/>
              </w:numPr>
              <w:autoSpaceDE w:val="0"/>
              <w:autoSpaceDN w:val="0"/>
              <w:snapToGrid w:val="0"/>
              <w:spacing w:before="120" w:after="120" w:line="276" w:lineRule="auto"/>
              <w:jc w:val="both"/>
              <w:rPr>
                <w:rFonts w:ascii="Verdana" w:eastAsia="Calibri" w:hAnsi="Verdana" w:cs="Arial"/>
                <w:color w:val="000000" w:themeColor="text1"/>
              </w:rPr>
            </w:pPr>
            <w:r w:rsidRPr="0014203C">
              <w:rPr>
                <w:rFonts w:ascii="Verdana" w:hAnsi="Verdana" w:cs="Arial"/>
                <w:color w:val="000000" w:themeColor="text1"/>
                <w:lang w:val="pt-BR"/>
              </w:rPr>
              <w:t>Corte Constitucional</w:t>
            </w:r>
            <w:r w:rsidR="00C3091B" w:rsidRPr="0014203C">
              <w:rPr>
                <w:rFonts w:ascii="Verdana" w:hAnsi="Verdana" w:cs="Arial"/>
                <w:color w:val="000000" w:themeColor="text1"/>
                <w:lang w:val="pt-BR"/>
              </w:rPr>
              <w:t>. Sentencia T-468 de 2003. M.P. Rodrigo Escobar Gil.</w:t>
            </w:r>
          </w:p>
          <w:p w14:paraId="0A755149" w14:textId="77777777" w:rsidR="00823FEE" w:rsidRPr="0014203C" w:rsidRDefault="00823FEE" w:rsidP="0014203C">
            <w:pPr>
              <w:widowControl w:val="0"/>
              <w:numPr>
                <w:ilvl w:val="0"/>
                <w:numId w:val="17"/>
              </w:numPr>
              <w:autoSpaceDE w:val="0"/>
              <w:autoSpaceDN w:val="0"/>
              <w:snapToGrid w:val="0"/>
              <w:spacing w:before="120" w:after="120" w:line="276" w:lineRule="auto"/>
              <w:jc w:val="both"/>
              <w:rPr>
                <w:rFonts w:ascii="Verdana" w:eastAsia="Calibri" w:hAnsi="Verdana" w:cs="Arial"/>
                <w:color w:val="000000" w:themeColor="text1"/>
              </w:rPr>
            </w:pPr>
            <w:r w:rsidRPr="0014203C">
              <w:rPr>
                <w:rFonts w:ascii="Verdana" w:hAnsi="Verdana"/>
              </w:rPr>
              <w:t xml:space="preserve">Superintendencia Financiera, </w:t>
            </w:r>
            <w:r w:rsidRPr="0014203C">
              <w:rPr>
                <w:rFonts w:ascii="Verdana" w:hAnsi="Verdana" w:cs="Arial"/>
                <w:lang w:eastAsia="es-CO"/>
              </w:rPr>
              <w:t>Capítulo IV, Titulo IV, Parte I de la Circular Básica Jurídica, Instrucciones relativas a la Administración del Riesgo de Lavado de Activos y de la Financiación del Terrorismo.</w:t>
            </w:r>
          </w:p>
          <w:p w14:paraId="144C89BB" w14:textId="4768C012" w:rsidR="00C3091B" w:rsidRPr="007178D5" w:rsidRDefault="00C3091B" w:rsidP="0014203C">
            <w:pPr>
              <w:widowControl w:val="0"/>
              <w:numPr>
                <w:ilvl w:val="0"/>
                <w:numId w:val="17"/>
              </w:numPr>
              <w:autoSpaceDE w:val="0"/>
              <w:autoSpaceDN w:val="0"/>
              <w:snapToGrid w:val="0"/>
              <w:spacing w:before="120" w:after="120" w:line="276" w:lineRule="auto"/>
              <w:jc w:val="both"/>
              <w:rPr>
                <w:rFonts w:ascii="Verdana" w:eastAsia="Calibri" w:hAnsi="Verdana" w:cs="Arial"/>
                <w:color w:val="000000" w:themeColor="text1"/>
              </w:rPr>
            </w:pPr>
            <w:r w:rsidRPr="0014203C">
              <w:rPr>
                <w:rFonts w:ascii="Verdana" w:eastAsia="Calibri" w:hAnsi="Verdana" w:cs="Arial"/>
                <w:color w:val="000000" w:themeColor="text1"/>
                <w:lang w:val="es-ES_tradnl"/>
              </w:rPr>
              <w:t>Orden Ejecutiva 12.798 del Gobierno de Estados Unidos</w:t>
            </w:r>
            <w:r w:rsidR="0014203C">
              <w:rPr>
                <w:rFonts w:ascii="Verdana" w:eastAsia="Calibri" w:hAnsi="Verdana" w:cs="Arial"/>
                <w:color w:val="000000" w:themeColor="text1"/>
                <w:lang w:val="es-ES_tradnl"/>
              </w:rPr>
              <w:t>.</w:t>
            </w:r>
          </w:p>
        </w:tc>
      </w:tr>
    </w:tbl>
    <w:p w14:paraId="2B7F308E" w14:textId="77777777" w:rsidR="004A1CED" w:rsidRPr="002069C6" w:rsidRDefault="004A1CED" w:rsidP="004A1CED">
      <w:pPr>
        <w:widowControl w:val="0"/>
        <w:autoSpaceDE w:val="0"/>
        <w:autoSpaceDN w:val="0"/>
        <w:spacing w:after="0" w:line="276" w:lineRule="auto"/>
        <w:jc w:val="both"/>
        <w:rPr>
          <w:rFonts w:ascii="Verdana" w:hAnsi="Verdana" w:cs="Arial"/>
          <w:color w:val="000000" w:themeColor="text1"/>
          <w:lang w:val="es-ES"/>
        </w:rPr>
      </w:pPr>
    </w:p>
    <w:p w14:paraId="4976940C" w14:textId="77777777" w:rsidR="004A1CED" w:rsidRPr="002069C6" w:rsidRDefault="004A1CED" w:rsidP="004A1CED">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color w:val="000000" w:themeColor="text1"/>
        </w:rPr>
      </w:pPr>
      <w:r w:rsidRPr="002069C6">
        <w:rPr>
          <w:rFonts w:ascii="Verdana" w:eastAsia="Century Gothic" w:hAnsi="Verdana" w:cs="Century Gothic"/>
          <w:b/>
          <w:bCs/>
          <w:color w:val="000000" w:themeColor="text1"/>
        </w:rPr>
        <w:t>Doctrina de la Agencia Nacional de Contratación Pública:</w:t>
      </w:r>
    </w:p>
    <w:p w14:paraId="651A6FBE" w14:textId="77777777" w:rsidR="004A1CED" w:rsidRPr="002069C6" w:rsidRDefault="004A1CED" w:rsidP="004A1CED">
      <w:pPr>
        <w:widowControl w:val="0"/>
        <w:autoSpaceDE w:val="0"/>
        <w:autoSpaceDN w:val="0"/>
        <w:spacing w:after="0" w:line="276" w:lineRule="auto"/>
        <w:jc w:val="both"/>
        <w:rPr>
          <w:rFonts w:ascii="Verdana" w:hAnsi="Verdana" w:cs="Arial"/>
          <w:color w:val="000000" w:themeColor="text1"/>
          <w:lang w:val="es-ES"/>
        </w:rPr>
      </w:pPr>
    </w:p>
    <w:p w14:paraId="423DAEA1" w14:textId="77777777" w:rsidR="004A1CED" w:rsidRPr="00E278D2" w:rsidRDefault="004A1CED" w:rsidP="004A1CED">
      <w:pPr>
        <w:widowControl w:val="0"/>
        <w:autoSpaceDE w:val="0"/>
        <w:autoSpaceDN w:val="0"/>
        <w:spacing w:after="0" w:line="276" w:lineRule="auto"/>
        <w:jc w:val="both"/>
        <w:rPr>
          <w:rStyle w:val="normaltextrun"/>
          <w:rFonts w:ascii="Verdana" w:hAnsi="Verdana" w:cs="Arial"/>
          <w:shd w:val="clear" w:color="auto" w:fill="FFFFFF"/>
        </w:rPr>
      </w:pPr>
      <w:r w:rsidRPr="002069C6">
        <w:rPr>
          <w:rStyle w:val="normaltextrun"/>
          <w:rFonts w:ascii="Verdana" w:hAnsi="Verdana" w:cs="Arial"/>
          <w:color w:val="000000" w:themeColor="text1"/>
          <w:shd w:val="clear" w:color="auto" w:fill="FFFFFF"/>
          <w:lang w:val="es-ES"/>
        </w:rPr>
        <w:t xml:space="preserve">La Agencia Nacional de Contratación Pública – Colombia Compra Eficiente </w:t>
      </w:r>
      <w:r>
        <w:rPr>
          <w:rStyle w:val="normaltextrun"/>
          <w:rFonts w:ascii="Verdana" w:hAnsi="Verdana" w:cs="Arial"/>
          <w:color w:val="000000" w:themeColor="text1"/>
          <w:shd w:val="clear" w:color="auto" w:fill="FFFFFF"/>
          <w:lang w:val="es-ES"/>
        </w:rPr>
        <w:t>señaló e</w:t>
      </w:r>
      <w:r w:rsidRPr="00792DF4">
        <w:rPr>
          <w:rStyle w:val="normaltextrun"/>
          <w:rFonts w:ascii="Verdana" w:hAnsi="Verdana" w:cs="Arial"/>
          <w:shd w:val="clear" w:color="auto" w:fill="FFFFFF"/>
        </w:rPr>
        <w:t>n los Conceptos 415140001639 del 17 de junio de 2019, C-001 del 15 de enero de 2020, C-230 del 16 de abril de 2020, C-684 del 24 de noviembre de 2020</w:t>
      </w:r>
      <w:r>
        <w:rPr>
          <w:rStyle w:val="normaltextrun"/>
          <w:rFonts w:ascii="Verdana" w:hAnsi="Verdana" w:cs="Arial"/>
          <w:shd w:val="clear" w:color="auto" w:fill="FFFFFF"/>
        </w:rPr>
        <w:t>,</w:t>
      </w:r>
      <w:r w:rsidRPr="00792DF4">
        <w:rPr>
          <w:rStyle w:val="normaltextrun"/>
          <w:rFonts w:ascii="Verdana" w:hAnsi="Verdana" w:cs="Arial"/>
          <w:shd w:val="clear" w:color="auto" w:fill="FFFFFF"/>
        </w:rPr>
        <w:t xml:space="preserve"> C-958 del 13 de febrero de 2023</w:t>
      </w:r>
      <w:r>
        <w:rPr>
          <w:rStyle w:val="normaltextrun"/>
          <w:rFonts w:ascii="Verdana" w:hAnsi="Verdana" w:cs="Arial"/>
          <w:shd w:val="clear" w:color="auto" w:fill="FFFFFF"/>
        </w:rPr>
        <w:t xml:space="preserve"> y </w:t>
      </w:r>
      <w:r w:rsidRPr="007847B7">
        <w:rPr>
          <w:rFonts w:ascii="Verdana" w:eastAsia="Calibri" w:hAnsi="Verdana" w:cs="Arial"/>
          <w:lang w:val="es-ES" w:eastAsia="es-ES"/>
        </w:rPr>
        <w:t>C–279 del 27 de marzo de 2025</w:t>
      </w:r>
      <w:r w:rsidRPr="007847B7">
        <w:rPr>
          <w:rStyle w:val="normaltextrun"/>
          <w:rFonts w:ascii="Verdana" w:hAnsi="Verdana" w:cs="Arial"/>
          <w:shd w:val="clear" w:color="auto" w:fill="FFFFFF"/>
        </w:rPr>
        <w:t xml:space="preserve"> </w:t>
      </w:r>
      <w:r w:rsidRPr="00792DF4">
        <w:rPr>
          <w:rStyle w:val="normaltextrun"/>
          <w:rFonts w:ascii="Verdana" w:hAnsi="Verdana" w:cs="Arial"/>
          <w:shd w:val="clear" w:color="auto" w:fill="FFFFFF"/>
        </w:rPr>
        <w:t>que la inclusión en la Lista Clinton o los controles del SARLAFT no derivan inhabilidades o incompatibilidades, y que estás no pueden camuflarse como causales de rechazo en los pliegos de condiciones o documentos equivalentes</w:t>
      </w:r>
      <w:r>
        <w:rPr>
          <w:rStyle w:val="normaltextrun"/>
          <w:rFonts w:ascii="Verdana" w:hAnsi="Verdana" w:cs="Arial"/>
          <w:shd w:val="clear" w:color="auto" w:fill="FFFFFF"/>
        </w:rPr>
        <w:t>.</w:t>
      </w:r>
      <w:r w:rsidRPr="007847B7">
        <w:rPr>
          <w:rStyle w:val="normaltextrun"/>
          <w:rFonts w:ascii="Verdana" w:hAnsi="Verdana" w:cs="Arial"/>
          <w:shd w:val="clear" w:color="auto" w:fill="FFFFFF"/>
        </w:rPr>
        <w:t xml:space="preserve"> </w:t>
      </w:r>
      <w:r>
        <w:rPr>
          <w:rStyle w:val="normaltextrun"/>
          <w:rFonts w:ascii="Verdana" w:hAnsi="Verdana" w:cs="Arial"/>
          <w:shd w:val="clear" w:color="auto" w:fill="FFFFFF"/>
        </w:rPr>
        <w:t xml:space="preserve">Asimismo, </w:t>
      </w:r>
      <w:r w:rsidRPr="00010325">
        <w:rPr>
          <w:rFonts w:ascii="Verdana" w:hAnsi="Verdana" w:cs="Arial"/>
          <w:shd w:val="clear" w:color="auto" w:fill="FFFFFF"/>
        </w:rPr>
        <w:t>se ha pronunciado sobre</w:t>
      </w:r>
      <w:r>
        <w:rPr>
          <w:rFonts w:ascii="Verdana" w:hAnsi="Verdana" w:cs="Arial"/>
          <w:shd w:val="clear" w:color="auto" w:fill="FFFFFF"/>
        </w:rPr>
        <w:t xml:space="preserve"> las causales de rechazo y la terminación unilateral frente al riesgo de lavado de activos en los Conceptos C-419 del 27 de octubre de 2023 y C-494 del 12 de noviembre de 2024</w:t>
      </w:r>
      <w:r>
        <w:rPr>
          <w:rStyle w:val="normaltextrun"/>
          <w:rFonts w:ascii="Verdana" w:hAnsi="Verdana" w:cs="Arial"/>
          <w:shd w:val="clear" w:color="auto" w:fill="FFFFFF"/>
        </w:rPr>
        <w:t xml:space="preserve">. </w:t>
      </w:r>
      <w:r w:rsidRPr="00E278D2">
        <w:rPr>
          <w:rStyle w:val="normaltextrun"/>
          <w:rFonts w:ascii="Verdana" w:hAnsi="Verdana" w:cs="Arial"/>
          <w:shd w:val="clear" w:color="auto" w:fill="FFFFFF"/>
        </w:rPr>
        <w:t>Estos y otros conceptos se encuentran disponibles para consulta en el Sistema de relatoría de la Agencia</w:t>
      </w:r>
      <w:r w:rsidRPr="00A1554D">
        <w:rPr>
          <w:rFonts w:ascii="Verdana" w:hAnsi="Verdana"/>
        </w:rPr>
        <w:t>, al cual puede acceder</w:t>
      </w:r>
      <w:r>
        <w:rPr>
          <w:rFonts w:ascii="Verdana" w:hAnsi="Verdana"/>
        </w:rPr>
        <w:t>se</w:t>
      </w:r>
      <w:r w:rsidRPr="00A1554D">
        <w:rPr>
          <w:rFonts w:ascii="Verdana" w:hAnsi="Verdana"/>
        </w:rPr>
        <w:t xml:space="preserve"> a través del siguiente enlace:</w:t>
      </w:r>
      <w:r w:rsidRPr="00A1554D">
        <w:rPr>
          <w:rStyle w:val="normaltextrun"/>
          <w:rFonts w:ascii="Verdana" w:hAnsi="Verdana" w:cs="Arial"/>
          <w:shd w:val="clear" w:color="auto" w:fill="FFFFFF"/>
          <w:lang w:val="es-ES"/>
        </w:rPr>
        <w:t xml:space="preserve"> </w:t>
      </w:r>
      <w:hyperlink r:id="rId12" w:history="1">
        <w:r w:rsidRPr="00A1554D">
          <w:rPr>
            <w:rStyle w:val="Hipervnculo"/>
            <w:rFonts w:ascii="Verdana" w:hAnsi="Verdana" w:cs="Arial"/>
            <w:shd w:val="clear" w:color="auto" w:fill="FFFFFF"/>
            <w:lang w:val="es-ES"/>
          </w:rPr>
          <w:t>https://relatoria.colombiacompra.gov.co/busqueda/conceptos</w:t>
        </w:r>
      </w:hyperlink>
      <w:r w:rsidRPr="00CD3D06">
        <w:rPr>
          <w:rStyle w:val="normaltextrun"/>
          <w:rFonts w:ascii="Verdana" w:hAnsi="Verdana" w:cs="Arial"/>
          <w:shd w:val="clear" w:color="auto" w:fill="FFFFFF"/>
          <w:lang w:val="es-ES"/>
        </w:rPr>
        <w:t>.</w:t>
      </w:r>
      <w:r>
        <w:rPr>
          <w:rStyle w:val="normaltextrun"/>
          <w:rFonts w:ascii="Verdana" w:hAnsi="Verdana" w:cs="Arial"/>
          <w:color w:val="FF0000"/>
          <w:shd w:val="clear" w:color="auto" w:fill="FFFFFF"/>
          <w:lang w:val="es-ES"/>
        </w:rPr>
        <w:t xml:space="preserve"> </w:t>
      </w:r>
    </w:p>
    <w:p w14:paraId="52C1559A" w14:textId="77777777" w:rsidR="004A1CED" w:rsidRPr="002069C6" w:rsidRDefault="004A1CED" w:rsidP="004A1CED">
      <w:pPr>
        <w:widowControl w:val="0"/>
        <w:autoSpaceDE w:val="0"/>
        <w:autoSpaceDN w:val="0"/>
        <w:spacing w:after="0" w:line="276" w:lineRule="auto"/>
        <w:jc w:val="both"/>
        <w:rPr>
          <w:rStyle w:val="normaltextrun"/>
          <w:rFonts w:ascii="Verdana" w:hAnsi="Verdana" w:cs="Arial"/>
          <w:color w:val="FF0000"/>
          <w:shd w:val="clear" w:color="auto" w:fill="FFFFFF"/>
          <w:lang w:val="es-ES"/>
        </w:rPr>
      </w:pPr>
    </w:p>
    <w:p w14:paraId="5DFDC8A4" w14:textId="77777777" w:rsidR="004A1CED" w:rsidRPr="002069C6" w:rsidRDefault="004A1CED" w:rsidP="004A1CED">
      <w:pPr>
        <w:spacing w:after="0" w:line="276" w:lineRule="auto"/>
        <w:jc w:val="both"/>
        <w:rPr>
          <w:rFonts w:ascii="Verdana" w:hAnsi="Verdana"/>
          <w:lang w:val="es-ES"/>
        </w:rPr>
      </w:pPr>
      <w:r w:rsidRPr="002069C6">
        <w:rPr>
          <w:rFonts w:ascii="Verdana" w:hAnsi="Verdana"/>
          <w:lang w:val="es-ES"/>
        </w:rPr>
        <w:t xml:space="preserve">Por último, lo invitamos a seguirnos en las redes sociales en las cuales se difunde información institucional: </w:t>
      </w:r>
    </w:p>
    <w:p w14:paraId="6C07114B" w14:textId="77777777" w:rsidR="004A1CED" w:rsidRPr="002069C6" w:rsidRDefault="004A1CED" w:rsidP="004A1CED">
      <w:pPr>
        <w:spacing w:after="0" w:line="276" w:lineRule="auto"/>
        <w:jc w:val="both"/>
        <w:rPr>
          <w:rFonts w:ascii="Verdana" w:hAnsi="Verdana"/>
          <w:lang w:val="es-ES"/>
        </w:rPr>
      </w:pPr>
    </w:p>
    <w:p w14:paraId="662F62A7" w14:textId="77777777" w:rsidR="004A1CED" w:rsidRPr="002069C6" w:rsidRDefault="004A1CED" w:rsidP="004A1CED">
      <w:pPr>
        <w:spacing w:after="0" w:line="276" w:lineRule="auto"/>
        <w:jc w:val="both"/>
        <w:rPr>
          <w:rFonts w:ascii="Verdana" w:hAnsi="Verdana"/>
          <w:lang w:val="es-ES"/>
        </w:rPr>
      </w:pPr>
      <w:r w:rsidRPr="002069C6">
        <w:rPr>
          <w:rFonts w:ascii="Verdana" w:hAnsi="Verdana"/>
          <w:lang w:val="es-ES"/>
        </w:rPr>
        <w:t xml:space="preserve">Twitter: </w:t>
      </w:r>
      <w:r w:rsidRPr="002069C6">
        <w:rPr>
          <w:rStyle w:val="Hipervnculo"/>
          <w:rFonts w:ascii="Verdana" w:hAnsi="Verdana" w:cs="Arial"/>
          <w:shd w:val="clear" w:color="auto" w:fill="FFFFFF"/>
          <w:lang w:val="es-ES"/>
        </w:rPr>
        <w:t>@colombiacompra</w:t>
      </w:r>
      <w:r w:rsidRPr="002069C6">
        <w:rPr>
          <w:rFonts w:ascii="Verdana" w:hAnsi="Verdana"/>
          <w:color w:val="4472C4" w:themeColor="accent1"/>
          <w:lang w:val="es-ES"/>
        </w:rPr>
        <w:t xml:space="preserve"> </w:t>
      </w:r>
    </w:p>
    <w:p w14:paraId="42E89CF9" w14:textId="77777777" w:rsidR="004A1CED" w:rsidRPr="002069C6" w:rsidRDefault="004A1CED" w:rsidP="004A1CED">
      <w:pPr>
        <w:spacing w:after="0" w:line="276" w:lineRule="auto"/>
        <w:jc w:val="both"/>
        <w:rPr>
          <w:rFonts w:ascii="Verdana" w:hAnsi="Verdana"/>
          <w:lang w:val="es-ES"/>
        </w:rPr>
      </w:pPr>
      <w:r w:rsidRPr="002069C6">
        <w:rPr>
          <w:rFonts w:ascii="Verdana" w:hAnsi="Verdana"/>
          <w:lang w:val="es-ES"/>
        </w:rPr>
        <w:t xml:space="preserve">Facebook: </w:t>
      </w:r>
      <w:proofErr w:type="spellStart"/>
      <w:r w:rsidRPr="002069C6">
        <w:rPr>
          <w:rStyle w:val="Hipervnculo"/>
          <w:rFonts w:ascii="Verdana" w:hAnsi="Verdana" w:cs="Arial"/>
          <w:shd w:val="clear" w:color="auto" w:fill="FFFFFF"/>
          <w:lang w:val="es-ES"/>
        </w:rPr>
        <w:t>ColombiaCompraEficiente</w:t>
      </w:r>
      <w:proofErr w:type="spellEnd"/>
    </w:p>
    <w:p w14:paraId="70DAE368" w14:textId="77777777" w:rsidR="004A1CED" w:rsidRPr="002069C6" w:rsidRDefault="004A1CED" w:rsidP="004A1CED">
      <w:pPr>
        <w:spacing w:after="0" w:line="276" w:lineRule="auto"/>
        <w:jc w:val="both"/>
        <w:rPr>
          <w:rFonts w:ascii="Verdana" w:hAnsi="Verdana"/>
          <w:lang w:val="es-ES"/>
        </w:rPr>
      </w:pPr>
      <w:r w:rsidRPr="002069C6">
        <w:rPr>
          <w:rFonts w:ascii="Verdana" w:hAnsi="Verdana"/>
          <w:lang w:val="es-ES"/>
        </w:rPr>
        <w:t xml:space="preserve">LinkedIn: </w:t>
      </w:r>
      <w:r w:rsidRPr="002069C6">
        <w:rPr>
          <w:rStyle w:val="Hipervnculo"/>
          <w:rFonts w:ascii="Verdana" w:hAnsi="Verdana" w:cs="Arial"/>
          <w:shd w:val="clear" w:color="auto" w:fill="FFFFFF"/>
          <w:lang w:val="es-ES"/>
        </w:rPr>
        <w:t xml:space="preserve">Agencia Nacional de Contratación Pública - Colombia Compra Eficiente </w:t>
      </w:r>
      <w:r w:rsidRPr="002069C6">
        <w:rPr>
          <w:rFonts w:ascii="Verdana" w:hAnsi="Verdana"/>
          <w:lang w:val="es-ES"/>
        </w:rPr>
        <w:t xml:space="preserve">Instagram: </w:t>
      </w:r>
      <w:r w:rsidRPr="002069C6">
        <w:rPr>
          <w:rStyle w:val="Hipervnculo"/>
          <w:rFonts w:ascii="Verdana" w:hAnsi="Verdana" w:cs="Arial"/>
          <w:shd w:val="clear" w:color="auto" w:fill="FFFFFF"/>
          <w:lang w:val="es-ES"/>
        </w:rPr>
        <w:t>@colombiacompraeficiente_cce</w:t>
      </w:r>
    </w:p>
    <w:p w14:paraId="1852FCA7" w14:textId="77777777" w:rsidR="004A1CED" w:rsidRPr="002069C6" w:rsidRDefault="004A1CED" w:rsidP="004A1CED">
      <w:pPr>
        <w:widowControl w:val="0"/>
        <w:autoSpaceDE w:val="0"/>
        <w:autoSpaceDN w:val="0"/>
        <w:spacing w:after="0" w:line="276" w:lineRule="auto"/>
        <w:jc w:val="both"/>
        <w:rPr>
          <w:rFonts w:ascii="Verdana" w:hAnsi="Verdana" w:cs="Arial"/>
          <w:color w:val="000000" w:themeColor="text1"/>
          <w:lang w:val="es-ES"/>
        </w:rPr>
      </w:pPr>
    </w:p>
    <w:p w14:paraId="42B34D7D" w14:textId="77777777" w:rsidR="004A1CED" w:rsidRPr="002069C6" w:rsidRDefault="004A1CED" w:rsidP="004A1CED">
      <w:pPr>
        <w:widowControl w:val="0"/>
        <w:autoSpaceDE w:val="0"/>
        <w:autoSpaceDN w:val="0"/>
        <w:spacing w:after="0" w:line="276" w:lineRule="auto"/>
        <w:jc w:val="both"/>
        <w:rPr>
          <w:rFonts w:ascii="Verdana" w:hAnsi="Verdana" w:cs="Arial"/>
          <w:color w:val="000000" w:themeColor="text1"/>
          <w:lang w:val="es-ES"/>
        </w:rPr>
      </w:pPr>
      <w:r w:rsidRPr="002069C6">
        <w:rPr>
          <w:rFonts w:ascii="Verdana" w:hAnsi="Verdana" w:cs="Arial"/>
          <w:color w:val="000000" w:themeColor="text1"/>
          <w:lang w:val="es-ES"/>
        </w:rPr>
        <w:t xml:space="preserve">Este concepto tiene el alcance previsto en el artículo 28 del Código de Procedimiento Administrativo y de lo Contencioso Administrativo y las expresiones aquí utilizadas con mayúscula inicial deben ser entendidas con el </w:t>
      </w:r>
      <w:r w:rsidRPr="002069C6">
        <w:rPr>
          <w:rFonts w:ascii="Verdana" w:hAnsi="Verdana" w:cs="Arial"/>
          <w:color w:val="000000" w:themeColor="text1"/>
          <w:lang w:val="es-ES"/>
        </w:rPr>
        <w:lastRenderedPageBreak/>
        <w:t>significado que les otorga el artículo 2.2.1.1.1.3.1. del Decreto 1082 de 2015.</w:t>
      </w:r>
    </w:p>
    <w:p w14:paraId="73B07E70" w14:textId="77777777" w:rsidR="004A1CED" w:rsidRPr="002069C6" w:rsidRDefault="004A1CED" w:rsidP="004A1CED">
      <w:pPr>
        <w:widowControl w:val="0"/>
        <w:autoSpaceDE w:val="0"/>
        <w:autoSpaceDN w:val="0"/>
        <w:spacing w:after="0" w:line="276" w:lineRule="auto"/>
        <w:jc w:val="both"/>
        <w:rPr>
          <w:rFonts w:ascii="Verdana" w:hAnsi="Verdana" w:cs="Arial"/>
          <w:color w:val="000000" w:themeColor="text1"/>
          <w:lang w:val="es-ES"/>
        </w:rPr>
      </w:pPr>
    </w:p>
    <w:p w14:paraId="54EF7A35" w14:textId="77777777" w:rsidR="004A1CED" w:rsidRDefault="004A1CED" w:rsidP="004A1CED">
      <w:pPr>
        <w:spacing w:after="0" w:line="276" w:lineRule="auto"/>
        <w:rPr>
          <w:rFonts w:ascii="Verdana" w:hAnsi="Verdana" w:cs="Arial"/>
          <w:color w:val="000000" w:themeColor="text1"/>
          <w:lang w:val="es-ES" w:eastAsia="es-CO"/>
        </w:rPr>
      </w:pPr>
      <w:r w:rsidRPr="002069C6">
        <w:rPr>
          <w:rFonts w:ascii="Verdana" w:eastAsia="Times New Roman" w:hAnsi="Verdana" w:cs="Arial"/>
          <w:color w:val="000000" w:themeColor="text1"/>
          <w:lang w:val="es-ES" w:eastAsia="es-CO"/>
        </w:rPr>
        <w:t>Atentamente,</w:t>
      </w:r>
      <w:r w:rsidRPr="002069C6">
        <w:rPr>
          <w:rFonts w:ascii="Verdana" w:hAnsi="Verdana" w:cs="Arial"/>
          <w:color w:val="000000" w:themeColor="text1"/>
          <w:lang w:val="es-ES" w:eastAsia="es-CO"/>
        </w:rPr>
        <w:t xml:space="preserve"> </w:t>
      </w:r>
    </w:p>
    <w:p w14:paraId="1FC60466" w14:textId="150019F2" w:rsidR="00502AA5" w:rsidRDefault="00502AA5" w:rsidP="004A1CED">
      <w:pPr>
        <w:spacing w:after="0" w:line="276" w:lineRule="auto"/>
        <w:rPr>
          <w:rFonts w:ascii="Verdana" w:hAnsi="Verdana" w:cs="Arial"/>
          <w:color w:val="000000" w:themeColor="text1"/>
          <w:lang w:val="es-ES" w:eastAsia="es-CO"/>
        </w:rPr>
      </w:pPr>
      <w:r>
        <w:rPr>
          <w:noProof/>
        </w:rPr>
        <w:drawing>
          <wp:anchor distT="0" distB="0" distL="114300" distR="114300" simplePos="0" relativeHeight="251659264" behindDoc="0" locked="0" layoutInCell="1" allowOverlap="1" wp14:anchorId="31BC18FF" wp14:editId="760778F1">
            <wp:simplePos x="0" y="0"/>
            <wp:positionH relativeFrom="column">
              <wp:posOffset>1024890</wp:posOffset>
            </wp:positionH>
            <wp:positionV relativeFrom="paragraph">
              <wp:posOffset>78105</wp:posOffset>
            </wp:positionV>
            <wp:extent cx="3222625" cy="1356360"/>
            <wp:effectExtent l="0" t="0" r="3175" b="2540"/>
            <wp:wrapSquare wrapText="bothSides"/>
            <wp:docPr id="184249846"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3222625" cy="135636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79A98DF7" w14:textId="2E0BC7E3" w:rsidR="00502AA5" w:rsidRPr="002069C6" w:rsidRDefault="00502AA5" w:rsidP="004A1CED">
      <w:pPr>
        <w:spacing w:after="0" w:line="276" w:lineRule="auto"/>
        <w:rPr>
          <w:rFonts w:ascii="Verdana" w:hAnsi="Verdana" w:cs="Arial"/>
          <w:color w:val="000000" w:themeColor="text1"/>
          <w:lang w:val="es-ES" w:eastAsia="es-CO"/>
        </w:rPr>
      </w:pPr>
    </w:p>
    <w:p w14:paraId="02303646" w14:textId="675AD9F0" w:rsidR="004A1CED" w:rsidRDefault="004A1CED" w:rsidP="3446F7FF">
      <w:pPr>
        <w:spacing w:line="276" w:lineRule="auto"/>
      </w:pPr>
    </w:p>
    <w:tbl>
      <w:tblPr>
        <w:tblStyle w:val="Tablaconcuadrcula"/>
        <w:tblW w:w="652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93"/>
        <w:gridCol w:w="5628"/>
      </w:tblGrid>
      <w:tr w:rsidR="004A1CED" w:rsidRPr="00D0638B" w14:paraId="6ADDDBA5" w14:textId="77777777" w:rsidTr="00FC4C3B">
        <w:trPr>
          <w:trHeight w:val="315"/>
        </w:trPr>
        <w:tc>
          <w:tcPr>
            <w:tcW w:w="893" w:type="dxa"/>
            <w:vAlign w:val="center"/>
            <w:hideMark/>
          </w:tcPr>
          <w:p w14:paraId="0E9EC7F1" w14:textId="77777777" w:rsidR="004A1CED" w:rsidRPr="00D0638B" w:rsidRDefault="004A1CED" w:rsidP="00FC4C3B">
            <w:pPr>
              <w:contextualSpacing/>
              <w:rPr>
                <w:rFonts w:ascii="Verdana" w:hAnsi="Verdana" w:cs="Arial"/>
                <w:sz w:val="15"/>
                <w:szCs w:val="15"/>
                <w:lang w:val="es-ES" w:eastAsia="es-ES"/>
              </w:rPr>
            </w:pPr>
            <w:r w:rsidRPr="00D0638B">
              <w:rPr>
                <w:rFonts w:ascii="Verdana" w:hAnsi="Verdana" w:cs="Arial"/>
                <w:sz w:val="15"/>
                <w:szCs w:val="15"/>
                <w:lang w:val="es-ES" w:eastAsia="es-ES"/>
              </w:rPr>
              <w:t>Elaboró:</w:t>
            </w:r>
          </w:p>
        </w:tc>
        <w:tc>
          <w:tcPr>
            <w:tcW w:w="5628" w:type="dxa"/>
            <w:tcBorders>
              <w:top w:val="nil"/>
              <w:left w:val="nil"/>
              <w:bottom w:val="dotted" w:sz="4" w:space="0" w:color="7F7F7F" w:themeColor="text1" w:themeTint="80"/>
              <w:right w:val="nil"/>
            </w:tcBorders>
            <w:vAlign w:val="center"/>
            <w:hideMark/>
          </w:tcPr>
          <w:p w14:paraId="7C6917FB" w14:textId="77777777" w:rsidR="004A1CED" w:rsidRPr="00D0638B" w:rsidRDefault="004A1CED" w:rsidP="00FC4C3B">
            <w:pPr>
              <w:contextualSpacing/>
              <w:rPr>
                <w:rFonts w:ascii="Verdana" w:eastAsia="Arial" w:hAnsi="Verdana" w:cs="Arial"/>
                <w:color w:val="000000" w:themeColor="text1"/>
                <w:sz w:val="15"/>
                <w:szCs w:val="15"/>
                <w:lang w:val="es-ES"/>
              </w:rPr>
            </w:pPr>
            <w:r w:rsidRPr="00D0638B">
              <w:rPr>
                <w:rFonts w:ascii="Verdana" w:eastAsia="Arial" w:hAnsi="Verdana" w:cs="Arial"/>
                <w:color w:val="000000" w:themeColor="text1"/>
                <w:sz w:val="15"/>
                <w:szCs w:val="15"/>
                <w:lang w:val="es-ES"/>
              </w:rPr>
              <w:t>Anamaría Bonilla Prieto</w:t>
            </w:r>
          </w:p>
          <w:p w14:paraId="66C9E833" w14:textId="77777777" w:rsidR="004A1CED" w:rsidRPr="00D0638B" w:rsidRDefault="004A1CED" w:rsidP="00FC4C3B">
            <w:pPr>
              <w:contextualSpacing/>
              <w:rPr>
                <w:rFonts w:ascii="Verdana" w:eastAsia="Arial" w:hAnsi="Verdana" w:cs="Arial"/>
                <w:sz w:val="15"/>
                <w:szCs w:val="15"/>
                <w:lang w:val="es-ES"/>
              </w:rPr>
            </w:pPr>
            <w:r w:rsidRPr="00D0638B">
              <w:rPr>
                <w:rStyle w:val="normaltextrun"/>
                <w:rFonts w:ascii="Verdana" w:eastAsia="Arial" w:hAnsi="Verdana" w:cs="Arial"/>
                <w:color w:val="000000" w:themeColor="text1"/>
                <w:sz w:val="15"/>
                <w:szCs w:val="15"/>
                <w:lang w:val="es-ES"/>
              </w:rPr>
              <w:t xml:space="preserve">Contratista de la Subdirección </w:t>
            </w:r>
            <w:r w:rsidRPr="00D0638B">
              <w:rPr>
                <w:rStyle w:val="normaltextrun"/>
                <w:rFonts w:ascii="Verdana" w:eastAsia="Arial" w:hAnsi="Verdana" w:cs="Arial"/>
                <w:sz w:val="15"/>
                <w:szCs w:val="15"/>
                <w:lang w:val="es-ES"/>
              </w:rPr>
              <w:t>de Gestión Contractual</w:t>
            </w:r>
          </w:p>
        </w:tc>
      </w:tr>
      <w:tr w:rsidR="004A1CED" w:rsidRPr="00D0638B" w14:paraId="34487BDD" w14:textId="77777777" w:rsidTr="00FC4C3B">
        <w:trPr>
          <w:trHeight w:val="330"/>
        </w:trPr>
        <w:tc>
          <w:tcPr>
            <w:tcW w:w="893" w:type="dxa"/>
            <w:vAlign w:val="center"/>
            <w:hideMark/>
          </w:tcPr>
          <w:p w14:paraId="5C403117" w14:textId="77777777" w:rsidR="004A1CED" w:rsidRPr="00D0638B" w:rsidRDefault="004A1CED" w:rsidP="00FC4C3B">
            <w:pPr>
              <w:contextualSpacing/>
              <w:rPr>
                <w:rFonts w:ascii="Verdana" w:hAnsi="Verdana" w:cs="Arial"/>
                <w:sz w:val="15"/>
                <w:szCs w:val="15"/>
                <w:lang w:val="es-ES" w:eastAsia="es-ES"/>
              </w:rPr>
            </w:pPr>
            <w:r w:rsidRPr="00D0638B">
              <w:rPr>
                <w:rFonts w:ascii="Verdana" w:hAnsi="Verdana" w:cs="Arial"/>
                <w:sz w:val="15"/>
                <w:szCs w:val="15"/>
                <w:lang w:val="es-ES" w:eastAsia="es-ES"/>
              </w:rPr>
              <w:t>Revisó:</w:t>
            </w:r>
          </w:p>
        </w:tc>
        <w:tc>
          <w:tcPr>
            <w:tcW w:w="5628" w:type="dxa"/>
            <w:tcBorders>
              <w:top w:val="dotted" w:sz="4" w:space="0" w:color="7F7F7F" w:themeColor="text1" w:themeTint="80"/>
              <w:left w:val="nil"/>
              <w:bottom w:val="dotted" w:sz="4" w:space="0" w:color="7F7F7F" w:themeColor="text1" w:themeTint="80"/>
              <w:right w:val="nil"/>
            </w:tcBorders>
            <w:vAlign w:val="center"/>
            <w:hideMark/>
          </w:tcPr>
          <w:p w14:paraId="25A82BC7" w14:textId="77777777" w:rsidR="004A1CED" w:rsidRPr="00D0638B" w:rsidRDefault="004A1CED" w:rsidP="00FC4C3B">
            <w:pPr>
              <w:contextualSpacing/>
              <w:rPr>
                <w:rFonts w:ascii="Verdana" w:eastAsia="Arial" w:hAnsi="Verdana" w:cs="Arial"/>
                <w:color w:val="000000" w:themeColor="text1"/>
                <w:sz w:val="15"/>
                <w:szCs w:val="15"/>
              </w:rPr>
            </w:pPr>
            <w:r w:rsidRPr="00D0638B">
              <w:rPr>
                <w:rFonts w:ascii="Verdana" w:eastAsia="Arial" w:hAnsi="Verdana" w:cs="Arial"/>
                <w:color w:val="000000" w:themeColor="text1"/>
                <w:sz w:val="15"/>
                <w:szCs w:val="15"/>
              </w:rPr>
              <w:t>Alejandro Sarmiento Cantillo</w:t>
            </w:r>
          </w:p>
          <w:p w14:paraId="3FA444C3" w14:textId="77777777" w:rsidR="004A1CED" w:rsidRPr="00D0638B" w:rsidRDefault="004A1CED" w:rsidP="00FC4C3B">
            <w:pPr>
              <w:pStyle w:val="paragraph"/>
              <w:spacing w:before="0" w:beforeAutospacing="0" w:after="0" w:afterAutospacing="0"/>
              <w:contextualSpacing/>
              <w:textAlignment w:val="baseline"/>
              <w:rPr>
                <w:rFonts w:ascii="Verdana" w:hAnsi="Verdana" w:cs="Segoe UI"/>
                <w:sz w:val="15"/>
                <w:szCs w:val="15"/>
                <w:lang w:val="es-ES"/>
              </w:rPr>
            </w:pPr>
            <w:r w:rsidRPr="00D0638B">
              <w:rPr>
                <w:rFonts w:ascii="Verdana" w:eastAsia="Arial" w:hAnsi="Verdana" w:cs="Arial"/>
                <w:color w:val="000000" w:themeColor="text1"/>
                <w:sz w:val="15"/>
                <w:szCs w:val="15"/>
              </w:rPr>
              <w:t>Gestor T1 – 15 de la Subdirección de Gestión Contractual</w:t>
            </w:r>
            <w:r w:rsidRPr="00D0638B">
              <w:rPr>
                <w:rFonts w:ascii="Verdana" w:hAnsi="Verdana" w:cs="Segoe UI"/>
                <w:sz w:val="15"/>
                <w:szCs w:val="15"/>
                <w:lang w:val="es-ES"/>
              </w:rPr>
              <w:t> </w:t>
            </w:r>
          </w:p>
          <w:p w14:paraId="1BEED405" w14:textId="77777777" w:rsidR="004A1CED" w:rsidRPr="00D0638B" w:rsidRDefault="004A1CED" w:rsidP="00FC4C3B">
            <w:pPr>
              <w:pStyle w:val="paragraph"/>
              <w:spacing w:before="0" w:beforeAutospacing="0" w:after="0" w:afterAutospacing="0"/>
              <w:contextualSpacing/>
              <w:textAlignment w:val="baseline"/>
              <w:rPr>
                <w:rFonts w:ascii="Verdana" w:hAnsi="Verdana" w:cs="Segoe UI"/>
                <w:sz w:val="15"/>
                <w:szCs w:val="15"/>
                <w:lang w:val="es-ES"/>
              </w:rPr>
            </w:pPr>
          </w:p>
        </w:tc>
      </w:tr>
      <w:tr w:rsidR="004A1CED" w:rsidRPr="00D0638B" w14:paraId="22B03170" w14:textId="77777777" w:rsidTr="00FC4C3B">
        <w:trPr>
          <w:trHeight w:val="300"/>
        </w:trPr>
        <w:tc>
          <w:tcPr>
            <w:tcW w:w="893" w:type="dxa"/>
            <w:vAlign w:val="center"/>
          </w:tcPr>
          <w:p w14:paraId="5BC4A207" w14:textId="77777777" w:rsidR="004A1CED" w:rsidRPr="00D0638B" w:rsidRDefault="004A1CED" w:rsidP="00FC4C3B">
            <w:pPr>
              <w:contextualSpacing/>
              <w:rPr>
                <w:rFonts w:ascii="Verdana" w:hAnsi="Verdana" w:cs="Arial"/>
                <w:sz w:val="15"/>
                <w:szCs w:val="15"/>
                <w:lang w:val="es-ES" w:eastAsia="es-ES"/>
              </w:rPr>
            </w:pPr>
            <w:r w:rsidRPr="00D0638B">
              <w:rPr>
                <w:rFonts w:ascii="Verdana" w:hAnsi="Verdana" w:cs="Arial"/>
                <w:sz w:val="15"/>
                <w:szCs w:val="15"/>
                <w:lang w:val="es-ES" w:eastAsia="es-ES"/>
              </w:rPr>
              <w:t>Aprobó:</w:t>
            </w:r>
          </w:p>
        </w:tc>
        <w:tc>
          <w:tcPr>
            <w:tcW w:w="5628" w:type="dxa"/>
            <w:tcBorders>
              <w:top w:val="dotted" w:sz="4" w:space="0" w:color="7F7F7F" w:themeColor="text1" w:themeTint="80"/>
              <w:left w:val="nil"/>
              <w:bottom w:val="dotted" w:sz="4" w:space="0" w:color="7F7F7F" w:themeColor="text1" w:themeTint="80"/>
              <w:right w:val="nil"/>
            </w:tcBorders>
            <w:vAlign w:val="center"/>
          </w:tcPr>
          <w:p w14:paraId="2188D118" w14:textId="0A89A325" w:rsidR="004A1CED" w:rsidRPr="00D0638B" w:rsidRDefault="00E82070" w:rsidP="00FC4C3B">
            <w:pPr>
              <w:contextualSpacing/>
              <w:rPr>
                <w:rFonts w:ascii="Verdana" w:eastAsia="Calibri" w:hAnsi="Verdana" w:cs="Arial"/>
                <w:sz w:val="15"/>
                <w:szCs w:val="15"/>
                <w:lang w:val="es-ES" w:eastAsia="es-ES"/>
              </w:rPr>
            </w:pPr>
            <w:r>
              <w:rPr>
                <w:rFonts w:ascii="Verdana" w:eastAsia="Calibri" w:hAnsi="Verdana" w:cs="Arial"/>
                <w:sz w:val="15"/>
                <w:szCs w:val="15"/>
                <w:lang w:val="es-ES" w:eastAsia="es-ES"/>
              </w:rPr>
              <w:t>Ana María Tolosa Rico</w:t>
            </w:r>
          </w:p>
          <w:p w14:paraId="18CA4470" w14:textId="66DE6466" w:rsidR="004A1CED" w:rsidRPr="00D0638B" w:rsidRDefault="004A1CED" w:rsidP="00FC4C3B">
            <w:pPr>
              <w:contextualSpacing/>
              <w:rPr>
                <w:rFonts w:ascii="Verdana" w:eastAsia="Calibri" w:hAnsi="Verdana" w:cs="Arial"/>
                <w:sz w:val="15"/>
                <w:szCs w:val="15"/>
                <w:lang w:val="es-ES" w:eastAsia="es-ES"/>
              </w:rPr>
            </w:pPr>
            <w:r w:rsidRPr="00D0638B">
              <w:rPr>
                <w:rFonts w:ascii="Verdana" w:eastAsia="Calibri" w:hAnsi="Verdana" w:cs="Arial"/>
                <w:sz w:val="15"/>
                <w:szCs w:val="15"/>
                <w:lang w:val="es-ES" w:eastAsia="es-ES"/>
              </w:rPr>
              <w:t>Subdirectora de Gestión Contractual ANCP – CCE</w:t>
            </w:r>
            <w:r w:rsidR="00E82070">
              <w:rPr>
                <w:rFonts w:ascii="Verdana" w:eastAsia="Calibri" w:hAnsi="Verdana" w:cs="Arial"/>
                <w:sz w:val="15"/>
                <w:szCs w:val="15"/>
                <w:lang w:val="es-ES" w:eastAsia="es-ES"/>
              </w:rPr>
              <w:t xml:space="preserve"> (E)</w:t>
            </w:r>
          </w:p>
        </w:tc>
      </w:tr>
      <w:bookmarkEnd w:id="0"/>
    </w:tbl>
    <w:p w14:paraId="0BEE4FDF" w14:textId="77777777" w:rsidR="004A1CED" w:rsidRPr="003819D8" w:rsidRDefault="004A1CED" w:rsidP="004A1CED"/>
    <w:p w14:paraId="0F293BF4" w14:textId="7BBFAB20" w:rsidR="00127233" w:rsidRPr="004A1CED" w:rsidRDefault="00127233" w:rsidP="004A1CED"/>
    <w:sectPr w:rsidR="00127233" w:rsidRPr="004A1CED" w:rsidSect="007C0C0F">
      <w:headerReference w:type="default" r:id="rId14"/>
      <w:footerReference w:type="default" r:id="rId15"/>
      <w:pgSz w:w="12240" w:h="15840" w:code="1"/>
      <w:pgMar w:top="1417" w:right="1701" w:bottom="1417"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06573A7" w14:textId="77777777" w:rsidR="003213D0" w:rsidRDefault="003213D0" w:rsidP="004A1847">
      <w:pPr>
        <w:spacing w:after="0" w:line="240" w:lineRule="auto"/>
      </w:pPr>
      <w:r>
        <w:separator/>
      </w:r>
    </w:p>
  </w:endnote>
  <w:endnote w:type="continuationSeparator" w:id="0">
    <w:p w14:paraId="6B1847BB" w14:textId="77777777" w:rsidR="003213D0" w:rsidRDefault="003213D0" w:rsidP="004A1847">
      <w:pPr>
        <w:spacing w:after="0" w:line="240" w:lineRule="auto"/>
      </w:pPr>
      <w:r>
        <w:continuationSeparator/>
      </w:r>
    </w:p>
  </w:endnote>
  <w:endnote w:type="continuationNotice" w:id="1">
    <w:p w14:paraId="08D13AA3" w14:textId="77777777" w:rsidR="003213D0" w:rsidRDefault="003213D0">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Geomanist Light">
    <w:altName w:val="Calibri"/>
    <w:panose1 w:val="00000000000000000000"/>
    <w:charset w:val="00"/>
    <w:family w:val="modern"/>
    <w:notTrueType/>
    <w:pitch w:val="variable"/>
    <w:sig w:usb0="A000002F" w:usb1="1000004A" w:usb2="00000000" w:usb3="00000000" w:csb0="00000193" w:csb1="00000000"/>
  </w:font>
  <w:font w:name="Geomanist">
    <w:altName w:val="Calibri"/>
    <w:panose1 w:val="00000000000000000000"/>
    <w:charset w:val="00"/>
    <w:family w:val="modern"/>
    <w:notTrueType/>
    <w:pitch w:val="variable"/>
    <w:sig w:usb0="A000002F" w:usb1="1000004A" w:usb2="00000000" w:usb3="00000000" w:csb0="00000193" w:csb1="00000000"/>
  </w:font>
  <w:font w:name="Verdana">
    <w:panose1 w:val="020B0604030504040204"/>
    <w:charset w:val="00"/>
    <w:family w:val="swiss"/>
    <w:pitch w:val="variable"/>
    <w:sig w:usb0="A00006FF" w:usb1="4000205B" w:usb2="00000010" w:usb3="00000000" w:csb0="0000019F" w:csb1="00000000"/>
  </w:font>
  <w:font w:name="Arial MT">
    <w:altName w:val="Arial"/>
    <w:charset w:val="01"/>
    <w:family w:val="swiss"/>
    <w:pitch w:val="variable"/>
  </w:font>
  <w:font w:name="Century Gothic">
    <w:altName w:val="Century Gothic"/>
    <w:panose1 w:val="020B0502020202020204"/>
    <w:charset w:val="00"/>
    <w:family w:val="swiss"/>
    <w:pitch w:val="variable"/>
    <w:sig w:usb0="00000287" w:usb1="00000000" w:usb2="00000000" w:usb3="00000000" w:csb0="0000009F" w:csb1="00000000"/>
  </w:font>
  <w:font w:name="Segoe UI">
    <w:panose1 w:val="020B0502040204020203"/>
    <w:charset w:val="00"/>
    <w:family w:val="swiss"/>
    <w:pitch w:val="variable"/>
    <w:sig w:usb0="E4002EFF" w:usb1="C000E47F" w:usb2="00000009" w:usb3="00000000" w:csb0="000001FF" w:csb1="00000000"/>
  </w:font>
  <w:font w:name="Geomanist Bold">
    <w:altName w:val="Calibri"/>
    <w:panose1 w:val="00000000000000000000"/>
    <w:charset w:val="00"/>
    <w:family w:val="modern"/>
    <w:notTrueType/>
    <w:pitch w:val="variable"/>
    <w:sig w:usb0="A000002F" w:usb1="1000004A" w:usb2="00000000" w:usb3="00000000" w:csb0="00000193" w:csb1="00000000"/>
  </w:font>
  <w:font w:name="Geo">
    <w:altName w:val="Calibri"/>
    <w:charset w:val="00"/>
    <w:family w:val="auto"/>
    <w:pitch w:val="variable"/>
    <w:sig w:usb0="8000002F" w:usb1="40000048" w:usb2="00000000" w:usb3="00000000" w:csb0="00000001" w:csb1="00000000"/>
  </w:font>
  <w:font w:name="Arial Nova">
    <w:charset w:val="00"/>
    <w:family w:val="swiss"/>
    <w:pitch w:val="variable"/>
    <w:sig w:usb0="0000028F" w:usb1="00000002" w:usb2="0000000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8911A32" w14:textId="6CE791A4" w:rsidR="004A1847" w:rsidRDefault="004A1847">
    <w:pPr>
      <w:pStyle w:val="Piedepgina"/>
    </w:pPr>
  </w:p>
  <w:p w14:paraId="594D6D9F" w14:textId="77777777" w:rsidR="00D520D8" w:rsidRPr="00174B77" w:rsidRDefault="00D520D8" w:rsidP="00D520D8">
    <w:pPr>
      <w:pBdr>
        <w:top w:val="single" w:sz="4" w:space="1" w:color="auto"/>
      </w:pBdr>
      <w:spacing w:after="0"/>
      <w:rPr>
        <w:rFonts w:ascii="Verdana" w:hAnsi="Verdana"/>
        <w:b/>
        <w:bCs/>
        <w:sz w:val="20"/>
        <w:szCs w:val="20"/>
      </w:rPr>
    </w:pPr>
    <w:r>
      <w:rPr>
        <w:rFonts w:ascii="Verdana" w:hAnsi="Verdana"/>
        <w:b/>
        <w:bCs/>
        <w:sz w:val="20"/>
        <w:szCs w:val="20"/>
      </w:rPr>
      <w:t>A</w:t>
    </w:r>
    <w:r w:rsidRPr="008E4D59">
      <w:rPr>
        <w:rFonts w:ascii="Verdana" w:hAnsi="Verdana"/>
        <w:b/>
        <w:bCs/>
        <w:sz w:val="20"/>
        <w:szCs w:val="20"/>
      </w:rPr>
      <w:t>gencia Nacional de Contratación</w:t>
    </w:r>
    <w:r>
      <w:rPr>
        <w:rFonts w:ascii="Verdana" w:hAnsi="Verdana"/>
        <w:b/>
        <w:bCs/>
        <w:sz w:val="20"/>
        <w:szCs w:val="20"/>
      </w:rPr>
      <w:t xml:space="preserve"> </w:t>
    </w:r>
    <w:r w:rsidRPr="008E4D59">
      <w:rPr>
        <w:rFonts w:ascii="Verdana" w:hAnsi="Verdana"/>
        <w:b/>
        <w:bCs/>
        <w:sz w:val="20"/>
        <w:szCs w:val="20"/>
      </w:rPr>
      <w:t>Pública</w:t>
    </w:r>
    <w:r>
      <w:rPr>
        <w:rFonts w:ascii="Verdana" w:hAnsi="Verdana"/>
        <w:b/>
        <w:bCs/>
        <w:sz w:val="20"/>
        <w:szCs w:val="20"/>
      </w:rPr>
      <w:t xml:space="preserve">                                              </w:t>
    </w:r>
    <w:r w:rsidRPr="002E1330">
      <w:rPr>
        <w:rFonts w:ascii="Verdana" w:eastAsiaTheme="majorEastAsia" w:hAnsi="Verdana" w:cstheme="majorBidi"/>
        <w:b/>
        <w:bCs/>
        <w:sz w:val="16"/>
        <w:szCs w:val="16"/>
        <w:lang w:val="es-ES"/>
      </w:rPr>
      <w:t xml:space="preserve">pág. </w:t>
    </w:r>
    <w:r w:rsidRPr="002E1330">
      <w:rPr>
        <w:rFonts w:ascii="Verdana" w:eastAsiaTheme="minorEastAsia" w:hAnsi="Verdana"/>
        <w:b/>
        <w:bCs/>
        <w:sz w:val="16"/>
        <w:szCs w:val="16"/>
      </w:rPr>
      <w:fldChar w:fldCharType="begin"/>
    </w:r>
    <w:r w:rsidRPr="002E1330">
      <w:rPr>
        <w:rFonts w:ascii="Verdana" w:hAnsi="Verdana"/>
        <w:b/>
        <w:bCs/>
        <w:sz w:val="16"/>
        <w:szCs w:val="16"/>
      </w:rPr>
      <w:instrText>PAGE    \* MERGEFORMAT</w:instrText>
    </w:r>
    <w:r w:rsidRPr="002E1330">
      <w:rPr>
        <w:rFonts w:ascii="Verdana" w:eastAsiaTheme="minorEastAsia" w:hAnsi="Verdana"/>
        <w:b/>
        <w:bCs/>
        <w:sz w:val="16"/>
        <w:szCs w:val="16"/>
      </w:rPr>
      <w:fldChar w:fldCharType="separate"/>
    </w:r>
    <w:r>
      <w:rPr>
        <w:rFonts w:ascii="Verdana" w:eastAsiaTheme="minorEastAsia" w:hAnsi="Verdana"/>
        <w:b/>
        <w:bCs/>
        <w:sz w:val="16"/>
        <w:szCs w:val="16"/>
      </w:rPr>
      <w:t>1</w:t>
    </w:r>
    <w:r w:rsidRPr="002E1330">
      <w:rPr>
        <w:rFonts w:ascii="Verdana" w:eastAsiaTheme="majorEastAsia" w:hAnsi="Verdana" w:cstheme="majorBidi"/>
        <w:b/>
        <w:bCs/>
        <w:sz w:val="16"/>
        <w:szCs w:val="16"/>
      </w:rPr>
      <w:fldChar w:fldCharType="end"/>
    </w:r>
    <w:r>
      <w:rPr>
        <w:rFonts w:ascii="Verdana" w:hAnsi="Verdana"/>
        <w:b/>
        <w:bCs/>
        <w:sz w:val="20"/>
        <w:szCs w:val="20"/>
      </w:rPr>
      <w:t xml:space="preserve">              </w:t>
    </w:r>
    <w:r w:rsidRPr="008E4D59">
      <w:rPr>
        <w:rFonts w:ascii="Verdana" w:hAnsi="Verdana"/>
        <w:b/>
        <w:bCs/>
        <w:sz w:val="20"/>
        <w:szCs w:val="20"/>
      </w:rPr>
      <w:t xml:space="preserve">Colombia Compra Eficiente         </w:t>
    </w:r>
    <w:r w:rsidRPr="008E4D59">
      <w:rPr>
        <w:rFonts w:ascii="Verdana" w:hAnsi="Verdana"/>
        <w:b/>
        <w:bCs/>
        <w:sz w:val="20"/>
        <w:szCs w:val="20"/>
        <w:lang w:val="es-ES"/>
      </w:rPr>
      <w:t xml:space="preserve"> </w:t>
    </w:r>
    <w:r>
      <w:rPr>
        <w:rFonts w:ascii="Verdana" w:hAnsi="Verdana"/>
        <w:b/>
        <w:bCs/>
        <w:sz w:val="20"/>
        <w:szCs w:val="20"/>
      </w:rPr>
      <w:t xml:space="preserve">                                                  </w:t>
    </w:r>
  </w:p>
  <w:p w14:paraId="0A735DD5" w14:textId="77777777" w:rsidR="00D520D8" w:rsidRDefault="00D520D8" w:rsidP="00D520D8">
    <w:pPr>
      <w:spacing w:after="0"/>
      <w:jc w:val="both"/>
      <w:rPr>
        <w:rFonts w:ascii="Verdana" w:hAnsi="Verdana"/>
        <w:sz w:val="18"/>
        <w:szCs w:val="18"/>
      </w:rPr>
    </w:pPr>
    <w:r w:rsidRPr="00E41027">
      <w:rPr>
        <w:rFonts w:ascii="Verdana" w:hAnsi="Verdana"/>
        <w:sz w:val="18"/>
        <w:szCs w:val="18"/>
      </w:rPr>
      <w:t>Dirección: Carrera 7 # 26 – 20 - Bogotá, Colombia</w:t>
    </w:r>
  </w:p>
  <w:p w14:paraId="06E36B88" w14:textId="77777777" w:rsidR="00D520D8" w:rsidRPr="00E41027" w:rsidRDefault="00D520D8" w:rsidP="00D520D8">
    <w:pPr>
      <w:spacing w:after="0"/>
      <w:jc w:val="both"/>
      <w:rPr>
        <w:rFonts w:ascii="Verdana" w:hAnsi="Verdana"/>
        <w:sz w:val="18"/>
        <w:szCs w:val="18"/>
      </w:rPr>
    </w:pPr>
    <w:r w:rsidRPr="00E41027">
      <w:rPr>
        <w:rFonts w:ascii="Verdana" w:hAnsi="Verdana"/>
        <w:sz w:val="18"/>
        <w:szCs w:val="18"/>
      </w:rPr>
      <w:t>Mesa de servicio: (+57) 601 7456788</w:t>
    </w:r>
  </w:p>
  <w:p w14:paraId="744661F5" w14:textId="22B9E88F" w:rsidR="006219F8" w:rsidRDefault="356CEDFD" w:rsidP="356CEDFD">
    <w:pPr>
      <w:pBdr>
        <w:top w:val="nil"/>
        <w:left w:val="nil"/>
        <w:bottom w:val="nil"/>
        <w:right w:val="nil"/>
        <w:between w:val="nil"/>
      </w:pBdr>
      <w:tabs>
        <w:tab w:val="center" w:pos="4419"/>
        <w:tab w:val="right" w:pos="8838"/>
        <w:tab w:val="center" w:pos="5400"/>
      </w:tabs>
      <w:spacing w:after="0"/>
      <w:jc w:val="right"/>
    </w:pPr>
    <w:r w:rsidRPr="356CEDFD">
      <w:rPr>
        <w:rFonts w:ascii="Century Gothic" w:eastAsia="Geo" w:hAnsi="Century Gothic" w:cs="Geo"/>
        <w:b/>
        <w:bCs/>
        <w:color w:val="000000" w:themeColor="text1"/>
        <w:sz w:val="16"/>
        <w:szCs w:val="16"/>
        <w:lang w:eastAsia="es-CO"/>
      </w:rPr>
      <w:t xml:space="preserve">Código: </w:t>
    </w:r>
    <w:r w:rsidRPr="356CEDFD">
      <w:rPr>
        <w:rFonts w:ascii="Century Gothic" w:eastAsia="Geo" w:hAnsi="Century Gothic" w:cs="Geo"/>
        <w:color w:val="000000" w:themeColor="text1"/>
        <w:sz w:val="16"/>
        <w:szCs w:val="16"/>
        <w:lang w:eastAsia="es-CO"/>
      </w:rPr>
      <w:t xml:space="preserve">CCE-REC-FM-17 </w:t>
    </w:r>
    <w:r w:rsidRPr="356CEDFD">
      <w:rPr>
        <w:rFonts w:ascii="Century Gothic" w:eastAsia="Geo" w:hAnsi="Century Gothic" w:cs="Geo"/>
        <w:b/>
        <w:bCs/>
        <w:color w:val="000000" w:themeColor="text1"/>
        <w:sz w:val="16"/>
        <w:szCs w:val="16"/>
        <w:lang w:eastAsia="es-CO"/>
      </w:rPr>
      <w:t>V</w:t>
    </w:r>
    <w:r w:rsidRPr="356CEDFD">
      <w:rPr>
        <w:rFonts w:ascii="Century Gothic" w:eastAsia="Arial Nova" w:hAnsi="Century Gothic" w:cs="Arial Nova"/>
        <w:b/>
        <w:bCs/>
        <w:color w:val="000000" w:themeColor="text1"/>
        <w:sz w:val="16"/>
        <w:szCs w:val="16"/>
        <w:lang w:eastAsia="es-CO"/>
      </w:rPr>
      <w:t xml:space="preserve">: </w:t>
    </w:r>
    <w:r w:rsidRPr="356CEDFD">
      <w:rPr>
        <w:rFonts w:ascii="Century Gothic" w:eastAsia="Geo" w:hAnsi="Century Gothic" w:cs="Geo"/>
        <w:sz w:val="16"/>
        <w:szCs w:val="16"/>
        <w:lang w:eastAsia="es-CO"/>
      </w:rPr>
      <w:t>03 Fecha: 21-10-2025</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6549150" w14:textId="77777777" w:rsidR="003213D0" w:rsidRDefault="003213D0" w:rsidP="004A1847">
      <w:pPr>
        <w:spacing w:after="0" w:line="240" w:lineRule="auto"/>
      </w:pPr>
      <w:r>
        <w:separator/>
      </w:r>
    </w:p>
  </w:footnote>
  <w:footnote w:type="continuationSeparator" w:id="0">
    <w:p w14:paraId="667248DC" w14:textId="77777777" w:rsidR="003213D0" w:rsidRDefault="003213D0" w:rsidP="004A1847">
      <w:pPr>
        <w:spacing w:after="0" w:line="240" w:lineRule="auto"/>
      </w:pPr>
      <w:r>
        <w:continuationSeparator/>
      </w:r>
    </w:p>
  </w:footnote>
  <w:footnote w:type="continuationNotice" w:id="1">
    <w:p w14:paraId="51554161" w14:textId="77777777" w:rsidR="003213D0" w:rsidRDefault="003213D0">
      <w:pPr>
        <w:spacing w:after="0" w:line="240" w:lineRule="auto"/>
      </w:pPr>
    </w:p>
  </w:footnote>
  <w:footnote w:id="2">
    <w:p w14:paraId="605C9EF9" w14:textId="77777777" w:rsidR="004A1CED" w:rsidRPr="00C879B0" w:rsidRDefault="004A1CED" w:rsidP="004A1CED">
      <w:pPr>
        <w:pStyle w:val="Textonotapie"/>
        <w:ind w:firstLine="708"/>
        <w:jc w:val="both"/>
        <w:rPr>
          <w:rFonts w:ascii="Verdana" w:hAnsi="Verdana" w:cs="Arial"/>
          <w:color w:val="000000" w:themeColor="text1"/>
          <w:sz w:val="15"/>
          <w:szCs w:val="15"/>
          <w:lang w:val="pt-BR"/>
        </w:rPr>
      </w:pPr>
      <w:r w:rsidRPr="00C879B0">
        <w:rPr>
          <w:rStyle w:val="Refdenotaalpie"/>
          <w:rFonts w:ascii="Verdana" w:hAnsi="Verdana" w:cs="Arial"/>
          <w:color w:val="000000" w:themeColor="text1"/>
          <w:sz w:val="15"/>
          <w:szCs w:val="15"/>
        </w:rPr>
        <w:footnoteRef/>
      </w:r>
      <w:r w:rsidRPr="00C879B0">
        <w:rPr>
          <w:rFonts w:ascii="Verdana" w:hAnsi="Verdana" w:cs="Arial"/>
          <w:color w:val="000000" w:themeColor="text1"/>
          <w:sz w:val="15"/>
          <w:szCs w:val="15"/>
          <w:lang w:val="pt-BR"/>
        </w:rPr>
        <w:t xml:space="preserve"> CORTE CONSTITUCIONAL. Sentencia T-468 de 2003. M.P. Rodrigo Escobar Gil.</w:t>
      </w:r>
    </w:p>
  </w:footnote>
  <w:footnote w:id="3">
    <w:p w14:paraId="5C4B928B" w14:textId="77777777" w:rsidR="004A1CED" w:rsidRPr="00C879B0" w:rsidRDefault="004A1CED" w:rsidP="004A1CED">
      <w:pPr>
        <w:pStyle w:val="Textonotapie"/>
        <w:ind w:firstLine="708"/>
        <w:jc w:val="both"/>
        <w:rPr>
          <w:rFonts w:ascii="Verdana" w:hAnsi="Verdana"/>
          <w:sz w:val="15"/>
          <w:szCs w:val="15"/>
          <w:lang w:val="es-CO"/>
        </w:rPr>
      </w:pPr>
      <w:r w:rsidRPr="00C879B0">
        <w:rPr>
          <w:rStyle w:val="Refdenotaalpie"/>
          <w:rFonts w:ascii="Verdana" w:hAnsi="Verdana"/>
          <w:sz w:val="15"/>
          <w:szCs w:val="15"/>
        </w:rPr>
        <w:footnoteRef/>
      </w:r>
      <w:r w:rsidRPr="00C879B0">
        <w:rPr>
          <w:rFonts w:ascii="Verdana" w:hAnsi="Verdana"/>
          <w:sz w:val="15"/>
          <w:szCs w:val="15"/>
        </w:rPr>
        <w:t xml:space="preserve"> El artículo 17 de la Ley 80 de 1993 establece las siguientes causales: i) cuando las exigencias del servicio público lo requieran o la situación de orden público lo imponga; ii) por muerte o incapacidad física permanente del contratista, si es persona natural, o por disolución de la persona jurídica del contratista; iii) por interdicción judicial o declaración de quiebra del contratista; y iv) por cesación de pagos, concurso de acreedores o embargos judiciales del contratista que afecten de manera grave el cumplimiento del contrato. Adicionalmente, conforme a los numerales 1, 2, y 4 del artículo 44 y el inciso segundo de artículo 45 del EGCAP, el jefe o representante legal de la entidad debe dar por terminado el contrato mediante acto administrativo debidamente motivado y ordenar su liquidación en el estado en que se encuentre cuando: i) se celebre con personas incursas en causales de inhabilidad o incompatibilidad previstas en la Constitución y la ley, ii) se celebren contra expresa prohibición constitucional o legal y iii) se declaren nulos los actos administrativos en que se fundamenten.</w:t>
      </w:r>
    </w:p>
  </w:footnote>
  <w:footnote w:id="4">
    <w:p w14:paraId="5A41C166" w14:textId="77777777" w:rsidR="004A1CED" w:rsidRPr="00C879B0" w:rsidRDefault="004A1CED" w:rsidP="004A1CED">
      <w:pPr>
        <w:spacing w:after="0"/>
        <w:ind w:firstLine="708"/>
        <w:jc w:val="both"/>
        <w:rPr>
          <w:rFonts w:ascii="Verdana" w:hAnsi="Verdana" w:cs="Arial"/>
          <w:color w:val="000000" w:themeColor="text1"/>
          <w:sz w:val="15"/>
          <w:szCs w:val="15"/>
        </w:rPr>
      </w:pPr>
      <w:r w:rsidRPr="00C879B0">
        <w:rPr>
          <w:rStyle w:val="Refdenotaalpie"/>
          <w:rFonts w:ascii="Verdana" w:hAnsi="Verdana" w:cs="Arial"/>
          <w:color w:val="000000" w:themeColor="text1"/>
          <w:sz w:val="15"/>
          <w:szCs w:val="15"/>
        </w:rPr>
        <w:footnoteRef/>
      </w:r>
      <w:r w:rsidRPr="00C879B0">
        <w:rPr>
          <w:rFonts w:ascii="Verdana" w:hAnsi="Verdana" w:cs="Arial"/>
          <w:color w:val="000000" w:themeColor="text1"/>
          <w:sz w:val="15"/>
          <w:szCs w:val="15"/>
        </w:rPr>
        <w:t xml:space="preserve"> Diario Oficial No. 41.094 de 28 de octubre de 1993.</w:t>
      </w:r>
    </w:p>
  </w:footnote>
  <w:footnote w:id="5">
    <w:p w14:paraId="27A55D44" w14:textId="77777777" w:rsidR="004A1CED" w:rsidRPr="00C879B0" w:rsidRDefault="004A1CED" w:rsidP="004A1CED">
      <w:pPr>
        <w:pStyle w:val="Textonotapie"/>
        <w:ind w:firstLine="708"/>
        <w:jc w:val="both"/>
        <w:rPr>
          <w:rFonts w:ascii="Verdana" w:hAnsi="Verdana"/>
          <w:sz w:val="15"/>
          <w:szCs w:val="15"/>
          <w:lang w:val="es-ES"/>
        </w:rPr>
      </w:pPr>
      <w:r w:rsidRPr="00C879B0">
        <w:rPr>
          <w:rStyle w:val="Refdenotaalpie"/>
          <w:rFonts w:ascii="Verdana" w:hAnsi="Verdana"/>
          <w:sz w:val="15"/>
          <w:szCs w:val="15"/>
        </w:rPr>
        <w:footnoteRef/>
      </w:r>
      <w:r w:rsidRPr="00C879B0">
        <w:rPr>
          <w:rFonts w:ascii="Verdana" w:hAnsi="Verdana"/>
          <w:sz w:val="15"/>
          <w:szCs w:val="15"/>
        </w:rPr>
        <w:t xml:space="preserve"> Superintendencia Financiera, </w:t>
      </w:r>
      <w:r w:rsidRPr="00C879B0">
        <w:rPr>
          <w:rFonts w:ascii="Verdana" w:hAnsi="Verdana" w:cs="Arial"/>
          <w:sz w:val="15"/>
          <w:szCs w:val="15"/>
          <w:lang w:eastAsia="es-CO"/>
        </w:rPr>
        <w:t>Capítulo IV, Titulo IV, Parte I de la Circular Básica Jurídica, Instrucciones relativas a la Administración del Riesgo de Lavado de Activos y de la Financiación del Terrorismo.</w:t>
      </w:r>
    </w:p>
  </w:footnote>
  <w:footnote w:id="6">
    <w:p w14:paraId="0DF7D32C" w14:textId="77777777" w:rsidR="004A1CED" w:rsidRPr="00C879B0" w:rsidRDefault="004A1CED" w:rsidP="004A1CED">
      <w:pPr>
        <w:pStyle w:val="Textonotapie"/>
        <w:ind w:firstLine="708"/>
        <w:jc w:val="both"/>
        <w:rPr>
          <w:rFonts w:ascii="Verdana" w:hAnsi="Verdana" w:cs="Arial"/>
          <w:sz w:val="15"/>
          <w:szCs w:val="15"/>
        </w:rPr>
      </w:pPr>
      <w:r w:rsidRPr="00C879B0">
        <w:rPr>
          <w:rStyle w:val="Refdenotaalpie"/>
          <w:rFonts w:ascii="Verdana" w:hAnsi="Verdana" w:cs="Arial"/>
          <w:sz w:val="15"/>
          <w:szCs w:val="15"/>
        </w:rPr>
        <w:footnoteRef/>
      </w:r>
      <w:r w:rsidRPr="00C879B0">
        <w:rPr>
          <w:rFonts w:ascii="Verdana" w:hAnsi="Verdana" w:cs="Arial"/>
          <w:sz w:val="15"/>
          <w:szCs w:val="15"/>
        </w:rPr>
        <w:t xml:space="preserve"> CONSEJO DE ESTADO. Sala de Consulta y Servicio Civil. Concepto del 27 de agosto de 2015. Rad. 2.264. C.P. Álvaro Namén Vargas.</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35F4D03" w14:textId="0903BF04" w:rsidR="00756841" w:rsidRDefault="009D3058" w:rsidP="00844AE9">
    <w:pPr>
      <w:pStyle w:val="Encabezado"/>
      <w:spacing w:line="120" w:lineRule="auto"/>
    </w:pPr>
    <w:r>
      <w:rPr>
        <w:rFonts w:ascii="Geomanist Bold" w:hAnsi="Geomanist Bold"/>
        <w:b/>
        <w:bCs/>
        <w:noProof/>
        <w:color w:val="002060"/>
        <w:sz w:val="24"/>
        <w:szCs w:val="24"/>
      </w:rPr>
      <w:drawing>
        <wp:anchor distT="0" distB="0" distL="114300" distR="114300" simplePos="0" relativeHeight="251658241" behindDoc="1" locked="0" layoutInCell="1" allowOverlap="1" wp14:anchorId="6FC3B35F" wp14:editId="51872E67">
          <wp:simplePos x="0" y="0"/>
          <wp:positionH relativeFrom="margin">
            <wp:align>center</wp:align>
          </wp:positionH>
          <wp:positionV relativeFrom="paragraph">
            <wp:posOffset>-256388</wp:posOffset>
          </wp:positionV>
          <wp:extent cx="1924050" cy="856004"/>
          <wp:effectExtent l="0" t="0" r="0" b="1270"/>
          <wp:wrapNone/>
          <wp:docPr id="1309089902"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sidR="00E90F6B">
      <w:rPr>
        <w:rFonts w:ascii="Geomanist Bold" w:hAnsi="Geomanist Bold"/>
        <w:b/>
        <w:bCs/>
        <w:noProof/>
        <w:color w:val="002060"/>
        <w:sz w:val="24"/>
        <w:szCs w:val="24"/>
      </w:rPr>
      <w:drawing>
        <wp:anchor distT="0" distB="0" distL="114300" distR="114300" simplePos="0" relativeHeight="251658240" behindDoc="0" locked="0" layoutInCell="1" allowOverlap="1" wp14:anchorId="4F745D08" wp14:editId="02405FCC">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14:paraId="1BE2B9AE" w14:textId="4B94DB3B" w:rsidR="00756841" w:rsidRDefault="00756841">
    <w:pPr>
      <w:pStyle w:val="Encabezado"/>
    </w:pPr>
  </w:p>
  <w:p w14:paraId="5E18350A" w14:textId="705F7B76" w:rsidR="004A305D" w:rsidRPr="004A305D" w:rsidRDefault="004A305D" w:rsidP="00B01B1A">
    <w:pPr>
      <w:spacing w:after="0" w:line="120" w:lineRule="auto"/>
      <w:rPr>
        <w:rFonts w:ascii="Century Gothic" w:eastAsia="Geo" w:hAnsi="Century Gothic" w:cs="Geo"/>
        <w:sz w:val="16"/>
        <w:szCs w:val="16"/>
        <w:lang w:eastAsia="es-CO"/>
      </w:rPr>
    </w:pPr>
  </w:p>
  <w:p w14:paraId="211B7F5D" w14:textId="77777777" w:rsidR="00C925AC" w:rsidRDefault="00C925AC" w:rsidP="00844AE9">
    <w:pPr>
      <w:spacing w:after="0" w:line="240" w:lineRule="auto"/>
      <w:rPr>
        <w:rFonts w:ascii="Verdana" w:hAnsi="Verdana"/>
        <w:sz w:val="24"/>
        <w:szCs w:val="24"/>
      </w:rPr>
    </w:pPr>
  </w:p>
  <w:p w14:paraId="5A0054B1" w14:textId="77777777" w:rsidR="00A14468" w:rsidRPr="00C925AC" w:rsidRDefault="00A14468" w:rsidP="00844AE9">
    <w:pPr>
      <w:spacing w:after="0" w:line="240" w:lineRule="auto"/>
      <w:rPr>
        <w:rFonts w:ascii="Verdana" w:hAnsi="Verdana"/>
        <w:sz w:val="24"/>
        <w:szCs w:val="24"/>
      </w:rPr>
    </w:pPr>
  </w:p>
  <w:p w14:paraId="1FD1C243" w14:textId="37C5500A" w:rsidR="008A446D" w:rsidRPr="00C925AC" w:rsidRDefault="00C925AC" w:rsidP="000D5DA7">
    <w:pPr>
      <w:spacing w:after="0" w:line="480" w:lineRule="auto"/>
      <w:rPr>
        <w:rFonts w:ascii="Verdana" w:hAnsi="Verdana"/>
        <w:b/>
        <w:bCs/>
        <w:sz w:val="24"/>
        <w:szCs w:val="24"/>
      </w:rPr>
    </w:pPr>
    <w:r w:rsidRPr="00C925AC">
      <w:rPr>
        <w:rFonts w:ascii="Verdana" w:hAnsi="Verdana"/>
        <w:b/>
        <w:bCs/>
        <w:sz w:val="24"/>
        <w:szCs w:val="24"/>
      </w:rPr>
      <w:t>FORMATO</w:t>
    </w:r>
    <w:r w:rsidR="00BF7425">
      <w:rPr>
        <w:rFonts w:ascii="Verdana" w:hAnsi="Verdana"/>
        <w:b/>
        <w:bCs/>
        <w:sz w:val="24"/>
        <w:szCs w:val="24"/>
      </w:rPr>
      <w:t xml:space="preserve"> DE RESPUESTA </w:t>
    </w:r>
    <w:r w:rsidRPr="00C925AC">
      <w:rPr>
        <w:rFonts w:ascii="Verdana" w:hAnsi="Verdana"/>
        <w:b/>
        <w:bCs/>
        <w:sz w:val="24"/>
        <w:szCs w:val="24"/>
      </w:rPr>
      <w:t>PQRSD</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46" type="#_x0000_t75" style="width:12pt;height:12pt" o:bullet="t">
        <v:imagedata r:id="rId1" o:title="mso1B13"/>
      </v:shape>
    </w:pict>
  </w:numPicBullet>
  <w:abstractNum w:abstractNumId="0" w15:restartNumberingAfterBreak="0">
    <w:nsid w:val="01C06310"/>
    <w:multiLevelType w:val="multilevel"/>
    <w:tmpl w:val="25FEEF8E"/>
    <w:lvl w:ilvl="0">
      <w:start w:val="1"/>
      <w:numFmt w:val="decimal"/>
      <w:lvlText w:val="%1."/>
      <w:lvlJc w:val="left"/>
      <w:pPr>
        <w:ind w:left="6601" w:hanging="360"/>
      </w:pPr>
      <w:rPr>
        <w:b/>
        <w:color w:val="000000" w:themeColor="text1"/>
      </w:rPr>
    </w:lvl>
    <w:lvl w:ilvl="1">
      <w:start w:val="2"/>
      <w:numFmt w:val="decimal"/>
      <w:isLgl/>
      <w:lvlText w:val="%1.%2"/>
      <w:lvlJc w:val="left"/>
      <w:pPr>
        <w:ind w:left="6241" w:hanging="360"/>
      </w:pPr>
    </w:lvl>
    <w:lvl w:ilvl="2">
      <w:start w:val="1"/>
      <w:numFmt w:val="decimal"/>
      <w:isLgl/>
      <w:lvlText w:val="%1.%2.%3"/>
      <w:lvlJc w:val="left"/>
      <w:pPr>
        <w:ind w:left="6961" w:hanging="720"/>
      </w:pPr>
    </w:lvl>
    <w:lvl w:ilvl="3">
      <w:start w:val="1"/>
      <w:numFmt w:val="decimal"/>
      <w:isLgl/>
      <w:lvlText w:val="%1.%2.%3.%4"/>
      <w:lvlJc w:val="left"/>
      <w:pPr>
        <w:ind w:left="6961" w:hanging="720"/>
      </w:pPr>
    </w:lvl>
    <w:lvl w:ilvl="4">
      <w:start w:val="1"/>
      <w:numFmt w:val="decimal"/>
      <w:isLgl/>
      <w:lvlText w:val="%1.%2.%3.%4.%5"/>
      <w:lvlJc w:val="left"/>
      <w:pPr>
        <w:ind w:left="7321" w:hanging="1080"/>
      </w:pPr>
    </w:lvl>
    <w:lvl w:ilvl="5">
      <w:start w:val="1"/>
      <w:numFmt w:val="decimal"/>
      <w:isLgl/>
      <w:lvlText w:val="%1.%2.%3.%4.%5.%6"/>
      <w:lvlJc w:val="left"/>
      <w:pPr>
        <w:ind w:left="7321" w:hanging="1080"/>
      </w:pPr>
    </w:lvl>
    <w:lvl w:ilvl="6">
      <w:start w:val="1"/>
      <w:numFmt w:val="decimal"/>
      <w:isLgl/>
      <w:lvlText w:val="%1.%2.%3.%4.%5.%6.%7"/>
      <w:lvlJc w:val="left"/>
      <w:pPr>
        <w:ind w:left="7681" w:hanging="1440"/>
      </w:pPr>
    </w:lvl>
    <w:lvl w:ilvl="7">
      <w:start w:val="1"/>
      <w:numFmt w:val="decimal"/>
      <w:isLgl/>
      <w:lvlText w:val="%1.%2.%3.%4.%5.%6.%7.%8"/>
      <w:lvlJc w:val="left"/>
      <w:pPr>
        <w:ind w:left="7681" w:hanging="1440"/>
      </w:pPr>
    </w:lvl>
    <w:lvl w:ilvl="8">
      <w:start w:val="1"/>
      <w:numFmt w:val="decimal"/>
      <w:isLgl/>
      <w:lvlText w:val="%1.%2.%3.%4.%5.%6.%7.%8.%9"/>
      <w:lvlJc w:val="left"/>
      <w:pPr>
        <w:ind w:left="8041" w:hanging="1800"/>
      </w:pPr>
    </w:lvl>
  </w:abstractNum>
  <w:abstractNum w:abstractNumId="1" w15:restartNumberingAfterBreak="0">
    <w:nsid w:val="0337782A"/>
    <w:multiLevelType w:val="multilevel"/>
    <w:tmpl w:val="90D242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06D30BDC"/>
    <w:multiLevelType w:val="hybridMultilevel"/>
    <w:tmpl w:val="734ED3EC"/>
    <w:lvl w:ilvl="0" w:tplc="834431CA">
      <w:numFmt w:val="bullet"/>
      <w:lvlText w:val="-"/>
      <w:lvlJc w:val="left"/>
      <w:pPr>
        <w:ind w:left="1080" w:hanging="360"/>
      </w:pPr>
      <w:rPr>
        <w:rFonts w:ascii="Arial" w:eastAsia="Times New Roman" w:hAnsi="Arial" w:cs="Arial" w:hint="default"/>
        <w:b/>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3" w15:restartNumberingAfterBreak="0">
    <w:nsid w:val="21916AB3"/>
    <w:multiLevelType w:val="hybridMultilevel"/>
    <w:tmpl w:val="D61EC1E6"/>
    <w:lvl w:ilvl="0" w:tplc="73DEAA1A">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4" w15:restartNumberingAfterBreak="0">
    <w:nsid w:val="25352E86"/>
    <w:multiLevelType w:val="multilevel"/>
    <w:tmpl w:val="E81277D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31280020"/>
    <w:multiLevelType w:val="hybridMultilevel"/>
    <w:tmpl w:val="DA8CAD24"/>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6" w15:restartNumberingAfterBreak="0">
    <w:nsid w:val="320B0C74"/>
    <w:multiLevelType w:val="multilevel"/>
    <w:tmpl w:val="FCE0A7D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15:restartNumberingAfterBreak="0">
    <w:nsid w:val="33614460"/>
    <w:multiLevelType w:val="hybridMultilevel"/>
    <w:tmpl w:val="7FC88522"/>
    <w:lvl w:ilvl="0" w:tplc="A22AAB2E">
      <w:start w:val="1"/>
      <w:numFmt w:val="decimal"/>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8" w15:restartNumberingAfterBreak="0">
    <w:nsid w:val="370F0516"/>
    <w:multiLevelType w:val="multilevel"/>
    <w:tmpl w:val="BAD28BB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37D933EA"/>
    <w:multiLevelType w:val="multilevel"/>
    <w:tmpl w:val="8BFCD55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15:restartNumberingAfterBreak="0">
    <w:nsid w:val="636C03B0"/>
    <w:multiLevelType w:val="hybridMultilevel"/>
    <w:tmpl w:val="53AC8484"/>
    <w:lvl w:ilvl="0" w:tplc="1F14B5D2">
      <w:start w:val="1"/>
      <w:numFmt w:val="bullet"/>
      <w:lvlText w:val="·"/>
      <w:lvlJc w:val="left"/>
      <w:pPr>
        <w:ind w:left="785" w:hanging="360"/>
      </w:pPr>
      <w:rPr>
        <w:rFonts w:ascii="Symbol" w:hAnsi="Symbol" w:hint="default"/>
        <w:color w:val="auto"/>
      </w:rPr>
    </w:lvl>
    <w:lvl w:ilvl="1" w:tplc="240A0003" w:tentative="1">
      <w:start w:val="1"/>
      <w:numFmt w:val="bullet"/>
      <w:lvlText w:val="o"/>
      <w:lvlJc w:val="left"/>
      <w:pPr>
        <w:ind w:left="1505" w:hanging="360"/>
      </w:pPr>
      <w:rPr>
        <w:rFonts w:ascii="Courier New" w:hAnsi="Courier New" w:cs="Courier New" w:hint="default"/>
      </w:rPr>
    </w:lvl>
    <w:lvl w:ilvl="2" w:tplc="240A0005" w:tentative="1">
      <w:start w:val="1"/>
      <w:numFmt w:val="bullet"/>
      <w:lvlText w:val=""/>
      <w:lvlJc w:val="left"/>
      <w:pPr>
        <w:ind w:left="2225" w:hanging="360"/>
      </w:pPr>
      <w:rPr>
        <w:rFonts w:ascii="Wingdings" w:hAnsi="Wingdings" w:hint="default"/>
      </w:rPr>
    </w:lvl>
    <w:lvl w:ilvl="3" w:tplc="240A0001" w:tentative="1">
      <w:start w:val="1"/>
      <w:numFmt w:val="bullet"/>
      <w:lvlText w:val=""/>
      <w:lvlJc w:val="left"/>
      <w:pPr>
        <w:ind w:left="2945" w:hanging="360"/>
      </w:pPr>
      <w:rPr>
        <w:rFonts w:ascii="Symbol" w:hAnsi="Symbol" w:hint="default"/>
      </w:rPr>
    </w:lvl>
    <w:lvl w:ilvl="4" w:tplc="240A0003" w:tentative="1">
      <w:start w:val="1"/>
      <w:numFmt w:val="bullet"/>
      <w:lvlText w:val="o"/>
      <w:lvlJc w:val="left"/>
      <w:pPr>
        <w:ind w:left="3665" w:hanging="360"/>
      </w:pPr>
      <w:rPr>
        <w:rFonts w:ascii="Courier New" w:hAnsi="Courier New" w:cs="Courier New" w:hint="default"/>
      </w:rPr>
    </w:lvl>
    <w:lvl w:ilvl="5" w:tplc="240A0005" w:tentative="1">
      <w:start w:val="1"/>
      <w:numFmt w:val="bullet"/>
      <w:lvlText w:val=""/>
      <w:lvlJc w:val="left"/>
      <w:pPr>
        <w:ind w:left="4385" w:hanging="360"/>
      </w:pPr>
      <w:rPr>
        <w:rFonts w:ascii="Wingdings" w:hAnsi="Wingdings" w:hint="default"/>
      </w:rPr>
    </w:lvl>
    <w:lvl w:ilvl="6" w:tplc="240A0001" w:tentative="1">
      <w:start w:val="1"/>
      <w:numFmt w:val="bullet"/>
      <w:lvlText w:val=""/>
      <w:lvlJc w:val="left"/>
      <w:pPr>
        <w:ind w:left="5105" w:hanging="360"/>
      </w:pPr>
      <w:rPr>
        <w:rFonts w:ascii="Symbol" w:hAnsi="Symbol" w:hint="default"/>
      </w:rPr>
    </w:lvl>
    <w:lvl w:ilvl="7" w:tplc="240A0003" w:tentative="1">
      <w:start w:val="1"/>
      <w:numFmt w:val="bullet"/>
      <w:lvlText w:val="o"/>
      <w:lvlJc w:val="left"/>
      <w:pPr>
        <w:ind w:left="5825" w:hanging="360"/>
      </w:pPr>
      <w:rPr>
        <w:rFonts w:ascii="Courier New" w:hAnsi="Courier New" w:cs="Courier New" w:hint="default"/>
      </w:rPr>
    </w:lvl>
    <w:lvl w:ilvl="8" w:tplc="240A0005" w:tentative="1">
      <w:start w:val="1"/>
      <w:numFmt w:val="bullet"/>
      <w:lvlText w:val=""/>
      <w:lvlJc w:val="left"/>
      <w:pPr>
        <w:ind w:left="6545" w:hanging="360"/>
      </w:pPr>
      <w:rPr>
        <w:rFonts w:ascii="Wingdings" w:hAnsi="Wingdings" w:hint="default"/>
      </w:rPr>
    </w:lvl>
  </w:abstractNum>
  <w:abstractNum w:abstractNumId="11" w15:restartNumberingAfterBreak="0">
    <w:nsid w:val="6BF97060"/>
    <w:multiLevelType w:val="multilevel"/>
    <w:tmpl w:val="B3E004E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15:restartNumberingAfterBreak="0">
    <w:nsid w:val="6C3C082A"/>
    <w:multiLevelType w:val="multilevel"/>
    <w:tmpl w:val="A80420E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6F4922CE"/>
    <w:multiLevelType w:val="multilevel"/>
    <w:tmpl w:val="E5E637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6FB367B7"/>
    <w:multiLevelType w:val="multilevel"/>
    <w:tmpl w:val="4E0EF642"/>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948779781">
    <w:abstractNumId w:val="7"/>
  </w:num>
  <w:num w:numId="2" w16cid:durableId="19822139">
    <w:abstractNumId w:val="2"/>
  </w:num>
  <w:num w:numId="3" w16cid:durableId="876742304">
    <w:abstractNumId w:val="5"/>
  </w:num>
  <w:num w:numId="4" w16cid:durableId="245186406">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2049721115">
    <w:abstractNumId w:val="2"/>
  </w:num>
  <w:num w:numId="6" w16cid:durableId="316692925">
    <w:abstractNumId w:val="13"/>
  </w:num>
  <w:num w:numId="7" w16cid:durableId="1946422806">
    <w:abstractNumId w:val="6"/>
  </w:num>
  <w:num w:numId="8" w16cid:durableId="152644682">
    <w:abstractNumId w:val="12"/>
  </w:num>
  <w:num w:numId="9" w16cid:durableId="1317221377">
    <w:abstractNumId w:val="8"/>
  </w:num>
  <w:num w:numId="10" w16cid:durableId="1471245386">
    <w:abstractNumId w:val="11"/>
  </w:num>
  <w:num w:numId="11" w16cid:durableId="289172385">
    <w:abstractNumId w:val="9"/>
  </w:num>
  <w:num w:numId="12" w16cid:durableId="1470781324">
    <w:abstractNumId w:val="1"/>
  </w:num>
  <w:num w:numId="13" w16cid:durableId="1512908409">
    <w:abstractNumId w:val="4"/>
  </w:num>
  <w:num w:numId="14" w16cid:durableId="895897244">
    <w:abstractNumId w:val="14"/>
  </w:num>
  <w:num w:numId="15" w16cid:durableId="390349800">
    <w:abstractNumId w:val="10"/>
  </w:num>
  <w:num w:numId="16" w16cid:durableId="341274352">
    <w:abstractNumId w:val="0"/>
  </w:num>
  <w:num w:numId="17" w16cid:durableId="571424827">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hyphenationZone w:val="425"/>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A1847"/>
    <w:rsid w:val="00016F78"/>
    <w:rsid w:val="00046945"/>
    <w:rsid w:val="00061B2A"/>
    <w:rsid w:val="00082362"/>
    <w:rsid w:val="000A683E"/>
    <w:rsid w:val="000B19B9"/>
    <w:rsid w:val="000D0334"/>
    <w:rsid w:val="000D5DA7"/>
    <w:rsid w:val="000F6486"/>
    <w:rsid w:val="0010381D"/>
    <w:rsid w:val="00116940"/>
    <w:rsid w:val="00125105"/>
    <w:rsid w:val="00127233"/>
    <w:rsid w:val="0014203C"/>
    <w:rsid w:val="0015699B"/>
    <w:rsid w:val="001617F0"/>
    <w:rsid w:val="001A022D"/>
    <w:rsid w:val="001A33BF"/>
    <w:rsid w:val="001E4177"/>
    <w:rsid w:val="001E6949"/>
    <w:rsid w:val="001F0B24"/>
    <w:rsid w:val="001F7DC6"/>
    <w:rsid w:val="0022400B"/>
    <w:rsid w:val="002421BB"/>
    <w:rsid w:val="0025796E"/>
    <w:rsid w:val="002707A2"/>
    <w:rsid w:val="002951A0"/>
    <w:rsid w:val="002962BC"/>
    <w:rsid w:val="002A093D"/>
    <w:rsid w:val="002A0DD0"/>
    <w:rsid w:val="002A2C9A"/>
    <w:rsid w:val="002A49AC"/>
    <w:rsid w:val="002A64FD"/>
    <w:rsid w:val="002C7A84"/>
    <w:rsid w:val="002D7DCE"/>
    <w:rsid w:val="002E2BF8"/>
    <w:rsid w:val="002E4FD9"/>
    <w:rsid w:val="0030657A"/>
    <w:rsid w:val="00315814"/>
    <w:rsid w:val="003213D0"/>
    <w:rsid w:val="00322A85"/>
    <w:rsid w:val="00324168"/>
    <w:rsid w:val="00330834"/>
    <w:rsid w:val="003448F4"/>
    <w:rsid w:val="00374F5E"/>
    <w:rsid w:val="00377E3E"/>
    <w:rsid w:val="003A779E"/>
    <w:rsid w:val="003D0F4D"/>
    <w:rsid w:val="003D2D84"/>
    <w:rsid w:val="003D5B0D"/>
    <w:rsid w:val="003E0499"/>
    <w:rsid w:val="003E4F80"/>
    <w:rsid w:val="003E6439"/>
    <w:rsid w:val="003F3941"/>
    <w:rsid w:val="00406575"/>
    <w:rsid w:val="00414C74"/>
    <w:rsid w:val="0042722E"/>
    <w:rsid w:val="0044528D"/>
    <w:rsid w:val="00466E39"/>
    <w:rsid w:val="004A1847"/>
    <w:rsid w:val="004A1CED"/>
    <w:rsid w:val="004A305D"/>
    <w:rsid w:val="004A70EA"/>
    <w:rsid w:val="004B60FB"/>
    <w:rsid w:val="004F21C4"/>
    <w:rsid w:val="004F685F"/>
    <w:rsid w:val="00502AA5"/>
    <w:rsid w:val="005566E8"/>
    <w:rsid w:val="00574867"/>
    <w:rsid w:val="005842E0"/>
    <w:rsid w:val="00591460"/>
    <w:rsid w:val="005A65E0"/>
    <w:rsid w:val="005C3777"/>
    <w:rsid w:val="005C5CDC"/>
    <w:rsid w:val="005D476C"/>
    <w:rsid w:val="006200BF"/>
    <w:rsid w:val="006219F8"/>
    <w:rsid w:val="006302F7"/>
    <w:rsid w:val="00646B9F"/>
    <w:rsid w:val="00665D70"/>
    <w:rsid w:val="006900D9"/>
    <w:rsid w:val="006A051D"/>
    <w:rsid w:val="006A69B2"/>
    <w:rsid w:val="006D50EC"/>
    <w:rsid w:val="006F2CB0"/>
    <w:rsid w:val="00706C16"/>
    <w:rsid w:val="007340C3"/>
    <w:rsid w:val="0075235A"/>
    <w:rsid w:val="00755B1C"/>
    <w:rsid w:val="00756841"/>
    <w:rsid w:val="007649AB"/>
    <w:rsid w:val="00771D0C"/>
    <w:rsid w:val="007833AC"/>
    <w:rsid w:val="007B268C"/>
    <w:rsid w:val="007B7171"/>
    <w:rsid w:val="007C0C0F"/>
    <w:rsid w:val="007C3DC2"/>
    <w:rsid w:val="007E5497"/>
    <w:rsid w:val="00806F5F"/>
    <w:rsid w:val="00820278"/>
    <w:rsid w:val="00823FEE"/>
    <w:rsid w:val="008258C9"/>
    <w:rsid w:val="00844AE9"/>
    <w:rsid w:val="00867F95"/>
    <w:rsid w:val="008843B6"/>
    <w:rsid w:val="00891928"/>
    <w:rsid w:val="00893C18"/>
    <w:rsid w:val="008A446D"/>
    <w:rsid w:val="008A475C"/>
    <w:rsid w:val="008B25F1"/>
    <w:rsid w:val="008B5FD7"/>
    <w:rsid w:val="008D180B"/>
    <w:rsid w:val="008D633F"/>
    <w:rsid w:val="008F0EA7"/>
    <w:rsid w:val="00923EEF"/>
    <w:rsid w:val="009419F9"/>
    <w:rsid w:val="0095685E"/>
    <w:rsid w:val="00961B09"/>
    <w:rsid w:val="00965334"/>
    <w:rsid w:val="0097093E"/>
    <w:rsid w:val="009A0DFA"/>
    <w:rsid w:val="009A1C6F"/>
    <w:rsid w:val="009B2D26"/>
    <w:rsid w:val="009C60DF"/>
    <w:rsid w:val="009C71FA"/>
    <w:rsid w:val="009C72E7"/>
    <w:rsid w:val="009C7F7E"/>
    <w:rsid w:val="009D3058"/>
    <w:rsid w:val="009F3A13"/>
    <w:rsid w:val="00A122D3"/>
    <w:rsid w:val="00A14468"/>
    <w:rsid w:val="00A17F13"/>
    <w:rsid w:val="00A20739"/>
    <w:rsid w:val="00A23AF9"/>
    <w:rsid w:val="00A33C78"/>
    <w:rsid w:val="00AA79C7"/>
    <w:rsid w:val="00AB0ADB"/>
    <w:rsid w:val="00AE66A0"/>
    <w:rsid w:val="00B00C0E"/>
    <w:rsid w:val="00B01B1A"/>
    <w:rsid w:val="00B0381D"/>
    <w:rsid w:val="00B44A47"/>
    <w:rsid w:val="00B72CD3"/>
    <w:rsid w:val="00B72FFF"/>
    <w:rsid w:val="00BC3D36"/>
    <w:rsid w:val="00BD54A6"/>
    <w:rsid w:val="00BD7F72"/>
    <w:rsid w:val="00BF7425"/>
    <w:rsid w:val="00C04FB3"/>
    <w:rsid w:val="00C11D8B"/>
    <w:rsid w:val="00C15139"/>
    <w:rsid w:val="00C3091B"/>
    <w:rsid w:val="00C330EB"/>
    <w:rsid w:val="00C50D69"/>
    <w:rsid w:val="00C5365C"/>
    <w:rsid w:val="00C54341"/>
    <w:rsid w:val="00C754BE"/>
    <w:rsid w:val="00C76B1C"/>
    <w:rsid w:val="00C925AC"/>
    <w:rsid w:val="00CB6357"/>
    <w:rsid w:val="00CC1B26"/>
    <w:rsid w:val="00D361FD"/>
    <w:rsid w:val="00D423A2"/>
    <w:rsid w:val="00D44E26"/>
    <w:rsid w:val="00D4527F"/>
    <w:rsid w:val="00D520D8"/>
    <w:rsid w:val="00D63AC2"/>
    <w:rsid w:val="00D7383B"/>
    <w:rsid w:val="00D7788A"/>
    <w:rsid w:val="00D847C1"/>
    <w:rsid w:val="00DA231B"/>
    <w:rsid w:val="00DA5778"/>
    <w:rsid w:val="00DC39FC"/>
    <w:rsid w:val="00DD33AD"/>
    <w:rsid w:val="00DF5254"/>
    <w:rsid w:val="00DF7CF1"/>
    <w:rsid w:val="00E02524"/>
    <w:rsid w:val="00E16408"/>
    <w:rsid w:val="00E20894"/>
    <w:rsid w:val="00E245AB"/>
    <w:rsid w:val="00E2764C"/>
    <w:rsid w:val="00E27F2E"/>
    <w:rsid w:val="00E47828"/>
    <w:rsid w:val="00E50AFE"/>
    <w:rsid w:val="00E75C92"/>
    <w:rsid w:val="00E771DC"/>
    <w:rsid w:val="00E82070"/>
    <w:rsid w:val="00E8772A"/>
    <w:rsid w:val="00E90F6B"/>
    <w:rsid w:val="00E92C27"/>
    <w:rsid w:val="00EA0E3D"/>
    <w:rsid w:val="00EC38A7"/>
    <w:rsid w:val="00ED77FE"/>
    <w:rsid w:val="00EE1AA8"/>
    <w:rsid w:val="00F23FEA"/>
    <w:rsid w:val="00F31EDC"/>
    <w:rsid w:val="00F462B3"/>
    <w:rsid w:val="00F5664F"/>
    <w:rsid w:val="00F666C4"/>
    <w:rsid w:val="00F76AFC"/>
    <w:rsid w:val="00FA47C0"/>
    <w:rsid w:val="00FB5DD1"/>
    <w:rsid w:val="00FC2B5D"/>
    <w:rsid w:val="00FF1449"/>
    <w:rsid w:val="00FF7963"/>
    <w:rsid w:val="09908A09"/>
    <w:rsid w:val="13CFC91B"/>
    <w:rsid w:val="19A2EC2C"/>
    <w:rsid w:val="2859CA1B"/>
    <w:rsid w:val="32A4F9CF"/>
    <w:rsid w:val="3446F7FF"/>
    <w:rsid w:val="356CEDFD"/>
    <w:rsid w:val="5394FA47"/>
    <w:rsid w:val="69614A15"/>
    <w:rsid w:val="7BB183BC"/>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79607BD"/>
  <w15:chartTrackingRefBased/>
  <w15:docId w15:val="{AA18BD11-F4B5-4A67-BA3F-63EFCCB41A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245AB"/>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4A184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4A1847"/>
  </w:style>
  <w:style w:type="paragraph" w:styleId="Piedepgina">
    <w:name w:val="footer"/>
    <w:basedOn w:val="Normal"/>
    <w:link w:val="PiedepginaCar"/>
    <w:uiPriority w:val="99"/>
    <w:unhideWhenUsed/>
    <w:rsid w:val="004A184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4A1847"/>
  </w:style>
  <w:style w:type="paragraph" w:customStyle="1" w:styleId="Default">
    <w:name w:val="Default"/>
    <w:rsid w:val="006219F8"/>
    <w:pPr>
      <w:autoSpaceDE w:val="0"/>
      <w:autoSpaceDN w:val="0"/>
      <w:adjustRightInd w:val="0"/>
      <w:spacing w:after="0" w:line="240" w:lineRule="auto"/>
    </w:pPr>
    <w:rPr>
      <w:rFonts w:ascii="Arial" w:hAnsi="Arial" w:cs="Arial"/>
      <w:color w:val="000000"/>
      <w:sz w:val="24"/>
      <w:szCs w:val="24"/>
    </w:r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6219F8"/>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Car"/>
    <w:basedOn w:val="Normal"/>
    <w:link w:val="TextonotapieCar"/>
    <w:uiPriority w:val="99"/>
    <w:unhideWhenUsed/>
    <w:qFormat/>
    <w:rsid w:val="006219F8"/>
    <w:pPr>
      <w:spacing w:after="0" w:line="240" w:lineRule="auto"/>
    </w:pPr>
    <w:rPr>
      <w:sz w:val="20"/>
      <w:szCs w:val="20"/>
      <w:lang w:val="es-MX"/>
    </w:rPr>
  </w:style>
  <w:style w:type="character" w:customStyle="1" w:styleId="TextonotapieCar1">
    <w:name w:val="Texto nota pie Car1"/>
    <w:basedOn w:val="Fuentedeprrafopredeter"/>
    <w:uiPriority w:val="99"/>
    <w:semiHidden/>
    <w:rsid w:val="006219F8"/>
    <w:rPr>
      <w:sz w:val="20"/>
      <w:szCs w:val="20"/>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Reference Char3,Texto nota pie Car2,F,R"/>
    <w:basedOn w:val="Fuentedeprrafopredeter"/>
    <w:link w:val="Appelnotedebasde"/>
    <w:uiPriority w:val="99"/>
    <w:unhideWhenUsed/>
    <w:qFormat/>
    <w:rsid w:val="006219F8"/>
    <w:rPr>
      <w:vertAlign w:val="superscript"/>
    </w:rPr>
  </w:style>
  <w:style w:type="character" w:customStyle="1" w:styleId="normaltextrun">
    <w:name w:val="normaltextrun"/>
    <w:basedOn w:val="Fuentedeprrafopredeter"/>
    <w:rsid w:val="006219F8"/>
  </w:style>
  <w:style w:type="table" w:styleId="Tablaconcuadrcula">
    <w:name w:val="Table Grid"/>
    <w:basedOn w:val="Tablanormal"/>
    <w:uiPriority w:val="39"/>
    <w:qFormat/>
    <w:rsid w:val="006219F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aliases w:val="Fotografía,Párrafo de lista1,Bullet List,FooterText,numbered,Paragraphe de liste1,lp1,Scitum normal,HOJA,Bolita,Párrafo de lista4,BOLADEF,Párrafo de lista3,Párrafo de lista21,BOLA,Nivel 1 OS,Colorful List Accent 1,Foot"/>
    <w:basedOn w:val="Normal"/>
    <w:link w:val="PrrafodelistaCar"/>
    <w:uiPriority w:val="1"/>
    <w:qFormat/>
    <w:rsid w:val="005566E8"/>
    <w:pPr>
      <w:ind w:left="720"/>
      <w:contextualSpacing/>
    </w:pPr>
    <w:rPr>
      <w:rFonts w:ascii="Geomanist Light" w:hAnsi="Geomanist Light"/>
      <w:lang w:val="es-ES"/>
    </w:rPr>
  </w:style>
  <w:style w:type="paragraph" w:styleId="Ttulo">
    <w:name w:val="Title"/>
    <w:basedOn w:val="Normal"/>
    <w:next w:val="Normal"/>
    <w:link w:val="TtuloCar"/>
    <w:uiPriority w:val="10"/>
    <w:qFormat/>
    <w:rsid w:val="005566E8"/>
    <w:pPr>
      <w:spacing w:after="0" w:line="240" w:lineRule="auto"/>
      <w:contextualSpacing/>
    </w:pPr>
    <w:rPr>
      <w:rFonts w:ascii="Geomanist" w:eastAsiaTheme="majorEastAsia" w:hAnsi="Geomanist" w:cstheme="majorBidi"/>
      <w:spacing w:val="-10"/>
      <w:kern w:val="28"/>
      <w:szCs w:val="56"/>
      <w:lang w:val="es-ES"/>
    </w:rPr>
  </w:style>
  <w:style w:type="character" w:customStyle="1" w:styleId="TtuloCar">
    <w:name w:val="Título Car"/>
    <w:basedOn w:val="Fuentedeprrafopredeter"/>
    <w:link w:val="Ttulo"/>
    <w:uiPriority w:val="10"/>
    <w:rsid w:val="005566E8"/>
    <w:rPr>
      <w:rFonts w:ascii="Geomanist" w:eastAsiaTheme="majorEastAsia" w:hAnsi="Geomanist" w:cstheme="majorBidi"/>
      <w:spacing w:val="-10"/>
      <w:kern w:val="28"/>
      <w:szCs w:val="56"/>
      <w:lang w:val="es-ES"/>
    </w:rPr>
  </w:style>
  <w:style w:type="character" w:customStyle="1" w:styleId="ui-provider">
    <w:name w:val="ui-provider"/>
    <w:basedOn w:val="Fuentedeprrafopredeter"/>
    <w:rsid w:val="00DA231B"/>
  </w:style>
  <w:style w:type="character" w:styleId="Hipervnculo">
    <w:name w:val="Hyperlink"/>
    <w:basedOn w:val="Fuentedeprrafopredeter"/>
    <w:uiPriority w:val="99"/>
    <w:unhideWhenUsed/>
    <w:rsid w:val="00125105"/>
    <w:rPr>
      <w:color w:val="0000FF"/>
      <w:u w:val="single"/>
    </w:rPr>
  </w:style>
  <w:style w:type="character" w:styleId="Hipervnculovisitado">
    <w:name w:val="FollowedHyperlink"/>
    <w:basedOn w:val="Fuentedeprrafopredeter"/>
    <w:uiPriority w:val="99"/>
    <w:semiHidden/>
    <w:unhideWhenUsed/>
    <w:rsid w:val="00125105"/>
    <w:rPr>
      <w:color w:val="954F72" w:themeColor="followedHyperlink"/>
      <w:u w:val="single"/>
    </w:rPr>
  </w:style>
  <w:style w:type="paragraph" w:customStyle="1" w:styleId="paragraph">
    <w:name w:val="paragraph"/>
    <w:basedOn w:val="Normal"/>
    <w:rsid w:val="00322A85"/>
    <w:pPr>
      <w:spacing w:before="100" w:beforeAutospacing="1" w:after="100" w:afterAutospacing="1" w:line="240" w:lineRule="auto"/>
    </w:pPr>
    <w:rPr>
      <w:rFonts w:ascii="Times New Roman" w:eastAsia="Times New Roman" w:hAnsi="Times New Roman" w:cs="Times New Roman"/>
      <w:sz w:val="24"/>
      <w:szCs w:val="24"/>
      <w:lang w:eastAsia="es-CO"/>
    </w:rPr>
  </w:style>
  <w:style w:type="character" w:customStyle="1" w:styleId="tabchar">
    <w:name w:val="tabchar"/>
    <w:basedOn w:val="Fuentedeprrafopredeter"/>
    <w:rsid w:val="00322A85"/>
  </w:style>
  <w:style w:type="character" w:customStyle="1" w:styleId="eop">
    <w:name w:val="eop"/>
    <w:basedOn w:val="Fuentedeprrafopredeter"/>
    <w:rsid w:val="00322A85"/>
  </w:style>
  <w:style w:type="character" w:styleId="Mencinsinresolver">
    <w:name w:val="Unresolved Mention"/>
    <w:basedOn w:val="Fuentedeprrafopredeter"/>
    <w:uiPriority w:val="99"/>
    <w:semiHidden/>
    <w:unhideWhenUsed/>
    <w:rsid w:val="001F7DC6"/>
    <w:rPr>
      <w:color w:val="605E5C"/>
      <w:shd w:val="clear" w:color="auto" w:fill="E1DFDD"/>
    </w:rPr>
  </w:style>
  <w:style w:type="paragraph" w:styleId="NormalWeb">
    <w:name w:val="Normal (Web)"/>
    <w:basedOn w:val="Normal"/>
    <w:uiPriority w:val="99"/>
    <w:semiHidden/>
    <w:unhideWhenUsed/>
    <w:rsid w:val="00DF5254"/>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customStyle="1" w:styleId="blanco">
    <w:name w:val="blanco"/>
    <w:basedOn w:val="Normal"/>
    <w:rsid w:val="00C76B1C"/>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styleId="Revisin">
    <w:name w:val="Revision"/>
    <w:hidden/>
    <w:uiPriority w:val="99"/>
    <w:semiHidden/>
    <w:rsid w:val="009F3A13"/>
    <w:pPr>
      <w:spacing w:after="0" w:line="240" w:lineRule="auto"/>
    </w:pPr>
  </w:style>
  <w:style w:type="paragraph" w:customStyle="1" w:styleId="Appelnotedebasde">
    <w:name w:val="Appel note de bas de..."/>
    <w:basedOn w:val="Normal"/>
    <w:link w:val="Refdenotaalpie"/>
    <w:uiPriority w:val="99"/>
    <w:rsid w:val="004A1CED"/>
    <w:pPr>
      <w:spacing w:line="240" w:lineRule="exact"/>
    </w:pPr>
    <w:rPr>
      <w:vertAlign w:val="superscript"/>
    </w:rPr>
  </w:style>
  <w:style w:type="character" w:customStyle="1" w:styleId="PrrafodelistaCar">
    <w:name w:val="Párrafo de lista Car"/>
    <w:aliases w:val="Fotografía Car,Párrafo de lista1 Car,Bullet List Car,FooterText Car,numbered Car,Paragraphe de liste1 Car,lp1 Car,Scitum normal Car,HOJA Car,Bolita Car,Párrafo de lista4 Car,BOLADEF Car,Párrafo de lista3 Car,Párrafo de lista21 Car"/>
    <w:link w:val="Prrafodelista"/>
    <w:uiPriority w:val="1"/>
    <w:qFormat/>
    <w:locked/>
    <w:rsid w:val="004A1CED"/>
    <w:rPr>
      <w:rFonts w:ascii="Geomanist Light" w:hAnsi="Geomanist Light"/>
      <w:lang w:val="es-ES"/>
    </w:rPr>
  </w:style>
  <w:style w:type="character" w:customStyle="1" w:styleId="s15">
    <w:name w:val="s15"/>
    <w:basedOn w:val="Fuentedeprrafopredeter"/>
    <w:rsid w:val="004A1CED"/>
  </w:style>
  <w:style w:type="character" w:customStyle="1" w:styleId="apple-converted-space">
    <w:name w:val="apple-converted-space"/>
    <w:basedOn w:val="Fuentedeprrafopredeter"/>
    <w:rsid w:val="004A1C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21767828">
      <w:bodyDiv w:val="1"/>
      <w:marLeft w:val="0"/>
      <w:marRight w:val="0"/>
      <w:marTop w:val="0"/>
      <w:marBottom w:val="0"/>
      <w:divBdr>
        <w:top w:val="none" w:sz="0" w:space="0" w:color="auto"/>
        <w:left w:val="none" w:sz="0" w:space="0" w:color="auto"/>
        <w:bottom w:val="none" w:sz="0" w:space="0" w:color="auto"/>
        <w:right w:val="none" w:sz="0" w:space="0" w:color="auto"/>
      </w:divBdr>
    </w:div>
    <w:div w:id="755788902">
      <w:bodyDiv w:val="1"/>
      <w:marLeft w:val="0"/>
      <w:marRight w:val="0"/>
      <w:marTop w:val="0"/>
      <w:marBottom w:val="0"/>
      <w:divBdr>
        <w:top w:val="none" w:sz="0" w:space="0" w:color="auto"/>
        <w:left w:val="none" w:sz="0" w:space="0" w:color="auto"/>
        <w:bottom w:val="none" w:sz="0" w:space="0" w:color="auto"/>
        <w:right w:val="none" w:sz="0" w:space="0" w:color="auto"/>
      </w:divBdr>
    </w:div>
    <w:div w:id="1132796275">
      <w:bodyDiv w:val="1"/>
      <w:marLeft w:val="0"/>
      <w:marRight w:val="0"/>
      <w:marTop w:val="0"/>
      <w:marBottom w:val="0"/>
      <w:divBdr>
        <w:top w:val="none" w:sz="0" w:space="0" w:color="auto"/>
        <w:left w:val="none" w:sz="0" w:space="0" w:color="auto"/>
        <w:bottom w:val="none" w:sz="0" w:space="0" w:color="auto"/>
        <w:right w:val="none" w:sz="0" w:space="0" w:color="auto"/>
      </w:divBdr>
    </w:div>
    <w:div w:id="1270429918">
      <w:bodyDiv w:val="1"/>
      <w:marLeft w:val="0"/>
      <w:marRight w:val="0"/>
      <w:marTop w:val="0"/>
      <w:marBottom w:val="0"/>
      <w:divBdr>
        <w:top w:val="none" w:sz="0" w:space="0" w:color="auto"/>
        <w:left w:val="none" w:sz="0" w:space="0" w:color="auto"/>
        <w:bottom w:val="none" w:sz="0" w:space="0" w:color="auto"/>
        <w:right w:val="none" w:sz="0" w:space="0" w:color="auto"/>
      </w:divBdr>
    </w:div>
    <w:div w:id="1291863859">
      <w:bodyDiv w:val="1"/>
      <w:marLeft w:val="0"/>
      <w:marRight w:val="0"/>
      <w:marTop w:val="0"/>
      <w:marBottom w:val="0"/>
      <w:divBdr>
        <w:top w:val="none" w:sz="0" w:space="0" w:color="auto"/>
        <w:left w:val="none" w:sz="0" w:space="0" w:color="auto"/>
        <w:bottom w:val="none" w:sz="0" w:space="0" w:color="auto"/>
        <w:right w:val="none" w:sz="0" w:space="0" w:color="auto"/>
      </w:divBdr>
      <w:divsChild>
        <w:div w:id="1814251553">
          <w:marLeft w:val="0"/>
          <w:marRight w:val="0"/>
          <w:marTop w:val="0"/>
          <w:marBottom w:val="0"/>
          <w:divBdr>
            <w:top w:val="none" w:sz="0" w:space="0" w:color="auto"/>
            <w:left w:val="none" w:sz="0" w:space="0" w:color="auto"/>
            <w:bottom w:val="none" w:sz="0" w:space="0" w:color="auto"/>
            <w:right w:val="none" w:sz="0" w:space="0" w:color="auto"/>
          </w:divBdr>
        </w:div>
        <w:div w:id="1098216012">
          <w:marLeft w:val="0"/>
          <w:marRight w:val="0"/>
          <w:marTop w:val="0"/>
          <w:marBottom w:val="0"/>
          <w:divBdr>
            <w:top w:val="none" w:sz="0" w:space="0" w:color="auto"/>
            <w:left w:val="none" w:sz="0" w:space="0" w:color="auto"/>
            <w:bottom w:val="none" w:sz="0" w:space="0" w:color="auto"/>
            <w:right w:val="none" w:sz="0" w:space="0" w:color="auto"/>
          </w:divBdr>
        </w:div>
        <w:div w:id="2036272205">
          <w:marLeft w:val="0"/>
          <w:marRight w:val="0"/>
          <w:marTop w:val="0"/>
          <w:marBottom w:val="0"/>
          <w:divBdr>
            <w:top w:val="none" w:sz="0" w:space="0" w:color="auto"/>
            <w:left w:val="none" w:sz="0" w:space="0" w:color="auto"/>
            <w:bottom w:val="none" w:sz="0" w:space="0" w:color="auto"/>
            <w:right w:val="none" w:sz="0" w:space="0" w:color="auto"/>
          </w:divBdr>
        </w:div>
        <w:div w:id="1963534490">
          <w:marLeft w:val="0"/>
          <w:marRight w:val="0"/>
          <w:marTop w:val="0"/>
          <w:marBottom w:val="0"/>
          <w:divBdr>
            <w:top w:val="none" w:sz="0" w:space="0" w:color="auto"/>
            <w:left w:val="none" w:sz="0" w:space="0" w:color="auto"/>
            <w:bottom w:val="none" w:sz="0" w:space="0" w:color="auto"/>
            <w:right w:val="none" w:sz="0" w:space="0" w:color="auto"/>
          </w:divBdr>
        </w:div>
        <w:div w:id="1009718320">
          <w:marLeft w:val="0"/>
          <w:marRight w:val="0"/>
          <w:marTop w:val="0"/>
          <w:marBottom w:val="0"/>
          <w:divBdr>
            <w:top w:val="none" w:sz="0" w:space="0" w:color="auto"/>
            <w:left w:val="none" w:sz="0" w:space="0" w:color="auto"/>
            <w:bottom w:val="none" w:sz="0" w:space="0" w:color="auto"/>
            <w:right w:val="none" w:sz="0" w:space="0" w:color="auto"/>
          </w:divBdr>
        </w:div>
        <w:div w:id="2075656958">
          <w:marLeft w:val="0"/>
          <w:marRight w:val="0"/>
          <w:marTop w:val="0"/>
          <w:marBottom w:val="0"/>
          <w:divBdr>
            <w:top w:val="none" w:sz="0" w:space="0" w:color="auto"/>
            <w:left w:val="none" w:sz="0" w:space="0" w:color="auto"/>
            <w:bottom w:val="none" w:sz="0" w:space="0" w:color="auto"/>
            <w:right w:val="none" w:sz="0" w:space="0" w:color="auto"/>
          </w:divBdr>
        </w:div>
        <w:div w:id="1227495006">
          <w:marLeft w:val="0"/>
          <w:marRight w:val="0"/>
          <w:marTop w:val="0"/>
          <w:marBottom w:val="0"/>
          <w:divBdr>
            <w:top w:val="none" w:sz="0" w:space="0" w:color="auto"/>
            <w:left w:val="none" w:sz="0" w:space="0" w:color="auto"/>
            <w:bottom w:val="none" w:sz="0" w:space="0" w:color="auto"/>
            <w:right w:val="none" w:sz="0" w:space="0" w:color="auto"/>
          </w:divBdr>
        </w:div>
        <w:div w:id="390231839">
          <w:marLeft w:val="0"/>
          <w:marRight w:val="0"/>
          <w:marTop w:val="0"/>
          <w:marBottom w:val="0"/>
          <w:divBdr>
            <w:top w:val="none" w:sz="0" w:space="0" w:color="auto"/>
            <w:left w:val="none" w:sz="0" w:space="0" w:color="auto"/>
            <w:bottom w:val="none" w:sz="0" w:space="0" w:color="auto"/>
            <w:right w:val="none" w:sz="0" w:space="0" w:color="auto"/>
          </w:divBdr>
        </w:div>
        <w:div w:id="117142684">
          <w:marLeft w:val="0"/>
          <w:marRight w:val="0"/>
          <w:marTop w:val="0"/>
          <w:marBottom w:val="0"/>
          <w:divBdr>
            <w:top w:val="none" w:sz="0" w:space="0" w:color="auto"/>
            <w:left w:val="none" w:sz="0" w:space="0" w:color="auto"/>
            <w:bottom w:val="none" w:sz="0" w:space="0" w:color="auto"/>
            <w:right w:val="none" w:sz="0" w:space="0" w:color="auto"/>
          </w:divBdr>
        </w:div>
        <w:div w:id="882060613">
          <w:marLeft w:val="0"/>
          <w:marRight w:val="0"/>
          <w:marTop w:val="0"/>
          <w:marBottom w:val="0"/>
          <w:divBdr>
            <w:top w:val="none" w:sz="0" w:space="0" w:color="auto"/>
            <w:left w:val="none" w:sz="0" w:space="0" w:color="auto"/>
            <w:bottom w:val="none" w:sz="0" w:space="0" w:color="auto"/>
            <w:right w:val="none" w:sz="0" w:space="0" w:color="auto"/>
          </w:divBdr>
        </w:div>
        <w:div w:id="1343312156">
          <w:marLeft w:val="0"/>
          <w:marRight w:val="0"/>
          <w:marTop w:val="0"/>
          <w:marBottom w:val="0"/>
          <w:divBdr>
            <w:top w:val="none" w:sz="0" w:space="0" w:color="auto"/>
            <w:left w:val="none" w:sz="0" w:space="0" w:color="auto"/>
            <w:bottom w:val="none" w:sz="0" w:space="0" w:color="auto"/>
            <w:right w:val="none" w:sz="0" w:space="0" w:color="auto"/>
          </w:divBdr>
        </w:div>
        <w:div w:id="807745514">
          <w:marLeft w:val="0"/>
          <w:marRight w:val="0"/>
          <w:marTop w:val="0"/>
          <w:marBottom w:val="0"/>
          <w:divBdr>
            <w:top w:val="none" w:sz="0" w:space="0" w:color="auto"/>
            <w:left w:val="none" w:sz="0" w:space="0" w:color="auto"/>
            <w:bottom w:val="none" w:sz="0" w:space="0" w:color="auto"/>
            <w:right w:val="none" w:sz="0" w:space="0" w:color="auto"/>
          </w:divBdr>
        </w:div>
        <w:div w:id="688798703">
          <w:marLeft w:val="0"/>
          <w:marRight w:val="0"/>
          <w:marTop w:val="0"/>
          <w:marBottom w:val="0"/>
          <w:divBdr>
            <w:top w:val="none" w:sz="0" w:space="0" w:color="auto"/>
            <w:left w:val="none" w:sz="0" w:space="0" w:color="auto"/>
            <w:bottom w:val="none" w:sz="0" w:space="0" w:color="auto"/>
            <w:right w:val="none" w:sz="0" w:space="0" w:color="auto"/>
          </w:divBdr>
        </w:div>
        <w:div w:id="1324310022">
          <w:marLeft w:val="0"/>
          <w:marRight w:val="0"/>
          <w:marTop w:val="0"/>
          <w:marBottom w:val="0"/>
          <w:divBdr>
            <w:top w:val="none" w:sz="0" w:space="0" w:color="auto"/>
            <w:left w:val="none" w:sz="0" w:space="0" w:color="auto"/>
            <w:bottom w:val="none" w:sz="0" w:space="0" w:color="auto"/>
            <w:right w:val="none" w:sz="0" w:space="0" w:color="auto"/>
          </w:divBdr>
        </w:div>
        <w:div w:id="715542045">
          <w:marLeft w:val="0"/>
          <w:marRight w:val="0"/>
          <w:marTop w:val="0"/>
          <w:marBottom w:val="0"/>
          <w:divBdr>
            <w:top w:val="none" w:sz="0" w:space="0" w:color="auto"/>
            <w:left w:val="none" w:sz="0" w:space="0" w:color="auto"/>
            <w:bottom w:val="none" w:sz="0" w:space="0" w:color="auto"/>
            <w:right w:val="none" w:sz="0" w:space="0" w:color="auto"/>
          </w:divBdr>
        </w:div>
        <w:div w:id="1065952338">
          <w:marLeft w:val="0"/>
          <w:marRight w:val="0"/>
          <w:marTop w:val="0"/>
          <w:marBottom w:val="0"/>
          <w:divBdr>
            <w:top w:val="none" w:sz="0" w:space="0" w:color="auto"/>
            <w:left w:val="none" w:sz="0" w:space="0" w:color="auto"/>
            <w:bottom w:val="none" w:sz="0" w:space="0" w:color="auto"/>
            <w:right w:val="none" w:sz="0" w:space="0" w:color="auto"/>
          </w:divBdr>
        </w:div>
        <w:div w:id="2092659859">
          <w:marLeft w:val="0"/>
          <w:marRight w:val="0"/>
          <w:marTop w:val="0"/>
          <w:marBottom w:val="0"/>
          <w:divBdr>
            <w:top w:val="none" w:sz="0" w:space="0" w:color="auto"/>
            <w:left w:val="none" w:sz="0" w:space="0" w:color="auto"/>
            <w:bottom w:val="none" w:sz="0" w:space="0" w:color="auto"/>
            <w:right w:val="none" w:sz="0" w:space="0" w:color="auto"/>
          </w:divBdr>
        </w:div>
        <w:div w:id="1134103737">
          <w:marLeft w:val="0"/>
          <w:marRight w:val="0"/>
          <w:marTop w:val="0"/>
          <w:marBottom w:val="0"/>
          <w:divBdr>
            <w:top w:val="none" w:sz="0" w:space="0" w:color="auto"/>
            <w:left w:val="none" w:sz="0" w:space="0" w:color="auto"/>
            <w:bottom w:val="none" w:sz="0" w:space="0" w:color="auto"/>
            <w:right w:val="none" w:sz="0" w:space="0" w:color="auto"/>
          </w:divBdr>
        </w:div>
        <w:div w:id="511727059">
          <w:marLeft w:val="0"/>
          <w:marRight w:val="0"/>
          <w:marTop w:val="0"/>
          <w:marBottom w:val="0"/>
          <w:divBdr>
            <w:top w:val="none" w:sz="0" w:space="0" w:color="auto"/>
            <w:left w:val="none" w:sz="0" w:space="0" w:color="auto"/>
            <w:bottom w:val="none" w:sz="0" w:space="0" w:color="auto"/>
            <w:right w:val="none" w:sz="0" w:space="0" w:color="auto"/>
          </w:divBdr>
        </w:div>
        <w:div w:id="860240521">
          <w:marLeft w:val="0"/>
          <w:marRight w:val="0"/>
          <w:marTop w:val="0"/>
          <w:marBottom w:val="0"/>
          <w:divBdr>
            <w:top w:val="none" w:sz="0" w:space="0" w:color="auto"/>
            <w:left w:val="none" w:sz="0" w:space="0" w:color="auto"/>
            <w:bottom w:val="none" w:sz="0" w:space="0" w:color="auto"/>
            <w:right w:val="none" w:sz="0" w:space="0" w:color="auto"/>
          </w:divBdr>
        </w:div>
        <w:div w:id="892691556">
          <w:marLeft w:val="0"/>
          <w:marRight w:val="0"/>
          <w:marTop w:val="0"/>
          <w:marBottom w:val="0"/>
          <w:divBdr>
            <w:top w:val="none" w:sz="0" w:space="0" w:color="auto"/>
            <w:left w:val="none" w:sz="0" w:space="0" w:color="auto"/>
            <w:bottom w:val="none" w:sz="0" w:space="0" w:color="auto"/>
            <w:right w:val="none" w:sz="0" w:space="0" w:color="auto"/>
          </w:divBdr>
        </w:div>
        <w:div w:id="24454764">
          <w:marLeft w:val="0"/>
          <w:marRight w:val="0"/>
          <w:marTop w:val="0"/>
          <w:marBottom w:val="0"/>
          <w:divBdr>
            <w:top w:val="none" w:sz="0" w:space="0" w:color="auto"/>
            <w:left w:val="none" w:sz="0" w:space="0" w:color="auto"/>
            <w:bottom w:val="none" w:sz="0" w:space="0" w:color="auto"/>
            <w:right w:val="none" w:sz="0" w:space="0" w:color="auto"/>
          </w:divBdr>
        </w:div>
        <w:div w:id="541678020">
          <w:marLeft w:val="0"/>
          <w:marRight w:val="0"/>
          <w:marTop w:val="0"/>
          <w:marBottom w:val="0"/>
          <w:divBdr>
            <w:top w:val="none" w:sz="0" w:space="0" w:color="auto"/>
            <w:left w:val="none" w:sz="0" w:space="0" w:color="auto"/>
            <w:bottom w:val="none" w:sz="0" w:space="0" w:color="auto"/>
            <w:right w:val="none" w:sz="0" w:space="0" w:color="auto"/>
          </w:divBdr>
        </w:div>
        <w:div w:id="1404261026">
          <w:marLeft w:val="0"/>
          <w:marRight w:val="0"/>
          <w:marTop w:val="0"/>
          <w:marBottom w:val="0"/>
          <w:divBdr>
            <w:top w:val="none" w:sz="0" w:space="0" w:color="auto"/>
            <w:left w:val="none" w:sz="0" w:space="0" w:color="auto"/>
            <w:bottom w:val="none" w:sz="0" w:space="0" w:color="auto"/>
            <w:right w:val="none" w:sz="0" w:space="0" w:color="auto"/>
          </w:divBdr>
        </w:div>
        <w:div w:id="638808706">
          <w:marLeft w:val="0"/>
          <w:marRight w:val="0"/>
          <w:marTop w:val="0"/>
          <w:marBottom w:val="0"/>
          <w:divBdr>
            <w:top w:val="none" w:sz="0" w:space="0" w:color="auto"/>
            <w:left w:val="none" w:sz="0" w:space="0" w:color="auto"/>
            <w:bottom w:val="none" w:sz="0" w:space="0" w:color="auto"/>
            <w:right w:val="none" w:sz="0" w:space="0" w:color="auto"/>
          </w:divBdr>
        </w:div>
        <w:div w:id="238516275">
          <w:marLeft w:val="0"/>
          <w:marRight w:val="0"/>
          <w:marTop w:val="0"/>
          <w:marBottom w:val="0"/>
          <w:divBdr>
            <w:top w:val="none" w:sz="0" w:space="0" w:color="auto"/>
            <w:left w:val="none" w:sz="0" w:space="0" w:color="auto"/>
            <w:bottom w:val="none" w:sz="0" w:space="0" w:color="auto"/>
            <w:right w:val="none" w:sz="0" w:space="0" w:color="auto"/>
          </w:divBdr>
        </w:div>
        <w:div w:id="1694109704">
          <w:marLeft w:val="0"/>
          <w:marRight w:val="0"/>
          <w:marTop w:val="0"/>
          <w:marBottom w:val="0"/>
          <w:divBdr>
            <w:top w:val="none" w:sz="0" w:space="0" w:color="auto"/>
            <w:left w:val="none" w:sz="0" w:space="0" w:color="auto"/>
            <w:bottom w:val="none" w:sz="0" w:space="0" w:color="auto"/>
            <w:right w:val="none" w:sz="0" w:space="0" w:color="auto"/>
          </w:divBdr>
        </w:div>
        <w:div w:id="2120836280">
          <w:marLeft w:val="0"/>
          <w:marRight w:val="0"/>
          <w:marTop w:val="0"/>
          <w:marBottom w:val="0"/>
          <w:divBdr>
            <w:top w:val="none" w:sz="0" w:space="0" w:color="auto"/>
            <w:left w:val="none" w:sz="0" w:space="0" w:color="auto"/>
            <w:bottom w:val="none" w:sz="0" w:space="0" w:color="auto"/>
            <w:right w:val="none" w:sz="0" w:space="0" w:color="auto"/>
          </w:divBdr>
        </w:div>
        <w:div w:id="455296425">
          <w:marLeft w:val="0"/>
          <w:marRight w:val="0"/>
          <w:marTop w:val="0"/>
          <w:marBottom w:val="0"/>
          <w:divBdr>
            <w:top w:val="none" w:sz="0" w:space="0" w:color="auto"/>
            <w:left w:val="none" w:sz="0" w:space="0" w:color="auto"/>
            <w:bottom w:val="none" w:sz="0" w:space="0" w:color="auto"/>
            <w:right w:val="none" w:sz="0" w:space="0" w:color="auto"/>
          </w:divBdr>
        </w:div>
        <w:div w:id="1932930429">
          <w:marLeft w:val="0"/>
          <w:marRight w:val="0"/>
          <w:marTop w:val="0"/>
          <w:marBottom w:val="0"/>
          <w:divBdr>
            <w:top w:val="none" w:sz="0" w:space="0" w:color="auto"/>
            <w:left w:val="none" w:sz="0" w:space="0" w:color="auto"/>
            <w:bottom w:val="none" w:sz="0" w:space="0" w:color="auto"/>
            <w:right w:val="none" w:sz="0" w:space="0" w:color="auto"/>
          </w:divBdr>
        </w:div>
        <w:div w:id="538082317">
          <w:marLeft w:val="0"/>
          <w:marRight w:val="0"/>
          <w:marTop w:val="0"/>
          <w:marBottom w:val="0"/>
          <w:divBdr>
            <w:top w:val="none" w:sz="0" w:space="0" w:color="auto"/>
            <w:left w:val="none" w:sz="0" w:space="0" w:color="auto"/>
            <w:bottom w:val="none" w:sz="0" w:space="0" w:color="auto"/>
            <w:right w:val="none" w:sz="0" w:space="0" w:color="auto"/>
          </w:divBdr>
        </w:div>
        <w:div w:id="679356651">
          <w:marLeft w:val="0"/>
          <w:marRight w:val="0"/>
          <w:marTop w:val="0"/>
          <w:marBottom w:val="0"/>
          <w:divBdr>
            <w:top w:val="none" w:sz="0" w:space="0" w:color="auto"/>
            <w:left w:val="none" w:sz="0" w:space="0" w:color="auto"/>
            <w:bottom w:val="none" w:sz="0" w:space="0" w:color="auto"/>
            <w:right w:val="none" w:sz="0" w:space="0" w:color="auto"/>
          </w:divBdr>
        </w:div>
        <w:div w:id="1638532409">
          <w:marLeft w:val="0"/>
          <w:marRight w:val="0"/>
          <w:marTop w:val="0"/>
          <w:marBottom w:val="0"/>
          <w:divBdr>
            <w:top w:val="none" w:sz="0" w:space="0" w:color="auto"/>
            <w:left w:val="none" w:sz="0" w:space="0" w:color="auto"/>
            <w:bottom w:val="none" w:sz="0" w:space="0" w:color="auto"/>
            <w:right w:val="none" w:sz="0" w:space="0" w:color="auto"/>
          </w:divBdr>
        </w:div>
        <w:div w:id="1464275602">
          <w:marLeft w:val="0"/>
          <w:marRight w:val="0"/>
          <w:marTop w:val="0"/>
          <w:marBottom w:val="0"/>
          <w:divBdr>
            <w:top w:val="none" w:sz="0" w:space="0" w:color="auto"/>
            <w:left w:val="none" w:sz="0" w:space="0" w:color="auto"/>
            <w:bottom w:val="none" w:sz="0" w:space="0" w:color="auto"/>
            <w:right w:val="none" w:sz="0" w:space="0" w:color="auto"/>
          </w:divBdr>
        </w:div>
        <w:div w:id="1916237550">
          <w:marLeft w:val="0"/>
          <w:marRight w:val="0"/>
          <w:marTop w:val="0"/>
          <w:marBottom w:val="0"/>
          <w:divBdr>
            <w:top w:val="none" w:sz="0" w:space="0" w:color="auto"/>
            <w:left w:val="none" w:sz="0" w:space="0" w:color="auto"/>
            <w:bottom w:val="none" w:sz="0" w:space="0" w:color="auto"/>
            <w:right w:val="none" w:sz="0" w:space="0" w:color="auto"/>
          </w:divBdr>
        </w:div>
        <w:div w:id="2095541977">
          <w:marLeft w:val="0"/>
          <w:marRight w:val="0"/>
          <w:marTop w:val="0"/>
          <w:marBottom w:val="0"/>
          <w:divBdr>
            <w:top w:val="none" w:sz="0" w:space="0" w:color="auto"/>
            <w:left w:val="none" w:sz="0" w:space="0" w:color="auto"/>
            <w:bottom w:val="none" w:sz="0" w:space="0" w:color="auto"/>
            <w:right w:val="none" w:sz="0" w:space="0" w:color="auto"/>
          </w:divBdr>
          <w:divsChild>
            <w:div w:id="1488938398">
              <w:marLeft w:val="-75"/>
              <w:marRight w:val="0"/>
              <w:marTop w:val="30"/>
              <w:marBottom w:val="30"/>
              <w:divBdr>
                <w:top w:val="none" w:sz="0" w:space="0" w:color="auto"/>
                <w:left w:val="none" w:sz="0" w:space="0" w:color="auto"/>
                <w:bottom w:val="none" w:sz="0" w:space="0" w:color="auto"/>
                <w:right w:val="none" w:sz="0" w:space="0" w:color="auto"/>
              </w:divBdr>
              <w:divsChild>
                <w:div w:id="283007184">
                  <w:marLeft w:val="0"/>
                  <w:marRight w:val="0"/>
                  <w:marTop w:val="0"/>
                  <w:marBottom w:val="0"/>
                  <w:divBdr>
                    <w:top w:val="none" w:sz="0" w:space="0" w:color="auto"/>
                    <w:left w:val="none" w:sz="0" w:space="0" w:color="auto"/>
                    <w:bottom w:val="none" w:sz="0" w:space="0" w:color="auto"/>
                    <w:right w:val="none" w:sz="0" w:space="0" w:color="auto"/>
                  </w:divBdr>
                  <w:divsChild>
                    <w:div w:id="928538327">
                      <w:marLeft w:val="0"/>
                      <w:marRight w:val="0"/>
                      <w:marTop w:val="0"/>
                      <w:marBottom w:val="0"/>
                      <w:divBdr>
                        <w:top w:val="none" w:sz="0" w:space="0" w:color="auto"/>
                        <w:left w:val="none" w:sz="0" w:space="0" w:color="auto"/>
                        <w:bottom w:val="none" w:sz="0" w:space="0" w:color="auto"/>
                        <w:right w:val="none" w:sz="0" w:space="0" w:color="auto"/>
                      </w:divBdr>
                    </w:div>
                  </w:divsChild>
                </w:div>
                <w:div w:id="1080567943">
                  <w:marLeft w:val="0"/>
                  <w:marRight w:val="0"/>
                  <w:marTop w:val="0"/>
                  <w:marBottom w:val="0"/>
                  <w:divBdr>
                    <w:top w:val="none" w:sz="0" w:space="0" w:color="auto"/>
                    <w:left w:val="none" w:sz="0" w:space="0" w:color="auto"/>
                    <w:bottom w:val="none" w:sz="0" w:space="0" w:color="auto"/>
                    <w:right w:val="none" w:sz="0" w:space="0" w:color="auto"/>
                  </w:divBdr>
                  <w:divsChild>
                    <w:div w:id="1112624978">
                      <w:marLeft w:val="0"/>
                      <w:marRight w:val="0"/>
                      <w:marTop w:val="0"/>
                      <w:marBottom w:val="0"/>
                      <w:divBdr>
                        <w:top w:val="none" w:sz="0" w:space="0" w:color="auto"/>
                        <w:left w:val="none" w:sz="0" w:space="0" w:color="auto"/>
                        <w:bottom w:val="none" w:sz="0" w:space="0" w:color="auto"/>
                        <w:right w:val="none" w:sz="0" w:space="0" w:color="auto"/>
                      </w:divBdr>
                    </w:div>
                    <w:div w:id="539319864">
                      <w:marLeft w:val="0"/>
                      <w:marRight w:val="0"/>
                      <w:marTop w:val="0"/>
                      <w:marBottom w:val="0"/>
                      <w:divBdr>
                        <w:top w:val="none" w:sz="0" w:space="0" w:color="auto"/>
                        <w:left w:val="none" w:sz="0" w:space="0" w:color="auto"/>
                        <w:bottom w:val="none" w:sz="0" w:space="0" w:color="auto"/>
                        <w:right w:val="none" w:sz="0" w:space="0" w:color="auto"/>
                      </w:divBdr>
                    </w:div>
                  </w:divsChild>
                </w:div>
                <w:div w:id="344208591">
                  <w:marLeft w:val="0"/>
                  <w:marRight w:val="0"/>
                  <w:marTop w:val="0"/>
                  <w:marBottom w:val="0"/>
                  <w:divBdr>
                    <w:top w:val="none" w:sz="0" w:space="0" w:color="auto"/>
                    <w:left w:val="none" w:sz="0" w:space="0" w:color="auto"/>
                    <w:bottom w:val="none" w:sz="0" w:space="0" w:color="auto"/>
                    <w:right w:val="none" w:sz="0" w:space="0" w:color="auto"/>
                  </w:divBdr>
                  <w:divsChild>
                    <w:div w:id="1723020549">
                      <w:marLeft w:val="0"/>
                      <w:marRight w:val="0"/>
                      <w:marTop w:val="0"/>
                      <w:marBottom w:val="0"/>
                      <w:divBdr>
                        <w:top w:val="none" w:sz="0" w:space="0" w:color="auto"/>
                        <w:left w:val="none" w:sz="0" w:space="0" w:color="auto"/>
                        <w:bottom w:val="none" w:sz="0" w:space="0" w:color="auto"/>
                        <w:right w:val="none" w:sz="0" w:space="0" w:color="auto"/>
                      </w:divBdr>
                    </w:div>
                  </w:divsChild>
                </w:div>
                <w:div w:id="233929418">
                  <w:marLeft w:val="0"/>
                  <w:marRight w:val="0"/>
                  <w:marTop w:val="0"/>
                  <w:marBottom w:val="0"/>
                  <w:divBdr>
                    <w:top w:val="none" w:sz="0" w:space="0" w:color="auto"/>
                    <w:left w:val="none" w:sz="0" w:space="0" w:color="auto"/>
                    <w:bottom w:val="none" w:sz="0" w:space="0" w:color="auto"/>
                    <w:right w:val="none" w:sz="0" w:space="0" w:color="auto"/>
                  </w:divBdr>
                  <w:divsChild>
                    <w:div w:id="193542531">
                      <w:marLeft w:val="0"/>
                      <w:marRight w:val="0"/>
                      <w:marTop w:val="0"/>
                      <w:marBottom w:val="0"/>
                      <w:divBdr>
                        <w:top w:val="none" w:sz="0" w:space="0" w:color="auto"/>
                        <w:left w:val="none" w:sz="0" w:space="0" w:color="auto"/>
                        <w:bottom w:val="none" w:sz="0" w:space="0" w:color="auto"/>
                        <w:right w:val="none" w:sz="0" w:space="0" w:color="auto"/>
                      </w:divBdr>
                    </w:div>
                    <w:div w:id="2029217062">
                      <w:marLeft w:val="0"/>
                      <w:marRight w:val="0"/>
                      <w:marTop w:val="0"/>
                      <w:marBottom w:val="0"/>
                      <w:divBdr>
                        <w:top w:val="none" w:sz="0" w:space="0" w:color="auto"/>
                        <w:left w:val="none" w:sz="0" w:space="0" w:color="auto"/>
                        <w:bottom w:val="none" w:sz="0" w:space="0" w:color="auto"/>
                        <w:right w:val="none" w:sz="0" w:space="0" w:color="auto"/>
                      </w:divBdr>
                    </w:div>
                  </w:divsChild>
                </w:div>
                <w:div w:id="231042282">
                  <w:marLeft w:val="0"/>
                  <w:marRight w:val="0"/>
                  <w:marTop w:val="0"/>
                  <w:marBottom w:val="0"/>
                  <w:divBdr>
                    <w:top w:val="none" w:sz="0" w:space="0" w:color="auto"/>
                    <w:left w:val="none" w:sz="0" w:space="0" w:color="auto"/>
                    <w:bottom w:val="none" w:sz="0" w:space="0" w:color="auto"/>
                    <w:right w:val="none" w:sz="0" w:space="0" w:color="auto"/>
                  </w:divBdr>
                  <w:divsChild>
                    <w:div w:id="1200582818">
                      <w:marLeft w:val="0"/>
                      <w:marRight w:val="0"/>
                      <w:marTop w:val="0"/>
                      <w:marBottom w:val="0"/>
                      <w:divBdr>
                        <w:top w:val="none" w:sz="0" w:space="0" w:color="auto"/>
                        <w:left w:val="none" w:sz="0" w:space="0" w:color="auto"/>
                        <w:bottom w:val="none" w:sz="0" w:space="0" w:color="auto"/>
                        <w:right w:val="none" w:sz="0" w:space="0" w:color="auto"/>
                      </w:divBdr>
                    </w:div>
                  </w:divsChild>
                </w:div>
                <w:div w:id="431166015">
                  <w:marLeft w:val="0"/>
                  <w:marRight w:val="0"/>
                  <w:marTop w:val="0"/>
                  <w:marBottom w:val="0"/>
                  <w:divBdr>
                    <w:top w:val="none" w:sz="0" w:space="0" w:color="auto"/>
                    <w:left w:val="none" w:sz="0" w:space="0" w:color="auto"/>
                    <w:bottom w:val="none" w:sz="0" w:space="0" w:color="auto"/>
                    <w:right w:val="none" w:sz="0" w:space="0" w:color="auto"/>
                  </w:divBdr>
                  <w:divsChild>
                    <w:div w:id="633837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16871884">
          <w:marLeft w:val="0"/>
          <w:marRight w:val="0"/>
          <w:marTop w:val="0"/>
          <w:marBottom w:val="0"/>
          <w:divBdr>
            <w:top w:val="none" w:sz="0" w:space="0" w:color="auto"/>
            <w:left w:val="none" w:sz="0" w:space="0" w:color="auto"/>
            <w:bottom w:val="none" w:sz="0" w:space="0" w:color="auto"/>
            <w:right w:val="none" w:sz="0" w:space="0" w:color="auto"/>
          </w:divBdr>
        </w:div>
        <w:div w:id="1002320289">
          <w:marLeft w:val="0"/>
          <w:marRight w:val="0"/>
          <w:marTop w:val="0"/>
          <w:marBottom w:val="0"/>
          <w:divBdr>
            <w:top w:val="none" w:sz="0" w:space="0" w:color="auto"/>
            <w:left w:val="none" w:sz="0" w:space="0" w:color="auto"/>
            <w:bottom w:val="none" w:sz="0" w:space="0" w:color="auto"/>
            <w:right w:val="none" w:sz="0" w:space="0" w:color="auto"/>
          </w:divBdr>
        </w:div>
        <w:div w:id="2033648475">
          <w:marLeft w:val="0"/>
          <w:marRight w:val="0"/>
          <w:marTop w:val="0"/>
          <w:marBottom w:val="0"/>
          <w:divBdr>
            <w:top w:val="none" w:sz="0" w:space="0" w:color="auto"/>
            <w:left w:val="none" w:sz="0" w:space="0" w:color="auto"/>
            <w:bottom w:val="none" w:sz="0" w:space="0" w:color="auto"/>
            <w:right w:val="none" w:sz="0" w:space="0" w:color="auto"/>
          </w:divBdr>
        </w:div>
        <w:div w:id="1053582647">
          <w:marLeft w:val="0"/>
          <w:marRight w:val="0"/>
          <w:marTop w:val="0"/>
          <w:marBottom w:val="0"/>
          <w:divBdr>
            <w:top w:val="none" w:sz="0" w:space="0" w:color="auto"/>
            <w:left w:val="none" w:sz="0" w:space="0" w:color="auto"/>
            <w:bottom w:val="none" w:sz="0" w:space="0" w:color="auto"/>
            <w:right w:val="none" w:sz="0" w:space="0" w:color="auto"/>
          </w:divBdr>
        </w:div>
        <w:div w:id="165822881">
          <w:marLeft w:val="0"/>
          <w:marRight w:val="0"/>
          <w:marTop w:val="0"/>
          <w:marBottom w:val="0"/>
          <w:divBdr>
            <w:top w:val="none" w:sz="0" w:space="0" w:color="auto"/>
            <w:left w:val="none" w:sz="0" w:space="0" w:color="auto"/>
            <w:bottom w:val="none" w:sz="0" w:space="0" w:color="auto"/>
            <w:right w:val="none" w:sz="0" w:space="0" w:color="auto"/>
          </w:divBdr>
        </w:div>
        <w:div w:id="1919947877">
          <w:marLeft w:val="0"/>
          <w:marRight w:val="0"/>
          <w:marTop w:val="0"/>
          <w:marBottom w:val="0"/>
          <w:divBdr>
            <w:top w:val="none" w:sz="0" w:space="0" w:color="auto"/>
            <w:left w:val="none" w:sz="0" w:space="0" w:color="auto"/>
            <w:bottom w:val="none" w:sz="0" w:space="0" w:color="auto"/>
            <w:right w:val="none" w:sz="0" w:space="0" w:color="auto"/>
          </w:divBdr>
          <w:divsChild>
            <w:div w:id="1192113255">
              <w:marLeft w:val="0"/>
              <w:marRight w:val="0"/>
              <w:marTop w:val="0"/>
              <w:marBottom w:val="0"/>
              <w:divBdr>
                <w:top w:val="none" w:sz="0" w:space="0" w:color="auto"/>
                <w:left w:val="none" w:sz="0" w:space="0" w:color="auto"/>
                <w:bottom w:val="none" w:sz="0" w:space="0" w:color="auto"/>
                <w:right w:val="none" w:sz="0" w:space="0" w:color="auto"/>
              </w:divBdr>
            </w:div>
            <w:div w:id="524707673">
              <w:marLeft w:val="0"/>
              <w:marRight w:val="0"/>
              <w:marTop w:val="0"/>
              <w:marBottom w:val="0"/>
              <w:divBdr>
                <w:top w:val="none" w:sz="0" w:space="0" w:color="auto"/>
                <w:left w:val="none" w:sz="0" w:space="0" w:color="auto"/>
                <w:bottom w:val="none" w:sz="0" w:space="0" w:color="auto"/>
                <w:right w:val="none" w:sz="0" w:space="0" w:color="auto"/>
              </w:divBdr>
            </w:div>
            <w:div w:id="1477457551">
              <w:marLeft w:val="0"/>
              <w:marRight w:val="0"/>
              <w:marTop w:val="0"/>
              <w:marBottom w:val="0"/>
              <w:divBdr>
                <w:top w:val="none" w:sz="0" w:space="0" w:color="auto"/>
                <w:left w:val="none" w:sz="0" w:space="0" w:color="auto"/>
                <w:bottom w:val="none" w:sz="0" w:space="0" w:color="auto"/>
                <w:right w:val="none" w:sz="0" w:space="0" w:color="auto"/>
              </w:divBdr>
            </w:div>
            <w:div w:id="1905212490">
              <w:marLeft w:val="0"/>
              <w:marRight w:val="0"/>
              <w:marTop w:val="0"/>
              <w:marBottom w:val="0"/>
              <w:divBdr>
                <w:top w:val="none" w:sz="0" w:space="0" w:color="auto"/>
                <w:left w:val="none" w:sz="0" w:space="0" w:color="auto"/>
                <w:bottom w:val="none" w:sz="0" w:space="0" w:color="auto"/>
                <w:right w:val="none" w:sz="0" w:space="0" w:color="auto"/>
              </w:divBdr>
            </w:div>
            <w:div w:id="1960529064">
              <w:marLeft w:val="0"/>
              <w:marRight w:val="0"/>
              <w:marTop w:val="0"/>
              <w:marBottom w:val="0"/>
              <w:divBdr>
                <w:top w:val="none" w:sz="0" w:space="0" w:color="auto"/>
                <w:left w:val="none" w:sz="0" w:space="0" w:color="auto"/>
                <w:bottom w:val="none" w:sz="0" w:space="0" w:color="auto"/>
                <w:right w:val="none" w:sz="0" w:space="0" w:color="auto"/>
              </w:divBdr>
            </w:div>
          </w:divsChild>
        </w:div>
        <w:div w:id="1791318772">
          <w:marLeft w:val="0"/>
          <w:marRight w:val="0"/>
          <w:marTop w:val="0"/>
          <w:marBottom w:val="0"/>
          <w:divBdr>
            <w:top w:val="none" w:sz="0" w:space="0" w:color="auto"/>
            <w:left w:val="none" w:sz="0" w:space="0" w:color="auto"/>
            <w:bottom w:val="none" w:sz="0" w:space="0" w:color="auto"/>
            <w:right w:val="none" w:sz="0" w:space="0" w:color="auto"/>
          </w:divBdr>
        </w:div>
        <w:div w:id="1672679863">
          <w:marLeft w:val="0"/>
          <w:marRight w:val="0"/>
          <w:marTop w:val="0"/>
          <w:marBottom w:val="0"/>
          <w:divBdr>
            <w:top w:val="none" w:sz="0" w:space="0" w:color="auto"/>
            <w:left w:val="none" w:sz="0" w:space="0" w:color="auto"/>
            <w:bottom w:val="none" w:sz="0" w:space="0" w:color="auto"/>
            <w:right w:val="none" w:sz="0" w:space="0" w:color="auto"/>
          </w:divBdr>
        </w:div>
        <w:div w:id="896629501">
          <w:marLeft w:val="0"/>
          <w:marRight w:val="0"/>
          <w:marTop w:val="0"/>
          <w:marBottom w:val="0"/>
          <w:divBdr>
            <w:top w:val="none" w:sz="0" w:space="0" w:color="auto"/>
            <w:left w:val="none" w:sz="0" w:space="0" w:color="auto"/>
            <w:bottom w:val="none" w:sz="0" w:space="0" w:color="auto"/>
            <w:right w:val="none" w:sz="0" w:space="0" w:color="auto"/>
          </w:divBdr>
        </w:div>
        <w:div w:id="1492059971">
          <w:marLeft w:val="0"/>
          <w:marRight w:val="0"/>
          <w:marTop w:val="0"/>
          <w:marBottom w:val="0"/>
          <w:divBdr>
            <w:top w:val="none" w:sz="0" w:space="0" w:color="auto"/>
            <w:left w:val="none" w:sz="0" w:space="0" w:color="auto"/>
            <w:bottom w:val="none" w:sz="0" w:space="0" w:color="auto"/>
            <w:right w:val="none" w:sz="0" w:space="0" w:color="auto"/>
          </w:divBdr>
        </w:div>
        <w:div w:id="743262102">
          <w:marLeft w:val="0"/>
          <w:marRight w:val="0"/>
          <w:marTop w:val="0"/>
          <w:marBottom w:val="0"/>
          <w:divBdr>
            <w:top w:val="none" w:sz="0" w:space="0" w:color="auto"/>
            <w:left w:val="none" w:sz="0" w:space="0" w:color="auto"/>
            <w:bottom w:val="none" w:sz="0" w:space="0" w:color="auto"/>
            <w:right w:val="none" w:sz="0" w:space="0" w:color="auto"/>
          </w:divBdr>
        </w:div>
        <w:div w:id="1966614619">
          <w:marLeft w:val="0"/>
          <w:marRight w:val="0"/>
          <w:marTop w:val="0"/>
          <w:marBottom w:val="0"/>
          <w:divBdr>
            <w:top w:val="none" w:sz="0" w:space="0" w:color="auto"/>
            <w:left w:val="none" w:sz="0" w:space="0" w:color="auto"/>
            <w:bottom w:val="none" w:sz="0" w:space="0" w:color="auto"/>
            <w:right w:val="none" w:sz="0" w:space="0" w:color="auto"/>
          </w:divBdr>
          <w:divsChild>
            <w:div w:id="1375154655">
              <w:marLeft w:val="0"/>
              <w:marRight w:val="0"/>
              <w:marTop w:val="0"/>
              <w:marBottom w:val="0"/>
              <w:divBdr>
                <w:top w:val="none" w:sz="0" w:space="0" w:color="auto"/>
                <w:left w:val="none" w:sz="0" w:space="0" w:color="auto"/>
                <w:bottom w:val="none" w:sz="0" w:space="0" w:color="auto"/>
                <w:right w:val="none" w:sz="0" w:space="0" w:color="auto"/>
              </w:divBdr>
            </w:div>
            <w:div w:id="1193155926">
              <w:marLeft w:val="0"/>
              <w:marRight w:val="0"/>
              <w:marTop w:val="0"/>
              <w:marBottom w:val="0"/>
              <w:divBdr>
                <w:top w:val="none" w:sz="0" w:space="0" w:color="auto"/>
                <w:left w:val="none" w:sz="0" w:space="0" w:color="auto"/>
                <w:bottom w:val="none" w:sz="0" w:space="0" w:color="auto"/>
                <w:right w:val="none" w:sz="0" w:space="0" w:color="auto"/>
              </w:divBdr>
            </w:div>
            <w:div w:id="152644634">
              <w:marLeft w:val="0"/>
              <w:marRight w:val="0"/>
              <w:marTop w:val="0"/>
              <w:marBottom w:val="0"/>
              <w:divBdr>
                <w:top w:val="none" w:sz="0" w:space="0" w:color="auto"/>
                <w:left w:val="none" w:sz="0" w:space="0" w:color="auto"/>
                <w:bottom w:val="none" w:sz="0" w:space="0" w:color="auto"/>
                <w:right w:val="none" w:sz="0" w:space="0" w:color="auto"/>
              </w:divBdr>
            </w:div>
            <w:div w:id="1745906066">
              <w:marLeft w:val="0"/>
              <w:marRight w:val="0"/>
              <w:marTop w:val="0"/>
              <w:marBottom w:val="0"/>
              <w:divBdr>
                <w:top w:val="none" w:sz="0" w:space="0" w:color="auto"/>
                <w:left w:val="none" w:sz="0" w:space="0" w:color="auto"/>
                <w:bottom w:val="none" w:sz="0" w:space="0" w:color="auto"/>
                <w:right w:val="none" w:sz="0" w:space="0" w:color="auto"/>
              </w:divBdr>
            </w:div>
            <w:div w:id="293171294">
              <w:marLeft w:val="0"/>
              <w:marRight w:val="0"/>
              <w:marTop w:val="0"/>
              <w:marBottom w:val="0"/>
              <w:divBdr>
                <w:top w:val="none" w:sz="0" w:space="0" w:color="auto"/>
                <w:left w:val="none" w:sz="0" w:space="0" w:color="auto"/>
                <w:bottom w:val="none" w:sz="0" w:space="0" w:color="auto"/>
                <w:right w:val="none" w:sz="0" w:space="0" w:color="auto"/>
              </w:divBdr>
            </w:div>
          </w:divsChild>
        </w:div>
        <w:div w:id="1836526458">
          <w:marLeft w:val="0"/>
          <w:marRight w:val="0"/>
          <w:marTop w:val="0"/>
          <w:marBottom w:val="0"/>
          <w:divBdr>
            <w:top w:val="none" w:sz="0" w:space="0" w:color="auto"/>
            <w:left w:val="none" w:sz="0" w:space="0" w:color="auto"/>
            <w:bottom w:val="none" w:sz="0" w:space="0" w:color="auto"/>
            <w:right w:val="none" w:sz="0" w:space="0" w:color="auto"/>
          </w:divBdr>
          <w:divsChild>
            <w:div w:id="1153059618">
              <w:marLeft w:val="0"/>
              <w:marRight w:val="0"/>
              <w:marTop w:val="0"/>
              <w:marBottom w:val="0"/>
              <w:divBdr>
                <w:top w:val="none" w:sz="0" w:space="0" w:color="auto"/>
                <w:left w:val="none" w:sz="0" w:space="0" w:color="auto"/>
                <w:bottom w:val="none" w:sz="0" w:space="0" w:color="auto"/>
                <w:right w:val="none" w:sz="0" w:space="0" w:color="auto"/>
              </w:divBdr>
            </w:div>
            <w:div w:id="252974095">
              <w:marLeft w:val="0"/>
              <w:marRight w:val="0"/>
              <w:marTop w:val="0"/>
              <w:marBottom w:val="0"/>
              <w:divBdr>
                <w:top w:val="none" w:sz="0" w:space="0" w:color="auto"/>
                <w:left w:val="none" w:sz="0" w:space="0" w:color="auto"/>
                <w:bottom w:val="none" w:sz="0" w:space="0" w:color="auto"/>
                <w:right w:val="none" w:sz="0" w:space="0" w:color="auto"/>
              </w:divBdr>
            </w:div>
            <w:div w:id="465974370">
              <w:marLeft w:val="0"/>
              <w:marRight w:val="0"/>
              <w:marTop w:val="0"/>
              <w:marBottom w:val="0"/>
              <w:divBdr>
                <w:top w:val="none" w:sz="0" w:space="0" w:color="auto"/>
                <w:left w:val="none" w:sz="0" w:space="0" w:color="auto"/>
                <w:bottom w:val="none" w:sz="0" w:space="0" w:color="auto"/>
                <w:right w:val="none" w:sz="0" w:space="0" w:color="auto"/>
              </w:divBdr>
            </w:div>
            <w:div w:id="762535188">
              <w:marLeft w:val="0"/>
              <w:marRight w:val="0"/>
              <w:marTop w:val="0"/>
              <w:marBottom w:val="0"/>
              <w:divBdr>
                <w:top w:val="none" w:sz="0" w:space="0" w:color="auto"/>
                <w:left w:val="none" w:sz="0" w:space="0" w:color="auto"/>
                <w:bottom w:val="none" w:sz="0" w:space="0" w:color="auto"/>
                <w:right w:val="none" w:sz="0" w:space="0" w:color="auto"/>
              </w:divBdr>
            </w:div>
            <w:div w:id="1513228375">
              <w:marLeft w:val="0"/>
              <w:marRight w:val="0"/>
              <w:marTop w:val="0"/>
              <w:marBottom w:val="0"/>
              <w:divBdr>
                <w:top w:val="none" w:sz="0" w:space="0" w:color="auto"/>
                <w:left w:val="none" w:sz="0" w:space="0" w:color="auto"/>
                <w:bottom w:val="none" w:sz="0" w:space="0" w:color="auto"/>
                <w:right w:val="none" w:sz="0" w:space="0" w:color="auto"/>
              </w:divBdr>
            </w:div>
          </w:divsChild>
        </w:div>
        <w:div w:id="1128550095">
          <w:marLeft w:val="0"/>
          <w:marRight w:val="0"/>
          <w:marTop w:val="0"/>
          <w:marBottom w:val="0"/>
          <w:divBdr>
            <w:top w:val="none" w:sz="0" w:space="0" w:color="auto"/>
            <w:left w:val="none" w:sz="0" w:space="0" w:color="auto"/>
            <w:bottom w:val="none" w:sz="0" w:space="0" w:color="auto"/>
            <w:right w:val="none" w:sz="0" w:space="0" w:color="auto"/>
          </w:divBdr>
          <w:divsChild>
            <w:div w:id="407390849">
              <w:marLeft w:val="0"/>
              <w:marRight w:val="0"/>
              <w:marTop w:val="0"/>
              <w:marBottom w:val="0"/>
              <w:divBdr>
                <w:top w:val="none" w:sz="0" w:space="0" w:color="auto"/>
                <w:left w:val="none" w:sz="0" w:space="0" w:color="auto"/>
                <w:bottom w:val="none" w:sz="0" w:space="0" w:color="auto"/>
                <w:right w:val="none" w:sz="0" w:space="0" w:color="auto"/>
              </w:divBdr>
            </w:div>
            <w:div w:id="1142380584">
              <w:marLeft w:val="0"/>
              <w:marRight w:val="0"/>
              <w:marTop w:val="0"/>
              <w:marBottom w:val="0"/>
              <w:divBdr>
                <w:top w:val="none" w:sz="0" w:space="0" w:color="auto"/>
                <w:left w:val="none" w:sz="0" w:space="0" w:color="auto"/>
                <w:bottom w:val="none" w:sz="0" w:space="0" w:color="auto"/>
                <w:right w:val="none" w:sz="0" w:space="0" w:color="auto"/>
              </w:divBdr>
            </w:div>
            <w:div w:id="1192953861">
              <w:marLeft w:val="0"/>
              <w:marRight w:val="0"/>
              <w:marTop w:val="0"/>
              <w:marBottom w:val="0"/>
              <w:divBdr>
                <w:top w:val="none" w:sz="0" w:space="0" w:color="auto"/>
                <w:left w:val="none" w:sz="0" w:space="0" w:color="auto"/>
                <w:bottom w:val="none" w:sz="0" w:space="0" w:color="auto"/>
                <w:right w:val="none" w:sz="0" w:space="0" w:color="auto"/>
              </w:divBdr>
            </w:div>
          </w:divsChild>
        </w:div>
        <w:div w:id="953637238">
          <w:marLeft w:val="0"/>
          <w:marRight w:val="0"/>
          <w:marTop w:val="0"/>
          <w:marBottom w:val="0"/>
          <w:divBdr>
            <w:top w:val="none" w:sz="0" w:space="0" w:color="auto"/>
            <w:left w:val="none" w:sz="0" w:space="0" w:color="auto"/>
            <w:bottom w:val="none" w:sz="0" w:space="0" w:color="auto"/>
            <w:right w:val="none" w:sz="0" w:space="0" w:color="auto"/>
          </w:divBdr>
          <w:divsChild>
            <w:div w:id="330067371">
              <w:marLeft w:val="0"/>
              <w:marRight w:val="0"/>
              <w:marTop w:val="0"/>
              <w:marBottom w:val="0"/>
              <w:divBdr>
                <w:top w:val="none" w:sz="0" w:space="0" w:color="auto"/>
                <w:left w:val="none" w:sz="0" w:space="0" w:color="auto"/>
                <w:bottom w:val="none" w:sz="0" w:space="0" w:color="auto"/>
                <w:right w:val="none" w:sz="0" w:space="0" w:color="auto"/>
              </w:divBdr>
            </w:div>
            <w:div w:id="1721204122">
              <w:marLeft w:val="0"/>
              <w:marRight w:val="0"/>
              <w:marTop w:val="0"/>
              <w:marBottom w:val="0"/>
              <w:divBdr>
                <w:top w:val="none" w:sz="0" w:space="0" w:color="auto"/>
                <w:left w:val="none" w:sz="0" w:space="0" w:color="auto"/>
                <w:bottom w:val="none" w:sz="0" w:space="0" w:color="auto"/>
                <w:right w:val="none" w:sz="0" w:space="0" w:color="auto"/>
              </w:divBdr>
            </w:div>
            <w:div w:id="543758897">
              <w:marLeft w:val="0"/>
              <w:marRight w:val="0"/>
              <w:marTop w:val="0"/>
              <w:marBottom w:val="0"/>
              <w:divBdr>
                <w:top w:val="none" w:sz="0" w:space="0" w:color="auto"/>
                <w:left w:val="none" w:sz="0" w:space="0" w:color="auto"/>
                <w:bottom w:val="none" w:sz="0" w:space="0" w:color="auto"/>
                <w:right w:val="none" w:sz="0" w:space="0" w:color="auto"/>
              </w:divBdr>
            </w:div>
            <w:div w:id="1286548090">
              <w:marLeft w:val="0"/>
              <w:marRight w:val="0"/>
              <w:marTop w:val="0"/>
              <w:marBottom w:val="0"/>
              <w:divBdr>
                <w:top w:val="none" w:sz="0" w:space="0" w:color="auto"/>
                <w:left w:val="none" w:sz="0" w:space="0" w:color="auto"/>
                <w:bottom w:val="none" w:sz="0" w:space="0" w:color="auto"/>
                <w:right w:val="none" w:sz="0" w:space="0" w:color="auto"/>
              </w:divBdr>
            </w:div>
            <w:div w:id="220364327">
              <w:marLeft w:val="0"/>
              <w:marRight w:val="0"/>
              <w:marTop w:val="0"/>
              <w:marBottom w:val="0"/>
              <w:divBdr>
                <w:top w:val="none" w:sz="0" w:space="0" w:color="auto"/>
                <w:left w:val="none" w:sz="0" w:space="0" w:color="auto"/>
                <w:bottom w:val="none" w:sz="0" w:space="0" w:color="auto"/>
                <w:right w:val="none" w:sz="0" w:space="0" w:color="auto"/>
              </w:divBdr>
            </w:div>
          </w:divsChild>
        </w:div>
        <w:div w:id="568075362">
          <w:marLeft w:val="0"/>
          <w:marRight w:val="0"/>
          <w:marTop w:val="0"/>
          <w:marBottom w:val="0"/>
          <w:divBdr>
            <w:top w:val="none" w:sz="0" w:space="0" w:color="auto"/>
            <w:left w:val="none" w:sz="0" w:space="0" w:color="auto"/>
            <w:bottom w:val="none" w:sz="0" w:space="0" w:color="auto"/>
            <w:right w:val="none" w:sz="0" w:space="0" w:color="auto"/>
          </w:divBdr>
        </w:div>
        <w:div w:id="1538200560">
          <w:marLeft w:val="0"/>
          <w:marRight w:val="0"/>
          <w:marTop w:val="0"/>
          <w:marBottom w:val="0"/>
          <w:divBdr>
            <w:top w:val="none" w:sz="0" w:space="0" w:color="auto"/>
            <w:left w:val="none" w:sz="0" w:space="0" w:color="auto"/>
            <w:bottom w:val="none" w:sz="0" w:space="0" w:color="auto"/>
            <w:right w:val="none" w:sz="0" w:space="0" w:color="auto"/>
          </w:divBdr>
          <w:divsChild>
            <w:div w:id="1030690503">
              <w:marLeft w:val="-75"/>
              <w:marRight w:val="0"/>
              <w:marTop w:val="30"/>
              <w:marBottom w:val="30"/>
              <w:divBdr>
                <w:top w:val="none" w:sz="0" w:space="0" w:color="auto"/>
                <w:left w:val="none" w:sz="0" w:space="0" w:color="auto"/>
                <w:bottom w:val="none" w:sz="0" w:space="0" w:color="auto"/>
                <w:right w:val="none" w:sz="0" w:space="0" w:color="auto"/>
              </w:divBdr>
              <w:divsChild>
                <w:div w:id="439450645">
                  <w:marLeft w:val="0"/>
                  <w:marRight w:val="0"/>
                  <w:marTop w:val="0"/>
                  <w:marBottom w:val="0"/>
                  <w:divBdr>
                    <w:top w:val="none" w:sz="0" w:space="0" w:color="auto"/>
                    <w:left w:val="none" w:sz="0" w:space="0" w:color="auto"/>
                    <w:bottom w:val="none" w:sz="0" w:space="0" w:color="auto"/>
                    <w:right w:val="none" w:sz="0" w:space="0" w:color="auto"/>
                  </w:divBdr>
                  <w:divsChild>
                    <w:div w:id="1359618204">
                      <w:marLeft w:val="0"/>
                      <w:marRight w:val="0"/>
                      <w:marTop w:val="0"/>
                      <w:marBottom w:val="0"/>
                      <w:divBdr>
                        <w:top w:val="none" w:sz="0" w:space="0" w:color="auto"/>
                        <w:left w:val="none" w:sz="0" w:space="0" w:color="auto"/>
                        <w:bottom w:val="none" w:sz="0" w:space="0" w:color="auto"/>
                        <w:right w:val="none" w:sz="0" w:space="0" w:color="auto"/>
                      </w:divBdr>
                    </w:div>
                  </w:divsChild>
                </w:div>
                <w:div w:id="835262197">
                  <w:marLeft w:val="0"/>
                  <w:marRight w:val="0"/>
                  <w:marTop w:val="0"/>
                  <w:marBottom w:val="0"/>
                  <w:divBdr>
                    <w:top w:val="none" w:sz="0" w:space="0" w:color="auto"/>
                    <w:left w:val="none" w:sz="0" w:space="0" w:color="auto"/>
                    <w:bottom w:val="none" w:sz="0" w:space="0" w:color="auto"/>
                    <w:right w:val="none" w:sz="0" w:space="0" w:color="auto"/>
                  </w:divBdr>
                  <w:divsChild>
                    <w:div w:id="1468469984">
                      <w:marLeft w:val="0"/>
                      <w:marRight w:val="0"/>
                      <w:marTop w:val="0"/>
                      <w:marBottom w:val="0"/>
                      <w:divBdr>
                        <w:top w:val="none" w:sz="0" w:space="0" w:color="auto"/>
                        <w:left w:val="none" w:sz="0" w:space="0" w:color="auto"/>
                        <w:bottom w:val="none" w:sz="0" w:space="0" w:color="auto"/>
                        <w:right w:val="none" w:sz="0" w:space="0" w:color="auto"/>
                      </w:divBdr>
                    </w:div>
                  </w:divsChild>
                </w:div>
                <w:div w:id="1874032042">
                  <w:marLeft w:val="0"/>
                  <w:marRight w:val="0"/>
                  <w:marTop w:val="0"/>
                  <w:marBottom w:val="0"/>
                  <w:divBdr>
                    <w:top w:val="none" w:sz="0" w:space="0" w:color="auto"/>
                    <w:left w:val="none" w:sz="0" w:space="0" w:color="auto"/>
                    <w:bottom w:val="none" w:sz="0" w:space="0" w:color="auto"/>
                    <w:right w:val="none" w:sz="0" w:space="0" w:color="auto"/>
                  </w:divBdr>
                  <w:divsChild>
                    <w:div w:id="1346664389">
                      <w:marLeft w:val="0"/>
                      <w:marRight w:val="0"/>
                      <w:marTop w:val="0"/>
                      <w:marBottom w:val="0"/>
                      <w:divBdr>
                        <w:top w:val="none" w:sz="0" w:space="0" w:color="auto"/>
                        <w:left w:val="none" w:sz="0" w:space="0" w:color="auto"/>
                        <w:bottom w:val="none" w:sz="0" w:space="0" w:color="auto"/>
                        <w:right w:val="none" w:sz="0" w:space="0" w:color="auto"/>
                      </w:divBdr>
                    </w:div>
                  </w:divsChild>
                </w:div>
                <w:div w:id="1896239809">
                  <w:marLeft w:val="0"/>
                  <w:marRight w:val="0"/>
                  <w:marTop w:val="0"/>
                  <w:marBottom w:val="0"/>
                  <w:divBdr>
                    <w:top w:val="none" w:sz="0" w:space="0" w:color="auto"/>
                    <w:left w:val="none" w:sz="0" w:space="0" w:color="auto"/>
                    <w:bottom w:val="none" w:sz="0" w:space="0" w:color="auto"/>
                    <w:right w:val="none" w:sz="0" w:space="0" w:color="auto"/>
                  </w:divBdr>
                  <w:divsChild>
                    <w:div w:id="385639604">
                      <w:marLeft w:val="0"/>
                      <w:marRight w:val="0"/>
                      <w:marTop w:val="0"/>
                      <w:marBottom w:val="0"/>
                      <w:divBdr>
                        <w:top w:val="none" w:sz="0" w:space="0" w:color="auto"/>
                        <w:left w:val="none" w:sz="0" w:space="0" w:color="auto"/>
                        <w:bottom w:val="none" w:sz="0" w:space="0" w:color="auto"/>
                        <w:right w:val="none" w:sz="0" w:space="0" w:color="auto"/>
                      </w:divBdr>
                    </w:div>
                  </w:divsChild>
                </w:div>
                <w:div w:id="738094220">
                  <w:marLeft w:val="0"/>
                  <w:marRight w:val="0"/>
                  <w:marTop w:val="0"/>
                  <w:marBottom w:val="0"/>
                  <w:divBdr>
                    <w:top w:val="none" w:sz="0" w:space="0" w:color="auto"/>
                    <w:left w:val="none" w:sz="0" w:space="0" w:color="auto"/>
                    <w:bottom w:val="none" w:sz="0" w:space="0" w:color="auto"/>
                    <w:right w:val="none" w:sz="0" w:space="0" w:color="auto"/>
                  </w:divBdr>
                  <w:divsChild>
                    <w:div w:id="1453859116">
                      <w:marLeft w:val="0"/>
                      <w:marRight w:val="0"/>
                      <w:marTop w:val="0"/>
                      <w:marBottom w:val="0"/>
                      <w:divBdr>
                        <w:top w:val="none" w:sz="0" w:space="0" w:color="auto"/>
                        <w:left w:val="none" w:sz="0" w:space="0" w:color="auto"/>
                        <w:bottom w:val="none" w:sz="0" w:space="0" w:color="auto"/>
                        <w:right w:val="none" w:sz="0" w:space="0" w:color="auto"/>
                      </w:divBdr>
                    </w:div>
                  </w:divsChild>
                </w:div>
                <w:div w:id="1785539217">
                  <w:marLeft w:val="0"/>
                  <w:marRight w:val="0"/>
                  <w:marTop w:val="0"/>
                  <w:marBottom w:val="0"/>
                  <w:divBdr>
                    <w:top w:val="none" w:sz="0" w:space="0" w:color="auto"/>
                    <w:left w:val="none" w:sz="0" w:space="0" w:color="auto"/>
                    <w:bottom w:val="none" w:sz="0" w:space="0" w:color="auto"/>
                    <w:right w:val="none" w:sz="0" w:space="0" w:color="auto"/>
                  </w:divBdr>
                  <w:divsChild>
                    <w:div w:id="1682002375">
                      <w:marLeft w:val="0"/>
                      <w:marRight w:val="0"/>
                      <w:marTop w:val="0"/>
                      <w:marBottom w:val="0"/>
                      <w:divBdr>
                        <w:top w:val="none" w:sz="0" w:space="0" w:color="auto"/>
                        <w:left w:val="none" w:sz="0" w:space="0" w:color="auto"/>
                        <w:bottom w:val="none" w:sz="0" w:space="0" w:color="auto"/>
                        <w:right w:val="none" w:sz="0" w:space="0" w:color="auto"/>
                      </w:divBdr>
                    </w:div>
                  </w:divsChild>
                </w:div>
                <w:div w:id="618798070">
                  <w:marLeft w:val="0"/>
                  <w:marRight w:val="0"/>
                  <w:marTop w:val="0"/>
                  <w:marBottom w:val="0"/>
                  <w:divBdr>
                    <w:top w:val="none" w:sz="0" w:space="0" w:color="auto"/>
                    <w:left w:val="none" w:sz="0" w:space="0" w:color="auto"/>
                    <w:bottom w:val="none" w:sz="0" w:space="0" w:color="auto"/>
                    <w:right w:val="none" w:sz="0" w:space="0" w:color="auto"/>
                  </w:divBdr>
                  <w:divsChild>
                    <w:div w:id="429785129">
                      <w:marLeft w:val="0"/>
                      <w:marRight w:val="0"/>
                      <w:marTop w:val="0"/>
                      <w:marBottom w:val="0"/>
                      <w:divBdr>
                        <w:top w:val="none" w:sz="0" w:space="0" w:color="auto"/>
                        <w:left w:val="none" w:sz="0" w:space="0" w:color="auto"/>
                        <w:bottom w:val="none" w:sz="0" w:space="0" w:color="auto"/>
                        <w:right w:val="none" w:sz="0" w:space="0" w:color="auto"/>
                      </w:divBdr>
                    </w:div>
                  </w:divsChild>
                </w:div>
                <w:div w:id="252473224">
                  <w:marLeft w:val="0"/>
                  <w:marRight w:val="0"/>
                  <w:marTop w:val="0"/>
                  <w:marBottom w:val="0"/>
                  <w:divBdr>
                    <w:top w:val="none" w:sz="0" w:space="0" w:color="auto"/>
                    <w:left w:val="none" w:sz="0" w:space="0" w:color="auto"/>
                    <w:bottom w:val="none" w:sz="0" w:space="0" w:color="auto"/>
                    <w:right w:val="none" w:sz="0" w:space="0" w:color="auto"/>
                  </w:divBdr>
                  <w:divsChild>
                    <w:div w:id="1209220644">
                      <w:marLeft w:val="0"/>
                      <w:marRight w:val="0"/>
                      <w:marTop w:val="0"/>
                      <w:marBottom w:val="0"/>
                      <w:divBdr>
                        <w:top w:val="none" w:sz="0" w:space="0" w:color="auto"/>
                        <w:left w:val="none" w:sz="0" w:space="0" w:color="auto"/>
                        <w:bottom w:val="none" w:sz="0" w:space="0" w:color="auto"/>
                        <w:right w:val="none" w:sz="0" w:space="0" w:color="auto"/>
                      </w:divBdr>
                    </w:div>
                  </w:divsChild>
                </w:div>
                <w:div w:id="837228363">
                  <w:marLeft w:val="0"/>
                  <w:marRight w:val="0"/>
                  <w:marTop w:val="0"/>
                  <w:marBottom w:val="0"/>
                  <w:divBdr>
                    <w:top w:val="none" w:sz="0" w:space="0" w:color="auto"/>
                    <w:left w:val="none" w:sz="0" w:space="0" w:color="auto"/>
                    <w:bottom w:val="none" w:sz="0" w:space="0" w:color="auto"/>
                    <w:right w:val="none" w:sz="0" w:space="0" w:color="auto"/>
                  </w:divBdr>
                  <w:divsChild>
                    <w:div w:id="1391149772">
                      <w:marLeft w:val="0"/>
                      <w:marRight w:val="0"/>
                      <w:marTop w:val="0"/>
                      <w:marBottom w:val="0"/>
                      <w:divBdr>
                        <w:top w:val="none" w:sz="0" w:space="0" w:color="auto"/>
                        <w:left w:val="none" w:sz="0" w:space="0" w:color="auto"/>
                        <w:bottom w:val="none" w:sz="0" w:space="0" w:color="auto"/>
                        <w:right w:val="none" w:sz="0" w:space="0" w:color="auto"/>
                      </w:divBdr>
                    </w:div>
                  </w:divsChild>
                </w:div>
                <w:div w:id="1081558220">
                  <w:marLeft w:val="0"/>
                  <w:marRight w:val="0"/>
                  <w:marTop w:val="0"/>
                  <w:marBottom w:val="0"/>
                  <w:divBdr>
                    <w:top w:val="none" w:sz="0" w:space="0" w:color="auto"/>
                    <w:left w:val="none" w:sz="0" w:space="0" w:color="auto"/>
                    <w:bottom w:val="none" w:sz="0" w:space="0" w:color="auto"/>
                    <w:right w:val="none" w:sz="0" w:space="0" w:color="auto"/>
                  </w:divBdr>
                  <w:divsChild>
                    <w:div w:id="520363348">
                      <w:marLeft w:val="0"/>
                      <w:marRight w:val="0"/>
                      <w:marTop w:val="0"/>
                      <w:marBottom w:val="0"/>
                      <w:divBdr>
                        <w:top w:val="none" w:sz="0" w:space="0" w:color="auto"/>
                        <w:left w:val="none" w:sz="0" w:space="0" w:color="auto"/>
                        <w:bottom w:val="none" w:sz="0" w:space="0" w:color="auto"/>
                        <w:right w:val="none" w:sz="0" w:space="0" w:color="auto"/>
                      </w:divBdr>
                    </w:div>
                  </w:divsChild>
                </w:div>
                <w:div w:id="784075614">
                  <w:marLeft w:val="0"/>
                  <w:marRight w:val="0"/>
                  <w:marTop w:val="0"/>
                  <w:marBottom w:val="0"/>
                  <w:divBdr>
                    <w:top w:val="none" w:sz="0" w:space="0" w:color="auto"/>
                    <w:left w:val="none" w:sz="0" w:space="0" w:color="auto"/>
                    <w:bottom w:val="none" w:sz="0" w:space="0" w:color="auto"/>
                    <w:right w:val="none" w:sz="0" w:space="0" w:color="auto"/>
                  </w:divBdr>
                  <w:divsChild>
                    <w:div w:id="1669867117">
                      <w:marLeft w:val="0"/>
                      <w:marRight w:val="0"/>
                      <w:marTop w:val="0"/>
                      <w:marBottom w:val="0"/>
                      <w:divBdr>
                        <w:top w:val="none" w:sz="0" w:space="0" w:color="auto"/>
                        <w:left w:val="none" w:sz="0" w:space="0" w:color="auto"/>
                        <w:bottom w:val="none" w:sz="0" w:space="0" w:color="auto"/>
                        <w:right w:val="none" w:sz="0" w:space="0" w:color="auto"/>
                      </w:divBdr>
                    </w:div>
                    <w:div w:id="1061059177">
                      <w:marLeft w:val="0"/>
                      <w:marRight w:val="0"/>
                      <w:marTop w:val="0"/>
                      <w:marBottom w:val="0"/>
                      <w:divBdr>
                        <w:top w:val="none" w:sz="0" w:space="0" w:color="auto"/>
                        <w:left w:val="none" w:sz="0" w:space="0" w:color="auto"/>
                        <w:bottom w:val="none" w:sz="0" w:space="0" w:color="auto"/>
                        <w:right w:val="none" w:sz="0" w:space="0" w:color="auto"/>
                      </w:divBdr>
                    </w:div>
                  </w:divsChild>
                </w:div>
                <w:div w:id="1620144540">
                  <w:marLeft w:val="0"/>
                  <w:marRight w:val="0"/>
                  <w:marTop w:val="0"/>
                  <w:marBottom w:val="0"/>
                  <w:divBdr>
                    <w:top w:val="none" w:sz="0" w:space="0" w:color="auto"/>
                    <w:left w:val="none" w:sz="0" w:space="0" w:color="auto"/>
                    <w:bottom w:val="none" w:sz="0" w:space="0" w:color="auto"/>
                    <w:right w:val="none" w:sz="0" w:space="0" w:color="auto"/>
                  </w:divBdr>
                  <w:divsChild>
                    <w:div w:id="419764345">
                      <w:marLeft w:val="0"/>
                      <w:marRight w:val="0"/>
                      <w:marTop w:val="0"/>
                      <w:marBottom w:val="0"/>
                      <w:divBdr>
                        <w:top w:val="none" w:sz="0" w:space="0" w:color="auto"/>
                        <w:left w:val="none" w:sz="0" w:space="0" w:color="auto"/>
                        <w:bottom w:val="none" w:sz="0" w:space="0" w:color="auto"/>
                        <w:right w:val="none" w:sz="0" w:space="0" w:color="auto"/>
                      </w:divBdr>
                    </w:div>
                  </w:divsChild>
                </w:div>
                <w:div w:id="851533023">
                  <w:marLeft w:val="0"/>
                  <w:marRight w:val="0"/>
                  <w:marTop w:val="0"/>
                  <w:marBottom w:val="0"/>
                  <w:divBdr>
                    <w:top w:val="none" w:sz="0" w:space="0" w:color="auto"/>
                    <w:left w:val="none" w:sz="0" w:space="0" w:color="auto"/>
                    <w:bottom w:val="none" w:sz="0" w:space="0" w:color="auto"/>
                    <w:right w:val="none" w:sz="0" w:space="0" w:color="auto"/>
                  </w:divBdr>
                  <w:divsChild>
                    <w:div w:id="421223715">
                      <w:marLeft w:val="0"/>
                      <w:marRight w:val="0"/>
                      <w:marTop w:val="0"/>
                      <w:marBottom w:val="0"/>
                      <w:divBdr>
                        <w:top w:val="none" w:sz="0" w:space="0" w:color="auto"/>
                        <w:left w:val="none" w:sz="0" w:space="0" w:color="auto"/>
                        <w:bottom w:val="none" w:sz="0" w:space="0" w:color="auto"/>
                        <w:right w:val="none" w:sz="0" w:space="0" w:color="auto"/>
                      </w:divBdr>
                    </w:div>
                  </w:divsChild>
                </w:div>
                <w:div w:id="300615503">
                  <w:marLeft w:val="0"/>
                  <w:marRight w:val="0"/>
                  <w:marTop w:val="0"/>
                  <w:marBottom w:val="0"/>
                  <w:divBdr>
                    <w:top w:val="none" w:sz="0" w:space="0" w:color="auto"/>
                    <w:left w:val="none" w:sz="0" w:space="0" w:color="auto"/>
                    <w:bottom w:val="none" w:sz="0" w:space="0" w:color="auto"/>
                    <w:right w:val="none" w:sz="0" w:space="0" w:color="auto"/>
                  </w:divBdr>
                  <w:divsChild>
                    <w:div w:id="1767268462">
                      <w:marLeft w:val="0"/>
                      <w:marRight w:val="0"/>
                      <w:marTop w:val="0"/>
                      <w:marBottom w:val="0"/>
                      <w:divBdr>
                        <w:top w:val="none" w:sz="0" w:space="0" w:color="auto"/>
                        <w:left w:val="none" w:sz="0" w:space="0" w:color="auto"/>
                        <w:bottom w:val="none" w:sz="0" w:space="0" w:color="auto"/>
                        <w:right w:val="none" w:sz="0" w:space="0" w:color="auto"/>
                      </w:divBdr>
                    </w:div>
                    <w:div w:id="2067948171">
                      <w:marLeft w:val="0"/>
                      <w:marRight w:val="0"/>
                      <w:marTop w:val="0"/>
                      <w:marBottom w:val="0"/>
                      <w:divBdr>
                        <w:top w:val="none" w:sz="0" w:space="0" w:color="auto"/>
                        <w:left w:val="none" w:sz="0" w:space="0" w:color="auto"/>
                        <w:bottom w:val="none" w:sz="0" w:space="0" w:color="auto"/>
                        <w:right w:val="none" w:sz="0" w:space="0" w:color="auto"/>
                      </w:divBdr>
                    </w:div>
                  </w:divsChild>
                </w:div>
                <w:div w:id="1439057601">
                  <w:marLeft w:val="0"/>
                  <w:marRight w:val="0"/>
                  <w:marTop w:val="0"/>
                  <w:marBottom w:val="0"/>
                  <w:divBdr>
                    <w:top w:val="none" w:sz="0" w:space="0" w:color="auto"/>
                    <w:left w:val="none" w:sz="0" w:space="0" w:color="auto"/>
                    <w:bottom w:val="none" w:sz="0" w:space="0" w:color="auto"/>
                    <w:right w:val="none" w:sz="0" w:space="0" w:color="auto"/>
                  </w:divBdr>
                  <w:divsChild>
                    <w:div w:id="1578132383">
                      <w:marLeft w:val="0"/>
                      <w:marRight w:val="0"/>
                      <w:marTop w:val="0"/>
                      <w:marBottom w:val="0"/>
                      <w:divBdr>
                        <w:top w:val="none" w:sz="0" w:space="0" w:color="auto"/>
                        <w:left w:val="none" w:sz="0" w:space="0" w:color="auto"/>
                        <w:bottom w:val="none" w:sz="0" w:space="0" w:color="auto"/>
                        <w:right w:val="none" w:sz="0" w:space="0" w:color="auto"/>
                      </w:divBdr>
                    </w:div>
                    <w:div w:id="1578437451">
                      <w:marLeft w:val="0"/>
                      <w:marRight w:val="0"/>
                      <w:marTop w:val="0"/>
                      <w:marBottom w:val="0"/>
                      <w:divBdr>
                        <w:top w:val="none" w:sz="0" w:space="0" w:color="auto"/>
                        <w:left w:val="none" w:sz="0" w:space="0" w:color="auto"/>
                        <w:bottom w:val="none" w:sz="0" w:space="0" w:color="auto"/>
                        <w:right w:val="none" w:sz="0" w:space="0" w:color="auto"/>
                      </w:divBdr>
                    </w:div>
                  </w:divsChild>
                </w:div>
                <w:div w:id="1259679740">
                  <w:marLeft w:val="0"/>
                  <w:marRight w:val="0"/>
                  <w:marTop w:val="0"/>
                  <w:marBottom w:val="0"/>
                  <w:divBdr>
                    <w:top w:val="none" w:sz="0" w:space="0" w:color="auto"/>
                    <w:left w:val="none" w:sz="0" w:space="0" w:color="auto"/>
                    <w:bottom w:val="none" w:sz="0" w:space="0" w:color="auto"/>
                    <w:right w:val="none" w:sz="0" w:space="0" w:color="auto"/>
                  </w:divBdr>
                  <w:divsChild>
                    <w:div w:id="54084858">
                      <w:marLeft w:val="0"/>
                      <w:marRight w:val="0"/>
                      <w:marTop w:val="0"/>
                      <w:marBottom w:val="0"/>
                      <w:divBdr>
                        <w:top w:val="none" w:sz="0" w:space="0" w:color="auto"/>
                        <w:left w:val="none" w:sz="0" w:space="0" w:color="auto"/>
                        <w:bottom w:val="none" w:sz="0" w:space="0" w:color="auto"/>
                        <w:right w:val="none" w:sz="0" w:space="0" w:color="auto"/>
                      </w:divBdr>
                    </w:div>
                  </w:divsChild>
                </w:div>
                <w:div w:id="440225636">
                  <w:marLeft w:val="0"/>
                  <w:marRight w:val="0"/>
                  <w:marTop w:val="0"/>
                  <w:marBottom w:val="0"/>
                  <w:divBdr>
                    <w:top w:val="none" w:sz="0" w:space="0" w:color="auto"/>
                    <w:left w:val="none" w:sz="0" w:space="0" w:color="auto"/>
                    <w:bottom w:val="none" w:sz="0" w:space="0" w:color="auto"/>
                    <w:right w:val="none" w:sz="0" w:space="0" w:color="auto"/>
                  </w:divBdr>
                  <w:divsChild>
                    <w:div w:id="1617329362">
                      <w:marLeft w:val="0"/>
                      <w:marRight w:val="0"/>
                      <w:marTop w:val="0"/>
                      <w:marBottom w:val="0"/>
                      <w:divBdr>
                        <w:top w:val="none" w:sz="0" w:space="0" w:color="auto"/>
                        <w:left w:val="none" w:sz="0" w:space="0" w:color="auto"/>
                        <w:bottom w:val="none" w:sz="0" w:space="0" w:color="auto"/>
                        <w:right w:val="none" w:sz="0" w:space="0" w:color="auto"/>
                      </w:divBdr>
                    </w:div>
                    <w:div w:id="521668105">
                      <w:marLeft w:val="0"/>
                      <w:marRight w:val="0"/>
                      <w:marTop w:val="0"/>
                      <w:marBottom w:val="0"/>
                      <w:divBdr>
                        <w:top w:val="none" w:sz="0" w:space="0" w:color="auto"/>
                        <w:left w:val="none" w:sz="0" w:space="0" w:color="auto"/>
                        <w:bottom w:val="none" w:sz="0" w:space="0" w:color="auto"/>
                        <w:right w:val="none" w:sz="0" w:space="0" w:color="auto"/>
                      </w:divBdr>
                    </w:div>
                  </w:divsChild>
                </w:div>
                <w:div w:id="1393964384">
                  <w:marLeft w:val="0"/>
                  <w:marRight w:val="0"/>
                  <w:marTop w:val="0"/>
                  <w:marBottom w:val="0"/>
                  <w:divBdr>
                    <w:top w:val="none" w:sz="0" w:space="0" w:color="auto"/>
                    <w:left w:val="none" w:sz="0" w:space="0" w:color="auto"/>
                    <w:bottom w:val="none" w:sz="0" w:space="0" w:color="auto"/>
                    <w:right w:val="none" w:sz="0" w:space="0" w:color="auto"/>
                  </w:divBdr>
                  <w:divsChild>
                    <w:div w:id="12248765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2491009">
          <w:marLeft w:val="0"/>
          <w:marRight w:val="0"/>
          <w:marTop w:val="0"/>
          <w:marBottom w:val="0"/>
          <w:divBdr>
            <w:top w:val="none" w:sz="0" w:space="0" w:color="auto"/>
            <w:left w:val="none" w:sz="0" w:space="0" w:color="auto"/>
            <w:bottom w:val="none" w:sz="0" w:space="0" w:color="auto"/>
            <w:right w:val="none" w:sz="0" w:space="0" w:color="auto"/>
          </w:divBdr>
        </w:div>
        <w:div w:id="1668825297">
          <w:marLeft w:val="0"/>
          <w:marRight w:val="0"/>
          <w:marTop w:val="0"/>
          <w:marBottom w:val="0"/>
          <w:divBdr>
            <w:top w:val="none" w:sz="0" w:space="0" w:color="auto"/>
            <w:left w:val="none" w:sz="0" w:space="0" w:color="auto"/>
            <w:bottom w:val="none" w:sz="0" w:space="0" w:color="auto"/>
            <w:right w:val="none" w:sz="0" w:space="0" w:color="auto"/>
          </w:divBdr>
        </w:div>
        <w:div w:id="596713425">
          <w:marLeft w:val="0"/>
          <w:marRight w:val="0"/>
          <w:marTop w:val="0"/>
          <w:marBottom w:val="0"/>
          <w:divBdr>
            <w:top w:val="none" w:sz="0" w:space="0" w:color="auto"/>
            <w:left w:val="none" w:sz="0" w:space="0" w:color="auto"/>
            <w:bottom w:val="none" w:sz="0" w:space="0" w:color="auto"/>
            <w:right w:val="none" w:sz="0" w:space="0" w:color="auto"/>
          </w:divBdr>
        </w:div>
        <w:div w:id="355544057">
          <w:marLeft w:val="0"/>
          <w:marRight w:val="0"/>
          <w:marTop w:val="0"/>
          <w:marBottom w:val="0"/>
          <w:divBdr>
            <w:top w:val="none" w:sz="0" w:space="0" w:color="auto"/>
            <w:left w:val="none" w:sz="0" w:space="0" w:color="auto"/>
            <w:bottom w:val="none" w:sz="0" w:space="0" w:color="auto"/>
            <w:right w:val="none" w:sz="0" w:space="0" w:color="auto"/>
          </w:divBdr>
        </w:div>
        <w:div w:id="210045895">
          <w:marLeft w:val="0"/>
          <w:marRight w:val="0"/>
          <w:marTop w:val="0"/>
          <w:marBottom w:val="0"/>
          <w:divBdr>
            <w:top w:val="none" w:sz="0" w:space="0" w:color="auto"/>
            <w:left w:val="none" w:sz="0" w:space="0" w:color="auto"/>
            <w:bottom w:val="none" w:sz="0" w:space="0" w:color="auto"/>
            <w:right w:val="none" w:sz="0" w:space="0" w:color="auto"/>
          </w:divBdr>
        </w:div>
        <w:div w:id="1252810003">
          <w:marLeft w:val="0"/>
          <w:marRight w:val="0"/>
          <w:marTop w:val="0"/>
          <w:marBottom w:val="0"/>
          <w:divBdr>
            <w:top w:val="none" w:sz="0" w:space="0" w:color="auto"/>
            <w:left w:val="none" w:sz="0" w:space="0" w:color="auto"/>
            <w:bottom w:val="none" w:sz="0" w:space="0" w:color="auto"/>
            <w:right w:val="none" w:sz="0" w:space="0" w:color="auto"/>
          </w:divBdr>
        </w:div>
      </w:divsChild>
    </w:div>
    <w:div w:id="21342538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image" Target="media/image3.png"/><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hyperlink" Target="https://relatoria.colombiacompra.gov.co/busqueda/conceptos" TargetMode="External"/><Relationship Id="rId17"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mailto:hernanhc@idea.gov.co" TargetMode="External"/><Relationship Id="rId5" Type="http://schemas.openxmlformats.org/officeDocument/2006/relationships/styles" Target="styles.xml"/><Relationship Id="rId15" Type="http://schemas.openxmlformats.org/officeDocument/2006/relationships/footer" Target="footer1.xml"/><Relationship Id="rId10" Type="http://schemas.openxmlformats.org/officeDocument/2006/relationships/image" Target="media/image2.png"/><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eader" Target="header1.xml"/></Relationships>
</file>

<file path=word/_rels/header1.xml.rels><?xml version="1.0" encoding="UTF-8" standalone="yes"?>
<Relationships xmlns="http://schemas.openxmlformats.org/package/2006/relationships"><Relationship Id="rId2" Type="http://schemas.openxmlformats.org/officeDocument/2006/relationships/image" Target="media/image5.png"/><Relationship Id="rId1" Type="http://schemas.openxmlformats.org/officeDocument/2006/relationships/image" Target="media/image4.png"/></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F2E0F32964D9B84EA054B84E5D4157A0" ma:contentTypeVersion="20" ma:contentTypeDescription="Create a new document." ma:contentTypeScope="" ma:versionID="01781fedfafda0f78eb836b344c0283f">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fc95995aec6ec9bb8a2772c6ac378fe6"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Image Tags"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Shared With Details"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lcf76f155ced4ddcb4097134ff3c332f xmlns="9d85dbaf-23eb-4e57-a637-93dcacc8b1a1">
      <Terms xmlns="http://schemas.microsoft.com/office/infopath/2007/PartnerControls"/>
    </lcf76f155ced4ddcb4097134ff3c332f>
    <TaxCatchAll xmlns="a6cb9e4b-f1d1-4245-83ec-6cad768d538a" xsi:nil="true"/>
    <No xmlns="9d85dbaf-23eb-4e57-a637-93dcacc8b1a1" xsi:nil="true"/>
    <_Flow_SignoffStatus xmlns="9d85dbaf-23eb-4e57-a637-93dcacc8b1a1" xsi:nil="true"/>
  </documentManagement>
</p:properties>
</file>

<file path=customXml/itemProps1.xml><?xml version="1.0" encoding="utf-8"?>
<ds:datastoreItem xmlns:ds="http://schemas.openxmlformats.org/officeDocument/2006/customXml" ds:itemID="{006B9452-FB72-4767-975A-34F695473CEA}">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d85dbaf-23eb-4e57-a637-93dcacc8b1a1"/>
    <ds:schemaRef ds:uri="a6cb9e4b-f1d1-4245-83ec-6cad768d538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19B0637E-D058-473B-8FE7-AA861F69C797}">
  <ds:schemaRefs>
    <ds:schemaRef ds:uri="http://schemas.microsoft.com/sharepoint/v3/contenttype/forms"/>
  </ds:schemaRefs>
</ds:datastoreItem>
</file>

<file path=customXml/itemProps3.xml><?xml version="1.0" encoding="utf-8"?>
<ds:datastoreItem xmlns:ds="http://schemas.openxmlformats.org/officeDocument/2006/customXml" ds:itemID="{163618BE-28CB-4D69-955E-CDA788483BED}">
  <ds:schemaRefs>
    <ds:schemaRef ds:uri="http://schemas.microsoft.com/office/2006/metadata/properties"/>
    <ds:schemaRef ds:uri="http://schemas.microsoft.com/office/infopath/2007/PartnerControls"/>
    <ds:schemaRef ds:uri="9d85dbaf-23eb-4e57-a637-93dcacc8b1a1"/>
    <ds:schemaRef ds:uri="a6cb9e4b-f1d1-4245-83ec-6cad768d538a"/>
  </ds:schemaRefs>
</ds:datastoreItem>
</file>

<file path=docMetadata/LabelInfo.xml><?xml version="1.0" encoding="utf-8"?>
<clbl:labelList xmlns:clbl="http://schemas.microsoft.com/office/2020/mipLabelMetadata">
  <clbl:label id="{7b09041e-2451-49d0-8cb1-79d5e3d8c1be}" enabled="0" method="" siteId="{7b09041e-2451-49d0-8cb1-79d5e3d8c1be}" removed="1"/>
</clbl:labelList>
</file>

<file path=docProps/app.xml><?xml version="1.0" encoding="utf-8"?>
<Properties xmlns="http://schemas.openxmlformats.org/officeDocument/2006/extended-properties" xmlns:vt="http://schemas.openxmlformats.org/officeDocument/2006/docPropsVTypes">
  <Template>Normal</Template>
  <TotalTime>2</TotalTime>
  <Pages>17</Pages>
  <Words>5724</Words>
  <Characters>31483</Characters>
  <Application>Microsoft Office Word</Application>
  <DocSecurity>0</DocSecurity>
  <Lines>262</Lines>
  <Paragraphs>74</Paragraphs>
  <ScaleCrop>false</ScaleCrop>
  <Company/>
  <LinksUpToDate>false</LinksUpToDate>
  <CharactersWithSpaces>37133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Andrés Felipe Ospina Acosta</dc:creator>
  <cp:keywords/>
  <dc:description/>
  <cp:lastModifiedBy>Betty Elena Díaz Fernandez</cp:lastModifiedBy>
  <cp:revision>2</cp:revision>
  <cp:lastPrinted>2023-01-10T21:18:00Z</cp:lastPrinted>
  <dcterms:created xsi:type="dcterms:W3CDTF">2025-11-25T21:37:00Z</dcterms:created>
  <dcterms:modified xsi:type="dcterms:W3CDTF">2025-11-25T21:37:00Z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