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C42DE" w14:textId="16F8BCB9" w:rsidR="000327B3" w:rsidRPr="00C14737" w:rsidRDefault="000327B3" w:rsidP="00E72F7D">
      <w:pPr>
        <w:spacing w:after="0"/>
        <w:rPr>
          <w:rFonts w:ascii="Verdana" w:hAnsi="Verdana" w:cs="Arial"/>
          <w:b/>
          <w:bCs/>
          <w:color w:val="000000" w:themeColor="text1"/>
          <w:sz w:val="20"/>
          <w:szCs w:val="20"/>
          <w:lang w:val="es-ES_tradnl"/>
        </w:rPr>
      </w:pPr>
      <w:bookmarkStart w:id="0" w:name="_Hlk143780582"/>
      <w:r w:rsidRPr="00C14737">
        <w:rPr>
          <w:rFonts w:ascii="Verdana" w:hAnsi="Verdana" w:cs="Arial"/>
          <w:b/>
          <w:bCs/>
          <w:color w:val="000000" w:themeColor="text1"/>
          <w:sz w:val="20"/>
          <w:szCs w:val="20"/>
          <w:lang w:val="es-ES_tradnl"/>
        </w:rPr>
        <w:t>ESTUDIOS PREVIOS – Contrato de prestación de Servicios – Requisitos</w:t>
      </w:r>
    </w:p>
    <w:p w14:paraId="3CE5BA55" w14:textId="77777777" w:rsidR="00C14737" w:rsidRDefault="00C14737" w:rsidP="000327B3">
      <w:pPr>
        <w:spacing w:after="0"/>
        <w:jc w:val="both"/>
        <w:rPr>
          <w:rFonts w:ascii="Verdana" w:hAnsi="Verdana" w:cs="Arial"/>
          <w:b/>
          <w:bCs/>
          <w:color w:val="000000" w:themeColor="text1"/>
          <w:sz w:val="20"/>
          <w:szCs w:val="20"/>
          <w:lang w:val="es-ES_tradnl"/>
        </w:rPr>
      </w:pPr>
    </w:p>
    <w:p w14:paraId="79B405B4" w14:textId="4C859D06" w:rsidR="000327B3" w:rsidRPr="00C14737" w:rsidRDefault="000327B3" w:rsidP="000327B3">
      <w:pPr>
        <w:spacing w:after="0"/>
        <w:jc w:val="both"/>
        <w:rPr>
          <w:rFonts w:ascii="Verdana" w:hAnsi="Verdana"/>
          <w:sz w:val="20"/>
          <w:szCs w:val="20"/>
        </w:rPr>
      </w:pPr>
      <w:r w:rsidRPr="00C14737">
        <w:rPr>
          <w:rFonts w:ascii="Verdana" w:hAnsi="Verdana"/>
          <w:sz w:val="20"/>
          <w:szCs w:val="20"/>
        </w:rPr>
        <w:t>Resulta a bien resaltar la autonomía de las entidades públicas para estructurar los estudios previos, siempre y cuando observen los aspectos que estos deben contener. En todo caso, tratándose de contratos de prestación de servicios, los estudios previos entran a justificar las particularidades del objeto contractual de cara a la satisfacción de la necesidad de la Entidad Estatal en atención a la cual se requiere el respectivo contrato. Antes de iniciar un procedimiento de selección, la Entidad Estatal podrá determinar en los estudios previos los procedimientos, trámites y requisitos que deban satisfacerse, reunirse u obtenerse para llevar a cabo la selección del respectivo contratista y la celebración del contrato.</w:t>
      </w:r>
    </w:p>
    <w:p w14:paraId="2B96449E" w14:textId="77777777" w:rsidR="000327B3" w:rsidRPr="00C14737" w:rsidRDefault="000327B3" w:rsidP="000327B3">
      <w:pPr>
        <w:spacing w:after="0"/>
        <w:jc w:val="both"/>
        <w:rPr>
          <w:rFonts w:ascii="Verdana" w:hAnsi="Verdana"/>
          <w:sz w:val="20"/>
          <w:szCs w:val="20"/>
        </w:rPr>
      </w:pPr>
    </w:p>
    <w:p w14:paraId="1B9C3111" w14:textId="4AB48EBF" w:rsidR="000327B3" w:rsidRPr="00C14737" w:rsidRDefault="000327B3" w:rsidP="000327B3">
      <w:pPr>
        <w:spacing w:after="0"/>
        <w:jc w:val="both"/>
        <w:rPr>
          <w:rFonts w:ascii="Verdana" w:eastAsia="Calibri" w:hAnsi="Verdana"/>
          <w:b/>
          <w:bCs/>
          <w:color w:val="000000" w:themeColor="text1"/>
          <w:sz w:val="20"/>
          <w:szCs w:val="20"/>
        </w:rPr>
      </w:pPr>
      <w:r w:rsidRPr="00C14737">
        <w:rPr>
          <w:rFonts w:ascii="Verdana" w:eastAsia="Calibri" w:hAnsi="Verdana" w:cs="Arial"/>
          <w:b/>
          <w:bCs/>
          <w:color w:val="000000" w:themeColor="text1"/>
          <w:sz w:val="20"/>
          <w:szCs w:val="20"/>
        </w:rPr>
        <w:t>CONTRATO DE PRESTACIÓN DE SERVICIOS – Prohibición – Decreto 1068 de 2015 – Artículo 2.8.4.4.5 – Objeto similar – Actividades similares – J</w:t>
      </w:r>
      <w:r w:rsidRPr="00C14737">
        <w:rPr>
          <w:rFonts w:ascii="Verdana" w:eastAsia="Calibri" w:hAnsi="Verdana"/>
          <w:b/>
          <w:bCs/>
          <w:color w:val="000000" w:themeColor="text1"/>
          <w:sz w:val="20"/>
          <w:szCs w:val="20"/>
        </w:rPr>
        <w:t xml:space="preserve">ustificación – </w:t>
      </w:r>
      <w:r w:rsidR="00C14737" w:rsidRPr="00C14737">
        <w:rPr>
          <w:rFonts w:ascii="Verdana" w:eastAsia="Calibri" w:hAnsi="Verdana"/>
          <w:b/>
          <w:bCs/>
          <w:color w:val="000000" w:themeColor="text1"/>
          <w:sz w:val="20"/>
          <w:szCs w:val="20"/>
        </w:rPr>
        <w:t>jefe</w:t>
      </w:r>
      <w:r w:rsidRPr="00C14737">
        <w:rPr>
          <w:rFonts w:ascii="Verdana" w:eastAsia="Calibri" w:hAnsi="Verdana"/>
          <w:b/>
          <w:bCs/>
          <w:color w:val="000000" w:themeColor="text1"/>
          <w:sz w:val="20"/>
          <w:szCs w:val="20"/>
        </w:rPr>
        <w:t xml:space="preserve"> de la entidad</w:t>
      </w:r>
    </w:p>
    <w:p w14:paraId="253B1CF4" w14:textId="77777777" w:rsidR="00C14737" w:rsidRPr="00C14737" w:rsidRDefault="00C14737" w:rsidP="000327B3">
      <w:pPr>
        <w:spacing w:after="0"/>
        <w:jc w:val="both"/>
        <w:rPr>
          <w:rFonts w:ascii="Verdana" w:eastAsia="Calibri" w:hAnsi="Verdana"/>
          <w:b/>
          <w:bCs/>
          <w:color w:val="000000" w:themeColor="text1"/>
          <w:sz w:val="20"/>
          <w:szCs w:val="20"/>
        </w:rPr>
      </w:pPr>
    </w:p>
    <w:p w14:paraId="11131279" w14:textId="77777777" w:rsidR="00C14737" w:rsidRPr="00C14737" w:rsidRDefault="00C14737" w:rsidP="00C14737">
      <w:pPr>
        <w:spacing w:after="120" w:line="276" w:lineRule="auto"/>
        <w:jc w:val="both"/>
        <w:rPr>
          <w:rFonts w:ascii="Verdana" w:eastAsia="Calibri" w:hAnsi="Verdana" w:cs="Arial"/>
          <w:color w:val="000000" w:themeColor="text1"/>
          <w:sz w:val="20"/>
          <w:szCs w:val="20"/>
        </w:rPr>
      </w:pPr>
      <w:r w:rsidRPr="00C14737">
        <w:rPr>
          <w:rFonts w:ascii="Verdana" w:eastAsia="Calibri" w:hAnsi="Verdana" w:cs="Arial"/>
          <w:color w:val="000000" w:themeColor="text1"/>
          <w:sz w:val="20"/>
          <w:szCs w:val="20"/>
        </w:rPr>
        <w:t>Ahora bien, las entidades públicas, con el objetivo de optimizar recursos y salvaguardar su autonomía administrativa, pueden optar por elaborar un único estudio previo que soporte la celebración de varios contratos de prestación de servicios con características similares y necesidades recurrentes. Esta práctica, si bien es viable, y no existe prohibición legal que lo regule, no implica que se trate de un solo proceso de contratación, sino que cada contrato debe tramitarse de manera independiente e individual en la plataforma SECOP II y/o equivalente, garantizando así la publicidad, transparencia y control de cada procedimiento contractual.</w:t>
      </w:r>
    </w:p>
    <w:p w14:paraId="23B87457" w14:textId="77777777" w:rsidR="00C14737" w:rsidRPr="00C14737" w:rsidRDefault="00C14737" w:rsidP="00C14737">
      <w:pPr>
        <w:spacing w:after="120" w:line="276" w:lineRule="auto"/>
        <w:jc w:val="both"/>
        <w:rPr>
          <w:rFonts w:ascii="Verdana" w:eastAsia="Calibri" w:hAnsi="Verdana" w:cs="Arial"/>
          <w:color w:val="000000" w:themeColor="text1"/>
          <w:sz w:val="20"/>
          <w:szCs w:val="20"/>
        </w:rPr>
      </w:pPr>
      <w:r w:rsidRPr="00C14737">
        <w:rPr>
          <w:rFonts w:ascii="Verdana" w:eastAsia="Calibri" w:hAnsi="Verdana" w:cs="Arial"/>
          <w:color w:val="000000" w:themeColor="text1"/>
          <w:sz w:val="20"/>
          <w:szCs w:val="20"/>
        </w:rPr>
        <w:t>No obstante, la autonomía administrativa de la entidad para organizar sus procesos internos está condicionada al estricto respeto de los principios constitucionales y legales que rigen la contratación pública, tales como la transparencia, la eficiencia, la planeación y la responsabilidad. Por ello, la decisión de utilizar un mismo estudio previo debe ir acompañada de una evaluación técnica que asegure la pertinencia, actualidad y adecuación del documento para cada contrato específico, evitando que se convierta en un instrumento para fragmentar procesos con el fin de evadir requisitos legales o principios de selección objetiva.</w:t>
      </w:r>
    </w:p>
    <w:p w14:paraId="146A8730" w14:textId="794B0DEF" w:rsidR="00C14737" w:rsidRPr="00C14737" w:rsidRDefault="00C14737" w:rsidP="00C14737">
      <w:pPr>
        <w:spacing w:after="120" w:line="276" w:lineRule="auto"/>
        <w:jc w:val="both"/>
        <w:rPr>
          <w:rFonts w:ascii="Verdana" w:hAnsi="Verdana" w:cs="Arial"/>
          <w:b/>
          <w:bCs/>
          <w:sz w:val="20"/>
          <w:szCs w:val="20"/>
          <w:lang w:val="es-ES" w:eastAsia="es-ES"/>
        </w:rPr>
      </w:pPr>
      <w:r w:rsidRPr="00C14737">
        <w:rPr>
          <w:rFonts w:ascii="Verdana" w:hAnsi="Verdana" w:cs="Arial"/>
          <w:b/>
          <w:bCs/>
          <w:sz w:val="20"/>
          <w:szCs w:val="20"/>
          <w:lang w:val="es-ES" w:eastAsia="es-ES"/>
        </w:rPr>
        <w:t>FRACCIONAMIENTO CONTRACTUAL – Jurisprudencia – Elementos – Unidad de objeto</w:t>
      </w:r>
    </w:p>
    <w:p w14:paraId="52A8B42A" w14:textId="77777777" w:rsidR="00C14737" w:rsidRPr="00C14737" w:rsidRDefault="00C14737" w:rsidP="00C14737">
      <w:pPr>
        <w:pStyle w:val="paragraph"/>
        <w:spacing w:before="0" w:beforeAutospacing="0" w:after="120" w:afterAutospacing="0" w:line="276" w:lineRule="auto"/>
        <w:jc w:val="both"/>
        <w:textAlignment w:val="baseline"/>
        <w:rPr>
          <w:rFonts w:ascii="Verdana" w:eastAsia="Calibri" w:hAnsi="Verdana" w:cs="Arial"/>
          <w:color w:val="000000" w:themeColor="text1"/>
          <w:sz w:val="20"/>
          <w:szCs w:val="20"/>
        </w:rPr>
      </w:pPr>
      <w:r w:rsidRPr="00C14737">
        <w:rPr>
          <w:rFonts w:ascii="Verdana" w:eastAsia="Calibri" w:hAnsi="Verdana" w:cs="Arial"/>
          <w:color w:val="000000" w:themeColor="text1"/>
          <w:sz w:val="20"/>
          <w:szCs w:val="20"/>
        </w:rPr>
        <w:t xml:space="preserve">A la luz de la jurisprudencia solo habrá fraccionamiento del contrato cuando concurran los siguientes elementos: “i) que exista una separación artificial de un mismo objeto contractual y </w:t>
      </w:r>
      <w:proofErr w:type="spellStart"/>
      <w:r w:rsidRPr="00C14737">
        <w:rPr>
          <w:rFonts w:ascii="Verdana" w:eastAsia="Calibri" w:hAnsi="Verdana" w:cs="Arial"/>
          <w:color w:val="000000" w:themeColor="text1"/>
          <w:sz w:val="20"/>
          <w:szCs w:val="20"/>
        </w:rPr>
        <w:t>ii</w:t>
      </w:r>
      <w:proofErr w:type="spellEnd"/>
      <w:r w:rsidRPr="00C14737">
        <w:rPr>
          <w:rFonts w:ascii="Verdana" w:eastAsia="Calibri" w:hAnsi="Verdana" w:cs="Arial"/>
          <w:color w:val="000000" w:themeColor="text1"/>
          <w:sz w:val="20"/>
          <w:szCs w:val="20"/>
        </w:rPr>
        <w:t>) que dicha separación tenga como objetivo evitar procedimientos de convocatoria pública y de selección objetiva”. De manera que estos elementos deberán ser constatados por la autoridad judicial competente para declarar una eventual nulidad absoluta del contrato.</w:t>
      </w:r>
    </w:p>
    <w:p w14:paraId="320B800E" w14:textId="19ECDADB" w:rsidR="00C14737" w:rsidRPr="00C14737" w:rsidRDefault="00C14737" w:rsidP="00C14737">
      <w:pPr>
        <w:spacing w:after="120" w:line="276" w:lineRule="auto"/>
        <w:jc w:val="both"/>
        <w:rPr>
          <w:rFonts w:ascii="Verdana" w:eastAsia="Calibri" w:hAnsi="Verdana" w:cs="Arial"/>
          <w:b/>
          <w:bCs/>
          <w:color w:val="000000" w:themeColor="text1"/>
          <w:sz w:val="20"/>
          <w:szCs w:val="20"/>
        </w:rPr>
      </w:pPr>
      <w:r w:rsidRPr="00C14737">
        <w:rPr>
          <w:rFonts w:ascii="Verdana" w:eastAsia="Calibri" w:hAnsi="Verdana" w:cs="Arial"/>
          <w:bCs/>
          <w:color w:val="000000" w:themeColor="text1"/>
          <w:sz w:val="20"/>
          <w:szCs w:val="20"/>
        </w:rPr>
        <w:lastRenderedPageBreak/>
        <w:t xml:space="preserve">En este contexto, el </w:t>
      </w:r>
      <w:r w:rsidRPr="00C14737">
        <w:rPr>
          <w:rFonts w:ascii="Verdana" w:eastAsia="Calibri" w:hAnsi="Verdana" w:cs="Arial"/>
          <w:bCs/>
          <w:i/>
          <w:iCs/>
          <w:color w:val="000000" w:themeColor="text1"/>
          <w:sz w:val="20"/>
          <w:szCs w:val="20"/>
        </w:rPr>
        <w:t>fraccionamiento</w:t>
      </w:r>
      <w:r w:rsidRPr="00C14737">
        <w:rPr>
          <w:rFonts w:ascii="Verdana" w:eastAsia="Calibri" w:hAnsi="Verdana" w:cs="Arial"/>
          <w:bCs/>
          <w:color w:val="000000" w:themeColor="text1"/>
          <w:sz w:val="20"/>
          <w:szCs w:val="20"/>
        </w:rPr>
        <w:t xml:space="preserve"> implica dividir las prestaciones en dos o más contratos que pueden constituir un único negocio jurídico. Para demostrarlo deben concurrir las siguientes circunstancias: i) que sea posible demostrar la unidad del objeto en relación con el contrato cuya legalidad se cuestiona y, de ser así, </w:t>
      </w:r>
      <w:proofErr w:type="spellStart"/>
      <w:r w:rsidRPr="00C14737">
        <w:rPr>
          <w:rFonts w:ascii="Verdana" w:eastAsia="Calibri" w:hAnsi="Verdana" w:cs="Arial"/>
          <w:bCs/>
          <w:color w:val="000000" w:themeColor="text1"/>
          <w:sz w:val="20"/>
          <w:szCs w:val="20"/>
        </w:rPr>
        <w:t>ii</w:t>
      </w:r>
      <w:proofErr w:type="spellEnd"/>
      <w:r w:rsidRPr="00C14737">
        <w:rPr>
          <w:rFonts w:ascii="Verdana" w:eastAsia="Calibri" w:hAnsi="Verdana" w:cs="Arial"/>
          <w:bCs/>
          <w:color w:val="000000" w:themeColor="text1"/>
          <w:sz w:val="20"/>
          <w:szCs w:val="20"/>
        </w:rPr>
        <w:t>) determinar cuáles fueron las circunstancias que condujeron a la Administración a celebrar varios contratos, pues sólo de esta manera puede inferirse si el actuar se basó en criterios razonables de interés público o, si por el contrario, los motivos fueron simulados y orientados a infringir las normas de la contratación pública</w:t>
      </w:r>
    </w:p>
    <w:p w14:paraId="325304C7" w14:textId="77777777" w:rsidR="00C14737" w:rsidRPr="00C14737" w:rsidRDefault="00C14737" w:rsidP="000327B3">
      <w:pPr>
        <w:spacing w:after="0"/>
        <w:jc w:val="both"/>
        <w:rPr>
          <w:rFonts w:ascii="Verdana" w:hAnsi="Verdana" w:cs="Arial"/>
          <w:b/>
          <w:bCs/>
          <w:color w:val="000000" w:themeColor="text1"/>
        </w:rPr>
      </w:pPr>
    </w:p>
    <w:p w14:paraId="4BA531E9" w14:textId="77777777" w:rsidR="000327B3" w:rsidRDefault="000327B3" w:rsidP="00E72F7D">
      <w:pPr>
        <w:spacing w:after="0"/>
        <w:rPr>
          <w:rFonts w:ascii="Verdana" w:hAnsi="Verdana"/>
        </w:rPr>
      </w:pPr>
    </w:p>
    <w:p w14:paraId="53D41016" w14:textId="77777777" w:rsidR="00C14737" w:rsidRDefault="00C14737" w:rsidP="00E72F7D">
      <w:pPr>
        <w:spacing w:after="0"/>
        <w:rPr>
          <w:rFonts w:ascii="Verdana" w:hAnsi="Verdana"/>
        </w:rPr>
      </w:pPr>
    </w:p>
    <w:p w14:paraId="78AA01C5" w14:textId="77777777" w:rsidR="00C14737" w:rsidRDefault="00C14737" w:rsidP="00E72F7D">
      <w:pPr>
        <w:spacing w:after="0"/>
        <w:rPr>
          <w:rFonts w:ascii="Verdana" w:hAnsi="Verdana"/>
        </w:rPr>
      </w:pPr>
    </w:p>
    <w:p w14:paraId="429C737F" w14:textId="77777777" w:rsidR="00C14737" w:rsidRDefault="00C14737" w:rsidP="00E72F7D">
      <w:pPr>
        <w:spacing w:after="0"/>
        <w:rPr>
          <w:rFonts w:ascii="Verdana" w:hAnsi="Verdana"/>
        </w:rPr>
      </w:pPr>
    </w:p>
    <w:p w14:paraId="686AB0B8" w14:textId="77777777" w:rsidR="00C14737" w:rsidRDefault="00C14737" w:rsidP="00E72F7D">
      <w:pPr>
        <w:spacing w:after="0"/>
        <w:rPr>
          <w:rFonts w:ascii="Verdana" w:hAnsi="Verdana"/>
        </w:rPr>
      </w:pPr>
    </w:p>
    <w:p w14:paraId="17F4B756" w14:textId="77777777" w:rsidR="00C14737" w:rsidRDefault="00C14737" w:rsidP="00E72F7D">
      <w:pPr>
        <w:spacing w:after="0"/>
        <w:rPr>
          <w:rFonts w:ascii="Verdana" w:hAnsi="Verdana"/>
        </w:rPr>
      </w:pPr>
    </w:p>
    <w:p w14:paraId="01C8EADF" w14:textId="77777777" w:rsidR="00C14737" w:rsidRDefault="00C14737" w:rsidP="00E72F7D">
      <w:pPr>
        <w:spacing w:after="0"/>
        <w:rPr>
          <w:rFonts w:ascii="Verdana" w:hAnsi="Verdana"/>
        </w:rPr>
      </w:pPr>
    </w:p>
    <w:p w14:paraId="7D7CCF55" w14:textId="77777777" w:rsidR="00C14737" w:rsidRDefault="00C14737" w:rsidP="00E72F7D">
      <w:pPr>
        <w:spacing w:after="0"/>
        <w:rPr>
          <w:rFonts w:ascii="Verdana" w:hAnsi="Verdana"/>
        </w:rPr>
      </w:pPr>
    </w:p>
    <w:p w14:paraId="3286AAA1" w14:textId="77777777" w:rsidR="00C14737" w:rsidRDefault="00C14737" w:rsidP="00E72F7D">
      <w:pPr>
        <w:spacing w:after="0"/>
        <w:rPr>
          <w:rFonts w:ascii="Verdana" w:hAnsi="Verdana"/>
        </w:rPr>
      </w:pPr>
    </w:p>
    <w:p w14:paraId="22BB10C3" w14:textId="77777777" w:rsidR="00C14737" w:rsidRDefault="00C14737" w:rsidP="00E72F7D">
      <w:pPr>
        <w:spacing w:after="0"/>
        <w:rPr>
          <w:rFonts w:ascii="Verdana" w:hAnsi="Verdana"/>
        </w:rPr>
      </w:pPr>
    </w:p>
    <w:p w14:paraId="112EC3A8" w14:textId="77777777" w:rsidR="00C14737" w:rsidRDefault="00C14737" w:rsidP="00E72F7D">
      <w:pPr>
        <w:spacing w:after="0"/>
        <w:rPr>
          <w:rFonts w:ascii="Verdana" w:hAnsi="Verdana"/>
        </w:rPr>
      </w:pPr>
    </w:p>
    <w:p w14:paraId="14BABD7E" w14:textId="77777777" w:rsidR="00C14737" w:rsidRDefault="00C14737" w:rsidP="00E72F7D">
      <w:pPr>
        <w:spacing w:after="0"/>
        <w:rPr>
          <w:rFonts w:ascii="Verdana" w:hAnsi="Verdana"/>
        </w:rPr>
      </w:pPr>
    </w:p>
    <w:p w14:paraId="24C2D0DD" w14:textId="77777777" w:rsidR="00C14737" w:rsidRDefault="00C14737" w:rsidP="00E72F7D">
      <w:pPr>
        <w:spacing w:after="0"/>
        <w:rPr>
          <w:rFonts w:ascii="Verdana" w:hAnsi="Verdana"/>
        </w:rPr>
      </w:pPr>
    </w:p>
    <w:p w14:paraId="658F0146" w14:textId="77777777" w:rsidR="00C14737" w:rsidRDefault="00C14737" w:rsidP="00E72F7D">
      <w:pPr>
        <w:spacing w:after="0"/>
        <w:rPr>
          <w:rFonts w:ascii="Verdana" w:hAnsi="Verdana"/>
        </w:rPr>
      </w:pPr>
    </w:p>
    <w:p w14:paraId="147FDEFB" w14:textId="77777777" w:rsidR="00C14737" w:rsidRDefault="00C14737" w:rsidP="00E72F7D">
      <w:pPr>
        <w:spacing w:after="0"/>
        <w:rPr>
          <w:rFonts w:ascii="Verdana" w:hAnsi="Verdana"/>
        </w:rPr>
      </w:pPr>
    </w:p>
    <w:p w14:paraId="75316384" w14:textId="77777777" w:rsidR="00C14737" w:rsidRDefault="00C14737" w:rsidP="00E72F7D">
      <w:pPr>
        <w:spacing w:after="0"/>
        <w:rPr>
          <w:rFonts w:ascii="Verdana" w:hAnsi="Verdana"/>
        </w:rPr>
      </w:pPr>
    </w:p>
    <w:p w14:paraId="19FB7A72" w14:textId="77777777" w:rsidR="00C14737" w:rsidRDefault="00C14737" w:rsidP="00E72F7D">
      <w:pPr>
        <w:spacing w:after="0"/>
        <w:rPr>
          <w:rFonts w:ascii="Verdana" w:hAnsi="Verdana"/>
        </w:rPr>
      </w:pPr>
    </w:p>
    <w:p w14:paraId="12DDF25A" w14:textId="77777777" w:rsidR="00C14737" w:rsidRDefault="00C14737" w:rsidP="00E72F7D">
      <w:pPr>
        <w:spacing w:after="0"/>
        <w:rPr>
          <w:rFonts w:ascii="Verdana" w:hAnsi="Verdana"/>
        </w:rPr>
      </w:pPr>
    </w:p>
    <w:p w14:paraId="294AEF88" w14:textId="77777777" w:rsidR="00C14737" w:rsidRDefault="00C14737" w:rsidP="00E72F7D">
      <w:pPr>
        <w:spacing w:after="0"/>
        <w:rPr>
          <w:rFonts w:ascii="Verdana" w:hAnsi="Verdana"/>
        </w:rPr>
      </w:pPr>
    </w:p>
    <w:p w14:paraId="028A5E7C" w14:textId="77777777" w:rsidR="00C14737" w:rsidRDefault="00C14737" w:rsidP="00E72F7D">
      <w:pPr>
        <w:spacing w:after="0"/>
        <w:rPr>
          <w:rFonts w:ascii="Verdana" w:hAnsi="Verdana"/>
        </w:rPr>
      </w:pPr>
    </w:p>
    <w:p w14:paraId="7E0ECE27" w14:textId="77777777" w:rsidR="00C14737" w:rsidRDefault="00C14737" w:rsidP="00E72F7D">
      <w:pPr>
        <w:spacing w:after="0"/>
        <w:rPr>
          <w:rFonts w:ascii="Verdana" w:hAnsi="Verdana"/>
        </w:rPr>
      </w:pPr>
    </w:p>
    <w:p w14:paraId="3D7402E0" w14:textId="77777777" w:rsidR="00C14737" w:rsidRDefault="00C14737" w:rsidP="00E72F7D">
      <w:pPr>
        <w:spacing w:after="0"/>
        <w:rPr>
          <w:rFonts w:ascii="Verdana" w:hAnsi="Verdana"/>
        </w:rPr>
      </w:pPr>
    </w:p>
    <w:p w14:paraId="4F8CB76D" w14:textId="77777777" w:rsidR="00C14737" w:rsidRDefault="00C14737" w:rsidP="00E72F7D">
      <w:pPr>
        <w:spacing w:after="0"/>
        <w:rPr>
          <w:rFonts w:ascii="Verdana" w:hAnsi="Verdana"/>
        </w:rPr>
      </w:pPr>
    </w:p>
    <w:p w14:paraId="48C0FD27" w14:textId="77777777" w:rsidR="00C14737" w:rsidRDefault="00C14737" w:rsidP="00E72F7D">
      <w:pPr>
        <w:spacing w:after="0"/>
        <w:rPr>
          <w:rFonts w:ascii="Verdana" w:hAnsi="Verdana"/>
        </w:rPr>
      </w:pPr>
    </w:p>
    <w:p w14:paraId="516040CC" w14:textId="77777777" w:rsidR="00C14737" w:rsidRDefault="00C14737" w:rsidP="00E72F7D">
      <w:pPr>
        <w:spacing w:after="0"/>
        <w:rPr>
          <w:rFonts w:ascii="Verdana" w:hAnsi="Verdana"/>
        </w:rPr>
      </w:pPr>
    </w:p>
    <w:p w14:paraId="6B2D3665" w14:textId="77777777" w:rsidR="00C14737" w:rsidRDefault="00C14737" w:rsidP="00E72F7D">
      <w:pPr>
        <w:spacing w:after="0"/>
        <w:rPr>
          <w:rFonts w:ascii="Verdana" w:hAnsi="Verdana"/>
        </w:rPr>
      </w:pPr>
    </w:p>
    <w:p w14:paraId="275F1C07" w14:textId="77777777" w:rsidR="00C14737" w:rsidRDefault="00C14737" w:rsidP="00E72F7D">
      <w:pPr>
        <w:spacing w:after="0"/>
        <w:rPr>
          <w:rFonts w:ascii="Verdana" w:hAnsi="Verdana"/>
        </w:rPr>
      </w:pPr>
    </w:p>
    <w:p w14:paraId="416699BF" w14:textId="77777777" w:rsidR="00C14737" w:rsidRDefault="00C14737" w:rsidP="00E72F7D">
      <w:pPr>
        <w:spacing w:after="0"/>
        <w:rPr>
          <w:rFonts w:ascii="Verdana" w:hAnsi="Verdana"/>
        </w:rPr>
      </w:pPr>
    </w:p>
    <w:p w14:paraId="37495B9A" w14:textId="77777777" w:rsidR="00C14737" w:rsidRDefault="00C14737" w:rsidP="00E72F7D">
      <w:pPr>
        <w:spacing w:after="0"/>
        <w:rPr>
          <w:rFonts w:ascii="Verdana" w:hAnsi="Verdana"/>
        </w:rPr>
      </w:pPr>
    </w:p>
    <w:p w14:paraId="148CE002" w14:textId="77777777" w:rsidR="00C14737" w:rsidRDefault="00C14737" w:rsidP="00E72F7D">
      <w:pPr>
        <w:spacing w:after="0"/>
        <w:rPr>
          <w:rFonts w:ascii="Verdana" w:hAnsi="Verdana"/>
        </w:rPr>
      </w:pPr>
    </w:p>
    <w:p w14:paraId="657C50CC" w14:textId="27FBC391" w:rsidR="00E72F7D" w:rsidRPr="00E00F9B" w:rsidRDefault="00E72F7D" w:rsidP="00E72F7D">
      <w:pPr>
        <w:spacing w:after="0"/>
        <w:rPr>
          <w:rFonts w:ascii="Verdana" w:hAnsi="Verdana"/>
        </w:rPr>
      </w:pPr>
      <w:r w:rsidRPr="00E00F9B">
        <w:rPr>
          <w:rFonts w:ascii="Verdana" w:hAnsi="Verdana"/>
        </w:rPr>
        <w:lastRenderedPageBreak/>
        <w:t xml:space="preserve">Bogotá D.C., </w:t>
      </w:r>
      <w:r w:rsidR="00C14737">
        <w:rPr>
          <w:rFonts w:ascii="Verdana" w:hAnsi="Verdana"/>
        </w:rPr>
        <w:t>14 de noviembre de 2025</w:t>
      </w:r>
      <w:r w:rsidRPr="00E00F9B">
        <w:rPr>
          <w:rFonts w:ascii="Verdana" w:hAnsi="Verdana"/>
        </w:rPr>
        <w:tab/>
      </w:r>
    </w:p>
    <w:p w14:paraId="6D349C8A" w14:textId="77777777" w:rsidR="00E72F7D" w:rsidRDefault="00E72F7D" w:rsidP="00E72F7D">
      <w:pPr>
        <w:spacing w:after="0"/>
        <w:rPr>
          <w:rFonts w:ascii="Verdana" w:hAnsi="Verdana"/>
        </w:rPr>
      </w:pPr>
    </w:p>
    <w:p w14:paraId="7AB0586F" w14:textId="49BF03AB" w:rsidR="00C14737" w:rsidRPr="00E00F9B" w:rsidRDefault="00C14737" w:rsidP="00C14737">
      <w:pPr>
        <w:spacing w:after="0"/>
        <w:ind w:left="4956"/>
        <w:rPr>
          <w:rFonts w:ascii="Verdana" w:hAnsi="Verdana"/>
        </w:rPr>
      </w:pPr>
      <w:r w:rsidRPr="00C14737">
        <w:rPr>
          <w:rFonts w:ascii="Verdana" w:hAnsi="Verdana"/>
          <w:noProof/>
        </w:rPr>
        <w:drawing>
          <wp:inline distT="0" distB="0" distL="0" distR="0" wp14:anchorId="3FFC9E13" wp14:editId="50AFEFEE">
            <wp:extent cx="2466974" cy="885825"/>
            <wp:effectExtent l="0" t="0" r="0" b="0"/>
            <wp:docPr id="991388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38839" name=""/>
                    <pic:cNvPicPr/>
                  </pic:nvPicPr>
                  <pic:blipFill>
                    <a:blip r:embed="rId10"/>
                    <a:stretch>
                      <a:fillRect/>
                    </a:stretch>
                  </pic:blipFill>
                  <pic:spPr>
                    <a:xfrm>
                      <a:off x="0" y="0"/>
                      <a:ext cx="2473033" cy="888000"/>
                    </a:xfrm>
                    <a:prstGeom prst="rect">
                      <a:avLst/>
                    </a:prstGeom>
                  </pic:spPr>
                </pic:pic>
              </a:graphicData>
            </a:graphic>
          </wp:inline>
        </w:drawing>
      </w:r>
    </w:p>
    <w:p w14:paraId="166652B2" w14:textId="77777777" w:rsidR="00E72F7D" w:rsidRPr="00E00F9B" w:rsidRDefault="00E72F7D" w:rsidP="00E72F7D">
      <w:pPr>
        <w:spacing w:after="0" w:line="276" w:lineRule="auto"/>
        <w:jc w:val="both"/>
        <w:rPr>
          <w:rFonts w:ascii="Verdana" w:eastAsia="Calibri" w:hAnsi="Verdana" w:cs="Arial"/>
          <w:lang w:val="es-ES" w:eastAsia="es-ES"/>
        </w:rPr>
      </w:pPr>
      <w:r w:rsidRPr="00E00F9B">
        <w:rPr>
          <w:rFonts w:ascii="Verdana" w:eastAsia="Calibri" w:hAnsi="Verdana" w:cs="Arial"/>
          <w:lang w:val="es-ES" w:eastAsia="es-ES"/>
        </w:rPr>
        <w:t>Señor</w:t>
      </w:r>
    </w:p>
    <w:p w14:paraId="6E7F342D" w14:textId="77777777" w:rsidR="00E72F7D" w:rsidRDefault="00E72F7D" w:rsidP="00E72F7D">
      <w:pPr>
        <w:spacing w:after="0" w:line="276" w:lineRule="auto"/>
        <w:rPr>
          <w:rFonts w:ascii="Verdana" w:hAnsi="Verdana"/>
          <w:b/>
          <w:bCs/>
        </w:rPr>
      </w:pPr>
      <w:r>
        <w:rPr>
          <w:rFonts w:ascii="Verdana" w:hAnsi="Verdana"/>
          <w:b/>
          <w:bCs/>
        </w:rPr>
        <w:t>Fabian Armando Chavarro Pineda</w:t>
      </w:r>
    </w:p>
    <w:p w14:paraId="2101A76C" w14:textId="77777777" w:rsidR="00E72F7D" w:rsidRPr="000522C3" w:rsidRDefault="00D24752" w:rsidP="00E72F7D">
      <w:pPr>
        <w:spacing w:after="0" w:line="276" w:lineRule="auto"/>
        <w:rPr>
          <w:rFonts w:ascii="Verdana" w:hAnsi="Verdana"/>
          <w:lang w:val="pt-PT"/>
        </w:rPr>
      </w:pPr>
      <w:hyperlink r:id="rId11" w:history="1">
        <w:r w:rsidR="00E72F7D" w:rsidRPr="000522C3">
          <w:rPr>
            <w:rStyle w:val="Hipervnculo"/>
            <w:rFonts w:ascii="Verdana" w:hAnsi="Verdana"/>
            <w:lang w:val="pt-PT"/>
          </w:rPr>
          <w:t>eco.fachapi@gmail.com</w:t>
        </w:r>
      </w:hyperlink>
      <w:r w:rsidR="00E72F7D" w:rsidRPr="000522C3">
        <w:rPr>
          <w:rFonts w:ascii="Verdana" w:hAnsi="Verdana"/>
          <w:lang w:val="pt-PT"/>
        </w:rPr>
        <w:t xml:space="preserve">; </w:t>
      </w:r>
    </w:p>
    <w:p w14:paraId="5780A47D" w14:textId="77777777" w:rsidR="00E72F7D" w:rsidRPr="000522C3" w:rsidRDefault="00E72F7D" w:rsidP="00E72F7D">
      <w:pPr>
        <w:spacing w:after="0" w:line="276" w:lineRule="auto"/>
        <w:rPr>
          <w:rFonts w:ascii="Verdana" w:eastAsia="Calibri" w:hAnsi="Verdana" w:cs="Arial"/>
          <w:b/>
          <w:bCs/>
          <w:lang w:val="pt-PT" w:eastAsia="es-ES"/>
        </w:rPr>
      </w:pPr>
      <w:r>
        <w:rPr>
          <w:rFonts w:ascii="Verdana" w:eastAsia="Calibri" w:hAnsi="Verdana" w:cs="Arial"/>
          <w:lang w:val="pt-PT" w:eastAsia="es-ES"/>
        </w:rPr>
        <w:t xml:space="preserve">Florencia, Caqueta. </w:t>
      </w:r>
    </w:p>
    <w:p w14:paraId="7D332978" w14:textId="77777777" w:rsidR="00E72F7D" w:rsidRPr="000522C3" w:rsidRDefault="00E72F7D" w:rsidP="00E72F7D">
      <w:pPr>
        <w:spacing w:after="0" w:line="240" w:lineRule="auto"/>
        <w:rPr>
          <w:rFonts w:ascii="Verdana" w:eastAsia="Calibri" w:hAnsi="Verdana" w:cs="Arial"/>
          <w:b/>
          <w:bCs/>
          <w:color w:val="000000"/>
          <w:lang w:val="pt-P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72F7D" w:rsidRPr="00E00F9B" w14:paraId="4A0EDA54" w14:textId="77777777" w:rsidTr="00D52642">
        <w:trPr>
          <w:trHeight w:val="884"/>
        </w:trPr>
        <w:tc>
          <w:tcPr>
            <w:tcW w:w="2689" w:type="dxa"/>
          </w:tcPr>
          <w:p w14:paraId="2ECAED89" w14:textId="77777777" w:rsidR="00E72F7D" w:rsidRPr="000522C3" w:rsidRDefault="00E72F7D" w:rsidP="00D52642">
            <w:pPr>
              <w:jc w:val="both"/>
              <w:rPr>
                <w:rFonts w:ascii="Verdana" w:eastAsia="Calibri" w:hAnsi="Verdana" w:cs="Arial"/>
                <w:b/>
                <w:bCs/>
                <w:color w:val="7030A0"/>
                <w:lang w:val="pt-PT" w:eastAsia="es-ES_tradnl"/>
              </w:rPr>
            </w:pPr>
          </w:p>
        </w:tc>
        <w:tc>
          <w:tcPr>
            <w:tcW w:w="6100" w:type="dxa"/>
          </w:tcPr>
          <w:p w14:paraId="3A076DDF" w14:textId="77777777" w:rsidR="00E72F7D" w:rsidRPr="00E00F9B" w:rsidRDefault="00E72F7D" w:rsidP="00D52642">
            <w:pPr>
              <w:jc w:val="both"/>
              <w:rPr>
                <w:rFonts w:ascii="Verdana" w:eastAsia="Calibri" w:hAnsi="Verdana" w:cs="Arial"/>
                <w:b/>
                <w:bCs/>
                <w:color w:val="7030A0"/>
                <w:lang w:val="es-ES" w:eastAsia="es-ES"/>
              </w:rPr>
            </w:pPr>
            <w:r w:rsidRPr="00E00F9B">
              <w:rPr>
                <w:rFonts w:ascii="Verdana" w:eastAsia="Calibri" w:hAnsi="Verdana" w:cs="Arial"/>
                <w:b/>
                <w:bCs/>
                <w:lang w:val="es-ES" w:eastAsia="es-ES"/>
              </w:rPr>
              <w:t xml:space="preserve">Concepto </w:t>
            </w:r>
            <w:r w:rsidRPr="000522C3">
              <w:rPr>
                <w:rFonts w:ascii="Verdana" w:eastAsia="Calibri" w:hAnsi="Verdana" w:cs="Arial"/>
                <w:b/>
                <w:bCs/>
                <w:lang w:val="es-ES" w:eastAsia="es-ES"/>
              </w:rPr>
              <w:t>C-1450</w:t>
            </w:r>
            <w:r>
              <w:rPr>
                <w:rFonts w:ascii="Verdana" w:eastAsia="Calibri" w:hAnsi="Verdana" w:cs="Arial"/>
                <w:b/>
                <w:bCs/>
                <w:lang w:val="es-ES" w:eastAsia="es-ES"/>
              </w:rPr>
              <w:t xml:space="preserve"> </w:t>
            </w:r>
            <w:r w:rsidRPr="00E00F9B">
              <w:rPr>
                <w:rFonts w:ascii="Verdana" w:eastAsia="Calibri" w:hAnsi="Verdana" w:cs="Arial"/>
                <w:b/>
                <w:bCs/>
                <w:lang w:val="es-ES" w:eastAsia="es-ES"/>
              </w:rPr>
              <w:t>de</w:t>
            </w:r>
            <w:r w:rsidRPr="00E00F9B">
              <w:rPr>
                <w:rFonts w:ascii="Verdana" w:eastAsia="Calibri" w:hAnsi="Verdana" w:cs="Arial"/>
                <w:b/>
                <w:bCs/>
                <w:color w:val="7030A0"/>
                <w:lang w:val="es-ES" w:eastAsia="es-ES"/>
              </w:rPr>
              <w:t xml:space="preserve"> </w:t>
            </w:r>
            <w:r w:rsidRPr="00E00F9B">
              <w:rPr>
                <w:rFonts w:ascii="Verdana" w:eastAsia="Calibri" w:hAnsi="Verdana" w:cs="Arial"/>
                <w:b/>
                <w:bCs/>
                <w:color w:val="000000" w:themeColor="text1"/>
                <w:lang w:val="es-ES" w:eastAsia="es-ES"/>
              </w:rPr>
              <w:t>202</w:t>
            </w:r>
            <w:r>
              <w:rPr>
                <w:rFonts w:ascii="Verdana" w:eastAsia="Calibri" w:hAnsi="Verdana" w:cs="Arial"/>
                <w:b/>
                <w:bCs/>
                <w:color w:val="000000" w:themeColor="text1"/>
                <w:lang w:val="es-ES" w:eastAsia="es-ES"/>
              </w:rPr>
              <w:t>5</w:t>
            </w:r>
          </w:p>
        </w:tc>
      </w:tr>
      <w:tr w:rsidR="00E72F7D" w:rsidRPr="00E00F9B" w14:paraId="72729967" w14:textId="77777777" w:rsidTr="00D52642">
        <w:trPr>
          <w:trHeight w:val="884"/>
        </w:trPr>
        <w:tc>
          <w:tcPr>
            <w:tcW w:w="2689" w:type="dxa"/>
          </w:tcPr>
          <w:p w14:paraId="36DAABF2" w14:textId="77777777" w:rsidR="00E72F7D" w:rsidRPr="00752915" w:rsidRDefault="00E72F7D" w:rsidP="00D52642">
            <w:pPr>
              <w:jc w:val="both"/>
              <w:rPr>
                <w:rFonts w:ascii="Verdana" w:eastAsia="Calibri" w:hAnsi="Verdana" w:cs="Arial"/>
                <w:color w:val="000000"/>
                <w:lang w:val="es-ES_tradnl" w:eastAsia="es-ES_tradnl"/>
              </w:rPr>
            </w:pPr>
            <w:r w:rsidRPr="00752915">
              <w:rPr>
                <w:rFonts w:ascii="Verdana" w:eastAsia="Calibri" w:hAnsi="Verdana" w:cs="Arial"/>
                <w:b/>
                <w:color w:val="000000"/>
                <w:lang w:val="es-ES_tradnl" w:eastAsia="es-ES_tradnl"/>
              </w:rPr>
              <w:t>Temas:</w:t>
            </w:r>
            <w:r w:rsidRPr="00752915">
              <w:rPr>
                <w:rFonts w:ascii="Verdana" w:eastAsia="Calibri" w:hAnsi="Verdana" w:cs="Arial"/>
                <w:color w:val="000000"/>
                <w:lang w:val="es-ES_tradnl" w:eastAsia="es-ES_tradnl"/>
              </w:rPr>
              <w:t xml:space="preserve">                   </w:t>
            </w:r>
          </w:p>
        </w:tc>
        <w:tc>
          <w:tcPr>
            <w:tcW w:w="6100" w:type="dxa"/>
          </w:tcPr>
          <w:p w14:paraId="7E033E2C" w14:textId="77777777" w:rsidR="00E72F7D" w:rsidRPr="00752915" w:rsidRDefault="00E72F7D" w:rsidP="00D52642">
            <w:pPr>
              <w:spacing w:line="276" w:lineRule="auto"/>
              <w:jc w:val="both"/>
              <w:rPr>
                <w:rFonts w:ascii="Verdana" w:eastAsia="Calibri" w:hAnsi="Verdana" w:cs="Arial"/>
                <w:color w:val="000000" w:themeColor="text1"/>
              </w:rPr>
            </w:pPr>
            <w:r w:rsidRPr="00752915">
              <w:rPr>
                <w:rFonts w:ascii="Verdana" w:hAnsi="Verdana" w:cs="Arial"/>
                <w:color w:val="000000" w:themeColor="text1"/>
                <w:lang w:val="es-ES_tradnl"/>
              </w:rPr>
              <w:t xml:space="preserve">ESTUDIOS PREVIOS – Contrato de prestación de Servicios – Requisitos - </w:t>
            </w:r>
            <w:r w:rsidRPr="00752915">
              <w:rPr>
                <w:rFonts w:ascii="Verdana" w:eastAsia="Calibri" w:hAnsi="Verdana" w:cs="Arial"/>
                <w:color w:val="000000" w:themeColor="text1"/>
              </w:rPr>
              <w:t>CONTRATO DE PRESTACIÓN DE SERVICIOS – Prohibición – Decreto 1068 de 2015 – Artículo 2.8.4.4.5 – Objeto similar – Actividades similares – J</w:t>
            </w:r>
            <w:r w:rsidRPr="00752915">
              <w:rPr>
                <w:rFonts w:ascii="Verdana" w:eastAsia="Calibri" w:hAnsi="Verdana"/>
                <w:color w:val="000000" w:themeColor="text1"/>
              </w:rPr>
              <w:t xml:space="preserve">ustificación – </w:t>
            </w:r>
            <w:proofErr w:type="gramStart"/>
            <w:r w:rsidRPr="00752915">
              <w:rPr>
                <w:rFonts w:ascii="Verdana" w:eastAsia="Calibri" w:hAnsi="Verdana"/>
                <w:color w:val="000000" w:themeColor="text1"/>
              </w:rPr>
              <w:t>Jefe</w:t>
            </w:r>
            <w:proofErr w:type="gramEnd"/>
            <w:r w:rsidRPr="00752915">
              <w:rPr>
                <w:rFonts w:ascii="Verdana" w:eastAsia="Calibri" w:hAnsi="Verdana"/>
                <w:color w:val="000000" w:themeColor="text1"/>
              </w:rPr>
              <w:t xml:space="preserve"> de la entidad </w:t>
            </w:r>
            <w:r>
              <w:rPr>
                <w:rFonts w:ascii="Verdana" w:eastAsia="Calibri" w:hAnsi="Verdana"/>
                <w:color w:val="000000" w:themeColor="text1"/>
              </w:rPr>
              <w:t xml:space="preserve">- </w:t>
            </w:r>
            <w:r>
              <w:rPr>
                <w:rFonts w:ascii="Verdana" w:hAnsi="Verdana" w:cs="Arial"/>
                <w:lang w:val="es-ES" w:eastAsia="es-ES"/>
              </w:rPr>
              <w:t>FRACCIONAMIENTO CONTRACTUAL – Jurisprudencia – Elementos – Unidad de objeto</w:t>
            </w:r>
          </w:p>
          <w:p w14:paraId="5D752754" w14:textId="77777777" w:rsidR="00E72F7D" w:rsidRPr="00752915" w:rsidRDefault="00E72F7D" w:rsidP="00D52642">
            <w:pPr>
              <w:spacing w:line="276" w:lineRule="auto"/>
              <w:jc w:val="both"/>
              <w:rPr>
                <w:rFonts w:ascii="Verdana" w:eastAsia="Calibri" w:hAnsi="Verdana" w:cs="Arial"/>
                <w:lang w:val="es-ES" w:eastAsia="es-ES"/>
              </w:rPr>
            </w:pPr>
          </w:p>
        </w:tc>
      </w:tr>
      <w:tr w:rsidR="00E72F7D" w:rsidRPr="00E00F9B" w14:paraId="160A371C" w14:textId="77777777" w:rsidTr="00D52642">
        <w:trPr>
          <w:trHeight w:val="309"/>
        </w:trPr>
        <w:tc>
          <w:tcPr>
            <w:tcW w:w="2689" w:type="dxa"/>
          </w:tcPr>
          <w:p w14:paraId="31740718" w14:textId="77777777" w:rsidR="00E72F7D" w:rsidRPr="00E00F9B" w:rsidRDefault="00E72F7D" w:rsidP="00D52642">
            <w:pPr>
              <w:jc w:val="both"/>
              <w:rPr>
                <w:rFonts w:ascii="Verdana" w:eastAsia="Calibri" w:hAnsi="Verdana" w:cs="Arial"/>
                <w:b/>
                <w:color w:val="171717" w:themeColor="background2" w:themeShade="1A"/>
                <w:lang w:val="es-ES_tradnl" w:eastAsia="es-ES_tradnl"/>
              </w:rPr>
            </w:pPr>
            <w:r w:rsidRPr="00E00F9B">
              <w:rPr>
                <w:rFonts w:ascii="Verdana" w:eastAsia="Calibri" w:hAnsi="Verdana" w:cs="Arial"/>
                <w:b/>
                <w:color w:val="171717" w:themeColor="background2" w:themeShade="1A"/>
                <w:lang w:val="es-ES_tradnl" w:eastAsia="es-ES_tradnl"/>
              </w:rPr>
              <w:t>Radicación:</w:t>
            </w:r>
            <w:r w:rsidRPr="00E00F9B">
              <w:rPr>
                <w:rFonts w:ascii="Verdana" w:eastAsia="Calibri" w:hAnsi="Verdana" w:cs="Arial"/>
                <w:color w:val="171717" w:themeColor="background2" w:themeShade="1A"/>
                <w:lang w:val="es-ES_tradnl" w:eastAsia="es-ES_tradnl"/>
              </w:rPr>
              <w:t xml:space="preserve">               </w:t>
            </w:r>
          </w:p>
        </w:tc>
        <w:tc>
          <w:tcPr>
            <w:tcW w:w="6100" w:type="dxa"/>
          </w:tcPr>
          <w:p w14:paraId="4B40F52A" w14:textId="77777777" w:rsidR="00E72F7D" w:rsidRPr="00E00F9B" w:rsidRDefault="00E72F7D" w:rsidP="00D52642">
            <w:pPr>
              <w:jc w:val="both"/>
              <w:rPr>
                <w:rFonts w:ascii="Verdana" w:eastAsia="Calibri" w:hAnsi="Verdana" w:cs="Arial"/>
                <w:color w:val="171717" w:themeColor="background2" w:themeShade="1A"/>
                <w:lang w:val="es-ES_tradnl" w:eastAsia="es-ES_tradnl"/>
              </w:rPr>
            </w:pPr>
            <w:r w:rsidRPr="00E00F9B">
              <w:rPr>
                <w:rFonts w:ascii="Verdana" w:eastAsia="Calibri" w:hAnsi="Verdana" w:cs="Arial"/>
                <w:color w:val="171717" w:themeColor="background2" w:themeShade="1A"/>
                <w:lang w:val="es-ES_tradnl" w:eastAsia="es-ES_tradnl"/>
              </w:rPr>
              <w:t xml:space="preserve">Respuesta a consulta con radicado No. </w:t>
            </w:r>
            <w:r w:rsidRPr="000522C3">
              <w:rPr>
                <w:rFonts w:ascii="Verdana" w:eastAsia="Calibri" w:hAnsi="Verdana" w:cs="Arial"/>
                <w:color w:val="171717" w:themeColor="background2" w:themeShade="1A"/>
                <w:lang w:val="es-ES_tradnl" w:eastAsia="es-ES_tradnl"/>
              </w:rPr>
              <w:t>1_2025_10_06_011100</w:t>
            </w:r>
          </w:p>
        </w:tc>
      </w:tr>
    </w:tbl>
    <w:p w14:paraId="20F0E166" w14:textId="77777777" w:rsidR="00E72F7D" w:rsidRPr="00E00F9B" w:rsidRDefault="00E72F7D" w:rsidP="00E72F7D">
      <w:pPr>
        <w:spacing w:after="0" w:line="240" w:lineRule="auto"/>
        <w:jc w:val="both"/>
        <w:rPr>
          <w:rFonts w:ascii="Verdana" w:eastAsia="Calibri" w:hAnsi="Verdana" w:cs="Arial"/>
          <w:color w:val="000000"/>
          <w:lang w:val="es-ES_tradnl" w:eastAsia="es-ES_tradnl"/>
        </w:rPr>
      </w:pPr>
    </w:p>
    <w:p w14:paraId="5403D0AF" w14:textId="77777777" w:rsidR="00E72F7D" w:rsidRPr="00E00F9B" w:rsidRDefault="00E72F7D" w:rsidP="00E72F7D">
      <w:pPr>
        <w:spacing w:after="0" w:line="240" w:lineRule="auto"/>
        <w:jc w:val="both"/>
        <w:rPr>
          <w:rFonts w:ascii="Verdana" w:eastAsia="Calibri" w:hAnsi="Verdana" w:cs="Arial"/>
          <w:color w:val="000000"/>
          <w:lang w:val="es-ES_tradnl" w:eastAsia="es-ES_tradnl"/>
        </w:rPr>
      </w:pPr>
    </w:p>
    <w:p w14:paraId="3169A01E" w14:textId="77777777" w:rsidR="00E72F7D" w:rsidRPr="00E00F9B" w:rsidRDefault="00E72F7D" w:rsidP="00E72F7D">
      <w:pPr>
        <w:spacing w:after="0" w:line="276" w:lineRule="auto"/>
        <w:jc w:val="both"/>
        <w:rPr>
          <w:rFonts w:ascii="Verdana" w:eastAsia="Calibri" w:hAnsi="Verdana" w:cs="Arial"/>
          <w:color w:val="000000" w:themeColor="text1"/>
          <w:lang w:val="es-ES" w:eastAsia="es-ES"/>
        </w:rPr>
      </w:pPr>
      <w:r w:rsidRPr="00E00F9B">
        <w:rPr>
          <w:rFonts w:ascii="Verdana" w:eastAsia="Calibri" w:hAnsi="Verdana" w:cs="Arial"/>
          <w:color w:val="000000" w:themeColor="text1"/>
          <w:lang w:val="es-ES" w:eastAsia="es-ES"/>
        </w:rPr>
        <w:t>Estimado señor</w:t>
      </w:r>
      <w:r w:rsidRPr="00E00F9B">
        <w:rPr>
          <w:rFonts w:ascii="Verdana" w:eastAsia="Calibri" w:hAnsi="Verdana" w:cs="Arial"/>
          <w:color w:val="7030A0"/>
          <w:lang w:val="es-ES" w:eastAsia="es-ES"/>
        </w:rPr>
        <w:t xml:space="preserve"> </w:t>
      </w:r>
      <w:r>
        <w:rPr>
          <w:rFonts w:ascii="Verdana" w:eastAsia="Calibri" w:hAnsi="Verdana" w:cs="Arial"/>
          <w:color w:val="171717" w:themeColor="background2" w:themeShade="1A"/>
          <w:lang w:val="es-ES" w:eastAsia="es-ES"/>
        </w:rPr>
        <w:t>Chavarro</w:t>
      </w:r>
      <w:r w:rsidRPr="00E00F9B">
        <w:rPr>
          <w:rFonts w:ascii="Verdana" w:eastAsia="Calibri" w:hAnsi="Verdana" w:cs="Arial"/>
          <w:color w:val="171717" w:themeColor="background2" w:themeShade="1A"/>
          <w:lang w:val="es-ES" w:eastAsia="es-ES"/>
        </w:rPr>
        <w:t xml:space="preserve">: </w:t>
      </w:r>
    </w:p>
    <w:p w14:paraId="3C3070DF" w14:textId="77777777" w:rsidR="00E72F7D" w:rsidRPr="00E00F9B" w:rsidRDefault="00E72F7D" w:rsidP="00E72F7D">
      <w:pPr>
        <w:tabs>
          <w:tab w:val="left" w:pos="3768"/>
        </w:tabs>
        <w:spacing w:after="0" w:line="276" w:lineRule="auto"/>
        <w:jc w:val="both"/>
        <w:rPr>
          <w:rFonts w:ascii="Verdana" w:eastAsia="Calibri" w:hAnsi="Verdana" w:cs="Arial"/>
          <w:color w:val="000000" w:themeColor="text1"/>
          <w:lang w:val="es-ES" w:eastAsia="es-ES"/>
        </w:rPr>
      </w:pPr>
      <w:r w:rsidRPr="00E00F9B">
        <w:rPr>
          <w:rFonts w:ascii="Verdana" w:eastAsia="Calibri" w:hAnsi="Verdana" w:cs="Arial"/>
          <w:color w:val="000000" w:themeColor="text1"/>
          <w:lang w:val="es-ES" w:eastAsia="es-ES"/>
        </w:rPr>
        <w:tab/>
      </w:r>
    </w:p>
    <w:p w14:paraId="2966E9EA" w14:textId="77777777" w:rsidR="00E72F7D" w:rsidRPr="00E00F9B" w:rsidRDefault="00E72F7D" w:rsidP="00E72F7D">
      <w:pPr>
        <w:spacing w:after="0" w:line="276" w:lineRule="auto"/>
        <w:jc w:val="both"/>
        <w:rPr>
          <w:rFonts w:ascii="Verdana" w:eastAsia="Calibri" w:hAnsi="Verdana" w:cs="Arial"/>
          <w:color w:val="7030A0"/>
          <w:lang w:val="es-ES" w:eastAsia="es-ES"/>
        </w:rPr>
      </w:pPr>
      <w:r w:rsidRPr="00E00F9B">
        <w:rPr>
          <w:rFonts w:ascii="Verdana" w:eastAsia="Calibri" w:hAnsi="Verdana" w:cs="Arial"/>
          <w:color w:val="000000" w:themeColor="text1"/>
          <w:lang w:val="es-ES" w:eastAsia="es-ES"/>
        </w:rPr>
        <w:t>En ejercicio de la competencia otorgada por los artículos 3, numeral 5º, y 11, numeral 8º, del Decreto Ley 4170 de 2011,</w:t>
      </w:r>
      <w:r w:rsidRPr="00E00F9B">
        <w:rPr>
          <w:rFonts w:ascii="Verdana" w:eastAsia="Arial MT" w:hAnsi="Verdana" w:cs="Arial MT"/>
          <w:lang w:val="es-ES" w:eastAsia="es-ES"/>
        </w:rPr>
        <w:t xml:space="preserve"> </w:t>
      </w:r>
      <w:r w:rsidRPr="00E00F9B">
        <w:rPr>
          <w:rFonts w:ascii="Verdana" w:hAnsi="Verdana" w:cs="Arial"/>
        </w:rPr>
        <w:t xml:space="preserve">así como lo establecido en el artículo 4 de la Resolución 1707 de 2018 expedida por esta Entidad, </w:t>
      </w:r>
      <w:r w:rsidRPr="00E00F9B">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6</w:t>
      </w:r>
      <w:r w:rsidRPr="00E00F9B">
        <w:rPr>
          <w:rFonts w:ascii="Verdana" w:eastAsia="Calibri" w:hAnsi="Verdana" w:cs="Arial"/>
          <w:lang w:val="es-ES" w:eastAsia="es-ES"/>
        </w:rPr>
        <w:t xml:space="preserve"> de </w:t>
      </w:r>
      <w:r>
        <w:rPr>
          <w:rFonts w:ascii="Verdana" w:eastAsia="Calibri" w:hAnsi="Verdana" w:cs="Arial"/>
          <w:lang w:val="es-ES" w:eastAsia="es-ES"/>
        </w:rPr>
        <w:t>octubre</w:t>
      </w:r>
      <w:r w:rsidRPr="00E00F9B">
        <w:rPr>
          <w:rFonts w:ascii="Verdana" w:eastAsia="Calibri" w:hAnsi="Verdana" w:cs="Arial"/>
          <w:lang w:val="es-ES" w:eastAsia="es-ES"/>
        </w:rPr>
        <w:t xml:space="preserve"> de 202</w:t>
      </w:r>
      <w:r>
        <w:rPr>
          <w:rFonts w:ascii="Verdana" w:eastAsia="Calibri" w:hAnsi="Verdana" w:cs="Arial"/>
          <w:lang w:val="es-ES" w:eastAsia="es-ES"/>
        </w:rPr>
        <w:t>5</w:t>
      </w:r>
      <w:r w:rsidRPr="00E00F9B">
        <w:rPr>
          <w:rFonts w:ascii="Verdana" w:eastAsia="Calibri" w:hAnsi="Verdana" w:cs="Arial"/>
          <w:lang w:val="es-ES" w:eastAsia="es-ES"/>
        </w:rPr>
        <w:t xml:space="preserve">, en la cual manifiesta lo siguiente: </w:t>
      </w:r>
    </w:p>
    <w:p w14:paraId="6C2873BF" w14:textId="77777777" w:rsidR="00E72F7D" w:rsidRPr="00E00F9B" w:rsidRDefault="00E72F7D" w:rsidP="00E72F7D">
      <w:pPr>
        <w:tabs>
          <w:tab w:val="left" w:pos="142"/>
          <w:tab w:val="left" w:pos="284"/>
        </w:tabs>
        <w:spacing w:line="276" w:lineRule="auto"/>
        <w:contextualSpacing/>
        <w:jc w:val="both"/>
        <w:rPr>
          <w:rFonts w:ascii="Verdana" w:eastAsia="Century Gothic" w:hAnsi="Verdana" w:cs="Century Gothic"/>
          <w:b/>
          <w:bCs/>
          <w:lang w:val="es-ES"/>
        </w:rPr>
      </w:pPr>
    </w:p>
    <w:p w14:paraId="66ED5A00" w14:textId="77777777" w:rsidR="00E72F7D" w:rsidRPr="00626F5E" w:rsidRDefault="00E72F7D" w:rsidP="00E72F7D">
      <w:pPr>
        <w:spacing w:after="0" w:line="276" w:lineRule="auto"/>
        <w:ind w:left="709" w:right="709"/>
        <w:jc w:val="both"/>
        <w:rPr>
          <w:rFonts w:ascii="Verdana" w:eastAsia="Century Gothic" w:hAnsi="Verdana" w:cs="Century Gothic"/>
          <w:sz w:val="20"/>
          <w:szCs w:val="20"/>
        </w:rPr>
      </w:pPr>
      <w:bookmarkStart w:id="1" w:name="_Hlk95313578"/>
      <w:r w:rsidRPr="00626F5E">
        <w:rPr>
          <w:rFonts w:ascii="Verdana" w:eastAsia="Century Gothic" w:hAnsi="Verdana" w:cs="Century Gothic"/>
          <w:sz w:val="20"/>
          <w:szCs w:val="20"/>
          <w:lang w:val="es-ES"/>
        </w:rPr>
        <w:t>“</w:t>
      </w:r>
      <w:r w:rsidRPr="00626F5E">
        <w:rPr>
          <w:rFonts w:ascii="Verdana" w:eastAsia="Century Gothic" w:hAnsi="Verdana" w:cs="Century Gothic"/>
          <w:sz w:val="20"/>
          <w:szCs w:val="20"/>
        </w:rPr>
        <w:t xml:space="preserve">1. ¿Es jurídicamente procedente que una entidad territorial elabore un solo estudio previo general para justificar la contratación directa de varios profesionales con una misma justificación institucional y objeto general? </w:t>
      </w:r>
    </w:p>
    <w:p w14:paraId="3AA29654" w14:textId="77777777" w:rsidR="00E72F7D" w:rsidRPr="00626F5E" w:rsidRDefault="00E72F7D" w:rsidP="00E72F7D">
      <w:pPr>
        <w:spacing w:after="0" w:line="276" w:lineRule="auto"/>
        <w:ind w:left="709" w:right="709"/>
        <w:jc w:val="both"/>
        <w:rPr>
          <w:rFonts w:ascii="Verdana" w:eastAsia="Century Gothic" w:hAnsi="Verdana" w:cs="Century Gothic"/>
          <w:sz w:val="20"/>
          <w:szCs w:val="20"/>
        </w:rPr>
      </w:pPr>
      <w:r w:rsidRPr="00626F5E">
        <w:rPr>
          <w:rFonts w:ascii="Verdana" w:eastAsia="Century Gothic" w:hAnsi="Verdana" w:cs="Century Gothic"/>
          <w:sz w:val="20"/>
          <w:szCs w:val="20"/>
        </w:rPr>
        <w:lastRenderedPageBreak/>
        <w:t xml:space="preserve">2. En caso afirmativo, ¿cuáles son los requisitos mínimos o condiciones que debe cumplir dicho estudio? </w:t>
      </w:r>
    </w:p>
    <w:p w14:paraId="0A6DF6AD" w14:textId="77777777" w:rsidR="00E72F7D" w:rsidRPr="00626F5E" w:rsidRDefault="00E72F7D" w:rsidP="00E72F7D">
      <w:pPr>
        <w:spacing w:after="0" w:line="276" w:lineRule="auto"/>
        <w:ind w:left="709" w:right="709"/>
        <w:jc w:val="both"/>
        <w:rPr>
          <w:rFonts w:ascii="Verdana" w:eastAsia="Century Gothic" w:hAnsi="Verdana" w:cs="Century Gothic"/>
          <w:sz w:val="20"/>
          <w:szCs w:val="20"/>
        </w:rPr>
      </w:pPr>
      <w:r w:rsidRPr="00626F5E">
        <w:rPr>
          <w:rFonts w:ascii="Verdana" w:eastAsia="Century Gothic" w:hAnsi="Verdana" w:cs="Century Gothic"/>
          <w:sz w:val="20"/>
          <w:szCs w:val="20"/>
        </w:rPr>
        <w:t xml:space="preserve">3. ¿Reconoce la Agencia esta práctica como una forma válida de planeación contractual unificada? </w:t>
      </w:r>
    </w:p>
    <w:p w14:paraId="379CFC60" w14:textId="77777777" w:rsidR="00E72F7D" w:rsidRPr="00626F5E" w:rsidRDefault="00E72F7D" w:rsidP="00E72F7D">
      <w:pPr>
        <w:spacing w:after="0" w:line="276" w:lineRule="auto"/>
        <w:ind w:left="709" w:right="709"/>
        <w:jc w:val="both"/>
        <w:rPr>
          <w:rFonts w:ascii="Verdana" w:eastAsia="Century Gothic" w:hAnsi="Verdana" w:cs="Century Gothic"/>
          <w:sz w:val="20"/>
          <w:szCs w:val="20"/>
        </w:rPr>
      </w:pPr>
      <w:r w:rsidRPr="00626F5E">
        <w:rPr>
          <w:rFonts w:ascii="Verdana" w:eastAsia="Century Gothic" w:hAnsi="Verdana" w:cs="Century Gothic"/>
          <w:sz w:val="20"/>
          <w:szCs w:val="20"/>
        </w:rPr>
        <w:t xml:space="preserve">4. ¿El hecho de elaborar un solo estudio previo y celebrar varios contratos individuales puede considerarse fraccionamiento del objeto contractual? </w:t>
      </w:r>
    </w:p>
    <w:p w14:paraId="1C8ACB30" w14:textId="77777777" w:rsidR="00E72F7D" w:rsidRPr="00626F5E" w:rsidRDefault="00E72F7D" w:rsidP="00E72F7D">
      <w:pPr>
        <w:spacing w:after="0" w:line="276" w:lineRule="auto"/>
        <w:ind w:left="709" w:right="709"/>
        <w:jc w:val="both"/>
        <w:rPr>
          <w:rFonts w:ascii="Verdana" w:eastAsia="Century Gothic" w:hAnsi="Verdana" w:cs="Century Gothic"/>
          <w:sz w:val="20"/>
          <w:szCs w:val="20"/>
        </w:rPr>
      </w:pPr>
      <w:r w:rsidRPr="00626F5E">
        <w:rPr>
          <w:rFonts w:ascii="Verdana" w:eastAsia="Century Gothic" w:hAnsi="Verdana" w:cs="Century Gothic"/>
          <w:sz w:val="20"/>
          <w:szCs w:val="20"/>
        </w:rPr>
        <w:t xml:space="preserve">5. ¿Qué criterios debe cumplir la entidad territorial para demostrar que la contratación múltiple derivada de un estudio general no configura fraccionamiento indebido? </w:t>
      </w:r>
    </w:p>
    <w:p w14:paraId="13A1C1E3" w14:textId="77777777" w:rsidR="00E72F7D" w:rsidRPr="00626F5E" w:rsidRDefault="00E72F7D" w:rsidP="00E72F7D">
      <w:pPr>
        <w:spacing w:after="0" w:line="276" w:lineRule="auto"/>
        <w:ind w:left="709" w:right="709"/>
        <w:jc w:val="both"/>
        <w:rPr>
          <w:rFonts w:ascii="Verdana" w:hAnsi="Verdana" w:cs="Arial"/>
          <w:sz w:val="20"/>
          <w:szCs w:val="20"/>
          <w:shd w:val="clear" w:color="auto" w:fill="FFFFFF"/>
          <w:lang w:val="es-ES"/>
        </w:rPr>
      </w:pPr>
      <w:r w:rsidRPr="00626F5E">
        <w:rPr>
          <w:rFonts w:ascii="Verdana" w:eastAsia="Century Gothic" w:hAnsi="Verdana" w:cs="Century Gothic"/>
          <w:sz w:val="20"/>
          <w:szCs w:val="20"/>
        </w:rPr>
        <w:t>6. ¿Cómo debe publicarse en el SECOP II un estudio previo general que respalde varios contratos?</w:t>
      </w:r>
      <w:r w:rsidRPr="00626F5E">
        <w:rPr>
          <w:rFonts w:ascii="Verdana" w:hAnsi="Verdana"/>
          <w:sz w:val="20"/>
          <w:szCs w:val="20"/>
        </w:rPr>
        <w:t>”.</w:t>
      </w:r>
      <w:bookmarkEnd w:id="1"/>
      <w:r w:rsidRPr="00626F5E">
        <w:rPr>
          <w:rFonts w:ascii="Verdana" w:hAnsi="Verdana" w:cs="Arial"/>
          <w:sz w:val="20"/>
          <w:szCs w:val="20"/>
          <w:shd w:val="clear" w:color="auto" w:fill="FFFFFF"/>
          <w:lang w:val="es-ES"/>
        </w:rPr>
        <w:t xml:space="preserve"> </w:t>
      </w:r>
    </w:p>
    <w:p w14:paraId="3F97E5F3" w14:textId="77777777" w:rsidR="00E72F7D" w:rsidRPr="00626F5E" w:rsidRDefault="00E72F7D" w:rsidP="00E72F7D">
      <w:pPr>
        <w:spacing w:after="0" w:line="276" w:lineRule="auto"/>
        <w:ind w:left="709" w:right="709"/>
        <w:jc w:val="both"/>
        <w:rPr>
          <w:rFonts w:ascii="Verdana" w:hAnsi="Verdana" w:cs="Arial"/>
          <w:sz w:val="20"/>
          <w:szCs w:val="20"/>
          <w:shd w:val="clear" w:color="auto" w:fill="FFFFFF"/>
        </w:rPr>
      </w:pPr>
      <w:r w:rsidRPr="00626F5E">
        <w:rPr>
          <w:rFonts w:ascii="Verdana" w:hAnsi="Verdana" w:cs="Arial"/>
          <w:sz w:val="20"/>
          <w:szCs w:val="20"/>
          <w:shd w:val="clear" w:color="auto" w:fill="FFFFFF"/>
        </w:rPr>
        <w:t xml:space="preserve"> 7. ¿Se recomienda incluir una matriz de perfiles y honorarios dentro del mismo estudio general? </w:t>
      </w:r>
    </w:p>
    <w:p w14:paraId="415D75DE" w14:textId="77777777" w:rsidR="00E72F7D" w:rsidRPr="00626F5E" w:rsidRDefault="00E72F7D" w:rsidP="00E72F7D">
      <w:pPr>
        <w:spacing w:after="0" w:line="276" w:lineRule="auto"/>
        <w:ind w:left="709" w:right="709"/>
        <w:jc w:val="both"/>
        <w:rPr>
          <w:rFonts w:ascii="Verdana" w:hAnsi="Verdana" w:cs="Arial"/>
          <w:sz w:val="20"/>
          <w:szCs w:val="20"/>
          <w:shd w:val="clear" w:color="auto" w:fill="FFFFFF"/>
        </w:rPr>
      </w:pPr>
      <w:r w:rsidRPr="00626F5E">
        <w:rPr>
          <w:rFonts w:ascii="Verdana" w:hAnsi="Verdana" w:cs="Arial"/>
          <w:sz w:val="20"/>
          <w:szCs w:val="20"/>
          <w:shd w:val="clear" w:color="auto" w:fill="FFFFFF"/>
        </w:rPr>
        <w:t xml:space="preserve">8. En la modalidad de contratación directa por servicios profesionales o de apoyo a la gestión, ¿es admisible amparar varias contrataciones en un solo estudio previo? </w:t>
      </w:r>
    </w:p>
    <w:p w14:paraId="397F9047" w14:textId="77777777" w:rsidR="00E72F7D" w:rsidRPr="00626F5E" w:rsidRDefault="00E72F7D" w:rsidP="00E72F7D">
      <w:pPr>
        <w:spacing w:after="0" w:line="276" w:lineRule="auto"/>
        <w:ind w:left="709" w:right="709"/>
        <w:jc w:val="both"/>
        <w:rPr>
          <w:rFonts w:ascii="Verdana" w:hAnsi="Verdana" w:cs="Arial"/>
          <w:sz w:val="20"/>
          <w:szCs w:val="20"/>
          <w:shd w:val="clear" w:color="auto" w:fill="FFFFFF"/>
        </w:rPr>
      </w:pPr>
      <w:r w:rsidRPr="00626F5E">
        <w:rPr>
          <w:rFonts w:ascii="Verdana" w:hAnsi="Verdana" w:cs="Arial"/>
          <w:sz w:val="20"/>
          <w:szCs w:val="20"/>
          <w:shd w:val="clear" w:color="auto" w:fill="FFFFFF"/>
        </w:rPr>
        <w:t xml:space="preserve">9. ¿Cómo se acredita la insuficiencia de personal de planta y la idoneidad individual de cada contratista dentro de ese documento? </w:t>
      </w:r>
    </w:p>
    <w:p w14:paraId="6DCECA55" w14:textId="77777777" w:rsidR="00E72F7D" w:rsidRPr="00626F5E" w:rsidRDefault="00E72F7D" w:rsidP="00E72F7D">
      <w:pPr>
        <w:spacing w:after="0" w:line="276" w:lineRule="auto"/>
        <w:ind w:left="709" w:right="709"/>
        <w:jc w:val="both"/>
        <w:rPr>
          <w:rFonts w:ascii="Verdana" w:hAnsi="Verdana" w:cs="Arial"/>
          <w:sz w:val="20"/>
          <w:szCs w:val="20"/>
          <w:shd w:val="clear" w:color="auto" w:fill="FFFFFF"/>
        </w:rPr>
      </w:pPr>
      <w:r w:rsidRPr="00626F5E">
        <w:rPr>
          <w:rFonts w:ascii="Verdana" w:hAnsi="Verdana" w:cs="Arial"/>
          <w:sz w:val="20"/>
          <w:szCs w:val="20"/>
          <w:shd w:val="clear" w:color="auto" w:fill="FFFFFF"/>
        </w:rPr>
        <w:t xml:space="preserve">10. ¿Qué buenas prácticas recomienda la Agencia para documentar este tipo de procesos? </w:t>
      </w:r>
    </w:p>
    <w:p w14:paraId="31351737" w14:textId="77777777" w:rsidR="00E72F7D" w:rsidRPr="00626F5E" w:rsidRDefault="00E72F7D" w:rsidP="00E72F7D">
      <w:pPr>
        <w:spacing w:after="0" w:line="276" w:lineRule="auto"/>
        <w:ind w:left="709" w:right="709"/>
        <w:jc w:val="both"/>
        <w:rPr>
          <w:rFonts w:ascii="Verdana" w:hAnsi="Verdana" w:cs="Arial"/>
          <w:sz w:val="20"/>
          <w:szCs w:val="20"/>
          <w:shd w:val="clear" w:color="auto" w:fill="FFFFFF"/>
          <w:lang w:val="es-ES"/>
        </w:rPr>
      </w:pPr>
      <w:r w:rsidRPr="00626F5E">
        <w:rPr>
          <w:rFonts w:ascii="Verdana" w:hAnsi="Verdana" w:cs="Arial"/>
          <w:sz w:val="20"/>
          <w:szCs w:val="20"/>
          <w:shd w:val="clear" w:color="auto" w:fill="FFFFFF"/>
        </w:rPr>
        <w:t>11. ¿Existen conceptos o guías oficiales que aborden específicamente la planeación o los estudios previos generales para contratación múltiple? […]”</w:t>
      </w:r>
    </w:p>
    <w:p w14:paraId="5CC86807" w14:textId="77777777" w:rsidR="00E72F7D" w:rsidRPr="00E00F9B" w:rsidRDefault="00E72F7D" w:rsidP="00E72F7D">
      <w:pPr>
        <w:tabs>
          <w:tab w:val="left" w:pos="142"/>
          <w:tab w:val="left" w:pos="284"/>
        </w:tabs>
        <w:spacing w:line="276" w:lineRule="auto"/>
        <w:contextualSpacing/>
        <w:jc w:val="both"/>
        <w:rPr>
          <w:rFonts w:ascii="Verdana" w:eastAsia="Century Gothic" w:hAnsi="Verdana" w:cs="Century Gothic"/>
          <w:b/>
          <w:bCs/>
          <w:lang w:val="es-ES"/>
        </w:rPr>
      </w:pPr>
    </w:p>
    <w:p w14:paraId="0F4BC696" w14:textId="77777777" w:rsidR="00E72F7D" w:rsidRPr="00E00F9B" w:rsidRDefault="00E72F7D" w:rsidP="00E72F7D">
      <w:pPr>
        <w:spacing w:after="120" w:line="276" w:lineRule="auto"/>
        <w:ind w:firstLine="708"/>
        <w:jc w:val="both"/>
        <w:rPr>
          <w:rFonts w:ascii="Verdana" w:eastAsia="Calibri" w:hAnsi="Verdana" w:cs="Arial"/>
          <w:color w:val="000000"/>
          <w:szCs w:val="24"/>
          <w:lang w:val="es-ES_tradnl" w:eastAsia="es-ES_tradnl"/>
        </w:rPr>
      </w:pPr>
      <w:r w:rsidRPr="00E00F9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00F9B">
        <w:rPr>
          <w:rFonts w:ascii="Verdana" w:eastAsia="Calibri" w:hAnsi="Verdana" w:cs="Arial"/>
          <w:color w:val="000000"/>
          <w:szCs w:val="24"/>
          <w:lang w:val="es-ES_tradnl" w:eastAsia="es-ES_tradnl"/>
        </w:rPr>
        <w:tab/>
      </w:r>
    </w:p>
    <w:p w14:paraId="690E2D80" w14:textId="77777777" w:rsidR="00E72F7D" w:rsidRPr="00E00F9B" w:rsidRDefault="00E72F7D" w:rsidP="00E72F7D">
      <w:pPr>
        <w:spacing w:after="0" w:line="276" w:lineRule="auto"/>
        <w:ind w:firstLine="708"/>
        <w:jc w:val="both"/>
        <w:rPr>
          <w:rFonts w:ascii="Verdana" w:eastAsia="Calibri" w:hAnsi="Verdana" w:cs="Arial"/>
          <w:color w:val="000000"/>
          <w:lang w:val="es-ES" w:eastAsia="es-ES"/>
        </w:rPr>
      </w:pPr>
      <w:r w:rsidRPr="00E00F9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E00F9B">
        <w:rPr>
          <w:rFonts w:ascii="Verdana" w:eastAsia="Calibri" w:hAnsi="Verdana" w:cs="Arial"/>
          <w:color w:val="000000"/>
          <w:lang w:val="es-ES" w:eastAsia="es-ES"/>
        </w:rPr>
        <w:lastRenderedPageBreak/>
        <w:t>concretas mencionadas en su petición, pero haciendo unas consideraciones sobre las normas generales relacionadas con el problema</w:t>
      </w:r>
      <w:r w:rsidRPr="00E00F9B">
        <w:rPr>
          <w:rFonts w:ascii="Verdana" w:eastAsia="Calibri" w:hAnsi="Verdana" w:cs="Arial"/>
          <w:color w:val="7030A0"/>
          <w:lang w:val="es-ES" w:eastAsia="es-ES"/>
        </w:rPr>
        <w:t xml:space="preserve"> </w:t>
      </w:r>
      <w:r w:rsidRPr="00E00F9B">
        <w:rPr>
          <w:rFonts w:ascii="Verdana" w:eastAsia="Calibri" w:hAnsi="Verdana" w:cs="Arial"/>
          <w:color w:val="000000"/>
          <w:lang w:val="es-ES" w:eastAsia="es-ES"/>
        </w:rPr>
        <w:t>jurídico</w:t>
      </w:r>
      <w:r w:rsidRPr="00E00F9B">
        <w:rPr>
          <w:rFonts w:ascii="Verdana" w:eastAsia="Calibri" w:hAnsi="Verdana" w:cs="Arial"/>
          <w:color w:val="7030A0"/>
          <w:lang w:val="es-ES" w:eastAsia="es-ES"/>
        </w:rPr>
        <w:t xml:space="preserve"> </w:t>
      </w:r>
      <w:r w:rsidRPr="00E00F9B">
        <w:rPr>
          <w:rFonts w:ascii="Verdana" w:eastAsia="Calibri" w:hAnsi="Verdana" w:cs="Arial"/>
          <w:color w:val="000000"/>
          <w:lang w:val="es-ES" w:eastAsia="es-ES"/>
        </w:rPr>
        <w:t xml:space="preserve">de su consulta. </w:t>
      </w:r>
    </w:p>
    <w:p w14:paraId="5FF46C80" w14:textId="77777777" w:rsidR="00E72F7D" w:rsidRPr="00E00F9B" w:rsidRDefault="00E72F7D" w:rsidP="00E72F7D">
      <w:pPr>
        <w:spacing w:after="0" w:line="276" w:lineRule="auto"/>
        <w:ind w:firstLine="709"/>
        <w:jc w:val="both"/>
        <w:rPr>
          <w:rFonts w:ascii="Verdana" w:eastAsia="Calibri" w:hAnsi="Verdana" w:cs="Arial"/>
          <w:color w:val="000000"/>
          <w:lang w:val="es-ES" w:eastAsia="es-ES"/>
        </w:rPr>
      </w:pPr>
    </w:p>
    <w:p w14:paraId="3EF36502" w14:textId="77777777" w:rsidR="00E72F7D" w:rsidRPr="00E00F9B" w:rsidRDefault="00E72F7D" w:rsidP="00E72F7D">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E00F9B">
        <w:rPr>
          <w:rFonts w:ascii="Verdana" w:eastAsia="Century Gothic" w:hAnsi="Verdana" w:cs="Century Gothic"/>
          <w:b/>
          <w:bCs/>
          <w:lang w:val="es-ES"/>
        </w:rPr>
        <w:t>Problema planteado:</w:t>
      </w:r>
    </w:p>
    <w:p w14:paraId="1A76D6E5" w14:textId="77777777" w:rsidR="00E72F7D" w:rsidRPr="00E00F9B" w:rsidRDefault="00E72F7D" w:rsidP="00E72F7D">
      <w:pPr>
        <w:tabs>
          <w:tab w:val="left" w:pos="426"/>
        </w:tabs>
        <w:spacing w:after="0" w:line="276" w:lineRule="auto"/>
        <w:jc w:val="both"/>
        <w:rPr>
          <w:rFonts w:ascii="Verdana" w:eastAsia="Century Gothic" w:hAnsi="Verdana" w:cs="Century Gothic"/>
          <w:color w:val="000000" w:themeColor="text1"/>
          <w:lang w:val="es-ES"/>
        </w:rPr>
      </w:pPr>
    </w:p>
    <w:p w14:paraId="5C1EC883" w14:textId="77777777" w:rsidR="00E72F7D" w:rsidRPr="00051142" w:rsidRDefault="00E72F7D" w:rsidP="00E72F7D">
      <w:pPr>
        <w:tabs>
          <w:tab w:val="left" w:pos="426"/>
        </w:tabs>
        <w:spacing w:line="276" w:lineRule="auto"/>
        <w:jc w:val="both"/>
        <w:rPr>
          <w:rFonts w:ascii="Verdana" w:eastAsia="Century Gothic" w:hAnsi="Verdana" w:cs="Century Gothic"/>
          <w:color w:val="000000" w:themeColor="text1"/>
        </w:rPr>
      </w:pPr>
      <w:r w:rsidRPr="00E00F9B">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E00F9B">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E00F9B">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E00F9B">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E00F9B">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i) </w:t>
      </w:r>
      <w:r w:rsidRPr="00C44265">
        <w:rPr>
          <w:rFonts w:ascii="Verdana" w:eastAsia="Century Gothic" w:hAnsi="Verdana" w:cs="Century Gothic"/>
          <w:color w:val="000000" w:themeColor="text1"/>
        </w:rPr>
        <w:t>¿Cuáles son los requisitos mínimos que deben contener los estudios previos en los contratos de prestación de servicios, y es jurídicamente viable utilizar un mismo estudio previo como soporte para la celebración de varios contratos individuales de esta naturaleza?</w:t>
      </w:r>
      <w:r>
        <w:rPr>
          <w:rFonts w:ascii="Verdana" w:eastAsia="Century Gothic" w:hAnsi="Verdana" w:cs="Century Gothic"/>
          <w:color w:val="000000" w:themeColor="text1"/>
        </w:rPr>
        <w:t xml:space="preserve"> </w:t>
      </w:r>
      <w:proofErr w:type="spellStart"/>
      <w:r>
        <w:rPr>
          <w:rFonts w:ascii="Verdana" w:eastAsia="Century Gothic" w:hAnsi="Verdana" w:cs="Century Gothic"/>
          <w:color w:val="000000" w:themeColor="text1"/>
        </w:rPr>
        <w:t>iii</w:t>
      </w:r>
      <w:proofErr w:type="spellEnd"/>
      <w:r>
        <w:rPr>
          <w:rFonts w:ascii="Verdana" w:eastAsia="Century Gothic" w:hAnsi="Verdana" w:cs="Century Gothic"/>
          <w:color w:val="000000" w:themeColor="text1"/>
        </w:rPr>
        <w:t xml:space="preserve">) </w:t>
      </w:r>
      <w:r w:rsidRPr="00E00F9B">
        <w:rPr>
          <w:rFonts w:ascii="Verdana" w:eastAsia="Century Gothic" w:hAnsi="Verdana" w:cs="Century Gothic"/>
          <w:color w:val="000000" w:themeColor="text1"/>
        </w:rPr>
        <w:t>¿Las Entidades Estatales pueden o no celebrar contratos de prestación de servicio con objeto</w:t>
      </w:r>
      <w:r>
        <w:rPr>
          <w:rFonts w:ascii="Verdana" w:eastAsia="Century Gothic" w:hAnsi="Verdana" w:cs="Century Gothic"/>
          <w:color w:val="000000" w:themeColor="text1"/>
        </w:rPr>
        <w:t>s</w:t>
      </w:r>
      <w:r w:rsidRPr="00E00F9B">
        <w:rPr>
          <w:rFonts w:ascii="Verdana" w:eastAsia="Century Gothic" w:hAnsi="Verdana" w:cs="Century Gothic"/>
          <w:color w:val="000000" w:themeColor="text1"/>
        </w:rPr>
        <w:t xml:space="preserve"> similar</w:t>
      </w:r>
      <w:r>
        <w:rPr>
          <w:rFonts w:ascii="Verdana" w:eastAsia="Century Gothic" w:hAnsi="Verdana" w:cs="Century Gothic"/>
          <w:color w:val="000000" w:themeColor="text1"/>
        </w:rPr>
        <w:t>es</w:t>
      </w:r>
      <w:r w:rsidRPr="00E00F9B">
        <w:rPr>
          <w:rFonts w:ascii="Verdana" w:eastAsia="Century Gothic" w:hAnsi="Verdana" w:cs="Century Gothic"/>
          <w:color w:val="000000" w:themeColor="text1"/>
        </w:rPr>
        <w:t>?</w:t>
      </w:r>
      <w:r w:rsidRPr="000E6144">
        <w:rPr>
          <w:rFonts w:ascii="Verdana" w:hAnsi="Verdana" w:cs="Arial"/>
          <w:color w:val="000000" w:themeColor="text1"/>
          <w:lang w:val="es-MX"/>
        </w:rPr>
        <w:t xml:space="preserve"> </w:t>
      </w:r>
      <w:proofErr w:type="spellStart"/>
      <w:r>
        <w:rPr>
          <w:rFonts w:ascii="Verdana" w:hAnsi="Verdana" w:cs="Arial"/>
          <w:color w:val="000000" w:themeColor="text1"/>
          <w:lang w:val="es-MX"/>
        </w:rPr>
        <w:t>iii</w:t>
      </w:r>
      <w:proofErr w:type="spellEnd"/>
      <w:r>
        <w:rPr>
          <w:rFonts w:ascii="Verdana" w:hAnsi="Verdana" w:cs="Arial"/>
          <w:color w:val="000000" w:themeColor="text1"/>
          <w:lang w:val="es-MX"/>
        </w:rPr>
        <w:t xml:space="preserve">) Como se </w:t>
      </w:r>
      <w:r w:rsidRPr="005D0607">
        <w:rPr>
          <w:rFonts w:ascii="Verdana" w:eastAsia="Century Gothic" w:hAnsi="Verdana" w:cs="Century Gothic"/>
        </w:rPr>
        <w:t>configur</w:t>
      </w:r>
      <w:r>
        <w:rPr>
          <w:rFonts w:ascii="Verdana" w:eastAsia="Century Gothic" w:hAnsi="Verdana" w:cs="Century Gothic"/>
        </w:rPr>
        <w:t xml:space="preserve">a el </w:t>
      </w:r>
      <w:r w:rsidRPr="005D0607">
        <w:rPr>
          <w:rFonts w:ascii="Verdana" w:eastAsia="Century Gothic" w:hAnsi="Verdana" w:cs="Century Gothic"/>
        </w:rPr>
        <w:t>fraccionamiento del objeto contractual prohibido por la normativa vigente?</w:t>
      </w:r>
    </w:p>
    <w:p w14:paraId="23FF21B5" w14:textId="77777777" w:rsidR="00E72F7D" w:rsidRPr="00E00F9B" w:rsidRDefault="00E72F7D" w:rsidP="00E72F7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00F9B">
        <w:rPr>
          <w:rFonts w:ascii="Verdana" w:eastAsia="Century Gothic" w:hAnsi="Verdana" w:cs="Century Gothic"/>
          <w:b/>
          <w:bCs/>
          <w:lang w:val="es-ES"/>
        </w:rPr>
        <w:t>Respuesta:</w:t>
      </w:r>
    </w:p>
    <w:p w14:paraId="0DBCE79C" w14:textId="77777777" w:rsidR="00E72F7D" w:rsidRPr="00E00F9B" w:rsidRDefault="00E72F7D" w:rsidP="00E72F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72F7D" w:rsidRPr="00E00F9B" w14:paraId="31E58F3C" w14:textId="77777777" w:rsidTr="00D52642">
        <w:tc>
          <w:tcPr>
            <w:tcW w:w="8828" w:type="dxa"/>
          </w:tcPr>
          <w:p w14:paraId="230E10C2" w14:textId="5C19E365" w:rsidR="00E72F7D" w:rsidRDefault="00E72F7D" w:rsidP="00D52642">
            <w:pPr>
              <w:spacing w:after="120" w:line="276" w:lineRule="auto"/>
              <w:jc w:val="both"/>
              <w:rPr>
                <w:rFonts w:ascii="Verdana" w:hAnsi="Verdana"/>
              </w:rPr>
            </w:pPr>
            <w:r>
              <w:rPr>
                <w:rFonts w:ascii="Verdana" w:hAnsi="Verdana"/>
              </w:rPr>
              <w:t>i)</w:t>
            </w:r>
            <w:r w:rsidR="008E13F1">
              <w:rPr>
                <w:rFonts w:ascii="Verdana" w:hAnsi="Verdana"/>
              </w:rPr>
              <w:t xml:space="preserve"> </w:t>
            </w:r>
            <w:r w:rsidRPr="0091224D">
              <w:rPr>
                <w:rFonts w:ascii="Verdana" w:hAnsi="Verdana"/>
              </w:rPr>
              <w:t>Resulta a bien resaltar la autonomía de las entidades públicas para estructurar los estudios previos, siempre y cuando observen los aspectos que estos deben contener. En todo caso, tratándose de contratos de prestación de servicios, los estudios previos entran a justificar las particularidades del objeto contractual de cara a la satisfacción de la necesidad de la Entidad Estatal en atención a la cual se requiere el respectivo contrato. Antes de iniciar un procedimiento de selección, la Entidad Estatal podrá determinar en los estudios previos los procedimientos, trámites y requisitos que deban satisfacerse, reunirse u obtenerse para llevar a cabo la selección del respectivo contratista y la celebración del contrato.</w:t>
            </w:r>
          </w:p>
          <w:p w14:paraId="6DA5A815" w14:textId="24C803E0" w:rsidR="00E72F7D" w:rsidRPr="00D21D7B" w:rsidRDefault="00E72F7D" w:rsidP="000C3D1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bien, </w:t>
            </w:r>
            <w:r w:rsidR="008E13F1">
              <w:rPr>
                <w:rFonts w:ascii="Verdana" w:eastAsia="Calibri" w:hAnsi="Verdana" w:cs="Arial"/>
                <w:color w:val="000000" w:themeColor="text1"/>
              </w:rPr>
              <w:t>l</w:t>
            </w:r>
            <w:r w:rsidRPr="00D21D7B">
              <w:rPr>
                <w:rFonts w:ascii="Verdana" w:eastAsia="Calibri" w:hAnsi="Verdana" w:cs="Arial"/>
                <w:color w:val="000000" w:themeColor="text1"/>
              </w:rPr>
              <w:t>as entidades públicas, con el objetivo de optimizar recursos y salvaguardar su autonomía administrativa, pueden optar por elaborar un único estudio previo que soporte la celebración de varios contratos de prestación de servicios con características similares y necesidades recurrentes. Esta práctica, si bien es viable,</w:t>
            </w:r>
            <w:r>
              <w:rPr>
                <w:rFonts w:ascii="Verdana" w:eastAsia="Calibri" w:hAnsi="Verdana" w:cs="Arial"/>
                <w:color w:val="000000" w:themeColor="text1"/>
              </w:rPr>
              <w:t xml:space="preserve"> y no existe prohibición legal que lo regule, </w:t>
            </w:r>
            <w:r w:rsidRPr="00D21D7B">
              <w:rPr>
                <w:rFonts w:ascii="Verdana" w:eastAsia="Calibri" w:hAnsi="Verdana" w:cs="Arial"/>
                <w:color w:val="000000" w:themeColor="text1"/>
              </w:rPr>
              <w:t>no implica que se trate de un solo proceso de contratación, sino que cada contrato debe tramitarse de manera independiente e individual en la plataforma SECOP II</w:t>
            </w:r>
            <w:r>
              <w:rPr>
                <w:rFonts w:ascii="Verdana" w:eastAsia="Calibri" w:hAnsi="Verdana" w:cs="Arial"/>
                <w:color w:val="000000" w:themeColor="text1"/>
              </w:rPr>
              <w:t xml:space="preserve"> y/o equivalente</w:t>
            </w:r>
            <w:r w:rsidRPr="00D21D7B">
              <w:rPr>
                <w:rFonts w:ascii="Verdana" w:eastAsia="Calibri" w:hAnsi="Verdana" w:cs="Arial"/>
                <w:color w:val="000000" w:themeColor="text1"/>
              </w:rPr>
              <w:t>, garantizando así la publicidad, transparencia y control de cada procedimiento contractual.</w:t>
            </w:r>
          </w:p>
          <w:p w14:paraId="072E2405" w14:textId="77777777" w:rsidR="00E72F7D" w:rsidRPr="00D21D7B" w:rsidRDefault="00E72F7D" w:rsidP="000C3D17">
            <w:pPr>
              <w:spacing w:after="120" w:line="276" w:lineRule="auto"/>
              <w:ind w:firstLine="709"/>
              <w:jc w:val="both"/>
              <w:rPr>
                <w:rFonts w:ascii="Verdana" w:eastAsia="Calibri" w:hAnsi="Verdana" w:cs="Arial"/>
                <w:color w:val="000000" w:themeColor="text1"/>
              </w:rPr>
            </w:pPr>
            <w:r w:rsidRPr="00D21D7B">
              <w:rPr>
                <w:rFonts w:ascii="Verdana" w:eastAsia="Calibri" w:hAnsi="Verdana" w:cs="Arial"/>
                <w:color w:val="000000" w:themeColor="text1"/>
              </w:rPr>
              <w:t xml:space="preserve">No obstante, la autonomía administrativa de la entidad para organizar sus procesos internos está condicionada al estricto respeto de los principios </w:t>
            </w:r>
            <w:r w:rsidRPr="00D21D7B">
              <w:rPr>
                <w:rFonts w:ascii="Verdana" w:eastAsia="Calibri" w:hAnsi="Verdana" w:cs="Arial"/>
                <w:color w:val="000000" w:themeColor="text1"/>
              </w:rPr>
              <w:lastRenderedPageBreak/>
              <w:t>constitucionales y legales que rigen la contratación pública, tales como la transparencia, la eficiencia, la planeación y la responsabilidad. Por ello, la decisión de utilizar un mismo estudio previo debe ir acompañada de una evaluación técnica que asegure la pertinencia, actualidad y adecuación del documento para cada contrato específico, evitando que se convierta en un instrumento para fragmentar procesos con el fin de evadir requisitos legales o principios de selección objetiva.</w:t>
            </w:r>
          </w:p>
          <w:p w14:paraId="102886FF" w14:textId="77777777" w:rsidR="00E72F7D" w:rsidRPr="00D21D7B" w:rsidRDefault="00E72F7D" w:rsidP="000C3D17">
            <w:pPr>
              <w:spacing w:after="120" w:line="276" w:lineRule="auto"/>
              <w:ind w:firstLine="709"/>
              <w:jc w:val="both"/>
              <w:rPr>
                <w:rFonts w:ascii="Verdana" w:eastAsia="Calibri" w:hAnsi="Verdana" w:cs="Arial"/>
                <w:color w:val="000000" w:themeColor="text1"/>
              </w:rPr>
            </w:pPr>
            <w:r w:rsidRPr="00D21D7B">
              <w:rPr>
                <w:rFonts w:ascii="Verdana" w:eastAsia="Calibri" w:hAnsi="Verdana" w:cs="Arial"/>
                <w:color w:val="000000" w:themeColor="text1"/>
              </w:rPr>
              <w:t xml:space="preserve">Además, la individualización de cada contrato implica que, aunque partan de un estudio común, las condiciones particulares, términos y obligaciones deben quedar claramente definidos para cada proceso, garantizando la adecuada ejecución y control. La falta de esta diferenciación o la omisión de trámites individuales podría acarrear cuestionamientos jurídicos, </w:t>
            </w:r>
            <w:r>
              <w:rPr>
                <w:rFonts w:ascii="Verdana" w:eastAsia="Calibri" w:hAnsi="Verdana" w:cs="Arial"/>
                <w:color w:val="000000" w:themeColor="text1"/>
              </w:rPr>
              <w:t>disciplinarios</w:t>
            </w:r>
            <w:r w:rsidRPr="00D21D7B">
              <w:rPr>
                <w:rFonts w:ascii="Verdana" w:eastAsia="Calibri" w:hAnsi="Verdana" w:cs="Arial"/>
                <w:color w:val="000000" w:themeColor="text1"/>
              </w:rPr>
              <w:t xml:space="preserve"> o fiscales, y eventualmente la nulidad de los contratos involucrados.</w:t>
            </w:r>
          </w:p>
          <w:p w14:paraId="7DCF9A6F" w14:textId="36C86F2C" w:rsidR="00E72F7D" w:rsidRDefault="00E72F7D" w:rsidP="008E13F1">
            <w:pPr>
              <w:spacing w:line="276" w:lineRule="auto"/>
              <w:ind w:firstLine="709"/>
              <w:jc w:val="both"/>
              <w:rPr>
                <w:rFonts w:ascii="Verdana" w:eastAsia="Calibri" w:hAnsi="Verdana" w:cs="Arial"/>
                <w:color w:val="000000" w:themeColor="text1"/>
              </w:rPr>
            </w:pPr>
            <w:r w:rsidRPr="00D21D7B">
              <w:rPr>
                <w:rFonts w:ascii="Verdana" w:eastAsia="Calibri" w:hAnsi="Verdana" w:cs="Arial"/>
                <w:color w:val="000000" w:themeColor="text1"/>
              </w:rPr>
              <w:t xml:space="preserve">Finalmente, aunque la entidad goce de autonomía, está sujeta al control externo por parte de órganos de vigilancia y </w:t>
            </w:r>
            <w:r>
              <w:rPr>
                <w:rFonts w:ascii="Verdana" w:eastAsia="Calibri" w:hAnsi="Verdana" w:cs="Arial"/>
                <w:color w:val="000000" w:themeColor="text1"/>
              </w:rPr>
              <w:t>control</w:t>
            </w:r>
            <w:r w:rsidRPr="00D21D7B">
              <w:rPr>
                <w:rFonts w:ascii="Verdana" w:eastAsia="Calibri" w:hAnsi="Verdana" w:cs="Arial"/>
                <w:color w:val="000000" w:themeColor="text1"/>
              </w:rPr>
              <w:t xml:space="preserve">, quienes pueden verificar que la práctica de usar un mismo estudio previo cumpla con las normativas aplicables y no afecte los principios de la contratación estatal. </w:t>
            </w:r>
          </w:p>
          <w:p w14:paraId="425DB397" w14:textId="77777777" w:rsidR="008E13F1" w:rsidRPr="00D21D7B" w:rsidRDefault="008E13F1" w:rsidP="000C3D17">
            <w:pPr>
              <w:spacing w:line="276" w:lineRule="auto"/>
              <w:ind w:firstLine="709"/>
              <w:jc w:val="both"/>
              <w:rPr>
                <w:rFonts w:ascii="Verdana" w:eastAsia="Calibri" w:hAnsi="Verdana" w:cs="Arial"/>
                <w:color w:val="000000" w:themeColor="text1"/>
              </w:rPr>
            </w:pPr>
          </w:p>
          <w:p w14:paraId="20647E33" w14:textId="77777777" w:rsidR="00E72F7D" w:rsidRPr="000E6144" w:rsidRDefault="00E72F7D" w:rsidP="00D52642">
            <w:pPr>
              <w:pStyle w:val="Prrafodelista"/>
              <w:spacing w:after="120" w:line="276" w:lineRule="auto"/>
              <w:ind w:left="0"/>
              <w:contextualSpacing w:val="0"/>
              <w:jc w:val="both"/>
              <w:rPr>
                <w:rFonts w:ascii="Verdana" w:eastAsia="Calibri" w:hAnsi="Verdana" w:cs="Arial"/>
                <w:color w:val="000000" w:themeColor="text1"/>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0E6144">
              <w:rPr>
                <w:rFonts w:ascii="Verdana" w:eastAsia="Calibri" w:hAnsi="Verdana" w:cs="Arial"/>
                <w:color w:val="000000" w:themeColor="text1"/>
              </w:rPr>
              <w:t>De acuerdo con el último inciso del artículo 2.8.4.4.5 del Decreto 1068 de 2015, es posible que se celebren contratos de prestación de servicios con objeto similar a otros que se encuentren vigentes. Sin embargo, la excepción a esta prohibición general está condicionada a la existencia de una autorización expresa por parte del “jefe del respectivo órgano, ente o entidad contratante”. Así las cosas, siempre que se cumpla la disposición normativa citada, nada impide que se celebren contratos de prestación de servicios con objeto, actividades y tiempos similares a otros que se encuentren vigentes si se expide la mencionada autorización.</w:t>
            </w:r>
          </w:p>
          <w:p w14:paraId="4A4A3754" w14:textId="77777777" w:rsidR="00E72F7D" w:rsidRDefault="00E72F7D" w:rsidP="000C3D17">
            <w:pPr>
              <w:pStyle w:val="paragraph"/>
              <w:spacing w:before="0" w:beforeAutospacing="0" w:after="0" w:afterAutospacing="0" w:line="276" w:lineRule="auto"/>
              <w:ind w:firstLine="709"/>
              <w:jc w:val="both"/>
              <w:textAlignment w:val="baseline"/>
              <w:rPr>
                <w:rStyle w:val="normaltextrun"/>
                <w:rFonts w:ascii="Verdana" w:eastAsiaTheme="minorHAnsi" w:hAnsi="Verdana" w:cs="Arial"/>
                <w:color w:val="000000"/>
                <w:sz w:val="22"/>
                <w:szCs w:val="22"/>
                <w:lang w:val="es-ES" w:eastAsia="en-US"/>
              </w:rPr>
            </w:pPr>
            <w:r w:rsidRPr="000E6144">
              <w:rPr>
                <w:rFonts w:ascii="Verdana" w:eastAsia="Calibri" w:hAnsi="Verdana" w:cs="Arial"/>
                <w:color w:val="000000" w:themeColor="text1"/>
                <w:sz w:val="22"/>
                <w:szCs w:val="22"/>
              </w:rPr>
              <w:t xml:space="preserve">En todo caso, </w:t>
            </w:r>
            <w:r w:rsidRPr="000E6144">
              <w:rPr>
                <w:rStyle w:val="normaltextrun"/>
                <w:rFonts w:ascii="Verdana" w:hAnsi="Verdana" w:cs="Arial"/>
                <w:color w:val="000000"/>
                <w:sz w:val="22"/>
                <w:szCs w:val="22"/>
              </w:rPr>
              <w:t>para justificar esto las Entidades Estatales deben estudiar las condiciones de ejecución del contrato de prestación de servicios profesionales, analizando la complejidad y al alcance de las labores encomendadas al contratista, pues solo de esta manera pueden determinar razonablemente si el mismo contratista tiene la capacidad, no solo jurídica sino también técnica y económica, para celebrar otro contrato de prestación de servicios con la misma entidad</w:t>
            </w:r>
            <w:r>
              <w:rPr>
                <w:rStyle w:val="normaltextrun"/>
                <w:rFonts w:ascii="Verdana" w:hAnsi="Verdana" w:cs="Arial"/>
                <w:color w:val="000000"/>
                <w:sz w:val="22"/>
                <w:szCs w:val="22"/>
              </w:rPr>
              <w:t>.</w:t>
            </w:r>
          </w:p>
          <w:p w14:paraId="1C397253" w14:textId="77777777" w:rsidR="00E72F7D" w:rsidRDefault="00E72F7D" w:rsidP="00D52642">
            <w:pPr>
              <w:pStyle w:val="paragraph"/>
              <w:spacing w:before="0" w:beforeAutospacing="0" w:after="0" w:afterAutospacing="0" w:line="276" w:lineRule="auto"/>
              <w:jc w:val="both"/>
              <w:textAlignment w:val="baseline"/>
              <w:rPr>
                <w:rFonts w:ascii="Verdana" w:hAnsi="Verdana" w:cs="Arial"/>
                <w:color w:val="000000" w:themeColor="text1"/>
                <w:sz w:val="22"/>
                <w:szCs w:val="22"/>
              </w:rPr>
            </w:pPr>
          </w:p>
          <w:p w14:paraId="62E3A7B4" w14:textId="4FA26B51" w:rsidR="00E72F7D" w:rsidRPr="00997C15" w:rsidRDefault="00E72F7D" w:rsidP="000C3D17">
            <w:pPr>
              <w:pStyle w:val="paragraph"/>
              <w:spacing w:before="0" w:beforeAutospacing="0" w:after="120" w:afterAutospacing="0" w:line="276" w:lineRule="auto"/>
              <w:jc w:val="both"/>
              <w:textAlignment w:val="baseline"/>
              <w:rPr>
                <w:rFonts w:ascii="Verdana" w:eastAsia="Calibri" w:hAnsi="Verdana" w:cs="Arial"/>
                <w:color w:val="000000" w:themeColor="text1"/>
                <w:sz w:val="22"/>
                <w:szCs w:val="22"/>
              </w:rPr>
            </w:pPr>
            <w:proofErr w:type="spellStart"/>
            <w:r w:rsidRPr="000608E5">
              <w:rPr>
                <w:rFonts w:ascii="Verdana" w:eastAsia="Calibri" w:hAnsi="Verdana" w:cs="Arial"/>
                <w:color w:val="000000" w:themeColor="text1"/>
                <w:sz w:val="22"/>
                <w:szCs w:val="22"/>
              </w:rPr>
              <w:lastRenderedPageBreak/>
              <w:t>iii</w:t>
            </w:r>
            <w:proofErr w:type="spellEnd"/>
            <w:r w:rsidRPr="000608E5">
              <w:rPr>
                <w:rFonts w:ascii="Verdana" w:eastAsia="Calibri" w:hAnsi="Verdana" w:cs="Arial"/>
                <w:color w:val="000000" w:themeColor="text1"/>
                <w:sz w:val="22"/>
                <w:szCs w:val="22"/>
              </w:rPr>
              <w:t xml:space="preserve">) </w:t>
            </w:r>
            <w:r w:rsidR="008E13F1">
              <w:rPr>
                <w:rFonts w:ascii="Verdana" w:eastAsia="Calibri" w:hAnsi="Verdana" w:cs="Arial"/>
                <w:color w:val="000000" w:themeColor="text1"/>
                <w:sz w:val="22"/>
                <w:szCs w:val="22"/>
              </w:rPr>
              <w:t xml:space="preserve">A </w:t>
            </w:r>
            <w:r w:rsidRPr="000608E5">
              <w:rPr>
                <w:rFonts w:ascii="Verdana" w:eastAsia="Calibri" w:hAnsi="Verdana" w:cs="Arial"/>
                <w:color w:val="000000" w:themeColor="text1"/>
                <w:sz w:val="22"/>
                <w:szCs w:val="22"/>
              </w:rPr>
              <w:t xml:space="preserve">la luz de la jurisprudencia solo habrá fraccionamiento del contrato cuando concurran los siguientes elementos: “i) que exista una separación artificial de un mismo objeto contractual y </w:t>
            </w:r>
            <w:proofErr w:type="spellStart"/>
            <w:r w:rsidRPr="000608E5">
              <w:rPr>
                <w:rFonts w:ascii="Verdana" w:eastAsia="Calibri" w:hAnsi="Verdana" w:cs="Arial"/>
                <w:color w:val="000000" w:themeColor="text1"/>
                <w:sz w:val="22"/>
                <w:szCs w:val="22"/>
              </w:rPr>
              <w:t>ii</w:t>
            </w:r>
            <w:proofErr w:type="spellEnd"/>
            <w:r w:rsidRPr="000608E5">
              <w:rPr>
                <w:rFonts w:ascii="Verdana" w:eastAsia="Calibri" w:hAnsi="Verdana" w:cs="Arial"/>
                <w:color w:val="000000" w:themeColor="text1"/>
                <w:sz w:val="22"/>
                <w:szCs w:val="22"/>
              </w:rPr>
              <w:t>) que dicha separación tenga como objetivo evitar procedimientos de convocatoria pública y de selección objetiva”. De manera que estos elementos deberán ser constatados por la autoridad judicial competente para declarar una eventual nulidad absoluta del contrato.</w:t>
            </w:r>
          </w:p>
          <w:p w14:paraId="52A57E27" w14:textId="77777777" w:rsidR="00E72F7D" w:rsidRPr="000608E5" w:rsidRDefault="00E72F7D" w:rsidP="000C3D17">
            <w:pPr>
              <w:pStyle w:val="paragraph"/>
              <w:spacing w:before="0" w:beforeAutospacing="0" w:after="0" w:afterAutospacing="0" w:line="276" w:lineRule="auto"/>
              <w:ind w:firstLine="709"/>
              <w:jc w:val="both"/>
              <w:textAlignment w:val="baseline"/>
              <w:rPr>
                <w:rFonts w:ascii="Verdana" w:hAnsi="Verdana" w:cs="Arial"/>
                <w:color w:val="000000"/>
                <w:sz w:val="22"/>
                <w:szCs w:val="22"/>
              </w:rPr>
            </w:pPr>
            <w:r w:rsidRPr="000608E5">
              <w:rPr>
                <w:rFonts w:ascii="Verdana" w:eastAsia="Calibri" w:hAnsi="Verdana" w:cs="Arial"/>
                <w:bCs/>
                <w:color w:val="000000" w:themeColor="text1"/>
                <w:sz w:val="22"/>
                <w:szCs w:val="22"/>
              </w:rPr>
              <w:t xml:space="preserve">En este contexto, el </w:t>
            </w:r>
            <w:r w:rsidRPr="000608E5">
              <w:rPr>
                <w:rFonts w:ascii="Verdana" w:eastAsia="Calibri" w:hAnsi="Verdana" w:cs="Arial"/>
                <w:bCs/>
                <w:i/>
                <w:iCs/>
                <w:color w:val="000000" w:themeColor="text1"/>
                <w:sz w:val="22"/>
                <w:szCs w:val="22"/>
              </w:rPr>
              <w:t>fraccionamiento</w:t>
            </w:r>
            <w:r w:rsidRPr="000608E5">
              <w:rPr>
                <w:rFonts w:ascii="Verdana" w:eastAsia="Calibri" w:hAnsi="Verdana" w:cs="Arial"/>
                <w:bCs/>
                <w:color w:val="000000" w:themeColor="text1"/>
                <w:sz w:val="22"/>
                <w:szCs w:val="22"/>
              </w:rPr>
              <w:t xml:space="preserve"> implica dividir las prestaciones en dos o más contratos que pueden constituir un único negocio jurídico</w:t>
            </w:r>
            <w:r w:rsidRPr="000608E5">
              <w:rPr>
                <w:rStyle w:val="Refdenotaalpie"/>
                <w:rFonts w:ascii="Verdana" w:eastAsia="Calibri" w:hAnsi="Verdana" w:cs="Arial"/>
                <w:bCs/>
                <w:color w:val="000000" w:themeColor="text1"/>
                <w:sz w:val="22"/>
                <w:szCs w:val="22"/>
              </w:rPr>
              <w:footnoteReference w:id="1"/>
            </w:r>
            <w:r w:rsidRPr="000608E5">
              <w:rPr>
                <w:rFonts w:ascii="Verdana" w:eastAsia="Calibri" w:hAnsi="Verdana" w:cs="Arial"/>
                <w:bCs/>
                <w:color w:val="000000" w:themeColor="text1"/>
                <w:sz w:val="22"/>
                <w:szCs w:val="22"/>
              </w:rPr>
              <w:t xml:space="preserve">. Para demostrarlo deben concurrir las siguientes circunstancias: i) que sea posible demostrar la unidad del objeto en relación con el contrato cuya legalidad se cuestiona y, de ser así, </w:t>
            </w:r>
            <w:proofErr w:type="spellStart"/>
            <w:r w:rsidRPr="000608E5">
              <w:rPr>
                <w:rFonts w:ascii="Verdana" w:eastAsia="Calibri" w:hAnsi="Verdana" w:cs="Arial"/>
                <w:bCs/>
                <w:color w:val="000000" w:themeColor="text1"/>
                <w:sz w:val="22"/>
                <w:szCs w:val="22"/>
              </w:rPr>
              <w:t>ii</w:t>
            </w:r>
            <w:proofErr w:type="spellEnd"/>
            <w:r w:rsidRPr="000608E5">
              <w:rPr>
                <w:rFonts w:ascii="Verdana" w:eastAsia="Calibri" w:hAnsi="Verdana" w:cs="Arial"/>
                <w:bCs/>
                <w:color w:val="000000" w:themeColor="text1"/>
                <w:sz w:val="22"/>
                <w:szCs w:val="22"/>
              </w:rPr>
              <w:t>) determinar cuáles fueron las circunstancias que condujeron a la Administración a celebrar varios contratos, pues sólo de esta manera puede inferirse si el actuar se basó en criterios razonables de interés público o, si por el contrario, los motivos fueron simulados y orientados a infringir las normas de la contratación pública</w:t>
            </w:r>
          </w:p>
        </w:tc>
      </w:tr>
    </w:tbl>
    <w:p w14:paraId="4EB4CE4F" w14:textId="77777777" w:rsidR="00E72F7D" w:rsidRPr="00E00F9B" w:rsidRDefault="00E72F7D" w:rsidP="008E13F1">
      <w:pPr>
        <w:tabs>
          <w:tab w:val="left" w:pos="142"/>
          <w:tab w:val="left" w:pos="284"/>
        </w:tabs>
        <w:spacing w:after="0" w:line="276" w:lineRule="auto"/>
        <w:jc w:val="both"/>
        <w:rPr>
          <w:rFonts w:ascii="Verdana" w:eastAsia="Century Gothic" w:hAnsi="Verdana" w:cs="Century Gothic"/>
          <w:b/>
          <w:bCs/>
          <w:lang w:val="es-ES"/>
        </w:rPr>
      </w:pPr>
    </w:p>
    <w:p w14:paraId="095B7A8E" w14:textId="77777777" w:rsidR="00E72F7D" w:rsidRPr="00E00F9B" w:rsidRDefault="00E72F7D" w:rsidP="000C3D17">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00F9B">
        <w:rPr>
          <w:rFonts w:ascii="Verdana" w:eastAsia="Century Gothic" w:hAnsi="Verdana" w:cs="Century Gothic"/>
          <w:b/>
          <w:bCs/>
          <w:lang w:val="es-ES"/>
        </w:rPr>
        <w:t>Razones de la respuesta:</w:t>
      </w:r>
    </w:p>
    <w:p w14:paraId="15794280" w14:textId="77777777" w:rsidR="00E72F7D" w:rsidRPr="00E00F9B" w:rsidRDefault="00E72F7D">
      <w:pPr>
        <w:spacing w:after="0" w:line="276" w:lineRule="auto"/>
        <w:jc w:val="both"/>
        <w:rPr>
          <w:rFonts w:ascii="Verdana" w:eastAsia="Calibri" w:hAnsi="Verdana" w:cs="Arial"/>
          <w:color w:val="7030A0"/>
          <w:lang w:val="es-ES"/>
        </w:rPr>
      </w:pPr>
    </w:p>
    <w:p w14:paraId="67F8E2B8" w14:textId="77777777" w:rsidR="00E72F7D" w:rsidRDefault="00E72F7D" w:rsidP="000C3D17">
      <w:pPr>
        <w:spacing w:after="0" w:line="276" w:lineRule="auto"/>
        <w:jc w:val="both"/>
        <w:rPr>
          <w:rFonts w:ascii="Verdana" w:eastAsia="Calibri" w:hAnsi="Verdana" w:cs="Arial"/>
          <w:lang w:val="es-ES"/>
        </w:rPr>
      </w:pPr>
      <w:r w:rsidRPr="00E00F9B">
        <w:rPr>
          <w:rFonts w:ascii="Verdana" w:eastAsia="Calibri" w:hAnsi="Verdana" w:cs="Arial"/>
          <w:lang w:val="es-ES"/>
        </w:rPr>
        <w:t xml:space="preserve">Lo anterior se sustenta en las siguientes consideraciones: </w:t>
      </w:r>
    </w:p>
    <w:p w14:paraId="521E8BDA" w14:textId="77777777" w:rsidR="00E72F7D" w:rsidRDefault="00E72F7D" w:rsidP="000C3D17">
      <w:pPr>
        <w:spacing w:after="0" w:line="276" w:lineRule="auto"/>
        <w:jc w:val="both"/>
        <w:rPr>
          <w:rFonts w:ascii="Verdana" w:eastAsia="Calibri" w:hAnsi="Verdana" w:cs="Arial"/>
          <w:lang w:val="es-ES"/>
        </w:rPr>
      </w:pPr>
    </w:p>
    <w:p w14:paraId="78E81052" w14:textId="77777777" w:rsidR="00E72F7D" w:rsidRPr="00E43F27" w:rsidRDefault="00E72F7D" w:rsidP="00E72F7D">
      <w:pPr>
        <w:widowControl w:val="0"/>
        <w:tabs>
          <w:tab w:val="left" w:pos="1088"/>
        </w:tabs>
        <w:autoSpaceDE w:val="0"/>
        <w:autoSpaceDN w:val="0"/>
        <w:spacing w:after="120" w:line="276" w:lineRule="auto"/>
        <w:jc w:val="both"/>
        <w:rPr>
          <w:rFonts w:ascii="Verdana" w:eastAsia="Calibri" w:hAnsi="Verdana" w:cs="Arial"/>
        </w:rPr>
      </w:pPr>
      <w:r>
        <w:rPr>
          <w:rFonts w:ascii="Verdana" w:eastAsia="Calibri" w:hAnsi="Verdana" w:cs="Arial"/>
          <w:lang w:val="es-ES"/>
        </w:rPr>
        <w:t>i)L</w:t>
      </w:r>
      <w:r w:rsidRPr="00E43F27">
        <w:rPr>
          <w:rFonts w:ascii="Verdana" w:eastAsia="Calibri" w:hAnsi="Verdana" w:cs="Arial"/>
        </w:rPr>
        <w:t xml:space="preserve">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 disponibilidad, oferentes, etc. Lo anterior con la finalidad de realizar la escogencia diligente de la mejor oferta, para beneficiar los intereses y fines públicos inmersos en la contratación de las entidades públicas. </w:t>
      </w:r>
    </w:p>
    <w:p w14:paraId="79C709BB" w14:textId="77777777" w:rsidR="00E72F7D" w:rsidRDefault="00E72F7D" w:rsidP="00E72F7D">
      <w:pPr>
        <w:spacing w:after="120" w:line="276" w:lineRule="auto"/>
        <w:ind w:firstLine="709"/>
        <w:jc w:val="both"/>
        <w:rPr>
          <w:rFonts w:ascii="Verdana" w:eastAsia="Calibri" w:hAnsi="Verdana" w:cs="Arial"/>
        </w:rPr>
      </w:pPr>
      <w:r>
        <w:rPr>
          <w:rFonts w:ascii="Verdana" w:eastAsia="Calibri" w:hAnsi="Verdana" w:cs="Arial"/>
        </w:rPr>
        <w:t xml:space="preserve">El Estatuto General de Contratación de la Administración Pública contiene disposiciones que exigen a las Entidades Estatales el deber de realizar </w:t>
      </w:r>
      <w:r>
        <w:rPr>
          <w:rFonts w:ascii="Verdana" w:eastAsia="Calibri" w:hAnsi="Verdana" w:cs="Arial"/>
        </w:rPr>
        <w:lastRenderedPageBreak/>
        <w:t>actividades de planeación en la etapa precontractual, para que los procesos de contratación satisfagan las necesidades de la Administración, cumplas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w:t>
      </w:r>
    </w:p>
    <w:p w14:paraId="63CD3328" w14:textId="77777777" w:rsidR="00E72F7D" w:rsidRDefault="00E72F7D" w:rsidP="00E72F7D">
      <w:pPr>
        <w:spacing w:after="120" w:line="276" w:lineRule="auto"/>
        <w:ind w:firstLine="709"/>
        <w:jc w:val="both"/>
        <w:rPr>
          <w:rFonts w:ascii="Verdana" w:eastAsia="Calibri" w:hAnsi="Verdana" w:cs="Arial"/>
        </w:rPr>
      </w:pPr>
    </w:p>
    <w:p w14:paraId="523078D8" w14:textId="77777777" w:rsidR="00E72F7D" w:rsidRPr="00A33A8A" w:rsidRDefault="00E72F7D" w:rsidP="00E72F7D">
      <w:pPr>
        <w:pStyle w:val="Prrafodelista"/>
        <w:spacing w:after="0" w:line="240" w:lineRule="auto"/>
        <w:ind w:left="709" w:right="709"/>
        <w:jc w:val="both"/>
        <w:rPr>
          <w:rFonts w:ascii="Verdana" w:eastAsia="Times New Roman" w:hAnsi="Verdana" w:cs="Arial"/>
          <w:color w:val="000000"/>
          <w:sz w:val="20"/>
          <w:szCs w:val="20"/>
          <w:lang w:val="es-ES_tradnl" w:eastAsia="es-ES_tradnl"/>
        </w:rPr>
      </w:pPr>
      <w:r w:rsidRPr="00F62967">
        <w:rPr>
          <w:rFonts w:ascii="Verdana" w:eastAsia="Times New Roman" w:hAnsi="Verdana" w:cs="Arial"/>
          <w:color w:val="000000"/>
          <w:sz w:val="21"/>
          <w:szCs w:val="21"/>
          <w:lang w:val="es-ES_tradnl" w:eastAsia="es-ES_tradnl"/>
        </w:rPr>
        <w:t>“</w:t>
      </w:r>
      <w:r w:rsidRPr="00A33A8A">
        <w:rPr>
          <w:rFonts w:ascii="Verdana" w:eastAsia="Times New Roman" w:hAnsi="Verdana" w:cs="Arial"/>
          <w:color w:val="000000"/>
          <w:sz w:val="20"/>
          <w:szCs w:val="20"/>
          <w:lang w:val="es-ES_tradnl" w:eastAsia="es-ES_tradnl"/>
        </w:rPr>
        <w:t>7. La conveniencia o inconveniencia del objeto a contratar y las autorizaciones y aprobaciones para ello, se analizarán o impartirán con antelación al inicio del proceso de selección del contratista o al de la firma del contrato, según el caso.</w:t>
      </w:r>
    </w:p>
    <w:p w14:paraId="2898E537" w14:textId="77777777" w:rsidR="00E72F7D" w:rsidRPr="00A33A8A" w:rsidRDefault="00E72F7D" w:rsidP="00E72F7D">
      <w:pPr>
        <w:pStyle w:val="Prrafodelista"/>
        <w:spacing w:before="120" w:after="0" w:line="240" w:lineRule="auto"/>
        <w:ind w:left="709" w:right="709"/>
        <w:jc w:val="both"/>
        <w:rPr>
          <w:rFonts w:ascii="Verdana" w:eastAsia="Times New Roman" w:hAnsi="Verdana" w:cs="Arial"/>
          <w:color w:val="000000"/>
          <w:sz w:val="20"/>
          <w:szCs w:val="20"/>
          <w:lang w:val="es-ES_tradnl" w:eastAsia="es-ES_tradnl"/>
        </w:rPr>
      </w:pPr>
      <w:r w:rsidRPr="00A33A8A">
        <w:rPr>
          <w:rFonts w:ascii="Verdana" w:eastAsia="Times New Roman" w:hAnsi="Verdana" w:cs="Arial"/>
          <w:color w:val="000000"/>
          <w:sz w:val="20"/>
          <w:szCs w:val="20"/>
          <w:lang w:val="es-ES_tradnl" w:eastAsia="es-ES_tradnl"/>
        </w:rPr>
        <w:t>[…]</w:t>
      </w:r>
    </w:p>
    <w:p w14:paraId="0C9E344B" w14:textId="77777777" w:rsidR="00E72F7D" w:rsidRPr="00A33A8A" w:rsidRDefault="00E72F7D" w:rsidP="165CC598">
      <w:pPr>
        <w:pStyle w:val="Prrafodelista"/>
        <w:spacing w:before="120" w:after="0" w:line="240" w:lineRule="auto"/>
        <w:ind w:left="709" w:right="709"/>
        <w:jc w:val="both"/>
        <w:rPr>
          <w:rFonts w:ascii="Verdana" w:eastAsia="Times New Roman" w:hAnsi="Verdana" w:cs="Arial"/>
          <w:color w:val="000000"/>
          <w:sz w:val="20"/>
          <w:szCs w:val="20"/>
          <w:lang w:eastAsia="es-ES"/>
        </w:rPr>
      </w:pPr>
      <w:r w:rsidRPr="165CC598">
        <w:rPr>
          <w:rFonts w:ascii="Verdana" w:eastAsia="Times New Roman" w:hAnsi="Verdana" w:cs="Arial"/>
          <w:color w:val="000000" w:themeColor="text1"/>
          <w:sz w:val="20"/>
          <w:szCs w:val="20"/>
          <w:lang w:eastAsia="es-ES"/>
        </w:rPr>
        <w:t xml:space="preserve">12. Previo a la apertura de un proceso de selección, </w:t>
      </w:r>
      <w:r w:rsidRPr="165CC598">
        <w:rPr>
          <w:rFonts w:ascii="Verdana" w:eastAsia="Times New Roman" w:hAnsi="Verdana" w:cs="Arial"/>
          <w:i/>
          <w:iCs/>
          <w:color w:val="000000" w:themeColor="text1"/>
          <w:sz w:val="20"/>
          <w:szCs w:val="20"/>
          <w:u w:val="single"/>
          <w:lang w:eastAsia="es-ES"/>
        </w:rPr>
        <w:t>o a la firma del contrato en el caso en que la modalidad de selección sea contratación directa,</w:t>
      </w:r>
      <w:r w:rsidRPr="165CC598">
        <w:rPr>
          <w:rFonts w:ascii="Verdana" w:eastAsia="Times New Roman" w:hAnsi="Verdana" w:cs="Arial"/>
          <w:color w:val="000000" w:themeColor="text1"/>
          <w:sz w:val="20"/>
          <w:szCs w:val="20"/>
          <w:lang w:eastAsia="es-ES"/>
        </w:rPr>
        <w:t xml:space="preserve"> deberán elaborarse los estudios, diseños y proyectos requeridos, y los pliegos de condiciones, según corresponda. […]” [Énfasis fuera de texto]</w:t>
      </w:r>
    </w:p>
    <w:p w14:paraId="2C48D566" w14:textId="77777777" w:rsidR="00E72F7D" w:rsidRPr="00F62967" w:rsidRDefault="00E72F7D" w:rsidP="00E72F7D">
      <w:pPr>
        <w:spacing w:after="0" w:line="276" w:lineRule="auto"/>
        <w:ind w:firstLine="709"/>
        <w:jc w:val="both"/>
        <w:rPr>
          <w:rFonts w:ascii="Verdana" w:eastAsia="Times New Roman" w:hAnsi="Verdana" w:cs="Arial"/>
          <w:color w:val="000000"/>
          <w:szCs w:val="24"/>
          <w:lang w:val="es-ES_tradnl" w:eastAsia="es-ES_tradnl"/>
        </w:rPr>
      </w:pPr>
    </w:p>
    <w:p w14:paraId="012F6DB8" w14:textId="77777777" w:rsidR="00E72F7D" w:rsidRPr="004237E4" w:rsidRDefault="00E72F7D" w:rsidP="00E72F7D">
      <w:pPr>
        <w:spacing w:after="120" w:line="276" w:lineRule="auto"/>
        <w:ind w:firstLine="709"/>
        <w:jc w:val="both"/>
        <w:rPr>
          <w:rFonts w:ascii="Verdana" w:eastAsia="Times New Roman" w:hAnsi="Verdana" w:cs="Arial"/>
          <w:color w:val="000000"/>
          <w:szCs w:val="24"/>
          <w:lang w:val="es-ES_tradnl" w:eastAsia="es-ES_tradnl"/>
        </w:rPr>
      </w:pPr>
      <w:r w:rsidRPr="004237E4">
        <w:rPr>
          <w:rFonts w:ascii="Verdana" w:eastAsia="Times New Roman" w:hAnsi="Verdana" w:cs="Arial"/>
          <w:color w:val="000000"/>
          <w:szCs w:val="24"/>
          <w:lang w:val="es-ES_tradnl" w:eastAsia="es-ES_tradnl"/>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62967">
        <w:rPr>
          <w:vertAlign w:val="superscript"/>
        </w:rPr>
        <w:footnoteReference w:id="2"/>
      </w:r>
      <w:r w:rsidRPr="004237E4">
        <w:rPr>
          <w:rFonts w:ascii="Verdana" w:eastAsia="Times New Roman" w:hAnsi="Verdana" w:cs="Arial"/>
          <w:color w:val="000000"/>
          <w:szCs w:val="24"/>
          <w:lang w:val="es-ES_tradnl" w:eastAsia="es-ES_tradnl"/>
        </w:rPr>
        <w:t>. En congruencia con el artículo 25 de la Ley 80 de 1993, el Decreto Único Reglamentario del Sector Administrativo de Planeación Nacional –Decreto 1082 de 2015–, dispone en el artículo 2.2.1.1.2.1.1 el contenido mínimo de los estudios y documentos previos:</w:t>
      </w:r>
    </w:p>
    <w:p w14:paraId="1390E026" w14:textId="77777777" w:rsidR="00E72F7D" w:rsidRPr="00F62967" w:rsidRDefault="00E72F7D" w:rsidP="00E72F7D">
      <w:pPr>
        <w:spacing w:after="0" w:line="276" w:lineRule="auto"/>
        <w:jc w:val="both"/>
        <w:rPr>
          <w:rFonts w:ascii="Verdana" w:eastAsia="Times New Roman" w:hAnsi="Verdana" w:cs="Arial"/>
          <w:color w:val="000000"/>
          <w:szCs w:val="24"/>
          <w:lang w:val="es-ES_tradnl" w:eastAsia="es-ES_tradnl"/>
        </w:rPr>
      </w:pPr>
    </w:p>
    <w:p w14:paraId="37F3BD0A" w14:textId="77777777" w:rsidR="00E72F7D" w:rsidRPr="00A33A8A" w:rsidRDefault="00E72F7D" w:rsidP="00E72F7D">
      <w:pPr>
        <w:pStyle w:val="Prrafodelista"/>
        <w:spacing w:after="0" w:line="240" w:lineRule="auto"/>
        <w:ind w:right="709"/>
        <w:jc w:val="both"/>
        <w:rPr>
          <w:rFonts w:ascii="Verdana" w:hAnsi="Verdana" w:cs="Arial"/>
          <w:sz w:val="20"/>
          <w:szCs w:val="20"/>
        </w:rPr>
      </w:pPr>
      <w:r w:rsidRPr="00A33A8A">
        <w:rPr>
          <w:rFonts w:ascii="Verdana" w:hAnsi="Verdana" w:cs="Arial"/>
          <w:sz w:val="20"/>
          <w:szCs w:val="20"/>
        </w:rPr>
        <w:t xml:space="preserve">“Artículo 2.2.1.1.2.1.1. Los estudios y documentos previos son el soporte para elaborar el proyecto de pliegos, los pliegos de condiciones y el </w:t>
      </w:r>
      <w:r w:rsidRPr="00A33A8A">
        <w:rPr>
          <w:rFonts w:ascii="Verdana" w:hAnsi="Verdana" w:cs="Arial"/>
          <w:sz w:val="20"/>
          <w:szCs w:val="20"/>
        </w:rPr>
        <w:lastRenderedPageBreak/>
        <w:t xml:space="preserve">contrato. Estos deben permanecer a disposición del público durante el desarrollo del Proceso de Contratación y contener los siguientes elementos, además de los indicados para cada modalidad de selección: </w:t>
      </w:r>
    </w:p>
    <w:p w14:paraId="1CA8068F" w14:textId="77777777" w:rsidR="00E72F7D" w:rsidRPr="00A33A8A" w:rsidRDefault="00E72F7D" w:rsidP="00E72F7D">
      <w:pPr>
        <w:pStyle w:val="Prrafodelista"/>
        <w:spacing w:after="0" w:line="240" w:lineRule="auto"/>
        <w:ind w:right="709"/>
        <w:jc w:val="both"/>
        <w:rPr>
          <w:rFonts w:ascii="Verdana" w:hAnsi="Verdana" w:cs="Arial"/>
          <w:sz w:val="20"/>
          <w:szCs w:val="20"/>
        </w:rPr>
      </w:pPr>
      <w:r w:rsidRPr="00A33A8A">
        <w:rPr>
          <w:rFonts w:ascii="Verdana" w:hAnsi="Verdana" w:cs="Arial"/>
          <w:sz w:val="20"/>
          <w:szCs w:val="20"/>
        </w:rPr>
        <w:t xml:space="preserve">La descripción de la necesidad que la Entidad Estatal pretende satisfacer con el Proceso de Contratación. </w:t>
      </w:r>
      <w:r w:rsidRPr="00A33A8A">
        <w:rPr>
          <w:rFonts w:ascii="Arial" w:hAnsi="Arial" w:cs="Arial"/>
          <w:sz w:val="20"/>
          <w:szCs w:val="20"/>
        </w:rPr>
        <w:t>​</w:t>
      </w:r>
    </w:p>
    <w:p w14:paraId="7510568A" w14:textId="77777777" w:rsidR="00E72F7D" w:rsidRPr="00A33A8A" w:rsidRDefault="00E72F7D" w:rsidP="00E72F7D">
      <w:pPr>
        <w:pStyle w:val="Prrafodelista"/>
        <w:spacing w:after="0" w:line="240" w:lineRule="auto"/>
        <w:ind w:right="709"/>
        <w:jc w:val="both"/>
        <w:rPr>
          <w:rFonts w:ascii="Verdana" w:hAnsi="Verdana" w:cs="Arial"/>
          <w:sz w:val="20"/>
          <w:szCs w:val="20"/>
        </w:rPr>
      </w:pPr>
      <w:r w:rsidRPr="00A33A8A">
        <w:rPr>
          <w:rFonts w:ascii="Verdana" w:hAnsi="Verdana" w:cs="Arial"/>
          <w:sz w:val="20"/>
          <w:szCs w:val="20"/>
        </w:rPr>
        <w:t xml:space="preserve">El objeto a contratar, con sus especificaciones, las autorizaciones, permisos y licencias requeridos para su ejecución, y cuando el contrato incluye diseño y construcción, los documentos técnicos para el desarrollo del proyecto. </w:t>
      </w:r>
    </w:p>
    <w:p w14:paraId="0ED4EDFD" w14:textId="77777777" w:rsidR="00E72F7D" w:rsidRPr="00A33A8A" w:rsidRDefault="00E72F7D" w:rsidP="00E72F7D">
      <w:pPr>
        <w:pStyle w:val="Prrafodelista"/>
        <w:spacing w:after="0" w:line="240" w:lineRule="auto"/>
        <w:ind w:right="709"/>
        <w:jc w:val="both"/>
        <w:rPr>
          <w:rFonts w:ascii="Verdana" w:hAnsi="Verdana" w:cs="Arial"/>
          <w:sz w:val="20"/>
          <w:szCs w:val="20"/>
        </w:rPr>
      </w:pPr>
      <w:r w:rsidRPr="00A33A8A">
        <w:rPr>
          <w:rFonts w:ascii="Verdana" w:hAnsi="Verdana" w:cs="Arial"/>
          <w:sz w:val="20"/>
          <w:szCs w:val="20"/>
        </w:rPr>
        <w:t xml:space="preserve">La modalidad de selección del contratista y su justificación, incluyendo los fundamentos jurídicos. </w:t>
      </w:r>
    </w:p>
    <w:p w14:paraId="19BAAE25" w14:textId="77777777" w:rsidR="00E72F7D" w:rsidRPr="00A33A8A" w:rsidRDefault="00E72F7D" w:rsidP="00E72F7D">
      <w:pPr>
        <w:pStyle w:val="Prrafodelista"/>
        <w:spacing w:after="0" w:line="240" w:lineRule="auto"/>
        <w:ind w:right="709"/>
        <w:jc w:val="both"/>
        <w:rPr>
          <w:rFonts w:ascii="Verdana" w:hAnsi="Verdana" w:cs="Arial"/>
          <w:sz w:val="20"/>
          <w:szCs w:val="20"/>
        </w:rPr>
      </w:pPr>
      <w:r w:rsidRPr="00A33A8A">
        <w:rPr>
          <w:rFonts w:ascii="Verdana" w:hAnsi="Verdana" w:cs="Arial"/>
          <w:sz w:val="20"/>
          <w:szCs w:val="20"/>
        </w:rPr>
        <w:t xml:space="preserve">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Los criterios para seleccionar la oferta más favorable. El análisis de Riesgo y la forma de mitigarlo. </w:t>
      </w:r>
    </w:p>
    <w:p w14:paraId="29B793DD" w14:textId="77777777" w:rsidR="00E72F7D" w:rsidRPr="00A33A8A" w:rsidRDefault="00E72F7D" w:rsidP="00E72F7D">
      <w:pPr>
        <w:pStyle w:val="Prrafodelista"/>
        <w:spacing w:after="0" w:line="240" w:lineRule="auto"/>
        <w:ind w:right="709"/>
        <w:jc w:val="both"/>
        <w:rPr>
          <w:rFonts w:ascii="Verdana" w:hAnsi="Verdana" w:cs="Arial"/>
          <w:sz w:val="20"/>
          <w:szCs w:val="20"/>
        </w:rPr>
      </w:pPr>
      <w:r w:rsidRPr="00A33A8A">
        <w:rPr>
          <w:rFonts w:ascii="Verdana" w:hAnsi="Verdana" w:cs="Arial"/>
          <w:sz w:val="20"/>
          <w:szCs w:val="20"/>
        </w:rPr>
        <w:t>Las garantías que la Entidad Estatal contempla exigir en el proceso de contratación. La indicación de si el proceso de contratación está cobijado por un acuerdo comercial. El presente artículo no es aplicable a la contratación por mínima cuantía”.</w:t>
      </w:r>
    </w:p>
    <w:p w14:paraId="02B057A3" w14:textId="77777777" w:rsidR="00E72F7D" w:rsidRPr="00F62967" w:rsidRDefault="00E72F7D" w:rsidP="00E72F7D">
      <w:pPr>
        <w:pStyle w:val="Prrafodelista"/>
        <w:spacing w:after="0" w:line="276" w:lineRule="auto"/>
        <w:jc w:val="both"/>
        <w:rPr>
          <w:rFonts w:ascii="Verdana" w:eastAsia="Times New Roman" w:hAnsi="Verdana" w:cs="Arial"/>
          <w:color w:val="000000"/>
          <w:szCs w:val="24"/>
          <w:lang w:val="es-ES_tradnl" w:eastAsia="es-ES_tradnl"/>
        </w:rPr>
      </w:pPr>
    </w:p>
    <w:p w14:paraId="421EAD3B" w14:textId="77777777" w:rsidR="00E72F7D" w:rsidRPr="00A33A8A" w:rsidRDefault="00E72F7D" w:rsidP="00E72F7D">
      <w:pPr>
        <w:spacing w:after="0" w:line="276" w:lineRule="auto"/>
        <w:ind w:firstLine="709"/>
        <w:jc w:val="both"/>
        <w:rPr>
          <w:rFonts w:ascii="Verdana" w:eastAsia="Times New Roman" w:hAnsi="Verdana" w:cs="Arial"/>
          <w:color w:val="000000"/>
          <w:szCs w:val="24"/>
          <w:lang w:val="es-ES_tradnl" w:eastAsia="es-ES_tradnl"/>
        </w:rPr>
      </w:pPr>
      <w:r w:rsidRPr="00A33A8A">
        <w:rPr>
          <w:rFonts w:ascii="Verdana" w:eastAsia="Times New Roman" w:hAnsi="Verdana" w:cs="Arial"/>
          <w:color w:val="000000"/>
          <w:szCs w:val="24"/>
          <w:lang w:val="es-ES_tradnl" w:eastAsia="es-ES_tradnl"/>
        </w:rPr>
        <w:t xml:space="preserve">De esta manera, antes de iniciar un procedimiento de selección, la Entidad Estatal podrá determinar con los estudios previos: i) la verdadera necesidad de la celebración del contrato; </w:t>
      </w:r>
      <w:proofErr w:type="spellStart"/>
      <w:r w:rsidRPr="00A33A8A">
        <w:rPr>
          <w:rFonts w:ascii="Verdana" w:eastAsia="Times New Roman" w:hAnsi="Verdana" w:cs="Arial"/>
          <w:color w:val="000000"/>
          <w:szCs w:val="24"/>
          <w:lang w:val="es-ES_tradnl" w:eastAsia="es-ES_tradnl"/>
        </w:rPr>
        <w:t>ii</w:t>
      </w:r>
      <w:proofErr w:type="spellEnd"/>
      <w:r w:rsidRPr="00A33A8A">
        <w:rPr>
          <w:rFonts w:ascii="Verdana" w:eastAsia="Times New Roman" w:hAnsi="Verdana" w:cs="Arial"/>
          <w:color w:val="000000"/>
          <w:szCs w:val="24"/>
          <w:lang w:val="es-ES_tradnl" w:eastAsia="es-ES_tradnl"/>
        </w:rPr>
        <w:t xml:space="preserve">) las modalidades existentes para satisfacer esa necesidad y las razones que justifiquen la modalidad o tipo contractual que se escoja; </w:t>
      </w:r>
      <w:proofErr w:type="spellStart"/>
      <w:r w:rsidRPr="00A33A8A">
        <w:rPr>
          <w:rFonts w:ascii="Verdana" w:eastAsia="Times New Roman" w:hAnsi="Verdana" w:cs="Arial"/>
          <w:color w:val="000000"/>
          <w:szCs w:val="24"/>
          <w:lang w:val="es-ES_tradnl" w:eastAsia="es-ES_tradnl"/>
        </w:rPr>
        <w:t>iii</w:t>
      </w:r>
      <w:proofErr w:type="spellEnd"/>
      <w:r w:rsidRPr="00A33A8A">
        <w:rPr>
          <w:rFonts w:ascii="Verdana" w:eastAsia="Times New Roman" w:hAnsi="Verdana" w:cs="Arial"/>
          <w:color w:val="000000"/>
          <w:szCs w:val="24"/>
          <w:lang w:val="es-ES_tradnl" w:eastAsia="es-ES_tradnl"/>
        </w:rPr>
        <w:t xml:space="preserve">) las calidades, especificaciones, cantidades y demás características que puedan o deban reunir los bienes, las obras, los servicios, etcétera, cuya contratación, se haya determinado necesaria, </w:t>
      </w:r>
      <w:proofErr w:type="spellStart"/>
      <w:r w:rsidRPr="00A33A8A">
        <w:rPr>
          <w:rFonts w:ascii="Verdana" w:eastAsia="Times New Roman" w:hAnsi="Verdana" w:cs="Arial"/>
          <w:color w:val="000000"/>
          <w:szCs w:val="24"/>
          <w:lang w:val="es-ES_tradnl" w:eastAsia="es-ES_tradnl"/>
        </w:rPr>
        <w:t>iv</w:t>
      </w:r>
      <w:proofErr w:type="spellEnd"/>
      <w:r w:rsidRPr="00A33A8A">
        <w:rPr>
          <w:rFonts w:ascii="Verdana" w:eastAsia="Times New Roman" w:hAnsi="Verdana" w:cs="Arial"/>
          <w:color w:val="000000"/>
          <w:szCs w:val="24"/>
          <w:lang w:val="es-ES_tradnl" w:eastAsia="es-ES_tradn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A33A8A">
        <w:rPr>
          <w:rFonts w:ascii="Verdana" w:eastAsia="Times New Roman" w:hAnsi="Verdana" w:cs="Arial"/>
          <w:color w:val="000000"/>
          <w:szCs w:val="24"/>
          <w:lang w:val="es-ES_tradnl" w:eastAsia="es-ES_tradnl"/>
        </w:rPr>
        <w:t>vii</w:t>
      </w:r>
      <w:proofErr w:type="spellEnd"/>
      <w:r w:rsidRPr="00A33A8A">
        <w:rPr>
          <w:rFonts w:ascii="Verdana" w:eastAsia="Times New Roman" w:hAnsi="Verdana" w:cs="Arial"/>
          <w:color w:val="000000"/>
          <w:szCs w:val="24"/>
          <w:lang w:val="es-ES_tradnl" w:eastAsia="es-ES_tradnl"/>
        </w:rPr>
        <w:t>) los procedimientos, trámites y requisitos que deban satisfacerse, reunirse u obtenerse para llevar a cabo la selección del respectivo contratista y la celebración del contrato</w:t>
      </w:r>
      <w:r w:rsidRPr="00A33A8A">
        <w:rPr>
          <w:rFonts w:ascii="Verdana" w:hAnsi="Verdana"/>
          <w:vertAlign w:val="superscript"/>
        </w:rPr>
        <w:footnoteReference w:id="3"/>
      </w:r>
      <w:r w:rsidRPr="00A33A8A">
        <w:rPr>
          <w:rFonts w:ascii="Verdana" w:hAnsi="Verdana" w:cs="Arial"/>
        </w:rPr>
        <w:t>.</w:t>
      </w:r>
    </w:p>
    <w:p w14:paraId="2DE87FF0" w14:textId="77777777" w:rsidR="00E72F7D" w:rsidRPr="00A33A8A" w:rsidRDefault="00E72F7D" w:rsidP="00E72F7D">
      <w:pPr>
        <w:spacing w:before="120" w:after="120" w:line="276" w:lineRule="auto"/>
        <w:ind w:firstLine="709"/>
        <w:jc w:val="both"/>
        <w:rPr>
          <w:rFonts w:ascii="Verdana" w:eastAsia="Times New Roman" w:hAnsi="Verdana" w:cs="Arial"/>
          <w:color w:val="000000"/>
          <w:szCs w:val="24"/>
          <w:lang w:val="es-ES_tradnl" w:eastAsia="es-ES_tradnl"/>
        </w:rPr>
      </w:pPr>
      <w:r w:rsidRPr="00A33A8A">
        <w:rPr>
          <w:rFonts w:ascii="Verdana" w:eastAsia="Times New Roman" w:hAnsi="Verdana" w:cs="Arial"/>
          <w:color w:val="000000"/>
          <w:szCs w:val="24"/>
          <w:lang w:val="es-ES_tradnl" w:eastAsia="es-ES_tradnl"/>
        </w:rPr>
        <w:lastRenderedPageBreak/>
        <w:t xml:space="preserve">Cuando las entidades públicas cumplen con los elementos mínimos establecidos en la norma y aquellos adicionales que identifiquen en la etapa de planeación de los procedimientos de contratación, permiten que los contratos resultantes cuenten con el sustento técnico, económico y jurídico que incidirá en una adecuada ejecución. Así pues, más allá </w:t>
      </w:r>
      <w:r w:rsidRPr="00A33A8A">
        <w:rPr>
          <w:rFonts w:ascii="Verdana" w:eastAsia="Times New Roman" w:hAnsi="Verdana" w:cs="Arial"/>
          <w:szCs w:val="24"/>
          <w:lang w:eastAsia="es-ES_tradnl"/>
        </w:rPr>
        <w:t>del cumplimiento de la normativa, “los estudios y documentos previos son el soporte para elaborar el proyecto de pliegos, los pliegos de condiciones, y el contrato”</w:t>
      </w:r>
      <w:r w:rsidRPr="00A33A8A">
        <w:rPr>
          <w:rFonts w:ascii="Verdana" w:hAnsi="Verdana"/>
          <w:vertAlign w:val="superscript"/>
          <w:lang w:eastAsia="es-ES_tradnl"/>
        </w:rPr>
        <w:footnoteReference w:id="4"/>
      </w:r>
      <w:r w:rsidRPr="00A33A8A">
        <w:rPr>
          <w:rFonts w:ascii="Verdana" w:eastAsia="Times New Roman" w:hAnsi="Verdana" w:cs="Arial"/>
          <w:szCs w:val="24"/>
          <w:lang w:eastAsia="es-ES_tradnl"/>
        </w:rPr>
        <w:t>,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4B80D9F3" w14:textId="77777777" w:rsidR="00E72F7D" w:rsidRPr="00A33A8A" w:rsidRDefault="00E72F7D" w:rsidP="00E72F7D">
      <w:pPr>
        <w:spacing w:after="120" w:line="276" w:lineRule="auto"/>
        <w:ind w:firstLine="709"/>
        <w:jc w:val="both"/>
        <w:rPr>
          <w:rFonts w:ascii="Verdana" w:hAnsi="Verdana" w:cs="Arial"/>
        </w:rPr>
      </w:pPr>
      <w:r w:rsidRPr="00A33A8A">
        <w:rPr>
          <w:rFonts w:ascii="Verdana" w:eastAsia="Times New Roman" w:hAnsi="Verdana" w:cs="Arial"/>
          <w:color w:val="000000"/>
          <w:szCs w:val="24"/>
          <w:lang w:val="es-ES_tradnl" w:eastAsia="es-ES_tradnl"/>
        </w:rPr>
        <w:t>De lo explicado se desprende que los estudios y documentos previos son necesarios antes de la celebración del contrato, pues fundamentan las condiciones que la Entidad Estatal exige en un proceso de contratación. Sin embargo, luego de la suscripción del contrato la entidad no debe actuar unilateralmente, sino que debe respetar la buena fe contractual y proceder de acuerdo con lo pactado</w:t>
      </w:r>
      <w:r w:rsidRPr="00A33A8A">
        <w:rPr>
          <w:rFonts w:ascii="Verdana" w:hAnsi="Verdana"/>
          <w:vertAlign w:val="superscript"/>
        </w:rPr>
        <w:footnoteReference w:id="5"/>
      </w:r>
      <w:r w:rsidRPr="00A33A8A">
        <w:rPr>
          <w:rFonts w:ascii="Verdana" w:hAnsi="Verdana" w:cs="Arial"/>
        </w:rPr>
        <w:t>.</w:t>
      </w:r>
    </w:p>
    <w:p w14:paraId="29362F39" w14:textId="77777777" w:rsidR="00E72F7D" w:rsidRPr="00A33A8A" w:rsidRDefault="00E72F7D" w:rsidP="00E72F7D">
      <w:pPr>
        <w:spacing w:after="120" w:line="276" w:lineRule="auto"/>
        <w:ind w:firstLine="709"/>
        <w:jc w:val="both"/>
        <w:rPr>
          <w:rFonts w:ascii="Verdana" w:eastAsia="Times New Roman" w:hAnsi="Verdana" w:cs="Arial"/>
          <w:szCs w:val="24"/>
          <w:lang w:eastAsia="es-ES_tradnl"/>
        </w:rPr>
      </w:pPr>
      <w:r w:rsidRPr="00A33A8A">
        <w:rPr>
          <w:rFonts w:ascii="Verdana" w:eastAsia="Times New Roman" w:hAnsi="Verdana" w:cs="Arial"/>
          <w:szCs w:val="24"/>
          <w:lang w:eastAsia="es-ES_tradnl"/>
        </w:rPr>
        <w:t xml:space="preserve">El numeral 12 del artículo 25 antes citado, establece el deber de las entidades de realizar estudios previos en dos momentos específicos: i) previo a la apertura de un proceso de selección y </w:t>
      </w:r>
      <w:proofErr w:type="spellStart"/>
      <w:r w:rsidRPr="00A33A8A">
        <w:rPr>
          <w:rFonts w:ascii="Verdana" w:eastAsia="Times New Roman" w:hAnsi="Verdana" w:cs="Arial"/>
          <w:szCs w:val="24"/>
          <w:lang w:eastAsia="es-ES_tradnl"/>
        </w:rPr>
        <w:t>ii</w:t>
      </w:r>
      <w:proofErr w:type="spellEnd"/>
      <w:r w:rsidRPr="00A33A8A">
        <w:rPr>
          <w:rFonts w:ascii="Verdana" w:eastAsia="Times New Roman" w:hAnsi="Verdana" w:cs="Arial"/>
          <w:szCs w:val="24"/>
          <w:lang w:eastAsia="es-ES_tradnl"/>
        </w:rPr>
        <w:t>) previo a la firma del contrato en el caso en que la modalidad de selección sea contratación directa. Por su parte, el reglamento, es decir los artículos 2.2.1.1.1.6.1 y 2.2.1.1.2.1.1 del Decreto 1082 de 2015, no imponen la obligación de realizar estudios y documentos previos en etapas diferentes a la de planeación del contrato.</w:t>
      </w:r>
    </w:p>
    <w:p w14:paraId="1EBE5F6C" w14:textId="77777777" w:rsidR="00E72F7D" w:rsidRPr="00A33A8A" w:rsidRDefault="00E72F7D" w:rsidP="00E72F7D">
      <w:pPr>
        <w:spacing w:before="120" w:line="276" w:lineRule="auto"/>
        <w:ind w:firstLine="709"/>
        <w:jc w:val="both"/>
        <w:rPr>
          <w:rFonts w:ascii="Verdana" w:eastAsia="Calibri" w:hAnsi="Verdana" w:cs="Arial"/>
          <w:bCs/>
          <w:szCs w:val="24"/>
          <w:lang w:val="es-ES_tradnl" w:eastAsia="es-ES_tradnl"/>
        </w:rPr>
      </w:pPr>
      <w:r w:rsidRPr="00A33A8A">
        <w:rPr>
          <w:rFonts w:ascii="Verdana" w:eastAsia="Times New Roman" w:hAnsi="Verdana" w:cs="Arial"/>
          <w:szCs w:val="24"/>
          <w:lang w:eastAsia="es-ES_tradnl"/>
        </w:rPr>
        <w:t xml:space="preserve">En consecuencia, dicho análisis facilita tanto el conocimiento del sector, desde una perspectiva multidisciplinaria, como de los proveedores disponibles en el mercado para satisfacer la necesidad de la entidad contratante. Asimismo, el análisis del sector implica un estudio de la oferta, lo que permitirá identificar </w:t>
      </w:r>
      <w:r w:rsidRPr="00A33A8A">
        <w:rPr>
          <w:rFonts w:ascii="Verdana" w:eastAsia="Times New Roman" w:hAnsi="Verdana" w:cs="Arial"/>
          <w:szCs w:val="24"/>
          <w:lang w:eastAsia="es-ES_tradnl"/>
        </w:rPr>
        <w:lastRenderedPageBreak/>
        <w:t xml:space="preserve">qué proveedores existen en el mercado y cómo intervienen en la cadena de producción, comercialización </w:t>
      </w:r>
      <w:r w:rsidRPr="00A33A8A">
        <w:rPr>
          <w:rFonts w:ascii="Verdana" w:eastAsia="Calibri" w:hAnsi="Verdana" w:cs="Arial"/>
          <w:bCs/>
          <w:szCs w:val="24"/>
          <w:lang w:val="es-ES_tradnl" w:eastAsia="es-ES_tradnl"/>
        </w:rPr>
        <w:t xml:space="preserve">y distribución de los bienes, obras o servicios. </w:t>
      </w:r>
    </w:p>
    <w:p w14:paraId="085F712E" w14:textId="77777777" w:rsidR="00E72F7D" w:rsidRPr="00A33A8A" w:rsidRDefault="00E72F7D" w:rsidP="6A448B20">
      <w:pPr>
        <w:spacing w:before="120" w:line="276" w:lineRule="auto"/>
        <w:ind w:firstLine="709"/>
        <w:jc w:val="both"/>
        <w:rPr>
          <w:rFonts w:ascii="Verdana" w:eastAsia="Calibri" w:hAnsi="Verdana" w:cs="Arial"/>
          <w:lang w:val="es-ES" w:eastAsia="es-ES"/>
        </w:rPr>
      </w:pPr>
      <w:r w:rsidRPr="6A448B20">
        <w:rPr>
          <w:rFonts w:ascii="Verdana" w:eastAsia="Calibri" w:hAnsi="Verdana" w:cs="Arial"/>
          <w:lang w:val="es-ES" w:eastAsia="es-ES"/>
        </w:rPr>
        <w:t xml:space="preserve">Adicionalmente, podrá estudiar la demanda para determinar cómo las Entidades Estatales y los particulares adquieren esos bienes, obras o servicios para extraer las mejores prácticas e información para el Proceso de Contratación y así estructurar de mejor manera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50859500" w14:textId="77777777" w:rsidR="00E72F7D" w:rsidRPr="00A33A8A" w:rsidRDefault="00E72F7D" w:rsidP="00E72F7D">
      <w:pPr>
        <w:spacing w:before="120" w:after="120" w:line="276" w:lineRule="auto"/>
        <w:ind w:firstLine="709"/>
        <w:jc w:val="both"/>
        <w:rPr>
          <w:rFonts w:ascii="Verdana" w:eastAsia="Times New Roman" w:hAnsi="Verdana" w:cs="Arial"/>
          <w:szCs w:val="24"/>
          <w:lang w:eastAsia="es-ES_tradnl"/>
        </w:rPr>
      </w:pPr>
      <w:r w:rsidRPr="00A33A8A">
        <w:rPr>
          <w:rFonts w:ascii="Verdana" w:eastAsia="Times New Roman" w:hAnsi="Verdana" w:cs="Arial"/>
          <w:szCs w:val="24"/>
          <w:lang w:eastAsia="es-ES_tradnl"/>
        </w:rPr>
        <w:t>Adicionalmente, si bien los estudios del sector son de gran relevancia en los Procesos de Contratación donde existe pluralidad de oferentes, nada obsta para que se elaboren allí donde no existiría competencia, como es el caso de la contratación de prestación de servicios mediante la contratación directa. Para estos efectos, la “Guía para la Elaboración de Estudios del Sector”</w:t>
      </w:r>
      <w:r w:rsidRPr="00A33A8A">
        <w:rPr>
          <w:rFonts w:ascii="Verdana" w:eastAsia="Calibri" w:hAnsi="Verdana"/>
          <w:bCs/>
          <w:vertAlign w:val="superscript"/>
          <w:lang w:val="es-ES_tradnl"/>
        </w:rPr>
        <w:footnoteReference w:id="6"/>
      </w:r>
      <w:r w:rsidRPr="00A33A8A">
        <w:rPr>
          <w:rFonts w:ascii="Verdana" w:eastAsia="Times New Roman" w:hAnsi="Verdana" w:cs="Arial"/>
          <w:szCs w:val="24"/>
          <w:lang w:eastAsia="es-ES_tradnl"/>
        </w:rPr>
        <w:t xml:space="preserve"> expedida por Colombia Compra Eficiente, explica que “En la contratación directa, el análisis del sector debe tener en cuenta el objeto del Proceso de Contratación, particularmente las condiciones del contrato, como los plazos y formas de entrega y de pago. El análisis del sector debe permitir a la entidad estatal sustentar su decisión de hacer una contratación directa, la elección del proveedor y la forma en que se pacta el contrato desde el punto de vista de la eficiencia, eficacia y economía”. La entidad pública debe consignar en los</w:t>
      </w:r>
      <w:r w:rsidRPr="00A33A8A">
        <w:rPr>
          <w:rFonts w:ascii="Verdana" w:eastAsia="Times New Roman" w:hAnsi="Verdana" w:cs="Arial"/>
          <w:i/>
          <w:iCs/>
          <w:szCs w:val="24"/>
          <w:lang w:eastAsia="es-ES_tradnl"/>
        </w:rPr>
        <w:t xml:space="preserve"> Documentos del Proceso, </w:t>
      </w:r>
      <w:r w:rsidRPr="00A33A8A">
        <w:rPr>
          <w:rFonts w:ascii="Verdana" w:eastAsia="Times New Roman" w:hAnsi="Verdana" w:cs="Arial"/>
          <w:szCs w:val="24"/>
          <w:lang w:eastAsia="es-ES_tradnl"/>
        </w:rPr>
        <w:t>bien sea en los estudios previos o en la información de soporte de estos, los aspectos de que trata el artículo 2.2.1.1.1.6.1 del Decreto 1082 de 2015.</w:t>
      </w:r>
    </w:p>
    <w:p w14:paraId="2FB2100C" w14:textId="77777777" w:rsidR="00E72F7D" w:rsidRPr="00A33A8A" w:rsidRDefault="00E72F7D" w:rsidP="00E72F7D">
      <w:pPr>
        <w:spacing w:after="120" w:line="276" w:lineRule="auto"/>
        <w:ind w:firstLine="709"/>
        <w:jc w:val="both"/>
        <w:rPr>
          <w:rFonts w:ascii="Verdana" w:eastAsia="Times New Roman" w:hAnsi="Verdana" w:cs="Arial"/>
          <w:szCs w:val="24"/>
          <w:lang w:eastAsia="es-ES_tradnl"/>
        </w:rPr>
      </w:pPr>
      <w:r w:rsidRPr="00A33A8A">
        <w:rPr>
          <w:rFonts w:ascii="Verdana" w:eastAsia="Times New Roman" w:hAnsi="Verdana" w:cs="Arial"/>
          <w:szCs w:val="24"/>
          <w:lang w:eastAsia="es-ES_tradnl"/>
        </w:rPr>
        <w:t xml:space="preserve">Finalmente, resulta a bien resaltar la autonomía de las entidades públicas para estructurar los estudios previos, siempre y cuando observen los aspectos que estos deben contener, de conformidad con los artículos 2.2.1.1.1.6.1, 2.2.1.1.2.1.1 y 2.2.1.2.1.4.9 del Decreto 1082 de 2015. </w:t>
      </w:r>
    </w:p>
    <w:p w14:paraId="5D1E572D" w14:textId="77777777" w:rsidR="00E72F7D" w:rsidRDefault="00E72F7D" w:rsidP="00E72F7D">
      <w:pPr>
        <w:spacing w:after="120" w:line="276" w:lineRule="auto"/>
        <w:ind w:firstLine="709"/>
        <w:jc w:val="both"/>
        <w:rPr>
          <w:rFonts w:ascii="Verdana" w:eastAsia="Times New Roman" w:hAnsi="Verdana" w:cs="Arial"/>
          <w:szCs w:val="24"/>
          <w:lang w:eastAsia="es-ES_tradnl"/>
        </w:rPr>
      </w:pPr>
      <w:r w:rsidRPr="004237E4">
        <w:rPr>
          <w:rFonts w:ascii="Verdana" w:eastAsia="Times New Roman" w:hAnsi="Verdana" w:cs="Arial"/>
          <w:szCs w:val="24"/>
          <w:lang w:eastAsia="es-ES_tradnl"/>
        </w:rPr>
        <w:t xml:space="preserve">En todo caso, tratándose contratos de prestación de servicios, los estudios previos deben entrar a justificar las particularidades del objeto contractual de cara a la satisfacción de la necesidad de la Entidad Estatal en atención a la cual se requiere el respectivo contrato. De esto dependerán las regulaciones que se </w:t>
      </w:r>
      <w:r w:rsidRPr="004237E4">
        <w:rPr>
          <w:rFonts w:ascii="Verdana" w:eastAsia="Times New Roman" w:hAnsi="Verdana" w:cs="Arial"/>
          <w:szCs w:val="24"/>
          <w:lang w:eastAsia="es-ES_tradnl"/>
        </w:rPr>
        <w:lastRenderedPageBreak/>
        <w:t xml:space="preserve">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 </w:t>
      </w:r>
    </w:p>
    <w:p w14:paraId="700349BD" w14:textId="77777777" w:rsidR="00E72F7D" w:rsidRDefault="00E72F7D" w:rsidP="00E72F7D">
      <w:pPr>
        <w:spacing w:after="120" w:line="276" w:lineRule="auto"/>
        <w:ind w:firstLine="709"/>
        <w:jc w:val="both"/>
        <w:rPr>
          <w:rFonts w:ascii="Verdana" w:eastAsia="Times New Roman" w:hAnsi="Verdana" w:cs="Arial"/>
          <w:szCs w:val="24"/>
          <w:lang w:eastAsia="es-ES_tradnl"/>
        </w:rPr>
      </w:pPr>
      <w:r w:rsidRPr="0028273D">
        <w:rPr>
          <w:rFonts w:ascii="Verdana" w:eastAsia="Times New Roman" w:hAnsi="Verdana" w:cs="Arial"/>
          <w:szCs w:val="24"/>
          <w:lang w:eastAsia="es-ES_tradnl"/>
        </w:rPr>
        <w:t xml:space="preserve">En conclusión, si bien las entidades estatales cuentan con autonomía para elaborar un estudio previo que respalde varios contratos de prestación de servicios con características similares, esta práctica debe ajustarse estrictamente a los principios de planeación, transparencia y responsabilidad que rigen la contratación pública. La utilización de un estudio previo común no implica que se trate de un único proceso contractual, por lo que cada contrato debe tramitarse de manera individual en la plataforma correspondiente (SECOP II o equivalente), con sus respectivas particularidades, términos y justificaciones. Además, la decisión de emplear un único estudio debe estar sustentada en un análisis técnico que garantice su pertinencia, actualidad y aplicación a cada uno de los contratos proyectados, evitando incurrir en prácticas como </w:t>
      </w:r>
      <w:r>
        <w:rPr>
          <w:rFonts w:ascii="Verdana" w:eastAsia="Times New Roman" w:hAnsi="Verdana" w:cs="Arial"/>
          <w:szCs w:val="24"/>
          <w:lang w:eastAsia="es-ES_tradnl"/>
        </w:rPr>
        <w:t>el fraccionamiento</w:t>
      </w:r>
      <w:r w:rsidRPr="0028273D">
        <w:rPr>
          <w:rFonts w:ascii="Verdana" w:eastAsia="Times New Roman" w:hAnsi="Verdana" w:cs="Arial"/>
          <w:szCs w:val="24"/>
          <w:lang w:eastAsia="es-ES_tradnl"/>
        </w:rPr>
        <w:t xml:space="preserve"> del objeto contractual. En todo caso, esta decisión </w:t>
      </w:r>
      <w:r>
        <w:rPr>
          <w:rFonts w:ascii="Verdana" w:eastAsia="Times New Roman" w:hAnsi="Verdana" w:cs="Arial"/>
          <w:szCs w:val="24"/>
          <w:lang w:eastAsia="es-ES_tradnl"/>
        </w:rPr>
        <w:t>puede ser</w:t>
      </w:r>
      <w:r w:rsidRPr="0028273D">
        <w:rPr>
          <w:rFonts w:ascii="Verdana" w:eastAsia="Times New Roman" w:hAnsi="Verdana" w:cs="Arial"/>
          <w:szCs w:val="24"/>
          <w:lang w:eastAsia="es-ES_tradnl"/>
        </w:rPr>
        <w:t xml:space="preserve"> susceptible de </w:t>
      </w:r>
      <w:r>
        <w:rPr>
          <w:rFonts w:ascii="Verdana" w:eastAsia="Times New Roman" w:hAnsi="Verdana" w:cs="Arial"/>
          <w:szCs w:val="24"/>
          <w:lang w:eastAsia="es-ES_tradnl"/>
        </w:rPr>
        <w:t>revisión</w:t>
      </w:r>
      <w:r w:rsidRPr="0028273D">
        <w:rPr>
          <w:rFonts w:ascii="Verdana" w:eastAsia="Times New Roman" w:hAnsi="Verdana" w:cs="Arial"/>
          <w:szCs w:val="24"/>
          <w:lang w:eastAsia="es-ES_tradnl"/>
        </w:rPr>
        <w:t xml:space="preserve"> por parte de los órganos de vigilancia y </w:t>
      </w:r>
      <w:r>
        <w:rPr>
          <w:rFonts w:ascii="Verdana" w:eastAsia="Times New Roman" w:hAnsi="Verdana" w:cs="Arial"/>
          <w:szCs w:val="24"/>
          <w:lang w:eastAsia="es-ES_tradnl"/>
        </w:rPr>
        <w:t>control</w:t>
      </w:r>
      <w:r w:rsidRPr="0028273D">
        <w:rPr>
          <w:rFonts w:ascii="Verdana" w:eastAsia="Times New Roman" w:hAnsi="Verdana" w:cs="Arial"/>
          <w:szCs w:val="24"/>
          <w:lang w:eastAsia="es-ES_tradnl"/>
        </w:rPr>
        <w:t xml:space="preserve">, por lo que debe estar debidamente motivada y documentada para asegurar su legalidad y la protección </w:t>
      </w:r>
      <w:r>
        <w:rPr>
          <w:rFonts w:ascii="Verdana" w:eastAsia="Times New Roman" w:hAnsi="Verdana" w:cs="Arial"/>
          <w:szCs w:val="24"/>
          <w:lang w:eastAsia="es-ES_tradnl"/>
        </w:rPr>
        <w:t>de los recursos</w:t>
      </w:r>
      <w:r w:rsidRPr="0028273D">
        <w:rPr>
          <w:rFonts w:ascii="Verdana" w:eastAsia="Times New Roman" w:hAnsi="Verdana" w:cs="Arial"/>
          <w:szCs w:val="24"/>
          <w:lang w:eastAsia="es-ES_tradnl"/>
        </w:rPr>
        <w:t xml:space="preserve"> público</w:t>
      </w:r>
      <w:r>
        <w:rPr>
          <w:rFonts w:ascii="Verdana" w:eastAsia="Times New Roman" w:hAnsi="Verdana" w:cs="Arial"/>
          <w:szCs w:val="24"/>
          <w:lang w:eastAsia="es-ES_tradnl"/>
        </w:rPr>
        <w:t>s</w:t>
      </w:r>
      <w:r w:rsidRPr="0028273D">
        <w:rPr>
          <w:rFonts w:ascii="Verdana" w:eastAsia="Times New Roman" w:hAnsi="Verdana" w:cs="Arial"/>
          <w:szCs w:val="24"/>
          <w:lang w:eastAsia="es-ES_tradnl"/>
        </w:rPr>
        <w:t>.</w:t>
      </w:r>
    </w:p>
    <w:p w14:paraId="4930C32F" w14:textId="77777777" w:rsidR="00E72F7D" w:rsidRPr="00E43F27" w:rsidRDefault="00E72F7D" w:rsidP="00E72F7D">
      <w:pPr>
        <w:spacing w:after="0" w:line="276" w:lineRule="auto"/>
        <w:contextualSpacing/>
        <w:jc w:val="both"/>
        <w:rPr>
          <w:rFonts w:ascii="Verdana" w:eastAsia="Calibri" w:hAnsi="Verdana" w:cs="Arial"/>
        </w:rPr>
      </w:pPr>
    </w:p>
    <w:p w14:paraId="6EBCAEB9" w14:textId="77777777" w:rsidR="00E72F7D" w:rsidRPr="00E00F9B" w:rsidRDefault="00E72F7D" w:rsidP="00E72F7D">
      <w:pPr>
        <w:spacing w:after="0" w:line="276" w:lineRule="auto"/>
        <w:jc w:val="both"/>
        <w:rPr>
          <w:rFonts w:ascii="Verdana" w:eastAsia="Calibri" w:hAnsi="Verdana" w:cs="Arial"/>
          <w:lang w:val="es-ES_tradnl" w:eastAsia="es-ES_tradnl"/>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28273D">
        <w:rPr>
          <w:rFonts w:ascii="Verdana" w:eastAsia="Calibri" w:hAnsi="Verdana" w:cs="Arial"/>
          <w:lang w:val="es-ES_tradnl" w:eastAsia="es-ES_tradnl"/>
        </w:rPr>
        <w:t>El contrato de prestación de servicios es uno de los tipos contractuales consagrados en el Estatuto General de Contratación de la administración Pública – EGCAP – que pueden celebrar las Entidades Estatales. Se trata de un contrato típico, ya que se encuentra definido en la ley. Concretamente, el numeral 3° del artículo 32 de la Ley 80 de 1993</w:t>
      </w:r>
      <w:r w:rsidRPr="00E00F9B">
        <w:rPr>
          <w:rFonts w:ascii="Verdana" w:eastAsia="Calibri" w:hAnsi="Verdana" w:cs="Arial"/>
          <w:lang w:val="es-ES_tradnl" w:eastAsia="es-ES_tradnl"/>
        </w:rPr>
        <w:t>, establece:</w:t>
      </w:r>
    </w:p>
    <w:p w14:paraId="5787E871" w14:textId="77777777" w:rsidR="00E72F7D" w:rsidRPr="00E00F9B" w:rsidRDefault="00E72F7D" w:rsidP="00E72F7D">
      <w:pPr>
        <w:spacing w:after="0" w:line="240" w:lineRule="auto"/>
        <w:ind w:left="709" w:right="709"/>
        <w:jc w:val="both"/>
        <w:rPr>
          <w:rFonts w:ascii="Verdana" w:eastAsia="Calibri" w:hAnsi="Verdana" w:cs="Arial"/>
          <w:color w:val="000000"/>
          <w:lang w:val="es-ES_tradnl" w:eastAsia="es-ES_tradnl"/>
        </w:rPr>
      </w:pPr>
    </w:p>
    <w:p w14:paraId="13ED0CFF" w14:textId="77777777" w:rsidR="00E72F7D" w:rsidRPr="00E00F9B" w:rsidRDefault="00E72F7D" w:rsidP="00E72F7D">
      <w:pPr>
        <w:spacing w:after="0" w:line="240" w:lineRule="auto"/>
        <w:ind w:left="709" w:right="709"/>
        <w:jc w:val="both"/>
        <w:rPr>
          <w:rFonts w:ascii="Verdana" w:eastAsia="Calibri" w:hAnsi="Verdana" w:cs="Arial"/>
          <w:color w:val="000000"/>
          <w:lang w:val="es-ES_tradnl" w:eastAsia="es-ES_tradnl"/>
        </w:rPr>
      </w:pPr>
      <w:r w:rsidRPr="00E00F9B">
        <w:rPr>
          <w:rFonts w:ascii="Verdana" w:eastAsia="Calibri" w:hAnsi="Verdana" w:cs="Arial"/>
          <w:color w:val="000000"/>
          <w:lang w:val="es-ES_tradnl" w:eastAsia="es-ES_tradnl"/>
        </w:rPr>
        <w:t xml:space="preserve">“Son contratos de prestación de servicios los que celebren las entidades estatales para desarrollar actividades relacionadas con la </w:t>
      </w:r>
      <w:r w:rsidRPr="00E00F9B">
        <w:rPr>
          <w:rFonts w:ascii="Verdana" w:eastAsia="Calibri" w:hAnsi="Verdana" w:cs="Arial"/>
          <w:i/>
          <w:iCs/>
          <w:color w:val="000000"/>
          <w:lang w:val="es-ES_tradnl" w:eastAsia="es-ES_tradnl"/>
        </w:rPr>
        <w:t>administración o funcionamiento de la entidad.</w:t>
      </w:r>
      <w:r w:rsidRPr="00E00F9B">
        <w:rPr>
          <w:rFonts w:ascii="Verdana" w:eastAsia="Calibri" w:hAnsi="Verdana" w:cs="Arial"/>
          <w:color w:val="000000"/>
          <w:lang w:val="es-ES_tradnl" w:eastAsia="es-ES_tradnl"/>
        </w:rPr>
        <w:t xml:space="preserve"> Estos contratos sólo podrán celebrarse con personas naturales cuando dichas actividades no puedan realizarse con personal de planta o requieran conocimientos especializados.</w:t>
      </w:r>
    </w:p>
    <w:p w14:paraId="0818533B" w14:textId="77777777" w:rsidR="00E72F7D" w:rsidRPr="00E00F9B" w:rsidRDefault="00E72F7D" w:rsidP="00E72F7D">
      <w:pPr>
        <w:spacing w:after="0" w:line="240" w:lineRule="auto"/>
        <w:ind w:left="709" w:right="709"/>
        <w:jc w:val="both"/>
        <w:rPr>
          <w:rFonts w:ascii="Verdana" w:eastAsia="Calibri" w:hAnsi="Verdana" w:cs="Arial"/>
          <w:color w:val="000000"/>
          <w:lang w:val="es-ES_tradnl" w:eastAsia="es-ES_tradnl"/>
        </w:rPr>
      </w:pPr>
    </w:p>
    <w:p w14:paraId="283DA194" w14:textId="77777777" w:rsidR="00E72F7D" w:rsidRPr="00E00F9B" w:rsidRDefault="00E72F7D" w:rsidP="00E72F7D">
      <w:pPr>
        <w:spacing w:after="0" w:line="240" w:lineRule="auto"/>
        <w:ind w:left="709" w:right="709"/>
        <w:jc w:val="both"/>
        <w:rPr>
          <w:rFonts w:ascii="Verdana" w:eastAsia="Calibri" w:hAnsi="Verdana" w:cs="Arial"/>
          <w:color w:val="000000"/>
          <w:lang w:val="es-ES_tradnl" w:eastAsia="es-ES_tradnl"/>
        </w:rPr>
      </w:pPr>
      <w:r w:rsidRPr="00E00F9B">
        <w:rPr>
          <w:rFonts w:ascii="Verdana" w:eastAsia="Calibri" w:hAnsi="Verdana" w:cs="Arial"/>
          <w:color w:val="000000"/>
          <w:lang w:val="es-ES_tradnl" w:eastAsia="es-ES_tradnl"/>
        </w:rPr>
        <w:t>En ningún caso estos contratos generan relación laboral ni prestaciones sociales y se celebrarán por el término estrictamente indispensable”.</w:t>
      </w:r>
    </w:p>
    <w:p w14:paraId="5F6C6582" w14:textId="77777777" w:rsidR="00E72F7D" w:rsidRPr="00E00F9B" w:rsidRDefault="00E72F7D" w:rsidP="00E72F7D">
      <w:pPr>
        <w:spacing w:after="0" w:line="276" w:lineRule="auto"/>
        <w:jc w:val="both"/>
        <w:rPr>
          <w:rFonts w:ascii="Verdana" w:eastAsia="Calibri" w:hAnsi="Verdana" w:cs="Arial"/>
          <w:lang w:val="es-ES"/>
        </w:rPr>
      </w:pPr>
    </w:p>
    <w:p w14:paraId="5C7F15A6" w14:textId="77777777" w:rsidR="00E72F7D" w:rsidRPr="00E00F9B" w:rsidRDefault="00E72F7D" w:rsidP="00E72F7D">
      <w:pPr>
        <w:tabs>
          <w:tab w:val="left" w:pos="0"/>
        </w:tabs>
        <w:spacing w:after="0" w:line="276" w:lineRule="auto"/>
        <w:jc w:val="both"/>
        <w:rPr>
          <w:rFonts w:ascii="Verdana" w:hAnsi="Verdana" w:cs="Arial"/>
          <w:noProof/>
          <w:lang w:val="es-ES_tradnl"/>
        </w:rPr>
      </w:pPr>
      <w:r w:rsidRPr="00E00F9B">
        <w:rPr>
          <w:rFonts w:ascii="Verdana" w:hAnsi="Verdana" w:cs="Arial"/>
          <w:noProof/>
          <w:lang w:val="es-ES_tradnl"/>
        </w:rPr>
        <w:lastRenderedPageBreak/>
        <w:tab/>
        <w:t>El Decreto 1082 de 2015 en el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126E70F3" w14:textId="77777777" w:rsidR="00E72F7D" w:rsidRPr="00E00F9B" w:rsidRDefault="00E72F7D" w:rsidP="00E72F7D">
      <w:pPr>
        <w:tabs>
          <w:tab w:val="left" w:pos="0"/>
        </w:tabs>
        <w:spacing w:line="276" w:lineRule="auto"/>
        <w:contextualSpacing/>
        <w:jc w:val="both"/>
        <w:rPr>
          <w:rFonts w:ascii="Verdana" w:hAnsi="Verdana" w:cs="Arial"/>
          <w:noProof/>
          <w:lang w:val="es-ES_tradnl"/>
        </w:rPr>
      </w:pPr>
    </w:p>
    <w:p w14:paraId="31EFE67B" w14:textId="77777777" w:rsidR="00E72F7D" w:rsidRPr="00E00F9B" w:rsidRDefault="00E72F7D" w:rsidP="00E72F7D">
      <w:pPr>
        <w:spacing w:line="240" w:lineRule="auto"/>
        <w:ind w:left="709" w:right="709"/>
        <w:contextualSpacing/>
        <w:jc w:val="both"/>
        <w:rPr>
          <w:rFonts w:ascii="Verdana" w:hAnsi="Verdana" w:cs="Arial"/>
          <w:sz w:val="20"/>
          <w:szCs w:val="20"/>
          <w:lang w:val="es-MX"/>
        </w:rPr>
      </w:pPr>
      <w:r w:rsidRPr="00E00F9B">
        <w:rPr>
          <w:rFonts w:ascii="Verdana" w:eastAsia="Yu Gothic UI Semibold" w:hAnsi="Verdana" w:cs="Arial"/>
          <w:iCs/>
          <w:sz w:val="20"/>
          <w:szCs w:val="20"/>
          <w:lang w:eastAsia="es-MX"/>
        </w:rPr>
        <w:t>“</w:t>
      </w:r>
      <w:r w:rsidRPr="00E00F9B">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B69CC1B" w14:textId="77777777" w:rsidR="00E72F7D" w:rsidRPr="00E00F9B" w:rsidRDefault="00E72F7D" w:rsidP="00E72F7D">
      <w:pPr>
        <w:spacing w:line="240" w:lineRule="auto"/>
        <w:ind w:left="709" w:right="709"/>
        <w:contextualSpacing/>
        <w:jc w:val="both"/>
        <w:rPr>
          <w:rFonts w:ascii="Verdana" w:hAnsi="Verdana" w:cs="Arial"/>
          <w:sz w:val="20"/>
          <w:szCs w:val="20"/>
        </w:rPr>
      </w:pPr>
    </w:p>
    <w:p w14:paraId="04C81655" w14:textId="77777777" w:rsidR="00E72F7D" w:rsidRPr="00E00F9B" w:rsidRDefault="00E72F7D" w:rsidP="00E72F7D">
      <w:pPr>
        <w:pStyle w:val="Prrafodelista"/>
        <w:spacing w:line="240" w:lineRule="auto"/>
        <w:ind w:right="709"/>
        <w:jc w:val="both"/>
        <w:rPr>
          <w:rFonts w:ascii="Verdana" w:hAnsi="Verdana" w:cs="Arial"/>
          <w:sz w:val="20"/>
          <w:szCs w:val="20"/>
          <w:lang w:val="es-MX"/>
        </w:rPr>
      </w:pPr>
      <w:r w:rsidRPr="00E00F9B">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B0D6B49" w14:textId="77777777" w:rsidR="00E72F7D" w:rsidRPr="00E00F9B" w:rsidRDefault="00E72F7D" w:rsidP="00E72F7D">
      <w:pPr>
        <w:pStyle w:val="Prrafodelista"/>
        <w:spacing w:line="240" w:lineRule="auto"/>
        <w:ind w:right="709"/>
        <w:jc w:val="both"/>
        <w:rPr>
          <w:rFonts w:ascii="Verdana" w:hAnsi="Verdana" w:cs="Arial"/>
          <w:sz w:val="20"/>
          <w:szCs w:val="20"/>
          <w:lang w:val="es-MX"/>
        </w:rPr>
      </w:pPr>
    </w:p>
    <w:p w14:paraId="1CD99009" w14:textId="77777777" w:rsidR="00E72F7D" w:rsidRPr="00E00F9B" w:rsidRDefault="00E72F7D" w:rsidP="00E72F7D">
      <w:pPr>
        <w:pStyle w:val="Prrafodelista"/>
        <w:spacing w:line="240" w:lineRule="auto"/>
        <w:ind w:right="709"/>
        <w:jc w:val="both"/>
        <w:rPr>
          <w:rFonts w:ascii="Verdana" w:hAnsi="Verdana" w:cs="Arial"/>
          <w:sz w:val="20"/>
          <w:szCs w:val="20"/>
          <w:lang w:val="es-MX"/>
        </w:rPr>
      </w:pPr>
      <w:r w:rsidRPr="00E00F9B">
        <w:rPr>
          <w:rFonts w:ascii="Verdana" w:hAnsi="Verdana" w:cs="Arial"/>
          <w:sz w:val="20"/>
          <w:szCs w:val="20"/>
          <w:lang w:val="es-MX"/>
        </w:rPr>
        <w:t>La Entidad Estatal, para la contratación de trabajos artísticos que solamente puedan en</w:t>
      </w:r>
      <w:r w:rsidRPr="00E00F9B">
        <w:rPr>
          <w:rFonts w:ascii="Verdana" w:hAnsi="Verdana" w:cs="Arial"/>
          <w:sz w:val="20"/>
          <w:szCs w:val="20"/>
          <w:lang w:val="es-MX"/>
        </w:rPr>
        <w:softHyphen/>
        <w:t>comendarse a determinadas personas naturales, debe justificar esta situación en los estudios y documentos previos</w:t>
      </w:r>
      <w:r w:rsidRPr="00E00F9B">
        <w:rPr>
          <w:rFonts w:ascii="Verdana" w:eastAsia="Yu Gothic UI Semibold" w:hAnsi="Verdana" w:cs="Arial"/>
          <w:iCs/>
          <w:sz w:val="20"/>
          <w:szCs w:val="20"/>
          <w:lang w:eastAsia="es-MX"/>
        </w:rPr>
        <w:t>”</w:t>
      </w:r>
      <w:r w:rsidRPr="00E00F9B">
        <w:rPr>
          <w:rFonts w:ascii="Verdana" w:hAnsi="Verdana" w:cs="Arial"/>
          <w:sz w:val="20"/>
          <w:szCs w:val="20"/>
          <w:lang w:val="es-MX"/>
        </w:rPr>
        <w:t>.</w:t>
      </w:r>
    </w:p>
    <w:p w14:paraId="61776BCE"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color w:val="000000" w:themeColor="text1"/>
          <w:lang w:val="es-ES_tradnl"/>
        </w:rPr>
        <w:tab/>
        <w:t>A partir de las disposiciones citadas, así como la Sentencia de Unificación Jurisprudencial del 9 de septiembre de 2021, proferida por el Consejo de Estado</w:t>
      </w:r>
      <w:r w:rsidRPr="00E00F9B">
        <w:rPr>
          <w:rFonts w:ascii="Verdana" w:hAnsi="Verdana"/>
          <w:bCs/>
          <w:vertAlign w:val="superscript"/>
        </w:rPr>
        <w:footnoteReference w:id="7"/>
      </w:r>
      <w:r w:rsidRPr="00E00F9B">
        <w:rPr>
          <w:rFonts w:ascii="Verdana" w:hAnsi="Verdana" w:cs="Arial"/>
          <w:color w:val="000000" w:themeColor="text1"/>
          <w:lang w:val="es-ES_tradnl"/>
        </w:rPr>
        <w:t>, es posible señalar las siguientes características del contrato de prestación de servicios</w:t>
      </w:r>
      <w:r w:rsidRPr="00E00F9B">
        <w:rPr>
          <w:rFonts w:ascii="Verdana" w:hAnsi="Verdana" w:cs="Arial"/>
          <w:noProof/>
          <w:lang w:val="es-ES_tradnl"/>
        </w:rPr>
        <w:t>:</w:t>
      </w:r>
    </w:p>
    <w:p w14:paraId="3D6FA311" w14:textId="77777777" w:rsidR="00E72F7D" w:rsidRPr="00E00F9B" w:rsidRDefault="00E72F7D" w:rsidP="00E72F7D">
      <w:pPr>
        <w:tabs>
          <w:tab w:val="left" w:pos="0"/>
        </w:tabs>
        <w:spacing w:after="120" w:line="276" w:lineRule="auto"/>
        <w:jc w:val="both"/>
        <w:rPr>
          <w:rFonts w:ascii="Verdana" w:hAnsi="Verdana" w:cs="Arial"/>
          <w:noProof/>
          <w:lang w:val="es-ES_tradnl"/>
        </w:rPr>
      </w:pPr>
      <w:r w:rsidRPr="00E00F9B">
        <w:rPr>
          <w:rFonts w:ascii="Verdana" w:hAnsi="Verdana" w:cs="Arial"/>
          <w:noProof/>
          <w:lang w:val="es-ES_tradnl"/>
        </w:rPr>
        <w:tab/>
      </w:r>
      <w:bookmarkStart w:id="3" w:name="_Hlk174438751"/>
      <w:r w:rsidRPr="00E00F9B">
        <w:rPr>
          <w:rFonts w:ascii="Verdana" w:hAnsi="Verdana" w:cs="Arial"/>
          <w:noProof/>
          <w:lang w:val="es-ES_tradnl"/>
        </w:rPr>
        <w:t>i)Solo puede celebrarse para realizar “actividades relacionadas con la administración o funcionamiento de la entidad”, es decir, que hagan parte de su giro ordinario o quehacer cotidiano</w:t>
      </w:r>
      <w:r w:rsidRPr="00E00F9B">
        <w:rPr>
          <w:rFonts w:ascii="Verdana" w:hAnsi="Verdana"/>
          <w:noProof/>
          <w:vertAlign w:val="superscript"/>
          <w:lang w:val="es-ES_tradnl"/>
        </w:rPr>
        <w:footnoteReference w:id="8"/>
      </w:r>
      <w:r w:rsidRPr="00E00F9B">
        <w:rPr>
          <w:rFonts w:ascii="Verdana" w:hAnsi="Verdana" w:cs="Arial"/>
          <w:noProof/>
          <w:lang w:val="es-ES_tradnl"/>
        </w:rPr>
        <w:t>.</w:t>
      </w:r>
    </w:p>
    <w:p w14:paraId="7ECF85DC"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 xml:space="preserve">ii) Respecto del tipo de personas que pueden ser contratadas, admite que se suscriba con personas naturales o jurídicas. Sin embargo, cuando se celebre con personas naturales la entidad estatal debe justificar, en los estudios previos, </w:t>
      </w:r>
      <w:r w:rsidRPr="00E00F9B">
        <w:rPr>
          <w:rFonts w:ascii="Verdana" w:hAnsi="Verdana" w:cs="Arial"/>
          <w:noProof/>
          <w:lang w:val="es-ES_tradnl"/>
        </w:rPr>
        <w:lastRenderedPageBreak/>
        <w:t xml:space="preserve">que las actividades “no puedan realizarse con personal de planta o requieran conocimientos especializados”. </w:t>
      </w:r>
    </w:p>
    <w:p w14:paraId="7A4F3C15"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E00F9B">
        <w:rPr>
          <w:rFonts w:ascii="Verdana" w:hAnsi="Verdana" w:cs="Arial"/>
          <w:i/>
          <w:noProof/>
          <w:lang w:val="es-ES_tradnl"/>
        </w:rPr>
        <w:t xml:space="preserve">subordinación </w:t>
      </w:r>
      <w:r w:rsidRPr="00E00F9B">
        <w:rPr>
          <w:rFonts w:ascii="Verdana" w:hAnsi="Verdana" w:cs="Arial"/>
          <w:iCs/>
          <w:noProof/>
          <w:lang w:val="es-ES_tradnl"/>
        </w:rPr>
        <w:t>ni</w:t>
      </w:r>
      <w:r w:rsidRPr="00E00F9B">
        <w:rPr>
          <w:rFonts w:ascii="Verdana" w:hAnsi="Verdana" w:cs="Arial"/>
          <w:i/>
          <w:noProof/>
          <w:lang w:val="es-ES_tradnl"/>
        </w:rPr>
        <w:t xml:space="preserve"> dependencia</w:t>
      </w:r>
      <w:r w:rsidRPr="00E00F9B">
        <w:rPr>
          <w:rFonts w:ascii="Verdana" w:hAnsi="Verdana" w:cs="Arial"/>
          <w:iCs/>
          <w:noProof/>
          <w:lang w:val="es-ES_tradnl"/>
        </w:rPr>
        <w:t>,</w:t>
      </w:r>
      <w:r w:rsidRPr="00E00F9B">
        <w:rPr>
          <w:rFonts w:ascii="Verdana" w:hAnsi="Verdana" w:cs="Arial"/>
          <w:noProof/>
          <w:lang w:val="es-ES_tradnl"/>
        </w:rPr>
        <w:t xml:space="preserve"> que es uno de los elementos constitutivos del vínculo laboral</w:t>
      </w:r>
      <w:r w:rsidRPr="00E00F9B">
        <w:rPr>
          <w:rFonts w:ascii="Verdana" w:hAnsi="Verdana"/>
          <w:noProof/>
          <w:vertAlign w:val="superscript"/>
          <w:lang w:val="es-ES_tradnl"/>
        </w:rPr>
        <w:footnoteReference w:id="9"/>
      </w:r>
      <w:r w:rsidRPr="00E00F9B">
        <w:rPr>
          <w:rFonts w:ascii="Verdana" w:hAnsi="Verdana" w:cs="Arial"/>
          <w:noProof/>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E00F9B">
        <w:rPr>
          <w:rFonts w:ascii="Verdana" w:hAnsi="Verdana" w:cs="Arial"/>
          <w:i/>
          <w:noProof/>
          <w:lang w:val="es-ES_tradnl"/>
        </w:rPr>
        <w:t>no pueden</w:t>
      </w:r>
      <w:r w:rsidRPr="00E00F9B">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w:t>
      </w:r>
      <w:r>
        <w:rPr>
          <w:rFonts w:ascii="Verdana" w:hAnsi="Verdana" w:cs="Arial"/>
          <w:noProof/>
          <w:lang w:val="es-ES_tradnl"/>
        </w:rPr>
        <w:t xml:space="preserve"> </w:t>
      </w:r>
      <w:r w:rsidRPr="00E00F9B">
        <w:rPr>
          <w:rFonts w:ascii="Verdana" w:hAnsi="Verdana" w:cs="Arial"/>
          <w:noProof/>
          <w:lang w:val="es-ES_tradnl"/>
        </w:rPr>
        <w:t>seguridad social– debe cotizar por su cuenta y riesgo al Sistema de Seguridad Social Integral</w:t>
      </w:r>
      <w:r w:rsidRPr="00E00F9B">
        <w:rPr>
          <w:rFonts w:ascii="Verdana" w:hAnsi="Verdana"/>
          <w:noProof/>
          <w:vertAlign w:val="superscript"/>
          <w:lang w:val="es-ES_tradnl"/>
        </w:rPr>
        <w:footnoteReference w:id="10"/>
      </w:r>
      <w:r w:rsidRPr="00E00F9B">
        <w:rPr>
          <w:rFonts w:ascii="Verdana" w:hAnsi="Verdana" w:cs="Arial"/>
          <w:noProof/>
          <w:lang w:val="es-ES_tradnl"/>
        </w:rPr>
        <w:t xml:space="preserve">. </w:t>
      </w:r>
    </w:p>
    <w:p w14:paraId="4CC0F8E0"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 xml:space="preserve">iv) Deben ser temporales. La mencionada Sentencia de Unificacion Jurisprudencial del Consejo de Estado, frente a la duración del contrato de prestación de servicios señaló que solo puede celebrarse por un “término estrictamente indispensable”. En ese entendido, unificó el sentido y alcance del </w:t>
      </w:r>
      <w:r w:rsidRPr="00E00F9B">
        <w:rPr>
          <w:rFonts w:ascii="Verdana" w:hAnsi="Verdana" w:cs="Arial"/>
          <w:noProof/>
          <w:lang w:val="es-ES_tradnl"/>
        </w:rPr>
        <w:lastRenderedPageBreak/>
        <w:t>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22187DF9" w14:textId="77777777" w:rsidR="00E72F7D" w:rsidRPr="00E00F9B" w:rsidRDefault="00E72F7D" w:rsidP="00E72F7D">
      <w:pPr>
        <w:tabs>
          <w:tab w:val="left" w:pos="0"/>
        </w:tabs>
        <w:spacing w:after="120" w:line="276" w:lineRule="auto"/>
        <w:jc w:val="both"/>
        <w:rPr>
          <w:rFonts w:ascii="Verdana" w:hAnsi="Verdana" w:cs="Arial"/>
          <w:noProof/>
          <w:lang w:val="es-ES_tradnl"/>
        </w:rPr>
      </w:pPr>
      <w:r w:rsidRPr="00E00F9B">
        <w:rPr>
          <w:rFonts w:ascii="Verdana" w:hAnsi="Verdana" w:cs="Arial"/>
          <w:lang w:val="es-MX"/>
        </w:rPr>
        <w:tab/>
        <w:t xml:space="preserve">De igual manera, señaló que “no cabe su empleo para la cobertura indefinida de necesidades permanentes o recurrentes”. </w:t>
      </w:r>
      <w:r w:rsidRPr="00E00F9B">
        <w:rPr>
          <w:rFonts w:ascii="Verdana" w:hAnsi="Verdana" w:cs="Arial"/>
          <w:noProof/>
          <w:lang w:val="es-ES_tradnl"/>
        </w:rPr>
        <w:t>En sentido similar se manifestó la Corte Constitucional en la sentencia C-154 de 1997, expresando que:</w:t>
      </w:r>
    </w:p>
    <w:p w14:paraId="20A56FB5" w14:textId="77777777" w:rsidR="00E72F7D" w:rsidRPr="00E00F9B" w:rsidRDefault="00E72F7D" w:rsidP="00E72F7D">
      <w:pPr>
        <w:tabs>
          <w:tab w:val="left" w:pos="0"/>
        </w:tabs>
        <w:spacing w:after="0" w:line="276" w:lineRule="auto"/>
        <w:ind w:left="709" w:right="709"/>
        <w:jc w:val="both"/>
        <w:rPr>
          <w:rFonts w:ascii="Verdana" w:hAnsi="Verdana" w:cs="Arial"/>
          <w:noProof/>
          <w:sz w:val="20"/>
          <w:szCs w:val="20"/>
          <w:lang w:val="es-ES_tradnl"/>
        </w:rPr>
      </w:pPr>
      <w:r w:rsidRPr="00E00F9B">
        <w:rPr>
          <w:rFonts w:ascii="Verdana" w:eastAsia="Yu Gothic UI Semibold" w:hAnsi="Verdana" w:cs="Arial"/>
          <w:iCs/>
          <w:sz w:val="20"/>
          <w:szCs w:val="20"/>
          <w:lang w:eastAsia="es-MX"/>
        </w:rPr>
        <w:t>“</w:t>
      </w:r>
      <w:r w:rsidRPr="00E00F9B">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00F9B">
        <w:rPr>
          <w:rFonts w:ascii="Verdana" w:hAnsi="Verdana"/>
          <w:noProof/>
          <w:sz w:val="20"/>
          <w:szCs w:val="20"/>
          <w:vertAlign w:val="superscript"/>
          <w:lang w:val="es-ES_tradnl"/>
        </w:rPr>
        <w:footnoteReference w:id="11"/>
      </w:r>
      <w:r w:rsidRPr="00E00F9B">
        <w:rPr>
          <w:rFonts w:ascii="Verdana" w:hAnsi="Verdana" w:cs="Arial"/>
          <w:noProof/>
          <w:sz w:val="20"/>
          <w:szCs w:val="20"/>
          <w:lang w:val="es-ES_tradnl"/>
        </w:rPr>
        <w:t>.</w:t>
      </w:r>
    </w:p>
    <w:p w14:paraId="05BB39B7" w14:textId="77777777" w:rsidR="00E72F7D" w:rsidRPr="00E00F9B" w:rsidRDefault="00E72F7D" w:rsidP="00E72F7D">
      <w:pPr>
        <w:pStyle w:val="Prrafodelista"/>
        <w:tabs>
          <w:tab w:val="left" w:pos="0"/>
        </w:tabs>
        <w:spacing w:after="0" w:line="276" w:lineRule="auto"/>
        <w:ind w:left="1440"/>
        <w:jc w:val="both"/>
        <w:rPr>
          <w:rFonts w:ascii="Verdana" w:hAnsi="Verdana" w:cs="Arial"/>
          <w:noProof/>
          <w:lang w:val="es-ES_tradnl"/>
        </w:rPr>
      </w:pPr>
    </w:p>
    <w:p w14:paraId="7AA1D57A" w14:textId="77777777" w:rsidR="00E72F7D" w:rsidRPr="00E00F9B" w:rsidRDefault="00E72F7D" w:rsidP="00E72F7D">
      <w:pPr>
        <w:tabs>
          <w:tab w:val="left" w:pos="0"/>
        </w:tabs>
        <w:spacing w:after="120" w:line="276" w:lineRule="auto"/>
        <w:jc w:val="both"/>
        <w:rPr>
          <w:rFonts w:ascii="Verdana" w:eastAsia="Calibri" w:hAnsi="Verdana" w:cs="Arial"/>
          <w:color w:val="000000" w:themeColor="text1"/>
          <w:lang w:val="es-ES_tradnl"/>
        </w:rPr>
      </w:pPr>
      <w:r w:rsidRPr="00E00F9B">
        <w:rPr>
          <w:rFonts w:ascii="Verdana" w:hAnsi="Verdana" w:cs="Arial"/>
          <w:noProof/>
          <w:lang w:val="es-ES_tradnl"/>
        </w:rPr>
        <w:tab/>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E00F9B">
        <w:rPr>
          <w:rFonts w:ascii="Verdana" w:hAnsi="Verdana"/>
          <w:noProof/>
          <w:vertAlign w:val="superscript"/>
          <w:lang w:val="es-ES_tradnl"/>
        </w:rPr>
        <w:footnoteReference w:id="12"/>
      </w:r>
      <w:r w:rsidRPr="00E00F9B">
        <w:rPr>
          <w:rFonts w:ascii="Verdana" w:hAnsi="Verdana" w:cs="Arial"/>
          <w:noProof/>
          <w:lang w:val="es-ES_tradnl"/>
        </w:rPr>
        <w:t>. Esto también se deriva d</w:t>
      </w:r>
      <w:r w:rsidRPr="00E00F9B">
        <w:rPr>
          <w:rFonts w:ascii="Verdana" w:eastAsia="Calibri" w:hAnsi="Verdana" w:cs="Arial"/>
          <w:color w:val="000000" w:themeColor="text1"/>
          <w:lang w:val="es-ES_tradnl"/>
        </w:rPr>
        <w:t xml:space="preserve">el artículo 2, numeral 4º, literal </w:t>
      </w:r>
      <w:r w:rsidRPr="00E00F9B">
        <w:rPr>
          <w:rFonts w:ascii="Verdana" w:eastAsia="Calibri" w:hAnsi="Verdana" w:cs="Arial"/>
          <w:color w:val="000000" w:themeColor="text1"/>
          <w:lang w:val="es-ES_tradnl"/>
        </w:rPr>
        <w:lastRenderedPageBreak/>
        <w:t>h) de la Ley 1150 de 2007, al señalar que procede la contratación directa para la prestación de servicios profesionales y de apoyo a la gestión o para la ejecución de trabajos artísticos que solo pueden encomendarse a determinadas personas.</w:t>
      </w:r>
    </w:p>
    <w:p w14:paraId="2D87ABC6"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vi) Para su celebración no se requiere expedir un acto administrativo de justificación de la contratación directa</w:t>
      </w:r>
      <w:r w:rsidRPr="00E00F9B">
        <w:rPr>
          <w:rFonts w:ascii="Verdana" w:hAnsi="Verdana"/>
          <w:noProof/>
          <w:vertAlign w:val="superscript"/>
          <w:lang w:val="es-ES_tradnl"/>
        </w:rPr>
        <w:footnoteReference w:id="13"/>
      </w:r>
      <w:r w:rsidRPr="00E00F9B">
        <w:rPr>
          <w:rFonts w:ascii="Verdana" w:hAnsi="Verdana" w:cs="Arial"/>
          <w:noProof/>
          <w:lang w:val="es-ES_tradnl"/>
        </w:rPr>
        <w:t>.</w:t>
      </w:r>
    </w:p>
    <w:p w14:paraId="48D5878C"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E00F9B">
        <w:rPr>
          <w:rFonts w:ascii="Verdana" w:hAnsi="Verdana"/>
          <w:noProof/>
          <w:vertAlign w:val="superscript"/>
          <w:lang w:val="es-ES_tradnl"/>
        </w:rPr>
        <w:footnoteReference w:id="14"/>
      </w:r>
      <w:r w:rsidRPr="00E00F9B">
        <w:rPr>
          <w:rFonts w:ascii="Verdana" w:hAnsi="Verdana" w:cs="Arial"/>
          <w:noProof/>
          <w:lang w:val="es-ES_tradnl"/>
        </w:rPr>
        <w:t>.</w:t>
      </w:r>
    </w:p>
    <w:p w14:paraId="42BDDDAD"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viii) No es obligatoria la liquidación de estos contratos, como lo establece el artículo 217 del Decreto 019 de 2012, que modificó el artículo 60 de la Ley 80 de 1993</w:t>
      </w:r>
      <w:r w:rsidRPr="00E00F9B">
        <w:rPr>
          <w:rFonts w:ascii="Verdana" w:hAnsi="Verdana"/>
          <w:noProof/>
          <w:vertAlign w:val="superscript"/>
          <w:lang w:val="es-ES_tradnl"/>
        </w:rPr>
        <w:footnoteReference w:id="15"/>
      </w:r>
      <w:r w:rsidRPr="00E00F9B">
        <w:rPr>
          <w:rFonts w:ascii="Verdana" w:hAnsi="Verdana" w:cs="Arial"/>
          <w:noProof/>
          <w:lang w:val="es-ES_tradnl"/>
        </w:rPr>
        <w:t>.</w:t>
      </w:r>
    </w:p>
    <w:p w14:paraId="08EE0B32" w14:textId="77777777" w:rsidR="00E72F7D" w:rsidRPr="00E00F9B" w:rsidRDefault="00E72F7D" w:rsidP="00E72F7D">
      <w:pPr>
        <w:tabs>
          <w:tab w:val="left" w:pos="0"/>
        </w:tabs>
        <w:spacing w:after="120" w:line="276" w:lineRule="auto"/>
        <w:jc w:val="both"/>
        <w:rPr>
          <w:rFonts w:ascii="Verdana" w:hAnsi="Verdana" w:cs="Arial"/>
          <w:noProof/>
          <w:lang w:val="es-ES_tradnl"/>
        </w:rPr>
      </w:pPr>
      <w:r w:rsidRPr="00E00F9B">
        <w:rPr>
          <w:rFonts w:ascii="Verdana" w:hAnsi="Verdana" w:cs="Arial"/>
          <w:noProof/>
          <w:lang w:val="es-ES_tradnl"/>
        </w:rPr>
        <w:lastRenderedPageBreak/>
        <w:t xml:space="preserve"> </w:t>
      </w:r>
      <w:r w:rsidRPr="00E00F9B">
        <w:rPr>
          <w:rFonts w:ascii="Verdana" w:hAnsi="Verdana" w:cs="Arial"/>
          <w:noProof/>
          <w:lang w:val="es-ES_tradnl"/>
        </w:rPr>
        <w:tab/>
        <w:t>ix) Para su celebración el contratista no requiere estar inscrito en el Registro Único de Proponentes –en adelante RUP–, como lo señala el artículo 6 de la Ley 1150 de 2007</w:t>
      </w:r>
      <w:r w:rsidRPr="00E00F9B">
        <w:rPr>
          <w:rFonts w:ascii="Verdana" w:hAnsi="Verdana"/>
          <w:noProof/>
          <w:vertAlign w:val="superscript"/>
          <w:lang w:val="es-ES_tradnl"/>
        </w:rPr>
        <w:footnoteReference w:id="16"/>
      </w:r>
      <w:r w:rsidRPr="00E00F9B">
        <w:rPr>
          <w:rFonts w:ascii="Verdana" w:hAnsi="Verdana" w:cs="Arial"/>
          <w:noProof/>
          <w:lang w:val="es-ES_tradnl"/>
        </w:rPr>
        <w:t>.</w:t>
      </w:r>
      <w:bookmarkEnd w:id="3"/>
    </w:p>
    <w:p w14:paraId="2F302C5F" w14:textId="77777777" w:rsidR="00E72F7D" w:rsidRPr="00E00F9B" w:rsidRDefault="00E72F7D" w:rsidP="00E72F7D">
      <w:pPr>
        <w:tabs>
          <w:tab w:val="left" w:pos="0"/>
        </w:tabs>
        <w:spacing w:after="120" w:line="276" w:lineRule="auto"/>
        <w:jc w:val="both"/>
        <w:rPr>
          <w:rFonts w:ascii="Verdana" w:hAnsi="Verdana" w:cs="Arial"/>
          <w:color w:val="000000" w:themeColor="text1"/>
          <w:lang w:val="es-ES_tradnl"/>
        </w:rPr>
      </w:pPr>
      <w:r w:rsidRPr="00E00F9B">
        <w:rPr>
          <w:rFonts w:ascii="Verdana" w:hAnsi="Verdana" w:cs="Arial"/>
          <w:noProof/>
          <w:lang w:val="es-ES_tradnl"/>
        </w:rPr>
        <w:tab/>
        <w:t xml:space="preserve">Además de las disposiciones hasta aquí mencionadas, para celebrar contratos de prestación de servicios las Entidades Estatales deben aplicar lo dispuesto en los artículos 2.8.4.4.5 y 2.8.4.4.6 del Decreto 1068 de 2015. La última de estas disposiciones establece una restricción para la celebración de contratos de prestación de servicios de manera continua en los que se pacte contraprestación mensual superior a la del jefe de la entidad. De otra parte, el artículo 2.8.4.4.5 establece ciertas condiciones y restricciones que deben observarse, al siguiente tenor: </w:t>
      </w:r>
    </w:p>
    <w:p w14:paraId="6622FC9F" w14:textId="77777777" w:rsidR="00E72F7D" w:rsidRPr="000E6144" w:rsidRDefault="00E72F7D" w:rsidP="00E72F7D">
      <w:pPr>
        <w:spacing w:after="120" w:line="240" w:lineRule="auto"/>
        <w:ind w:left="720" w:right="616"/>
        <w:contextualSpacing/>
        <w:jc w:val="both"/>
        <w:textAlignment w:val="baseline"/>
        <w:rPr>
          <w:rFonts w:ascii="Verdana" w:eastAsia="Calibri" w:hAnsi="Verdana" w:cs="Arial"/>
          <w:color w:val="000000" w:themeColor="text1"/>
          <w:sz w:val="20"/>
          <w:szCs w:val="20"/>
          <w:lang w:val="es-MX"/>
        </w:rPr>
      </w:pPr>
      <w:bookmarkStart w:id="4" w:name="_Hlk171942664"/>
      <w:r w:rsidRPr="000E6144">
        <w:rPr>
          <w:rFonts w:ascii="Verdana" w:eastAsia="Calibri" w:hAnsi="Verdana" w:cs="Arial"/>
          <w:color w:val="000000" w:themeColor="text1"/>
          <w:sz w:val="20"/>
          <w:szCs w:val="20"/>
          <w:lang w:val="es-MX"/>
        </w:rPr>
        <w:t>“Artículo 2.8.4.4.5.</w:t>
      </w:r>
      <w:r w:rsidRPr="00E00F9B">
        <w:rPr>
          <w:rFonts w:ascii="Verdana" w:eastAsia="Calibri" w:hAnsi="Verdana" w:cs="Arial"/>
          <w:color w:val="000000" w:themeColor="text1"/>
          <w:sz w:val="20"/>
          <w:szCs w:val="20"/>
          <w:lang w:val="es-MX"/>
        </w:rPr>
        <w:t xml:space="preserve"> </w:t>
      </w:r>
      <w:r w:rsidRPr="000E6144">
        <w:rPr>
          <w:rFonts w:ascii="Verdana" w:eastAsia="Calibri" w:hAnsi="Verdana" w:cs="Arial"/>
          <w:i/>
          <w:iCs/>
          <w:color w:val="000000" w:themeColor="text1"/>
          <w:sz w:val="20"/>
          <w:szCs w:val="20"/>
          <w:lang w:val="es-MX"/>
        </w:rPr>
        <w:t>Condiciones para contratar la prestación de servicios</w:t>
      </w:r>
      <w:r w:rsidRPr="000E6144">
        <w:rPr>
          <w:rFonts w:ascii="Verdana" w:eastAsia="Calibri" w:hAnsi="Verdana" w:cs="Arial"/>
          <w:color w:val="000000" w:themeColor="text1"/>
          <w:sz w:val="20"/>
          <w:szCs w:val="20"/>
          <w:lang w:val="es-MX"/>
        </w:rPr>
        <w:t xml:space="preserve">. Los contratos de prestación de servicios con personas naturales o jurídicas, sólo se podrán celebrar </w:t>
      </w:r>
      <w:r w:rsidRPr="000E6144">
        <w:rPr>
          <w:rFonts w:ascii="Verdana" w:eastAsia="Calibri" w:hAnsi="Verdana" w:cs="Arial"/>
          <w:i/>
          <w:iCs/>
          <w:color w:val="000000" w:themeColor="text1"/>
          <w:sz w:val="20"/>
          <w:szCs w:val="20"/>
          <w:u w:val="single"/>
          <w:lang w:val="es-MX"/>
        </w:rPr>
        <w:t>cuando no exista personal de planta con capacidad para realizar las actividades que se contratarán</w:t>
      </w:r>
      <w:r w:rsidRPr="000E6144">
        <w:rPr>
          <w:rFonts w:ascii="Verdana" w:eastAsia="Calibri" w:hAnsi="Verdana" w:cs="Arial"/>
          <w:color w:val="000000" w:themeColor="text1"/>
          <w:sz w:val="20"/>
          <w:szCs w:val="20"/>
          <w:lang w:val="es-MX"/>
        </w:rPr>
        <w:t>. </w:t>
      </w:r>
    </w:p>
    <w:p w14:paraId="67423DDF" w14:textId="77777777" w:rsidR="00E72F7D" w:rsidRPr="000E6144" w:rsidRDefault="00E72F7D" w:rsidP="00E72F7D">
      <w:pPr>
        <w:spacing w:after="120" w:line="240" w:lineRule="auto"/>
        <w:ind w:left="720" w:right="616"/>
        <w:contextualSpacing/>
        <w:jc w:val="both"/>
        <w:textAlignment w:val="baseline"/>
        <w:rPr>
          <w:rFonts w:ascii="Verdana" w:eastAsia="Calibri" w:hAnsi="Verdana" w:cs="Arial"/>
          <w:color w:val="000000" w:themeColor="text1"/>
          <w:sz w:val="20"/>
          <w:szCs w:val="20"/>
          <w:lang w:val="es-MX"/>
        </w:rPr>
      </w:pPr>
    </w:p>
    <w:p w14:paraId="734C733E" w14:textId="77777777" w:rsidR="00E72F7D" w:rsidRPr="000E6144" w:rsidRDefault="00E72F7D" w:rsidP="00E72F7D">
      <w:pPr>
        <w:spacing w:after="120" w:line="240" w:lineRule="auto"/>
        <w:ind w:left="720" w:right="758"/>
        <w:contextualSpacing/>
        <w:jc w:val="both"/>
        <w:textAlignment w:val="baseline"/>
        <w:rPr>
          <w:rFonts w:ascii="Verdana" w:eastAsia="Calibri" w:hAnsi="Verdana" w:cs="Arial"/>
          <w:color w:val="000000" w:themeColor="text1"/>
          <w:sz w:val="20"/>
          <w:szCs w:val="20"/>
          <w:lang w:val="es-MX"/>
        </w:rPr>
      </w:pPr>
      <w:r w:rsidRPr="000E6144">
        <w:rPr>
          <w:rFonts w:ascii="Verdana" w:eastAsia="Calibri" w:hAnsi="Verdana" w:cs="Arial"/>
          <w:color w:val="000000" w:themeColor="text1"/>
          <w:sz w:val="20"/>
          <w:szCs w:val="20"/>
          <w:lang w:val="es-MX"/>
        </w:rPr>
        <w:t>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56EE0C8E" w14:textId="77777777" w:rsidR="00E72F7D" w:rsidRPr="000E6144" w:rsidRDefault="00E72F7D" w:rsidP="00E72F7D">
      <w:pPr>
        <w:spacing w:after="120" w:line="240" w:lineRule="auto"/>
        <w:ind w:left="720" w:right="758"/>
        <w:contextualSpacing/>
        <w:jc w:val="both"/>
        <w:textAlignment w:val="baseline"/>
        <w:rPr>
          <w:rFonts w:ascii="Verdana" w:eastAsia="Calibri" w:hAnsi="Verdana" w:cs="Arial"/>
          <w:color w:val="000000" w:themeColor="text1"/>
          <w:sz w:val="20"/>
          <w:szCs w:val="20"/>
          <w:lang w:val="es-MX"/>
        </w:rPr>
      </w:pPr>
    </w:p>
    <w:p w14:paraId="05648752" w14:textId="77777777" w:rsidR="00E72F7D" w:rsidRPr="000E6144" w:rsidRDefault="00E72F7D" w:rsidP="00E72F7D">
      <w:pPr>
        <w:spacing w:after="0" w:line="240" w:lineRule="auto"/>
        <w:ind w:left="720" w:right="758"/>
        <w:contextualSpacing/>
        <w:jc w:val="both"/>
        <w:textAlignment w:val="baseline"/>
        <w:rPr>
          <w:rFonts w:ascii="Verdana" w:eastAsia="Calibri" w:hAnsi="Verdana" w:cs="Arial"/>
          <w:color w:val="000000" w:themeColor="text1"/>
          <w:sz w:val="20"/>
          <w:szCs w:val="20"/>
          <w:lang w:val="es-MX"/>
        </w:rPr>
      </w:pPr>
      <w:r w:rsidRPr="000E6144">
        <w:rPr>
          <w:rFonts w:ascii="Verdana" w:eastAsia="Calibri" w:hAnsi="Verdana" w:cs="Arial"/>
          <w:i/>
          <w:iCs/>
          <w:color w:val="000000" w:themeColor="text1"/>
          <w:sz w:val="20"/>
          <w:szCs w:val="20"/>
          <w:u w:val="single"/>
          <w:lang w:val="es-MX"/>
        </w:rPr>
        <w:t xml:space="preserve">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w:t>
      </w:r>
      <w:r w:rsidRPr="000E6144">
        <w:rPr>
          <w:rFonts w:ascii="Verdana" w:eastAsia="Calibri" w:hAnsi="Verdana" w:cs="Arial"/>
          <w:i/>
          <w:iCs/>
          <w:color w:val="000000" w:themeColor="text1"/>
          <w:sz w:val="20"/>
          <w:szCs w:val="20"/>
          <w:u w:val="single"/>
          <w:lang w:val="es-MX"/>
        </w:rPr>
        <w:lastRenderedPageBreak/>
        <w:t>sustentación sobre las especiales características y necesidades técnicas de las contrataciones a realizar</w:t>
      </w:r>
      <w:r w:rsidRPr="000E6144">
        <w:rPr>
          <w:rFonts w:ascii="Verdana" w:eastAsia="Calibri" w:hAnsi="Verdana" w:cs="Arial"/>
          <w:color w:val="000000" w:themeColor="text1"/>
          <w:sz w:val="20"/>
          <w:szCs w:val="20"/>
          <w:lang w:val="es-MX"/>
        </w:rPr>
        <w:t xml:space="preserve">”. </w:t>
      </w:r>
      <w:r w:rsidRPr="00E00F9B">
        <w:rPr>
          <w:rFonts w:ascii="Verdana" w:eastAsia="Calibri" w:hAnsi="Verdana" w:cs="Arial"/>
          <w:color w:val="000000" w:themeColor="text1"/>
          <w:sz w:val="20"/>
          <w:szCs w:val="20"/>
          <w:lang w:val="es-MX"/>
        </w:rPr>
        <w:t>[Énfasis fuera de texto].</w:t>
      </w:r>
    </w:p>
    <w:p w14:paraId="7CA7FF32" w14:textId="77777777" w:rsidR="00E72F7D" w:rsidRPr="000E6144" w:rsidRDefault="00E72F7D" w:rsidP="00E72F7D">
      <w:pPr>
        <w:spacing w:after="120" w:line="276" w:lineRule="auto"/>
        <w:ind w:left="720"/>
        <w:contextualSpacing/>
        <w:jc w:val="both"/>
        <w:rPr>
          <w:rFonts w:ascii="Verdana" w:eastAsia="Calibri" w:hAnsi="Verdana" w:cs="Arial"/>
          <w:color w:val="000000" w:themeColor="text1"/>
          <w:lang w:val="es-MX"/>
        </w:rPr>
      </w:pPr>
    </w:p>
    <w:p w14:paraId="53F61A06" w14:textId="77777777" w:rsidR="00E72F7D" w:rsidRPr="00E00F9B" w:rsidRDefault="00E72F7D" w:rsidP="00E72F7D">
      <w:pPr>
        <w:spacing w:after="120" w:line="276" w:lineRule="auto"/>
        <w:ind w:right="51"/>
        <w:jc w:val="both"/>
        <w:textAlignment w:val="baseline"/>
        <w:rPr>
          <w:rFonts w:ascii="Verdana" w:eastAsia="Calibri" w:hAnsi="Verdana" w:cs="Arial"/>
          <w:color w:val="000000" w:themeColor="text1"/>
          <w:lang w:val="es-MX"/>
        </w:rPr>
      </w:pPr>
      <w:bookmarkStart w:id="5" w:name="_Hlk69119210"/>
      <w:r w:rsidRPr="000E6144">
        <w:rPr>
          <w:rFonts w:ascii="Verdana" w:eastAsia="Calibri" w:hAnsi="Verdana" w:cs="Arial"/>
          <w:color w:val="000000" w:themeColor="text1"/>
          <w:lang w:val="es-MX"/>
        </w:rPr>
        <w:tab/>
        <w:t xml:space="preserve">Conforme se desprende del primer inciso de la norma transcrita, solo resulta posible la celebrar contratos de prestación con personas naturales o jurídicas cuando la Entidad Estatal contratante no tiene personal de planta que pueda ejecutar las actividades que son materia de contratación. En concordancia con esto, el segundo inciso del artículo en cita establece los criterios en atención a las cuales se considera que una Entidad Estatal no tiene personal de planta para asumir determinadas actividades que deben ser proveídas a través de la tipología contractual contemplada en el numeral 3° del artículo 32 de la Ley 80 de 1993. Al respecto establece tres supuestos alternativos: i) Cuando de acuerdo con los manuales específicos, no existe personal que pueda desarrollar la actividad para la cual se requiere contrata; </w:t>
      </w:r>
      <w:proofErr w:type="spellStart"/>
      <w:r w:rsidRPr="000E6144">
        <w:rPr>
          <w:rFonts w:ascii="Verdana" w:eastAsia="Calibri" w:hAnsi="Verdana" w:cs="Arial"/>
          <w:color w:val="000000" w:themeColor="text1"/>
          <w:lang w:val="es-MX"/>
        </w:rPr>
        <w:t>ii</w:t>
      </w:r>
      <w:proofErr w:type="spellEnd"/>
      <w:r w:rsidRPr="000E6144">
        <w:rPr>
          <w:rFonts w:ascii="Verdana" w:eastAsia="Calibri" w:hAnsi="Verdana" w:cs="Arial"/>
          <w:color w:val="000000" w:themeColor="text1"/>
          <w:lang w:val="es-MX"/>
        </w:rPr>
        <w:t xml:space="preserve">) cuando el desarrollo de la actividad requiere un grado de especialización que implica la contratación del servicio; y </w:t>
      </w:r>
      <w:proofErr w:type="spellStart"/>
      <w:r w:rsidRPr="000E6144">
        <w:rPr>
          <w:rFonts w:ascii="Verdana" w:eastAsia="Calibri" w:hAnsi="Verdana" w:cs="Arial"/>
          <w:color w:val="000000" w:themeColor="text1"/>
          <w:lang w:val="es-MX"/>
        </w:rPr>
        <w:t>iii</w:t>
      </w:r>
      <w:proofErr w:type="spellEnd"/>
      <w:r w:rsidRPr="000E6144">
        <w:rPr>
          <w:rFonts w:ascii="Verdana" w:eastAsia="Calibri" w:hAnsi="Verdana" w:cs="Arial"/>
          <w:color w:val="000000" w:themeColor="text1"/>
          <w:lang w:val="es-MX"/>
        </w:rPr>
        <w:t xml:space="preserve">) cuando el desarrollo de la actividad requiere un grado de especialización que implica la contratación del servicio. </w:t>
      </w:r>
      <w:r w:rsidRPr="00E00F9B">
        <w:rPr>
          <w:rFonts w:ascii="Verdana" w:eastAsia="Calibri" w:hAnsi="Verdana" w:cs="Arial"/>
          <w:color w:val="000000" w:themeColor="text1"/>
          <w:lang w:val="es-MX"/>
        </w:rPr>
        <w:t xml:space="preserve">En caso de que se configure alguno de estos supuestos, la Entidad Estatal podrá certificar la inexistencia o insuficiencia de personal y proceder a la celebración del contrato de prestación de servicios. </w:t>
      </w:r>
    </w:p>
    <w:p w14:paraId="23513192" w14:textId="77777777" w:rsidR="00E72F7D" w:rsidRPr="00E00F9B" w:rsidRDefault="00E72F7D" w:rsidP="00E72F7D">
      <w:pPr>
        <w:spacing w:after="120" w:line="276" w:lineRule="auto"/>
        <w:ind w:right="51"/>
        <w:jc w:val="both"/>
        <w:textAlignment w:val="baseline"/>
        <w:rPr>
          <w:rFonts w:ascii="Verdana" w:eastAsia="Calibri" w:hAnsi="Verdana" w:cs="Arial"/>
          <w:color w:val="000000" w:themeColor="text1"/>
          <w:lang w:val="es-MX"/>
        </w:rPr>
      </w:pPr>
      <w:r w:rsidRPr="00E00F9B">
        <w:rPr>
          <w:rFonts w:ascii="Verdana" w:eastAsia="Calibri" w:hAnsi="Verdana" w:cs="Arial"/>
          <w:color w:val="000000" w:themeColor="text1"/>
          <w:lang w:val="es-MX"/>
        </w:rPr>
        <w:tab/>
        <w:t xml:space="preserve">De otra parte, el tercer inciso del artículo </w:t>
      </w:r>
      <w:r w:rsidRPr="000E6144">
        <w:rPr>
          <w:rFonts w:ascii="Verdana" w:eastAsia="Calibri" w:hAnsi="Verdana" w:cs="Arial"/>
          <w:color w:val="000000" w:themeColor="text1"/>
          <w:lang w:val="es-MX"/>
        </w:rPr>
        <w:t xml:space="preserve">2.8.4.4.5 del Decreto 1068 de 2015 establece </w:t>
      </w:r>
      <w:r w:rsidRPr="00E00F9B">
        <w:rPr>
          <w:rFonts w:ascii="Verdana" w:eastAsia="Calibri" w:hAnsi="Verdana" w:cs="Arial"/>
          <w:color w:val="000000" w:themeColor="text1"/>
          <w:lang w:val="es-MX"/>
        </w:rPr>
        <w:t xml:space="preserve">una restricción en virtud de la cual, en principio, no resulta posible celebrar nuevos contratos de prestación de servicios, cuando la Entidad Estatal tiene vigentes relaciones contractuales vigentes de cualquier índole con un objeto igual al del contrato que se pretende suscribir. Esto supone una especial carga argumentativa en la justificación de la necesidad, en procura de velar por una planeación adecuada de la contratación de prestación de servicios, de manera que no exista una pluralidad de contratistas vinculados a la Entidad Estatal para la prestación de los mismos servicios. </w:t>
      </w:r>
    </w:p>
    <w:p w14:paraId="7CE77C43" w14:textId="77777777" w:rsidR="00E72F7D" w:rsidRPr="00E00F9B" w:rsidRDefault="00E72F7D" w:rsidP="00E72F7D">
      <w:pPr>
        <w:spacing w:after="120" w:line="276" w:lineRule="auto"/>
        <w:ind w:right="51"/>
        <w:jc w:val="both"/>
        <w:textAlignment w:val="baseline"/>
        <w:rPr>
          <w:rFonts w:ascii="Verdana" w:eastAsia="Calibri" w:hAnsi="Verdana" w:cs="Arial"/>
          <w:color w:val="000000" w:themeColor="text1"/>
          <w:lang w:val="es-MX"/>
        </w:rPr>
      </w:pPr>
      <w:r w:rsidRPr="00E00F9B">
        <w:rPr>
          <w:rFonts w:ascii="Verdana" w:eastAsia="Calibri" w:hAnsi="Verdana" w:cs="Arial"/>
          <w:color w:val="000000" w:themeColor="text1"/>
          <w:lang w:val="es-MX"/>
        </w:rPr>
        <w:t xml:space="preserve"> </w:t>
      </w:r>
      <w:r w:rsidRPr="00E00F9B">
        <w:rPr>
          <w:rFonts w:ascii="Verdana" w:eastAsia="Calibri" w:hAnsi="Verdana" w:cs="Arial"/>
          <w:color w:val="000000" w:themeColor="text1"/>
          <w:lang w:val="es-MX"/>
        </w:rPr>
        <w:tab/>
        <w:t xml:space="preserve">Sin perjuicio de lo anterior, el tercer inciso del artículo 2.8.4.4.5 establece como regla excepcional la posibilidad que se celebren nuevos contratos de prestación de servicios, a pesar de la vigencia de relaciones contractual con objetos similares, condicionando ello a la autorización expresa del jefe del respectivo órgano, ente o entidad contratante. Además del carácter expreso que debe tener dicha autorización, esta debe realizar con sustento en </w:t>
      </w:r>
      <w:r w:rsidRPr="00E00F9B">
        <w:rPr>
          <w:rFonts w:ascii="Verdana" w:eastAsia="Calibri" w:hAnsi="Verdana" w:cs="Arial"/>
          <w:color w:val="000000" w:themeColor="text1"/>
        </w:rPr>
        <w:t xml:space="preserve">sustentación sobre las especiales características y necesidades técnicas de las contrataciones </w:t>
      </w:r>
      <w:r w:rsidRPr="00E00F9B">
        <w:rPr>
          <w:rFonts w:ascii="Verdana" w:eastAsia="Calibri" w:hAnsi="Verdana" w:cs="Arial"/>
          <w:color w:val="000000" w:themeColor="text1"/>
        </w:rPr>
        <w:lastRenderedPageBreak/>
        <w:t xml:space="preserve">a realizar, en virtud las cuales se hace necesario que los servicios sean prestados a través de más de una relación contractual. </w:t>
      </w:r>
      <w:r w:rsidRPr="00E00F9B">
        <w:rPr>
          <w:rFonts w:ascii="Verdana" w:eastAsia="Calibri" w:hAnsi="Verdana" w:cs="Arial"/>
          <w:color w:val="000000" w:themeColor="text1"/>
          <w:lang w:val="es-MX"/>
        </w:rPr>
        <w:t xml:space="preserve"> </w:t>
      </w:r>
    </w:p>
    <w:p w14:paraId="57970874" w14:textId="77777777" w:rsidR="00E72F7D" w:rsidRDefault="00E72F7D" w:rsidP="00E72F7D">
      <w:pPr>
        <w:spacing w:after="120" w:line="276" w:lineRule="auto"/>
        <w:ind w:firstLine="703"/>
        <w:jc w:val="both"/>
        <w:rPr>
          <w:rStyle w:val="eop"/>
          <w:rFonts w:ascii="Verdana" w:hAnsi="Verdana" w:cs="Arial"/>
          <w:color w:val="000000"/>
        </w:rPr>
      </w:pPr>
      <w:r w:rsidRPr="00E00F9B">
        <w:rPr>
          <w:rFonts w:ascii="Verdana" w:eastAsia="Calibri" w:hAnsi="Verdana" w:cs="Arial"/>
          <w:color w:val="000000" w:themeColor="text1"/>
        </w:rPr>
        <w:t>De acuerdo con lo explicado,</w:t>
      </w:r>
      <w:r w:rsidRPr="000E6144">
        <w:rPr>
          <w:rFonts w:ascii="Verdana" w:eastAsia="Calibri" w:hAnsi="Verdana" w:cs="Arial"/>
          <w:color w:val="000000" w:themeColor="text1"/>
        </w:rPr>
        <w:t xml:space="preserve"> </w:t>
      </w:r>
      <w:r w:rsidRPr="000E6144">
        <w:rPr>
          <w:rStyle w:val="normaltextrun"/>
          <w:rFonts w:ascii="Verdana" w:hAnsi="Verdana" w:cs="Arial"/>
          <w:color w:val="000000"/>
        </w:rPr>
        <w:t>se concluye que es posible celebrar dos o más contratos de prestación de servicios profesionales con el mismo objeto por parte de una entidad. Pero, para que ello sea viable deben cumplirse los requisitos a los que se hizo referencia en el presente concepto, pues se recuerda que la celebración del contrato de prestación de servicios profesionales con una persona natural es </w:t>
      </w:r>
      <w:r w:rsidRPr="000E6144">
        <w:rPr>
          <w:rStyle w:val="normaltextrun"/>
          <w:rFonts w:ascii="Verdana" w:hAnsi="Verdana" w:cs="Arial"/>
          <w:i/>
          <w:iCs/>
          <w:color w:val="000000"/>
        </w:rPr>
        <w:t>excepcional</w:t>
      </w:r>
      <w:r w:rsidRPr="000E6144">
        <w:rPr>
          <w:rStyle w:val="normaltextrun"/>
          <w:rFonts w:ascii="Verdana" w:hAnsi="Verdana" w:cs="Arial"/>
          <w:color w:val="000000"/>
        </w:rPr>
        <w:t xml:space="preserve">, ya que solo es admisible cuando las </w:t>
      </w:r>
      <w:r w:rsidRPr="00E00F9B">
        <w:rPr>
          <w:rStyle w:val="normaltextrun"/>
          <w:rFonts w:ascii="Verdana" w:hAnsi="Verdana" w:cs="Arial"/>
          <w:color w:val="000000"/>
        </w:rPr>
        <w:t>“</w:t>
      </w:r>
      <w:r w:rsidRPr="000E6144">
        <w:rPr>
          <w:rStyle w:val="normaltextrun"/>
          <w:rFonts w:ascii="Verdana" w:hAnsi="Verdana" w:cs="Arial"/>
          <w:color w:val="000000"/>
        </w:rPr>
        <w:t>actividades no puedan realizarse con personal de planta o requieran conocimientos especializados</w:t>
      </w:r>
      <w:r w:rsidRPr="00E00F9B">
        <w:rPr>
          <w:rStyle w:val="normaltextrun"/>
          <w:rFonts w:ascii="Verdana" w:hAnsi="Verdana" w:cs="Arial"/>
          <w:color w:val="000000"/>
        </w:rPr>
        <w:t>”</w:t>
      </w:r>
      <w:r w:rsidRPr="000E6144">
        <w:rPr>
          <w:rStyle w:val="normaltextrun"/>
          <w:rFonts w:ascii="Verdana" w:hAnsi="Verdana" w:cs="Arial"/>
          <w:color w:val="000000"/>
        </w:rPr>
        <w:t>, lo cual debe justificarse satisfactoriamente en los estudios previos. Además, dicho contrato debe ser </w:t>
      </w:r>
      <w:r w:rsidRPr="000E6144">
        <w:rPr>
          <w:rStyle w:val="normaltextrun"/>
          <w:rFonts w:ascii="Verdana" w:hAnsi="Verdana" w:cs="Arial"/>
          <w:i/>
          <w:iCs/>
          <w:color w:val="000000"/>
        </w:rPr>
        <w:t>temporal</w:t>
      </w:r>
      <w:r w:rsidRPr="000E6144">
        <w:rPr>
          <w:rStyle w:val="normaltextrun"/>
          <w:rFonts w:ascii="Verdana" w:hAnsi="Verdana" w:cs="Arial"/>
          <w:color w:val="000000"/>
        </w:rPr>
        <w:t> y no puede servir para la creación de nóminas paralelas</w:t>
      </w:r>
      <w:r w:rsidRPr="000E6144">
        <w:rPr>
          <w:rStyle w:val="superscript"/>
          <w:rFonts w:ascii="Verdana" w:hAnsi="Verdana" w:cs="Arial"/>
          <w:color w:val="000000"/>
          <w:vertAlign w:val="superscript"/>
        </w:rPr>
        <w:t>15</w:t>
      </w:r>
      <w:r w:rsidRPr="000E6144">
        <w:rPr>
          <w:rStyle w:val="normaltextrun"/>
          <w:rFonts w:ascii="Verdana" w:hAnsi="Verdana" w:cs="Arial"/>
          <w:color w:val="000000"/>
        </w:rPr>
        <w:t>. </w:t>
      </w:r>
      <w:r w:rsidRPr="000E6144">
        <w:rPr>
          <w:rStyle w:val="eop"/>
          <w:rFonts w:ascii="Verdana" w:hAnsi="Verdana" w:cs="Arial"/>
          <w:color w:val="000000"/>
        </w:rPr>
        <w:t> </w:t>
      </w:r>
    </w:p>
    <w:p w14:paraId="582C3C8E" w14:textId="77777777" w:rsidR="00E72F7D" w:rsidRPr="007811F0" w:rsidRDefault="00E72F7D" w:rsidP="00E72F7D">
      <w:pPr>
        <w:spacing w:after="0" w:line="276" w:lineRule="auto"/>
        <w:jc w:val="both"/>
        <w:rPr>
          <w:rFonts w:ascii="Verdana" w:eastAsia="Century Gothic" w:hAnsi="Verdana" w:cs="Century Gothic"/>
        </w:rPr>
      </w:pPr>
      <w:proofErr w:type="spellStart"/>
      <w:r>
        <w:rPr>
          <w:rFonts w:ascii="Verdana" w:eastAsia="Century Gothic" w:hAnsi="Verdana" w:cs="Century Gothic"/>
        </w:rPr>
        <w:t>iii</w:t>
      </w:r>
      <w:proofErr w:type="spellEnd"/>
      <w:r>
        <w:rPr>
          <w:rFonts w:ascii="Verdana" w:eastAsia="Century Gothic" w:hAnsi="Verdana" w:cs="Century Gothic"/>
        </w:rPr>
        <w:t>)</w:t>
      </w:r>
      <w:r w:rsidRPr="007811F0">
        <w:rPr>
          <w:rFonts w:ascii="Verdana" w:eastAsia="Century Gothic" w:hAnsi="Verdana" w:cs="Century Gothic"/>
        </w:rPr>
        <w:t>Sobre el fraccionamiento del contrato procede citar lo expuesto por el Consejo de Estado</w:t>
      </w:r>
      <w:r w:rsidRPr="00C06435">
        <w:rPr>
          <w:vertAlign w:val="superscript"/>
        </w:rPr>
        <w:footnoteReference w:id="17"/>
      </w:r>
      <w:r w:rsidRPr="007811F0">
        <w:rPr>
          <w:rFonts w:ascii="Verdana" w:eastAsia="Century Gothic" w:hAnsi="Verdana" w:cs="Century Gothic"/>
        </w:rPr>
        <w:t>, quien sobre el particular precisó:</w:t>
      </w:r>
    </w:p>
    <w:p w14:paraId="341BFB70" w14:textId="77777777" w:rsidR="00E72F7D" w:rsidRPr="00E24B82" w:rsidRDefault="00E72F7D" w:rsidP="00E72F7D">
      <w:pPr>
        <w:spacing w:after="0" w:line="276" w:lineRule="auto"/>
        <w:jc w:val="both"/>
        <w:rPr>
          <w:rFonts w:ascii="Verdana" w:eastAsia="Century Gothic" w:hAnsi="Verdana" w:cs="Century Gothic"/>
        </w:rPr>
      </w:pPr>
    </w:p>
    <w:p w14:paraId="3089C816" w14:textId="77777777" w:rsidR="00E72F7D" w:rsidRPr="00E24B82" w:rsidRDefault="00E72F7D" w:rsidP="00E72F7D">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w:t>
      </w:r>
      <w:r>
        <w:rPr>
          <w:rFonts w:ascii="Verdana" w:eastAsia="Century Gothic" w:hAnsi="Verdana" w:cs="Century Gothic"/>
          <w:sz w:val="21"/>
          <w:szCs w:val="21"/>
        </w:rPr>
        <w:t xml:space="preserve"> </w:t>
      </w:r>
      <w:r w:rsidRPr="00E24B82">
        <w:rPr>
          <w:rFonts w:ascii="Verdana" w:eastAsia="Century Gothic" w:hAnsi="Verdana" w:cs="Century Gothic"/>
          <w:sz w:val="21"/>
          <w:szCs w:val="21"/>
        </w:rPr>
        <w:t>previstos en la ley, y al propio tiempo les prohíbe eludir los procedimientos de selección objetiva y los demás requisitos previstos en dicho estatuto”.</w:t>
      </w:r>
    </w:p>
    <w:p w14:paraId="30CDCA03" w14:textId="77777777" w:rsidR="00E72F7D" w:rsidRPr="00E24B82" w:rsidRDefault="00E72F7D" w:rsidP="00E72F7D">
      <w:pPr>
        <w:spacing w:after="0" w:line="276" w:lineRule="auto"/>
        <w:jc w:val="both"/>
        <w:rPr>
          <w:rFonts w:ascii="Verdana" w:eastAsia="Century Gothic" w:hAnsi="Verdana" w:cs="Century Gothic"/>
        </w:rPr>
      </w:pPr>
    </w:p>
    <w:p w14:paraId="61CB9CA5" w14:textId="77777777" w:rsidR="00E72F7D" w:rsidRDefault="00E72F7D" w:rsidP="00E72F7D">
      <w:pPr>
        <w:spacing w:after="0" w:line="276" w:lineRule="auto"/>
        <w:ind w:firstLine="708"/>
        <w:jc w:val="both"/>
        <w:rPr>
          <w:rFonts w:ascii="Verdana" w:eastAsia="Century Gothic" w:hAnsi="Verdana" w:cs="Century Gothic"/>
        </w:rPr>
      </w:pPr>
      <w:r w:rsidRPr="00E24B82">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w:t>
      </w:r>
      <w:proofErr w:type="spellStart"/>
      <w:r w:rsidRPr="00E24B82">
        <w:rPr>
          <w:rFonts w:ascii="Verdana" w:eastAsia="Century Gothic" w:hAnsi="Verdana" w:cs="Century Gothic"/>
        </w:rPr>
        <w:t>Melida</w:t>
      </w:r>
      <w:proofErr w:type="spellEnd"/>
      <w:r w:rsidRPr="00E24B82">
        <w:rPr>
          <w:rFonts w:ascii="Verdana" w:eastAsia="Century Gothic" w:hAnsi="Verdana" w:cs="Century Gothic"/>
        </w:rPr>
        <w:t xml:space="preserve"> Valle de </w:t>
      </w:r>
      <w:proofErr w:type="spellStart"/>
      <w:r w:rsidRPr="00E24B82">
        <w:rPr>
          <w:rFonts w:ascii="Verdana" w:eastAsia="Century Gothic" w:hAnsi="Verdana" w:cs="Century Gothic"/>
        </w:rPr>
        <w:t>De</w:t>
      </w:r>
      <w:proofErr w:type="spellEnd"/>
      <w:r w:rsidRPr="00E24B82">
        <w:rPr>
          <w:rFonts w:ascii="Verdana" w:eastAsia="Century Gothic" w:hAnsi="Verdana" w:cs="Century Gothic"/>
        </w:rPr>
        <w:t xml:space="preserve"> La Hoz, se señaló:</w:t>
      </w:r>
    </w:p>
    <w:p w14:paraId="5B4551B0" w14:textId="77777777" w:rsidR="00E72F7D" w:rsidRDefault="00E72F7D" w:rsidP="00E72F7D">
      <w:pPr>
        <w:spacing w:after="0" w:line="276" w:lineRule="auto"/>
        <w:ind w:firstLine="708"/>
        <w:jc w:val="both"/>
        <w:rPr>
          <w:rFonts w:ascii="Verdana" w:eastAsia="Century Gothic" w:hAnsi="Verdana" w:cs="Century Gothic"/>
        </w:rPr>
      </w:pPr>
    </w:p>
    <w:p w14:paraId="0D5BAE6C" w14:textId="77777777" w:rsidR="00E72F7D" w:rsidRPr="00E24B82" w:rsidRDefault="00E72F7D" w:rsidP="00E72F7D">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 xml:space="preserve">“La Corte Suprema de Justicia ha precisado que el fraccionamiento de contratos tiene lugar, “en los eventos en los cuales la administración para eludir el procedimiento de licitación pública, divide disimuladamente el objeto del contrato con el ánimo de favorecer a los contratistas. En su demostración, deben confluir las circunstancias siguientes: i) Que sea posible pregonar la unidad de objeto en relación con el contrato cuya legalidad se cuestiona y, de ser así, </w:t>
      </w:r>
      <w:proofErr w:type="spellStart"/>
      <w:r w:rsidRPr="00E24B82">
        <w:rPr>
          <w:rFonts w:ascii="Verdana" w:eastAsia="Century Gothic" w:hAnsi="Verdana" w:cs="Century Gothic"/>
          <w:sz w:val="21"/>
          <w:szCs w:val="21"/>
        </w:rPr>
        <w:t>ii</w:t>
      </w:r>
      <w:proofErr w:type="spellEnd"/>
      <w:r w:rsidRPr="00E24B82">
        <w:rPr>
          <w:rFonts w:ascii="Verdana" w:eastAsia="Century Gothic" w:hAnsi="Verdana" w:cs="Century Gothic"/>
          <w:sz w:val="21"/>
          <w:szCs w:val="21"/>
        </w:rPr>
        <w:t>)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113F24C7" w14:textId="77777777" w:rsidR="00E72F7D" w:rsidRDefault="00E72F7D" w:rsidP="00E72F7D">
      <w:pPr>
        <w:spacing w:after="0" w:line="276" w:lineRule="auto"/>
        <w:jc w:val="both"/>
        <w:rPr>
          <w:rFonts w:ascii="Verdana" w:eastAsia="Century Gothic" w:hAnsi="Verdana" w:cs="Century Gothic"/>
        </w:rPr>
      </w:pPr>
    </w:p>
    <w:p w14:paraId="3E729AF8" w14:textId="77777777" w:rsidR="00E72F7D" w:rsidRDefault="00E72F7D" w:rsidP="00E72F7D">
      <w:pPr>
        <w:spacing w:after="0" w:line="276" w:lineRule="auto"/>
        <w:ind w:firstLine="708"/>
        <w:jc w:val="both"/>
        <w:rPr>
          <w:rFonts w:ascii="Verdana" w:eastAsia="Century Gothic" w:hAnsi="Verdana" w:cs="Century Gothic"/>
        </w:rPr>
      </w:pPr>
      <w:r w:rsidRPr="0062139C">
        <w:rPr>
          <w:rFonts w:ascii="Verdana" w:eastAsia="Century Gothic" w:hAnsi="Verdana" w:cs="Century Gothic"/>
        </w:rPr>
        <w:t>Vale la pena destacar que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en otros términos, se fracciona un contrato cuando se quebranta y se divide la unidad natural de su objeto”</w:t>
      </w:r>
      <w:r>
        <w:rPr>
          <w:rStyle w:val="Refdenotaalpie"/>
          <w:rFonts w:ascii="Verdana" w:eastAsia="Century Gothic" w:hAnsi="Verdana" w:cs="Century Gothic"/>
        </w:rPr>
        <w:footnoteReference w:id="18"/>
      </w:r>
    </w:p>
    <w:p w14:paraId="4DAFEA2B" w14:textId="77777777" w:rsidR="00E72F7D" w:rsidRDefault="00E72F7D" w:rsidP="00E72F7D">
      <w:pPr>
        <w:spacing w:after="0" w:line="276" w:lineRule="auto"/>
        <w:ind w:firstLine="708"/>
        <w:jc w:val="both"/>
        <w:rPr>
          <w:rFonts w:ascii="Verdana" w:eastAsia="Century Gothic" w:hAnsi="Verdana" w:cs="Century Gothic"/>
        </w:rPr>
      </w:pPr>
      <w:r w:rsidRPr="0062139C">
        <w:rPr>
          <w:rFonts w:ascii="Verdana" w:eastAsia="Century Gothic" w:hAnsi="Verdana" w:cs="Century Gothic"/>
        </w:rPr>
        <w:t>Fraccionar la unidad natural de un objeto contractual con el propósito de evadir una cuantía superior que implicaría un proceso de selección diferente,</w:t>
      </w:r>
      <w:r>
        <w:rPr>
          <w:rFonts w:ascii="Verdana" w:eastAsia="Century Gothic" w:hAnsi="Verdana" w:cs="Century Gothic"/>
        </w:rPr>
        <w:t xml:space="preserve"> </w:t>
      </w:r>
      <w:r w:rsidRPr="0062139C">
        <w:rPr>
          <w:rFonts w:ascii="Verdana" w:eastAsia="Century Gothic" w:hAnsi="Verdana" w:cs="Century Gothic"/>
        </w:rPr>
        <w:t>tiene como consecuencia la nulidad absoluta del contrato en los términos de los artículos 44 y 45 de la Ley 80 de 1993, aplicable en lo correspondiente a este tipo de contrato</w:t>
      </w:r>
      <w:r>
        <w:rPr>
          <w:rStyle w:val="Refdenotaalpie"/>
          <w:rFonts w:ascii="Verdana" w:eastAsia="Century Gothic" w:hAnsi="Verdana" w:cs="Century Gothic"/>
        </w:rPr>
        <w:footnoteReference w:id="19"/>
      </w:r>
      <w:r>
        <w:rPr>
          <w:rFonts w:ascii="Verdana" w:eastAsia="Century Gothic" w:hAnsi="Verdana" w:cs="Century Gothic"/>
        </w:rPr>
        <w:t>.</w:t>
      </w:r>
    </w:p>
    <w:p w14:paraId="70B757CC" w14:textId="77777777" w:rsidR="00E72F7D" w:rsidRDefault="00E72F7D" w:rsidP="00E72F7D">
      <w:pPr>
        <w:spacing w:after="0" w:line="276" w:lineRule="auto"/>
        <w:ind w:firstLine="708"/>
        <w:jc w:val="both"/>
        <w:rPr>
          <w:rFonts w:ascii="Verdana" w:eastAsia="Century Gothic" w:hAnsi="Verdana" w:cs="Century Gothic"/>
        </w:rPr>
      </w:pPr>
      <w:r w:rsidRPr="0049433C">
        <w:rPr>
          <w:rFonts w:ascii="Verdana" w:eastAsia="Century Gothic" w:hAnsi="Verdana" w:cs="Century Gothic"/>
        </w:rPr>
        <w:t xml:space="preserve">Ahora bien, a la luz de la jurisprudencia solo habrá fraccionamiento del contrato cuando concurran los siguientes elementos: </w:t>
      </w:r>
      <w:r>
        <w:rPr>
          <w:rFonts w:ascii="Verdana" w:eastAsia="Century Gothic" w:hAnsi="Verdana" w:cs="Century Gothic"/>
        </w:rPr>
        <w:t>“</w:t>
      </w:r>
      <w:r w:rsidRPr="0049433C">
        <w:rPr>
          <w:rFonts w:ascii="Verdana" w:eastAsia="Century Gothic" w:hAnsi="Verdana" w:cs="Century Gothic"/>
        </w:rPr>
        <w:t xml:space="preserve">i) que exista una separación artificial de un mismo objeto contractual y </w:t>
      </w:r>
      <w:proofErr w:type="spellStart"/>
      <w:r w:rsidRPr="0049433C">
        <w:rPr>
          <w:rFonts w:ascii="Verdana" w:eastAsia="Century Gothic" w:hAnsi="Verdana" w:cs="Century Gothic"/>
        </w:rPr>
        <w:t>ii</w:t>
      </w:r>
      <w:proofErr w:type="spellEnd"/>
      <w:r w:rsidRPr="0049433C">
        <w:rPr>
          <w:rFonts w:ascii="Verdana" w:eastAsia="Century Gothic" w:hAnsi="Verdana" w:cs="Century Gothic"/>
        </w:rPr>
        <w:t xml:space="preserve">) que dicha separación tenga como objetivo evitar procedimientos de convocatoria pública y de </w:t>
      </w:r>
      <w:r w:rsidRPr="0049433C">
        <w:rPr>
          <w:rFonts w:ascii="Verdana" w:eastAsia="Century Gothic" w:hAnsi="Verdana" w:cs="Century Gothic"/>
        </w:rPr>
        <w:lastRenderedPageBreak/>
        <w:t>selección objetiva</w:t>
      </w:r>
      <w:r>
        <w:rPr>
          <w:rFonts w:ascii="Verdana" w:eastAsia="Century Gothic" w:hAnsi="Verdana" w:cs="Century Gothic"/>
        </w:rPr>
        <w:t>”</w:t>
      </w:r>
      <w:r>
        <w:rPr>
          <w:rStyle w:val="Refdenotaalpie"/>
          <w:rFonts w:ascii="Verdana" w:eastAsia="Century Gothic" w:hAnsi="Verdana" w:cs="Century Gothic"/>
        </w:rPr>
        <w:footnoteReference w:id="20"/>
      </w:r>
      <w:r w:rsidRPr="0049433C">
        <w:rPr>
          <w:rFonts w:ascii="Verdana" w:eastAsia="Century Gothic" w:hAnsi="Verdana" w:cs="Century Gothic"/>
        </w:rPr>
        <w:t>. De manera que estos elementos deberán ser constatados por la autoridad judicial competente para declarar una eventual nulidad absoluta del contrato.</w:t>
      </w:r>
    </w:p>
    <w:p w14:paraId="44B027B1" w14:textId="77777777" w:rsidR="00E72F7D" w:rsidRDefault="00E72F7D" w:rsidP="00E72F7D">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este contexto, el </w:t>
      </w:r>
      <w:r w:rsidRPr="008B6B73">
        <w:rPr>
          <w:rFonts w:ascii="Verdana" w:eastAsia="Calibri" w:hAnsi="Verdana" w:cs="Arial"/>
          <w:bCs/>
          <w:i/>
          <w:iCs/>
          <w:color w:val="000000" w:themeColor="text1"/>
        </w:rPr>
        <w:t>fraccionamiento</w:t>
      </w:r>
      <w:r>
        <w:rPr>
          <w:rFonts w:ascii="Verdana" w:eastAsia="Calibri" w:hAnsi="Verdana" w:cs="Arial"/>
          <w:bCs/>
          <w:color w:val="000000" w:themeColor="text1"/>
        </w:rPr>
        <w:t xml:space="preserve"> implica </w:t>
      </w:r>
      <w:r w:rsidRPr="000759FD">
        <w:rPr>
          <w:rFonts w:ascii="Verdana" w:eastAsia="Calibri" w:hAnsi="Verdana" w:cs="Arial"/>
          <w:bCs/>
          <w:color w:val="000000" w:themeColor="text1"/>
        </w:rPr>
        <w:t xml:space="preserve">dividir </w:t>
      </w:r>
      <w:r>
        <w:rPr>
          <w:rFonts w:ascii="Verdana" w:eastAsia="Calibri" w:hAnsi="Verdana" w:cs="Arial"/>
          <w:bCs/>
          <w:color w:val="000000" w:themeColor="text1"/>
        </w:rPr>
        <w:t xml:space="preserve">las </w:t>
      </w:r>
      <w:r w:rsidRPr="000759FD">
        <w:rPr>
          <w:rFonts w:ascii="Verdana" w:eastAsia="Calibri" w:hAnsi="Verdana" w:cs="Arial"/>
          <w:bCs/>
          <w:color w:val="000000" w:themeColor="text1"/>
        </w:rPr>
        <w:t>prestaciones en dos o más contratos que</w:t>
      </w:r>
      <w:r>
        <w:rPr>
          <w:rFonts w:ascii="Verdana" w:eastAsia="Calibri" w:hAnsi="Verdana" w:cs="Arial"/>
          <w:bCs/>
          <w:color w:val="000000" w:themeColor="text1"/>
        </w:rPr>
        <w:t xml:space="preserve"> pueden</w:t>
      </w:r>
      <w:r w:rsidRPr="000759FD">
        <w:rPr>
          <w:rFonts w:ascii="Verdana" w:eastAsia="Calibri" w:hAnsi="Verdana" w:cs="Arial"/>
          <w:bCs/>
          <w:color w:val="000000" w:themeColor="text1"/>
        </w:rPr>
        <w:t xml:space="preserve"> constituir un único </w:t>
      </w:r>
      <w:r>
        <w:rPr>
          <w:rFonts w:ascii="Verdana" w:eastAsia="Calibri" w:hAnsi="Verdana" w:cs="Arial"/>
          <w:bCs/>
          <w:color w:val="000000" w:themeColor="text1"/>
        </w:rPr>
        <w:t>negocio jurídico</w:t>
      </w:r>
      <w:r>
        <w:rPr>
          <w:rStyle w:val="Refdenotaalpie"/>
          <w:rFonts w:ascii="Verdana" w:eastAsia="Calibri" w:hAnsi="Verdana" w:cs="Arial"/>
          <w:bCs/>
          <w:color w:val="000000" w:themeColor="text1"/>
        </w:rPr>
        <w:footnoteReference w:id="21"/>
      </w:r>
      <w:r>
        <w:rPr>
          <w:rFonts w:ascii="Verdana" w:eastAsia="Calibri" w:hAnsi="Verdana" w:cs="Arial"/>
          <w:bCs/>
          <w:color w:val="000000" w:themeColor="text1"/>
        </w:rPr>
        <w:t xml:space="preserve">. </w:t>
      </w:r>
      <w:r w:rsidRPr="000759FD">
        <w:rPr>
          <w:rFonts w:ascii="Verdana" w:eastAsia="Calibri" w:hAnsi="Verdana" w:cs="Arial"/>
          <w:bCs/>
          <w:color w:val="000000" w:themeColor="text1"/>
        </w:rPr>
        <w:t>Para demostrar</w:t>
      </w:r>
      <w:r>
        <w:rPr>
          <w:rFonts w:ascii="Verdana" w:eastAsia="Calibri" w:hAnsi="Verdana" w:cs="Arial"/>
          <w:bCs/>
          <w:color w:val="000000" w:themeColor="text1"/>
        </w:rPr>
        <w:t xml:space="preserve">lo </w:t>
      </w:r>
      <w:r w:rsidRPr="000759FD">
        <w:rPr>
          <w:rFonts w:ascii="Verdana" w:eastAsia="Calibri" w:hAnsi="Verdana" w:cs="Arial"/>
          <w:bCs/>
          <w:color w:val="000000" w:themeColor="text1"/>
        </w:rPr>
        <w:t xml:space="preserve">deben concurrir las siguientes circunstancias: i) que sea posible demostrar la unidad del objeto en relación con el contrato cuya legalidad se cuestiona y, de ser así, </w:t>
      </w:r>
      <w:proofErr w:type="spellStart"/>
      <w:r w:rsidRPr="000759FD">
        <w:rPr>
          <w:rFonts w:ascii="Verdana" w:eastAsia="Calibri" w:hAnsi="Verdana" w:cs="Arial"/>
          <w:bCs/>
          <w:color w:val="000000" w:themeColor="text1"/>
        </w:rPr>
        <w:t>ii</w:t>
      </w:r>
      <w:proofErr w:type="spellEnd"/>
      <w:r w:rsidRPr="000759FD">
        <w:rPr>
          <w:rFonts w:ascii="Verdana" w:eastAsia="Calibri" w:hAnsi="Verdana" w:cs="Arial"/>
          <w:bCs/>
          <w:color w:val="000000" w:themeColor="text1"/>
        </w:rPr>
        <w:t xml:space="preserve">) determinar cuáles fueron las circunstancias que condujeron a la </w:t>
      </w:r>
      <w:r>
        <w:rPr>
          <w:rFonts w:ascii="Verdana" w:eastAsia="Calibri" w:hAnsi="Verdana" w:cs="Arial"/>
          <w:bCs/>
          <w:color w:val="000000" w:themeColor="text1"/>
        </w:rPr>
        <w:t>A</w:t>
      </w:r>
      <w:r w:rsidRPr="000759FD">
        <w:rPr>
          <w:rFonts w:ascii="Verdana" w:eastAsia="Calibri" w:hAnsi="Verdana" w:cs="Arial"/>
          <w:bCs/>
          <w:color w:val="000000" w:themeColor="text1"/>
        </w:rPr>
        <w:t>dministración a celebrar varios contratos, pues s</w:t>
      </w:r>
      <w:r>
        <w:rPr>
          <w:rFonts w:ascii="Verdana" w:eastAsia="Calibri" w:hAnsi="Verdana" w:cs="Arial"/>
          <w:bCs/>
          <w:color w:val="000000" w:themeColor="text1"/>
        </w:rPr>
        <w:t>ó</w:t>
      </w:r>
      <w:r w:rsidRPr="000759FD">
        <w:rPr>
          <w:rFonts w:ascii="Verdana" w:eastAsia="Calibri" w:hAnsi="Verdana" w:cs="Arial"/>
          <w:bCs/>
          <w:color w:val="000000" w:themeColor="text1"/>
        </w:rPr>
        <w:t>lo de esta manera puede inferir</w:t>
      </w:r>
      <w:r>
        <w:rPr>
          <w:rFonts w:ascii="Verdana" w:eastAsia="Calibri" w:hAnsi="Verdana" w:cs="Arial"/>
          <w:bCs/>
          <w:color w:val="000000" w:themeColor="text1"/>
        </w:rPr>
        <w:t>se</w:t>
      </w:r>
      <w:r w:rsidRPr="000759FD">
        <w:rPr>
          <w:rFonts w:ascii="Verdana" w:eastAsia="Calibri" w:hAnsi="Verdana" w:cs="Arial"/>
          <w:bCs/>
          <w:color w:val="000000" w:themeColor="text1"/>
        </w:rPr>
        <w:t xml:space="preserve"> si el actuar se basó en criterios razonables de interés público o</w:t>
      </w:r>
      <w:r>
        <w:rPr>
          <w:rFonts w:ascii="Verdana" w:eastAsia="Calibri" w:hAnsi="Verdana" w:cs="Arial"/>
          <w:bCs/>
          <w:color w:val="000000" w:themeColor="text1"/>
        </w:rPr>
        <w:t>,</w:t>
      </w:r>
      <w:r w:rsidRPr="000759FD">
        <w:rPr>
          <w:rFonts w:ascii="Verdana" w:eastAsia="Calibri" w:hAnsi="Verdana" w:cs="Arial"/>
          <w:bCs/>
          <w:color w:val="000000" w:themeColor="text1"/>
        </w:rPr>
        <w:t xml:space="preserve"> si por el contrario, los motivos fueron simulados y orientados a infringir las normas de la contratación pública</w:t>
      </w:r>
      <w:r>
        <w:rPr>
          <w:rStyle w:val="Refdenotaalpie"/>
          <w:rFonts w:ascii="Verdana" w:eastAsia="Calibri" w:hAnsi="Verdana" w:cs="Arial"/>
          <w:bCs/>
          <w:color w:val="000000" w:themeColor="text1"/>
        </w:rPr>
        <w:footnoteReference w:id="22"/>
      </w:r>
      <w:r w:rsidRPr="000759FD">
        <w:rPr>
          <w:rFonts w:ascii="Verdana" w:eastAsia="Calibri" w:hAnsi="Verdana" w:cs="Arial"/>
          <w:bCs/>
          <w:color w:val="000000" w:themeColor="text1"/>
        </w:rPr>
        <w:t>.</w:t>
      </w:r>
      <w:r>
        <w:rPr>
          <w:rFonts w:ascii="Verdana" w:eastAsia="Calibri" w:hAnsi="Verdana" w:cs="Arial"/>
          <w:bCs/>
          <w:color w:val="000000" w:themeColor="text1"/>
        </w:rPr>
        <w:t xml:space="preserve"> </w:t>
      </w:r>
    </w:p>
    <w:p w14:paraId="34EF916F" w14:textId="77777777" w:rsidR="00E72F7D" w:rsidRDefault="00E72F7D" w:rsidP="00E72F7D">
      <w:pPr>
        <w:spacing w:after="0" w:line="276" w:lineRule="auto"/>
        <w:ind w:firstLine="708"/>
        <w:jc w:val="both"/>
        <w:rPr>
          <w:rFonts w:ascii="Verdana" w:eastAsia="Century Gothic" w:hAnsi="Verdana" w:cs="Century Gothic"/>
        </w:rPr>
      </w:pPr>
      <w:r w:rsidRPr="00A35C49">
        <w:rPr>
          <w:rFonts w:ascii="Verdana" w:eastAsia="Century Gothic" w:hAnsi="Verdana" w:cs="Century Gothic"/>
        </w:rPr>
        <w:t>Así entonces, ha sido reiterada la posición del Consejo de Estado en el sentido de sostener que si bien es cierto la figura del fraccionamiento de los contratos no aparece prohibida expresamente en la Ley 80 de 1993, su aplicación se deriva de las pautas, reglas y principios establecidos por dicha Ley</w:t>
      </w:r>
      <w:r>
        <w:rPr>
          <w:rStyle w:val="Refdenotaalpie"/>
          <w:rFonts w:ascii="Verdana" w:eastAsia="Century Gothic" w:hAnsi="Verdana" w:cs="Century Gothic"/>
        </w:rPr>
        <w:footnoteReference w:id="23"/>
      </w:r>
      <w:r>
        <w:rPr>
          <w:rFonts w:ascii="Verdana" w:eastAsia="Century Gothic" w:hAnsi="Verdana" w:cs="Century Gothic"/>
        </w:rPr>
        <w:t>.</w:t>
      </w:r>
    </w:p>
    <w:p w14:paraId="65AB2AE2" w14:textId="77777777" w:rsidR="00E72F7D" w:rsidRPr="00997C15" w:rsidRDefault="00E72F7D" w:rsidP="00E72F7D">
      <w:pPr>
        <w:spacing w:after="0" w:line="276" w:lineRule="auto"/>
        <w:ind w:firstLine="708"/>
        <w:jc w:val="both"/>
        <w:rPr>
          <w:rFonts w:ascii="Verdana" w:hAnsi="Verdana"/>
        </w:rPr>
      </w:pPr>
      <w:r w:rsidRPr="00C36508">
        <w:rPr>
          <w:rFonts w:ascii="Verdana" w:hAnsi="Verdana"/>
        </w:rPr>
        <w:t>A su vez, la doctrina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cercanía temporal”</w:t>
      </w:r>
      <w:r w:rsidRPr="005D0607">
        <w:rPr>
          <w:rFonts w:ascii="Verdana" w:hAnsi="Verdana"/>
          <w:vertAlign w:val="superscript"/>
        </w:rPr>
        <w:footnoteReference w:id="24"/>
      </w:r>
      <w:r w:rsidRPr="00C36508">
        <w:rPr>
          <w:rFonts w:ascii="Verdana" w:hAnsi="Verdana"/>
        </w:rPr>
        <w:t xml:space="preserve">. </w:t>
      </w:r>
    </w:p>
    <w:p w14:paraId="72991EF4" w14:textId="77777777" w:rsidR="00E72F7D" w:rsidRPr="00997C15" w:rsidRDefault="00E72F7D" w:rsidP="00E72F7D">
      <w:pPr>
        <w:spacing w:after="120" w:line="276" w:lineRule="auto"/>
        <w:ind w:firstLine="708"/>
        <w:jc w:val="both"/>
        <w:rPr>
          <w:rFonts w:ascii="Verdana" w:eastAsia="Calibri" w:hAnsi="Verdana" w:cs="Arial"/>
        </w:rPr>
      </w:pPr>
      <w:r w:rsidRPr="004675CD">
        <w:rPr>
          <w:rFonts w:ascii="Verdana" w:eastAsia="Calibri" w:hAnsi="Verdana" w:cs="Arial"/>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bookmarkEnd w:id="4"/>
      <w:bookmarkEnd w:id="5"/>
    </w:p>
    <w:p w14:paraId="77456455" w14:textId="77777777" w:rsidR="00E72F7D" w:rsidRPr="00E00F9B" w:rsidRDefault="00E72F7D" w:rsidP="00E72F7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00F9B">
        <w:rPr>
          <w:rFonts w:ascii="Verdana" w:eastAsia="Century Gothic" w:hAnsi="Verdana" w:cs="Century Gothic"/>
          <w:b/>
          <w:bCs/>
          <w:lang w:val="es-ES"/>
        </w:rPr>
        <w:t>Referencias normativas, jurisprudenciales y otras fuentes:</w:t>
      </w:r>
    </w:p>
    <w:p w14:paraId="3C270E16" w14:textId="77777777" w:rsidR="00E72F7D" w:rsidRPr="00E00F9B" w:rsidRDefault="00E72F7D" w:rsidP="00E72F7D">
      <w:pPr>
        <w:widowControl w:val="0"/>
        <w:autoSpaceDE w:val="0"/>
        <w:autoSpaceDN w:val="0"/>
        <w:spacing w:after="0" w:line="276" w:lineRule="auto"/>
        <w:jc w:val="both"/>
        <w:rPr>
          <w:rFonts w:ascii="Verdana" w:hAnsi="Verdana" w:cs="Arial"/>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2F7D" w:rsidRPr="00E00F9B" w14:paraId="3C107D0A" w14:textId="77777777" w:rsidTr="00D52642">
        <w:trPr>
          <w:trHeight w:val="870"/>
        </w:trPr>
        <w:tc>
          <w:tcPr>
            <w:tcW w:w="8647" w:type="dxa"/>
          </w:tcPr>
          <w:p w14:paraId="4154298D" w14:textId="77777777" w:rsidR="00E72F7D" w:rsidRPr="00E00F9B" w:rsidRDefault="00E72F7D" w:rsidP="00E72F7D">
            <w:pPr>
              <w:numPr>
                <w:ilvl w:val="0"/>
                <w:numId w:val="17"/>
              </w:numPr>
              <w:spacing w:line="276" w:lineRule="auto"/>
              <w:contextualSpacing/>
              <w:jc w:val="both"/>
              <w:rPr>
                <w:rFonts w:ascii="Verdana" w:hAnsi="Verdana"/>
              </w:rPr>
            </w:pPr>
            <w:r w:rsidRPr="00E00F9B">
              <w:rPr>
                <w:rFonts w:ascii="Verdana" w:hAnsi="Verdana"/>
                <w:lang w:val="es-ES" w:eastAsia="es-ES"/>
              </w:rPr>
              <w:t>Decreto</w:t>
            </w:r>
            <w:r w:rsidRPr="00E00F9B">
              <w:rPr>
                <w:rFonts w:ascii="Verdana" w:hAnsi="Verdana"/>
              </w:rPr>
              <w:t xml:space="preserve"> 1068 de 2015 Artículo 2.8.4.4.5. Disponible en: </w:t>
            </w:r>
            <w:hyperlink r:id="rId12" w:history="1">
              <w:r w:rsidRPr="00E00F9B">
                <w:rPr>
                  <w:rFonts w:ascii="Verdana" w:hAnsi="Verdana"/>
                  <w:color w:val="0563C1" w:themeColor="hyperlink"/>
                  <w:u w:val="single"/>
                </w:rPr>
                <w:t>https://relatoria.colombiacompra.gov.co/normativa/decreto-1068-de-2015/</w:t>
              </w:r>
            </w:hyperlink>
          </w:p>
          <w:p w14:paraId="54CACB9B" w14:textId="77777777" w:rsidR="00E72F7D" w:rsidRPr="00E00F9B" w:rsidRDefault="00E72F7D" w:rsidP="00D52642">
            <w:pPr>
              <w:spacing w:line="276" w:lineRule="auto"/>
              <w:rPr>
                <w:rFonts w:ascii="Verdana" w:hAnsi="Verdana"/>
              </w:rPr>
            </w:pPr>
          </w:p>
          <w:p w14:paraId="02F1DACB" w14:textId="77777777" w:rsidR="00E72F7D" w:rsidRPr="00E00F9B" w:rsidRDefault="00E72F7D" w:rsidP="00E72F7D">
            <w:pPr>
              <w:numPr>
                <w:ilvl w:val="0"/>
                <w:numId w:val="17"/>
              </w:numPr>
              <w:spacing w:line="276" w:lineRule="auto"/>
              <w:contextualSpacing/>
              <w:jc w:val="both"/>
              <w:rPr>
                <w:rFonts w:ascii="Verdana" w:hAnsi="Verdana"/>
              </w:rPr>
            </w:pPr>
            <w:r w:rsidRPr="00E00F9B">
              <w:rPr>
                <w:rFonts w:ascii="Verdana" w:hAnsi="Verdana"/>
              </w:rPr>
              <w:t xml:space="preserve">Ley 80 de 1993, artículo 32, numeral 3° Disponible en: </w:t>
            </w:r>
            <w:hyperlink r:id="rId13" w:history="1">
              <w:r w:rsidRPr="00E00F9B">
                <w:rPr>
                  <w:rFonts w:ascii="Verdana" w:hAnsi="Verdana"/>
                  <w:color w:val="0563C1" w:themeColor="hyperlink"/>
                  <w:u w:val="single"/>
                </w:rPr>
                <w:t>https://relatoria.colombiacompra.gov.co/normativa/ley-80-de-1993/</w:t>
              </w:r>
            </w:hyperlink>
          </w:p>
          <w:p w14:paraId="13635D4A" w14:textId="77777777" w:rsidR="00E72F7D" w:rsidRPr="00E00F9B" w:rsidRDefault="00E72F7D" w:rsidP="00D52642">
            <w:pPr>
              <w:spacing w:line="276" w:lineRule="auto"/>
              <w:rPr>
                <w:rFonts w:ascii="Verdana" w:hAnsi="Verdana"/>
              </w:rPr>
            </w:pPr>
          </w:p>
          <w:p w14:paraId="65FE948F" w14:textId="77777777" w:rsidR="00E72F7D" w:rsidRPr="000E6144" w:rsidRDefault="00E72F7D" w:rsidP="00E72F7D">
            <w:pPr>
              <w:pStyle w:val="Sinespaciado"/>
              <w:numPr>
                <w:ilvl w:val="0"/>
                <w:numId w:val="18"/>
              </w:numPr>
              <w:spacing w:line="276" w:lineRule="auto"/>
              <w:jc w:val="both"/>
              <w:rPr>
                <w:rStyle w:val="Hipervnculo"/>
                <w:rFonts w:ascii="Verdana" w:hAnsi="Verdana"/>
                <w:color w:val="auto"/>
                <w:u w:val="none"/>
              </w:rPr>
            </w:pPr>
            <w:r w:rsidRPr="00E00F9B">
              <w:rPr>
                <w:rFonts w:ascii="Verdana" w:hAnsi="Verdana"/>
              </w:rPr>
              <w:t>Guía para la incorporación de lineamientos de integridad en la contratación de prestación de servicios expedidos por la ANCP-CCE.</w:t>
            </w:r>
            <w:r w:rsidRPr="00E00F9B">
              <w:rPr>
                <w:rFonts w:ascii="Verdana" w:hAnsi="Verdana" w:cs="Arial"/>
                <w:color w:val="000000" w:themeColor="text1"/>
              </w:rPr>
              <w:t xml:space="preserve"> Disponible en</w:t>
            </w:r>
            <w:r w:rsidRPr="00E00F9B">
              <w:rPr>
                <w:rFonts w:ascii="Verdana" w:hAnsi="Verdana" w:cs="Arial"/>
                <w:color w:val="7030A0"/>
              </w:rPr>
              <w:t xml:space="preserve">: </w:t>
            </w:r>
            <w:r w:rsidRPr="00E00F9B">
              <w:rPr>
                <w:rFonts w:ascii="Verdana" w:hAnsi="Verdana"/>
              </w:rPr>
              <w:t xml:space="preserve"> </w:t>
            </w:r>
            <w:hyperlink r:id="rId14" w:history="1">
              <w:r w:rsidRPr="00E00F9B">
                <w:rPr>
                  <w:rStyle w:val="Hipervnculo"/>
                  <w:rFonts w:ascii="Verdana" w:hAnsi="Verdana"/>
                </w:rPr>
                <w:t>https://www.colombiacompra.gov.co/sites/cce_public/files/cce_documents/cceeicpgi23_guia_contratacion_prestacion_de_servicios_v1_11-07-2023_def_1_1.pdf</w:t>
              </w:r>
            </w:hyperlink>
          </w:p>
          <w:p w14:paraId="72961706" w14:textId="77777777" w:rsidR="00E72F7D" w:rsidRPr="000E6144" w:rsidRDefault="00E72F7D" w:rsidP="00D52642">
            <w:pPr>
              <w:pStyle w:val="Sinespaciado"/>
              <w:ind w:left="720"/>
              <w:jc w:val="both"/>
              <w:rPr>
                <w:rFonts w:ascii="Verdana" w:hAnsi="Verdana"/>
              </w:rPr>
            </w:pPr>
          </w:p>
          <w:p w14:paraId="02FE42A9" w14:textId="77777777" w:rsidR="00E72F7D" w:rsidRPr="00E00F9B" w:rsidRDefault="00E72F7D" w:rsidP="00E72F7D">
            <w:pPr>
              <w:pStyle w:val="Sinespaciado"/>
              <w:numPr>
                <w:ilvl w:val="0"/>
                <w:numId w:val="18"/>
              </w:numPr>
              <w:jc w:val="both"/>
              <w:rPr>
                <w:rFonts w:ascii="Verdana" w:hAnsi="Verdana"/>
              </w:rPr>
            </w:pPr>
            <w:r w:rsidRPr="00E00F9B">
              <w:rPr>
                <w:rFonts w:ascii="Verdana" w:hAnsi="Verdana"/>
              </w:rPr>
              <w:t xml:space="preserve">Guía para la incorporación de lineamientos de integridad en la contratación de prestación de servicios. Disponible en: </w:t>
            </w:r>
            <w:hyperlink r:id="rId15" w:history="1">
              <w:r w:rsidRPr="00E00F9B">
                <w:rPr>
                  <w:rStyle w:val="Hipervnculo"/>
                  <w:rFonts w:ascii="Verdana" w:hAnsi="Verdana"/>
                </w:rPr>
                <w:t>https://www.colombiacompra.gov.co/sites/cce_public/files/cce_documents/cce-eicp-gi-23_guia_contratacion_prestacion_de_servicios_v1_11-07-2023_def_1_1.pdf</w:t>
              </w:r>
            </w:hyperlink>
            <w:r w:rsidRPr="00E00F9B">
              <w:rPr>
                <w:rFonts w:ascii="Verdana" w:hAnsi="Verdana"/>
              </w:rPr>
              <w:t xml:space="preserve"> </w:t>
            </w:r>
          </w:p>
          <w:p w14:paraId="6F4FFC13" w14:textId="77777777" w:rsidR="00E72F7D" w:rsidRPr="00E00F9B" w:rsidRDefault="00E72F7D" w:rsidP="00D52642">
            <w:pPr>
              <w:spacing w:line="276" w:lineRule="auto"/>
              <w:rPr>
                <w:rFonts w:ascii="Verdana" w:hAnsi="Verdana"/>
              </w:rPr>
            </w:pPr>
          </w:p>
          <w:p w14:paraId="6A8644F6" w14:textId="77777777" w:rsidR="00E72F7D" w:rsidRPr="00E00F9B" w:rsidRDefault="00E72F7D" w:rsidP="00D52642">
            <w:pPr>
              <w:spacing w:line="276" w:lineRule="auto"/>
              <w:rPr>
                <w:rFonts w:ascii="Verdana" w:hAnsi="Verdana"/>
              </w:rPr>
            </w:pPr>
          </w:p>
        </w:tc>
      </w:tr>
    </w:tbl>
    <w:p w14:paraId="5F99C325" w14:textId="77777777" w:rsidR="00E72F7D" w:rsidRPr="00E00F9B" w:rsidRDefault="00E72F7D" w:rsidP="00E72F7D">
      <w:pPr>
        <w:widowControl w:val="0"/>
        <w:autoSpaceDE w:val="0"/>
        <w:autoSpaceDN w:val="0"/>
        <w:spacing w:after="0" w:line="276" w:lineRule="auto"/>
        <w:jc w:val="both"/>
        <w:rPr>
          <w:rFonts w:ascii="Verdana" w:hAnsi="Verdana" w:cs="Arial"/>
        </w:rPr>
      </w:pPr>
    </w:p>
    <w:p w14:paraId="28E04C77" w14:textId="77777777" w:rsidR="00E72F7D" w:rsidRPr="00E00F9B" w:rsidRDefault="00E72F7D" w:rsidP="00E72F7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00F9B">
        <w:rPr>
          <w:rFonts w:ascii="Verdana" w:eastAsia="Century Gothic" w:hAnsi="Verdana" w:cs="Century Gothic"/>
          <w:b/>
          <w:bCs/>
          <w:lang w:val="es-ES"/>
        </w:rPr>
        <w:t>Doctrina de la Agencia Nacional de Contratación Pública:</w:t>
      </w:r>
    </w:p>
    <w:p w14:paraId="3FE24BE5" w14:textId="77777777" w:rsidR="00E72F7D" w:rsidRPr="00E00F9B" w:rsidRDefault="00E72F7D" w:rsidP="00E72F7D">
      <w:pPr>
        <w:widowControl w:val="0"/>
        <w:autoSpaceDE w:val="0"/>
        <w:autoSpaceDN w:val="0"/>
        <w:spacing w:after="0" w:line="276" w:lineRule="auto"/>
        <w:jc w:val="both"/>
        <w:rPr>
          <w:rFonts w:ascii="Verdana" w:hAnsi="Verdana" w:cs="Arial"/>
        </w:rPr>
      </w:pPr>
    </w:p>
    <w:p w14:paraId="678661C9" w14:textId="5AD8E444" w:rsidR="00E72F7D" w:rsidRPr="00E00F9B" w:rsidRDefault="00E72F7D" w:rsidP="00E72F7D">
      <w:pPr>
        <w:widowControl w:val="0"/>
        <w:autoSpaceDE w:val="0"/>
        <w:autoSpaceDN w:val="0"/>
        <w:spacing w:after="120" w:line="276" w:lineRule="auto"/>
        <w:jc w:val="both"/>
        <w:rPr>
          <w:rFonts w:ascii="Verdana" w:hAnsi="Verdana" w:cs="Arial"/>
          <w:color w:val="000000" w:themeColor="text1"/>
          <w:shd w:val="clear" w:color="auto" w:fill="FFFFFF"/>
        </w:rPr>
      </w:pPr>
      <w:r w:rsidRPr="00E00F9B">
        <w:rPr>
          <w:rFonts w:ascii="Verdana" w:eastAsia="Calibri" w:hAnsi="Verdana" w:cs="Arial"/>
          <w:color w:val="000000" w:themeColor="text1"/>
          <w:lang w:val="es-ES_tradnl"/>
        </w:rPr>
        <w:t xml:space="preserve">La Agencia Nacional de Contratación Pública – Colombia Compra Eficiente se pronunció sobre el concepto y límites del contrato de prestación de servicios </w:t>
      </w:r>
      <w:r w:rsidRPr="00E00F9B">
        <w:rPr>
          <w:rFonts w:ascii="Verdana" w:eastAsia="Calibri" w:hAnsi="Verdana" w:cs="Arial"/>
          <w:color w:val="000000" w:themeColor="text1"/>
          <w:lang w:val="es-ES_tradnl"/>
        </w:rPr>
        <w:lastRenderedPageBreak/>
        <w:t xml:space="preserve">profesionales, en los conceptos C-090 del </w:t>
      </w:r>
      <w:r w:rsidRPr="00E00F9B">
        <w:rPr>
          <w:rFonts w:ascii="Verdana" w:hAnsi="Verdana" w:cs="Arial"/>
          <w:color w:val="000000" w:themeColor="text1"/>
        </w:rPr>
        <w:t xml:space="preserve">24 de febrero de 2020, </w:t>
      </w:r>
      <w:r w:rsidRPr="00E00F9B">
        <w:rPr>
          <w:rFonts w:ascii="Verdana" w:hAnsi="Verdana" w:cs="Arial"/>
        </w:rPr>
        <w:t xml:space="preserve">C-105 del </w:t>
      </w:r>
      <w:r w:rsidRPr="00E00F9B">
        <w:rPr>
          <w:rFonts w:ascii="Verdana" w:eastAsia="Arial" w:hAnsi="Verdana" w:cs="Arial"/>
          <w:lang w:val="es-ES"/>
        </w:rPr>
        <w:t xml:space="preserve">12 de marzo 03 de 2020, C-156 del 3 de abril de 2020, </w:t>
      </w:r>
      <w:r w:rsidRPr="00E00F9B">
        <w:rPr>
          <w:rFonts w:ascii="Verdana" w:hAnsi="Verdana" w:cs="Arial"/>
        </w:rPr>
        <w:t xml:space="preserve">C-188 del </w:t>
      </w:r>
      <w:r w:rsidRPr="00E00F9B">
        <w:rPr>
          <w:rFonts w:ascii="Verdana" w:hAnsi="Verdana" w:cs="Arial"/>
          <w:color w:val="000000" w:themeColor="text1"/>
        </w:rPr>
        <w:t xml:space="preserve">13 de abril de 2020, </w:t>
      </w:r>
      <w:r w:rsidRPr="00E00F9B">
        <w:rPr>
          <w:rFonts w:ascii="Verdana" w:hAnsi="Verdana" w:cs="Arial"/>
        </w:rPr>
        <w:t xml:space="preserve">C-208 del </w:t>
      </w:r>
      <w:r w:rsidRPr="00E00F9B">
        <w:rPr>
          <w:rFonts w:ascii="Verdana" w:hAnsi="Verdana" w:cs="Arial"/>
          <w:color w:val="000000" w:themeColor="text1"/>
        </w:rPr>
        <w:t xml:space="preserve">24 de abril de 2020, </w:t>
      </w:r>
      <w:r w:rsidRPr="00E00F9B">
        <w:rPr>
          <w:rFonts w:ascii="Verdana" w:hAnsi="Verdana" w:cs="Arial"/>
          <w:noProof/>
          <w:lang w:val="es-ES_tradnl"/>
        </w:rPr>
        <w:t>No. C-138, C-005, C-006 y C-018 del 11 de mayo de 2020; C-175, C-320, C-053, C-255, C-282 y C-293 del 12 de mayo de 2020, C-288 del 27 de mayo de 2020, C-345 del 13 de mayo de 2020</w:t>
      </w:r>
      <w:r w:rsidRPr="00E00F9B">
        <w:rPr>
          <w:rFonts w:ascii="Verdana" w:hAnsi="Verdana" w:cs="Arial"/>
          <w:color w:val="000000" w:themeColor="text1"/>
        </w:rPr>
        <w:t xml:space="preserve">, </w:t>
      </w:r>
      <w:r w:rsidRPr="00E00F9B">
        <w:rPr>
          <w:rFonts w:ascii="Verdana" w:hAnsi="Verdana" w:cs="Arial"/>
          <w:color w:val="212529"/>
        </w:rPr>
        <w:t xml:space="preserve">C-414 </w:t>
      </w:r>
      <w:r w:rsidRPr="00E00F9B">
        <w:rPr>
          <w:rFonts w:ascii="Verdana" w:hAnsi="Verdana" w:cs="Arial"/>
        </w:rPr>
        <w:t xml:space="preserve">del 30 de junio de 2020, </w:t>
      </w:r>
      <w:r w:rsidRPr="00E00F9B">
        <w:rPr>
          <w:rFonts w:ascii="Verdana" w:hAnsi="Verdana" w:cs="Arial"/>
          <w:noProof/>
          <w:lang w:val="es-ES_tradnl"/>
        </w:rPr>
        <w:t>C-608 del 1 de octubre de 2020</w:t>
      </w:r>
      <w:r w:rsidRPr="00E00F9B">
        <w:rPr>
          <w:rFonts w:ascii="Verdana" w:hAnsi="Verdana" w:cs="Arial"/>
        </w:rPr>
        <w:t>, C-739 del 16 de diciembre de 2020, C-106 del 21 de abril de 2021, entre otros. Por otra parte, en relación con la posibilidad</w:t>
      </w:r>
      <w:r w:rsidRPr="00E00F9B">
        <w:rPr>
          <w:rFonts w:ascii="Verdana" w:eastAsia="Calibri" w:hAnsi="Verdana" w:cs="Arial"/>
          <w:color w:val="000000" w:themeColor="text1"/>
        </w:rPr>
        <w:t xml:space="preserve"> de que se celebren contratos de prestación de servicios con objeto similar a otros que se encuentren vigentes</w:t>
      </w:r>
      <w:r w:rsidRPr="00E00F9B">
        <w:rPr>
          <w:rFonts w:ascii="Verdana" w:hAnsi="Verdana" w:cs="Arial"/>
        </w:rPr>
        <w:t>, por parte de una entidad, esta Agencia se ha pronunciado en el concepto C-047 del 18 de enero de 2020</w:t>
      </w:r>
      <w:r w:rsidR="00AA75EC">
        <w:rPr>
          <w:rFonts w:ascii="Verdana" w:hAnsi="Verdana" w:cs="Arial"/>
        </w:rPr>
        <w:t xml:space="preserve">, </w:t>
      </w:r>
      <w:r w:rsidR="00E47052">
        <w:rPr>
          <w:rFonts w:ascii="Verdana" w:eastAsia="Calibri" w:hAnsi="Verdana" w:cs="Times New Roman"/>
        </w:rPr>
        <w:t>sobre el fraccionamiento contractual, esta Subdirección se ha pronunciado en conceptos C-122 del 23 de julio de 2024, C-086 del 17 de febrero de 2025</w:t>
      </w:r>
      <w:r w:rsidRPr="000E6144">
        <w:rPr>
          <w:rFonts w:ascii="Verdana" w:hAnsi="Verdana" w:cs="Arial"/>
          <w:shd w:val="clear" w:color="auto" w:fill="FFFFFF"/>
          <w:lang w:val="es-ES"/>
        </w:rPr>
        <w:t xml:space="preserve">. </w:t>
      </w:r>
      <w:r w:rsidRPr="000E6144">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history="1">
        <w:r w:rsidRPr="00E00F9B">
          <w:rPr>
            <w:rStyle w:val="Hipervnculo"/>
            <w:rFonts w:ascii="Verdana" w:hAnsi="Verdana" w:cs="Arial"/>
            <w:shd w:val="clear" w:color="auto" w:fill="FFFFFF"/>
          </w:rPr>
          <w:t>https://relatoria.colombiacompra.gov.co/</w:t>
        </w:r>
      </w:hyperlink>
      <w:r w:rsidRPr="00E00F9B">
        <w:rPr>
          <w:rFonts w:ascii="Verdana" w:hAnsi="Verdana" w:cs="Arial"/>
          <w:color w:val="7030A0"/>
          <w:shd w:val="clear" w:color="auto" w:fill="FFFFFF"/>
        </w:rPr>
        <w:t> </w:t>
      </w:r>
    </w:p>
    <w:p w14:paraId="296254CE" w14:textId="77777777" w:rsidR="00E72F7D" w:rsidRPr="00E00F9B" w:rsidRDefault="00E72F7D" w:rsidP="00E72F7D">
      <w:pPr>
        <w:spacing w:after="0" w:line="240" w:lineRule="auto"/>
        <w:jc w:val="both"/>
        <w:rPr>
          <w:rFonts w:ascii="Verdana" w:hAnsi="Verdana"/>
        </w:rPr>
      </w:pPr>
      <w:r w:rsidRPr="00E00F9B">
        <w:rPr>
          <w:rFonts w:ascii="Verdana" w:hAnsi="Verdana"/>
        </w:rPr>
        <w:t xml:space="preserve">Por último, lo invitamos a seguirnos en las redes sociales en las cuales se difunde información institucional: </w:t>
      </w:r>
    </w:p>
    <w:p w14:paraId="3C5C352F" w14:textId="77777777" w:rsidR="00E72F7D" w:rsidRPr="00E00F9B" w:rsidRDefault="00E72F7D" w:rsidP="00E72F7D">
      <w:pPr>
        <w:spacing w:after="0" w:line="240" w:lineRule="auto"/>
        <w:jc w:val="both"/>
        <w:rPr>
          <w:rFonts w:ascii="Verdana" w:hAnsi="Verdana"/>
        </w:rPr>
      </w:pPr>
    </w:p>
    <w:p w14:paraId="38711774" w14:textId="77777777" w:rsidR="00E72F7D" w:rsidRPr="00E00F9B" w:rsidRDefault="00E72F7D" w:rsidP="00E72F7D">
      <w:pPr>
        <w:spacing w:after="0" w:line="240" w:lineRule="auto"/>
        <w:jc w:val="both"/>
        <w:rPr>
          <w:rFonts w:ascii="Verdana" w:hAnsi="Verdana"/>
        </w:rPr>
      </w:pPr>
      <w:r w:rsidRPr="00E00F9B">
        <w:rPr>
          <w:rFonts w:ascii="Verdana" w:hAnsi="Verdana"/>
        </w:rPr>
        <w:t xml:space="preserve">Twitter: </w:t>
      </w:r>
      <w:r w:rsidRPr="00E00F9B">
        <w:rPr>
          <w:rFonts w:ascii="Verdana" w:hAnsi="Verdana"/>
          <w:color w:val="4472C4" w:themeColor="accent1"/>
          <w:u w:val="single"/>
        </w:rPr>
        <w:t>@colombiacompra</w:t>
      </w:r>
      <w:r w:rsidRPr="00E00F9B">
        <w:rPr>
          <w:rFonts w:ascii="Verdana" w:hAnsi="Verdana"/>
          <w:color w:val="4472C4" w:themeColor="accent1"/>
        </w:rPr>
        <w:t xml:space="preserve"> </w:t>
      </w:r>
    </w:p>
    <w:p w14:paraId="659D8CA3" w14:textId="77777777" w:rsidR="00E72F7D" w:rsidRPr="00E00F9B" w:rsidRDefault="00E72F7D" w:rsidP="00E72F7D">
      <w:pPr>
        <w:spacing w:after="0" w:line="240" w:lineRule="auto"/>
        <w:jc w:val="both"/>
        <w:rPr>
          <w:rFonts w:ascii="Verdana" w:hAnsi="Verdana"/>
        </w:rPr>
      </w:pPr>
      <w:r w:rsidRPr="00E00F9B">
        <w:rPr>
          <w:rFonts w:ascii="Verdana" w:hAnsi="Verdana"/>
        </w:rPr>
        <w:t xml:space="preserve">Facebook: </w:t>
      </w:r>
      <w:proofErr w:type="spellStart"/>
      <w:r w:rsidRPr="00E00F9B">
        <w:rPr>
          <w:rFonts w:ascii="Verdana" w:hAnsi="Verdana"/>
          <w:color w:val="4472C4" w:themeColor="accent1"/>
          <w:u w:val="single"/>
        </w:rPr>
        <w:t>ColombiaCompraEficiente</w:t>
      </w:r>
      <w:proofErr w:type="spellEnd"/>
    </w:p>
    <w:p w14:paraId="68293EB3" w14:textId="77777777" w:rsidR="00E72F7D" w:rsidRPr="00E00F9B" w:rsidRDefault="00E72F7D" w:rsidP="00E72F7D">
      <w:pPr>
        <w:spacing w:after="0" w:line="240" w:lineRule="auto"/>
        <w:jc w:val="both"/>
        <w:rPr>
          <w:rFonts w:ascii="Verdana" w:hAnsi="Verdana"/>
        </w:rPr>
      </w:pPr>
      <w:r w:rsidRPr="00E00F9B">
        <w:rPr>
          <w:rFonts w:ascii="Verdana" w:hAnsi="Verdana"/>
        </w:rPr>
        <w:t xml:space="preserve">LinkedIn: </w:t>
      </w:r>
      <w:r w:rsidRPr="00E00F9B">
        <w:rPr>
          <w:rFonts w:ascii="Verdana" w:hAnsi="Verdana"/>
          <w:color w:val="4472C4" w:themeColor="accent1"/>
          <w:u w:val="single"/>
        </w:rPr>
        <w:t>Agencia Nacional de Contratación Pública - Colombia Compra Eficiente</w:t>
      </w:r>
      <w:r w:rsidRPr="00E00F9B">
        <w:rPr>
          <w:rFonts w:ascii="Verdana" w:hAnsi="Verdana"/>
          <w:color w:val="4472C4" w:themeColor="accent1"/>
        </w:rPr>
        <w:t xml:space="preserve"> </w:t>
      </w:r>
      <w:r w:rsidRPr="00E00F9B">
        <w:rPr>
          <w:rFonts w:ascii="Verdana" w:hAnsi="Verdana"/>
        </w:rPr>
        <w:t xml:space="preserve">Instagram: </w:t>
      </w:r>
      <w:r w:rsidRPr="00E00F9B">
        <w:rPr>
          <w:rFonts w:ascii="Verdana" w:hAnsi="Verdana"/>
          <w:color w:val="4472C4" w:themeColor="accent1"/>
          <w:u w:val="single"/>
        </w:rPr>
        <w:t>@colombiacompraeficiente_cce</w:t>
      </w:r>
    </w:p>
    <w:p w14:paraId="1157520A" w14:textId="77777777" w:rsidR="00E72F7D" w:rsidRPr="00E00F9B" w:rsidRDefault="00E72F7D" w:rsidP="00E72F7D">
      <w:pPr>
        <w:widowControl w:val="0"/>
        <w:autoSpaceDE w:val="0"/>
        <w:autoSpaceDN w:val="0"/>
        <w:spacing w:after="0" w:line="276" w:lineRule="auto"/>
        <w:jc w:val="both"/>
        <w:rPr>
          <w:rFonts w:ascii="Verdana" w:hAnsi="Verdana" w:cs="Arial"/>
        </w:rPr>
      </w:pPr>
    </w:p>
    <w:p w14:paraId="5DF30A85" w14:textId="77777777" w:rsidR="00E72F7D" w:rsidRPr="00E00F9B" w:rsidRDefault="00E72F7D" w:rsidP="00E72F7D">
      <w:pPr>
        <w:widowControl w:val="0"/>
        <w:autoSpaceDE w:val="0"/>
        <w:autoSpaceDN w:val="0"/>
        <w:spacing w:after="0" w:line="276" w:lineRule="auto"/>
        <w:jc w:val="both"/>
        <w:rPr>
          <w:rFonts w:ascii="Verdana" w:hAnsi="Verdana" w:cs="Arial"/>
          <w:lang w:val="es-ES_tradnl"/>
        </w:rPr>
      </w:pPr>
      <w:r w:rsidRPr="00E00F9B">
        <w:rPr>
          <w:rFonts w:ascii="Verdana" w:hAnsi="Verdana" w:cs="Arial"/>
        </w:rPr>
        <w:t xml:space="preserve">Este concepto tiene el alcance previsto en el artículo 28 del Código de Procedimiento Administrativo y de lo Contencioso Administrativo </w:t>
      </w:r>
      <w:r w:rsidRPr="00E00F9B">
        <w:rPr>
          <w:rFonts w:ascii="Verdana" w:hAnsi="Verdana" w:cs="Arial"/>
          <w:lang w:val="es-ES_tradnl"/>
        </w:rPr>
        <w:t>y las expresiones aquí utilizadas con mayúscula inicial deben ser entendidas con el significado que les otorga el artículo 2.2.1.1.1.3.1. del Decreto 1082 de 2015.</w:t>
      </w:r>
    </w:p>
    <w:p w14:paraId="4FE775B2" w14:textId="77777777" w:rsidR="00E72F7D" w:rsidRPr="00E00F9B" w:rsidRDefault="00E72F7D" w:rsidP="00E72F7D">
      <w:pPr>
        <w:widowControl w:val="0"/>
        <w:autoSpaceDE w:val="0"/>
        <w:autoSpaceDN w:val="0"/>
        <w:spacing w:after="0" w:line="276" w:lineRule="auto"/>
        <w:jc w:val="both"/>
        <w:rPr>
          <w:rFonts w:ascii="Verdana" w:hAnsi="Verdana" w:cs="Arial"/>
        </w:rPr>
      </w:pPr>
    </w:p>
    <w:p w14:paraId="7D9AFE49" w14:textId="77777777" w:rsidR="00E72F7D" w:rsidRPr="00E00F9B" w:rsidRDefault="00E72F7D" w:rsidP="00E72F7D">
      <w:pPr>
        <w:spacing w:after="0" w:line="240" w:lineRule="auto"/>
        <w:rPr>
          <w:rFonts w:ascii="Verdana" w:hAnsi="Verdana" w:cs="Arial"/>
          <w:lang w:eastAsia="es-CO"/>
        </w:rPr>
      </w:pPr>
      <w:r w:rsidRPr="00E00F9B">
        <w:rPr>
          <w:rFonts w:ascii="Verdana" w:eastAsia="Times New Roman" w:hAnsi="Verdana" w:cs="Arial"/>
          <w:lang w:eastAsia="es-CO"/>
        </w:rPr>
        <w:t>Atentamente,</w:t>
      </w:r>
      <w:r w:rsidRPr="00E00F9B">
        <w:rPr>
          <w:rFonts w:ascii="Verdana" w:hAnsi="Verdana" w:cs="Arial"/>
          <w:lang w:eastAsia="es-CO"/>
        </w:rPr>
        <w:t xml:space="preserve"> </w:t>
      </w:r>
    </w:p>
    <w:p w14:paraId="3E1A2171" w14:textId="77777777" w:rsidR="00E72F7D" w:rsidRPr="00E00F9B" w:rsidRDefault="00E72F7D" w:rsidP="00E72F7D">
      <w:pPr>
        <w:spacing w:line="276" w:lineRule="auto"/>
        <w:jc w:val="center"/>
        <w:rPr>
          <w:rFonts w:ascii="Verdana" w:hAnsi="Verdana" w:cs="Arial"/>
          <w:color w:val="000000"/>
          <w:lang w:val="es-ES_tradnl" w:eastAsia="es-CO"/>
        </w:rPr>
      </w:pPr>
    </w:p>
    <w:p w14:paraId="0B81CDB0" w14:textId="7629A2B3" w:rsidR="00E72F7D" w:rsidRDefault="00C14737" w:rsidP="00E72F7D">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36539EC5" wp14:editId="0D071790">
            <wp:extent cx="3276600" cy="8286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277063" cy="828792"/>
                    </a:xfrm>
                    <a:prstGeom prst="rect">
                      <a:avLst/>
                    </a:prstGeom>
                  </pic:spPr>
                </pic:pic>
              </a:graphicData>
            </a:graphic>
          </wp:inline>
        </w:drawing>
      </w:r>
    </w:p>
    <w:p w14:paraId="0DBC800E" w14:textId="77777777" w:rsidR="00E72F7D" w:rsidRPr="00D53651" w:rsidRDefault="00E72F7D" w:rsidP="00E72F7D">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2F7D" w14:paraId="2056C75B" w14:textId="77777777" w:rsidTr="00D52642">
        <w:trPr>
          <w:trHeight w:val="315"/>
        </w:trPr>
        <w:tc>
          <w:tcPr>
            <w:tcW w:w="893" w:type="dxa"/>
            <w:vAlign w:val="center"/>
            <w:hideMark/>
          </w:tcPr>
          <w:p w14:paraId="13894585" w14:textId="77777777" w:rsidR="00E72F7D" w:rsidRDefault="00E72F7D" w:rsidP="00D52642">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3CCE25" w14:textId="77777777" w:rsidR="00E72F7D" w:rsidRPr="00D53651" w:rsidRDefault="00E72F7D" w:rsidP="00D52642">
            <w:pPr>
              <w:spacing w:line="276" w:lineRule="auto"/>
              <w:jc w:val="both"/>
              <w:rPr>
                <w:rFonts w:ascii="Verdana" w:hAnsi="Verdana"/>
                <w:sz w:val="16"/>
                <w:szCs w:val="16"/>
              </w:rPr>
            </w:pPr>
            <w:r>
              <w:rPr>
                <w:rFonts w:ascii="Verdana" w:hAnsi="Verdana"/>
                <w:sz w:val="16"/>
                <w:szCs w:val="16"/>
              </w:rPr>
              <w:t xml:space="preserve">Richard Andrés Montenegro </w:t>
            </w:r>
            <w:proofErr w:type="spellStart"/>
            <w:r>
              <w:rPr>
                <w:rFonts w:ascii="Verdana" w:hAnsi="Verdana"/>
                <w:sz w:val="16"/>
                <w:szCs w:val="16"/>
              </w:rPr>
              <w:t>Siefken</w:t>
            </w:r>
            <w:proofErr w:type="spellEnd"/>
          </w:p>
          <w:p w14:paraId="7BBD1836" w14:textId="77777777" w:rsidR="00E72F7D" w:rsidRDefault="00E72F7D" w:rsidP="00D52642">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E72F7D" w14:paraId="21AB06DB" w14:textId="77777777" w:rsidTr="00D52642">
        <w:trPr>
          <w:trHeight w:val="330"/>
        </w:trPr>
        <w:tc>
          <w:tcPr>
            <w:tcW w:w="893" w:type="dxa"/>
            <w:vAlign w:val="center"/>
            <w:hideMark/>
          </w:tcPr>
          <w:p w14:paraId="3C2AABBA" w14:textId="77777777" w:rsidR="00E72F7D" w:rsidRDefault="00E72F7D" w:rsidP="00D52642">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C0AC4DA" w14:textId="77777777" w:rsidR="00E72F7D" w:rsidRDefault="00E72F7D" w:rsidP="00D52642">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542EC792" w14:textId="77777777" w:rsidR="00E72F7D" w:rsidRDefault="00E72F7D" w:rsidP="00D52642">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E72F7D" w14:paraId="071C9231" w14:textId="77777777" w:rsidTr="00D52642">
        <w:trPr>
          <w:trHeight w:val="300"/>
        </w:trPr>
        <w:tc>
          <w:tcPr>
            <w:tcW w:w="893" w:type="dxa"/>
            <w:vAlign w:val="center"/>
            <w:hideMark/>
          </w:tcPr>
          <w:p w14:paraId="3932B8BB" w14:textId="77777777" w:rsidR="00E72F7D" w:rsidRDefault="00E72F7D" w:rsidP="00D52642">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E5A81C" w14:textId="77777777" w:rsidR="00E72F7D" w:rsidRDefault="00E72F7D" w:rsidP="00D52642">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2A6F33A2" w14:textId="77777777" w:rsidR="00E72F7D" w:rsidRDefault="00E72F7D" w:rsidP="00D52642">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0"/>
    </w:tbl>
    <w:p w14:paraId="0F293BF4" w14:textId="468039E2" w:rsidR="00127233" w:rsidRPr="00792F8A" w:rsidRDefault="00127233" w:rsidP="00792F8A"/>
    <w:sectPr w:rsidR="00127233" w:rsidRPr="00792F8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AC84B" w14:textId="77777777" w:rsidR="0017525E" w:rsidRDefault="0017525E" w:rsidP="004A1847">
      <w:pPr>
        <w:spacing w:after="0" w:line="240" w:lineRule="auto"/>
      </w:pPr>
      <w:r>
        <w:separator/>
      </w:r>
    </w:p>
  </w:endnote>
  <w:endnote w:type="continuationSeparator" w:id="0">
    <w:p w14:paraId="10D2928E" w14:textId="77777777" w:rsidR="0017525E" w:rsidRDefault="0017525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D6CF1" w14:textId="77777777" w:rsidR="0017525E" w:rsidRDefault="0017525E" w:rsidP="004A1847">
      <w:pPr>
        <w:spacing w:after="0" w:line="240" w:lineRule="auto"/>
      </w:pPr>
      <w:r>
        <w:separator/>
      </w:r>
    </w:p>
  </w:footnote>
  <w:footnote w:type="continuationSeparator" w:id="0">
    <w:p w14:paraId="1168F7B8" w14:textId="77777777" w:rsidR="0017525E" w:rsidRDefault="0017525E" w:rsidP="004A1847">
      <w:pPr>
        <w:spacing w:after="0" w:line="240" w:lineRule="auto"/>
      </w:pPr>
      <w:r>
        <w:continuationSeparator/>
      </w:r>
    </w:p>
  </w:footnote>
  <w:footnote w:id="1">
    <w:p w14:paraId="1B3F0181" w14:textId="77777777" w:rsidR="00E72F7D" w:rsidRPr="00E931C6" w:rsidRDefault="00E72F7D" w:rsidP="00E72F7D">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De acuerdo con la jurisprudencia, el fraccionamiento “[…] se configura, cuando la administración de manera artificiosa divide la unidad natural del objeto contractual, a fin de seleccionar directamente al contratista cuando debía convocar un proceso de licitación, o para acomodarlo a un proceso menos estricto y riguroso de contratación en defecto del que se imponía seguir atendidos su objeto y cuantía, práctica que riñe con las normas que rigen la contratación estatal, particularmente con los principios de transparencia y de selección objetiva” (CORTE SUPREMA DE JUSTICIA. Sala Especial de Primera Instancia. Sentencia del 17 de marzo de 2022. Rad. 00267. M.P. Ariel Augusto Torres Rojas).  </w:t>
      </w:r>
    </w:p>
  </w:footnote>
  <w:footnote w:id="2">
    <w:p w14:paraId="5B296CAE" w14:textId="77777777" w:rsidR="00E72F7D" w:rsidRPr="00724976" w:rsidRDefault="00E72F7D" w:rsidP="00E72F7D">
      <w:pPr>
        <w:spacing w:after="0" w:line="240" w:lineRule="auto"/>
        <w:ind w:left="120" w:firstLine="707"/>
        <w:jc w:val="both"/>
        <w:rPr>
          <w:rFonts w:ascii="Verdana" w:hAnsi="Verdana" w:cs="Arial"/>
          <w:sz w:val="16"/>
          <w:szCs w:val="16"/>
        </w:rPr>
      </w:pPr>
      <w:r w:rsidRPr="00724976">
        <w:rPr>
          <w:rStyle w:val="Refdenotaalpie"/>
          <w:rFonts w:ascii="Verdana" w:hAnsi="Verdana" w:cs="Arial"/>
          <w:sz w:val="16"/>
          <w:szCs w:val="16"/>
        </w:rPr>
        <w:footnoteRef/>
      </w:r>
      <w:r w:rsidRPr="00724976">
        <w:rPr>
          <w:rFonts w:ascii="Verdana" w:hAnsi="Verdana" w:cs="Arial"/>
          <w:position w:val="6"/>
          <w:sz w:val="16"/>
          <w:szCs w:val="16"/>
        </w:rPr>
        <w:t xml:space="preserve"> </w:t>
      </w:r>
      <w:r w:rsidRPr="00724976">
        <w:rPr>
          <w:rFonts w:ascii="Verdana" w:hAnsi="Verdana" w:cs="Arial"/>
          <w:sz w:val="16"/>
          <w:szCs w:val="16"/>
        </w:rPr>
        <w:t>DEIK ACOSTAMADIEDO, Carolina, Guía de Contratación Estatal: Deber de planeación y modalidades de selección, Buenos Aires, 2015, p. 59.</w:t>
      </w:r>
    </w:p>
  </w:footnote>
  <w:footnote w:id="3">
    <w:p w14:paraId="5F3B3F9A" w14:textId="77777777" w:rsidR="00E72F7D" w:rsidRPr="007A3C88" w:rsidRDefault="00E72F7D" w:rsidP="00E72F7D">
      <w:pPr>
        <w:pStyle w:val="Textonotapie"/>
        <w:ind w:firstLine="708"/>
        <w:jc w:val="both"/>
        <w:rPr>
          <w:rFonts w:ascii="Verdana" w:hAnsi="Verdana" w:cs="Arial"/>
          <w:sz w:val="16"/>
          <w:szCs w:val="16"/>
          <w:lang w:val="pt-BR"/>
        </w:rPr>
      </w:pPr>
      <w:r w:rsidRPr="007A3C88">
        <w:rPr>
          <w:rStyle w:val="Refdenotaalpie"/>
          <w:rFonts w:ascii="Verdana" w:hAnsi="Verdana" w:cs="Arial"/>
          <w:sz w:val="16"/>
          <w:szCs w:val="16"/>
        </w:rPr>
        <w:footnoteRef/>
      </w:r>
      <w:r w:rsidRPr="007A3C88">
        <w:rPr>
          <w:rFonts w:ascii="Verdana" w:hAnsi="Verdana" w:cs="Arial"/>
          <w:sz w:val="16"/>
          <w:szCs w:val="16"/>
          <w:lang w:val="pt-BR"/>
        </w:rPr>
        <w:t xml:space="preserve"> Tomado de </w:t>
      </w:r>
      <w:hyperlink r:id="rId1" w:history="1">
        <w:r w:rsidRPr="007A3C88">
          <w:rPr>
            <w:rStyle w:val="Hipervnculo"/>
            <w:rFonts w:ascii="Verdana" w:hAnsi="Verdana" w:cs="Arial"/>
            <w:color w:val="44546A" w:themeColor="text2"/>
            <w:sz w:val="16"/>
            <w:szCs w:val="16"/>
            <w:lang w:val="pt-BR"/>
          </w:rPr>
          <w:t>https://sintesis.colombiacompra.gov.co/sintesis/9-etapa-precontractual-estudios-previos</w:t>
        </w:r>
      </w:hyperlink>
      <w:r w:rsidRPr="007A3C88">
        <w:rPr>
          <w:rFonts w:ascii="Verdana" w:hAnsi="Verdana" w:cs="Arial"/>
          <w:sz w:val="16"/>
          <w:szCs w:val="16"/>
          <w:lang w:val="pt-BR"/>
        </w:rPr>
        <w:t>.</w:t>
      </w:r>
    </w:p>
  </w:footnote>
  <w:footnote w:id="4">
    <w:p w14:paraId="7F03E277" w14:textId="77777777" w:rsidR="00E72F7D" w:rsidRDefault="00E72F7D" w:rsidP="00E72F7D">
      <w:pPr>
        <w:pStyle w:val="Textoindependiente"/>
        <w:ind w:right="103" w:firstLine="709"/>
        <w:jc w:val="both"/>
        <w:rPr>
          <w:rFonts w:ascii="Verdana" w:hAnsi="Verdana"/>
          <w:sz w:val="16"/>
          <w:szCs w:val="16"/>
        </w:rPr>
      </w:pPr>
      <w:r w:rsidRPr="00724976">
        <w:rPr>
          <w:rStyle w:val="Refdenotaalpie"/>
          <w:rFonts w:ascii="Verdana" w:hAnsi="Verdana"/>
          <w:sz w:val="16"/>
          <w:szCs w:val="16"/>
        </w:rPr>
        <w:footnoteRef/>
      </w:r>
      <w:r w:rsidRPr="00724976">
        <w:rPr>
          <w:rFonts w:ascii="Verdana" w:hAnsi="Verdana"/>
          <w:sz w:val="16"/>
          <w:szCs w:val="16"/>
        </w:rPr>
        <w:t xml:space="preserve"> </w:t>
      </w:r>
      <w:r w:rsidRPr="00724976">
        <w:rPr>
          <w:rFonts w:ascii="Verdana" w:hAnsi="Verdana"/>
          <w:position w:val="6"/>
          <w:sz w:val="16"/>
          <w:szCs w:val="16"/>
        </w:rPr>
        <w:t xml:space="preserve"> </w:t>
      </w:r>
      <w:r w:rsidRPr="00724976">
        <w:rPr>
          <w:rFonts w:ascii="Verdana" w:hAnsi="Verdana"/>
          <w:sz w:val="16"/>
          <w:szCs w:val="16"/>
        </w:rPr>
        <w:t xml:space="preserve">“Artículo </w:t>
      </w:r>
      <w:bookmarkStart w:id="2" w:name="_Hlk54173885"/>
      <w:r w:rsidRPr="00724976">
        <w:rPr>
          <w:rFonts w:ascii="Verdana" w:hAnsi="Verdana"/>
          <w:sz w:val="16"/>
          <w:szCs w:val="16"/>
        </w:rPr>
        <w:t>2.2.1.1.2.1.1</w:t>
      </w:r>
      <w:bookmarkEnd w:id="2"/>
      <w:r w:rsidRPr="00724976">
        <w:rPr>
          <w:rFonts w:ascii="Verdana" w:hAnsi="Verdana"/>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5313E22B" w14:textId="77777777" w:rsidR="00E72F7D" w:rsidRPr="00724976" w:rsidRDefault="00E72F7D" w:rsidP="00E72F7D">
      <w:pPr>
        <w:pStyle w:val="Textoindependiente"/>
        <w:ind w:right="103" w:firstLine="709"/>
        <w:jc w:val="both"/>
        <w:rPr>
          <w:rFonts w:ascii="Verdana" w:hAnsi="Verdana"/>
          <w:sz w:val="16"/>
          <w:szCs w:val="16"/>
        </w:rPr>
      </w:pPr>
    </w:p>
  </w:footnote>
  <w:footnote w:id="5">
    <w:p w14:paraId="3CD87E0A" w14:textId="77777777" w:rsidR="00E72F7D" w:rsidRPr="00724976" w:rsidRDefault="00E72F7D" w:rsidP="00E72F7D">
      <w:pPr>
        <w:pStyle w:val="Textoindependiente"/>
        <w:ind w:right="108" w:firstLine="708"/>
        <w:jc w:val="both"/>
        <w:rPr>
          <w:rFonts w:ascii="Verdana" w:hAnsi="Verdana"/>
          <w:sz w:val="16"/>
          <w:szCs w:val="16"/>
        </w:rPr>
      </w:pPr>
      <w:r w:rsidRPr="00724976">
        <w:rPr>
          <w:rStyle w:val="Refdenotaalpie"/>
          <w:rFonts w:ascii="Verdana" w:hAnsi="Verdana"/>
          <w:sz w:val="16"/>
          <w:szCs w:val="16"/>
        </w:rPr>
        <w:footnoteRef/>
      </w:r>
      <w:r w:rsidRPr="00724976">
        <w:rPr>
          <w:rFonts w:ascii="Verdana" w:hAnsi="Verdana"/>
          <w:sz w:val="16"/>
          <w:szCs w:val="16"/>
        </w:rPr>
        <w:t xml:space="preserve"> Consejo de Estado, Sala de lo Contencioso Administrativo. Sección Tercera, Subsección B,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6">
    <w:p w14:paraId="5868071E" w14:textId="77777777" w:rsidR="00E72F7D" w:rsidRPr="007A3C88" w:rsidRDefault="00E72F7D" w:rsidP="00E72F7D">
      <w:pPr>
        <w:pStyle w:val="Textonotapie"/>
        <w:ind w:firstLine="708"/>
        <w:jc w:val="both"/>
        <w:rPr>
          <w:rFonts w:ascii="Verdana" w:hAnsi="Verdana" w:cs="Arial"/>
          <w:sz w:val="16"/>
          <w:szCs w:val="16"/>
          <w:lang w:val="es-ES"/>
        </w:rPr>
      </w:pPr>
      <w:r w:rsidRPr="007A3C88">
        <w:rPr>
          <w:rStyle w:val="Refdenotaalpie"/>
          <w:rFonts w:ascii="Verdana" w:hAnsi="Verdana" w:cs="Arial"/>
          <w:sz w:val="16"/>
          <w:szCs w:val="16"/>
        </w:rPr>
        <w:footnoteRef/>
      </w:r>
      <w:r w:rsidRPr="007A3C88">
        <w:rPr>
          <w:rFonts w:ascii="Verdana" w:hAnsi="Verdana" w:cs="Arial"/>
          <w:sz w:val="16"/>
          <w:szCs w:val="16"/>
        </w:rPr>
        <w:t xml:space="preserve"> </w:t>
      </w:r>
      <w:r w:rsidRPr="007A3C88">
        <w:rPr>
          <w:rFonts w:ascii="Verdana" w:hAnsi="Verdana" w:cs="Arial"/>
          <w:sz w:val="16"/>
          <w:szCs w:val="16"/>
          <w:lang w:val="es-ES"/>
        </w:rPr>
        <w:t xml:space="preserve">La </w:t>
      </w:r>
      <w:r w:rsidRPr="007A3C88">
        <w:rPr>
          <w:rFonts w:ascii="Verdana" w:eastAsia="Calibri" w:hAnsi="Verdana" w:cs="Arial"/>
          <w:bCs/>
          <w:sz w:val="16"/>
          <w:szCs w:val="16"/>
          <w:lang w:val="es-ES_tradnl"/>
        </w:rPr>
        <w:t>“Guía para la Elaboración de Estudios del Sector” puede ser consultada en el siguiente link:</w:t>
      </w:r>
      <w:r w:rsidRPr="007A3C88">
        <w:rPr>
          <w:rFonts w:ascii="Verdana" w:hAnsi="Verdana" w:cs="Arial"/>
          <w:sz w:val="16"/>
          <w:szCs w:val="16"/>
          <w:lang w:val="es-ES"/>
        </w:rPr>
        <w:t xml:space="preserve"> </w:t>
      </w:r>
      <w:hyperlink r:id="rId2" w:history="1">
        <w:r w:rsidRPr="007A3C88">
          <w:rPr>
            <w:rStyle w:val="Hipervnculo"/>
            <w:rFonts w:ascii="Verdana" w:hAnsi="Verdana" w:cs="Arial"/>
            <w:sz w:val="16"/>
            <w:szCs w:val="16"/>
            <w:lang w:val="es-ES"/>
          </w:rPr>
          <w:t>https://www.colombiacompra.gov.co/sites/cce_public/files/cce_documentos/cce-eicp-gi-18._gees_v.2_2.pdf</w:t>
        </w:r>
      </w:hyperlink>
      <w:r w:rsidRPr="007A3C88">
        <w:rPr>
          <w:rFonts w:ascii="Verdana" w:hAnsi="Verdana" w:cs="Arial"/>
          <w:sz w:val="16"/>
          <w:szCs w:val="16"/>
          <w:lang w:val="es-ES"/>
        </w:rPr>
        <w:t xml:space="preserve"> </w:t>
      </w:r>
    </w:p>
  </w:footnote>
  <w:footnote w:id="7">
    <w:p w14:paraId="29E600A9" w14:textId="77777777" w:rsidR="00E72F7D" w:rsidRPr="00847D2B" w:rsidRDefault="00E72F7D" w:rsidP="00E72F7D">
      <w:pPr>
        <w:pStyle w:val="Textonotapie"/>
        <w:ind w:firstLine="708"/>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Consejo de Estado. Sección Segunda. Sentencia del 9 de septiembre de 2021. Expediente No. 05001-23-33-000-2013-01143-01(1317-16). M.P. Dra. Sandra Lisset Ibarra Vélez.</w:t>
      </w:r>
    </w:p>
    <w:p w14:paraId="77B42969" w14:textId="77777777" w:rsidR="00E72F7D" w:rsidRPr="00847D2B" w:rsidRDefault="00E72F7D" w:rsidP="00E72F7D">
      <w:pPr>
        <w:pStyle w:val="Textonotapie"/>
        <w:ind w:firstLine="708"/>
        <w:contextualSpacing/>
        <w:jc w:val="both"/>
        <w:rPr>
          <w:rFonts w:ascii="Arial" w:hAnsi="Arial" w:cs="Arial"/>
          <w:sz w:val="18"/>
          <w:szCs w:val="18"/>
        </w:rPr>
      </w:pPr>
    </w:p>
  </w:footnote>
  <w:footnote w:id="8">
    <w:p w14:paraId="55A58F10" w14:textId="77777777" w:rsidR="00E72F7D" w:rsidRPr="00847D2B" w:rsidRDefault="00E72F7D" w:rsidP="00E72F7D">
      <w:pPr>
        <w:pStyle w:val="Textonotapie"/>
        <w:ind w:firstLine="708"/>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Así lo señaló el Consejo de Estado en la sentencia de unificación en mención, al indicar que </w:t>
      </w:r>
      <w:r>
        <w:rPr>
          <w:rFonts w:ascii="Arial" w:hAnsi="Arial" w:cs="Arial"/>
          <w:sz w:val="18"/>
          <w:szCs w:val="18"/>
        </w:rPr>
        <w:t>“</w:t>
      </w:r>
      <w:r w:rsidRPr="00847D2B">
        <w:rPr>
          <w:rFonts w:ascii="Arial" w:hAnsi="Arial" w:cs="Arial"/>
          <w:sz w:val="18"/>
          <w:szCs w:val="18"/>
        </w:rPr>
        <w:t>cualquier contrato de prestación de servicios tiene por objeto genérico “desarrollar actividades relacionadas con la administración o funcionamiento de la entidad”</w:t>
      </w:r>
      <w:r>
        <w:rPr>
          <w:rFonts w:ascii="Arial" w:hAnsi="Arial" w:cs="Arial"/>
          <w:sz w:val="18"/>
          <w:szCs w:val="18"/>
        </w:rPr>
        <w:t>”.</w:t>
      </w:r>
      <w:r w:rsidRPr="00847D2B">
        <w:rPr>
          <w:rFonts w:ascii="Arial" w:hAnsi="Arial" w:cs="Arial"/>
          <w:sz w:val="18"/>
          <w:szCs w:val="18"/>
        </w:rPr>
        <w:t>.</w:t>
      </w:r>
    </w:p>
    <w:p w14:paraId="4B6E44A2" w14:textId="77777777" w:rsidR="00E72F7D" w:rsidRPr="00847D2B" w:rsidRDefault="00E72F7D" w:rsidP="00E72F7D">
      <w:pPr>
        <w:pStyle w:val="Textonotapie"/>
        <w:ind w:firstLine="708"/>
        <w:contextualSpacing/>
        <w:jc w:val="both"/>
        <w:rPr>
          <w:rFonts w:ascii="Arial" w:hAnsi="Arial" w:cs="Arial"/>
          <w:sz w:val="18"/>
          <w:szCs w:val="18"/>
          <w:lang w:val="es-ES_tradnl"/>
        </w:rPr>
      </w:pPr>
    </w:p>
  </w:footnote>
  <w:footnote w:id="9">
    <w:p w14:paraId="604BE34D" w14:textId="77777777" w:rsidR="00E72F7D" w:rsidRPr="00847D2B" w:rsidRDefault="00E72F7D" w:rsidP="00E72F7D">
      <w:pPr>
        <w:pStyle w:val="Textonotapie"/>
        <w:ind w:firstLine="708"/>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El artículo 22 del Código Sustantivo del Trabajo establece: </w:t>
      </w:r>
      <w:r>
        <w:rPr>
          <w:rFonts w:ascii="Arial" w:hAnsi="Arial" w:cs="Arial"/>
          <w:sz w:val="18"/>
          <w:szCs w:val="18"/>
          <w:lang w:val="es-ES"/>
        </w:rPr>
        <w:t>“</w:t>
      </w:r>
      <w:r w:rsidRPr="00847D2B">
        <w:rPr>
          <w:rFonts w:ascii="Arial" w:hAnsi="Arial" w:cs="Arial"/>
          <w:sz w:val="18"/>
          <w:szCs w:val="18"/>
          <w:lang w:val="es-ES"/>
        </w:rPr>
        <w:t>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r>
        <w:rPr>
          <w:rFonts w:ascii="Arial" w:hAnsi="Arial" w:cs="Arial"/>
          <w:sz w:val="18"/>
          <w:szCs w:val="18"/>
          <w:lang w:val="es-ES"/>
        </w:rPr>
        <w:t>”</w:t>
      </w:r>
      <w:r w:rsidRPr="00847D2B">
        <w:rPr>
          <w:rFonts w:ascii="Arial" w:hAnsi="Arial" w:cs="Arial"/>
          <w:sz w:val="18"/>
          <w:szCs w:val="18"/>
          <w:lang w:val="es-ES"/>
        </w:rPr>
        <w:t>.</w:t>
      </w:r>
    </w:p>
    <w:p w14:paraId="5A5BE2C1" w14:textId="77777777" w:rsidR="00E72F7D" w:rsidRPr="00847D2B" w:rsidRDefault="00E72F7D" w:rsidP="00E72F7D">
      <w:pPr>
        <w:pStyle w:val="Textonotapie"/>
        <w:ind w:firstLine="709"/>
        <w:contextualSpacing/>
        <w:jc w:val="both"/>
        <w:rPr>
          <w:rFonts w:ascii="Arial" w:hAnsi="Arial" w:cs="Arial"/>
          <w:sz w:val="18"/>
          <w:szCs w:val="18"/>
          <w:lang w:val="es-ES"/>
        </w:rPr>
      </w:pPr>
    </w:p>
  </w:footnote>
  <w:footnote w:id="10">
    <w:p w14:paraId="1216E187"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En efecto, el artículo 244 de la Ley 1955 de 2015 dispone, en lo pertinente: </w:t>
      </w:r>
      <w:r>
        <w:rPr>
          <w:rFonts w:ascii="Arial" w:hAnsi="Arial" w:cs="Arial"/>
          <w:sz w:val="18"/>
          <w:szCs w:val="18"/>
          <w:lang w:val="es-ES"/>
        </w:rPr>
        <w:t>“</w:t>
      </w:r>
      <w:r w:rsidRPr="00847D2B">
        <w:rPr>
          <w:rFonts w:ascii="Arial" w:hAnsi="Arial" w:cs="Arial"/>
          <w:sz w:val="18"/>
          <w:szCs w:val="18"/>
          <w:lang w:val="es-ES"/>
        </w:rPr>
        <w:t>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2D6C29A"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3F43728" w14:textId="77777777" w:rsidR="00E72F7D" w:rsidRPr="000522C3" w:rsidRDefault="00E72F7D" w:rsidP="00E72F7D">
      <w:pPr>
        <w:pStyle w:val="Textonotapie"/>
        <w:ind w:firstLine="709"/>
        <w:contextualSpacing/>
        <w:jc w:val="both"/>
        <w:rPr>
          <w:rFonts w:ascii="Arial" w:hAnsi="Arial" w:cs="Arial"/>
          <w:sz w:val="18"/>
          <w:szCs w:val="18"/>
          <w:lang w:val="es-CO"/>
        </w:rPr>
      </w:pPr>
      <w:r w:rsidRPr="00847D2B">
        <w:rPr>
          <w:rFonts w:ascii="Arial" w:hAnsi="Arial" w:cs="Arial"/>
          <w:sz w:val="18"/>
          <w:szCs w:val="18"/>
          <w:lang w:val="es-ES"/>
        </w:rPr>
        <w:t>El Gobierno nacional reglamentará el mecanismo para realizar la mensualización de que trata el presente artículo.</w:t>
      </w:r>
      <w:r w:rsidRPr="000522C3">
        <w:rPr>
          <w:rFonts w:ascii="Arial" w:hAnsi="Arial" w:cs="Arial"/>
          <w:sz w:val="18"/>
          <w:szCs w:val="18"/>
          <w:lang w:val="es-CO"/>
        </w:rPr>
        <w:t>[…]”.</w:t>
      </w:r>
    </w:p>
    <w:p w14:paraId="5AF4CF9F" w14:textId="77777777" w:rsidR="00E72F7D" w:rsidRPr="000522C3" w:rsidRDefault="00E72F7D" w:rsidP="00E72F7D">
      <w:pPr>
        <w:pStyle w:val="Textonotapie"/>
        <w:ind w:firstLine="709"/>
        <w:contextualSpacing/>
        <w:jc w:val="both"/>
        <w:rPr>
          <w:rFonts w:ascii="Arial" w:hAnsi="Arial" w:cs="Arial"/>
          <w:sz w:val="18"/>
          <w:szCs w:val="18"/>
          <w:lang w:val="es-CO"/>
        </w:rPr>
      </w:pPr>
    </w:p>
  </w:footnote>
  <w:footnote w:id="11">
    <w:p w14:paraId="7CCDFBA5"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Ibíd.</w:t>
      </w:r>
    </w:p>
    <w:p w14:paraId="053BF6EF" w14:textId="77777777" w:rsidR="00E72F7D" w:rsidRPr="00847D2B" w:rsidRDefault="00E72F7D" w:rsidP="00E72F7D">
      <w:pPr>
        <w:pStyle w:val="Textonotapie"/>
        <w:ind w:firstLine="709"/>
        <w:contextualSpacing/>
        <w:jc w:val="both"/>
        <w:rPr>
          <w:rFonts w:ascii="Arial" w:hAnsi="Arial" w:cs="Arial"/>
          <w:sz w:val="18"/>
          <w:szCs w:val="18"/>
          <w:lang w:val="es-ES"/>
        </w:rPr>
      </w:pPr>
    </w:p>
  </w:footnote>
  <w:footnote w:id="12">
    <w:p w14:paraId="687CEA64" w14:textId="77777777" w:rsidR="00E72F7D" w:rsidRPr="00847D2B" w:rsidRDefault="00E72F7D" w:rsidP="00E72F7D">
      <w:pPr>
        <w:pStyle w:val="Textonotapie"/>
        <w:ind w:firstLine="709"/>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CONSEJO DE ESTADO. Sección Tercera. Subsección C. Sentencia de Unificación del 2 de diciembre de 2013. Exp. 41.719. C.P. Jaime Orlando Santofimio Gamboa.</w:t>
      </w:r>
      <w:r w:rsidRPr="00847D2B">
        <w:rPr>
          <w:rFonts w:ascii="Arial" w:hAnsi="Arial" w:cs="Arial"/>
          <w:sz w:val="18"/>
          <w:szCs w:val="18"/>
        </w:rPr>
        <w:t xml:space="preserve"> </w:t>
      </w:r>
    </w:p>
    <w:p w14:paraId="1B38E7AE"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 xml:space="preserve">Además, el numeral 2º del artículo 32 de la Ley 80 de 1993 define el contrato de consultoría así: </w:t>
      </w:r>
      <w:r>
        <w:rPr>
          <w:rFonts w:ascii="Arial" w:hAnsi="Arial" w:cs="Arial"/>
          <w:sz w:val="18"/>
          <w:szCs w:val="18"/>
          <w:lang w:val="es-ES"/>
        </w:rPr>
        <w:t>“</w:t>
      </w:r>
      <w:r w:rsidRPr="00847D2B">
        <w:rPr>
          <w:rFonts w:ascii="Arial" w:hAnsi="Arial" w:cs="Arial"/>
          <w:sz w:val="18"/>
          <w:szCs w:val="18"/>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11CC085"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7712A500"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Ninguna orden del interventor de una obra podrá darse verbalmente. Es obligatorio para el interventor entregar por escrito sus órdenes o sugerencias y ellas deben enmarcarse dentro de los términos del respectivo contrato</w:t>
      </w:r>
      <w:r>
        <w:rPr>
          <w:rFonts w:ascii="Arial" w:hAnsi="Arial" w:cs="Arial"/>
          <w:sz w:val="18"/>
          <w:szCs w:val="18"/>
          <w:lang w:val="es-ES"/>
        </w:rPr>
        <w:t>”</w:t>
      </w:r>
      <w:r w:rsidRPr="00847D2B">
        <w:rPr>
          <w:rFonts w:ascii="Arial" w:hAnsi="Arial" w:cs="Arial"/>
          <w:sz w:val="18"/>
          <w:szCs w:val="18"/>
          <w:lang w:val="es-ES"/>
        </w:rPr>
        <w:t>.</w:t>
      </w:r>
    </w:p>
    <w:p w14:paraId="2150E66A" w14:textId="77777777" w:rsidR="00E72F7D" w:rsidRPr="00847D2B" w:rsidRDefault="00E72F7D" w:rsidP="00E72F7D">
      <w:pPr>
        <w:pStyle w:val="Textonotapie"/>
        <w:ind w:firstLine="709"/>
        <w:contextualSpacing/>
        <w:jc w:val="both"/>
        <w:rPr>
          <w:rFonts w:ascii="Arial" w:hAnsi="Arial" w:cs="Arial"/>
          <w:sz w:val="18"/>
          <w:szCs w:val="18"/>
          <w:lang w:val="es-ES"/>
        </w:rPr>
      </w:pPr>
    </w:p>
  </w:footnote>
  <w:footnote w:id="13">
    <w:p w14:paraId="37A43C43"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Así lo dispone el artículo 2.2.1.2.1.4.1. del Decreto 1082 de 2015: </w:t>
      </w:r>
      <w:r>
        <w:rPr>
          <w:rFonts w:ascii="Arial" w:hAnsi="Arial" w:cs="Arial"/>
          <w:sz w:val="18"/>
          <w:szCs w:val="18"/>
          <w:lang w:val="es-ES"/>
        </w:rPr>
        <w:t>“</w:t>
      </w:r>
      <w:r w:rsidRPr="00847D2B">
        <w:rPr>
          <w:rFonts w:ascii="Arial" w:hAnsi="Arial" w:cs="Arial"/>
          <w:sz w:val="18"/>
          <w:szCs w:val="18"/>
          <w:lang w:val="es-ES"/>
        </w:rPr>
        <w:t>La Entidad Estatal debe señalar en un acto administrativo la justificación para contratar bajo la modalidad de contratación directa, el cual debe contener:</w:t>
      </w:r>
    </w:p>
    <w:p w14:paraId="32A8A251"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1. La causal que invoca para contratar directamente.</w:t>
      </w:r>
    </w:p>
    <w:p w14:paraId="0A67DE50"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2. El objeto del contrato.</w:t>
      </w:r>
    </w:p>
    <w:p w14:paraId="4DC85138"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3. El presupuesto para la contratación y las condiciones que exigirá al contratista.</w:t>
      </w:r>
    </w:p>
    <w:p w14:paraId="18E0A6FD"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4. El lugar en el cual los interesados pueden consultar los estudios y documentos previos.</w:t>
      </w:r>
    </w:p>
    <w:p w14:paraId="7D7302FC"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r>
        <w:rPr>
          <w:rFonts w:ascii="Arial" w:hAnsi="Arial" w:cs="Arial"/>
          <w:sz w:val="18"/>
          <w:szCs w:val="18"/>
          <w:lang w:val="es-ES"/>
        </w:rPr>
        <w:t>”</w:t>
      </w:r>
      <w:r w:rsidRPr="00847D2B">
        <w:rPr>
          <w:rFonts w:ascii="Arial" w:hAnsi="Arial" w:cs="Arial"/>
          <w:sz w:val="18"/>
          <w:szCs w:val="18"/>
          <w:lang w:val="es-ES"/>
        </w:rPr>
        <w:t>.</w:t>
      </w:r>
    </w:p>
  </w:footnote>
  <w:footnote w:id="14">
    <w:p w14:paraId="40467DE6"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La norma expresa: </w:t>
      </w:r>
      <w:r>
        <w:rPr>
          <w:rFonts w:ascii="Arial" w:hAnsi="Arial" w:cs="Arial"/>
          <w:sz w:val="18"/>
          <w:szCs w:val="18"/>
          <w:lang w:val="es-ES"/>
        </w:rPr>
        <w:t>“</w:t>
      </w:r>
      <w:r w:rsidRPr="00847D2B">
        <w:rPr>
          <w:rFonts w:ascii="Arial" w:hAnsi="Arial" w:cs="Arial"/>
          <w:sz w:val="18"/>
          <w:szCs w:val="18"/>
          <w:lang w:val="es-ES"/>
        </w:rPr>
        <w:t xml:space="preserve">Art. 14. </w:t>
      </w:r>
      <w:r w:rsidRPr="00847D2B">
        <w:rPr>
          <w:rFonts w:ascii="Arial" w:hAnsi="Arial" w:cs="Arial"/>
          <w:sz w:val="18"/>
          <w:szCs w:val="18"/>
        </w:rPr>
        <w:t>P</w:t>
      </w:r>
      <w:r w:rsidRPr="00847D2B">
        <w:rPr>
          <w:rFonts w:ascii="Arial" w:hAnsi="Arial" w:cs="Arial"/>
          <w:sz w:val="18"/>
          <w:szCs w:val="18"/>
          <w:lang w:val="es-ES"/>
        </w:rPr>
        <w:t>ara el cumplimiento de los fines de la contratación, las entidades estatales al celebrar un contrato:</w:t>
      </w:r>
    </w:p>
    <w:p w14:paraId="6B58C03C"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w:t>
      </w:r>
    </w:p>
    <w:p w14:paraId="46D3BC47" w14:textId="77777777" w:rsidR="00E72F7D" w:rsidRPr="00847D2B" w:rsidRDefault="00E72F7D" w:rsidP="00E72F7D">
      <w:pPr>
        <w:pStyle w:val="Textonotapie"/>
        <w:ind w:firstLine="709"/>
        <w:contextualSpacing/>
        <w:jc w:val="both"/>
        <w:rPr>
          <w:rFonts w:ascii="Arial" w:hAnsi="Arial" w:cs="Arial"/>
          <w:sz w:val="18"/>
          <w:szCs w:val="18"/>
          <w:lang w:val="es-ES"/>
        </w:rPr>
      </w:pPr>
    </w:p>
    <w:p w14:paraId="43EABAA5"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F073764" w14:textId="77777777" w:rsidR="00E72F7D" w:rsidRPr="00847D2B" w:rsidRDefault="00E72F7D" w:rsidP="00E72F7D">
      <w:pPr>
        <w:pStyle w:val="Textonotapie"/>
        <w:ind w:firstLine="708"/>
        <w:contextualSpacing/>
        <w:jc w:val="both"/>
        <w:rPr>
          <w:rFonts w:ascii="Arial" w:hAnsi="Arial" w:cs="Arial"/>
          <w:sz w:val="18"/>
          <w:szCs w:val="18"/>
          <w:lang w:val="es-ES"/>
        </w:rPr>
      </w:pPr>
      <w:r w:rsidRPr="00847D2B">
        <w:rPr>
          <w:rFonts w:ascii="Arial" w:hAnsi="Arial" w:cs="Arial"/>
          <w:sz w:val="18"/>
          <w:szCs w:val="18"/>
          <w:lang w:val="es-ES"/>
        </w:rPr>
        <w:t>Las entidades estatales podrán pactar estas cláusulas en los contratos de suministro y de prestación de servicios.</w:t>
      </w:r>
      <w:r>
        <w:rPr>
          <w:rFonts w:ascii="Arial" w:hAnsi="Arial" w:cs="Arial"/>
          <w:sz w:val="18"/>
          <w:szCs w:val="18"/>
          <w:lang w:val="es-ES"/>
        </w:rPr>
        <w:t>”</w:t>
      </w:r>
      <w:r w:rsidRPr="00847D2B">
        <w:rPr>
          <w:rFonts w:ascii="Arial" w:hAnsi="Arial" w:cs="Arial"/>
          <w:sz w:val="18"/>
          <w:szCs w:val="18"/>
          <w:lang w:val="es-ES"/>
        </w:rPr>
        <w:t>.</w:t>
      </w:r>
    </w:p>
    <w:p w14:paraId="72E4BCEF" w14:textId="77777777" w:rsidR="00E72F7D" w:rsidRPr="00847D2B" w:rsidRDefault="00E72F7D" w:rsidP="00E72F7D">
      <w:pPr>
        <w:pStyle w:val="Textonotapie"/>
        <w:ind w:firstLine="709"/>
        <w:contextualSpacing/>
        <w:jc w:val="both"/>
        <w:rPr>
          <w:rFonts w:ascii="Arial" w:hAnsi="Arial" w:cs="Arial"/>
          <w:sz w:val="18"/>
          <w:szCs w:val="18"/>
          <w:lang w:val="es-ES"/>
        </w:rPr>
      </w:pPr>
    </w:p>
  </w:footnote>
  <w:footnote w:id="15">
    <w:p w14:paraId="4C311336" w14:textId="77777777" w:rsidR="00E72F7D" w:rsidRPr="00847D2B" w:rsidRDefault="00E72F7D" w:rsidP="00E72F7D">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La norma dispone: </w:t>
      </w:r>
      <w:r>
        <w:rPr>
          <w:rFonts w:ascii="Arial" w:hAnsi="Arial" w:cs="Arial"/>
          <w:sz w:val="18"/>
          <w:szCs w:val="18"/>
          <w:lang w:val="es-ES"/>
        </w:rPr>
        <w:t>“</w:t>
      </w:r>
      <w:r w:rsidRPr="00847D2B">
        <w:rPr>
          <w:rFonts w:ascii="Arial" w:hAnsi="Arial" w:cs="Arial"/>
          <w:sz w:val="18"/>
          <w:szCs w:val="18"/>
          <w:lang w:val="es-ES"/>
        </w:rPr>
        <w:t>La liquidación a que se refiere el presente artículo no será obligatoria en los contratos de prestación de servicios profesionales y de apoyo a la gestión</w:t>
      </w:r>
      <w:r>
        <w:rPr>
          <w:rFonts w:ascii="Arial" w:hAnsi="Arial" w:cs="Arial"/>
          <w:sz w:val="18"/>
          <w:szCs w:val="18"/>
          <w:lang w:val="es-ES"/>
        </w:rPr>
        <w:t>”</w:t>
      </w:r>
      <w:r w:rsidRPr="00847D2B">
        <w:rPr>
          <w:rFonts w:ascii="Arial" w:hAnsi="Arial" w:cs="Arial"/>
          <w:sz w:val="18"/>
          <w:szCs w:val="18"/>
          <w:lang w:val="es-ES"/>
        </w:rPr>
        <w:t>.</w:t>
      </w:r>
    </w:p>
    <w:p w14:paraId="11BAD829" w14:textId="77777777" w:rsidR="00E72F7D" w:rsidRPr="00847D2B" w:rsidRDefault="00E72F7D" w:rsidP="00E72F7D">
      <w:pPr>
        <w:pStyle w:val="Textonotapie"/>
        <w:ind w:firstLine="709"/>
        <w:contextualSpacing/>
        <w:jc w:val="both"/>
        <w:rPr>
          <w:rFonts w:ascii="Arial" w:hAnsi="Arial" w:cs="Arial"/>
          <w:sz w:val="18"/>
          <w:szCs w:val="18"/>
          <w:lang w:val="es-ES"/>
        </w:rPr>
      </w:pPr>
    </w:p>
  </w:footnote>
  <w:footnote w:id="16">
    <w:p w14:paraId="480352B1" w14:textId="77777777" w:rsidR="00E72F7D" w:rsidRPr="00847D2B" w:rsidRDefault="00E72F7D" w:rsidP="00E72F7D">
      <w:pPr>
        <w:pStyle w:val="Textonotapie"/>
        <w:ind w:firstLine="709"/>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Según dicho artículo: </w:t>
      </w:r>
      <w:r>
        <w:rPr>
          <w:rFonts w:ascii="Arial" w:hAnsi="Arial" w:cs="Arial"/>
          <w:sz w:val="18"/>
          <w:szCs w:val="18"/>
        </w:rPr>
        <w:t>“</w:t>
      </w:r>
      <w:r w:rsidRPr="00847D2B">
        <w:rPr>
          <w:rFonts w:ascii="Arial" w:hAnsi="Arial" w:cs="Arial"/>
          <w:sz w:val="18"/>
          <w:szCs w:val="18"/>
        </w:rPr>
        <w:t>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2883A2D" w14:textId="77777777" w:rsidR="00E72F7D" w:rsidRPr="00847D2B" w:rsidRDefault="00E72F7D" w:rsidP="00E72F7D">
      <w:pPr>
        <w:pStyle w:val="Textonotapie"/>
        <w:ind w:firstLine="709"/>
        <w:contextualSpacing/>
        <w:jc w:val="both"/>
        <w:rPr>
          <w:rFonts w:ascii="Arial" w:hAnsi="Arial" w:cs="Arial"/>
          <w:sz w:val="18"/>
          <w:szCs w:val="18"/>
        </w:rPr>
      </w:pPr>
      <w:r w:rsidRPr="00847D2B">
        <w:rPr>
          <w:rFonts w:ascii="Arial" w:hAnsi="Arial" w:cs="Arial"/>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Pr>
          <w:rFonts w:ascii="Arial" w:hAnsi="Arial" w:cs="Arial"/>
          <w:sz w:val="18"/>
          <w:szCs w:val="18"/>
        </w:rPr>
        <w:t>”</w:t>
      </w:r>
      <w:r w:rsidRPr="00847D2B">
        <w:rPr>
          <w:rFonts w:ascii="Arial" w:hAnsi="Arial" w:cs="Arial"/>
          <w:sz w:val="18"/>
          <w:szCs w:val="18"/>
        </w:rPr>
        <w:t>.</w:t>
      </w:r>
    </w:p>
    <w:p w14:paraId="7F2C9D12" w14:textId="77777777" w:rsidR="00E72F7D" w:rsidRPr="00847D2B" w:rsidRDefault="00E72F7D" w:rsidP="00E72F7D">
      <w:pPr>
        <w:pStyle w:val="Textonotapie"/>
        <w:ind w:firstLine="709"/>
        <w:contextualSpacing/>
        <w:jc w:val="both"/>
        <w:rPr>
          <w:rFonts w:ascii="Arial" w:hAnsi="Arial" w:cs="Arial"/>
          <w:sz w:val="18"/>
          <w:szCs w:val="18"/>
          <w:lang w:val="es-ES"/>
        </w:rPr>
      </w:pPr>
    </w:p>
  </w:footnote>
  <w:footnote w:id="17">
    <w:p w14:paraId="6D92BBBD" w14:textId="77777777" w:rsidR="00E72F7D" w:rsidRPr="00C06435" w:rsidRDefault="00E72F7D" w:rsidP="00E72F7D">
      <w:pPr>
        <w:spacing w:after="0" w:line="240" w:lineRule="auto"/>
        <w:ind w:left="100" w:right="1010" w:firstLine="6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Sección</w:t>
      </w:r>
      <w:r w:rsidRPr="00C06435">
        <w:rPr>
          <w:rFonts w:ascii="Verdana" w:hAnsi="Verdana"/>
          <w:spacing w:val="-5"/>
          <w:sz w:val="16"/>
          <w:szCs w:val="16"/>
        </w:rPr>
        <w:t xml:space="preserve"> </w:t>
      </w:r>
      <w:r w:rsidRPr="00C06435">
        <w:rPr>
          <w:rFonts w:ascii="Verdana" w:hAnsi="Verdana"/>
          <w:sz w:val="16"/>
          <w:szCs w:val="16"/>
        </w:rPr>
        <w:t>Tercera</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la</w:t>
      </w:r>
      <w:r w:rsidRPr="00C06435">
        <w:rPr>
          <w:rFonts w:ascii="Verdana" w:hAnsi="Verdana"/>
          <w:spacing w:val="-5"/>
          <w:sz w:val="16"/>
          <w:szCs w:val="16"/>
        </w:rPr>
        <w:t xml:space="preserve"> </w:t>
      </w:r>
      <w:r w:rsidRPr="00C06435">
        <w:rPr>
          <w:rFonts w:ascii="Verdana" w:hAnsi="Verdana"/>
          <w:sz w:val="16"/>
          <w:szCs w:val="16"/>
        </w:rPr>
        <w:t>Sala</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lo</w:t>
      </w:r>
      <w:r w:rsidRPr="00C06435">
        <w:rPr>
          <w:rFonts w:ascii="Verdana" w:hAnsi="Verdana"/>
          <w:spacing w:val="-5"/>
          <w:sz w:val="16"/>
          <w:szCs w:val="16"/>
        </w:rPr>
        <w:t xml:space="preserve"> </w:t>
      </w:r>
      <w:r w:rsidRPr="00C06435">
        <w:rPr>
          <w:rFonts w:ascii="Verdana" w:hAnsi="Verdana"/>
          <w:sz w:val="16"/>
          <w:szCs w:val="16"/>
        </w:rPr>
        <w:t>Contencioso</w:t>
      </w:r>
      <w:r w:rsidRPr="00C06435">
        <w:rPr>
          <w:rFonts w:ascii="Verdana" w:hAnsi="Verdana"/>
          <w:spacing w:val="-4"/>
          <w:sz w:val="16"/>
          <w:szCs w:val="16"/>
        </w:rPr>
        <w:t xml:space="preserve"> </w:t>
      </w:r>
      <w:r w:rsidRPr="00C06435">
        <w:rPr>
          <w:rFonts w:ascii="Verdana" w:hAnsi="Verdana"/>
          <w:sz w:val="16"/>
          <w:szCs w:val="16"/>
        </w:rPr>
        <w:t>Administrativo</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5"/>
          <w:sz w:val="16"/>
          <w:szCs w:val="16"/>
        </w:rPr>
        <w:t xml:space="preserve"> </w:t>
      </w:r>
      <w:r w:rsidRPr="00C06435">
        <w:rPr>
          <w:rFonts w:ascii="Verdana" w:hAnsi="Verdana"/>
          <w:sz w:val="16"/>
          <w:szCs w:val="16"/>
        </w:rPr>
        <w:t>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5"/>
          <w:sz w:val="16"/>
          <w:szCs w:val="16"/>
        </w:rPr>
        <w:t xml:space="preserve"> </w:t>
      </w:r>
      <w:r w:rsidRPr="00C06435">
        <w:rPr>
          <w:rFonts w:ascii="Verdana" w:hAnsi="Verdana"/>
          <w:sz w:val="16"/>
          <w:szCs w:val="16"/>
        </w:rPr>
        <w:t>29</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abril</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2015,</w:t>
      </w:r>
      <w:r w:rsidRPr="00C06435">
        <w:rPr>
          <w:rFonts w:ascii="Verdana" w:hAnsi="Verdana"/>
          <w:spacing w:val="-2"/>
          <w:sz w:val="16"/>
          <w:szCs w:val="16"/>
        </w:rPr>
        <w:t xml:space="preserve"> </w:t>
      </w:r>
      <w:r w:rsidRPr="00C06435">
        <w:rPr>
          <w:rFonts w:ascii="Verdana" w:hAnsi="Verdana"/>
          <w:sz w:val="16"/>
          <w:szCs w:val="16"/>
        </w:rPr>
        <w:t>expediente</w:t>
      </w:r>
      <w:r w:rsidRPr="00C06435">
        <w:rPr>
          <w:rFonts w:ascii="Verdana" w:hAnsi="Verdana"/>
          <w:spacing w:val="-2"/>
          <w:sz w:val="16"/>
          <w:szCs w:val="16"/>
        </w:rPr>
        <w:t xml:space="preserve"> </w:t>
      </w:r>
      <w:r w:rsidRPr="00C06435">
        <w:rPr>
          <w:rFonts w:ascii="Verdana" w:hAnsi="Verdana"/>
          <w:sz w:val="16"/>
          <w:szCs w:val="16"/>
        </w:rPr>
        <w:t>29201</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Olga</w:t>
      </w:r>
      <w:r w:rsidRPr="00C06435">
        <w:rPr>
          <w:rFonts w:ascii="Verdana" w:hAnsi="Verdana"/>
          <w:spacing w:val="-2"/>
          <w:sz w:val="16"/>
          <w:szCs w:val="16"/>
        </w:rPr>
        <w:t xml:space="preserve"> </w:t>
      </w:r>
      <w:r w:rsidRPr="00C06435">
        <w:rPr>
          <w:rFonts w:ascii="Verdana" w:hAnsi="Verdana"/>
          <w:sz w:val="16"/>
          <w:szCs w:val="16"/>
        </w:rPr>
        <w:t>Melida</w:t>
      </w:r>
      <w:r w:rsidRPr="00C06435">
        <w:rPr>
          <w:rFonts w:ascii="Verdana" w:hAnsi="Verdana"/>
          <w:spacing w:val="-2"/>
          <w:sz w:val="16"/>
          <w:szCs w:val="16"/>
        </w:rPr>
        <w:t xml:space="preserve"> </w:t>
      </w:r>
      <w:r w:rsidRPr="00C06435">
        <w:rPr>
          <w:rFonts w:ascii="Verdana" w:hAnsi="Verdana"/>
          <w:sz w:val="16"/>
          <w:szCs w:val="16"/>
        </w:rPr>
        <w:t>Valle</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La</w:t>
      </w:r>
      <w:r w:rsidRPr="00C06435">
        <w:rPr>
          <w:rFonts w:ascii="Verdana" w:hAnsi="Verdana"/>
          <w:spacing w:val="-2"/>
          <w:sz w:val="16"/>
          <w:szCs w:val="16"/>
        </w:rPr>
        <w:t xml:space="preserve"> </w:t>
      </w:r>
      <w:r w:rsidRPr="00C06435">
        <w:rPr>
          <w:rFonts w:ascii="Verdana" w:hAnsi="Verdana"/>
          <w:sz w:val="16"/>
          <w:szCs w:val="16"/>
        </w:rPr>
        <w:t>Hoz</w:t>
      </w:r>
    </w:p>
    <w:p w14:paraId="313939C5" w14:textId="77777777" w:rsidR="00E72F7D" w:rsidRPr="00C06435" w:rsidRDefault="00E72F7D" w:rsidP="00E72F7D">
      <w:pPr>
        <w:pStyle w:val="Textonotapie"/>
        <w:jc w:val="both"/>
        <w:rPr>
          <w:rFonts w:ascii="Verdana" w:hAnsi="Verdana"/>
          <w:sz w:val="16"/>
          <w:szCs w:val="16"/>
          <w:lang w:val="es-CO"/>
        </w:rPr>
      </w:pPr>
    </w:p>
  </w:footnote>
  <w:footnote w:id="18">
    <w:p w14:paraId="7B6A1AFF" w14:textId="77777777" w:rsidR="00E72F7D" w:rsidRDefault="00E72F7D" w:rsidP="00E72F7D">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Sala</w:t>
      </w:r>
      <w:r w:rsidRPr="00C06435">
        <w:rPr>
          <w:rFonts w:ascii="Verdana" w:hAnsi="Verdana"/>
          <w:spacing w:val="4"/>
          <w:sz w:val="16"/>
          <w:szCs w:val="16"/>
        </w:rPr>
        <w:t xml:space="preserve"> </w:t>
      </w:r>
      <w:r w:rsidRPr="00C06435">
        <w:rPr>
          <w:rFonts w:ascii="Verdana" w:hAnsi="Verdana"/>
          <w:sz w:val="16"/>
          <w:szCs w:val="16"/>
        </w:rPr>
        <w:t>Plena</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lo</w:t>
      </w:r>
      <w:r w:rsidRPr="00C06435">
        <w:rPr>
          <w:rFonts w:ascii="Verdana" w:hAnsi="Verdana"/>
          <w:spacing w:val="2"/>
          <w:sz w:val="16"/>
          <w:szCs w:val="16"/>
        </w:rPr>
        <w:t xml:space="preserve"> </w:t>
      </w:r>
      <w:r w:rsidRPr="00C06435">
        <w:rPr>
          <w:rFonts w:ascii="Verdana" w:hAnsi="Verdana"/>
          <w:sz w:val="16"/>
          <w:szCs w:val="16"/>
        </w:rPr>
        <w:t>Contencioso</w:t>
      </w:r>
      <w:r w:rsidRPr="00C06435">
        <w:rPr>
          <w:rFonts w:ascii="Verdana" w:hAnsi="Verdana"/>
          <w:spacing w:val="5"/>
          <w:sz w:val="16"/>
          <w:szCs w:val="16"/>
        </w:rPr>
        <w:t xml:space="preserve"> </w:t>
      </w:r>
      <w:r w:rsidRPr="00C06435">
        <w:rPr>
          <w:rFonts w:ascii="Verdana" w:hAnsi="Verdana"/>
          <w:sz w:val="16"/>
          <w:szCs w:val="16"/>
        </w:rPr>
        <w:t>Administrativa</w:t>
      </w:r>
      <w:r w:rsidRPr="00C06435">
        <w:rPr>
          <w:rFonts w:ascii="Verdana" w:hAnsi="Verdana"/>
          <w:spacing w:val="6"/>
          <w:sz w:val="16"/>
          <w:szCs w:val="16"/>
        </w:rPr>
        <w:t xml:space="preserve"> </w:t>
      </w:r>
      <w:r w:rsidRPr="00C06435">
        <w:rPr>
          <w:rFonts w:ascii="Verdana" w:hAnsi="Verdana"/>
          <w:sz w:val="16"/>
          <w:szCs w:val="16"/>
        </w:rPr>
        <w:t>del</w:t>
      </w:r>
      <w:r w:rsidRPr="00C06435">
        <w:rPr>
          <w:rFonts w:ascii="Verdana" w:hAnsi="Verdana"/>
          <w:spacing w:val="2"/>
          <w:sz w:val="16"/>
          <w:szCs w:val="16"/>
        </w:rPr>
        <w:t xml:space="preserve"> </w:t>
      </w:r>
      <w:r w:rsidRPr="00C06435">
        <w:rPr>
          <w:rFonts w:ascii="Verdana" w:hAnsi="Verdana"/>
          <w:sz w:val="16"/>
          <w:szCs w:val="16"/>
        </w:rPr>
        <w:t>Consejo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Estado,</w:t>
      </w:r>
      <w:r w:rsidRPr="00C06435">
        <w:rPr>
          <w:rFonts w:ascii="Verdana" w:hAnsi="Verdana"/>
          <w:spacing w:val="4"/>
          <w:sz w:val="16"/>
          <w:szCs w:val="16"/>
        </w:rPr>
        <w:t xml:space="preserve"> </w:t>
      </w:r>
      <w:r w:rsidRPr="00C06435">
        <w:rPr>
          <w:rFonts w:ascii="Verdana" w:hAnsi="Verdana"/>
          <w:sz w:val="16"/>
          <w:szCs w:val="16"/>
        </w:rPr>
        <w:t>Sentencia</w:t>
      </w:r>
      <w:r w:rsidRPr="00C06435">
        <w:rPr>
          <w:rFonts w:ascii="Verdana" w:hAnsi="Verdana"/>
          <w:spacing w:val="4"/>
          <w:sz w:val="16"/>
          <w:szCs w:val="16"/>
        </w:rPr>
        <w:t xml:space="preserve"> </w:t>
      </w:r>
      <w:r w:rsidRPr="00C06435">
        <w:rPr>
          <w:rFonts w:ascii="Verdana" w:hAnsi="Verdana"/>
          <w:sz w:val="16"/>
          <w:szCs w:val="16"/>
        </w:rPr>
        <w:t>del</w:t>
      </w:r>
      <w:r w:rsidRPr="00C06435">
        <w:rPr>
          <w:rFonts w:ascii="Verdana" w:hAnsi="Verdana"/>
          <w:spacing w:val="3"/>
          <w:sz w:val="16"/>
          <w:szCs w:val="16"/>
        </w:rPr>
        <w:t xml:space="preserve"> </w:t>
      </w:r>
      <w:r w:rsidRPr="00C06435">
        <w:rPr>
          <w:rFonts w:ascii="Verdana" w:hAnsi="Verdana"/>
          <w:sz w:val="16"/>
          <w:szCs w:val="16"/>
        </w:rPr>
        <w:t>3</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octubre</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2000,</w:t>
      </w:r>
      <w:r w:rsidRPr="00C06435">
        <w:rPr>
          <w:rFonts w:ascii="Verdana" w:hAnsi="Verdana"/>
          <w:spacing w:val="-3"/>
          <w:sz w:val="16"/>
          <w:szCs w:val="16"/>
        </w:rPr>
        <w:t xml:space="preserve"> </w:t>
      </w:r>
      <w:r w:rsidRPr="00C06435">
        <w:rPr>
          <w:rFonts w:ascii="Verdana" w:hAnsi="Verdana"/>
          <w:sz w:val="16"/>
          <w:szCs w:val="16"/>
        </w:rPr>
        <w:t>expedientes</w:t>
      </w:r>
      <w:r w:rsidRPr="00C06435">
        <w:rPr>
          <w:rFonts w:ascii="Verdana" w:hAnsi="Verdana"/>
          <w:spacing w:val="-2"/>
          <w:sz w:val="16"/>
          <w:szCs w:val="16"/>
        </w:rPr>
        <w:t xml:space="preserve"> </w:t>
      </w:r>
      <w:r w:rsidRPr="00C06435">
        <w:rPr>
          <w:rFonts w:ascii="Verdana" w:hAnsi="Verdana"/>
          <w:sz w:val="16"/>
          <w:szCs w:val="16"/>
        </w:rPr>
        <w:t>AC-10529</w:t>
      </w:r>
      <w:r w:rsidRPr="00C06435">
        <w:rPr>
          <w:rFonts w:ascii="Verdana" w:hAnsi="Verdana"/>
          <w:spacing w:val="-2"/>
          <w:sz w:val="16"/>
          <w:szCs w:val="16"/>
        </w:rPr>
        <w:t xml:space="preserve"> </w:t>
      </w:r>
      <w:r w:rsidRPr="00C06435">
        <w:rPr>
          <w:rFonts w:ascii="Verdana" w:hAnsi="Verdana"/>
          <w:sz w:val="16"/>
          <w:szCs w:val="16"/>
        </w:rPr>
        <w:t>y</w:t>
      </w:r>
      <w:r w:rsidRPr="00C06435">
        <w:rPr>
          <w:rFonts w:ascii="Verdana" w:hAnsi="Verdana"/>
          <w:spacing w:val="-2"/>
          <w:sz w:val="16"/>
          <w:szCs w:val="16"/>
        </w:rPr>
        <w:t xml:space="preserve"> </w:t>
      </w:r>
      <w:r w:rsidRPr="00C06435">
        <w:rPr>
          <w:rFonts w:ascii="Verdana" w:hAnsi="Verdana"/>
          <w:sz w:val="16"/>
          <w:szCs w:val="16"/>
        </w:rPr>
        <w:t>AC-10968</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Darío</w:t>
      </w:r>
      <w:r w:rsidRPr="00C06435">
        <w:rPr>
          <w:rFonts w:ascii="Verdana" w:hAnsi="Verdana"/>
          <w:spacing w:val="-2"/>
          <w:sz w:val="16"/>
          <w:szCs w:val="16"/>
        </w:rPr>
        <w:t xml:space="preserve"> </w:t>
      </w:r>
      <w:r w:rsidRPr="00C06435">
        <w:rPr>
          <w:rFonts w:ascii="Verdana" w:hAnsi="Verdana"/>
          <w:sz w:val="16"/>
          <w:szCs w:val="16"/>
        </w:rPr>
        <w:t>Quiñónez</w:t>
      </w:r>
      <w:r w:rsidRPr="00C06435">
        <w:rPr>
          <w:rFonts w:ascii="Verdana" w:hAnsi="Verdana"/>
          <w:spacing w:val="-2"/>
          <w:sz w:val="16"/>
          <w:szCs w:val="16"/>
        </w:rPr>
        <w:t xml:space="preserve"> </w:t>
      </w:r>
      <w:r w:rsidRPr="00C06435">
        <w:rPr>
          <w:rFonts w:ascii="Verdana" w:hAnsi="Verdana"/>
          <w:sz w:val="16"/>
          <w:szCs w:val="16"/>
        </w:rPr>
        <w:t>Pinilla</w:t>
      </w:r>
      <w:r>
        <w:rPr>
          <w:rFonts w:ascii="Verdana" w:hAnsi="Verdana"/>
          <w:sz w:val="16"/>
          <w:szCs w:val="16"/>
        </w:rPr>
        <w:t>.</w:t>
      </w:r>
    </w:p>
    <w:p w14:paraId="309AA013" w14:textId="77777777" w:rsidR="00E72F7D" w:rsidRPr="00C06435" w:rsidRDefault="00E72F7D" w:rsidP="00E72F7D">
      <w:pPr>
        <w:pStyle w:val="Textonotapie"/>
        <w:ind w:firstLine="708"/>
        <w:jc w:val="both"/>
        <w:rPr>
          <w:rFonts w:ascii="Verdana" w:hAnsi="Verdana"/>
          <w:sz w:val="16"/>
          <w:szCs w:val="16"/>
          <w:lang w:val="es-CO"/>
        </w:rPr>
      </w:pPr>
    </w:p>
  </w:footnote>
  <w:footnote w:id="19">
    <w:p w14:paraId="36FBC10F" w14:textId="77777777" w:rsidR="00E72F7D" w:rsidRPr="00C06435" w:rsidRDefault="00E72F7D" w:rsidP="00E72F7D">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20">
    <w:p w14:paraId="732A3337" w14:textId="77777777" w:rsidR="00E72F7D" w:rsidRDefault="00E72F7D" w:rsidP="00E72F7D">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4"/>
          <w:sz w:val="16"/>
          <w:szCs w:val="16"/>
        </w:rPr>
        <w:t xml:space="preserve"> </w:t>
      </w:r>
      <w:r w:rsidRPr="00C06435">
        <w:rPr>
          <w:rFonts w:ascii="Verdana" w:hAnsi="Verdana"/>
          <w:sz w:val="16"/>
          <w:szCs w:val="16"/>
        </w:rPr>
        <w:t>10</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febrero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2022.</w:t>
      </w:r>
      <w:r w:rsidRPr="00C06435">
        <w:rPr>
          <w:rFonts w:ascii="Verdana" w:hAnsi="Verdana"/>
          <w:spacing w:val="-4"/>
          <w:sz w:val="16"/>
          <w:szCs w:val="16"/>
        </w:rPr>
        <w:t xml:space="preserve"> </w:t>
      </w:r>
      <w:r w:rsidRPr="00C06435">
        <w:rPr>
          <w:rFonts w:ascii="Verdana" w:hAnsi="Verdana"/>
          <w:sz w:val="16"/>
          <w:szCs w:val="16"/>
        </w:rPr>
        <w:t>MP:</w:t>
      </w:r>
      <w:r w:rsidRPr="00C06435">
        <w:rPr>
          <w:rFonts w:ascii="Verdana" w:hAnsi="Verdana"/>
          <w:spacing w:val="-5"/>
          <w:sz w:val="16"/>
          <w:szCs w:val="16"/>
        </w:rPr>
        <w:t xml:space="preserve"> </w:t>
      </w:r>
      <w:r w:rsidRPr="00C06435">
        <w:rPr>
          <w:rFonts w:ascii="Verdana" w:hAnsi="Verdana"/>
          <w:sz w:val="16"/>
          <w:szCs w:val="16"/>
        </w:rPr>
        <w:t>César</w:t>
      </w:r>
      <w:r w:rsidRPr="00C06435">
        <w:rPr>
          <w:rFonts w:ascii="Verdana" w:hAnsi="Verdana"/>
          <w:spacing w:val="-5"/>
          <w:sz w:val="16"/>
          <w:szCs w:val="16"/>
        </w:rPr>
        <w:t xml:space="preserve"> </w:t>
      </w:r>
      <w:r w:rsidRPr="00C06435">
        <w:rPr>
          <w:rFonts w:ascii="Verdana" w:hAnsi="Verdana"/>
          <w:sz w:val="16"/>
          <w:szCs w:val="16"/>
        </w:rPr>
        <w:t>Palomino</w:t>
      </w:r>
      <w:r w:rsidRPr="00C06435">
        <w:rPr>
          <w:rFonts w:ascii="Verdana" w:hAnsi="Verdana"/>
          <w:spacing w:val="-4"/>
          <w:sz w:val="16"/>
          <w:szCs w:val="16"/>
        </w:rPr>
        <w:t xml:space="preserve"> </w:t>
      </w:r>
      <w:r w:rsidRPr="00C06435">
        <w:rPr>
          <w:rFonts w:ascii="Verdana" w:hAnsi="Verdana"/>
          <w:sz w:val="16"/>
          <w:szCs w:val="16"/>
        </w:rPr>
        <w:t>Cortés.</w:t>
      </w:r>
    </w:p>
    <w:p w14:paraId="34FBABDC" w14:textId="77777777" w:rsidR="00E72F7D" w:rsidRPr="00C06435" w:rsidRDefault="00E72F7D" w:rsidP="00E72F7D">
      <w:pPr>
        <w:pStyle w:val="Textonotapie"/>
        <w:ind w:firstLine="708"/>
        <w:jc w:val="both"/>
        <w:rPr>
          <w:rFonts w:ascii="Verdana" w:hAnsi="Verdana"/>
          <w:sz w:val="16"/>
          <w:szCs w:val="16"/>
          <w:lang w:val="es-CO"/>
        </w:rPr>
      </w:pPr>
    </w:p>
  </w:footnote>
  <w:footnote w:id="21">
    <w:p w14:paraId="35FCD989" w14:textId="77777777" w:rsidR="00E72F7D" w:rsidRPr="00E931C6" w:rsidRDefault="00E72F7D" w:rsidP="00E72F7D">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De acuerdo con la jurisprudencia, el fraccionamiento “[…] se configura, cuando la administración de manera artificiosa divide la unidad natural del objeto contractual, a fin de seleccionar directamente al contratista cuando debía convocar un proceso de licitación, o para acomodarlo a un proceso menos estricto y riguroso de contratación en defecto del que se imponía seguir atendidos su objeto y cuantía, práctica que riñe con las normas que rigen la contratación estatal, particularmente con los principios de transparencia y de selección objetiva” (CORTE SUPREMA DE JUSTICIA. Sala Especial de Primera Instancia. Sentencia del 17 de marzo de 2022. Rad. 00267. M.P. Ariel Augusto Torres Rojas).  </w:t>
      </w:r>
    </w:p>
  </w:footnote>
  <w:footnote w:id="22">
    <w:p w14:paraId="4032229A" w14:textId="77777777" w:rsidR="00E72F7D" w:rsidRPr="00E931C6" w:rsidRDefault="00E72F7D" w:rsidP="00E72F7D">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Cfr. CORTE SUPREMA DE JUSTICIA. Sala Especial de Primera Instancia. Sentencia del 23 de marzo de 2006. Rad. 21780. M.P. Edgar Lombana Trujillo.</w:t>
      </w:r>
    </w:p>
  </w:footnote>
  <w:footnote w:id="23">
    <w:p w14:paraId="5E6652DF" w14:textId="77777777" w:rsidR="00E72F7D" w:rsidRPr="00997C15" w:rsidRDefault="00E72F7D" w:rsidP="00E72F7D">
      <w:pPr>
        <w:pStyle w:val="Textonotapie"/>
        <w:ind w:firstLine="708"/>
        <w:jc w:val="both"/>
        <w:rPr>
          <w:rFonts w:ascii="Verdana" w:hAnsi="Verdana"/>
          <w:sz w:val="16"/>
          <w:szCs w:val="16"/>
          <w:lang w:val="pt-PT"/>
        </w:rPr>
      </w:pPr>
      <w:r w:rsidRPr="00C06435">
        <w:rPr>
          <w:rStyle w:val="Refdenotaalpie"/>
          <w:rFonts w:ascii="Verdana" w:hAnsi="Verdana"/>
          <w:sz w:val="16"/>
          <w:szCs w:val="16"/>
        </w:rPr>
        <w:footnoteRef/>
      </w:r>
      <w:r w:rsidRPr="00997C15">
        <w:rPr>
          <w:rFonts w:ascii="Verdana" w:hAnsi="Verdana"/>
          <w:sz w:val="16"/>
          <w:szCs w:val="16"/>
          <w:lang w:val="pt-PT"/>
        </w:rPr>
        <w:t xml:space="preserve"> ibidem</w:t>
      </w:r>
    </w:p>
  </w:footnote>
  <w:footnote w:id="24">
    <w:p w14:paraId="1686288E" w14:textId="77777777" w:rsidR="00E72F7D" w:rsidRPr="00997C15" w:rsidRDefault="00E72F7D" w:rsidP="00E72F7D">
      <w:pPr>
        <w:pStyle w:val="Textonotapie"/>
        <w:ind w:left="40" w:firstLine="668"/>
        <w:jc w:val="both"/>
        <w:rPr>
          <w:rFonts w:ascii="Verdana" w:hAnsi="Verdana" w:cs="Arial"/>
          <w:sz w:val="16"/>
          <w:szCs w:val="16"/>
          <w:vertAlign w:val="superscript"/>
          <w:lang w:val="pt-PT"/>
        </w:rPr>
      </w:pPr>
    </w:p>
    <w:p w14:paraId="33CE8682" w14:textId="77777777" w:rsidR="00E72F7D" w:rsidRPr="00C06435" w:rsidRDefault="00E72F7D" w:rsidP="00E72F7D">
      <w:pPr>
        <w:pStyle w:val="Textonotapie"/>
        <w:ind w:left="40" w:firstLine="668"/>
        <w:jc w:val="both"/>
        <w:rPr>
          <w:rFonts w:ascii="Verdana" w:hAnsi="Verdana" w:cs="Arial"/>
          <w:sz w:val="16"/>
          <w:szCs w:val="16"/>
        </w:rPr>
      </w:pPr>
      <w:r w:rsidRPr="00C06435">
        <w:rPr>
          <w:rFonts w:ascii="Verdana" w:hAnsi="Verdana" w:cs="Arial"/>
          <w:sz w:val="16"/>
          <w:szCs w:val="16"/>
        </w:rPr>
        <w:footnoteRef/>
      </w:r>
      <w:r w:rsidRPr="00997C15">
        <w:rPr>
          <w:rFonts w:ascii="Verdana" w:hAnsi="Verdana" w:cs="Arial"/>
          <w:sz w:val="16"/>
          <w:szCs w:val="16"/>
          <w:vertAlign w:val="superscript"/>
          <w:lang w:val="pt-PT"/>
        </w:rPr>
        <w:t xml:space="preserve"> </w:t>
      </w:r>
      <w:r w:rsidRPr="00997C15">
        <w:rPr>
          <w:rFonts w:ascii="Verdana" w:hAnsi="Verdana" w:cs="Arial"/>
          <w:sz w:val="16"/>
          <w:szCs w:val="16"/>
          <w:lang w:val="pt-PT"/>
        </w:rPr>
        <w:t xml:space="preserve">Rodríguez Tamayo, Mauricio Fernando. </w:t>
      </w:r>
      <w:r w:rsidRPr="00C06435">
        <w:rPr>
          <w:rFonts w:ascii="Verdana" w:hAnsi="Verdana" w:cs="Arial"/>
          <w:sz w:val="16"/>
          <w:szCs w:val="16"/>
        </w:rPr>
        <w:t>Los contratos estatales, 3 edición, Bogotá, Tirant lo Blanch, 2022. Pág. 370.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D17754"/>
    <w:multiLevelType w:val="hybridMultilevel"/>
    <w:tmpl w:val="5ED6B0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CE7AB2"/>
    <w:multiLevelType w:val="hybridMultilevel"/>
    <w:tmpl w:val="AB1AAC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7B3"/>
    <w:rsid w:val="00046945"/>
    <w:rsid w:val="00061B2A"/>
    <w:rsid w:val="00082362"/>
    <w:rsid w:val="000A683E"/>
    <w:rsid w:val="000B19B9"/>
    <w:rsid w:val="000C3D17"/>
    <w:rsid w:val="000D0334"/>
    <w:rsid w:val="000F6486"/>
    <w:rsid w:val="00125105"/>
    <w:rsid w:val="00127233"/>
    <w:rsid w:val="0017525E"/>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43B14"/>
    <w:rsid w:val="00756841"/>
    <w:rsid w:val="007649AB"/>
    <w:rsid w:val="00771D0C"/>
    <w:rsid w:val="007833AC"/>
    <w:rsid w:val="00792F8A"/>
    <w:rsid w:val="007B268C"/>
    <w:rsid w:val="007B7171"/>
    <w:rsid w:val="007C0897"/>
    <w:rsid w:val="007C0C0F"/>
    <w:rsid w:val="007C3DC2"/>
    <w:rsid w:val="007E5497"/>
    <w:rsid w:val="00806F5F"/>
    <w:rsid w:val="00820278"/>
    <w:rsid w:val="00867F95"/>
    <w:rsid w:val="008843B6"/>
    <w:rsid w:val="00891928"/>
    <w:rsid w:val="00897A3A"/>
    <w:rsid w:val="008A446D"/>
    <w:rsid w:val="008D180B"/>
    <w:rsid w:val="008E13F1"/>
    <w:rsid w:val="008F0EA7"/>
    <w:rsid w:val="00923EEF"/>
    <w:rsid w:val="009419F9"/>
    <w:rsid w:val="0095685E"/>
    <w:rsid w:val="00961B09"/>
    <w:rsid w:val="00965334"/>
    <w:rsid w:val="0097093E"/>
    <w:rsid w:val="00971326"/>
    <w:rsid w:val="009A0DFA"/>
    <w:rsid w:val="009B25A8"/>
    <w:rsid w:val="009B2D26"/>
    <w:rsid w:val="009C71FA"/>
    <w:rsid w:val="009C72E7"/>
    <w:rsid w:val="009D3058"/>
    <w:rsid w:val="009F3A13"/>
    <w:rsid w:val="00A122D3"/>
    <w:rsid w:val="00A17F13"/>
    <w:rsid w:val="00A20739"/>
    <w:rsid w:val="00A33C78"/>
    <w:rsid w:val="00AA75EC"/>
    <w:rsid w:val="00AB0ADB"/>
    <w:rsid w:val="00B00C0E"/>
    <w:rsid w:val="00B01B1A"/>
    <w:rsid w:val="00B44A47"/>
    <w:rsid w:val="00B728B8"/>
    <w:rsid w:val="00B72CD3"/>
    <w:rsid w:val="00B72FFF"/>
    <w:rsid w:val="00BC3D36"/>
    <w:rsid w:val="00BD7F72"/>
    <w:rsid w:val="00C0379A"/>
    <w:rsid w:val="00C04FB3"/>
    <w:rsid w:val="00C14737"/>
    <w:rsid w:val="00C330EB"/>
    <w:rsid w:val="00C754BE"/>
    <w:rsid w:val="00C76B1C"/>
    <w:rsid w:val="00CB6357"/>
    <w:rsid w:val="00CC1B26"/>
    <w:rsid w:val="00D24752"/>
    <w:rsid w:val="00D423A2"/>
    <w:rsid w:val="00D520D8"/>
    <w:rsid w:val="00D63AC2"/>
    <w:rsid w:val="00D7383B"/>
    <w:rsid w:val="00DA231B"/>
    <w:rsid w:val="00DC39FC"/>
    <w:rsid w:val="00DF5254"/>
    <w:rsid w:val="00E16408"/>
    <w:rsid w:val="00E20894"/>
    <w:rsid w:val="00E245AB"/>
    <w:rsid w:val="00E2764C"/>
    <w:rsid w:val="00E27F2E"/>
    <w:rsid w:val="00E47052"/>
    <w:rsid w:val="00E50AFE"/>
    <w:rsid w:val="00E72F7D"/>
    <w:rsid w:val="00E75C92"/>
    <w:rsid w:val="00E771DC"/>
    <w:rsid w:val="00E8772A"/>
    <w:rsid w:val="00E90F6B"/>
    <w:rsid w:val="00E92C27"/>
    <w:rsid w:val="00EA0E3D"/>
    <w:rsid w:val="00EC38A7"/>
    <w:rsid w:val="00EE1AA8"/>
    <w:rsid w:val="00F31EDC"/>
    <w:rsid w:val="00F462B3"/>
    <w:rsid w:val="00F55A89"/>
    <w:rsid w:val="00F5664F"/>
    <w:rsid w:val="00F666C4"/>
    <w:rsid w:val="00F76AFC"/>
    <w:rsid w:val="00FA47C0"/>
    <w:rsid w:val="00FB5DD1"/>
    <w:rsid w:val="00FC2B5D"/>
    <w:rsid w:val="00FF1449"/>
    <w:rsid w:val="165CC598"/>
    <w:rsid w:val="6A448B2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Sinespaciado">
    <w:name w:val="No Spacing"/>
    <w:uiPriority w:val="1"/>
    <w:qFormat/>
    <w:rsid w:val="00E72F7D"/>
    <w:pPr>
      <w:spacing w:after="0" w:line="240" w:lineRule="auto"/>
    </w:pPr>
  </w:style>
  <w:style w:type="paragraph" w:customStyle="1" w:styleId="Appelnotedebasde">
    <w:name w:val="Appel note de bas de..."/>
    <w:basedOn w:val="Normal"/>
    <w:link w:val="Refdenotaalpie"/>
    <w:uiPriority w:val="99"/>
    <w:rsid w:val="00E72F7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72F7D"/>
    <w:rPr>
      <w:rFonts w:ascii="Geomanist Light" w:hAnsi="Geomanist Light"/>
      <w:lang w:val="es-ES"/>
    </w:rPr>
  </w:style>
  <w:style w:type="character" w:customStyle="1" w:styleId="superscript">
    <w:name w:val="superscript"/>
    <w:basedOn w:val="Fuentedeprrafopredeter"/>
    <w:rsid w:val="00E72F7D"/>
  </w:style>
  <w:style w:type="paragraph" w:styleId="Textoindependiente">
    <w:name w:val="Body Text"/>
    <w:basedOn w:val="Normal"/>
    <w:link w:val="TextoindependienteCar"/>
    <w:uiPriority w:val="1"/>
    <w:qFormat/>
    <w:rsid w:val="00E72F7D"/>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E72F7D"/>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80-de-1993/"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normativa/decreto-1068-de-2015/"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co.fachapi@gmail.com" TargetMode="External"/><Relationship Id="rId5" Type="http://schemas.openxmlformats.org/officeDocument/2006/relationships/styles" Target="styles.xml"/><Relationship Id="rId15" Type="http://schemas.openxmlformats.org/officeDocument/2006/relationships/hyperlink" Target="https://www.colombiacompra.gov.co/sites/cce_public/files/cce_documents/cce-eicp-gi-23_guia_contratacion_prestacion_de_servicios_v1_11-07-2023_def_1_1.pdf"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ites/cce_public/files/cce_documents/cceeicpgi23_guia_contratacion_prestacion_de_servicios_v1_11-07-2023_def_1_1.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os/cce-eicp-gi-18._gees_v.2_2.pdf" TargetMode="External"/><Relationship Id="rId1" Type="http://schemas.openxmlformats.org/officeDocument/2006/relationships/hyperlink" Target="https://sintesis.colombiacompra.gov.co/sintesis/9-etapa-precontractual-estudios-previ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elements/1.1/"/>
    <ds:schemaRef ds:uri="9d85dbaf-23eb-4e57-a637-93dcacc8b1a1"/>
    <ds:schemaRef ds:uri="http://purl.org/dc/dcmitype/"/>
    <ds:schemaRef ds:uri="http://www.w3.org/XML/1998/namespace"/>
    <ds:schemaRef ds:uri="a6cb9e4b-f1d1-4245-83ec-6cad768d538a"/>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DE47746-4CAE-4ADE-8D6C-4547E1468F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24</Pages>
  <Words>7281</Words>
  <Characters>40046</Characters>
  <Application>Microsoft Office Word</Application>
  <DocSecurity>0</DocSecurity>
  <Lines>333</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2025-11-18T15:43:00Z</dcterms:created>
  <dcterms:modified xsi:type="dcterms:W3CDTF">2025-11-18T15:43:00Z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