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E311F" w14:textId="77777777" w:rsidR="00457B75" w:rsidRPr="00682C93" w:rsidRDefault="00457B75" w:rsidP="0029325F">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3C1F40B6" w14:textId="77777777" w:rsidR="00457B75" w:rsidRDefault="00457B75" w:rsidP="0029325F">
      <w:pPr>
        <w:spacing w:after="0" w:line="240" w:lineRule="auto"/>
        <w:jc w:val="both"/>
        <w:rPr>
          <w:rFonts w:ascii="Verdana" w:hAnsi="Verdana" w:cs="Arial"/>
          <w:b/>
          <w:lang w:val="es-MX" w:eastAsia="es-ES_tradnl"/>
        </w:rPr>
      </w:pPr>
    </w:p>
    <w:p w14:paraId="160266C7" w14:textId="77777777" w:rsidR="00457B75" w:rsidRDefault="00457B75" w:rsidP="0029325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52D9FE7" w14:textId="77777777" w:rsidR="00457B75" w:rsidRPr="00682C93" w:rsidRDefault="00457B75" w:rsidP="0029325F">
      <w:pPr>
        <w:spacing w:after="0" w:line="240" w:lineRule="auto"/>
        <w:jc w:val="both"/>
        <w:rPr>
          <w:rFonts w:ascii="Verdana" w:hAnsi="Verdana" w:cs="Arial"/>
          <w:b/>
          <w:sz w:val="20"/>
          <w:lang w:val="es-MX" w:eastAsia="es-ES_tradnl"/>
        </w:rPr>
      </w:pPr>
    </w:p>
    <w:p w14:paraId="725C6949"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5E4005D6" w14:textId="77777777" w:rsidR="00457B75" w:rsidRDefault="00457B75" w:rsidP="0029325F">
      <w:pPr>
        <w:spacing w:after="0" w:line="240" w:lineRule="auto"/>
        <w:jc w:val="both"/>
        <w:rPr>
          <w:rFonts w:ascii="Verdana" w:hAnsi="Verdana" w:cs="Arial"/>
          <w:b/>
          <w:lang w:val="es-MX" w:eastAsia="es-ES_tradnl"/>
        </w:rPr>
      </w:pPr>
    </w:p>
    <w:p w14:paraId="592CC75F" w14:textId="77777777" w:rsidR="00457B75" w:rsidRPr="00E41F23" w:rsidRDefault="00457B75" w:rsidP="0029325F">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5E95F2E" w14:textId="77777777" w:rsidR="00457B75" w:rsidRPr="00E41F23" w:rsidRDefault="00457B75" w:rsidP="0029325F">
      <w:pPr>
        <w:spacing w:after="0" w:line="240" w:lineRule="auto"/>
        <w:jc w:val="both"/>
        <w:rPr>
          <w:rFonts w:ascii="Verdana" w:eastAsia="Calibri" w:hAnsi="Verdana" w:cs="Arial"/>
          <w:sz w:val="20"/>
        </w:rPr>
      </w:pPr>
    </w:p>
    <w:p w14:paraId="04F52F1F" w14:textId="77777777" w:rsidR="00457B75" w:rsidRDefault="00457B75" w:rsidP="0029325F">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4D1D6FB5" w14:textId="77777777" w:rsidR="00457B75" w:rsidRPr="00E41F23" w:rsidRDefault="00457B75" w:rsidP="0029325F">
      <w:pPr>
        <w:widowControl w:val="0"/>
        <w:autoSpaceDE w:val="0"/>
        <w:autoSpaceDN w:val="0"/>
        <w:spacing w:after="0" w:line="240" w:lineRule="auto"/>
        <w:ind w:right="113"/>
        <w:jc w:val="both"/>
        <w:rPr>
          <w:rFonts w:ascii="Verdana" w:eastAsia="Arial" w:hAnsi="Verdana" w:cs="Arial"/>
          <w:sz w:val="20"/>
          <w:lang w:val="es-ES" w:eastAsia="es-ES" w:bidi="es-ES"/>
        </w:rPr>
      </w:pPr>
    </w:p>
    <w:p w14:paraId="7D535C79" w14:textId="77777777" w:rsidR="00457B75" w:rsidRPr="00E41F23" w:rsidRDefault="00457B75" w:rsidP="0029325F">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20F997A" w14:textId="77777777" w:rsidR="00457B75" w:rsidRPr="003F2A9C" w:rsidRDefault="00457B75" w:rsidP="0029325F">
      <w:pPr>
        <w:spacing w:after="0" w:line="240" w:lineRule="auto"/>
        <w:jc w:val="both"/>
        <w:rPr>
          <w:rFonts w:ascii="Verdana" w:hAnsi="Verdana" w:cs="Arial"/>
          <w:b/>
          <w:sz w:val="20"/>
          <w:lang w:val="es-MX" w:eastAsia="es-ES_tradnl"/>
        </w:rPr>
      </w:pPr>
    </w:p>
    <w:p w14:paraId="2B7F9931"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 Prohibición artículo 33 – Contratación directa – Alcance </w:t>
      </w:r>
    </w:p>
    <w:p w14:paraId="5924A54C" w14:textId="77777777" w:rsidR="00457B75" w:rsidRDefault="00457B75" w:rsidP="0029325F">
      <w:pPr>
        <w:spacing w:after="0" w:line="240" w:lineRule="auto"/>
        <w:jc w:val="both"/>
        <w:rPr>
          <w:rFonts w:ascii="Verdana" w:hAnsi="Verdana" w:cs="Arial"/>
          <w:b/>
          <w:lang w:val="es-MX" w:eastAsia="es-ES_tradnl"/>
        </w:rPr>
      </w:pPr>
    </w:p>
    <w:p w14:paraId="6DE643CD" w14:textId="77777777" w:rsidR="00457B75" w:rsidRPr="00E41F23" w:rsidRDefault="00457B75" w:rsidP="0029325F">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lastRenderedPageBreak/>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5C3FE98" w14:textId="77777777" w:rsidR="00457B75" w:rsidRPr="00E41F23" w:rsidRDefault="00457B75" w:rsidP="0029325F">
      <w:pPr>
        <w:spacing w:after="0" w:line="240" w:lineRule="auto"/>
        <w:jc w:val="both"/>
        <w:rPr>
          <w:rFonts w:ascii="Verdana" w:hAnsi="Verdana" w:cs="Arial"/>
          <w:b/>
          <w:lang w:eastAsia="es-ES_tradnl"/>
        </w:rPr>
      </w:pPr>
    </w:p>
    <w:p w14:paraId="3B0ACF15"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28B72582" w14:textId="77777777" w:rsidR="00457B75" w:rsidRPr="00E41F23" w:rsidRDefault="00457B75" w:rsidP="0029325F">
      <w:pPr>
        <w:spacing w:after="0" w:line="240" w:lineRule="auto"/>
        <w:jc w:val="both"/>
        <w:rPr>
          <w:rFonts w:ascii="Verdana" w:hAnsi="Verdana" w:cs="Arial"/>
          <w:b/>
          <w:sz w:val="20"/>
          <w:lang w:val="es-MX" w:eastAsia="es-ES_tradnl"/>
        </w:rPr>
      </w:pPr>
    </w:p>
    <w:p w14:paraId="1526ADA4" w14:textId="77777777" w:rsidR="00457B75" w:rsidRPr="00E41F23" w:rsidRDefault="00457B75" w:rsidP="0029325F">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7E03603" w14:textId="77777777" w:rsidR="00457B75" w:rsidRPr="00682C93" w:rsidRDefault="00457B75" w:rsidP="0029325F">
      <w:pPr>
        <w:spacing w:after="0" w:line="240" w:lineRule="auto"/>
        <w:jc w:val="both"/>
        <w:rPr>
          <w:rFonts w:ascii="Verdana" w:hAnsi="Verdana" w:cs="Arial"/>
          <w:b/>
          <w:lang w:val="es-MX" w:eastAsia="es-ES_tradnl"/>
        </w:rPr>
      </w:pPr>
    </w:p>
    <w:p w14:paraId="3F84C4DE"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63813FD4" w14:textId="77777777" w:rsidR="00457B75" w:rsidRDefault="00457B75" w:rsidP="0029325F">
      <w:pPr>
        <w:spacing w:after="0" w:line="240" w:lineRule="auto"/>
        <w:rPr>
          <w:rFonts w:ascii="Verdana" w:hAnsi="Verdana" w:cs="Arial"/>
          <w:lang w:val="es-MX" w:eastAsia="es-ES_tradnl"/>
        </w:rPr>
      </w:pPr>
    </w:p>
    <w:p w14:paraId="707A9748" w14:textId="77777777" w:rsidR="00457B75" w:rsidRPr="00E41F23" w:rsidRDefault="00457B75" w:rsidP="0029325F">
      <w:pPr>
        <w:spacing w:after="0" w:line="240" w:lineRule="auto"/>
        <w:jc w:val="both"/>
        <w:rPr>
          <w:rFonts w:ascii="Verdana" w:hAnsi="Verdana" w:cs="Arial"/>
          <w:sz w:val="20"/>
          <w:lang w:val="es-MX" w:eastAsia="es-ES_tradnl"/>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A0A9B3F" w14:textId="77777777" w:rsidR="00457B75" w:rsidRDefault="00457B75" w:rsidP="0029325F">
      <w:pPr>
        <w:spacing w:after="0" w:line="240" w:lineRule="auto"/>
        <w:rPr>
          <w:rFonts w:ascii="Verdana" w:hAnsi="Verdana"/>
        </w:rPr>
      </w:pPr>
    </w:p>
    <w:p w14:paraId="73F27D8D" w14:textId="77777777" w:rsidR="00457B75" w:rsidRDefault="00457B75" w:rsidP="0029325F">
      <w:pPr>
        <w:spacing w:after="0" w:line="240" w:lineRule="auto"/>
        <w:rPr>
          <w:rFonts w:ascii="Verdana" w:hAnsi="Verdana"/>
        </w:rPr>
      </w:pPr>
    </w:p>
    <w:p w14:paraId="0FD3FCE8" w14:textId="63827CBE" w:rsidR="00A17597" w:rsidRPr="00A17597" w:rsidRDefault="00A17597" w:rsidP="0029325F">
      <w:pPr>
        <w:spacing w:after="0" w:line="240" w:lineRule="auto"/>
        <w:jc w:val="both"/>
        <w:rPr>
          <w:rFonts w:ascii="Verdana" w:hAnsi="Verdana"/>
          <w:b/>
        </w:rPr>
      </w:pPr>
    </w:p>
    <w:p w14:paraId="7ACA4BF4" w14:textId="76178720" w:rsidR="00A17597" w:rsidRPr="00A17597" w:rsidRDefault="00A17597" w:rsidP="0029325F">
      <w:pPr>
        <w:spacing w:after="0" w:line="240" w:lineRule="auto"/>
        <w:jc w:val="both"/>
        <w:rPr>
          <w:rFonts w:ascii="Verdana" w:hAnsi="Verdana"/>
          <w:b/>
        </w:rPr>
      </w:pPr>
      <w:r w:rsidRPr="00A17597">
        <w:rPr>
          <w:rFonts w:ascii="Verdana" w:hAnsi="Verdana"/>
          <w:b/>
        </w:rPr>
        <w:t xml:space="preserve">SISTEMA GENERAL DE REGALÍAS – Objeto – Aplicación – Ley de Garantías Electorales </w:t>
      </w:r>
    </w:p>
    <w:p w14:paraId="7344B1FF" w14:textId="0C77AFD7" w:rsidR="00A17597" w:rsidRDefault="00A17597" w:rsidP="0029325F">
      <w:pPr>
        <w:spacing w:after="0" w:line="240" w:lineRule="auto"/>
        <w:jc w:val="both"/>
        <w:rPr>
          <w:rFonts w:ascii="Verdana" w:hAnsi="Verdana"/>
          <w:b/>
        </w:rPr>
      </w:pPr>
    </w:p>
    <w:p w14:paraId="5822200F" w14:textId="527BFCC7" w:rsidR="00E4556D" w:rsidRPr="005C70EF" w:rsidRDefault="00E4556D" w:rsidP="0029325F">
      <w:pPr>
        <w:spacing w:after="0" w:line="240" w:lineRule="auto"/>
        <w:jc w:val="both"/>
        <w:rPr>
          <w:rFonts w:ascii="Verdana" w:hAnsi="Verdana"/>
          <w:bCs/>
          <w:sz w:val="20"/>
        </w:rPr>
      </w:pPr>
      <w:r w:rsidRPr="005C70EF">
        <w:rPr>
          <w:rFonts w:ascii="Verdana" w:hAnsi="Verdana"/>
          <w:bCs/>
          <w:sz w:val="20"/>
          <w:lang w:val="es-MX"/>
        </w:rPr>
        <w:t>Teniendo en cuenta esta precisión, es necesario revisar si lo dispuesto en el Sistema General de Regalías le aplica la Ley 996 de 2005 –Ley de Garantías Electorales-. Para ello, es importante señalar que la Ley 2056 de 2020, “</w:t>
      </w:r>
      <w:r w:rsidRPr="005C70EF">
        <w:rPr>
          <w:rFonts w:ascii="Verdana" w:hAnsi="Verdana"/>
          <w:bCs/>
          <w:sz w:val="20"/>
        </w:rPr>
        <w:t>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799D3056" w14:textId="77777777" w:rsidR="00E4556D" w:rsidRPr="005C70EF" w:rsidRDefault="00E4556D" w:rsidP="0029325F">
      <w:pPr>
        <w:spacing w:after="0" w:line="240" w:lineRule="auto"/>
        <w:jc w:val="both"/>
        <w:rPr>
          <w:rFonts w:ascii="Verdana" w:hAnsi="Verdana"/>
          <w:bCs/>
          <w:sz w:val="20"/>
        </w:rPr>
      </w:pPr>
    </w:p>
    <w:p w14:paraId="3034B7B7" w14:textId="77777777" w:rsidR="00E4556D" w:rsidRPr="005C70EF" w:rsidRDefault="00E4556D" w:rsidP="0029325F">
      <w:pPr>
        <w:spacing w:after="0" w:line="240" w:lineRule="auto"/>
        <w:jc w:val="both"/>
        <w:rPr>
          <w:rFonts w:ascii="Verdana" w:hAnsi="Verdana"/>
          <w:bCs/>
          <w:sz w:val="20"/>
          <w:lang w:val="es-MX"/>
        </w:rPr>
      </w:pPr>
      <w:r w:rsidRPr="005C70EF">
        <w:rPr>
          <w:rFonts w:ascii="Verdana" w:hAnsi="Verdana"/>
          <w:bCs/>
          <w:sz w:val="20"/>
        </w:rPr>
        <w:t xml:space="preserve">Dentro de este marco normativo </w:t>
      </w:r>
      <w:r w:rsidRPr="005C70EF">
        <w:rPr>
          <w:rFonts w:ascii="Verdana" w:hAnsi="Verdana"/>
          <w:bCs/>
          <w:sz w:val="20"/>
          <w:lang w:val="es-ES"/>
        </w:rPr>
        <w:t xml:space="preserve">no se establece una excepción a lo dispuesto en el artículo 33 de la Ley 996 de 2005 </w:t>
      </w:r>
      <w:r w:rsidRPr="005C70EF">
        <w:rPr>
          <w:rFonts w:ascii="Verdana" w:hAnsi="Verdana"/>
          <w:bCs/>
          <w:sz w:val="20"/>
          <w:lang w:val="es-MX"/>
        </w:rPr>
        <w:t xml:space="preserve">que restringe la contratación directa en el periodo preelectoral a las elecciones presidenciales por el tipo de recurso que pretende ejecutarse. En otras palabras, esta normatividad especial para la ejecución de recursos del Sistema General de Regalías, no implica que esté exonerada de la restricción, pues el legislador no hizo distinción del tipo de recursos al establecer la prohibición.  </w:t>
      </w:r>
    </w:p>
    <w:p w14:paraId="66A190F0" w14:textId="77777777" w:rsidR="00E4556D" w:rsidRPr="00E4556D" w:rsidRDefault="00E4556D" w:rsidP="0029325F">
      <w:pPr>
        <w:spacing w:after="0" w:line="240" w:lineRule="auto"/>
        <w:jc w:val="both"/>
        <w:rPr>
          <w:rFonts w:ascii="Verdana" w:hAnsi="Verdana"/>
          <w:b/>
          <w:lang w:val="es-MX"/>
        </w:rPr>
      </w:pPr>
    </w:p>
    <w:p w14:paraId="41239FD2" w14:textId="0C13EBAB" w:rsidR="00A17597" w:rsidRPr="00A17597" w:rsidRDefault="00A17597" w:rsidP="0029325F">
      <w:pPr>
        <w:spacing w:after="0" w:line="240" w:lineRule="auto"/>
        <w:jc w:val="both"/>
        <w:rPr>
          <w:rFonts w:ascii="Verdana" w:hAnsi="Verdana"/>
          <w:b/>
        </w:rPr>
      </w:pPr>
      <w:r w:rsidRPr="00A17597">
        <w:rPr>
          <w:rFonts w:ascii="Verdana" w:hAnsi="Verdana"/>
          <w:b/>
        </w:rPr>
        <w:t xml:space="preserve">LEY DE GARANTÍAS ELECTORALES – Contratos y convenios interadministrativos – Criterio orgánico </w:t>
      </w:r>
    </w:p>
    <w:p w14:paraId="47251151" w14:textId="585961AF" w:rsidR="00A17597" w:rsidRDefault="00A17597" w:rsidP="0029325F">
      <w:pPr>
        <w:spacing w:after="0" w:line="240" w:lineRule="auto"/>
        <w:jc w:val="both"/>
        <w:rPr>
          <w:rFonts w:ascii="Verdana" w:hAnsi="Verdana"/>
          <w:b/>
        </w:rPr>
      </w:pPr>
    </w:p>
    <w:p w14:paraId="784EA452" w14:textId="0963E1A5" w:rsidR="005C70EF" w:rsidRDefault="005C70EF" w:rsidP="0029325F">
      <w:pPr>
        <w:spacing w:after="0" w:line="240" w:lineRule="auto"/>
        <w:jc w:val="both"/>
        <w:rPr>
          <w:rFonts w:ascii="Verdana" w:hAnsi="Verdana"/>
          <w:sz w:val="20"/>
        </w:rPr>
      </w:pPr>
      <w:r w:rsidRPr="005C70EF">
        <w:rPr>
          <w:rFonts w:ascii="Verdana" w:hAnsi="Verdana"/>
          <w:sz w:val="20"/>
          <w:lang w:val="es-MX"/>
        </w:rPr>
        <w:t xml:space="preserve">Sobre este aspecto, es importante señalar que esta Subdirección, en los conceptos emitidos sobre la aplicación de la Ley de Garantías Electorales, ha defendido y mantenido la postura acerca de que la prohibición señalada en </w:t>
      </w:r>
      <w:r w:rsidRPr="005C70EF">
        <w:rPr>
          <w:rFonts w:ascii="Verdana" w:hAnsi="Verdana"/>
          <w:sz w:val="20"/>
          <w:lang w:bidi="es-ES"/>
        </w:rPr>
        <w:t>e</w:t>
      </w:r>
      <w:r w:rsidRPr="005C70EF">
        <w:rPr>
          <w:rFonts w:ascii="Verdana" w:hAnsi="Verdana"/>
          <w:sz w:val="20"/>
        </w:rPr>
        <w:t xml:space="preserve">l parágrafo del artículo 38 cobija tanto a los convenios como a los contratos interadministrativos. Esta tesis se fundamenta en que 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7D43C2D" w14:textId="77777777" w:rsidR="005C70EF" w:rsidRPr="005C70EF" w:rsidRDefault="005C70EF" w:rsidP="0029325F">
      <w:pPr>
        <w:spacing w:after="0" w:line="240" w:lineRule="auto"/>
        <w:jc w:val="both"/>
        <w:rPr>
          <w:rFonts w:ascii="Verdana" w:hAnsi="Verdana"/>
          <w:sz w:val="20"/>
        </w:rPr>
      </w:pPr>
    </w:p>
    <w:p w14:paraId="7C02E375" w14:textId="09F7C30A" w:rsidR="005C70EF" w:rsidRPr="005C70EF" w:rsidRDefault="005C70EF" w:rsidP="0029325F">
      <w:pPr>
        <w:spacing w:after="0" w:line="240" w:lineRule="auto"/>
        <w:jc w:val="both"/>
        <w:rPr>
          <w:rFonts w:ascii="Verdana" w:hAnsi="Verdana"/>
          <w:sz w:val="20"/>
        </w:rPr>
      </w:pPr>
      <w:r w:rsidRPr="005C70EF">
        <w:rPr>
          <w:rFonts w:ascii="Verdana" w:hAnsi="Verdana"/>
          <w:sz w:val="20"/>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5C70EF">
        <w:rPr>
          <w:rFonts w:ascii="Verdana" w:hAnsi="Verdana"/>
          <w:sz w:val="20"/>
          <w:lang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78055B20" w14:textId="77777777" w:rsidR="005C70EF" w:rsidRPr="00A17597" w:rsidRDefault="005C70EF" w:rsidP="0029325F">
      <w:pPr>
        <w:spacing w:after="0" w:line="240" w:lineRule="auto"/>
        <w:jc w:val="both"/>
        <w:rPr>
          <w:rFonts w:ascii="Verdana" w:hAnsi="Verdana"/>
          <w:b/>
        </w:rPr>
      </w:pPr>
    </w:p>
    <w:p w14:paraId="1539E251" w14:textId="77777777" w:rsidR="00A17597" w:rsidRPr="00A17597" w:rsidRDefault="00A17597" w:rsidP="0029325F">
      <w:pPr>
        <w:spacing w:after="0" w:line="240" w:lineRule="auto"/>
        <w:jc w:val="both"/>
        <w:rPr>
          <w:rFonts w:ascii="Verdana" w:hAnsi="Verdana"/>
          <w:b/>
        </w:rPr>
      </w:pPr>
      <w:r w:rsidRPr="00A17597">
        <w:rPr>
          <w:rFonts w:ascii="Verdana" w:hAnsi="Verdana"/>
          <w:b/>
        </w:rPr>
        <w:lastRenderedPageBreak/>
        <w:t>CONTRATOS Y CONVENIOS INTERADMINISTRATIVOS – Circular Externa Única – Auto de suspensión –numeral 16.2</w:t>
      </w:r>
    </w:p>
    <w:p w14:paraId="6B8684B5" w14:textId="7D41CAAE" w:rsidR="00A17597" w:rsidRDefault="00A17597" w:rsidP="0029325F">
      <w:pPr>
        <w:spacing w:after="0" w:line="240" w:lineRule="auto"/>
        <w:jc w:val="both"/>
        <w:rPr>
          <w:rFonts w:ascii="Verdana" w:hAnsi="Verdana"/>
          <w:b/>
        </w:rPr>
      </w:pPr>
    </w:p>
    <w:p w14:paraId="5465B01F" w14:textId="77777777" w:rsidR="005C70EF" w:rsidRPr="00A17C8D" w:rsidRDefault="005C70EF" w:rsidP="0029325F">
      <w:pPr>
        <w:spacing w:after="0" w:line="240" w:lineRule="auto"/>
        <w:jc w:val="both"/>
        <w:rPr>
          <w:rFonts w:ascii="Verdana" w:hAnsi="Verdana"/>
          <w:sz w:val="20"/>
        </w:rPr>
      </w:pPr>
      <w:r w:rsidRPr="00A17C8D">
        <w:rPr>
          <w:rFonts w:ascii="Verdana" w:hAnsi="Verdana"/>
          <w:sz w:val="20"/>
          <w:lang w:val="es-MX"/>
        </w:rPr>
        <w:t xml:space="preserve">[…] conviene señalar que, mediante auto de 4 de octubre del 2024, el Consejo de Estado, Sección Tercera, decretó medida de suspensión provisional parcial del </w:t>
      </w:r>
      <w:r w:rsidRPr="00A17C8D">
        <w:rPr>
          <w:rFonts w:ascii="Verdana" w:hAnsi="Verdana"/>
          <w:sz w:val="20"/>
        </w:rPr>
        <w:t xml:space="preserve">numeral 16.2 de la Circular Externa Única de 2022 expedida por la Agencia Nacional de Contratación Pública -Colombia Compra Eficiente-, concretamente, respecto de los siguientes apartes normativos </w:t>
      </w:r>
    </w:p>
    <w:p w14:paraId="5C22801C" w14:textId="77777777" w:rsidR="005C70EF" w:rsidRPr="00A17C8D" w:rsidRDefault="005C70EF" w:rsidP="0029325F">
      <w:pPr>
        <w:spacing w:after="0" w:line="240" w:lineRule="auto"/>
        <w:jc w:val="both"/>
        <w:rPr>
          <w:rFonts w:ascii="Verdana" w:hAnsi="Verdana"/>
          <w:sz w:val="20"/>
        </w:rPr>
      </w:pPr>
    </w:p>
    <w:p w14:paraId="32998CC3" w14:textId="77777777" w:rsidR="005C70EF" w:rsidRPr="00A17C8D" w:rsidRDefault="005C70EF" w:rsidP="0029325F">
      <w:pPr>
        <w:spacing w:after="0" w:line="240" w:lineRule="auto"/>
        <w:jc w:val="both"/>
        <w:rPr>
          <w:rFonts w:ascii="Verdana" w:hAnsi="Verdana"/>
          <w:i/>
          <w:iCs/>
          <w:sz w:val="20"/>
        </w:rPr>
      </w:pPr>
      <w:r w:rsidRPr="00A17C8D">
        <w:rPr>
          <w:rFonts w:ascii="Verdana" w:hAnsi="Verdana"/>
          <w:sz w:val="20"/>
          <w:lang w:val="es-MX"/>
        </w:rPr>
        <w:t xml:space="preserve">De conformidad con los argumentos de dicha providencia, se parte de la distinción entre los conceptos </w:t>
      </w:r>
      <w:r w:rsidRPr="00A17C8D">
        <w:rPr>
          <w:rFonts w:ascii="Verdana" w:hAnsi="Verdana"/>
          <w:sz w:val="20"/>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A17C8D">
        <w:rPr>
          <w:rFonts w:ascii="Verdana" w:hAnsi="Verdana"/>
          <w:i/>
          <w:iCs/>
          <w:sz w:val="20"/>
        </w:rPr>
        <w:t xml:space="preserve">“si el legislador no diferenció al establecer la prohibición o la restricción, mal haría el reglamento en aplicar un efecto expansivo o extensivo para incluir una categoría no cobijada con la limitación, (…)”. </w:t>
      </w:r>
      <w:r w:rsidRPr="00A17C8D">
        <w:rPr>
          <w:rFonts w:ascii="Verdana" w:hAnsi="Verdana"/>
          <w:sz w:val="20"/>
        </w:rPr>
        <w:t xml:space="preserve">Por tal motivo, para efectos de decretar la medida de suspensión provisional de los apartes señalados del numeral 16.2 de la Circular Externa Única, argumentó que </w:t>
      </w:r>
      <w:r w:rsidRPr="00A17C8D">
        <w:rPr>
          <w:rFonts w:ascii="Verdana" w:hAnsi="Verdana"/>
          <w:i/>
          <w:iCs/>
          <w:sz w:val="20"/>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7B9DF78" w14:textId="77777777" w:rsidR="005C70EF" w:rsidRPr="00A17C8D" w:rsidRDefault="005C70EF" w:rsidP="0029325F">
      <w:pPr>
        <w:spacing w:after="0" w:line="240" w:lineRule="auto"/>
        <w:jc w:val="both"/>
        <w:rPr>
          <w:rFonts w:ascii="Verdana" w:hAnsi="Verdana"/>
          <w:i/>
          <w:iCs/>
          <w:sz w:val="20"/>
          <w:lang w:val="es-MX"/>
        </w:rPr>
      </w:pPr>
    </w:p>
    <w:p w14:paraId="40BED523" w14:textId="77777777" w:rsidR="005C70EF" w:rsidRPr="00A17C8D" w:rsidRDefault="005C70EF" w:rsidP="0029325F">
      <w:pPr>
        <w:spacing w:after="0" w:line="240" w:lineRule="auto"/>
        <w:jc w:val="both"/>
        <w:rPr>
          <w:rFonts w:ascii="Verdana" w:hAnsi="Verdana"/>
          <w:sz w:val="20"/>
          <w:lang w:val="es-MX"/>
        </w:rPr>
      </w:pPr>
      <w:r w:rsidRPr="00A17C8D">
        <w:rPr>
          <w:rFonts w:ascii="Verdana" w:hAnsi="Verdana"/>
          <w:sz w:val="20"/>
          <w:lang w:val="es-MX"/>
        </w:rPr>
        <w:t xml:space="preserve">Bajo este contexto, esta Agencia debe manifestar que, si bien respeta y acata las decisiones proferidas por el Consejo de Estado, como es el caso del auto de suspensión provisional parcial del numeral </w:t>
      </w:r>
      <w:r w:rsidRPr="00A17C8D">
        <w:rPr>
          <w:rFonts w:ascii="Verdana" w:hAnsi="Verdana"/>
          <w:sz w:val="20"/>
        </w:rPr>
        <w:t>16.2 de la Circular Externa Única</w:t>
      </w:r>
      <w:r w:rsidRPr="00A17C8D">
        <w:rPr>
          <w:rFonts w:ascii="Verdana" w:hAnsi="Verdana"/>
          <w:sz w:val="20"/>
          <w:lang w:val="es-MX"/>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evitar cualquier tipo de arbitrariedad, de ventaja injustificada, de uso irregular de los recursos del Estado en las campañas políticas, o que los recursos del Estado se ejecuten para lograr apoyos indebidos mediante la suscripción de contratos y/o convenios, que para efectos de la Ley de Garantías tienen la misma connotación y propósitos. </w:t>
      </w:r>
    </w:p>
    <w:p w14:paraId="600979FB" w14:textId="77777777" w:rsidR="005C70EF" w:rsidRPr="005C70EF" w:rsidRDefault="005C70EF" w:rsidP="0029325F">
      <w:pPr>
        <w:spacing w:after="0" w:line="240" w:lineRule="auto"/>
        <w:jc w:val="both"/>
        <w:rPr>
          <w:rFonts w:ascii="Verdana" w:hAnsi="Verdana"/>
          <w:b/>
          <w:lang w:val="es-MX"/>
        </w:rPr>
      </w:pPr>
    </w:p>
    <w:p w14:paraId="14DB9FF8" w14:textId="27E6ADB6" w:rsidR="00A17597" w:rsidRPr="00A17597" w:rsidRDefault="00A17597" w:rsidP="0029325F">
      <w:pPr>
        <w:spacing w:after="0" w:line="240" w:lineRule="auto"/>
        <w:jc w:val="both"/>
        <w:rPr>
          <w:rFonts w:ascii="Verdana" w:hAnsi="Verdana"/>
          <w:b/>
        </w:rPr>
      </w:pPr>
      <w:r w:rsidRPr="00A17597">
        <w:rPr>
          <w:rFonts w:ascii="Verdana" w:hAnsi="Verdana"/>
          <w:b/>
        </w:rPr>
        <w:t xml:space="preserve"> LEY DE GARANTÍAS ELECTORALES – Contratos y convenios interadministrativos – Sistema General de Regalías</w:t>
      </w:r>
    </w:p>
    <w:p w14:paraId="2BF7C45A" w14:textId="77777777" w:rsidR="00A17597" w:rsidRDefault="00A17597" w:rsidP="0029325F">
      <w:pPr>
        <w:spacing w:after="0" w:line="240" w:lineRule="auto"/>
        <w:jc w:val="both"/>
        <w:rPr>
          <w:rFonts w:ascii="Verdana" w:hAnsi="Verdana"/>
        </w:rPr>
      </w:pPr>
    </w:p>
    <w:p w14:paraId="54DE5E6A" w14:textId="6E13FE9B" w:rsidR="005C70EF" w:rsidRPr="00A17C8D" w:rsidRDefault="005C70EF" w:rsidP="0029325F">
      <w:pPr>
        <w:spacing w:after="0" w:line="240" w:lineRule="auto"/>
        <w:jc w:val="both"/>
        <w:rPr>
          <w:rFonts w:ascii="Verdana" w:hAnsi="Verdana"/>
          <w:bCs/>
          <w:sz w:val="20"/>
          <w:szCs w:val="20"/>
        </w:rPr>
      </w:pPr>
      <w:r w:rsidRPr="00A17C8D">
        <w:rPr>
          <w:rFonts w:ascii="Verdana" w:hAnsi="Verdana"/>
          <w:sz w:val="20"/>
          <w:szCs w:val="20"/>
          <w:lang w:bidi="es-ES"/>
        </w:rPr>
        <w:t xml:space="preserve">De acuerdo a lo expuesto, </w:t>
      </w:r>
      <w:r w:rsidRPr="00A17C8D">
        <w:rPr>
          <w:rFonts w:ascii="Verdana" w:hAnsi="Verdana"/>
          <w:bCs/>
          <w:sz w:val="20"/>
          <w:szCs w:val="20"/>
          <w:lang w:val="es-MX"/>
        </w:rPr>
        <w:t>es pertinente revisar si lo prescrito en el Sistema General de Regalías le aplica el artículo 38 de la Ley 996 de 2005 –Ley de Garantías Electorales-. En tal sentido, es importante señalar que la Ley 2056 de 2020, “</w:t>
      </w:r>
      <w:r w:rsidRPr="00A17C8D">
        <w:rPr>
          <w:rFonts w:ascii="Verdana" w:hAnsi="Verdana"/>
          <w:bCs/>
          <w:sz w:val="20"/>
          <w:szCs w:val="20"/>
        </w:rPr>
        <w:t xml:space="preserve">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w:t>
      </w:r>
      <w:r w:rsidRPr="00A17C8D">
        <w:rPr>
          <w:rFonts w:ascii="Verdana" w:hAnsi="Verdana"/>
          <w:bCs/>
          <w:sz w:val="20"/>
          <w:szCs w:val="20"/>
        </w:rPr>
        <w:lastRenderedPageBreak/>
        <w:t>beneficiarios. Este conjunto de ingresos, asignaciones, órganos, procedimientos, y regulaciones constituye el Sistema General de Regalías”.</w:t>
      </w:r>
    </w:p>
    <w:p w14:paraId="101B6757" w14:textId="77777777" w:rsidR="005C70EF" w:rsidRPr="00A17C8D" w:rsidRDefault="005C70EF" w:rsidP="0029325F">
      <w:pPr>
        <w:spacing w:after="0" w:line="240" w:lineRule="auto"/>
        <w:jc w:val="both"/>
        <w:rPr>
          <w:rFonts w:ascii="Verdana" w:hAnsi="Verdana"/>
          <w:bCs/>
          <w:sz w:val="20"/>
          <w:szCs w:val="20"/>
        </w:rPr>
      </w:pPr>
    </w:p>
    <w:p w14:paraId="71D8DB60" w14:textId="77777777" w:rsidR="005C70EF" w:rsidRPr="00A17C8D" w:rsidRDefault="005C70EF" w:rsidP="0029325F">
      <w:pPr>
        <w:spacing w:after="0" w:line="240" w:lineRule="auto"/>
        <w:jc w:val="both"/>
        <w:rPr>
          <w:rFonts w:ascii="Verdana" w:hAnsi="Verdana"/>
          <w:bCs/>
          <w:sz w:val="20"/>
          <w:szCs w:val="20"/>
          <w:lang w:val="es-MX"/>
        </w:rPr>
      </w:pPr>
      <w:r w:rsidRPr="00A17C8D">
        <w:rPr>
          <w:rFonts w:ascii="Verdana" w:hAnsi="Verdana"/>
          <w:bCs/>
          <w:sz w:val="20"/>
          <w:szCs w:val="20"/>
        </w:rPr>
        <w:t xml:space="preserve">Dentro de este marco normativo del Sistema General de Regalías </w:t>
      </w:r>
      <w:r w:rsidRPr="00A17C8D">
        <w:rPr>
          <w:rFonts w:ascii="Verdana" w:hAnsi="Verdana"/>
          <w:bCs/>
          <w:sz w:val="20"/>
          <w:szCs w:val="20"/>
          <w:lang w:bidi="es-ES"/>
        </w:rPr>
        <w:t xml:space="preserve">no se establece una excepción a lo dispuesto en el artículo 38 de la Ley 996 de 2005 </w:t>
      </w:r>
      <w:r w:rsidRPr="00A17C8D">
        <w:rPr>
          <w:rFonts w:ascii="Verdana" w:hAnsi="Verdana"/>
          <w:bCs/>
          <w:sz w:val="20"/>
          <w:szCs w:val="20"/>
          <w:lang w:val="es-MX"/>
        </w:rPr>
        <w:t xml:space="preserve">que restringe a los Alcaldes, Gobernadores, Secretarios, Gerentes y Directores de las entidades del orden municipal, departamental o distrital celebrar </w:t>
      </w:r>
      <w:r w:rsidRPr="00A17C8D">
        <w:rPr>
          <w:rFonts w:ascii="Verdana" w:hAnsi="Verdana"/>
          <w:bCs/>
          <w:i/>
          <w:iCs/>
          <w:sz w:val="20"/>
          <w:szCs w:val="20"/>
          <w:lang w:val="es-MX"/>
        </w:rPr>
        <w:t>convenios interadministrativos</w:t>
      </w:r>
      <w:r w:rsidRPr="00A17C8D">
        <w:rPr>
          <w:rFonts w:ascii="Verdana" w:hAnsi="Verdana"/>
          <w:bCs/>
          <w:sz w:val="20"/>
          <w:szCs w:val="20"/>
          <w:lang w:val="es-MX"/>
        </w:rPr>
        <w:t xml:space="preserve"> para la ejecución de recursos públicos en las elecciones. En esta línea, si una o ambas partes de la relación contractual es una entidad de aquellas descritas en el parágrafo </w:t>
      </w:r>
      <w:r w:rsidRPr="00A17C8D">
        <w:rPr>
          <w:rFonts w:ascii="Verdana" w:hAnsi="Verdana"/>
          <w:bCs/>
          <w:i/>
          <w:sz w:val="20"/>
          <w:szCs w:val="20"/>
          <w:lang w:val="es-MX"/>
        </w:rPr>
        <w:t>ibidem</w:t>
      </w:r>
      <w:r w:rsidRPr="00A17C8D">
        <w:rPr>
          <w:rFonts w:ascii="Verdana" w:hAnsi="Verdana"/>
          <w:bCs/>
          <w:sz w:val="20"/>
          <w:szCs w:val="20"/>
          <w:lang w:val="es-MX"/>
        </w:rPr>
        <w:t xml:space="preserve">, no podrá celebrar tales </w:t>
      </w:r>
      <w:r w:rsidRPr="00A17C8D">
        <w:rPr>
          <w:rFonts w:ascii="Verdana" w:hAnsi="Verdana"/>
          <w:bCs/>
          <w:i/>
          <w:iCs/>
          <w:sz w:val="20"/>
          <w:szCs w:val="20"/>
          <w:lang w:val="es-MX"/>
        </w:rPr>
        <w:t>convenios para la ejecución de recursos del Sistema General de Regalías</w:t>
      </w:r>
      <w:r w:rsidRPr="00A17C8D">
        <w:rPr>
          <w:rFonts w:ascii="Verdana" w:hAnsi="Verdana"/>
          <w:bCs/>
          <w:sz w:val="20"/>
          <w:szCs w:val="20"/>
          <w:lang w:val="es-MX"/>
        </w:rPr>
        <w:t xml:space="preserve"> durante la aplicación de la Ley de Garantías Electorales, toda vez que la citada disposición se refiere a dicha tipología contractual sin que el legislador hubiere contemplado excepciones a esta. Es importante precisar, como se expuso en apartados anteriores, para esta Agencia tal restricción también aplicaría a los contratos interadministrativos. </w:t>
      </w:r>
      <w:r w:rsidRPr="00A17C8D">
        <w:rPr>
          <w:rFonts w:ascii="Verdana" w:hAnsi="Verdana"/>
          <w:bCs/>
          <w:sz w:val="20"/>
          <w:szCs w:val="20"/>
        </w:rPr>
        <w:t>A juicio de la Entidad, excluir los contratos interadministrativos del alcance de la Ley de Garantías Electorales desvirtúa el objetivo esencial de la norma: prevenir el uso indebido de recursos públicos en campañas políticas, evitando ventajas injustificadas o apoyos indebidos mediante convenios o contratos, que comparten propósito y connotación en dicho marco legal.</w:t>
      </w:r>
    </w:p>
    <w:p w14:paraId="08F2177B" w14:textId="0043E54B" w:rsidR="00A17597" w:rsidRDefault="00A17597" w:rsidP="0029325F">
      <w:pPr>
        <w:spacing w:after="0" w:line="240" w:lineRule="auto"/>
        <w:jc w:val="both"/>
        <w:rPr>
          <w:rFonts w:ascii="Verdana" w:hAnsi="Verdana"/>
          <w:lang w:val="es-MX"/>
        </w:rPr>
      </w:pPr>
    </w:p>
    <w:p w14:paraId="47C02B3D" w14:textId="4A153185" w:rsidR="005C70EF" w:rsidRDefault="005C70EF" w:rsidP="0029325F">
      <w:pPr>
        <w:spacing w:after="0" w:line="240" w:lineRule="auto"/>
        <w:jc w:val="both"/>
        <w:rPr>
          <w:rFonts w:ascii="Verdana" w:hAnsi="Verdana"/>
          <w:lang w:val="es-MX"/>
        </w:rPr>
      </w:pPr>
    </w:p>
    <w:p w14:paraId="2A1988DE" w14:textId="05117D5F" w:rsidR="005C70EF" w:rsidRDefault="005C70EF" w:rsidP="0029325F">
      <w:pPr>
        <w:spacing w:after="0" w:line="240" w:lineRule="auto"/>
        <w:jc w:val="both"/>
        <w:rPr>
          <w:rFonts w:ascii="Verdana" w:hAnsi="Verdana"/>
          <w:lang w:val="es-MX"/>
        </w:rPr>
      </w:pPr>
    </w:p>
    <w:p w14:paraId="0B03614F" w14:textId="156B5598" w:rsidR="005C70EF" w:rsidRDefault="005C70EF" w:rsidP="0029325F">
      <w:pPr>
        <w:spacing w:after="0" w:line="240" w:lineRule="auto"/>
        <w:jc w:val="both"/>
        <w:rPr>
          <w:rFonts w:ascii="Verdana" w:hAnsi="Verdana"/>
          <w:lang w:val="es-MX"/>
        </w:rPr>
      </w:pPr>
    </w:p>
    <w:p w14:paraId="51BF643C" w14:textId="0EE21233" w:rsidR="005C70EF" w:rsidRDefault="005C70EF" w:rsidP="0029325F">
      <w:pPr>
        <w:spacing w:after="0" w:line="240" w:lineRule="auto"/>
        <w:jc w:val="both"/>
        <w:rPr>
          <w:rFonts w:ascii="Verdana" w:hAnsi="Verdana"/>
          <w:lang w:val="es-MX"/>
        </w:rPr>
      </w:pPr>
    </w:p>
    <w:p w14:paraId="11E0FA0F" w14:textId="394604AA" w:rsidR="005C70EF" w:rsidRDefault="005C70EF" w:rsidP="0029325F">
      <w:pPr>
        <w:spacing w:after="0" w:line="240" w:lineRule="auto"/>
        <w:jc w:val="both"/>
        <w:rPr>
          <w:rFonts w:ascii="Verdana" w:hAnsi="Verdana"/>
          <w:lang w:val="es-MX"/>
        </w:rPr>
      </w:pPr>
    </w:p>
    <w:p w14:paraId="4E2DCC77" w14:textId="53F4611C" w:rsidR="005C70EF" w:rsidRDefault="005C70EF" w:rsidP="00A17597">
      <w:pPr>
        <w:spacing w:after="0" w:line="240" w:lineRule="auto"/>
        <w:jc w:val="both"/>
        <w:rPr>
          <w:rFonts w:ascii="Verdana" w:hAnsi="Verdana"/>
          <w:lang w:val="es-MX"/>
        </w:rPr>
      </w:pPr>
    </w:p>
    <w:p w14:paraId="613E5047" w14:textId="4F61C2B0" w:rsidR="005C70EF" w:rsidRDefault="005C70EF" w:rsidP="00A17597">
      <w:pPr>
        <w:spacing w:after="0" w:line="240" w:lineRule="auto"/>
        <w:jc w:val="both"/>
        <w:rPr>
          <w:rFonts w:ascii="Verdana" w:hAnsi="Verdana"/>
          <w:lang w:val="es-MX"/>
        </w:rPr>
      </w:pPr>
    </w:p>
    <w:p w14:paraId="7476B965" w14:textId="3113D96D" w:rsidR="005C70EF" w:rsidRDefault="005C70EF" w:rsidP="00A17597">
      <w:pPr>
        <w:spacing w:after="0" w:line="240" w:lineRule="auto"/>
        <w:jc w:val="both"/>
        <w:rPr>
          <w:rFonts w:ascii="Verdana" w:hAnsi="Verdana"/>
          <w:lang w:val="es-MX"/>
        </w:rPr>
      </w:pPr>
    </w:p>
    <w:p w14:paraId="6188E5B7" w14:textId="63B17D2D" w:rsidR="005C70EF" w:rsidRDefault="005C70EF" w:rsidP="00A17597">
      <w:pPr>
        <w:spacing w:after="0" w:line="240" w:lineRule="auto"/>
        <w:jc w:val="both"/>
        <w:rPr>
          <w:rFonts w:ascii="Verdana" w:hAnsi="Verdana"/>
          <w:lang w:val="es-MX"/>
        </w:rPr>
      </w:pPr>
    </w:p>
    <w:p w14:paraId="2B1C19FD" w14:textId="54D8113C" w:rsidR="005C70EF" w:rsidRDefault="005C70EF" w:rsidP="00A17597">
      <w:pPr>
        <w:spacing w:after="0" w:line="240" w:lineRule="auto"/>
        <w:jc w:val="both"/>
        <w:rPr>
          <w:rFonts w:ascii="Verdana" w:hAnsi="Verdana"/>
          <w:lang w:val="es-MX"/>
        </w:rPr>
      </w:pPr>
    </w:p>
    <w:p w14:paraId="001A0038" w14:textId="48D72E91" w:rsidR="005C70EF" w:rsidRDefault="005C70EF" w:rsidP="00A17597">
      <w:pPr>
        <w:spacing w:after="0" w:line="240" w:lineRule="auto"/>
        <w:jc w:val="both"/>
        <w:rPr>
          <w:rFonts w:ascii="Verdana" w:hAnsi="Verdana"/>
          <w:lang w:val="es-MX"/>
        </w:rPr>
      </w:pPr>
    </w:p>
    <w:p w14:paraId="02225529" w14:textId="5B3DB357" w:rsidR="005C70EF" w:rsidRDefault="005C70EF" w:rsidP="00A17597">
      <w:pPr>
        <w:spacing w:after="0" w:line="240" w:lineRule="auto"/>
        <w:jc w:val="both"/>
        <w:rPr>
          <w:rFonts w:ascii="Verdana" w:hAnsi="Verdana"/>
          <w:lang w:val="es-MX"/>
        </w:rPr>
      </w:pPr>
    </w:p>
    <w:p w14:paraId="6915FF33" w14:textId="347BF7BB" w:rsidR="005C70EF" w:rsidRDefault="005C70EF" w:rsidP="00A17597">
      <w:pPr>
        <w:spacing w:after="0" w:line="240" w:lineRule="auto"/>
        <w:jc w:val="both"/>
        <w:rPr>
          <w:rFonts w:ascii="Verdana" w:hAnsi="Verdana"/>
          <w:lang w:val="es-MX"/>
        </w:rPr>
      </w:pPr>
    </w:p>
    <w:p w14:paraId="12DB9ADA" w14:textId="7F4C88CA" w:rsidR="005C70EF" w:rsidRDefault="005C70EF" w:rsidP="00A17597">
      <w:pPr>
        <w:spacing w:after="0" w:line="240" w:lineRule="auto"/>
        <w:jc w:val="both"/>
        <w:rPr>
          <w:rFonts w:ascii="Verdana" w:hAnsi="Verdana"/>
          <w:lang w:val="es-MX"/>
        </w:rPr>
      </w:pPr>
    </w:p>
    <w:p w14:paraId="3628B155" w14:textId="58C26442" w:rsidR="005C70EF" w:rsidRDefault="005C70EF" w:rsidP="00A17597">
      <w:pPr>
        <w:spacing w:after="0" w:line="240" w:lineRule="auto"/>
        <w:jc w:val="both"/>
        <w:rPr>
          <w:rFonts w:ascii="Verdana" w:hAnsi="Verdana"/>
          <w:lang w:val="es-MX"/>
        </w:rPr>
      </w:pPr>
    </w:p>
    <w:p w14:paraId="348D1FC1" w14:textId="4DFF9D2E" w:rsidR="005C70EF" w:rsidRDefault="005C70EF" w:rsidP="00A17597">
      <w:pPr>
        <w:spacing w:after="0" w:line="240" w:lineRule="auto"/>
        <w:jc w:val="both"/>
        <w:rPr>
          <w:rFonts w:ascii="Verdana" w:hAnsi="Verdana"/>
          <w:lang w:val="es-MX"/>
        </w:rPr>
      </w:pPr>
    </w:p>
    <w:p w14:paraId="623DC2FA" w14:textId="0ACEEB5F" w:rsidR="005C70EF" w:rsidRDefault="005C70EF" w:rsidP="00A17597">
      <w:pPr>
        <w:spacing w:after="0" w:line="240" w:lineRule="auto"/>
        <w:jc w:val="both"/>
        <w:rPr>
          <w:rFonts w:ascii="Verdana" w:hAnsi="Verdana"/>
          <w:lang w:val="es-MX"/>
        </w:rPr>
      </w:pPr>
    </w:p>
    <w:p w14:paraId="3F2842ED" w14:textId="043674B4" w:rsidR="005C70EF" w:rsidRDefault="005C70EF" w:rsidP="00A17597">
      <w:pPr>
        <w:spacing w:after="0" w:line="240" w:lineRule="auto"/>
        <w:jc w:val="both"/>
        <w:rPr>
          <w:rFonts w:ascii="Verdana" w:hAnsi="Verdana"/>
          <w:lang w:val="es-MX"/>
        </w:rPr>
      </w:pPr>
    </w:p>
    <w:p w14:paraId="3827DC68" w14:textId="28605CED" w:rsidR="005C70EF" w:rsidRDefault="005C70EF" w:rsidP="00A17597">
      <w:pPr>
        <w:spacing w:after="0" w:line="240" w:lineRule="auto"/>
        <w:jc w:val="both"/>
        <w:rPr>
          <w:rFonts w:ascii="Verdana" w:hAnsi="Verdana"/>
          <w:lang w:val="es-MX"/>
        </w:rPr>
      </w:pPr>
    </w:p>
    <w:p w14:paraId="13D9B2B6" w14:textId="43F61B47" w:rsidR="005C70EF" w:rsidRDefault="005C70EF" w:rsidP="00A17597">
      <w:pPr>
        <w:spacing w:after="0" w:line="240" w:lineRule="auto"/>
        <w:jc w:val="both"/>
        <w:rPr>
          <w:rFonts w:ascii="Verdana" w:hAnsi="Verdana"/>
          <w:lang w:val="es-MX"/>
        </w:rPr>
      </w:pPr>
    </w:p>
    <w:p w14:paraId="538158C5" w14:textId="6EC5BA6C" w:rsidR="005C70EF" w:rsidRDefault="005C70EF" w:rsidP="00A17597">
      <w:pPr>
        <w:spacing w:after="0" w:line="240" w:lineRule="auto"/>
        <w:jc w:val="both"/>
        <w:rPr>
          <w:rFonts w:ascii="Verdana" w:hAnsi="Verdana"/>
          <w:lang w:val="es-MX"/>
        </w:rPr>
      </w:pPr>
    </w:p>
    <w:p w14:paraId="328DA4BE" w14:textId="2C52DE97" w:rsidR="00A17C8D" w:rsidRDefault="00A17C8D" w:rsidP="00A17597">
      <w:pPr>
        <w:spacing w:after="0" w:line="240" w:lineRule="auto"/>
        <w:jc w:val="both"/>
        <w:rPr>
          <w:rFonts w:ascii="Verdana" w:hAnsi="Verdana"/>
          <w:lang w:val="es-MX"/>
        </w:rPr>
      </w:pPr>
    </w:p>
    <w:p w14:paraId="02322246" w14:textId="1E123112" w:rsidR="00A17C8D" w:rsidRDefault="00A17C8D" w:rsidP="00A17597">
      <w:pPr>
        <w:spacing w:after="0" w:line="240" w:lineRule="auto"/>
        <w:jc w:val="both"/>
        <w:rPr>
          <w:rFonts w:ascii="Verdana" w:hAnsi="Verdana"/>
          <w:lang w:val="es-MX"/>
        </w:rPr>
      </w:pPr>
    </w:p>
    <w:p w14:paraId="3AF1363D" w14:textId="77777777" w:rsidR="00A17C8D" w:rsidRDefault="00A17C8D" w:rsidP="00A17597">
      <w:pPr>
        <w:spacing w:after="0" w:line="240" w:lineRule="auto"/>
        <w:jc w:val="both"/>
        <w:rPr>
          <w:rFonts w:ascii="Verdana" w:hAnsi="Verdana"/>
          <w:lang w:val="es-MX"/>
        </w:rPr>
      </w:pPr>
    </w:p>
    <w:p w14:paraId="216BFA74" w14:textId="77777777" w:rsidR="00910290" w:rsidRDefault="00910290" w:rsidP="00623237">
      <w:pPr>
        <w:spacing w:after="0" w:line="240" w:lineRule="auto"/>
        <w:rPr>
          <w:rFonts w:ascii="Verdana" w:eastAsia="Geomanist Light" w:hAnsi="Verdana" w:cs="Arial"/>
          <w:color w:val="000000" w:themeColor="text1"/>
          <w:lang w:val="es-MX"/>
        </w:rPr>
      </w:pPr>
    </w:p>
    <w:p w14:paraId="6A3B4B08" w14:textId="77777777" w:rsidR="00910290" w:rsidRDefault="00910290" w:rsidP="00623237">
      <w:pPr>
        <w:spacing w:after="0" w:line="240" w:lineRule="auto"/>
        <w:rPr>
          <w:rFonts w:ascii="Verdana" w:eastAsia="Geomanist Light" w:hAnsi="Verdana" w:cs="Arial"/>
          <w:color w:val="000000" w:themeColor="text1"/>
          <w:lang w:val="es-MX"/>
        </w:rPr>
      </w:pPr>
    </w:p>
    <w:p w14:paraId="2E8F3FB6" w14:textId="3FE340F9" w:rsidR="00623237" w:rsidRPr="00241376" w:rsidRDefault="00623237" w:rsidP="00623237">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t>Bogotá D.C., </w:t>
      </w:r>
      <w:r w:rsidR="0099271E">
        <w:rPr>
          <w:rFonts w:ascii="Verdana" w:eastAsia="Geomanist Light" w:hAnsi="Verdana" w:cs="Arial"/>
          <w:color w:val="201F1E"/>
          <w:lang w:val="es-MX"/>
        </w:rPr>
        <w:t>10 de noviembre de 2025</w:t>
      </w:r>
    </w:p>
    <w:p w14:paraId="488BE3A3" w14:textId="77777777" w:rsidR="00623237" w:rsidRPr="0044528D" w:rsidRDefault="00623237" w:rsidP="00623237">
      <w:pPr>
        <w:spacing w:after="0" w:line="240" w:lineRule="auto"/>
        <w:jc w:val="both"/>
        <w:rPr>
          <w:rFonts w:ascii="Verdana" w:hAnsi="Verdana"/>
        </w:rPr>
      </w:pPr>
    </w:p>
    <w:p w14:paraId="39A8B8BC" w14:textId="279F97CE" w:rsidR="00623237" w:rsidRPr="005D3C67" w:rsidRDefault="0099271E" w:rsidP="0099271E">
      <w:pPr>
        <w:spacing w:after="0"/>
        <w:jc w:val="right"/>
        <w:rPr>
          <w:rFonts w:ascii="Verdana" w:hAnsi="Verdana"/>
        </w:rPr>
      </w:pPr>
      <w:r w:rsidRPr="0099271E">
        <w:rPr>
          <w:rFonts w:ascii="Verdana" w:hAnsi="Verdana"/>
          <w:noProof/>
        </w:rPr>
        <w:drawing>
          <wp:inline distT="0" distB="0" distL="0" distR="0" wp14:anchorId="5D9181D2" wp14:editId="76FE081C">
            <wp:extent cx="2887980" cy="899160"/>
            <wp:effectExtent l="0" t="0" r="7620" b="0"/>
            <wp:docPr id="11549839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7980" cy="899160"/>
                    </a:xfrm>
                    <a:prstGeom prst="rect">
                      <a:avLst/>
                    </a:prstGeom>
                    <a:noFill/>
                    <a:ln>
                      <a:noFill/>
                    </a:ln>
                  </pic:spPr>
                </pic:pic>
              </a:graphicData>
            </a:graphic>
          </wp:inline>
        </w:drawing>
      </w:r>
    </w:p>
    <w:p w14:paraId="18C3D9F1" w14:textId="77777777" w:rsidR="00623237" w:rsidRPr="007215D5" w:rsidRDefault="00623237" w:rsidP="00623237">
      <w:pPr>
        <w:spacing w:after="0" w:line="240" w:lineRule="auto"/>
        <w:rPr>
          <w:rFonts w:ascii="Verdana" w:eastAsia="Calibri" w:hAnsi="Verdana" w:cs="Times New Roman"/>
          <w:lang w:val="es-MX"/>
        </w:rPr>
      </w:pPr>
      <w:r w:rsidRPr="007215D5">
        <w:rPr>
          <w:rFonts w:ascii="Verdana" w:eastAsia="Calibri" w:hAnsi="Verdana" w:cs="Times New Roman"/>
          <w:lang w:val="es-MX"/>
        </w:rPr>
        <w:t>Señor</w:t>
      </w:r>
      <w:r>
        <w:rPr>
          <w:rFonts w:ascii="Verdana" w:eastAsia="Calibri" w:hAnsi="Verdana" w:cs="Times New Roman"/>
          <w:lang w:val="es-MX"/>
        </w:rPr>
        <w:t>a</w:t>
      </w:r>
    </w:p>
    <w:p w14:paraId="2C8CBDA1" w14:textId="77777777" w:rsidR="00623237" w:rsidRDefault="00623237" w:rsidP="00623237">
      <w:pPr>
        <w:spacing w:after="0" w:line="240" w:lineRule="auto"/>
        <w:rPr>
          <w:rFonts w:ascii="Verdana" w:eastAsia="Calibri" w:hAnsi="Verdana" w:cs="Times New Roman"/>
          <w:b/>
        </w:rPr>
      </w:pPr>
      <w:r w:rsidRPr="00E2386E">
        <w:rPr>
          <w:rFonts w:ascii="Verdana" w:eastAsia="Calibri" w:hAnsi="Verdana" w:cs="Times New Roman"/>
          <w:b/>
        </w:rPr>
        <w:t>Jina Marcela Martínez Lara</w:t>
      </w:r>
      <w:r>
        <w:rPr>
          <w:rFonts w:ascii="Verdana" w:eastAsia="Calibri" w:hAnsi="Verdana" w:cs="Times New Roman"/>
          <w:b/>
        </w:rPr>
        <w:t xml:space="preserve"> </w:t>
      </w:r>
    </w:p>
    <w:p w14:paraId="2E53A37B" w14:textId="77777777" w:rsidR="00623237" w:rsidRDefault="00623237" w:rsidP="00623237">
      <w:pPr>
        <w:spacing w:after="0" w:line="240" w:lineRule="auto"/>
        <w:rPr>
          <w:rFonts w:ascii="Verdana" w:eastAsia="Calibri" w:hAnsi="Verdana" w:cs="Times New Roman"/>
          <w:b/>
        </w:rPr>
      </w:pPr>
      <w:r>
        <w:rPr>
          <w:rFonts w:ascii="Verdana" w:eastAsia="Calibri" w:hAnsi="Verdana" w:cs="Times New Roman"/>
          <w:b/>
        </w:rPr>
        <w:t xml:space="preserve">Gerente </w:t>
      </w:r>
      <w:r w:rsidRPr="000040BB">
        <w:rPr>
          <w:rFonts w:ascii="Verdana" w:eastAsia="Calibri" w:hAnsi="Verdana" w:cs="Times New Roman"/>
          <w:b/>
        </w:rPr>
        <w:t>MINDTECH S.A.S</w:t>
      </w:r>
    </w:p>
    <w:p w14:paraId="59B35EED" w14:textId="77777777" w:rsidR="00623237" w:rsidRPr="0021130A" w:rsidRDefault="00623237" w:rsidP="00623237">
      <w:pPr>
        <w:spacing w:after="0" w:line="240" w:lineRule="auto"/>
        <w:rPr>
          <w:rFonts w:ascii="Verdana" w:eastAsia="Calibri" w:hAnsi="Verdana" w:cs="Times New Roman"/>
        </w:rPr>
      </w:pPr>
      <w:hyperlink r:id="rId12" w:history="1">
        <w:r w:rsidRPr="0021130A">
          <w:rPr>
            <w:rStyle w:val="Hipervnculo"/>
            <w:rFonts w:ascii="Verdana" w:hAnsi="Verdana"/>
          </w:rPr>
          <w:t>GERENCIA@MINDTECH.COM.CO</w:t>
        </w:r>
      </w:hyperlink>
      <w:r w:rsidRPr="0021130A">
        <w:rPr>
          <w:rFonts w:ascii="Verdana" w:hAnsi="Verdana"/>
        </w:rPr>
        <w:t xml:space="preserve"> </w:t>
      </w:r>
    </w:p>
    <w:p w14:paraId="514DA19C" w14:textId="77777777" w:rsidR="00623237" w:rsidRDefault="00623237" w:rsidP="00623237">
      <w:pPr>
        <w:spacing w:after="0" w:line="240" w:lineRule="auto"/>
        <w:rPr>
          <w:rFonts w:ascii="Verdana" w:eastAsia="Calibri" w:hAnsi="Verdana" w:cs="Times New Roman"/>
        </w:rPr>
      </w:pPr>
      <w:r>
        <w:rPr>
          <w:rFonts w:ascii="Verdana" w:eastAsia="Calibri" w:hAnsi="Verdana" w:cs="Times New Roman"/>
        </w:rPr>
        <w:t xml:space="preserve">Cali, Valle del Cauca </w:t>
      </w:r>
    </w:p>
    <w:p w14:paraId="2A3DACA6" w14:textId="77777777" w:rsidR="00623237" w:rsidRDefault="00623237" w:rsidP="00623237">
      <w:pPr>
        <w:spacing w:after="0" w:line="256" w:lineRule="auto"/>
        <w:rPr>
          <w:rFonts w:ascii="Verdana" w:eastAsia="Calibri" w:hAnsi="Verdana" w:cs="Times New Roman"/>
        </w:rPr>
      </w:pPr>
    </w:p>
    <w:p w14:paraId="1B152104" w14:textId="77777777" w:rsidR="00623237" w:rsidRPr="00A12CB6" w:rsidRDefault="00623237" w:rsidP="00623237">
      <w:pPr>
        <w:spacing w:after="0" w:line="256" w:lineRule="auto"/>
        <w:rPr>
          <w:rFonts w:ascii="Verdana" w:eastAsia="Calibri" w:hAnsi="Verdana" w:cs="Times New Roman"/>
        </w:rPr>
      </w:pPr>
    </w:p>
    <w:p w14:paraId="14A05F96" w14:textId="77777777" w:rsidR="00623237" w:rsidRPr="00A12CB6" w:rsidRDefault="00623237" w:rsidP="00623237">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C- 1453 de 2025</w:t>
      </w:r>
    </w:p>
    <w:p w14:paraId="677FBBC1" w14:textId="77777777" w:rsidR="00623237" w:rsidRPr="00A12CB6" w:rsidRDefault="00623237" w:rsidP="00623237">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23237" w:rsidRPr="00A12CB6" w14:paraId="1540B64E" w14:textId="77777777" w:rsidTr="003B02A7">
        <w:trPr>
          <w:trHeight w:val="645"/>
        </w:trPr>
        <w:tc>
          <w:tcPr>
            <w:tcW w:w="2685" w:type="dxa"/>
            <w:hideMark/>
          </w:tcPr>
          <w:p w14:paraId="2A52D925" w14:textId="77777777" w:rsidR="00623237" w:rsidRPr="00A12CB6" w:rsidRDefault="00623237" w:rsidP="003B02A7">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476127D9" w14:textId="203F4442" w:rsidR="00623237" w:rsidRPr="00B74FAE" w:rsidRDefault="00623237" w:rsidP="003B02A7">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SISTEMA GENERAL DE REGALÍAS – Objeto – Aplicación – Ley de Garantías Electorales / </w:t>
            </w:r>
            <w:r w:rsidRPr="00B74FAE">
              <w:rPr>
                <w:rFonts w:ascii="Verdana" w:hAnsi="Verdana" w:cs="Arial"/>
                <w:lang w:val="es-MX" w:eastAsia="es-ES_tradnl"/>
              </w:rPr>
              <w:t>LEY DE GARANTÍAS ELECTORALES – Contratos y convenios interadministrativos – Criterio orgánico</w:t>
            </w:r>
            <w:r>
              <w:rPr>
                <w:rFonts w:ascii="Verdana" w:hAnsi="Verdana" w:cs="Arial"/>
                <w:lang w:val="es-MX" w:eastAsia="es-ES_tradnl"/>
              </w:rPr>
              <w:t xml:space="preserve"> / </w:t>
            </w:r>
            <w:r w:rsidRPr="00B74FAE">
              <w:rPr>
                <w:rFonts w:ascii="Verdana" w:hAnsi="Verdana" w:cs="Arial"/>
                <w:lang w:val="es-MX" w:eastAsia="es-ES_tradnl"/>
              </w:rPr>
              <w:t>CONTRATOS Y CONVENIOS INTERADMINISTRATIVOS – Circular Externa Única – A</w:t>
            </w:r>
            <w:r>
              <w:rPr>
                <w:rFonts w:ascii="Verdana" w:hAnsi="Verdana" w:cs="Arial"/>
                <w:lang w:val="es-MX" w:eastAsia="es-ES_tradnl"/>
              </w:rPr>
              <w:t xml:space="preserve">uto de suspensión –numeral 16.2 / LEY DE GARANTÍAS ELECTORALES – Contratos y convenios interadministrativos – Sistema General de Regalías </w:t>
            </w:r>
          </w:p>
        </w:tc>
        <w:tc>
          <w:tcPr>
            <w:tcW w:w="6237" w:type="dxa"/>
          </w:tcPr>
          <w:p w14:paraId="75428DA4" w14:textId="77777777" w:rsidR="00623237" w:rsidRPr="00A12CB6" w:rsidRDefault="00623237" w:rsidP="003B02A7">
            <w:pPr>
              <w:spacing w:line="256" w:lineRule="auto"/>
              <w:rPr>
                <w:rFonts w:ascii="Verdana" w:hAnsi="Verdana"/>
              </w:rPr>
            </w:pPr>
          </w:p>
        </w:tc>
      </w:tr>
      <w:tr w:rsidR="00623237" w:rsidRPr="00A12CB6" w14:paraId="311B3598" w14:textId="77777777" w:rsidTr="003B02A7">
        <w:tc>
          <w:tcPr>
            <w:tcW w:w="2685" w:type="dxa"/>
          </w:tcPr>
          <w:p w14:paraId="6E9E8D33" w14:textId="77777777" w:rsidR="00623237" w:rsidRDefault="00623237" w:rsidP="003B02A7">
            <w:pPr>
              <w:spacing w:line="256" w:lineRule="auto"/>
              <w:rPr>
                <w:rFonts w:ascii="Verdana" w:hAnsi="Verdana"/>
                <w:b/>
                <w:bCs/>
                <w:lang w:val="es-ES_tradnl"/>
              </w:rPr>
            </w:pPr>
          </w:p>
          <w:p w14:paraId="539BC693" w14:textId="77777777" w:rsidR="00623237" w:rsidRDefault="00623237" w:rsidP="003B02A7">
            <w:pPr>
              <w:spacing w:line="256" w:lineRule="auto"/>
              <w:rPr>
                <w:rFonts w:ascii="Verdana" w:hAnsi="Verdana"/>
                <w:b/>
                <w:bCs/>
                <w:lang w:val="es-ES_tradnl"/>
              </w:rPr>
            </w:pPr>
          </w:p>
          <w:p w14:paraId="1A1DE8B8" w14:textId="77777777" w:rsidR="00623237" w:rsidRPr="00A12CB6" w:rsidRDefault="00623237" w:rsidP="003B02A7">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0875A33A" w14:textId="77777777" w:rsidR="00623237" w:rsidRPr="00273620" w:rsidRDefault="00623237" w:rsidP="003B02A7">
            <w:pPr>
              <w:spacing w:line="257" w:lineRule="auto"/>
              <w:jc w:val="both"/>
              <w:rPr>
                <w:rFonts w:ascii="Verdana" w:hAnsi="Verdana"/>
                <w:lang w:val="es-ES_tradnl"/>
              </w:rPr>
            </w:pPr>
          </w:p>
          <w:p w14:paraId="2403AD62" w14:textId="77777777" w:rsidR="00623237" w:rsidRPr="00273620" w:rsidRDefault="00623237" w:rsidP="003B02A7">
            <w:pPr>
              <w:spacing w:line="257" w:lineRule="auto"/>
              <w:jc w:val="both"/>
              <w:rPr>
                <w:rFonts w:ascii="Verdana" w:hAnsi="Verdana"/>
              </w:rPr>
            </w:pPr>
            <w:r w:rsidRPr="00273620">
              <w:rPr>
                <w:rFonts w:ascii="Verdana" w:hAnsi="Verdana"/>
                <w:lang w:val="es-ES_tradnl"/>
              </w:rPr>
              <w:t xml:space="preserve">Respuesta a consulta con radicado No. </w:t>
            </w:r>
            <w:r w:rsidRPr="00AD3C9D">
              <w:rPr>
                <w:rFonts w:ascii="Verdana" w:hAnsi="Verdana"/>
              </w:rPr>
              <w:t>1_2025_10_06_011138</w:t>
            </w:r>
          </w:p>
          <w:p w14:paraId="3C1F3CC1" w14:textId="77777777" w:rsidR="00623237" w:rsidRPr="00273620" w:rsidRDefault="00623237" w:rsidP="003B02A7">
            <w:pPr>
              <w:spacing w:line="257" w:lineRule="auto"/>
              <w:jc w:val="both"/>
              <w:rPr>
                <w:rFonts w:ascii="Verdana" w:hAnsi="Verdana"/>
              </w:rPr>
            </w:pPr>
          </w:p>
        </w:tc>
        <w:tc>
          <w:tcPr>
            <w:tcW w:w="6237" w:type="dxa"/>
          </w:tcPr>
          <w:p w14:paraId="156A7BC7" w14:textId="77777777" w:rsidR="00623237" w:rsidRPr="00A12CB6" w:rsidRDefault="00623237" w:rsidP="003B02A7">
            <w:pPr>
              <w:spacing w:line="256" w:lineRule="auto"/>
              <w:rPr>
                <w:rFonts w:ascii="Verdana" w:hAnsi="Verdana"/>
                <w:lang w:val="es-ES_tradnl"/>
              </w:rPr>
            </w:pPr>
          </w:p>
        </w:tc>
      </w:tr>
    </w:tbl>
    <w:p w14:paraId="7BE3D9D0" w14:textId="77777777" w:rsidR="00623237" w:rsidRPr="00A12CB6" w:rsidRDefault="00623237" w:rsidP="00623237">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Martínez: </w:t>
      </w:r>
      <w:r w:rsidRPr="00A12CB6">
        <w:rPr>
          <w:rFonts w:ascii="Verdana" w:eastAsia="Calibri" w:hAnsi="Verdana" w:cs="Times New Roman"/>
          <w:lang w:val="es-ES"/>
        </w:rPr>
        <w:t xml:space="preserve"> </w:t>
      </w:r>
    </w:p>
    <w:p w14:paraId="6F27F958" w14:textId="77777777" w:rsidR="00623237" w:rsidRPr="00A12CB6" w:rsidRDefault="00623237" w:rsidP="00623237">
      <w:pPr>
        <w:spacing w:after="0" w:line="256" w:lineRule="auto"/>
        <w:rPr>
          <w:rFonts w:ascii="Verdana" w:eastAsia="Calibri" w:hAnsi="Verdana" w:cs="Times New Roman"/>
          <w:lang w:val="es-ES"/>
        </w:rPr>
      </w:pPr>
    </w:p>
    <w:p w14:paraId="6B959DAD" w14:textId="77777777" w:rsidR="00623237" w:rsidRDefault="00623237" w:rsidP="00623237">
      <w:pPr>
        <w:spacing w:after="0" w:line="276" w:lineRule="auto"/>
        <w:jc w:val="both"/>
        <w:rPr>
          <w:rFonts w:ascii="Verdana" w:eastAsia="Calibri" w:hAnsi="Verdana" w:cs="Times New Roman"/>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w:t>
      </w:r>
      <w:r w:rsidRPr="005D3C67">
        <w:rPr>
          <w:rFonts w:ascii="Verdana" w:eastAsia="Calibri" w:hAnsi="Verdana" w:cs="Times New Roman"/>
          <w:bCs/>
        </w:rPr>
        <w:lastRenderedPageBreak/>
        <w:t xml:space="preserve">Resolución 469 de 2025 expedida por esta Entidad, </w:t>
      </w:r>
      <w:r w:rsidRPr="005D3C67">
        <w:rPr>
          <w:rFonts w:ascii="Verdana" w:eastAsia="Calibri" w:hAnsi="Verdana" w:cs="Times New Roman"/>
          <w:bCs/>
          <w:lang w:val="es-ES" w:bidi="es-ES"/>
        </w:rPr>
        <w:t>la Agencia Nacional de Contratación Pública – Colombia Compra Eficiente–</w:t>
      </w:r>
      <w:r>
        <w:rPr>
          <w:rFonts w:ascii="Verdana" w:eastAsia="Calibri" w:hAnsi="Verdana" w:cs="Times New Roman"/>
          <w:lang w:val="es-ES"/>
        </w:rPr>
        <w:t xml:space="preserve"> </w:t>
      </w:r>
      <w:r w:rsidRPr="00A12061">
        <w:rPr>
          <w:rFonts w:ascii="Verdana" w:eastAsia="Calibri" w:hAnsi="Verdana" w:cs="Times New Roman"/>
          <w:lang w:val="es-ES"/>
        </w:rPr>
        <w:t>responde la solicit</w:t>
      </w:r>
      <w:r>
        <w:rPr>
          <w:rFonts w:ascii="Verdana" w:eastAsia="Calibri" w:hAnsi="Verdana" w:cs="Times New Roman"/>
          <w:lang w:val="es-ES"/>
        </w:rPr>
        <w:t>ud de consulta presentada el 6 de octubre de 2025, en la cual manifiesta</w:t>
      </w:r>
      <w:r w:rsidRPr="00A12061">
        <w:rPr>
          <w:rFonts w:ascii="Verdana" w:eastAsia="Calibri" w:hAnsi="Verdana" w:cs="Times New Roman"/>
          <w:lang w:val="es-ES"/>
        </w:rPr>
        <w:t>:</w:t>
      </w:r>
      <w:r w:rsidRPr="000D6D0E">
        <w:rPr>
          <w:rFonts w:ascii="Verdana" w:eastAsia="Calibri" w:hAnsi="Verdana" w:cs="Times New Roman"/>
        </w:rPr>
        <w:t xml:space="preserve"> </w:t>
      </w:r>
    </w:p>
    <w:p w14:paraId="65CEE7A9" w14:textId="77777777" w:rsidR="00623237" w:rsidRPr="004252BF" w:rsidRDefault="00623237" w:rsidP="00623237">
      <w:pPr>
        <w:spacing w:after="0" w:line="276" w:lineRule="auto"/>
        <w:ind w:right="709"/>
        <w:jc w:val="both"/>
        <w:rPr>
          <w:rFonts w:ascii="Verdana" w:eastAsia="Calibri" w:hAnsi="Verdana" w:cs="Times New Roman"/>
          <w:iCs/>
          <w:sz w:val="20"/>
        </w:rPr>
      </w:pPr>
    </w:p>
    <w:p w14:paraId="4D9A3B4D" w14:textId="77777777" w:rsidR="00623237" w:rsidRPr="00F64FF9" w:rsidRDefault="00623237" w:rsidP="00623237">
      <w:pPr>
        <w:pStyle w:val="Prrafodelista"/>
        <w:spacing w:after="0" w:line="240" w:lineRule="auto"/>
        <w:ind w:right="709"/>
        <w:jc w:val="both"/>
        <w:rPr>
          <w:rFonts w:ascii="Verdana" w:eastAsia="Calibri" w:hAnsi="Verdana" w:cs="Times New Roman"/>
          <w:iCs/>
          <w:sz w:val="20"/>
          <w:szCs w:val="20"/>
          <w:lang w:val="es-CO"/>
        </w:rPr>
      </w:pPr>
      <w:r w:rsidRPr="00F64FF9">
        <w:rPr>
          <w:rFonts w:ascii="Verdana" w:eastAsia="Calibri" w:hAnsi="Verdana" w:cs="Times New Roman"/>
          <w:i/>
          <w:iCs/>
          <w:sz w:val="20"/>
          <w:szCs w:val="20"/>
        </w:rPr>
        <w:t>“</w:t>
      </w:r>
      <w:r w:rsidRPr="003B148F">
        <w:rPr>
          <w:rFonts w:ascii="Verdana" w:eastAsia="Calibri" w:hAnsi="Verdana" w:cs="Times New Roman"/>
          <w:i/>
          <w:iCs/>
          <w:sz w:val="20"/>
          <w:szCs w:val="20"/>
          <w:lang w:val="es-CO"/>
        </w:rPr>
        <w:t>De forma atenta y respetuosa presentamos la siguiente solicitud de consulta con el fin de tener claridad, respecto a si nuestra organización como entidad privada ejecutora de recursos públicos asignados por el Órgano Colegiado de Administración y Decisión (OCAD) del Fondo de Ciencia, Tecnología e Innovación (FCTeI) del SGR, para el proyecto BPIN-2020000100261 titulado “DESARROLLO DE UN SISTEMA DE TRATAMIENTO DE AGUAS POLÍMEROMEMBRANA DE BAJO CONSUMO ENERGÉTICO ADAPTABLE A FAMILIAS CAMPESINAS, COMUNIDADES, RURALES, COSTERAS Y AGROPECUARIAS DE CÓRDOBA ” en el horizonte comprendido desde el 1-oct-2021 a 30-sep-2026, esta sujeta a las restricciones de contratación de ley de garantías</w:t>
      </w:r>
    </w:p>
    <w:p w14:paraId="30E1CAF2" w14:textId="77777777" w:rsidR="00623237" w:rsidRPr="0038606D" w:rsidRDefault="00623237" w:rsidP="00623237">
      <w:pPr>
        <w:spacing w:after="0" w:line="240" w:lineRule="auto"/>
        <w:ind w:right="709"/>
        <w:jc w:val="both"/>
        <w:rPr>
          <w:rFonts w:ascii="Verdana" w:eastAsia="Calibri" w:hAnsi="Verdana" w:cs="Times New Roman"/>
          <w:i/>
          <w:iCs/>
          <w:sz w:val="20"/>
        </w:rPr>
      </w:pPr>
    </w:p>
    <w:p w14:paraId="613374D0" w14:textId="77777777" w:rsidR="00623237" w:rsidRPr="00A12CB6" w:rsidRDefault="00623237" w:rsidP="00623237">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E1533AC" w14:textId="77777777" w:rsidR="00623237" w:rsidRPr="00A12CB6" w:rsidRDefault="00623237" w:rsidP="00623237">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5E6BF45F" w14:textId="77777777" w:rsidR="00623237" w:rsidRPr="00A12CB6" w:rsidRDefault="00623237" w:rsidP="00623237">
      <w:pPr>
        <w:spacing w:after="0" w:line="276" w:lineRule="auto"/>
        <w:rPr>
          <w:rFonts w:ascii="Verdana" w:eastAsia="Calibri" w:hAnsi="Verdana" w:cs="Times New Roman"/>
          <w:lang w:val="es-ES"/>
        </w:rPr>
      </w:pPr>
    </w:p>
    <w:p w14:paraId="6E8AC4C3" w14:textId="77777777" w:rsidR="00623237" w:rsidRPr="00A12CB6" w:rsidRDefault="00623237" w:rsidP="00623237">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5CAB6E64" w14:textId="77777777" w:rsidR="00623237" w:rsidRPr="00A12CB6" w:rsidRDefault="00623237" w:rsidP="00623237">
      <w:pPr>
        <w:spacing w:after="0" w:line="276" w:lineRule="auto"/>
        <w:rPr>
          <w:rFonts w:ascii="Verdana" w:eastAsia="Calibri" w:hAnsi="Verdana" w:cs="Times New Roman"/>
        </w:rPr>
      </w:pPr>
    </w:p>
    <w:p w14:paraId="37B6CE6A" w14:textId="77777777" w:rsidR="00623237" w:rsidRPr="008A0221" w:rsidRDefault="00623237" w:rsidP="00623237">
      <w:pPr>
        <w:spacing w:after="0" w:line="276" w:lineRule="auto"/>
        <w:jc w:val="both"/>
        <w:rPr>
          <w:rFonts w:ascii="Verdana" w:eastAsia="Calibri" w:hAnsi="Verdana" w:cs="Times New Roman"/>
          <w:iCs/>
        </w:rPr>
      </w:pPr>
      <w:r w:rsidRPr="134495F9">
        <w:rPr>
          <w:rFonts w:ascii="Verdana" w:eastAsia="Calibri" w:hAnsi="Verdana" w:cs="Times New Roman"/>
        </w:rPr>
        <w:t>De acuerdo con el contenido de sus solicitudes, esta Agencia procede a resolver</w:t>
      </w:r>
      <w:r>
        <w:rPr>
          <w:rFonts w:ascii="Verdana" w:eastAsia="Calibri" w:hAnsi="Verdana" w:cs="Times New Roman"/>
        </w:rPr>
        <w:t xml:space="preserve"> el siguiente problema jurídico</w:t>
      </w:r>
      <w:r w:rsidRPr="134495F9">
        <w:rPr>
          <w:rFonts w:ascii="Verdana" w:eastAsia="Calibri" w:hAnsi="Verdana" w:cs="Times New Roman"/>
        </w:rPr>
        <w:t>:</w:t>
      </w:r>
      <w:r>
        <w:rPr>
          <w:rFonts w:ascii="Verdana" w:eastAsia="Calibri" w:hAnsi="Verdana" w:cs="Times New Roman"/>
          <w:iCs/>
          <w:lang w:val="es-ES"/>
        </w:rPr>
        <w:t xml:space="preserve"> ¿Es procedente las restricciones reguladas en la </w:t>
      </w:r>
      <w:r>
        <w:rPr>
          <w:rFonts w:ascii="Verdana" w:eastAsia="Calibri" w:hAnsi="Verdana" w:cs="Times New Roman"/>
          <w:iCs/>
          <w:lang w:val="es-ES"/>
        </w:rPr>
        <w:lastRenderedPageBreak/>
        <w:t xml:space="preserve">Ley 996 de 2005 </w:t>
      </w:r>
      <w:r>
        <w:rPr>
          <w:rFonts w:ascii="Verdana" w:eastAsia="Calibri" w:hAnsi="Verdana" w:cs="Times New Roman"/>
          <w:bCs/>
          <w:iCs/>
        </w:rPr>
        <w:t xml:space="preserve">frente a </w:t>
      </w:r>
      <w:r w:rsidRPr="005D3C67">
        <w:rPr>
          <w:rFonts w:ascii="Verdana" w:eastAsia="Calibri" w:hAnsi="Verdana" w:cs="Times New Roman"/>
          <w:bCs/>
          <w:iCs/>
        </w:rPr>
        <w:t xml:space="preserve">los procesos contractuales financiados con recursos del Sistema </w:t>
      </w:r>
      <w:r>
        <w:rPr>
          <w:rFonts w:ascii="Verdana" w:eastAsia="Calibri" w:hAnsi="Verdana" w:cs="Times New Roman"/>
          <w:bCs/>
          <w:iCs/>
        </w:rPr>
        <w:t>General de Regalías</w:t>
      </w:r>
      <w:r>
        <w:rPr>
          <w:rFonts w:ascii="Verdana" w:eastAsia="Calibri" w:hAnsi="Verdana" w:cs="Times New Roman"/>
          <w:iCs/>
        </w:rPr>
        <w:t>?</w:t>
      </w:r>
    </w:p>
    <w:p w14:paraId="7B199B69" w14:textId="77777777" w:rsidR="00623237" w:rsidRPr="008A0221" w:rsidRDefault="00623237" w:rsidP="00623237">
      <w:pPr>
        <w:spacing w:after="0" w:line="276" w:lineRule="auto"/>
        <w:jc w:val="both"/>
        <w:rPr>
          <w:rFonts w:ascii="Verdana" w:eastAsia="Calibri" w:hAnsi="Verdana" w:cs="Times New Roman"/>
          <w:i/>
          <w:iCs/>
        </w:rPr>
      </w:pPr>
    </w:p>
    <w:p w14:paraId="206C025C" w14:textId="77777777" w:rsidR="00623237" w:rsidRDefault="00623237" w:rsidP="00623237">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6AA33698" w14:textId="77777777" w:rsidR="00623237" w:rsidRPr="00A12CB6" w:rsidRDefault="00623237" w:rsidP="00623237">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23237" w:rsidRPr="001205D1" w14:paraId="4384C3E2" w14:textId="77777777" w:rsidTr="003B02A7">
        <w:trPr>
          <w:trHeight w:val="618"/>
          <w:jc w:val="center"/>
        </w:trPr>
        <w:tc>
          <w:tcPr>
            <w:tcW w:w="8784" w:type="dxa"/>
            <w:tcBorders>
              <w:bottom w:val="single" w:sz="4" w:space="0" w:color="auto"/>
            </w:tcBorders>
          </w:tcPr>
          <w:p w14:paraId="127267BF" w14:textId="77777777" w:rsidR="00623237" w:rsidRDefault="00623237" w:rsidP="003B02A7">
            <w:pPr>
              <w:spacing w:before="120" w:after="120" w:line="276" w:lineRule="auto"/>
              <w:jc w:val="both"/>
              <w:rPr>
                <w:rFonts w:ascii="Verdana" w:eastAsia="Times New Roman" w:hAnsi="Verdana" w:cs="Arial"/>
                <w:bCs/>
                <w:lang w:val="es-MX" w:eastAsia="x-none"/>
              </w:rPr>
            </w:pPr>
            <w:r>
              <w:rPr>
                <w:rFonts w:ascii="Verdana" w:eastAsia="Calibri" w:hAnsi="Verdana" w:cs="Times New Roman"/>
              </w:rPr>
              <w:t xml:space="preserve">En cuanto a </w:t>
            </w:r>
            <w:r>
              <w:rPr>
                <w:rFonts w:ascii="Verdana" w:eastAsia="Calibri" w:hAnsi="Verdana" w:cs="Arial"/>
                <w:lang w:val="es-MX"/>
              </w:rPr>
              <w:t>la restricción prevista en el artículo 33 de la</w:t>
            </w:r>
            <w:r w:rsidRPr="0057193B">
              <w:rPr>
                <w:rFonts w:ascii="Verdana" w:eastAsia="Calibri" w:hAnsi="Verdana" w:cs="Arial"/>
                <w:lang w:val="es-MX"/>
              </w:rPr>
              <w:t xml:space="preserve"> Ley 996 de 2005 </w:t>
            </w:r>
            <w:r>
              <w:rPr>
                <w:rFonts w:ascii="Verdana" w:eastAsia="Calibri" w:hAnsi="Verdana" w:cs="Arial"/>
                <w:lang w:val="es-MX"/>
              </w:rPr>
              <w:t xml:space="preserve">es preciso resaltar que esta </w:t>
            </w:r>
            <w:r w:rsidRPr="0057193B">
              <w:rPr>
                <w:rFonts w:ascii="Verdana" w:eastAsia="Times New Roman" w:hAnsi="Verdana" w:cs="Arial"/>
                <w:bCs/>
                <w:lang w:val="es-MX" w:eastAsia="x-none"/>
              </w:rPr>
              <w:t xml:space="preserve">cobija a cualquier </w:t>
            </w:r>
            <w:r w:rsidRPr="00676214">
              <w:rPr>
                <w:rFonts w:ascii="Verdana" w:eastAsia="Times New Roman" w:hAnsi="Verdana" w:cs="Arial"/>
                <w:bCs/>
                <w:i/>
                <w:iCs/>
                <w:lang w:val="es-MX" w:eastAsia="x-none"/>
              </w:rPr>
              <w:t>entidad pública</w:t>
            </w:r>
            <w:r w:rsidRPr="0057193B">
              <w:rPr>
                <w:rFonts w:ascii="Verdana" w:eastAsia="Times New Roman" w:hAnsi="Verdana" w:cs="Arial"/>
                <w:bCs/>
                <w:lang w:val="es-MX" w:eastAsia="x-none"/>
              </w:rPr>
              <w:t xml:space="preserve">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w:t>
            </w:r>
            <w:r w:rsidRPr="00B36A23">
              <w:rPr>
                <w:rFonts w:ascii="Verdana" w:eastAsia="Times New Roman" w:hAnsi="Verdana" w:cs="Arial"/>
                <w:bCs/>
                <w:i/>
                <w:iCs/>
                <w:lang w:val="es-MX" w:eastAsia="x-none"/>
              </w:rPr>
              <w:t>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A02CDE6" w14:textId="77777777" w:rsidR="00623237" w:rsidRDefault="00623237" w:rsidP="003B02A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xml:space="preserve">, en el sentido de que son </w:t>
            </w:r>
            <w:r w:rsidRPr="00C46683">
              <w:rPr>
                <w:rFonts w:ascii="Verdana" w:eastAsia="Times New Roman" w:hAnsi="Verdana" w:cs="Arial"/>
                <w:bCs/>
                <w:i/>
                <w:iCs/>
                <w:lang w:val="es-MX" w:eastAsia="x-none"/>
              </w:rPr>
              <w:t xml:space="preserve">“todos los entes del Estado”, </w:t>
            </w:r>
            <w:r w:rsidRPr="0057193B">
              <w:rPr>
                <w:rFonts w:ascii="Verdana" w:eastAsia="Times New Roman" w:hAnsi="Verdana" w:cs="Arial"/>
                <w:bCs/>
                <w:lang w:val="es-MX" w:eastAsia="x-none"/>
              </w:rPr>
              <w:t>expresión que contempla a los diferentes organismos o entidades autorizadas por la ley para suscribir contratos</w:t>
            </w:r>
            <w:r>
              <w:rPr>
                <w:rFonts w:ascii="Verdana" w:eastAsia="Times New Roman" w:hAnsi="Verdana" w:cs="Arial"/>
                <w:bCs/>
                <w:lang w:val="es-MX" w:eastAsia="x-none"/>
              </w:rPr>
              <w:t xml:space="preserve">, </w:t>
            </w:r>
            <w:r w:rsidRPr="00C46683">
              <w:rPr>
                <w:rFonts w:ascii="Verdana" w:eastAsia="Times New Roman" w:hAnsi="Verdana" w:cs="Arial"/>
                <w:bCs/>
                <w:lang w:eastAsia="x-none"/>
              </w:rPr>
              <w:t>sin distinción del régimen jurídico, forma de organización o naturaleza, su pertenencia a una u otra rama del poder público o su autonomía, e incluso si se trata de entidades estatales que al estar sometidas a un régimen especial se encuentren del ámbito de aplicación del Estatuto General de Contratación de la Administración Pública</w:t>
            </w:r>
            <w:r>
              <w:rPr>
                <w:rFonts w:ascii="Verdana" w:eastAsia="Times New Roman" w:hAnsi="Verdana" w:cs="Arial"/>
                <w:bCs/>
                <w:lang w:eastAsia="x-none"/>
              </w:rPr>
              <w:t xml:space="preserve">. </w:t>
            </w:r>
          </w:p>
          <w:p w14:paraId="68A1BD47" w14:textId="77777777" w:rsidR="00623237" w:rsidRPr="00D2053D" w:rsidRDefault="00623237" w:rsidP="003B02A7">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Como lo señala el literal i) del numeral 1 de la Circular Externa No. 006 de 2025 expedida por la ANCP-CCE, </w:t>
            </w:r>
            <w:r w:rsidRPr="00DF5C8D">
              <w:rPr>
                <w:rFonts w:ascii="Verdana" w:eastAsia="Times New Roman" w:hAnsi="Verdana" w:cs="Arial"/>
                <w:bCs/>
                <w:lang w:eastAsia="x-none"/>
              </w:rPr>
              <w:t>algunos ejemplos de los sujetos que tienen prohibido contratar directamente durante el periodo señalado en el artículo 33 son: las Entidades Estatales establecidas en el artículo 2 de la Ley 80 de 1993; las entidades descentralizadas indirectas, es decir, las que surgen por la voluntad</w:t>
            </w:r>
            <w:r>
              <w:rPr>
                <w:rFonts w:ascii="Verdana" w:eastAsia="Times New Roman" w:hAnsi="Verdana" w:cs="Arial"/>
                <w:bCs/>
                <w:lang w:eastAsia="x-none"/>
              </w:rPr>
              <w:t xml:space="preserve"> </w:t>
            </w:r>
            <w:r w:rsidRPr="00D2053D">
              <w:rPr>
                <w:rFonts w:ascii="Verdana" w:eastAsia="Times New Roman" w:hAnsi="Verdana" w:cs="Arial"/>
                <w:bCs/>
                <w:lang w:eastAsia="x-none"/>
              </w:rPr>
              <w:t xml:space="preserve">asociativa de los entes públicos entre sí o con la intervención de particulares, como las derivadas de los artículos 95 y 96 de la Ley 489 de 1998; las empresas industriales y comerciales del Estado y las Sociedades de Economía Mixta, salvo cuando la celebración de un convenio interadministrativo sea ordenada, para ambas partes, por el Legislador; las Empresas de Servicios Públicos oficiales y mixtas; las Empresas Sociales del Estado; los entes universitarios autónomos, entre otros. En términos </w:t>
            </w:r>
            <w:r w:rsidRPr="00D2053D">
              <w:rPr>
                <w:rFonts w:ascii="Verdana" w:eastAsia="Times New Roman" w:hAnsi="Verdana" w:cs="Arial"/>
                <w:bCs/>
                <w:lang w:eastAsia="x-none"/>
              </w:rPr>
              <w:lastRenderedPageBreak/>
              <w:t xml:space="preserve">generales, la restricción cobija a </w:t>
            </w:r>
            <w:r w:rsidRPr="00107599">
              <w:rPr>
                <w:rFonts w:ascii="Verdana" w:eastAsia="Times New Roman" w:hAnsi="Verdana" w:cs="Arial"/>
                <w:bCs/>
                <w:i/>
                <w:iCs/>
                <w:lang w:eastAsia="x-none"/>
              </w:rPr>
              <w:t>cualquier ente público</w:t>
            </w:r>
            <w:r w:rsidRPr="00D2053D">
              <w:rPr>
                <w:rFonts w:ascii="Verdana" w:eastAsia="Times New Roman" w:hAnsi="Verdana" w:cs="Arial"/>
                <w:bCs/>
                <w:lang w:eastAsia="x-none"/>
              </w:rPr>
              <w:t xml:space="preserve"> que pueda, a través de la contratación directa, romper el equilibrio entre los partidos y los candidatos en las elecciones presidenciales</w:t>
            </w:r>
            <w:r>
              <w:rPr>
                <w:rFonts w:ascii="Verdana" w:eastAsia="Times New Roman" w:hAnsi="Verdana" w:cs="Arial"/>
                <w:bCs/>
                <w:lang w:eastAsia="x-none"/>
              </w:rPr>
              <w:t>.</w:t>
            </w:r>
          </w:p>
          <w:p w14:paraId="1FE74CFF" w14:textId="77777777" w:rsidR="00623237" w:rsidRDefault="00623237" w:rsidP="003B02A7">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ES" w:eastAsia="x-none"/>
              </w:rPr>
              <w:t xml:space="preserve">En esta cuestión, la Ley 2056 de 2020, </w:t>
            </w:r>
            <w:r w:rsidRPr="009A35DF">
              <w:rPr>
                <w:rFonts w:ascii="Verdana" w:eastAsia="Times New Roman" w:hAnsi="Verdana" w:cs="Arial"/>
                <w:bCs/>
                <w:lang w:val="es-ES" w:eastAsia="x-none"/>
              </w:rPr>
              <w:t>“</w:t>
            </w:r>
            <w:r w:rsidRPr="009A35DF">
              <w:rPr>
                <w:rFonts w:ascii="Verdana" w:eastAsia="Times New Roman" w:hAnsi="Verdana" w:cs="Arial"/>
                <w:bCs/>
                <w:lang w:eastAsia="x-none"/>
              </w:rPr>
              <w:t xml:space="preserve">por la cual se regula la organización y el funcionamiento del Sistema General de Regalías” no </w:t>
            </w:r>
            <w:r>
              <w:rPr>
                <w:rFonts w:ascii="Verdana" w:eastAsia="Times New Roman" w:hAnsi="Verdana" w:cs="Arial"/>
                <w:bCs/>
                <w:lang w:eastAsia="x-none"/>
              </w:rPr>
              <w:t xml:space="preserve">establece </w:t>
            </w:r>
            <w:r w:rsidRPr="009A35DF">
              <w:rPr>
                <w:rFonts w:ascii="Verdana" w:eastAsia="Times New Roman" w:hAnsi="Verdana" w:cs="Arial"/>
                <w:bCs/>
                <w:lang w:eastAsia="x-none"/>
              </w:rPr>
              <w:t xml:space="preserve">excepciones </w:t>
            </w:r>
            <w:r>
              <w:rPr>
                <w:rFonts w:ascii="Verdana" w:eastAsia="Times New Roman" w:hAnsi="Verdana" w:cs="Arial"/>
                <w:bCs/>
                <w:lang w:eastAsia="x-none"/>
              </w:rPr>
              <w:t xml:space="preserve">al </w:t>
            </w:r>
            <w:r>
              <w:rPr>
                <w:rFonts w:ascii="Verdana" w:eastAsia="Times New Roman" w:hAnsi="Verdana" w:cs="Arial"/>
                <w:bCs/>
                <w:lang w:val="es-ES" w:eastAsia="x-none"/>
              </w:rPr>
              <w:t xml:space="preserve">artículo 33 de la Ley 996 de 2005 </w:t>
            </w:r>
            <w:r w:rsidRPr="0057193B">
              <w:rPr>
                <w:rFonts w:ascii="Verdana" w:eastAsia="Times New Roman" w:hAnsi="Verdana" w:cs="Arial"/>
                <w:bCs/>
                <w:lang w:val="es-MX" w:eastAsia="x-none"/>
              </w:rPr>
              <w:t>que restringe la contratación directa en el periodo preelectoral a las elecciones presidenciales</w:t>
            </w:r>
            <w:r>
              <w:rPr>
                <w:rFonts w:ascii="Verdana" w:eastAsia="Times New Roman" w:hAnsi="Verdana" w:cs="Arial"/>
                <w:bCs/>
                <w:lang w:val="es-MX" w:eastAsia="x-none"/>
              </w:rPr>
              <w:t xml:space="preserve"> por la ejecución de un cierto tipo de recursos</w:t>
            </w:r>
            <w:r w:rsidRPr="0057193B">
              <w:rPr>
                <w:rFonts w:ascii="Verdana" w:eastAsia="Times New Roman" w:hAnsi="Verdana" w:cs="Arial"/>
                <w:bCs/>
                <w:lang w:val="es-MX" w:eastAsia="x-none"/>
              </w:rPr>
              <w:t xml:space="preserve">. </w:t>
            </w:r>
            <w:r>
              <w:rPr>
                <w:rFonts w:ascii="Verdana" w:eastAsia="Times New Roman" w:hAnsi="Verdana" w:cs="Arial"/>
                <w:bCs/>
                <w:lang w:val="es-MX" w:eastAsia="x-none"/>
              </w:rPr>
              <w:t xml:space="preserve">Esto, sin perjuicio de las </w:t>
            </w:r>
            <w:r w:rsidRPr="0057193B">
              <w:rPr>
                <w:rFonts w:ascii="Verdana" w:eastAsia="Times New Roman" w:hAnsi="Verdana" w:cs="Arial"/>
                <w:bCs/>
                <w:lang w:val="es-MX" w:eastAsia="x-none"/>
              </w:rPr>
              <w:t>excepciones a la prohibición establecidas en el inciso</w:t>
            </w:r>
            <w:r>
              <w:rPr>
                <w:rFonts w:ascii="Verdana" w:eastAsia="Times New Roman" w:hAnsi="Verdana" w:cs="Arial"/>
                <w:bCs/>
                <w:lang w:val="es-MX" w:eastAsia="x-none"/>
              </w:rPr>
              <w:t xml:space="preserve"> segundo del artículo 33, que cobija determinados contratos como son: </w:t>
            </w:r>
            <w:r w:rsidRPr="00333EDB">
              <w:rPr>
                <w:rFonts w:ascii="Verdana" w:eastAsia="Times New Roman" w:hAnsi="Verdana" w:cs="Arial"/>
                <w:bCs/>
                <w:lang w:val="es-MX" w:eastAsia="x-none"/>
              </w:rPr>
              <w:t xml:space="preserve">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0781A450" w14:textId="77777777" w:rsidR="00623237" w:rsidRPr="009A35DF" w:rsidRDefault="00623237" w:rsidP="003B02A7">
            <w:pPr>
              <w:spacing w:after="120" w:line="276" w:lineRule="auto"/>
              <w:ind w:firstLine="709"/>
              <w:jc w:val="both"/>
              <w:rPr>
                <w:rFonts w:ascii="Verdana" w:eastAsia="Times New Roman" w:hAnsi="Verdana" w:cs="Arial"/>
                <w:bCs/>
                <w:lang w:val="es-ES" w:eastAsia="x-none"/>
              </w:rPr>
            </w:pPr>
            <w:r>
              <w:rPr>
                <w:rFonts w:ascii="Verdana" w:eastAsia="Times New Roman" w:hAnsi="Verdana" w:cs="Arial"/>
                <w:bCs/>
                <w:lang w:val="es-MX" w:eastAsia="x-none"/>
              </w:rPr>
              <w:t xml:space="preserve">En este sentido, aplicará la restricción señalada respecto de todos los </w:t>
            </w:r>
            <w:r w:rsidRPr="003101A1">
              <w:rPr>
                <w:rFonts w:ascii="Verdana" w:eastAsia="Times New Roman" w:hAnsi="Verdana" w:cs="Arial"/>
                <w:bCs/>
                <w:i/>
                <w:iCs/>
                <w:lang w:val="es-MX" w:eastAsia="x-none"/>
              </w:rPr>
              <w:t xml:space="preserve">entes del </w:t>
            </w:r>
            <w:r>
              <w:rPr>
                <w:rFonts w:ascii="Verdana" w:eastAsia="Times New Roman" w:hAnsi="Verdana" w:cs="Arial"/>
                <w:bCs/>
                <w:i/>
                <w:iCs/>
                <w:lang w:val="es-MX" w:eastAsia="x-none"/>
              </w:rPr>
              <w:t>E</w:t>
            </w:r>
            <w:r w:rsidRPr="003101A1">
              <w:rPr>
                <w:rFonts w:ascii="Verdana" w:eastAsia="Times New Roman" w:hAnsi="Verdana" w:cs="Arial"/>
                <w:bCs/>
                <w:i/>
                <w:iCs/>
                <w:lang w:val="es-MX" w:eastAsia="x-none"/>
              </w:rPr>
              <w:t>stado,</w:t>
            </w:r>
            <w:r>
              <w:rPr>
                <w:rFonts w:ascii="Verdana" w:eastAsia="Times New Roman" w:hAnsi="Verdana" w:cs="Arial"/>
                <w:bCs/>
                <w:lang w:val="es-MX" w:eastAsia="x-none"/>
              </w:rPr>
              <w:t xml:space="preserve"> con independencia de la fuente de los recursos, por lo que e</w:t>
            </w:r>
            <w:r w:rsidRPr="00333EDB">
              <w:rPr>
                <w:rFonts w:ascii="Verdana" w:eastAsia="Times New Roman" w:hAnsi="Verdana" w:cs="Arial"/>
                <w:bCs/>
                <w:lang w:val="es-MX" w:eastAsia="x-none"/>
              </w:rPr>
              <w:t>s responsabilidad del respectivo</w:t>
            </w:r>
            <w:r>
              <w:rPr>
                <w:rFonts w:ascii="Verdana" w:eastAsia="Times New Roman" w:hAnsi="Verdana" w:cs="Arial"/>
                <w:bCs/>
                <w:lang w:val="es-MX" w:eastAsia="x-none"/>
              </w:rPr>
              <w:t xml:space="preserve"> ente</w:t>
            </w:r>
            <w:r w:rsidRPr="00333EDB">
              <w:rPr>
                <w:rFonts w:ascii="Verdana" w:eastAsia="Times New Roman" w:hAnsi="Verdana" w:cs="Arial"/>
                <w:bCs/>
                <w:lang w:val="es-MX" w:eastAsia="x-none"/>
              </w:rPr>
              <w:t xml:space="preserve"> examinar en cada caso la naturaleza de las actividades que adelanta y determinar si las mismas se enmarcan en alguna </w:t>
            </w:r>
            <w:r>
              <w:rPr>
                <w:rFonts w:ascii="Verdana" w:eastAsia="Times New Roman" w:hAnsi="Verdana" w:cs="Arial"/>
                <w:bCs/>
                <w:lang w:val="es-MX" w:eastAsia="x-none"/>
              </w:rPr>
              <w:t>de las mencionadas excepciones.</w:t>
            </w:r>
          </w:p>
          <w:p w14:paraId="13894417" w14:textId="77777777" w:rsidR="00623237" w:rsidRDefault="00623237" w:rsidP="003B02A7">
            <w:pPr>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 xml:space="preserve">Ahora bien, respecto de la prohibición establecida en el parágrafo del artículo 38 </w:t>
            </w:r>
            <w:r w:rsidRPr="00660153">
              <w:rPr>
                <w:rFonts w:ascii="Verdana" w:eastAsia="Arial" w:hAnsi="Verdana" w:cs="Arial"/>
                <w:bCs/>
                <w:lang w:val="es-ES" w:eastAsia="es-ES" w:bidi="es-ES"/>
              </w:rPr>
              <w:t>de la Ley 996 de 2005</w:t>
            </w:r>
            <w:r>
              <w:rPr>
                <w:rFonts w:ascii="Verdana" w:eastAsia="Arial" w:hAnsi="Verdana" w:cs="Arial"/>
                <w:bCs/>
                <w:lang w:val="es-ES" w:eastAsia="es-ES" w:bidi="es-ES"/>
              </w:rPr>
              <w:t xml:space="preserve">, se precisa que esta </w:t>
            </w:r>
            <w:r>
              <w:rPr>
                <w:rFonts w:ascii="Verdana" w:eastAsia="Arial" w:hAnsi="Verdana" w:cs="Arial"/>
                <w:bCs/>
                <w:lang w:val="es-MX" w:eastAsia="es-ES" w:bidi="es-ES"/>
              </w:rPr>
              <w:t xml:space="preserve">restringe </w:t>
            </w:r>
            <w:r w:rsidRPr="0064722F">
              <w:rPr>
                <w:rFonts w:ascii="Verdana" w:eastAsia="Arial" w:hAnsi="Verdana" w:cs="Arial"/>
                <w:bCs/>
                <w:lang w:val="es-MX" w:eastAsia="es-ES" w:bidi="es-ES"/>
              </w:rPr>
              <w:t xml:space="preserve">a los Alcaldes, Gobernadores, Secretarios, Gerentes y Directores de las entidades del orden municipal, departamental o distrital celebrar </w:t>
            </w:r>
            <w:r w:rsidRPr="0064722F">
              <w:rPr>
                <w:rFonts w:ascii="Verdana" w:eastAsia="Arial" w:hAnsi="Verdana" w:cs="Arial"/>
                <w:bCs/>
                <w:i/>
                <w:iCs/>
                <w:lang w:val="es-MX" w:eastAsia="es-ES" w:bidi="es-ES"/>
              </w:rPr>
              <w:t>convenios interadministrativos</w:t>
            </w:r>
            <w:r w:rsidRPr="0064722F">
              <w:rPr>
                <w:rFonts w:ascii="Verdana" w:eastAsia="Arial" w:hAnsi="Verdana" w:cs="Arial"/>
                <w:bCs/>
                <w:lang w:val="es-MX" w:eastAsia="es-ES" w:bidi="es-ES"/>
              </w:rPr>
              <w:t xml:space="preserve"> para la ejecución de recursos públicos</w:t>
            </w:r>
            <w:r>
              <w:rPr>
                <w:rFonts w:ascii="Verdana" w:eastAsia="Arial" w:hAnsi="Verdana" w:cs="Arial"/>
                <w:bCs/>
                <w:lang w:val="es-MX" w:eastAsia="es-ES" w:bidi="es-ES"/>
              </w:rPr>
              <w:t xml:space="preserve"> en las elecciones</w:t>
            </w:r>
            <w:r w:rsidRPr="0064722F">
              <w:rPr>
                <w:rFonts w:ascii="Verdana" w:eastAsia="Arial" w:hAnsi="Verdana" w:cs="Arial"/>
                <w:bCs/>
                <w:lang w:val="es-MX" w:eastAsia="es-ES" w:bidi="es-ES"/>
              </w:rPr>
              <w:t>.</w:t>
            </w:r>
            <w:r>
              <w:rPr>
                <w:rFonts w:ascii="Verdana" w:eastAsia="Arial" w:hAnsi="Verdana" w:cs="Arial"/>
                <w:bCs/>
                <w:lang w:val="es-MX" w:eastAsia="es-ES" w:bidi="es-ES"/>
              </w:rPr>
              <w:t xml:space="preserve"> En esta línea</w:t>
            </w:r>
            <w:r w:rsidRPr="0064722F">
              <w:rPr>
                <w:rFonts w:ascii="Verdana" w:eastAsia="Arial" w:hAnsi="Verdana" w:cs="Arial"/>
                <w:bCs/>
                <w:lang w:val="es-MX" w:eastAsia="es-ES" w:bidi="es-ES"/>
              </w:rPr>
              <w:t xml:space="preserve">, si una o ambas partes de la relación contractual es una entidad de aquellas descritas en el parágrafo </w:t>
            </w:r>
            <w:r w:rsidRPr="0064722F">
              <w:rPr>
                <w:rFonts w:ascii="Verdana" w:eastAsia="Arial" w:hAnsi="Verdana" w:cs="Arial"/>
                <w:bCs/>
                <w:i/>
                <w:lang w:val="es-MX" w:eastAsia="es-ES" w:bidi="es-ES"/>
              </w:rPr>
              <w:t>ibidem</w:t>
            </w:r>
            <w:r w:rsidRPr="0064722F">
              <w:rPr>
                <w:rFonts w:ascii="Verdana" w:eastAsia="Arial" w:hAnsi="Verdana" w:cs="Arial"/>
                <w:bCs/>
                <w:lang w:val="es-MX" w:eastAsia="es-ES" w:bidi="es-ES"/>
              </w:rPr>
              <w:t xml:space="preserve">, no podrá celebrar tales </w:t>
            </w:r>
            <w:r w:rsidRPr="0064722F">
              <w:rPr>
                <w:rFonts w:ascii="Verdana" w:eastAsia="Arial" w:hAnsi="Verdana" w:cs="Arial"/>
                <w:bCs/>
                <w:i/>
                <w:iCs/>
                <w:lang w:val="es-MX" w:eastAsia="es-ES" w:bidi="es-ES"/>
              </w:rPr>
              <w:t>convenios</w:t>
            </w:r>
            <w:r>
              <w:rPr>
                <w:rFonts w:ascii="Verdana" w:eastAsia="Arial" w:hAnsi="Verdana" w:cs="Arial"/>
                <w:bCs/>
                <w:i/>
                <w:iCs/>
                <w:lang w:val="es-MX" w:eastAsia="es-ES" w:bidi="es-ES"/>
              </w:rPr>
              <w:t xml:space="preserve"> para la ejecución de recursos del Sistema General de Regalías</w:t>
            </w:r>
            <w:r w:rsidRPr="0064722F">
              <w:rPr>
                <w:rFonts w:ascii="Verdana" w:eastAsia="Arial" w:hAnsi="Verdana" w:cs="Arial"/>
                <w:bCs/>
                <w:lang w:val="es-MX" w:eastAsia="es-ES" w:bidi="es-ES"/>
              </w:rPr>
              <w:t xml:space="preserve"> durante la aplicación de la Ley de Garantías Electorales, toda vez que la citada disposición se refiere a dicha tipología contractual sin que el legislador hubiere c</w:t>
            </w:r>
            <w:r>
              <w:rPr>
                <w:rFonts w:ascii="Verdana" w:eastAsia="Arial" w:hAnsi="Verdana" w:cs="Arial"/>
                <w:bCs/>
                <w:lang w:val="es-MX" w:eastAsia="es-ES" w:bidi="es-ES"/>
              </w:rPr>
              <w:t>ontemplado excepciones a esta</w:t>
            </w:r>
            <w:r>
              <w:rPr>
                <w:rFonts w:ascii="Verdana" w:eastAsia="Arial" w:hAnsi="Verdana" w:cs="Arial"/>
                <w:bCs/>
                <w:lang w:eastAsia="es-ES" w:bidi="es-ES"/>
              </w:rPr>
              <w:t xml:space="preserve">. </w:t>
            </w:r>
          </w:p>
          <w:p w14:paraId="1405F495" w14:textId="77777777" w:rsidR="00623237" w:rsidRPr="00F62736" w:rsidRDefault="00623237" w:rsidP="003B02A7">
            <w:pPr>
              <w:spacing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w:t>
            </w:r>
            <w:r w:rsidRPr="008D191C">
              <w:rPr>
                <w:rFonts w:ascii="Verdana" w:eastAsia="Calibri" w:hAnsi="Verdana" w:cs="Arial"/>
                <w:bCs/>
                <w:color w:val="000000" w:themeColor="text1"/>
              </w:rPr>
              <w:lastRenderedPageBreak/>
              <w:t xml:space="preserve">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575B8114" w14:textId="77777777" w:rsidR="00623237" w:rsidRDefault="00623237" w:rsidP="00623237">
      <w:pPr>
        <w:spacing w:after="0" w:line="276" w:lineRule="auto"/>
        <w:jc w:val="both"/>
        <w:rPr>
          <w:rFonts w:ascii="Verdana" w:eastAsia="Calibri" w:hAnsi="Verdana" w:cs="Arial"/>
          <w:bCs/>
          <w:color w:val="000000" w:themeColor="text1"/>
        </w:rPr>
      </w:pPr>
    </w:p>
    <w:p w14:paraId="6C73BD25" w14:textId="77777777" w:rsidR="00623237" w:rsidRPr="00A12CB6" w:rsidRDefault="00623237" w:rsidP="00623237">
      <w:pPr>
        <w:spacing w:after="0" w:line="276" w:lineRule="auto"/>
        <w:jc w:val="both"/>
        <w:rPr>
          <w:rFonts w:ascii="Verdana" w:eastAsia="Calibri" w:hAnsi="Verdana" w:cs="Arial"/>
          <w:bCs/>
          <w:color w:val="000000" w:themeColor="text1"/>
        </w:rPr>
      </w:pPr>
    </w:p>
    <w:p w14:paraId="2F2C2F53" w14:textId="77777777" w:rsidR="00623237" w:rsidRPr="0093558D" w:rsidRDefault="00623237" w:rsidP="00623237">
      <w:pPr>
        <w:numPr>
          <w:ilvl w:val="0"/>
          <w:numId w:val="19"/>
        </w:numPr>
        <w:tabs>
          <w:tab w:val="left" w:pos="2268"/>
        </w:tabs>
        <w:spacing w:after="0" w:line="27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4D2058CB" w14:textId="77777777" w:rsidR="00623237" w:rsidRPr="00A12CB6" w:rsidRDefault="00623237" w:rsidP="00623237">
      <w:pPr>
        <w:spacing w:after="0" w:line="276" w:lineRule="auto"/>
        <w:rPr>
          <w:rFonts w:ascii="Verdana" w:eastAsia="Calibri" w:hAnsi="Verdana" w:cs="Times New Roman"/>
          <w:b/>
          <w:bCs/>
          <w:lang w:val="es-ES"/>
        </w:rPr>
      </w:pPr>
    </w:p>
    <w:p w14:paraId="6CFB552F" w14:textId="77777777" w:rsidR="00623237" w:rsidRPr="00A12CB6" w:rsidRDefault="00623237" w:rsidP="00623237">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00FFEC6E" w14:textId="77777777" w:rsidR="00623237" w:rsidRPr="00E2397D" w:rsidRDefault="00623237" w:rsidP="00623237">
      <w:pPr>
        <w:spacing w:after="0" w:line="276" w:lineRule="auto"/>
        <w:jc w:val="both"/>
        <w:rPr>
          <w:rFonts w:ascii="Verdana" w:eastAsia="Calibri" w:hAnsi="Verdana" w:cs="Arial"/>
          <w:color w:val="000000" w:themeColor="text1"/>
        </w:rPr>
      </w:pPr>
    </w:p>
    <w:p w14:paraId="751DF147" w14:textId="77777777" w:rsidR="00623237" w:rsidRPr="002D6B43" w:rsidRDefault="00623237" w:rsidP="00623237">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18BE2F47" w14:textId="77777777" w:rsidR="00623237" w:rsidRPr="006B14B5" w:rsidRDefault="00623237" w:rsidP="00623237">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32866D2" w14:textId="77777777" w:rsidR="00623237" w:rsidRPr="00E2397D" w:rsidRDefault="00623237" w:rsidP="00623237">
      <w:pPr>
        <w:spacing w:after="0" w:line="276" w:lineRule="auto"/>
        <w:ind w:right="709"/>
        <w:contextualSpacing/>
        <w:jc w:val="both"/>
        <w:rPr>
          <w:rFonts w:ascii="Verdana" w:eastAsia="Times New Roman" w:hAnsi="Verdana" w:cs="Arial"/>
          <w:lang w:val="es-ES" w:eastAsia="es-CO"/>
        </w:rPr>
      </w:pPr>
    </w:p>
    <w:p w14:paraId="4FFD70B0" w14:textId="77777777" w:rsidR="00623237" w:rsidRPr="00E2397D" w:rsidRDefault="00623237" w:rsidP="0062323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lastRenderedPageBreak/>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8D8E714" w14:textId="77777777" w:rsidR="00623237" w:rsidRPr="00E2397D" w:rsidRDefault="00623237" w:rsidP="0062323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4425CD9F" w14:textId="77777777" w:rsidR="00623237" w:rsidRPr="00E2397D" w:rsidRDefault="00623237" w:rsidP="0062323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794E210E" w14:textId="77777777" w:rsidR="00623237" w:rsidRPr="00E2397D" w:rsidRDefault="00623237" w:rsidP="00623237">
      <w:pPr>
        <w:spacing w:after="0" w:line="276" w:lineRule="auto"/>
        <w:ind w:firstLine="709"/>
        <w:jc w:val="both"/>
        <w:rPr>
          <w:rFonts w:ascii="Verdana" w:eastAsia="Times New Roman" w:hAnsi="Verdana" w:cs="Arial"/>
          <w:lang w:val="es-MX" w:eastAsia="es-CO"/>
        </w:rPr>
      </w:pPr>
      <w:bookmarkStart w:id="2" w:name="_Hlk78818186"/>
    </w:p>
    <w:p w14:paraId="4556FD30" w14:textId="77777777" w:rsidR="00623237" w:rsidRPr="00E2397D" w:rsidRDefault="00623237" w:rsidP="00623237">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53BF1E1" w14:textId="77777777" w:rsidR="00623237" w:rsidRPr="00886C02" w:rsidRDefault="00623237" w:rsidP="00623237">
      <w:pPr>
        <w:spacing w:after="0" w:line="276" w:lineRule="auto"/>
        <w:ind w:firstLine="709"/>
        <w:jc w:val="both"/>
        <w:rPr>
          <w:rFonts w:ascii="Verdana" w:eastAsia="Times New Roman" w:hAnsi="Verdana" w:cs="Arial"/>
          <w:lang w:val="es-MX" w:eastAsia="es-CO"/>
        </w:rPr>
      </w:pPr>
    </w:p>
    <w:p w14:paraId="57BB1D9A" w14:textId="77777777" w:rsidR="00623237" w:rsidRPr="00E2397D" w:rsidRDefault="00623237" w:rsidP="0062323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06B871E" w14:textId="77777777" w:rsidR="00623237" w:rsidRPr="00E2397D" w:rsidRDefault="00623237" w:rsidP="00623237">
      <w:pPr>
        <w:spacing w:after="0" w:line="240" w:lineRule="auto"/>
        <w:ind w:right="709"/>
        <w:contextualSpacing/>
        <w:jc w:val="both"/>
        <w:rPr>
          <w:rFonts w:ascii="Verdana" w:eastAsia="Times New Roman" w:hAnsi="Verdana" w:cs="Arial"/>
          <w:lang w:val="es-MX" w:eastAsia="es-CO"/>
        </w:rPr>
      </w:pPr>
    </w:p>
    <w:p w14:paraId="782B727F" w14:textId="77777777" w:rsidR="00623237" w:rsidRPr="00E2397D" w:rsidRDefault="00623237" w:rsidP="0062323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E2397D">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35D461DB" w14:textId="77777777" w:rsidR="00623237" w:rsidRPr="00E2397D" w:rsidRDefault="00623237" w:rsidP="00623237">
      <w:pPr>
        <w:spacing w:after="0" w:line="276" w:lineRule="auto"/>
        <w:jc w:val="both"/>
        <w:rPr>
          <w:rFonts w:ascii="Verdana" w:eastAsia="Calibri" w:hAnsi="Verdana" w:cs="Arial"/>
          <w:bCs/>
          <w:lang w:val="es-ES_tradnl"/>
        </w:rPr>
      </w:pPr>
    </w:p>
    <w:p w14:paraId="2FBAE1CE" w14:textId="77777777" w:rsidR="00623237" w:rsidRDefault="00623237" w:rsidP="00623237">
      <w:pPr>
        <w:spacing w:after="12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F756E1C" w14:textId="77777777" w:rsidR="00623237" w:rsidRPr="00E2397D" w:rsidRDefault="00623237" w:rsidP="00623237">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470DEC95" w14:textId="77777777" w:rsidR="00623237" w:rsidRPr="00E2397D" w:rsidRDefault="00623237" w:rsidP="00623237">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7C39E3BF" w14:textId="77777777" w:rsidR="00623237" w:rsidRDefault="00623237" w:rsidP="00623237">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w:t>
      </w:r>
      <w:r w:rsidRPr="00E2397D">
        <w:rPr>
          <w:rFonts w:ascii="Verdana" w:eastAsia="Calibri" w:hAnsi="Verdana" w:cs="Arial"/>
        </w:rPr>
        <w:lastRenderedPageBreak/>
        <w:t xml:space="preserve">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3E30B80" w14:textId="77777777" w:rsidR="00623237" w:rsidRDefault="00623237" w:rsidP="00623237">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483D03BE" w14:textId="77777777" w:rsidR="00623237" w:rsidRDefault="00623237" w:rsidP="0062323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ibídem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7C56C7C" w14:textId="77777777" w:rsidR="00623237" w:rsidRDefault="00623237" w:rsidP="0062323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Pr>
          <w:rFonts w:ascii="Verdana" w:eastAsia="Times New Roman" w:hAnsi="Verdana" w:cs="Arial"/>
          <w:bCs/>
          <w:lang w:val="es-ES" w:eastAsia="es-CO"/>
        </w:rPr>
        <w:lastRenderedPageBreak/>
        <w:t xml:space="preserve">registro presupuestal, o en algunos casos, la firma del acta de inicio, si así se determinó. </w:t>
      </w:r>
    </w:p>
    <w:p w14:paraId="1BDFB06F" w14:textId="77777777" w:rsidR="00623237" w:rsidRPr="00894384" w:rsidRDefault="00623237" w:rsidP="0062323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6F804E90" w14:textId="77777777" w:rsidR="00623237" w:rsidRPr="00E2397D" w:rsidRDefault="00623237" w:rsidP="0062323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2852EC04" w14:textId="77777777" w:rsidR="00623237" w:rsidRPr="00E2397D" w:rsidRDefault="00623237" w:rsidP="0062323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035191E" w14:textId="77777777" w:rsidR="00623237" w:rsidRPr="00E2397D" w:rsidRDefault="00623237" w:rsidP="00623237">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60114832" w14:textId="77777777" w:rsidR="00623237" w:rsidRPr="00E2397D" w:rsidRDefault="00623237" w:rsidP="00623237">
      <w:pPr>
        <w:widowControl w:val="0"/>
        <w:autoSpaceDE w:val="0"/>
        <w:autoSpaceDN w:val="0"/>
        <w:spacing w:after="0" w:line="276" w:lineRule="auto"/>
        <w:contextualSpacing/>
        <w:rPr>
          <w:rFonts w:ascii="Verdana" w:eastAsia="Arial" w:hAnsi="Verdana" w:cs="Arial"/>
          <w:lang w:val="es-ES" w:eastAsia="es-ES" w:bidi="es-ES"/>
        </w:rPr>
      </w:pPr>
    </w:p>
    <w:p w14:paraId="120B9E21" w14:textId="77777777" w:rsidR="00623237" w:rsidRPr="00E2397D" w:rsidRDefault="00623237" w:rsidP="00623237">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w:t>
      </w:r>
      <w:r w:rsidRPr="00E2397D">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62BE040B" w14:textId="77777777" w:rsidR="00623237" w:rsidRPr="00E2397D" w:rsidRDefault="00623237" w:rsidP="00623237">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2EAE12B5" w14:textId="77777777" w:rsidR="00623237" w:rsidRDefault="00623237" w:rsidP="00623237">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bookmarkStart w:id="11" w:name="_Hlk78820161"/>
    </w:p>
    <w:p w14:paraId="67107521" w14:textId="77777777" w:rsidR="00623237" w:rsidRPr="000322B7" w:rsidRDefault="00623237" w:rsidP="00623237">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7D6A68D9" w14:textId="77777777" w:rsidR="00623237" w:rsidRPr="0057193B" w:rsidRDefault="00623237" w:rsidP="00623237">
      <w:pPr>
        <w:spacing w:after="0" w:line="240" w:lineRule="auto"/>
        <w:ind w:left="708" w:right="709"/>
        <w:jc w:val="both"/>
        <w:rPr>
          <w:rFonts w:ascii="Verdana" w:eastAsia="Calibri" w:hAnsi="Verdana" w:cs="Arial"/>
          <w:sz w:val="21"/>
          <w:szCs w:val="21"/>
          <w:lang w:val="es-MX"/>
        </w:rPr>
      </w:pPr>
    </w:p>
    <w:p w14:paraId="76454251" w14:textId="77777777" w:rsidR="00623237" w:rsidRPr="0057193B" w:rsidRDefault="00623237" w:rsidP="00623237">
      <w:pPr>
        <w:spacing w:after="120" w:line="240" w:lineRule="auto"/>
        <w:ind w:left="709" w:right="709"/>
        <w:jc w:val="both"/>
        <w:rPr>
          <w:rFonts w:ascii="Verdana" w:eastAsia="Calibri" w:hAnsi="Verdana" w:cs="Arial"/>
          <w:sz w:val="21"/>
          <w:szCs w:val="21"/>
          <w:lang w:val="es-MX"/>
        </w:rPr>
      </w:pPr>
      <w:r w:rsidRPr="0057193B">
        <w:rPr>
          <w:rFonts w:ascii="Verdana" w:eastAsia="Calibri" w:hAnsi="Verdana" w:cs="Arial"/>
          <w:sz w:val="21"/>
          <w:szCs w:val="21"/>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w:t>
      </w:r>
      <w:r w:rsidRPr="0057193B">
        <w:rPr>
          <w:rFonts w:ascii="Verdana" w:eastAsia="Calibri" w:hAnsi="Verdana" w:cs="Arial"/>
          <w:sz w:val="21"/>
          <w:szCs w:val="21"/>
          <w:lang w:val="es-MX"/>
        </w:rPr>
        <w:lastRenderedPageBreak/>
        <w:t>únicamente en los casos en que expresa y taxativamente señale la ley (numeral 4, artículo 2, ley 1150 de 2007), y cumpliendo siempre los principios que rigen la contratación pública</w:t>
      </w:r>
      <w:r w:rsidRPr="0057193B">
        <w:rPr>
          <w:rFonts w:ascii="Verdana" w:eastAsia="Times New Roman" w:hAnsi="Verdana" w:cs="Arial"/>
          <w:vertAlign w:val="superscript"/>
          <w:lang w:eastAsia="es-CO"/>
        </w:rPr>
        <w:footnoteReference w:id="12"/>
      </w:r>
      <w:r w:rsidRPr="0057193B">
        <w:rPr>
          <w:rFonts w:ascii="Verdana" w:eastAsia="Calibri" w:hAnsi="Verdana" w:cs="Arial"/>
          <w:sz w:val="21"/>
          <w:szCs w:val="21"/>
          <w:lang w:val="es-MX"/>
        </w:rPr>
        <w:t>.</w:t>
      </w:r>
    </w:p>
    <w:p w14:paraId="5A0E166F" w14:textId="77777777" w:rsidR="00623237" w:rsidRPr="0057193B" w:rsidRDefault="00623237" w:rsidP="00623237">
      <w:pPr>
        <w:spacing w:after="0" w:line="240" w:lineRule="auto"/>
        <w:ind w:left="708" w:right="709"/>
        <w:jc w:val="both"/>
        <w:rPr>
          <w:rFonts w:ascii="Verdana" w:eastAsia="Calibri" w:hAnsi="Verdana" w:cs="Arial"/>
          <w:sz w:val="21"/>
          <w:szCs w:val="21"/>
          <w:lang w:val="es-MX"/>
        </w:rPr>
      </w:pPr>
      <w:r w:rsidRPr="0057193B">
        <w:rPr>
          <w:rFonts w:ascii="Verdana" w:eastAsia="Calibri" w:hAnsi="Verdana" w:cs="Arial"/>
          <w:sz w:val="21"/>
          <w:szCs w:val="21"/>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7193B">
        <w:rPr>
          <w:rFonts w:ascii="Verdana" w:eastAsia="Times New Roman" w:hAnsi="Verdana" w:cs="Arial"/>
          <w:sz w:val="21"/>
          <w:szCs w:val="21"/>
          <w:vertAlign w:val="superscript"/>
          <w:lang w:val="es-MX"/>
        </w:rPr>
        <w:footnoteReference w:id="13"/>
      </w:r>
      <w:r w:rsidRPr="0057193B">
        <w:rPr>
          <w:rFonts w:ascii="Verdana" w:eastAsia="Times New Roman" w:hAnsi="Verdana" w:cs="Arial"/>
          <w:sz w:val="21"/>
          <w:szCs w:val="21"/>
          <w:vertAlign w:val="superscript"/>
          <w:lang w:val="es-MX"/>
        </w:rPr>
        <w:t>.</w:t>
      </w:r>
      <w:r w:rsidRPr="0057193B">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7193B">
        <w:rPr>
          <w:rFonts w:ascii="Verdana" w:eastAsia="Times New Roman" w:hAnsi="Verdana" w:cs="Arial"/>
          <w:vertAlign w:val="superscript"/>
          <w:lang w:eastAsia="es-CO"/>
        </w:rPr>
        <w:footnoteReference w:id="14"/>
      </w:r>
      <w:r w:rsidRPr="0057193B">
        <w:rPr>
          <w:rFonts w:ascii="Verdana" w:eastAsia="Calibri" w:hAnsi="Verdana" w:cs="Arial"/>
          <w:sz w:val="21"/>
          <w:szCs w:val="21"/>
          <w:lang w:val="es-MX"/>
        </w:rPr>
        <w:t xml:space="preserve"> .</w:t>
      </w:r>
    </w:p>
    <w:p w14:paraId="697F87A6" w14:textId="77777777" w:rsidR="00623237" w:rsidRPr="0057193B" w:rsidRDefault="00623237" w:rsidP="00623237">
      <w:pPr>
        <w:shd w:val="clear" w:color="auto" w:fill="FFFFFF"/>
        <w:spacing w:after="0" w:line="276" w:lineRule="auto"/>
        <w:ind w:firstLine="709"/>
        <w:jc w:val="both"/>
        <w:rPr>
          <w:rFonts w:ascii="Verdana" w:eastAsia="Times New Roman" w:hAnsi="Verdana" w:cs="Arial"/>
          <w:lang w:eastAsia="x-none"/>
        </w:rPr>
      </w:pPr>
    </w:p>
    <w:p w14:paraId="5C83D7A6" w14:textId="77777777" w:rsidR="00623237" w:rsidRPr="0057193B" w:rsidRDefault="00623237" w:rsidP="00623237">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8F4EE2B" w14:textId="77777777" w:rsidR="00623237" w:rsidRPr="0057193B" w:rsidRDefault="00623237" w:rsidP="00623237">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w:t>
      </w:r>
      <w:r w:rsidRPr="0057193B">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7761D2EA" w14:textId="77777777" w:rsidR="00623237" w:rsidRPr="0057193B" w:rsidRDefault="00623237" w:rsidP="006232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7EE55F67" w14:textId="77777777" w:rsidR="00623237" w:rsidRPr="0057193B" w:rsidRDefault="00623237" w:rsidP="006232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4089F11F" w14:textId="77777777" w:rsidR="00623237" w:rsidRPr="0057193B" w:rsidRDefault="00623237" w:rsidP="00623237">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06F41219" w14:textId="77777777" w:rsidR="00623237" w:rsidRPr="0057193B" w:rsidRDefault="00623237" w:rsidP="00623237">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w:t>
      </w:r>
      <w:r w:rsidRPr="0057193B">
        <w:rPr>
          <w:rFonts w:ascii="Verdana" w:eastAsia="Times New Roman" w:hAnsi="Verdana" w:cs="Arial"/>
          <w:lang w:eastAsia="x-none"/>
        </w:rPr>
        <w:lastRenderedPageBreak/>
        <w:t>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C6708C5" w14:textId="77777777" w:rsidR="00623237" w:rsidRPr="00447D82" w:rsidRDefault="00623237" w:rsidP="006232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77C8568A" w14:textId="77777777" w:rsidR="00623237" w:rsidRPr="0057193B" w:rsidRDefault="00623237" w:rsidP="006232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BACD854" w14:textId="77777777" w:rsidR="00623237" w:rsidRPr="0057193B" w:rsidRDefault="00623237" w:rsidP="0062323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 xml:space="preserve">si bien la limitación garantiza la igualdad de condiciones, también es necesario que tal limitación que pretende la igualdad no termine yendo en detrimento de intereses públicos, cuya garantía está en cabeza del ejecutivo, como son los inmersos en </w:t>
      </w:r>
      <w:r w:rsidRPr="0057193B">
        <w:rPr>
          <w:rFonts w:ascii="Verdana" w:eastAsia="Times New Roman" w:hAnsi="Verdana" w:cs="Arial"/>
          <w:bCs/>
          <w:lang w:val="es-MX" w:eastAsia="x-none"/>
        </w:rPr>
        <w:lastRenderedPageBreak/>
        <w:t>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0F3F372" w14:textId="77777777" w:rsidR="00623237" w:rsidRPr="0057193B" w:rsidRDefault="00623237" w:rsidP="00623237">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9CF2996" w14:textId="77777777" w:rsidR="00623237" w:rsidRPr="0057193B" w:rsidRDefault="00623237" w:rsidP="00623237">
      <w:pPr>
        <w:spacing w:after="0" w:line="276" w:lineRule="auto"/>
        <w:jc w:val="both"/>
        <w:rPr>
          <w:rFonts w:ascii="Verdana" w:eastAsia="Times New Roman" w:hAnsi="Verdana" w:cs="Arial"/>
          <w:bCs/>
          <w:lang w:val="es-MX" w:eastAsia="x-none"/>
        </w:rPr>
      </w:pPr>
    </w:p>
    <w:p w14:paraId="1B7B6325" w14:textId="77777777" w:rsidR="00623237" w:rsidRPr="0057193B" w:rsidRDefault="00623237" w:rsidP="00623237">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2"/>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67973B76" w14:textId="77777777" w:rsidR="00623237" w:rsidRPr="0057193B" w:rsidRDefault="00623237" w:rsidP="00623237">
      <w:pPr>
        <w:spacing w:after="0" w:line="276" w:lineRule="auto"/>
        <w:ind w:firstLine="708"/>
        <w:jc w:val="both"/>
        <w:rPr>
          <w:rFonts w:ascii="Verdana" w:eastAsia="Times New Roman" w:hAnsi="Verdana" w:cs="Arial"/>
          <w:bCs/>
          <w:lang w:val="es-MX" w:eastAsia="es-CO"/>
        </w:rPr>
      </w:pPr>
    </w:p>
    <w:p w14:paraId="2FD10079" w14:textId="77777777" w:rsidR="00623237" w:rsidRPr="0057193B" w:rsidRDefault="00623237" w:rsidP="00623237">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w:t>
      </w:r>
      <w:r w:rsidRPr="0057193B">
        <w:rPr>
          <w:rFonts w:ascii="Verdana" w:eastAsia="Times New Roman" w:hAnsi="Verdana" w:cs="Arial"/>
          <w:bCs/>
          <w:lang w:val="es-MX" w:eastAsia="x-none"/>
        </w:rPr>
        <w:lastRenderedPageBreak/>
        <w:t xml:space="preserve">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00BFD4D" w14:textId="77777777" w:rsidR="00623237" w:rsidRPr="0057193B" w:rsidRDefault="00623237" w:rsidP="00623237">
      <w:pPr>
        <w:spacing w:after="0" w:line="276" w:lineRule="auto"/>
        <w:jc w:val="both"/>
        <w:rPr>
          <w:rFonts w:ascii="Verdana" w:eastAsia="Calibri" w:hAnsi="Verdana" w:cs="Arial"/>
          <w:lang w:val="es-MX"/>
        </w:rPr>
      </w:pPr>
    </w:p>
    <w:p w14:paraId="67011031" w14:textId="77777777" w:rsidR="00623237" w:rsidRPr="001924B7" w:rsidRDefault="00623237" w:rsidP="00623237">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ED721DD" w14:textId="77777777" w:rsidR="00623237" w:rsidRPr="001924B7" w:rsidRDefault="00623237" w:rsidP="00623237">
      <w:pPr>
        <w:spacing w:after="0" w:line="240" w:lineRule="auto"/>
        <w:ind w:left="708" w:right="709"/>
        <w:jc w:val="both"/>
        <w:rPr>
          <w:rFonts w:ascii="Verdana" w:eastAsia="Calibri" w:hAnsi="Verdana" w:cs="Arial"/>
          <w:sz w:val="20"/>
          <w:szCs w:val="20"/>
          <w:lang w:val="es-MX"/>
        </w:rPr>
      </w:pPr>
    </w:p>
    <w:p w14:paraId="0E3AD848" w14:textId="77777777" w:rsidR="00623237" w:rsidRPr="001924B7" w:rsidRDefault="00623237" w:rsidP="00623237">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0287F017" w14:textId="77777777" w:rsidR="00623237" w:rsidRPr="0057193B" w:rsidRDefault="00623237" w:rsidP="00623237">
      <w:pPr>
        <w:spacing w:after="0" w:line="276" w:lineRule="auto"/>
        <w:jc w:val="both"/>
        <w:rPr>
          <w:rFonts w:ascii="Verdana" w:eastAsia="Calibri" w:hAnsi="Verdana" w:cs="Arial"/>
          <w:lang w:val="es-MX"/>
        </w:rPr>
      </w:pPr>
    </w:p>
    <w:p w14:paraId="34126318" w14:textId="77777777" w:rsidR="00623237" w:rsidRPr="0057193B" w:rsidRDefault="00623237" w:rsidP="00623237">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 xml:space="preserve">establecimientos de crédito, las sociedades de servicios </w:t>
      </w:r>
      <w:r w:rsidRPr="0057193B">
        <w:rPr>
          <w:rFonts w:ascii="Verdana" w:eastAsia="Times New Roman" w:hAnsi="Verdana" w:cs="Arial"/>
          <w:bCs/>
          <w:lang w:val="es-MX" w:eastAsia="x-none"/>
        </w:rPr>
        <w:lastRenderedPageBreak/>
        <w:t>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4070672A" w14:textId="77777777" w:rsidR="00623237" w:rsidRDefault="00623237" w:rsidP="0062323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3327FC3" w14:textId="77777777" w:rsidR="00623237" w:rsidRPr="000322B7" w:rsidRDefault="00623237" w:rsidP="00623237">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Como lo señala la Circular Externa No. 006 de 2025 en el literal i) del numeral 1, </w:t>
      </w:r>
      <w:r w:rsidRPr="00DF5C8D">
        <w:rPr>
          <w:rFonts w:ascii="Verdana" w:eastAsia="Times New Roman" w:hAnsi="Verdana" w:cs="Arial"/>
          <w:bCs/>
          <w:lang w:eastAsia="x-none"/>
        </w:rPr>
        <w:t>algunos ejemplos de los sujetos que tienen prohibido contratar directamente durante el periodo señalado en el artículo 33 son: las Entidades Estatales establecidas en el artículo 2 de la Ley 80 de 1993; las entidades descentralizadas indirectas, es decir, las que surgen por la voluntad</w:t>
      </w:r>
      <w:r>
        <w:rPr>
          <w:rFonts w:ascii="Verdana" w:eastAsia="Times New Roman" w:hAnsi="Verdana" w:cs="Arial"/>
          <w:bCs/>
          <w:lang w:eastAsia="x-none"/>
        </w:rPr>
        <w:t xml:space="preserve"> </w:t>
      </w:r>
      <w:r w:rsidRPr="00D2053D">
        <w:rPr>
          <w:rFonts w:ascii="Verdana" w:eastAsia="Times New Roman" w:hAnsi="Verdana" w:cs="Arial"/>
          <w:bCs/>
          <w:lang w:eastAsia="x-none"/>
        </w:rPr>
        <w:t>asociativa de los entes públicos entre sí o con la intervención de particulares, como las derivadas de los artículos 95 y 96 de la Ley 489 de 1998; las empresas industriales y comerciales del Estado y las Sociedades de Economía Mixta, salvo cuando la celebración de un convenio interadministrativo sea ordenada, para ambas partes, por el Legislador; las Empresas de Servicios Públicos oficiales y mixtas; las Empresas Sociales del Estado; los entes universitarios autónomos, entre otros. En términos generales, la restricción cobija a cualquier ente público que pueda, a través de la contratación directa, romper el equilibrio entre los partidos y los candidatos en las elecciones presidenciales</w:t>
      </w:r>
      <w:r>
        <w:rPr>
          <w:rFonts w:ascii="Verdana" w:eastAsia="Times New Roman" w:hAnsi="Verdana" w:cs="Arial"/>
          <w:bCs/>
          <w:lang w:eastAsia="x-none"/>
        </w:rPr>
        <w:t>.</w:t>
      </w:r>
    </w:p>
    <w:p w14:paraId="335C3CF3" w14:textId="77777777" w:rsidR="00623237" w:rsidRDefault="00623237" w:rsidP="00623237">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lastRenderedPageBreak/>
        <w:t xml:space="preserve">Teniendo en cuenta esta precisión, es necesario revisar si lo dispuesto en el Sistema General de Regalías le aplica la Ley 996 de 2005 –Ley de Garantías Electorales-. Para ello, es importante señalar que la Ley 2056 de 2020, </w:t>
      </w:r>
      <w:r w:rsidRPr="003B7D6C">
        <w:rPr>
          <w:rFonts w:ascii="Verdana" w:eastAsia="Times New Roman" w:hAnsi="Verdana" w:cs="Arial"/>
          <w:bCs/>
          <w:lang w:val="es-MX" w:eastAsia="x-none"/>
        </w:rPr>
        <w:t>“</w:t>
      </w:r>
      <w:r w:rsidRPr="003B7D6C">
        <w:rPr>
          <w:rFonts w:ascii="Verdana" w:eastAsia="Times New Roman" w:hAnsi="Verdana" w:cs="Arial"/>
          <w:bCs/>
          <w:lang w:eastAsia="x-none"/>
        </w:rPr>
        <w:t xml:space="preserve">por la cual se regula la organización y el funcionamiento del Sistema General de Regalías”, </w:t>
      </w:r>
      <w:r>
        <w:rPr>
          <w:rFonts w:ascii="Verdana" w:eastAsia="Times New Roman" w:hAnsi="Verdana" w:cs="Arial"/>
          <w:bCs/>
          <w:lang w:eastAsia="x-none"/>
        </w:rPr>
        <w:t xml:space="preserve">tiene por objeto: “[…] </w:t>
      </w:r>
      <w:r w:rsidRPr="003B7D6C">
        <w:rPr>
          <w:rFonts w:ascii="Verdana" w:eastAsia="Times New Roman" w:hAnsi="Verdana" w:cs="Arial"/>
          <w:bCs/>
          <w:lang w:eastAsia="x-none"/>
        </w:rPr>
        <w:t>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r>
        <w:rPr>
          <w:rFonts w:ascii="Verdana" w:eastAsia="Times New Roman" w:hAnsi="Verdana" w:cs="Arial"/>
          <w:bCs/>
          <w:lang w:eastAsia="x-none"/>
        </w:rPr>
        <w:t>”.</w:t>
      </w:r>
    </w:p>
    <w:p w14:paraId="749AF956" w14:textId="77777777" w:rsidR="00623237" w:rsidRDefault="00623237" w:rsidP="00623237">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eastAsia="x-none"/>
        </w:rPr>
        <w:t xml:space="preserve">Dentro de este marco normativo </w:t>
      </w:r>
      <w:r>
        <w:rPr>
          <w:rFonts w:ascii="Verdana" w:eastAsia="Times New Roman" w:hAnsi="Verdana" w:cs="Arial"/>
          <w:bCs/>
          <w:lang w:val="es-ES" w:eastAsia="x-none"/>
        </w:rPr>
        <w:t xml:space="preserve">no se establece una excepción a lo dispuesto en el artículo 33 de la Ley 996 de 2005 </w:t>
      </w:r>
      <w:r w:rsidRPr="0057193B">
        <w:rPr>
          <w:rFonts w:ascii="Verdana" w:eastAsia="Times New Roman" w:hAnsi="Verdana" w:cs="Arial"/>
          <w:bCs/>
          <w:lang w:val="es-MX" w:eastAsia="x-none"/>
        </w:rPr>
        <w:t>que restringe la contratación directa en el periodo preelectoral a las elecciones presidenciales</w:t>
      </w:r>
      <w:r>
        <w:rPr>
          <w:rFonts w:ascii="Verdana" w:eastAsia="Times New Roman" w:hAnsi="Verdana" w:cs="Arial"/>
          <w:bCs/>
          <w:lang w:val="es-MX" w:eastAsia="x-none"/>
        </w:rPr>
        <w:t xml:space="preserve"> por el tipo de recurso que pretende ejecutarse</w:t>
      </w:r>
      <w:r w:rsidRPr="0057193B">
        <w:rPr>
          <w:rFonts w:ascii="Verdana" w:eastAsia="Times New Roman" w:hAnsi="Verdana" w:cs="Arial"/>
          <w:bCs/>
          <w:lang w:val="es-MX" w:eastAsia="x-none"/>
        </w:rPr>
        <w:t>.</w:t>
      </w:r>
      <w:r>
        <w:rPr>
          <w:rFonts w:ascii="Verdana" w:eastAsia="Times New Roman" w:hAnsi="Verdana" w:cs="Arial"/>
          <w:bCs/>
          <w:lang w:val="es-MX" w:eastAsia="x-none"/>
        </w:rPr>
        <w:t xml:space="preserve"> En otras palabras, esta normatividad especial para la ejecución de recursos del Sistema General de Regalías, no implica que esté exonerada de la restricción, pues el legislador no hizo distinción del tipo de recursos al establecer la prohibición. </w:t>
      </w:r>
      <w:r w:rsidRPr="0057193B">
        <w:rPr>
          <w:rFonts w:ascii="Verdana" w:eastAsia="Times New Roman" w:hAnsi="Verdana" w:cs="Arial"/>
          <w:bCs/>
          <w:lang w:val="es-MX" w:eastAsia="x-none"/>
        </w:rPr>
        <w:t xml:space="preserve"> </w:t>
      </w:r>
    </w:p>
    <w:p w14:paraId="785C47E2" w14:textId="77777777" w:rsidR="00623237" w:rsidRDefault="00623237" w:rsidP="00623237">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073E9BD2" w14:textId="77777777" w:rsidR="00623237" w:rsidRDefault="00623237" w:rsidP="00623237">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este sentido, aplicará la restricción señalada respecto de todos los </w:t>
      </w:r>
      <w:r w:rsidRPr="003101A1">
        <w:rPr>
          <w:rFonts w:ascii="Verdana" w:eastAsia="Times New Roman" w:hAnsi="Verdana" w:cs="Arial"/>
          <w:bCs/>
          <w:i/>
          <w:iCs/>
          <w:lang w:val="es-MX" w:eastAsia="x-none"/>
        </w:rPr>
        <w:t xml:space="preserve">entes del </w:t>
      </w:r>
      <w:r>
        <w:rPr>
          <w:rFonts w:ascii="Verdana" w:eastAsia="Times New Roman" w:hAnsi="Verdana" w:cs="Arial"/>
          <w:bCs/>
          <w:i/>
          <w:iCs/>
          <w:lang w:val="es-MX" w:eastAsia="x-none"/>
        </w:rPr>
        <w:t>E</w:t>
      </w:r>
      <w:r w:rsidRPr="003101A1">
        <w:rPr>
          <w:rFonts w:ascii="Verdana" w:eastAsia="Times New Roman" w:hAnsi="Verdana" w:cs="Arial"/>
          <w:bCs/>
          <w:i/>
          <w:iCs/>
          <w:lang w:val="es-MX" w:eastAsia="x-none"/>
        </w:rPr>
        <w:t>stado,</w:t>
      </w:r>
      <w:r>
        <w:rPr>
          <w:rFonts w:ascii="Verdana" w:eastAsia="Times New Roman" w:hAnsi="Verdana" w:cs="Arial"/>
          <w:bCs/>
          <w:lang w:val="es-MX" w:eastAsia="x-none"/>
        </w:rPr>
        <w:t xml:space="preserve"> con independencia de la fuente de los recursos, por lo que e</w:t>
      </w:r>
      <w:r w:rsidRPr="00333EDB">
        <w:rPr>
          <w:rFonts w:ascii="Verdana" w:eastAsia="Times New Roman" w:hAnsi="Verdana" w:cs="Arial"/>
          <w:bCs/>
          <w:lang w:val="es-MX" w:eastAsia="x-none"/>
        </w:rPr>
        <w:t>s responsabilidad del respectivo</w:t>
      </w:r>
      <w:r>
        <w:rPr>
          <w:rFonts w:ascii="Verdana" w:eastAsia="Times New Roman" w:hAnsi="Verdana" w:cs="Arial"/>
          <w:bCs/>
          <w:lang w:val="es-MX" w:eastAsia="x-none"/>
        </w:rPr>
        <w:t xml:space="preserve"> ente</w:t>
      </w:r>
      <w:r w:rsidRPr="00333EDB">
        <w:rPr>
          <w:rFonts w:ascii="Verdana" w:eastAsia="Times New Roman" w:hAnsi="Verdana" w:cs="Arial"/>
          <w:bCs/>
          <w:lang w:val="es-MX" w:eastAsia="x-none"/>
        </w:rPr>
        <w:t xml:space="preserve"> examinar en cada caso la naturaleza de las actividades que adelanta y determinar si las mismas se enmarcan en alguna </w:t>
      </w:r>
      <w:r>
        <w:rPr>
          <w:rFonts w:ascii="Verdana" w:eastAsia="Times New Roman" w:hAnsi="Verdana" w:cs="Arial"/>
          <w:bCs/>
          <w:lang w:val="es-MX" w:eastAsia="x-none"/>
        </w:rPr>
        <w:t>de las mencionadas excepciones.</w:t>
      </w:r>
    </w:p>
    <w:p w14:paraId="07EC7E5D" w14:textId="77777777" w:rsidR="00623237" w:rsidRPr="00954545" w:rsidRDefault="00623237" w:rsidP="0062323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 Por tanto,</w:t>
      </w:r>
      <w:r w:rsidRPr="0057193B">
        <w:rPr>
          <w:rFonts w:ascii="Verdana" w:eastAsia="Times New Roman" w:hAnsi="Verdana" w:cs="Arial"/>
          <w:bCs/>
          <w:lang w:val="es-MX" w:eastAsia="x-none"/>
        </w:rPr>
        <w:t xml:space="preserve"> las entidades que se rigen por el derecho privado podrán celebrar contratos de </w:t>
      </w:r>
      <w:r w:rsidRPr="0057193B">
        <w:rPr>
          <w:rFonts w:ascii="Verdana" w:eastAsia="Times New Roman" w:hAnsi="Verdana" w:cs="Arial"/>
          <w:bCs/>
          <w:lang w:val="es-MX" w:eastAsia="x-none"/>
        </w:rPr>
        <w:lastRenderedPageBreak/>
        <w:t xml:space="preserve">acuerdo con los procedimientos contractuales desarrollados en sus manuales de contratación, bajo el entendido que estos permitan la participación de una pluralidad de oferentes. </w:t>
      </w:r>
    </w:p>
    <w:p w14:paraId="16B87CAC" w14:textId="77777777" w:rsidR="00623237" w:rsidRPr="00954545" w:rsidRDefault="00623237" w:rsidP="0062323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6"/>
      </w:r>
      <w:r w:rsidRPr="0057193B">
        <w:rPr>
          <w:rFonts w:ascii="Verdana" w:eastAsia="Times New Roman" w:hAnsi="Verdana" w:cs="Arial"/>
          <w:bCs/>
          <w:lang w:val="es-MX" w:eastAsia="es-CO"/>
        </w:rPr>
        <w:t>. Además, también es posible que contratos celebrados previamente se continúen ejecutando con normalidad.</w:t>
      </w:r>
    </w:p>
    <w:p w14:paraId="3E937F84" w14:textId="77777777" w:rsidR="00623237" w:rsidRPr="00954545" w:rsidRDefault="00623237" w:rsidP="00623237">
      <w:pPr>
        <w:spacing w:after="120" w:line="276" w:lineRule="auto"/>
        <w:jc w:val="both"/>
        <w:rPr>
          <w:rFonts w:ascii="Verdana" w:eastAsia="Calibri" w:hAnsi="Verdana" w:cs="Arial"/>
        </w:rPr>
      </w:pPr>
      <w:r>
        <w:rPr>
          <w:rFonts w:ascii="Verdana" w:eastAsia="Arial" w:hAnsi="Verdana" w:cs="Arial"/>
          <w:lang w:val="es-ES" w:eastAsia="es-ES" w:bidi="es-ES"/>
        </w:rPr>
        <w:t>iv</w:t>
      </w:r>
      <w:r w:rsidRPr="00E2397D">
        <w:rPr>
          <w:rFonts w:ascii="Verdana" w:eastAsia="Arial" w:hAnsi="Verdana" w:cs="Arial"/>
          <w:lang w:val="es-ES" w:eastAsia="es-ES" w:bidi="es-ES"/>
        </w:rPr>
        <w:t xml:space="preserve">. Ahora bien, </w:t>
      </w:r>
      <w:r>
        <w:rPr>
          <w:rFonts w:ascii="Verdana" w:eastAsia="Arial" w:hAnsi="Verdana" w:cs="Arial"/>
          <w:bCs/>
          <w:lang w:eastAsia="es-ES" w:bidi="es-ES"/>
        </w:rPr>
        <w:t xml:space="preserve">respecto de la prohibición establecida en el parágrafo del artículo 38 </w:t>
      </w:r>
      <w:r w:rsidRPr="00660153">
        <w:rPr>
          <w:rFonts w:ascii="Verdana" w:eastAsia="Arial" w:hAnsi="Verdana" w:cs="Arial"/>
          <w:bCs/>
          <w:lang w:val="es-ES" w:eastAsia="es-ES" w:bidi="es-ES"/>
        </w:rPr>
        <w:t>de la Ley 996 de 2005</w:t>
      </w:r>
      <w:r>
        <w:rPr>
          <w:rFonts w:ascii="Verdana" w:eastAsia="Arial" w:hAnsi="Verdana" w:cs="Arial"/>
          <w:bCs/>
          <w:lang w:val="es-ES" w:eastAsia="es-ES" w:bidi="es-ES"/>
        </w:rPr>
        <w:t xml:space="preserve">, se precisa que </w:t>
      </w:r>
      <w:r>
        <w:rPr>
          <w:rFonts w:ascii="Verdana" w:eastAsia="Calibri" w:hAnsi="Verdana" w:cs="Arial"/>
        </w:rPr>
        <w:t>l</w:t>
      </w:r>
      <w:r w:rsidRPr="00E2397D">
        <w:rPr>
          <w:rFonts w:ascii="Verdana" w:eastAsia="Calibri" w:hAnsi="Verdana" w:cs="Arial"/>
        </w:rPr>
        <w:t>a citada norm</w:t>
      </w:r>
      <w:r>
        <w:rPr>
          <w:rFonts w:ascii="Verdana" w:eastAsia="Calibri" w:hAnsi="Verdana" w:cs="Arial"/>
        </w:rPr>
        <w:t xml:space="preserve">a dispone: </w:t>
      </w:r>
      <w:r w:rsidRPr="00E2397D">
        <w:rPr>
          <w:rFonts w:ascii="Verdana" w:eastAsia="Calibri" w:hAnsi="Verdana" w:cs="Arial"/>
        </w:rPr>
        <w:t xml:space="preserve">“[l]os Gobernadores, Alcaldes Municipales y/o Distritales, Secretarios,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[Énfasis fuera del texto original]</w:t>
      </w:r>
    </w:p>
    <w:p w14:paraId="3B8FCB29" w14:textId="77777777" w:rsidR="00623237" w:rsidRPr="00E2397D" w:rsidRDefault="00623237" w:rsidP="00623237">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1671C66E" w14:textId="77777777" w:rsidR="00623237" w:rsidRPr="00E2397D" w:rsidRDefault="00623237" w:rsidP="00623237">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w:t>
      </w:r>
      <w:r w:rsidRPr="00E2397D">
        <w:rPr>
          <w:rFonts w:ascii="Verdana" w:eastAsia="Calibri" w:hAnsi="Verdana" w:cs="Arial"/>
          <w:lang w:bidi="es-ES"/>
        </w:rPr>
        <w:lastRenderedPageBreak/>
        <w:t xml:space="preserve">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7"/>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8"/>
      </w:r>
      <w:r w:rsidRPr="00E2397D">
        <w:rPr>
          <w:rFonts w:ascii="Verdana" w:eastAsia="Arial" w:hAnsi="Verdana" w:cs="Arial"/>
          <w:lang w:val="es-ES" w:eastAsia="es-ES" w:bidi="es-ES"/>
        </w:rPr>
        <w:t>.</w:t>
      </w:r>
    </w:p>
    <w:p w14:paraId="25D617F8" w14:textId="77777777" w:rsidR="00623237" w:rsidRPr="00E2397D" w:rsidRDefault="00623237" w:rsidP="00623237">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21624CCD" w14:textId="77777777" w:rsidR="00623237" w:rsidRPr="00E2397D" w:rsidRDefault="00623237" w:rsidP="00623237">
      <w:pPr>
        <w:widowControl w:val="0"/>
        <w:autoSpaceDE w:val="0"/>
        <w:autoSpaceDN w:val="0"/>
        <w:spacing w:after="0" w:line="276" w:lineRule="auto"/>
        <w:contextualSpacing/>
        <w:jc w:val="both"/>
        <w:rPr>
          <w:rFonts w:ascii="Verdana" w:eastAsia="Arial" w:hAnsi="Verdana" w:cs="Arial"/>
          <w:lang w:val="es-ES" w:eastAsia="es-ES" w:bidi="es-ES"/>
        </w:rPr>
      </w:pPr>
    </w:p>
    <w:p w14:paraId="532927CB" w14:textId="77777777" w:rsidR="00623237" w:rsidRPr="00E2397D" w:rsidRDefault="00623237" w:rsidP="00623237">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6CE86FFC" w14:textId="77777777" w:rsidR="00623237" w:rsidRPr="00E2397D" w:rsidRDefault="00623237" w:rsidP="00623237">
      <w:pPr>
        <w:spacing w:after="0" w:line="240" w:lineRule="auto"/>
        <w:ind w:left="709" w:right="709"/>
        <w:jc w:val="both"/>
        <w:rPr>
          <w:rFonts w:ascii="Verdana" w:eastAsia="Calibri" w:hAnsi="Verdana" w:cs="Arial"/>
          <w:sz w:val="20"/>
          <w:szCs w:val="20"/>
          <w:lang w:val="es-MX"/>
        </w:rPr>
      </w:pPr>
    </w:p>
    <w:p w14:paraId="2C1CFD33" w14:textId="77777777" w:rsidR="00623237" w:rsidRPr="00E2397D" w:rsidRDefault="00623237" w:rsidP="00623237">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6F2A61AB" w14:textId="77777777" w:rsidR="00623237" w:rsidRPr="00E2397D" w:rsidRDefault="00623237" w:rsidP="00623237">
      <w:pPr>
        <w:spacing w:after="0" w:line="240" w:lineRule="auto"/>
        <w:ind w:left="709" w:right="709"/>
        <w:jc w:val="both"/>
        <w:rPr>
          <w:rFonts w:ascii="Verdana" w:eastAsia="Calibri" w:hAnsi="Verdana" w:cs="Arial"/>
          <w:sz w:val="20"/>
          <w:szCs w:val="20"/>
          <w:lang w:val="es-MX"/>
        </w:rPr>
      </w:pPr>
    </w:p>
    <w:p w14:paraId="47F1DCA6" w14:textId="77777777" w:rsidR="00623237" w:rsidRPr="00E2397D" w:rsidRDefault="00623237" w:rsidP="00623237">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24AAAC24" w14:textId="77777777" w:rsidR="00623237" w:rsidRPr="00E2397D" w:rsidRDefault="00623237" w:rsidP="00623237">
      <w:pPr>
        <w:widowControl w:val="0"/>
        <w:autoSpaceDE w:val="0"/>
        <w:autoSpaceDN w:val="0"/>
        <w:spacing w:after="0" w:line="276" w:lineRule="auto"/>
        <w:contextualSpacing/>
        <w:jc w:val="both"/>
        <w:rPr>
          <w:rFonts w:ascii="Verdana" w:eastAsia="Arial" w:hAnsi="Verdana" w:cs="Arial"/>
          <w:lang w:val="es-ES" w:eastAsia="es-ES" w:bidi="es-ES"/>
        </w:rPr>
      </w:pPr>
    </w:p>
    <w:p w14:paraId="429AA0C4" w14:textId="77777777" w:rsidR="00623237" w:rsidRPr="00E2397D" w:rsidRDefault="00623237" w:rsidP="00623237">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4116682E" w14:textId="77777777" w:rsidR="00623237" w:rsidRPr="00E2397D" w:rsidRDefault="00623237" w:rsidP="00623237">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29"/>
      </w:r>
      <w:r w:rsidRPr="00E2397D">
        <w:rPr>
          <w:rFonts w:ascii="Verdana" w:hAnsi="Verdana"/>
        </w:rPr>
        <w:t>:</w:t>
      </w:r>
      <w:r w:rsidRPr="00E2397D">
        <w:t xml:space="preserve"> </w:t>
      </w:r>
    </w:p>
    <w:p w14:paraId="13A7728C" w14:textId="77777777" w:rsidR="00623237" w:rsidRPr="00E2397D" w:rsidRDefault="00623237" w:rsidP="00623237">
      <w:pPr>
        <w:spacing w:after="0" w:line="276" w:lineRule="auto"/>
        <w:ind w:firstLine="709"/>
        <w:jc w:val="both"/>
      </w:pPr>
    </w:p>
    <w:p w14:paraId="19E2236D" w14:textId="77777777" w:rsidR="00623237" w:rsidRPr="00E2397D" w:rsidRDefault="00623237" w:rsidP="00623237">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1375D9C7" w14:textId="77777777" w:rsidR="00623237" w:rsidRPr="00E2397D" w:rsidRDefault="00623237" w:rsidP="00623237">
      <w:pPr>
        <w:spacing w:after="0" w:line="240" w:lineRule="auto"/>
        <w:ind w:left="709" w:right="709"/>
        <w:jc w:val="both"/>
        <w:rPr>
          <w:rFonts w:ascii="Verdana" w:eastAsia="Calibri" w:hAnsi="Verdana" w:cs="Arial"/>
          <w:sz w:val="20"/>
          <w:szCs w:val="20"/>
        </w:rPr>
      </w:pPr>
    </w:p>
    <w:p w14:paraId="2B305E38" w14:textId="77777777" w:rsidR="00623237" w:rsidRPr="00E2397D" w:rsidRDefault="00623237" w:rsidP="00623237">
      <w:pPr>
        <w:spacing w:after="0" w:line="240" w:lineRule="auto"/>
        <w:ind w:left="709" w:right="709"/>
        <w:jc w:val="both"/>
        <w:rPr>
          <w:rFonts w:ascii="Verdana" w:hAnsi="Verdana"/>
          <w:sz w:val="20"/>
          <w:szCs w:val="20"/>
        </w:rPr>
      </w:pPr>
      <w:r w:rsidRPr="00E2397D">
        <w:rPr>
          <w:rFonts w:ascii="Verdana" w:hAnsi="Verdana"/>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99B4349" w14:textId="77777777" w:rsidR="00623237" w:rsidRPr="00E2397D" w:rsidRDefault="00623237" w:rsidP="00623237">
      <w:pPr>
        <w:spacing w:after="0" w:line="276" w:lineRule="auto"/>
        <w:ind w:left="709" w:right="709"/>
        <w:jc w:val="both"/>
        <w:rPr>
          <w:rFonts w:ascii="Verdana" w:hAnsi="Verdana"/>
        </w:rPr>
      </w:pPr>
    </w:p>
    <w:p w14:paraId="54714985" w14:textId="77777777" w:rsidR="00623237" w:rsidRPr="00E2397D" w:rsidRDefault="00623237" w:rsidP="00623237">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91E52DA" w14:textId="77777777" w:rsidR="00623237" w:rsidRPr="00E2397D" w:rsidRDefault="00623237" w:rsidP="00623237">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3B5D3F60" w14:textId="77777777" w:rsidR="00623237" w:rsidRPr="00E2397D" w:rsidRDefault="00623237" w:rsidP="00623237">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w:t>
      </w:r>
      <w:r w:rsidRPr="00E2397D">
        <w:rPr>
          <w:rFonts w:ascii="Verdana" w:eastAsia="Arial" w:hAnsi="Verdana" w:cs="Arial"/>
          <w:lang w:eastAsia="es-ES" w:bidi="es-ES"/>
        </w:rPr>
        <w:lastRenderedPageBreak/>
        <w:t xml:space="preserve">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035518F9" w14:textId="77777777" w:rsidR="00623237" w:rsidRPr="00E2397D" w:rsidRDefault="00623237" w:rsidP="00623237">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E2397D">
        <w:rPr>
          <w:rFonts w:ascii="Verdana" w:eastAsia="Times New Roman" w:hAnsi="Verdana" w:cs="Arial"/>
          <w:lang w:val="es-MX" w:eastAsia="es-CO"/>
        </w:rPr>
        <w:t xml:space="preserve">a dicha tipología contractual sin que el legislador hubiere contemplado un efecto extensivo a otra tipología. </w:t>
      </w:r>
    </w:p>
    <w:p w14:paraId="72ABCCCA" w14:textId="77777777" w:rsidR="00623237" w:rsidRDefault="00623237" w:rsidP="00623237">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E</w:t>
      </w:r>
      <w:r w:rsidRPr="00E2397D">
        <w:rPr>
          <w:rFonts w:ascii="Verdana" w:eastAsia="Arial" w:hAnsi="Verdana" w:cs="Arial"/>
          <w:lang w:val="es-ES" w:eastAsia="es-ES" w:bidi="es-ES"/>
        </w:rPr>
        <w:t>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E2397D">
        <w:rPr>
          <w:rFonts w:ascii="Verdana" w:eastAsia="Arial" w:hAnsi="Verdana" w:cs="Arial"/>
          <w:vertAlign w:val="superscript"/>
          <w:lang w:val="es-ES" w:eastAsia="es-ES" w:bidi="es-ES"/>
        </w:rPr>
        <w:footnoteReference w:id="30"/>
      </w:r>
      <w:r w:rsidRPr="00E2397D">
        <w:rPr>
          <w:rFonts w:ascii="Verdana" w:eastAsia="Arial" w:hAnsi="Verdana" w:cs="Arial"/>
          <w:lang w:val="es-ES" w:eastAsia="es-ES" w:bidi="es-ES"/>
        </w:rPr>
        <w:t>.</w:t>
      </w:r>
    </w:p>
    <w:p w14:paraId="43DC5466" w14:textId="77777777" w:rsidR="00623237" w:rsidRPr="002D284C" w:rsidRDefault="00623237" w:rsidP="00623237">
      <w:pPr>
        <w:spacing w:after="120" w:line="276" w:lineRule="auto"/>
        <w:ind w:firstLine="709"/>
        <w:jc w:val="both"/>
        <w:rPr>
          <w:rFonts w:ascii="Verdana" w:eastAsia="Arial" w:hAnsi="Verdana" w:cs="Arial"/>
          <w:bCs/>
          <w:lang w:eastAsia="es-ES" w:bidi="es-ES"/>
        </w:rPr>
      </w:pPr>
      <w:r>
        <w:rPr>
          <w:rFonts w:ascii="Verdana" w:eastAsia="Arial" w:hAnsi="Verdana" w:cs="Arial"/>
          <w:lang w:val="es-ES" w:eastAsia="es-ES" w:bidi="es-ES"/>
        </w:rPr>
        <w:t xml:space="preserve">De acuerdo a lo expuesto, </w:t>
      </w:r>
      <w:r>
        <w:rPr>
          <w:rFonts w:ascii="Verdana" w:eastAsia="Arial" w:hAnsi="Verdana" w:cs="Arial"/>
          <w:bCs/>
          <w:lang w:val="es-MX" w:eastAsia="es-ES" w:bidi="es-ES"/>
        </w:rPr>
        <w:t xml:space="preserve">es pertinente revisar si lo prescrito </w:t>
      </w:r>
      <w:r w:rsidRPr="002D284C">
        <w:rPr>
          <w:rFonts w:ascii="Verdana" w:eastAsia="Arial" w:hAnsi="Verdana" w:cs="Arial"/>
          <w:bCs/>
          <w:lang w:val="es-MX" w:eastAsia="es-ES" w:bidi="es-ES"/>
        </w:rPr>
        <w:t xml:space="preserve">en el Sistema </w:t>
      </w:r>
      <w:r>
        <w:rPr>
          <w:rFonts w:ascii="Verdana" w:eastAsia="Arial" w:hAnsi="Verdana" w:cs="Arial"/>
          <w:bCs/>
          <w:lang w:val="es-MX" w:eastAsia="es-ES" w:bidi="es-ES"/>
        </w:rPr>
        <w:t>General de Regalías le aplica el artículo 38 de la</w:t>
      </w:r>
      <w:r w:rsidRPr="002D284C">
        <w:rPr>
          <w:rFonts w:ascii="Verdana" w:eastAsia="Arial" w:hAnsi="Verdana" w:cs="Arial"/>
          <w:bCs/>
          <w:lang w:val="es-MX" w:eastAsia="es-ES" w:bidi="es-ES"/>
        </w:rPr>
        <w:t xml:space="preserve"> Ley 996 de 2005 –Ley de G</w:t>
      </w:r>
      <w:r>
        <w:rPr>
          <w:rFonts w:ascii="Verdana" w:eastAsia="Arial" w:hAnsi="Verdana" w:cs="Arial"/>
          <w:bCs/>
          <w:lang w:val="es-MX" w:eastAsia="es-ES" w:bidi="es-ES"/>
        </w:rPr>
        <w:t>arantías Electorales-. En tal sentido</w:t>
      </w:r>
      <w:r w:rsidRPr="002D284C">
        <w:rPr>
          <w:rFonts w:ascii="Verdana" w:eastAsia="Arial" w:hAnsi="Verdana" w:cs="Arial"/>
          <w:bCs/>
          <w:lang w:val="es-MX" w:eastAsia="es-ES" w:bidi="es-ES"/>
        </w:rPr>
        <w:t>, es importante señalar que la Ley 2056 de 2020, “</w:t>
      </w:r>
      <w:r w:rsidRPr="002D284C">
        <w:rPr>
          <w:rFonts w:ascii="Verdana" w:eastAsia="Arial" w:hAnsi="Verdana" w:cs="Arial"/>
          <w:bCs/>
          <w:lang w:eastAsia="es-ES" w:bidi="es-ES"/>
        </w:rPr>
        <w:t>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769EB6ED" w14:textId="77777777" w:rsidR="00623237" w:rsidRPr="009C0922" w:rsidRDefault="00623237" w:rsidP="00623237">
      <w:pPr>
        <w:spacing w:after="120" w:line="276" w:lineRule="auto"/>
        <w:ind w:firstLine="709"/>
        <w:jc w:val="both"/>
        <w:rPr>
          <w:rFonts w:ascii="Verdana" w:eastAsia="Arial" w:hAnsi="Verdana" w:cs="Arial"/>
          <w:bCs/>
          <w:lang w:val="es-MX" w:eastAsia="es-ES" w:bidi="es-ES"/>
        </w:rPr>
      </w:pPr>
      <w:r w:rsidRPr="00660153">
        <w:rPr>
          <w:rFonts w:ascii="Verdana" w:eastAsia="Arial" w:hAnsi="Verdana" w:cs="Arial"/>
          <w:bCs/>
          <w:lang w:eastAsia="es-ES" w:bidi="es-ES"/>
        </w:rPr>
        <w:t>Dentro de este marco normativo</w:t>
      </w:r>
      <w:r>
        <w:rPr>
          <w:rFonts w:ascii="Verdana" w:eastAsia="Arial" w:hAnsi="Verdana" w:cs="Arial"/>
          <w:bCs/>
          <w:lang w:eastAsia="es-ES" w:bidi="es-ES"/>
        </w:rPr>
        <w:t xml:space="preserve"> del Sistema General de Regalías</w:t>
      </w:r>
      <w:r w:rsidRPr="00660153">
        <w:rPr>
          <w:rFonts w:ascii="Verdana" w:eastAsia="Arial" w:hAnsi="Verdana" w:cs="Arial"/>
          <w:bCs/>
          <w:lang w:eastAsia="es-ES" w:bidi="es-ES"/>
        </w:rPr>
        <w:t xml:space="preserve"> </w:t>
      </w:r>
      <w:r w:rsidRPr="00660153">
        <w:rPr>
          <w:rFonts w:ascii="Verdana" w:eastAsia="Arial" w:hAnsi="Verdana" w:cs="Arial"/>
          <w:bCs/>
          <w:lang w:val="es-ES" w:eastAsia="es-ES" w:bidi="es-ES"/>
        </w:rPr>
        <w:t xml:space="preserve">no se establece una excepción </w:t>
      </w:r>
      <w:r>
        <w:rPr>
          <w:rFonts w:ascii="Verdana" w:eastAsia="Arial" w:hAnsi="Verdana" w:cs="Arial"/>
          <w:bCs/>
          <w:lang w:val="es-ES" w:eastAsia="es-ES" w:bidi="es-ES"/>
        </w:rPr>
        <w:t>a lo dispuesto en el artículo 38</w:t>
      </w:r>
      <w:r w:rsidRPr="00660153">
        <w:rPr>
          <w:rFonts w:ascii="Verdana" w:eastAsia="Arial" w:hAnsi="Verdana" w:cs="Arial"/>
          <w:bCs/>
          <w:lang w:val="es-ES" w:eastAsia="es-ES" w:bidi="es-ES"/>
        </w:rPr>
        <w:t xml:space="preserve"> de la Ley 996 de 2005 </w:t>
      </w:r>
      <w:r>
        <w:rPr>
          <w:rFonts w:ascii="Verdana" w:eastAsia="Arial" w:hAnsi="Verdana" w:cs="Arial"/>
          <w:bCs/>
          <w:lang w:val="es-MX" w:eastAsia="es-ES" w:bidi="es-ES"/>
        </w:rPr>
        <w:t xml:space="preserve">que restringe </w:t>
      </w:r>
      <w:r w:rsidRPr="0064722F">
        <w:rPr>
          <w:rFonts w:ascii="Verdana" w:eastAsia="Arial" w:hAnsi="Verdana" w:cs="Arial"/>
          <w:bCs/>
          <w:lang w:val="es-MX" w:eastAsia="es-ES" w:bidi="es-ES"/>
        </w:rPr>
        <w:t xml:space="preserve">a los Alcaldes, Gobernadores, Secretarios, Gerentes y Directores de las entidades del orden municipal, departamental o distrital celebrar </w:t>
      </w:r>
      <w:r w:rsidRPr="0064722F">
        <w:rPr>
          <w:rFonts w:ascii="Verdana" w:eastAsia="Arial" w:hAnsi="Verdana" w:cs="Arial"/>
          <w:bCs/>
          <w:i/>
          <w:iCs/>
          <w:lang w:val="es-MX" w:eastAsia="es-ES" w:bidi="es-ES"/>
        </w:rPr>
        <w:t>convenios interadministrativos</w:t>
      </w:r>
      <w:r w:rsidRPr="0064722F">
        <w:rPr>
          <w:rFonts w:ascii="Verdana" w:eastAsia="Arial" w:hAnsi="Verdana" w:cs="Arial"/>
          <w:bCs/>
          <w:lang w:val="es-MX" w:eastAsia="es-ES" w:bidi="es-ES"/>
        </w:rPr>
        <w:t xml:space="preserve"> para la ejecución de recursos públicos</w:t>
      </w:r>
      <w:r>
        <w:rPr>
          <w:rFonts w:ascii="Verdana" w:eastAsia="Arial" w:hAnsi="Verdana" w:cs="Arial"/>
          <w:bCs/>
          <w:lang w:val="es-MX" w:eastAsia="es-ES" w:bidi="es-ES"/>
        </w:rPr>
        <w:t xml:space="preserve"> en las </w:t>
      </w:r>
      <w:r>
        <w:rPr>
          <w:rFonts w:ascii="Verdana" w:eastAsia="Arial" w:hAnsi="Verdana" w:cs="Arial"/>
          <w:bCs/>
          <w:lang w:val="es-MX" w:eastAsia="es-ES" w:bidi="es-ES"/>
        </w:rPr>
        <w:lastRenderedPageBreak/>
        <w:t>elecciones</w:t>
      </w:r>
      <w:r w:rsidRPr="0064722F">
        <w:rPr>
          <w:rFonts w:ascii="Verdana" w:eastAsia="Arial" w:hAnsi="Verdana" w:cs="Arial"/>
          <w:bCs/>
          <w:lang w:val="es-MX" w:eastAsia="es-ES" w:bidi="es-ES"/>
        </w:rPr>
        <w:t>.</w:t>
      </w:r>
      <w:r>
        <w:rPr>
          <w:rFonts w:ascii="Verdana" w:eastAsia="Arial" w:hAnsi="Verdana" w:cs="Arial"/>
          <w:bCs/>
          <w:lang w:val="es-MX" w:eastAsia="es-ES" w:bidi="es-ES"/>
        </w:rPr>
        <w:t xml:space="preserve"> En esta línea</w:t>
      </w:r>
      <w:r w:rsidRPr="0064722F">
        <w:rPr>
          <w:rFonts w:ascii="Verdana" w:eastAsia="Arial" w:hAnsi="Verdana" w:cs="Arial"/>
          <w:bCs/>
          <w:lang w:val="es-MX" w:eastAsia="es-ES" w:bidi="es-ES"/>
        </w:rPr>
        <w:t xml:space="preserve">, si una o ambas partes de la relación contractual es una entidad de aquellas descritas en el parágrafo </w:t>
      </w:r>
      <w:r w:rsidRPr="0064722F">
        <w:rPr>
          <w:rFonts w:ascii="Verdana" w:eastAsia="Arial" w:hAnsi="Verdana" w:cs="Arial"/>
          <w:bCs/>
          <w:i/>
          <w:lang w:val="es-MX" w:eastAsia="es-ES" w:bidi="es-ES"/>
        </w:rPr>
        <w:t>ibidem</w:t>
      </w:r>
      <w:r w:rsidRPr="0064722F">
        <w:rPr>
          <w:rFonts w:ascii="Verdana" w:eastAsia="Arial" w:hAnsi="Verdana" w:cs="Arial"/>
          <w:bCs/>
          <w:lang w:val="es-MX" w:eastAsia="es-ES" w:bidi="es-ES"/>
        </w:rPr>
        <w:t xml:space="preserve">, no podrá celebrar tales </w:t>
      </w:r>
      <w:r w:rsidRPr="0064722F">
        <w:rPr>
          <w:rFonts w:ascii="Verdana" w:eastAsia="Arial" w:hAnsi="Verdana" w:cs="Arial"/>
          <w:bCs/>
          <w:i/>
          <w:iCs/>
          <w:lang w:val="es-MX" w:eastAsia="es-ES" w:bidi="es-ES"/>
        </w:rPr>
        <w:t>convenios</w:t>
      </w:r>
      <w:r>
        <w:rPr>
          <w:rFonts w:ascii="Verdana" w:eastAsia="Arial" w:hAnsi="Verdana" w:cs="Arial"/>
          <w:bCs/>
          <w:i/>
          <w:iCs/>
          <w:lang w:val="es-MX" w:eastAsia="es-ES" w:bidi="es-ES"/>
        </w:rPr>
        <w:t xml:space="preserve"> para la ejecución de recursos del Sistema General de Regalías</w:t>
      </w:r>
      <w:r w:rsidRPr="0064722F">
        <w:rPr>
          <w:rFonts w:ascii="Verdana" w:eastAsia="Arial" w:hAnsi="Verdana" w:cs="Arial"/>
          <w:bCs/>
          <w:lang w:val="es-MX" w:eastAsia="es-ES" w:bidi="es-ES"/>
        </w:rPr>
        <w:t xml:space="preserve"> durante la aplicación de la Ley de Garantías Electorales, toda vez que la citada disposición se refiere a dicha tipología contractual sin que el legislador hubiere c</w:t>
      </w:r>
      <w:r>
        <w:rPr>
          <w:rFonts w:ascii="Verdana" w:eastAsia="Arial" w:hAnsi="Verdana" w:cs="Arial"/>
          <w:bCs/>
          <w:lang w:val="es-MX" w:eastAsia="es-ES" w:bidi="es-ES"/>
        </w:rPr>
        <w:t>ontemplado excepciones a esta</w:t>
      </w:r>
      <w:r w:rsidRPr="0064722F">
        <w:rPr>
          <w:rFonts w:ascii="Verdana" w:eastAsia="Arial" w:hAnsi="Verdana" w:cs="Arial"/>
          <w:bCs/>
          <w:lang w:val="es-MX" w:eastAsia="es-ES" w:bidi="es-ES"/>
        </w:rPr>
        <w:t xml:space="preserve">. </w:t>
      </w:r>
      <w:bookmarkEnd w:id="11"/>
    </w:p>
    <w:p w14:paraId="41DC9530" w14:textId="77777777" w:rsidR="00623237" w:rsidRPr="008D191C" w:rsidRDefault="00623237" w:rsidP="00623237">
      <w:pPr>
        <w:spacing w:after="120" w:line="276" w:lineRule="auto"/>
        <w:jc w:val="both"/>
        <w:rPr>
          <w:rFonts w:ascii="Verdana" w:hAnsi="Verdana"/>
        </w:rPr>
      </w:pPr>
      <w:r>
        <w:rPr>
          <w:rFonts w:ascii="Verdana" w:eastAsia="Calibri" w:hAnsi="Verdana" w:cs="Arial"/>
          <w:bCs/>
          <w:iCs/>
          <w:lang w:val="es-ES" w:eastAsia="es-ES_tradnl"/>
        </w:rPr>
        <w:t xml:space="preserve">v. </w:t>
      </w:r>
      <w:r w:rsidRPr="008D191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6542C47" w14:textId="77777777" w:rsidR="00623237" w:rsidRPr="008D191C" w:rsidRDefault="00623237" w:rsidP="00623237">
      <w:pPr>
        <w:spacing w:after="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6337177" w14:textId="77777777" w:rsidR="00623237" w:rsidRPr="0030488C" w:rsidRDefault="00623237" w:rsidP="00623237">
      <w:pPr>
        <w:spacing w:after="120" w:line="276" w:lineRule="auto"/>
        <w:ind w:firstLine="709"/>
        <w:jc w:val="both"/>
        <w:rPr>
          <w:rFonts w:ascii="Verdana" w:eastAsia="Arial" w:hAnsi="Verdana" w:cs="Arial"/>
          <w:bCs/>
          <w:lang w:eastAsia="es-ES" w:bidi="es-ES"/>
        </w:rPr>
      </w:pPr>
    </w:p>
    <w:p w14:paraId="1E94BB9F" w14:textId="77777777" w:rsidR="00623237" w:rsidRPr="008853C1" w:rsidRDefault="00623237" w:rsidP="00623237">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4AEE90FD" w14:textId="77777777" w:rsidR="00623237" w:rsidRPr="00E2397D" w:rsidRDefault="00623237" w:rsidP="0062323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23237" w:rsidRPr="00810249" w14:paraId="2433B7DC" w14:textId="77777777" w:rsidTr="003B02A7">
        <w:trPr>
          <w:trHeight w:val="477"/>
          <w:jc w:val="center"/>
        </w:trPr>
        <w:tc>
          <w:tcPr>
            <w:tcW w:w="8647" w:type="dxa"/>
          </w:tcPr>
          <w:p w14:paraId="3D3D05AA" w14:textId="77777777" w:rsidR="00623237" w:rsidRPr="00AB51C6" w:rsidRDefault="00623237" w:rsidP="00623237">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E2397D">
              <w:rPr>
                <w:rFonts w:ascii="Verdana" w:eastAsia="Arial MT" w:hAnsi="Verdana" w:cs="Arial"/>
                <w:lang w:eastAsia="es-ES" w:bidi="es-ES"/>
              </w:rPr>
              <w:t>Constitución Política: Artículo 127.</w:t>
            </w:r>
          </w:p>
          <w:p w14:paraId="690F16BC" w14:textId="77777777" w:rsidR="00623237" w:rsidRPr="00EC214E" w:rsidRDefault="00623237" w:rsidP="00623237">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E2397D">
              <w:rPr>
                <w:rFonts w:ascii="Verdana" w:eastAsia="Arial MT" w:hAnsi="Verdana" w:cs="Arial"/>
                <w:bCs/>
                <w:lang w:val="es-ES" w:eastAsia="es-ES" w:bidi="es-ES"/>
              </w:rPr>
              <w:t>Ley 996 de 2005: artículos 33 y 38 parágrafo.</w:t>
            </w:r>
          </w:p>
          <w:p w14:paraId="02E80B2F" w14:textId="77777777" w:rsidR="00623237" w:rsidRPr="00AB51C6" w:rsidRDefault="00623237" w:rsidP="00623237">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Pr>
                <w:rFonts w:ascii="Verdana" w:eastAsia="Arial MT" w:hAnsi="Verdana" w:cs="Arial"/>
                <w:bCs/>
                <w:lang w:val="es-ES" w:eastAsia="es-ES" w:bidi="es-ES"/>
              </w:rPr>
              <w:t xml:space="preserve">Ley 2056 de 2020, artículo 1. </w:t>
            </w:r>
          </w:p>
          <w:p w14:paraId="1B01B83C" w14:textId="77777777" w:rsidR="00623237" w:rsidRPr="00CC0106" w:rsidRDefault="00623237" w:rsidP="00623237">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 xml:space="preserve">Colombia Compra Eficiente. Circular Externa Única. </w:t>
            </w:r>
          </w:p>
          <w:p w14:paraId="2C058515" w14:textId="77777777" w:rsidR="00623237" w:rsidRPr="0030488C" w:rsidRDefault="00623237" w:rsidP="00623237">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Concepto de 20</w:t>
            </w:r>
            <w:r>
              <w:rPr>
                <w:rFonts w:ascii="Verdana" w:eastAsia="Calibri" w:hAnsi="Verdana" w:cs="Arial"/>
                <w:lang w:val="es-ES"/>
              </w:rPr>
              <w:t xml:space="preserve"> de febrero de 2006. Radicado. 1727</w:t>
            </w:r>
            <w:r w:rsidRPr="00CC0106">
              <w:rPr>
                <w:rFonts w:ascii="Verdana" w:eastAsia="Calibri" w:hAnsi="Verdana" w:cs="Arial"/>
                <w:lang w:val="es-ES"/>
              </w:rPr>
              <w:t xml:space="preserve">. C.P. Enrique José Arboleda </w:t>
            </w:r>
            <w:r w:rsidRPr="00CC0106">
              <w:rPr>
                <w:rFonts w:ascii="Verdana" w:eastAsia="Calibri" w:hAnsi="Verdana" w:cs="Arial"/>
                <w:lang w:val="es-ES"/>
              </w:rPr>
              <w:lastRenderedPageBreak/>
              <w:t>Perdomo.</w:t>
            </w:r>
          </w:p>
          <w:p w14:paraId="6ACF3258" w14:textId="77777777" w:rsidR="00623237" w:rsidRPr="00CC0106" w:rsidRDefault="00623237" w:rsidP="00623237">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Concepto de 6 de ab</w:t>
            </w:r>
            <w:r>
              <w:rPr>
                <w:rFonts w:ascii="Verdana" w:eastAsia="Calibri" w:hAnsi="Verdana" w:cs="Arial"/>
                <w:lang w:val="es-ES"/>
              </w:rPr>
              <w:t xml:space="preserve">ril de 2006. Radicado. </w:t>
            </w:r>
            <w:r w:rsidRPr="00CC0106">
              <w:rPr>
                <w:rFonts w:ascii="Verdana" w:eastAsia="Calibri" w:hAnsi="Verdana" w:cs="Arial"/>
                <w:lang w:val="es-ES"/>
              </w:rPr>
              <w:t xml:space="preserve">1738. C.P. Enrique José Arboleda Perdomo. </w:t>
            </w:r>
          </w:p>
          <w:p w14:paraId="29CB5142" w14:textId="77777777" w:rsidR="00623237" w:rsidRPr="0030488C" w:rsidRDefault="00623237" w:rsidP="00623237">
            <w:pPr>
              <w:widowControl w:val="0"/>
              <w:numPr>
                <w:ilvl w:val="0"/>
                <w:numId w:val="20"/>
              </w:numPr>
              <w:autoSpaceDE w:val="0"/>
              <w:autoSpaceDN w:val="0"/>
              <w:spacing w:after="120" w:line="276" w:lineRule="auto"/>
              <w:jc w:val="both"/>
              <w:rPr>
                <w:rFonts w:ascii="Verdana" w:eastAsia="Calibri" w:hAnsi="Verdana" w:cs="Arial"/>
              </w:rPr>
            </w:pPr>
            <w:r w:rsidRPr="0030488C">
              <w:rPr>
                <w:rFonts w:ascii="Verdana" w:eastAsia="Calibri" w:hAnsi="Verdana" w:cs="Arial"/>
              </w:rPr>
              <w:t xml:space="preserve">Consejo de Estado. Sala de Consulta y Servicio Civil. Concepto del 15 de noviembre de 2007. </w:t>
            </w:r>
            <w:r>
              <w:rPr>
                <w:rFonts w:ascii="Verdana" w:eastAsia="Calibri" w:hAnsi="Verdana" w:cs="Arial"/>
              </w:rPr>
              <w:t xml:space="preserve">Rad. 1863. </w:t>
            </w:r>
            <w:r w:rsidRPr="0030488C">
              <w:rPr>
                <w:rFonts w:ascii="Verdana" w:eastAsia="Calibri" w:hAnsi="Verdana" w:cs="Arial"/>
              </w:rPr>
              <w:t xml:space="preserve">C.P. Luis Fernando Álvarez Jaramillo. </w:t>
            </w:r>
          </w:p>
          <w:p w14:paraId="77F90B0B" w14:textId="77777777" w:rsidR="00623237" w:rsidRDefault="00623237" w:rsidP="00623237">
            <w:pPr>
              <w:widowControl w:val="0"/>
              <w:numPr>
                <w:ilvl w:val="0"/>
                <w:numId w:val="20"/>
              </w:numPr>
              <w:autoSpaceDE w:val="0"/>
              <w:autoSpaceDN w:val="0"/>
              <w:spacing w:after="120" w:line="276" w:lineRule="auto"/>
              <w:jc w:val="both"/>
              <w:rPr>
                <w:rFonts w:ascii="Verdana" w:eastAsia="Calibri" w:hAnsi="Verdana" w:cs="Arial"/>
                <w:lang w:val="es-ES"/>
              </w:rPr>
            </w:pPr>
            <w:r w:rsidRPr="000F46C6">
              <w:rPr>
                <w:rFonts w:ascii="Verdana" w:eastAsia="Calibri" w:hAnsi="Verdana" w:cs="Arial"/>
                <w:lang w:val="es-ES"/>
              </w:rPr>
              <w:t xml:space="preserve">Consejo de Estado, Sala de Consulta y Servicio Civil de fecha 24 de julio de 2013, Radicado 2166, C. P. Álvaro Namén Vargas.  </w:t>
            </w:r>
          </w:p>
          <w:p w14:paraId="28299C6F" w14:textId="77777777" w:rsidR="00623237" w:rsidRPr="000F46C6" w:rsidRDefault="00623237" w:rsidP="00623237">
            <w:pPr>
              <w:widowControl w:val="0"/>
              <w:numPr>
                <w:ilvl w:val="0"/>
                <w:numId w:val="20"/>
              </w:numPr>
              <w:autoSpaceDE w:val="0"/>
              <w:autoSpaceDN w:val="0"/>
              <w:spacing w:after="120" w:line="276" w:lineRule="auto"/>
              <w:jc w:val="both"/>
              <w:rPr>
                <w:rFonts w:ascii="Verdana" w:eastAsia="Calibri" w:hAnsi="Verdana" w:cs="Arial"/>
                <w:lang w:val="es-ES"/>
              </w:rPr>
            </w:pPr>
            <w:r w:rsidRPr="000F46C6">
              <w:rPr>
                <w:rFonts w:ascii="Verdana" w:eastAsia="Calibri" w:hAnsi="Verdana" w:cs="Arial"/>
                <w:lang w:val="es-ES"/>
              </w:rPr>
              <w:t>Consejo de Estado. Sala de Consulta y Servicio Civil. Concepto del 2 de septiembr</w:t>
            </w:r>
            <w:r>
              <w:rPr>
                <w:rFonts w:ascii="Verdana" w:eastAsia="Calibri" w:hAnsi="Verdana" w:cs="Arial"/>
                <w:lang w:val="es-ES"/>
              </w:rPr>
              <w:t>e de 2013. Radicado</w:t>
            </w:r>
            <w:r w:rsidRPr="000F46C6">
              <w:rPr>
                <w:rFonts w:ascii="Verdana" w:eastAsia="Calibri" w:hAnsi="Verdana" w:cs="Arial"/>
                <w:lang w:val="es-ES"/>
              </w:rPr>
              <w:t>:</w:t>
            </w:r>
            <w:r>
              <w:rPr>
                <w:rFonts w:ascii="Verdana" w:eastAsia="Calibri" w:hAnsi="Verdana" w:cs="Arial"/>
                <w:lang w:val="es-ES"/>
              </w:rPr>
              <w:t xml:space="preserve"> 2168. C.P.</w:t>
            </w:r>
            <w:r w:rsidRPr="000F46C6">
              <w:rPr>
                <w:rFonts w:ascii="Verdana" w:eastAsia="Calibri" w:hAnsi="Verdana" w:cs="Arial"/>
                <w:lang w:val="es-ES"/>
              </w:rPr>
              <w:t xml:space="preserve"> Álvaro Namén Vargas. </w:t>
            </w:r>
          </w:p>
          <w:p w14:paraId="5F63167B" w14:textId="77777777" w:rsidR="00623237" w:rsidRDefault="00623237" w:rsidP="00623237">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w:t>
            </w:r>
            <w:r>
              <w:rPr>
                <w:rFonts w:ascii="Verdana" w:eastAsia="Calibri" w:hAnsi="Verdana" w:cs="Arial"/>
                <w:lang w:val="es-ES"/>
              </w:rPr>
              <w:t>epto del 08 de mayo de 2018. Radicado</w:t>
            </w:r>
            <w:r w:rsidRPr="00CC0106">
              <w:rPr>
                <w:rFonts w:ascii="Verdana" w:eastAsia="Calibri" w:hAnsi="Verdana" w:cs="Arial"/>
                <w:lang w:val="es-ES"/>
              </w:rPr>
              <w:t>. 2.382. C.P. Álvaro Namén Vargas.</w:t>
            </w:r>
          </w:p>
          <w:p w14:paraId="77624373" w14:textId="77777777" w:rsidR="00623237" w:rsidRPr="0030488C" w:rsidRDefault="00623237" w:rsidP="00623237">
            <w:pPr>
              <w:widowControl w:val="0"/>
              <w:numPr>
                <w:ilvl w:val="0"/>
                <w:numId w:val="20"/>
              </w:numPr>
              <w:autoSpaceDE w:val="0"/>
              <w:autoSpaceDN w:val="0"/>
              <w:spacing w:after="120" w:line="276" w:lineRule="auto"/>
              <w:jc w:val="both"/>
              <w:rPr>
                <w:rFonts w:ascii="Verdana" w:eastAsia="Calibri" w:hAnsi="Verdana" w:cs="Arial"/>
              </w:rPr>
            </w:pPr>
            <w:r w:rsidRPr="0030488C">
              <w:rPr>
                <w:rFonts w:ascii="Verdana" w:eastAsia="Calibri" w:hAnsi="Verdana" w:cs="Arial"/>
              </w:rPr>
              <w:t>Consejo de Estado, Sección Tercera. Auto del 4 de octubre de 2024. Exp. 70.313. C.P: Fredy Ibarra Martínez</w:t>
            </w:r>
          </w:p>
          <w:p w14:paraId="0FC279A8" w14:textId="77777777" w:rsidR="00623237" w:rsidRPr="000F46C6" w:rsidRDefault="00623237" w:rsidP="00623237">
            <w:pPr>
              <w:widowControl w:val="0"/>
              <w:numPr>
                <w:ilvl w:val="0"/>
                <w:numId w:val="20"/>
              </w:numPr>
              <w:autoSpaceDE w:val="0"/>
              <w:autoSpaceDN w:val="0"/>
              <w:spacing w:after="120" w:line="276" w:lineRule="auto"/>
              <w:jc w:val="both"/>
              <w:rPr>
                <w:rFonts w:ascii="Verdana" w:eastAsia="Calibri" w:hAnsi="Verdana" w:cs="Arial"/>
                <w:lang w:val="es-ES"/>
              </w:rPr>
            </w:pPr>
            <w:r w:rsidRPr="00810249">
              <w:rPr>
                <w:rFonts w:ascii="Verdana" w:eastAsia="Calibri" w:hAnsi="Verdana" w:cs="Arial"/>
                <w:lang w:val="pt-BR"/>
              </w:rPr>
              <w:t xml:space="preserve">Corte Constitucional. Sentencia C -1153 de 2005. </w:t>
            </w:r>
            <w:r w:rsidRPr="000F46C6">
              <w:rPr>
                <w:rFonts w:ascii="Verdana" w:eastAsia="Calibri" w:hAnsi="Verdana" w:cs="Arial"/>
                <w:lang w:val="es-ES"/>
              </w:rPr>
              <w:t xml:space="preserve">M.P. Marco Gerardo Monroy Cabra. </w:t>
            </w:r>
          </w:p>
          <w:p w14:paraId="32C1E4A5" w14:textId="77777777" w:rsidR="00623237" w:rsidRDefault="00623237" w:rsidP="00623237">
            <w:pPr>
              <w:widowControl w:val="0"/>
              <w:numPr>
                <w:ilvl w:val="0"/>
                <w:numId w:val="20"/>
              </w:numPr>
              <w:autoSpaceDE w:val="0"/>
              <w:autoSpaceDN w:val="0"/>
              <w:spacing w:after="120" w:line="276" w:lineRule="auto"/>
              <w:jc w:val="both"/>
              <w:rPr>
                <w:rFonts w:ascii="Verdana" w:eastAsia="Calibri" w:hAnsi="Verdana" w:cs="Arial"/>
                <w:lang w:val="pt-BR"/>
              </w:rPr>
            </w:pPr>
            <w:r w:rsidRPr="000F46C6">
              <w:rPr>
                <w:rFonts w:ascii="Verdana" w:eastAsia="Calibri" w:hAnsi="Verdana" w:cs="Arial"/>
                <w:lang w:val="pt-BR"/>
              </w:rPr>
              <w:t>Corte Constitucional. Sentencia C-671 de 2015. M.P. Alberto Rojas Ríos</w:t>
            </w:r>
            <w:r>
              <w:rPr>
                <w:rFonts w:ascii="Verdana" w:eastAsia="Calibri" w:hAnsi="Verdana" w:cs="Arial"/>
                <w:lang w:val="pt-BR"/>
              </w:rPr>
              <w:t xml:space="preserve">. </w:t>
            </w:r>
          </w:p>
          <w:p w14:paraId="536D53C6" w14:textId="77777777" w:rsidR="00623237" w:rsidRPr="00810249" w:rsidRDefault="00623237" w:rsidP="00623237">
            <w:pPr>
              <w:widowControl w:val="0"/>
              <w:numPr>
                <w:ilvl w:val="0"/>
                <w:numId w:val="20"/>
              </w:numPr>
              <w:autoSpaceDE w:val="0"/>
              <w:autoSpaceDN w:val="0"/>
              <w:spacing w:after="120" w:line="276" w:lineRule="auto"/>
              <w:jc w:val="both"/>
              <w:rPr>
                <w:rFonts w:ascii="Verdana" w:eastAsia="Calibri" w:hAnsi="Verdana" w:cs="Arial"/>
                <w:lang w:val="pt-BR"/>
              </w:rPr>
            </w:pPr>
            <w:r>
              <w:rPr>
                <w:rFonts w:ascii="Verdana" w:eastAsia="Calibri" w:hAnsi="Verdana" w:cs="Arial"/>
                <w:lang w:val="pt-BR"/>
              </w:rPr>
              <w:t xml:space="preserve">Agencia Nacional de Contratación Pública – Colombia Compra Eficiente. Circular Externa Única. </w:t>
            </w:r>
          </w:p>
        </w:tc>
      </w:tr>
    </w:tbl>
    <w:p w14:paraId="6F214018" w14:textId="77777777" w:rsidR="00623237" w:rsidRPr="00810249" w:rsidRDefault="00623237" w:rsidP="00623237">
      <w:pPr>
        <w:widowControl w:val="0"/>
        <w:autoSpaceDE w:val="0"/>
        <w:autoSpaceDN w:val="0"/>
        <w:spacing w:after="0" w:line="276" w:lineRule="auto"/>
        <w:jc w:val="both"/>
        <w:rPr>
          <w:rFonts w:ascii="Verdana" w:hAnsi="Verdana" w:cs="Arial"/>
          <w:lang w:val="pt-BR"/>
        </w:rPr>
      </w:pPr>
    </w:p>
    <w:p w14:paraId="69A4DC5E" w14:textId="77777777" w:rsidR="00623237" w:rsidRPr="00AB70DD" w:rsidRDefault="00623237" w:rsidP="00623237">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AB70DD">
        <w:rPr>
          <w:rFonts w:ascii="Verdana" w:eastAsia="Century Gothic" w:hAnsi="Verdana" w:cs="Century Gothic"/>
          <w:b/>
          <w:bCs/>
        </w:rPr>
        <w:t>Doctrina de la Agencia Nacional de Contratación Pública:</w:t>
      </w:r>
    </w:p>
    <w:p w14:paraId="74A6E187" w14:textId="77777777" w:rsidR="00623237" w:rsidRPr="00AB70DD" w:rsidRDefault="00623237" w:rsidP="00623237">
      <w:pPr>
        <w:widowControl w:val="0"/>
        <w:autoSpaceDE w:val="0"/>
        <w:autoSpaceDN w:val="0"/>
        <w:spacing w:after="0" w:line="276" w:lineRule="auto"/>
        <w:jc w:val="both"/>
        <w:rPr>
          <w:rFonts w:ascii="Verdana" w:hAnsi="Verdana" w:cs="Arial"/>
        </w:rPr>
      </w:pPr>
    </w:p>
    <w:p w14:paraId="41270103" w14:textId="77777777" w:rsidR="00623237" w:rsidRPr="00982D5D" w:rsidRDefault="00623237" w:rsidP="00623237">
      <w:pPr>
        <w:widowControl w:val="0"/>
        <w:autoSpaceDE w:val="0"/>
        <w:autoSpaceDN w:val="0"/>
        <w:spacing w:after="0" w:line="276" w:lineRule="auto"/>
        <w:jc w:val="both"/>
        <w:rPr>
          <w:rFonts w:ascii="Verdana" w:hAnsi="Verdana" w:cs="Arial"/>
          <w:bCs/>
          <w:shd w:val="clear" w:color="auto" w:fill="FFFFFF"/>
        </w:rPr>
      </w:pPr>
      <w:r w:rsidRPr="00AB70DD">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w:t>
      </w:r>
      <w:r w:rsidRPr="00AB70DD">
        <w:rPr>
          <w:rFonts w:ascii="Verdana" w:hAnsi="Verdana" w:cs="Arial"/>
          <w:shd w:val="clear" w:color="auto" w:fill="FFFFFF"/>
          <w:lang w:val="es-ES"/>
        </w:rPr>
        <w:lastRenderedPageBreak/>
        <w:t>de 2021, C-606 del 28 de octubre de 2021 y C-614 del 2 de noviembre de 2021, C-636 del 16 de noviembre de 2021, 681 del 7 de diciembre de 2021, C-686 del 21 de diciembre de 2021, C-697 del 3 de enero de 2022,</w:t>
      </w:r>
      <w:r>
        <w:rPr>
          <w:rFonts w:ascii="Verdana" w:hAnsi="Verdana" w:cs="Arial"/>
          <w:shd w:val="clear" w:color="auto" w:fill="FFFFFF"/>
          <w:lang w:val="es-ES"/>
        </w:rPr>
        <w:t xml:space="preserve"> </w:t>
      </w:r>
      <w:r w:rsidRPr="00AB51C6">
        <w:rPr>
          <w:rFonts w:ascii="Verdana" w:hAnsi="Verdana" w:cs="Arial"/>
          <w:shd w:val="clear" w:color="auto" w:fill="FFFFFF"/>
          <w:lang w:val="es-ES"/>
        </w:rPr>
        <w:t>C-317 del 25 de abril de 2025, C-510 del 4 de junio de 2025,</w:t>
      </w:r>
      <w:r>
        <w:rPr>
          <w:rFonts w:ascii="Verdana" w:hAnsi="Verdana" w:cs="Arial"/>
          <w:shd w:val="clear" w:color="auto" w:fill="FFFFFF"/>
          <w:lang w:val="es-ES"/>
        </w:rPr>
        <w:t xml:space="preserve"> 646 del 26 de junio de 2025, C-957 del 23 de agosto de 2025, C-975 del 28 de agosto de 2025, C-1015 del 4 de septiembre de 2025, C-1096 del 28 de agosto de 2025, C-1170 del 16 de septiembre de 2025, C-1236 del 17 de octubre de 2025, C-1488 del 30 de octubre de 2025, entre otros.</w:t>
      </w:r>
      <w:r w:rsidRPr="00AB70DD">
        <w:rPr>
          <w:rFonts w:ascii="Verdana" w:hAnsi="Verdana" w:cs="Arial"/>
          <w:shd w:val="clear" w:color="auto" w:fill="FFFFFF"/>
          <w:lang w:val="es-ES"/>
        </w:rPr>
        <w:t xml:space="preserve"> </w:t>
      </w:r>
      <w:r w:rsidRPr="00982D5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05EAB6E" w14:textId="77777777" w:rsidR="00623237" w:rsidRPr="00982D5D" w:rsidRDefault="00623237" w:rsidP="00623237">
      <w:pPr>
        <w:spacing w:after="0" w:line="256" w:lineRule="auto"/>
        <w:jc w:val="both"/>
        <w:rPr>
          <w:rFonts w:ascii="Verdana" w:eastAsia="Calibri" w:hAnsi="Verdana" w:cs="Times New Roman"/>
        </w:rPr>
      </w:pPr>
      <w:hyperlink r:id="rId13" w:history="1">
        <w:r w:rsidRPr="00982D5D">
          <w:rPr>
            <w:rFonts w:ascii="Verdana" w:eastAsia="Calibri" w:hAnsi="Verdana" w:cs="Times New Roman"/>
            <w:color w:val="0000FF"/>
            <w:u w:val="single"/>
            <w:lang w:val="es-ES"/>
          </w:rPr>
          <w:t>https://relatoria.colombiacompra.gov.co/busqueda/conceptos</w:t>
        </w:r>
      </w:hyperlink>
      <w:r w:rsidRPr="00982D5D">
        <w:rPr>
          <w:rFonts w:ascii="Verdana" w:eastAsia="Calibri" w:hAnsi="Verdana" w:cs="Times New Roman"/>
        </w:rPr>
        <w:t xml:space="preserve">. </w:t>
      </w:r>
    </w:p>
    <w:p w14:paraId="1AE35E8D" w14:textId="77777777" w:rsidR="00623237" w:rsidRPr="00FF7C60" w:rsidRDefault="00623237" w:rsidP="00623237">
      <w:pPr>
        <w:widowControl w:val="0"/>
        <w:autoSpaceDE w:val="0"/>
        <w:autoSpaceDN w:val="0"/>
        <w:spacing w:after="0" w:line="276" w:lineRule="auto"/>
        <w:jc w:val="both"/>
        <w:rPr>
          <w:rFonts w:ascii="Verdana" w:eastAsia="Calibri" w:hAnsi="Verdana" w:cs="Arial"/>
          <w:color w:val="FF0000"/>
          <w:shd w:val="clear" w:color="auto" w:fill="FFFFFF"/>
          <w:lang w:val="es-ES_tradnl"/>
        </w:rPr>
      </w:pPr>
    </w:p>
    <w:p w14:paraId="1FAEF48E" w14:textId="77777777" w:rsidR="00623237" w:rsidRPr="00FF7C60" w:rsidRDefault="00623237" w:rsidP="00623237">
      <w:pPr>
        <w:shd w:val="clear" w:color="auto" w:fill="FFFFFF"/>
        <w:spacing w:after="0" w:line="276" w:lineRule="auto"/>
        <w:jc w:val="both"/>
        <w:rPr>
          <w:rFonts w:ascii="Verdana" w:hAnsi="Verdana" w:cs="Times New Roman"/>
          <w:color w:val="467886"/>
          <w:u w:val="single"/>
        </w:rPr>
      </w:pPr>
      <w:r w:rsidRPr="00FF7C60">
        <w:rPr>
          <w:rFonts w:ascii="Verdana" w:eastAsia="Calibri" w:hAnsi="Verdana" w:cs="Times New Roman"/>
          <w:color w:val="000000"/>
        </w:rPr>
        <w:t>Te informamos que ya se encuentra disponible la </w:t>
      </w:r>
      <w:r w:rsidRPr="00FF7C60">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FF7C60">
        <w:rPr>
          <w:rFonts w:ascii="Verdana" w:eastAsia="Calibri" w:hAnsi="Verdana" w:cs="Times New Roman"/>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FF7C60">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r w:rsidRPr="00FF7C60">
        <w:rPr>
          <w:rFonts w:ascii="Verdana" w:eastAsia="Calibri" w:hAnsi="Verdana" w:cs="Times New Roman"/>
          <w:color w:val="000000"/>
          <w:u w:val="single"/>
        </w:rPr>
        <w:t>.</w:t>
      </w:r>
    </w:p>
    <w:p w14:paraId="15E8C14F" w14:textId="77777777" w:rsidR="00623237" w:rsidRPr="00FF7C60" w:rsidRDefault="00623237" w:rsidP="00623237">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r w:rsidRPr="00FF7C60">
        <w:rPr>
          <w:rFonts w:ascii="Verdana" w:eastAsia="Calibri" w:hAnsi="Verdana" w:cs="Arial"/>
          <w:color w:val="000000" w:themeColor="text1"/>
          <w:shd w:val="clear" w:color="auto" w:fill="FFFFFF"/>
          <w:lang w:val="es-ES_tradnl"/>
        </w:rPr>
        <w:t xml:space="preserve"> </w:t>
      </w:r>
    </w:p>
    <w:p w14:paraId="1D4C9F63" w14:textId="77777777" w:rsidR="00623237" w:rsidRPr="00FF7C60" w:rsidRDefault="00623237" w:rsidP="00623237">
      <w:pPr>
        <w:spacing w:after="0" w:line="256" w:lineRule="auto"/>
        <w:jc w:val="both"/>
        <w:rPr>
          <w:rFonts w:ascii="Verdana" w:eastAsia="Calibri" w:hAnsi="Verdana"/>
        </w:rPr>
      </w:pPr>
      <w:r w:rsidRPr="00FF7C60">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F8B4879" w14:textId="77777777" w:rsidR="00623237" w:rsidRPr="00FF7C60" w:rsidRDefault="00623237" w:rsidP="00623237">
      <w:pPr>
        <w:spacing w:after="0" w:line="256" w:lineRule="auto"/>
        <w:jc w:val="both"/>
        <w:rPr>
          <w:rFonts w:ascii="Verdana" w:eastAsia="Calibri" w:hAnsi="Verdana" w:cs="Times New Roman"/>
        </w:rPr>
      </w:pPr>
    </w:p>
    <w:p w14:paraId="3D680394" w14:textId="77777777" w:rsidR="00623237" w:rsidRPr="00FF7C60" w:rsidRDefault="00623237" w:rsidP="00623237">
      <w:pPr>
        <w:numPr>
          <w:ilvl w:val="0"/>
          <w:numId w:val="15"/>
        </w:numPr>
        <w:spacing w:after="0" w:line="240" w:lineRule="auto"/>
        <w:contextualSpacing/>
        <w:jc w:val="both"/>
        <w:rPr>
          <w:rFonts w:ascii="Verdana" w:eastAsia="Verdana" w:hAnsi="Verdana" w:cs="Verdana"/>
          <w:color w:val="4472C4" w:themeColor="accent1"/>
          <w:u w:val="single"/>
          <w:lang w:val="es-MX"/>
        </w:rPr>
      </w:pPr>
      <w:r w:rsidRPr="00FF7C60">
        <w:rPr>
          <w:rFonts w:ascii="Verdana" w:eastAsia="Verdana" w:hAnsi="Verdana" w:cs="Verdana"/>
          <w:lang w:val="es-MX"/>
        </w:rPr>
        <w:t xml:space="preserve">Línea nacional gratuita o servicio a la ciudadanía (Mesa de servicio): </w:t>
      </w:r>
      <w:r w:rsidRPr="00FF7C60">
        <w:rPr>
          <w:rFonts w:ascii="Verdana" w:eastAsia="Calibri" w:hAnsi="Verdana" w:cs="Times New Roman"/>
          <w:color w:val="0000FF"/>
          <w:u w:val="single"/>
          <w:lang w:val="es-ES"/>
        </w:rPr>
        <w:t>01800 0520808</w:t>
      </w:r>
    </w:p>
    <w:p w14:paraId="5A5E1264" w14:textId="77777777" w:rsidR="00623237" w:rsidRPr="00FF7C60" w:rsidRDefault="00623237" w:rsidP="00623237">
      <w:pPr>
        <w:numPr>
          <w:ilvl w:val="0"/>
          <w:numId w:val="15"/>
        </w:numPr>
        <w:spacing w:after="0" w:line="256" w:lineRule="auto"/>
        <w:contextualSpacing/>
        <w:rPr>
          <w:rFonts w:ascii="Verdana" w:eastAsia="Verdana" w:hAnsi="Verdana" w:cs="Verdana"/>
          <w:color w:val="4472C4" w:themeColor="accent1"/>
          <w:u w:val="single"/>
          <w:lang w:val="es-MX"/>
        </w:rPr>
      </w:pPr>
      <w:r w:rsidRPr="00FF7C60">
        <w:rPr>
          <w:rFonts w:ascii="Verdana" w:eastAsia="Verdana" w:hAnsi="Verdana" w:cs="Verdana"/>
          <w:lang w:val="es-MX"/>
        </w:rPr>
        <w:t>Línea en Bogotá (Mesa de servicio):</w:t>
      </w:r>
      <w:r w:rsidRPr="00FF7C60">
        <w:rPr>
          <w:rFonts w:ascii="Verdana" w:eastAsia="Calibri" w:hAnsi="Verdana" w:cs="Times New Roman"/>
          <w:color w:val="0000FF"/>
          <w:u w:val="single"/>
          <w:lang w:val="es-ES"/>
        </w:rPr>
        <w:t>+57 601 7456788</w:t>
      </w:r>
    </w:p>
    <w:p w14:paraId="65F4670F" w14:textId="77777777" w:rsidR="00623237" w:rsidRPr="00FF7C60" w:rsidRDefault="00623237" w:rsidP="00623237">
      <w:pPr>
        <w:numPr>
          <w:ilvl w:val="0"/>
          <w:numId w:val="15"/>
        </w:numPr>
        <w:spacing w:after="0" w:line="256" w:lineRule="auto"/>
        <w:contextualSpacing/>
        <w:rPr>
          <w:rFonts w:ascii="Verdana" w:eastAsia="Verdana" w:hAnsi="Verdana" w:cs="Verdana"/>
          <w:color w:val="0000FF"/>
          <w:u w:val="single"/>
          <w:lang w:val="es-MX"/>
        </w:rPr>
      </w:pPr>
      <w:r w:rsidRPr="00FF7C60">
        <w:rPr>
          <w:rFonts w:ascii="Verdana" w:eastAsia="Verdana" w:hAnsi="Verdana" w:cs="Verdana"/>
          <w:lang w:val="es-MX"/>
        </w:rPr>
        <w:t xml:space="preserve">Correo de radicación de correspondencia: </w:t>
      </w:r>
      <w:hyperlink r:id="rId15" w:history="1">
        <w:r w:rsidRPr="00FF7C60">
          <w:rPr>
            <w:rFonts w:ascii="Verdana" w:eastAsia="Verdana" w:hAnsi="Verdana" w:cs="Verdana"/>
            <w:color w:val="0000FF"/>
            <w:u w:val="single"/>
            <w:lang w:val="es-MX"/>
          </w:rPr>
          <w:t>ventanilladeradicacion@colombiacompra.gov.co</w:t>
        </w:r>
      </w:hyperlink>
    </w:p>
    <w:p w14:paraId="6C229765" w14:textId="77777777" w:rsidR="00623237" w:rsidRPr="00FF7C60" w:rsidRDefault="00623237" w:rsidP="00623237">
      <w:pPr>
        <w:numPr>
          <w:ilvl w:val="0"/>
          <w:numId w:val="15"/>
        </w:numPr>
        <w:spacing w:after="0" w:line="256" w:lineRule="auto"/>
        <w:contextualSpacing/>
        <w:rPr>
          <w:rFonts w:ascii="Verdana" w:eastAsia="Verdana" w:hAnsi="Verdana" w:cs="Verdana"/>
          <w:color w:val="0000FF"/>
          <w:u w:val="single"/>
          <w:lang w:val="es-MX"/>
        </w:rPr>
      </w:pPr>
      <w:r w:rsidRPr="00FF7C60">
        <w:rPr>
          <w:rFonts w:ascii="Verdana" w:eastAsia="Verdana" w:hAnsi="Verdana" w:cs="Verdana"/>
          <w:lang w:val="es-ES"/>
        </w:rPr>
        <w:lastRenderedPageBreak/>
        <w:t xml:space="preserve">Formulario web para PQRSD: </w:t>
      </w:r>
      <w:hyperlink r:id="rId16" w:history="1">
        <w:r w:rsidRPr="00FF7C60">
          <w:rPr>
            <w:rFonts w:ascii="Verdana" w:eastAsia="Verdana" w:hAnsi="Verdana" w:cs="Verdana"/>
            <w:color w:val="0000FF"/>
            <w:u w:val="single"/>
            <w:lang w:val="es-MX"/>
          </w:rPr>
          <w:t>https://www.colombiacompra.gov.co/pqrsd/informacion-importante-antes-de-formular-una-pqrsd</w:t>
        </w:r>
      </w:hyperlink>
    </w:p>
    <w:p w14:paraId="0616DB95" w14:textId="77777777" w:rsidR="00623237" w:rsidRPr="00FF7C60" w:rsidRDefault="00623237" w:rsidP="00623237">
      <w:pPr>
        <w:spacing w:after="0" w:line="240" w:lineRule="auto"/>
        <w:ind w:left="720"/>
        <w:jc w:val="both"/>
        <w:rPr>
          <w:rFonts w:ascii="Verdana" w:hAnsi="Verdana"/>
        </w:rPr>
      </w:pPr>
    </w:p>
    <w:p w14:paraId="35F2872C" w14:textId="77777777" w:rsidR="00623237" w:rsidRPr="00FF7C60" w:rsidRDefault="00623237" w:rsidP="00623237">
      <w:pPr>
        <w:spacing w:after="0" w:line="240" w:lineRule="auto"/>
        <w:rPr>
          <w:rFonts w:ascii="Verdana" w:eastAsia="Calibri" w:hAnsi="Verdana" w:cs="Times New Roman"/>
        </w:rPr>
      </w:pPr>
      <w:r w:rsidRPr="00FF7C60">
        <w:rPr>
          <w:rFonts w:ascii="Verdana" w:eastAsia="Calibri" w:hAnsi="Verdana" w:cs="Times New Roman"/>
        </w:rPr>
        <w:t>Evalúa el servicio que ofrece la Agencia por el canal de atención de PQRSD en el siguiente enlace :</w:t>
      </w:r>
      <w:hyperlink r:id="rId17" w:tgtFrame="_blank" w:tooltip="https://forms.office.com/r/pphywvs2sz" w:history="1">
        <w:r w:rsidRPr="00FF7C60">
          <w:rPr>
            <w:rFonts w:ascii="Verdana" w:eastAsia="Calibri" w:hAnsi="Verdana" w:cs="Times New Roman"/>
            <w:color w:val="0000FF"/>
            <w:u w:val="single"/>
          </w:rPr>
          <w:t>https://forms.office.com/r/pPHyWVs2SZ</w:t>
        </w:r>
      </w:hyperlink>
      <w:r w:rsidRPr="00FF7C60">
        <w:rPr>
          <w:rFonts w:ascii="Verdana" w:eastAsia="Calibri" w:hAnsi="Verdana" w:cs="Times New Roman"/>
        </w:rPr>
        <w:t xml:space="preserve"> .¡Ayúdanos a mejorar porque el compromiso es de todos!</w:t>
      </w:r>
    </w:p>
    <w:p w14:paraId="3438649F" w14:textId="77777777" w:rsidR="00623237" w:rsidRPr="00FF7C60" w:rsidRDefault="00623237" w:rsidP="00623237">
      <w:pPr>
        <w:spacing w:after="0" w:line="240" w:lineRule="auto"/>
        <w:rPr>
          <w:rFonts w:ascii="Verdana" w:eastAsia="Calibri" w:hAnsi="Verdana" w:cs="Times New Roman"/>
        </w:rPr>
      </w:pPr>
    </w:p>
    <w:p w14:paraId="72790618" w14:textId="77777777" w:rsidR="00623237" w:rsidRPr="00FF7C60" w:rsidRDefault="00623237" w:rsidP="00623237">
      <w:pPr>
        <w:spacing w:after="0" w:line="240" w:lineRule="auto"/>
        <w:jc w:val="both"/>
        <w:rPr>
          <w:rFonts w:ascii="Verdana" w:eastAsia="Calibri" w:hAnsi="Verdana" w:cs="Times New Roman"/>
        </w:rPr>
      </w:pPr>
      <w:r w:rsidRPr="00FF7C60">
        <w:rPr>
          <w:rFonts w:ascii="Verdana" w:eastAsia="Calibri" w:hAnsi="Verdana" w:cs="Times New Roman"/>
        </w:rPr>
        <w:t xml:space="preserve">Por último, lo invitamos a seguirnos en las redes sociales en las cuales se difunde información institucional: </w:t>
      </w:r>
    </w:p>
    <w:p w14:paraId="27EBBADC" w14:textId="77777777" w:rsidR="00623237" w:rsidRPr="00FF7C60" w:rsidRDefault="00623237" w:rsidP="00623237">
      <w:pPr>
        <w:spacing w:after="0" w:line="240" w:lineRule="auto"/>
        <w:jc w:val="both"/>
        <w:rPr>
          <w:rFonts w:ascii="Verdana" w:eastAsia="Calibri" w:hAnsi="Verdana" w:cs="Times New Roman"/>
        </w:rPr>
      </w:pPr>
    </w:p>
    <w:p w14:paraId="196C5261" w14:textId="77777777" w:rsidR="00623237" w:rsidRPr="00FF7C60" w:rsidRDefault="00623237" w:rsidP="00623237">
      <w:pPr>
        <w:spacing w:after="0" w:line="240" w:lineRule="auto"/>
        <w:jc w:val="both"/>
        <w:rPr>
          <w:rFonts w:ascii="Verdana" w:eastAsia="Calibri" w:hAnsi="Verdana" w:cs="Times New Roman"/>
        </w:rPr>
      </w:pPr>
      <w:r w:rsidRPr="00FF7C60">
        <w:rPr>
          <w:rFonts w:ascii="Verdana" w:eastAsia="Calibri" w:hAnsi="Verdana" w:cs="Times New Roman"/>
        </w:rPr>
        <w:t xml:space="preserve">Twitter: </w:t>
      </w:r>
      <w:r w:rsidRPr="00FF7C60">
        <w:rPr>
          <w:rFonts w:ascii="Verdana" w:eastAsia="Calibri" w:hAnsi="Verdana" w:cs="Times New Roman"/>
          <w:color w:val="0000FF"/>
          <w:u w:val="single"/>
        </w:rPr>
        <w:t>@colombiacompra</w:t>
      </w:r>
      <w:r w:rsidRPr="00FF7C60">
        <w:rPr>
          <w:rFonts w:ascii="Verdana" w:eastAsia="Calibri" w:hAnsi="Verdana" w:cs="Times New Roman"/>
        </w:rPr>
        <w:t xml:space="preserve"> </w:t>
      </w:r>
    </w:p>
    <w:p w14:paraId="6BA11F83" w14:textId="77777777" w:rsidR="00623237" w:rsidRPr="00FF7C60" w:rsidRDefault="00623237" w:rsidP="00623237">
      <w:pPr>
        <w:spacing w:after="0" w:line="240" w:lineRule="auto"/>
        <w:jc w:val="both"/>
        <w:rPr>
          <w:rFonts w:ascii="Verdana" w:eastAsia="Calibri" w:hAnsi="Verdana" w:cs="Times New Roman"/>
        </w:rPr>
      </w:pPr>
      <w:r w:rsidRPr="00FF7C60">
        <w:rPr>
          <w:rFonts w:ascii="Verdana" w:eastAsia="Calibri" w:hAnsi="Verdana" w:cs="Times New Roman"/>
        </w:rPr>
        <w:t xml:space="preserve">Facebook: </w:t>
      </w:r>
      <w:r w:rsidRPr="00FF7C60">
        <w:rPr>
          <w:rFonts w:ascii="Verdana" w:eastAsia="Calibri" w:hAnsi="Verdana" w:cs="Times New Roman"/>
          <w:color w:val="0000FF"/>
          <w:u w:val="single"/>
        </w:rPr>
        <w:t>ColombiaCompraEficiente</w:t>
      </w:r>
    </w:p>
    <w:p w14:paraId="1F42E159" w14:textId="77777777" w:rsidR="00623237" w:rsidRPr="00FF7C60" w:rsidRDefault="00623237" w:rsidP="00623237">
      <w:pPr>
        <w:spacing w:after="0" w:line="240" w:lineRule="auto"/>
        <w:jc w:val="both"/>
        <w:rPr>
          <w:rFonts w:ascii="Verdana" w:eastAsia="Calibri" w:hAnsi="Verdana" w:cs="Times New Roman"/>
        </w:rPr>
      </w:pPr>
      <w:r w:rsidRPr="00FF7C60">
        <w:rPr>
          <w:rFonts w:ascii="Verdana" w:eastAsia="Calibri" w:hAnsi="Verdana" w:cs="Times New Roman"/>
        </w:rPr>
        <w:t xml:space="preserve">LinkedIn: </w:t>
      </w:r>
      <w:r w:rsidRPr="00FF7C60">
        <w:rPr>
          <w:rFonts w:ascii="Verdana" w:eastAsia="Calibri" w:hAnsi="Verdana" w:cs="Times New Roman"/>
          <w:color w:val="0000FF"/>
          <w:u w:val="single"/>
        </w:rPr>
        <w:t>Agencia Nacional de Contratación Pública - Colombia Compra Eficiente</w:t>
      </w:r>
      <w:r w:rsidRPr="00FF7C60">
        <w:rPr>
          <w:rFonts w:ascii="Verdana" w:eastAsia="Calibri" w:hAnsi="Verdana" w:cs="Times New Roman"/>
        </w:rPr>
        <w:t xml:space="preserve"> Instagram: </w:t>
      </w:r>
      <w:r w:rsidRPr="00FF7C60">
        <w:rPr>
          <w:rFonts w:ascii="Verdana" w:eastAsia="Calibri" w:hAnsi="Verdana" w:cs="Times New Roman"/>
          <w:color w:val="0000FF"/>
          <w:u w:val="single"/>
        </w:rPr>
        <w:t>@colombiacompraeficiente_cce</w:t>
      </w:r>
    </w:p>
    <w:p w14:paraId="63CBD771" w14:textId="77777777" w:rsidR="00623237" w:rsidRPr="00FF7C60" w:rsidRDefault="00623237" w:rsidP="00623237">
      <w:pPr>
        <w:widowControl w:val="0"/>
        <w:autoSpaceDE w:val="0"/>
        <w:autoSpaceDN w:val="0"/>
        <w:spacing w:after="120" w:line="276" w:lineRule="auto"/>
        <w:jc w:val="both"/>
        <w:rPr>
          <w:rFonts w:ascii="Verdana" w:eastAsia="Calibri" w:hAnsi="Verdana" w:cs="Arial"/>
          <w:color w:val="FF0000"/>
          <w:shd w:val="clear" w:color="auto" w:fill="FFFFFF"/>
          <w:lang w:val="es-ES_tradnl"/>
        </w:rPr>
      </w:pPr>
      <w:r w:rsidRPr="00FF7C60">
        <w:rPr>
          <w:rFonts w:ascii="Verdana" w:eastAsia="Calibri" w:hAnsi="Verdana" w:cs="Arial"/>
          <w:color w:val="FF0000"/>
          <w:shd w:val="clear" w:color="auto" w:fill="FFFFFF"/>
          <w:lang w:val="es-ES_tradnl"/>
        </w:rPr>
        <w:t xml:space="preserve">        </w:t>
      </w:r>
    </w:p>
    <w:p w14:paraId="1E14E82A" w14:textId="77777777" w:rsidR="00623237" w:rsidRPr="00FF7C60" w:rsidRDefault="00623237" w:rsidP="00623237">
      <w:pPr>
        <w:widowControl w:val="0"/>
        <w:autoSpaceDE w:val="0"/>
        <w:autoSpaceDN w:val="0"/>
        <w:spacing w:after="0" w:line="276" w:lineRule="auto"/>
        <w:jc w:val="both"/>
        <w:rPr>
          <w:rFonts w:ascii="Verdana" w:eastAsia="Calibri" w:hAnsi="Verdana" w:cs="Arial"/>
          <w:lang w:val="es-ES_tradnl"/>
        </w:rPr>
      </w:pPr>
      <w:r w:rsidRPr="00FF7C60">
        <w:rPr>
          <w:rFonts w:ascii="Verdana" w:eastAsia="Calibri"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31B4C21" w14:textId="77777777" w:rsidR="00623237" w:rsidRPr="00FF7C60" w:rsidRDefault="00623237" w:rsidP="00623237">
      <w:pPr>
        <w:widowControl w:val="0"/>
        <w:autoSpaceDE w:val="0"/>
        <w:autoSpaceDN w:val="0"/>
        <w:spacing w:after="0" w:line="276" w:lineRule="auto"/>
        <w:jc w:val="both"/>
        <w:rPr>
          <w:rFonts w:ascii="Verdana" w:eastAsia="Calibri" w:hAnsi="Verdana" w:cs="Arial"/>
          <w:lang w:val="es-ES_tradnl"/>
        </w:rPr>
      </w:pPr>
    </w:p>
    <w:p w14:paraId="694462A8" w14:textId="77777777" w:rsidR="00623237" w:rsidRPr="00FF7C60" w:rsidRDefault="00623237" w:rsidP="00623237">
      <w:pPr>
        <w:spacing w:after="0" w:line="240" w:lineRule="auto"/>
        <w:rPr>
          <w:rFonts w:ascii="Verdana" w:eastAsia="Calibri" w:hAnsi="Verdana" w:cs="Arial"/>
          <w:lang w:val="es-ES_tradnl" w:eastAsia="es-CO"/>
        </w:rPr>
      </w:pPr>
      <w:r w:rsidRPr="00FF7C60">
        <w:rPr>
          <w:rFonts w:ascii="Verdana" w:eastAsia="Times New Roman" w:hAnsi="Verdana" w:cs="Arial"/>
          <w:lang w:val="es-ES_tradnl" w:eastAsia="es-CO"/>
        </w:rPr>
        <w:t>Atentamente,</w:t>
      </w:r>
      <w:r w:rsidRPr="00FF7C60">
        <w:rPr>
          <w:rFonts w:ascii="Verdana" w:eastAsia="Calibri" w:hAnsi="Verdana" w:cs="Arial"/>
          <w:lang w:val="es-ES_tradnl" w:eastAsia="es-CO"/>
        </w:rPr>
        <w:t xml:space="preserve"> </w:t>
      </w:r>
    </w:p>
    <w:p w14:paraId="7F89AA9B" w14:textId="4F56D11F" w:rsidR="00623237" w:rsidRPr="00FF7C60" w:rsidRDefault="00531925" w:rsidP="00623237">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50A16595" wp14:editId="5AC2DE5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623237" w:rsidRPr="00FF7C60" w14:paraId="7077BBE0" w14:textId="77777777" w:rsidTr="003B02A7">
        <w:trPr>
          <w:trHeight w:val="315"/>
        </w:trPr>
        <w:tc>
          <w:tcPr>
            <w:tcW w:w="893" w:type="dxa"/>
            <w:vAlign w:val="center"/>
            <w:hideMark/>
          </w:tcPr>
          <w:p w14:paraId="5F630BDF" w14:textId="77777777" w:rsidR="00623237" w:rsidRPr="00FF7C60" w:rsidRDefault="00623237" w:rsidP="003B02A7">
            <w:pPr>
              <w:spacing w:line="256" w:lineRule="auto"/>
              <w:contextualSpacing/>
              <w:rPr>
                <w:rFonts w:ascii="Verdana" w:eastAsia="Calibri" w:hAnsi="Verdana"/>
                <w:sz w:val="16"/>
                <w:szCs w:val="16"/>
                <w:lang w:eastAsia="es-ES"/>
              </w:rPr>
            </w:pPr>
            <w:r w:rsidRPr="00FF7C60">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5CB44BF" w14:textId="77777777" w:rsidR="00623237" w:rsidRPr="00FF7C60" w:rsidRDefault="00623237" w:rsidP="003B02A7">
            <w:pPr>
              <w:spacing w:line="256" w:lineRule="auto"/>
              <w:contextualSpacing/>
              <w:rPr>
                <w:rFonts w:ascii="Verdana" w:eastAsia="Calibri" w:hAnsi="Verdana" w:cs="Times New Roman"/>
                <w:sz w:val="16"/>
                <w:szCs w:val="16"/>
              </w:rPr>
            </w:pPr>
            <w:r w:rsidRPr="00FF7C60">
              <w:rPr>
                <w:rFonts w:ascii="Verdana" w:eastAsia="Calibri" w:hAnsi="Verdana" w:cs="Times New Roman"/>
                <w:sz w:val="16"/>
                <w:szCs w:val="16"/>
              </w:rPr>
              <w:t>Tatiana Baquero Iguarán</w:t>
            </w:r>
          </w:p>
          <w:p w14:paraId="12195252" w14:textId="77777777" w:rsidR="00623237" w:rsidRPr="00FF7C60" w:rsidRDefault="00623237" w:rsidP="003B02A7">
            <w:pPr>
              <w:spacing w:line="256" w:lineRule="auto"/>
              <w:contextualSpacing/>
              <w:rPr>
                <w:rFonts w:ascii="Verdana" w:hAnsi="Verdana"/>
                <w:sz w:val="16"/>
                <w:szCs w:val="16"/>
              </w:rPr>
            </w:pPr>
            <w:r w:rsidRPr="00FF7C60">
              <w:rPr>
                <w:rFonts w:ascii="Verdana" w:eastAsia="Calibri" w:hAnsi="Verdana" w:cs="Times New Roman"/>
                <w:sz w:val="16"/>
                <w:szCs w:val="16"/>
              </w:rPr>
              <w:t>Contratista de la Subdirección de Gestión Contractual</w:t>
            </w:r>
          </w:p>
        </w:tc>
      </w:tr>
      <w:tr w:rsidR="00623237" w:rsidRPr="00FF7C60" w14:paraId="7AD74CE7" w14:textId="77777777" w:rsidTr="003B02A7">
        <w:trPr>
          <w:trHeight w:val="330"/>
        </w:trPr>
        <w:tc>
          <w:tcPr>
            <w:tcW w:w="893" w:type="dxa"/>
            <w:vAlign w:val="center"/>
            <w:hideMark/>
          </w:tcPr>
          <w:p w14:paraId="3C6F6108" w14:textId="77777777" w:rsidR="00623237" w:rsidRPr="00FF7C60" w:rsidRDefault="00623237" w:rsidP="003B02A7">
            <w:pPr>
              <w:spacing w:line="256" w:lineRule="auto"/>
              <w:contextualSpacing/>
              <w:rPr>
                <w:rFonts w:ascii="Verdana" w:eastAsia="Calibri" w:hAnsi="Verdana"/>
                <w:sz w:val="16"/>
                <w:szCs w:val="16"/>
                <w:lang w:eastAsia="es-ES"/>
              </w:rPr>
            </w:pPr>
            <w:r w:rsidRPr="00FF7C60">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7EA5609" w14:textId="77777777" w:rsidR="00623237" w:rsidRPr="00FF7C60" w:rsidRDefault="00623237" w:rsidP="003B02A7">
            <w:pPr>
              <w:spacing w:before="100" w:beforeAutospacing="1" w:afterAutospacing="1" w:line="256" w:lineRule="auto"/>
              <w:contextualSpacing/>
              <w:textAlignment w:val="baseline"/>
              <w:rPr>
                <w:rFonts w:ascii="Verdana" w:eastAsia="Times New Roman" w:hAnsi="Verdana"/>
                <w:sz w:val="16"/>
                <w:szCs w:val="16"/>
                <w:lang w:eastAsia="es-ES_tradnl"/>
              </w:rPr>
            </w:pPr>
            <w:r w:rsidRPr="00FF7C60">
              <w:rPr>
                <w:rFonts w:ascii="Verdana" w:eastAsia="Times New Roman" w:hAnsi="Verdana"/>
                <w:sz w:val="16"/>
                <w:szCs w:val="16"/>
                <w:lang w:eastAsia="es-ES_tradnl"/>
              </w:rPr>
              <w:t>Alejandro Sarmiento Cantillo</w:t>
            </w:r>
          </w:p>
          <w:p w14:paraId="13F360DA" w14:textId="77777777" w:rsidR="00623237" w:rsidRPr="00FF7C60" w:rsidRDefault="00623237" w:rsidP="003B02A7">
            <w:pPr>
              <w:spacing w:line="256" w:lineRule="auto"/>
              <w:contextualSpacing/>
              <w:textAlignment w:val="baseline"/>
              <w:rPr>
                <w:rFonts w:ascii="Verdana" w:eastAsia="Times New Roman" w:hAnsi="Verdana" w:cs="Segoe UI"/>
                <w:sz w:val="16"/>
                <w:szCs w:val="16"/>
                <w:lang w:eastAsia="es-ES_tradnl"/>
              </w:rPr>
            </w:pPr>
            <w:r w:rsidRPr="00FF7C60">
              <w:rPr>
                <w:rFonts w:ascii="Verdana" w:eastAsia="Times New Roman" w:hAnsi="Verdana"/>
                <w:sz w:val="16"/>
                <w:szCs w:val="16"/>
                <w:lang w:eastAsia="es-ES_tradnl"/>
              </w:rPr>
              <w:t>Gestor T1 ‒ 15 de la Subdirección de Gestión Contractual </w:t>
            </w:r>
          </w:p>
        </w:tc>
      </w:tr>
      <w:tr w:rsidR="00623237" w:rsidRPr="00FF7C60" w14:paraId="3B25853B" w14:textId="77777777" w:rsidTr="003B02A7">
        <w:trPr>
          <w:trHeight w:val="300"/>
        </w:trPr>
        <w:tc>
          <w:tcPr>
            <w:tcW w:w="893" w:type="dxa"/>
            <w:vAlign w:val="center"/>
          </w:tcPr>
          <w:p w14:paraId="30AE4596" w14:textId="77777777" w:rsidR="00623237" w:rsidRPr="00FF7C60" w:rsidRDefault="00623237" w:rsidP="003B02A7">
            <w:pPr>
              <w:spacing w:line="256" w:lineRule="auto"/>
              <w:contextualSpacing/>
              <w:rPr>
                <w:rFonts w:ascii="Verdana" w:eastAsia="Calibri" w:hAnsi="Verdana"/>
                <w:sz w:val="16"/>
                <w:szCs w:val="16"/>
                <w:lang w:eastAsia="es-ES"/>
              </w:rPr>
            </w:pPr>
            <w:r w:rsidRPr="00FF7C60">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B05526" w14:textId="77777777" w:rsidR="00623237" w:rsidRPr="00FF7C60" w:rsidRDefault="00623237" w:rsidP="003B02A7">
            <w:pPr>
              <w:spacing w:line="256" w:lineRule="auto"/>
              <w:contextualSpacing/>
              <w:rPr>
                <w:rFonts w:ascii="Verdana" w:eastAsia="Calibri" w:hAnsi="Verdana"/>
                <w:sz w:val="16"/>
                <w:szCs w:val="16"/>
                <w:lang w:val="pt-BR" w:eastAsia="es-ES"/>
              </w:rPr>
            </w:pPr>
            <w:r w:rsidRPr="00FF7C60">
              <w:rPr>
                <w:rFonts w:ascii="Verdana" w:eastAsia="Calibri" w:hAnsi="Verdana"/>
                <w:sz w:val="16"/>
                <w:szCs w:val="16"/>
                <w:lang w:val="pt-BR" w:eastAsia="es-ES"/>
              </w:rPr>
              <w:t>Carolina Quintero Gacharná</w:t>
            </w:r>
          </w:p>
          <w:p w14:paraId="0FBF5B7D" w14:textId="77777777" w:rsidR="00623237" w:rsidRPr="00FF7C60" w:rsidRDefault="00623237" w:rsidP="003B02A7">
            <w:pPr>
              <w:spacing w:line="256" w:lineRule="auto"/>
              <w:contextualSpacing/>
              <w:rPr>
                <w:rFonts w:ascii="Verdana" w:eastAsia="Calibri" w:hAnsi="Verdana"/>
                <w:sz w:val="16"/>
                <w:szCs w:val="16"/>
                <w:lang w:val="pt-BR" w:eastAsia="es-ES"/>
              </w:rPr>
            </w:pPr>
            <w:r w:rsidRPr="00FF7C60">
              <w:rPr>
                <w:rFonts w:ascii="Verdana" w:eastAsia="Calibri" w:hAnsi="Verdana"/>
                <w:sz w:val="16"/>
                <w:szCs w:val="16"/>
                <w:lang w:eastAsia="es-ES"/>
              </w:rPr>
              <w:t>Subdirectora</w:t>
            </w:r>
            <w:r w:rsidRPr="00FF7C60">
              <w:rPr>
                <w:rFonts w:ascii="Verdana" w:eastAsia="Calibri" w:hAnsi="Verdana"/>
                <w:sz w:val="16"/>
                <w:szCs w:val="16"/>
                <w:lang w:val="pt-BR" w:eastAsia="es-ES"/>
              </w:rPr>
              <w:t xml:space="preserve"> de Gestión Contratual ANCP – CCE</w:t>
            </w:r>
          </w:p>
        </w:tc>
      </w:tr>
    </w:tbl>
    <w:p w14:paraId="2974F277" w14:textId="77777777" w:rsidR="00623237" w:rsidRPr="0035242B" w:rsidRDefault="00623237" w:rsidP="00623237"/>
    <w:p w14:paraId="06868465" w14:textId="77777777" w:rsidR="00623237" w:rsidRPr="00E432B9" w:rsidRDefault="00623237" w:rsidP="00623237"/>
    <w:bookmarkEnd w:id="0"/>
    <w:p w14:paraId="7D8D25BB" w14:textId="77777777" w:rsidR="005C70EF" w:rsidRPr="005C70EF" w:rsidRDefault="005C70EF" w:rsidP="00A17597">
      <w:pPr>
        <w:spacing w:after="0" w:line="240" w:lineRule="auto"/>
        <w:jc w:val="both"/>
        <w:rPr>
          <w:rFonts w:ascii="Verdana" w:hAnsi="Verdana"/>
          <w:lang w:val="es-MX"/>
        </w:rPr>
      </w:pPr>
    </w:p>
    <w:sectPr w:rsidR="005C70EF" w:rsidRPr="005C70EF"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CF9146" w14:textId="77777777" w:rsidR="00863598" w:rsidRDefault="00863598" w:rsidP="004A1847">
      <w:pPr>
        <w:spacing w:after="0" w:line="240" w:lineRule="auto"/>
      </w:pPr>
      <w:r>
        <w:separator/>
      </w:r>
    </w:p>
  </w:endnote>
  <w:endnote w:type="continuationSeparator" w:id="0">
    <w:p w14:paraId="19CFBBC7" w14:textId="77777777" w:rsidR="00863598" w:rsidRDefault="00863598" w:rsidP="004A1847">
      <w:pPr>
        <w:spacing w:after="0" w:line="240" w:lineRule="auto"/>
      </w:pPr>
      <w:r>
        <w:continuationSeparator/>
      </w:r>
    </w:p>
  </w:endnote>
  <w:endnote w:type="continuationNotice" w:id="1">
    <w:p w14:paraId="73F00848" w14:textId="77777777" w:rsidR="00863598" w:rsidRDefault="008635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505795" w:rsidRDefault="00505795">
    <w:pPr>
      <w:pStyle w:val="Piedepgina"/>
    </w:pPr>
  </w:p>
  <w:p w14:paraId="594D6D9F" w14:textId="5E5D99D9" w:rsidR="00505795" w:rsidRPr="00174B77" w:rsidRDefault="0050579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17C8D" w:rsidRPr="00A17C8D">
      <w:rPr>
        <w:rFonts w:ascii="Verdana" w:eastAsiaTheme="minorEastAsia" w:hAnsi="Verdana"/>
        <w:b/>
        <w:bCs/>
        <w:noProof/>
        <w:sz w:val="16"/>
        <w:szCs w:val="16"/>
      </w:rPr>
      <w:t>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05795" w:rsidRDefault="0050579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05795" w:rsidRPr="00E41027" w:rsidRDefault="00505795"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505795" w:rsidRDefault="0050579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115DB" w14:textId="77777777" w:rsidR="00863598" w:rsidRDefault="00863598" w:rsidP="004A1847">
      <w:pPr>
        <w:spacing w:after="0" w:line="240" w:lineRule="auto"/>
      </w:pPr>
      <w:r>
        <w:separator/>
      </w:r>
    </w:p>
  </w:footnote>
  <w:footnote w:type="continuationSeparator" w:id="0">
    <w:p w14:paraId="1DC565EB" w14:textId="77777777" w:rsidR="00863598" w:rsidRDefault="00863598" w:rsidP="004A1847">
      <w:pPr>
        <w:spacing w:after="0" w:line="240" w:lineRule="auto"/>
      </w:pPr>
      <w:r>
        <w:continuationSeparator/>
      </w:r>
    </w:p>
  </w:footnote>
  <w:footnote w:type="continuationNotice" w:id="1">
    <w:p w14:paraId="0F0123F5" w14:textId="77777777" w:rsidR="00863598" w:rsidRDefault="00863598">
      <w:pPr>
        <w:spacing w:after="0" w:line="240" w:lineRule="auto"/>
      </w:pPr>
    </w:p>
  </w:footnote>
  <w:footnote w:id="2">
    <w:p w14:paraId="11F3D111" w14:textId="77777777" w:rsidR="00623237" w:rsidRPr="00F95083" w:rsidRDefault="00623237" w:rsidP="006232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1A8327F" w14:textId="77777777" w:rsidR="00623237" w:rsidRPr="00F95083" w:rsidRDefault="00623237" w:rsidP="00623237">
      <w:pPr>
        <w:pStyle w:val="Textonotapie"/>
        <w:ind w:firstLine="709"/>
        <w:jc w:val="both"/>
        <w:rPr>
          <w:rFonts w:ascii="Verdana" w:hAnsi="Verdana" w:cs="Arial"/>
          <w:sz w:val="15"/>
          <w:szCs w:val="15"/>
        </w:rPr>
      </w:pPr>
      <w:r w:rsidRPr="00F95083">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CA60A41" w14:textId="77777777" w:rsidR="00623237" w:rsidRPr="00F95083" w:rsidRDefault="00623237" w:rsidP="006232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Gaceta del Congreso de la República No. 71 del 2005.</w:t>
      </w:r>
    </w:p>
  </w:footnote>
  <w:footnote w:id="4">
    <w:p w14:paraId="48E42A77" w14:textId="77777777" w:rsidR="00623237" w:rsidRPr="00F95083" w:rsidRDefault="00623237" w:rsidP="00623237">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 C- 1153 de 2005, M.P. Marco Gerardo Monroy Cabra.</w:t>
      </w:r>
    </w:p>
  </w:footnote>
  <w:footnote w:id="5">
    <w:p w14:paraId="743E02AD" w14:textId="77777777" w:rsidR="00623237" w:rsidRPr="00F95083" w:rsidRDefault="00623237" w:rsidP="00623237">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9F992D3" w14:textId="77777777" w:rsidR="00623237" w:rsidRPr="00F95083" w:rsidRDefault="00623237" w:rsidP="00623237">
      <w:pPr>
        <w:pStyle w:val="Textonotapie"/>
        <w:ind w:firstLine="709"/>
        <w:jc w:val="both"/>
        <w:rPr>
          <w:rFonts w:ascii="Verdana" w:hAnsi="Verdana" w:cs="Arial"/>
          <w:sz w:val="15"/>
          <w:szCs w:val="15"/>
          <w:lang w:val="es-CO"/>
        </w:rPr>
      </w:pPr>
      <w:r w:rsidRPr="00F95083">
        <w:rPr>
          <w:rStyle w:val="Refdenotaalpie"/>
          <w:rFonts w:ascii="Verdana" w:hAnsi="Verdana" w:cs="Arial"/>
          <w:sz w:val="15"/>
          <w:szCs w:val="15"/>
        </w:rPr>
        <w:footnoteRef/>
      </w:r>
      <w:r w:rsidRPr="00F95083">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6825263" w14:textId="77777777" w:rsidR="00623237" w:rsidRPr="00F95083" w:rsidRDefault="00623237" w:rsidP="006232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de fecha 24 de julio de 2013, radicado 2166, C. P. Álvaro Namén Vargas.  </w:t>
      </w:r>
    </w:p>
  </w:footnote>
  <w:footnote w:id="8">
    <w:p w14:paraId="109F807A" w14:textId="77777777" w:rsidR="00623237" w:rsidRPr="00F95083" w:rsidRDefault="00623237" w:rsidP="00623237">
      <w:pPr>
        <w:spacing w:after="0" w:line="240" w:lineRule="auto"/>
        <w:ind w:firstLine="709"/>
        <w:jc w:val="both"/>
        <w:rPr>
          <w:rFonts w:ascii="Verdana" w:eastAsia="Times New Roman"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5" w:name="33"/>
      <w:r w:rsidRPr="00F95083">
        <w:rPr>
          <w:rFonts w:ascii="Verdana" w:eastAsia="Calibri" w:hAnsi="Verdana" w:cs="Arial"/>
          <w:color w:val="000000"/>
          <w:sz w:val="15"/>
          <w:szCs w:val="15"/>
        </w:rPr>
        <w:t>“</w:t>
      </w:r>
      <w:r w:rsidRPr="00F95083">
        <w:rPr>
          <w:rFonts w:ascii="Verdana" w:eastAsia="Times New Roman" w:hAnsi="Verdana" w:cs="Arial"/>
          <w:sz w:val="15"/>
          <w:szCs w:val="15"/>
        </w:rPr>
        <w:t>Artículo 33. Restricciones a la contratación pública.</w:t>
      </w:r>
      <w:bookmarkEnd w:id="5"/>
      <w:r w:rsidRPr="00F95083">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521079FF" w14:textId="77777777" w:rsidR="00623237" w:rsidRPr="00F95083" w:rsidRDefault="00623237" w:rsidP="00623237">
      <w:pPr>
        <w:spacing w:after="0" w:line="240" w:lineRule="auto"/>
        <w:ind w:firstLine="709"/>
        <w:jc w:val="both"/>
        <w:rPr>
          <w:rFonts w:ascii="Verdana" w:eastAsia="Times New Roman" w:hAnsi="Verdana" w:cs="Arial"/>
          <w:sz w:val="15"/>
          <w:szCs w:val="15"/>
        </w:rPr>
      </w:pPr>
      <w:r w:rsidRPr="00F95083">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95083">
        <w:rPr>
          <w:rFonts w:ascii="Verdana" w:eastAsia="Calibri" w:hAnsi="Verdana" w:cs="Arial"/>
          <w:color w:val="000000"/>
          <w:sz w:val="15"/>
          <w:szCs w:val="15"/>
        </w:rPr>
        <w:t>”</w:t>
      </w:r>
      <w:r w:rsidRPr="00F95083">
        <w:rPr>
          <w:rFonts w:ascii="Verdana" w:eastAsia="Times New Roman" w:hAnsi="Verdana" w:cs="Arial"/>
          <w:sz w:val="15"/>
          <w:szCs w:val="15"/>
        </w:rPr>
        <w:t>.</w:t>
      </w:r>
    </w:p>
  </w:footnote>
  <w:footnote w:id="9">
    <w:p w14:paraId="5D2515E2" w14:textId="77777777" w:rsidR="00623237" w:rsidRPr="00F95083" w:rsidRDefault="00623237" w:rsidP="00623237">
      <w:pPr>
        <w:pStyle w:val="NormalWeb"/>
        <w:spacing w:before="0" w:beforeAutospacing="0" w:after="0" w:afterAutospacing="0"/>
        <w:ind w:firstLine="709"/>
        <w:jc w:val="both"/>
        <w:rPr>
          <w:rFonts w:ascii="Verdana" w:hAnsi="Verdana" w:cs="Arial"/>
          <w:sz w:val="15"/>
          <w:szCs w:val="15"/>
          <w:lang w:val="es-MX"/>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6" w:name="38"/>
      <w:r w:rsidRPr="00F95083">
        <w:rPr>
          <w:rFonts w:ascii="Verdana" w:eastAsia="Calibri" w:hAnsi="Verdana" w:cs="Arial"/>
          <w:color w:val="000000"/>
          <w:sz w:val="15"/>
          <w:szCs w:val="15"/>
        </w:rPr>
        <w:t>“</w:t>
      </w:r>
      <w:r w:rsidRPr="00F95083">
        <w:rPr>
          <w:rFonts w:ascii="Verdana" w:hAnsi="Verdana" w:cs="Arial"/>
          <w:sz w:val="15"/>
          <w:szCs w:val="15"/>
          <w:lang w:val="es-MX"/>
        </w:rPr>
        <w:t>Artículo 38. Prohibiciones para los servidores públicos. A los empleados del Estado les está prohibido:</w:t>
      </w:r>
      <w:bookmarkEnd w:id="6"/>
      <w:r w:rsidRPr="00F95083">
        <w:rPr>
          <w:rFonts w:ascii="Verdana" w:hAnsi="Verdana" w:cs="Arial"/>
          <w:sz w:val="15"/>
          <w:szCs w:val="15"/>
          <w:lang w:val="es-MX"/>
        </w:rPr>
        <w:t xml:space="preserve"> […]</w:t>
      </w:r>
    </w:p>
    <w:p w14:paraId="72C56EAB" w14:textId="77777777" w:rsidR="00623237" w:rsidRPr="00F95083" w:rsidRDefault="00623237" w:rsidP="00623237">
      <w:pPr>
        <w:pStyle w:val="NormalWeb"/>
        <w:spacing w:before="0" w:beforeAutospacing="0" w:after="0" w:afterAutospacing="0"/>
        <w:ind w:firstLine="709"/>
        <w:jc w:val="both"/>
        <w:rPr>
          <w:rFonts w:ascii="Verdana" w:hAnsi="Verdana" w:cs="Arial"/>
          <w:sz w:val="15"/>
          <w:szCs w:val="15"/>
          <w:lang w:val="es-MX"/>
        </w:rPr>
      </w:pPr>
      <w:r w:rsidRPr="00F95083">
        <w:rPr>
          <w:rStyle w:val="baj"/>
          <w:rFonts w:ascii="Verdana" w:hAnsi="Verdana" w:cs="Arial"/>
          <w:sz w:val="15"/>
          <w:szCs w:val="15"/>
          <w:lang w:val="es-MX"/>
        </w:rPr>
        <w:t>Parágrafo.</w:t>
      </w:r>
      <w:r w:rsidRPr="00F95083">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95083">
        <w:rPr>
          <w:rFonts w:ascii="Verdana" w:eastAsia="Calibri" w:hAnsi="Verdana" w:cs="Arial"/>
          <w:color w:val="000000"/>
          <w:sz w:val="15"/>
          <w:szCs w:val="15"/>
        </w:rPr>
        <w:t>”</w:t>
      </w:r>
      <w:r w:rsidRPr="00F95083">
        <w:rPr>
          <w:rFonts w:ascii="Verdana" w:hAnsi="Verdana" w:cs="Arial"/>
          <w:sz w:val="15"/>
          <w:szCs w:val="15"/>
          <w:lang w:val="es-MX"/>
        </w:rPr>
        <w:t>.</w:t>
      </w:r>
    </w:p>
  </w:footnote>
  <w:footnote w:id="10">
    <w:p w14:paraId="1B3381B8" w14:textId="77777777" w:rsidR="00623237" w:rsidRPr="00F95083" w:rsidRDefault="00623237" w:rsidP="00623237">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w:t>
      </w:r>
    </w:p>
  </w:footnote>
  <w:footnote w:id="11">
    <w:p w14:paraId="22044364" w14:textId="77777777" w:rsidR="00623237" w:rsidRPr="00F95083" w:rsidRDefault="00623237" w:rsidP="00623237">
      <w:pPr>
        <w:spacing w:after="0" w:line="240" w:lineRule="auto"/>
        <w:ind w:left="100" w:right="244"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2">
    <w:p w14:paraId="189A1B1D" w14:textId="77777777" w:rsidR="00623237" w:rsidRPr="00F95083" w:rsidRDefault="00623237" w:rsidP="00623237">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[25] </w:t>
      </w:r>
      <w:r w:rsidRPr="00F95083">
        <w:rPr>
          <w:rFonts w:ascii="Verdana" w:hAnsi="Verdana" w:cs="Arial"/>
          <w:sz w:val="15"/>
          <w:szCs w:val="15"/>
        </w:rPr>
        <w:t>Cfr. Consejo de Estado. Sección Tercera. Sentencia de 3 de diciembre de 2007. Radicados: 24.715, 25.206, 25.409, 24.524, 27.834, 25.410, 26.105, 28.244, 31.447 -acumulados-“.</w:t>
      </w:r>
    </w:p>
  </w:footnote>
  <w:footnote w:id="13">
    <w:p w14:paraId="6B0EDB75" w14:textId="77777777" w:rsidR="00623237" w:rsidRPr="00F95083" w:rsidRDefault="00623237" w:rsidP="00623237">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[26] </w:t>
      </w:r>
      <w:r w:rsidRPr="00F95083">
        <w:rPr>
          <w:rFonts w:ascii="Verdana" w:hAnsi="Verdana" w:cs="Arial"/>
          <w:sz w:val="15"/>
          <w:szCs w:val="15"/>
        </w:rPr>
        <w:t>Al respecto ver el concepto 1712 de 2 de febrero de 2006. Consejo de Estado Sala de Consulta y Servicio Civil”.</w:t>
      </w:r>
    </w:p>
  </w:footnote>
  <w:footnote w:id="14">
    <w:p w14:paraId="340612FD" w14:textId="77777777" w:rsidR="00623237" w:rsidRPr="00F95083" w:rsidRDefault="00623237" w:rsidP="006232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68133492" w14:textId="77777777" w:rsidR="00623237" w:rsidRPr="00F95083" w:rsidRDefault="00623237" w:rsidP="00623237">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Artículo 2. </w:t>
      </w:r>
    </w:p>
  </w:footnote>
  <w:footnote w:id="16">
    <w:p w14:paraId="43D4BBE0" w14:textId="77777777" w:rsidR="00623237" w:rsidRPr="00F95083" w:rsidRDefault="00623237" w:rsidP="00623237">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i/>
          <w:sz w:val="15"/>
          <w:szCs w:val="15"/>
          <w:lang w:val="es-ES"/>
        </w:rPr>
        <w:t>Ídem</w:t>
      </w:r>
      <w:r w:rsidRPr="00F95083">
        <w:rPr>
          <w:rFonts w:ascii="Verdana" w:hAnsi="Verdana" w:cs="Arial"/>
          <w:sz w:val="15"/>
          <w:szCs w:val="15"/>
          <w:lang w:val="es-ES"/>
        </w:rPr>
        <w:t>.</w:t>
      </w:r>
    </w:p>
  </w:footnote>
  <w:footnote w:id="17">
    <w:p w14:paraId="53385D5C" w14:textId="77777777" w:rsidR="00623237" w:rsidRPr="00F95083" w:rsidRDefault="00623237" w:rsidP="00623237">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34627C39" w14:textId="77777777" w:rsidR="00623237" w:rsidRPr="00F95083" w:rsidRDefault="00623237" w:rsidP="00623237">
      <w:pPr>
        <w:shd w:val="clear" w:color="auto" w:fill="FFFFFF"/>
        <w:spacing w:after="0" w:line="240" w:lineRule="auto"/>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19">
    <w:p w14:paraId="41445C77" w14:textId="77777777" w:rsidR="00623237" w:rsidRPr="00F95083" w:rsidRDefault="00623237" w:rsidP="006232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08 de mayo de 2018. Exp. 2.382. C.P. Álvaro Namén Vargas.</w:t>
      </w:r>
    </w:p>
  </w:footnote>
  <w:footnote w:id="20">
    <w:p w14:paraId="769C1F30" w14:textId="77777777" w:rsidR="00623237" w:rsidRPr="00F95083" w:rsidRDefault="00623237" w:rsidP="00623237">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5E656C19" w14:textId="77777777" w:rsidR="00623237" w:rsidRPr="00F95083" w:rsidRDefault="00623237" w:rsidP="006232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73F0D811" w14:textId="77777777" w:rsidR="00623237" w:rsidRPr="00F95083" w:rsidRDefault="00623237" w:rsidP="00623237">
      <w:pPr>
        <w:spacing w:after="0" w:line="240" w:lineRule="auto"/>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799DEDF9" w14:textId="77777777" w:rsidR="00623237" w:rsidRPr="00CB2288" w:rsidRDefault="00623237" w:rsidP="00623237">
      <w:pPr>
        <w:pStyle w:val="Textonotapie"/>
        <w:ind w:right="51" w:firstLine="709"/>
        <w:jc w:val="both"/>
        <w:rPr>
          <w:rFonts w:ascii="Verdana" w:eastAsia="Times New Roman" w:hAnsi="Verdana" w:cs="Arial"/>
          <w:bCs/>
          <w:sz w:val="15"/>
          <w:szCs w:val="15"/>
          <w:lang w:eastAsia="x-none"/>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F95083">
        <w:rPr>
          <w:rFonts w:ascii="Verdana" w:eastAsia="Times New Roman" w:hAnsi="Verdana" w:cs="Arial"/>
          <w:bCs/>
          <w:sz w:val="15"/>
          <w:szCs w:val="15"/>
          <w:lang w:eastAsia="x-none"/>
        </w:rPr>
        <w:t xml:space="preserve"> “</w:t>
      </w:r>
      <w:r w:rsidRPr="00F95083">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95083">
        <w:rPr>
          <w:rFonts w:ascii="Verdana" w:eastAsia="Times New Roman" w:hAnsi="Verdana" w:cs="Arial"/>
          <w:bCs/>
          <w:sz w:val="15"/>
          <w:szCs w:val="15"/>
          <w:lang w:eastAsia="x-none"/>
        </w:rPr>
        <w:t>”.</w:t>
      </w:r>
    </w:p>
  </w:footnote>
  <w:footnote w:id="24">
    <w:p w14:paraId="3ABF5594" w14:textId="77777777" w:rsidR="00623237" w:rsidRPr="00F95083" w:rsidRDefault="00623237" w:rsidP="00623237">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5">
    <w:p w14:paraId="5942ECCD" w14:textId="77777777" w:rsidR="00623237" w:rsidRPr="00F95083" w:rsidRDefault="00623237" w:rsidP="00623237">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26">
    <w:p w14:paraId="77834CBC" w14:textId="77777777" w:rsidR="00623237" w:rsidRPr="003F2A9C" w:rsidRDefault="00623237" w:rsidP="00623237">
      <w:pPr>
        <w:pStyle w:val="Textonotapie"/>
        <w:ind w:firstLine="708"/>
        <w:jc w:val="both"/>
        <w:rPr>
          <w:rFonts w:ascii="Arial" w:hAnsi="Arial" w:cs="Arial"/>
          <w:sz w:val="16"/>
          <w:szCs w:val="16"/>
        </w:rPr>
      </w:pPr>
      <w:r w:rsidRPr="003F2A9C">
        <w:rPr>
          <w:rStyle w:val="Refdenotaalpie"/>
          <w:rFonts w:ascii="Verdana" w:hAnsi="Verdana" w:cs="Arial"/>
          <w:sz w:val="16"/>
          <w:szCs w:val="16"/>
        </w:rPr>
        <w:footnoteRef/>
      </w:r>
      <w:r w:rsidRPr="003F2A9C">
        <w:rPr>
          <w:rFonts w:ascii="Verdana" w:hAnsi="Verdana" w:cs="Arial"/>
          <w:sz w:val="16"/>
          <w:szCs w:val="16"/>
        </w:rPr>
        <w:t xml:space="preserve"> Colombia Compra Eficiente. Circular Externa Única. Numeral 15.5.</w:t>
      </w:r>
    </w:p>
  </w:footnote>
  <w:footnote w:id="27">
    <w:p w14:paraId="0323C774" w14:textId="77777777" w:rsidR="00623237" w:rsidRPr="00897C82" w:rsidRDefault="00623237" w:rsidP="00623237">
      <w:pPr>
        <w:pStyle w:val="Textonotapie"/>
        <w:ind w:firstLine="708"/>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Es lo que sucede, por ejemplo, con el Decreto 092 de 2017, que en su desarrollo hace referencia tanto a los “contratos” como a los “convenios”. </w:t>
      </w:r>
    </w:p>
  </w:footnote>
  <w:footnote w:id="28">
    <w:p w14:paraId="0EA76A10" w14:textId="77777777" w:rsidR="00623237" w:rsidRPr="00897C82" w:rsidRDefault="00623237" w:rsidP="00623237">
      <w:pPr>
        <w:pStyle w:val="Textonotapie"/>
        <w:ind w:firstLine="708"/>
        <w:jc w:val="both"/>
        <w:rPr>
          <w:rFonts w:ascii="Verdana" w:hAnsi="Verdana" w:cs="Arial"/>
          <w:sz w:val="16"/>
          <w:szCs w:val="16"/>
          <w:lang w:val="pt-BR"/>
        </w:rPr>
      </w:pPr>
      <w:r w:rsidRPr="00897C82">
        <w:rPr>
          <w:rStyle w:val="Refdenotaalpie"/>
          <w:rFonts w:ascii="Verdana" w:hAnsi="Verdana" w:cs="Arial"/>
          <w:sz w:val="16"/>
          <w:szCs w:val="16"/>
        </w:rPr>
        <w:footnoteRef/>
      </w:r>
      <w:r w:rsidRPr="00897C82">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897C82">
        <w:rPr>
          <w:rFonts w:ascii="Verdana" w:hAnsi="Verdana" w:cs="Arial"/>
          <w:sz w:val="16"/>
          <w:szCs w:val="16"/>
          <w:lang w:val="pt-BR"/>
        </w:rPr>
        <w:t>(Corte Constitucional. Sentencia C-671 de 2015. M.P. Alberto Rojas Ríos).</w:t>
      </w:r>
    </w:p>
  </w:footnote>
  <w:footnote w:id="29">
    <w:p w14:paraId="479C8EC7" w14:textId="77777777" w:rsidR="00623237" w:rsidRPr="00897C82" w:rsidRDefault="00623237" w:rsidP="00623237">
      <w:pPr>
        <w:pStyle w:val="Textonotapie"/>
        <w:ind w:firstLine="709"/>
        <w:rPr>
          <w:rFonts w:ascii="Verdana" w:hAnsi="Verdana"/>
          <w:sz w:val="16"/>
          <w:szCs w:val="16"/>
          <w:lang w:val="es-CO"/>
        </w:rPr>
      </w:pPr>
      <w:r w:rsidRPr="00897C82">
        <w:rPr>
          <w:rStyle w:val="Refdenotaalpie"/>
          <w:rFonts w:ascii="Verdana" w:hAnsi="Verdana"/>
          <w:sz w:val="16"/>
          <w:szCs w:val="16"/>
        </w:rPr>
        <w:footnoteRef/>
      </w:r>
      <w:r w:rsidRPr="00897C82">
        <w:rPr>
          <w:rFonts w:ascii="Verdana" w:hAnsi="Verdana"/>
          <w:sz w:val="16"/>
          <w:szCs w:val="16"/>
          <w:lang w:val="es-CO"/>
        </w:rPr>
        <w:t xml:space="preserve"> </w:t>
      </w:r>
      <w:r w:rsidRPr="00897C82">
        <w:rPr>
          <w:rFonts w:ascii="Verdana" w:hAnsi="Verdana" w:cs="Arial"/>
          <w:sz w:val="16"/>
          <w:szCs w:val="16"/>
          <w:lang w:val="es-CO"/>
        </w:rPr>
        <w:t>Consejo de Estado, Sección Tercera. Auto del 4 de octubre de 2024. Exp. 70.313. C.P: Fredy Ibarra Martínez</w:t>
      </w:r>
    </w:p>
  </w:footnote>
  <w:footnote w:id="30">
    <w:p w14:paraId="5C1E4427" w14:textId="77777777" w:rsidR="00623237" w:rsidRPr="00897C82" w:rsidRDefault="00623237" w:rsidP="00623237">
      <w:pPr>
        <w:pStyle w:val="Textonotapie"/>
        <w:ind w:firstLine="709"/>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505795" w:rsidRDefault="00505795">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05795" w:rsidRDefault="00505795">
    <w:pPr>
      <w:pStyle w:val="Encabezado"/>
    </w:pPr>
  </w:p>
  <w:p w14:paraId="3079FC11" w14:textId="77777777" w:rsidR="00505795" w:rsidRDefault="00505795" w:rsidP="004A305D">
    <w:pPr>
      <w:spacing w:after="0"/>
      <w:rPr>
        <w:rFonts w:ascii="Verdana" w:hAnsi="Verdana"/>
        <w:b/>
        <w:bCs/>
      </w:rPr>
    </w:pPr>
  </w:p>
  <w:p w14:paraId="5E18350A" w14:textId="705F7B76" w:rsidR="00505795" w:rsidRPr="004A305D" w:rsidRDefault="00505795" w:rsidP="00B01B1A">
    <w:pPr>
      <w:spacing w:after="0" w:line="120" w:lineRule="auto"/>
      <w:rPr>
        <w:rFonts w:ascii="Century Gothic" w:eastAsia="Geo" w:hAnsi="Century Gothic" w:cs="Geo"/>
        <w:sz w:val="16"/>
        <w:szCs w:val="16"/>
        <w:lang w:eastAsia="es-CO"/>
      </w:rPr>
    </w:pPr>
  </w:p>
  <w:p w14:paraId="1FD1C243" w14:textId="6D74A3CF" w:rsidR="00505795" w:rsidRDefault="0050579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194347614">
    <w:abstractNumId w:val="13"/>
  </w:num>
  <w:num w:numId="2" w16cid:durableId="500238443">
    <w:abstractNumId w:val="3"/>
  </w:num>
  <w:num w:numId="3" w16cid:durableId="56320567">
    <w:abstractNumId w:val="11"/>
  </w:num>
  <w:num w:numId="4" w16cid:durableId="7780620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12834008">
    <w:abstractNumId w:val="3"/>
  </w:num>
  <w:num w:numId="6" w16cid:durableId="354581257">
    <w:abstractNumId w:val="26"/>
  </w:num>
  <w:num w:numId="7" w16cid:durableId="338504686">
    <w:abstractNumId w:val="12"/>
  </w:num>
  <w:num w:numId="8" w16cid:durableId="209659900">
    <w:abstractNumId w:val="25"/>
  </w:num>
  <w:num w:numId="9" w16cid:durableId="255208196">
    <w:abstractNumId w:val="14"/>
  </w:num>
  <w:num w:numId="10" w16cid:durableId="1891113331">
    <w:abstractNumId w:val="24"/>
  </w:num>
  <w:num w:numId="11" w16cid:durableId="413170348">
    <w:abstractNumId w:val="15"/>
  </w:num>
  <w:num w:numId="12" w16cid:durableId="226693051">
    <w:abstractNumId w:val="1"/>
  </w:num>
  <w:num w:numId="13" w16cid:durableId="1654718733">
    <w:abstractNumId w:val="8"/>
  </w:num>
  <w:num w:numId="14" w16cid:durableId="696857488">
    <w:abstractNumId w:val="27"/>
  </w:num>
  <w:num w:numId="15" w16cid:durableId="907156477">
    <w:abstractNumId w:val="23"/>
  </w:num>
  <w:num w:numId="16" w16cid:durableId="167472290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05542927">
    <w:abstractNumId w:val="4"/>
  </w:num>
  <w:num w:numId="18" w16cid:durableId="739443779">
    <w:abstractNumId w:val="22"/>
  </w:num>
  <w:num w:numId="19" w16cid:durableId="235213829">
    <w:abstractNumId w:val="10"/>
  </w:num>
  <w:num w:numId="20" w16cid:durableId="1335767883">
    <w:abstractNumId w:val="16"/>
  </w:num>
  <w:num w:numId="21" w16cid:durableId="2103648496">
    <w:abstractNumId w:val="28"/>
  </w:num>
  <w:num w:numId="22" w16cid:durableId="2080513317">
    <w:abstractNumId w:val="19"/>
  </w:num>
  <w:num w:numId="23" w16cid:durableId="1548027161">
    <w:abstractNumId w:val="7"/>
  </w:num>
  <w:num w:numId="24" w16cid:durableId="980815240">
    <w:abstractNumId w:val="17"/>
  </w:num>
  <w:num w:numId="25" w16cid:durableId="163791140">
    <w:abstractNumId w:val="2"/>
  </w:num>
  <w:num w:numId="26" w16cid:durableId="1067805025">
    <w:abstractNumId w:val="5"/>
  </w:num>
  <w:num w:numId="27" w16cid:durableId="1397706499">
    <w:abstractNumId w:val="20"/>
  </w:num>
  <w:num w:numId="28" w16cid:durableId="1446971064">
    <w:abstractNumId w:val="6"/>
  </w:num>
  <w:num w:numId="29" w16cid:durableId="1002660985">
    <w:abstractNumId w:val="9"/>
  </w:num>
  <w:num w:numId="30" w16cid:durableId="1238437493">
    <w:abstractNumId w:val="0"/>
  </w:num>
  <w:num w:numId="31" w16cid:durableId="1636175434">
    <w:abstractNumId w:val="18"/>
  </w:num>
  <w:num w:numId="32" w16cid:durableId="47961829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40BB"/>
    <w:rsid w:val="000062F3"/>
    <w:rsid w:val="0000797D"/>
    <w:rsid w:val="0001328B"/>
    <w:rsid w:val="00016FFB"/>
    <w:rsid w:val="000224F2"/>
    <w:rsid w:val="00023C3E"/>
    <w:rsid w:val="0002653B"/>
    <w:rsid w:val="000322B7"/>
    <w:rsid w:val="00034682"/>
    <w:rsid w:val="00035E21"/>
    <w:rsid w:val="00040B74"/>
    <w:rsid w:val="00042856"/>
    <w:rsid w:val="0004434A"/>
    <w:rsid w:val="0005281E"/>
    <w:rsid w:val="00052A4B"/>
    <w:rsid w:val="00055421"/>
    <w:rsid w:val="00055502"/>
    <w:rsid w:val="0005682C"/>
    <w:rsid w:val="00056D71"/>
    <w:rsid w:val="0005788D"/>
    <w:rsid w:val="00057D91"/>
    <w:rsid w:val="00061B2A"/>
    <w:rsid w:val="00062BAF"/>
    <w:rsid w:val="000630B9"/>
    <w:rsid w:val="000643B2"/>
    <w:rsid w:val="00065E80"/>
    <w:rsid w:val="00066BB4"/>
    <w:rsid w:val="0007022C"/>
    <w:rsid w:val="00071DE6"/>
    <w:rsid w:val="000754B0"/>
    <w:rsid w:val="00077439"/>
    <w:rsid w:val="000774B8"/>
    <w:rsid w:val="00080FE4"/>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3001"/>
    <w:rsid w:val="000B7DDA"/>
    <w:rsid w:val="000C2889"/>
    <w:rsid w:val="000C3673"/>
    <w:rsid w:val="000C538B"/>
    <w:rsid w:val="000D0152"/>
    <w:rsid w:val="000D0334"/>
    <w:rsid w:val="000D0B4D"/>
    <w:rsid w:val="000D3B29"/>
    <w:rsid w:val="000E06F4"/>
    <w:rsid w:val="000E1AC7"/>
    <w:rsid w:val="000E4CE4"/>
    <w:rsid w:val="000F46C6"/>
    <w:rsid w:val="000F6486"/>
    <w:rsid w:val="000F669F"/>
    <w:rsid w:val="001063B3"/>
    <w:rsid w:val="00107599"/>
    <w:rsid w:val="00107ACA"/>
    <w:rsid w:val="001114A9"/>
    <w:rsid w:val="00111979"/>
    <w:rsid w:val="001154D1"/>
    <w:rsid w:val="00116537"/>
    <w:rsid w:val="00116894"/>
    <w:rsid w:val="00120766"/>
    <w:rsid w:val="00122FA6"/>
    <w:rsid w:val="001240BD"/>
    <w:rsid w:val="00125105"/>
    <w:rsid w:val="001268F7"/>
    <w:rsid w:val="00127233"/>
    <w:rsid w:val="001276D9"/>
    <w:rsid w:val="001372FC"/>
    <w:rsid w:val="0014317D"/>
    <w:rsid w:val="00143E81"/>
    <w:rsid w:val="00143FD9"/>
    <w:rsid w:val="00145047"/>
    <w:rsid w:val="0014521E"/>
    <w:rsid w:val="00146C57"/>
    <w:rsid w:val="00150ADA"/>
    <w:rsid w:val="001569A8"/>
    <w:rsid w:val="00162D09"/>
    <w:rsid w:val="0016332F"/>
    <w:rsid w:val="0016642E"/>
    <w:rsid w:val="00167727"/>
    <w:rsid w:val="001717E9"/>
    <w:rsid w:val="0017238A"/>
    <w:rsid w:val="001800BA"/>
    <w:rsid w:val="00180A30"/>
    <w:rsid w:val="00185EE9"/>
    <w:rsid w:val="00187F79"/>
    <w:rsid w:val="00196F32"/>
    <w:rsid w:val="00197274"/>
    <w:rsid w:val="001A0B04"/>
    <w:rsid w:val="001A237A"/>
    <w:rsid w:val="001A26CF"/>
    <w:rsid w:val="001A2919"/>
    <w:rsid w:val="001B2CFE"/>
    <w:rsid w:val="001C0E85"/>
    <w:rsid w:val="001C222E"/>
    <w:rsid w:val="001C22F9"/>
    <w:rsid w:val="001C3AEC"/>
    <w:rsid w:val="001D1C29"/>
    <w:rsid w:val="001D2CCC"/>
    <w:rsid w:val="001E3C06"/>
    <w:rsid w:val="001E4177"/>
    <w:rsid w:val="001F0A0F"/>
    <w:rsid w:val="001F218E"/>
    <w:rsid w:val="001F4EFD"/>
    <w:rsid w:val="001F59AB"/>
    <w:rsid w:val="001F5E13"/>
    <w:rsid w:val="001F6D11"/>
    <w:rsid w:val="001F7DC6"/>
    <w:rsid w:val="00202886"/>
    <w:rsid w:val="00205784"/>
    <w:rsid w:val="00210946"/>
    <w:rsid w:val="0021130A"/>
    <w:rsid w:val="00213510"/>
    <w:rsid w:val="0021372A"/>
    <w:rsid w:val="00215CEF"/>
    <w:rsid w:val="00217A08"/>
    <w:rsid w:val="00220B77"/>
    <w:rsid w:val="00221D27"/>
    <w:rsid w:val="00230EF3"/>
    <w:rsid w:val="00235BC9"/>
    <w:rsid w:val="00237233"/>
    <w:rsid w:val="00241376"/>
    <w:rsid w:val="002421BB"/>
    <w:rsid w:val="00245707"/>
    <w:rsid w:val="00246A81"/>
    <w:rsid w:val="00251A5F"/>
    <w:rsid w:val="002525BD"/>
    <w:rsid w:val="00252B30"/>
    <w:rsid w:val="0025796E"/>
    <w:rsid w:val="002603E5"/>
    <w:rsid w:val="002638B2"/>
    <w:rsid w:val="002660F2"/>
    <w:rsid w:val="002664BB"/>
    <w:rsid w:val="002707A2"/>
    <w:rsid w:val="00273620"/>
    <w:rsid w:val="00277150"/>
    <w:rsid w:val="002826F0"/>
    <w:rsid w:val="002835A6"/>
    <w:rsid w:val="002844ED"/>
    <w:rsid w:val="00286FAD"/>
    <w:rsid w:val="0029325F"/>
    <w:rsid w:val="002951A0"/>
    <w:rsid w:val="002962BC"/>
    <w:rsid w:val="002A093D"/>
    <w:rsid w:val="002A0DD0"/>
    <w:rsid w:val="002A1D2F"/>
    <w:rsid w:val="002A49AC"/>
    <w:rsid w:val="002A64FD"/>
    <w:rsid w:val="002A6BBF"/>
    <w:rsid w:val="002B1E57"/>
    <w:rsid w:val="002B1F7F"/>
    <w:rsid w:val="002B290B"/>
    <w:rsid w:val="002B61F2"/>
    <w:rsid w:val="002B7AD9"/>
    <w:rsid w:val="002C110E"/>
    <w:rsid w:val="002C379A"/>
    <w:rsid w:val="002C765E"/>
    <w:rsid w:val="002C7A84"/>
    <w:rsid w:val="002D13A1"/>
    <w:rsid w:val="002D284C"/>
    <w:rsid w:val="002D3F0D"/>
    <w:rsid w:val="002D7677"/>
    <w:rsid w:val="002E1D98"/>
    <w:rsid w:val="002E2C3F"/>
    <w:rsid w:val="002E4FD9"/>
    <w:rsid w:val="002E6F15"/>
    <w:rsid w:val="002F13FD"/>
    <w:rsid w:val="002F53FB"/>
    <w:rsid w:val="00300AD4"/>
    <w:rsid w:val="00303544"/>
    <w:rsid w:val="00303985"/>
    <w:rsid w:val="003039C1"/>
    <w:rsid w:val="0030488C"/>
    <w:rsid w:val="003101A1"/>
    <w:rsid w:val="00310DBE"/>
    <w:rsid w:val="00310E5C"/>
    <w:rsid w:val="003119D8"/>
    <w:rsid w:val="0031430F"/>
    <w:rsid w:val="00320BBD"/>
    <w:rsid w:val="003226F7"/>
    <w:rsid w:val="00322A85"/>
    <w:rsid w:val="00324168"/>
    <w:rsid w:val="00325755"/>
    <w:rsid w:val="0033032A"/>
    <w:rsid w:val="00330C97"/>
    <w:rsid w:val="0033192A"/>
    <w:rsid w:val="00333EDB"/>
    <w:rsid w:val="00334C6A"/>
    <w:rsid w:val="00336C05"/>
    <w:rsid w:val="003409C8"/>
    <w:rsid w:val="00342675"/>
    <w:rsid w:val="00343512"/>
    <w:rsid w:val="003448F4"/>
    <w:rsid w:val="00345330"/>
    <w:rsid w:val="00350480"/>
    <w:rsid w:val="00351223"/>
    <w:rsid w:val="003522B9"/>
    <w:rsid w:val="0035242B"/>
    <w:rsid w:val="003528DF"/>
    <w:rsid w:val="00352C12"/>
    <w:rsid w:val="00354277"/>
    <w:rsid w:val="00354BCA"/>
    <w:rsid w:val="00354FEA"/>
    <w:rsid w:val="00362DEE"/>
    <w:rsid w:val="003637C2"/>
    <w:rsid w:val="003647CF"/>
    <w:rsid w:val="0036594E"/>
    <w:rsid w:val="003665EE"/>
    <w:rsid w:val="0037010E"/>
    <w:rsid w:val="003734F4"/>
    <w:rsid w:val="00374F5E"/>
    <w:rsid w:val="0037527B"/>
    <w:rsid w:val="00377E3E"/>
    <w:rsid w:val="003815B3"/>
    <w:rsid w:val="003815E8"/>
    <w:rsid w:val="00386D13"/>
    <w:rsid w:val="00391392"/>
    <w:rsid w:val="00392A49"/>
    <w:rsid w:val="00392E7C"/>
    <w:rsid w:val="00393812"/>
    <w:rsid w:val="003A26D1"/>
    <w:rsid w:val="003A3B30"/>
    <w:rsid w:val="003A40E2"/>
    <w:rsid w:val="003A477B"/>
    <w:rsid w:val="003A779E"/>
    <w:rsid w:val="003B005A"/>
    <w:rsid w:val="003B0636"/>
    <w:rsid w:val="003B148F"/>
    <w:rsid w:val="003B6385"/>
    <w:rsid w:val="003B78C4"/>
    <w:rsid w:val="003C1E56"/>
    <w:rsid w:val="003C3FA5"/>
    <w:rsid w:val="003D0F4D"/>
    <w:rsid w:val="003D1B5E"/>
    <w:rsid w:val="003D5B0D"/>
    <w:rsid w:val="003E0499"/>
    <w:rsid w:val="003E40F2"/>
    <w:rsid w:val="003E7EAA"/>
    <w:rsid w:val="003F2A9C"/>
    <w:rsid w:val="003F3941"/>
    <w:rsid w:val="00400676"/>
    <w:rsid w:val="00400747"/>
    <w:rsid w:val="004008A9"/>
    <w:rsid w:val="0040480E"/>
    <w:rsid w:val="00404C4F"/>
    <w:rsid w:val="00406575"/>
    <w:rsid w:val="004069AB"/>
    <w:rsid w:val="00410906"/>
    <w:rsid w:val="00413C3D"/>
    <w:rsid w:val="0041655A"/>
    <w:rsid w:val="004252BF"/>
    <w:rsid w:val="00426FD7"/>
    <w:rsid w:val="0042722E"/>
    <w:rsid w:val="00427DA0"/>
    <w:rsid w:val="00440391"/>
    <w:rsid w:val="004405A4"/>
    <w:rsid w:val="004426AD"/>
    <w:rsid w:val="00442C7F"/>
    <w:rsid w:val="0044528D"/>
    <w:rsid w:val="0044798F"/>
    <w:rsid w:val="00447D82"/>
    <w:rsid w:val="00450920"/>
    <w:rsid w:val="004530EA"/>
    <w:rsid w:val="00454D48"/>
    <w:rsid w:val="004554F9"/>
    <w:rsid w:val="00457B75"/>
    <w:rsid w:val="0046004D"/>
    <w:rsid w:val="00461A6A"/>
    <w:rsid w:val="004633DE"/>
    <w:rsid w:val="00465E71"/>
    <w:rsid w:val="00466040"/>
    <w:rsid w:val="00471654"/>
    <w:rsid w:val="004734BD"/>
    <w:rsid w:val="00475854"/>
    <w:rsid w:val="00480BAF"/>
    <w:rsid w:val="00482608"/>
    <w:rsid w:val="00483749"/>
    <w:rsid w:val="004845C6"/>
    <w:rsid w:val="00484809"/>
    <w:rsid w:val="00484BB1"/>
    <w:rsid w:val="00493A76"/>
    <w:rsid w:val="00495BC7"/>
    <w:rsid w:val="004A0980"/>
    <w:rsid w:val="004A0B8B"/>
    <w:rsid w:val="004A1847"/>
    <w:rsid w:val="004A305D"/>
    <w:rsid w:val="004A3312"/>
    <w:rsid w:val="004A66E3"/>
    <w:rsid w:val="004B01B2"/>
    <w:rsid w:val="004B3755"/>
    <w:rsid w:val="004B740F"/>
    <w:rsid w:val="004C2796"/>
    <w:rsid w:val="004C28C6"/>
    <w:rsid w:val="004C2E9A"/>
    <w:rsid w:val="004C4B37"/>
    <w:rsid w:val="004D026D"/>
    <w:rsid w:val="004D23A7"/>
    <w:rsid w:val="004D2494"/>
    <w:rsid w:val="004E221E"/>
    <w:rsid w:val="004E2892"/>
    <w:rsid w:val="004E4C0B"/>
    <w:rsid w:val="004E505B"/>
    <w:rsid w:val="004E7CE7"/>
    <w:rsid w:val="004F01CB"/>
    <w:rsid w:val="004F21C4"/>
    <w:rsid w:val="004F3012"/>
    <w:rsid w:val="004F3B9E"/>
    <w:rsid w:val="004F5559"/>
    <w:rsid w:val="004F685F"/>
    <w:rsid w:val="004F7EC9"/>
    <w:rsid w:val="00504CBE"/>
    <w:rsid w:val="00505795"/>
    <w:rsid w:val="00514598"/>
    <w:rsid w:val="005163B5"/>
    <w:rsid w:val="0052543A"/>
    <w:rsid w:val="00525FDB"/>
    <w:rsid w:val="0052785C"/>
    <w:rsid w:val="00531925"/>
    <w:rsid w:val="00533E1B"/>
    <w:rsid w:val="00536857"/>
    <w:rsid w:val="00540A3E"/>
    <w:rsid w:val="00540C2D"/>
    <w:rsid w:val="0054335F"/>
    <w:rsid w:val="0054709C"/>
    <w:rsid w:val="00552502"/>
    <w:rsid w:val="00554BD4"/>
    <w:rsid w:val="00556143"/>
    <w:rsid w:val="005566E8"/>
    <w:rsid w:val="00560CB5"/>
    <w:rsid w:val="00564F8B"/>
    <w:rsid w:val="005655EF"/>
    <w:rsid w:val="0057193B"/>
    <w:rsid w:val="00574122"/>
    <w:rsid w:val="00574867"/>
    <w:rsid w:val="00576089"/>
    <w:rsid w:val="00577D09"/>
    <w:rsid w:val="0058087F"/>
    <w:rsid w:val="00591460"/>
    <w:rsid w:val="00592628"/>
    <w:rsid w:val="00597C75"/>
    <w:rsid w:val="005A0868"/>
    <w:rsid w:val="005A0CFB"/>
    <w:rsid w:val="005A111B"/>
    <w:rsid w:val="005A282F"/>
    <w:rsid w:val="005A2AC9"/>
    <w:rsid w:val="005A6C21"/>
    <w:rsid w:val="005B2CCE"/>
    <w:rsid w:val="005B58C1"/>
    <w:rsid w:val="005B6033"/>
    <w:rsid w:val="005C3777"/>
    <w:rsid w:val="005C5CDC"/>
    <w:rsid w:val="005C70EF"/>
    <w:rsid w:val="005D17C8"/>
    <w:rsid w:val="005D2B2B"/>
    <w:rsid w:val="005D3C67"/>
    <w:rsid w:val="005D476C"/>
    <w:rsid w:val="005D5F91"/>
    <w:rsid w:val="005D7B25"/>
    <w:rsid w:val="005E6B74"/>
    <w:rsid w:val="005F3CE0"/>
    <w:rsid w:val="005F7C43"/>
    <w:rsid w:val="00601DFC"/>
    <w:rsid w:val="00605A00"/>
    <w:rsid w:val="00610812"/>
    <w:rsid w:val="00612CE7"/>
    <w:rsid w:val="00615F46"/>
    <w:rsid w:val="0062005D"/>
    <w:rsid w:val="006219F8"/>
    <w:rsid w:val="00623237"/>
    <w:rsid w:val="00623BBA"/>
    <w:rsid w:val="0063165E"/>
    <w:rsid w:val="00632C08"/>
    <w:rsid w:val="0064722F"/>
    <w:rsid w:val="00650FF7"/>
    <w:rsid w:val="00656421"/>
    <w:rsid w:val="00660153"/>
    <w:rsid w:val="00660F6A"/>
    <w:rsid w:val="00661543"/>
    <w:rsid w:val="00663B19"/>
    <w:rsid w:val="00665032"/>
    <w:rsid w:val="00665D70"/>
    <w:rsid w:val="00671DAC"/>
    <w:rsid w:val="006747C7"/>
    <w:rsid w:val="00676214"/>
    <w:rsid w:val="006827AC"/>
    <w:rsid w:val="00682C93"/>
    <w:rsid w:val="006859A3"/>
    <w:rsid w:val="006900D9"/>
    <w:rsid w:val="006920AE"/>
    <w:rsid w:val="00697B17"/>
    <w:rsid w:val="006A0008"/>
    <w:rsid w:val="006A10DF"/>
    <w:rsid w:val="006A3147"/>
    <w:rsid w:val="006B14B5"/>
    <w:rsid w:val="006B25DE"/>
    <w:rsid w:val="006B4CA3"/>
    <w:rsid w:val="006C0240"/>
    <w:rsid w:val="006C238E"/>
    <w:rsid w:val="006C5595"/>
    <w:rsid w:val="006D12F8"/>
    <w:rsid w:val="006D4E33"/>
    <w:rsid w:val="006E41C6"/>
    <w:rsid w:val="006F0D40"/>
    <w:rsid w:val="006F2501"/>
    <w:rsid w:val="00700975"/>
    <w:rsid w:val="00704D9B"/>
    <w:rsid w:val="00705E5F"/>
    <w:rsid w:val="00706C16"/>
    <w:rsid w:val="00711C85"/>
    <w:rsid w:val="00713695"/>
    <w:rsid w:val="0071458F"/>
    <w:rsid w:val="00715BB9"/>
    <w:rsid w:val="0071627C"/>
    <w:rsid w:val="007215D5"/>
    <w:rsid w:val="00723A7F"/>
    <w:rsid w:val="00723F2B"/>
    <w:rsid w:val="007312C3"/>
    <w:rsid w:val="00737C53"/>
    <w:rsid w:val="00737DFA"/>
    <w:rsid w:val="00737DFD"/>
    <w:rsid w:val="007534CA"/>
    <w:rsid w:val="00756841"/>
    <w:rsid w:val="0076066F"/>
    <w:rsid w:val="00762AA9"/>
    <w:rsid w:val="00763207"/>
    <w:rsid w:val="007649AB"/>
    <w:rsid w:val="007670E3"/>
    <w:rsid w:val="00771D0C"/>
    <w:rsid w:val="00771FD2"/>
    <w:rsid w:val="0078274D"/>
    <w:rsid w:val="00783102"/>
    <w:rsid w:val="007833AC"/>
    <w:rsid w:val="00784D58"/>
    <w:rsid w:val="00786FBF"/>
    <w:rsid w:val="00790AB7"/>
    <w:rsid w:val="0079105E"/>
    <w:rsid w:val="007913EA"/>
    <w:rsid w:val="00791769"/>
    <w:rsid w:val="00792895"/>
    <w:rsid w:val="00796340"/>
    <w:rsid w:val="007978D0"/>
    <w:rsid w:val="007A23EA"/>
    <w:rsid w:val="007A5189"/>
    <w:rsid w:val="007B0D88"/>
    <w:rsid w:val="007B268C"/>
    <w:rsid w:val="007B7171"/>
    <w:rsid w:val="007B7D02"/>
    <w:rsid w:val="007C0C0F"/>
    <w:rsid w:val="007C2E67"/>
    <w:rsid w:val="007C3DC2"/>
    <w:rsid w:val="007C4E2B"/>
    <w:rsid w:val="007D0457"/>
    <w:rsid w:val="007D124A"/>
    <w:rsid w:val="007D43C9"/>
    <w:rsid w:val="007D7CFD"/>
    <w:rsid w:val="007E5497"/>
    <w:rsid w:val="007F28CA"/>
    <w:rsid w:val="007F3366"/>
    <w:rsid w:val="007F4F17"/>
    <w:rsid w:val="007F52A4"/>
    <w:rsid w:val="007F5FAF"/>
    <w:rsid w:val="007F60FB"/>
    <w:rsid w:val="007F7B94"/>
    <w:rsid w:val="00800789"/>
    <w:rsid w:val="00800B7D"/>
    <w:rsid w:val="00804981"/>
    <w:rsid w:val="00806F5F"/>
    <w:rsid w:val="00811270"/>
    <w:rsid w:val="00811E4F"/>
    <w:rsid w:val="008163D7"/>
    <w:rsid w:val="00820278"/>
    <w:rsid w:val="00834554"/>
    <w:rsid w:val="00834B31"/>
    <w:rsid w:val="00840ADC"/>
    <w:rsid w:val="00841A23"/>
    <w:rsid w:val="00843902"/>
    <w:rsid w:val="00843928"/>
    <w:rsid w:val="00843BF7"/>
    <w:rsid w:val="008449B3"/>
    <w:rsid w:val="00846276"/>
    <w:rsid w:val="00850E23"/>
    <w:rsid w:val="00851137"/>
    <w:rsid w:val="00853978"/>
    <w:rsid w:val="0085432F"/>
    <w:rsid w:val="00855525"/>
    <w:rsid w:val="00856C43"/>
    <w:rsid w:val="00863598"/>
    <w:rsid w:val="00864209"/>
    <w:rsid w:val="0087325B"/>
    <w:rsid w:val="00877EBA"/>
    <w:rsid w:val="0088002A"/>
    <w:rsid w:val="00881ABA"/>
    <w:rsid w:val="008841E9"/>
    <w:rsid w:val="008843B6"/>
    <w:rsid w:val="00884F68"/>
    <w:rsid w:val="008853C1"/>
    <w:rsid w:val="00886C02"/>
    <w:rsid w:val="00886C89"/>
    <w:rsid w:val="00887569"/>
    <w:rsid w:val="00891928"/>
    <w:rsid w:val="00893AB3"/>
    <w:rsid w:val="00894384"/>
    <w:rsid w:val="00894B8B"/>
    <w:rsid w:val="008961BA"/>
    <w:rsid w:val="008A00A4"/>
    <w:rsid w:val="008A0221"/>
    <w:rsid w:val="008A446D"/>
    <w:rsid w:val="008A7A64"/>
    <w:rsid w:val="008A7F08"/>
    <w:rsid w:val="008B2F0E"/>
    <w:rsid w:val="008B5A2E"/>
    <w:rsid w:val="008B6383"/>
    <w:rsid w:val="008D01B8"/>
    <w:rsid w:val="008D180B"/>
    <w:rsid w:val="008D1BDB"/>
    <w:rsid w:val="008D6CDA"/>
    <w:rsid w:val="008D7227"/>
    <w:rsid w:val="008E1F92"/>
    <w:rsid w:val="008E7333"/>
    <w:rsid w:val="008E7B09"/>
    <w:rsid w:val="008E7CDC"/>
    <w:rsid w:val="008F0EA7"/>
    <w:rsid w:val="008F1CA9"/>
    <w:rsid w:val="008F7BB9"/>
    <w:rsid w:val="00904692"/>
    <w:rsid w:val="00910097"/>
    <w:rsid w:val="00910290"/>
    <w:rsid w:val="00911C7C"/>
    <w:rsid w:val="0091561E"/>
    <w:rsid w:val="00920849"/>
    <w:rsid w:val="00922F57"/>
    <w:rsid w:val="00923EEF"/>
    <w:rsid w:val="009325CC"/>
    <w:rsid w:val="0093558D"/>
    <w:rsid w:val="009411F5"/>
    <w:rsid w:val="009419F9"/>
    <w:rsid w:val="00945B9F"/>
    <w:rsid w:val="00950BE2"/>
    <w:rsid w:val="00953AA4"/>
    <w:rsid w:val="00954545"/>
    <w:rsid w:val="00955305"/>
    <w:rsid w:val="0095685E"/>
    <w:rsid w:val="009572D9"/>
    <w:rsid w:val="009600D2"/>
    <w:rsid w:val="00961409"/>
    <w:rsid w:val="00961B09"/>
    <w:rsid w:val="00962300"/>
    <w:rsid w:val="00965334"/>
    <w:rsid w:val="0097093E"/>
    <w:rsid w:val="00972162"/>
    <w:rsid w:val="009725F1"/>
    <w:rsid w:val="00976025"/>
    <w:rsid w:val="00976F04"/>
    <w:rsid w:val="009800BE"/>
    <w:rsid w:val="00982D5D"/>
    <w:rsid w:val="00982E41"/>
    <w:rsid w:val="00983B79"/>
    <w:rsid w:val="00983EEA"/>
    <w:rsid w:val="009844CF"/>
    <w:rsid w:val="00984649"/>
    <w:rsid w:val="009858BE"/>
    <w:rsid w:val="0099271E"/>
    <w:rsid w:val="00993688"/>
    <w:rsid w:val="00995791"/>
    <w:rsid w:val="009A0DFA"/>
    <w:rsid w:val="009A3C2C"/>
    <w:rsid w:val="009A4A40"/>
    <w:rsid w:val="009A53D3"/>
    <w:rsid w:val="009A6353"/>
    <w:rsid w:val="009B2D26"/>
    <w:rsid w:val="009B3595"/>
    <w:rsid w:val="009B5228"/>
    <w:rsid w:val="009B6C8C"/>
    <w:rsid w:val="009B77A5"/>
    <w:rsid w:val="009B780F"/>
    <w:rsid w:val="009B7C63"/>
    <w:rsid w:val="009C0922"/>
    <w:rsid w:val="009C2DD0"/>
    <w:rsid w:val="009C3AC7"/>
    <w:rsid w:val="009C6159"/>
    <w:rsid w:val="009C71FA"/>
    <w:rsid w:val="009C72E7"/>
    <w:rsid w:val="009D0555"/>
    <w:rsid w:val="009D1086"/>
    <w:rsid w:val="009D3058"/>
    <w:rsid w:val="009D3A11"/>
    <w:rsid w:val="009D44C4"/>
    <w:rsid w:val="009D6427"/>
    <w:rsid w:val="009D67FD"/>
    <w:rsid w:val="009E4636"/>
    <w:rsid w:val="009E5A30"/>
    <w:rsid w:val="009E7C05"/>
    <w:rsid w:val="009F3831"/>
    <w:rsid w:val="009F3832"/>
    <w:rsid w:val="009F3911"/>
    <w:rsid w:val="009F3A13"/>
    <w:rsid w:val="009F4AB2"/>
    <w:rsid w:val="009F73F7"/>
    <w:rsid w:val="00A02465"/>
    <w:rsid w:val="00A03415"/>
    <w:rsid w:val="00A04A81"/>
    <w:rsid w:val="00A122D3"/>
    <w:rsid w:val="00A14D3D"/>
    <w:rsid w:val="00A17597"/>
    <w:rsid w:val="00A17C8D"/>
    <w:rsid w:val="00A17F13"/>
    <w:rsid w:val="00A20739"/>
    <w:rsid w:val="00A211D0"/>
    <w:rsid w:val="00A23361"/>
    <w:rsid w:val="00A24433"/>
    <w:rsid w:val="00A2443A"/>
    <w:rsid w:val="00A25580"/>
    <w:rsid w:val="00A321CD"/>
    <w:rsid w:val="00A332DD"/>
    <w:rsid w:val="00A339A9"/>
    <w:rsid w:val="00A33C78"/>
    <w:rsid w:val="00A34B38"/>
    <w:rsid w:val="00A34D87"/>
    <w:rsid w:val="00A35538"/>
    <w:rsid w:val="00A3685A"/>
    <w:rsid w:val="00A3783B"/>
    <w:rsid w:val="00A37BC4"/>
    <w:rsid w:val="00A42050"/>
    <w:rsid w:val="00A43292"/>
    <w:rsid w:val="00A445C0"/>
    <w:rsid w:val="00A52D82"/>
    <w:rsid w:val="00A56959"/>
    <w:rsid w:val="00A56FCA"/>
    <w:rsid w:val="00A6004A"/>
    <w:rsid w:val="00A613C2"/>
    <w:rsid w:val="00A7332E"/>
    <w:rsid w:val="00A745FA"/>
    <w:rsid w:val="00A74DE6"/>
    <w:rsid w:val="00A75866"/>
    <w:rsid w:val="00A8086A"/>
    <w:rsid w:val="00A80F32"/>
    <w:rsid w:val="00A828F1"/>
    <w:rsid w:val="00A830AD"/>
    <w:rsid w:val="00A87F7D"/>
    <w:rsid w:val="00A9244C"/>
    <w:rsid w:val="00A94D14"/>
    <w:rsid w:val="00A95106"/>
    <w:rsid w:val="00A95A1A"/>
    <w:rsid w:val="00A97D3A"/>
    <w:rsid w:val="00AA1328"/>
    <w:rsid w:val="00AA23BB"/>
    <w:rsid w:val="00AB08D6"/>
    <w:rsid w:val="00AB0ADB"/>
    <w:rsid w:val="00AB3FD1"/>
    <w:rsid w:val="00AB51C6"/>
    <w:rsid w:val="00AC0DF9"/>
    <w:rsid w:val="00AC0EAB"/>
    <w:rsid w:val="00AC4701"/>
    <w:rsid w:val="00AC49A2"/>
    <w:rsid w:val="00AD3C9D"/>
    <w:rsid w:val="00AD73E2"/>
    <w:rsid w:val="00AE2631"/>
    <w:rsid w:val="00AE3D6C"/>
    <w:rsid w:val="00AF1BEC"/>
    <w:rsid w:val="00AF54CA"/>
    <w:rsid w:val="00B009B8"/>
    <w:rsid w:val="00B01B1A"/>
    <w:rsid w:val="00B0268A"/>
    <w:rsid w:val="00B0410F"/>
    <w:rsid w:val="00B07DDD"/>
    <w:rsid w:val="00B14E03"/>
    <w:rsid w:val="00B26B98"/>
    <w:rsid w:val="00B35201"/>
    <w:rsid w:val="00B35ADC"/>
    <w:rsid w:val="00B36A23"/>
    <w:rsid w:val="00B37C24"/>
    <w:rsid w:val="00B40FBC"/>
    <w:rsid w:val="00B427E2"/>
    <w:rsid w:val="00B46F27"/>
    <w:rsid w:val="00B47728"/>
    <w:rsid w:val="00B47FD7"/>
    <w:rsid w:val="00B51F75"/>
    <w:rsid w:val="00B52169"/>
    <w:rsid w:val="00B53E27"/>
    <w:rsid w:val="00B558AF"/>
    <w:rsid w:val="00B615BA"/>
    <w:rsid w:val="00B62D8B"/>
    <w:rsid w:val="00B72CD3"/>
    <w:rsid w:val="00B72FFF"/>
    <w:rsid w:val="00B74FAE"/>
    <w:rsid w:val="00B76CEB"/>
    <w:rsid w:val="00B80CC6"/>
    <w:rsid w:val="00B8257D"/>
    <w:rsid w:val="00B82B8B"/>
    <w:rsid w:val="00B86FE2"/>
    <w:rsid w:val="00B91186"/>
    <w:rsid w:val="00B93423"/>
    <w:rsid w:val="00B93E58"/>
    <w:rsid w:val="00B948E8"/>
    <w:rsid w:val="00BA0A22"/>
    <w:rsid w:val="00BA2EF4"/>
    <w:rsid w:val="00BA6BE0"/>
    <w:rsid w:val="00BB22DA"/>
    <w:rsid w:val="00BB2C9D"/>
    <w:rsid w:val="00BC0036"/>
    <w:rsid w:val="00BC05A6"/>
    <w:rsid w:val="00BC3D36"/>
    <w:rsid w:val="00BC4B34"/>
    <w:rsid w:val="00BC7498"/>
    <w:rsid w:val="00BD424C"/>
    <w:rsid w:val="00BD4BCA"/>
    <w:rsid w:val="00BD7F72"/>
    <w:rsid w:val="00BE03BC"/>
    <w:rsid w:val="00BE0A18"/>
    <w:rsid w:val="00BE27D3"/>
    <w:rsid w:val="00BF0D99"/>
    <w:rsid w:val="00BF1201"/>
    <w:rsid w:val="00BF1D4A"/>
    <w:rsid w:val="00BF230F"/>
    <w:rsid w:val="00BF2EAC"/>
    <w:rsid w:val="00C002E3"/>
    <w:rsid w:val="00C012CC"/>
    <w:rsid w:val="00C04FB3"/>
    <w:rsid w:val="00C06C4F"/>
    <w:rsid w:val="00C106DF"/>
    <w:rsid w:val="00C147D0"/>
    <w:rsid w:val="00C159C1"/>
    <w:rsid w:val="00C16346"/>
    <w:rsid w:val="00C21B15"/>
    <w:rsid w:val="00C21B8C"/>
    <w:rsid w:val="00C32523"/>
    <w:rsid w:val="00C3281B"/>
    <w:rsid w:val="00C330EB"/>
    <w:rsid w:val="00C34712"/>
    <w:rsid w:val="00C371C9"/>
    <w:rsid w:val="00C40E9F"/>
    <w:rsid w:val="00C41481"/>
    <w:rsid w:val="00C42469"/>
    <w:rsid w:val="00C46683"/>
    <w:rsid w:val="00C46D91"/>
    <w:rsid w:val="00C47A07"/>
    <w:rsid w:val="00C47B74"/>
    <w:rsid w:val="00C50855"/>
    <w:rsid w:val="00C51623"/>
    <w:rsid w:val="00C57281"/>
    <w:rsid w:val="00C57E63"/>
    <w:rsid w:val="00C64813"/>
    <w:rsid w:val="00C65D65"/>
    <w:rsid w:val="00C66D80"/>
    <w:rsid w:val="00C67703"/>
    <w:rsid w:val="00C67E1A"/>
    <w:rsid w:val="00C7173F"/>
    <w:rsid w:val="00C730B6"/>
    <w:rsid w:val="00C7352F"/>
    <w:rsid w:val="00C7482D"/>
    <w:rsid w:val="00C754BE"/>
    <w:rsid w:val="00C76466"/>
    <w:rsid w:val="00C76B1C"/>
    <w:rsid w:val="00C82239"/>
    <w:rsid w:val="00C90209"/>
    <w:rsid w:val="00C915DD"/>
    <w:rsid w:val="00C91B94"/>
    <w:rsid w:val="00C92665"/>
    <w:rsid w:val="00CA3FE3"/>
    <w:rsid w:val="00CA4272"/>
    <w:rsid w:val="00CA6A9D"/>
    <w:rsid w:val="00CA7F6B"/>
    <w:rsid w:val="00CB6357"/>
    <w:rsid w:val="00CC0106"/>
    <w:rsid w:val="00CC0FA3"/>
    <w:rsid w:val="00CC1B26"/>
    <w:rsid w:val="00CC49F7"/>
    <w:rsid w:val="00CC54DB"/>
    <w:rsid w:val="00CC7787"/>
    <w:rsid w:val="00CD087D"/>
    <w:rsid w:val="00CD41CB"/>
    <w:rsid w:val="00CD5EE0"/>
    <w:rsid w:val="00CE02A2"/>
    <w:rsid w:val="00CE031F"/>
    <w:rsid w:val="00CE3273"/>
    <w:rsid w:val="00CE509A"/>
    <w:rsid w:val="00CE5414"/>
    <w:rsid w:val="00CF241F"/>
    <w:rsid w:val="00CF2D08"/>
    <w:rsid w:val="00CF7826"/>
    <w:rsid w:val="00D0157A"/>
    <w:rsid w:val="00D02088"/>
    <w:rsid w:val="00D036D8"/>
    <w:rsid w:val="00D038ED"/>
    <w:rsid w:val="00D06D26"/>
    <w:rsid w:val="00D10B75"/>
    <w:rsid w:val="00D13351"/>
    <w:rsid w:val="00D15E25"/>
    <w:rsid w:val="00D161D4"/>
    <w:rsid w:val="00D20368"/>
    <w:rsid w:val="00D2053D"/>
    <w:rsid w:val="00D22361"/>
    <w:rsid w:val="00D22598"/>
    <w:rsid w:val="00D26924"/>
    <w:rsid w:val="00D35468"/>
    <w:rsid w:val="00D413F6"/>
    <w:rsid w:val="00D4231B"/>
    <w:rsid w:val="00D423A2"/>
    <w:rsid w:val="00D45E4A"/>
    <w:rsid w:val="00D520D8"/>
    <w:rsid w:val="00D52961"/>
    <w:rsid w:val="00D55048"/>
    <w:rsid w:val="00D56C6D"/>
    <w:rsid w:val="00D57FA4"/>
    <w:rsid w:val="00D62DE7"/>
    <w:rsid w:val="00D63AC2"/>
    <w:rsid w:val="00D665B4"/>
    <w:rsid w:val="00D7080D"/>
    <w:rsid w:val="00D7383B"/>
    <w:rsid w:val="00D7609E"/>
    <w:rsid w:val="00D80722"/>
    <w:rsid w:val="00D81A63"/>
    <w:rsid w:val="00D81D25"/>
    <w:rsid w:val="00D85C60"/>
    <w:rsid w:val="00D86C54"/>
    <w:rsid w:val="00D91F8B"/>
    <w:rsid w:val="00D94C40"/>
    <w:rsid w:val="00D961D5"/>
    <w:rsid w:val="00DA231B"/>
    <w:rsid w:val="00DA23A0"/>
    <w:rsid w:val="00DA7D04"/>
    <w:rsid w:val="00DA7F66"/>
    <w:rsid w:val="00DB186F"/>
    <w:rsid w:val="00DB77B8"/>
    <w:rsid w:val="00DB7C49"/>
    <w:rsid w:val="00DC39FC"/>
    <w:rsid w:val="00DC4385"/>
    <w:rsid w:val="00DC484F"/>
    <w:rsid w:val="00DC4C27"/>
    <w:rsid w:val="00DC51BC"/>
    <w:rsid w:val="00DC6452"/>
    <w:rsid w:val="00DC78A7"/>
    <w:rsid w:val="00DC793F"/>
    <w:rsid w:val="00DE3BDD"/>
    <w:rsid w:val="00DE4629"/>
    <w:rsid w:val="00DE58C9"/>
    <w:rsid w:val="00DE6EAA"/>
    <w:rsid w:val="00DE7C00"/>
    <w:rsid w:val="00DF11FD"/>
    <w:rsid w:val="00DF5254"/>
    <w:rsid w:val="00DF5C8D"/>
    <w:rsid w:val="00E052F2"/>
    <w:rsid w:val="00E12426"/>
    <w:rsid w:val="00E14EB2"/>
    <w:rsid w:val="00E16408"/>
    <w:rsid w:val="00E20894"/>
    <w:rsid w:val="00E2386E"/>
    <w:rsid w:val="00E2397D"/>
    <w:rsid w:val="00E23B70"/>
    <w:rsid w:val="00E245AB"/>
    <w:rsid w:val="00E26239"/>
    <w:rsid w:val="00E2764C"/>
    <w:rsid w:val="00E27F2E"/>
    <w:rsid w:val="00E35539"/>
    <w:rsid w:val="00E413EA"/>
    <w:rsid w:val="00E41D93"/>
    <w:rsid w:val="00E41F23"/>
    <w:rsid w:val="00E4556D"/>
    <w:rsid w:val="00E47F28"/>
    <w:rsid w:val="00E50AFE"/>
    <w:rsid w:val="00E52E49"/>
    <w:rsid w:val="00E577AC"/>
    <w:rsid w:val="00E578B6"/>
    <w:rsid w:val="00E6117F"/>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5D9B"/>
    <w:rsid w:val="00EB7319"/>
    <w:rsid w:val="00EB7E00"/>
    <w:rsid w:val="00EC1A2C"/>
    <w:rsid w:val="00EC1FE1"/>
    <w:rsid w:val="00EC214E"/>
    <w:rsid w:val="00EC38A7"/>
    <w:rsid w:val="00EC7771"/>
    <w:rsid w:val="00ED042A"/>
    <w:rsid w:val="00ED0967"/>
    <w:rsid w:val="00ED0D4A"/>
    <w:rsid w:val="00EE1AA8"/>
    <w:rsid w:val="00EE5BF5"/>
    <w:rsid w:val="00EE6DCD"/>
    <w:rsid w:val="00EF26C3"/>
    <w:rsid w:val="00EF419E"/>
    <w:rsid w:val="00EF489F"/>
    <w:rsid w:val="00F00796"/>
    <w:rsid w:val="00F11213"/>
    <w:rsid w:val="00F11BAA"/>
    <w:rsid w:val="00F177C1"/>
    <w:rsid w:val="00F17EB6"/>
    <w:rsid w:val="00F238F2"/>
    <w:rsid w:val="00F248A2"/>
    <w:rsid w:val="00F260AA"/>
    <w:rsid w:val="00F27B26"/>
    <w:rsid w:val="00F30B1C"/>
    <w:rsid w:val="00F31EDC"/>
    <w:rsid w:val="00F34D02"/>
    <w:rsid w:val="00F34E84"/>
    <w:rsid w:val="00F37ED5"/>
    <w:rsid w:val="00F40890"/>
    <w:rsid w:val="00F40BAD"/>
    <w:rsid w:val="00F4131E"/>
    <w:rsid w:val="00F462B3"/>
    <w:rsid w:val="00F50DC9"/>
    <w:rsid w:val="00F5184B"/>
    <w:rsid w:val="00F5491E"/>
    <w:rsid w:val="00F55081"/>
    <w:rsid w:val="00F55168"/>
    <w:rsid w:val="00F5664F"/>
    <w:rsid w:val="00F56E38"/>
    <w:rsid w:val="00F61ABB"/>
    <w:rsid w:val="00F626C4"/>
    <w:rsid w:val="00F64D9E"/>
    <w:rsid w:val="00F64FF9"/>
    <w:rsid w:val="00F664EC"/>
    <w:rsid w:val="00F666C4"/>
    <w:rsid w:val="00F7342E"/>
    <w:rsid w:val="00F7684C"/>
    <w:rsid w:val="00F76AFC"/>
    <w:rsid w:val="00F77655"/>
    <w:rsid w:val="00F80CBE"/>
    <w:rsid w:val="00F85198"/>
    <w:rsid w:val="00F85237"/>
    <w:rsid w:val="00F90C89"/>
    <w:rsid w:val="00F939CB"/>
    <w:rsid w:val="00F9479C"/>
    <w:rsid w:val="00F95083"/>
    <w:rsid w:val="00F965EE"/>
    <w:rsid w:val="00F97949"/>
    <w:rsid w:val="00FA1110"/>
    <w:rsid w:val="00FA1361"/>
    <w:rsid w:val="00FA34EC"/>
    <w:rsid w:val="00FA358D"/>
    <w:rsid w:val="00FA47C0"/>
    <w:rsid w:val="00FA5F1F"/>
    <w:rsid w:val="00FB4425"/>
    <w:rsid w:val="00FB5615"/>
    <w:rsid w:val="00FB5DD1"/>
    <w:rsid w:val="00FB5F87"/>
    <w:rsid w:val="00FC07B5"/>
    <w:rsid w:val="00FC2B5D"/>
    <w:rsid w:val="00FD00BB"/>
    <w:rsid w:val="00FD00E9"/>
    <w:rsid w:val="00FD03E3"/>
    <w:rsid w:val="00FD108E"/>
    <w:rsid w:val="00FD653F"/>
    <w:rsid w:val="00FE122A"/>
    <w:rsid w:val="00FE20E6"/>
    <w:rsid w:val="00FE3927"/>
    <w:rsid w:val="00FF1187"/>
    <w:rsid w:val="00FF1449"/>
    <w:rsid w:val="00FF6BC9"/>
    <w:rsid w:val="00FF74EA"/>
    <w:rsid w:val="00FF7C60"/>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0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table" w:customStyle="1" w:styleId="Tablaconcuadrcula11">
    <w:name w:val="Tabla con cuadrícula11"/>
    <w:basedOn w:val="Tablanormal"/>
    <w:next w:val="Tablaconcuadrcula"/>
    <w:uiPriority w:val="39"/>
    <w:qFormat/>
    <w:rsid w:val="00FF7C60"/>
    <w:pPr>
      <w:spacing w:after="0" w:line="240" w:lineRule="auto"/>
    </w:pPr>
    <w:tblPr/>
  </w:style>
  <w:style w:type="character" w:styleId="Mencinsinresolver">
    <w:name w:val="Unresolved Mention"/>
    <w:basedOn w:val="Fuentedeprrafopredeter"/>
    <w:uiPriority w:val="99"/>
    <w:semiHidden/>
    <w:unhideWhenUsed/>
    <w:rsid w:val="002113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07377614">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GERENCIA@MINDTECH.COM.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61AE2C4-2296-4BF9-9655-BD5E369662B2}">
  <ds:schemaRefs>
    <ds:schemaRef ds:uri="http://schemas.openxmlformats.org/officeDocument/2006/bibliography"/>
  </ds:schemaRefs>
</ds:datastoreItem>
</file>

<file path=customXml/itemProps3.xml><?xml version="1.0" encoding="utf-8"?>
<ds:datastoreItem xmlns:ds="http://schemas.openxmlformats.org/officeDocument/2006/customXml" ds:itemID="{2787CD3E-AB63-47CA-BE6A-506C10EBD3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31</Pages>
  <Words>11655</Words>
  <Characters>63526</Characters>
  <Application>Microsoft Office Word</Application>
  <DocSecurity>0</DocSecurity>
  <Lines>1176</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2025-02-25T15:45:00Z</cp:lastPrinted>
  <dcterms:created xsi:type="dcterms:W3CDTF">2025-11-12T03:54:00Z</dcterms:created>
  <dcterms:modified xsi:type="dcterms:W3CDTF">2025-11-13T14:14:00Z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