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4F6CF" w14:textId="0BFD4DE7" w:rsidR="001C3D09" w:rsidRPr="00102E0C" w:rsidRDefault="001C3D09" w:rsidP="001C3D09">
      <w:pPr>
        <w:jc w:val="both"/>
        <w:rPr>
          <w:rFonts w:ascii="Verdana" w:eastAsia="Calibri" w:hAnsi="Verdana" w:cs="Arial"/>
          <w:b/>
          <w:sz w:val="20"/>
          <w:szCs w:val="20"/>
          <w:lang w:val="es-ES_tradnl"/>
        </w:rPr>
      </w:pPr>
      <w:bookmarkStart w:id="0" w:name="_Hlk213615462"/>
      <w:r w:rsidRPr="00102E0C">
        <w:rPr>
          <w:rFonts w:ascii="Verdana" w:eastAsia="Calibri" w:hAnsi="Verdana" w:cs="Arial"/>
          <w:b/>
          <w:sz w:val="20"/>
          <w:szCs w:val="20"/>
          <w:lang w:val="es-ES_tradnl"/>
        </w:rPr>
        <w:t>CONTRATACIÓN PÚBLICA – Principio de publicidad – Principio de transparencia – Uso del SECOP</w:t>
      </w:r>
    </w:p>
    <w:p w14:paraId="09A624EA" w14:textId="77777777" w:rsidR="001C3D09" w:rsidRPr="00102E0C" w:rsidRDefault="001C3D09" w:rsidP="001C3D09">
      <w:pPr>
        <w:tabs>
          <w:tab w:val="left" w:pos="597"/>
        </w:tabs>
        <w:spacing w:after="120" w:line="276" w:lineRule="auto"/>
        <w:jc w:val="both"/>
        <w:rPr>
          <w:rFonts w:ascii="Verdana" w:eastAsia="Calibri" w:hAnsi="Verdana" w:cs="Arial"/>
          <w:sz w:val="20"/>
          <w:szCs w:val="20"/>
        </w:rPr>
      </w:pPr>
      <w:r w:rsidRPr="00102E0C">
        <w:rPr>
          <w:rFonts w:ascii="Verdana" w:eastAsia="Calibri" w:hAnsi="Verdana" w:cs="Arial"/>
          <w:sz w:val="20"/>
          <w:szCs w:val="20"/>
        </w:rPr>
        <w:t>La obligación de las Entidades de publicar en el Sistema Electrónico para la Contratación Pública – SECOP II, encuentra sustento en un conjunto normativo que articula disposiciones constitucionales, legales, reglamentarias y administrativas, todas orientadas a garantizar el principio de publicidad y el derecho de acceso a la información pública en el marco de la contratación estatal.</w:t>
      </w:r>
    </w:p>
    <w:p w14:paraId="4FEFAC5A" w14:textId="45E2C886" w:rsidR="001C3D09" w:rsidRPr="00102E0C" w:rsidRDefault="001C3D09" w:rsidP="001C3D09">
      <w:pPr>
        <w:jc w:val="both"/>
        <w:rPr>
          <w:rFonts w:ascii="Verdana" w:eastAsia="Calibri" w:hAnsi="Verdana" w:cs="Arial"/>
          <w:b/>
          <w:sz w:val="20"/>
          <w:szCs w:val="20"/>
          <w:lang w:val="es-ES_tradnl"/>
        </w:rPr>
      </w:pPr>
      <w:r w:rsidRPr="00102E0C">
        <w:rPr>
          <w:rFonts w:ascii="Verdana" w:eastAsia="Calibri" w:hAnsi="Verdana" w:cs="Arial"/>
          <w:sz w:val="20"/>
          <w:szCs w:val="20"/>
        </w:rPr>
        <w:t>La Constitución Política de 1991 consagra la publicidad como uno de los principios fundamentales que rigen la función administrativa, conforme lo establece el artículo 209. A su vez, el artículo 74 reconoce el derecho de todas las personas a acceder a los documentos públicos, salvo los casos de reserva previstos expresamente en la ley. En desarrollo de estos principios, el artículo 3 de la Ley 1150 de 2007 establece que el SECOP debe contener la información oficial de la contratación realizada con dineros públicos, y que dicha información debe ser difundida a través de canales electrónicos. Esta norma consagra un deber general de publicidad contractual que recae sobre todas las entidades estatales, sin distinción de su régimen jurídico, naturaleza o pertenencia a una rama del poder público</w:t>
      </w:r>
    </w:p>
    <w:p w14:paraId="135340ED" w14:textId="25B29AF7" w:rsidR="001C3D09" w:rsidRPr="00102E0C" w:rsidRDefault="001C3D09" w:rsidP="001C3D09">
      <w:pPr>
        <w:jc w:val="both"/>
        <w:rPr>
          <w:rFonts w:ascii="Verdana" w:eastAsia="Calibri" w:hAnsi="Verdana" w:cs="Arial"/>
          <w:b/>
          <w:sz w:val="20"/>
          <w:szCs w:val="20"/>
        </w:rPr>
      </w:pPr>
      <w:r w:rsidRPr="00102E0C">
        <w:rPr>
          <w:rFonts w:ascii="Verdana" w:eastAsia="Calibri" w:hAnsi="Verdana" w:cs="Arial"/>
          <w:b/>
          <w:sz w:val="20"/>
          <w:szCs w:val="20"/>
          <w:lang w:val="es-ES_tradnl"/>
        </w:rPr>
        <w:t>PRINCIPIO DE TRANSPARENCIA – Ley 1712 de 2014 – Documentos públicos</w:t>
      </w:r>
    </w:p>
    <w:p w14:paraId="373F73E3" w14:textId="7BEE904C" w:rsidR="001C3D09" w:rsidRPr="00102E0C" w:rsidRDefault="001C3D09" w:rsidP="001C3D09">
      <w:pPr>
        <w:jc w:val="both"/>
        <w:rPr>
          <w:rFonts w:ascii="Verdana" w:eastAsia="Calibri" w:hAnsi="Verdana" w:cs="Arial"/>
          <w:sz w:val="20"/>
          <w:szCs w:val="20"/>
        </w:rPr>
      </w:pPr>
      <w:r w:rsidRPr="00102E0C">
        <w:rPr>
          <w:rFonts w:ascii="Verdana" w:eastAsia="Calibri" w:hAnsi="Verdana" w:cs="Arial"/>
          <w:sz w:val="20"/>
          <w:szCs w:val="20"/>
        </w:rPr>
        <w:t>Complementariamente, la Ley 1712 de 2014, conocida como la Ley de Transparencia y del Derecho de Acceso a la Información Pública, refuerza esta obligación al establecer los principios de máxima publicidad, transparencia y buena fe. En particular, el literal e) del artículo 9 impone a los sujetos obligados —entre los cuales se encuentran todas las entidades públicas y aquellas que administren recursos públicos— el deber de publicar la información relativa a su contratación. El artículo 11, literal g), exige además la divulgación de los procedimientos, lineamientos, políticas de adquisiciones, datos de adjudicación y ejecución de contratos, incluyendo concursos y licitaciones, información que debe estar disponible en el SECOP</w:t>
      </w:r>
    </w:p>
    <w:p w14:paraId="096F3C1C" w14:textId="77777777" w:rsidR="00102E0C" w:rsidRPr="00102E0C" w:rsidRDefault="001C3D09" w:rsidP="001C3D09">
      <w:pPr>
        <w:contextualSpacing/>
        <w:jc w:val="both"/>
        <w:rPr>
          <w:rFonts w:ascii="Verdana" w:eastAsia="Calibri" w:hAnsi="Verdana" w:cs="Arial"/>
          <w:b/>
          <w:sz w:val="20"/>
          <w:szCs w:val="20"/>
          <w:lang w:val="es-ES_tradnl"/>
        </w:rPr>
      </w:pPr>
      <w:r w:rsidRPr="00102E0C">
        <w:rPr>
          <w:rFonts w:ascii="Verdana" w:eastAsia="Calibri" w:hAnsi="Verdana" w:cs="Arial"/>
          <w:b/>
          <w:sz w:val="20"/>
          <w:szCs w:val="20"/>
          <w:lang w:val="es-ES_tradnl"/>
        </w:rPr>
        <w:t>CIRCULAR ÚNICA EXTERNA – Deber de publicar oportunamente la actividad contractual en SECOP</w:t>
      </w:r>
    </w:p>
    <w:p w14:paraId="403EE414" w14:textId="77777777" w:rsidR="00102E0C" w:rsidRPr="00102E0C" w:rsidRDefault="00102E0C" w:rsidP="001C3D09">
      <w:pPr>
        <w:contextualSpacing/>
        <w:jc w:val="both"/>
        <w:rPr>
          <w:rFonts w:ascii="Verdana" w:eastAsia="Calibri" w:hAnsi="Verdana" w:cs="Arial"/>
          <w:b/>
          <w:sz w:val="20"/>
          <w:szCs w:val="20"/>
          <w:lang w:val="es-ES_tradnl"/>
        </w:rPr>
      </w:pPr>
    </w:p>
    <w:p w14:paraId="5C8BE89C" w14:textId="0B61C13C" w:rsidR="00102E0C" w:rsidRPr="00102E0C" w:rsidRDefault="00102E0C" w:rsidP="001C3D09">
      <w:pPr>
        <w:contextualSpacing/>
        <w:jc w:val="both"/>
        <w:rPr>
          <w:rFonts w:ascii="Verdana" w:eastAsia="Calibri" w:hAnsi="Verdana" w:cs="Arial"/>
          <w:b/>
          <w:sz w:val="20"/>
          <w:szCs w:val="20"/>
          <w:lang w:val="es-ES_tradnl"/>
        </w:rPr>
      </w:pPr>
      <w:r w:rsidRPr="00102E0C">
        <w:rPr>
          <w:rFonts w:ascii="Verdana" w:eastAsia="Calibri" w:hAnsi="Verdana" w:cs="Arial"/>
          <w:sz w:val="20"/>
          <w:szCs w:val="20"/>
          <w:lang w:val="es-ES"/>
        </w:rPr>
        <w:t>La Circular Externa Única emitida por esta Agencia, recordó a todas las entidades del Estado el deber de publicar oportunamente su actividad contractual en el SECOP, sin distinción de su régimen jurídico, naturaleza jurídica o la pertenencia a una u otra rama del poder público.</w:t>
      </w:r>
    </w:p>
    <w:p w14:paraId="18DC26BE" w14:textId="77777777" w:rsidR="001C3D09" w:rsidRDefault="001C3D09" w:rsidP="009F2B49">
      <w:pPr>
        <w:rPr>
          <w:rFonts w:ascii="Verdana" w:eastAsia="Times New Roman" w:hAnsi="Verdana" w:cs="Arial"/>
          <w:lang w:eastAsia="es-ES_tradnl"/>
        </w:rPr>
      </w:pPr>
    </w:p>
    <w:p w14:paraId="43B28E05" w14:textId="77777777" w:rsidR="00102E0C" w:rsidRDefault="00102E0C" w:rsidP="009F2B49">
      <w:pPr>
        <w:rPr>
          <w:rFonts w:ascii="Verdana" w:eastAsia="Times New Roman" w:hAnsi="Verdana" w:cs="Arial"/>
          <w:lang w:eastAsia="es-ES_tradnl"/>
        </w:rPr>
      </w:pPr>
    </w:p>
    <w:p w14:paraId="5D2DB039" w14:textId="77777777" w:rsidR="00102E0C" w:rsidRDefault="00102E0C" w:rsidP="009F2B49">
      <w:pPr>
        <w:rPr>
          <w:rFonts w:ascii="Verdana" w:eastAsia="Times New Roman" w:hAnsi="Verdana" w:cs="Arial"/>
          <w:lang w:eastAsia="es-ES_tradnl"/>
        </w:rPr>
      </w:pPr>
    </w:p>
    <w:p w14:paraId="54827A07" w14:textId="77777777" w:rsidR="00102E0C" w:rsidRDefault="00102E0C" w:rsidP="009F2B49">
      <w:pPr>
        <w:rPr>
          <w:rFonts w:ascii="Verdana" w:eastAsia="Times New Roman" w:hAnsi="Verdana" w:cs="Arial"/>
          <w:lang w:eastAsia="es-ES_tradnl"/>
        </w:rPr>
      </w:pPr>
    </w:p>
    <w:p w14:paraId="574C7A92" w14:textId="271340AB" w:rsidR="009F2B49" w:rsidRPr="006F44C3" w:rsidRDefault="009F2B49" w:rsidP="009F2B49">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95001A">
        <w:rPr>
          <w:rFonts w:ascii="Verdana" w:eastAsia="Times New Roman" w:hAnsi="Verdana" w:cs="Arial"/>
          <w:lang w:eastAsia="es-ES_tradnl"/>
        </w:rPr>
        <w:t xml:space="preserve">13 </w:t>
      </w:r>
      <w:r w:rsidRPr="00093B55">
        <w:rPr>
          <w:rFonts w:ascii="Verdana" w:eastAsia="Times New Roman" w:hAnsi="Verdana" w:cs="Arial"/>
          <w:lang w:eastAsia="es-ES_tradnl"/>
        </w:rPr>
        <w:t xml:space="preserve">de </w:t>
      </w:r>
      <w:r w:rsidR="0095001A">
        <w:rPr>
          <w:rFonts w:ascii="Verdana" w:eastAsia="Times New Roman" w:hAnsi="Verdana" w:cs="Arial"/>
          <w:lang w:eastAsia="es-ES_tradnl"/>
        </w:rPr>
        <w:t xml:space="preserve">noviembre </w:t>
      </w:r>
      <w:r w:rsidRPr="00093B55">
        <w:rPr>
          <w:rFonts w:ascii="Verdana" w:eastAsia="Times New Roman" w:hAnsi="Verdana" w:cs="Arial"/>
          <w:lang w:eastAsia="es-ES_tradnl"/>
        </w:rPr>
        <w:t xml:space="preserve">de </w:t>
      </w:r>
      <w:r w:rsidR="00254D8A">
        <w:rPr>
          <w:rFonts w:ascii="Verdana" w:eastAsia="Times New Roman" w:hAnsi="Verdana" w:cs="Arial"/>
          <w:lang w:eastAsia="es-ES_tradnl"/>
        </w:rPr>
        <w:t>2025</w:t>
      </w:r>
    </w:p>
    <w:p w14:paraId="2BF5631E" w14:textId="2DE94C0D" w:rsidR="004809D3" w:rsidRPr="009F2B49" w:rsidRDefault="001C3D09" w:rsidP="001C3D09">
      <w:pPr>
        <w:spacing w:after="0" w:line="240" w:lineRule="auto"/>
        <w:ind w:left="5664"/>
        <w:jc w:val="both"/>
        <w:rPr>
          <w:rFonts w:ascii="Verdana" w:eastAsia="Times New Roman" w:hAnsi="Verdana" w:cs="Arial"/>
          <w:noProof/>
          <w:lang w:eastAsia="es-ES_tradnl"/>
        </w:rPr>
      </w:pPr>
      <w:r w:rsidRPr="001C3D09">
        <w:rPr>
          <w:rFonts w:ascii="Verdana" w:eastAsia="Times New Roman" w:hAnsi="Verdana" w:cs="Arial"/>
          <w:noProof/>
          <w:lang w:eastAsia="es-ES_tradnl"/>
        </w:rPr>
        <w:drawing>
          <wp:inline distT="0" distB="0" distL="0" distR="0" wp14:anchorId="6A1764F6" wp14:editId="1E893432">
            <wp:extent cx="2486372" cy="724001"/>
            <wp:effectExtent l="0" t="0" r="9525" b="0"/>
            <wp:docPr id="2086603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60373" name=""/>
                    <pic:cNvPicPr/>
                  </pic:nvPicPr>
                  <pic:blipFill>
                    <a:blip r:embed="rId10"/>
                    <a:stretch>
                      <a:fillRect/>
                    </a:stretch>
                  </pic:blipFill>
                  <pic:spPr>
                    <a:xfrm>
                      <a:off x="0" y="0"/>
                      <a:ext cx="2486372" cy="724001"/>
                    </a:xfrm>
                    <a:prstGeom prst="rect">
                      <a:avLst/>
                    </a:prstGeom>
                  </pic:spPr>
                </pic:pic>
              </a:graphicData>
            </a:graphic>
          </wp:inline>
        </w:drawing>
      </w:r>
      <w:r w:rsidRPr="001C3D09">
        <w:rPr>
          <w:rFonts w:ascii="Verdana" w:eastAsia="Times New Roman" w:hAnsi="Verdana" w:cs="Arial"/>
          <w:noProof/>
          <w:lang w:eastAsia="es-ES_tradnl"/>
        </w:rPr>
        <w:drawing>
          <wp:inline distT="0" distB="0" distL="0" distR="0" wp14:anchorId="695EF0AD" wp14:editId="515FBD9D">
            <wp:extent cx="2462443" cy="666750"/>
            <wp:effectExtent l="0" t="0" r="0" b="0"/>
            <wp:docPr id="15522426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242657" name=""/>
                    <pic:cNvPicPr/>
                  </pic:nvPicPr>
                  <pic:blipFill rotWithShape="1">
                    <a:blip r:embed="rId11"/>
                    <a:srcRect t="10775" r="4224" b="9231"/>
                    <a:stretch>
                      <a:fillRect/>
                    </a:stretch>
                  </pic:blipFill>
                  <pic:spPr bwMode="auto">
                    <a:xfrm>
                      <a:off x="0" y="0"/>
                      <a:ext cx="2469154" cy="668567"/>
                    </a:xfrm>
                    <a:prstGeom prst="rect">
                      <a:avLst/>
                    </a:prstGeom>
                    <a:ln>
                      <a:noFill/>
                    </a:ln>
                    <a:extLst>
                      <a:ext uri="{53640926-AAD7-44D8-BBD7-CCE9431645EC}">
                        <a14:shadowObscured xmlns:a14="http://schemas.microsoft.com/office/drawing/2010/main"/>
                      </a:ext>
                    </a:extLst>
                  </pic:spPr>
                </pic:pic>
              </a:graphicData>
            </a:graphic>
          </wp:inline>
        </w:drawing>
      </w:r>
    </w:p>
    <w:p w14:paraId="23452810" w14:textId="6ACE5946" w:rsidR="00584C69" w:rsidRPr="00584C69" w:rsidRDefault="00584C69" w:rsidP="00584C69">
      <w:pPr>
        <w:spacing w:after="0" w:line="240" w:lineRule="auto"/>
        <w:jc w:val="both"/>
        <w:rPr>
          <w:rFonts w:ascii="Verdana" w:eastAsia="Calibri" w:hAnsi="Verdana" w:cs="Arial"/>
          <w:lang w:val="es-ES" w:eastAsia="es-ES_tradnl"/>
        </w:rPr>
      </w:pPr>
      <w:r w:rsidRPr="00584C69">
        <w:rPr>
          <w:rFonts w:ascii="Verdana" w:eastAsia="Calibri" w:hAnsi="Verdana" w:cs="Arial"/>
          <w:lang w:val="es-ES" w:eastAsia="es-ES_tradnl"/>
        </w:rPr>
        <w:t>Señor</w:t>
      </w:r>
      <w:r w:rsidR="009F2B49">
        <w:rPr>
          <w:rFonts w:ascii="Verdana" w:eastAsia="Calibri" w:hAnsi="Verdana" w:cs="Arial"/>
          <w:lang w:val="es-ES" w:eastAsia="es-ES_tradnl"/>
        </w:rPr>
        <w:t>es</w:t>
      </w:r>
    </w:p>
    <w:p w14:paraId="2F1EC33B" w14:textId="3F545EDD" w:rsidR="00584C69" w:rsidRPr="00584C69" w:rsidRDefault="009F2B49" w:rsidP="00584C69">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UNAD leticia</w:t>
      </w:r>
    </w:p>
    <w:p w14:paraId="48E6AFCB" w14:textId="77777777" w:rsidR="009F2B49" w:rsidRPr="009F2B49" w:rsidRDefault="00871873" w:rsidP="00584C69">
      <w:pPr>
        <w:spacing w:after="0" w:line="240" w:lineRule="auto"/>
        <w:rPr>
          <w:rFonts w:ascii="Verdana" w:hAnsi="Verdana"/>
        </w:rPr>
      </w:pPr>
      <w:hyperlink r:id="rId12" w:history="1">
        <w:r w:rsidR="009F2B49" w:rsidRPr="009F2B49">
          <w:rPr>
            <w:rStyle w:val="Hipervnculo"/>
            <w:rFonts w:ascii="Verdana" w:hAnsi="Verdana"/>
          </w:rPr>
          <w:t>leticia@unad.edu.co</w:t>
        </w:r>
      </w:hyperlink>
      <w:r w:rsidR="009F2B49" w:rsidRPr="009F2B49">
        <w:rPr>
          <w:rFonts w:ascii="Verdana" w:hAnsi="Verdana"/>
        </w:rPr>
        <w:t xml:space="preserve">; </w:t>
      </w:r>
    </w:p>
    <w:p w14:paraId="5CC43272" w14:textId="3E1E97D9" w:rsidR="00584C69" w:rsidRPr="001C3D09" w:rsidRDefault="009F2B49" w:rsidP="00584C69">
      <w:pPr>
        <w:spacing w:after="0" w:line="240" w:lineRule="auto"/>
        <w:rPr>
          <w:rFonts w:ascii="Verdana" w:eastAsia="Calibri" w:hAnsi="Verdana" w:cs="Arial"/>
          <w:lang w:val="pt-PT" w:eastAsia="es-ES_tradnl"/>
        </w:rPr>
      </w:pPr>
      <w:r w:rsidRPr="001C3D09">
        <w:rPr>
          <w:rFonts w:ascii="Verdana" w:eastAsia="Calibri" w:hAnsi="Verdana" w:cs="Arial"/>
          <w:bCs/>
          <w:lang w:val="pt-PT" w:eastAsia="es-ES_tradnl"/>
        </w:rPr>
        <w:t>Leticia, Amazonas</w:t>
      </w:r>
    </w:p>
    <w:p w14:paraId="6DD01DE5" w14:textId="77777777" w:rsidR="00584C69" w:rsidRPr="001C3D09" w:rsidRDefault="00584C69" w:rsidP="00584C69">
      <w:pPr>
        <w:spacing w:after="0" w:line="240" w:lineRule="auto"/>
        <w:rPr>
          <w:rFonts w:ascii="Verdana" w:eastAsia="Calibri" w:hAnsi="Verdana" w:cs="Arial"/>
          <w:color w:val="EE0000"/>
          <w:lang w:val="pt-PT" w:eastAsia="es-ES_tradnl"/>
        </w:rPr>
      </w:pPr>
    </w:p>
    <w:p w14:paraId="6417DC44" w14:textId="77777777" w:rsidR="00584C69" w:rsidRPr="001C3D09" w:rsidRDefault="00584C69" w:rsidP="00584C69">
      <w:pPr>
        <w:spacing w:after="0" w:line="240" w:lineRule="auto"/>
        <w:rPr>
          <w:rFonts w:ascii="Verdana" w:eastAsia="Calibri" w:hAnsi="Verdana" w:cs="Arial"/>
          <w:color w:val="EE0000"/>
          <w:lang w:val="pt-PT" w:eastAsia="es-ES_tradnl"/>
        </w:rPr>
      </w:pPr>
    </w:p>
    <w:p w14:paraId="026A0322" w14:textId="7ECF9399" w:rsidR="00584C69" w:rsidRPr="001C3D09" w:rsidRDefault="00584C69" w:rsidP="00584C69">
      <w:pPr>
        <w:spacing w:after="0" w:line="240" w:lineRule="auto"/>
        <w:ind w:left="2694"/>
        <w:rPr>
          <w:rFonts w:ascii="Verdana" w:eastAsia="Calibri" w:hAnsi="Verdana" w:cs="Arial"/>
          <w:b/>
          <w:bCs/>
          <w:lang w:val="pt-PT" w:eastAsia="es-ES_tradnl"/>
        </w:rPr>
      </w:pPr>
      <w:r w:rsidRPr="001C3D09">
        <w:rPr>
          <w:rFonts w:ascii="Verdana" w:eastAsia="Calibri" w:hAnsi="Verdana" w:cs="Arial"/>
          <w:b/>
          <w:bCs/>
          <w:lang w:val="pt-PT" w:eastAsia="es-ES_tradnl"/>
        </w:rPr>
        <w:t xml:space="preserve">Concepto </w:t>
      </w:r>
      <w:r w:rsidR="009F2B49" w:rsidRPr="001C3D09">
        <w:rPr>
          <w:rFonts w:ascii="Verdana" w:eastAsia="Calibri" w:hAnsi="Verdana" w:cs="Arial"/>
          <w:b/>
          <w:bCs/>
          <w:lang w:val="pt-PT" w:eastAsia="es-ES_tradnl"/>
        </w:rPr>
        <w:t>C-</w:t>
      </w:r>
      <w:r w:rsidR="009F2B49" w:rsidRPr="001C3D09">
        <w:rPr>
          <w:lang w:val="pt-PT"/>
        </w:rPr>
        <w:t xml:space="preserve"> </w:t>
      </w:r>
      <w:r w:rsidR="009F2B49" w:rsidRPr="001C3D09">
        <w:rPr>
          <w:rFonts w:ascii="Verdana" w:eastAsia="Calibri" w:hAnsi="Verdana" w:cs="Arial"/>
          <w:b/>
          <w:bCs/>
          <w:lang w:val="pt-PT" w:eastAsia="es-ES_tradnl"/>
        </w:rPr>
        <w:t xml:space="preserve">C-1454 </w:t>
      </w:r>
      <w:r w:rsidRPr="001C3D09">
        <w:rPr>
          <w:rFonts w:ascii="Verdana" w:eastAsia="Calibri" w:hAnsi="Verdana" w:cs="Arial"/>
          <w:b/>
          <w:bCs/>
          <w:lang w:val="pt-PT" w:eastAsia="es-ES_tradnl"/>
        </w:rPr>
        <w:t>de 2025</w:t>
      </w:r>
    </w:p>
    <w:p w14:paraId="3806EE71" w14:textId="77777777" w:rsidR="00584C69" w:rsidRPr="001C3D09" w:rsidRDefault="00584C69" w:rsidP="00584C69">
      <w:pPr>
        <w:spacing w:after="0" w:line="240" w:lineRule="auto"/>
        <w:jc w:val="both"/>
        <w:rPr>
          <w:rFonts w:ascii="Verdana" w:eastAsia="Calibri" w:hAnsi="Verdana" w:cs="Arial"/>
          <w:color w:val="EE0000"/>
          <w:lang w:val="pt-P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584C69" w:rsidRPr="00584C69" w14:paraId="36E8518B" w14:textId="77777777" w:rsidTr="000118AD">
        <w:tc>
          <w:tcPr>
            <w:tcW w:w="2694" w:type="dxa"/>
          </w:tcPr>
          <w:p w14:paraId="7CF63CA4" w14:textId="77777777" w:rsidR="00584C69" w:rsidRPr="00584C69" w:rsidRDefault="00584C69" w:rsidP="00584C69">
            <w:pPr>
              <w:rPr>
                <w:rFonts w:ascii="Verdana" w:eastAsia="Calibri" w:hAnsi="Verdana" w:cs="Arial"/>
                <w:lang w:val="es-ES_tradnl" w:eastAsia="es-ES_tradnl"/>
              </w:rPr>
            </w:pPr>
            <w:r w:rsidRPr="00584C69">
              <w:rPr>
                <w:rFonts w:ascii="Verdana" w:eastAsia="Calibri" w:hAnsi="Verdana" w:cs="Arial"/>
                <w:b/>
                <w:lang w:val="es-ES_tradnl" w:eastAsia="es-ES_tradnl"/>
              </w:rPr>
              <w:t>Temas:</w:t>
            </w:r>
          </w:p>
        </w:tc>
        <w:tc>
          <w:tcPr>
            <w:tcW w:w="6095" w:type="dxa"/>
          </w:tcPr>
          <w:p w14:paraId="1F31C82D" w14:textId="77777777" w:rsidR="00584C69" w:rsidRDefault="00584C69" w:rsidP="00584C69">
            <w:pPr>
              <w:contextualSpacing/>
              <w:jc w:val="both"/>
              <w:rPr>
                <w:rFonts w:ascii="Verdana" w:eastAsia="Calibri" w:hAnsi="Verdana" w:cs="Arial"/>
                <w:bCs/>
                <w:lang w:val="es-ES_tradnl"/>
              </w:rPr>
            </w:pPr>
            <w:r w:rsidRPr="00584C69">
              <w:rPr>
                <w:rFonts w:ascii="Verdana" w:eastAsia="Calibri" w:hAnsi="Verdana" w:cs="Arial"/>
                <w:bCs/>
                <w:lang w:val="es-ES_tradnl"/>
              </w:rPr>
              <w:t xml:space="preserve">CONTRATACIÓN PÚBLICA – Principio de publicidad – Principio de transparencia – Uso del SECOP </w:t>
            </w:r>
            <w:r w:rsidRPr="00584C69">
              <w:rPr>
                <w:rFonts w:ascii="Verdana" w:eastAsia="Times New Roman" w:hAnsi="Verdana" w:cs="Arial"/>
                <w:bCs/>
                <w:lang w:eastAsia="es-ES_tradnl"/>
              </w:rPr>
              <w:t xml:space="preserve">/ </w:t>
            </w:r>
            <w:r w:rsidRPr="00584C69">
              <w:rPr>
                <w:rFonts w:ascii="Verdana" w:eastAsia="Calibri" w:hAnsi="Verdana" w:cs="Arial"/>
                <w:bCs/>
                <w:lang w:val="es-ES_tradnl"/>
              </w:rPr>
              <w:t>PRINCIPIO DE TRANSPARENCIA – Ley 1712 de 2014 – Documentos públicos / CIRCULAR ÚNICA EXTERNA – Deber de publicar oportunamente la actividad contractual en SECOP</w:t>
            </w:r>
          </w:p>
          <w:p w14:paraId="0D815D63" w14:textId="77777777" w:rsidR="00D662A1" w:rsidRPr="00584C69" w:rsidRDefault="00D662A1" w:rsidP="00584C69">
            <w:pPr>
              <w:contextualSpacing/>
              <w:jc w:val="both"/>
              <w:rPr>
                <w:rFonts w:ascii="Verdana" w:eastAsia="Calibri" w:hAnsi="Verdana" w:cs="Arial"/>
                <w:bCs/>
                <w:lang w:val="es-ES_tradnl" w:eastAsia="es-ES"/>
              </w:rPr>
            </w:pPr>
          </w:p>
        </w:tc>
      </w:tr>
      <w:tr w:rsidR="00584C69" w:rsidRPr="00584C69" w14:paraId="00AE5D61" w14:textId="77777777" w:rsidTr="000118AD">
        <w:tc>
          <w:tcPr>
            <w:tcW w:w="2694" w:type="dxa"/>
          </w:tcPr>
          <w:p w14:paraId="098D0C47" w14:textId="77777777" w:rsidR="00584C69" w:rsidRPr="00584C69" w:rsidRDefault="00584C69" w:rsidP="00584C69">
            <w:pPr>
              <w:rPr>
                <w:rFonts w:ascii="Verdana" w:eastAsia="Calibri" w:hAnsi="Verdana" w:cs="Arial"/>
                <w:b/>
                <w:lang w:val="es-ES" w:eastAsia="es-ES_tradnl"/>
              </w:rPr>
            </w:pPr>
            <w:r w:rsidRPr="00584C69">
              <w:rPr>
                <w:rFonts w:ascii="Verdana" w:eastAsia="Calibri" w:hAnsi="Verdana" w:cs="Arial"/>
                <w:b/>
                <w:lang w:val="es-ES" w:eastAsia="es-ES_tradnl"/>
              </w:rPr>
              <w:t>Radicación:</w:t>
            </w:r>
          </w:p>
        </w:tc>
        <w:tc>
          <w:tcPr>
            <w:tcW w:w="6095" w:type="dxa"/>
          </w:tcPr>
          <w:p w14:paraId="031CBDEA" w14:textId="6B41C577" w:rsidR="00584C69" w:rsidRPr="00584C69" w:rsidRDefault="00584C69" w:rsidP="00584C69">
            <w:pPr>
              <w:jc w:val="both"/>
              <w:rPr>
                <w:rFonts w:ascii="Verdana" w:eastAsia="Calibri" w:hAnsi="Verdana" w:cs="Arial"/>
                <w:lang w:val="es-ES" w:eastAsia="es-ES_tradnl"/>
              </w:rPr>
            </w:pPr>
            <w:r w:rsidRPr="00584C69">
              <w:rPr>
                <w:rFonts w:ascii="Verdana" w:eastAsia="Calibri" w:hAnsi="Verdana" w:cs="Arial"/>
                <w:lang w:val="es-ES" w:eastAsia="es-ES_tradnl"/>
              </w:rPr>
              <w:t xml:space="preserve">Respuesta a consulta radicado No. </w:t>
            </w:r>
            <w:r w:rsidR="009F2B49" w:rsidRPr="009F2B49">
              <w:rPr>
                <w:rFonts w:ascii="Verdana" w:eastAsia="Times New Roman" w:hAnsi="Verdana" w:cs="Arial"/>
                <w:lang w:eastAsia="es-ES_tradnl"/>
              </w:rPr>
              <w:t>1_2025_10_07_011152</w:t>
            </w:r>
            <w:r w:rsidR="001C3D09">
              <w:rPr>
                <w:rFonts w:ascii="Verdana" w:eastAsia="Times New Roman" w:hAnsi="Verdana" w:cs="Arial"/>
                <w:lang w:eastAsia="es-ES_tradnl"/>
              </w:rPr>
              <w:t xml:space="preserve"> y </w:t>
            </w:r>
            <w:r w:rsidR="001C3D09" w:rsidRPr="001C3D09">
              <w:rPr>
                <w:rFonts w:ascii="Verdana" w:eastAsia="Times New Roman" w:hAnsi="Verdana" w:cs="Arial"/>
                <w:lang w:eastAsia="es-ES_tradnl"/>
              </w:rPr>
              <w:t>1_2025_10_30_012243</w:t>
            </w:r>
          </w:p>
        </w:tc>
      </w:tr>
    </w:tbl>
    <w:p w14:paraId="3C40FB87" w14:textId="77777777" w:rsidR="00584C69" w:rsidRPr="00584C69" w:rsidRDefault="00584C69" w:rsidP="00584C69">
      <w:pPr>
        <w:spacing w:after="0" w:line="240" w:lineRule="auto"/>
        <w:jc w:val="both"/>
        <w:rPr>
          <w:rFonts w:ascii="Verdana" w:eastAsia="Calibri" w:hAnsi="Verdana" w:cs="Arial"/>
          <w:color w:val="EE0000"/>
          <w:lang w:val="es-ES_tradnl" w:eastAsia="es-ES_tradnl"/>
        </w:rPr>
      </w:pPr>
    </w:p>
    <w:p w14:paraId="23FE37BD" w14:textId="77777777" w:rsidR="00584C69" w:rsidRPr="00584C69" w:rsidRDefault="00584C69" w:rsidP="00584C69">
      <w:pPr>
        <w:spacing w:after="0" w:line="240" w:lineRule="auto"/>
        <w:jc w:val="both"/>
        <w:rPr>
          <w:rFonts w:ascii="Verdana" w:eastAsia="Calibri" w:hAnsi="Verdana" w:cs="Arial"/>
          <w:color w:val="EE0000"/>
          <w:lang w:val="es-ES_tradnl" w:eastAsia="es-ES_tradnl"/>
        </w:rPr>
      </w:pPr>
    </w:p>
    <w:p w14:paraId="6AAD2240" w14:textId="63E520F4" w:rsidR="00584C69" w:rsidRPr="00584C69" w:rsidRDefault="00584C69" w:rsidP="00584C69">
      <w:pPr>
        <w:spacing w:after="0" w:line="276" w:lineRule="auto"/>
        <w:contextualSpacing/>
        <w:jc w:val="both"/>
        <w:rPr>
          <w:rFonts w:ascii="Verdana" w:eastAsia="Calibri" w:hAnsi="Verdana" w:cs="Arial"/>
          <w:bCs/>
          <w:lang w:val="es-ES_tradnl" w:eastAsia="es-ES_tradnl"/>
        </w:rPr>
      </w:pPr>
      <w:r w:rsidRPr="00584C69">
        <w:rPr>
          <w:rFonts w:ascii="Verdana" w:eastAsia="Calibri" w:hAnsi="Verdana" w:cs="Arial"/>
          <w:lang w:val="es-ES_tradnl" w:eastAsia="es-ES_tradnl"/>
        </w:rPr>
        <w:t>Estimad</w:t>
      </w:r>
      <w:r w:rsidR="009F2B49">
        <w:rPr>
          <w:rFonts w:ascii="Verdana" w:eastAsia="Calibri" w:hAnsi="Verdana" w:cs="Arial"/>
          <w:lang w:val="es-ES_tradnl" w:eastAsia="es-ES_tradnl"/>
        </w:rPr>
        <w:t>os señores</w:t>
      </w:r>
      <w:r w:rsidRPr="00584C69">
        <w:rPr>
          <w:rFonts w:ascii="Verdana" w:eastAsia="Calibri" w:hAnsi="Verdana" w:cs="Arial"/>
          <w:lang w:val="es-ES_tradnl" w:eastAsia="es-ES_tradnl"/>
        </w:rPr>
        <w:t>:</w:t>
      </w:r>
    </w:p>
    <w:p w14:paraId="0F07F43A" w14:textId="77777777" w:rsidR="00584C69" w:rsidRPr="00584C69" w:rsidRDefault="00584C69" w:rsidP="00584C69">
      <w:pPr>
        <w:spacing w:after="0" w:line="276" w:lineRule="auto"/>
        <w:contextualSpacing/>
        <w:jc w:val="both"/>
        <w:rPr>
          <w:rFonts w:ascii="Verdana" w:eastAsia="Calibri" w:hAnsi="Verdana" w:cs="Arial"/>
          <w:color w:val="EE0000"/>
          <w:lang w:val="es-ES_tradnl" w:eastAsia="es-ES_tradnl"/>
        </w:rPr>
      </w:pPr>
    </w:p>
    <w:p w14:paraId="3F311C07" w14:textId="494A221E" w:rsidR="00584C69" w:rsidRPr="00584C69" w:rsidRDefault="00584C69" w:rsidP="00584C69">
      <w:pPr>
        <w:spacing w:after="0" w:line="276" w:lineRule="auto"/>
        <w:contextualSpacing/>
        <w:jc w:val="both"/>
        <w:rPr>
          <w:rFonts w:ascii="Verdana" w:eastAsia="Calibri" w:hAnsi="Verdana" w:cs="Arial"/>
          <w:lang w:val="es-ES" w:eastAsia="es-ES_tradnl"/>
        </w:rPr>
      </w:pPr>
      <w:r w:rsidRPr="00584C69">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9A0094">
        <w:rPr>
          <w:rFonts w:ascii="Verdana" w:eastAsia="Calibri" w:hAnsi="Verdana" w:cs="Arial"/>
          <w:lang w:val="es-ES" w:eastAsia="es-ES_tradnl"/>
        </w:rPr>
        <w:t>07</w:t>
      </w:r>
      <w:r w:rsidRPr="00584C69">
        <w:rPr>
          <w:rFonts w:ascii="Verdana" w:eastAsia="Calibri" w:hAnsi="Verdana" w:cs="Arial"/>
          <w:lang w:val="es-ES" w:eastAsia="es-ES_tradnl"/>
        </w:rPr>
        <w:t xml:space="preserve"> de </w:t>
      </w:r>
      <w:r w:rsidR="009A0094">
        <w:rPr>
          <w:rFonts w:ascii="Verdana" w:eastAsia="Calibri" w:hAnsi="Verdana" w:cs="Arial"/>
          <w:lang w:val="es-ES" w:eastAsia="es-ES_tradnl"/>
        </w:rPr>
        <w:t>octubre</w:t>
      </w:r>
      <w:r w:rsidRPr="00584C69">
        <w:rPr>
          <w:rFonts w:ascii="Verdana" w:eastAsia="Calibri" w:hAnsi="Verdana" w:cs="Arial"/>
          <w:lang w:val="es-ES" w:eastAsia="es-ES_tradnl"/>
        </w:rPr>
        <w:t xml:space="preserve"> de 2025</w:t>
      </w:r>
      <w:r w:rsidR="001C3D09">
        <w:rPr>
          <w:rFonts w:ascii="Verdana" w:eastAsia="Calibri" w:hAnsi="Verdana" w:cs="Arial"/>
          <w:lang w:val="es-ES" w:eastAsia="es-ES_tradnl"/>
        </w:rPr>
        <w:t xml:space="preserve"> y 30 de octubre, respectivamente</w:t>
      </w:r>
      <w:r w:rsidRPr="00584C69">
        <w:rPr>
          <w:rFonts w:ascii="Verdana" w:eastAsia="Calibri" w:hAnsi="Verdana" w:cs="Arial"/>
          <w:lang w:val="es-ES" w:eastAsia="es-ES_tradnl"/>
        </w:rPr>
        <w:t>, en la cual manifiesta lo siguiente:</w:t>
      </w:r>
    </w:p>
    <w:p w14:paraId="5A0D12E8" w14:textId="77777777" w:rsidR="00584C69" w:rsidRPr="00584C69" w:rsidRDefault="00584C69" w:rsidP="00584C69">
      <w:pPr>
        <w:spacing w:after="0" w:line="276" w:lineRule="auto"/>
        <w:ind w:left="709" w:right="709"/>
        <w:contextualSpacing/>
        <w:jc w:val="both"/>
        <w:rPr>
          <w:rFonts w:ascii="Verdana" w:eastAsia="Calibri" w:hAnsi="Verdana" w:cs="Arial"/>
          <w:b/>
          <w:sz w:val="20"/>
          <w:szCs w:val="20"/>
          <w:lang w:val="es-ES_tradnl" w:eastAsia="es-ES_tradnl"/>
        </w:rPr>
      </w:pPr>
    </w:p>
    <w:p w14:paraId="4A2315DB" w14:textId="728D69E6" w:rsidR="00584C69" w:rsidRPr="009A0094" w:rsidRDefault="009A0094" w:rsidP="009A0094">
      <w:pPr>
        <w:spacing w:after="0" w:line="240" w:lineRule="auto"/>
        <w:ind w:left="709" w:right="709"/>
        <w:contextualSpacing/>
        <w:jc w:val="both"/>
        <w:rPr>
          <w:rFonts w:ascii="Verdana" w:eastAsia="Times New Roman" w:hAnsi="Verdana" w:cs="Arial"/>
          <w:i/>
          <w:iCs/>
          <w:sz w:val="20"/>
          <w:szCs w:val="20"/>
          <w:lang w:eastAsia="es-ES_tradnl"/>
        </w:rPr>
      </w:pPr>
      <w:r>
        <w:rPr>
          <w:rFonts w:ascii="Verdana" w:eastAsia="Times New Roman" w:hAnsi="Verdana" w:cs="Arial"/>
          <w:sz w:val="20"/>
          <w:szCs w:val="20"/>
          <w:lang w:val="es-ES_tradnl" w:eastAsia="es-ES_tradnl"/>
        </w:rPr>
        <w:t>“</w:t>
      </w:r>
      <w:r w:rsidRPr="009A0094">
        <w:rPr>
          <w:rFonts w:ascii="Verdana" w:eastAsia="Times New Roman" w:hAnsi="Verdana" w:cs="Arial"/>
          <w:i/>
          <w:iCs/>
          <w:sz w:val="20"/>
          <w:szCs w:val="20"/>
          <w:lang w:eastAsia="es-ES_tradnl"/>
        </w:rPr>
        <w:t>la UNAD desde la Unidad de Desarrollo Regional LETICIA ha gestionado con la</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GOBERNACION DE AMAZONAS un convenio para prácticas y pasantías, con el</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objetivo de brindar escenarios prácticos a los estudiantes de la Universidad en</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 xml:space="preserve">Diferentes sectores de la Gobernación. uno de los </w:t>
      </w:r>
      <w:r w:rsidRPr="009A0094">
        <w:rPr>
          <w:rFonts w:ascii="Verdana" w:eastAsia="Times New Roman" w:hAnsi="Verdana" w:cs="Arial"/>
          <w:i/>
          <w:iCs/>
          <w:sz w:val="20"/>
          <w:szCs w:val="20"/>
          <w:lang w:eastAsia="es-ES_tradnl"/>
        </w:rPr>
        <w:lastRenderedPageBreak/>
        <w:t>compromisos de la</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GOBERNACION es asumir el pago de ARL de los practicantes, mas no implica</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recursos de contratación a practicantes ni destina recursos para la UNIVERSIDAD,</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es un convenio sin recursos. La consulta es si es o no es NECESARIO que este</w:t>
      </w:r>
      <w:r>
        <w:rPr>
          <w:rFonts w:ascii="Verdana" w:eastAsia="Times New Roman" w:hAnsi="Verdana" w:cs="Arial"/>
          <w:i/>
          <w:iCs/>
          <w:sz w:val="20"/>
          <w:szCs w:val="20"/>
          <w:lang w:eastAsia="es-ES_tradnl"/>
        </w:rPr>
        <w:t xml:space="preserve"> </w:t>
      </w:r>
      <w:r w:rsidRPr="009A0094">
        <w:rPr>
          <w:rFonts w:ascii="Verdana" w:eastAsia="Times New Roman" w:hAnsi="Verdana" w:cs="Arial"/>
          <w:i/>
          <w:iCs/>
          <w:sz w:val="20"/>
          <w:szCs w:val="20"/>
          <w:lang w:eastAsia="es-ES_tradnl"/>
        </w:rPr>
        <w:t>convenio sea cargado en SECOP2, pues no implica recursos de contratación</w:t>
      </w:r>
      <w:r w:rsidR="00584C69" w:rsidRPr="00584C69">
        <w:rPr>
          <w:rFonts w:ascii="Verdana" w:eastAsia="Times New Roman" w:hAnsi="Verdana" w:cs="Arial"/>
          <w:sz w:val="20"/>
          <w:szCs w:val="20"/>
          <w:lang w:eastAsia="es-ES_tradnl"/>
        </w:rPr>
        <w:t>”.</w:t>
      </w:r>
    </w:p>
    <w:p w14:paraId="3F0A4A13" w14:textId="77777777" w:rsidR="00584C69" w:rsidRPr="00584C69" w:rsidRDefault="00584C69" w:rsidP="00584C69">
      <w:pPr>
        <w:spacing w:after="0" w:line="240" w:lineRule="auto"/>
        <w:ind w:left="709" w:right="709"/>
        <w:contextualSpacing/>
        <w:jc w:val="both"/>
        <w:rPr>
          <w:rFonts w:ascii="Verdana" w:eastAsia="Times New Roman" w:hAnsi="Verdana" w:cs="Arial"/>
          <w:color w:val="EE0000"/>
          <w:sz w:val="21"/>
          <w:szCs w:val="21"/>
          <w:lang w:eastAsia="es-ES_tradnl"/>
        </w:rPr>
      </w:pPr>
    </w:p>
    <w:p w14:paraId="08C89ABD" w14:textId="77777777" w:rsidR="00584C69" w:rsidRPr="00584C69" w:rsidRDefault="00584C69" w:rsidP="00584C69">
      <w:pPr>
        <w:spacing w:after="120" w:line="276" w:lineRule="auto"/>
        <w:ind w:firstLine="709"/>
        <w:jc w:val="both"/>
        <w:rPr>
          <w:rFonts w:ascii="Verdana" w:eastAsia="Calibri" w:hAnsi="Verdana" w:cs="Arial"/>
          <w:lang w:val="es-ES" w:eastAsia="es-ES"/>
        </w:rPr>
      </w:pPr>
      <w:r w:rsidRPr="00584C6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84C69">
        <w:rPr>
          <w:rFonts w:ascii="Verdana" w:eastAsia="Calibri" w:hAnsi="Verdana" w:cs="Arial"/>
          <w:szCs w:val="24"/>
          <w:lang w:val="es-ES_tradnl" w:eastAsia="es-ES_tradnl"/>
        </w:rPr>
        <w:tab/>
      </w:r>
    </w:p>
    <w:p w14:paraId="12E5045A" w14:textId="77777777" w:rsidR="00584C69" w:rsidRPr="00584C69" w:rsidRDefault="00584C69" w:rsidP="00584C69">
      <w:pPr>
        <w:spacing w:after="0" w:line="276" w:lineRule="auto"/>
        <w:ind w:firstLine="709"/>
        <w:jc w:val="both"/>
        <w:rPr>
          <w:rFonts w:ascii="Verdana" w:eastAsia="Calibri" w:hAnsi="Verdana" w:cs="Arial"/>
          <w:lang w:val="es-ES" w:eastAsia="es-ES"/>
        </w:rPr>
      </w:pPr>
      <w:r w:rsidRPr="00584C6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6E4B34E" w14:textId="77777777" w:rsidR="00584C69" w:rsidRPr="00584C69" w:rsidRDefault="00584C69" w:rsidP="00584C69">
      <w:pPr>
        <w:spacing w:after="0" w:line="276" w:lineRule="auto"/>
        <w:contextualSpacing/>
        <w:jc w:val="both"/>
        <w:rPr>
          <w:rFonts w:ascii="Verdana" w:eastAsia="Times New Roman" w:hAnsi="Verdana" w:cs="Arial"/>
          <w:szCs w:val="24"/>
          <w:lang w:val="es-ES_tradnl" w:eastAsia="es-ES_tradnl"/>
        </w:rPr>
      </w:pPr>
    </w:p>
    <w:p w14:paraId="3EBFA388" w14:textId="77777777" w:rsidR="00584C69" w:rsidRPr="00584C69" w:rsidRDefault="00584C69" w:rsidP="00584C69">
      <w:pPr>
        <w:tabs>
          <w:tab w:val="left" w:pos="0"/>
          <w:tab w:val="left" w:pos="284"/>
        </w:tabs>
        <w:spacing w:after="0" w:line="276" w:lineRule="auto"/>
        <w:contextualSpacing/>
        <w:jc w:val="both"/>
        <w:rPr>
          <w:rFonts w:ascii="Verdana" w:eastAsia="Calibri" w:hAnsi="Verdana" w:cs="Arial"/>
          <w:b/>
          <w:lang w:val="es-ES_tradnl"/>
        </w:rPr>
      </w:pPr>
      <w:r w:rsidRPr="00584C69">
        <w:rPr>
          <w:rFonts w:ascii="Verdana" w:eastAsia="Calibri" w:hAnsi="Verdana" w:cs="Arial"/>
          <w:b/>
          <w:lang w:val="es-ES_tradnl"/>
        </w:rPr>
        <w:t>1. Problema planteado:</w:t>
      </w:r>
    </w:p>
    <w:p w14:paraId="58F17D55" w14:textId="77777777" w:rsidR="00584C69" w:rsidRPr="00584C69" w:rsidRDefault="00584C69" w:rsidP="00584C69">
      <w:pPr>
        <w:tabs>
          <w:tab w:val="left" w:pos="0"/>
          <w:tab w:val="left" w:pos="284"/>
        </w:tabs>
        <w:spacing w:after="0" w:line="276" w:lineRule="auto"/>
        <w:contextualSpacing/>
        <w:jc w:val="both"/>
        <w:rPr>
          <w:rFonts w:ascii="Verdana" w:eastAsia="Calibri" w:hAnsi="Verdana" w:cs="Arial"/>
          <w:b/>
          <w:color w:val="EE0000"/>
          <w:lang w:val="es-ES_tradnl"/>
        </w:rPr>
      </w:pPr>
    </w:p>
    <w:p w14:paraId="4362196B" w14:textId="321BC63F" w:rsidR="00584C69" w:rsidRPr="00584C69" w:rsidRDefault="00584C69" w:rsidP="00584C69">
      <w:pPr>
        <w:spacing w:after="0" w:line="276" w:lineRule="auto"/>
        <w:jc w:val="both"/>
        <w:rPr>
          <w:rFonts w:ascii="Verdana" w:eastAsia="Century Gothic" w:hAnsi="Verdana" w:cs="Century Gothic"/>
        </w:rPr>
      </w:pPr>
      <w:r w:rsidRPr="00584C69">
        <w:rPr>
          <w:rFonts w:ascii="Verdana" w:eastAsia="Century Gothic" w:hAnsi="Verdana" w:cs="Century Gothic"/>
        </w:rPr>
        <w:t xml:space="preserve">De acuerdo con el contenido de su solicitud, esta Agencia resolverá el siguiente problema jurídico: </w:t>
      </w:r>
      <w:bookmarkStart w:id="1" w:name="_Hlk199424158"/>
      <w:r w:rsidR="009A0094">
        <w:rPr>
          <w:rFonts w:ascii="Verdana" w:eastAsia="Century Gothic" w:hAnsi="Verdana" w:cs="Century Gothic"/>
        </w:rPr>
        <w:t>¿Cuáles son las generalidades legales que</w:t>
      </w:r>
      <w:r w:rsidRPr="00584C69">
        <w:rPr>
          <w:rFonts w:ascii="Verdana" w:eastAsia="Century Gothic" w:hAnsi="Verdana" w:cs="Century Gothic"/>
        </w:rPr>
        <w:t xml:space="preserve"> obliga</w:t>
      </w:r>
      <w:r w:rsidR="009A0094">
        <w:rPr>
          <w:rFonts w:ascii="Verdana" w:eastAsia="Century Gothic" w:hAnsi="Verdana" w:cs="Century Gothic"/>
        </w:rPr>
        <w:t>n</w:t>
      </w:r>
      <w:r w:rsidRPr="00584C69">
        <w:rPr>
          <w:rFonts w:ascii="Verdana" w:eastAsia="Century Gothic" w:hAnsi="Verdana" w:cs="Century Gothic"/>
        </w:rPr>
        <w:t xml:space="preserve"> a las </w:t>
      </w:r>
      <w:r w:rsidR="009A0094">
        <w:rPr>
          <w:rFonts w:ascii="Verdana" w:eastAsia="Century Gothic" w:hAnsi="Verdana" w:cs="Century Gothic"/>
        </w:rPr>
        <w:t>entidades a</w:t>
      </w:r>
      <w:r w:rsidRPr="00584C69">
        <w:rPr>
          <w:rFonts w:ascii="Verdana" w:eastAsia="Century Gothic" w:hAnsi="Verdana" w:cs="Century Gothic"/>
        </w:rPr>
        <w:t xml:space="preserve"> publicar en el SECOP</w:t>
      </w:r>
      <w:r w:rsidR="009A0094">
        <w:rPr>
          <w:rFonts w:ascii="Verdana" w:eastAsia="Century Gothic" w:hAnsi="Verdana" w:cs="Century Gothic"/>
        </w:rPr>
        <w:t xml:space="preserve"> II</w:t>
      </w:r>
      <w:r w:rsidRPr="00584C69">
        <w:rPr>
          <w:rFonts w:ascii="Verdana" w:eastAsia="Century Gothic" w:hAnsi="Verdana" w:cs="Century Gothic"/>
        </w:rPr>
        <w:t>?</w:t>
      </w:r>
    </w:p>
    <w:bookmarkEnd w:id="1"/>
    <w:p w14:paraId="2575FB29" w14:textId="77777777" w:rsidR="00584C69" w:rsidRPr="00584C69" w:rsidRDefault="00584C69" w:rsidP="00584C69">
      <w:pPr>
        <w:spacing w:after="0" w:line="276" w:lineRule="auto"/>
        <w:ind w:firstLine="709"/>
        <w:jc w:val="both"/>
        <w:rPr>
          <w:rFonts w:ascii="Verdana" w:eastAsia="Calibri" w:hAnsi="Verdana" w:cs="Arial"/>
          <w:color w:val="EE0000"/>
          <w:lang w:val="es-ES" w:eastAsia="es-ES_tradnl"/>
        </w:rPr>
      </w:pPr>
    </w:p>
    <w:p w14:paraId="3A310CD7"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rPr>
      </w:pPr>
      <w:r w:rsidRPr="00584C69">
        <w:rPr>
          <w:rFonts w:ascii="Verdana" w:eastAsia="Century Gothic" w:hAnsi="Verdana" w:cs="Century Gothic"/>
          <w:b/>
          <w:bCs/>
        </w:rPr>
        <w:t>2. Respuesta:</w:t>
      </w:r>
    </w:p>
    <w:p w14:paraId="06C66FBF"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4C69" w:rsidRPr="00584C69" w14:paraId="51DFBBCC" w14:textId="77777777" w:rsidTr="000118AD">
        <w:tc>
          <w:tcPr>
            <w:tcW w:w="8828" w:type="dxa"/>
          </w:tcPr>
          <w:p w14:paraId="51A551BB" w14:textId="7CA73949" w:rsidR="00AB6DC2" w:rsidRPr="00AB6DC2" w:rsidRDefault="00AB6DC2" w:rsidP="00AB6DC2">
            <w:pPr>
              <w:tabs>
                <w:tab w:val="left" w:pos="597"/>
              </w:tabs>
              <w:spacing w:after="120" w:line="276" w:lineRule="auto"/>
              <w:jc w:val="both"/>
              <w:rPr>
                <w:rFonts w:ascii="Verdana" w:eastAsia="Calibri" w:hAnsi="Verdana" w:cs="Arial"/>
              </w:rPr>
            </w:pPr>
            <w:r w:rsidRPr="00AB6DC2">
              <w:rPr>
                <w:rFonts w:ascii="Verdana" w:eastAsia="Calibri" w:hAnsi="Verdana" w:cs="Arial"/>
              </w:rPr>
              <w:t xml:space="preserve">La obligación de las </w:t>
            </w:r>
            <w:r w:rsidR="009A0094">
              <w:rPr>
                <w:rFonts w:ascii="Verdana" w:eastAsia="Calibri" w:hAnsi="Verdana" w:cs="Arial"/>
              </w:rPr>
              <w:t>Entidades</w:t>
            </w:r>
            <w:r w:rsidRPr="00AB6DC2">
              <w:rPr>
                <w:rFonts w:ascii="Verdana" w:eastAsia="Calibri" w:hAnsi="Verdana" w:cs="Arial"/>
              </w:rPr>
              <w:t xml:space="preserve"> de publicar en el Sistema Electrónico para la Contratación Pública – SECOP II, encuentra sustento en un conjunto normativo que articula disposiciones constitucionales, legales, reglamentarias y administrativas, todas orientadas a garantizar el principio de publicidad y el </w:t>
            </w:r>
            <w:r w:rsidRPr="00AB6DC2">
              <w:rPr>
                <w:rFonts w:ascii="Verdana" w:eastAsia="Calibri" w:hAnsi="Verdana" w:cs="Arial"/>
              </w:rPr>
              <w:lastRenderedPageBreak/>
              <w:t>derecho de acceso a la información pública en el marco de la contratación estatal.</w:t>
            </w:r>
          </w:p>
          <w:p w14:paraId="216C3175" w14:textId="7F91EC62" w:rsidR="00AB6DC2" w:rsidRPr="00AB6DC2" w:rsidRDefault="00AB6DC2" w:rsidP="009A0094">
            <w:pPr>
              <w:tabs>
                <w:tab w:val="left" w:pos="597"/>
              </w:tabs>
              <w:spacing w:after="120" w:line="276" w:lineRule="auto"/>
              <w:jc w:val="both"/>
              <w:rPr>
                <w:rFonts w:ascii="Verdana" w:eastAsia="Calibri" w:hAnsi="Verdana" w:cs="Arial"/>
              </w:rPr>
            </w:pPr>
            <w:r w:rsidRPr="00AB6DC2">
              <w:rPr>
                <w:rFonts w:ascii="Verdana" w:eastAsia="Calibri" w:hAnsi="Verdana" w:cs="Arial"/>
              </w:rPr>
              <w:t>La Constitución Política de 1991 consagra la publicidad como uno de los principios fundamentales que rigen la función administrativa, conforme lo establece el artículo 209. A su vez, el artículo 74 reconoce el derecho de todas las personas a acceder a los documentos públicos, salvo los casos de reserva previstos expresamente en la ley. En desarrollo de estos principios, el artículo 3 de la Ley 1150 de 2007 establece que el SECOP debe contener la información oficial de la contratación realizada con dineros públicos, y que dicha información debe ser difundida a través de canales electrónicos. Esta norma consagra un deber general de publicidad contractual que recae sobre todas las entidades estatales, sin distinción de su régimen jurídico, naturaleza o pertenencia a una rama del poder público.</w:t>
            </w:r>
          </w:p>
          <w:p w14:paraId="4EB21172" w14:textId="77777777" w:rsidR="00AB6DC2" w:rsidRPr="00AB6DC2" w:rsidRDefault="00AB6DC2" w:rsidP="009A0094">
            <w:pPr>
              <w:tabs>
                <w:tab w:val="left" w:pos="597"/>
              </w:tabs>
              <w:spacing w:after="120" w:line="276" w:lineRule="auto"/>
              <w:jc w:val="both"/>
              <w:rPr>
                <w:rFonts w:ascii="Verdana" w:eastAsia="Calibri" w:hAnsi="Verdana" w:cs="Arial"/>
              </w:rPr>
            </w:pPr>
            <w:r w:rsidRPr="00AB6DC2">
              <w:rPr>
                <w:rFonts w:ascii="Verdana" w:eastAsia="Calibri" w:hAnsi="Verdana" w:cs="Arial"/>
              </w:rPr>
              <w:t>Complementariamente, la Ley 1712 de 2014, conocida como la Ley de Transparencia y del Derecho de Acceso a la Información Pública, refuerza esta obligación al establecer los principios de máxima publicidad, transparencia y buena fe. En particular, el literal e) del artículo 9 impone a los sujetos obligados —entre los cuales se encuentran todas las entidades públicas y aquellas que administren recursos públicos— el deber de publicar la información relativa a su contratación. El artículo 11, literal g), exige además la divulgación de los procedimientos, lineamientos, políticas de adquisiciones, datos de adjudicación y ejecución de contratos, incluyendo concursos y licitaciones, información que debe estar disponible en el SECOP.</w:t>
            </w:r>
          </w:p>
          <w:p w14:paraId="05B9AB7C" w14:textId="600528D1" w:rsidR="00584C69" w:rsidRPr="00584C69" w:rsidRDefault="00584C69" w:rsidP="009A0094">
            <w:pPr>
              <w:tabs>
                <w:tab w:val="left" w:pos="597"/>
              </w:tabs>
              <w:spacing w:after="120" w:line="276" w:lineRule="auto"/>
              <w:jc w:val="both"/>
              <w:rPr>
                <w:rFonts w:ascii="Verdana" w:eastAsia="Calibri" w:hAnsi="Verdana" w:cs="Arial"/>
              </w:rPr>
            </w:pPr>
            <w:r w:rsidRPr="00584C69">
              <w:rPr>
                <w:rFonts w:ascii="Verdana" w:eastAsia="Calibri" w:hAnsi="Verdana" w:cs="Arial"/>
                <w:lang w:val="es-ES"/>
              </w:rPr>
              <w:t>La Circular Externa Única emitida por esta Agencia, recordó a todas las entidades del Estado el deber de publicar oportunamente su actividad contractual en el SECOP, sin distinción de su régimen jurídico, naturaleza jurídica o la pertenencia a una u otra rama del poder público</w:t>
            </w:r>
            <w:r w:rsidR="00AB6DC2">
              <w:rPr>
                <w:rFonts w:ascii="Verdana" w:eastAsia="Calibri" w:hAnsi="Verdana" w:cs="Arial"/>
                <w:lang w:val="es-ES"/>
              </w:rPr>
              <w:t>.</w:t>
            </w:r>
          </w:p>
          <w:p w14:paraId="48ED7771" w14:textId="09ADAF95" w:rsidR="009A0094" w:rsidRDefault="009A0094" w:rsidP="009A0094">
            <w:pPr>
              <w:spacing w:after="120" w:line="276" w:lineRule="auto"/>
              <w:jc w:val="both"/>
              <w:rPr>
                <w:rFonts w:ascii="Verdana" w:hAnsi="Verdana"/>
                <w:lang w:eastAsia="es-ES_tradnl"/>
              </w:rPr>
            </w:pPr>
            <w:r w:rsidRPr="009A0094">
              <w:rPr>
                <w:rFonts w:ascii="Verdana" w:hAnsi="Verdana"/>
                <w:lang w:eastAsia="es-ES_tradnl"/>
              </w:rPr>
              <w:t>En respuesta a su consulta relacionada con la erogación presupuestal de los procesos de contratación con valor cero y su eventual publicación en el SECOP II, esta Agencia considera que la obligación de publicación comprende la totalidad de la actividad contractual de las entidades estatales. Por tanto, las entidades deben registrar en el SECOP II toda la información correspondiente a sus procesos de contratación, independientemente de su cuantía o características, conforme a los principios de transparencia, publicidad y responsabilidad</w:t>
            </w:r>
            <w:r>
              <w:rPr>
                <w:rFonts w:ascii="Verdana" w:hAnsi="Verdana"/>
                <w:lang w:eastAsia="es-ES_tradnl"/>
              </w:rPr>
              <w:t xml:space="preserve"> </w:t>
            </w:r>
            <w:r w:rsidRPr="009A0094">
              <w:rPr>
                <w:rFonts w:ascii="Verdana" w:hAnsi="Verdana"/>
                <w:lang w:eastAsia="es-ES_tradnl"/>
              </w:rPr>
              <w:t>previstos en la normativa vigente.</w:t>
            </w:r>
          </w:p>
          <w:p w14:paraId="04E4A021" w14:textId="383E4BC4" w:rsidR="00584C69" w:rsidRPr="009F2B49" w:rsidRDefault="00584C69" w:rsidP="009A0094">
            <w:pPr>
              <w:spacing w:after="120" w:line="276" w:lineRule="auto"/>
              <w:jc w:val="both"/>
              <w:rPr>
                <w:rFonts w:ascii="Verdana" w:hAnsi="Verdana"/>
                <w:lang w:eastAsia="es-ES_tradnl"/>
              </w:rPr>
            </w:pPr>
            <w:r w:rsidRPr="00584C69">
              <w:rPr>
                <w:rFonts w:ascii="Verdana" w:hAnsi="Verdana"/>
                <w:lang w:val="es-ES" w:eastAsia="es-ES_tradnl"/>
              </w:rPr>
              <w:lastRenderedPageBreak/>
              <w:t>En todo caso, a</w:t>
            </w:r>
            <w:r w:rsidRPr="00584C69">
              <w:rPr>
                <w:rFonts w:ascii="Verdana" w:hAnsi="Verdana"/>
                <w:lang w:eastAsia="es-ES_tradnl"/>
              </w:rPr>
              <w:t>l margen de la explicación precedente debe advertirse que el análisis requerido para resolver problemas específicos en torno a normas diferentes a la contratación estatal debe ser realizado por quienes tengan interés en ello, de acuerdo con lo explicado en el presente concepto.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F346897" w14:textId="77777777" w:rsidR="00584C69" w:rsidRPr="00584C69" w:rsidRDefault="00584C69" w:rsidP="00584C69">
      <w:pPr>
        <w:spacing w:after="0" w:line="276" w:lineRule="auto"/>
        <w:contextualSpacing/>
        <w:jc w:val="both"/>
        <w:rPr>
          <w:rFonts w:ascii="Verdana" w:eastAsia="Times New Roman" w:hAnsi="Verdana" w:cs="Arial"/>
          <w:color w:val="EE0000"/>
          <w:lang w:eastAsia="es-ES_tradnl"/>
        </w:rPr>
      </w:pPr>
    </w:p>
    <w:p w14:paraId="689D1669" w14:textId="77777777" w:rsidR="00584C69" w:rsidRPr="00584C69" w:rsidRDefault="00584C69" w:rsidP="0012783F">
      <w:pPr>
        <w:tabs>
          <w:tab w:val="left" w:pos="142"/>
          <w:tab w:val="left" w:pos="284"/>
        </w:tabs>
        <w:spacing w:after="0" w:line="276" w:lineRule="auto"/>
        <w:jc w:val="both"/>
        <w:rPr>
          <w:rFonts w:ascii="Verdana" w:eastAsia="Century Gothic" w:hAnsi="Verdana" w:cs="Century Gothic"/>
          <w:b/>
          <w:bCs/>
          <w:lang w:val="es-ES"/>
        </w:rPr>
      </w:pPr>
      <w:r w:rsidRPr="00584C69">
        <w:rPr>
          <w:rFonts w:ascii="Verdana" w:eastAsia="Century Gothic" w:hAnsi="Verdana" w:cs="Century Gothic"/>
          <w:b/>
          <w:bCs/>
          <w:lang w:val="es-ES"/>
        </w:rPr>
        <w:t>3. Razones de la respuesta:</w:t>
      </w:r>
    </w:p>
    <w:p w14:paraId="6D71A4C4" w14:textId="77777777" w:rsidR="00584C69" w:rsidRPr="00584C69" w:rsidRDefault="00584C69" w:rsidP="006D1C22">
      <w:pPr>
        <w:spacing w:after="0" w:line="276" w:lineRule="auto"/>
        <w:jc w:val="both"/>
        <w:rPr>
          <w:rFonts w:ascii="Verdana" w:eastAsia="Calibri" w:hAnsi="Verdana" w:cs="Arial"/>
          <w:lang w:val="es-ES"/>
        </w:rPr>
      </w:pPr>
    </w:p>
    <w:p w14:paraId="3BCADF40" w14:textId="77777777" w:rsidR="00584C69" w:rsidRPr="00584C69" w:rsidRDefault="00584C69" w:rsidP="006D1C22">
      <w:pPr>
        <w:spacing w:after="0" w:line="276" w:lineRule="auto"/>
        <w:jc w:val="both"/>
        <w:rPr>
          <w:rFonts w:ascii="Verdana" w:eastAsia="Calibri" w:hAnsi="Verdana" w:cs="Arial"/>
          <w:lang w:val="es-ES"/>
        </w:rPr>
      </w:pPr>
      <w:r w:rsidRPr="00584C69">
        <w:rPr>
          <w:rFonts w:ascii="Verdana" w:eastAsia="Calibri" w:hAnsi="Verdana" w:cs="Arial"/>
          <w:lang w:val="es-ES"/>
        </w:rPr>
        <w:t xml:space="preserve">Lo anterior se sustenta en las siguientes consideraciones: </w:t>
      </w:r>
    </w:p>
    <w:p w14:paraId="0BF38CF3" w14:textId="77777777" w:rsidR="0012783F" w:rsidRDefault="0012783F" w:rsidP="006D1C22">
      <w:pPr>
        <w:spacing w:after="0" w:line="276" w:lineRule="auto"/>
        <w:jc w:val="both"/>
        <w:rPr>
          <w:rFonts w:ascii="Verdana" w:eastAsia="Calibri" w:hAnsi="Verdana" w:cs="Arial"/>
          <w:lang w:val="es-ES_tradnl"/>
        </w:rPr>
      </w:pPr>
    </w:p>
    <w:p w14:paraId="70E37164" w14:textId="51AD99D6" w:rsidR="00584C69" w:rsidRPr="00584C69" w:rsidRDefault="00584C69" w:rsidP="00584C69">
      <w:pPr>
        <w:spacing w:after="120" w:line="276" w:lineRule="auto"/>
        <w:jc w:val="both"/>
        <w:rPr>
          <w:rFonts w:ascii="Verdana" w:eastAsia="Arial" w:hAnsi="Verdana" w:cs="Arial"/>
          <w:lang w:val="es-ES"/>
        </w:rPr>
      </w:pPr>
      <w:r w:rsidRPr="00584C69">
        <w:rPr>
          <w:rFonts w:ascii="Verdana" w:eastAsia="Calibri" w:hAnsi="Verdana" w:cs="Arial"/>
          <w:lang w:val="es-ES_tradnl"/>
        </w:rPr>
        <w:t xml:space="preserve">La Constitución Política de 1991 consagra en varios artículos la </w:t>
      </w:r>
      <w:r w:rsidRPr="00584C69">
        <w:rPr>
          <w:rFonts w:ascii="Verdana" w:eastAsia="Calibri" w:hAnsi="Verdana" w:cs="Arial"/>
          <w:i/>
          <w:iCs/>
          <w:lang w:val="es-ES_tradnl"/>
        </w:rPr>
        <w:t>publicidad</w:t>
      </w:r>
      <w:r w:rsidRPr="00584C69">
        <w:rPr>
          <w:rFonts w:ascii="Verdana" w:eastAsia="Calibri" w:hAnsi="Verdana" w:cs="Arial"/>
          <w:lang w:val="es-ES_tradnl"/>
        </w:rPr>
        <w:t xml:space="preserve"> como un principio rector del Estado colombiano. Entre los más destacados, puede mencionarse el 209, que afirma que la publicidad es uno de los principios que fundamentan el ejercicio de la función administrativa. Asimismo, </w:t>
      </w:r>
      <w:r w:rsidRPr="00584C69">
        <w:rPr>
          <w:rFonts w:ascii="Verdana" w:eastAsia="Arial" w:hAnsi="Verdana" w:cs="Arial"/>
          <w:lang w:val="es-ES"/>
        </w:rPr>
        <w:t xml:space="preserve">el artículo 74 de la Constitución Política establece que: “Todas las personas tienen derecho 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14:paraId="6081ECAE" w14:textId="77777777" w:rsidR="00584C69" w:rsidRPr="00584C69" w:rsidRDefault="00584C69" w:rsidP="00584C69">
      <w:pPr>
        <w:spacing w:after="120" w:line="276" w:lineRule="auto"/>
        <w:ind w:firstLine="709"/>
        <w:jc w:val="both"/>
        <w:rPr>
          <w:rFonts w:ascii="Verdana" w:eastAsia="Arial" w:hAnsi="Verdana" w:cs="Arial"/>
          <w:lang w:val="es-ES"/>
        </w:rPr>
      </w:pPr>
      <w:r w:rsidRPr="00584C69">
        <w:rPr>
          <w:rFonts w:ascii="Verdana" w:eastAsia="Arial" w:hAnsi="Verdana" w:cs="Arial"/>
          <w:lang w:val="es-ES"/>
        </w:rPr>
        <w:t>El principio de publicidad impone a las autoridades administrativas el deber de dar a conocer sus actos, contratos y decisiones, para que se divulguen y, eventualmente, se controlen las actuaciones</w:t>
      </w:r>
      <w:r w:rsidRPr="00584C69">
        <w:rPr>
          <w:rFonts w:ascii="Verdana" w:eastAsia="Arial" w:hAnsi="Verdana" w:cs="Arial"/>
          <w:vertAlign w:val="superscript"/>
          <w:lang w:val="es-ES"/>
        </w:rPr>
        <w:footnoteReference w:id="1"/>
      </w:r>
      <w:r w:rsidRPr="00584C69">
        <w:rPr>
          <w:rFonts w:ascii="Verdana" w:eastAsia="Arial" w:hAnsi="Verdana" w:cs="Arial"/>
          <w:lang w:val="es-ES"/>
        </w:rPr>
        <w:t xml:space="preserve">. El literal c) del artículo 3 de la Ley 1150 de 2007 establece que el Sistema Electrónico para la Contratación </w:t>
      </w:r>
      <w:r w:rsidRPr="00584C69">
        <w:rPr>
          <w:rFonts w:ascii="Verdana" w:eastAsia="Arial" w:hAnsi="Verdana" w:cs="Arial"/>
          <w:lang w:val="es-ES"/>
        </w:rPr>
        <w:lastRenderedPageBreak/>
        <w:t>Pública –SECOP– “contará con la información oficial de la contratación realizada con dineros públicos, para lo cual establecerá los patrones a que haya lugar y se encargará de su difusión a través de canales electrónicos”.</w:t>
      </w:r>
    </w:p>
    <w:p w14:paraId="7361CA04" w14:textId="77777777" w:rsidR="00584C69" w:rsidRPr="00584C69" w:rsidRDefault="00584C69" w:rsidP="00584C69">
      <w:pPr>
        <w:spacing w:after="120" w:line="276" w:lineRule="auto"/>
        <w:ind w:firstLine="709"/>
        <w:jc w:val="both"/>
        <w:rPr>
          <w:rFonts w:ascii="Verdana" w:eastAsia="Arial" w:hAnsi="Verdana" w:cs="Arial"/>
          <w:lang w:val="es-ES"/>
        </w:rPr>
      </w:pPr>
      <w:r w:rsidRPr="00584C69">
        <w:rPr>
          <w:rFonts w:ascii="Verdana" w:eastAsia="Arial" w:hAnsi="Verdana" w:cs="Arial"/>
          <w:lang w:val="es-ES"/>
        </w:rPr>
        <w:t>Del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las actuaciones contractuales es materializar el derecho a conocer e intervenir de las decisiones de la Administración Pública.</w:t>
      </w:r>
    </w:p>
    <w:p w14:paraId="098FF07F" w14:textId="77777777" w:rsidR="00584C69" w:rsidRPr="00584C69" w:rsidRDefault="00584C69" w:rsidP="00584C69">
      <w:pPr>
        <w:spacing w:after="120" w:line="276" w:lineRule="auto"/>
        <w:ind w:firstLine="708"/>
        <w:jc w:val="both"/>
        <w:rPr>
          <w:rFonts w:ascii="Verdana" w:eastAsia="Times New Roman" w:hAnsi="Verdana" w:cs="Arial"/>
          <w:lang w:eastAsia="es-CO"/>
        </w:rPr>
      </w:pPr>
      <w:r w:rsidRPr="00584C69">
        <w:rPr>
          <w:rFonts w:ascii="Verdana" w:eastAsia="Arial" w:hAnsi="Verdana" w:cs="Arial"/>
          <w:lang w:val="es-ES"/>
        </w:rPr>
        <w:t>De otra parte, la Ley 1712 de 2014</w:t>
      </w:r>
      <w:r w:rsidRPr="00584C69">
        <w:rPr>
          <w:rFonts w:ascii="Verdana" w:eastAsia="Arial" w:hAnsi="Verdana" w:cs="Arial"/>
          <w:vertAlign w:val="superscript"/>
          <w:lang w:val="es-ES"/>
        </w:rPr>
        <w:footnoteReference w:id="2"/>
      </w:r>
      <w:r w:rsidRPr="00584C69">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584C69">
        <w:rPr>
          <w:rFonts w:ascii="Verdana" w:eastAsia="Arial" w:hAnsi="Verdana" w:cs="Arial"/>
          <w:vertAlign w:val="superscript"/>
          <w:lang w:val="es-ES"/>
        </w:rPr>
        <w:footnoteReference w:id="3"/>
      </w:r>
      <w:r w:rsidRPr="00584C69">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584C69">
        <w:rPr>
          <w:rFonts w:ascii="Verdana" w:eastAsia="Times New Roman" w:hAnsi="Verdana" w:cs="Arial"/>
          <w:vertAlign w:val="superscript"/>
          <w:lang w:eastAsia="es-CO"/>
        </w:rPr>
        <w:footnoteReference w:id="4"/>
      </w:r>
      <w:r w:rsidRPr="00584C69">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584C69">
        <w:rPr>
          <w:rFonts w:ascii="Verdana" w:eastAsia="Times New Roman" w:hAnsi="Verdana" w:cs="Arial"/>
          <w:vertAlign w:val="superscript"/>
          <w:lang w:eastAsia="es-CO"/>
        </w:rPr>
        <w:footnoteReference w:id="5"/>
      </w:r>
      <w:r w:rsidRPr="00584C69">
        <w:rPr>
          <w:rFonts w:ascii="Verdana" w:eastAsia="Times New Roman" w:hAnsi="Verdana" w:cs="Arial"/>
          <w:lang w:eastAsia="es-CO"/>
        </w:rPr>
        <w:t xml:space="preserve">. </w:t>
      </w:r>
    </w:p>
    <w:p w14:paraId="7209E11F" w14:textId="77777777" w:rsidR="00584C69" w:rsidRPr="00584C69" w:rsidRDefault="00584C69" w:rsidP="00584C69">
      <w:pPr>
        <w:spacing w:after="120" w:line="276" w:lineRule="auto"/>
        <w:ind w:firstLine="709"/>
        <w:jc w:val="both"/>
        <w:rPr>
          <w:rFonts w:ascii="Verdana" w:eastAsia="Arial" w:hAnsi="Verdana" w:cs="Arial"/>
          <w:lang w:val="es-ES"/>
        </w:rPr>
      </w:pPr>
      <w:r w:rsidRPr="00584C69">
        <w:rPr>
          <w:rFonts w:ascii="Verdana" w:eastAsia="Arial" w:hAnsi="Verdana" w:cs="Arial"/>
          <w:lang w:val="es-ES"/>
        </w:rPr>
        <w:t xml:space="preserve">La ley citada establece, en el literal e) del artículo 9, que los sujetos obligados, que son todas las entidades públicas, deben publicar la información </w:t>
      </w:r>
      <w:r w:rsidRPr="00584C69">
        <w:rPr>
          <w:rFonts w:ascii="Verdana" w:eastAsia="Arial" w:hAnsi="Verdana" w:cs="Arial"/>
          <w:lang w:val="es-ES"/>
        </w:rPr>
        <w:lastRenderedPageBreak/>
        <w:t>relativa a su contratación</w:t>
      </w:r>
      <w:r w:rsidRPr="00584C69">
        <w:rPr>
          <w:rFonts w:ascii="Verdana" w:eastAsia="Times New Roman" w:hAnsi="Verdana" w:cs="Arial"/>
          <w:vertAlign w:val="superscript"/>
          <w:lang w:eastAsia="es-CO"/>
        </w:rPr>
        <w:footnoteReference w:id="6"/>
      </w:r>
      <w:r w:rsidRPr="00584C69">
        <w:rPr>
          <w:rFonts w:ascii="Verdana" w:eastAsia="Arial" w:hAnsi="Verdana" w:cs="Arial"/>
          <w:lang w:val="es-ES"/>
        </w:rPr>
        <w:t xml:space="preserve">. </w:t>
      </w:r>
      <w:r w:rsidRPr="00584C69">
        <w:rPr>
          <w:rFonts w:ascii="Verdana" w:eastAsia="Arial MT" w:hAnsi="Verdana" w:cs="Arial"/>
          <w:lang w:val="es-ES"/>
        </w:rPr>
        <w:t xml:space="preserve">El artículo 5 </w:t>
      </w:r>
      <w:r w:rsidRPr="00584C69">
        <w:rPr>
          <w:rFonts w:ascii="Verdana" w:eastAsia="Arial MT" w:hAnsi="Verdana" w:cs="Arial"/>
          <w:i/>
          <w:iCs/>
          <w:lang w:val="es-ES"/>
        </w:rPr>
        <w:t>ibidem</w:t>
      </w:r>
      <w:r w:rsidRPr="00584C69">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w:t>
      </w:r>
      <w:r w:rsidRPr="00584C69">
        <w:rPr>
          <w:rFonts w:ascii="Verdana" w:eastAsia="Times New Roman" w:hAnsi="Verdana" w:cs="Arial"/>
          <w:vertAlign w:val="superscript"/>
          <w:lang w:eastAsia="es-CO"/>
        </w:rPr>
        <w:footnoteReference w:id="7"/>
      </w:r>
      <w:r w:rsidRPr="00584C69">
        <w:rPr>
          <w:rFonts w:ascii="Verdana" w:eastAsia="Arial MT" w:hAnsi="Verdana" w:cs="Arial"/>
          <w:lang w:val="es-ES"/>
        </w:rPr>
        <w:t>.</w:t>
      </w:r>
      <w:r w:rsidRPr="00584C69">
        <w:rPr>
          <w:rFonts w:ascii="Verdana" w:eastAsia="Times New Roman" w:hAnsi="Verdana" w:cs="Arial"/>
          <w:lang w:eastAsia="es-CO"/>
        </w:rPr>
        <w:t xml:space="preserve"> </w:t>
      </w:r>
      <w:r w:rsidRPr="00584C69">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000E49D1" w14:textId="77777777" w:rsidR="00584C69" w:rsidRPr="00584C69" w:rsidRDefault="00584C69" w:rsidP="00584C69">
      <w:pPr>
        <w:widowControl w:val="0"/>
        <w:autoSpaceDE w:val="0"/>
        <w:autoSpaceDN w:val="0"/>
        <w:spacing w:line="278" w:lineRule="auto"/>
        <w:ind w:right="130" w:firstLine="709"/>
        <w:jc w:val="both"/>
        <w:rPr>
          <w:rFonts w:ascii="Verdana" w:eastAsia="Calibri" w:hAnsi="Verdana" w:cs="Arial"/>
          <w:lang w:val="es-ES"/>
        </w:rPr>
      </w:pPr>
      <w:r w:rsidRPr="00584C69">
        <w:rPr>
          <w:rFonts w:ascii="Verdana" w:eastAsia="Calibri" w:hAnsi="Verdana" w:cs="Arial"/>
          <w:lang w:val="es-ES"/>
        </w:rPr>
        <w:t>En el año 2013, la Agencia Nacional de Contratación Pública – Colombia Compra Eficiente, mediante la Circular Externa No 1 del 21 de junio de 2013</w:t>
      </w:r>
      <w:r w:rsidRPr="00584C69">
        <w:rPr>
          <w:rFonts w:ascii="Verdana" w:eastAsia="Calibri" w:hAnsi="Verdana" w:cs="Arial"/>
          <w:vertAlign w:val="superscript"/>
          <w:lang w:val="es-ES"/>
        </w:rPr>
        <w:footnoteReference w:id="8"/>
      </w:r>
      <w:r w:rsidRPr="00584C69">
        <w:rPr>
          <w:rFonts w:ascii="Verdana" w:eastAsia="Calibri" w:hAnsi="Verdana" w:cs="Arial"/>
          <w:lang w:val="es-ES"/>
        </w:rPr>
        <w:t>, recopilada en la Circular Externa Única, recordó a todas las entidades del Estado el deber de publicar oportunamente su actividad contractual en el SECOP, sin distinción de su régimen jurídico, naturaleza jurídica o la pertenencia a una u otra rama del poder público</w:t>
      </w:r>
      <w:r w:rsidRPr="00584C69">
        <w:rPr>
          <w:rFonts w:ascii="Verdana" w:eastAsia="Calibri" w:hAnsi="Verdana" w:cs="Arial"/>
          <w:vertAlign w:val="superscript"/>
          <w:lang w:val="es-ES"/>
        </w:rPr>
        <w:footnoteReference w:id="9"/>
      </w:r>
      <w:r w:rsidRPr="00584C69">
        <w:rPr>
          <w:rFonts w:ascii="Verdana" w:eastAsia="Calibri" w:hAnsi="Verdana" w:cs="Arial"/>
          <w:lang w:val="es-ES"/>
        </w:rPr>
        <w:t xml:space="preserve">. Además, la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14:paraId="3F328B9A" w14:textId="77777777" w:rsidR="00584C69" w:rsidRPr="00584C69" w:rsidRDefault="00584C69" w:rsidP="00584C69">
      <w:pPr>
        <w:widowControl w:val="0"/>
        <w:autoSpaceDE w:val="0"/>
        <w:autoSpaceDN w:val="0"/>
        <w:spacing w:line="278" w:lineRule="auto"/>
        <w:ind w:right="130" w:firstLine="709"/>
        <w:jc w:val="both"/>
        <w:rPr>
          <w:rFonts w:ascii="Verdana" w:eastAsia="Calibri" w:hAnsi="Verdana" w:cs="Arial"/>
          <w:lang w:val="es-ES"/>
        </w:rPr>
      </w:pPr>
      <w:r w:rsidRPr="00584C69">
        <w:rPr>
          <w:rFonts w:ascii="Verdana" w:eastAsia="Calibri" w:hAnsi="Verdana" w:cs="Arial"/>
          <w:lang w:val="es-ES"/>
        </w:rPr>
        <w:lastRenderedPageBreak/>
        <w:t>Así mismo, en la Circular única Externa se indicó que “Las Entidades Estatales que contratan con cargo a recursos públicos están obligadas a publicar oportunamente su actividad contractual en el SECOP, sin que sea relevante, para la exigencia de esta obligación, su régimen jurídico, naturaleza de público o privada o la pertenencia a una u otra rama del poder público. Esta obligación deberá cumplirse, inclusive, si la ejecución del contrato no implica erogación presupuestal”.</w:t>
      </w:r>
    </w:p>
    <w:p w14:paraId="11226106" w14:textId="77777777" w:rsidR="00584C69" w:rsidRPr="00584C69" w:rsidRDefault="00584C69" w:rsidP="00584C69">
      <w:pPr>
        <w:spacing w:after="120" w:line="276" w:lineRule="auto"/>
        <w:ind w:firstLine="708"/>
        <w:jc w:val="both"/>
        <w:textAlignment w:val="baseline"/>
        <w:rPr>
          <w:rFonts w:ascii="Verdana" w:eastAsia="Aptos" w:hAnsi="Verdana" w:cs="Arial"/>
          <w:lang w:val="es-ES_tradnl" w:eastAsia="es-MX"/>
        </w:rPr>
      </w:pPr>
      <w:r w:rsidRPr="00584C69">
        <w:rPr>
          <w:rFonts w:ascii="Verdana" w:eastAsia="Aptos" w:hAnsi="Verdana" w:cs="Arial"/>
          <w:lang w:val="es-ES_tradnl" w:eastAsia="es-MX"/>
        </w:rPr>
        <w:t>Resulta importante resaltar que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6EF0EEA1" w14:textId="77777777" w:rsidR="00584C69" w:rsidRPr="00584C69" w:rsidRDefault="00584C69" w:rsidP="00584C69">
      <w:pPr>
        <w:spacing w:after="120" w:line="276" w:lineRule="auto"/>
        <w:ind w:firstLine="709"/>
        <w:jc w:val="both"/>
        <w:textAlignment w:val="baseline"/>
        <w:rPr>
          <w:rFonts w:ascii="Verdana" w:eastAsia="Aptos" w:hAnsi="Verdana" w:cs="Arial"/>
          <w:lang w:val="es-ES_tradnl" w:eastAsia="es-MX"/>
        </w:rPr>
      </w:pPr>
      <w:r w:rsidRPr="00584C69">
        <w:rPr>
          <w:rFonts w:ascii="Verdana" w:eastAsia="Aptos" w:hAnsi="Verdana" w:cs="Arial"/>
          <w:lang w:val="es-ES_tradnl" w:eastAsia="es-MX"/>
        </w:rPr>
        <w:t>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2BFF9352" w14:textId="77777777" w:rsidR="00584C69" w:rsidRPr="00584C69" w:rsidRDefault="00584C69" w:rsidP="006D1C22">
      <w:pPr>
        <w:spacing w:after="0" w:line="276" w:lineRule="auto"/>
        <w:ind w:firstLine="709"/>
        <w:jc w:val="both"/>
        <w:rPr>
          <w:rFonts w:ascii="Verdana" w:eastAsia="Aptos" w:hAnsi="Verdana" w:cs="Arial"/>
          <w:lang w:val="es-ES" w:eastAsia="es-MX"/>
        </w:rPr>
      </w:pPr>
      <w:r w:rsidRPr="00584C69">
        <w:rPr>
          <w:rFonts w:ascii="Verdana" w:eastAsia="Aptos" w:hAnsi="Verdana" w:cs="Arial"/>
          <w:lang w:val="es-ES" w:eastAsia="es-MX"/>
        </w:rPr>
        <w:t xml:space="preserve">Nótese que la norma hace referencia a los documentos “expedidos por la entidad estatal” durante el proceso de contratación, excluyendo de la noción de Documentos del Proceso los expedidos por un sujeto distinto a la entidad, salvo la oferta, la cual se incluye expresamente en el referido artículo 2.2.1.1.1.3.1. En ese sentido, </w:t>
      </w:r>
      <w:bookmarkStart w:id="3" w:name="_Hlk178832591"/>
      <w:r w:rsidRPr="00584C69">
        <w:rPr>
          <w:rFonts w:ascii="Verdana" w:eastAsia="Aptos" w:hAnsi="Verdana" w:cs="Arial"/>
          <w:lang w:val="es-ES" w:eastAsia="es-MX"/>
        </w:rPr>
        <w:t xml:space="preserve">la interpretación sistemática de los preceptos del Decreto 1082 de 2015, de acuerdo con el principio de publicidad, inicialmente, indica que las Entidades Estatales tienen la obligación de publicar todos los documentos que </w:t>
      </w:r>
      <w:r w:rsidRPr="00584C69">
        <w:rPr>
          <w:rFonts w:ascii="Verdana" w:eastAsia="Aptos" w:hAnsi="Verdana" w:cs="Arial"/>
          <w:lang w:val="es-ES" w:eastAsia="es-MX"/>
        </w:rPr>
        <w:lastRenderedPageBreak/>
        <w:t xml:space="preserve">expidan con ocasión del Proceso de Contratación, es decir que todos los documentos expedidos por la entidad durante las etapas precontractual, de ejecución y </w:t>
      </w:r>
      <w:proofErr w:type="spellStart"/>
      <w:r w:rsidRPr="00584C69">
        <w:rPr>
          <w:rFonts w:ascii="Verdana" w:eastAsia="Aptos" w:hAnsi="Verdana" w:cs="Arial"/>
          <w:lang w:val="es-ES" w:eastAsia="es-MX"/>
        </w:rPr>
        <w:t>postcontractual</w:t>
      </w:r>
      <w:proofErr w:type="spellEnd"/>
      <w:r w:rsidRPr="00584C69">
        <w:rPr>
          <w:rFonts w:ascii="Verdana" w:eastAsia="Aptos" w:hAnsi="Verdana" w:cs="Arial"/>
          <w:lang w:val="es-ES" w:eastAsia="es-MX"/>
        </w:rPr>
        <w:t xml:space="preserve"> deberán ser publicados en SECOP ll.</w:t>
      </w:r>
      <w:bookmarkEnd w:id="3"/>
    </w:p>
    <w:p w14:paraId="06C37BF2" w14:textId="77777777" w:rsidR="00584C69" w:rsidRPr="00584C69" w:rsidRDefault="00584C69" w:rsidP="006D1C22">
      <w:pPr>
        <w:spacing w:after="0" w:line="276" w:lineRule="auto"/>
        <w:jc w:val="both"/>
        <w:rPr>
          <w:rFonts w:ascii="Verdana" w:eastAsia="Aptos" w:hAnsi="Verdana" w:cs="Arial"/>
          <w:lang w:val="es-ES" w:eastAsia="es-MX"/>
        </w:rPr>
      </w:pPr>
    </w:p>
    <w:p w14:paraId="1476AD83"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rPr>
      </w:pPr>
      <w:r w:rsidRPr="00584C69">
        <w:rPr>
          <w:rFonts w:ascii="Verdana" w:eastAsia="Century Gothic" w:hAnsi="Verdana" w:cs="Century Gothic"/>
          <w:b/>
          <w:bCs/>
        </w:rPr>
        <w:t>4. Referencias normativas, jurisprudenciales y otras fuentes:</w:t>
      </w:r>
    </w:p>
    <w:p w14:paraId="27EB2FB7"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color w:val="EE000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84C69" w:rsidRPr="00584C69" w14:paraId="6147966D" w14:textId="77777777" w:rsidTr="000118AD">
        <w:trPr>
          <w:trHeight w:val="870"/>
        </w:trPr>
        <w:tc>
          <w:tcPr>
            <w:tcW w:w="8647" w:type="dxa"/>
          </w:tcPr>
          <w:p w14:paraId="04925102" w14:textId="77777777" w:rsidR="00584C69" w:rsidRPr="00584C69" w:rsidRDefault="00584C69" w:rsidP="00584C69">
            <w:pPr>
              <w:widowControl w:val="0"/>
              <w:numPr>
                <w:ilvl w:val="0"/>
                <w:numId w:val="16"/>
              </w:numPr>
              <w:autoSpaceDE w:val="0"/>
              <w:autoSpaceDN w:val="0"/>
              <w:spacing w:after="120" w:line="276" w:lineRule="auto"/>
              <w:contextualSpacing/>
              <w:jc w:val="both"/>
              <w:rPr>
                <w:rFonts w:ascii="Verdana" w:hAnsi="Verdana" w:cs="Arial"/>
                <w:color w:val="000000" w:themeColor="text1"/>
                <w:lang w:val="es-ES"/>
              </w:rPr>
            </w:pPr>
            <w:r w:rsidRPr="00584C69">
              <w:rPr>
                <w:rFonts w:ascii="Verdana" w:hAnsi="Verdana" w:cs="Arial"/>
                <w:lang w:val="es-ES"/>
              </w:rPr>
              <w:t>Constitución Política de Colombia, artículo 209.</w:t>
            </w:r>
          </w:p>
          <w:p w14:paraId="7C3A5ED0" w14:textId="77777777" w:rsidR="00584C69" w:rsidRPr="00584C69" w:rsidRDefault="00584C69" w:rsidP="00584C69">
            <w:pPr>
              <w:widowControl w:val="0"/>
              <w:numPr>
                <w:ilvl w:val="0"/>
                <w:numId w:val="16"/>
              </w:numPr>
              <w:autoSpaceDE w:val="0"/>
              <w:autoSpaceDN w:val="0"/>
              <w:spacing w:after="120" w:line="276" w:lineRule="auto"/>
              <w:contextualSpacing/>
              <w:jc w:val="both"/>
              <w:rPr>
                <w:rFonts w:ascii="Verdana" w:hAnsi="Verdana" w:cs="Arial"/>
                <w:color w:val="000000" w:themeColor="text1"/>
                <w:lang w:val="es-ES"/>
              </w:rPr>
            </w:pPr>
            <w:r w:rsidRPr="00584C69">
              <w:rPr>
                <w:rFonts w:ascii="Verdana" w:hAnsi="Verdana" w:cs="Arial"/>
                <w:lang w:val="es-ES"/>
              </w:rPr>
              <w:t>Ley 1150 de 2007, artículo 3.</w:t>
            </w:r>
          </w:p>
          <w:p w14:paraId="66544E64" w14:textId="77777777" w:rsidR="00584C69" w:rsidRPr="00584C69" w:rsidRDefault="00584C69" w:rsidP="00584C69">
            <w:pPr>
              <w:widowControl w:val="0"/>
              <w:numPr>
                <w:ilvl w:val="0"/>
                <w:numId w:val="16"/>
              </w:numPr>
              <w:autoSpaceDE w:val="0"/>
              <w:autoSpaceDN w:val="0"/>
              <w:spacing w:after="120" w:line="276" w:lineRule="auto"/>
              <w:contextualSpacing/>
              <w:jc w:val="both"/>
              <w:rPr>
                <w:rFonts w:ascii="Verdana" w:hAnsi="Verdana" w:cs="Arial"/>
                <w:color w:val="000000" w:themeColor="text1"/>
                <w:lang w:val="es-ES"/>
              </w:rPr>
            </w:pPr>
            <w:r w:rsidRPr="00584C69">
              <w:rPr>
                <w:rFonts w:ascii="Verdana" w:hAnsi="Verdana" w:cs="Arial"/>
                <w:color w:val="000000" w:themeColor="text1"/>
                <w:lang w:val="es-ES"/>
              </w:rPr>
              <w:t xml:space="preserve">Decreto 1082 de 2015, artículo </w:t>
            </w:r>
            <w:r w:rsidRPr="00584C69">
              <w:rPr>
                <w:rFonts w:ascii="Verdana" w:hAnsi="Verdana"/>
                <w:lang w:val="es-ES" w:eastAsia="es-ES_tradnl"/>
              </w:rPr>
              <w:t>2.2.1.1.1.7.1.</w:t>
            </w:r>
          </w:p>
          <w:p w14:paraId="4B5043D8" w14:textId="77777777" w:rsidR="00584C69" w:rsidRPr="00584C69" w:rsidRDefault="00584C69" w:rsidP="00584C69">
            <w:pPr>
              <w:widowControl w:val="0"/>
              <w:numPr>
                <w:ilvl w:val="0"/>
                <w:numId w:val="16"/>
              </w:numPr>
              <w:autoSpaceDE w:val="0"/>
              <w:autoSpaceDN w:val="0"/>
              <w:spacing w:after="120" w:line="276" w:lineRule="auto"/>
              <w:contextualSpacing/>
              <w:jc w:val="both"/>
              <w:rPr>
                <w:rFonts w:ascii="Verdana" w:hAnsi="Verdana" w:cs="Arial"/>
                <w:color w:val="000000" w:themeColor="text1"/>
                <w:lang w:val="es-ES"/>
              </w:rPr>
            </w:pPr>
            <w:r w:rsidRPr="00584C69">
              <w:rPr>
                <w:rFonts w:ascii="Verdana" w:hAnsi="Verdana" w:cs="Arial"/>
                <w:lang w:val="es-ES"/>
              </w:rPr>
              <w:t xml:space="preserve">Agencia Nacional de Contratación Pública - Colombia Compra Eficiente. Circular Externa Única. </w:t>
            </w:r>
            <w:hyperlink r:id="rId13" w:history="1">
              <w:r w:rsidRPr="00584C69">
                <w:rPr>
                  <w:rFonts w:ascii="Verdana" w:hAnsi="Verdana" w:cs="Arial"/>
                  <w:color w:val="0000FF"/>
                  <w:u w:val="single"/>
                  <w:lang w:val="es-ES"/>
                </w:rPr>
                <w:t>https://www.colombiacompra.gov.co/normativa-y-relatoria/circular-unica-externa</w:t>
              </w:r>
            </w:hyperlink>
          </w:p>
        </w:tc>
      </w:tr>
    </w:tbl>
    <w:p w14:paraId="1262AF17"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color w:val="EE0000"/>
          <w:lang w:val="es-ES"/>
        </w:rPr>
      </w:pPr>
    </w:p>
    <w:p w14:paraId="6EE3B083" w14:textId="77777777" w:rsidR="00584C69" w:rsidRPr="00584C69" w:rsidRDefault="00584C69" w:rsidP="00584C69">
      <w:pPr>
        <w:tabs>
          <w:tab w:val="left" w:pos="142"/>
          <w:tab w:val="left" w:pos="284"/>
        </w:tabs>
        <w:spacing w:after="0" w:line="276" w:lineRule="auto"/>
        <w:jc w:val="both"/>
        <w:rPr>
          <w:rFonts w:ascii="Verdana" w:eastAsia="Century Gothic" w:hAnsi="Verdana" w:cs="Century Gothic"/>
          <w:b/>
          <w:bCs/>
          <w:lang w:val="es-ES"/>
        </w:rPr>
      </w:pPr>
      <w:r w:rsidRPr="00584C69">
        <w:rPr>
          <w:rFonts w:ascii="Verdana" w:eastAsia="Century Gothic" w:hAnsi="Verdana" w:cs="Century Gothic"/>
          <w:b/>
          <w:bCs/>
          <w:lang w:val="es-ES"/>
        </w:rPr>
        <w:t>5. Doctrina de la Agencia Nacional de Contratación Pública:</w:t>
      </w:r>
    </w:p>
    <w:p w14:paraId="2FF78368" w14:textId="77777777" w:rsidR="00584C69" w:rsidRPr="00584C69" w:rsidRDefault="00584C69" w:rsidP="00584C69">
      <w:pPr>
        <w:spacing w:after="0" w:line="276" w:lineRule="auto"/>
        <w:ind w:firstLine="709"/>
        <w:jc w:val="both"/>
        <w:rPr>
          <w:rFonts w:ascii="Verdana" w:eastAsia="Times New Roman" w:hAnsi="Verdana" w:cs="Arial"/>
          <w:color w:val="EE0000"/>
          <w:szCs w:val="24"/>
          <w:lang w:val="es-ES" w:eastAsia="es-ES_tradnl"/>
        </w:rPr>
      </w:pPr>
    </w:p>
    <w:p w14:paraId="45790353" w14:textId="77777777" w:rsidR="00584C69" w:rsidRPr="00584C69" w:rsidRDefault="00584C69" w:rsidP="00584C69">
      <w:pPr>
        <w:spacing w:after="0" w:line="276" w:lineRule="auto"/>
        <w:jc w:val="both"/>
        <w:rPr>
          <w:rFonts w:ascii="Verdana" w:hAnsi="Verdana" w:cs="Arial"/>
          <w:highlight w:val="yellow"/>
          <w:shd w:val="clear" w:color="auto" w:fill="FFFFFF"/>
          <w:lang w:val="es-ES"/>
        </w:rPr>
      </w:pPr>
      <w:r w:rsidRPr="00584C69">
        <w:rPr>
          <w:rFonts w:ascii="Verdana" w:eastAsia="Calibri" w:hAnsi="Verdana" w:cs="Arial"/>
          <w:bCs/>
          <w:lang w:val="es-ES"/>
        </w:rPr>
        <w:t xml:space="preserve">La Agencia Nacional de Contratación Pública </w:t>
      </w:r>
      <w:r w:rsidRPr="00584C69">
        <w:rPr>
          <w:rFonts w:ascii="Verdana" w:eastAsia="Calibri" w:hAnsi="Verdana" w:cs="Arial"/>
          <w:bCs/>
        </w:rPr>
        <w:t xml:space="preserve">estudió el deber de publicidad de las actuaciones contractuales, en los conceptos con radicado No. 4201913000005397 del 9 de agosto de 2019, 4201912000006611 del 25 de septiembre de 2019, </w:t>
      </w:r>
      <w:r w:rsidRPr="00584C69">
        <w:rPr>
          <w:rFonts w:ascii="Verdana" w:eastAsia="Calibri" w:hAnsi="Verdana" w:cs="Arial"/>
        </w:rPr>
        <w:t xml:space="preserve">4201913000006847 del 4 de octubre de 2019, </w:t>
      </w:r>
      <w:r w:rsidRPr="00584C69">
        <w:rPr>
          <w:rFonts w:ascii="Verdana" w:eastAsia="Calibri" w:hAnsi="Verdana" w:cs="Arial"/>
          <w:bCs/>
        </w:rPr>
        <w:t>4201912000007828 del 13 de noviembre de 2019,</w:t>
      </w:r>
      <w:r w:rsidRPr="00584C69">
        <w:rPr>
          <w:rFonts w:ascii="Verdana" w:eastAsia="Calibri" w:hAnsi="Verdana" w:cs="Arial"/>
        </w:rPr>
        <w:t xml:space="preserve"> </w:t>
      </w:r>
      <w:r w:rsidRPr="00584C69">
        <w:rPr>
          <w:rFonts w:ascii="Verdana" w:eastAsia="Calibri" w:hAnsi="Verdana" w:cs="Arial"/>
          <w:bCs/>
        </w:rPr>
        <w:t xml:space="preserve">4201912000007762 del 18 de noviembre de 2019. Las posturas expuestas por la Subdirección en relación con la materia, </w:t>
      </w:r>
      <w:r w:rsidRPr="00584C69">
        <w:rPr>
          <w:rFonts w:ascii="Verdana" w:eastAsia="Calibri" w:hAnsi="Verdana" w:cs="Arial"/>
        </w:rPr>
        <w:t xml:space="preserve">fueron unificadas en el concepto CU–003 de 3 de enero de 2020, confirmado en los conceptos C–061 de 21 de enero de 2020, C–115 de 11 de febrero de 2020, C–149 de 14 de febrero de 2020, C–312 del 6 de mayo de 2020, C–346 del 26 de mayo de 2020, C-369 del 4 de junio de 2020, C-399 del 23 de junio de 2020, C-372 del 30 de junio de 2020, C-437 del 6 de julio de 2020, C-468 del 24 de julio de 2020, C-494 del 4 de agosto de 2020, C-449 del 5 de agosto de 2020, C-559  del 25 de agosto de 2020, C-562 del 25 de agosto de 2020, C-574 del 27 de agosto de 2020, C-146 del 4 de marzo de 2025, C-468 del 19 de mayo de 2025 y C-707 del 14 de julio de 2025. </w:t>
      </w:r>
      <w:r w:rsidRPr="00584C69">
        <w:rPr>
          <w:rFonts w:ascii="Verdana" w:eastAsia="Calibri" w:hAnsi="Verdana" w:cs="Arial"/>
          <w:lang w:val="es-ES_tradnl" w:eastAsia="es-ES_tradnl"/>
        </w:rPr>
        <w:t xml:space="preserve">Estos y otros conceptos se encuentran disponibles para consulta en el Sistema de relatoría de la Agencia, al cual se puede acceder a través del siguiente enlace: </w:t>
      </w:r>
      <w:hyperlink r:id="rId14" w:history="1">
        <w:r w:rsidRPr="00584C69">
          <w:rPr>
            <w:rFonts w:ascii="Verdana" w:eastAsia="Calibri" w:hAnsi="Verdana" w:cs="Arial"/>
            <w:color w:val="0000FF"/>
            <w:u w:val="single"/>
            <w:lang w:val="es-ES_tradnl" w:eastAsia="es-ES_tradnl"/>
          </w:rPr>
          <w:t>https://relatoria.colombiacompra.gov.co</w:t>
        </w:r>
      </w:hyperlink>
    </w:p>
    <w:p w14:paraId="7CC25A51" w14:textId="77777777" w:rsidR="00584C69" w:rsidRPr="00584C69" w:rsidRDefault="00584C69" w:rsidP="00584C69">
      <w:pPr>
        <w:spacing w:after="0" w:line="276" w:lineRule="auto"/>
        <w:jc w:val="both"/>
        <w:rPr>
          <w:rFonts w:ascii="Verdana" w:hAnsi="Verdana"/>
          <w:color w:val="EE0000"/>
        </w:rPr>
      </w:pPr>
    </w:p>
    <w:p w14:paraId="470FD720" w14:textId="77777777" w:rsidR="00584C69" w:rsidRPr="00584C69" w:rsidRDefault="00584C69" w:rsidP="00584C69">
      <w:pPr>
        <w:spacing w:after="0" w:line="276" w:lineRule="auto"/>
        <w:jc w:val="both"/>
        <w:rPr>
          <w:rFonts w:ascii="Verdana" w:hAnsi="Verdana"/>
          <w:color w:val="4472C4" w:themeColor="accent1"/>
        </w:rPr>
      </w:pPr>
      <w:r w:rsidRPr="00584C69">
        <w:rPr>
          <w:rFonts w:ascii="Verdana" w:hAnsi="Verdana"/>
        </w:rPr>
        <w:t>También le contamos que ya se encuentra disponible la </w:t>
      </w:r>
      <w:r w:rsidRPr="00584C69">
        <w:rPr>
          <w:rFonts w:ascii="Verdana" w:hAnsi="Verdana"/>
          <w:b/>
          <w:bCs/>
        </w:rPr>
        <w:t xml:space="preserve">Guía de lineamientos de transparencia y selección objetiva para el departamento de La </w:t>
      </w:r>
      <w:r w:rsidRPr="00584C69">
        <w:rPr>
          <w:rFonts w:ascii="Verdana" w:hAnsi="Verdana"/>
          <w:b/>
          <w:bCs/>
        </w:rPr>
        <w:lastRenderedPageBreak/>
        <w:t>Guajira – Objetivo sexto constitucional de la Sentencia T-302 del 2017. </w:t>
      </w:r>
      <w:r w:rsidRPr="00584C69">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84C69">
        <w:rPr>
          <w:rFonts w:ascii="Verdana" w:hAnsi="Verdana"/>
        </w:rPr>
        <w:t>Wayúu</w:t>
      </w:r>
      <w:proofErr w:type="spellEnd"/>
      <w:r w:rsidRPr="00584C69">
        <w:rPr>
          <w:rFonts w:ascii="Verdana" w:hAnsi="Verdana"/>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584C69">
          <w:rPr>
            <w:rFonts w:ascii="Verdana" w:eastAsia="Calibri" w:hAnsi="Verdana" w:cs="Arial"/>
            <w:color w:val="0000FF"/>
            <w:u w:val="single"/>
            <w:lang w:val="es-ES_tradnl" w:eastAsia="es-ES_tradnl"/>
          </w:rPr>
          <w:t>Guía de lineamientos de transparencia y selección objetiva para el departamento de La Guajira – Objetivo sexto constitucional de la Sentencia T-302 del 2017</w:t>
        </w:r>
      </w:hyperlink>
      <w:r w:rsidRPr="00584C69">
        <w:rPr>
          <w:rFonts w:ascii="Verdana" w:eastAsia="Calibri" w:hAnsi="Verdana" w:cs="Arial"/>
          <w:color w:val="0000FF"/>
          <w:u w:val="single"/>
          <w:lang w:val="es-ES_tradnl" w:eastAsia="es-ES_tradnl"/>
        </w:rPr>
        <w:t>.</w:t>
      </w:r>
    </w:p>
    <w:p w14:paraId="45BCD0A6" w14:textId="77777777" w:rsidR="00584C69" w:rsidRPr="00584C69" w:rsidRDefault="00584C69" w:rsidP="00584C69">
      <w:pPr>
        <w:spacing w:after="0" w:line="240" w:lineRule="auto"/>
        <w:jc w:val="both"/>
        <w:rPr>
          <w:rFonts w:ascii="Verdana" w:hAnsi="Verdana"/>
        </w:rPr>
      </w:pPr>
    </w:p>
    <w:p w14:paraId="779D4AF7" w14:textId="77777777" w:rsidR="00584C69" w:rsidRPr="00584C69" w:rsidRDefault="00584C69" w:rsidP="00584C69">
      <w:pPr>
        <w:spacing w:after="0" w:line="240" w:lineRule="auto"/>
        <w:jc w:val="both"/>
        <w:rPr>
          <w:rFonts w:ascii="Verdana" w:hAnsi="Verdana"/>
        </w:rPr>
      </w:pPr>
      <w:r w:rsidRPr="00584C69">
        <w:rPr>
          <w:rFonts w:ascii="Verdana" w:hAnsi="Verdana"/>
        </w:rPr>
        <w:t xml:space="preserve">Por último, lo invitamos a seguirnos en las redes sociales en las cuales se difunde información institucional: </w:t>
      </w:r>
    </w:p>
    <w:p w14:paraId="6851DDB0" w14:textId="77777777" w:rsidR="00584C69" w:rsidRPr="00584C69" w:rsidRDefault="00584C69" w:rsidP="00584C69">
      <w:pPr>
        <w:spacing w:after="0" w:line="240" w:lineRule="auto"/>
        <w:jc w:val="both"/>
        <w:rPr>
          <w:rFonts w:ascii="Verdana" w:hAnsi="Verdana"/>
        </w:rPr>
      </w:pPr>
    </w:p>
    <w:p w14:paraId="27B2A1CC" w14:textId="77777777" w:rsidR="00584C69" w:rsidRPr="00584C69" w:rsidRDefault="00584C69" w:rsidP="00584C69">
      <w:pPr>
        <w:spacing w:after="0" w:line="240" w:lineRule="auto"/>
        <w:jc w:val="both"/>
        <w:rPr>
          <w:rFonts w:ascii="Verdana" w:hAnsi="Verdana"/>
        </w:rPr>
      </w:pPr>
      <w:r w:rsidRPr="00584C69">
        <w:rPr>
          <w:rFonts w:ascii="Verdana" w:hAnsi="Verdana"/>
        </w:rPr>
        <w:t xml:space="preserve">Twitter: </w:t>
      </w:r>
      <w:r w:rsidRPr="00584C69">
        <w:rPr>
          <w:rFonts w:ascii="Verdana" w:eastAsia="Calibri" w:hAnsi="Verdana" w:cs="Arial"/>
          <w:color w:val="0000FF"/>
          <w:u w:val="single"/>
          <w:lang w:val="es-ES_tradnl" w:eastAsia="es-ES_tradnl"/>
        </w:rPr>
        <w:t>@colombiacompra</w:t>
      </w:r>
      <w:r w:rsidRPr="00584C69">
        <w:rPr>
          <w:rFonts w:ascii="Verdana" w:hAnsi="Verdana"/>
          <w:color w:val="4472C4" w:themeColor="accent1"/>
        </w:rPr>
        <w:t xml:space="preserve"> </w:t>
      </w:r>
    </w:p>
    <w:p w14:paraId="0AF5E86D" w14:textId="77777777" w:rsidR="00584C69" w:rsidRPr="00584C69" w:rsidRDefault="00584C69" w:rsidP="00584C69">
      <w:pPr>
        <w:spacing w:after="0" w:line="240" w:lineRule="auto"/>
        <w:jc w:val="both"/>
        <w:rPr>
          <w:rFonts w:ascii="Verdana" w:hAnsi="Verdana"/>
        </w:rPr>
      </w:pPr>
      <w:r w:rsidRPr="00584C69">
        <w:rPr>
          <w:rFonts w:ascii="Verdana" w:hAnsi="Verdana"/>
        </w:rPr>
        <w:t xml:space="preserve">Facebook: </w:t>
      </w:r>
      <w:proofErr w:type="spellStart"/>
      <w:r w:rsidRPr="00584C69">
        <w:rPr>
          <w:rFonts w:ascii="Verdana" w:eastAsia="Calibri" w:hAnsi="Verdana" w:cs="Arial"/>
          <w:color w:val="0000FF"/>
          <w:u w:val="single"/>
          <w:lang w:val="es-ES_tradnl" w:eastAsia="es-ES_tradnl"/>
        </w:rPr>
        <w:t>ColombiaCompraEficiente</w:t>
      </w:r>
      <w:proofErr w:type="spellEnd"/>
    </w:p>
    <w:p w14:paraId="16E264DB" w14:textId="77777777" w:rsidR="00584C69" w:rsidRPr="00584C69" w:rsidRDefault="00584C69" w:rsidP="00584C69">
      <w:pPr>
        <w:spacing w:after="0" w:line="240" w:lineRule="auto"/>
        <w:jc w:val="both"/>
        <w:rPr>
          <w:rFonts w:ascii="Verdana" w:hAnsi="Verdana"/>
        </w:rPr>
      </w:pPr>
      <w:r w:rsidRPr="00584C69">
        <w:rPr>
          <w:rFonts w:ascii="Verdana" w:hAnsi="Verdana"/>
        </w:rPr>
        <w:t xml:space="preserve">LinkedIn: </w:t>
      </w:r>
      <w:r w:rsidRPr="00584C69">
        <w:rPr>
          <w:rFonts w:ascii="Verdana" w:eastAsia="Calibri" w:hAnsi="Verdana" w:cs="Arial"/>
          <w:color w:val="0000FF"/>
          <w:u w:val="single"/>
          <w:lang w:val="es-ES_tradnl" w:eastAsia="es-ES_tradnl"/>
        </w:rPr>
        <w:t>Agencia Nacional de Contratación Pública - Colombia Compra Eficiente</w:t>
      </w:r>
      <w:r w:rsidRPr="00584C69">
        <w:rPr>
          <w:rFonts w:ascii="Verdana" w:hAnsi="Verdana"/>
          <w:color w:val="4472C4" w:themeColor="accent1"/>
        </w:rPr>
        <w:t xml:space="preserve"> </w:t>
      </w:r>
      <w:r w:rsidRPr="00584C69">
        <w:rPr>
          <w:rFonts w:ascii="Verdana" w:hAnsi="Verdana"/>
        </w:rPr>
        <w:t xml:space="preserve">Instagram: </w:t>
      </w:r>
      <w:r w:rsidRPr="00584C69">
        <w:rPr>
          <w:rFonts w:ascii="Verdana" w:eastAsia="Calibri" w:hAnsi="Verdana" w:cs="Arial"/>
          <w:color w:val="0000FF"/>
          <w:u w:val="single"/>
          <w:lang w:val="es-ES_tradnl" w:eastAsia="es-ES_tradnl"/>
        </w:rPr>
        <w:t>@colombiacompraeficiente_cce</w:t>
      </w:r>
    </w:p>
    <w:p w14:paraId="0643F570" w14:textId="77777777" w:rsidR="00584C69" w:rsidRPr="00584C69" w:rsidRDefault="00584C69" w:rsidP="00584C69">
      <w:pPr>
        <w:widowControl w:val="0"/>
        <w:autoSpaceDE w:val="0"/>
        <w:autoSpaceDN w:val="0"/>
        <w:spacing w:after="0" w:line="276" w:lineRule="auto"/>
        <w:jc w:val="both"/>
        <w:rPr>
          <w:rFonts w:ascii="Verdana" w:hAnsi="Verdana"/>
        </w:rPr>
      </w:pPr>
    </w:p>
    <w:p w14:paraId="782B6EEC" w14:textId="77777777" w:rsidR="00584C69" w:rsidRPr="00584C69" w:rsidRDefault="00584C69" w:rsidP="00584C69">
      <w:pPr>
        <w:widowControl w:val="0"/>
        <w:autoSpaceDE w:val="0"/>
        <w:autoSpaceDN w:val="0"/>
        <w:spacing w:after="0" w:line="276" w:lineRule="auto"/>
        <w:jc w:val="both"/>
        <w:rPr>
          <w:rFonts w:ascii="Verdana" w:hAnsi="Verdana" w:cs="Arial"/>
          <w:lang w:val="es-ES_tradnl"/>
        </w:rPr>
      </w:pPr>
      <w:r w:rsidRPr="00584C69">
        <w:rPr>
          <w:rFonts w:ascii="Verdana" w:hAnsi="Verdana" w:cs="Arial"/>
        </w:rPr>
        <w:t xml:space="preserve">Este concepto tiene el alcance previsto en el artículo 28 del Código de Procedimiento Administrativo y de lo Contencioso Administrativo </w:t>
      </w:r>
      <w:r w:rsidRPr="00584C69">
        <w:rPr>
          <w:rFonts w:ascii="Verdana" w:hAnsi="Verdana" w:cs="Arial"/>
          <w:lang w:val="es-ES_tradnl"/>
        </w:rPr>
        <w:t>y las expresiones aquí utilizadas con mayúscula inicial deben ser entendidas con el significado que les otorga el artículo 2.2.1.1.1.3.1. del Decreto 1082 de 2015.</w:t>
      </w:r>
    </w:p>
    <w:p w14:paraId="354B5E81" w14:textId="77777777" w:rsidR="00584C69" w:rsidRPr="00584C69" w:rsidRDefault="00584C69" w:rsidP="00584C69">
      <w:pPr>
        <w:spacing w:after="0" w:line="276" w:lineRule="auto"/>
        <w:ind w:firstLine="709"/>
        <w:jc w:val="both"/>
        <w:rPr>
          <w:rFonts w:ascii="Verdana" w:eastAsia="Times New Roman" w:hAnsi="Verdana" w:cs="Arial"/>
          <w:szCs w:val="24"/>
          <w:lang w:val="es-ES_tradnl" w:eastAsia="es-ES_tradnl"/>
        </w:rPr>
      </w:pPr>
    </w:p>
    <w:p w14:paraId="27753DA0" w14:textId="77777777" w:rsidR="00584C69" w:rsidRPr="00584C69" w:rsidRDefault="00584C69" w:rsidP="00584C69">
      <w:pPr>
        <w:spacing w:after="0" w:line="276" w:lineRule="auto"/>
        <w:jc w:val="both"/>
        <w:rPr>
          <w:rFonts w:ascii="Verdana" w:eastAsia="Times New Roman" w:hAnsi="Verdana" w:cs="Arial"/>
          <w:lang w:val="es-ES_tradnl" w:eastAsia="es-CO"/>
        </w:rPr>
      </w:pPr>
      <w:bookmarkStart w:id="4" w:name="_Hlk117695077"/>
      <w:r w:rsidRPr="00584C69">
        <w:rPr>
          <w:rFonts w:ascii="Verdana" w:eastAsia="Times New Roman" w:hAnsi="Verdana" w:cs="Arial"/>
          <w:lang w:val="es-ES_tradnl" w:eastAsia="es-CO"/>
        </w:rPr>
        <w:t>Atentamente,</w:t>
      </w:r>
    </w:p>
    <w:p w14:paraId="57C9F6E5" w14:textId="77777777" w:rsidR="00584C69" w:rsidRPr="00584C69" w:rsidRDefault="00584C69" w:rsidP="00584C69">
      <w:pPr>
        <w:spacing w:after="0" w:line="276" w:lineRule="auto"/>
        <w:jc w:val="both"/>
        <w:rPr>
          <w:rFonts w:ascii="Verdana" w:eastAsia="Times New Roman" w:hAnsi="Verdana" w:cs="Arial"/>
          <w:color w:val="EE0000"/>
          <w:lang w:val="es-ES_tradnl" w:eastAsia="es-CO"/>
        </w:rPr>
      </w:pPr>
    </w:p>
    <w:bookmarkEnd w:id="4"/>
    <w:p w14:paraId="7A118BE0" w14:textId="7BE9C569" w:rsidR="00584C69" w:rsidRPr="00584C69" w:rsidRDefault="00D40744" w:rsidP="00584C69">
      <w:pPr>
        <w:spacing w:after="18" w:line="240" w:lineRule="auto"/>
        <w:jc w:val="center"/>
        <w:rPr>
          <w:rFonts w:ascii="Verdana" w:eastAsia="Times New Roman" w:hAnsi="Verdana" w:cs="Arial"/>
          <w:color w:val="EE0000"/>
          <w:sz w:val="24"/>
          <w:szCs w:val="24"/>
          <w:lang w:eastAsia="es-CO"/>
        </w:rPr>
      </w:pPr>
      <w:r w:rsidRPr="002C3AD6">
        <w:rPr>
          <w:rFonts w:ascii="Century Gothic" w:hAnsi="Century Gothic"/>
          <w:noProof/>
        </w:rPr>
        <w:drawing>
          <wp:inline distT="0" distB="0" distL="0" distR="0" wp14:anchorId="52475656" wp14:editId="15C8119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584C69" w:rsidRPr="00584C69" w14:paraId="2AD79FDB" w14:textId="77777777" w:rsidTr="000118AD">
        <w:trPr>
          <w:trHeight w:val="286"/>
        </w:trPr>
        <w:tc>
          <w:tcPr>
            <w:tcW w:w="893" w:type="dxa"/>
            <w:vAlign w:val="center"/>
            <w:hideMark/>
          </w:tcPr>
          <w:p w14:paraId="0E3004AB" w14:textId="77777777" w:rsidR="00584C69" w:rsidRPr="00584C69" w:rsidRDefault="00584C69" w:rsidP="00584C69">
            <w:pPr>
              <w:rPr>
                <w:rFonts w:ascii="Verdana" w:eastAsia="Times New Roman" w:hAnsi="Verdana" w:cs="Arial"/>
                <w:sz w:val="14"/>
                <w:szCs w:val="14"/>
                <w:lang w:eastAsia="es-ES"/>
              </w:rPr>
            </w:pPr>
            <w:r w:rsidRPr="00584C69">
              <w:rPr>
                <w:rFonts w:ascii="Verdana" w:eastAsia="Times New Roman" w:hAnsi="Verdana" w:cs="Arial"/>
                <w:sz w:val="16"/>
                <w:szCs w:val="16"/>
                <w:lang w:eastAsia="es-ES"/>
              </w:rPr>
              <w:t>Elaboró:</w:t>
            </w:r>
          </w:p>
        </w:tc>
        <w:tc>
          <w:tcPr>
            <w:tcW w:w="4777" w:type="dxa"/>
            <w:vAlign w:val="center"/>
            <w:hideMark/>
          </w:tcPr>
          <w:p w14:paraId="632FC400" w14:textId="77777777" w:rsidR="00584C69" w:rsidRPr="00584C69" w:rsidRDefault="00584C69" w:rsidP="00584C69">
            <w:pPr>
              <w:rPr>
                <w:rFonts w:ascii="Verdana" w:eastAsia="Times New Roman" w:hAnsi="Verdana" w:cs="Arial"/>
                <w:sz w:val="16"/>
                <w:szCs w:val="16"/>
                <w:lang w:val="es-ES_tradnl" w:eastAsia="es-ES"/>
              </w:rPr>
            </w:pPr>
          </w:p>
          <w:p w14:paraId="3A7F1076" w14:textId="0D693451" w:rsidR="00584C69" w:rsidRPr="00584C69" w:rsidRDefault="000A5AE9" w:rsidP="00584C69">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Richard Andrés Montenegro </w:t>
            </w:r>
            <w:proofErr w:type="spellStart"/>
            <w:r>
              <w:rPr>
                <w:rFonts w:ascii="Verdana" w:eastAsia="Times New Roman" w:hAnsi="Verdana" w:cs="Arial"/>
                <w:sz w:val="16"/>
                <w:szCs w:val="16"/>
                <w:lang w:val="es-ES_tradnl" w:eastAsia="es-ES"/>
              </w:rPr>
              <w:t>Siefken</w:t>
            </w:r>
            <w:proofErr w:type="spellEnd"/>
          </w:p>
          <w:p w14:paraId="37A75E40" w14:textId="297A3F24" w:rsidR="00584C69" w:rsidRPr="00584C69" w:rsidRDefault="000A5AE9" w:rsidP="00584C69">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00584C69" w:rsidRPr="00584C69">
              <w:rPr>
                <w:rFonts w:ascii="Verdana" w:eastAsia="Times New Roman" w:hAnsi="Verdana" w:cs="Arial"/>
                <w:sz w:val="16"/>
                <w:szCs w:val="16"/>
                <w:lang w:eastAsia="es-ES"/>
              </w:rPr>
              <w:t>de la Subdirección de Gestión Contractual</w:t>
            </w:r>
          </w:p>
        </w:tc>
      </w:tr>
      <w:tr w:rsidR="00584C69" w:rsidRPr="00584C69" w14:paraId="760357A5" w14:textId="77777777" w:rsidTr="000118AD">
        <w:trPr>
          <w:trHeight w:val="299"/>
        </w:trPr>
        <w:tc>
          <w:tcPr>
            <w:tcW w:w="893" w:type="dxa"/>
            <w:vAlign w:val="center"/>
            <w:hideMark/>
          </w:tcPr>
          <w:p w14:paraId="2D1C6FE6" w14:textId="77777777" w:rsidR="00584C69" w:rsidRPr="00584C69" w:rsidRDefault="00584C69" w:rsidP="00584C69">
            <w:pPr>
              <w:rPr>
                <w:rFonts w:ascii="Verdana" w:eastAsia="Times New Roman" w:hAnsi="Verdana" w:cs="Arial"/>
                <w:sz w:val="14"/>
                <w:szCs w:val="14"/>
                <w:lang w:eastAsia="es-ES"/>
              </w:rPr>
            </w:pPr>
            <w:r w:rsidRPr="00584C69">
              <w:rPr>
                <w:rFonts w:ascii="Verdana" w:eastAsia="Times New Roman" w:hAnsi="Verdana" w:cs="Arial"/>
                <w:sz w:val="16"/>
                <w:szCs w:val="16"/>
                <w:lang w:eastAsia="es-ES"/>
              </w:rPr>
              <w:t>Revisó:</w:t>
            </w:r>
          </w:p>
        </w:tc>
        <w:tc>
          <w:tcPr>
            <w:tcW w:w="4777" w:type="dxa"/>
            <w:vAlign w:val="center"/>
            <w:hideMark/>
          </w:tcPr>
          <w:p w14:paraId="36FD8E24" w14:textId="765BC09E" w:rsidR="00584C69" w:rsidRPr="00584C69" w:rsidRDefault="000A5AE9" w:rsidP="00584C69">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Juan Carlos González Vázquez</w:t>
            </w:r>
          </w:p>
          <w:p w14:paraId="3842CEC6" w14:textId="577DD57E" w:rsidR="00584C69" w:rsidRPr="00584C69" w:rsidRDefault="00584C69" w:rsidP="00584C69">
            <w:pPr>
              <w:rPr>
                <w:rFonts w:ascii="Verdana" w:eastAsia="Times New Roman" w:hAnsi="Verdana" w:cs="Arial"/>
                <w:sz w:val="14"/>
                <w:szCs w:val="14"/>
                <w:lang w:eastAsia="es-ES"/>
              </w:rPr>
            </w:pPr>
            <w:r w:rsidRPr="00584C69">
              <w:rPr>
                <w:rFonts w:ascii="Verdana" w:eastAsia="Times New Roman" w:hAnsi="Verdana" w:cs="Arial"/>
                <w:sz w:val="16"/>
                <w:szCs w:val="16"/>
                <w:lang w:eastAsia="es-ES"/>
              </w:rPr>
              <w:t>Contratista de la Subdirección de Gestión Contractual</w:t>
            </w:r>
          </w:p>
        </w:tc>
      </w:tr>
      <w:tr w:rsidR="00584C69" w:rsidRPr="00584C69" w14:paraId="27D98200" w14:textId="77777777" w:rsidTr="000118AD">
        <w:trPr>
          <w:trHeight w:val="87"/>
        </w:trPr>
        <w:tc>
          <w:tcPr>
            <w:tcW w:w="893" w:type="dxa"/>
            <w:vAlign w:val="center"/>
            <w:hideMark/>
          </w:tcPr>
          <w:p w14:paraId="79464D59" w14:textId="77777777" w:rsidR="00584C69" w:rsidRPr="00584C69" w:rsidRDefault="00584C69" w:rsidP="00584C69">
            <w:pPr>
              <w:rPr>
                <w:rFonts w:ascii="Verdana" w:eastAsia="Times New Roman" w:hAnsi="Verdana" w:cs="Arial"/>
                <w:sz w:val="14"/>
                <w:szCs w:val="14"/>
                <w:lang w:eastAsia="es-ES"/>
              </w:rPr>
            </w:pPr>
            <w:r w:rsidRPr="00584C69">
              <w:rPr>
                <w:rFonts w:ascii="Verdana" w:eastAsia="Times New Roman" w:hAnsi="Verdana" w:cs="Arial"/>
                <w:sz w:val="16"/>
                <w:szCs w:val="16"/>
                <w:lang w:eastAsia="es-ES"/>
              </w:rPr>
              <w:t>Aprobó:</w:t>
            </w:r>
          </w:p>
        </w:tc>
        <w:tc>
          <w:tcPr>
            <w:tcW w:w="4777" w:type="dxa"/>
            <w:vAlign w:val="center"/>
            <w:hideMark/>
          </w:tcPr>
          <w:p w14:paraId="19124BA4" w14:textId="77777777" w:rsidR="00584C69" w:rsidRPr="00584C69" w:rsidRDefault="00584C69" w:rsidP="00584C69">
            <w:pPr>
              <w:rPr>
                <w:rFonts w:ascii="Verdana" w:eastAsia="Times New Roman" w:hAnsi="Verdana" w:cs="Arial"/>
                <w:sz w:val="16"/>
                <w:szCs w:val="16"/>
                <w:lang w:eastAsia="es-ES"/>
              </w:rPr>
            </w:pPr>
            <w:r w:rsidRPr="00584C69">
              <w:rPr>
                <w:rFonts w:ascii="Verdana" w:eastAsia="Times New Roman" w:hAnsi="Verdana" w:cs="Arial"/>
                <w:sz w:val="16"/>
                <w:szCs w:val="16"/>
                <w:lang w:eastAsia="es-ES"/>
              </w:rPr>
              <w:t xml:space="preserve">Carolina Quintero </w:t>
            </w:r>
            <w:proofErr w:type="spellStart"/>
            <w:r w:rsidRPr="00584C69">
              <w:rPr>
                <w:rFonts w:ascii="Verdana" w:eastAsia="Times New Roman" w:hAnsi="Verdana" w:cs="Arial"/>
                <w:sz w:val="16"/>
                <w:szCs w:val="16"/>
                <w:lang w:eastAsia="es-ES"/>
              </w:rPr>
              <w:t>Gacharná</w:t>
            </w:r>
            <w:proofErr w:type="spellEnd"/>
          </w:p>
          <w:p w14:paraId="6DEC933D" w14:textId="77777777" w:rsidR="00584C69" w:rsidRPr="00584C69" w:rsidRDefault="00584C69" w:rsidP="00584C69">
            <w:pPr>
              <w:rPr>
                <w:rFonts w:ascii="Verdana" w:eastAsia="Times New Roman" w:hAnsi="Verdana" w:cs="Arial"/>
                <w:sz w:val="14"/>
                <w:szCs w:val="14"/>
                <w:lang w:eastAsia="es-ES"/>
              </w:rPr>
            </w:pPr>
            <w:r w:rsidRPr="00584C69">
              <w:rPr>
                <w:rFonts w:ascii="Verdana" w:eastAsia="Times New Roman" w:hAnsi="Verdana" w:cs="Arial"/>
                <w:sz w:val="16"/>
                <w:szCs w:val="16"/>
                <w:lang w:eastAsia="es-ES"/>
              </w:rPr>
              <w:t>Subdirectora de Gestión Contractual ANCP – CCE</w:t>
            </w:r>
          </w:p>
        </w:tc>
      </w:tr>
      <w:tr w:rsidR="00584C69" w:rsidRPr="00584C69" w14:paraId="0C3E46DB" w14:textId="77777777" w:rsidTr="000118AD">
        <w:trPr>
          <w:trHeight w:val="87"/>
        </w:trPr>
        <w:tc>
          <w:tcPr>
            <w:tcW w:w="893" w:type="dxa"/>
            <w:vAlign w:val="center"/>
          </w:tcPr>
          <w:p w14:paraId="5E5CF0C5" w14:textId="2A736EFF" w:rsidR="00584C69" w:rsidRPr="00584C69" w:rsidRDefault="00584C69" w:rsidP="00584C69">
            <w:pPr>
              <w:rPr>
                <w:rFonts w:ascii="Verdana" w:eastAsia="Times New Roman" w:hAnsi="Verdana" w:cs="Arial"/>
                <w:sz w:val="16"/>
                <w:szCs w:val="16"/>
                <w:lang w:eastAsia="es-ES"/>
              </w:rPr>
            </w:pPr>
          </w:p>
        </w:tc>
        <w:tc>
          <w:tcPr>
            <w:tcW w:w="4777" w:type="dxa"/>
            <w:vAlign w:val="center"/>
          </w:tcPr>
          <w:p w14:paraId="2E8DAD4E" w14:textId="3BBEC974" w:rsidR="00584C69" w:rsidRPr="00584C69" w:rsidRDefault="00584C69" w:rsidP="00584C69">
            <w:pPr>
              <w:rPr>
                <w:rFonts w:ascii="Verdana" w:eastAsia="Times New Roman" w:hAnsi="Verdana" w:cs="Arial"/>
                <w:sz w:val="16"/>
                <w:szCs w:val="16"/>
                <w:lang w:eastAsia="es-ES"/>
              </w:rPr>
            </w:pPr>
          </w:p>
        </w:tc>
      </w:tr>
      <w:tr w:rsidR="00584C69" w:rsidRPr="00584C69" w14:paraId="4C48E6D5" w14:textId="77777777" w:rsidTr="000118AD">
        <w:trPr>
          <w:trHeight w:val="272"/>
        </w:trPr>
        <w:tc>
          <w:tcPr>
            <w:tcW w:w="893" w:type="dxa"/>
            <w:vAlign w:val="center"/>
          </w:tcPr>
          <w:p w14:paraId="4C30F7E7" w14:textId="77777777" w:rsidR="00584C69" w:rsidRPr="00584C69" w:rsidRDefault="00584C69" w:rsidP="00584C69">
            <w:pPr>
              <w:rPr>
                <w:rFonts w:ascii="Verdana" w:eastAsia="Times New Roman" w:hAnsi="Verdana" w:cs="Arial"/>
                <w:color w:val="EE0000"/>
                <w:sz w:val="16"/>
                <w:szCs w:val="16"/>
                <w:lang w:eastAsia="es-ES"/>
              </w:rPr>
            </w:pPr>
          </w:p>
        </w:tc>
        <w:tc>
          <w:tcPr>
            <w:tcW w:w="4777" w:type="dxa"/>
            <w:vAlign w:val="center"/>
          </w:tcPr>
          <w:p w14:paraId="0DA3498A" w14:textId="77777777" w:rsidR="00584C69" w:rsidRPr="00584C69" w:rsidRDefault="00584C69" w:rsidP="00584C69">
            <w:pPr>
              <w:rPr>
                <w:rFonts w:ascii="Verdana" w:eastAsia="Times New Roman" w:hAnsi="Verdana" w:cs="Arial"/>
                <w:color w:val="EE0000"/>
                <w:sz w:val="16"/>
                <w:szCs w:val="16"/>
                <w:lang w:eastAsia="es-ES"/>
              </w:rPr>
            </w:pPr>
          </w:p>
        </w:tc>
      </w:tr>
    </w:tbl>
    <w:p w14:paraId="23CC5FF5" w14:textId="77777777" w:rsidR="00584C69" w:rsidRPr="00584C69" w:rsidRDefault="00584C69" w:rsidP="00584C69">
      <w:pPr>
        <w:spacing w:after="0" w:line="276" w:lineRule="auto"/>
        <w:jc w:val="both"/>
        <w:rPr>
          <w:rFonts w:ascii="Verdana" w:eastAsia="Times New Roman" w:hAnsi="Verdana" w:cs="Arial"/>
          <w:color w:val="EE0000"/>
          <w:lang w:val="es-ES_tradnl"/>
        </w:rPr>
      </w:pPr>
    </w:p>
    <w:p w14:paraId="728A0707" w14:textId="77777777" w:rsidR="00584C69" w:rsidRPr="00584C69" w:rsidRDefault="00584C69" w:rsidP="00584C69">
      <w:pPr>
        <w:spacing w:after="0" w:line="240" w:lineRule="auto"/>
        <w:rPr>
          <w:rFonts w:ascii="Verdana" w:eastAsia="Times New Roman" w:hAnsi="Verdana" w:cs="Arial"/>
          <w:color w:val="EE0000"/>
          <w:sz w:val="24"/>
          <w:szCs w:val="24"/>
          <w:lang w:eastAsia="es-ES_tradnl"/>
        </w:rPr>
      </w:pPr>
    </w:p>
    <w:p w14:paraId="343C8D42" w14:textId="77777777" w:rsidR="00584C69" w:rsidRPr="00584C69" w:rsidRDefault="00584C69" w:rsidP="00584C69">
      <w:pPr>
        <w:rPr>
          <w:rFonts w:ascii="Verdana" w:hAnsi="Verdana"/>
          <w:color w:val="EE0000"/>
        </w:rPr>
      </w:pPr>
    </w:p>
    <w:p w14:paraId="1203DE3E" w14:textId="77777777" w:rsidR="00584C69" w:rsidRPr="00584C69" w:rsidRDefault="00584C69" w:rsidP="00584C69"/>
    <w:bookmarkEnd w:id="0"/>
    <w:p w14:paraId="3900974D" w14:textId="77777777" w:rsidR="003D5B0D" w:rsidRPr="00584C69" w:rsidRDefault="003D5B0D" w:rsidP="00584C69"/>
    <w:sectPr w:rsidR="003D5B0D" w:rsidRPr="00584C6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F3585" w14:textId="77777777" w:rsidR="007E3C98" w:rsidRDefault="007E3C98" w:rsidP="004A1847">
      <w:pPr>
        <w:spacing w:after="0" w:line="240" w:lineRule="auto"/>
      </w:pPr>
      <w:r>
        <w:separator/>
      </w:r>
    </w:p>
  </w:endnote>
  <w:endnote w:type="continuationSeparator" w:id="0">
    <w:p w14:paraId="34056833" w14:textId="77777777" w:rsidR="007E3C98" w:rsidRDefault="007E3C9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2128F" w14:textId="77777777" w:rsidR="007E3C98" w:rsidRDefault="007E3C98" w:rsidP="004A1847">
      <w:pPr>
        <w:spacing w:after="0" w:line="240" w:lineRule="auto"/>
      </w:pPr>
      <w:r>
        <w:separator/>
      </w:r>
    </w:p>
  </w:footnote>
  <w:footnote w:type="continuationSeparator" w:id="0">
    <w:p w14:paraId="4D8B37D7" w14:textId="77777777" w:rsidR="007E3C98" w:rsidRDefault="007E3C98" w:rsidP="004A1847">
      <w:pPr>
        <w:spacing w:after="0" w:line="240" w:lineRule="auto"/>
      </w:pPr>
      <w:r>
        <w:continuationSeparator/>
      </w:r>
    </w:p>
  </w:footnote>
  <w:footnote w:id="1">
    <w:p w14:paraId="4990932D" w14:textId="77777777" w:rsidR="00584C69" w:rsidRPr="00ED4C26" w:rsidRDefault="00584C69" w:rsidP="00584C69">
      <w:pPr>
        <w:pStyle w:val="Textonotapie"/>
        <w:ind w:firstLine="709"/>
        <w:jc w:val="both"/>
        <w:rPr>
          <w:rFonts w:ascii="Verdana" w:hAnsi="Verdana" w:cs="Arial"/>
          <w:sz w:val="16"/>
          <w:szCs w:val="16"/>
          <w:lang w:val="es-CO"/>
        </w:rPr>
      </w:pPr>
      <w:r w:rsidRPr="00ED4C26">
        <w:rPr>
          <w:rStyle w:val="Refdenotaalpie"/>
          <w:rFonts w:ascii="Verdana" w:hAnsi="Verdana"/>
          <w:sz w:val="16"/>
          <w:szCs w:val="16"/>
        </w:rPr>
        <w:footnoteRef/>
      </w:r>
      <w:r w:rsidRPr="00ED4C26">
        <w:rPr>
          <w:rFonts w:ascii="Verdana" w:hAnsi="Verdana"/>
          <w:sz w:val="16"/>
          <w:szCs w:val="16"/>
        </w:rPr>
        <w:t xml:space="preserve"> </w:t>
      </w:r>
      <w:r w:rsidRPr="00ED4C26">
        <w:rPr>
          <w:rFonts w:ascii="Verdana" w:hAnsi="Verdana" w:cs="Arial"/>
          <w:sz w:val="16"/>
          <w:szCs w:val="16"/>
        </w:rPr>
        <w:t>Para la Corte Constitucional, el principio de publicidad es la garantía que tienen las personas de conocer las actuaciones judiciales y administrativas y con base en ese conocimiento tener la posibilidad de exigir que se surtan conforme a la ley: «El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 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y, a través de ese conocimiento, a exigir que ellas se surtan conforme a la ley». Corte Constitucional. Sentencia C- 341 del 4 de junio de 2014. M. P. Mauricio González Cuervo.</w:t>
      </w:r>
    </w:p>
    <w:p w14:paraId="4A6AF54C" w14:textId="77777777" w:rsidR="00584C69" w:rsidRPr="00ED4C26" w:rsidRDefault="00584C69" w:rsidP="00584C69">
      <w:pPr>
        <w:pStyle w:val="Textonotapie"/>
        <w:rPr>
          <w:rFonts w:ascii="Verdana" w:hAnsi="Verdana"/>
          <w:sz w:val="16"/>
          <w:szCs w:val="16"/>
          <w:lang w:val="es-CO"/>
        </w:rPr>
      </w:pPr>
    </w:p>
  </w:footnote>
  <w:footnote w:id="2">
    <w:p w14:paraId="0451372F" w14:textId="77777777" w:rsidR="00584C69" w:rsidRPr="00ED4C26" w:rsidRDefault="00584C69" w:rsidP="00584C69">
      <w:pPr>
        <w:pStyle w:val="Textonotapie"/>
        <w:ind w:firstLine="709"/>
        <w:jc w:val="both"/>
        <w:rPr>
          <w:rFonts w:ascii="Verdana" w:hAnsi="Verdana"/>
          <w:sz w:val="16"/>
          <w:szCs w:val="16"/>
        </w:rPr>
      </w:pPr>
      <w:r w:rsidRPr="00ED4C26">
        <w:rPr>
          <w:rStyle w:val="Refdenotaalpie"/>
          <w:rFonts w:ascii="Verdana" w:hAnsi="Verdana"/>
          <w:sz w:val="16"/>
          <w:szCs w:val="16"/>
        </w:rPr>
        <w:footnoteRef/>
      </w:r>
      <w:r w:rsidRPr="00ED4C26">
        <w:rPr>
          <w:rFonts w:ascii="Verdana" w:hAnsi="Verdana"/>
          <w:sz w:val="16"/>
          <w:szCs w:val="16"/>
        </w:rPr>
        <w:t xml:space="preserve"> Por medio de la cual se crea la Ley de Transparencia y del Derecho de Acceso a la Información Pública Nacional y se dictan otras disposiciones.</w:t>
      </w:r>
    </w:p>
    <w:p w14:paraId="3ABEBFFF" w14:textId="77777777" w:rsidR="00584C69" w:rsidRPr="00ED4C26" w:rsidRDefault="00584C69" w:rsidP="00584C69">
      <w:pPr>
        <w:pStyle w:val="Textonotapie"/>
        <w:ind w:firstLine="709"/>
        <w:jc w:val="both"/>
        <w:rPr>
          <w:rFonts w:ascii="Verdana" w:hAnsi="Verdana"/>
          <w:sz w:val="16"/>
          <w:szCs w:val="16"/>
          <w:lang w:val="es-ES"/>
        </w:rPr>
      </w:pPr>
    </w:p>
  </w:footnote>
  <w:footnote w:id="3">
    <w:p w14:paraId="42D85CC6" w14:textId="77777777" w:rsidR="00584C69" w:rsidRPr="00ED4C26" w:rsidRDefault="00584C69" w:rsidP="00584C69">
      <w:pPr>
        <w:pStyle w:val="Textonotapie"/>
        <w:ind w:firstLine="709"/>
        <w:jc w:val="both"/>
        <w:rPr>
          <w:rFonts w:ascii="Verdana" w:hAnsi="Verdana" w:cs="Arial"/>
          <w:color w:val="000000" w:themeColor="text1"/>
          <w:sz w:val="16"/>
          <w:szCs w:val="16"/>
        </w:rPr>
      </w:pPr>
      <w:r w:rsidRPr="00ED4C26">
        <w:rPr>
          <w:rStyle w:val="Refdenotaalpie"/>
          <w:rFonts w:ascii="Verdana" w:hAnsi="Verdana"/>
          <w:sz w:val="16"/>
          <w:szCs w:val="16"/>
        </w:rPr>
        <w:footnoteRef/>
      </w:r>
      <w:r w:rsidRPr="00ED4C26">
        <w:rPr>
          <w:rFonts w:ascii="Verdana" w:hAnsi="Verdana"/>
          <w:sz w:val="16"/>
          <w:szCs w:val="16"/>
        </w:rPr>
        <w:t xml:space="preserve"> </w:t>
      </w:r>
      <w:r w:rsidRPr="00ED4C26">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p w14:paraId="016BE82F" w14:textId="77777777" w:rsidR="00584C69" w:rsidRPr="00ED4C26" w:rsidRDefault="00584C69" w:rsidP="00584C69">
      <w:pPr>
        <w:pStyle w:val="Textonotapie"/>
        <w:ind w:firstLine="709"/>
        <w:rPr>
          <w:rFonts w:ascii="Verdana" w:hAnsi="Verdana"/>
          <w:sz w:val="16"/>
          <w:szCs w:val="16"/>
        </w:rPr>
      </w:pPr>
    </w:p>
  </w:footnote>
  <w:footnote w:id="4">
    <w:p w14:paraId="23B6F4CB" w14:textId="77777777" w:rsidR="00584C69" w:rsidRPr="006515D6" w:rsidRDefault="00584C69" w:rsidP="00584C69">
      <w:pPr>
        <w:pStyle w:val="Textonotapie"/>
        <w:ind w:firstLine="707"/>
        <w:contextualSpacing/>
        <w:jc w:val="both"/>
        <w:rPr>
          <w:rFonts w:ascii="Verdana" w:hAnsi="Verdana" w:cs="Arial"/>
          <w:sz w:val="16"/>
          <w:szCs w:val="16"/>
          <w:lang w:val="es-CO"/>
        </w:rPr>
      </w:pPr>
      <w:r w:rsidRPr="006515D6">
        <w:rPr>
          <w:rStyle w:val="Refdenotaalpie"/>
          <w:rFonts w:ascii="Verdana" w:hAnsi="Verdana" w:cs="Arial"/>
          <w:sz w:val="16"/>
          <w:szCs w:val="16"/>
        </w:rPr>
        <w:footnoteRef/>
      </w:r>
      <w:r w:rsidRPr="006515D6">
        <w:rPr>
          <w:rFonts w:ascii="Verdana" w:hAnsi="Verdana" w:cs="Arial"/>
          <w:sz w:val="16"/>
          <w:szCs w:val="16"/>
          <w:vertAlign w:val="superscript"/>
        </w:rPr>
        <w:t xml:space="preserve"> </w:t>
      </w:r>
      <w:r w:rsidRPr="006515D6">
        <w:rPr>
          <w:rFonts w:ascii="Verdana" w:hAnsi="Verdana" w:cs="Arial"/>
          <w:sz w:val="16"/>
          <w:szCs w:val="16"/>
        </w:rPr>
        <w:t xml:space="preserve">Ley 1712 de 2014: “Artículo 3. </w:t>
      </w:r>
      <w:bookmarkStart w:id="2" w:name="3"/>
      <w:r w:rsidRPr="006515D6">
        <w:rPr>
          <w:rFonts w:ascii="Verdana" w:hAnsi="Verdana" w:cs="Arial"/>
          <w:sz w:val="16"/>
          <w:szCs w:val="16"/>
          <w:lang w:val="es-CO"/>
        </w:rPr>
        <w:t>Otros principios de la transparencia y acceso a la información pública.</w:t>
      </w:r>
      <w:bookmarkEnd w:id="2"/>
      <w:r w:rsidRPr="006515D6">
        <w:rPr>
          <w:rFonts w:ascii="Verdana" w:hAnsi="Verdana" w:cs="Arial"/>
          <w:sz w:val="16"/>
          <w:szCs w:val="16"/>
          <w:lang w:val="es-CO"/>
        </w:rPr>
        <w:t> </w:t>
      </w:r>
    </w:p>
    <w:p w14:paraId="3CD9DF8C" w14:textId="77777777" w:rsidR="00584C69" w:rsidRPr="00F0611A" w:rsidRDefault="00584C69" w:rsidP="00584C69">
      <w:pPr>
        <w:pStyle w:val="Textonotapie"/>
        <w:ind w:firstLine="707"/>
        <w:contextualSpacing/>
        <w:jc w:val="both"/>
        <w:rPr>
          <w:rFonts w:ascii="Verdana" w:hAnsi="Verdana" w:cs="Arial"/>
          <w:sz w:val="16"/>
          <w:szCs w:val="16"/>
          <w:lang w:val="es-CO"/>
        </w:rPr>
      </w:pPr>
      <w:r w:rsidRPr="006515D6">
        <w:rPr>
          <w:rFonts w:ascii="Verdana" w:hAnsi="Verdana" w:cs="Arial"/>
          <w:sz w:val="16"/>
          <w:szCs w:val="16"/>
          <w:lang w:val="es-CO"/>
        </w:rPr>
        <w:t>[…]</w:t>
      </w:r>
      <w:r>
        <w:rPr>
          <w:rFonts w:ascii="Verdana" w:hAnsi="Verdana" w:cs="Arial"/>
          <w:sz w:val="16"/>
          <w:szCs w:val="16"/>
          <w:lang w:val="es-CO"/>
        </w:rPr>
        <w:t xml:space="preserve"> </w:t>
      </w:r>
      <w:r w:rsidRPr="006515D6">
        <w:rPr>
          <w:rStyle w:val="baj"/>
          <w:rFonts w:ascii="Verdana" w:hAnsi="Verdana" w:cs="Arial"/>
          <w:sz w:val="16"/>
          <w:szCs w:val="16"/>
        </w:rPr>
        <w:t>Principio de transparencia</w:t>
      </w:r>
      <w:r w:rsidRPr="006515D6">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0D61CE00" w14:textId="77777777" w:rsidR="00584C69" w:rsidRPr="006515D6" w:rsidRDefault="00584C69" w:rsidP="00584C69">
      <w:pPr>
        <w:pStyle w:val="Textonotapie"/>
        <w:contextualSpacing/>
        <w:jc w:val="both"/>
        <w:rPr>
          <w:rFonts w:ascii="Verdana" w:hAnsi="Verdana" w:cs="Arial"/>
          <w:sz w:val="16"/>
          <w:szCs w:val="16"/>
          <w:lang w:val="es-CO"/>
        </w:rPr>
      </w:pPr>
    </w:p>
  </w:footnote>
  <w:footnote w:id="5">
    <w:p w14:paraId="7C288068" w14:textId="77777777" w:rsidR="00584C69" w:rsidRPr="006515D6" w:rsidRDefault="00584C69" w:rsidP="00584C69">
      <w:pPr>
        <w:pStyle w:val="Textonotapie"/>
        <w:ind w:firstLine="707"/>
        <w:contextualSpacing/>
        <w:jc w:val="both"/>
        <w:rPr>
          <w:rFonts w:ascii="Verdana" w:hAnsi="Verdana" w:cs="Arial"/>
          <w:sz w:val="16"/>
          <w:szCs w:val="16"/>
          <w:lang w:val="es-CO"/>
        </w:rPr>
      </w:pPr>
      <w:r w:rsidRPr="006515D6">
        <w:rPr>
          <w:rStyle w:val="Refdenotaalpie"/>
          <w:rFonts w:ascii="Verdana" w:hAnsi="Verdana" w:cs="Arial"/>
          <w:sz w:val="16"/>
          <w:szCs w:val="16"/>
        </w:rPr>
        <w:footnoteRef/>
      </w:r>
      <w:r w:rsidRPr="006515D6">
        <w:rPr>
          <w:rFonts w:ascii="Verdana" w:hAnsi="Verdana" w:cs="Arial"/>
          <w:sz w:val="16"/>
          <w:szCs w:val="16"/>
          <w:vertAlign w:val="superscript"/>
        </w:rPr>
        <w:t xml:space="preserve"> </w:t>
      </w:r>
      <w:r w:rsidRPr="006515D6">
        <w:rPr>
          <w:rFonts w:ascii="Verdana" w:hAnsi="Verdana" w:cs="Arial"/>
          <w:sz w:val="16"/>
          <w:szCs w:val="16"/>
        </w:rPr>
        <w:t xml:space="preserve">Ley 1712 de 2014: “Artículo 3. </w:t>
      </w:r>
      <w:r w:rsidRPr="006515D6">
        <w:rPr>
          <w:rFonts w:ascii="Verdana" w:hAnsi="Verdana" w:cs="Arial"/>
          <w:sz w:val="16"/>
          <w:szCs w:val="16"/>
          <w:lang w:val="es-CO"/>
        </w:rPr>
        <w:t>Otros principios de la transparencia y acceso a la información pública. </w:t>
      </w:r>
    </w:p>
    <w:p w14:paraId="38D30EA4" w14:textId="77777777" w:rsidR="00584C69" w:rsidRPr="006515D6" w:rsidRDefault="00584C69" w:rsidP="00584C69">
      <w:pPr>
        <w:pStyle w:val="Textonotapie"/>
        <w:ind w:firstLine="707"/>
        <w:contextualSpacing/>
        <w:jc w:val="both"/>
        <w:rPr>
          <w:rFonts w:ascii="Verdana" w:hAnsi="Verdana" w:cs="Arial"/>
          <w:sz w:val="16"/>
          <w:szCs w:val="16"/>
          <w:lang w:val="es-ES"/>
        </w:rPr>
      </w:pPr>
      <w:r w:rsidRPr="006515D6">
        <w:rPr>
          <w:rFonts w:ascii="Verdana" w:hAnsi="Verdana" w:cs="Arial"/>
          <w:sz w:val="16"/>
          <w:szCs w:val="16"/>
          <w:lang w:val="es-ES"/>
        </w:rPr>
        <w:t>[…]</w:t>
      </w:r>
      <w:r>
        <w:rPr>
          <w:rFonts w:ascii="Verdana" w:hAnsi="Verdana" w:cs="Arial"/>
          <w:sz w:val="16"/>
          <w:szCs w:val="16"/>
          <w:lang w:val="es-ES"/>
        </w:rPr>
        <w:t xml:space="preserve"> </w:t>
      </w:r>
      <w:r w:rsidRPr="006515D6">
        <w:rPr>
          <w:rStyle w:val="baj"/>
          <w:rFonts w:ascii="Verdana" w:hAnsi="Verdana" w:cs="Arial"/>
          <w:sz w:val="16"/>
          <w:szCs w:val="16"/>
        </w:rPr>
        <w:t>Principio de buena fe</w:t>
      </w:r>
      <w:r w:rsidRPr="006515D6">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6">
    <w:p w14:paraId="13E582F8" w14:textId="77777777" w:rsidR="00584C69" w:rsidRPr="006515D6" w:rsidRDefault="00584C69" w:rsidP="00584C69">
      <w:pPr>
        <w:pStyle w:val="Textonotapie"/>
        <w:ind w:firstLine="707"/>
        <w:contextualSpacing/>
        <w:jc w:val="both"/>
        <w:rPr>
          <w:rFonts w:ascii="Verdana" w:hAnsi="Verdana" w:cs="Arial"/>
          <w:sz w:val="16"/>
          <w:szCs w:val="16"/>
        </w:rPr>
      </w:pPr>
    </w:p>
    <w:p w14:paraId="66DE3251" w14:textId="77777777" w:rsidR="00584C69" w:rsidRPr="00522572" w:rsidRDefault="00584C69" w:rsidP="00584C69">
      <w:pPr>
        <w:pStyle w:val="Textonotapie"/>
        <w:ind w:firstLine="707"/>
        <w:contextualSpacing/>
        <w:jc w:val="both"/>
        <w:rPr>
          <w:rFonts w:ascii="Verdana" w:hAnsi="Verdana" w:cs="Arial"/>
          <w:sz w:val="16"/>
          <w:szCs w:val="16"/>
          <w:shd w:val="clear" w:color="auto" w:fill="FFFFFF"/>
        </w:rPr>
      </w:pPr>
      <w:r w:rsidRPr="006515D6">
        <w:rPr>
          <w:rStyle w:val="Refdenotaalpie"/>
          <w:rFonts w:ascii="Verdana" w:hAnsi="Verdana" w:cs="Arial"/>
          <w:sz w:val="16"/>
          <w:szCs w:val="16"/>
        </w:rPr>
        <w:footnoteRef/>
      </w:r>
      <w:r w:rsidRPr="006515D6">
        <w:rPr>
          <w:rFonts w:ascii="Verdana" w:hAnsi="Verdana" w:cs="Arial"/>
          <w:sz w:val="16"/>
          <w:szCs w:val="16"/>
        </w:rPr>
        <w:t xml:space="preserve"> Ley 1712 de 2014: “Artículo 9. </w:t>
      </w:r>
      <w:r w:rsidRPr="006515D6">
        <w:rPr>
          <w:rFonts w:ascii="Verdana" w:hAnsi="Verdana" w:cs="Arial"/>
          <w:sz w:val="16"/>
          <w:szCs w:val="16"/>
          <w:shd w:val="clear" w:color="auto" w:fill="FFFFFF"/>
        </w:rPr>
        <w:t> </w:t>
      </w:r>
      <w:r w:rsidRPr="006515D6">
        <w:rPr>
          <w:rStyle w:val="nfasis"/>
          <w:rFonts w:ascii="Verdana" w:hAnsi="Verdana" w:cs="Arial"/>
          <w:sz w:val="16"/>
          <w:szCs w:val="16"/>
          <w:shd w:val="clear" w:color="auto" w:fill="FFFFFF"/>
        </w:rPr>
        <w:t>Información mínima obligatoria respecto a la estructura del sujeto obligado. </w:t>
      </w:r>
      <w:r w:rsidRPr="006515D6">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w:t>
      </w:r>
      <w:r>
        <w:rPr>
          <w:rFonts w:ascii="Verdana" w:hAnsi="Verdana" w:cs="Arial"/>
          <w:sz w:val="16"/>
          <w:szCs w:val="16"/>
          <w:shd w:val="clear" w:color="auto" w:fill="FFFFFF"/>
        </w:rPr>
        <w:t xml:space="preserve"> </w:t>
      </w:r>
      <w:r w:rsidRPr="006515D6">
        <w:rPr>
          <w:rFonts w:ascii="Verdana" w:hAnsi="Verdana" w:cs="Arial"/>
          <w:sz w:val="16"/>
          <w:szCs w:val="16"/>
          <w:shd w:val="clear" w:color="auto" w:fill="FFFFFF"/>
        </w:rPr>
        <w:t>[…]</w:t>
      </w:r>
      <w:r>
        <w:rPr>
          <w:rFonts w:ascii="Verdana" w:hAnsi="Verdana" w:cs="Arial"/>
          <w:sz w:val="16"/>
          <w:szCs w:val="16"/>
          <w:shd w:val="clear" w:color="auto" w:fill="FFFFFF"/>
        </w:rPr>
        <w:t xml:space="preserve"> </w:t>
      </w:r>
      <w:r w:rsidRPr="006515D6">
        <w:rPr>
          <w:rFonts w:ascii="Verdana" w:hAnsi="Verdana" w:cs="Arial"/>
          <w:sz w:val="16"/>
          <w:szCs w:val="16"/>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6515D6">
        <w:rPr>
          <w:rFonts w:ascii="Verdana" w:hAnsi="Verdana" w:cs="Arial"/>
          <w:sz w:val="16"/>
          <w:szCs w:val="16"/>
        </w:rPr>
        <w:t xml:space="preserve"> </w:t>
      </w:r>
      <w:r w:rsidRPr="006515D6">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6515D6">
        <w:rPr>
          <w:rFonts w:ascii="Verdana" w:hAnsi="Verdana" w:cs="Arial"/>
          <w:sz w:val="16"/>
          <w:szCs w:val="16"/>
        </w:rPr>
        <w:t>”.</w:t>
      </w:r>
    </w:p>
  </w:footnote>
  <w:footnote w:id="7">
    <w:p w14:paraId="753D3F8A" w14:textId="77777777" w:rsidR="00584C69" w:rsidRPr="006515D6" w:rsidRDefault="00584C69" w:rsidP="00584C69">
      <w:pPr>
        <w:spacing w:after="0" w:line="240" w:lineRule="auto"/>
        <w:ind w:firstLine="707"/>
        <w:contextualSpacing/>
        <w:jc w:val="both"/>
        <w:rPr>
          <w:rFonts w:ascii="Verdana" w:hAnsi="Verdana" w:cs="Arial"/>
          <w:sz w:val="16"/>
          <w:szCs w:val="16"/>
        </w:rPr>
      </w:pPr>
    </w:p>
    <w:p w14:paraId="49BB8379" w14:textId="77777777" w:rsidR="00584C69" w:rsidRPr="006515D6" w:rsidRDefault="00584C69" w:rsidP="00584C69">
      <w:pPr>
        <w:spacing w:after="0" w:line="240" w:lineRule="auto"/>
        <w:ind w:firstLine="707"/>
        <w:contextualSpacing/>
        <w:jc w:val="both"/>
        <w:rPr>
          <w:rFonts w:ascii="Verdana" w:hAnsi="Verdana" w:cs="Arial"/>
          <w:sz w:val="16"/>
          <w:szCs w:val="16"/>
        </w:rPr>
      </w:pPr>
      <w:r w:rsidRPr="006515D6">
        <w:rPr>
          <w:rStyle w:val="Refdenotaalpie"/>
          <w:rFonts w:ascii="Verdana" w:hAnsi="Verdana" w:cs="Arial"/>
          <w:sz w:val="16"/>
          <w:szCs w:val="16"/>
        </w:rPr>
        <w:footnoteRef/>
      </w:r>
      <w:r w:rsidRPr="006515D6">
        <w:rPr>
          <w:rFonts w:ascii="Verdana" w:hAnsi="Verdana" w:cs="Arial"/>
          <w:sz w:val="16"/>
          <w:szCs w:val="16"/>
        </w:rPr>
        <w:t xml:space="preserve"> Ley 1712 de 2014: “Artículo 5. Ámbito de aplicación. Las disposiciones de esta ley serán aplicables a las siguientes personas en calidad de sujetos obligados:</w:t>
      </w:r>
      <w:r>
        <w:rPr>
          <w:rFonts w:ascii="Verdana" w:hAnsi="Verdana" w:cs="Arial"/>
          <w:sz w:val="16"/>
          <w:szCs w:val="16"/>
        </w:rPr>
        <w:t xml:space="preserve"> </w:t>
      </w:r>
      <w:r w:rsidRPr="006515D6">
        <w:rPr>
          <w:rFonts w:ascii="Verdana" w:hAnsi="Verdana" w:cs="Arial"/>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9AF99FD" w14:textId="77777777" w:rsidR="00584C69" w:rsidRPr="006515D6" w:rsidRDefault="00584C69" w:rsidP="00584C69">
      <w:pPr>
        <w:pStyle w:val="Textonotapie"/>
        <w:contextualSpacing/>
        <w:jc w:val="both"/>
        <w:rPr>
          <w:rFonts w:ascii="Verdana" w:hAnsi="Verdana" w:cs="Arial"/>
          <w:sz w:val="16"/>
          <w:szCs w:val="16"/>
        </w:rPr>
      </w:pPr>
    </w:p>
  </w:footnote>
  <w:footnote w:id="8">
    <w:p w14:paraId="20B3615E" w14:textId="77777777" w:rsidR="00584C69" w:rsidRDefault="00584C69" w:rsidP="00584C69">
      <w:pPr>
        <w:pStyle w:val="Textonotapie"/>
        <w:ind w:firstLine="709"/>
        <w:jc w:val="both"/>
      </w:pPr>
      <w:r w:rsidRPr="006515D6">
        <w:rPr>
          <w:rStyle w:val="Refdenotaalpie"/>
          <w:rFonts w:ascii="Verdana" w:hAnsi="Verdana"/>
          <w:sz w:val="16"/>
          <w:szCs w:val="16"/>
        </w:rPr>
        <w:footnoteRef/>
      </w:r>
      <w:r w:rsidRPr="006515D6">
        <w:rPr>
          <w:rFonts w:ascii="Verdana" w:hAnsi="Verdana"/>
          <w:sz w:val="16"/>
          <w:szCs w:val="16"/>
        </w:rPr>
        <w:t xml:space="preserve"> </w:t>
      </w:r>
      <w:r w:rsidRPr="006515D6">
        <w:rPr>
          <w:rFonts w:ascii="Verdana" w:hAnsi="Verdana"/>
          <w:sz w:val="16"/>
          <w:szCs w:val="16"/>
          <w:lang w:val="es-ES"/>
        </w:rPr>
        <w:t xml:space="preserve">Actualizada por la Circular Externa Única del 27 de diciembre de 2023. En </w:t>
      </w:r>
      <w:hyperlink r:id="rId1" w:history="1">
        <w:r w:rsidRPr="0054318D">
          <w:rPr>
            <w:rStyle w:val="Hipervnculo"/>
            <w:rFonts w:ascii="Verdana" w:hAnsi="Verdana" w:cs="Arial"/>
            <w:sz w:val="16"/>
            <w:szCs w:val="16"/>
          </w:rPr>
          <w:t>https://www.colombiacompra.gov.co/normativa-y-relatoria/circular-unica-externa</w:t>
        </w:r>
      </w:hyperlink>
    </w:p>
    <w:p w14:paraId="2B15B345" w14:textId="77777777" w:rsidR="00596981" w:rsidRPr="006515D6" w:rsidRDefault="00596981" w:rsidP="00584C69">
      <w:pPr>
        <w:pStyle w:val="Textonotapie"/>
        <w:ind w:firstLine="709"/>
        <w:jc w:val="both"/>
        <w:rPr>
          <w:rFonts w:ascii="Verdana" w:hAnsi="Verdana"/>
          <w:sz w:val="16"/>
          <w:szCs w:val="16"/>
          <w:lang w:val="es-ES"/>
        </w:rPr>
      </w:pPr>
    </w:p>
  </w:footnote>
  <w:footnote w:id="9">
    <w:p w14:paraId="1CAB208D" w14:textId="77777777" w:rsidR="00584C69" w:rsidRPr="006515D6" w:rsidRDefault="00584C69" w:rsidP="00584C69">
      <w:pPr>
        <w:pStyle w:val="Textonotapie"/>
        <w:ind w:firstLine="709"/>
        <w:jc w:val="both"/>
        <w:rPr>
          <w:rFonts w:ascii="Verdana" w:hAnsi="Verdana" w:cs="Arial"/>
          <w:color w:val="000000" w:themeColor="text1"/>
          <w:sz w:val="16"/>
          <w:szCs w:val="16"/>
          <w:lang w:val="es-CO"/>
        </w:rPr>
      </w:pPr>
      <w:r w:rsidRPr="006515D6">
        <w:rPr>
          <w:rStyle w:val="Refdenotaalpie"/>
          <w:rFonts w:ascii="Verdana" w:hAnsi="Verdana" w:cs="Arial"/>
          <w:color w:val="000000" w:themeColor="text1"/>
          <w:sz w:val="16"/>
          <w:szCs w:val="16"/>
        </w:rPr>
        <w:footnoteRef/>
      </w:r>
      <w:r w:rsidRPr="006515D6">
        <w:rPr>
          <w:rFonts w:ascii="Verdana" w:hAnsi="Verdana" w:cs="Arial"/>
          <w:color w:val="000000" w:themeColor="text1"/>
          <w:sz w:val="16"/>
          <w:szCs w:val="16"/>
        </w:rPr>
        <w:t xml:space="preserve"> “Numeral 1.1 […] Las Entidades que contratan con cargo a recursos públicos están obligadas a publicar oportunamente su actividad contractual en el SECOP, sin que sea relevante para la exigencia de esta obligación su régimen jurídico, naturaleza de público o privado o la pertenencia a una u otra rama del poder público.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4"/>
  </w:num>
  <w:num w:numId="8">
    <w:abstractNumId w:val="11"/>
  </w:num>
  <w:num w:numId="9">
    <w:abstractNumId w:val="6"/>
  </w:num>
  <w:num w:numId="10">
    <w:abstractNumId w:val="10"/>
  </w:num>
  <w:num w:numId="11">
    <w:abstractNumId w:val="7"/>
  </w:num>
  <w:num w:numId="12">
    <w:abstractNumId w:val="0"/>
  </w:num>
  <w:num w:numId="13">
    <w:abstractNumId w:val="2"/>
  </w:num>
  <w:num w:numId="14">
    <w:abstractNumId w:val="13"/>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C2E"/>
    <w:rsid w:val="00016D78"/>
    <w:rsid w:val="00016F78"/>
    <w:rsid w:val="00046945"/>
    <w:rsid w:val="00057658"/>
    <w:rsid w:val="00061B2A"/>
    <w:rsid w:val="00082362"/>
    <w:rsid w:val="0009269C"/>
    <w:rsid w:val="000A5AE9"/>
    <w:rsid w:val="000A683E"/>
    <w:rsid w:val="000B19B9"/>
    <w:rsid w:val="000D0334"/>
    <w:rsid w:val="000F6486"/>
    <w:rsid w:val="00102E0C"/>
    <w:rsid w:val="00125105"/>
    <w:rsid w:val="00127233"/>
    <w:rsid w:val="0012783F"/>
    <w:rsid w:val="001428E1"/>
    <w:rsid w:val="001511A0"/>
    <w:rsid w:val="00171970"/>
    <w:rsid w:val="0019388B"/>
    <w:rsid w:val="001C3D09"/>
    <w:rsid w:val="001E3D98"/>
    <w:rsid w:val="001E4177"/>
    <w:rsid w:val="001F7DC6"/>
    <w:rsid w:val="002421BB"/>
    <w:rsid w:val="00254D8A"/>
    <w:rsid w:val="0025796E"/>
    <w:rsid w:val="002707A2"/>
    <w:rsid w:val="002716FE"/>
    <w:rsid w:val="002951A0"/>
    <w:rsid w:val="002962BC"/>
    <w:rsid w:val="002A093D"/>
    <w:rsid w:val="002A0DD0"/>
    <w:rsid w:val="002A49AC"/>
    <w:rsid w:val="002A64FD"/>
    <w:rsid w:val="002A6C0E"/>
    <w:rsid w:val="002B6209"/>
    <w:rsid w:val="002C7A84"/>
    <w:rsid w:val="002E4FD9"/>
    <w:rsid w:val="00322A85"/>
    <w:rsid w:val="00324168"/>
    <w:rsid w:val="003448F4"/>
    <w:rsid w:val="00374F5E"/>
    <w:rsid w:val="00377E3E"/>
    <w:rsid w:val="003A779E"/>
    <w:rsid w:val="003D0F4D"/>
    <w:rsid w:val="003D5B0D"/>
    <w:rsid w:val="003E0499"/>
    <w:rsid w:val="003F3941"/>
    <w:rsid w:val="00406575"/>
    <w:rsid w:val="004106A1"/>
    <w:rsid w:val="00414C74"/>
    <w:rsid w:val="0042722E"/>
    <w:rsid w:val="00433DEC"/>
    <w:rsid w:val="0044528D"/>
    <w:rsid w:val="00473251"/>
    <w:rsid w:val="004809D3"/>
    <w:rsid w:val="00490760"/>
    <w:rsid w:val="004A1847"/>
    <w:rsid w:val="004A305D"/>
    <w:rsid w:val="004F21C4"/>
    <w:rsid w:val="004F685F"/>
    <w:rsid w:val="00521E9C"/>
    <w:rsid w:val="00555EC4"/>
    <w:rsid w:val="005566E8"/>
    <w:rsid w:val="005712C9"/>
    <w:rsid w:val="00574867"/>
    <w:rsid w:val="00584C69"/>
    <w:rsid w:val="00591460"/>
    <w:rsid w:val="00596981"/>
    <w:rsid w:val="005B3816"/>
    <w:rsid w:val="005C3777"/>
    <w:rsid w:val="005C5CDC"/>
    <w:rsid w:val="005D476C"/>
    <w:rsid w:val="006219F8"/>
    <w:rsid w:val="006479A9"/>
    <w:rsid w:val="00665D70"/>
    <w:rsid w:val="006900D9"/>
    <w:rsid w:val="006B7212"/>
    <w:rsid w:val="006D1C22"/>
    <w:rsid w:val="00706C16"/>
    <w:rsid w:val="00756841"/>
    <w:rsid w:val="007649AB"/>
    <w:rsid w:val="007662E5"/>
    <w:rsid w:val="00771D0C"/>
    <w:rsid w:val="00774DD8"/>
    <w:rsid w:val="007833AC"/>
    <w:rsid w:val="007838AD"/>
    <w:rsid w:val="007A065C"/>
    <w:rsid w:val="007B268C"/>
    <w:rsid w:val="007B7171"/>
    <w:rsid w:val="007C0C0F"/>
    <w:rsid w:val="007C3DC2"/>
    <w:rsid w:val="007E3C98"/>
    <w:rsid w:val="007E5497"/>
    <w:rsid w:val="00806F5F"/>
    <w:rsid w:val="00820278"/>
    <w:rsid w:val="00830D62"/>
    <w:rsid w:val="008408EE"/>
    <w:rsid w:val="00860E88"/>
    <w:rsid w:val="00867F95"/>
    <w:rsid w:val="00871873"/>
    <w:rsid w:val="008843B6"/>
    <w:rsid w:val="00891928"/>
    <w:rsid w:val="008A2F94"/>
    <w:rsid w:val="008A446D"/>
    <w:rsid w:val="008D180B"/>
    <w:rsid w:val="008E2DC2"/>
    <w:rsid w:val="008E3AED"/>
    <w:rsid w:val="008F0EA7"/>
    <w:rsid w:val="00923EEF"/>
    <w:rsid w:val="009419F9"/>
    <w:rsid w:val="0095001A"/>
    <w:rsid w:val="0095685E"/>
    <w:rsid w:val="00961B09"/>
    <w:rsid w:val="00965334"/>
    <w:rsid w:val="0097093E"/>
    <w:rsid w:val="00971326"/>
    <w:rsid w:val="00986AC5"/>
    <w:rsid w:val="009A0094"/>
    <w:rsid w:val="009A0DFA"/>
    <w:rsid w:val="009B2D26"/>
    <w:rsid w:val="009C434A"/>
    <w:rsid w:val="009C71FA"/>
    <w:rsid w:val="009C72E7"/>
    <w:rsid w:val="009D3058"/>
    <w:rsid w:val="009F2B49"/>
    <w:rsid w:val="009F3A13"/>
    <w:rsid w:val="00A122D3"/>
    <w:rsid w:val="00A15C1B"/>
    <w:rsid w:val="00A17F13"/>
    <w:rsid w:val="00A20739"/>
    <w:rsid w:val="00A33C78"/>
    <w:rsid w:val="00AA375F"/>
    <w:rsid w:val="00AB0ADB"/>
    <w:rsid w:val="00AB6DC2"/>
    <w:rsid w:val="00AB722D"/>
    <w:rsid w:val="00B01B1A"/>
    <w:rsid w:val="00B05D7C"/>
    <w:rsid w:val="00B406E2"/>
    <w:rsid w:val="00B66319"/>
    <w:rsid w:val="00B72CD3"/>
    <w:rsid w:val="00B72FFF"/>
    <w:rsid w:val="00BC3D36"/>
    <w:rsid w:val="00BD7F72"/>
    <w:rsid w:val="00BE3D71"/>
    <w:rsid w:val="00C04FB3"/>
    <w:rsid w:val="00C1059A"/>
    <w:rsid w:val="00C1260F"/>
    <w:rsid w:val="00C14B6F"/>
    <w:rsid w:val="00C330EB"/>
    <w:rsid w:val="00C41061"/>
    <w:rsid w:val="00C754BE"/>
    <w:rsid w:val="00C76B1C"/>
    <w:rsid w:val="00CB4972"/>
    <w:rsid w:val="00CB6357"/>
    <w:rsid w:val="00CC1B26"/>
    <w:rsid w:val="00D40744"/>
    <w:rsid w:val="00D423A2"/>
    <w:rsid w:val="00D520D8"/>
    <w:rsid w:val="00D63AC2"/>
    <w:rsid w:val="00D662A1"/>
    <w:rsid w:val="00D7383B"/>
    <w:rsid w:val="00D7615B"/>
    <w:rsid w:val="00D91A3D"/>
    <w:rsid w:val="00DA231B"/>
    <w:rsid w:val="00DC39FC"/>
    <w:rsid w:val="00DF5254"/>
    <w:rsid w:val="00E16408"/>
    <w:rsid w:val="00E20894"/>
    <w:rsid w:val="00E245AB"/>
    <w:rsid w:val="00E2764C"/>
    <w:rsid w:val="00E27F2E"/>
    <w:rsid w:val="00E50AFE"/>
    <w:rsid w:val="00E75C92"/>
    <w:rsid w:val="00E771DC"/>
    <w:rsid w:val="00E8772A"/>
    <w:rsid w:val="00E87F13"/>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584C6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84C69"/>
    <w:pPr>
      <w:spacing w:line="240" w:lineRule="exact"/>
    </w:pPr>
    <w:rPr>
      <w:vertAlign w:val="superscript"/>
    </w:rPr>
  </w:style>
  <w:style w:type="character" w:styleId="nfasis">
    <w:name w:val="Emphasis"/>
    <w:basedOn w:val="Fuentedeprrafopredeter"/>
    <w:uiPriority w:val="20"/>
    <w:qFormat/>
    <w:rsid w:val="00584C69"/>
    <w:rPr>
      <w:i/>
      <w:iCs/>
    </w:rPr>
  </w:style>
  <w:style w:type="character" w:customStyle="1" w:styleId="baj">
    <w:name w:val="b_aj"/>
    <w:basedOn w:val="Fuentedeprrafopredeter"/>
    <w:rsid w:val="00584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circular-unica-extern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eticia@unad.edu.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rmativa-y-relatoria/circular-unica-extern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2006/documentManagement/types"/>
    <ds:schemaRef ds:uri="http://schemas.microsoft.com/office/infopath/2007/PartnerControls"/>
    <ds:schemaRef ds:uri="http://purl.org/dc/terms/"/>
    <ds:schemaRef ds:uri="9d85dbaf-23eb-4e57-a637-93dcacc8b1a1"/>
    <ds:schemaRef ds:uri="http://www.w3.org/XML/1998/namespace"/>
    <ds:schemaRef ds:uri="a6cb9e4b-f1d1-4245-83ec-6cad768d538a"/>
    <ds:schemaRef ds:uri="http://purl.org/dc/dcmitype/"/>
    <ds:schemaRef ds:uri="http://schemas.openxmlformats.org/package/2006/metadata/core-properties"/>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D8A7F11-64E3-4D8D-A0AF-75587D992C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3161</Words>
  <Characters>17390</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20510</CharactersWithSpaces>
  <SharedDoc>false</SharedDoc>
  <HLinks>
    <vt:vector size="30" baseType="variant">
      <vt:variant>
        <vt:i4>3276900</vt:i4>
      </vt:variant>
      <vt:variant>
        <vt:i4>15</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1900622</vt:i4>
      </vt:variant>
      <vt:variant>
        <vt:i4>6</vt:i4>
      </vt:variant>
      <vt:variant>
        <vt:i4>0</vt:i4>
      </vt:variant>
      <vt:variant>
        <vt:i4>5</vt:i4>
      </vt:variant>
      <vt:variant>
        <vt:lpwstr>https://relatoria.colombiacompra.gov.co/</vt:lpwstr>
      </vt:variant>
      <vt:variant>
        <vt:lpwstr/>
      </vt:variant>
      <vt:variant>
        <vt:i4>3014713</vt:i4>
      </vt:variant>
      <vt:variant>
        <vt:i4>3</vt:i4>
      </vt:variant>
      <vt:variant>
        <vt:i4>0</vt:i4>
      </vt:variant>
      <vt:variant>
        <vt:i4>5</vt:i4>
      </vt:variant>
      <vt:variant>
        <vt:lpwstr>https://www.colombiacompra.gov.co/normativa-y-relatoria/circular-unica-externa</vt:lpwstr>
      </vt:variant>
      <vt:variant>
        <vt:lpwstr/>
      </vt:variant>
      <vt:variant>
        <vt:i4>1835060</vt:i4>
      </vt:variant>
      <vt:variant>
        <vt:i4>0</vt:i4>
      </vt:variant>
      <vt:variant>
        <vt:i4>0</vt:i4>
      </vt:variant>
      <vt:variant>
        <vt:i4>5</vt:i4>
      </vt:variant>
      <vt:variant>
        <vt:lpwstr>mailto:leidykarollmen@gmail.com</vt:lpwstr>
      </vt:variant>
      <vt:variant>
        <vt:lpwstr/>
      </vt:variant>
      <vt:variant>
        <vt:i4>3014713</vt:i4>
      </vt:variant>
      <vt:variant>
        <vt:i4>0</vt:i4>
      </vt:variant>
      <vt:variant>
        <vt:i4>0</vt:i4>
      </vt:variant>
      <vt:variant>
        <vt:i4>5</vt:i4>
      </vt:variant>
      <vt:variant>
        <vt:lpwstr>https://www.colombiacompra.gov.co/normativa-y-relatoria/circular-unica-externa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2025-11-18T15:37:00Z</dcterms:created>
  <dcterms:modified xsi:type="dcterms:W3CDTF">2025-11-18T15:37:00Z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