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C6AC3" w14:textId="77777777" w:rsidR="004F240F" w:rsidRPr="007C11D3" w:rsidRDefault="004F240F" w:rsidP="004F240F">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Tipos de restricciones ‒ Ámbito temporal </w:t>
      </w:r>
    </w:p>
    <w:p w14:paraId="6358A78F"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5B21085E"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D4ADBD0"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5BDF6FFC" w14:textId="77777777" w:rsidR="004F240F" w:rsidRPr="007C11D3" w:rsidRDefault="004F240F" w:rsidP="004F240F">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Prohibición ‒ Contratación directa ‒ Alcance – Excepciones </w:t>
      </w:r>
    </w:p>
    <w:p w14:paraId="25D803F2" w14:textId="77777777" w:rsidR="004F240F" w:rsidRPr="007C11D3" w:rsidRDefault="004F240F" w:rsidP="004F240F">
      <w:pPr>
        <w:spacing w:after="0" w:line="240" w:lineRule="auto"/>
        <w:rPr>
          <w:rFonts w:ascii="Verdana" w:eastAsia="Calibri" w:hAnsi="Verdana" w:cs="Arial"/>
          <w:b/>
          <w:color w:val="000000" w:themeColor="text1"/>
          <w:lang w:val="es-ES_tradnl"/>
        </w:rPr>
      </w:pPr>
    </w:p>
    <w:p w14:paraId="6B1C15E1"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proofErr w:type="gramStart"/>
      <w:r w:rsidRPr="5B89E16D">
        <w:rPr>
          <w:rFonts w:ascii="Verdana" w:eastAsia="Calibri" w:hAnsi="Verdana" w:cs="Arial"/>
          <w:color w:val="000000" w:themeColor="text1"/>
          <w:sz w:val="20"/>
          <w:szCs w:val="20"/>
          <w:lang w:val="es-ES"/>
        </w:rPr>
        <w:t>méritos  y</w:t>
      </w:r>
      <w:proofErr w:type="gramEnd"/>
      <w:r w:rsidRPr="5B89E16D">
        <w:rPr>
          <w:rFonts w:ascii="Verdana" w:eastAsia="Calibri" w:hAnsi="Verdana" w:cs="Arial"/>
          <w:color w:val="000000" w:themeColor="text1"/>
          <w:sz w:val="20"/>
          <w:szCs w:val="20"/>
          <w:lang w:val="es-ES"/>
        </w:rPr>
        <w:t xml:space="preserve"> sistematizó las causales de contratación directa.</w:t>
      </w:r>
    </w:p>
    <w:p w14:paraId="2F805712" w14:textId="77777777" w:rsidR="004F240F" w:rsidRPr="007C11D3" w:rsidRDefault="004F240F" w:rsidP="004F240F">
      <w:pPr>
        <w:spacing w:after="0" w:line="240" w:lineRule="auto"/>
        <w:jc w:val="both"/>
        <w:rPr>
          <w:rFonts w:ascii="Verdana" w:eastAsia="Calibri" w:hAnsi="Verdana" w:cs="Arial"/>
          <w:bCs/>
          <w:color w:val="000000" w:themeColor="text1"/>
          <w:sz w:val="20"/>
          <w:szCs w:val="20"/>
          <w:lang w:val="es-ES_tradnl"/>
        </w:rPr>
      </w:pPr>
    </w:p>
    <w:p w14:paraId="69990A9A"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los contratos de crédito público;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F38B793" w14:textId="77777777" w:rsidR="004F240F" w:rsidRPr="007C11D3" w:rsidRDefault="004F240F" w:rsidP="004F240F">
      <w:pPr>
        <w:spacing w:after="0" w:line="240" w:lineRule="auto"/>
        <w:jc w:val="both"/>
        <w:rPr>
          <w:rFonts w:ascii="Verdana" w:eastAsia="Calibri" w:hAnsi="Verdana" w:cs="Arial"/>
          <w:b/>
          <w:color w:val="000000" w:themeColor="text1"/>
          <w:lang w:val="es-ES_tradnl"/>
        </w:rPr>
      </w:pPr>
    </w:p>
    <w:p w14:paraId="2DE73F05" w14:textId="77777777" w:rsidR="004F240F" w:rsidRPr="007C11D3" w:rsidRDefault="004F240F" w:rsidP="004F240F">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lastRenderedPageBreak/>
        <w:t>LEY DE GARANTÍAS ELECTORALES ‒ Prohibición del artículo 33 ‒ Destinatarios</w:t>
      </w:r>
    </w:p>
    <w:p w14:paraId="1B697AA3" w14:textId="77777777" w:rsidR="004F240F" w:rsidRPr="007C11D3" w:rsidRDefault="004F240F" w:rsidP="004F240F">
      <w:pPr>
        <w:spacing w:after="0" w:line="240" w:lineRule="auto"/>
        <w:jc w:val="both"/>
        <w:rPr>
          <w:rFonts w:ascii="Verdana" w:eastAsia="Calibri" w:hAnsi="Verdana" w:cs="Arial"/>
          <w:bCs/>
          <w:color w:val="000000" w:themeColor="text1"/>
          <w:lang w:val="es-ES_tradnl"/>
        </w:rPr>
      </w:pPr>
    </w:p>
    <w:p w14:paraId="38926E32" w14:textId="77777777" w:rsidR="004F240F" w:rsidRPr="007C11D3" w:rsidRDefault="004F240F" w:rsidP="004F240F">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El artículo 33 de la Ley 996 de 2005 señala expresamente a los destinatarios de la prohibición, en el sentido de que son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 los entes del Estado</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expresión que contempla a los diferentes organismos o entidades autorizadas por la ley para suscribir contratos. En efecto, tal como lo ha sostenido el Consejo de Estado, el vocablo </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todos</w:t>
      </w:r>
      <w:r>
        <w:rPr>
          <w:rFonts w:ascii="Verdana" w:eastAsia="Calibri" w:hAnsi="Verdana" w:cs="Arial"/>
          <w:color w:val="000000" w:themeColor="text1"/>
          <w:sz w:val="20"/>
          <w:szCs w:val="20"/>
          <w:lang w:val="es-ES"/>
        </w:rPr>
        <w:t>”</w:t>
      </w:r>
      <w:r w:rsidRPr="5B89E16D">
        <w:rPr>
          <w:rFonts w:ascii="Verdana" w:eastAsia="Calibri" w:hAnsi="Verdana" w:cs="Arial"/>
          <w:color w:val="000000" w:themeColor="text1"/>
          <w:sz w:val="20"/>
          <w:szCs w:val="20"/>
          <w:lang w:val="es-ES"/>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49A49BB" w14:textId="77777777" w:rsidR="004F240F" w:rsidRPr="00A51781" w:rsidRDefault="004F240F" w:rsidP="004F240F">
      <w:pPr>
        <w:jc w:val="both"/>
        <w:rPr>
          <w:rFonts w:ascii="Verdana" w:eastAsia="Calibri" w:hAnsi="Verdana" w:cs="Arial"/>
          <w:b/>
          <w:bCs/>
          <w:lang w:val="es-ES"/>
        </w:rPr>
      </w:pPr>
    </w:p>
    <w:p w14:paraId="15CE0C2F" w14:textId="7BF949D1" w:rsidR="008A2F95" w:rsidRPr="0004367F" w:rsidRDefault="008A2F95" w:rsidP="008A2F95">
      <w:pPr>
        <w:spacing w:after="0" w:line="240" w:lineRule="auto"/>
        <w:rPr>
          <w:rFonts w:ascii="Verdana" w:hAnsi="Verdana"/>
          <w:b/>
          <w:bCs/>
        </w:rPr>
      </w:pPr>
      <w:r w:rsidRPr="0004367F">
        <w:rPr>
          <w:rFonts w:ascii="Verdana" w:hAnsi="Verdana"/>
          <w:b/>
          <w:bCs/>
        </w:rPr>
        <w:t>POWER PURCHASE AGREEMENT</w:t>
      </w:r>
      <w:r w:rsidR="00FD2CC8">
        <w:rPr>
          <w:rFonts w:ascii="Verdana" w:hAnsi="Verdana"/>
          <w:b/>
          <w:bCs/>
        </w:rPr>
        <w:t xml:space="preserve"> </w:t>
      </w:r>
      <w:r w:rsidRPr="0004367F">
        <w:rPr>
          <w:rFonts w:ascii="Verdana" w:eastAsia="Verdana" w:hAnsi="Verdana" w:cs="Verdana"/>
          <w:b/>
          <w:bCs/>
        </w:rPr>
        <w:t>–</w:t>
      </w:r>
      <w:r>
        <w:rPr>
          <w:rFonts w:ascii="Verdana" w:eastAsia="Verdana" w:hAnsi="Verdana" w:cs="Verdana"/>
          <w:b/>
          <w:bCs/>
        </w:rPr>
        <w:t xml:space="preserve"> </w:t>
      </w:r>
      <w:r w:rsidRPr="0004367F">
        <w:rPr>
          <w:rFonts w:ascii="Verdana" w:hAnsi="Verdana"/>
          <w:b/>
          <w:bCs/>
        </w:rPr>
        <w:t xml:space="preserve">Definición </w:t>
      </w:r>
      <w:r w:rsidRPr="0004367F">
        <w:rPr>
          <w:rFonts w:ascii="Verdana" w:eastAsia="Verdana" w:hAnsi="Verdana" w:cs="Verdana"/>
          <w:b/>
          <w:bCs/>
        </w:rPr>
        <w:t>–</w:t>
      </w:r>
      <w:r>
        <w:rPr>
          <w:rFonts w:ascii="Verdana" w:eastAsia="Verdana" w:hAnsi="Verdana" w:cs="Verdana"/>
          <w:b/>
          <w:bCs/>
        </w:rPr>
        <w:t xml:space="preserve"> Concepto</w:t>
      </w:r>
    </w:p>
    <w:p w14:paraId="1CB6215F" w14:textId="77777777" w:rsidR="008A2F95" w:rsidRPr="001C38E4" w:rsidRDefault="008A2F95" w:rsidP="008A2F95">
      <w:pPr>
        <w:spacing w:after="0" w:line="240" w:lineRule="auto"/>
        <w:rPr>
          <w:rFonts w:ascii="Verdana" w:hAnsi="Verdana"/>
          <w:sz w:val="20"/>
          <w:szCs w:val="20"/>
        </w:rPr>
      </w:pPr>
    </w:p>
    <w:p w14:paraId="122AF921" w14:textId="77777777" w:rsidR="008A2F95" w:rsidRPr="001C38E4" w:rsidRDefault="008A2F95" w:rsidP="008A2F95">
      <w:pPr>
        <w:spacing w:after="0" w:line="240" w:lineRule="auto"/>
        <w:jc w:val="both"/>
        <w:rPr>
          <w:rFonts w:ascii="Verdana" w:hAnsi="Verdana"/>
          <w:sz w:val="20"/>
          <w:szCs w:val="20"/>
        </w:rPr>
      </w:pPr>
      <w:r w:rsidRPr="001C38E4">
        <w:rPr>
          <w:rFonts w:ascii="Verdana" w:eastAsia="Calibri" w:hAnsi="Verdana" w:cs="Arial"/>
          <w:color w:val="000000" w:themeColor="text1"/>
          <w:sz w:val="20"/>
          <w:szCs w:val="20"/>
          <w:lang w:val="es-ES_tradnl"/>
        </w:rPr>
        <w:t xml:space="preserve">El </w:t>
      </w:r>
      <w:proofErr w:type="spellStart"/>
      <w:r w:rsidRPr="001C38E4">
        <w:rPr>
          <w:rFonts w:ascii="Verdana" w:eastAsia="Calibri" w:hAnsi="Verdana" w:cs="Arial"/>
          <w:i/>
          <w:iCs/>
          <w:color w:val="000000" w:themeColor="text1"/>
          <w:sz w:val="20"/>
          <w:szCs w:val="20"/>
          <w:lang w:val="es-ES_tradnl"/>
        </w:rPr>
        <w:t>power</w:t>
      </w:r>
      <w:proofErr w:type="spellEnd"/>
      <w:r w:rsidRPr="001C38E4">
        <w:rPr>
          <w:rFonts w:ascii="Verdana" w:eastAsia="Calibri" w:hAnsi="Verdana" w:cs="Arial"/>
          <w:i/>
          <w:iCs/>
          <w:color w:val="000000" w:themeColor="text1"/>
          <w:sz w:val="20"/>
          <w:szCs w:val="20"/>
          <w:lang w:val="es-ES_tradnl"/>
        </w:rPr>
        <w:t xml:space="preserve"> </w:t>
      </w:r>
      <w:proofErr w:type="spellStart"/>
      <w:r w:rsidRPr="001C38E4">
        <w:rPr>
          <w:rFonts w:ascii="Verdana" w:eastAsia="Calibri" w:hAnsi="Verdana" w:cs="Arial"/>
          <w:i/>
          <w:iCs/>
          <w:color w:val="000000" w:themeColor="text1"/>
          <w:sz w:val="20"/>
          <w:szCs w:val="20"/>
          <w:lang w:val="es-ES_tradnl"/>
        </w:rPr>
        <w:t>purchase</w:t>
      </w:r>
      <w:proofErr w:type="spellEnd"/>
      <w:r w:rsidRPr="001C38E4">
        <w:rPr>
          <w:rFonts w:ascii="Verdana" w:eastAsia="Calibri" w:hAnsi="Verdana" w:cs="Arial"/>
          <w:i/>
          <w:iCs/>
          <w:color w:val="000000" w:themeColor="text1"/>
          <w:sz w:val="20"/>
          <w:szCs w:val="20"/>
          <w:lang w:val="es-ES_tradnl"/>
        </w:rPr>
        <w:t xml:space="preserve"> </w:t>
      </w:r>
      <w:proofErr w:type="spellStart"/>
      <w:r w:rsidRPr="001C38E4">
        <w:rPr>
          <w:rFonts w:ascii="Verdana" w:eastAsia="Calibri" w:hAnsi="Verdana" w:cs="Arial"/>
          <w:i/>
          <w:iCs/>
          <w:color w:val="000000" w:themeColor="text1"/>
          <w:sz w:val="20"/>
          <w:szCs w:val="20"/>
          <w:lang w:val="es-ES_tradnl"/>
        </w:rPr>
        <w:t>agreement</w:t>
      </w:r>
      <w:proofErr w:type="spellEnd"/>
      <w:r w:rsidRPr="001C38E4">
        <w:rPr>
          <w:rFonts w:ascii="Verdana" w:eastAsia="Calibri" w:hAnsi="Verdana" w:cs="Arial"/>
          <w:color w:val="000000" w:themeColor="text1"/>
          <w:sz w:val="20"/>
          <w:szCs w:val="20"/>
          <w:lang w:val="es-ES_tradnl"/>
        </w:rPr>
        <w:t xml:space="preserve"> es un contrato que viene celebrándose en el mercado energético de varios países, permitiendo a empresas privadas vender energía al Estado, por ejemplo, a través de plantas fotovoltaicas. Por otra parte, el desarrollo de este acuerdo se ha impulsado desde hace algunos años en Colombia, como instrumento de transición energética, en especial desde la expedición de la Ley 1715 de 2014 “Por medio de la cual se regula la integración de las energías renovables no convencionales al Sistema Energético Nacional”.</w:t>
      </w:r>
    </w:p>
    <w:p w14:paraId="15A422A2" w14:textId="77777777" w:rsidR="008A2F95" w:rsidRPr="00DF43F6" w:rsidRDefault="008A2F95" w:rsidP="008A2F95">
      <w:pPr>
        <w:spacing w:after="0" w:line="240" w:lineRule="auto"/>
        <w:jc w:val="both"/>
        <w:rPr>
          <w:rFonts w:ascii="Verdana" w:hAnsi="Verdana"/>
          <w:b/>
          <w:bCs/>
          <w:sz w:val="20"/>
          <w:szCs w:val="20"/>
        </w:rPr>
      </w:pPr>
    </w:p>
    <w:p w14:paraId="4655A4FF" w14:textId="77777777" w:rsidR="004F240F" w:rsidRDefault="004F240F" w:rsidP="004F240F">
      <w:pPr>
        <w:spacing w:after="0" w:line="240" w:lineRule="auto"/>
        <w:rPr>
          <w:rFonts w:ascii="Verdana" w:hAnsi="Verdana"/>
        </w:rPr>
      </w:pPr>
    </w:p>
    <w:p w14:paraId="5EA797F1" w14:textId="77777777" w:rsidR="004F240F" w:rsidRDefault="004F240F" w:rsidP="004F240F">
      <w:pPr>
        <w:spacing w:after="0" w:line="240" w:lineRule="auto"/>
        <w:rPr>
          <w:rFonts w:ascii="Verdana" w:hAnsi="Verdana"/>
        </w:rPr>
      </w:pPr>
    </w:p>
    <w:p w14:paraId="5E7CEBA4" w14:textId="77777777" w:rsidR="004F240F" w:rsidRDefault="004F240F" w:rsidP="004F240F">
      <w:pPr>
        <w:spacing w:after="0" w:line="240" w:lineRule="auto"/>
        <w:rPr>
          <w:rFonts w:ascii="Verdana" w:hAnsi="Verdana"/>
        </w:rPr>
      </w:pPr>
    </w:p>
    <w:p w14:paraId="7968CC6A" w14:textId="77777777" w:rsidR="004F240F" w:rsidRDefault="004F240F" w:rsidP="004F240F">
      <w:pPr>
        <w:spacing w:after="0" w:line="240" w:lineRule="auto"/>
        <w:rPr>
          <w:rFonts w:ascii="Verdana" w:hAnsi="Verdana"/>
        </w:rPr>
      </w:pPr>
    </w:p>
    <w:p w14:paraId="4476F68B" w14:textId="77777777" w:rsidR="004F240F" w:rsidRDefault="004F240F" w:rsidP="004F240F">
      <w:pPr>
        <w:spacing w:after="0" w:line="240" w:lineRule="auto"/>
        <w:rPr>
          <w:rFonts w:ascii="Verdana" w:hAnsi="Verdana"/>
        </w:rPr>
      </w:pPr>
    </w:p>
    <w:p w14:paraId="22DD0C0A" w14:textId="77777777" w:rsidR="004F240F" w:rsidRDefault="004F240F" w:rsidP="004F240F">
      <w:pPr>
        <w:spacing w:after="0" w:line="240" w:lineRule="auto"/>
        <w:rPr>
          <w:rFonts w:ascii="Verdana" w:hAnsi="Verdana"/>
        </w:rPr>
      </w:pPr>
    </w:p>
    <w:p w14:paraId="1523916F" w14:textId="77777777" w:rsidR="004F240F" w:rsidRDefault="004F240F" w:rsidP="004F240F">
      <w:pPr>
        <w:spacing w:after="0" w:line="240" w:lineRule="auto"/>
        <w:jc w:val="both"/>
        <w:rPr>
          <w:rFonts w:ascii="Verdana" w:hAnsi="Verdana" w:cs="Arial"/>
          <w:noProof/>
          <w:lang w:val="es-ES_tradnl"/>
        </w:rPr>
      </w:pPr>
    </w:p>
    <w:p w14:paraId="108F12D6" w14:textId="77777777" w:rsidR="004F240F" w:rsidRDefault="004F240F" w:rsidP="004F240F">
      <w:pPr>
        <w:spacing w:after="0" w:line="240" w:lineRule="auto"/>
        <w:jc w:val="both"/>
        <w:rPr>
          <w:rFonts w:ascii="Verdana" w:hAnsi="Verdana" w:cs="Arial"/>
          <w:noProof/>
          <w:lang w:val="es-ES_tradnl"/>
        </w:rPr>
      </w:pPr>
    </w:p>
    <w:p w14:paraId="5BD26878" w14:textId="77777777" w:rsidR="004F240F" w:rsidRDefault="004F240F" w:rsidP="004F240F">
      <w:pPr>
        <w:spacing w:after="0" w:line="240" w:lineRule="auto"/>
        <w:jc w:val="both"/>
        <w:rPr>
          <w:rFonts w:ascii="Verdana" w:hAnsi="Verdana" w:cs="Arial"/>
          <w:noProof/>
          <w:lang w:val="es-ES_tradnl"/>
        </w:rPr>
      </w:pPr>
    </w:p>
    <w:p w14:paraId="31FE9D6F" w14:textId="77777777" w:rsidR="004F240F" w:rsidRDefault="004F240F" w:rsidP="004F240F">
      <w:pPr>
        <w:spacing w:after="0" w:line="240" w:lineRule="auto"/>
        <w:jc w:val="both"/>
        <w:rPr>
          <w:rFonts w:ascii="Verdana" w:hAnsi="Verdana" w:cs="Arial"/>
          <w:noProof/>
          <w:lang w:val="es-ES_tradnl"/>
        </w:rPr>
      </w:pPr>
    </w:p>
    <w:p w14:paraId="0FEA7D00" w14:textId="77777777" w:rsidR="004F240F" w:rsidRDefault="004F240F" w:rsidP="004F240F">
      <w:pPr>
        <w:spacing w:after="0" w:line="240" w:lineRule="auto"/>
        <w:jc w:val="both"/>
        <w:rPr>
          <w:rFonts w:ascii="Verdana" w:hAnsi="Verdana" w:cs="Arial"/>
          <w:noProof/>
          <w:lang w:val="es-ES_tradnl"/>
        </w:rPr>
      </w:pPr>
    </w:p>
    <w:p w14:paraId="31CA1C07" w14:textId="77777777" w:rsidR="004F240F" w:rsidRDefault="004F240F" w:rsidP="004F240F">
      <w:pPr>
        <w:spacing w:after="0" w:line="276" w:lineRule="auto"/>
        <w:jc w:val="both"/>
        <w:rPr>
          <w:rFonts w:ascii="Verdana" w:hAnsi="Verdana" w:cs="Arial"/>
          <w:noProof/>
          <w:lang w:val="es-ES_tradnl"/>
        </w:rPr>
      </w:pPr>
    </w:p>
    <w:p w14:paraId="31A206C5" w14:textId="77777777" w:rsidR="004F240F" w:rsidRDefault="004F240F" w:rsidP="004F240F">
      <w:pPr>
        <w:spacing w:after="0" w:line="276" w:lineRule="auto"/>
        <w:jc w:val="both"/>
        <w:rPr>
          <w:rFonts w:ascii="Verdana" w:hAnsi="Verdana" w:cs="Arial"/>
          <w:noProof/>
          <w:lang w:val="es-ES_tradnl"/>
        </w:rPr>
      </w:pPr>
    </w:p>
    <w:p w14:paraId="2FEA7F52" w14:textId="77777777" w:rsidR="004F240F" w:rsidRDefault="004F240F" w:rsidP="004F240F">
      <w:pPr>
        <w:spacing w:after="0" w:line="276" w:lineRule="auto"/>
        <w:jc w:val="both"/>
        <w:rPr>
          <w:rFonts w:ascii="Verdana" w:hAnsi="Verdana" w:cs="Arial"/>
          <w:noProof/>
          <w:lang w:val="es-ES_tradnl"/>
        </w:rPr>
      </w:pPr>
    </w:p>
    <w:p w14:paraId="522338C4" w14:textId="77777777" w:rsidR="004F240F" w:rsidRDefault="004F240F" w:rsidP="004F240F">
      <w:pPr>
        <w:spacing w:after="0" w:line="276" w:lineRule="auto"/>
        <w:jc w:val="both"/>
        <w:rPr>
          <w:rFonts w:ascii="Verdana" w:hAnsi="Verdana" w:cs="Arial"/>
          <w:noProof/>
          <w:lang w:val="es-ES_tradnl"/>
        </w:rPr>
      </w:pPr>
    </w:p>
    <w:p w14:paraId="2C459816" w14:textId="77777777" w:rsidR="004F240F" w:rsidRDefault="004F240F" w:rsidP="004F240F">
      <w:pPr>
        <w:spacing w:after="0" w:line="276" w:lineRule="auto"/>
        <w:jc w:val="both"/>
        <w:rPr>
          <w:rFonts w:ascii="Verdana" w:hAnsi="Verdana" w:cs="Arial"/>
          <w:noProof/>
          <w:lang w:val="es-ES_tradnl"/>
        </w:rPr>
      </w:pPr>
    </w:p>
    <w:p w14:paraId="04E85884" w14:textId="77777777" w:rsidR="004F240F" w:rsidRDefault="004F240F" w:rsidP="004F240F">
      <w:pPr>
        <w:spacing w:after="0" w:line="240" w:lineRule="auto"/>
        <w:rPr>
          <w:rFonts w:ascii="Verdana" w:hAnsi="Verdana" w:cs="Arial"/>
          <w:noProof/>
          <w:lang w:val="es-ES_tradnl"/>
        </w:rPr>
      </w:pPr>
    </w:p>
    <w:p w14:paraId="60986F3B" w14:textId="77777777" w:rsidR="004F240F" w:rsidRDefault="004F240F" w:rsidP="004F240F">
      <w:pPr>
        <w:spacing w:after="0" w:line="240" w:lineRule="auto"/>
        <w:rPr>
          <w:rFonts w:ascii="Verdana" w:hAnsi="Verdana" w:cs="Arial"/>
          <w:noProof/>
          <w:lang w:val="es-ES_tradnl"/>
        </w:rPr>
      </w:pPr>
    </w:p>
    <w:p w14:paraId="52F01BE0" w14:textId="77777777" w:rsidR="004F240F" w:rsidRDefault="004F240F" w:rsidP="004F240F">
      <w:pPr>
        <w:spacing w:after="0" w:line="240" w:lineRule="auto"/>
        <w:rPr>
          <w:rFonts w:ascii="Verdana" w:hAnsi="Verdana" w:cs="Arial"/>
          <w:noProof/>
          <w:lang w:val="es-ES_tradnl"/>
        </w:rPr>
      </w:pPr>
    </w:p>
    <w:p w14:paraId="6E3BE7EC" w14:textId="2FCB1207" w:rsidR="004F240F" w:rsidRPr="00960F72" w:rsidRDefault="004F240F" w:rsidP="004F240F">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0B3D46C4" w14:textId="1C7F6CA3" w:rsidR="004F240F" w:rsidRPr="00960F72" w:rsidRDefault="00DB76FA" w:rsidP="004F240F">
      <w:pPr>
        <w:spacing w:after="0" w:line="240" w:lineRule="auto"/>
        <w:jc w:val="both"/>
        <w:rPr>
          <w:rFonts w:ascii="Verdana" w:eastAsia="Calibri" w:hAnsi="Verdana" w:cs="Arial"/>
        </w:rPr>
      </w:pPr>
      <w:r w:rsidRPr="00DB76FA">
        <w:rPr>
          <w:rFonts w:ascii="Verdana" w:hAnsi="Verdana"/>
          <w:noProof/>
        </w:rPr>
        <w:drawing>
          <wp:anchor distT="0" distB="0" distL="114300" distR="114300" simplePos="0" relativeHeight="251658240" behindDoc="1" locked="0" layoutInCell="1" allowOverlap="1" wp14:anchorId="5AEDF68C" wp14:editId="3C903AB9">
            <wp:simplePos x="0" y="0"/>
            <wp:positionH relativeFrom="page">
              <wp:posOffset>4895850</wp:posOffset>
            </wp:positionH>
            <wp:positionV relativeFrom="paragraph">
              <wp:posOffset>124460</wp:posOffset>
            </wp:positionV>
            <wp:extent cx="2692400" cy="883920"/>
            <wp:effectExtent l="0" t="0" r="0" b="0"/>
            <wp:wrapTight wrapText="bothSides">
              <wp:wrapPolygon edited="0">
                <wp:start x="0" y="0"/>
                <wp:lineTo x="0" y="20948"/>
                <wp:lineTo x="21396" y="20948"/>
                <wp:lineTo x="21396" y="0"/>
                <wp:lineTo x="0" y="0"/>
              </wp:wrapPolygon>
            </wp:wrapTight>
            <wp:docPr id="201008075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080757"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692400" cy="883920"/>
                    </a:xfrm>
                    <a:prstGeom prst="rect">
                      <a:avLst/>
                    </a:prstGeom>
                  </pic:spPr>
                </pic:pic>
              </a:graphicData>
            </a:graphic>
            <wp14:sizeRelH relativeFrom="page">
              <wp14:pctWidth>0</wp14:pctWidth>
            </wp14:sizeRelH>
            <wp14:sizeRelV relativeFrom="page">
              <wp14:pctHeight>0</wp14:pctHeight>
            </wp14:sizeRelV>
          </wp:anchor>
        </w:drawing>
      </w:r>
    </w:p>
    <w:p w14:paraId="48D094C2" w14:textId="300F4310" w:rsidR="004F240F" w:rsidRPr="00A518F4" w:rsidRDefault="004F240F" w:rsidP="004F240F">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r>
        <w:rPr>
          <w:rFonts w:ascii="Verdana" w:eastAsia="Calibri" w:hAnsi="Verdana" w:cs="Arial"/>
          <w:lang w:eastAsia="es-ES"/>
        </w:rPr>
        <w:t>a</w:t>
      </w:r>
    </w:p>
    <w:p w14:paraId="04E7C23A" w14:textId="4FF29A40" w:rsidR="004F240F" w:rsidRPr="00A518F4" w:rsidRDefault="004F240F" w:rsidP="004F240F">
      <w:pPr>
        <w:spacing w:after="0" w:line="240" w:lineRule="auto"/>
        <w:jc w:val="both"/>
        <w:rPr>
          <w:rFonts w:ascii="Verdana" w:eastAsia="Calibri" w:hAnsi="Verdana" w:cs="Arial"/>
          <w:lang w:eastAsia="es-ES"/>
        </w:rPr>
      </w:pPr>
      <w:r>
        <w:rPr>
          <w:rFonts w:ascii="Verdana" w:eastAsia="Calibri" w:hAnsi="Verdana" w:cs="Arial"/>
          <w:b/>
          <w:bCs/>
          <w:lang w:eastAsia="es-ES"/>
        </w:rPr>
        <w:t>An</w:t>
      </w:r>
      <w:r w:rsidR="00CB72BF">
        <w:rPr>
          <w:rFonts w:ascii="Verdana" w:eastAsia="Calibri" w:hAnsi="Verdana" w:cs="Arial"/>
          <w:b/>
          <w:bCs/>
          <w:lang w:eastAsia="es-ES"/>
        </w:rPr>
        <w:t>a Lizeth Quintero Galvis</w:t>
      </w:r>
    </w:p>
    <w:p w14:paraId="4A12E630" w14:textId="19D79F56" w:rsidR="004F240F" w:rsidRPr="00A518F4" w:rsidRDefault="00CB72BF" w:rsidP="004F240F">
      <w:pPr>
        <w:spacing w:after="0" w:line="240" w:lineRule="auto"/>
        <w:jc w:val="both"/>
        <w:rPr>
          <w:rFonts w:ascii="Verdana" w:eastAsia="Calibri" w:hAnsi="Verdana" w:cs="Arial"/>
          <w:lang w:eastAsia="es-ES"/>
        </w:rPr>
      </w:pPr>
      <w:r>
        <w:rPr>
          <w:rFonts w:ascii="Verdana" w:hAnsi="Verdana"/>
        </w:rPr>
        <w:t>Quintana_1906@hotmail.com</w:t>
      </w:r>
    </w:p>
    <w:p w14:paraId="5215A557" w14:textId="77777777" w:rsidR="004F240F" w:rsidRPr="00A518F4" w:rsidRDefault="004F240F" w:rsidP="004F240F">
      <w:pPr>
        <w:spacing w:after="0" w:line="240" w:lineRule="auto"/>
        <w:rPr>
          <w:rFonts w:ascii="Verdana" w:eastAsia="Calibri" w:hAnsi="Verdana" w:cs="Arial"/>
          <w:b/>
          <w:bCs/>
          <w:lang w:eastAsia="es-ES"/>
        </w:rPr>
      </w:pPr>
      <w:r>
        <w:rPr>
          <w:rFonts w:ascii="Verdana" w:eastAsia="Calibri" w:hAnsi="Verdana" w:cs="Arial"/>
          <w:lang w:eastAsia="es-ES"/>
        </w:rPr>
        <w:t>Bogotá, Cundinamarca</w:t>
      </w:r>
    </w:p>
    <w:p w14:paraId="5434E904" w14:textId="5425C264" w:rsidR="004F240F" w:rsidRPr="00960F72" w:rsidRDefault="004F240F" w:rsidP="004F240F">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4F240F" w:rsidRPr="00960F72" w14:paraId="5A68891F" w14:textId="77777777" w:rsidTr="4102901C">
        <w:trPr>
          <w:trHeight w:val="190"/>
        </w:trPr>
        <w:tc>
          <w:tcPr>
            <w:tcW w:w="2355" w:type="dxa"/>
          </w:tcPr>
          <w:p w14:paraId="0CDC22A3" w14:textId="77777777" w:rsidR="004F240F" w:rsidRPr="00960F72" w:rsidRDefault="004F240F" w:rsidP="009B4DB8">
            <w:pPr>
              <w:jc w:val="both"/>
              <w:rPr>
                <w:rFonts w:ascii="Verdana" w:eastAsia="Calibri" w:hAnsi="Verdana" w:cs="Arial"/>
                <w:b/>
                <w:bCs/>
                <w:lang w:eastAsia="es-ES_tradnl"/>
              </w:rPr>
            </w:pPr>
          </w:p>
        </w:tc>
        <w:tc>
          <w:tcPr>
            <w:tcW w:w="6434" w:type="dxa"/>
          </w:tcPr>
          <w:p w14:paraId="74297511" w14:textId="6D88FE78" w:rsidR="004F240F" w:rsidRPr="00960F72" w:rsidRDefault="004F240F" w:rsidP="009B4DB8">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4</w:t>
            </w:r>
            <w:r w:rsidR="00CB72BF">
              <w:rPr>
                <w:rFonts w:ascii="Verdana" w:eastAsia="Calibri" w:hAnsi="Verdana" w:cs="Arial"/>
                <w:b/>
                <w:bCs/>
                <w:lang w:eastAsia="es-ES"/>
              </w:rPr>
              <w:t>58</w:t>
            </w:r>
            <w:r w:rsidRPr="00960F72">
              <w:rPr>
                <w:rFonts w:ascii="Verdana" w:eastAsia="Calibri" w:hAnsi="Verdana" w:cs="Arial"/>
                <w:b/>
                <w:bCs/>
                <w:lang w:eastAsia="es-ES"/>
              </w:rPr>
              <w:t xml:space="preserve"> de 2025</w:t>
            </w:r>
          </w:p>
          <w:p w14:paraId="757D13AB" w14:textId="77777777" w:rsidR="004F240F" w:rsidRPr="00960F72" w:rsidRDefault="004F240F" w:rsidP="009B4DB8">
            <w:pPr>
              <w:jc w:val="both"/>
              <w:rPr>
                <w:rFonts w:ascii="Verdana" w:eastAsia="Calibri" w:hAnsi="Verdana" w:cs="Arial"/>
                <w:b/>
                <w:bCs/>
                <w:lang w:eastAsia="es-ES"/>
              </w:rPr>
            </w:pPr>
          </w:p>
        </w:tc>
      </w:tr>
      <w:tr w:rsidR="004F240F" w:rsidRPr="00960F72" w14:paraId="7C636F42" w14:textId="77777777" w:rsidTr="4102901C">
        <w:trPr>
          <w:trHeight w:val="884"/>
        </w:trPr>
        <w:tc>
          <w:tcPr>
            <w:tcW w:w="2355" w:type="dxa"/>
          </w:tcPr>
          <w:p w14:paraId="776149CB" w14:textId="77777777" w:rsidR="004F240F" w:rsidRPr="00960F72" w:rsidRDefault="004F240F" w:rsidP="009B4DB8">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6A58E149" w14:textId="1C47678B" w:rsidR="004F240F" w:rsidRDefault="004F240F" w:rsidP="009B4DB8">
            <w:pPr>
              <w:jc w:val="both"/>
              <w:rPr>
                <w:rFonts w:ascii="Verdana" w:eastAsia="Calibri" w:hAnsi="Verdana" w:cs="Arial"/>
                <w:lang w:val="es-ES"/>
              </w:rPr>
            </w:pPr>
            <w:r w:rsidRPr="007C11D3">
              <w:rPr>
                <w:rFonts w:ascii="Verdana" w:eastAsia="Calibri" w:hAnsi="Verdana" w:cs="Arial"/>
                <w:lang w:val="es-ES" w:eastAsia="es-ES"/>
              </w:rPr>
              <w:t>LEY DE GARANTÍAS ELECTORALES ‒ Tipos de restricciones ‒ Ámbito temporal / LEY DE GARANTÍAS ELECTORALES ─ Prohibición ‒ Contratación directa ‒ Alcance – Excepciones / LEY DE GARANTÍAS</w:t>
            </w:r>
            <w:r w:rsidR="00497E62">
              <w:rPr>
                <w:rFonts w:ascii="Verdana" w:eastAsia="Calibri" w:hAnsi="Verdana" w:cs="Arial"/>
                <w:lang w:val="es-ES" w:eastAsia="es-ES"/>
              </w:rPr>
              <w:t xml:space="preserve"> </w:t>
            </w:r>
            <w:r w:rsidRPr="007C11D3">
              <w:rPr>
                <w:rFonts w:ascii="Verdana" w:eastAsia="Calibri" w:hAnsi="Verdana" w:cs="Arial"/>
                <w:lang w:val="es-ES" w:eastAsia="es-ES"/>
              </w:rPr>
              <w:t>ELECTORALES ‒ Prohibición del artículo 33 ‒</w:t>
            </w:r>
            <w:r w:rsidR="00497E62">
              <w:rPr>
                <w:rFonts w:ascii="Verdana" w:eastAsia="Calibri" w:hAnsi="Verdana" w:cs="Arial"/>
                <w:lang w:val="es-ES" w:eastAsia="es-ES"/>
              </w:rPr>
              <w:t xml:space="preserve"> </w:t>
            </w:r>
            <w:r w:rsidRPr="007C11D3">
              <w:rPr>
                <w:rFonts w:ascii="Verdana" w:eastAsia="Calibri" w:hAnsi="Verdana" w:cs="Arial"/>
                <w:lang w:val="es-ES" w:eastAsia="es-ES"/>
              </w:rPr>
              <w:t xml:space="preserve">Destinatarios </w:t>
            </w:r>
            <w:r w:rsidRPr="00263083">
              <w:rPr>
                <w:rFonts w:ascii="Verdana" w:eastAsia="Calibri" w:hAnsi="Verdana" w:cs="Arial"/>
                <w:lang w:val="es-ES" w:eastAsia="es-ES"/>
              </w:rPr>
              <w:t xml:space="preserve">/ </w:t>
            </w:r>
            <w:r w:rsidR="00497E62" w:rsidRPr="00497E62">
              <w:rPr>
                <w:rFonts w:ascii="Verdana" w:eastAsia="Calibri" w:hAnsi="Verdana" w:cs="Arial"/>
                <w:lang w:val="es-ES"/>
              </w:rPr>
              <w:t>POWER PURCHASE AGREEMENT</w:t>
            </w:r>
            <w:r w:rsidR="00497E62">
              <w:rPr>
                <w:rFonts w:ascii="Verdana" w:eastAsia="Calibri" w:hAnsi="Verdana" w:cs="Arial"/>
                <w:lang w:val="es-ES"/>
              </w:rPr>
              <w:t xml:space="preserve"> </w:t>
            </w:r>
            <w:r w:rsidR="00497E62" w:rsidRPr="00497E62">
              <w:rPr>
                <w:rFonts w:ascii="Verdana" w:eastAsia="Calibri" w:hAnsi="Verdana" w:cs="Arial"/>
                <w:lang w:val="es-ES"/>
              </w:rPr>
              <w:t>Definición – Concepto</w:t>
            </w:r>
          </w:p>
          <w:p w14:paraId="6EC7A720" w14:textId="77777777" w:rsidR="004F240F" w:rsidRPr="00960F72" w:rsidRDefault="004F240F" w:rsidP="009B4DB8">
            <w:pPr>
              <w:jc w:val="both"/>
              <w:rPr>
                <w:rFonts w:ascii="Verdana" w:eastAsia="Calibri" w:hAnsi="Verdana" w:cs="Arial"/>
                <w:lang w:eastAsia="es-ES"/>
              </w:rPr>
            </w:pPr>
          </w:p>
        </w:tc>
      </w:tr>
      <w:tr w:rsidR="004F240F" w:rsidRPr="00960F72" w14:paraId="69243CE9" w14:textId="77777777" w:rsidTr="4102901C">
        <w:tc>
          <w:tcPr>
            <w:tcW w:w="2355" w:type="dxa"/>
          </w:tcPr>
          <w:p w14:paraId="0DB021E7" w14:textId="77777777" w:rsidR="004F240F" w:rsidRPr="00960F72" w:rsidRDefault="004F240F" w:rsidP="009B4DB8">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39115630" w14:textId="4B672A48" w:rsidR="004F240F" w:rsidRPr="00960F72" w:rsidRDefault="004F240F" w:rsidP="009B4DB8">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00A5011C" w:rsidRPr="00A5011C">
              <w:rPr>
                <w:rFonts w:ascii="Verdana" w:eastAsia="Calibri" w:hAnsi="Verdana" w:cs="Arial"/>
                <w:lang w:eastAsia="es-ES_tradnl"/>
              </w:rPr>
              <w:t>1_2025_10_07_011177</w:t>
            </w:r>
          </w:p>
        </w:tc>
      </w:tr>
    </w:tbl>
    <w:p w14:paraId="2E41AFCE" w14:textId="77777777" w:rsidR="004F240F" w:rsidRPr="00960F72" w:rsidRDefault="004F240F" w:rsidP="004F240F">
      <w:pPr>
        <w:spacing w:after="0" w:line="240" w:lineRule="auto"/>
        <w:jc w:val="both"/>
        <w:rPr>
          <w:rFonts w:ascii="Verdana" w:eastAsia="Calibri" w:hAnsi="Verdana" w:cs="Arial"/>
          <w:lang w:eastAsia="es-ES_tradnl"/>
        </w:rPr>
      </w:pPr>
    </w:p>
    <w:p w14:paraId="290240AA" w14:textId="77777777" w:rsidR="004F240F" w:rsidRPr="00960F72" w:rsidRDefault="004F240F" w:rsidP="004F240F">
      <w:pPr>
        <w:spacing w:after="0" w:line="240" w:lineRule="auto"/>
        <w:jc w:val="both"/>
        <w:rPr>
          <w:rFonts w:ascii="Verdana" w:eastAsia="Calibri" w:hAnsi="Verdana" w:cs="Arial"/>
          <w:lang w:eastAsia="es-ES_tradnl"/>
        </w:rPr>
      </w:pPr>
    </w:p>
    <w:p w14:paraId="56777088" w14:textId="04E4629A" w:rsidR="004F240F" w:rsidRPr="00960F72" w:rsidRDefault="004F240F" w:rsidP="004F240F">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a </w:t>
      </w:r>
      <w:r w:rsidRPr="00960F72">
        <w:rPr>
          <w:rFonts w:ascii="Verdana" w:eastAsia="Calibri" w:hAnsi="Verdana" w:cs="Arial"/>
          <w:lang w:eastAsia="es-ES"/>
        </w:rPr>
        <w:t>señor</w:t>
      </w:r>
      <w:r>
        <w:rPr>
          <w:rFonts w:ascii="Verdana" w:eastAsia="Calibri" w:hAnsi="Verdana" w:cs="Arial"/>
          <w:lang w:eastAsia="es-ES"/>
        </w:rPr>
        <w:t xml:space="preserve">a </w:t>
      </w:r>
      <w:r w:rsidR="00A5011C">
        <w:rPr>
          <w:rFonts w:ascii="Verdana" w:eastAsia="Calibri" w:hAnsi="Verdana" w:cs="Arial"/>
          <w:lang w:eastAsia="es-ES"/>
        </w:rPr>
        <w:t>Quintero</w:t>
      </w:r>
      <w:r w:rsidRPr="00960F72">
        <w:rPr>
          <w:rFonts w:ascii="Verdana" w:eastAsia="Calibri" w:hAnsi="Verdana" w:cs="Arial"/>
          <w:lang w:eastAsia="es-ES"/>
        </w:rPr>
        <w:t xml:space="preserve">: </w:t>
      </w:r>
    </w:p>
    <w:p w14:paraId="3F24E2C7" w14:textId="77777777" w:rsidR="004F240F" w:rsidRPr="00960F72" w:rsidRDefault="004F240F" w:rsidP="004F240F">
      <w:pPr>
        <w:tabs>
          <w:tab w:val="left" w:pos="3768"/>
        </w:tabs>
        <w:spacing w:after="0" w:line="276" w:lineRule="auto"/>
        <w:jc w:val="both"/>
        <w:rPr>
          <w:rFonts w:ascii="Verdana" w:eastAsia="Calibri" w:hAnsi="Verdana" w:cs="Arial"/>
          <w:lang w:eastAsia="es-ES"/>
        </w:rPr>
      </w:pPr>
    </w:p>
    <w:p w14:paraId="051CD02D" w14:textId="31BBE3C6" w:rsidR="004F240F" w:rsidRPr="00960F72" w:rsidRDefault="004F240F" w:rsidP="004F240F">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0</w:t>
      </w:r>
      <w:r w:rsidR="00CB72BF">
        <w:rPr>
          <w:rFonts w:ascii="Verdana" w:eastAsia="Calibri" w:hAnsi="Verdana" w:cs="Arial"/>
          <w:lang w:eastAsia="es-ES"/>
        </w:rPr>
        <w:t>7</w:t>
      </w:r>
      <w:r w:rsidRPr="00960F72">
        <w:rPr>
          <w:rFonts w:ascii="Verdana" w:eastAsia="Calibri" w:hAnsi="Verdana" w:cs="Arial"/>
          <w:lang w:eastAsia="es-ES"/>
        </w:rPr>
        <w:t xml:space="preserve"> 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3D6B06B2" w14:textId="77777777" w:rsidR="004F240F" w:rsidRPr="00960F72" w:rsidRDefault="004F240F" w:rsidP="004F240F">
      <w:pPr>
        <w:spacing w:after="0" w:line="276" w:lineRule="auto"/>
        <w:jc w:val="both"/>
        <w:rPr>
          <w:rFonts w:ascii="Verdana" w:eastAsia="Calibri" w:hAnsi="Verdana" w:cs="Arial"/>
          <w:lang w:eastAsia="es-ES"/>
        </w:rPr>
      </w:pPr>
    </w:p>
    <w:p w14:paraId="4DECA4EB" w14:textId="59A4740A" w:rsidR="004F240F" w:rsidRDefault="004F240F" w:rsidP="004F240F">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00CB72BF" w:rsidRPr="00CB72BF">
        <w:rPr>
          <w:rFonts w:ascii="Verdana" w:eastAsia="Calibri" w:hAnsi="Verdana" w:cs="Arial"/>
          <w:sz w:val="20"/>
          <w:szCs w:val="20"/>
          <w:lang w:eastAsia="es-ES"/>
        </w:rPr>
        <w:t>En el marco de las competencias de la Agencia, solicito un concepto acerca Ley de Garantías y si bien es claro que los patrimonios autónomos también se encuentran cubiertos por la Ley de Garantías, específicamente quisiera saber en el caso de compras de proyectos de Soluciones Solares Fotovoltaicas, teniendo en cuenta que son únicos en la necesidad que prestan y en la ubicación a nivel nacional y teniendo en cuenta que han sido sometidos durante todo el 2025 a convocatoria, revisión de debida diligencia, pueden ser comprados en Ley de Garantías por el patrimonio autónomo?</w:t>
      </w:r>
      <w:r w:rsidRPr="002762D2">
        <w:rPr>
          <w:rFonts w:ascii="Verdana" w:eastAsia="Calibri" w:hAnsi="Verdana" w:cs="Arial"/>
          <w:sz w:val="20"/>
          <w:szCs w:val="20"/>
          <w:lang w:eastAsia="es-ES"/>
        </w:rPr>
        <w:t>.</w:t>
      </w:r>
      <w:r>
        <w:rPr>
          <w:rFonts w:ascii="Verdana" w:eastAsia="Calibri" w:hAnsi="Verdana" w:cs="Arial"/>
          <w:sz w:val="20"/>
          <w:szCs w:val="20"/>
          <w:lang w:eastAsia="es-ES"/>
        </w:rPr>
        <w:t>”</w:t>
      </w:r>
    </w:p>
    <w:p w14:paraId="0A7FA570" w14:textId="77777777" w:rsidR="004F240F" w:rsidRPr="00755387" w:rsidRDefault="004F240F" w:rsidP="004F240F">
      <w:pPr>
        <w:spacing w:after="0" w:line="276" w:lineRule="auto"/>
        <w:ind w:left="709" w:right="709"/>
        <w:jc w:val="both"/>
        <w:rPr>
          <w:rFonts w:ascii="Verdana" w:eastAsia="Calibri" w:hAnsi="Verdana" w:cs="Arial"/>
          <w:lang w:eastAsia="es-ES"/>
        </w:rPr>
      </w:pPr>
    </w:p>
    <w:p w14:paraId="5DFA79E6" w14:textId="77777777" w:rsidR="004F240F" w:rsidRPr="00960F72" w:rsidRDefault="004F240F" w:rsidP="004F240F">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960F72">
        <w:rPr>
          <w:rFonts w:ascii="Verdana" w:eastAsia="Calibri" w:hAnsi="Verdana" w:cs="Arial"/>
          <w:lang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6D235FF1" w14:textId="77777777" w:rsidR="004F240F" w:rsidRPr="00960F72" w:rsidRDefault="004F240F" w:rsidP="004F240F">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01249644" w14:textId="77777777" w:rsidR="004F240F" w:rsidRPr="00960F72" w:rsidRDefault="004F240F" w:rsidP="004F240F">
      <w:pPr>
        <w:spacing w:after="0" w:line="276" w:lineRule="auto"/>
        <w:ind w:firstLine="709"/>
        <w:jc w:val="both"/>
        <w:rPr>
          <w:rFonts w:ascii="Verdana" w:eastAsia="Calibri" w:hAnsi="Verdana" w:cs="Arial"/>
          <w:lang w:eastAsia="es-ES"/>
        </w:rPr>
      </w:pPr>
    </w:p>
    <w:p w14:paraId="73A56FF6" w14:textId="77777777" w:rsidR="004F240F" w:rsidRPr="00960F72"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2CC53897" w14:textId="77777777" w:rsidR="004F240F" w:rsidRPr="00960F72" w:rsidRDefault="004F240F" w:rsidP="004F240F">
      <w:pPr>
        <w:tabs>
          <w:tab w:val="left" w:pos="426"/>
        </w:tabs>
        <w:spacing w:after="0" w:line="276" w:lineRule="auto"/>
        <w:jc w:val="both"/>
        <w:rPr>
          <w:rFonts w:ascii="Verdana" w:eastAsia="Century Gothic" w:hAnsi="Verdana" w:cs="Century Gothic"/>
        </w:rPr>
      </w:pPr>
    </w:p>
    <w:p w14:paraId="2518C06A" w14:textId="5D89AF57" w:rsidR="004F240F" w:rsidRPr="00BE7F01" w:rsidRDefault="004F240F" w:rsidP="004F240F">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00CB72BF" w:rsidRPr="00CB72BF">
        <w:rPr>
          <w:rFonts w:ascii="Verdana" w:eastAsia="Century Gothic" w:hAnsi="Verdana" w:cs="Century Gothic"/>
        </w:rPr>
        <w:t>¿Es jurídicamente viable que un patrimonio autónomo, durante la vigencia de la Ley de Garantías Electorales, adquiera proyectos de soluciones solares fotovoltaicas que</w:t>
      </w:r>
      <w:r w:rsidR="00C40276">
        <w:rPr>
          <w:rFonts w:ascii="Verdana" w:eastAsia="Century Gothic" w:hAnsi="Verdana" w:cs="Century Gothic"/>
        </w:rPr>
        <w:t xml:space="preserve"> fueron</w:t>
      </w:r>
      <w:r w:rsidR="00CB72BF" w:rsidRPr="00CB72BF">
        <w:rPr>
          <w:rFonts w:ascii="Verdana" w:eastAsia="Century Gothic" w:hAnsi="Verdana" w:cs="Century Gothic"/>
        </w:rPr>
        <w:t xml:space="preserve"> sometidos a convocatoria y revisión de debida diligencia</w:t>
      </w:r>
      <w:r w:rsidR="00C40276">
        <w:rPr>
          <w:rFonts w:ascii="Verdana" w:eastAsia="Century Gothic" w:hAnsi="Verdana" w:cs="Century Gothic"/>
        </w:rPr>
        <w:t xml:space="preserve"> y </w:t>
      </w:r>
      <w:r w:rsidR="00CB72BF" w:rsidRPr="00CB72BF">
        <w:rPr>
          <w:rFonts w:ascii="Verdana" w:eastAsia="Century Gothic" w:hAnsi="Verdana" w:cs="Century Gothic"/>
        </w:rPr>
        <w:t>cuentan con un único proveedor por la naturaleza específica de la necesidad y su ubicación a nivel nacional?</w:t>
      </w:r>
      <w:r w:rsidR="00CB72BF">
        <w:rPr>
          <w:rFonts w:ascii="Verdana" w:eastAsia="Century Gothic" w:hAnsi="Verdana" w:cs="Century Gothic"/>
        </w:rPr>
        <w:t xml:space="preserve"> </w:t>
      </w:r>
    </w:p>
    <w:p w14:paraId="419A67E4" w14:textId="77777777" w:rsidR="004F240F" w:rsidRPr="00960F72" w:rsidRDefault="004F240F" w:rsidP="004F240F">
      <w:pPr>
        <w:spacing w:after="0" w:line="276" w:lineRule="auto"/>
        <w:jc w:val="both"/>
        <w:rPr>
          <w:rFonts w:ascii="Verdana" w:eastAsia="Century Gothic" w:hAnsi="Verdana" w:cs="Century Gothic"/>
        </w:rPr>
      </w:pPr>
    </w:p>
    <w:p w14:paraId="5B90774F" w14:textId="77777777" w:rsidR="004F240F" w:rsidRPr="00960F72"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503DF79A" w14:textId="77777777" w:rsidR="004F240F" w:rsidRPr="00960F72" w:rsidRDefault="004F240F" w:rsidP="004F240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F240F" w:rsidRPr="00960F72" w14:paraId="675FD6CE" w14:textId="77777777" w:rsidTr="009B4DB8">
        <w:tc>
          <w:tcPr>
            <w:tcW w:w="8828" w:type="dxa"/>
          </w:tcPr>
          <w:p w14:paraId="451D4AA2" w14:textId="1B1D649F" w:rsidR="0043481D" w:rsidRPr="0043481D" w:rsidRDefault="0043481D" w:rsidP="0043481D">
            <w:pPr>
              <w:spacing w:after="120" w:line="276" w:lineRule="auto"/>
              <w:jc w:val="both"/>
              <w:rPr>
                <w:rFonts w:ascii="Verdana" w:hAnsi="Verdana"/>
              </w:rPr>
            </w:pPr>
            <w:r>
              <w:rPr>
                <w:rFonts w:ascii="Verdana" w:hAnsi="Verdana"/>
              </w:rPr>
              <w:t xml:space="preserve"> </w:t>
            </w:r>
            <w:r w:rsidR="00AA76EF">
              <w:rPr>
                <w:rFonts w:ascii="Verdana" w:hAnsi="Verdana"/>
              </w:rPr>
              <w:t xml:space="preserve">       </w:t>
            </w:r>
            <w:r w:rsidRPr="0043481D">
              <w:rPr>
                <w:rFonts w:ascii="Verdana" w:hAnsi="Verdana"/>
              </w:rPr>
              <w:t>De acuerdo con la interpretación de las normas generales del sistema de compras y contratación pública, y sin perjuicio de que cada entidad determine la viabilidad técnica, jurídica y financiera de celebrar un contrato específico, la Ley 996 de 2005 establece dos (2) tipos de restricciones en materia de contratación que deben observarse de manera concurrente.</w:t>
            </w:r>
          </w:p>
          <w:p w14:paraId="0FC4FECC" w14:textId="77777777" w:rsidR="0043481D" w:rsidRPr="0043481D" w:rsidRDefault="0043481D" w:rsidP="0043481D">
            <w:pPr>
              <w:spacing w:after="120" w:line="276" w:lineRule="auto"/>
              <w:jc w:val="both"/>
              <w:rPr>
                <w:rFonts w:ascii="Verdana" w:hAnsi="Verdana"/>
              </w:rPr>
            </w:pPr>
            <w:r w:rsidRPr="0043481D">
              <w:rPr>
                <w:rFonts w:ascii="Verdana" w:hAnsi="Verdana"/>
              </w:rPr>
              <w:t xml:space="preserve">En primer lugar, el artículo 33 prohíbe la contratación directa dentro de los cuatro (4) meses anteriores a las elecciones presidenciales, salvo las excepciones expresamente previstas en el inciso segundo del mismo artículo, </w:t>
            </w:r>
            <w:r w:rsidRPr="0043481D">
              <w:rPr>
                <w:rFonts w:ascii="Verdana" w:hAnsi="Verdana"/>
              </w:rPr>
              <w:lastRenderedPageBreak/>
              <w:t>relacionadas con defensa y seguridad del Estado, crédito público, emergencias, reconstrucción de infraestructura y servicios sanitarios. Si se llegare a realizar segunda vuelta electoral, la restricción se extiende hasta la fecha de dicha jornada, de conformidad con el artículo 190 de la Constitución Política.</w:t>
            </w:r>
          </w:p>
          <w:p w14:paraId="136F98B3" w14:textId="4258D276" w:rsidR="0043481D" w:rsidRPr="0043481D" w:rsidRDefault="009F3C96" w:rsidP="0043481D">
            <w:pPr>
              <w:spacing w:after="120" w:line="276" w:lineRule="auto"/>
              <w:jc w:val="both"/>
              <w:rPr>
                <w:rFonts w:ascii="Verdana" w:hAnsi="Verdana"/>
              </w:rPr>
            </w:pPr>
            <w:r>
              <w:rPr>
                <w:rFonts w:ascii="Verdana" w:hAnsi="Verdana"/>
              </w:rPr>
              <w:t xml:space="preserve">       </w:t>
            </w:r>
            <w:r w:rsidR="0043481D" w:rsidRPr="0043481D">
              <w:rPr>
                <w:rFonts w:ascii="Verdana" w:hAnsi="Verdana"/>
              </w:rPr>
              <w:t>En segundo lugar, el parágrafo del artículo 38 establece una prohibición aplicable a cualquier tipo de contienda electoral, consistente en que los gobernadores, alcaldes y directivos de entidades descentralizadas no pueden celebrar convenios interadministrativos que impliquen ejecución de recursos públicos dentro de los cuatro (4) meses anteriores a las respectivas elecciones.</w:t>
            </w:r>
          </w:p>
          <w:p w14:paraId="3B41D488" w14:textId="477D43B5" w:rsidR="0043481D" w:rsidRPr="0043481D" w:rsidRDefault="009F3C96" w:rsidP="0043481D">
            <w:pPr>
              <w:spacing w:after="120" w:line="276" w:lineRule="auto"/>
              <w:jc w:val="both"/>
              <w:rPr>
                <w:rFonts w:ascii="Verdana" w:hAnsi="Verdana"/>
              </w:rPr>
            </w:pPr>
            <w:r>
              <w:rPr>
                <w:rFonts w:ascii="Verdana" w:hAnsi="Verdana"/>
              </w:rPr>
              <w:t xml:space="preserve">       </w:t>
            </w:r>
            <w:r w:rsidR="0043481D" w:rsidRPr="0043481D">
              <w:rPr>
                <w:rFonts w:ascii="Verdana" w:hAnsi="Verdana"/>
              </w:rPr>
              <w:t>Ambas restricciones son concurrentes, por lo que durante el período preelectoral correspondiente a las elecciones presidenciales deben observarse tanto las limitaciones del artículo 33, con sus excepciones, como las del parágrafo del artículo 38. Dichas disposiciones aplican a todas las entidades que administren recursos públicos, incluidas las que lo hagan a través de patrimonios autónomos constituidos mediante contratos de fiducia, en la medida en que estos instrumentos actúan como mandatarios del Estado para la ejecución de recursos públicos.</w:t>
            </w:r>
          </w:p>
          <w:p w14:paraId="67834683" w14:textId="6BE55ACD" w:rsidR="0043481D" w:rsidRPr="0043481D" w:rsidRDefault="009F3C96" w:rsidP="0043481D">
            <w:pPr>
              <w:spacing w:after="120" w:line="276" w:lineRule="auto"/>
              <w:jc w:val="both"/>
              <w:rPr>
                <w:rFonts w:ascii="Verdana" w:hAnsi="Verdana"/>
              </w:rPr>
            </w:pPr>
            <w:r>
              <w:rPr>
                <w:rFonts w:ascii="Verdana" w:hAnsi="Verdana"/>
              </w:rPr>
              <w:t xml:space="preserve">         </w:t>
            </w:r>
            <w:r w:rsidR="006C7258">
              <w:rPr>
                <w:rFonts w:ascii="Verdana" w:hAnsi="Verdana"/>
              </w:rPr>
              <w:t xml:space="preserve">Precisado lo anterior, y </w:t>
            </w:r>
            <w:r w:rsidR="0043481D" w:rsidRPr="0043481D">
              <w:rPr>
                <w:rFonts w:ascii="Verdana" w:hAnsi="Verdana"/>
              </w:rPr>
              <w:t>frente al problema jurídico planteado, los patrimonios autónomos también se encuentran cobijados por las restricciones de la Ley de Garantías Electorales, en tanto son mecanismos de administración fiduciaria de recursos públicos, sin que su naturaleza jurídica privada los exonere de la aplicación de las normas que limitan la contratación en época electoral.</w:t>
            </w:r>
          </w:p>
          <w:p w14:paraId="3234F904" w14:textId="5E1696FD" w:rsidR="0043481D" w:rsidRPr="0043481D" w:rsidRDefault="006C7258" w:rsidP="0043481D">
            <w:pPr>
              <w:spacing w:after="120" w:line="276" w:lineRule="auto"/>
              <w:jc w:val="both"/>
              <w:rPr>
                <w:rFonts w:ascii="Verdana" w:hAnsi="Verdana"/>
              </w:rPr>
            </w:pPr>
            <w:r>
              <w:rPr>
                <w:rFonts w:ascii="Verdana" w:hAnsi="Verdana"/>
              </w:rPr>
              <w:t xml:space="preserve">        </w:t>
            </w:r>
            <w:r w:rsidR="0043481D" w:rsidRPr="0043481D">
              <w:rPr>
                <w:rFonts w:ascii="Verdana" w:hAnsi="Verdana"/>
              </w:rPr>
              <w:t xml:space="preserve">Por lo tanto, si la adquisición de proyectos de soluciones solares fotovoltaicas </w:t>
            </w:r>
            <w:proofErr w:type="gramStart"/>
            <w:r w:rsidR="0043481D" w:rsidRPr="0043481D">
              <w:rPr>
                <w:rFonts w:ascii="Verdana" w:hAnsi="Verdana"/>
              </w:rPr>
              <w:t>se enmarca dentro de</w:t>
            </w:r>
            <w:proofErr w:type="gramEnd"/>
            <w:r w:rsidR="0043481D" w:rsidRPr="0043481D">
              <w:rPr>
                <w:rFonts w:ascii="Verdana" w:hAnsi="Verdana"/>
              </w:rPr>
              <w:t xml:space="preserve"> una modalidad de contratación directa, el proceso se encuentra sujeto a las restricciones del artículo 33 de la Ley 996 de 2005, razón por la cual solo podrá adelantarse mediante convocatoria pública, que garantice la pluralidad de oferentes y el cumplimiento de los principios de transparencia y selección objetiva.</w:t>
            </w:r>
          </w:p>
          <w:p w14:paraId="54A55FFA" w14:textId="6970AE38" w:rsidR="004F240F" w:rsidRPr="00AA76EF" w:rsidRDefault="006C7258" w:rsidP="006C7258">
            <w:pPr>
              <w:spacing w:after="120" w:line="276" w:lineRule="auto"/>
              <w:jc w:val="both"/>
              <w:rPr>
                <w:rFonts w:ascii="Verdana" w:hAnsi="Verdana"/>
              </w:rPr>
            </w:pPr>
            <w:r>
              <w:rPr>
                <w:rFonts w:ascii="Verdana" w:hAnsi="Verdana"/>
              </w:rPr>
              <w:t xml:space="preserve">        </w:t>
            </w:r>
            <w:r w:rsidR="0043481D" w:rsidRPr="0043481D">
              <w:rPr>
                <w:rFonts w:ascii="Verdana" w:hAnsi="Verdana"/>
              </w:rPr>
              <w:t xml:space="preserve">Finalmente, debe advertirse que el análisis de viabilidad jurídica frente a un proceso contractual particular corresponde a los responsables </w:t>
            </w:r>
            <w:proofErr w:type="gramStart"/>
            <w:r w:rsidR="0043481D" w:rsidRPr="0043481D">
              <w:rPr>
                <w:rFonts w:ascii="Verdana" w:hAnsi="Verdana"/>
              </w:rPr>
              <w:t>del mismo</w:t>
            </w:r>
            <w:proofErr w:type="gramEnd"/>
            <w:r w:rsidR="0043481D" w:rsidRPr="0043481D">
              <w:rPr>
                <w:rFonts w:ascii="Verdana" w:hAnsi="Verdana"/>
              </w:rPr>
              <w:t xml:space="preserve"> dentro de la entidad o patrimonio autónomo, conforme a la competencia que les asista. Por tanto, las consideraciones aquí expuestas constituyen una </w:t>
            </w:r>
            <w:r w:rsidR="0043481D" w:rsidRPr="0043481D">
              <w:rPr>
                <w:rFonts w:ascii="Verdana" w:hAnsi="Verdana"/>
              </w:rPr>
              <w:lastRenderedPageBreak/>
              <w:t>interpretación general de las normas aplicables y no un pronunciamiento sobre casos concretos.</w:t>
            </w:r>
          </w:p>
        </w:tc>
      </w:tr>
    </w:tbl>
    <w:p w14:paraId="62C086A2" w14:textId="77777777" w:rsidR="004F240F" w:rsidRDefault="004F240F" w:rsidP="004F240F">
      <w:pPr>
        <w:tabs>
          <w:tab w:val="left" w:pos="142"/>
          <w:tab w:val="left" w:pos="284"/>
        </w:tabs>
        <w:spacing w:after="0" w:line="276" w:lineRule="auto"/>
        <w:jc w:val="both"/>
        <w:rPr>
          <w:rFonts w:ascii="Verdana" w:eastAsia="Century Gothic" w:hAnsi="Verdana" w:cs="Century Gothic"/>
          <w:b/>
          <w:bCs/>
        </w:rPr>
      </w:pPr>
    </w:p>
    <w:p w14:paraId="0EF9E0FA" w14:textId="77777777" w:rsidR="004F240F" w:rsidRPr="00960F72" w:rsidRDefault="004F240F" w:rsidP="004F240F">
      <w:pPr>
        <w:tabs>
          <w:tab w:val="left" w:pos="142"/>
          <w:tab w:val="left" w:pos="284"/>
        </w:tabs>
        <w:spacing w:after="0" w:line="276" w:lineRule="auto"/>
        <w:jc w:val="both"/>
        <w:rPr>
          <w:rFonts w:ascii="Verdana" w:eastAsia="Century Gothic" w:hAnsi="Verdana" w:cs="Century Gothic"/>
          <w:b/>
          <w:bCs/>
        </w:rPr>
      </w:pPr>
    </w:p>
    <w:p w14:paraId="23388E6B" w14:textId="77777777" w:rsidR="004F240F" w:rsidRDefault="004F240F" w:rsidP="004F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4BBC702B" w14:textId="77777777" w:rsidR="004F240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1727FE89" w14:textId="77777777" w:rsidR="004F240F" w:rsidRDefault="004F240F" w:rsidP="004F240F">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745C8A3C" w14:textId="77777777" w:rsidR="004F240F" w:rsidRDefault="004F240F" w:rsidP="004F240F">
      <w:pPr>
        <w:spacing w:after="0" w:line="276" w:lineRule="auto"/>
        <w:jc w:val="both"/>
        <w:rPr>
          <w:rFonts w:ascii="Verdana" w:eastAsia="Calibri" w:hAnsi="Verdana" w:cs="Arial"/>
          <w:lang w:val="es-ES"/>
        </w:rPr>
      </w:pPr>
    </w:p>
    <w:p w14:paraId="1D30100B" w14:textId="77777777" w:rsidR="004F240F" w:rsidRPr="00F10E52" w:rsidRDefault="004F240F" w:rsidP="004F240F">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w:t>
      </w:r>
      <w:r>
        <w:rPr>
          <w:rFonts w:ascii="Verdana" w:eastAsia="Calibri" w:hAnsi="Verdana" w:cs="Arial"/>
          <w:bCs/>
        </w:rPr>
        <w:t>,</w:t>
      </w:r>
      <w:r w:rsidRPr="00F10E52">
        <w:rPr>
          <w:rFonts w:ascii="Verdana" w:eastAsia="Calibri" w:hAnsi="Verdana" w:cs="Arial"/>
          <w:bCs/>
        </w:rPr>
        <w:t xml:space="preserve"> en cuanto</w:t>
      </w:r>
      <w:r>
        <w:rPr>
          <w:rFonts w:ascii="Verdana" w:eastAsia="Calibri" w:hAnsi="Verdana" w:cs="Arial"/>
          <w:bCs/>
        </w:rPr>
        <w:t>,</w:t>
      </w:r>
      <w:r w:rsidRPr="00F10E52">
        <w:rPr>
          <w:rFonts w:ascii="Verdana" w:eastAsia="Calibri" w:hAnsi="Verdana" w:cs="Arial"/>
          <w:bCs/>
        </w:rPr>
        <w:t xml:space="preserve"> a aspectos políticos 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57E42D5E" w14:textId="77777777" w:rsidR="004F240F" w:rsidRDefault="004F240F" w:rsidP="004F240F">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67AD51E7" w14:textId="77777777" w:rsidR="004F240F" w:rsidRPr="00F10E52" w:rsidRDefault="004F240F" w:rsidP="004F240F">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F2BF430" w14:textId="77777777" w:rsidR="004F240F" w:rsidRDefault="004F240F" w:rsidP="004F240F">
      <w:pPr>
        <w:spacing w:after="0" w:line="276" w:lineRule="auto"/>
        <w:ind w:left="709" w:right="709"/>
        <w:jc w:val="both"/>
        <w:rPr>
          <w:rFonts w:ascii="Verdana" w:eastAsia="Times New Roman" w:hAnsi="Verdana" w:cs="Arial"/>
          <w:lang w:val="es-ES" w:eastAsia="es-CO"/>
        </w:rPr>
      </w:pPr>
    </w:p>
    <w:p w14:paraId="5443DD82" w14:textId="77777777" w:rsidR="004F240F" w:rsidRPr="003D0447" w:rsidRDefault="004F240F" w:rsidP="004F240F">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A9598AC"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80ECD28" w14:textId="77777777" w:rsidR="004F240F" w:rsidRPr="00143D05" w:rsidRDefault="004F240F" w:rsidP="004F240F">
      <w:pPr>
        <w:spacing w:after="0" w:line="240" w:lineRule="auto"/>
        <w:ind w:left="709" w:right="709"/>
        <w:jc w:val="both"/>
        <w:rPr>
          <w:rFonts w:ascii="Verdana" w:eastAsia="Times New Roman" w:hAnsi="Verdana" w:cs="Arial"/>
          <w:bCs/>
          <w:sz w:val="20"/>
          <w:szCs w:val="20"/>
          <w:lang w:eastAsia="es-CO"/>
        </w:rPr>
      </w:pPr>
    </w:p>
    <w:p w14:paraId="1AE16D19" w14:textId="77777777" w:rsidR="004F240F" w:rsidRPr="003D0447" w:rsidRDefault="004F240F" w:rsidP="004F240F">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55230B55" w14:textId="77777777" w:rsidR="004F240F" w:rsidRDefault="004F240F" w:rsidP="004F240F">
      <w:pPr>
        <w:spacing w:after="0" w:line="276" w:lineRule="auto"/>
        <w:ind w:firstLine="709"/>
        <w:jc w:val="both"/>
        <w:rPr>
          <w:rFonts w:ascii="Verdana" w:eastAsia="Times New Roman" w:hAnsi="Verdana" w:cs="Arial"/>
          <w:bCs/>
          <w:lang w:eastAsia="es-CO"/>
        </w:rPr>
      </w:pPr>
      <w:bookmarkStart w:id="0" w:name="_Hlk78818186"/>
    </w:p>
    <w:p w14:paraId="3C769F02" w14:textId="77777777" w:rsidR="004F240F" w:rsidRDefault="004F240F" w:rsidP="004F240F">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0"/>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2DBEF57B" w14:textId="77777777" w:rsidR="004F240F" w:rsidRPr="00F10E52" w:rsidRDefault="004F240F" w:rsidP="004F240F">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11DC3CCA" w14:textId="77777777" w:rsidR="004F240F" w:rsidRPr="00F10E52" w:rsidRDefault="004F240F" w:rsidP="004F240F">
      <w:pPr>
        <w:spacing w:after="0" w:line="276" w:lineRule="auto"/>
        <w:ind w:firstLine="709"/>
        <w:jc w:val="both"/>
        <w:rPr>
          <w:rFonts w:ascii="Verdana" w:eastAsia="Times New Roman" w:hAnsi="Verdana" w:cs="Arial"/>
          <w:bCs/>
          <w:lang w:eastAsia="es-CO"/>
        </w:rPr>
      </w:pPr>
    </w:p>
    <w:p w14:paraId="4914C156"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C49E3AC"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p>
    <w:p w14:paraId="79B018BE"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73B23A5D"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p>
    <w:p w14:paraId="1776000B" w14:textId="77777777" w:rsidR="004F240F" w:rsidRPr="00F10E52" w:rsidRDefault="004F240F" w:rsidP="004F240F">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1"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
    </w:p>
    <w:p w14:paraId="24EC5C05" w14:textId="77777777" w:rsidR="004F240F" w:rsidRPr="00F10E52" w:rsidRDefault="004F240F" w:rsidP="004F240F">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xml:space="preserve">,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1A93043C" w14:textId="77777777" w:rsidR="004F240F" w:rsidRDefault="004F240F" w:rsidP="004F240F">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1516322A" w14:textId="77777777" w:rsidR="004F240F" w:rsidRPr="00F10E52" w:rsidRDefault="004F240F" w:rsidP="004F240F">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0F8F29DC" w14:textId="77777777" w:rsidR="004F240F" w:rsidRPr="003D0447" w:rsidRDefault="004F240F" w:rsidP="004F240F">
      <w:pPr>
        <w:widowControl w:val="0"/>
        <w:autoSpaceDE w:val="0"/>
        <w:autoSpaceDN w:val="0"/>
        <w:spacing w:after="0" w:line="276" w:lineRule="auto"/>
        <w:ind w:left="709" w:right="709"/>
        <w:jc w:val="both"/>
        <w:rPr>
          <w:rFonts w:ascii="Verdana" w:eastAsia="Arial" w:hAnsi="Verdana" w:cs="Arial"/>
          <w:lang w:val="es-ES" w:eastAsia="es-ES" w:bidi="es-ES"/>
        </w:rPr>
      </w:pPr>
    </w:p>
    <w:p w14:paraId="0245A408" w14:textId="77777777" w:rsidR="004F240F" w:rsidRPr="009B20C5" w:rsidRDefault="004F240F" w:rsidP="004F240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2" w:name="_Hlk76109421"/>
      <w:r w:rsidRPr="48E0C270">
        <w:rPr>
          <w:rFonts w:ascii="Verdana" w:eastAsia="Arial" w:hAnsi="Verdana" w:cs="Arial"/>
          <w:sz w:val="20"/>
          <w:szCs w:val="20"/>
          <w:lang w:eastAsia="es-ES" w:bidi="es-ES"/>
        </w:rPr>
        <w:t>se integran parcialmente</w:t>
      </w:r>
      <w:bookmarkEnd w:id="2"/>
      <w:r w:rsidRPr="48E0C270">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48E0C270">
        <w:rPr>
          <w:rFonts w:ascii="Verdana" w:eastAsia="Arial" w:hAnsi="Verdana" w:cs="Arial"/>
          <w:sz w:val="20"/>
          <w:szCs w:val="20"/>
          <w:lang w:eastAsia="es-ES" w:bidi="es-ES"/>
        </w:rPr>
        <w:t>Presidente</w:t>
      </w:r>
      <w:proofErr w:type="gramEnd"/>
      <w:r w:rsidRPr="48E0C270">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8"/>
      </w:r>
    </w:p>
    <w:p w14:paraId="44B288D8" w14:textId="77777777" w:rsidR="004F240F" w:rsidRDefault="004F240F" w:rsidP="004F240F">
      <w:pPr>
        <w:spacing w:after="0" w:line="276" w:lineRule="auto"/>
        <w:ind w:firstLine="709"/>
        <w:jc w:val="both"/>
        <w:rPr>
          <w:rFonts w:ascii="Verdana" w:eastAsia="Arial" w:hAnsi="Verdana" w:cs="Arial"/>
          <w:lang w:val="es-ES" w:eastAsia="es-ES" w:bidi="es-ES"/>
        </w:rPr>
      </w:pPr>
    </w:p>
    <w:p w14:paraId="10389A52" w14:textId="77777777" w:rsidR="004F240F" w:rsidRPr="00F10E52" w:rsidRDefault="004F240F" w:rsidP="004F240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3" w:name="_Hlk99438241"/>
      <w:r w:rsidRPr="00F10E52">
        <w:rPr>
          <w:rFonts w:ascii="Verdana" w:eastAsia="Arial" w:hAnsi="Verdana" w:cs="Arial"/>
          <w:lang w:val="es-ES" w:eastAsia="es-ES" w:bidi="es-ES"/>
        </w:rPr>
        <w:t xml:space="preserve">, </w:t>
      </w:r>
      <w:bookmarkStart w:id="4" w:name="_Hlk77236420"/>
      <w:bookmarkStart w:id="5" w:name="_Hlk78818435"/>
      <w:bookmarkStart w:id="6"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w:t>
      </w:r>
      <w:r w:rsidRPr="00F10E52">
        <w:rPr>
          <w:rFonts w:ascii="Verdana" w:eastAsia="Arial" w:hAnsi="Verdana" w:cs="Arial"/>
          <w:lang w:val="es-ES" w:eastAsia="es-ES" w:bidi="es-ES"/>
        </w:rPr>
        <w:lastRenderedPageBreak/>
        <w:t xml:space="preserve">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4"/>
    </w:p>
    <w:bookmarkEnd w:id="3"/>
    <w:bookmarkEnd w:id="5"/>
    <w:p w14:paraId="6684E9B8" w14:textId="758C815D" w:rsidR="004F240F" w:rsidRPr="00F10E52" w:rsidRDefault="004F240F" w:rsidP="004F240F">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bookmarkEnd w:id="6"/>
    <w:p w14:paraId="703B015A" w14:textId="77777777" w:rsidR="004F240F" w:rsidRPr="003D0447" w:rsidRDefault="004F240F" w:rsidP="004F240F">
      <w:pPr>
        <w:spacing w:after="120" w:line="276" w:lineRule="auto"/>
        <w:ind w:firstLine="709"/>
        <w:jc w:val="both"/>
        <w:rPr>
          <w:rFonts w:ascii="Verdana" w:hAnsi="Verdana" w:cs="Arial"/>
          <w:b/>
          <w:color w:val="000000" w:themeColor="text1"/>
          <w:lang w:eastAsia="es-ES_tradnl"/>
        </w:rPr>
      </w:pPr>
      <w:r w:rsidRPr="003D0447">
        <w:rPr>
          <w:rFonts w:ascii="Verdana" w:hAnsi="Verdana" w:cs="Arial"/>
          <w:bCs/>
          <w:color w:val="000000"/>
          <w:lang w:val="es-ES" w:eastAsia="es-CO"/>
        </w:rPr>
        <w:t xml:space="preserve">Teniendo en cuenta la consulta planteada, </w:t>
      </w:r>
      <w:r w:rsidRPr="003D0447">
        <w:rPr>
          <w:rFonts w:ascii="Verdana" w:hAnsi="Verdana" w:cs="Arial"/>
          <w:bCs/>
          <w:color w:val="000000"/>
          <w:lang w:eastAsia="es-CO"/>
        </w:rPr>
        <w:t>es importante analizar las restricciones aplicables a cada una de estas elecciones, pues presentan importantes diferencias, como su fundamento jurídico. Con esa finalidad, en primer lugar, se analizarán las restricciones aplicables frente a las elecciones presidenciales, y, posteriormente, las referentes a los demás cargos de elección popular.</w:t>
      </w:r>
    </w:p>
    <w:p w14:paraId="22AFD8ED" w14:textId="77777777" w:rsidR="004F240F" w:rsidRPr="00F10E52" w:rsidRDefault="004F240F" w:rsidP="004F240F">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En primer lugar, e</w:t>
      </w:r>
      <w:r w:rsidRPr="00F10E52">
        <w:rPr>
          <w:rFonts w:ascii="Verdana" w:eastAsia="Times New Roman" w:hAnsi="Verdana" w:cs="Arial"/>
          <w:bCs/>
          <w:lang w:eastAsia="x-none"/>
        </w:rPr>
        <w:t xml:space="preserve">l ámbito material de la prohibición contenida </w:t>
      </w:r>
      <w:bookmarkStart w:id="7" w:name="_Hlk75628761"/>
      <w:r w:rsidRPr="00F10E52">
        <w:rPr>
          <w:rFonts w:ascii="Verdana" w:eastAsia="Times New Roman" w:hAnsi="Verdana" w:cs="Arial"/>
          <w:bCs/>
          <w:lang w:eastAsia="x-none"/>
        </w:rPr>
        <w:t xml:space="preserve">en el artículo 33 de la </w:t>
      </w:r>
      <w:r>
        <w:rPr>
          <w:rFonts w:ascii="Verdana" w:eastAsia="Times New Roman" w:hAnsi="Verdana" w:cs="Arial"/>
          <w:bCs/>
          <w:lang w:eastAsia="x-none"/>
        </w:rPr>
        <w:t>L</w:t>
      </w:r>
      <w:r w:rsidRPr="00F10E52">
        <w:rPr>
          <w:rFonts w:ascii="Verdana" w:eastAsia="Times New Roman" w:hAnsi="Verdana" w:cs="Arial"/>
          <w:bCs/>
          <w:lang w:eastAsia="x-none"/>
        </w:rPr>
        <w:t xml:space="preserve">ey 996 de 2005 </w:t>
      </w:r>
      <w:bookmarkEnd w:id="7"/>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4F21C00F" w14:textId="77777777" w:rsidR="004F240F" w:rsidRPr="00F10E52" w:rsidRDefault="004F240F" w:rsidP="004F240F">
      <w:pPr>
        <w:spacing w:after="0" w:line="276" w:lineRule="auto"/>
        <w:ind w:left="708" w:right="709"/>
        <w:jc w:val="both"/>
        <w:rPr>
          <w:rFonts w:ascii="Verdana" w:hAnsi="Verdana" w:cs="Arial"/>
        </w:rPr>
      </w:pPr>
    </w:p>
    <w:p w14:paraId="5CD1CF9F" w14:textId="77777777" w:rsidR="004F240F" w:rsidRPr="009B20C5" w:rsidRDefault="004F240F" w:rsidP="004F240F">
      <w:pPr>
        <w:spacing w:after="0" w:line="240" w:lineRule="auto"/>
        <w:ind w:left="709" w:right="709"/>
        <w:jc w:val="both"/>
        <w:rPr>
          <w:rFonts w:ascii="Verdana" w:hAnsi="Verdana" w:cs="Arial"/>
          <w:sz w:val="20"/>
          <w:szCs w:val="20"/>
        </w:rPr>
      </w:pPr>
      <w:r>
        <w:rPr>
          <w:rFonts w:ascii="Verdana" w:hAnsi="Verdana" w:cs="Arial"/>
          <w:sz w:val="20"/>
          <w:szCs w:val="20"/>
        </w:rPr>
        <w:t>“</w:t>
      </w:r>
      <w:r w:rsidRPr="009B20C5">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9"/>
      </w:r>
      <w:r w:rsidRPr="009B20C5">
        <w:rPr>
          <w:rFonts w:ascii="Verdana" w:hAnsi="Verdana" w:cs="Arial"/>
          <w:sz w:val="20"/>
          <w:szCs w:val="20"/>
        </w:rPr>
        <w:t>.</w:t>
      </w:r>
    </w:p>
    <w:p w14:paraId="7816EE3C" w14:textId="77777777" w:rsidR="004F240F" w:rsidRPr="009B20C5" w:rsidRDefault="004F240F" w:rsidP="004F240F">
      <w:pPr>
        <w:spacing w:after="0" w:line="240" w:lineRule="auto"/>
        <w:ind w:left="709" w:right="709"/>
        <w:jc w:val="both"/>
        <w:rPr>
          <w:rFonts w:ascii="Verdana" w:hAnsi="Verdana" w:cs="Arial"/>
          <w:sz w:val="20"/>
          <w:szCs w:val="20"/>
        </w:rPr>
      </w:pPr>
    </w:p>
    <w:p w14:paraId="22BE6E15" w14:textId="77777777" w:rsidR="004F240F" w:rsidRPr="009B20C5" w:rsidRDefault="004F240F" w:rsidP="004F240F">
      <w:pPr>
        <w:spacing w:after="0" w:line="240" w:lineRule="auto"/>
        <w:ind w:left="709" w:right="709"/>
        <w:jc w:val="both"/>
        <w:rPr>
          <w:rFonts w:ascii="Verdana" w:hAnsi="Verdana" w:cs="Arial"/>
          <w:sz w:val="20"/>
          <w:szCs w:val="20"/>
        </w:rPr>
      </w:pPr>
      <w:r w:rsidRPr="009B20C5">
        <w:rPr>
          <w:rFonts w:ascii="Verdana" w:hAnsi="Verdana" w:cs="Arial"/>
          <w:sz w:val="20"/>
          <w:szCs w:val="20"/>
        </w:rPr>
        <w:t xml:space="preserve">Esta Sala ha entendido </w:t>
      </w:r>
      <w:proofErr w:type="gramStart"/>
      <w:r w:rsidRPr="009B20C5">
        <w:rPr>
          <w:rFonts w:ascii="Verdana" w:hAnsi="Verdana" w:cs="Arial"/>
          <w:sz w:val="20"/>
          <w:szCs w:val="20"/>
        </w:rPr>
        <w:t>que</w:t>
      </w:r>
      <w:proofErr w:type="gramEnd"/>
      <w:r w:rsidRPr="009B20C5">
        <w:rPr>
          <w:rFonts w:ascii="Verdana" w:hAnsi="Verdana" w:cs="Arial"/>
          <w:sz w:val="20"/>
          <w:szCs w:val="20"/>
        </w:rPr>
        <w:t xml:space="preserve"> para los efectos de la ley de garantías, y dada su finalidad, el enunciado ´contratación directa´ es sinónimo </w:t>
      </w:r>
      <w:bookmarkStart w:id="10" w:name="_Hlk75741738"/>
      <w:r w:rsidRPr="009B20C5">
        <w:rPr>
          <w:rFonts w:ascii="Verdana" w:hAnsi="Verdana" w:cs="Arial"/>
          <w:sz w:val="20"/>
          <w:szCs w:val="20"/>
        </w:rPr>
        <w:t xml:space="preserve">de cualquier sistema que no implique convocatoria pública y posibilidad de pluralidad de oferentes, </w:t>
      </w:r>
      <w:bookmarkEnd w:id="10"/>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0"/>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9B20C5">
        <w:rPr>
          <w:rFonts w:ascii="Verdana" w:hAnsi="Verdana" w:cs="Arial"/>
          <w:sz w:val="20"/>
          <w:szCs w:val="20"/>
        </w:rPr>
        <w:t>]</w:t>
      </w:r>
      <w:r>
        <w:rPr>
          <w:rFonts w:ascii="Verdana" w:hAnsi="Verdana" w:cs="Arial"/>
          <w:sz w:val="20"/>
          <w:szCs w:val="20"/>
        </w:rPr>
        <w:t>”</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 xml:space="preserve"> .</w:t>
      </w:r>
    </w:p>
    <w:p w14:paraId="7E91DFE3" w14:textId="77777777" w:rsidR="004F240F" w:rsidRDefault="004F240F" w:rsidP="004F240F">
      <w:pPr>
        <w:spacing w:after="0" w:line="276" w:lineRule="auto"/>
        <w:ind w:firstLine="708"/>
        <w:jc w:val="both"/>
        <w:rPr>
          <w:rFonts w:ascii="Verdana" w:eastAsia="Times New Roman" w:hAnsi="Verdana" w:cs="Arial"/>
          <w:lang w:eastAsia="x-none"/>
        </w:rPr>
      </w:pPr>
      <w:bookmarkStart w:id="11" w:name="_Hlk94521748"/>
    </w:p>
    <w:p w14:paraId="3D46F383" w14:textId="77777777" w:rsidR="004F240F" w:rsidRPr="00F10E52" w:rsidRDefault="004F240F" w:rsidP="004F240F">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lang w:eastAsia="x-none"/>
        </w:rPr>
        <w:t xml:space="preserve">De conformidad con el citado concepto, </w:t>
      </w:r>
      <w:bookmarkStart w:id="12" w:name="_Hlk78818702"/>
      <w:r w:rsidRPr="00F10E52">
        <w:rPr>
          <w:rFonts w:ascii="Verdana" w:eastAsia="Times New Roman" w:hAnsi="Verdana" w:cs="Arial"/>
          <w:lang w:eastAsia="x-none"/>
        </w:rPr>
        <w:t xml:space="preserve">la prohibición del artículo 33 de la Ley de Garantías Electorales se refiere a </w:t>
      </w:r>
      <w:bookmarkStart w:id="13" w:name="_Hlk74294635"/>
      <w:r>
        <w:rPr>
          <w:rFonts w:ascii="Verdana" w:eastAsia="Times New Roman" w:hAnsi="Verdana" w:cs="Arial"/>
          <w:lang w:eastAsia="en-GB"/>
        </w:rPr>
        <w:t>“</w:t>
      </w:r>
      <w:bookmarkEnd w:id="13"/>
      <w:r w:rsidRPr="00F10E52">
        <w:rPr>
          <w:rFonts w:ascii="Verdana" w:eastAsia="Times New Roman" w:hAnsi="Verdana" w:cs="Arial"/>
          <w:lang w:eastAsia="x-none"/>
        </w:rPr>
        <w:t>cualquier sistema que no implique convocatoria pública y posibilidad de pluralidad de oferentes</w:t>
      </w:r>
      <w:bookmarkStart w:id="14" w:name="_Hlk74404754"/>
      <w:r>
        <w:rPr>
          <w:rFonts w:ascii="Verdana" w:eastAsia="Times New Roman" w:hAnsi="Verdana" w:cs="Arial"/>
          <w:lang w:eastAsia="en-GB"/>
        </w:rPr>
        <w:t>”</w:t>
      </w:r>
      <w:bookmarkEnd w:id="14"/>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1"/>
      <w:bookmarkEnd w:id="12"/>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2"/>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3"/>
      </w:r>
      <w:r w:rsidRPr="00F10E52">
        <w:rPr>
          <w:rFonts w:ascii="Verdana" w:eastAsia="Times New Roman" w:hAnsi="Verdana" w:cs="Arial"/>
          <w:lang w:eastAsia="x-none"/>
        </w:rPr>
        <w:t xml:space="preserve">. </w:t>
      </w:r>
    </w:p>
    <w:p w14:paraId="65F8BFBB" w14:textId="77777777" w:rsidR="004F240F" w:rsidRPr="00F10E52" w:rsidRDefault="004F240F" w:rsidP="004F240F">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Pr>
          <w:rFonts w:ascii="Verdana" w:eastAsia="Times New Roman" w:hAnsi="Verdana" w:cs="Arial"/>
          <w:lang w:eastAsia="en-GB"/>
        </w:rPr>
        <w:t>“</w:t>
      </w:r>
      <w:r w:rsidRPr="00F10E52">
        <w:rPr>
          <w:rFonts w:ascii="Verdana" w:eastAsia="Times New Roman" w:hAnsi="Verdana" w:cs="Arial"/>
          <w:lang w:eastAsia="x-none"/>
        </w:rPr>
        <w:t>contratación directa</w:t>
      </w:r>
      <w:r>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F10E52">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han establecido sistemas de </w:t>
      </w:r>
      <w:r w:rsidRPr="00F10E52">
        <w:rPr>
          <w:rFonts w:ascii="Verdana" w:eastAsia="Times New Roman" w:hAnsi="Verdana" w:cs="Arial"/>
          <w:lang w:eastAsia="x-none"/>
        </w:rPr>
        <w:lastRenderedPageBreak/>
        <w:t>contratación que implican convocatoria pública y participación de varios oferentes</w:t>
      </w:r>
      <w:r>
        <w:rPr>
          <w:rFonts w:ascii="Verdana" w:eastAsia="Times New Roman" w:hAnsi="Verdana" w:cs="Arial"/>
          <w:lang w:eastAsia="en-GB"/>
        </w:rPr>
        <w:t>”</w:t>
      </w:r>
      <w:r w:rsidRPr="00F10E52">
        <w:rPr>
          <w:rFonts w:ascii="Verdana" w:eastAsia="Times New Roman" w:hAnsi="Verdana" w:cs="Arial"/>
          <w:lang w:eastAsia="x-none"/>
        </w:rPr>
        <w:t xml:space="preserve">. </w:t>
      </w:r>
    </w:p>
    <w:p w14:paraId="12E04C4B"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5"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F10E52">
        <w:rPr>
          <w:rFonts w:ascii="Verdana" w:eastAsia="Times New Roman" w:hAnsi="Verdana" w:cs="Arial"/>
          <w:lang w:eastAsia="x-none"/>
        </w:rPr>
        <w:t>contratación directa</w:t>
      </w:r>
      <w:r>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5"/>
      <w:r w:rsidRPr="00F10E52">
        <w:rPr>
          <w:rFonts w:ascii="Verdana" w:eastAsia="Times New Roman" w:hAnsi="Verdana" w:cs="Arial"/>
          <w:vertAlign w:val="superscript"/>
          <w:lang w:eastAsia="x-none"/>
        </w:rPr>
        <w:footnoteReference w:id="15"/>
      </w:r>
      <w:r w:rsidRPr="00F10E52">
        <w:rPr>
          <w:rFonts w:ascii="Verdana" w:eastAsia="Times New Roman" w:hAnsi="Verdana" w:cs="Arial"/>
          <w:lang w:eastAsia="x-none"/>
        </w:rPr>
        <w:t xml:space="preserve">. </w:t>
      </w:r>
    </w:p>
    <w:p w14:paraId="41DB872D"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eastAsia="es-CO"/>
        </w:rPr>
        <w:t>“</w:t>
      </w:r>
      <w:r w:rsidRPr="00F10E52">
        <w:rPr>
          <w:rFonts w:ascii="Verdana" w:eastAsia="Times New Roman" w:hAnsi="Verdana" w:cs="Arial"/>
          <w:bCs/>
          <w:lang w:eastAsia="es-CO"/>
        </w:rPr>
        <w:t>contratación directa</w:t>
      </w:r>
      <w:r>
        <w:rPr>
          <w:rFonts w:ascii="Verdana" w:eastAsia="Times New Roman" w:hAnsi="Verdana" w:cs="Arial"/>
          <w:bCs/>
          <w:lang w:eastAsia="es-CO"/>
        </w:rPr>
        <w:t>”</w:t>
      </w:r>
      <w:r w:rsidRPr="00F10E52">
        <w:rPr>
          <w:rFonts w:ascii="Verdana" w:eastAsia="Times New Roman" w:hAnsi="Verdana" w:cs="Arial"/>
          <w:bCs/>
          <w:lang w:eastAsia="es-CO"/>
        </w:rPr>
        <w:t>.</w:t>
      </w:r>
    </w:p>
    <w:p w14:paraId="1DDDB074" w14:textId="77777777" w:rsidR="004F240F" w:rsidRPr="00F10E52" w:rsidRDefault="004F240F" w:rsidP="004F240F">
      <w:pPr>
        <w:spacing w:after="120" w:line="276" w:lineRule="auto"/>
        <w:ind w:firstLine="708"/>
        <w:jc w:val="both"/>
        <w:rPr>
          <w:rFonts w:ascii="Verdana" w:eastAsia="Times New Roman" w:hAnsi="Verdana" w:cs="Arial"/>
          <w:bCs/>
          <w:lang w:eastAsia="x-none"/>
        </w:rPr>
      </w:pPr>
      <w:bookmarkStart w:id="16" w:name="_Hlk78818796"/>
      <w:r w:rsidRPr="00F10E52">
        <w:rPr>
          <w:rFonts w:ascii="Verdana" w:eastAsia="Times New Roman" w:hAnsi="Verdana" w:cs="Arial"/>
          <w:bCs/>
          <w:lang w:eastAsia="x-none"/>
        </w:rPr>
        <w:t xml:space="preserve">Así las cosas, ha de entenderse que, para los efectos de la Ley de Garantías Electorales y, en particular, para la prohibición o restricción temporal contenida en su artículo 33, </w:t>
      </w:r>
      <w:r>
        <w:rPr>
          <w:rFonts w:ascii="Verdana" w:eastAsia="Times New Roman" w:hAnsi="Verdana" w:cs="Arial"/>
          <w:bCs/>
          <w:lang w:eastAsia="x-none"/>
        </w:rPr>
        <w:t>“</w:t>
      </w:r>
      <w:r w:rsidRPr="00F10E52">
        <w:rPr>
          <w:rFonts w:ascii="Verdana" w:eastAsia="Times New Roman" w:hAnsi="Verdana" w:cs="Arial"/>
          <w:bCs/>
          <w:lang w:eastAsia="x-none"/>
        </w:rPr>
        <w:t>contratación directa</w:t>
      </w:r>
      <w:r>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6"/>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16"/>
    <w:p w14:paraId="5CC70338" w14:textId="77777777" w:rsidR="004F240F" w:rsidRPr="00F10E52" w:rsidRDefault="004F240F" w:rsidP="004F240F">
      <w:pPr>
        <w:spacing w:after="120" w:line="276" w:lineRule="auto"/>
        <w:ind w:firstLine="708"/>
        <w:jc w:val="both"/>
        <w:rPr>
          <w:rFonts w:ascii="Verdana" w:eastAsia="Times New Roman" w:hAnsi="Verdana" w:cs="Arial"/>
          <w:lang w:eastAsia="x-none"/>
        </w:rPr>
      </w:pPr>
      <w:r w:rsidRPr="00F10E52">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F10E52">
        <w:rPr>
          <w:rFonts w:ascii="Verdana" w:eastAsia="Times New Roman" w:hAnsi="Verdana" w:cs="Arial"/>
          <w:lang w:eastAsia="x-none"/>
        </w:rPr>
        <w:t xml:space="preserve"> Por tanto, </w:t>
      </w:r>
      <w:r w:rsidRPr="00F10E52">
        <w:rPr>
          <w:rFonts w:ascii="Verdana" w:eastAsia="Times New Roman" w:hAnsi="Verdana" w:cs="Arial"/>
          <w:lang w:eastAsia="x-none"/>
        </w:rPr>
        <w:lastRenderedPageBreak/>
        <w:t>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9D35435" w14:textId="77777777" w:rsidR="004F240F" w:rsidRPr="00F10E52" w:rsidRDefault="004F240F" w:rsidP="004F240F">
      <w:pPr>
        <w:spacing w:after="120" w:line="276" w:lineRule="auto"/>
        <w:ind w:firstLine="708"/>
        <w:jc w:val="both"/>
        <w:rPr>
          <w:rFonts w:ascii="Verdana" w:eastAsia="Times New Roman" w:hAnsi="Verdana" w:cs="Arial"/>
          <w:bCs/>
          <w:lang w:eastAsia="x-none"/>
        </w:rPr>
      </w:pPr>
      <w:bookmarkStart w:id="17" w:name="_Hlk77237094"/>
      <w:r w:rsidRPr="00F10E52">
        <w:rPr>
          <w:rFonts w:ascii="Verdana" w:eastAsia="Times New Roman" w:hAnsi="Verdana" w:cs="Arial"/>
          <w:bCs/>
          <w:lang w:eastAsia="es-CO"/>
        </w:rPr>
        <w:t xml:space="preserve">Como en otras oportunidades lo ha manifestado esta Agencia, las prórrogas, modificaciones o adiciones de los contratos suscritos antes de la </w:t>
      </w:r>
      <w:proofErr w:type="gramStart"/>
      <w:r w:rsidRPr="00F10E52">
        <w:rPr>
          <w:rFonts w:ascii="Verdana" w:eastAsia="Times New Roman" w:hAnsi="Verdana" w:cs="Arial"/>
          <w:bCs/>
          <w:lang w:eastAsia="es-CO"/>
        </w:rPr>
        <w:t>entrada en vigencia</w:t>
      </w:r>
      <w:proofErr w:type="gramEnd"/>
      <w:r w:rsidRPr="00F10E52">
        <w:rPr>
          <w:rFonts w:ascii="Verdana" w:eastAsia="Times New Roman" w:hAnsi="Verdana" w:cs="Arial"/>
          <w:bCs/>
          <w:lang w:eastAsia="es-CO"/>
        </w:rPr>
        <w:t xml:space="preserve"> de las prohibiciones anotadas, así como la cesión de </w:t>
      </w:r>
      <w:proofErr w:type="gramStart"/>
      <w:r w:rsidRPr="00F10E52">
        <w:rPr>
          <w:rFonts w:ascii="Verdana" w:eastAsia="Times New Roman" w:hAnsi="Verdana" w:cs="Arial"/>
          <w:bCs/>
          <w:lang w:eastAsia="es-CO"/>
        </w:rPr>
        <w:t>los mismos</w:t>
      </w:r>
      <w:proofErr w:type="gramEnd"/>
      <w:r w:rsidRPr="00F10E52">
        <w:rPr>
          <w:rFonts w:ascii="Verdana" w:eastAsia="Times New Roman" w:hAnsi="Verdana" w:cs="Arial"/>
          <w:bCs/>
          <w:lang w:eastAsia="es-CO"/>
        </w:rPr>
        <w:t>, pueden tener lugar en el período de aplicación de la Ley de Garantías</w:t>
      </w:r>
      <w:r>
        <w:rPr>
          <w:rFonts w:ascii="Verdana" w:eastAsia="Times New Roman" w:hAnsi="Verdana" w:cs="Arial"/>
          <w:bCs/>
          <w:lang w:eastAsia="es-CO"/>
        </w:rPr>
        <w:t xml:space="preserve"> Electorales</w:t>
      </w:r>
      <w:r w:rsidRPr="00F10E52">
        <w:rPr>
          <w:rFonts w:ascii="Verdana" w:eastAsia="Times New Roman" w:hAnsi="Verdana" w:cs="Arial"/>
          <w:bCs/>
          <w:lang w:eastAsia="es-CO"/>
        </w:rPr>
        <w:t>, sin que ello haga nugatoria la restricción de la contratación directa y siempre que cumplan los principios de planeación, transparencia y responsabilidad.</w:t>
      </w:r>
      <w:bookmarkEnd w:id="17"/>
    </w:p>
    <w:p w14:paraId="1B525F6E" w14:textId="77777777" w:rsidR="004F240F" w:rsidRPr="00F10E52" w:rsidRDefault="004F240F" w:rsidP="004F240F">
      <w:pPr>
        <w:spacing w:after="120" w:line="276" w:lineRule="auto"/>
        <w:ind w:firstLine="708"/>
        <w:jc w:val="both"/>
        <w:rPr>
          <w:rFonts w:ascii="Verdana" w:eastAsia="Times New Roman" w:hAnsi="Verdana" w:cs="Arial"/>
          <w:bCs/>
          <w:lang w:eastAsia="es-CO"/>
        </w:rPr>
      </w:pPr>
      <w:r w:rsidRPr="00F10E52">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w:t>
      </w:r>
      <w:r w:rsidRPr="003D0447">
        <w:rPr>
          <w:rFonts w:ascii="Verdana" w:eastAsia="Times New Roman" w:hAnsi="Verdana" w:cs="Arial"/>
          <w:i/>
          <w:lang w:eastAsia="x-none"/>
        </w:rPr>
        <w:t>emergencias educativas</w:t>
      </w:r>
      <w:r w:rsidRPr="00F10E52">
        <w:rPr>
          <w:rFonts w:ascii="Verdana" w:eastAsia="Times New Roman" w:hAnsi="Verdana" w:cs="Arial"/>
          <w:bCs/>
          <w:lang w:eastAsia="x-none"/>
        </w:rPr>
        <w:t xml:space="preserve">,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223C133" w14:textId="77777777" w:rsidR="004F240F" w:rsidRPr="00F10E52" w:rsidRDefault="004F240F" w:rsidP="004F240F">
      <w:pPr>
        <w:spacing w:after="12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18" w:name="_Hlk74309042"/>
      <w:r w:rsidRPr="00F10E52">
        <w:rPr>
          <w:rFonts w:ascii="Verdana" w:eastAsia="Times New Roman" w:hAnsi="Verdana" w:cs="Arial"/>
          <w:bCs/>
          <w:lang w:eastAsia="x-none"/>
        </w:rPr>
        <w:t xml:space="preserve">que </w:t>
      </w:r>
      <w:bookmarkEnd w:id="18"/>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19" w:name="_Hlk75768308"/>
      <w:r w:rsidRPr="00F10E52">
        <w:rPr>
          <w:rFonts w:ascii="Verdana" w:eastAsia="Times New Roman" w:hAnsi="Verdana" w:cs="Arial"/>
          <w:bCs/>
          <w:lang w:eastAsia="x-none"/>
        </w:rPr>
        <w:t xml:space="preserve">no termine yendo en detrimento de intereses públicos, cuya garantía está en cabeza del ejecutivo, como son los inmersos en </w:t>
      </w:r>
      <w:r w:rsidRPr="00F10E52">
        <w:rPr>
          <w:rFonts w:ascii="Verdana" w:eastAsia="Times New Roman" w:hAnsi="Verdana" w:cs="Arial"/>
          <w:bCs/>
          <w:lang w:eastAsia="x-none"/>
        </w:rPr>
        <w:lastRenderedPageBreak/>
        <w:t>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7"/>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0" w:name="_Hlk75783800"/>
      <w:bookmarkEnd w:id="19"/>
    </w:p>
    <w:p w14:paraId="70B78AE1" w14:textId="77777777" w:rsidR="004F240F" w:rsidRPr="00F10E52" w:rsidRDefault="004F240F" w:rsidP="004F240F">
      <w:pPr>
        <w:spacing w:before="120" w:after="0" w:line="276" w:lineRule="auto"/>
        <w:ind w:firstLine="708"/>
        <w:jc w:val="both"/>
        <w:rPr>
          <w:rFonts w:ascii="Verdana" w:eastAsia="Times New Roman" w:hAnsi="Verdana" w:cs="Arial"/>
          <w:bCs/>
          <w:lang w:eastAsia="x-none"/>
        </w:rPr>
      </w:pPr>
      <w:bookmarkStart w:id="21"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0"/>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1"/>
      <w:r w:rsidRPr="00F10E52">
        <w:rPr>
          <w:rFonts w:ascii="Verdana" w:eastAsia="Times New Roman" w:hAnsi="Verdana" w:cs="Arial"/>
          <w:bCs/>
          <w:lang w:eastAsia="x-none"/>
        </w:rPr>
        <w:t xml:space="preserve">El Consejo de Estado, en Concepto con radicado 1727 de fecha 20 de febrero de 2006, consideró que: </w:t>
      </w:r>
    </w:p>
    <w:p w14:paraId="4C57D346" w14:textId="77777777" w:rsidR="004F240F" w:rsidRPr="00F10E52" w:rsidRDefault="004F240F" w:rsidP="004F240F">
      <w:pPr>
        <w:spacing w:after="0" w:line="276" w:lineRule="auto"/>
        <w:ind w:firstLine="708"/>
        <w:jc w:val="both"/>
        <w:rPr>
          <w:rFonts w:ascii="Verdana" w:eastAsia="Times New Roman" w:hAnsi="Verdana" w:cs="Arial"/>
          <w:bCs/>
          <w:lang w:eastAsia="x-none"/>
        </w:rPr>
      </w:pPr>
    </w:p>
    <w:p w14:paraId="6050EFE1" w14:textId="77777777" w:rsidR="004F240F" w:rsidRPr="009B20C5" w:rsidRDefault="004F240F" w:rsidP="004F240F">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 xml:space="preserve">“El artículo 33 de la ley 996 de 2005, </w:t>
      </w:r>
      <w:bookmarkStart w:id="22" w:name="_Hlk75787147"/>
      <w:r w:rsidRPr="009B20C5">
        <w:rPr>
          <w:rFonts w:ascii="Verdana" w:eastAsia="Times New Roman" w:hAnsi="Verdana" w:cs="Arial"/>
          <w:bCs/>
          <w:sz w:val="20"/>
          <w:szCs w:val="20"/>
          <w:lang w:eastAsia="x-none"/>
        </w:rPr>
        <w:t xml:space="preserve">efectivamente se aplica </w:t>
      </w:r>
      <w:bookmarkStart w:id="23" w:name="_Hlk76074089"/>
      <w:r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23"/>
      <w:r w:rsidRPr="009B20C5">
        <w:rPr>
          <w:rFonts w:ascii="Verdana" w:eastAsia="Times New Roman" w:hAnsi="Verdana" w:cs="Arial"/>
          <w:bCs/>
          <w:sz w:val="20"/>
          <w:szCs w:val="20"/>
          <w:lang w:eastAsia="x-none"/>
        </w:rPr>
        <w:t>,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Pr>
          <w:rFonts w:ascii="Verdana" w:eastAsia="Times New Roman" w:hAnsi="Verdana" w:cs="Arial"/>
          <w:bCs/>
          <w:sz w:val="20"/>
          <w:szCs w:val="20"/>
          <w:lang w:eastAsia="x-none"/>
        </w:rPr>
        <w:t>”</w:t>
      </w:r>
      <w:r w:rsidRPr="009B20C5">
        <w:rPr>
          <w:rStyle w:val="Refdenotaalpie"/>
          <w:rFonts w:ascii="Verdana" w:eastAsia="Times New Roman" w:hAnsi="Verdana" w:cs="Arial"/>
          <w:bCs/>
          <w:sz w:val="20"/>
          <w:szCs w:val="20"/>
          <w:lang w:eastAsia="x-none"/>
        </w:rPr>
        <w:footnoteReference w:id="18"/>
      </w:r>
      <w:r w:rsidRPr="009B20C5">
        <w:rPr>
          <w:rFonts w:ascii="Verdana" w:eastAsia="Times New Roman" w:hAnsi="Verdana" w:cs="Arial"/>
          <w:bCs/>
          <w:sz w:val="20"/>
          <w:szCs w:val="20"/>
          <w:lang w:eastAsia="x-none"/>
        </w:rPr>
        <w:t>.</w:t>
      </w:r>
      <w:r w:rsidRPr="009B20C5">
        <w:rPr>
          <w:rFonts w:ascii="Verdana" w:eastAsia="Times New Roman" w:hAnsi="Verdana" w:cs="Arial"/>
          <w:bCs/>
          <w:sz w:val="20"/>
          <w:szCs w:val="20"/>
          <w:lang w:eastAsia="es-CO"/>
        </w:rPr>
        <w:t xml:space="preserve"> </w:t>
      </w:r>
    </w:p>
    <w:p w14:paraId="1C0F8792" w14:textId="77777777" w:rsidR="004F240F" w:rsidRDefault="004F240F" w:rsidP="004F240F">
      <w:pPr>
        <w:spacing w:after="0" w:line="276" w:lineRule="auto"/>
        <w:ind w:firstLine="709"/>
        <w:jc w:val="both"/>
        <w:rPr>
          <w:rFonts w:ascii="Verdana" w:eastAsia="Times New Roman" w:hAnsi="Verdana" w:cs="Arial"/>
          <w:bCs/>
          <w:lang w:eastAsia="x-none"/>
        </w:rPr>
      </w:pPr>
    </w:p>
    <w:p w14:paraId="1AD0B70B" w14:textId="77777777" w:rsidR="004F240F" w:rsidRDefault="004F240F" w:rsidP="004F240F">
      <w:pPr>
        <w:spacing w:after="120" w:line="276" w:lineRule="auto"/>
        <w:ind w:firstLine="708"/>
        <w:jc w:val="both"/>
        <w:rPr>
          <w:rFonts w:ascii="Verdana" w:eastAsia="Times New Roman" w:hAnsi="Verdana" w:cs="Arial"/>
          <w:bCs/>
          <w:lang w:eastAsia="x-none"/>
        </w:rPr>
      </w:pPr>
      <w:bookmarkStart w:id="24" w:name="_Hlk77237229"/>
      <w:bookmarkEnd w:id="22"/>
      <w:r w:rsidRPr="00345E20">
        <w:rPr>
          <w:rFonts w:ascii="Verdana" w:hAnsi="Verdana" w:cs="Arial"/>
        </w:rPr>
        <w:lastRenderedPageBreak/>
        <w:t xml:space="preserve">Por lo tanto, la restricción prevista en la Ley 996 de 2005, </w:t>
      </w:r>
      <w:r w:rsidRPr="00345E20">
        <w:rPr>
          <w:rFonts w:ascii="Verdana" w:eastAsia="Times New Roman" w:hAnsi="Verdana" w:cs="Arial"/>
          <w:bCs/>
          <w:lang w:eastAsia="x-none"/>
        </w:rPr>
        <w:t>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40AF404" w14:textId="77777777" w:rsidR="004F240F" w:rsidRPr="00E2397D" w:rsidRDefault="004F240F" w:rsidP="004F240F">
      <w:pPr>
        <w:spacing w:after="120" w:line="276" w:lineRule="auto"/>
        <w:ind w:firstLine="708"/>
        <w:jc w:val="both"/>
        <w:rPr>
          <w:rFonts w:ascii="Verdana" w:eastAsia="Times New Roman" w:hAnsi="Verdana" w:cs="Arial"/>
          <w:lang w:val="es-MX" w:eastAsia="x-none"/>
        </w:rPr>
      </w:pPr>
      <w:r>
        <w:rPr>
          <w:rFonts w:ascii="Verdana" w:eastAsia="Times New Roman" w:hAnsi="Verdana" w:cs="Arial"/>
          <w:bCs/>
          <w:lang w:eastAsia="x-none"/>
        </w:rPr>
        <w:t xml:space="preserve">En segundo lugar, </w:t>
      </w:r>
      <w:r w:rsidRPr="00E2397D">
        <w:rPr>
          <w:rFonts w:ascii="Verdana" w:eastAsia="Calibri" w:hAnsi="Verdana" w:cs="Arial"/>
          <w:lang w:eastAsia="es-ES" w:bidi="es-ES"/>
        </w:rPr>
        <w:t xml:space="preserve">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w:t>
      </w:r>
      <w:proofErr w:type="gramStart"/>
      <w:r w:rsidRPr="00E2397D">
        <w:rPr>
          <w:rFonts w:ascii="Verdana" w:eastAsia="Calibri" w:hAnsi="Verdana" w:cs="Arial"/>
        </w:rPr>
        <w:t>Alcaldes</w:t>
      </w:r>
      <w:proofErr w:type="gramEnd"/>
      <w:r w:rsidRPr="00E2397D">
        <w:rPr>
          <w:rFonts w:ascii="Verdana" w:eastAsia="Calibri" w:hAnsi="Verdana" w:cs="Arial"/>
        </w:rPr>
        <w:t xml:space="preserve"> Municipales y/o Distritales, </w:t>
      </w:r>
      <w:proofErr w:type="gramStart"/>
      <w:r w:rsidRPr="00E2397D">
        <w:rPr>
          <w:rFonts w:ascii="Verdana" w:eastAsia="Calibri" w:hAnsi="Verdana" w:cs="Arial"/>
        </w:rPr>
        <w:t>Secretarios</w:t>
      </w:r>
      <w:proofErr w:type="gramEnd"/>
      <w:r w:rsidRPr="00E2397D">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4340212F" w14:textId="77777777" w:rsidR="004F240F" w:rsidRPr="00E2397D" w:rsidRDefault="004F240F" w:rsidP="004F240F">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E45D8DA" w14:textId="77777777" w:rsidR="004F240F" w:rsidRPr="00E2397D" w:rsidRDefault="004F240F" w:rsidP="004F240F">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 xml:space="preserve">el legislador y el ordenamiento jurídico, en general, en </w:t>
      </w:r>
      <w:r w:rsidRPr="00E2397D">
        <w:rPr>
          <w:rFonts w:ascii="Verdana" w:eastAsia="Arial" w:hAnsi="Verdana" w:cs="Arial"/>
          <w:lang w:val="es-ES" w:eastAsia="es-ES" w:bidi="es-ES"/>
        </w:rPr>
        <w:lastRenderedPageBreak/>
        <w:t>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19"/>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0"/>
      </w:r>
      <w:r w:rsidRPr="00E2397D">
        <w:rPr>
          <w:rFonts w:ascii="Verdana" w:eastAsia="Arial" w:hAnsi="Verdana" w:cs="Arial"/>
          <w:lang w:val="es-ES" w:eastAsia="es-ES" w:bidi="es-ES"/>
        </w:rPr>
        <w:t>.</w:t>
      </w:r>
    </w:p>
    <w:p w14:paraId="289CCF54" w14:textId="77777777" w:rsidR="004F240F" w:rsidRPr="00E2397D" w:rsidRDefault="004F240F" w:rsidP="004F240F">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22CAA2D5" w14:textId="77777777" w:rsidR="004F240F" w:rsidRPr="00E2397D" w:rsidRDefault="004F240F" w:rsidP="004F240F">
      <w:pPr>
        <w:widowControl w:val="0"/>
        <w:autoSpaceDE w:val="0"/>
        <w:autoSpaceDN w:val="0"/>
        <w:spacing w:after="0" w:line="276" w:lineRule="auto"/>
        <w:contextualSpacing/>
        <w:jc w:val="both"/>
        <w:rPr>
          <w:rFonts w:ascii="Verdana" w:eastAsia="Arial" w:hAnsi="Verdana" w:cs="Arial"/>
          <w:lang w:val="es-ES" w:eastAsia="es-ES" w:bidi="es-ES"/>
        </w:rPr>
      </w:pPr>
    </w:p>
    <w:p w14:paraId="52D58CA3"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65811916"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p>
    <w:p w14:paraId="24AC52F6"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 xml:space="preserve">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w:t>
      </w:r>
      <w:r w:rsidRPr="00E2397D">
        <w:rPr>
          <w:rFonts w:ascii="Verdana" w:eastAsia="Calibri" w:hAnsi="Verdana" w:cs="Arial"/>
          <w:sz w:val="20"/>
          <w:szCs w:val="20"/>
          <w:lang w:val="es-MX"/>
        </w:rPr>
        <w:lastRenderedPageBreak/>
        <w:t>hallen a su cargo, sin que exista una contraprestación para ninguna de las entidades ni la prestación de un servicio a cargo de alguna de ellas y en favor de la otra parte del convenio.</w:t>
      </w:r>
    </w:p>
    <w:p w14:paraId="01F76569"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p>
    <w:p w14:paraId="0AFA2FE9" w14:textId="77777777" w:rsidR="004F240F" w:rsidRPr="00E2397D" w:rsidRDefault="004F240F" w:rsidP="004F240F">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3B0CAB0E" w14:textId="77777777" w:rsidR="004F240F" w:rsidRPr="00E2397D" w:rsidRDefault="004F240F" w:rsidP="004F240F">
      <w:pPr>
        <w:widowControl w:val="0"/>
        <w:autoSpaceDE w:val="0"/>
        <w:autoSpaceDN w:val="0"/>
        <w:spacing w:after="0" w:line="276" w:lineRule="auto"/>
        <w:contextualSpacing/>
        <w:jc w:val="both"/>
        <w:rPr>
          <w:rFonts w:ascii="Verdana" w:eastAsia="Arial" w:hAnsi="Verdana" w:cs="Arial"/>
          <w:lang w:val="es-ES" w:eastAsia="es-ES" w:bidi="es-ES"/>
        </w:rPr>
      </w:pPr>
    </w:p>
    <w:p w14:paraId="700B0566" w14:textId="77777777" w:rsidR="004F240F" w:rsidRPr="00E2397D" w:rsidRDefault="004F240F" w:rsidP="004F240F">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71DB1C5A" w14:textId="77777777" w:rsidR="004F240F" w:rsidRPr="00E2397D" w:rsidRDefault="004F240F" w:rsidP="004F240F">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1"/>
      </w:r>
      <w:r w:rsidRPr="00E2397D">
        <w:rPr>
          <w:rFonts w:ascii="Verdana" w:hAnsi="Verdana"/>
        </w:rPr>
        <w:t>:</w:t>
      </w:r>
      <w:r w:rsidRPr="00E2397D">
        <w:t xml:space="preserve"> </w:t>
      </w:r>
    </w:p>
    <w:p w14:paraId="7DDBA419" w14:textId="77777777" w:rsidR="004F240F" w:rsidRPr="00E2397D" w:rsidRDefault="004F240F" w:rsidP="004F240F">
      <w:pPr>
        <w:spacing w:after="0" w:line="276" w:lineRule="auto"/>
        <w:ind w:firstLine="709"/>
        <w:jc w:val="both"/>
      </w:pPr>
    </w:p>
    <w:p w14:paraId="6E335993" w14:textId="77777777" w:rsidR="004F240F" w:rsidRPr="00E2397D" w:rsidRDefault="004F240F" w:rsidP="004F240F">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43005E67" w14:textId="77777777" w:rsidR="004F240F" w:rsidRPr="00E2397D" w:rsidRDefault="004F240F" w:rsidP="004F240F">
      <w:pPr>
        <w:spacing w:after="0" w:line="240" w:lineRule="auto"/>
        <w:ind w:left="709" w:right="709"/>
        <w:jc w:val="both"/>
        <w:rPr>
          <w:rFonts w:ascii="Verdana" w:eastAsia="Calibri" w:hAnsi="Verdana" w:cs="Arial"/>
          <w:sz w:val="20"/>
          <w:szCs w:val="20"/>
        </w:rPr>
      </w:pPr>
    </w:p>
    <w:p w14:paraId="003274F5" w14:textId="77777777" w:rsidR="004F240F" w:rsidRPr="00E2397D" w:rsidRDefault="004F240F" w:rsidP="004F240F">
      <w:pPr>
        <w:spacing w:after="0" w:line="240" w:lineRule="auto"/>
        <w:ind w:left="709" w:right="709"/>
        <w:jc w:val="both"/>
        <w:rPr>
          <w:rFonts w:ascii="Verdana" w:hAnsi="Verdana"/>
          <w:sz w:val="20"/>
          <w:szCs w:val="20"/>
        </w:rPr>
      </w:pPr>
      <w:proofErr w:type="spellStart"/>
      <w:r w:rsidRPr="00E2397D">
        <w:rPr>
          <w:rFonts w:ascii="Verdana" w:hAnsi="Verdana"/>
          <w:sz w:val="20"/>
          <w:szCs w:val="20"/>
        </w:rPr>
        <w:lastRenderedPageBreak/>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ABD7ED2" w14:textId="77777777" w:rsidR="004F240F" w:rsidRPr="00E2397D" w:rsidRDefault="004F240F" w:rsidP="004F240F">
      <w:pPr>
        <w:spacing w:after="0" w:line="276" w:lineRule="auto"/>
        <w:ind w:left="709" w:right="709"/>
        <w:jc w:val="both"/>
        <w:rPr>
          <w:rFonts w:ascii="Verdana" w:hAnsi="Verdana"/>
        </w:rPr>
      </w:pPr>
    </w:p>
    <w:p w14:paraId="42B71163" w14:textId="77777777" w:rsidR="004F240F" w:rsidRPr="00E2397D" w:rsidRDefault="004F240F" w:rsidP="004F240F">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0422D5B1" w14:textId="77777777" w:rsidR="004F240F" w:rsidRPr="00E2397D" w:rsidRDefault="004F240F" w:rsidP="004F240F">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476C88CB" w14:textId="77777777" w:rsidR="004F240F" w:rsidRPr="00E2397D" w:rsidRDefault="004F240F" w:rsidP="004F240F">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w:t>
      </w:r>
      <w:r w:rsidRPr="00E2397D">
        <w:rPr>
          <w:rFonts w:ascii="Verdana" w:eastAsia="Calibri" w:hAnsi="Verdana" w:cs="Arial"/>
        </w:rPr>
        <w:lastRenderedPageBreak/>
        <w:t xml:space="preserve">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29C8B501" w14:textId="77777777" w:rsidR="004F240F" w:rsidRDefault="004F240F" w:rsidP="004F240F">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w:t>
      </w:r>
      <w:r>
        <w:rPr>
          <w:rFonts w:ascii="Verdana" w:eastAsia="Times New Roman" w:hAnsi="Verdana" w:cs="Arial"/>
          <w:lang w:val="es-MX" w:eastAsia="es-CO"/>
        </w:rPr>
        <w:t xml:space="preserve">istrativos. </w:t>
      </w:r>
    </w:p>
    <w:p w14:paraId="6734FE58" w14:textId="24446C5A" w:rsidR="00D87148" w:rsidRPr="00D87148" w:rsidRDefault="004F240F" w:rsidP="00D87148">
      <w:pPr>
        <w:spacing w:after="120" w:line="276" w:lineRule="auto"/>
        <w:ind w:firstLine="709"/>
        <w:jc w:val="both"/>
        <w:rPr>
          <w:rFonts w:ascii="Verdana" w:hAnsi="Verdana" w:cs="Arial"/>
        </w:rPr>
      </w:pPr>
      <w:r w:rsidRPr="0056665D">
        <w:rPr>
          <w:rFonts w:ascii="Verdana" w:eastAsia="Times New Roman" w:hAnsi="Verdana" w:cs="Arial"/>
          <w:lang w:eastAsia="es-CO"/>
        </w:rPr>
        <w:t xml:space="preserve">Ahora bien, </w:t>
      </w:r>
      <w:r w:rsidR="00D87148">
        <w:rPr>
          <w:rFonts w:ascii="Verdana" w:hAnsi="Verdana" w:cs="Arial"/>
        </w:rPr>
        <w:t>d</w:t>
      </w:r>
      <w:r w:rsidR="00D87148" w:rsidRPr="00D87148">
        <w:rPr>
          <w:rFonts w:ascii="Verdana" w:hAnsi="Verdana" w:cs="Arial"/>
        </w:rPr>
        <w:t>esde esta perspectiva</w:t>
      </w:r>
      <w:r w:rsidR="00D87148">
        <w:rPr>
          <w:rFonts w:ascii="Verdana" w:hAnsi="Verdana" w:cs="Arial"/>
        </w:rPr>
        <w:t xml:space="preserve"> y</w:t>
      </w:r>
      <w:r w:rsidR="00D87148" w:rsidRPr="00D87148">
        <w:rPr>
          <w:rFonts w:ascii="Verdana" w:hAnsi="Verdana" w:cs="Arial"/>
        </w:rPr>
        <w:t xml:space="preserve"> frente al problema jurídico objeto de análisis, resulta claro que los patrimonios autónomos se encuentran igualmente sometidos al régimen de prohibiciones derivado de la Ley 996 de 2005. En consecuencia, durante la vigencia del periodo preelectoral no pueden adelantar procesos de contratación directa, a menos que la actividad contractual encaje plenamente en alguna de las excepciones taxativas del artículo 33, las cuales deben verificarse caso por caso con criterios estrictos y objetivos.</w:t>
      </w:r>
    </w:p>
    <w:p w14:paraId="770E5653" w14:textId="5CF79F26" w:rsidR="00D87148" w:rsidRPr="00D87148" w:rsidRDefault="00D87148" w:rsidP="00D87148">
      <w:pPr>
        <w:spacing w:after="120" w:line="276" w:lineRule="auto"/>
        <w:ind w:firstLine="709"/>
        <w:jc w:val="both"/>
        <w:rPr>
          <w:rFonts w:ascii="Verdana" w:eastAsia="Times New Roman" w:hAnsi="Verdana" w:cs="Arial"/>
          <w:lang w:eastAsia="es-CO"/>
        </w:rPr>
      </w:pPr>
      <w:r w:rsidRPr="00D87148">
        <w:rPr>
          <w:rFonts w:ascii="Verdana" w:eastAsia="Times New Roman" w:hAnsi="Verdana" w:cs="Arial"/>
          <w:lang w:eastAsia="es-CO"/>
        </w:rPr>
        <w:t>En ese sentido, si la adquisición de soluciones solares fotovoltaicas</w:t>
      </w:r>
      <w:r>
        <w:rPr>
          <w:rFonts w:ascii="Verdana" w:eastAsia="Times New Roman" w:hAnsi="Verdana" w:cs="Arial"/>
          <w:lang w:eastAsia="es-CO"/>
        </w:rPr>
        <w:t xml:space="preserve">, </w:t>
      </w:r>
      <w:r w:rsidRPr="00D87148">
        <w:rPr>
          <w:rFonts w:ascii="Verdana" w:eastAsia="Times New Roman" w:hAnsi="Verdana" w:cs="Arial"/>
          <w:lang w:eastAsia="es-CO"/>
        </w:rPr>
        <w:t>por sus características técnicas, por la disponibilidad de proveedores en el mercado o por la modalidad de selección definida en los estudios previos</w:t>
      </w:r>
      <w:r>
        <w:rPr>
          <w:rFonts w:ascii="Verdana" w:eastAsia="Times New Roman" w:hAnsi="Verdana" w:cs="Arial"/>
          <w:lang w:eastAsia="es-CO"/>
        </w:rPr>
        <w:t>,</w:t>
      </w:r>
      <w:r w:rsidRPr="00D87148">
        <w:rPr>
          <w:rFonts w:ascii="Verdana" w:eastAsia="Times New Roman" w:hAnsi="Verdana" w:cs="Arial"/>
          <w:lang w:eastAsia="es-CO"/>
        </w:rPr>
        <w:t xml:space="preserve"> se encuadra dentro de una modalidad de contratación directa</w:t>
      </w:r>
      <w:r>
        <w:rPr>
          <w:rFonts w:ascii="Verdana" w:eastAsia="Times New Roman" w:hAnsi="Verdana" w:cs="Arial"/>
          <w:lang w:eastAsia="es-CO"/>
        </w:rPr>
        <w:t xml:space="preserve"> por </w:t>
      </w:r>
      <w:proofErr w:type="gramStart"/>
      <w:r>
        <w:rPr>
          <w:rFonts w:ascii="Verdana" w:eastAsia="Times New Roman" w:hAnsi="Verdana" w:cs="Arial"/>
          <w:lang w:eastAsia="es-CO"/>
        </w:rPr>
        <w:t xml:space="preserve">ello, </w:t>
      </w:r>
      <w:r w:rsidRPr="00D87148">
        <w:rPr>
          <w:rFonts w:ascii="Verdana" w:eastAsia="Times New Roman" w:hAnsi="Verdana" w:cs="Arial"/>
          <w:lang w:eastAsia="es-CO"/>
        </w:rPr>
        <w:t xml:space="preserve"> el</w:t>
      </w:r>
      <w:proofErr w:type="gramEnd"/>
      <w:r w:rsidRPr="00D87148">
        <w:rPr>
          <w:rFonts w:ascii="Verdana" w:eastAsia="Times New Roman" w:hAnsi="Verdana" w:cs="Arial"/>
          <w:lang w:eastAsia="es-CO"/>
        </w:rPr>
        <w:t xml:space="preserve"> proceso se encuentra jurídicamente restringido por el artículo 33 de la Ley 996 de 2005. En tal escenario, la única vía que garantiza la viabilidad jurídica del procedimiento es adelantar una convocatoria pública que asegure la participación de múltiples oferentes, la libre concurrencia, la transparencia y la selección objetiva, en estricto cumplimiento de los principios rectores de la contratación estatal.</w:t>
      </w:r>
    </w:p>
    <w:p w14:paraId="7C129E9E" w14:textId="77777777" w:rsidR="00D87148" w:rsidRPr="00D87148" w:rsidRDefault="00D87148" w:rsidP="00D87148">
      <w:pPr>
        <w:spacing w:after="120" w:line="276" w:lineRule="auto"/>
        <w:ind w:firstLine="709"/>
        <w:jc w:val="both"/>
        <w:rPr>
          <w:rFonts w:ascii="Verdana" w:eastAsia="Times New Roman" w:hAnsi="Verdana" w:cs="Arial"/>
          <w:lang w:eastAsia="es-CO"/>
        </w:rPr>
      </w:pPr>
      <w:r w:rsidRPr="00D87148">
        <w:rPr>
          <w:rFonts w:ascii="Verdana" w:eastAsia="Times New Roman" w:hAnsi="Verdana" w:cs="Arial"/>
          <w:lang w:eastAsia="es-CO"/>
        </w:rPr>
        <w:lastRenderedPageBreak/>
        <w:t>Finalmente, corresponde señalar que la determinación concreta de la viabilidad jurídica de un proceso contractual particular es una responsabilidad que recae en los funcionarios competentes dentro de la entidad o del patrimonio autónomo, quienes deben evaluar las circunstancias fácticas, técnicas, económicas y normativas aplicables. Por ello, las conclusiones expuestas en este concepto constituyen una interpretación general del marco jurídico vigente y no un pronunciamiento vinculante respecto de un caso específico.</w:t>
      </w:r>
    </w:p>
    <w:p w14:paraId="0E7DCBE2" w14:textId="479F160D" w:rsidR="00D87148" w:rsidRPr="00F41C15" w:rsidRDefault="00D87148" w:rsidP="00D87148">
      <w:pPr>
        <w:spacing w:after="120" w:line="276" w:lineRule="auto"/>
        <w:ind w:firstLine="709"/>
        <w:jc w:val="both"/>
        <w:rPr>
          <w:rFonts w:ascii="Verdana" w:eastAsia="Times New Roman" w:hAnsi="Verdana" w:cs="Arial"/>
          <w:lang w:eastAsia="es-CO"/>
        </w:rPr>
      </w:pPr>
      <w:r w:rsidRPr="00D87148">
        <w:rPr>
          <w:rFonts w:ascii="Verdana" w:eastAsia="Times New Roman" w:hAnsi="Verdana" w:cs="Arial"/>
          <w:lang w:eastAsia="es-CO"/>
        </w:rPr>
        <w:t>Como consideración final, cabe reiterar que, conforme a las reglas generales del sistema de compras y contratación pública y sin perjuicio del análisis jurídico que debe efectuar cada entidad respecto de la procedencia de los contratos particulares, la Ley 996 de 2005 incorpora dos tipos de restricciones concurrentes en materia de contratación, cuyo cumplimiento resulta ineludible para todas las entidades que administren recursos públicos, incluidas aquellas que lo hacen mediante mecanismos fiduciarios como los patrimonios autónomos.</w:t>
      </w:r>
    </w:p>
    <w:bookmarkEnd w:id="24"/>
    <w:p w14:paraId="4382BE50" w14:textId="77777777" w:rsidR="004F240F" w:rsidRDefault="004F240F" w:rsidP="004F240F">
      <w:pPr>
        <w:spacing w:after="0" w:line="276" w:lineRule="auto"/>
        <w:ind w:firstLine="708"/>
        <w:jc w:val="both"/>
        <w:rPr>
          <w:rFonts w:ascii="Verdana" w:eastAsia="Times New Roman" w:hAnsi="Verdana" w:cs="Arial"/>
          <w:lang w:val="es-ES_tradnl" w:eastAsia="es-ES_tradnl"/>
        </w:rPr>
      </w:pPr>
    </w:p>
    <w:p w14:paraId="09CBCA53" w14:textId="77777777" w:rsidR="004F240F" w:rsidRPr="00B715C6" w:rsidRDefault="004F240F" w:rsidP="004F240F">
      <w:pPr>
        <w:pStyle w:val="Prrafodelista"/>
        <w:numPr>
          <w:ilvl w:val="0"/>
          <w:numId w:val="16"/>
        </w:numPr>
        <w:spacing w:after="0" w:line="276" w:lineRule="auto"/>
        <w:ind w:left="426"/>
        <w:contextualSpacing w:val="0"/>
        <w:jc w:val="both"/>
        <w:rPr>
          <w:rFonts w:ascii="Verdana" w:eastAsia="Times New Roman" w:hAnsi="Verdana" w:cs="Arial"/>
          <w:lang w:val="es-ES_tradnl" w:eastAsia="es-ES_tradnl"/>
        </w:rPr>
      </w:pPr>
      <w:r w:rsidRPr="00B715C6">
        <w:rPr>
          <w:rFonts w:ascii="Verdana" w:eastAsia="Century Gothic" w:hAnsi="Verdana" w:cs="Century Gothic"/>
          <w:b/>
          <w:bCs/>
        </w:rPr>
        <w:t>Referencias normativas, jurisprudenciales y otras fuentes:</w:t>
      </w:r>
    </w:p>
    <w:p w14:paraId="6A1D7BA9" w14:textId="77777777" w:rsidR="004F240F" w:rsidRPr="00593A5F" w:rsidRDefault="004F240F" w:rsidP="004F240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F240F" w:rsidRPr="00593A5F" w14:paraId="10A0BECF" w14:textId="77777777" w:rsidTr="009B4DB8">
        <w:trPr>
          <w:trHeight w:val="870"/>
        </w:trPr>
        <w:tc>
          <w:tcPr>
            <w:tcW w:w="8647" w:type="dxa"/>
          </w:tcPr>
          <w:p w14:paraId="081DF45D" w14:textId="77777777" w:rsidR="004F240F"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Constitución Política: Artículo 127.</w:t>
            </w:r>
          </w:p>
          <w:p w14:paraId="003451D4" w14:textId="77777777" w:rsidR="004F240F" w:rsidRPr="00377B05"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Ley 996 de 2005: artículos 33 y 38 parágrafo.</w:t>
            </w:r>
          </w:p>
          <w:p w14:paraId="7233F4C6" w14:textId="77777777" w:rsidR="004F240F" w:rsidRDefault="004F240F" w:rsidP="004F240F">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Ley 1150 de 2007, Artículo 2, numeral 4.</w:t>
            </w:r>
          </w:p>
          <w:p w14:paraId="4E424A1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602032E2"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4E4CF79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79C366D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584D6A7F"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2CFB780F"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Corte Constitucional, Sentencia C-1153 de 11 de noviembre de 2005, M.P. Marco Gerardo Monroy Cabra.</w:t>
            </w:r>
          </w:p>
          <w:p w14:paraId="46399CD5"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 xml:space="preserve">Corte Constitucional, Sentencia C-736 de 2007, M.P. Marco Gerardo </w:t>
            </w:r>
            <w:r w:rsidRPr="00BA4B56">
              <w:rPr>
                <w:rFonts w:ascii="Verdana" w:hAnsi="Verdana" w:cs="Arial"/>
                <w:lang w:val="es-ES"/>
              </w:rPr>
              <w:lastRenderedPageBreak/>
              <w:t>Monroy Cabra.</w:t>
            </w:r>
          </w:p>
          <w:p w14:paraId="2B4278DD"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302375D3"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p>
          <w:p w14:paraId="5B6BFAB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20 de febrero de 2006, Rad. 1727, C.P. Enrique José Arboleda Perdomo.</w:t>
            </w:r>
          </w:p>
          <w:p w14:paraId="587D2660"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6 de abril de 2006, Rad. 1738, C.P. Enrique José Arboleda Perdomo.</w:t>
            </w:r>
          </w:p>
          <w:p w14:paraId="5436150E" w14:textId="77777777" w:rsidR="004F240F" w:rsidRPr="00BA4B56" w:rsidRDefault="004F240F" w:rsidP="004F240F">
            <w:pPr>
              <w:widowControl w:val="0"/>
              <w:numPr>
                <w:ilvl w:val="0"/>
                <w:numId w:val="17"/>
              </w:numPr>
              <w:autoSpaceDE w:val="0"/>
              <w:autoSpaceDN w:val="0"/>
              <w:spacing w:line="276" w:lineRule="auto"/>
              <w:jc w:val="both"/>
              <w:rPr>
                <w:rFonts w:ascii="Verdana" w:hAnsi="Verdana" w:cs="Arial"/>
                <w:lang w:val="es-ES"/>
              </w:rPr>
            </w:pPr>
            <w:r w:rsidRPr="00BA4B56">
              <w:rPr>
                <w:rFonts w:ascii="Verdana" w:hAnsi="Verdana" w:cs="Arial"/>
                <w:lang w:val="es-ES"/>
              </w:rPr>
              <w:t xml:space="preserve">Consejo de Estado, Sala de lo Contencioso Administrativo, Sección Tercera, Sentencia de 3 de diciembre de 2007, </w:t>
            </w:r>
            <w:proofErr w:type="spellStart"/>
            <w:r w:rsidRPr="00BA4B56">
              <w:rPr>
                <w:rFonts w:ascii="Verdana" w:hAnsi="Verdana" w:cs="Arial"/>
                <w:lang w:val="es-ES"/>
              </w:rPr>
              <w:t>Exp</w:t>
            </w:r>
            <w:proofErr w:type="spellEnd"/>
            <w:r w:rsidRPr="00BA4B56">
              <w:rPr>
                <w:rFonts w:ascii="Verdana" w:hAnsi="Verdana" w:cs="Arial"/>
                <w:lang w:val="es-ES"/>
              </w:rPr>
              <w:t>. 24.715, 25.206, 25.409, 24.524, 27.834, 25.410, 26.105, 28.244, 31.447 (acumulados).</w:t>
            </w:r>
          </w:p>
          <w:p w14:paraId="39D28E4E"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5DAA2678"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6392A527"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0BD6C806"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49C45583" w14:textId="77777777" w:rsidR="004F240F" w:rsidRPr="0092765E" w:rsidRDefault="004F240F" w:rsidP="004F240F">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17 de febrero de 2015, Rad. 2269, C.P. William Zambrano Cetina.</w:t>
            </w:r>
          </w:p>
          <w:p w14:paraId="0C11596F" w14:textId="77777777" w:rsidR="004F240F" w:rsidRPr="00797E96" w:rsidRDefault="004F240F" w:rsidP="004F240F">
            <w:pPr>
              <w:widowControl w:val="0"/>
              <w:numPr>
                <w:ilvl w:val="0"/>
                <w:numId w:val="17"/>
              </w:numPr>
              <w:autoSpaceDE w:val="0"/>
              <w:autoSpaceDN w:val="0"/>
              <w:spacing w:line="276" w:lineRule="auto"/>
              <w:jc w:val="both"/>
              <w:rPr>
                <w:rFonts w:ascii="Verdana" w:hAnsi="Verdana" w:cs="Arial"/>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01C4C99E" w14:textId="77777777" w:rsidR="004F240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57771A3" w14:textId="77777777" w:rsidR="004F240F" w:rsidRDefault="004F240F" w:rsidP="004F240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24F5FC0" w14:textId="77777777" w:rsidR="004F240F" w:rsidRPr="00593A5F" w:rsidRDefault="004F240F" w:rsidP="004F240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A18F196" w14:textId="77777777" w:rsidR="004F240F" w:rsidRDefault="004F240F" w:rsidP="004F240F">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w:t>
      </w:r>
      <w:r w:rsidRPr="00EA47ED">
        <w:rPr>
          <w:rFonts w:ascii="Verdana" w:hAnsi="Verdana" w:cs="Arial"/>
          <w:shd w:val="clear" w:color="auto" w:fill="FFFFFF"/>
        </w:rPr>
        <w:lastRenderedPageBreak/>
        <w:t xml:space="preserve">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 y C–750 de 17 de julio 2025</w:t>
      </w: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eastAsia="Aptos" w:hAnsi="Verdana" w:cs="Arial"/>
          <w:shd w:val="clear" w:color="auto" w:fill="FFFFFF"/>
          <w:lang w:val="es-ES"/>
        </w:rPr>
        <w:t xml:space="preserve">. </w:t>
      </w:r>
      <w:r w:rsidRPr="000C14B8">
        <w:rPr>
          <w:rFonts w:ascii="Verdana" w:eastAsia="Calibri" w:hAnsi="Verdana" w:cs="Arial"/>
          <w:lang w:val="es-ES" w:eastAsia="es-ES_tradnl"/>
        </w:rPr>
        <w:t>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69F8E11B" w14:textId="77777777" w:rsidR="004F240F" w:rsidRDefault="004F240F" w:rsidP="004F240F">
      <w:pPr>
        <w:widowControl w:val="0"/>
        <w:autoSpaceDE w:val="0"/>
        <w:autoSpaceDN w:val="0"/>
        <w:spacing w:after="0" w:line="276" w:lineRule="auto"/>
        <w:jc w:val="both"/>
        <w:rPr>
          <w:rFonts w:ascii="Verdana" w:hAnsi="Verdana" w:cs="Arial"/>
          <w:color w:val="0563C1" w:themeColor="hyperlink"/>
          <w:u w:val="single"/>
          <w:shd w:val="clear" w:color="auto" w:fill="FFFFFF"/>
          <w:lang w:val="es-ES"/>
        </w:rPr>
      </w:pPr>
    </w:p>
    <w:p w14:paraId="0BE0C2F2" w14:textId="77777777" w:rsidR="004F240F" w:rsidRPr="00073A28" w:rsidRDefault="004F240F" w:rsidP="004F240F">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2"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48A3743D" w14:textId="77777777" w:rsidR="004F240F" w:rsidRPr="003D0447" w:rsidRDefault="004F240F" w:rsidP="004F240F">
      <w:pPr>
        <w:widowControl w:val="0"/>
        <w:autoSpaceDE w:val="0"/>
        <w:autoSpaceDN w:val="0"/>
        <w:spacing w:after="0" w:line="276" w:lineRule="auto"/>
        <w:jc w:val="both"/>
        <w:rPr>
          <w:rFonts w:ascii="Verdana" w:hAnsi="Verdana"/>
        </w:rPr>
      </w:pPr>
    </w:p>
    <w:p w14:paraId="41AF1616" w14:textId="77777777" w:rsidR="004F240F" w:rsidRPr="00505CD6" w:rsidRDefault="004F240F" w:rsidP="004F240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74EF203B" w14:textId="77777777" w:rsidR="004F240F" w:rsidRPr="00505CD6" w:rsidRDefault="004F240F" w:rsidP="004F240F">
      <w:pPr>
        <w:widowControl w:val="0"/>
        <w:autoSpaceDE w:val="0"/>
        <w:autoSpaceDN w:val="0"/>
        <w:spacing w:after="0" w:line="276" w:lineRule="auto"/>
        <w:jc w:val="both"/>
        <w:rPr>
          <w:rFonts w:ascii="Verdana" w:hAnsi="Verdana" w:cs="Arial"/>
        </w:rPr>
      </w:pPr>
    </w:p>
    <w:p w14:paraId="14B47A43" w14:textId="77777777" w:rsidR="004F240F" w:rsidRDefault="004F240F" w:rsidP="004F240F">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AC31582" w14:textId="08555361" w:rsidR="004F240F" w:rsidRDefault="00DB76FA" w:rsidP="004F240F">
      <w:pPr>
        <w:spacing w:after="0" w:line="276" w:lineRule="auto"/>
        <w:jc w:val="center"/>
        <w:rPr>
          <w:rFonts w:ascii="Verdana" w:hAnsi="Verdana"/>
          <w:lang w:val="es-ES_tradnl"/>
        </w:rPr>
      </w:pPr>
      <w:r>
        <w:rPr>
          <w:rFonts w:ascii="Verdana" w:hAnsi="Verdana"/>
          <w:noProof/>
          <w:lang w:val="es-ES_tradnl"/>
        </w:rPr>
        <w:drawing>
          <wp:inline distT="0" distB="0" distL="0" distR="0" wp14:anchorId="4C6C6C41" wp14:editId="2023BE85">
            <wp:extent cx="3639058" cy="1343212"/>
            <wp:effectExtent l="0" t="0" r="0" b="0"/>
            <wp:docPr id="111331209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312096"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08012EEE" w14:textId="77777777" w:rsidR="00F41C15" w:rsidRDefault="00F41C15" w:rsidP="004F240F">
      <w:pPr>
        <w:spacing w:after="0" w:line="276" w:lineRule="auto"/>
        <w:jc w:val="center"/>
        <w:rPr>
          <w:rFonts w:ascii="Verdana" w:hAnsi="Verdana"/>
          <w:lang w:val="es-ES_tradn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F240F" w:rsidRPr="00D53651" w14:paraId="37513F5F" w14:textId="77777777" w:rsidTr="009B4DB8">
        <w:trPr>
          <w:trHeight w:val="315"/>
        </w:trPr>
        <w:tc>
          <w:tcPr>
            <w:tcW w:w="893" w:type="dxa"/>
            <w:vAlign w:val="center"/>
            <w:hideMark/>
          </w:tcPr>
          <w:p w14:paraId="591D0CC5"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4A7FB4A9" w14:textId="11A3D063" w:rsidR="004F240F" w:rsidRPr="00D53651" w:rsidRDefault="00F41C15" w:rsidP="009B4DB8">
            <w:pPr>
              <w:spacing w:line="276" w:lineRule="auto"/>
              <w:jc w:val="both"/>
              <w:rPr>
                <w:rFonts w:ascii="Verdana" w:hAnsi="Verdana"/>
                <w:sz w:val="16"/>
                <w:szCs w:val="16"/>
              </w:rPr>
            </w:pPr>
            <w:r>
              <w:rPr>
                <w:rFonts w:ascii="Verdana" w:hAnsi="Verdana"/>
                <w:sz w:val="16"/>
                <w:szCs w:val="16"/>
              </w:rPr>
              <w:t>Gloria Elizabeth Arango Builes</w:t>
            </w:r>
            <w:r w:rsidR="004F240F" w:rsidRPr="00D53651">
              <w:rPr>
                <w:rFonts w:ascii="Verdana" w:hAnsi="Verdana"/>
                <w:sz w:val="16"/>
                <w:szCs w:val="16"/>
              </w:rPr>
              <w:t xml:space="preserve"> </w:t>
            </w:r>
          </w:p>
          <w:p w14:paraId="2042A218"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4F240F" w:rsidRPr="00D53651" w14:paraId="324D4780" w14:textId="77777777" w:rsidTr="009B4DB8">
        <w:trPr>
          <w:trHeight w:val="330"/>
        </w:trPr>
        <w:tc>
          <w:tcPr>
            <w:tcW w:w="893" w:type="dxa"/>
            <w:vAlign w:val="center"/>
            <w:hideMark/>
          </w:tcPr>
          <w:p w14:paraId="42F8F262"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lastRenderedPageBreak/>
              <w:t>Revisó:</w:t>
            </w:r>
          </w:p>
        </w:tc>
        <w:tc>
          <w:tcPr>
            <w:tcW w:w="5628" w:type="dxa"/>
            <w:tcBorders>
              <w:top w:val="dotted" w:sz="4" w:space="0" w:color="7F7F7F"/>
              <w:left w:val="nil"/>
              <w:bottom w:val="dotted" w:sz="4" w:space="0" w:color="7F7F7F"/>
              <w:right w:val="nil"/>
            </w:tcBorders>
            <w:vAlign w:val="center"/>
            <w:hideMark/>
          </w:tcPr>
          <w:p w14:paraId="63776F65" w14:textId="77777777" w:rsidR="004F240F" w:rsidRPr="00D53651" w:rsidRDefault="004F240F" w:rsidP="009B4DB8">
            <w:pPr>
              <w:spacing w:line="276" w:lineRule="auto"/>
              <w:jc w:val="both"/>
              <w:rPr>
                <w:rFonts w:ascii="Verdana" w:hAnsi="Verdana"/>
                <w:sz w:val="16"/>
                <w:szCs w:val="16"/>
              </w:rPr>
            </w:pPr>
            <w:r>
              <w:rPr>
                <w:rFonts w:ascii="Verdana" w:hAnsi="Verdana"/>
                <w:sz w:val="16"/>
                <w:szCs w:val="16"/>
              </w:rPr>
              <w:t>Juan Carlos González Vásquez</w:t>
            </w:r>
            <w:r w:rsidRPr="00D53651">
              <w:rPr>
                <w:rFonts w:ascii="Verdana" w:hAnsi="Verdana"/>
                <w:sz w:val="16"/>
                <w:szCs w:val="16"/>
              </w:rPr>
              <w:t xml:space="preserve"> </w:t>
            </w:r>
          </w:p>
          <w:p w14:paraId="77F94EB4"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4F240F" w:rsidRPr="00D53651" w14:paraId="02E9E626" w14:textId="77777777" w:rsidTr="009B4DB8">
        <w:trPr>
          <w:trHeight w:val="300"/>
        </w:trPr>
        <w:tc>
          <w:tcPr>
            <w:tcW w:w="893" w:type="dxa"/>
            <w:vAlign w:val="center"/>
            <w:hideMark/>
          </w:tcPr>
          <w:p w14:paraId="59BCD9EE" w14:textId="77777777" w:rsidR="004F240F" w:rsidRPr="00D53651" w:rsidRDefault="004F240F" w:rsidP="009B4DB8">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3D0176E6" w14:textId="77777777" w:rsidR="004F240F" w:rsidRPr="00D53651" w:rsidRDefault="004F240F" w:rsidP="009B4DB8">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C3B1D8F" w14:textId="77777777" w:rsidR="004F240F" w:rsidRPr="00D53651" w:rsidRDefault="004F240F" w:rsidP="009B4DB8">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622EE232" w14:textId="77777777" w:rsidR="004F240F" w:rsidRPr="000931E9" w:rsidRDefault="004F240F" w:rsidP="004F240F"/>
    <w:p w14:paraId="3BA88051" w14:textId="77777777" w:rsidR="004F240F" w:rsidRPr="0044528D" w:rsidRDefault="004F240F" w:rsidP="004F240F">
      <w:pPr>
        <w:spacing w:after="0"/>
        <w:rPr>
          <w:rFonts w:ascii="Verdana" w:hAnsi="Verdana"/>
        </w:rPr>
      </w:pPr>
    </w:p>
    <w:p w14:paraId="4A4F8056" w14:textId="77777777" w:rsidR="004F240F" w:rsidRPr="00FA01E0" w:rsidRDefault="004F240F" w:rsidP="004F240F">
      <w:pPr>
        <w:spacing w:after="0" w:line="276" w:lineRule="auto"/>
        <w:jc w:val="both"/>
        <w:rPr>
          <w:rFonts w:ascii="Verdana" w:eastAsia="Calibri" w:hAnsi="Verdana" w:cs="Arial"/>
          <w:lang w:val="es-ES"/>
        </w:rPr>
      </w:pPr>
    </w:p>
    <w:p w14:paraId="0F293BF4" w14:textId="7504785A" w:rsidR="00127233" w:rsidRPr="004F240F" w:rsidRDefault="00127233" w:rsidP="004F240F"/>
    <w:sectPr w:rsidR="00127233" w:rsidRPr="004F240F"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77F788" w14:textId="77777777" w:rsidR="00855D41" w:rsidRDefault="00855D41" w:rsidP="004A1847">
      <w:pPr>
        <w:spacing w:after="0" w:line="240" w:lineRule="auto"/>
      </w:pPr>
      <w:r>
        <w:separator/>
      </w:r>
    </w:p>
  </w:endnote>
  <w:endnote w:type="continuationSeparator" w:id="0">
    <w:p w14:paraId="49595F52" w14:textId="77777777" w:rsidR="00855D41" w:rsidRDefault="00855D41" w:rsidP="004A1847">
      <w:pPr>
        <w:spacing w:after="0" w:line="240" w:lineRule="auto"/>
      </w:pPr>
      <w:r>
        <w:continuationSeparator/>
      </w:r>
    </w:p>
  </w:endnote>
  <w:endnote w:type="continuationNotice" w:id="1">
    <w:p w14:paraId="23F7C6F2" w14:textId="77777777" w:rsidR="00855D41" w:rsidRDefault="00855D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6A87B" w14:textId="77777777" w:rsidR="00855D41" w:rsidRDefault="00855D41" w:rsidP="004A1847">
      <w:pPr>
        <w:spacing w:after="0" w:line="240" w:lineRule="auto"/>
      </w:pPr>
      <w:r>
        <w:separator/>
      </w:r>
    </w:p>
  </w:footnote>
  <w:footnote w:type="continuationSeparator" w:id="0">
    <w:p w14:paraId="659D92DC" w14:textId="77777777" w:rsidR="00855D41" w:rsidRDefault="00855D41" w:rsidP="004A1847">
      <w:pPr>
        <w:spacing w:after="0" w:line="240" w:lineRule="auto"/>
      </w:pPr>
      <w:r>
        <w:continuationSeparator/>
      </w:r>
    </w:p>
  </w:footnote>
  <w:footnote w:type="continuationNotice" w:id="1">
    <w:p w14:paraId="53D7F3B1" w14:textId="77777777" w:rsidR="00855D41" w:rsidRDefault="00855D41">
      <w:pPr>
        <w:spacing w:after="0" w:line="240" w:lineRule="auto"/>
      </w:pPr>
    </w:p>
  </w:footnote>
  <w:footnote w:id="2">
    <w:p w14:paraId="59DCA63E"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0E26D59" w14:textId="77777777" w:rsidR="004F240F" w:rsidRDefault="004F240F" w:rsidP="004F240F">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p w14:paraId="09899420" w14:textId="77777777" w:rsidR="004F240F" w:rsidRPr="009B20C5" w:rsidRDefault="004F240F" w:rsidP="004F240F">
      <w:pPr>
        <w:pStyle w:val="Textonotapie"/>
        <w:ind w:firstLine="709"/>
        <w:jc w:val="both"/>
        <w:rPr>
          <w:rFonts w:ascii="Verdana" w:hAnsi="Verdana" w:cs="Arial"/>
          <w:sz w:val="16"/>
          <w:szCs w:val="16"/>
        </w:rPr>
      </w:pPr>
    </w:p>
  </w:footnote>
  <w:footnote w:id="3">
    <w:p w14:paraId="7E044A37"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05A02D56" w14:textId="77777777" w:rsidR="004F240F" w:rsidRPr="009B20C5" w:rsidRDefault="004F240F" w:rsidP="004F240F">
      <w:pPr>
        <w:pStyle w:val="Textonotapie"/>
        <w:ind w:firstLine="709"/>
        <w:jc w:val="both"/>
        <w:rPr>
          <w:rFonts w:ascii="Verdana" w:hAnsi="Verdana" w:cs="Arial"/>
          <w:sz w:val="16"/>
          <w:szCs w:val="16"/>
        </w:rPr>
      </w:pPr>
    </w:p>
  </w:footnote>
  <w:footnote w:id="4">
    <w:p w14:paraId="6CF7F629"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7FAB6C64" w14:textId="77777777" w:rsidR="004F240F" w:rsidRPr="009B20C5" w:rsidRDefault="004F240F" w:rsidP="004F240F">
      <w:pPr>
        <w:pStyle w:val="Textonotapie"/>
        <w:ind w:firstLine="709"/>
        <w:jc w:val="both"/>
        <w:rPr>
          <w:rFonts w:ascii="Verdana" w:hAnsi="Verdana" w:cs="Arial"/>
          <w:sz w:val="16"/>
          <w:szCs w:val="16"/>
        </w:rPr>
      </w:pPr>
    </w:p>
  </w:footnote>
  <w:footnote w:id="5">
    <w:p w14:paraId="6E6A2EF0"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7A979BB4" w14:textId="77777777" w:rsidR="004F240F" w:rsidRPr="009B20C5" w:rsidRDefault="004F240F" w:rsidP="004F240F">
      <w:pPr>
        <w:pStyle w:val="Textonotapie"/>
        <w:ind w:firstLine="709"/>
        <w:jc w:val="both"/>
        <w:rPr>
          <w:rFonts w:ascii="Verdana" w:hAnsi="Verdana" w:cs="Arial"/>
          <w:sz w:val="16"/>
          <w:szCs w:val="16"/>
        </w:rPr>
      </w:pPr>
    </w:p>
  </w:footnote>
  <w:footnote w:id="6">
    <w:p w14:paraId="253D4599" w14:textId="77777777" w:rsidR="004F240F" w:rsidRDefault="004F240F" w:rsidP="004F240F">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3AA3C624" w14:textId="77777777" w:rsidR="004F240F" w:rsidRPr="009B20C5" w:rsidRDefault="004F240F" w:rsidP="004F240F">
      <w:pPr>
        <w:pStyle w:val="Textonotapie"/>
        <w:ind w:firstLine="709"/>
        <w:jc w:val="both"/>
        <w:rPr>
          <w:rFonts w:ascii="Verdana" w:hAnsi="Verdana" w:cs="Arial"/>
          <w:sz w:val="16"/>
          <w:szCs w:val="16"/>
          <w:lang w:val="es-CO"/>
        </w:rPr>
      </w:pPr>
    </w:p>
  </w:footnote>
  <w:footnote w:id="7">
    <w:p w14:paraId="37F51876"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50B84859" w14:textId="77777777" w:rsidR="004F240F" w:rsidRPr="009B20C5" w:rsidRDefault="004F240F" w:rsidP="004F240F">
      <w:pPr>
        <w:pStyle w:val="Textonotapie"/>
        <w:ind w:firstLine="709"/>
        <w:jc w:val="both"/>
        <w:rPr>
          <w:rFonts w:ascii="Verdana" w:hAnsi="Verdana" w:cs="Arial"/>
          <w:sz w:val="16"/>
          <w:szCs w:val="16"/>
        </w:rPr>
      </w:pPr>
    </w:p>
  </w:footnote>
  <w:footnote w:id="8">
    <w:p w14:paraId="48BC643C" w14:textId="77777777" w:rsidR="004F240F" w:rsidRDefault="004F240F" w:rsidP="004F240F">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7E5E2CD5" w14:textId="77777777" w:rsidR="004F240F" w:rsidRPr="0069134B" w:rsidRDefault="004F240F" w:rsidP="004F240F">
      <w:pPr>
        <w:spacing w:after="0" w:line="240" w:lineRule="auto"/>
        <w:ind w:firstLine="709"/>
        <w:jc w:val="both"/>
        <w:rPr>
          <w:rFonts w:ascii="Verdana" w:hAnsi="Verdana" w:cs="Arial"/>
          <w:sz w:val="16"/>
          <w:szCs w:val="16"/>
          <w:lang w:val="es-ES"/>
        </w:rPr>
      </w:pPr>
    </w:p>
  </w:footnote>
  <w:footnote w:id="9">
    <w:p w14:paraId="7DEADBD0" w14:textId="77777777" w:rsidR="004F240F" w:rsidRPr="009B20C5"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8" w:name="_Hlk74272731"/>
      <w:r>
        <w:rPr>
          <w:rFonts w:ascii="Verdana" w:hAnsi="Verdana" w:cs="Arial"/>
          <w:sz w:val="16"/>
          <w:szCs w:val="16"/>
        </w:rPr>
        <w:t>“</w:t>
      </w:r>
      <w:bookmarkEnd w:id="8"/>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r w:rsidRPr="0069134B">
        <w:rPr>
          <w:rFonts w:ascii="Verdana" w:hAnsi="Verdana" w:cs="Arial"/>
          <w:sz w:val="16"/>
          <w:szCs w:val="16"/>
        </w:rPr>
        <w:t>-</w:t>
      </w:r>
      <w:bookmarkStart w:id="9" w:name="_Hlk74271358"/>
      <w:r>
        <w:rPr>
          <w:rFonts w:ascii="Verdana" w:hAnsi="Verdana" w:cs="Arial"/>
          <w:sz w:val="16"/>
          <w:szCs w:val="16"/>
        </w:rPr>
        <w:t>“</w:t>
      </w:r>
      <w:bookmarkEnd w:id="9"/>
      <w:r w:rsidRPr="0069134B">
        <w:rPr>
          <w:rFonts w:ascii="Verdana" w:hAnsi="Verdana" w:cs="Arial"/>
          <w:sz w:val="16"/>
          <w:szCs w:val="16"/>
        </w:rPr>
        <w:t>.</w:t>
      </w:r>
    </w:p>
  </w:footnote>
  <w:footnote w:id="10">
    <w:p w14:paraId="35FFC541"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Al respecto ver el concepto 1712 de 2 de febrero de 2006. Consejo de Estado Sala de Consulta y Servicio Civil</w:t>
      </w:r>
    </w:p>
    <w:p w14:paraId="303F30D8" w14:textId="77777777" w:rsidR="004F240F" w:rsidRPr="009B20C5" w:rsidRDefault="004F240F" w:rsidP="004F240F">
      <w:pPr>
        <w:pStyle w:val="Textonotapie"/>
        <w:ind w:firstLine="709"/>
        <w:jc w:val="both"/>
        <w:rPr>
          <w:rFonts w:ascii="Verdana" w:hAnsi="Verdana" w:cs="Arial"/>
          <w:sz w:val="16"/>
          <w:szCs w:val="16"/>
        </w:rPr>
      </w:pPr>
      <w:r w:rsidRPr="0069134B">
        <w:rPr>
          <w:rFonts w:ascii="Verdana" w:hAnsi="Verdana" w:cs="Arial"/>
          <w:sz w:val="16"/>
          <w:szCs w:val="16"/>
        </w:rPr>
        <w:t>.</w:t>
      </w:r>
    </w:p>
  </w:footnote>
  <w:footnote w:id="11">
    <w:p w14:paraId="0341AD55" w14:textId="77777777" w:rsidR="004F240F" w:rsidRDefault="004F240F" w:rsidP="004F240F">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09A347B6" w14:textId="77777777" w:rsidR="004F240F" w:rsidRPr="0069134B" w:rsidRDefault="004F240F" w:rsidP="004F240F">
      <w:pPr>
        <w:pStyle w:val="Textonotapie"/>
        <w:ind w:firstLine="709"/>
        <w:jc w:val="both"/>
        <w:rPr>
          <w:rFonts w:ascii="Verdana" w:hAnsi="Verdana" w:cs="Arial"/>
          <w:sz w:val="16"/>
          <w:szCs w:val="16"/>
        </w:rPr>
      </w:pPr>
    </w:p>
  </w:footnote>
  <w:footnote w:id="12">
    <w:p w14:paraId="5802BC94" w14:textId="77777777" w:rsidR="004F240F" w:rsidRPr="009B20C5"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3">
    <w:p w14:paraId="7C0951B8" w14:textId="77777777" w:rsidR="004F240F" w:rsidRDefault="004F240F" w:rsidP="004F240F">
      <w:pPr>
        <w:pStyle w:val="Textonotapie"/>
        <w:ind w:firstLine="709"/>
        <w:jc w:val="both"/>
        <w:rPr>
          <w:rFonts w:ascii="Verdana" w:hAnsi="Verdana" w:cs="Arial"/>
          <w:sz w:val="16"/>
          <w:szCs w:val="16"/>
        </w:rPr>
      </w:pPr>
    </w:p>
    <w:p w14:paraId="0C90FA35" w14:textId="77777777" w:rsidR="004F240F" w:rsidRPr="009B20C5"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footnote>
  <w:footnote w:id="14">
    <w:p w14:paraId="30DB6832" w14:textId="77777777" w:rsidR="004F240F" w:rsidRPr="009B20C5" w:rsidRDefault="004F240F" w:rsidP="004F240F">
      <w:pPr>
        <w:pStyle w:val="Textonotapie"/>
        <w:ind w:firstLine="709"/>
        <w:jc w:val="both"/>
        <w:rPr>
          <w:rFonts w:ascii="Verdana" w:hAnsi="Verdana" w:cs="Arial"/>
          <w:sz w:val="16"/>
          <w:szCs w:val="16"/>
        </w:rPr>
      </w:pPr>
    </w:p>
    <w:p w14:paraId="6C390EB1" w14:textId="77777777" w:rsidR="004F240F" w:rsidRDefault="004F240F" w:rsidP="004F240F">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 A este respecto, cabe recordar que el artículo 860 del Código de Comercio regula la licitación en el derecho privado. </w:t>
      </w:r>
    </w:p>
    <w:p w14:paraId="63F595E8" w14:textId="77777777" w:rsidR="004F240F" w:rsidRPr="009B20C5" w:rsidRDefault="004F240F" w:rsidP="004F240F">
      <w:pPr>
        <w:pStyle w:val="Textonotapie"/>
        <w:ind w:firstLine="709"/>
        <w:jc w:val="both"/>
        <w:rPr>
          <w:rFonts w:ascii="Verdana" w:hAnsi="Verdana" w:cs="Arial"/>
          <w:sz w:val="16"/>
          <w:szCs w:val="16"/>
          <w:lang w:val="es-ES"/>
        </w:rPr>
      </w:pPr>
    </w:p>
  </w:footnote>
  <w:footnote w:id="15">
    <w:p w14:paraId="5F84DDFD" w14:textId="77777777" w:rsidR="004F240F" w:rsidRDefault="004F240F" w:rsidP="004F240F">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Consejo de Estado. Sala de Consulta y Servicio Civil, Concepto de 8 de mayo de 2018. Radicación Número: 11001-03-06-000-2018-00095-00(2382). Consejero Ponente: Álvaro Namén Vargas.</w:t>
      </w:r>
    </w:p>
    <w:p w14:paraId="074524A8" w14:textId="77777777" w:rsidR="004F240F" w:rsidRPr="009B20C5" w:rsidRDefault="004F240F" w:rsidP="004F240F">
      <w:pPr>
        <w:shd w:val="clear" w:color="auto" w:fill="FFFFFF"/>
        <w:spacing w:after="0" w:line="240" w:lineRule="auto"/>
        <w:ind w:firstLine="709"/>
        <w:jc w:val="both"/>
        <w:rPr>
          <w:rFonts w:ascii="Verdana" w:hAnsi="Verdana" w:cs="Arial"/>
          <w:sz w:val="16"/>
          <w:szCs w:val="16"/>
          <w:lang w:val="es-ES"/>
        </w:rPr>
      </w:pPr>
    </w:p>
  </w:footnote>
  <w:footnote w:id="16">
    <w:p w14:paraId="029BEA2C"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Exp. 2.382. C.P. Álvaro Namén Vargas.</w:t>
      </w:r>
    </w:p>
    <w:p w14:paraId="327342BF" w14:textId="77777777" w:rsidR="004F240F" w:rsidRPr="009B20C5" w:rsidRDefault="004F240F" w:rsidP="004F240F">
      <w:pPr>
        <w:pStyle w:val="Textonotapie"/>
        <w:ind w:firstLine="709"/>
        <w:jc w:val="both"/>
        <w:rPr>
          <w:rFonts w:ascii="Verdana" w:hAnsi="Verdana" w:cs="Arial"/>
          <w:sz w:val="16"/>
          <w:szCs w:val="16"/>
        </w:rPr>
      </w:pPr>
    </w:p>
  </w:footnote>
  <w:footnote w:id="17">
    <w:p w14:paraId="0AD46C0A" w14:textId="77777777" w:rsidR="004F240F" w:rsidRDefault="004F240F" w:rsidP="004F240F">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2416D2A" w14:textId="77777777" w:rsidR="004F240F" w:rsidRPr="009B20C5" w:rsidRDefault="004F240F" w:rsidP="004F240F">
      <w:pPr>
        <w:pStyle w:val="Textonotapie"/>
        <w:ind w:firstLine="709"/>
        <w:jc w:val="both"/>
        <w:rPr>
          <w:rFonts w:ascii="Verdana" w:hAnsi="Verdana" w:cs="Arial"/>
          <w:sz w:val="16"/>
          <w:szCs w:val="16"/>
        </w:rPr>
      </w:pPr>
    </w:p>
  </w:footnote>
  <w:footnote w:id="18">
    <w:p w14:paraId="73059A34" w14:textId="77777777" w:rsidR="004F240F" w:rsidRDefault="004F240F" w:rsidP="004F240F">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8F9B4B4" w14:textId="77777777" w:rsidR="004F240F" w:rsidRPr="009B20C5" w:rsidRDefault="004F240F" w:rsidP="004F240F">
      <w:pPr>
        <w:spacing w:after="0" w:line="240" w:lineRule="auto"/>
        <w:ind w:firstLine="709"/>
        <w:jc w:val="both"/>
        <w:rPr>
          <w:rFonts w:ascii="Verdana" w:hAnsi="Verdana" w:cs="Arial"/>
          <w:sz w:val="16"/>
          <w:szCs w:val="16"/>
        </w:rPr>
      </w:pPr>
    </w:p>
  </w:footnote>
  <w:footnote w:id="19">
    <w:p w14:paraId="5E9621F3" w14:textId="77777777" w:rsidR="004F240F" w:rsidRDefault="004F240F" w:rsidP="004F240F">
      <w:pPr>
        <w:pStyle w:val="Textonotapie"/>
        <w:ind w:firstLine="709"/>
        <w:jc w:val="both"/>
        <w:rPr>
          <w:rFonts w:ascii="Verdana" w:hAnsi="Verdana" w:cs="Arial"/>
          <w:sz w:val="16"/>
          <w:szCs w:val="16"/>
        </w:rPr>
      </w:pPr>
      <w:r w:rsidRPr="0069134B">
        <w:rPr>
          <w:rStyle w:val="Refdenotaalpie"/>
          <w:rFonts w:ascii="Verdana" w:hAnsi="Verdana" w:cs="Arial"/>
          <w:sz w:val="16"/>
          <w:szCs w:val="16"/>
        </w:rPr>
        <w:footnoteRef/>
      </w:r>
      <w:r w:rsidRPr="0069134B">
        <w:rPr>
          <w:rFonts w:ascii="Verdana" w:hAnsi="Verdana" w:cs="Arial"/>
          <w:sz w:val="16"/>
          <w:szCs w:val="16"/>
        </w:rPr>
        <w:t xml:space="preserve"> Es lo que sucede, por ejemplo, con el Decreto 092 de 2017, que en su desarrollo hace referencia tanto a los “contratos” como a los “convenios”. </w:t>
      </w:r>
    </w:p>
    <w:p w14:paraId="40A148D6" w14:textId="77777777" w:rsidR="004F240F" w:rsidRPr="0069134B" w:rsidRDefault="004F240F" w:rsidP="004F240F">
      <w:pPr>
        <w:pStyle w:val="Textonotapie"/>
        <w:ind w:firstLine="709"/>
        <w:jc w:val="both"/>
        <w:rPr>
          <w:rFonts w:ascii="Verdana" w:hAnsi="Verdana" w:cs="Arial"/>
          <w:sz w:val="16"/>
          <w:szCs w:val="16"/>
        </w:rPr>
      </w:pPr>
    </w:p>
  </w:footnote>
  <w:footnote w:id="20">
    <w:p w14:paraId="06740041" w14:textId="77777777" w:rsidR="004F240F" w:rsidRDefault="004F240F" w:rsidP="004F240F">
      <w:pPr>
        <w:pStyle w:val="Textonotapie"/>
        <w:ind w:firstLine="709"/>
        <w:jc w:val="both"/>
        <w:rPr>
          <w:rFonts w:ascii="Verdana" w:hAnsi="Verdana" w:cs="Arial"/>
          <w:sz w:val="16"/>
          <w:szCs w:val="16"/>
          <w:lang w:val="pt-BR"/>
        </w:rPr>
      </w:pPr>
      <w:r w:rsidRPr="0069134B">
        <w:rPr>
          <w:rStyle w:val="Refdenotaalpie"/>
          <w:rFonts w:ascii="Verdana" w:hAnsi="Verdana" w:cs="Arial"/>
          <w:sz w:val="16"/>
          <w:szCs w:val="16"/>
        </w:rPr>
        <w:footnoteRef/>
      </w:r>
      <w:r w:rsidRPr="0069134B">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69134B">
        <w:rPr>
          <w:rFonts w:ascii="Verdana" w:hAnsi="Verdana" w:cs="Arial"/>
          <w:sz w:val="16"/>
          <w:szCs w:val="16"/>
          <w:lang w:val="pt-BR"/>
        </w:rPr>
        <w:t>(Corte Constitucional. Sentencia C-671 de 2015. M.P. Alberto Rojas Ríos).</w:t>
      </w:r>
    </w:p>
    <w:p w14:paraId="2B3A6E2B" w14:textId="77777777" w:rsidR="004F240F" w:rsidRPr="0069134B" w:rsidRDefault="004F240F" w:rsidP="004F240F">
      <w:pPr>
        <w:pStyle w:val="Textonotapie"/>
        <w:ind w:firstLine="709"/>
        <w:jc w:val="both"/>
        <w:rPr>
          <w:rFonts w:ascii="Verdana" w:hAnsi="Verdana" w:cs="Arial"/>
          <w:sz w:val="16"/>
          <w:szCs w:val="16"/>
          <w:lang w:val="pt-BR"/>
        </w:rPr>
      </w:pPr>
    </w:p>
  </w:footnote>
  <w:footnote w:id="21">
    <w:p w14:paraId="7BA13611" w14:textId="77777777" w:rsidR="004F240F" w:rsidRDefault="004F240F" w:rsidP="004F240F">
      <w:pPr>
        <w:pStyle w:val="Textonotapie"/>
        <w:ind w:firstLine="709"/>
        <w:jc w:val="both"/>
        <w:rPr>
          <w:rFonts w:ascii="Verdana" w:hAnsi="Verdana" w:cs="Arial"/>
          <w:sz w:val="16"/>
          <w:szCs w:val="16"/>
          <w:lang w:val="es-CO"/>
        </w:rPr>
      </w:pPr>
      <w:r w:rsidRPr="0069134B">
        <w:rPr>
          <w:rStyle w:val="Refdenotaalpie"/>
          <w:rFonts w:ascii="Verdana" w:hAnsi="Verdana"/>
          <w:sz w:val="16"/>
          <w:szCs w:val="16"/>
        </w:rPr>
        <w:footnoteRef/>
      </w:r>
      <w:r w:rsidRPr="0069134B">
        <w:rPr>
          <w:rFonts w:ascii="Verdana" w:hAnsi="Verdana"/>
          <w:sz w:val="16"/>
          <w:szCs w:val="16"/>
          <w:lang w:val="es-CO"/>
        </w:rPr>
        <w:t xml:space="preserve"> </w:t>
      </w:r>
      <w:r w:rsidRPr="0069134B">
        <w:rPr>
          <w:rFonts w:ascii="Verdana" w:hAnsi="Verdana" w:cs="Arial"/>
          <w:sz w:val="16"/>
          <w:szCs w:val="16"/>
          <w:lang w:val="es-CO"/>
        </w:rPr>
        <w:t>Consejo de Estado, Sección Tercera. Auto del 4 de octubre de 2024. Exp. 70.313. C.P: Fredy Ibarra Martínez</w:t>
      </w:r>
    </w:p>
    <w:p w14:paraId="72A43132" w14:textId="77777777" w:rsidR="004F240F" w:rsidRPr="0069134B" w:rsidRDefault="004F240F" w:rsidP="004F240F">
      <w:pPr>
        <w:pStyle w:val="Textonotapie"/>
        <w:ind w:firstLine="709"/>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3255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CD7"/>
    <w:rsid w:val="000275D7"/>
    <w:rsid w:val="00046945"/>
    <w:rsid w:val="00061B2A"/>
    <w:rsid w:val="000666D7"/>
    <w:rsid w:val="00082362"/>
    <w:rsid w:val="000A683E"/>
    <w:rsid w:val="000B19B9"/>
    <w:rsid w:val="000B3731"/>
    <w:rsid w:val="000D0334"/>
    <w:rsid w:val="000D5DA7"/>
    <w:rsid w:val="000F5A86"/>
    <w:rsid w:val="000F6486"/>
    <w:rsid w:val="00116940"/>
    <w:rsid w:val="00125105"/>
    <w:rsid w:val="00127233"/>
    <w:rsid w:val="0013317B"/>
    <w:rsid w:val="0015699B"/>
    <w:rsid w:val="001A33BF"/>
    <w:rsid w:val="001E0235"/>
    <w:rsid w:val="001E4177"/>
    <w:rsid w:val="001F0B24"/>
    <w:rsid w:val="001F7DC6"/>
    <w:rsid w:val="00214894"/>
    <w:rsid w:val="0022400B"/>
    <w:rsid w:val="002421BB"/>
    <w:rsid w:val="00244993"/>
    <w:rsid w:val="0025796E"/>
    <w:rsid w:val="002707A2"/>
    <w:rsid w:val="002951A0"/>
    <w:rsid w:val="002962BC"/>
    <w:rsid w:val="002A093D"/>
    <w:rsid w:val="002A0DD0"/>
    <w:rsid w:val="002A49AC"/>
    <w:rsid w:val="002A64FD"/>
    <w:rsid w:val="002B074D"/>
    <w:rsid w:val="002C7A84"/>
    <w:rsid w:val="002E2BF8"/>
    <w:rsid w:val="002E4FD9"/>
    <w:rsid w:val="00302BF0"/>
    <w:rsid w:val="0030657A"/>
    <w:rsid w:val="00322A85"/>
    <w:rsid w:val="00324168"/>
    <w:rsid w:val="00330834"/>
    <w:rsid w:val="003448F4"/>
    <w:rsid w:val="00374F5E"/>
    <w:rsid w:val="00377E3E"/>
    <w:rsid w:val="00383123"/>
    <w:rsid w:val="003A779E"/>
    <w:rsid w:val="003D0F4D"/>
    <w:rsid w:val="003D5B0D"/>
    <w:rsid w:val="003E0499"/>
    <w:rsid w:val="003E4F80"/>
    <w:rsid w:val="003E6439"/>
    <w:rsid w:val="003F3941"/>
    <w:rsid w:val="00406575"/>
    <w:rsid w:val="00414C74"/>
    <w:rsid w:val="0042722E"/>
    <w:rsid w:val="0043481D"/>
    <w:rsid w:val="00441B0E"/>
    <w:rsid w:val="0044528D"/>
    <w:rsid w:val="00466E39"/>
    <w:rsid w:val="0049387F"/>
    <w:rsid w:val="00497E62"/>
    <w:rsid w:val="004A1847"/>
    <w:rsid w:val="004A305D"/>
    <w:rsid w:val="004F21C4"/>
    <w:rsid w:val="004F240F"/>
    <w:rsid w:val="004F685F"/>
    <w:rsid w:val="005566E8"/>
    <w:rsid w:val="00566DA6"/>
    <w:rsid w:val="00574867"/>
    <w:rsid w:val="00591460"/>
    <w:rsid w:val="005A65E0"/>
    <w:rsid w:val="005C0F43"/>
    <w:rsid w:val="005C3777"/>
    <w:rsid w:val="005C5CDC"/>
    <w:rsid w:val="005D476C"/>
    <w:rsid w:val="006200BF"/>
    <w:rsid w:val="006219F8"/>
    <w:rsid w:val="006302F7"/>
    <w:rsid w:val="00646B9F"/>
    <w:rsid w:val="00647F48"/>
    <w:rsid w:val="00665D70"/>
    <w:rsid w:val="006900D9"/>
    <w:rsid w:val="006A0518"/>
    <w:rsid w:val="006C7258"/>
    <w:rsid w:val="00706C16"/>
    <w:rsid w:val="00710169"/>
    <w:rsid w:val="007340C3"/>
    <w:rsid w:val="0075235A"/>
    <w:rsid w:val="00756841"/>
    <w:rsid w:val="007649AB"/>
    <w:rsid w:val="00771D0C"/>
    <w:rsid w:val="007833AC"/>
    <w:rsid w:val="007A0943"/>
    <w:rsid w:val="007B268C"/>
    <w:rsid w:val="007B7171"/>
    <w:rsid w:val="007C0C0F"/>
    <w:rsid w:val="007C3DC2"/>
    <w:rsid w:val="007E5497"/>
    <w:rsid w:val="00806F5F"/>
    <w:rsid w:val="008070D2"/>
    <w:rsid w:val="00820278"/>
    <w:rsid w:val="008258C9"/>
    <w:rsid w:val="00844AE9"/>
    <w:rsid w:val="00855D41"/>
    <w:rsid w:val="00867F95"/>
    <w:rsid w:val="008843B6"/>
    <w:rsid w:val="00891928"/>
    <w:rsid w:val="008A2F95"/>
    <w:rsid w:val="008A446D"/>
    <w:rsid w:val="008B25F1"/>
    <w:rsid w:val="008D180B"/>
    <w:rsid w:val="008F0EA7"/>
    <w:rsid w:val="008F2BAA"/>
    <w:rsid w:val="00906EB7"/>
    <w:rsid w:val="00923EEF"/>
    <w:rsid w:val="009419F9"/>
    <w:rsid w:val="0095685E"/>
    <w:rsid w:val="00961B09"/>
    <w:rsid w:val="00965334"/>
    <w:rsid w:val="0097093E"/>
    <w:rsid w:val="009A0DFA"/>
    <w:rsid w:val="009A1C6F"/>
    <w:rsid w:val="009B2D26"/>
    <w:rsid w:val="009C71FA"/>
    <w:rsid w:val="009C72E7"/>
    <w:rsid w:val="009C7F7E"/>
    <w:rsid w:val="009D3058"/>
    <w:rsid w:val="009F0C66"/>
    <w:rsid w:val="009F3A13"/>
    <w:rsid w:val="009F3C96"/>
    <w:rsid w:val="00A0476C"/>
    <w:rsid w:val="00A122D3"/>
    <w:rsid w:val="00A14468"/>
    <w:rsid w:val="00A17F13"/>
    <w:rsid w:val="00A20739"/>
    <w:rsid w:val="00A23AF9"/>
    <w:rsid w:val="00A33C78"/>
    <w:rsid w:val="00A5011C"/>
    <w:rsid w:val="00A66B0F"/>
    <w:rsid w:val="00AA76EF"/>
    <w:rsid w:val="00AB0ADB"/>
    <w:rsid w:val="00B00C0E"/>
    <w:rsid w:val="00B01B1A"/>
    <w:rsid w:val="00B0381D"/>
    <w:rsid w:val="00B44A47"/>
    <w:rsid w:val="00B72CD3"/>
    <w:rsid w:val="00B72FFF"/>
    <w:rsid w:val="00B953F6"/>
    <w:rsid w:val="00BC3D36"/>
    <w:rsid w:val="00BD54A6"/>
    <w:rsid w:val="00BD7F72"/>
    <w:rsid w:val="00BF7425"/>
    <w:rsid w:val="00C02322"/>
    <w:rsid w:val="00C04FB3"/>
    <w:rsid w:val="00C11D8B"/>
    <w:rsid w:val="00C15139"/>
    <w:rsid w:val="00C330EB"/>
    <w:rsid w:val="00C40276"/>
    <w:rsid w:val="00C50D69"/>
    <w:rsid w:val="00C5365C"/>
    <w:rsid w:val="00C754BE"/>
    <w:rsid w:val="00C76B1C"/>
    <w:rsid w:val="00C925AC"/>
    <w:rsid w:val="00CB6357"/>
    <w:rsid w:val="00CB72BF"/>
    <w:rsid w:val="00CC1B26"/>
    <w:rsid w:val="00D361FD"/>
    <w:rsid w:val="00D423A2"/>
    <w:rsid w:val="00D44E26"/>
    <w:rsid w:val="00D520D8"/>
    <w:rsid w:val="00D63AC2"/>
    <w:rsid w:val="00D7383B"/>
    <w:rsid w:val="00D74AA1"/>
    <w:rsid w:val="00D7788A"/>
    <w:rsid w:val="00D87148"/>
    <w:rsid w:val="00DA231B"/>
    <w:rsid w:val="00DA64C5"/>
    <w:rsid w:val="00DB76FA"/>
    <w:rsid w:val="00DC39FC"/>
    <w:rsid w:val="00DF5254"/>
    <w:rsid w:val="00E02524"/>
    <w:rsid w:val="00E16408"/>
    <w:rsid w:val="00E20894"/>
    <w:rsid w:val="00E245AB"/>
    <w:rsid w:val="00E2764C"/>
    <w:rsid w:val="00E27F2E"/>
    <w:rsid w:val="00E50AFE"/>
    <w:rsid w:val="00E75C92"/>
    <w:rsid w:val="00E771DC"/>
    <w:rsid w:val="00E8772A"/>
    <w:rsid w:val="00E87ED3"/>
    <w:rsid w:val="00E90F6B"/>
    <w:rsid w:val="00E92C27"/>
    <w:rsid w:val="00EA0E3D"/>
    <w:rsid w:val="00EC38A7"/>
    <w:rsid w:val="00EE1AA8"/>
    <w:rsid w:val="00F23FEA"/>
    <w:rsid w:val="00F31EDC"/>
    <w:rsid w:val="00F41C15"/>
    <w:rsid w:val="00F462B3"/>
    <w:rsid w:val="00F5664F"/>
    <w:rsid w:val="00F666C4"/>
    <w:rsid w:val="00F76AFC"/>
    <w:rsid w:val="00FA234B"/>
    <w:rsid w:val="00FA47C0"/>
    <w:rsid w:val="00FB5DD1"/>
    <w:rsid w:val="00FC2B5D"/>
    <w:rsid w:val="00FD2CC8"/>
    <w:rsid w:val="00FF1449"/>
    <w:rsid w:val="00FF7963"/>
    <w:rsid w:val="09908A09"/>
    <w:rsid w:val="12109457"/>
    <w:rsid w:val="13CFC91B"/>
    <w:rsid w:val="19A2EC2C"/>
    <w:rsid w:val="2859CA1B"/>
    <w:rsid w:val="302467AE"/>
    <w:rsid w:val="32A4F9CF"/>
    <w:rsid w:val="356CEDFD"/>
    <w:rsid w:val="3C77ECC3"/>
    <w:rsid w:val="4102901C"/>
    <w:rsid w:val="44B4B37F"/>
    <w:rsid w:val="48119F7F"/>
    <w:rsid w:val="69614A15"/>
    <w:rsid w:val="6D044EED"/>
    <w:rsid w:val="70065E3C"/>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F240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F240F"/>
    <w:rPr>
      <w:rFonts w:ascii="Geomanist Light" w:hAnsi="Geomanist Light"/>
      <w:lang w:val="es-ES"/>
    </w:rPr>
  </w:style>
  <w:style w:type="character" w:customStyle="1" w:styleId="NormalWebCar">
    <w:name w:val="Normal (Web) Car"/>
    <w:link w:val="NormalWeb"/>
    <w:uiPriority w:val="99"/>
    <w:locked/>
    <w:rsid w:val="004F240F"/>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4F240F"/>
    <w:pPr>
      <w:widowControl w:val="0"/>
      <w:autoSpaceDE w:val="0"/>
      <w:autoSpaceDN w:val="0"/>
      <w:spacing w:after="0" w:line="240" w:lineRule="auto"/>
    </w:pPr>
    <w:rPr>
      <w:rFonts w:ascii="Arial" w:eastAsia="Arial" w:hAnsi="Arial" w:cs="Arial"/>
      <w:sz w:val="20"/>
      <w:szCs w:val="20"/>
      <w:lang w:val="es-ES"/>
    </w:rPr>
  </w:style>
  <w:style w:type="character" w:customStyle="1" w:styleId="TextoindependienteCar">
    <w:name w:val="Texto independiente Car"/>
    <w:basedOn w:val="Fuentedeprrafopredeter"/>
    <w:link w:val="Textoindependiente"/>
    <w:uiPriority w:val="1"/>
    <w:rsid w:val="004F240F"/>
    <w:rPr>
      <w:rFonts w:ascii="Arial" w:eastAsia="Arial" w:hAnsi="Arial" w:cs="Arial"/>
      <w:sz w:val="20"/>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979074">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03480031">
      <w:bodyDiv w:val="1"/>
      <w:marLeft w:val="0"/>
      <w:marRight w:val="0"/>
      <w:marTop w:val="0"/>
      <w:marBottom w:val="0"/>
      <w:divBdr>
        <w:top w:val="none" w:sz="0" w:space="0" w:color="auto"/>
        <w:left w:val="none" w:sz="0" w:space="0" w:color="auto"/>
        <w:bottom w:val="none" w:sz="0" w:space="0" w:color="auto"/>
        <w:right w:val="none" w:sz="0" w:space="0" w:color="auto"/>
      </w:divBdr>
    </w:div>
    <w:div w:id="712080725">
      <w:bodyDiv w:val="1"/>
      <w:marLeft w:val="0"/>
      <w:marRight w:val="0"/>
      <w:marTop w:val="0"/>
      <w:marBottom w:val="0"/>
      <w:divBdr>
        <w:top w:val="none" w:sz="0" w:space="0" w:color="auto"/>
        <w:left w:val="none" w:sz="0" w:space="0" w:color="auto"/>
        <w:bottom w:val="none" w:sz="0" w:space="0" w:color="auto"/>
        <w:right w:val="none" w:sz="0" w:space="0" w:color="auto"/>
      </w:divBdr>
    </w:div>
    <w:div w:id="74268213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84079832">
      <w:bodyDiv w:val="1"/>
      <w:marLeft w:val="0"/>
      <w:marRight w:val="0"/>
      <w:marTop w:val="0"/>
      <w:marBottom w:val="0"/>
      <w:divBdr>
        <w:top w:val="none" w:sz="0" w:space="0" w:color="auto"/>
        <w:left w:val="none" w:sz="0" w:space="0" w:color="auto"/>
        <w:bottom w:val="none" w:sz="0" w:space="0" w:color="auto"/>
        <w:right w:val="none" w:sz="0" w:space="0" w:color="auto"/>
      </w:divBdr>
    </w:div>
    <w:div w:id="788814979">
      <w:bodyDiv w:val="1"/>
      <w:marLeft w:val="0"/>
      <w:marRight w:val="0"/>
      <w:marTop w:val="0"/>
      <w:marBottom w:val="0"/>
      <w:divBdr>
        <w:top w:val="none" w:sz="0" w:space="0" w:color="auto"/>
        <w:left w:val="none" w:sz="0" w:space="0" w:color="auto"/>
        <w:bottom w:val="none" w:sz="0" w:space="0" w:color="auto"/>
        <w:right w:val="none" w:sz="0" w:space="0" w:color="auto"/>
      </w:divBdr>
    </w:div>
    <w:div w:id="921257389">
      <w:bodyDiv w:val="1"/>
      <w:marLeft w:val="0"/>
      <w:marRight w:val="0"/>
      <w:marTop w:val="0"/>
      <w:marBottom w:val="0"/>
      <w:divBdr>
        <w:top w:val="none" w:sz="0" w:space="0" w:color="auto"/>
        <w:left w:val="none" w:sz="0" w:space="0" w:color="auto"/>
        <w:bottom w:val="none" w:sz="0" w:space="0" w:color="auto"/>
        <w:right w:val="none" w:sz="0" w:space="0" w:color="auto"/>
      </w:divBdr>
    </w:div>
    <w:div w:id="101295501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1927049">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89326946">
      <w:bodyDiv w:val="1"/>
      <w:marLeft w:val="0"/>
      <w:marRight w:val="0"/>
      <w:marTop w:val="0"/>
      <w:marBottom w:val="0"/>
      <w:divBdr>
        <w:top w:val="none" w:sz="0" w:space="0" w:color="auto"/>
        <w:left w:val="none" w:sz="0" w:space="0" w:color="auto"/>
        <w:bottom w:val="none" w:sz="0" w:space="0" w:color="auto"/>
        <w:right w:val="none" w:sz="0" w:space="0" w:color="auto"/>
      </w:divBdr>
    </w:div>
    <w:div w:id="1971860183">
      <w:bodyDiv w:val="1"/>
      <w:marLeft w:val="0"/>
      <w:marRight w:val="0"/>
      <w:marTop w:val="0"/>
      <w:marBottom w:val="0"/>
      <w:divBdr>
        <w:top w:val="none" w:sz="0" w:space="0" w:color="auto"/>
        <w:left w:val="none" w:sz="0" w:space="0" w:color="auto"/>
        <w:bottom w:val="none" w:sz="0" w:space="0" w:color="auto"/>
        <w:right w:val="none" w:sz="0" w:space="0" w:color="auto"/>
      </w:divBdr>
    </w:div>
    <w:div w:id="2032560300">
      <w:bodyDiv w:val="1"/>
      <w:marLeft w:val="0"/>
      <w:marRight w:val="0"/>
      <w:marTop w:val="0"/>
      <w:marBottom w:val="0"/>
      <w:divBdr>
        <w:top w:val="none" w:sz="0" w:space="0" w:color="auto"/>
        <w:left w:val="none" w:sz="0" w:space="0" w:color="auto"/>
        <w:bottom w:val="none" w:sz="0" w:space="0" w:color="auto"/>
        <w:right w:val="none" w:sz="0" w:space="0" w:color="auto"/>
      </w:divBdr>
    </w:div>
    <w:div w:id="2109808028">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8A2275A6-8C3C-408E-BE31-7F9587DEC0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220973-5042-44A7-A521-3F7FAD805B7A}">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124</TotalTime>
  <Pages>23</Pages>
  <Words>7483</Words>
  <Characters>41160</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12</cp:revision>
  <cp:lastPrinted>2023-01-10T21:18:00Z</cp:lastPrinted>
  <dcterms:created xsi:type="dcterms:W3CDTF">2025-11-11T01:48:00Z</dcterms:created>
  <dcterms:modified xsi:type="dcterms:W3CDTF">2025-11-18T15:16:00Z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