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FC0D3" w14:textId="77777777" w:rsidR="00AD1F15" w:rsidRPr="00A545B7" w:rsidRDefault="00AD1F15" w:rsidP="00AD1F15">
      <w:pPr>
        <w:spacing w:after="0" w:line="240" w:lineRule="auto"/>
        <w:jc w:val="both"/>
        <w:rPr>
          <w:rFonts w:ascii="Verdana" w:eastAsia="Calibri" w:hAnsi="Verdana" w:cs="Arial"/>
          <w:b/>
          <w:lang w:val="es-ES" w:eastAsia="es-ES"/>
        </w:rPr>
      </w:pPr>
      <w:bookmarkStart w:id="0" w:name="_Hlk181166130"/>
      <w:bookmarkStart w:id="1" w:name="_Hlk209714638"/>
      <w:r w:rsidRPr="00A545B7">
        <w:rPr>
          <w:rFonts w:ascii="Verdana" w:eastAsia="Calibri" w:hAnsi="Verdana" w:cs="Arial"/>
          <w:b/>
          <w:lang w:val="es-ES" w:eastAsia="es-ES"/>
        </w:rPr>
        <w:t xml:space="preserve">DOBLE ASIGNACIÓN – Definición- Empleos Públicos </w:t>
      </w:r>
    </w:p>
    <w:p w14:paraId="61354022" w14:textId="77777777" w:rsidR="00AD1F15" w:rsidRPr="00A545B7" w:rsidRDefault="00AD1F15" w:rsidP="00AD1F15">
      <w:pPr>
        <w:spacing w:after="0" w:line="240" w:lineRule="auto"/>
        <w:jc w:val="both"/>
        <w:rPr>
          <w:rFonts w:ascii="Verdana" w:eastAsia="Calibri" w:hAnsi="Verdana" w:cs="Arial"/>
          <w:b/>
          <w:lang w:val="es-ES" w:eastAsia="es-ES"/>
        </w:rPr>
      </w:pPr>
    </w:p>
    <w:p w14:paraId="52EA3E41" w14:textId="77777777" w:rsidR="00AD1F15" w:rsidRPr="00A545B7" w:rsidRDefault="00AD1F15" w:rsidP="00AD1F15">
      <w:pPr>
        <w:spacing w:after="0" w:line="240" w:lineRule="auto"/>
        <w:jc w:val="both"/>
        <w:rPr>
          <w:rFonts w:ascii="Verdana" w:eastAsia="Calibri" w:hAnsi="Verdana" w:cs="Arial"/>
          <w:lang w:val="es-ES" w:eastAsia="es-ES"/>
        </w:rPr>
      </w:pPr>
      <w:r w:rsidRPr="00A545B7">
        <w:rPr>
          <w:rFonts w:ascii="Verdana" w:eastAsia="Calibri" w:hAnsi="Verdana" w:cs="Arial"/>
          <w:lang w:val="es-ES" w:eastAsia="es-ES"/>
        </w:rPr>
        <w:t>De conformidad con el artículo 128 de la Carta y con la Ley 4 de 1992, la prohibición de recibir doble asignación está directamente relacionada con las personas que ejercen “empleos públicos”, el cual es definido en el artículo 19 de la Ley 909 de 2004 como: “[…]</w:t>
      </w:r>
      <w:r w:rsidRPr="00A545B7">
        <w:rPr>
          <w:rFonts w:ascii="Verdana" w:eastAsia="Calibri" w:hAnsi="Verdana" w:cs="Arial"/>
          <w:lang w:eastAsia="es-ES"/>
        </w:rPr>
        <w:t xml:space="preserve"> el conjunto de funciones, tareas y responsabilidades que se asignan a una persona y las competencias requeridas para llevarlas a cabo, con el propósito de satisfacer el cumplimiento de los planes de desarrollo y los fines del Estado”</w:t>
      </w:r>
      <w:r w:rsidRPr="00A545B7">
        <w:rPr>
          <w:rFonts w:ascii="Verdana" w:eastAsia="Calibri" w:hAnsi="Verdana" w:cs="Arial"/>
          <w:lang w:val="es-ES" w:eastAsia="es-ES"/>
        </w:rPr>
        <w:t>.</w:t>
      </w:r>
    </w:p>
    <w:p w14:paraId="7F631EA6" w14:textId="77777777" w:rsidR="00AD1F15" w:rsidRPr="00A545B7" w:rsidRDefault="00AD1F15" w:rsidP="00AD1F15">
      <w:pPr>
        <w:spacing w:after="0" w:line="240" w:lineRule="auto"/>
        <w:jc w:val="both"/>
        <w:rPr>
          <w:rFonts w:ascii="Verdana" w:eastAsia="Calibri" w:hAnsi="Verdana" w:cs="Arial"/>
          <w:lang w:val="es-ES" w:eastAsia="es-ES"/>
        </w:rPr>
      </w:pPr>
      <w:r w:rsidRPr="00A545B7">
        <w:rPr>
          <w:rFonts w:ascii="Verdana" w:eastAsia="Calibri" w:hAnsi="Verdana" w:cs="Arial"/>
          <w:lang w:val="es-ES" w:eastAsia="es-ES"/>
        </w:rPr>
        <w:t xml:space="preserve"> </w:t>
      </w:r>
    </w:p>
    <w:p w14:paraId="189BBABF" w14:textId="77777777" w:rsidR="00AD1F15" w:rsidRPr="00A545B7" w:rsidRDefault="00AD1F15" w:rsidP="00AD1F15">
      <w:pPr>
        <w:spacing w:after="0" w:line="240" w:lineRule="auto"/>
        <w:jc w:val="both"/>
        <w:rPr>
          <w:rFonts w:ascii="Verdana" w:eastAsia="Calibri" w:hAnsi="Verdana" w:cs="Arial"/>
          <w:lang w:val="es-ES" w:eastAsia="es-ES"/>
        </w:rPr>
      </w:pPr>
      <w:r w:rsidRPr="00A545B7">
        <w:rPr>
          <w:rFonts w:ascii="Verdana" w:eastAsia="Calibri" w:hAnsi="Verdana" w:cs="Arial"/>
          <w:lang w:val="es-ES" w:eastAsia="es-ES"/>
        </w:rPr>
        <w:t xml:space="preserve">Al respecto, la Sala de Consulta y Servicio Civil del Consejo de Estado, en Concepto No 1.344, del 10 de mayo de 2001, con ponencia del </w:t>
      </w:r>
      <w:proofErr w:type="gramStart"/>
      <w:r w:rsidRPr="00A545B7">
        <w:rPr>
          <w:rFonts w:ascii="Verdana" w:eastAsia="Calibri" w:hAnsi="Verdana" w:cs="Arial"/>
          <w:lang w:val="es-ES" w:eastAsia="es-ES"/>
        </w:rPr>
        <w:t>Consejero</w:t>
      </w:r>
      <w:proofErr w:type="gramEnd"/>
      <w:r w:rsidRPr="00A545B7">
        <w:rPr>
          <w:rFonts w:ascii="Verdana" w:eastAsia="Calibri" w:hAnsi="Verdana" w:cs="Arial"/>
          <w:lang w:val="es-ES" w:eastAsia="es-ES"/>
        </w:rPr>
        <w:t xml:space="preserve"> Flavio Augusto Rodríguez Arce, estudió la expresión “asignación” que se encuentra en la norma constitucional, expresando que tiene relación “con el ejercicio de empleos en el sector oficial o con el pago de prestaciones provenientes del ejercicio de estos empleos”. De igual forma, expresó que las asignaciones a las que hace relación el artículo 128 de la Constitución y el artículo 19 de la Ley 4 de 1992 comprenden salarios, prestaciones sociales y “toda clase de remuneración que tenga como fundamento un vínculo o relación laboral con entidades del Estado”.</w:t>
      </w:r>
    </w:p>
    <w:p w14:paraId="2957EF5B" w14:textId="77777777" w:rsidR="00AD1F15" w:rsidRPr="00A545B7" w:rsidRDefault="00AD1F15" w:rsidP="00AD1F15">
      <w:pPr>
        <w:spacing w:after="0" w:line="240" w:lineRule="auto"/>
        <w:jc w:val="both"/>
        <w:rPr>
          <w:rFonts w:ascii="Verdana" w:eastAsia="Calibri" w:hAnsi="Verdana" w:cs="Arial"/>
          <w:b/>
          <w:lang w:val="es-ES" w:eastAsia="es-ES"/>
        </w:rPr>
      </w:pPr>
    </w:p>
    <w:p w14:paraId="2D8631DA" w14:textId="77777777" w:rsidR="00AD1F15" w:rsidRPr="00A545B7" w:rsidRDefault="00AD1F15" w:rsidP="00AD1F15">
      <w:pPr>
        <w:spacing w:after="0" w:line="240" w:lineRule="auto"/>
        <w:jc w:val="both"/>
        <w:rPr>
          <w:rFonts w:ascii="Verdana" w:eastAsia="Calibri" w:hAnsi="Verdana" w:cs="Arial"/>
          <w:b/>
          <w:lang w:val="es-MX" w:eastAsia="es-ES"/>
        </w:rPr>
      </w:pPr>
      <w:r w:rsidRPr="00A545B7">
        <w:rPr>
          <w:rFonts w:ascii="Verdana" w:eastAsia="Calibri" w:hAnsi="Verdana" w:cs="Arial"/>
          <w:b/>
          <w:lang w:val="es-MX" w:eastAsia="es-ES"/>
        </w:rPr>
        <w:t xml:space="preserve">CONTRATO DE PRESTACIÓN DE SERVICIOS – Doble erogación presupuestal – Prohibición –  </w:t>
      </w:r>
    </w:p>
    <w:p w14:paraId="10335017" w14:textId="77777777" w:rsidR="00AD1F15" w:rsidRPr="00A545B7" w:rsidRDefault="00AD1F15" w:rsidP="00AD1F15">
      <w:pPr>
        <w:spacing w:after="0" w:line="240" w:lineRule="auto"/>
        <w:jc w:val="both"/>
        <w:rPr>
          <w:rFonts w:ascii="Verdana" w:eastAsia="Calibri" w:hAnsi="Verdana" w:cs="Arial"/>
          <w:lang w:val="es-MX" w:eastAsia="es-ES"/>
        </w:rPr>
      </w:pPr>
    </w:p>
    <w:p w14:paraId="1B94384E" w14:textId="77777777" w:rsidR="00AD1F15" w:rsidRPr="00A545B7" w:rsidRDefault="00AD1F15" w:rsidP="00AD1F15">
      <w:pPr>
        <w:spacing w:after="0" w:line="240" w:lineRule="auto"/>
        <w:jc w:val="both"/>
        <w:rPr>
          <w:rFonts w:ascii="Verdana" w:eastAsia="Calibri" w:hAnsi="Verdana" w:cs="Arial"/>
          <w:lang w:eastAsia="es-ES"/>
        </w:rPr>
      </w:pPr>
      <w:r w:rsidRPr="00A545B7">
        <w:rPr>
          <w:rFonts w:ascii="Verdana" w:eastAsia="Calibri" w:hAnsi="Verdana" w:cs="Arial"/>
          <w:lang w:val="es-ES" w:eastAsia="es-ES"/>
        </w:rPr>
        <w:t>En este orden de ideas, la prohibición de recibir doble asignación del tesoro público recae sobre los servidores públicos, incluidos los miembros de las corporaciones públicas, donde el término “asignación” comprende los dineros y recursos que provienen del tesoro público, o de empresas o de instituciones en las que tenga parte mayoritaria el Estado, en calidad de pago para retribuir un servicio denomínese salario, honorarios o cualquier otro emolumento, salvo las excepciones dispuestas en el artículo 19 de la Ley 4 de 1992. En tal sentido, el Departamento Administrativo de la Función Pública en torno al vocablo “asignación” expresa: “</w:t>
      </w:r>
      <w:r w:rsidRPr="00A545B7">
        <w:rPr>
          <w:rFonts w:ascii="Verdana" w:eastAsia="Calibri" w:hAnsi="Verdana" w:cs="Arial"/>
          <w:lang w:eastAsia="es-ES"/>
        </w:rPr>
        <w:t>Gramaticalmente se concibe como la cantidad señalada por sueldo o por otro concepto, como emolumento dotación, salario”.</w:t>
      </w:r>
    </w:p>
    <w:p w14:paraId="2040D9C9" w14:textId="77777777" w:rsidR="00AD1F15" w:rsidRPr="00A545B7" w:rsidRDefault="00AD1F15" w:rsidP="00AD1F15">
      <w:pPr>
        <w:spacing w:after="0" w:line="240" w:lineRule="auto"/>
        <w:jc w:val="both"/>
        <w:rPr>
          <w:rFonts w:ascii="Verdana" w:eastAsia="Calibri" w:hAnsi="Verdana" w:cs="Arial"/>
          <w:lang w:eastAsia="es-ES"/>
        </w:rPr>
      </w:pPr>
    </w:p>
    <w:p w14:paraId="72EFB880" w14:textId="77777777" w:rsidR="00AD1F15" w:rsidRPr="00A545B7" w:rsidRDefault="00AD1F15" w:rsidP="00AD1F15">
      <w:pPr>
        <w:jc w:val="both"/>
        <w:rPr>
          <w:rFonts w:ascii="Verdana" w:eastAsia="Calibri" w:hAnsi="Verdana" w:cs="Arial"/>
          <w:lang w:val="es-MX" w:eastAsia="es-ES"/>
        </w:rPr>
      </w:pPr>
      <w:r w:rsidRPr="00A545B7">
        <w:rPr>
          <w:rFonts w:ascii="Verdana" w:eastAsia="Calibri" w:hAnsi="Verdana" w:cs="Arial"/>
          <w:lang w:val="es-MX" w:eastAsia="es-ES"/>
        </w:rPr>
        <w:t>El artículo 128 de la Constitución Política no distingue entre el tipo de vinculación (en propiedad, en provisionalidad, en período de prueba o en encargo), sino que prohíbe de manera general que una misma persona reciba más de una asignación proveniente del Tesoro Público o de entidades con participación mayoritaria del Estado, salvo las excepciones expresamente previstas en la ley.</w:t>
      </w:r>
    </w:p>
    <w:p w14:paraId="71860773" w14:textId="77777777" w:rsidR="00AD1F15" w:rsidRDefault="00AD1F15" w:rsidP="00AD1F15">
      <w:pPr>
        <w:spacing w:after="0" w:line="240" w:lineRule="auto"/>
        <w:rPr>
          <w:rFonts w:ascii="Verdana" w:hAnsi="Verdana"/>
          <w:lang w:val="es-ES"/>
        </w:rPr>
      </w:pPr>
    </w:p>
    <w:p w14:paraId="48A868E8" w14:textId="20012A73" w:rsidR="00AD1F15" w:rsidRDefault="00AD1F15" w:rsidP="00AD1F15">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AF54CE">
        <w:rPr>
          <w:rFonts w:ascii="Verdana" w:hAnsi="Verdana"/>
        </w:rPr>
        <w:t>18 de noviembre de 2025</w:t>
      </w:r>
      <w:r>
        <w:rPr>
          <w:rFonts w:ascii="Verdana" w:hAnsi="Verdana"/>
        </w:rPr>
        <w:t xml:space="preserve"> </w:t>
      </w:r>
    </w:p>
    <w:bookmarkEnd w:id="0"/>
    <w:p w14:paraId="03A01E49" w14:textId="77777777" w:rsidR="00AD1F15" w:rsidRDefault="00AD1F15" w:rsidP="00AD1F15">
      <w:pPr>
        <w:spacing w:after="0" w:line="240" w:lineRule="auto"/>
        <w:rPr>
          <w:rFonts w:ascii="Verdana" w:hAnsi="Verdana"/>
        </w:rPr>
      </w:pPr>
    </w:p>
    <w:p w14:paraId="4EA86C2A" w14:textId="3126F3D9" w:rsidR="00AF54CE" w:rsidRDefault="00AF54CE" w:rsidP="00AF54CE">
      <w:pPr>
        <w:spacing w:after="0" w:line="240" w:lineRule="auto"/>
        <w:jc w:val="right"/>
        <w:rPr>
          <w:rFonts w:ascii="Verdana" w:hAnsi="Verdana"/>
        </w:rPr>
      </w:pPr>
      <w:r>
        <w:rPr>
          <w:rFonts w:ascii="Verdana" w:hAnsi="Verdana"/>
          <w:noProof/>
        </w:rPr>
        <w:drawing>
          <wp:inline distT="0" distB="0" distL="0" distR="0" wp14:anchorId="0F616101" wp14:editId="78741B5A">
            <wp:extent cx="2757934" cy="828675"/>
            <wp:effectExtent l="0" t="0" r="4445" b="0"/>
            <wp:docPr id="5584643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60822" cy="829543"/>
                    </a:xfrm>
                    <a:prstGeom prst="rect">
                      <a:avLst/>
                    </a:prstGeom>
                    <a:noFill/>
                    <a:ln>
                      <a:noFill/>
                    </a:ln>
                  </pic:spPr>
                </pic:pic>
              </a:graphicData>
            </a:graphic>
          </wp:inline>
        </w:drawing>
      </w:r>
    </w:p>
    <w:p w14:paraId="7764A347" w14:textId="77777777" w:rsidR="00AF54CE" w:rsidRDefault="00AF54CE" w:rsidP="00AD1F15">
      <w:pPr>
        <w:spacing w:after="0" w:line="240" w:lineRule="auto"/>
        <w:rPr>
          <w:rFonts w:ascii="Verdana" w:hAnsi="Verdana"/>
        </w:rPr>
      </w:pPr>
    </w:p>
    <w:p w14:paraId="183D09AA" w14:textId="77777777" w:rsidR="00AF54CE" w:rsidRDefault="00AF54CE" w:rsidP="00AD1F15">
      <w:pPr>
        <w:spacing w:after="0" w:line="240" w:lineRule="auto"/>
        <w:rPr>
          <w:rFonts w:ascii="Verdana" w:hAnsi="Verdana"/>
        </w:rPr>
      </w:pPr>
    </w:p>
    <w:p w14:paraId="746F1438" w14:textId="77777777" w:rsidR="00AF54CE" w:rsidRDefault="00AF54CE" w:rsidP="00AD1F15">
      <w:pPr>
        <w:spacing w:after="0" w:line="240" w:lineRule="auto"/>
        <w:rPr>
          <w:rFonts w:ascii="Verdana" w:hAnsi="Verdana"/>
        </w:rPr>
      </w:pPr>
    </w:p>
    <w:p w14:paraId="30B68BCB" w14:textId="77777777" w:rsidR="00AD1F15" w:rsidRDefault="00AD1F15" w:rsidP="00AD1F15">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Pr>
          <w:rFonts w:ascii="Verdana" w:eastAsia="Calibri" w:hAnsi="Verdana" w:cs="Arial"/>
          <w:lang w:eastAsia="es-ES"/>
        </w:rPr>
        <w:t>a</w:t>
      </w:r>
      <w:r w:rsidRPr="00631045">
        <w:rPr>
          <w:rFonts w:ascii="Verdana" w:eastAsia="Calibri" w:hAnsi="Verdana" w:cs="Arial"/>
          <w:lang w:eastAsia="es-ES"/>
        </w:rPr>
        <w:tab/>
      </w:r>
    </w:p>
    <w:p w14:paraId="661DCA34" w14:textId="77777777" w:rsidR="00AD1F15" w:rsidRPr="00933183" w:rsidRDefault="00AD1F15" w:rsidP="00AD1F15">
      <w:pPr>
        <w:spacing w:after="0" w:line="240" w:lineRule="auto"/>
        <w:rPr>
          <w:rFonts w:ascii="Verdana" w:eastAsia="Calibri" w:hAnsi="Verdana" w:cs="Arial"/>
          <w:b/>
          <w:lang w:eastAsia="es-ES"/>
        </w:rPr>
      </w:pPr>
      <w:r w:rsidRPr="00933183">
        <w:rPr>
          <w:rFonts w:ascii="Verdana" w:eastAsia="Calibri" w:hAnsi="Verdana" w:cs="Arial"/>
          <w:b/>
          <w:lang w:eastAsia="es-ES"/>
        </w:rPr>
        <w:t>Camila Cabrera Celis</w:t>
      </w:r>
    </w:p>
    <w:p w14:paraId="1FE31678" w14:textId="77777777" w:rsidR="00AD1F15" w:rsidRPr="001A6583" w:rsidRDefault="000F6015" w:rsidP="00AD1F15">
      <w:pPr>
        <w:spacing w:after="0" w:line="240" w:lineRule="auto"/>
        <w:rPr>
          <w:rFonts w:ascii="Verdana" w:eastAsia="Calibri" w:hAnsi="Verdana" w:cs="Arial"/>
          <w:lang w:eastAsia="es-ES"/>
        </w:rPr>
      </w:pPr>
      <w:hyperlink r:id="rId11" w:history="1">
        <w:r w:rsidR="00AD1F15" w:rsidRPr="001453F4">
          <w:rPr>
            <w:rStyle w:val="Hipervnculo"/>
            <w:rFonts w:ascii="Verdana" w:hAnsi="Verdana"/>
          </w:rPr>
          <w:t>mariac.cabrerac16@gmail.com</w:t>
        </w:r>
      </w:hyperlink>
      <w:r w:rsidR="00AD1F15" w:rsidRPr="001453F4">
        <w:rPr>
          <w:rFonts w:ascii="Verdana" w:hAnsi="Verdana"/>
        </w:rPr>
        <w:t xml:space="preserve">  </w:t>
      </w:r>
      <w:r w:rsidR="00AD1F15" w:rsidRPr="001453F4">
        <w:rPr>
          <w:rFonts w:ascii="Verdana" w:eastAsia="Calibri" w:hAnsi="Verdana" w:cs="Arial"/>
          <w:lang w:eastAsia="es-ES"/>
        </w:rPr>
        <w:t xml:space="preserve">  </w:t>
      </w:r>
    </w:p>
    <w:p w14:paraId="65E1AA72" w14:textId="77777777" w:rsidR="00AD1F15" w:rsidRDefault="00AD1F15" w:rsidP="00AD1F15">
      <w:pPr>
        <w:spacing w:after="0" w:line="240" w:lineRule="auto"/>
        <w:rPr>
          <w:rFonts w:ascii="Verdana" w:hAnsi="Verdana"/>
        </w:rPr>
      </w:pPr>
      <w:r>
        <w:rPr>
          <w:rFonts w:ascii="Verdana" w:hAnsi="Verdana"/>
        </w:rPr>
        <w:t>Armenia (</w:t>
      </w:r>
      <w:proofErr w:type="spellStart"/>
      <w:r>
        <w:rPr>
          <w:rFonts w:ascii="Verdana" w:hAnsi="Verdana"/>
        </w:rPr>
        <w:t>Quindio</w:t>
      </w:r>
      <w:proofErr w:type="spellEnd"/>
      <w:r>
        <w:rPr>
          <w:rFonts w:ascii="Verdana" w:hAnsi="Verdana"/>
        </w:rPr>
        <w:t>)</w:t>
      </w:r>
    </w:p>
    <w:p w14:paraId="1D54C1BD" w14:textId="77777777" w:rsidR="00AD1F15" w:rsidRPr="00FE3DEC" w:rsidRDefault="00AD1F15" w:rsidP="00AD1F15">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D1F15" w:rsidRPr="00593A5F" w14:paraId="38A340F2" w14:textId="77777777" w:rsidTr="008B3546">
        <w:trPr>
          <w:trHeight w:val="273"/>
        </w:trPr>
        <w:tc>
          <w:tcPr>
            <w:tcW w:w="2295" w:type="dxa"/>
          </w:tcPr>
          <w:p w14:paraId="57993FD5" w14:textId="77777777" w:rsidR="00AD1F15" w:rsidRPr="00E5644F" w:rsidRDefault="00AD1F15" w:rsidP="008B3546">
            <w:pPr>
              <w:jc w:val="both"/>
              <w:rPr>
                <w:rFonts w:ascii="Verdana" w:eastAsia="Calibri" w:hAnsi="Verdana" w:cs="Arial"/>
                <w:b/>
                <w:bCs/>
                <w:color w:val="7030A0"/>
                <w:lang w:val="es-ES_tradnl" w:eastAsia="es-ES_tradnl"/>
              </w:rPr>
            </w:pPr>
          </w:p>
        </w:tc>
        <w:tc>
          <w:tcPr>
            <w:tcW w:w="6481" w:type="dxa"/>
            <w:gridSpan w:val="2"/>
          </w:tcPr>
          <w:p w14:paraId="2D32B5DB" w14:textId="77777777" w:rsidR="00AD1F15" w:rsidRDefault="00AD1F15" w:rsidP="008B3546">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1462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0D77667B" w14:textId="77777777" w:rsidR="00AD1F15" w:rsidRPr="00E5644F" w:rsidRDefault="00AD1F15" w:rsidP="008B3546">
            <w:pPr>
              <w:jc w:val="both"/>
              <w:rPr>
                <w:rFonts w:ascii="Verdana" w:eastAsia="Calibri" w:hAnsi="Verdana" w:cs="Arial"/>
                <w:b/>
                <w:bCs/>
                <w:color w:val="7030A0"/>
                <w:lang w:val="es-ES" w:eastAsia="es-ES"/>
              </w:rPr>
            </w:pPr>
          </w:p>
        </w:tc>
      </w:tr>
      <w:tr w:rsidR="00AD1F15" w:rsidRPr="00280D79" w14:paraId="444B91D4" w14:textId="77777777" w:rsidTr="008B3546">
        <w:trPr>
          <w:trHeight w:val="1583"/>
        </w:trPr>
        <w:tc>
          <w:tcPr>
            <w:tcW w:w="2295" w:type="dxa"/>
          </w:tcPr>
          <w:p w14:paraId="69FF4998" w14:textId="77777777" w:rsidR="00AD1F15" w:rsidRPr="00593A5F" w:rsidRDefault="00AD1F15" w:rsidP="008B354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01B74994" w14:textId="77777777" w:rsidR="00AD1F15" w:rsidRPr="00B30E1F" w:rsidRDefault="00AD1F15" w:rsidP="008B3546">
            <w:pPr>
              <w:jc w:val="both"/>
              <w:rPr>
                <w:rFonts w:ascii="Verdana" w:eastAsia="Calibri" w:hAnsi="Verdana" w:cs="Arial"/>
                <w:b/>
                <w:lang w:val="es-MX" w:eastAsia="es-ES"/>
              </w:rPr>
            </w:pPr>
            <w:r w:rsidRPr="00B30E1F">
              <w:rPr>
                <w:rFonts w:ascii="Verdana" w:eastAsia="Calibri" w:hAnsi="Verdana" w:cs="Arial"/>
                <w:bCs/>
                <w:color w:val="000000" w:themeColor="text1"/>
              </w:rPr>
              <w:t xml:space="preserve">DOBLE ASIGNACIÓN – Definición- Empleos Públicos / </w:t>
            </w:r>
            <w:r w:rsidRPr="00B30E1F">
              <w:rPr>
                <w:rFonts w:ascii="Verdana" w:eastAsia="Calibri" w:hAnsi="Verdana" w:cs="Arial"/>
                <w:bCs/>
                <w:lang w:val="es-MX" w:eastAsia="es-ES"/>
              </w:rPr>
              <w:t>CONTRATO DE PRESTACIÓN DE SERVICIOS – Doble erogación presupuestal – Prohibición / artículo 128 Constitución Política</w:t>
            </w:r>
            <w:r>
              <w:rPr>
                <w:rFonts w:ascii="Verdana" w:eastAsia="Calibri" w:hAnsi="Verdana" w:cs="Arial"/>
                <w:bCs/>
                <w:lang w:val="es-MX" w:eastAsia="es-ES"/>
              </w:rPr>
              <w:t>.</w:t>
            </w:r>
          </w:p>
          <w:p w14:paraId="6F8E61D1" w14:textId="77777777" w:rsidR="00AD1F15" w:rsidRPr="00280D79" w:rsidRDefault="00AD1F15" w:rsidP="008B3546">
            <w:pPr>
              <w:jc w:val="both"/>
              <w:rPr>
                <w:rFonts w:ascii="Verdana" w:eastAsia="Calibri" w:hAnsi="Verdana" w:cs="Arial"/>
                <w:b/>
                <w:highlight w:val="yellow"/>
                <w:lang w:val="es-ES" w:eastAsia="es-ES"/>
              </w:rPr>
            </w:pPr>
          </w:p>
        </w:tc>
      </w:tr>
      <w:tr w:rsidR="00AD1F15" w:rsidRPr="00593A5F" w14:paraId="6CD812FA" w14:textId="77777777" w:rsidTr="008B3546">
        <w:trPr>
          <w:trHeight w:val="545"/>
        </w:trPr>
        <w:tc>
          <w:tcPr>
            <w:tcW w:w="2295" w:type="dxa"/>
          </w:tcPr>
          <w:p w14:paraId="22264902" w14:textId="77777777" w:rsidR="00AD1F15" w:rsidRPr="006730E9" w:rsidRDefault="00AD1F15" w:rsidP="008B354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1CBA725" w14:textId="77777777" w:rsidR="00AD1F15" w:rsidRPr="006730E9" w:rsidRDefault="00AD1F15" w:rsidP="008B354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5A34D0">
              <w:rPr>
                <w:rFonts w:ascii="Verdana" w:eastAsia="Calibri" w:hAnsi="Verdana" w:cs="Arial"/>
                <w:lang w:val="es-ES_tradnl" w:eastAsia="es-ES_tradnl"/>
              </w:rPr>
              <w:t>1_2025_10_07_011203</w:t>
            </w:r>
            <w:r>
              <w:rPr>
                <w:rFonts w:ascii="Verdana" w:eastAsia="Calibri" w:hAnsi="Verdana" w:cs="Arial"/>
                <w:lang w:val="es-ES_tradnl" w:eastAsia="es-ES_tradnl"/>
              </w:rPr>
              <w:t>.</w:t>
            </w:r>
          </w:p>
        </w:tc>
      </w:tr>
      <w:tr w:rsidR="00AD1F15" w:rsidRPr="00DB23D2" w14:paraId="5F1D619E" w14:textId="77777777" w:rsidTr="008B3546">
        <w:trPr>
          <w:gridAfter w:val="1"/>
          <w:wAfter w:w="319" w:type="dxa"/>
          <w:trHeight w:val="242"/>
        </w:trPr>
        <w:tc>
          <w:tcPr>
            <w:tcW w:w="8457" w:type="dxa"/>
            <w:gridSpan w:val="2"/>
          </w:tcPr>
          <w:p w14:paraId="385CE72C" w14:textId="77777777" w:rsidR="00AD1F15" w:rsidRPr="00DB23D2" w:rsidRDefault="00AD1F15" w:rsidP="00933183">
            <w:pPr>
              <w:jc w:val="both"/>
              <w:rPr>
                <w:rFonts w:ascii="Verdana" w:eastAsia="Calibri" w:hAnsi="Verdana" w:cs="Arial"/>
                <w:lang w:val="es-ES_tradnl" w:eastAsia="es-ES"/>
              </w:rPr>
            </w:pPr>
          </w:p>
        </w:tc>
      </w:tr>
    </w:tbl>
    <w:p w14:paraId="0536D40D" w14:textId="77777777" w:rsidR="00AD1F15" w:rsidRPr="006730E9" w:rsidRDefault="00AD1F15" w:rsidP="00933183">
      <w:pPr>
        <w:spacing w:after="0" w:line="240"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Cabrera;</w:t>
      </w:r>
    </w:p>
    <w:p w14:paraId="2371AE8C" w14:textId="77777777" w:rsidR="00AD1F15" w:rsidRDefault="00AD1F15" w:rsidP="00AD1F1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5B41F0B2" w14:textId="77777777" w:rsidR="00AD1F15" w:rsidRPr="006730E9" w:rsidRDefault="00AD1F15" w:rsidP="00AD1F15">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 por competencia por parte del Departamento Administrativo de la Función Pública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07 </w:t>
      </w:r>
      <w:r w:rsidRPr="00656A22">
        <w:rPr>
          <w:rFonts w:ascii="Verdana" w:eastAsia="Calibri" w:hAnsi="Verdana" w:cs="Arial"/>
          <w:lang w:val="es-ES" w:eastAsia="es-ES"/>
        </w:rPr>
        <w:t xml:space="preserve">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0BBBD394" w14:textId="77777777" w:rsidR="00AD1F15" w:rsidRPr="00326382" w:rsidRDefault="00AD1F15" w:rsidP="00AD1F15">
      <w:pPr>
        <w:spacing w:after="0" w:line="276" w:lineRule="auto"/>
        <w:ind w:left="709" w:right="474"/>
        <w:jc w:val="both"/>
        <w:rPr>
          <w:rFonts w:ascii="Verdana" w:hAnsi="Verdana" w:cs="Arial"/>
          <w:sz w:val="20"/>
          <w:szCs w:val="20"/>
          <w:shd w:val="clear" w:color="auto" w:fill="FFFFFF"/>
        </w:rPr>
      </w:pPr>
      <w:bookmarkStart w:id="2" w:name="_Hlk95313578"/>
    </w:p>
    <w:bookmarkEnd w:id="2"/>
    <w:p w14:paraId="3FB0925B" w14:textId="77777777" w:rsidR="00AD1F15" w:rsidRDefault="00AD1F15" w:rsidP="00AD1F15">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73EB92BC" w14:textId="77777777" w:rsidR="00AD1F15" w:rsidRPr="00E445EC" w:rsidRDefault="00AD1F15" w:rsidP="00AD1F15">
      <w:pPr>
        <w:tabs>
          <w:tab w:val="left" w:pos="142"/>
          <w:tab w:val="left" w:pos="567"/>
        </w:tabs>
        <w:spacing w:after="0" w:line="240" w:lineRule="auto"/>
        <w:ind w:right="709"/>
        <w:jc w:val="both"/>
        <w:rPr>
          <w:rFonts w:ascii="Verdana" w:eastAsia="Century Gothic" w:hAnsi="Verdana" w:cs="Century Gothic"/>
          <w:i/>
          <w:iCs/>
          <w:sz w:val="20"/>
          <w:szCs w:val="20"/>
        </w:rPr>
      </w:pPr>
    </w:p>
    <w:p w14:paraId="2F6922CB" w14:textId="77777777" w:rsidR="00AD1F15" w:rsidRDefault="00AD1F15" w:rsidP="00AD1F15">
      <w:pPr>
        <w:tabs>
          <w:tab w:val="left" w:pos="142"/>
          <w:tab w:val="left" w:pos="567"/>
        </w:tabs>
        <w:spacing w:after="0" w:line="240" w:lineRule="auto"/>
        <w:ind w:left="709" w:right="709"/>
        <w:jc w:val="both"/>
        <w:rPr>
          <w:rFonts w:ascii="Verdana" w:eastAsia="Century Gothic" w:hAnsi="Verdana" w:cs="Century Gothic"/>
          <w:i/>
          <w:iCs/>
          <w:sz w:val="20"/>
          <w:szCs w:val="20"/>
        </w:rPr>
      </w:pPr>
      <w:r w:rsidRPr="005A34D0">
        <w:rPr>
          <w:rFonts w:ascii="Verdana" w:eastAsia="Century Gothic" w:hAnsi="Verdana" w:cs="Century Gothic"/>
          <w:i/>
          <w:iCs/>
          <w:sz w:val="20"/>
          <w:szCs w:val="20"/>
        </w:rPr>
        <w:t>Hola, quisiera saber lo siguiente: soy contratista por OPS en prestación de servicios profesionales; me</w:t>
      </w:r>
      <w:r>
        <w:rPr>
          <w:rFonts w:ascii="Verdana" w:eastAsia="Century Gothic" w:hAnsi="Verdana" w:cs="Century Gothic"/>
          <w:i/>
          <w:iCs/>
          <w:sz w:val="20"/>
          <w:szCs w:val="20"/>
        </w:rPr>
        <w:t xml:space="preserve"> </w:t>
      </w:r>
      <w:r w:rsidRPr="005A34D0">
        <w:rPr>
          <w:rFonts w:ascii="Verdana" w:eastAsia="Century Gothic" w:hAnsi="Verdana" w:cs="Century Gothic"/>
          <w:i/>
          <w:iCs/>
          <w:sz w:val="20"/>
          <w:szCs w:val="20"/>
        </w:rPr>
        <w:t xml:space="preserve">salió una oportunidad para hacer un reemplazo </w:t>
      </w:r>
      <w:r w:rsidRPr="005A34D0">
        <w:rPr>
          <w:rFonts w:ascii="Verdana" w:eastAsia="Century Gothic" w:hAnsi="Verdana" w:cs="Century Gothic"/>
          <w:i/>
          <w:iCs/>
          <w:sz w:val="20"/>
          <w:szCs w:val="20"/>
        </w:rPr>
        <w:lastRenderedPageBreak/>
        <w:t>para el magisterio. ¿Puedo tener ambos contratos a la</w:t>
      </w:r>
      <w:r>
        <w:rPr>
          <w:rFonts w:ascii="Verdana" w:eastAsia="Century Gothic" w:hAnsi="Verdana" w:cs="Century Gothic"/>
          <w:i/>
          <w:iCs/>
          <w:sz w:val="20"/>
          <w:szCs w:val="20"/>
        </w:rPr>
        <w:t xml:space="preserve"> </w:t>
      </w:r>
      <w:r w:rsidRPr="005A34D0">
        <w:rPr>
          <w:rFonts w:ascii="Verdana" w:eastAsia="Century Gothic" w:hAnsi="Verdana" w:cs="Century Gothic"/>
          <w:i/>
          <w:iCs/>
          <w:sz w:val="20"/>
          <w:szCs w:val="20"/>
        </w:rPr>
        <w:t>vez o no es posible?, por favor justifica la respuesta.</w:t>
      </w:r>
    </w:p>
    <w:p w14:paraId="6F68A02F" w14:textId="77777777" w:rsidR="00AD1F15" w:rsidRDefault="00AD1F15" w:rsidP="00AD1F15">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BD60E22" w14:textId="77777777" w:rsidR="00AD1F15" w:rsidRPr="00EA70F7" w:rsidRDefault="00AD1F15" w:rsidP="00AD1F15">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7DE8E6EB" w14:textId="77777777" w:rsidR="00AD1F15" w:rsidRDefault="00AD1F15" w:rsidP="00AD1F15">
      <w:pPr>
        <w:spacing w:after="0" w:line="276" w:lineRule="auto"/>
        <w:ind w:firstLine="709"/>
        <w:jc w:val="both"/>
        <w:rPr>
          <w:rFonts w:ascii="Verdana" w:eastAsia="Calibri" w:hAnsi="Verdana" w:cs="Arial"/>
          <w:lang w:val="es-ES" w:eastAsia="es-ES"/>
        </w:rPr>
      </w:pPr>
    </w:p>
    <w:p w14:paraId="6AEFCAE4" w14:textId="77777777" w:rsidR="00AD1F15" w:rsidRPr="00AA3B9F" w:rsidRDefault="00AD1F15" w:rsidP="00AD1F15">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C47810C" w14:textId="77777777" w:rsidR="00AD1F15" w:rsidRDefault="00AD1F15" w:rsidP="00AD1F15">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E2E5259" w14:textId="77777777" w:rsidR="00AD1F15" w:rsidRDefault="00AD1F15" w:rsidP="00AD1F15">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219E185" w14:textId="77777777" w:rsidR="00AD1F15" w:rsidRDefault="00AD1F15" w:rsidP="00AD1F1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75ED8634" w14:textId="77777777" w:rsidR="00AD1F15" w:rsidRDefault="00AD1F15" w:rsidP="00AD1F15">
      <w:pPr>
        <w:pStyle w:val="Prrafodelista"/>
        <w:tabs>
          <w:tab w:val="left" w:pos="142"/>
          <w:tab w:val="left" w:pos="284"/>
        </w:tabs>
        <w:spacing w:after="0" w:line="276" w:lineRule="auto"/>
        <w:ind w:left="0"/>
        <w:jc w:val="both"/>
        <w:rPr>
          <w:rFonts w:ascii="Verdana" w:eastAsia="Century Gothic" w:hAnsi="Verdana" w:cs="Century Gothic"/>
          <w:b/>
          <w:bCs/>
        </w:rPr>
      </w:pPr>
    </w:p>
    <w:p w14:paraId="34425F65" w14:textId="500115F5" w:rsidR="00AD1F15" w:rsidRDefault="00AD1F15" w:rsidP="00AD1F15">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sidR="001453F4">
        <w:rPr>
          <w:rFonts w:ascii="Verdana" w:eastAsia="Calibri" w:hAnsi="Verdana" w:cs="Arial"/>
          <w:lang w:eastAsia="es-ES"/>
        </w:rPr>
        <w:t>el</w:t>
      </w:r>
      <w:r>
        <w:rPr>
          <w:rFonts w:ascii="Verdana" w:eastAsia="Calibri" w:hAnsi="Verdana" w:cs="Arial"/>
          <w:lang w:eastAsia="es-ES"/>
        </w:rPr>
        <w:t xml:space="preserve">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Pr="005D097C">
        <w:rPr>
          <w:rFonts w:ascii="Verdana" w:eastAsia="Century Gothic" w:hAnsi="Verdana" w:cs="Century Gothic"/>
        </w:rPr>
        <w:t xml:space="preserve">¿Es jurídicamente procedente que una persona </w:t>
      </w:r>
      <w:proofErr w:type="gramStart"/>
      <w:r>
        <w:rPr>
          <w:rFonts w:ascii="Verdana" w:eastAsia="Century Gothic" w:hAnsi="Verdana" w:cs="Century Gothic"/>
        </w:rPr>
        <w:t>vinculada</w:t>
      </w:r>
      <w:r w:rsidRPr="005D097C">
        <w:rPr>
          <w:rFonts w:ascii="Verdana" w:eastAsia="Century Gothic" w:hAnsi="Verdana" w:cs="Century Gothic"/>
        </w:rPr>
        <w:t xml:space="preserve">  a</w:t>
      </w:r>
      <w:proofErr w:type="gramEnd"/>
      <w:r w:rsidRPr="005D097C">
        <w:rPr>
          <w:rFonts w:ascii="Verdana" w:eastAsia="Century Gothic" w:hAnsi="Verdana" w:cs="Century Gothic"/>
        </w:rPr>
        <w:t xml:space="preserve"> una entidad estatal mediante contrato de prestación de servicios profesionales sea designada o </w:t>
      </w:r>
      <w:r>
        <w:rPr>
          <w:rFonts w:ascii="Verdana" w:eastAsia="Century Gothic" w:hAnsi="Verdana" w:cs="Century Gothic"/>
        </w:rPr>
        <w:t>pueda aceptar un remplazó en el magisterio</w:t>
      </w:r>
      <w:r w:rsidRPr="00E41707">
        <w:rPr>
          <w:rFonts w:ascii="Verdana" w:eastAsia="Century Gothic" w:hAnsi="Verdana" w:cs="Century Gothic"/>
        </w:rPr>
        <w:t>?</w:t>
      </w:r>
      <w:r w:rsidRPr="008303DD">
        <w:rPr>
          <w:rFonts w:ascii="Verdana" w:eastAsia="Calibri" w:hAnsi="Verdana" w:cs="Arial"/>
          <w:lang w:eastAsia="es-ES"/>
        </w:rPr>
        <w:t xml:space="preserve"> </w:t>
      </w:r>
    </w:p>
    <w:p w14:paraId="71526BBF" w14:textId="77777777" w:rsidR="00AD1F15" w:rsidRDefault="00AD1F15" w:rsidP="00AD1F15">
      <w:pPr>
        <w:spacing w:after="0" w:line="276" w:lineRule="auto"/>
        <w:jc w:val="both"/>
        <w:rPr>
          <w:rFonts w:ascii="Verdana" w:eastAsia="Calibri" w:hAnsi="Verdana" w:cs="Arial"/>
          <w:lang w:eastAsia="es-ES"/>
        </w:rPr>
      </w:pPr>
    </w:p>
    <w:bookmarkEnd w:id="3"/>
    <w:p w14:paraId="01FC7839" w14:textId="77777777" w:rsidR="00AD1F15" w:rsidRDefault="00AD1F15" w:rsidP="00AD1F1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Respuesta:</w:t>
      </w:r>
    </w:p>
    <w:p w14:paraId="4D9CE3AB" w14:textId="77777777" w:rsidR="00AD1F15" w:rsidRPr="00593A5F" w:rsidRDefault="00AD1F15" w:rsidP="00AD1F1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D1F15" w:rsidRPr="00593A5F" w14:paraId="329AE67B" w14:textId="77777777" w:rsidTr="008B3546">
        <w:tc>
          <w:tcPr>
            <w:tcW w:w="8828" w:type="dxa"/>
          </w:tcPr>
          <w:p w14:paraId="16D70379" w14:textId="357D97B7" w:rsidR="00AD1F15" w:rsidRDefault="00AD1F15" w:rsidP="008B3546">
            <w:pPr>
              <w:spacing w:after="120" w:line="276" w:lineRule="auto"/>
              <w:jc w:val="both"/>
              <w:rPr>
                <w:rFonts w:ascii="Verdana" w:hAnsi="Verdana" w:cs="Arial"/>
              </w:rPr>
            </w:pPr>
            <w:r w:rsidRPr="00201841">
              <w:rPr>
                <w:rFonts w:ascii="Verdana" w:hAnsi="Verdana" w:cs="Arial"/>
              </w:rPr>
              <w:t xml:space="preserve">De acuerdo con lo dispuesto en el artículo 128 de la Constitución Política, está prohibido recibir más de una asignación proveniente del Tesoro Público o de empresas en las que el Estado tenga participación mayoritaria, salvo las </w:t>
            </w:r>
            <w:r w:rsidRPr="00201841">
              <w:rPr>
                <w:rFonts w:ascii="Verdana" w:hAnsi="Verdana" w:cs="Arial"/>
              </w:rPr>
              <w:lastRenderedPageBreak/>
              <w:t xml:space="preserve">excepciones expresamente previstas por la ley. Estas excepciones están reguladas en el artículo 19 de la Ley 4 de 1992 </w:t>
            </w:r>
            <w:r>
              <w:rPr>
                <w:rFonts w:ascii="Verdana" w:hAnsi="Verdana" w:cs="Arial"/>
              </w:rPr>
              <w:t>y</w:t>
            </w:r>
            <w:r w:rsidRPr="00201841">
              <w:rPr>
                <w:rFonts w:ascii="Verdana" w:hAnsi="Verdana" w:cs="Arial"/>
              </w:rPr>
              <w:t xml:space="preserve"> no incluye</w:t>
            </w:r>
            <w:r>
              <w:rPr>
                <w:rFonts w:ascii="Verdana" w:hAnsi="Verdana" w:cs="Arial"/>
              </w:rPr>
              <w:t>n</w:t>
            </w:r>
            <w:r w:rsidRPr="00201841">
              <w:rPr>
                <w:rFonts w:ascii="Verdana" w:hAnsi="Verdana" w:cs="Arial"/>
              </w:rPr>
              <w:t xml:space="preserve"> la posibilidad</w:t>
            </w:r>
            <w:r>
              <w:rPr>
                <w:rFonts w:ascii="Verdana" w:hAnsi="Verdana" w:cs="Arial"/>
              </w:rPr>
              <w:t xml:space="preserve"> </w:t>
            </w:r>
            <w:r w:rsidRPr="00201841">
              <w:rPr>
                <w:rFonts w:ascii="Verdana" w:hAnsi="Verdana" w:cs="Arial"/>
              </w:rPr>
              <w:t xml:space="preserve">de </w:t>
            </w:r>
            <w:r>
              <w:rPr>
                <w:rFonts w:ascii="Verdana" w:hAnsi="Verdana" w:cs="Arial"/>
              </w:rPr>
              <w:t xml:space="preserve">tener </w:t>
            </w:r>
            <w:r w:rsidRPr="00201841">
              <w:rPr>
                <w:rFonts w:ascii="Verdana" w:hAnsi="Verdana" w:cs="Arial"/>
              </w:rPr>
              <w:t xml:space="preserve">una relación laboral en </w:t>
            </w:r>
            <w:r>
              <w:rPr>
                <w:rFonts w:ascii="Verdana" w:hAnsi="Verdana" w:cs="Arial"/>
              </w:rPr>
              <w:t>una</w:t>
            </w:r>
            <w:r w:rsidRPr="00201841">
              <w:rPr>
                <w:rFonts w:ascii="Verdana" w:hAnsi="Verdana" w:cs="Arial"/>
              </w:rPr>
              <w:t xml:space="preserve"> entidad estatal en paralelo con celebrar </w:t>
            </w:r>
            <w:r>
              <w:rPr>
                <w:rFonts w:ascii="Verdana" w:hAnsi="Verdana" w:cs="Arial"/>
              </w:rPr>
              <w:t xml:space="preserve">un </w:t>
            </w:r>
            <w:r w:rsidRPr="00201841">
              <w:rPr>
                <w:rFonts w:ascii="Verdana" w:hAnsi="Verdana" w:cs="Arial"/>
              </w:rPr>
              <w:t>contrato de prestación de servicios</w:t>
            </w:r>
            <w:r>
              <w:rPr>
                <w:rFonts w:ascii="Verdana" w:hAnsi="Verdana" w:cs="Arial"/>
              </w:rPr>
              <w:t xml:space="preserve"> financiado con recursos públicos.</w:t>
            </w:r>
          </w:p>
          <w:p w14:paraId="51ACF619" w14:textId="77777777" w:rsidR="00AD1F15" w:rsidRPr="005D097C" w:rsidRDefault="00AD1F15" w:rsidP="008B3546">
            <w:pPr>
              <w:spacing w:after="120" w:line="276" w:lineRule="auto"/>
              <w:jc w:val="both"/>
              <w:rPr>
                <w:rFonts w:ascii="Verdana" w:hAnsi="Verdana" w:cs="Arial"/>
              </w:rPr>
            </w:pPr>
            <w:r>
              <w:rPr>
                <w:rFonts w:ascii="Verdana" w:hAnsi="Verdana" w:cs="Arial"/>
              </w:rPr>
              <w:t xml:space="preserve">          </w:t>
            </w:r>
            <w:r w:rsidRPr="005D097C">
              <w:rPr>
                <w:rFonts w:ascii="Verdana" w:hAnsi="Verdana" w:cs="Arial"/>
              </w:rPr>
              <w:t>De igual manera, el literal f) del artículo 8º de la Ley 80 de 1993 señala que los servidores públicos están inhabilitados para contratar con entidades estatales. En este punto, el artículo 2º de la Ley 909 de 2004 y el artículo 122 de la Constitución entienden como servidores públicos tanto a quienes ejercen cargos de carrera como a quienes ocupan plazas en provisionalidad, encargos o en cualquier modalidad de nombramiento.</w:t>
            </w:r>
          </w:p>
          <w:p w14:paraId="7369FF4F" w14:textId="77777777" w:rsidR="00AD1F15" w:rsidRPr="005D097C" w:rsidRDefault="00AD1F15" w:rsidP="008B3546">
            <w:pPr>
              <w:spacing w:after="120" w:line="276" w:lineRule="auto"/>
              <w:jc w:val="both"/>
              <w:rPr>
                <w:rFonts w:ascii="Verdana" w:hAnsi="Verdana" w:cs="Arial"/>
              </w:rPr>
            </w:pPr>
            <w:r w:rsidRPr="005D097C">
              <w:rPr>
                <w:rFonts w:ascii="Verdana" w:hAnsi="Verdana" w:cs="Arial"/>
              </w:rPr>
              <w:t xml:space="preserve">        Así, un docente vinculado </w:t>
            </w:r>
            <w:r>
              <w:rPr>
                <w:rFonts w:ascii="Verdana" w:hAnsi="Verdana" w:cs="Arial"/>
              </w:rPr>
              <w:t>al magisterio</w:t>
            </w:r>
            <w:r w:rsidRPr="005D097C">
              <w:rPr>
                <w:rFonts w:ascii="Verdana" w:hAnsi="Verdana" w:cs="Arial"/>
              </w:rPr>
              <w:t xml:space="preserve"> en cualquier modalidad de nombramiento se considera servidor público y, en consecuencia, resulta aplicable la prohibición, salvo que estén incursos en las excepciones previstas en la Ley, particularmente las establecidas en el artículo 19 de la Ley 4 de 1992. </w:t>
            </w:r>
          </w:p>
          <w:p w14:paraId="44747EEC" w14:textId="77777777" w:rsidR="00AD1F15" w:rsidRPr="005D097C" w:rsidRDefault="00AD1F15" w:rsidP="008B3546">
            <w:pPr>
              <w:spacing w:after="120" w:line="276" w:lineRule="auto"/>
              <w:jc w:val="both"/>
              <w:rPr>
                <w:rFonts w:ascii="Verdana" w:hAnsi="Verdana" w:cs="Arial"/>
              </w:rPr>
            </w:pPr>
            <w:r>
              <w:rPr>
                <w:rFonts w:ascii="Verdana" w:hAnsi="Verdana" w:cs="Arial"/>
              </w:rPr>
              <w:t xml:space="preserve">         </w:t>
            </w:r>
            <w:r w:rsidRPr="00DD22D8">
              <w:rPr>
                <w:rFonts w:ascii="Verdana" w:hAnsi="Verdana" w:cs="Arial"/>
              </w:rPr>
              <w:t>En consecuencia</w:t>
            </w:r>
            <w:r>
              <w:rPr>
                <w:rFonts w:ascii="Verdana" w:hAnsi="Verdana" w:cs="Arial"/>
              </w:rPr>
              <w:t xml:space="preserve"> y en atención al problema jurídico planteado </w:t>
            </w:r>
            <w:r w:rsidRPr="00DD22D8">
              <w:rPr>
                <w:rFonts w:ascii="Verdana" w:hAnsi="Verdana" w:cs="Arial"/>
              </w:rPr>
              <w:t>corresponde al contratista poner en conocimiento de la autoridad competente del magisterio —ya sea la secretaría de educación o la entidad territorial certificada responsable del nombramiento— la existencia de su contrato de prestación de servicios vigente con una entidad estatal, a fin de que, con fundamento en lo dispuesto en la Constitución, la Ley 4 de 1992 y la Ley 80 de 1993, se determine la viabilidad o no de su designación o aceptación del reemplazo. De esta manera, será dicha autoridad la encargada de verificar si la situación configura o no una inhabilidad, incompatibilidad o doble asignación del tesoro público, garantizando la legalidad del nombramiento y la transparencia en el ejercicio de la función pública.</w:t>
            </w:r>
          </w:p>
          <w:p w14:paraId="4435FC13" w14:textId="77777777" w:rsidR="00AD1F15" w:rsidRPr="00DB4737" w:rsidRDefault="00AD1F15" w:rsidP="008B3546">
            <w:pPr>
              <w:spacing w:after="120" w:line="276" w:lineRule="auto"/>
              <w:jc w:val="both"/>
              <w:rPr>
                <w:rFonts w:ascii="Verdana" w:eastAsia="Calibri" w:hAnsi="Verdana" w:cs="Times New Roman"/>
                <w:lang w:val="es-ES"/>
              </w:rPr>
            </w:pPr>
            <w:r w:rsidRPr="005D097C">
              <w:rPr>
                <w:rFonts w:ascii="Verdana" w:hAnsi="Verdana" w:cs="Arial"/>
              </w:rPr>
              <w:t xml:space="preserve">        </w:t>
            </w: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61444A9" w14:textId="77777777" w:rsidR="00AD1F15" w:rsidRPr="00E529C2" w:rsidRDefault="00AD1F15" w:rsidP="008B3546">
            <w:pPr>
              <w:spacing w:line="276" w:lineRule="auto"/>
              <w:jc w:val="both"/>
              <w:rPr>
                <w:rFonts w:ascii="Verdana" w:eastAsia="Calibri" w:hAnsi="Verdana" w:cs="Times New Roman"/>
                <w:lang w:val="es-ES"/>
              </w:rPr>
            </w:pPr>
            <w:r>
              <w:rPr>
                <w:rFonts w:ascii="Verdana" w:eastAsia="Calibri" w:hAnsi="Verdana" w:cs="Times New Roman"/>
                <w:lang w:val="es-ES"/>
              </w:rPr>
              <w:lastRenderedPageBreak/>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2E7C700B" w14:textId="77777777" w:rsidR="00AD1F15" w:rsidRDefault="00AD1F15" w:rsidP="00AD1F15">
      <w:pPr>
        <w:tabs>
          <w:tab w:val="left" w:pos="142"/>
          <w:tab w:val="left" w:pos="284"/>
        </w:tabs>
        <w:spacing w:after="0" w:line="276" w:lineRule="auto"/>
        <w:jc w:val="both"/>
        <w:rPr>
          <w:rFonts w:ascii="Verdana" w:eastAsia="Century Gothic" w:hAnsi="Verdana" w:cs="Century Gothic"/>
          <w:b/>
          <w:bCs/>
          <w:lang w:val="es-ES"/>
        </w:rPr>
      </w:pPr>
    </w:p>
    <w:p w14:paraId="76E31861" w14:textId="77777777" w:rsidR="00AD1F15" w:rsidRDefault="00AD1F15" w:rsidP="001453F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012B3EE6" w14:textId="77777777" w:rsidR="00AD1F15" w:rsidRDefault="00AD1F15" w:rsidP="00AD1F1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318A231" w14:textId="1C99AC87" w:rsidR="00AD1F15" w:rsidRPr="000D07EE" w:rsidRDefault="00AD1F15" w:rsidP="00AD1F15">
      <w:pPr>
        <w:spacing w:after="0" w:line="276" w:lineRule="auto"/>
        <w:jc w:val="both"/>
        <w:rPr>
          <w:rFonts w:ascii="Verdana" w:eastAsia="Calibri" w:hAnsi="Verdana" w:cs="Arial"/>
          <w:color w:val="000000"/>
          <w:lang w:val="es-ES_tradnl" w:eastAsia="es-ES_tradnl"/>
        </w:rPr>
      </w:pPr>
      <w:r w:rsidRPr="000D07EE">
        <w:rPr>
          <w:rFonts w:ascii="Verdana" w:eastAsia="Calibri" w:hAnsi="Verdana" w:cs="Arial"/>
          <w:color w:val="000000"/>
          <w:lang w:val="es-ES_tradnl" w:eastAsia="es-ES_tradnl"/>
        </w:rPr>
        <w:t>Respecto al objeto de su consulta, es menester indicar que,</w:t>
      </w:r>
      <w:r w:rsidRPr="000D07EE">
        <w:rPr>
          <w:rFonts w:ascii="Verdana" w:eastAsia="Calibri" w:hAnsi="Verdana" w:cs="Arial"/>
          <w:b/>
          <w:bCs/>
          <w:color w:val="000000"/>
          <w:lang w:val="es-ES_tradnl" w:eastAsia="es-ES_tradnl"/>
        </w:rPr>
        <w:t xml:space="preserve"> </w:t>
      </w:r>
      <w:r w:rsidRPr="000D07EE">
        <w:rPr>
          <w:rFonts w:ascii="Verdana" w:eastAsia="Calibri" w:hAnsi="Verdana" w:cs="Arial"/>
          <w:color w:val="000000"/>
          <w:lang w:val="es-ES_tradnl" w:eastAsia="es-ES_tradnl"/>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w:t>
      </w:r>
    </w:p>
    <w:p w14:paraId="13132B30" w14:textId="77777777" w:rsidR="00AD1F15" w:rsidRPr="000D07EE" w:rsidRDefault="00AD1F15" w:rsidP="00AD1F15">
      <w:pPr>
        <w:spacing w:after="0" w:line="276" w:lineRule="auto"/>
        <w:ind w:left="709" w:right="709"/>
        <w:jc w:val="both"/>
        <w:rPr>
          <w:rFonts w:ascii="Verdana" w:eastAsia="Calibri" w:hAnsi="Verdana" w:cs="Arial"/>
          <w:color w:val="000000"/>
          <w:lang w:val="es-ES_tradnl" w:eastAsia="es-ES_tradnl"/>
        </w:rPr>
      </w:pPr>
    </w:p>
    <w:p w14:paraId="616C9957" w14:textId="77777777" w:rsidR="00AD1F15" w:rsidRPr="00C52B71" w:rsidRDefault="00AD1F15" w:rsidP="00AD1F15">
      <w:pPr>
        <w:spacing w:after="0" w:line="240" w:lineRule="auto"/>
        <w:ind w:left="709" w:right="709"/>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1E4394B2" w14:textId="77777777" w:rsidR="00AD1F15" w:rsidRPr="00C52B71" w:rsidRDefault="00AD1F15" w:rsidP="00AD1F15">
      <w:pPr>
        <w:spacing w:after="0" w:line="240" w:lineRule="auto"/>
        <w:ind w:left="709" w:right="709"/>
        <w:jc w:val="both"/>
        <w:rPr>
          <w:rFonts w:ascii="Verdana" w:eastAsia="Calibri" w:hAnsi="Verdana" w:cs="Arial"/>
          <w:color w:val="000000"/>
          <w:sz w:val="20"/>
          <w:szCs w:val="20"/>
          <w:lang w:val="es-ES_tradnl" w:eastAsia="es-ES_tradnl"/>
        </w:rPr>
      </w:pPr>
    </w:p>
    <w:p w14:paraId="21AC2E55" w14:textId="77777777" w:rsidR="00AD1F15" w:rsidRPr="00C52B71" w:rsidRDefault="00AD1F15" w:rsidP="00AD1F15">
      <w:pPr>
        <w:spacing w:after="0" w:line="240" w:lineRule="auto"/>
        <w:ind w:left="709" w:right="709"/>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En ningún caso estos contratos generan relación laboral ni prestaciones sociales y se celebrarán por el término estrictamente indispensable”.</w:t>
      </w:r>
    </w:p>
    <w:p w14:paraId="657A3929" w14:textId="77777777" w:rsidR="00AD1F15" w:rsidRPr="00C52B71" w:rsidRDefault="00AD1F15" w:rsidP="00AD1F15">
      <w:pPr>
        <w:tabs>
          <w:tab w:val="left" w:pos="284"/>
        </w:tabs>
        <w:spacing w:after="0" w:line="276" w:lineRule="auto"/>
        <w:jc w:val="both"/>
        <w:rPr>
          <w:rFonts w:ascii="Verdana" w:eastAsia="Calibri" w:hAnsi="Verdana" w:cs="Arial"/>
          <w:b/>
          <w:color w:val="000000"/>
          <w:lang w:val="es-ES_tradnl" w:eastAsia="es-ES_tradnl"/>
        </w:rPr>
      </w:pPr>
    </w:p>
    <w:p w14:paraId="1CEFC246" w14:textId="77777777" w:rsidR="00AD1F15" w:rsidRPr="00C52B71" w:rsidRDefault="00AD1F15" w:rsidP="00AD1F15">
      <w:pPr>
        <w:spacing w:after="0" w:line="276" w:lineRule="auto"/>
        <w:ind w:firstLine="709"/>
        <w:jc w:val="both"/>
        <w:rPr>
          <w:rFonts w:ascii="Verdana" w:eastAsia="Calibri" w:hAnsi="Verdana" w:cs="Arial"/>
          <w:color w:val="000000"/>
          <w:lang w:val="es-ES" w:eastAsia="es-ES"/>
        </w:rPr>
      </w:pPr>
      <w:r w:rsidRPr="47BC6CF5">
        <w:rPr>
          <w:rFonts w:ascii="Verdana" w:eastAsia="Calibri" w:hAnsi="Verdana" w:cs="Arial"/>
          <w:color w:val="000000" w:themeColor="text1"/>
          <w:lang w:val="es-ES" w:eastAsia="es-ES"/>
        </w:rPr>
        <w:t>De otro lado, la celebración de dicho contrato se debe efectuar a través de la modalidad de la contratación directa. Así lo prevé el artículo 2, numeral 4º, literal h), de la Ley 1150 de 2007, que dispone:</w:t>
      </w:r>
    </w:p>
    <w:p w14:paraId="34FCABE1" w14:textId="77777777" w:rsidR="00AD1F15" w:rsidRPr="00C52B71" w:rsidRDefault="00AD1F15" w:rsidP="00AD1F15">
      <w:pPr>
        <w:spacing w:after="0" w:line="276" w:lineRule="auto"/>
        <w:ind w:firstLine="709"/>
        <w:jc w:val="both"/>
        <w:rPr>
          <w:rFonts w:ascii="Verdana" w:eastAsia="Calibri" w:hAnsi="Verdana" w:cs="Arial"/>
          <w:color w:val="000000"/>
          <w:lang w:val="es-ES_tradnl" w:eastAsia="es-ES_tradnl"/>
        </w:rPr>
      </w:pPr>
    </w:p>
    <w:p w14:paraId="5C5AB645" w14:textId="77777777" w:rsidR="00AD1F15" w:rsidRPr="00C52B71" w:rsidRDefault="00AD1F15" w:rsidP="00933183">
      <w:pPr>
        <w:spacing w:after="0" w:line="240" w:lineRule="auto"/>
        <w:ind w:left="709" w:right="709"/>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w:t>
      </w:r>
    </w:p>
    <w:p w14:paraId="1F0F659C" w14:textId="77777777" w:rsidR="00AD1F15" w:rsidRPr="00C52B71" w:rsidRDefault="00AD1F15" w:rsidP="00933183">
      <w:pPr>
        <w:spacing w:after="0" w:line="240" w:lineRule="auto"/>
        <w:ind w:left="709" w:right="709"/>
        <w:jc w:val="both"/>
        <w:rPr>
          <w:rFonts w:ascii="Verdana" w:eastAsia="Calibri" w:hAnsi="Verdana" w:cs="Arial"/>
          <w:color w:val="000000"/>
          <w:sz w:val="20"/>
          <w:szCs w:val="20"/>
          <w:lang w:val="es-ES" w:eastAsia="es-ES"/>
        </w:rPr>
      </w:pPr>
      <w:r w:rsidRPr="47BC6CF5">
        <w:rPr>
          <w:rFonts w:ascii="Verdana" w:eastAsia="Calibri" w:hAnsi="Verdana" w:cs="Arial"/>
          <w:color w:val="000000" w:themeColor="text1"/>
          <w:sz w:val="20"/>
          <w:szCs w:val="20"/>
          <w:lang w:val="es-ES" w:eastAsia="es-ES"/>
        </w:rPr>
        <w:t>Contratación directa. La modalidad de selección de contratación directa, solamente procederá en los siguientes casos:</w:t>
      </w:r>
    </w:p>
    <w:p w14:paraId="2CB9E4C5" w14:textId="77777777" w:rsidR="00AD1F15" w:rsidRPr="00C52B71" w:rsidRDefault="00AD1F15" w:rsidP="00933183">
      <w:pPr>
        <w:spacing w:after="0" w:line="240" w:lineRule="auto"/>
        <w:ind w:left="709" w:right="709"/>
        <w:jc w:val="both"/>
        <w:rPr>
          <w:rFonts w:ascii="Verdana" w:eastAsia="Calibri" w:hAnsi="Verdana" w:cs="Arial"/>
          <w:color w:val="000000"/>
          <w:sz w:val="20"/>
          <w:szCs w:val="20"/>
          <w:lang w:val="es-ES_tradnl" w:eastAsia="es-ES_tradnl"/>
        </w:rPr>
      </w:pPr>
    </w:p>
    <w:p w14:paraId="728A1DE6" w14:textId="77777777" w:rsidR="00AD1F15" w:rsidRPr="00C52B71" w:rsidRDefault="00AD1F15" w:rsidP="00933183">
      <w:pPr>
        <w:spacing w:after="0" w:line="240" w:lineRule="auto"/>
        <w:ind w:left="709" w:right="709"/>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w:t>
      </w:r>
    </w:p>
    <w:p w14:paraId="37A9F392" w14:textId="77777777" w:rsidR="00AD1F15" w:rsidRPr="00C52B71" w:rsidRDefault="00AD1F15" w:rsidP="00933183">
      <w:pPr>
        <w:spacing w:after="0" w:line="240" w:lineRule="auto"/>
        <w:ind w:left="709" w:right="709"/>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 xml:space="preserve">h) Para la prestación de servicios profesionales y de apoyo a la gestión, o para la ejecución de trabajos artísticos que sólo puedan encomendarse a determinadas personas naturales; </w:t>
      </w:r>
    </w:p>
    <w:p w14:paraId="0DF1FAFD" w14:textId="77777777" w:rsidR="00AD1F15" w:rsidRPr="00C52B71" w:rsidRDefault="00AD1F15" w:rsidP="00933183">
      <w:pPr>
        <w:spacing w:after="0" w:line="240" w:lineRule="auto"/>
        <w:ind w:left="709" w:right="709"/>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w:t>
      </w:r>
    </w:p>
    <w:p w14:paraId="17367250" w14:textId="77777777" w:rsidR="00AD1F15" w:rsidRPr="00C52B71" w:rsidRDefault="00AD1F15" w:rsidP="00AD1F15">
      <w:pPr>
        <w:spacing w:after="0" w:line="276" w:lineRule="auto"/>
        <w:ind w:right="709"/>
        <w:jc w:val="both"/>
        <w:rPr>
          <w:rFonts w:ascii="Verdana" w:eastAsia="Calibri" w:hAnsi="Verdana" w:cs="Arial"/>
          <w:color w:val="000000"/>
          <w:lang w:val="es-ES_tradnl" w:eastAsia="es-ES_tradnl"/>
        </w:rPr>
      </w:pPr>
    </w:p>
    <w:p w14:paraId="1ECC1598" w14:textId="77777777" w:rsidR="00AD1F15" w:rsidRPr="00C52B71" w:rsidRDefault="00AD1F15" w:rsidP="00AD1F15">
      <w:pPr>
        <w:spacing w:after="120" w:line="276" w:lineRule="auto"/>
        <w:ind w:firstLine="709"/>
        <w:jc w:val="both"/>
        <w:rPr>
          <w:rFonts w:ascii="Verdana" w:eastAsia="Calibri" w:hAnsi="Verdana" w:cs="Arial"/>
          <w:color w:val="000000"/>
          <w:lang w:val="es-ES_tradnl" w:eastAsia="es-ES_tradnl"/>
        </w:rPr>
      </w:pPr>
      <w:r w:rsidRPr="00C52B71">
        <w:rPr>
          <w:rFonts w:ascii="Verdana" w:eastAsia="Calibri" w:hAnsi="Verdana" w:cs="Arial"/>
          <w:color w:val="000000"/>
          <w:lang w:val="es-ES_tradnl" w:eastAsia="es-ES_tradnl"/>
        </w:rPr>
        <w:t>A partir de estos enunciados normativos, entre otros, de carácter legal y reglamentario, que complementan su regulación</w:t>
      </w:r>
      <w:r>
        <w:rPr>
          <w:rFonts w:ascii="Verdana" w:eastAsia="Calibri" w:hAnsi="Verdana" w:cs="Arial"/>
          <w:color w:val="000000"/>
          <w:lang w:val="es-ES_tradnl" w:eastAsia="es-ES_tradnl"/>
        </w:rPr>
        <w:t xml:space="preserve"> </w:t>
      </w:r>
      <w:r w:rsidRPr="00C52B71">
        <w:rPr>
          <w:rFonts w:ascii="Verdana" w:eastAsia="Calibri" w:hAnsi="Verdana" w:cs="Arial"/>
          <w:color w:val="000000"/>
          <w:lang w:val="es-ES_tradnl" w:eastAsia="es-ES_tradnl"/>
        </w:rPr>
        <w:t>y de los pronunciamientos judiciales más destacados sobre el tema, es posible señalar las siguientes características del contrato de prestación de servicios:</w:t>
      </w:r>
    </w:p>
    <w:p w14:paraId="16653A58" w14:textId="77777777" w:rsidR="00AD1F15" w:rsidRPr="00C52B71" w:rsidRDefault="00AD1F15" w:rsidP="00AD1F15">
      <w:pPr>
        <w:spacing w:after="120" w:line="276" w:lineRule="auto"/>
        <w:ind w:firstLine="709"/>
        <w:jc w:val="both"/>
        <w:rPr>
          <w:rFonts w:ascii="Verdana" w:eastAsia="Calibri" w:hAnsi="Verdana" w:cs="Arial"/>
          <w:color w:val="000000"/>
          <w:lang w:val="es-ES_tradnl" w:eastAsia="es-ES_tradnl"/>
        </w:rPr>
      </w:pPr>
      <w:r w:rsidRPr="00C52B71">
        <w:rPr>
          <w:rFonts w:ascii="Verdana" w:eastAsia="Calibri" w:hAnsi="Verdana" w:cs="Arial"/>
          <w:color w:val="000000"/>
          <w:lang w:val="es-ES_tradnl" w:eastAsia="es-ES_tradnl"/>
        </w:rPr>
        <w:t>i) Solo puede celebrarse para realizar “actividades relacionadas con la administración o funcionamiento de la entidad”, es decir, que hagan parte de su giro ordinario o quehacer cotidiano.</w:t>
      </w:r>
    </w:p>
    <w:p w14:paraId="447BF871" w14:textId="77777777" w:rsidR="00AD1F15" w:rsidRPr="00C52B71" w:rsidRDefault="00AD1F15" w:rsidP="00AD1F15">
      <w:pPr>
        <w:spacing w:after="120" w:line="276" w:lineRule="auto"/>
        <w:ind w:firstLine="709"/>
        <w:jc w:val="both"/>
        <w:rPr>
          <w:rFonts w:ascii="Verdana" w:eastAsia="Calibri" w:hAnsi="Verdana" w:cs="Arial"/>
          <w:color w:val="000000"/>
          <w:lang w:val="es-ES" w:eastAsia="es-ES"/>
        </w:rPr>
      </w:pPr>
      <w:proofErr w:type="spellStart"/>
      <w:r w:rsidRPr="47BC6CF5">
        <w:rPr>
          <w:rFonts w:ascii="Verdana" w:eastAsia="Calibri" w:hAnsi="Verdana" w:cs="Arial"/>
          <w:color w:val="000000"/>
          <w:lang w:val="es-ES" w:eastAsia="es-ES"/>
        </w:rPr>
        <w:t>ii</w:t>
      </w:r>
      <w:proofErr w:type="spellEnd"/>
      <w:r w:rsidRPr="47BC6CF5">
        <w:rPr>
          <w:rFonts w:ascii="Verdana" w:eastAsia="Calibri" w:hAnsi="Verdana" w:cs="Arial"/>
          <w:color w:val="000000"/>
          <w:lang w:val="es-ES" w:eastAsia="es-ES"/>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47BC6CF5">
        <w:rPr>
          <w:rFonts w:ascii="Verdana" w:eastAsia="Calibri" w:hAnsi="Verdana" w:cs="Arial"/>
          <w:color w:val="000000"/>
          <w:vertAlign w:val="superscript"/>
          <w:lang w:val="es-ES" w:eastAsia="es-ES"/>
        </w:rPr>
        <w:footnoteReference w:id="2"/>
      </w:r>
      <w:r w:rsidRPr="47BC6CF5">
        <w:rPr>
          <w:rFonts w:ascii="Verdana" w:eastAsia="Calibri" w:hAnsi="Verdana" w:cs="Arial"/>
          <w:color w:val="000000"/>
          <w:lang w:val="es-ES" w:eastAsia="es-ES"/>
        </w:rPr>
        <w:t xml:space="preserve">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62F6E2E9" w14:textId="77777777" w:rsidR="00AD1F15" w:rsidRDefault="00AD1F15" w:rsidP="00AD1F15">
      <w:pPr>
        <w:spacing w:after="120" w:line="276" w:lineRule="auto"/>
        <w:ind w:firstLine="709"/>
        <w:jc w:val="both"/>
        <w:rPr>
          <w:rFonts w:ascii="Verdana" w:eastAsia="Calibri" w:hAnsi="Verdana" w:cs="Arial"/>
          <w:color w:val="000000"/>
          <w:lang w:val="es-ES" w:eastAsia="es-ES"/>
        </w:rPr>
      </w:pPr>
      <w:proofErr w:type="spellStart"/>
      <w:r w:rsidRPr="47BC6CF5">
        <w:rPr>
          <w:rFonts w:ascii="Verdana" w:eastAsia="Calibri" w:hAnsi="Verdana" w:cs="Arial"/>
          <w:color w:val="000000"/>
          <w:lang w:val="es-ES" w:eastAsia="es-ES"/>
        </w:rPr>
        <w:t>iii</w:t>
      </w:r>
      <w:proofErr w:type="spellEnd"/>
      <w:r w:rsidRPr="47BC6CF5">
        <w:rPr>
          <w:rFonts w:ascii="Verdana" w:eastAsia="Calibri" w:hAnsi="Verdana" w:cs="Arial"/>
          <w:color w:val="000000"/>
          <w:lang w:val="es-ES" w:eastAsia="es-ES"/>
        </w:rPr>
        <w:t>) Si bien se celebran para obtener la prestación personal de un servicio, se diferencian del contrato de trabajo</w:t>
      </w:r>
      <w:r w:rsidRPr="47BC6CF5">
        <w:rPr>
          <w:rFonts w:ascii="Verdana" w:eastAsia="Calibri" w:hAnsi="Verdana" w:cs="Arial"/>
          <w:color w:val="000000"/>
          <w:vertAlign w:val="superscript"/>
          <w:lang w:val="es-ES" w:eastAsia="es-ES"/>
        </w:rPr>
        <w:footnoteReference w:id="3"/>
      </w:r>
      <w:r w:rsidRPr="47BC6CF5">
        <w:rPr>
          <w:rFonts w:ascii="Verdana" w:eastAsia="Calibri" w:hAnsi="Verdana" w:cs="Arial"/>
          <w:color w:val="000000"/>
          <w:lang w:val="es-ES" w:eastAsia="es-ES"/>
        </w:rPr>
        <w:t xml:space="preserve"> en que quien celebra el contrato de prestación de servicios debe mantener autonomía e independencia en la ejecución de la labor, lo que significa que no puede existir la </w:t>
      </w:r>
      <w:r w:rsidRPr="47BC6CF5">
        <w:rPr>
          <w:rFonts w:ascii="Verdana" w:eastAsia="Calibri" w:hAnsi="Verdana" w:cs="Arial"/>
          <w:i/>
          <w:iCs/>
          <w:color w:val="000000"/>
          <w:lang w:val="es-ES" w:eastAsia="es-ES"/>
        </w:rPr>
        <w:t xml:space="preserve">subordinación y </w:t>
      </w:r>
      <w:r w:rsidRPr="47BC6CF5">
        <w:rPr>
          <w:rFonts w:ascii="Verdana" w:eastAsia="Calibri" w:hAnsi="Verdana" w:cs="Arial"/>
          <w:i/>
          <w:iCs/>
          <w:color w:val="000000"/>
          <w:lang w:val="es-ES" w:eastAsia="es-ES"/>
        </w:rPr>
        <w:lastRenderedPageBreak/>
        <w:t>dependencia</w:t>
      </w:r>
      <w:r w:rsidRPr="47BC6CF5">
        <w:rPr>
          <w:rFonts w:ascii="Verdana" w:eastAsia="Calibri" w:hAnsi="Verdana" w:cs="Arial"/>
          <w:color w:val="000000"/>
          <w:lang w:val="es-ES" w:eastAsia="es-ES"/>
        </w:rPr>
        <w:t>, que es uno de los elementos constitutivos del vínculo laboral. Por ello</w:t>
      </w:r>
      <w:r>
        <w:rPr>
          <w:rFonts w:ascii="Verdana" w:eastAsia="Calibri" w:hAnsi="Verdana" w:cs="Arial"/>
          <w:color w:val="000000"/>
          <w:lang w:val="es-ES" w:eastAsia="es-ES"/>
        </w:rPr>
        <w:t>,</w:t>
      </w:r>
      <w:r w:rsidRPr="47BC6CF5">
        <w:rPr>
          <w:rFonts w:ascii="Verdana" w:eastAsia="Calibri" w:hAnsi="Verdana" w:cs="Arial"/>
          <w:color w:val="000000"/>
          <w:lang w:val="es-ES" w:eastAsia="es-ES"/>
        </w:rPr>
        <w:t xml:space="preserve">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47BC6CF5">
        <w:rPr>
          <w:rFonts w:ascii="Verdana" w:eastAsia="Calibri" w:hAnsi="Verdana" w:cs="Arial"/>
          <w:i/>
          <w:iCs/>
          <w:color w:val="000000"/>
          <w:lang w:val="es-ES" w:eastAsia="es-ES"/>
        </w:rPr>
        <w:t>no pueden</w:t>
      </w:r>
      <w:r w:rsidRPr="47BC6CF5">
        <w:rPr>
          <w:rFonts w:ascii="Verdana" w:eastAsia="Calibri" w:hAnsi="Verdana" w:cs="Arial"/>
          <w:color w:val="000000"/>
          <w:lang w:val="es-ES" w:eastAsia="es-ES"/>
        </w:rPr>
        <w:t xml:space="preserve"> generar relación laboral, ni dar lugar a que las Entidades Estatales paguen por su cuenta los aportes al Sistema de Seguridad Social Integral del contratista. </w:t>
      </w:r>
    </w:p>
    <w:p w14:paraId="346BF902" w14:textId="77777777" w:rsidR="00AD1F15" w:rsidRDefault="00AD1F15" w:rsidP="00AD1F15">
      <w:pPr>
        <w:spacing w:after="120" w:line="276" w:lineRule="auto"/>
        <w:ind w:firstLine="709"/>
        <w:jc w:val="both"/>
        <w:rPr>
          <w:rFonts w:ascii="Verdana" w:eastAsia="Calibri" w:hAnsi="Verdana" w:cs="Arial"/>
          <w:color w:val="000000"/>
          <w:lang w:val="es-ES" w:eastAsia="es-ES"/>
        </w:rPr>
      </w:pPr>
      <w:r w:rsidRPr="47BC6CF5">
        <w:rPr>
          <w:rFonts w:ascii="Verdana" w:eastAsia="Calibri" w:hAnsi="Verdana" w:cs="Arial"/>
          <w:color w:val="000000"/>
          <w:lang w:val="es-ES" w:eastAsia="es-ES"/>
        </w:rPr>
        <w:t xml:space="preserve">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w:t>
      </w:r>
      <w:r w:rsidRPr="47BC6CF5">
        <w:rPr>
          <w:rFonts w:ascii="Verdana" w:eastAsia="Calibri" w:hAnsi="Verdana" w:cs="Arial"/>
          <w:i/>
          <w:iCs/>
          <w:color w:val="000000"/>
          <w:lang w:val="es-ES" w:eastAsia="es-ES"/>
        </w:rPr>
        <w:t>contrato realidad</w:t>
      </w:r>
      <w:r w:rsidRPr="47BC6CF5">
        <w:rPr>
          <w:rFonts w:ascii="Verdana" w:eastAsia="Calibri" w:hAnsi="Verdana" w:cs="Arial"/>
          <w:color w:val="000000"/>
          <w:lang w:val="es-ES" w:eastAsia="es-ES"/>
        </w:rPr>
        <w:t xml:space="preserve">, ya que para su perfeccionamiento rige el principio de la prevalencia de la realidad sobre las formalidades. </w:t>
      </w:r>
    </w:p>
    <w:p w14:paraId="2D3C9EF0" w14:textId="77777777" w:rsidR="00AD1F15" w:rsidRPr="00C52B71" w:rsidRDefault="00AD1F15" w:rsidP="00AD1F15">
      <w:pPr>
        <w:spacing w:after="120" w:line="276" w:lineRule="auto"/>
        <w:ind w:firstLine="709"/>
        <w:jc w:val="both"/>
        <w:rPr>
          <w:rFonts w:ascii="Verdana" w:eastAsia="Calibri" w:hAnsi="Verdana" w:cs="Arial"/>
          <w:color w:val="000000"/>
          <w:lang w:val="es-ES" w:eastAsia="es-ES"/>
        </w:rPr>
      </w:pPr>
      <w:r w:rsidRPr="47BC6CF5">
        <w:rPr>
          <w:rFonts w:ascii="Verdana" w:eastAsia="Calibri" w:hAnsi="Verdana" w:cs="Arial"/>
          <w:color w:val="000000"/>
          <w:lang w:val="es-ES" w:eastAsia="es-ES"/>
        </w:rPr>
        <w:t>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47BC6CF5">
        <w:rPr>
          <w:rFonts w:ascii="Verdana" w:eastAsia="Calibri" w:hAnsi="Verdana" w:cs="Arial"/>
          <w:color w:val="000000"/>
          <w:vertAlign w:val="superscript"/>
          <w:lang w:val="es-ES" w:eastAsia="es-ES"/>
        </w:rPr>
        <w:footnoteReference w:id="4"/>
      </w:r>
      <w:r w:rsidRPr="47BC6CF5">
        <w:rPr>
          <w:rFonts w:ascii="Verdana" w:eastAsia="Calibri" w:hAnsi="Verdana" w:cs="Arial"/>
          <w:color w:val="000000"/>
          <w:lang w:val="es-ES" w:eastAsia="es-ES"/>
        </w:rPr>
        <w:t>.</w:t>
      </w:r>
    </w:p>
    <w:p w14:paraId="09AA3588" w14:textId="77777777" w:rsidR="00AD1F15" w:rsidRPr="00C52B71" w:rsidRDefault="00AD1F15" w:rsidP="00AD1F15">
      <w:pPr>
        <w:spacing w:after="0" w:line="276" w:lineRule="auto"/>
        <w:ind w:firstLine="709"/>
        <w:jc w:val="both"/>
        <w:rPr>
          <w:rFonts w:ascii="Verdana" w:eastAsia="Calibri" w:hAnsi="Verdana" w:cs="Arial"/>
          <w:color w:val="000000"/>
          <w:lang w:val="es-ES" w:eastAsia="es-ES"/>
        </w:rPr>
      </w:pPr>
      <w:proofErr w:type="spellStart"/>
      <w:r w:rsidRPr="47BC6CF5">
        <w:rPr>
          <w:rFonts w:ascii="Verdana" w:eastAsia="Calibri" w:hAnsi="Verdana" w:cs="Arial"/>
          <w:color w:val="000000" w:themeColor="text1"/>
          <w:lang w:val="es-ES" w:eastAsia="es-ES"/>
        </w:rPr>
        <w:t>iv</w:t>
      </w:r>
      <w:proofErr w:type="spellEnd"/>
      <w:r w:rsidRPr="47BC6CF5">
        <w:rPr>
          <w:rFonts w:ascii="Verdana" w:eastAsia="Calibri" w:hAnsi="Verdana" w:cs="Arial"/>
          <w:color w:val="000000" w:themeColor="text1"/>
          <w:lang w:val="es-ES" w:eastAsia="es-ES"/>
        </w:rPr>
        <w:t>) Deben ser temporales. Así lo señaló la Corte Constitucional en la misma providencia a la que se aludió previamente, expresando que:</w:t>
      </w:r>
    </w:p>
    <w:p w14:paraId="61D45BCD" w14:textId="77777777" w:rsidR="00AD1F15" w:rsidRPr="00C52B71" w:rsidRDefault="00AD1F15" w:rsidP="00AD1F15">
      <w:pPr>
        <w:spacing w:after="0" w:line="276" w:lineRule="auto"/>
        <w:ind w:firstLine="709"/>
        <w:jc w:val="both"/>
        <w:rPr>
          <w:rFonts w:ascii="Verdana" w:eastAsia="Calibri" w:hAnsi="Verdana" w:cs="Arial"/>
          <w:color w:val="000000"/>
          <w:lang w:val="es-ES_tradnl" w:eastAsia="es-ES_tradnl"/>
        </w:rPr>
      </w:pPr>
    </w:p>
    <w:p w14:paraId="2AD2A68F" w14:textId="77777777" w:rsidR="00AD1F15" w:rsidRPr="00C52B71" w:rsidRDefault="00AD1F15" w:rsidP="00AD1F15">
      <w:pPr>
        <w:spacing w:after="0" w:line="240" w:lineRule="auto"/>
        <w:ind w:left="709" w:right="709"/>
        <w:contextualSpacing/>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w:t>
      </w:r>
      <w:r w:rsidRPr="00C52B71">
        <w:rPr>
          <w:rFonts w:ascii="Verdana" w:eastAsia="Calibri" w:hAnsi="Verdana" w:cs="Arial"/>
          <w:color w:val="000000"/>
          <w:sz w:val="20"/>
          <w:szCs w:val="20"/>
          <w:lang w:val="es-ES_tradnl" w:eastAsia="es-ES_tradnl"/>
        </w:rPr>
        <w:lastRenderedPageBreak/>
        <w:t>contemplado en la respectiva planta y previstos sus emolumentos en el presupuesto correspondiente”</w:t>
      </w:r>
      <w:r w:rsidRPr="00C52B71">
        <w:rPr>
          <w:rFonts w:ascii="Verdana" w:eastAsia="Calibri" w:hAnsi="Verdana" w:cs="Arial"/>
          <w:color w:val="000000"/>
          <w:sz w:val="20"/>
          <w:szCs w:val="20"/>
          <w:vertAlign w:val="superscript"/>
          <w:lang w:val="es-ES_tradnl" w:eastAsia="es-ES_tradnl"/>
        </w:rPr>
        <w:footnoteReference w:id="5"/>
      </w:r>
      <w:r w:rsidRPr="00C52B71">
        <w:rPr>
          <w:rFonts w:ascii="Verdana" w:eastAsia="Calibri" w:hAnsi="Verdana" w:cs="Arial"/>
          <w:color w:val="000000"/>
          <w:sz w:val="20"/>
          <w:szCs w:val="20"/>
          <w:lang w:val="es-ES_tradnl" w:eastAsia="es-ES_tradnl"/>
        </w:rPr>
        <w:t>.</w:t>
      </w:r>
    </w:p>
    <w:p w14:paraId="6E4C82AE" w14:textId="77777777" w:rsidR="00AD1F15" w:rsidRPr="00C52B71" w:rsidRDefault="00AD1F15" w:rsidP="00AD1F15">
      <w:pPr>
        <w:spacing w:after="0" w:line="276" w:lineRule="auto"/>
        <w:ind w:firstLine="709"/>
        <w:jc w:val="both"/>
        <w:rPr>
          <w:rFonts w:ascii="Verdana" w:eastAsia="Calibri" w:hAnsi="Verdana" w:cs="Arial"/>
          <w:color w:val="000000"/>
          <w:lang w:val="es-ES_tradnl" w:eastAsia="es-ES_tradnl"/>
        </w:rPr>
      </w:pPr>
    </w:p>
    <w:p w14:paraId="083E3909" w14:textId="77777777" w:rsidR="00AD1F15" w:rsidRPr="00C52B71" w:rsidRDefault="00AD1F15" w:rsidP="00AD1F15">
      <w:pPr>
        <w:spacing w:after="0" w:line="276" w:lineRule="auto"/>
        <w:ind w:firstLine="709"/>
        <w:jc w:val="both"/>
        <w:rPr>
          <w:rFonts w:ascii="Verdana" w:eastAsia="Calibri" w:hAnsi="Verdana" w:cs="Arial"/>
          <w:color w:val="000000"/>
          <w:lang w:val="es-ES" w:eastAsia="es-ES"/>
        </w:rPr>
      </w:pPr>
      <w:r w:rsidRPr="47BC6CF5">
        <w:rPr>
          <w:rFonts w:ascii="Verdana" w:eastAsia="Calibri" w:hAnsi="Verdana" w:cs="Arial"/>
          <w:color w:val="000000"/>
          <w:lang w:val="es-ES" w:eastAsia="es-ES"/>
        </w:rPr>
        <w:t xml:space="preserve">v) Los contratos de prestación de servicios constituyen un </w:t>
      </w:r>
      <w:r w:rsidRPr="47BC6CF5">
        <w:rPr>
          <w:rFonts w:ascii="Verdana" w:eastAsia="Calibri" w:hAnsi="Verdana" w:cs="Arial"/>
          <w:i/>
          <w:iCs/>
          <w:color w:val="000000"/>
          <w:lang w:val="es-ES" w:eastAsia="es-ES"/>
        </w:rPr>
        <w:t>género</w:t>
      </w:r>
      <w:r w:rsidRPr="47BC6CF5">
        <w:rPr>
          <w:rFonts w:ascii="Verdana" w:eastAsia="Calibri" w:hAnsi="Verdana" w:cs="Arial"/>
          <w:color w:val="000000"/>
          <w:lang w:val="es-ES" w:eastAsia="es-ES"/>
        </w:rPr>
        <w:t xml:space="preserve"> que incluye, como </w:t>
      </w:r>
      <w:r w:rsidRPr="47BC6CF5">
        <w:rPr>
          <w:rFonts w:ascii="Verdana" w:eastAsia="Calibri" w:hAnsi="Verdana" w:cs="Arial"/>
          <w:i/>
          <w:iCs/>
          <w:color w:val="000000"/>
          <w:lang w:val="es-ES" w:eastAsia="es-ES"/>
        </w:rPr>
        <w:t>especies</w:t>
      </w:r>
      <w:r w:rsidRPr="47BC6CF5">
        <w:rPr>
          <w:rFonts w:ascii="Verdana" w:eastAsia="Calibri" w:hAnsi="Verdana" w:cs="Arial"/>
          <w:color w:val="000000"/>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47BC6CF5">
        <w:rPr>
          <w:rFonts w:ascii="Verdana" w:eastAsia="Calibri" w:hAnsi="Verdana" w:cs="Arial"/>
          <w:color w:val="000000"/>
          <w:vertAlign w:val="superscript"/>
          <w:lang w:val="es-ES" w:eastAsia="es-ES"/>
        </w:rPr>
        <w:footnoteReference w:id="6"/>
      </w:r>
      <w:r w:rsidRPr="47BC6CF5">
        <w:rPr>
          <w:rFonts w:ascii="Verdana" w:eastAsia="Calibri" w:hAnsi="Verdana" w:cs="Arial"/>
          <w:color w:val="000000"/>
          <w:lang w:val="es-ES" w:eastAsia="es-ES"/>
        </w:rPr>
        <w:t xml:space="preserve">. La diferencia entre el contrato de prestación de servicios </w:t>
      </w:r>
      <w:r w:rsidRPr="47BC6CF5">
        <w:rPr>
          <w:rFonts w:ascii="Verdana" w:eastAsia="Calibri" w:hAnsi="Verdana" w:cs="Arial"/>
          <w:i/>
          <w:iCs/>
          <w:color w:val="000000"/>
          <w:lang w:val="es-ES" w:eastAsia="es-ES"/>
        </w:rPr>
        <w:t>profesionales</w:t>
      </w:r>
      <w:r w:rsidRPr="47BC6CF5">
        <w:rPr>
          <w:rFonts w:ascii="Verdana" w:eastAsia="Calibri" w:hAnsi="Verdana" w:cs="Arial"/>
          <w:color w:val="000000"/>
          <w:lang w:val="es-ES" w:eastAsia="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561ED06E" w14:textId="77777777" w:rsidR="00AD1F15" w:rsidRPr="00C52B71" w:rsidRDefault="00AD1F15" w:rsidP="00AD1F15">
      <w:pPr>
        <w:spacing w:after="0" w:line="276" w:lineRule="auto"/>
        <w:ind w:firstLine="709"/>
        <w:jc w:val="both"/>
        <w:rPr>
          <w:rFonts w:ascii="Verdana" w:eastAsia="Calibri" w:hAnsi="Verdana" w:cs="Arial"/>
          <w:color w:val="000000"/>
          <w:lang w:val="es-ES_tradnl" w:eastAsia="es-ES_tradnl"/>
        </w:rPr>
      </w:pPr>
    </w:p>
    <w:p w14:paraId="772EF4B5" w14:textId="77777777" w:rsidR="00AD1F15" w:rsidRPr="00C52B71" w:rsidRDefault="00AD1F15" w:rsidP="00AD1F15">
      <w:pPr>
        <w:spacing w:after="0" w:line="240" w:lineRule="auto"/>
        <w:ind w:left="709" w:right="709"/>
        <w:contextualSpacing/>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C52B71">
        <w:rPr>
          <w:rFonts w:ascii="Verdana" w:eastAsia="Calibri" w:hAnsi="Verdana" w:cs="Arial"/>
          <w:color w:val="000000"/>
          <w:sz w:val="20"/>
          <w:szCs w:val="20"/>
          <w:vertAlign w:val="superscript"/>
          <w:lang w:val="es-ES_tradnl" w:eastAsia="es-ES_tradnl"/>
        </w:rPr>
        <w:footnoteReference w:id="7"/>
      </w:r>
      <w:r w:rsidRPr="00C52B71">
        <w:rPr>
          <w:rFonts w:ascii="Verdana" w:eastAsia="Calibri" w:hAnsi="Verdana" w:cs="Arial"/>
          <w:color w:val="000000"/>
          <w:sz w:val="20"/>
          <w:szCs w:val="20"/>
          <w:lang w:val="es-ES_tradnl" w:eastAsia="es-ES_tradnl"/>
        </w:rPr>
        <w:t>.</w:t>
      </w:r>
    </w:p>
    <w:p w14:paraId="5F6EC168" w14:textId="77777777" w:rsidR="00AD1F15" w:rsidRPr="00C52B71" w:rsidRDefault="00AD1F15" w:rsidP="00AD1F15">
      <w:pPr>
        <w:spacing w:after="0" w:line="276" w:lineRule="auto"/>
        <w:ind w:firstLine="709"/>
        <w:jc w:val="both"/>
        <w:rPr>
          <w:rFonts w:ascii="Verdana" w:eastAsia="Calibri" w:hAnsi="Verdana" w:cs="Arial"/>
          <w:color w:val="000000"/>
          <w:lang w:val="es-ES_tradnl" w:eastAsia="es-ES_tradnl"/>
        </w:rPr>
      </w:pPr>
    </w:p>
    <w:p w14:paraId="36FEA426" w14:textId="77777777" w:rsidR="00AD1F15" w:rsidRPr="00C52B71" w:rsidRDefault="00AD1F15" w:rsidP="00AD1F15">
      <w:pPr>
        <w:spacing w:after="0" w:line="276" w:lineRule="auto"/>
        <w:ind w:firstLine="709"/>
        <w:jc w:val="both"/>
        <w:rPr>
          <w:rFonts w:ascii="Verdana" w:eastAsia="Calibri" w:hAnsi="Verdana" w:cs="Arial"/>
          <w:color w:val="000000"/>
          <w:lang w:val="es-ES_tradnl" w:eastAsia="es-ES_tradnl"/>
        </w:rPr>
      </w:pPr>
      <w:r w:rsidRPr="00C52B71">
        <w:rPr>
          <w:rFonts w:ascii="Verdana" w:eastAsia="Calibri" w:hAnsi="Verdana" w:cs="Arial"/>
          <w:color w:val="000000"/>
          <w:lang w:val="es-ES_tradnl" w:eastAsia="es-ES_tradnl"/>
        </w:rPr>
        <w:t>Objeto que, según la sentencia que se cita, se diferencia del objeto del contrato de prestación de servicios de apoyo a la gestión, porque en este:</w:t>
      </w:r>
    </w:p>
    <w:p w14:paraId="61EC18D3" w14:textId="77777777" w:rsidR="00AD1F15" w:rsidRPr="00C52B71" w:rsidRDefault="00AD1F15" w:rsidP="00AD1F15">
      <w:pPr>
        <w:spacing w:after="0" w:line="276" w:lineRule="auto"/>
        <w:ind w:firstLine="709"/>
        <w:jc w:val="both"/>
        <w:rPr>
          <w:rFonts w:ascii="Verdana" w:eastAsia="Calibri" w:hAnsi="Verdana" w:cs="Arial"/>
          <w:color w:val="000000"/>
          <w:lang w:val="es-ES_tradnl" w:eastAsia="es-ES_tradnl"/>
        </w:rPr>
      </w:pPr>
    </w:p>
    <w:p w14:paraId="39813A62" w14:textId="77777777" w:rsidR="00AD1F15" w:rsidRPr="00C52B71" w:rsidRDefault="00AD1F15" w:rsidP="00AD1F15">
      <w:pPr>
        <w:spacing w:after="0" w:line="240" w:lineRule="auto"/>
        <w:ind w:left="709" w:right="709"/>
        <w:contextualSpacing/>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lastRenderedPageBreak/>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2DA99260" w14:textId="77777777" w:rsidR="00AD1F15" w:rsidRPr="00C52B71" w:rsidRDefault="00AD1F15" w:rsidP="00AD1F15">
      <w:pPr>
        <w:spacing w:after="0" w:line="240" w:lineRule="auto"/>
        <w:ind w:left="709" w:right="709"/>
        <w:contextualSpacing/>
        <w:jc w:val="both"/>
        <w:rPr>
          <w:rFonts w:ascii="Verdana" w:eastAsia="Calibri" w:hAnsi="Verdana" w:cs="Arial"/>
          <w:color w:val="000000"/>
          <w:sz w:val="20"/>
          <w:szCs w:val="20"/>
          <w:lang w:val="es-ES_tradnl" w:eastAsia="es-ES_tradnl"/>
        </w:rPr>
      </w:pPr>
    </w:p>
    <w:p w14:paraId="5D613F5F" w14:textId="77777777" w:rsidR="00AD1F15" w:rsidRPr="00C52B71" w:rsidRDefault="00AD1F15" w:rsidP="00AD1F15">
      <w:pPr>
        <w:spacing w:after="0" w:line="240" w:lineRule="auto"/>
        <w:ind w:left="709" w:right="709"/>
        <w:contextualSpacing/>
        <w:jc w:val="both"/>
        <w:rPr>
          <w:rFonts w:ascii="Verdana" w:eastAsia="Calibri" w:hAnsi="Verdana" w:cs="Arial"/>
          <w:color w:val="000000"/>
          <w:sz w:val="20"/>
          <w:szCs w:val="20"/>
          <w:lang w:val="es-ES" w:eastAsia="es-ES"/>
        </w:rPr>
      </w:pPr>
      <w:r w:rsidRPr="47BC6CF5">
        <w:rPr>
          <w:rFonts w:ascii="Verdana" w:eastAsia="Calibri" w:hAnsi="Verdana" w:cs="Arial"/>
          <w:color w:val="000000" w:themeColor="text1"/>
          <w:sz w:val="20"/>
          <w:szCs w:val="20"/>
          <w:lang w:val="es-ES" w:eastAsia="es-ES"/>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76C8F8D3" w14:textId="77777777" w:rsidR="00AD1F15" w:rsidRPr="00C52B71" w:rsidRDefault="00AD1F15" w:rsidP="00AD1F15">
      <w:pPr>
        <w:spacing w:after="0" w:line="240" w:lineRule="auto"/>
        <w:ind w:left="709" w:right="709"/>
        <w:contextualSpacing/>
        <w:jc w:val="both"/>
        <w:rPr>
          <w:rFonts w:ascii="Verdana" w:eastAsia="Calibri" w:hAnsi="Verdana" w:cs="Arial"/>
          <w:color w:val="000000"/>
          <w:sz w:val="20"/>
          <w:szCs w:val="20"/>
          <w:lang w:val="es-ES_tradnl" w:eastAsia="es-ES_tradnl"/>
        </w:rPr>
      </w:pPr>
    </w:p>
    <w:p w14:paraId="16FEA446" w14:textId="77777777" w:rsidR="00AD1F15" w:rsidRPr="00C52B71" w:rsidRDefault="00AD1F15" w:rsidP="00AD1F15">
      <w:pPr>
        <w:spacing w:after="0" w:line="240" w:lineRule="auto"/>
        <w:ind w:left="709" w:right="709"/>
        <w:contextualSpacing/>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Dentro de su objeto contractual pueden tener lugar actividades operativas, logísticas o asistenciales, siempre que satisfaga los requisitos antes mencionados y sea acorde con las necesidades de la Administración y el principio de planeación”</w:t>
      </w:r>
      <w:r w:rsidRPr="00C52B71">
        <w:rPr>
          <w:rFonts w:ascii="Verdana" w:eastAsia="Calibri" w:hAnsi="Verdana" w:cs="Arial"/>
          <w:color w:val="000000"/>
          <w:sz w:val="20"/>
          <w:szCs w:val="20"/>
          <w:vertAlign w:val="superscript"/>
          <w:lang w:val="es-ES_tradnl" w:eastAsia="es-ES_tradnl"/>
        </w:rPr>
        <w:footnoteReference w:id="8"/>
      </w:r>
      <w:r w:rsidRPr="00C52B71">
        <w:rPr>
          <w:rFonts w:ascii="Verdana" w:eastAsia="Calibri" w:hAnsi="Verdana" w:cs="Arial"/>
          <w:color w:val="000000"/>
          <w:sz w:val="20"/>
          <w:szCs w:val="20"/>
          <w:lang w:val="es-ES_tradnl" w:eastAsia="es-ES_tradnl"/>
        </w:rPr>
        <w:t>.</w:t>
      </w:r>
    </w:p>
    <w:p w14:paraId="41F0E161" w14:textId="77777777" w:rsidR="00AD1F15" w:rsidRPr="00C52B71" w:rsidRDefault="00AD1F15" w:rsidP="00AD1F15">
      <w:pPr>
        <w:spacing w:after="0" w:line="276" w:lineRule="auto"/>
        <w:ind w:firstLine="709"/>
        <w:jc w:val="both"/>
        <w:rPr>
          <w:rFonts w:ascii="Verdana" w:eastAsia="Calibri" w:hAnsi="Verdana" w:cs="Arial"/>
          <w:color w:val="000000"/>
          <w:lang w:val="es-ES_tradnl" w:eastAsia="es-ES_tradnl"/>
        </w:rPr>
      </w:pPr>
    </w:p>
    <w:p w14:paraId="510318CF" w14:textId="77777777" w:rsidR="00AD1F15" w:rsidRPr="00C52B71" w:rsidRDefault="00AD1F15" w:rsidP="00AD1F15">
      <w:pPr>
        <w:spacing w:after="0" w:line="276" w:lineRule="auto"/>
        <w:ind w:firstLine="709"/>
        <w:jc w:val="both"/>
        <w:rPr>
          <w:rFonts w:ascii="Verdana" w:eastAsia="Calibri" w:hAnsi="Verdana" w:cs="Arial"/>
          <w:color w:val="000000"/>
          <w:lang w:val="es-ES_tradnl" w:eastAsia="es-ES_tradnl"/>
        </w:rPr>
      </w:pPr>
      <w:r w:rsidRPr="00C52B71">
        <w:rPr>
          <w:rFonts w:ascii="Verdana" w:eastAsia="Calibri" w:hAnsi="Verdana" w:cs="Arial"/>
          <w:color w:val="000000"/>
          <w:lang w:val="es-ES_tradnl" w:eastAsia="es-ES_tradnl"/>
        </w:rPr>
        <w:t>En relación con el contrato de prestación de servicios artísticos que solo pueden encomendarse a determinadas personas naturales, señala el mencionado fallo que:</w:t>
      </w:r>
    </w:p>
    <w:p w14:paraId="7EDB9D7B" w14:textId="77777777" w:rsidR="00AD1F15" w:rsidRPr="00C52B71" w:rsidRDefault="00AD1F15" w:rsidP="00AD1F15">
      <w:pPr>
        <w:spacing w:after="0" w:line="276" w:lineRule="auto"/>
        <w:ind w:left="709" w:right="709"/>
        <w:jc w:val="both"/>
        <w:rPr>
          <w:rFonts w:ascii="Verdana" w:eastAsia="Calibri" w:hAnsi="Verdana" w:cs="Arial"/>
          <w:color w:val="000000"/>
          <w:lang w:val="es-ES_tradnl" w:eastAsia="es-ES_tradnl"/>
        </w:rPr>
      </w:pPr>
    </w:p>
    <w:p w14:paraId="4A35612F" w14:textId="77777777" w:rsidR="00AD1F15" w:rsidRPr="00C52B71" w:rsidRDefault="00AD1F15" w:rsidP="00AD1F15">
      <w:pPr>
        <w:spacing w:after="0" w:line="240" w:lineRule="auto"/>
        <w:ind w:left="709" w:right="709"/>
        <w:contextualSpacing/>
        <w:jc w:val="both"/>
        <w:rPr>
          <w:rFonts w:ascii="Verdana" w:eastAsia="Calibri" w:hAnsi="Verdana" w:cs="Arial"/>
          <w:color w:val="000000"/>
          <w:sz w:val="20"/>
          <w:szCs w:val="20"/>
          <w:lang w:val="es-ES_tradnl" w:eastAsia="es-ES_tradnl"/>
        </w:rPr>
      </w:pPr>
      <w:r w:rsidRPr="00C52B71">
        <w:rPr>
          <w:rFonts w:ascii="Verdana" w:eastAsia="Calibri" w:hAnsi="Verdana" w:cs="Arial"/>
          <w:color w:val="000000"/>
          <w:sz w:val="20"/>
          <w:szCs w:val="20"/>
          <w:lang w:val="es-ES_tradnl" w:eastAsia="es-ES_tradnl"/>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C52B71">
        <w:rPr>
          <w:rFonts w:ascii="Verdana" w:eastAsia="Calibri" w:hAnsi="Verdana" w:cs="Arial"/>
          <w:color w:val="000000"/>
          <w:sz w:val="20"/>
          <w:szCs w:val="20"/>
          <w:vertAlign w:val="superscript"/>
          <w:lang w:val="es-ES_tradnl" w:eastAsia="es-ES_tradnl"/>
        </w:rPr>
        <w:footnoteReference w:id="9"/>
      </w:r>
      <w:r w:rsidRPr="00C52B71">
        <w:rPr>
          <w:rFonts w:ascii="Verdana" w:eastAsia="Calibri" w:hAnsi="Verdana" w:cs="Arial"/>
          <w:color w:val="000000"/>
          <w:sz w:val="20"/>
          <w:szCs w:val="20"/>
          <w:lang w:val="es-ES_tradnl" w:eastAsia="es-ES_tradnl"/>
        </w:rPr>
        <w:t>.</w:t>
      </w:r>
    </w:p>
    <w:p w14:paraId="7CDE1852" w14:textId="77777777" w:rsidR="00AD1F15" w:rsidRPr="00C52B71" w:rsidRDefault="00AD1F15" w:rsidP="00AD1F15">
      <w:pPr>
        <w:spacing w:after="0" w:line="276" w:lineRule="auto"/>
        <w:ind w:left="709" w:right="709"/>
        <w:contextualSpacing/>
        <w:jc w:val="both"/>
        <w:rPr>
          <w:rFonts w:ascii="Verdana" w:eastAsia="Calibri" w:hAnsi="Verdana" w:cs="Arial"/>
          <w:color w:val="000000"/>
          <w:lang w:val="es-ES_tradnl" w:eastAsia="es-ES_tradnl"/>
        </w:rPr>
      </w:pPr>
    </w:p>
    <w:p w14:paraId="6F57F03B" w14:textId="77777777" w:rsidR="00AD1F15" w:rsidRPr="00C52B71" w:rsidRDefault="00AD1F15" w:rsidP="00AD1F15">
      <w:pPr>
        <w:spacing w:after="120" w:line="276" w:lineRule="auto"/>
        <w:ind w:firstLine="709"/>
        <w:jc w:val="both"/>
        <w:rPr>
          <w:rFonts w:ascii="Verdana" w:eastAsia="Calibri" w:hAnsi="Verdana" w:cs="Arial"/>
          <w:color w:val="000000"/>
          <w:lang w:val="es-ES" w:eastAsia="es-ES"/>
        </w:rPr>
      </w:pPr>
      <w:r w:rsidRPr="47BC6CF5">
        <w:rPr>
          <w:rFonts w:ascii="Verdana" w:eastAsia="Calibri" w:hAnsi="Verdana" w:cs="Arial"/>
          <w:color w:val="000000"/>
          <w:lang w:val="es-ES" w:eastAsia="es-ES"/>
        </w:rPr>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47BC6CF5">
        <w:rPr>
          <w:rFonts w:ascii="Verdana" w:eastAsia="Calibri" w:hAnsi="Verdana" w:cs="Arial"/>
          <w:color w:val="000000"/>
          <w:vertAlign w:val="superscript"/>
          <w:lang w:val="es-ES" w:eastAsia="es-ES"/>
        </w:rPr>
        <w:footnoteReference w:id="10"/>
      </w:r>
      <w:r w:rsidRPr="47BC6CF5">
        <w:rPr>
          <w:rFonts w:ascii="Verdana" w:eastAsia="Calibri" w:hAnsi="Verdana" w:cs="Arial"/>
          <w:color w:val="000000"/>
          <w:lang w:val="es-ES" w:eastAsia="es-ES"/>
        </w:rPr>
        <w:t xml:space="preserve">. Pero, tampoco puede </w:t>
      </w:r>
      <w:r w:rsidRPr="47BC6CF5">
        <w:rPr>
          <w:rFonts w:ascii="Verdana" w:eastAsia="Calibri" w:hAnsi="Verdana" w:cs="Arial"/>
          <w:color w:val="000000"/>
          <w:lang w:val="es-ES" w:eastAsia="es-ES"/>
        </w:rPr>
        <w:lastRenderedPageBreak/>
        <w:t>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1BA7FDBF" w14:textId="77777777" w:rsidR="00AD1F15" w:rsidRPr="00C52B71" w:rsidRDefault="00AD1F15" w:rsidP="00AD1F15">
      <w:pPr>
        <w:spacing w:after="120" w:line="276" w:lineRule="auto"/>
        <w:ind w:firstLine="709"/>
        <w:jc w:val="both"/>
        <w:rPr>
          <w:rFonts w:ascii="Verdana" w:eastAsia="Calibri" w:hAnsi="Verdana" w:cs="Arial"/>
          <w:color w:val="000000"/>
          <w:lang w:val="es-ES" w:eastAsia="es-ES"/>
        </w:rPr>
      </w:pPr>
      <w:proofErr w:type="spellStart"/>
      <w:r w:rsidRPr="47BC6CF5">
        <w:rPr>
          <w:rFonts w:ascii="Verdana" w:eastAsia="Calibri" w:hAnsi="Verdana" w:cs="Arial"/>
          <w:color w:val="000000"/>
          <w:lang w:val="es-ES" w:eastAsia="es-ES"/>
        </w:rPr>
        <w:t>vii</w:t>
      </w:r>
      <w:proofErr w:type="spellEnd"/>
      <w:r w:rsidRPr="47BC6CF5">
        <w:rPr>
          <w:rFonts w:ascii="Verdana" w:eastAsia="Calibri" w:hAnsi="Verdana" w:cs="Arial"/>
          <w:color w:val="000000"/>
          <w:lang w:val="es-ES" w:eastAsia="es-ES"/>
        </w:rPr>
        <w:t>) Para su celebración no se requiere en algunos casos la expedición del acto administrativo de justificación de la contratación directa</w:t>
      </w:r>
      <w:r w:rsidRPr="47BC6CF5">
        <w:rPr>
          <w:rFonts w:ascii="Verdana" w:eastAsia="Calibri" w:hAnsi="Verdana" w:cs="Arial"/>
          <w:color w:val="000000"/>
          <w:vertAlign w:val="superscript"/>
          <w:lang w:val="es-ES" w:eastAsia="es-ES"/>
        </w:rPr>
        <w:footnoteReference w:id="11"/>
      </w:r>
      <w:r w:rsidRPr="47BC6CF5">
        <w:rPr>
          <w:rFonts w:ascii="Verdana" w:eastAsia="Calibri" w:hAnsi="Verdana" w:cs="Arial"/>
          <w:color w:val="000000"/>
          <w:lang w:val="es-ES" w:eastAsia="es-ES"/>
        </w:rPr>
        <w:t xml:space="preserve">. </w:t>
      </w:r>
    </w:p>
    <w:p w14:paraId="16BE5B09" w14:textId="77777777" w:rsidR="00AD1F15" w:rsidRPr="00C52B71" w:rsidRDefault="00AD1F15" w:rsidP="00AD1F15">
      <w:pPr>
        <w:spacing w:after="120" w:line="276" w:lineRule="auto"/>
        <w:ind w:firstLine="709"/>
        <w:jc w:val="both"/>
        <w:rPr>
          <w:rFonts w:ascii="Verdana" w:eastAsia="Calibri" w:hAnsi="Verdana" w:cs="Arial"/>
          <w:color w:val="000000"/>
          <w:lang w:val="es-ES" w:eastAsia="es-ES"/>
        </w:rPr>
      </w:pPr>
      <w:proofErr w:type="spellStart"/>
      <w:r w:rsidRPr="47BC6CF5">
        <w:rPr>
          <w:rFonts w:ascii="Verdana" w:eastAsia="Calibri" w:hAnsi="Verdana" w:cs="Arial"/>
          <w:color w:val="000000"/>
          <w:lang w:val="es-ES" w:eastAsia="es-ES"/>
        </w:rPr>
        <w:t>viii</w:t>
      </w:r>
      <w:proofErr w:type="spellEnd"/>
      <w:r w:rsidRPr="47BC6CF5">
        <w:rPr>
          <w:rFonts w:ascii="Verdana" w:eastAsia="Calibri" w:hAnsi="Verdana" w:cs="Arial"/>
          <w:color w:val="000000"/>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47BC6CF5">
        <w:rPr>
          <w:rFonts w:ascii="Verdana" w:eastAsia="Calibri" w:hAnsi="Verdana" w:cs="Arial"/>
          <w:color w:val="000000"/>
          <w:vertAlign w:val="superscript"/>
          <w:lang w:val="es-ES" w:eastAsia="es-ES"/>
        </w:rPr>
        <w:footnoteReference w:id="12"/>
      </w:r>
      <w:r w:rsidRPr="47BC6CF5">
        <w:rPr>
          <w:rFonts w:ascii="Verdana" w:eastAsia="Calibri" w:hAnsi="Verdana" w:cs="Arial"/>
          <w:color w:val="000000"/>
          <w:lang w:val="es-ES" w:eastAsia="es-ES"/>
        </w:rPr>
        <w:t>.</w:t>
      </w:r>
    </w:p>
    <w:p w14:paraId="1FB72929" w14:textId="77777777" w:rsidR="00AD1F15" w:rsidRPr="00C52B71" w:rsidRDefault="00AD1F15" w:rsidP="00AD1F15">
      <w:pPr>
        <w:spacing w:after="120" w:line="276" w:lineRule="auto"/>
        <w:ind w:firstLine="709"/>
        <w:jc w:val="both"/>
        <w:rPr>
          <w:rFonts w:ascii="Verdana" w:eastAsia="Calibri" w:hAnsi="Verdana" w:cs="Arial"/>
          <w:color w:val="000000"/>
          <w:lang w:val="es-ES" w:eastAsia="es-ES"/>
        </w:rPr>
      </w:pPr>
      <w:proofErr w:type="spellStart"/>
      <w:r w:rsidRPr="47BC6CF5">
        <w:rPr>
          <w:rFonts w:ascii="Verdana" w:eastAsia="Calibri" w:hAnsi="Verdana" w:cs="Arial"/>
          <w:color w:val="000000"/>
          <w:lang w:val="es-ES" w:eastAsia="es-ES"/>
        </w:rPr>
        <w:t>ix</w:t>
      </w:r>
      <w:proofErr w:type="spellEnd"/>
      <w:r w:rsidRPr="47BC6CF5">
        <w:rPr>
          <w:rFonts w:ascii="Verdana" w:eastAsia="Calibri" w:hAnsi="Verdana" w:cs="Arial"/>
          <w:color w:val="000000"/>
          <w:lang w:val="es-ES" w:eastAsia="es-ES"/>
        </w:rPr>
        <w:t>) En algunos casos no es obligatoria la liquidación, pues así lo estableció el artículo 217 del Decreto 019 de 2012, que modificó el artículo 60 de la Ley 80 de 1993</w:t>
      </w:r>
      <w:r w:rsidRPr="47BC6CF5">
        <w:rPr>
          <w:rFonts w:ascii="Verdana" w:eastAsia="Calibri" w:hAnsi="Verdana" w:cs="Arial"/>
          <w:color w:val="000000"/>
          <w:vertAlign w:val="superscript"/>
          <w:lang w:val="es-ES" w:eastAsia="es-ES"/>
        </w:rPr>
        <w:footnoteReference w:id="13"/>
      </w:r>
      <w:r w:rsidRPr="47BC6CF5">
        <w:rPr>
          <w:rFonts w:ascii="Verdana" w:eastAsia="Calibri" w:hAnsi="Verdana" w:cs="Arial"/>
          <w:color w:val="000000"/>
          <w:lang w:val="es-ES" w:eastAsia="es-ES"/>
        </w:rPr>
        <w:t>, refiriéndose a los contratos de prestación de servicios profesionales y de apoyo a la gestión.</w:t>
      </w:r>
    </w:p>
    <w:p w14:paraId="50B2C8E9" w14:textId="77777777" w:rsidR="00AD1F15" w:rsidRPr="00C52B71" w:rsidRDefault="00AD1F15" w:rsidP="00AD1F15">
      <w:pPr>
        <w:spacing w:after="120" w:line="276" w:lineRule="auto"/>
        <w:ind w:firstLine="709"/>
        <w:jc w:val="both"/>
        <w:rPr>
          <w:rFonts w:ascii="Verdana" w:eastAsia="Calibri" w:hAnsi="Verdana" w:cs="Arial"/>
          <w:color w:val="000000"/>
          <w:lang w:val="es-ES_tradnl" w:eastAsia="es-ES_tradnl"/>
        </w:rPr>
      </w:pPr>
      <w:r w:rsidRPr="00C52B71">
        <w:rPr>
          <w:rFonts w:ascii="Verdana" w:eastAsia="Calibri" w:hAnsi="Verdana" w:cs="Arial"/>
          <w:color w:val="000000"/>
          <w:lang w:val="es-ES_tradnl" w:eastAsia="es-ES_tradnl"/>
        </w:rPr>
        <w:lastRenderedPageBreak/>
        <w:t>x) Para su celebración no se requiere inscripción en el Registro Único de Proponentes (RUP), según lo prevé el artículo 6 de la Ley 1150 de 2007</w:t>
      </w:r>
      <w:r w:rsidRPr="00C52B71">
        <w:rPr>
          <w:rFonts w:ascii="Verdana" w:eastAsia="Calibri" w:hAnsi="Verdana" w:cs="Arial"/>
          <w:color w:val="000000"/>
          <w:vertAlign w:val="superscript"/>
          <w:lang w:val="es-ES_tradnl" w:eastAsia="es-ES_tradnl"/>
        </w:rPr>
        <w:footnoteReference w:id="14"/>
      </w:r>
      <w:r w:rsidRPr="00C52B71">
        <w:rPr>
          <w:rFonts w:ascii="Verdana" w:eastAsia="Calibri" w:hAnsi="Verdana" w:cs="Arial"/>
          <w:color w:val="000000"/>
          <w:lang w:val="es-ES_tradnl" w:eastAsia="es-ES_tradnl"/>
        </w:rPr>
        <w:t>.</w:t>
      </w:r>
    </w:p>
    <w:p w14:paraId="75D26344" w14:textId="77777777" w:rsidR="00AD1F15" w:rsidRPr="00C52B71" w:rsidRDefault="00AD1F15" w:rsidP="00AD1F15">
      <w:pPr>
        <w:spacing w:after="120" w:line="276" w:lineRule="auto"/>
        <w:ind w:firstLine="709"/>
        <w:jc w:val="both"/>
        <w:rPr>
          <w:rFonts w:ascii="Verdana" w:eastAsia="Calibri" w:hAnsi="Verdana" w:cs="Arial"/>
          <w:color w:val="000000"/>
          <w:lang w:val="es-ES_tradnl" w:eastAsia="es-ES_tradnl"/>
        </w:rPr>
      </w:pPr>
      <w:r w:rsidRPr="00C52B71">
        <w:rPr>
          <w:rFonts w:ascii="Verdana" w:eastAsia="Calibri" w:hAnsi="Verdana" w:cs="Arial"/>
          <w:color w:val="000000"/>
          <w:lang w:val="es-ES_tradnl" w:eastAsia="es-ES_tradnl"/>
        </w:rPr>
        <w:t>xi) En ellos no son necesarias las garantías</w:t>
      </w:r>
      <w:r w:rsidRPr="00C52B71">
        <w:rPr>
          <w:rFonts w:ascii="Verdana" w:eastAsia="Calibri" w:hAnsi="Verdana" w:cs="Arial"/>
          <w:color w:val="000000"/>
          <w:vertAlign w:val="superscript"/>
          <w:lang w:val="es-ES_tradnl" w:eastAsia="es-ES_tradnl"/>
        </w:rPr>
        <w:footnoteReference w:id="15"/>
      </w:r>
      <w:r w:rsidRPr="00C52B71">
        <w:rPr>
          <w:rFonts w:ascii="Verdana" w:eastAsia="Calibri" w:hAnsi="Verdana" w:cs="Arial"/>
          <w:color w:val="000000"/>
          <w:lang w:val="es-ES_tradnl" w:eastAsia="es-ES_tradnl"/>
        </w:rPr>
        <w:t>.</w:t>
      </w:r>
    </w:p>
    <w:p w14:paraId="233712A1" w14:textId="77777777" w:rsidR="00AD1F15" w:rsidRDefault="00AD1F15" w:rsidP="00AD1F15">
      <w:pPr>
        <w:spacing w:after="120" w:line="276" w:lineRule="auto"/>
        <w:ind w:firstLine="709"/>
        <w:jc w:val="both"/>
        <w:rPr>
          <w:rFonts w:ascii="Verdana" w:eastAsia="Times New Roman" w:hAnsi="Verdana" w:cs="Arial"/>
          <w:lang w:eastAsia="es-CO"/>
        </w:rPr>
      </w:pPr>
      <w:r w:rsidRPr="00C52B71">
        <w:rPr>
          <w:rFonts w:ascii="Verdana" w:eastAsia="Calibri" w:hAnsi="Verdana" w:cs="Arial"/>
          <w:color w:val="000000"/>
          <w:lang w:val="es-ES_tradnl" w:eastAsia="es-ES_tradnl"/>
        </w:rPr>
        <w:t xml:space="preserve">Ahora bien, es importante indicar que, </w:t>
      </w:r>
      <w:r w:rsidRPr="00C52B71">
        <w:rPr>
          <w:rFonts w:ascii="Verdana" w:eastAsia="Yu Gothic UI Semibold" w:hAnsi="Verdana" w:cs="Arial"/>
          <w:color w:val="000000"/>
          <w:lang w:val="es-ES_tradnl" w:eastAsia="es-ES_tradnl"/>
        </w:rPr>
        <w:t xml:space="preserve">en materia de contratación estatal, la capacidad jurídica también configura </w:t>
      </w:r>
      <w:r w:rsidRPr="00C52B71">
        <w:rPr>
          <w:rFonts w:ascii="Verdana" w:eastAsia="Times New Roman" w:hAnsi="Verdana" w:cs="Arial"/>
          <w:lang w:eastAsia="es-CO"/>
        </w:rPr>
        <w:t>un requisito de validez de los contratos, tanto en el régimen de las entidades sujetas al EGCAP</w:t>
      </w:r>
      <w:r w:rsidRPr="00C52B71">
        <w:rPr>
          <w:rFonts w:ascii="Verdana" w:eastAsia="Times New Roman" w:hAnsi="Verdana" w:cs="Arial"/>
          <w:vertAlign w:val="superscript"/>
          <w:lang w:eastAsia="es-CO"/>
        </w:rPr>
        <w:footnoteReference w:id="16"/>
      </w:r>
      <w:r>
        <w:rPr>
          <w:rFonts w:ascii="Verdana" w:eastAsia="Times New Roman" w:hAnsi="Verdana" w:cs="Arial"/>
          <w:lang w:eastAsia="es-CO"/>
        </w:rPr>
        <w:t>,</w:t>
      </w:r>
      <w:r w:rsidRPr="00C52B71">
        <w:rPr>
          <w:rFonts w:ascii="Verdana" w:eastAsia="Times New Roman" w:hAnsi="Verdana" w:cs="Arial"/>
          <w:lang w:eastAsia="es-CO"/>
        </w:rPr>
        <w:t xml:space="preserve"> como en el de las entidades exceptuadas de aquel</w:t>
      </w:r>
      <w:r w:rsidRPr="00C52B71">
        <w:rPr>
          <w:rFonts w:ascii="Verdana" w:eastAsia="Times New Roman" w:hAnsi="Verdana" w:cs="Arial"/>
          <w:vertAlign w:val="superscript"/>
          <w:lang w:eastAsia="es-CO"/>
        </w:rPr>
        <w:footnoteReference w:id="17"/>
      </w:r>
      <w:r w:rsidRPr="00C52B71">
        <w:rPr>
          <w:rFonts w:ascii="Verdana" w:eastAsia="Times New Roman" w:hAnsi="Verdana" w:cs="Arial"/>
          <w:lang w:eastAsia="es-CO"/>
        </w:rPr>
        <w:t xml:space="preserve">. Si bien la regulación de la capacidad se integra por varias disposiciones y exigencias especiales – como el requisito de inscribirse, por regla general, en el RUP-, se destaca también el régimen de inhabilidades e incompatibilidades como un conjunto de enunciados normativos que imponen restricciones para los sujetos que, eventualmente, pretendan participar en los procedimientos de selección o celebrar contratos con las Entidades Estatales. </w:t>
      </w:r>
    </w:p>
    <w:p w14:paraId="12D265C2" w14:textId="77777777" w:rsidR="00AD1F15" w:rsidRPr="00C52B71" w:rsidRDefault="00AD1F15" w:rsidP="00AD1F15">
      <w:pPr>
        <w:spacing w:after="120" w:line="276" w:lineRule="auto"/>
        <w:ind w:firstLine="709"/>
        <w:jc w:val="both"/>
        <w:rPr>
          <w:rFonts w:ascii="Verdana" w:eastAsia="Calibri" w:hAnsi="Verdana" w:cs="Arial"/>
          <w:color w:val="000000"/>
          <w:lang w:val="es-ES_tradnl" w:eastAsia="es-ES_tradnl"/>
        </w:rPr>
      </w:pPr>
      <w:r w:rsidRPr="00C52B71">
        <w:rPr>
          <w:rFonts w:ascii="Verdana" w:eastAsia="Times New Roman" w:hAnsi="Verdana" w:cs="Arial"/>
          <w:lang w:eastAsia="es-CO"/>
        </w:rPr>
        <w:t>Este régimen de inhabilidades e incompatibilidades aplica, incluso en el marco de los contratos no sometidos a la Ley 80 de 1993, en los términos del artículo 13 de la Ley 1150 de 2007, como respuesta, si se quiere, a la tendencia de asegurar que la provisión de los bienes y servicios por parte de las Entidades Estatales se efectúe cumpliendo con los principios de la función administrativa y de la gestión fiscal, especialmente con probidad y transparencia.</w:t>
      </w:r>
    </w:p>
    <w:p w14:paraId="2C9690F4" w14:textId="77777777" w:rsidR="00AD1F15" w:rsidRDefault="00AD1F15" w:rsidP="00AD1F15">
      <w:pPr>
        <w:spacing w:after="120" w:line="276" w:lineRule="auto"/>
        <w:ind w:firstLine="708"/>
        <w:jc w:val="both"/>
        <w:rPr>
          <w:rFonts w:ascii="Verdana" w:eastAsia="Times New Roman" w:hAnsi="Verdana" w:cs="Arial"/>
          <w:lang w:eastAsia="es-CO"/>
        </w:rPr>
      </w:pPr>
      <w:r w:rsidRPr="00C52B71">
        <w:rPr>
          <w:rFonts w:ascii="Verdana" w:eastAsia="Times New Roman" w:hAnsi="Verdana" w:cs="Arial"/>
          <w:lang w:eastAsia="es-CO"/>
        </w:rPr>
        <w:t xml:space="preserve">En definitiva, las inhabilidades e incompatibilidades constituyen restricciones o límites especiales a la capacidad para presentar ofertas y celebrar </w:t>
      </w:r>
      <w:r w:rsidRPr="00C52B71">
        <w:rPr>
          <w:rFonts w:ascii="Verdana" w:eastAsia="Times New Roman" w:hAnsi="Verdana" w:cs="Arial"/>
          <w:lang w:eastAsia="es-CO"/>
        </w:rPr>
        <w:lastRenderedPageBreak/>
        <w:t>contratos estatales, las cuales están tipificadas en la ley, es decir, que deben satisfacer el principio de legalidad.</w:t>
      </w:r>
    </w:p>
    <w:p w14:paraId="2743B370" w14:textId="77777777" w:rsidR="00AD1F15" w:rsidRPr="005D097C" w:rsidRDefault="00AD1F15" w:rsidP="00AD1F15">
      <w:pPr>
        <w:spacing w:after="120" w:line="276" w:lineRule="auto"/>
        <w:ind w:firstLine="708"/>
        <w:jc w:val="both"/>
        <w:rPr>
          <w:rFonts w:ascii="Verdana" w:hAnsi="Verdana" w:cs="Arial"/>
        </w:rPr>
      </w:pPr>
      <w:r w:rsidRPr="005D097C">
        <w:rPr>
          <w:rFonts w:ascii="Verdana" w:hAnsi="Verdana" w:cs="Arial"/>
        </w:rPr>
        <w:t xml:space="preserve">Así, un docente vinculado </w:t>
      </w:r>
      <w:r>
        <w:rPr>
          <w:rFonts w:ascii="Verdana" w:hAnsi="Verdana" w:cs="Arial"/>
        </w:rPr>
        <w:t>al magisterio</w:t>
      </w:r>
      <w:r w:rsidRPr="005D097C">
        <w:rPr>
          <w:rFonts w:ascii="Verdana" w:hAnsi="Verdana" w:cs="Arial"/>
        </w:rPr>
        <w:t xml:space="preserve"> en cualquier modalidad de nombramiento se considera servidor público y, en consecuencia, resulta aplicable la prohibición, salvo que estén incursos en las excepciones previstas en la Ley, particularmente las establecidas en el artículo 19 de la Ley 4 de 1992. </w:t>
      </w:r>
    </w:p>
    <w:p w14:paraId="6B479E82" w14:textId="77777777" w:rsidR="00AD1F15" w:rsidRPr="005D097C" w:rsidRDefault="00AD1F15" w:rsidP="00AD1F15">
      <w:pPr>
        <w:spacing w:after="120" w:line="276" w:lineRule="auto"/>
        <w:jc w:val="both"/>
        <w:rPr>
          <w:rFonts w:ascii="Verdana" w:hAnsi="Verdana" w:cs="Arial"/>
        </w:rPr>
      </w:pPr>
      <w:r>
        <w:rPr>
          <w:rFonts w:ascii="Verdana" w:hAnsi="Verdana" w:cs="Arial"/>
        </w:rPr>
        <w:t xml:space="preserve">         </w:t>
      </w:r>
      <w:r w:rsidRPr="00DD22D8">
        <w:rPr>
          <w:rFonts w:ascii="Verdana" w:hAnsi="Verdana" w:cs="Arial"/>
        </w:rPr>
        <w:t>En consecuencia</w:t>
      </w:r>
      <w:r>
        <w:rPr>
          <w:rFonts w:ascii="Verdana" w:hAnsi="Verdana" w:cs="Arial"/>
        </w:rPr>
        <w:t xml:space="preserve"> y en atención al problema jurídico planteado </w:t>
      </w:r>
      <w:r w:rsidRPr="00DD22D8">
        <w:rPr>
          <w:rFonts w:ascii="Verdana" w:hAnsi="Verdana" w:cs="Arial"/>
        </w:rPr>
        <w:t>corresponde al contratista poner en conocimiento de la autoridad competente del magisterio —ya sea la secretaría de educación o la entidad territorial certificada responsable del nombramiento— la existencia de su contrato de prestación de servicios vigente con una entidad estatal, a fin de que, con fundamento en lo dispuesto en la Constitución, la Ley 4 de 1992 y la Ley 80 de 1993, se determine la viabilidad o no de su designación o aceptación del reemplazo. De esta manera, será dicha autoridad la encargada de verificar si la situación configura o no una inhabilidad, incompatibilidad o doble asignación del tesoro público, garantizando la legalidad del nombramiento y la transparencia en el ejercicio de la función pública.</w:t>
      </w:r>
    </w:p>
    <w:p w14:paraId="458B8504" w14:textId="7FC78630" w:rsidR="00AD1F15" w:rsidRDefault="00AD1F15" w:rsidP="00933183">
      <w:pPr>
        <w:spacing w:after="120" w:line="276" w:lineRule="auto"/>
        <w:ind w:firstLine="708"/>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47AD54E" w14:textId="77777777" w:rsidR="00AD1F15" w:rsidRDefault="00AD1F15" w:rsidP="00933183">
      <w:pPr>
        <w:spacing w:after="0" w:line="276" w:lineRule="auto"/>
        <w:jc w:val="both"/>
        <w:rPr>
          <w:rFonts w:ascii="Verdana" w:hAnsi="Verdana" w:cs="Arial"/>
          <w:color w:val="000000" w:themeColor="text1"/>
          <w:lang w:val="es-ES_tradnl"/>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755C590" w14:textId="77777777" w:rsidR="00AD1F15" w:rsidRDefault="00AD1F15" w:rsidP="00933183">
      <w:pPr>
        <w:spacing w:after="0" w:line="276" w:lineRule="auto"/>
        <w:jc w:val="both"/>
        <w:rPr>
          <w:rFonts w:ascii="Verdana" w:hAnsi="Verdana" w:cs="Arial"/>
          <w:color w:val="000000" w:themeColor="text1"/>
          <w:lang w:val="es-ES_tradnl"/>
        </w:rPr>
      </w:pPr>
    </w:p>
    <w:p w14:paraId="4088EFF1" w14:textId="77777777" w:rsidR="00AD1F15" w:rsidRPr="0060676F" w:rsidRDefault="00AD1F15" w:rsidP="0093318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069C717" w14:textId="77777777" w:rsidR="00AD1F15" w:rsidRPr="00593A5F" w:rsidRDefault="00AD1F15" w:rsidP="00AD1F1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D1F15" w:rsidRPr="00593A5F" w14:paraId="38FC0537" w14:textId="77777777" w:rsidTr="008B3546">
        <w:trPr>
          <w:trHeight w:val="870"/>
        </w:trPr>
        <w:tc>
          <w:tcPr>
            <w:tcW w:w="8647" w:type="dxa"/>
          </w:tcPr>
          <w:p w14:paraId="5507B5B0" w14:textId="77777777" w:rsidR="00AD1F15" w:rsidRPr="0001273C" w:rsidRDefault="00AD1F15" w:rsidP="00AD1F15">
            <w:pPr>
              <w:numPr>
                <w:ilvl w:val="0"/>
                <w:numId w:val="17"/>
              </w:numPr>
              <w:spacing w:line="276" w:lineRule="auto"/>
              <w:rPr>
                <w:rFonts w:ascii="Verdana" w:hAnsi="Verdana" w:cs="Arial"/>
                <w:lang w:val="es-MX"/>
              </w:rPr>
            </w:pPr>
            <w:r w:rsidRPr="0001273C">
              <w:rPr>
                <w:rFonts w:ascii="Verdana" w:hAnsi="Verdana" w:cs="Arial"/>
                <w:lang w:val="es-MX"/>
              </w:rPr>
              <w:t xml:space="preserve">Ley 80 de 1993, </w:t>
            </w:r>
            <w:r w:rsidRPr="0001273C">
              <w:rPr>
                <w:rFonts w:ascii="Verdana" w:eastAsia="Calibri" w:hAnsi="Verdana" w:cs="Arial"/>
                <w:color w:val="000000"/>
                <w:lang w:val="es-ES_tradnl" w:eastAsia="es-ES_tradnl"/>
              </w:rPr>
              <w:t>artículo 32, numeral 3º</w:t>
            </w:r>
          </w:p>
          <w:p w14:paraId="23D21634" w14:textId="77777777" w:rsidR="00AD1F15" w:rsidRPr="0001273C" w:rsidRDefault="00AD1F15" w:rsidP="00AD1F15">
            <w:pPr>
              <w:numPr>
                <w:ilvl w:val="0"/>
                <w:numId w:val="17"/>
              </w:numPr>
              <w:spacing w:line="276" w:lineRule="auto"/>
              <w:rPr>
                <w:rFonts w:ascii="Verdana" w:hAnsi="Verdana" w:cs="Arial"/>
                <w:lang w:val="es-MX"/>
              </w:rPr>
            </w:pPr>
            <w:r w:rsidRPr="0001273C">
              <w:rPr>
                <w:rFonts w:ascii="Verdana" w:hAnsi="Verdana" w:cs="Arial"/>
              </w:rPr>
              <w:t>Ley 1150 de 2007, Artículo 2, numeral 4º, literal h, Artículo 6, Artículo 13</w:t>
            </w:r>
          </w:p>
          <w:p w14:paraId="4DAA86A2" w14:textId="77777777" w:rsidR="00AD1F15" w:rsidRPr="0001273C" w:rsidRDefault="00AD1F15" w:rsidP="00AD1F15">
            <w:pPr>
              <w:numPr>
                <w:ilvl w:val="0"/>
                <w:numId w:val="17"/>
              </w:numPr>
              <w:spacing w:line="276" w:lineRule="auto"/>
              <w:rPr>
                <w:rFonts w:ascii="Verdana" w:hAnsi="Verdana" w:cs="Arial"/>
                <w:lang w:val="es-MX"/>
              </w:rPr>
            </w:pPr>
            <w:r w:rsidRPr="0001273C">
              <w:rPr>
                <w:rFonts w:ascii="Verdana" w:hAnsi="Verdana" w:cs="Arial"/>
              </w:rPr>
              <w:t xml:space="preserve">Decreto 019 de 2012, artículo 217 </w:t>
            </w:r>
          </w:p>
          <w:p w14:paraId="56930497" w14:textId="73244A25" w:rsidR="001453F4" w:rsidRPr="001453F4" w:rsidRDefault="00AD1F15" w:rsidP="001453F4">
            <w:pPr>
              <w:numPr>
                <w:ilvl w:val="0"/>
                <w:numId w:val="17"/>
              </w:numPr>
              <w:spacing w:line="276" w:lineRule="auto"/>
              <w:rPr>
                <w:rFonts w:ascii="Verdana" w:hAnsi="Verdana" w:cs="Arial"/>
                <w:lang w:val="es-MX"/>
              </w:rPr>
            </w:pPr>
            <w:r w:rsidRPr="0001273C">
              <w:rPr>
                <w:rFonts w:ascii="Verdana" w:hAnsi="Verdana" w:cs="Arial"/>
              </w:rPr>
              <w:t xml:space="preserve">Decreto 1068 de 2015, </w:t>
            </w:r>
            <w:r w:rsidRPr="0001273C">
              <w:rPr>
                <w:rFonts w:ascii="Verdana" w:hAnsi="Verdana" w:cs="Arial"/>
                <w:color w:val="000000" w:themeColor="text1"/>
              </w:rPr>
              <w:t>Artículo 2.8.4.4.5.</w:t>
            </w:r>
          </w:p>
          <w:p w14:paraId="525243B3" w14:textId="77777777" w:rsidR="00AD1F15" w:rsidRPr="0003480F" w:rsidRDefault="00AD1F15" w:rsidP="00933183">
            <w:pPr>
              <w:numPr>
                <w:ilvl w:val="0"/>
                <w:numId w:val="17"/>
              </w:numPr>
              <w:spacing w:line="276" w:lineRule="auto"/>
              <w:rPr>
                <w:rFonts w:ascii="Verdana" w:hAnsi="Verdana" w:cs="Arial"/>
                <w:color w:val="000000" w:themeColor="text1"/>
              </w:rPr>
            </w:pPr>
            <w:r w:rsidRPr="0001273C">
              <w:rPr>
                <w:rFonts w:ascii="Verdana" w:hAnsi="Verdana" w:cs="Arial"/>
              </w:rPr>
              <w:t>Corte Constitucional, Sentencia C-614 de 2009 (constitucionalidad condicionada del artículo 32, numeral 3º de la Ley 80 de 1993).</w:t>
            </w:r>
          </w:p>
        </w:tc>
      </w:tr>
    </w:tbl>
    <w:p w14:paraId="3760EAFE" w14:textId="77777777" w:rsidR="00AD1F15" w:rsidRDefault="00AD1F15" w:rsidP="00AD1F1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C23EE37" w14:textId="77777777" w:rsidR="00AD1F15" w:rsidRDefault="00AD1F15" w:rsidP="00AD1F15">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9766296" w14:textId="77777777" w:rsidR="00AD1F15" w:rsidRPr="00593A5F" w:rsidRDefault="00AD1F15" w:rsidP="00AD1F1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DB0ED95" w14:textId="77777777" w:rsidR="00AD1F15" w:rsidRPr="00AE7E03" w:rsidRDefault="00AD1F15" w:rsidP="00AD1F15">
      <w:pPr>
        <w:widowControl w:val="0"/>
        <w:autoSpaceDE w:val="0"/>
        <w:autoSpaceDN w:val="0"/>
        <w:spacing w:after="0" w:line="276" w:lineRule="auto"/>
        <w:jc w:val="both"/>
        <w:rPr>
          <w:rFonts w:ascii="Verdana" w:eastAsia="Arial" w:hAnsi="Verdana" w:cs="Arial"/>
          <w:lang w:val="es-MX" w:eastAsia="es-ES"/>
        </w:rPr>
      </w:pPr>
      <w:r w:rsidRPr="008F3736">
        <w:rPr>
          <w:rFonts w:ascii="Verdana" w:hAnsi="Verdana" w:cs="Arial"/>
          <w:shd w:val="clear" w:color="auto" w:fill="FFFFFF"/>
        </w:rPr>
        <w:t>La Agencia Nacional de Contratación Pública – Colombia Compra Eficiente 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w:t>
      </w:r>
      <w:r>
        <w:rPr>
          <w:rFonts w:ascii="Verdana" w:hAnsi="Verdana" w:cs="Arial"/>
          <w:shd w:val="clear" w:color="auto" w:fill="FFFFFF"/>
        </w:rPr>
        <w:t xml:space="preserve">, </w:t>
      </w:r>
      <w:r w:rsidRPr="008F3736">
        <w:rPr>
          <w:rFonts w:ascii="Verdana" w:hAnsi="Verdana" w:cs="Arial"/>
          <w:shd w:val="clear" w:color="auto" w:fill="FFFFFF"/>
        </w:rPr>
        <w:t>C-009 del 20 de febrero de 2023</w:t>
      </w:r>
      <w:r>
        <w:rPr>
          <w:rFonts w:ascii="Verdana" w:hAnsi="Verdana" w:cs="Arial"/>
          <w:shd w:val="clear" w:color="auto" w:fill="FFFFFF"/>
        </w:rPr>
        <w:t xml:space="preserve"> y C-418 del 17 de junio de 2025.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79745D8" w14:textId="77777777" w:rsidR="00AD1F15" w:rsidRPr="0065720B" w:rsidRDefault="000F6015" w:rsidP="00AD1F15">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00AD1F15" w:rsidRPr="001453F4">
          <w:rPr>
            <w:rStyle w:val="Hipervnculo"/>
            <w:rFonts w:ascii="Verdana" w:eastAsia="Calibri" w:hAnsi="Verdana" w:cs="Times New Roman"/>
            <w:lang w:val="es-ES"/>
          </w:rPr>
          <w:t>https://relatoria.colombiacompra.gov.co/busqueda/conceptos</w:t>
        </w:r>
      </w:hyperlink>
      <w:r w:rsidR="00AD1F15" w:rsidRPr="001453F4">
        <w:rPr>
          <w:rFonts w:ascii="Verdana" w:eastAsia="Calibri" w:hAnsi="Verdana" w:cs="Times New Roman"/>
        </w:rPr>
        <w:t>.</w:t>
      </w:r>
    </w:p>
    <w:p w14:paraId="5882AB67" w14:textId="77777777" w:rsidR="00AD1F15" w:rsidRPr="00103B90" w:rsidRDefault="00AD1F15" w:rsidP="00AD1F15">
      <w:pPr>
        <w:widowControl w:val="0"/>
        <w:autoSpaceDE w:val="0"/>
        <w:autoSpaceDN w:val="0"/>
        <w:spacing w:after="0" w:line="276" w:lineRule="auto"/>
        <w:jc w:val="both"/>
        <w:rPr>
          <w:rFonts w:ascii="Verdana" w:hAnsi="Verdana"/>
        </w:rPr>
      </w:pPr>
    </w:p>
    <w:p w14:paraId="27F668A2" w14:textId="77777777" w:rsidR="00AD1F15" w:rsidRPr="00505CD6" w:rsidRDefault="00AD1F15" w:rsidP="00AD1F15">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318DD01" w14:textId="77777777" w:rsidR="00AD1F15" w:rsidRPr="00505CD6" w:rsidRDefault="00AD1F15" w:rsidP="00AD1F15">
      <w:pPr>
        <w:widowControl w:val="0"/>
        <w:autoSpaceDE w:val="0"/>
        <w:autoSpaceDN w:val="0"/>
        <w:spacing w:after="0" w:line="276" w:lineRule="auto"/>
        <w:jc w:val="both"/>
        <w:rPr>
          <w:rFonts w:ascii="Verdana" w:hAnsi="Verdana" w:cs="Arial"/>
        </w:rPr>
      </w:pPr>
    </w:p>
    <w:p w14:paraId="5BE33425" w14:textId="77777777" w:rsidR="00AD1F15" w:rsidRPr="00933183" w:rsidRDefault="00AD1F15" w:rsidP="00AD1F15">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A277142" w14:textId="6CFC5393" w:rsidR="2D29EC69" w:rsidRDefault="2D29EC69" w:rsidP="00B03CB3">
      <w:pPr>
        <w:spacing w:after="0" w:line="276" w:lineRule="auto"/>
        <w:jc w:val="both"/>
        <w:rPr>
          <w:noProof/>
        </w:rPr>
      </w:pPr>
    </w:p>
    <w:p w14:paraId="618CB27B" w14:textId="77777777" w:rsidR="00AF54CE" w:rsidRDefault="00AF54CE" w:rsidP="00B03CB3">
      <w:pPr>
        <w:spacing w:after="0" w:line="276" w:lineRule="auto"/>
        <w:jc w:val="both"/>
        <w:rPr>
          <w:noProof/>
        </w:rPr>
      </w:pPr>
    </w:p>
    <w:p w14:paraId="6666F4FA" w14:textId="3D88D09D" w:rsidR="00AF54CE" w:rsidRDefault="00AF54CE" w:rsidP="00AF54CE">
      <w:pPr>
        <w:spacing w:after="0" w:line="276" w:lineRule="auto"/>
        <w:jc w:val="center"/>
        <w:rPr>
          <w:noProof/>
        </w:rPr>
      </w:pPr>
      <w:r>
        <w:rPr>
          <w:noProof/>
        </w:rPr>
        <w:drawing>
          <wp:inline distT="0" distB="0" distL="0" distR="0" wp14:anchorId="28619C04" wp14:editId="6956AF1D">
            <wp:extent cx="4248150" cy="1781175"/>
            <wp:effectExtent l="0" t="0" r="0" b="9525"/>
            <wp:docPr id="11458943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48150" cy="1781175"/>
                    </a:xfrm>
                    <a:prstGeom prst="rect">
                      <a:avLst/>
                    </a:prstGeom>
                    <a:noFill/>
                    <a:ln>
                      <a:noFill/>
                    </a:ln>
                  </pic:spPr>
                </pic:pic>
              </a:graphicData>
            </a:graphic>
          </wp:inline>
        </w:drawing>
      </w:r>
    </w:p>
    <w:p w14:paraId="365465E7" w14:textId="64A33A42" w:rsidR="00AD1F15" w:rsidRDefault="00AD1F15" w:rsidP="00AD1F15">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D1F15" w:rsidRPr="00593A5F" w14:paraId="55A1796F" w14:textId="77777777" w:rsidTr="008B3546">
        <w:trPr>
          <w:trHeight w:val="315"/>
        </w:trPr>
        <w:tc>
          <w:tcPr>
            <w:tcW w:w="893" w:type="dxa"/>
            <w:vAlign w:val="center"/>
            <w:hideMark/>
          </w:tcPr>
          <w:p w14:paraId="5ED62F6D" w14:textId="77777777" w:rsidR="00AD1F15" w:rsidRPr="003751C7" w:rsidRDefault="00AD1F15"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9E640A3" w14:textId="77777777" w:rsidR="00AD1F15" w:rsidRPr="007911EE" w:rsidRDefault="00AD1F15" w:rsidP="008B3546">
            <w:pPr>
              <w:contextualSpacing/>
              <w:rPr>
                <w:rFonts w:ascii="Verdana" w:hAnsi="Verdana"/>
                <w:sz w:val="16"/>
                <w:szCs w:val="16"/>
              </w:rPr>
            </w:pPr>
            <w:r>
              <w:rPr>
                <w:rFonts w:ascii="Verdana" w:hAnsi="Verdana"/>
                <w:sz w:val="16"/>
                <w:szCs w:val="16"/>
              </w:rPr>
              <w:t>Daniel Eduardo Rojas Poveda</w:t>
            </w:r>
          </w:p>
          <w:p w14:paraId="714A9776" w14:textId="77777777" w:rsidR="00AD1F15" w:rsidRPr="007911EE" w:rsidRDefault="00AD1F15" w:rsidP="008B354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D1F15" w:rsidRPr="00593A5F" w14:paraId="46D4D1AE" w14:textId="77777777" w:rsidTr="008B3546">
        <w:trPr>
          <w:trHeight w:val="330"/>
        </w:trPr>
        <w:tc>
          <w:tcPr>
            <w:tcW w:w="893" w:type="dxa"/>
            <w:vAlign w:val="center"/>
            <w:hideMark/>
          </w:tcPr>
          <w:p w14:paraId="2EBC82FF" w14:textId="77777777" w:rsidR="00AD1F15" w:rsidRPr="003751C7" w:rsidRDefault="00AD1F15" w:rsidP="008B354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FA4B27" w14:textId="77777777" w:rsidR="00AD1F15" w:rsidRDefault="00AD1F15" w:rsidP="008B3546">
            <w:pPr>
              <w:spacing w:line="276" w:lineRule="auto"/>
              <w:contextualSpacing/>
              <w:jc w:val="both"/>
              <w:rPr>
                <w:rFonts w:ascii="Verdana" w:hAnsi="Verdana"/>
                <w:sz w:val="16"/>
                <w:szCs w:val="16"/>
              </w:rPr>
            </w:pPr>
            <w:r>
              <w:rPr>
                <w:rFonts w:ascii="Verdana" w:hAnsi="Verdana"/>
                <w:sz w:val="16"/>
                <w:szCs w:val="16"/>
              </w:rPr>
              <w:t>Diana Lucia Saavedra.</w:t>
            </w:r>
          </w:p>
          <w:p w14:paraId="6D21DAD3" w14:textId="77777777" w:rsidR="00AD1F15" w:rsidRPr="007911EE" w:rsidRDefault="00AD1F15" w:rsidP="008B354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D1F15" w:rsidRPr="00593A5F" w14:paraId="74828FB2" w14:textId="77777777" w:rsidTr="008B3546">
        <w:trPr>
          <w:trHeight w:val="330"/>
        </w:trPr>
        <w:tc>
          <w:tcPr>
            <w:tcW w:w="893" w:type="dxa"/>
            <w:vAlign w:val="center"/>
          </w:tcPr>
          <w:p w14:paraId="6D7CD1F5" w14:textId="77777777" w:rsidR="00AD1F15" w:rsidRPr="003751C7" w:rsidRDefault="00AD1F15" w:rsidP="008B354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FD170D9" w14:textId="2FC2D674" w:rsidR="00AF54CE" w:rsidRDefault="00AF54CE" w:rsidP="008B3546">
            <w:pPr>
              <w:spacing w:line="276" w:lineRule="auto"/>
              <w:contextualSpacing/>
              <w:jc w:val="both"/>
              <w:rPr>
                <w:rFonts w:ascii="Verdana" w:eastAsia="Calibri" w:hAnsi="Verdana" w:cs="Arial"/>
                <w:sz w:val="16"/>
                <w:szCs w:val="16"/>
                <w:lang w:eastAsia="es-ES"/>
              </w:rPr>
            </w:pPr>
            <w:r>
              <w:rPr>
                <w:rFonts w:ascii="Verdana" w:eastAsia="Calibri" w:hAnsi="Verdana" w:cs="Arial"/>
                <w:sz w:val="16"/>
                <w:szCs w:val="16"/>
                <w:lang w:eastAsia="es-ES"/>
              </w:rPr>
              <w:t>Ana María Tolosa Rico</w:t>
            </w:r>
          </w:p>
          <w:p w14:paraId="64D5AE0A" w14:textId="44B7F226" w:rsidR="00AD1F15" w:rsidRDefault="00AD1F15" w:rsidP="008B354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r w:rsidR="001453F4">
              <w:rPr>
                <w:rFonts w:ascii="Verdana" w:eastAsia="Calibri" w:hAnsi="Verdana" w:cs="Arial"/>
                <w:sz w:val="16"/>
                <w:szCs w:val="16"/>
                <w:lang w:val="pt-BR" w:eastAsia="es-ES"/>
              </w:rPr>
              <w:t xml:space="preserve"> (E)</w:t>
            </w:r>
          </w:p>
        </w:tc>
      </w:tr>
      <w:bookmarkEnd w:id="1"/>
    </w:tbl>
    <w:p w14:paraId="4FCF863E" w14:textId="77777777" w:rsidR="00AD1F15" w:rsidRPr="00F30C63" w:rsidRDefault="00AD1F15" w:rsidP="00AD1F15"/>
    <w:p w14:paraId="0F293BF4" w14:textId="18DA4DB0" w:rsidR="00127233" w:rsidRPr="007B1D26" w:rsidRDefault="00127233" w:rsidP="007B1D26"/>
    <w:sectPr w:rsidR="00127233" w:rsidRPr="007B1D26"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996893" w14:textId="77777777" w:rsidR="00B52AE2" w:rsidRDefault="00B52AE2" w:rsidP="004A1847">
      <w:pPr>
        <w:spacing w:after="0" w:line="240" w:lineRule="auto"/>
      </w:pPr>
      <w:r>
        <w:separator/>
      </w:r>
    </w:p>
  </w:endnote>
  <w:endnote w:type="continuationSeparator" w:id="0">
    <w:p w14:paraId="5CA6FB8F" w14:textId="77777777" w:rsidR="00B52AE2" w:rsidRDefault="00B52AE2" w:rsidP="004A1847">
      <w:pPr>
        <w:spacing w:after="0" w:line="240" w:lineRule="auto"/>
      </w:pPr>
      <w:r>
        <w:continuationSeparator/>
      </w:r>
    </w:p>
  </w:endnote>
  <w:endnote w:type="continuationNotice" w:id="1">
    <w:p w14:paraId="5CC324D1" w14:textId="77777777" w:rsidR="00B52AE2" w:rsidRDefault="00B52A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DCC49" w14:textId="77777777" w:rsidR="00B52AE2" w:rsidRDefault="00B52AE2" w:rsidP="004A1847">
      <w:pPr>
        <w:spacing w:after="0" w:line="240" w:lineRule="auto"/>
      </w:pPr>
      <w:r>
        <w:separator/>
      </w:r>
    </w:p>
  </w:footnote>
  <w:footnote w:type="continuationSeparator" w:id="0">
    <w:p w14:paraId="008D3CD0" w14:textId="77777777" w:rsidR="00B52AE2" w:rsidRDefault="00B52AE2" w:rsidP="004A1847">
      <w:pPr>
        <w:spacing w:after="0" w:line="240" w:lineRule="auto"/>
      </w:pPr>
      <w:r>
        <w:continuationSeparator/>
      </w:r>
    </w:p>
  </w:footnote>
  <w:footnote w:type="continuationNotice" w:id="1">
    <w:p w14:paraId="74095EA8" w14:textId="77777777" w:rsidR="00B52AE2" w:rsidRDefault="00B52AE2">
      <w:pPr>
        <w:spacing w:after="0" w:line="240" w:lineRule="auto"/>
      </w:pPr>
    </w:p>
  </w:footnote>
  <w:footnote w:id="2">
    <w:p w14:paraId="4C6E0F7B" w14:textId="77777777" w:rsidR="00AD1F15" w:rsidRPr="00C52B71" w:rsidRDefault="00AD1F15" w:rsidP="00AD1F15">
      <w:pPr>
        <w:pStyle w:val="Textonotapie"/>
        <w:ind w:firstLine="709"/>
        <w:contextualSpacing/>
        <w:jc w:val="both"/>
        <w:rPr>
          <w:rFonts w:ascii="Verdana" w:hAnsi="Verdana" w:cs="Arial"/>
          <w:color w:val="000000" w:themeColor="text1"/>
          <w:sz w:val="14"/>
          <w:szCs w:val="14"/>
        </w:rPr>
      </w:pPr>
      <w:r w:rsidRPr="00C52B71">
        <w:rPr>
          <w:rStyle w:val="Refdenotaalpie"/>
          <w:rFonts w:ascii="Verdana" w:hAnsi="Verdana" w:cs="Arial"/>
          <w:sz w:val="14"/>
          <w:szCs w:val="14"/>
        </w:rPr>
        <w:footnoteRef/>
      </w:r>
      <w:r w:rsidRPr="00C52B71">
        <w:rPr>
          <w:rFonts w:ascii="Verdana" w:hAnsi="Verdana" w:cs="Arial"/>
          <w:sz w:val="14"/>
          <w:szCs w:val="14"/>
        </w:rPr>
        <w:t xml:space="preserve"> Decreto 1068 de 2015: “</w:t>
      </w:r>
      <w:r w:rsidRPr="00C52B71">
        <w:rPr>
          <w:rFonts w:ascii="Verdana" w:hAnsi="Verdana" w:cs="Arial"/>
          <w:color w:val="000000" w:themeColor="text1"/>
          <w:sz w:val="14"/>
          <w:szCs w:val="14"/>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3554BCF2" w14:textId="77777777" w:rsidR="00AD1F15" w:rsidRPr="00C52B71" w:rsidRDefault="00AD1F15" w:rsidP="00AD1F15">
      <w:pPr>
        <w:pStyle w:val="Textonotapie"/>
        <w:ind w:firstLine="709"/>
        <w:contextualSpacing/>
        <w:jc w:val="both"/>
        <w:rPr>
          <w:rFonts w:ascii="Verdana" w:hAnsi="Verdana" w:cs="Arial"/>
          <w:color w:val="000000" w:themeColor="text1"/>
          <w:sz w:val="14"/>
          <w:szCs w:val="14"/>
        </w:rPr>
      </w:pPr>
      <w:r w:rsidRPr="00C52B71">
        <w:rPr>
          <w:rFonts w:ascii="Verdana" w:hAnsi="Verdana" w:cs="Arial"/>
          <w:color w:val="000000" w:themeColor="text1"/>
          <w:sz w:val="14"/>
          <w:szCs w:val="14"/>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0EE172E6" w14:textId="77777777" w:rsidR="00AD1F15" w:rsidRPr="00C52B71" w:rsidRDefault="00AD1F15" w:rsidP="00AD1F15">
      <w:pPr>
        <w:pStyle w:val="Textonotapie"/>
        <w:ind w:firstLine="708"/>
        <w:contextualSpacing/>
        <w:jc w:val="both"/>
        <w:rPr>
          <w:rFonts w:ascii="Verdana" w:hAnsi="Verdana" w:cs="Arial"/>
          <w:sz w:val="14"/>
          <w:szCs w:val="14"/>
        </w:rPr>
      </w:pPr>
      <w:r w:rsidRPr="00C52B71">
        <w:rPr>
          <w:rFonts w:ascii="Verdana" w:hAnsi="Verdana" w:cs="Arial"/>
          <w:color w:val="000000" w:themeColor="text1"/>
          <w:sz w:val="14"/>
          <w:szCs w:val="14"/>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7A019301" w14:textId="77777777" w:rsidR="00AD1F15" w:rsidRPr="00C52B71" w:rsidRDefault="00AD1F15" w:rsidP="00AD1F15">
      <w:pPr>
        <w:pStyle w:val="Textonotapie"/>
        <w:ind w:firstLine="708"/>
        <w:contextualSpacing/>
        <w:jc w:val="both"/>
        <w:rPr>
          <w:rFonts w:ascii="Verdana" w:hAnsi="Verdana" w:cs="Arial"/>
          <w:sz w:val="14"/>
          <w:szCs w:val="14"/>
        </w:rPr>
      </w:pPr>
      <w:r w:rsidRPr="00C52B71">
        <w:rPr>
          <w:rFonts w:ascii="Verdana" w:hAnsi="Verdana" w:cs="Arial"/>
          <w:sz w:val="14"/>
          <w:szCs w:val="14"/>
        </w:rPr>
        <w:t xml:space="preserve"> </w:t>
      </w:r>
    </w:p>
  </w:footnote>
  <w:footnote w:id="3">
    <w:p w14:paraId="29718912"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03A44D30"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2. Quien presta el servicio se denomina trabajador, quien lo recibe y remunera, empleador, y la remuneración, cualquiera que sea su forma, salario”.</w:t>
      </w:r>
    </w:p>
    <w:p w14:paraId="5131CF27" w14:textId="77777777" w:rsidR="00AD1F15" w:rsidRPr="00066ECD" w:rsidRDefault="00AD1F15" w:rsidP="00AD1F15">
      <w:pPr>
        <w:pStyle w:val="Textonotapie"/>
        <w:ind w:firstLine="709"/>
        <w:contextualSpacing/>
        <w:jc w:val="both"/>
        <w:rPr>
          <w:rFonts w:ascii="Arial" w:hAnsi="Arial" w:cs="Arial"/>
          <w:color w:val="000000"/>
          <w:sz w:val="18"/>
          <w:szCs w:val="18"/>
          <w:lang w:val="es-ES"/>
        </w:rPr>
      </w:pPr>
    </w:p>
  </w:footnote>
  <w:footnote w:id="4">
    <w:p w14:paraId="7EE4E527"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CORTE CONSTITUCIONAL. Sentencia C-154 de 1997. Magistrado Ponente: Hernando Herrera Vergara.</w:t>
      </w:r>
    </w:p>
    <w:p w14:paraId="2E380F24"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p>
  </w:footnote>
  <w:footnote w:id="5">
    <w:p w14:paraId="37A9A93A"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Ibíd.</w:t>
      </w:r>
    </w:p>
    <w:p w14:paraId="02CDE50C"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p>
  </w:footnote>
  <w:footnote w:id="6">
    <w:p w14:paraId="2FD8C212"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2999F5AC"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2729CC2"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La Entidad Estatal, para la contratación de trabajos artísticos que solamente puedan en­comendarse a determinadas personas naturales, debe justificar esta situación en los estudios y documentos previos”.</w:t>
      </w:r>
    </w:p>
    <w:p w14:paraId="51F466B6" w14:textId="77777777" w:rsidR="00AD1F15" w:rsidRPr="00066ECD" w:rsidRDefault="00AD1F15" w:rsidP="00AD1F15">
      <w:pPr>
        <w:pStyle w:val="Textonotapie"/>
        <w:ind w:firstLine="709"/>
        <w:contextualSpacing/>
        <w:jc w:val="both"/>
        <w:rPr>
          <w:rFonts w:ascii="Arial" w:hAnsi="Arial" w:cs="Arial"/>
          <w:color w:val="000000"/>
          <w:sz w:val="18"/>
          <w:szCs w:val="18"/>
          <w:lang w:val="es-ES"/>
        </w:rPr>
      </w:pPr>
    </w:p>
  </w:footnote>
  <w:footnote w:id="7">
    <w:p w14:paraId="281542B7"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CONSEJO DE ESTADO. Sección Tercera. Subsección C. Sentencia del 2 de diciembre de 2013. Exp. 41719. Consejero Ponente: Jaime Orlando Santofimio Gamboa.</w:t>
      </w:r>
    </w:p>
    <w:p w14:paraId="52AD1DDA"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p>
  </w:footnote>
  <w:footnote w:id="8">
    <w:p w14:paraId="565F16F3"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Ibíd.</w:t>
      </w:r>
    </w:p>
    <w:p w14:paraId="1900518E" w14:textId="77777777" w:rsidR="00AD1F15" w:rsidRPr="00066ECD" w:rsidRDefault="00AD1F15" w:rsidP="00AD1F15">
      <w:pPr>
        <w:pStyle w:val="Textonotapie"/>
        <w:ind w:firstLine="709"/>
        <w:contextualSpacing/>
        <w:jc w:val="both"/>
        <w:rPr>
          <w:rFonts w:ascii="Arial" w:hAnsi="Arial" w:cs="Arial"/>
          <w:color w:val="000000"/>
          <w:sz w:val="18"/>
          <w:szCs w:val="18"/>
          <w:lang w:val="es-ES"/>
        </w:rPr>
      </w:pPr>
    </w:p>
  </w:footnote>
  <w:footnote w:id="9">
    <w:p w14:paraId="3C456FEE"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Ibíd.</w:t>
      </w:r>
    </w:p>
    <w:p w14:paraId="4EE3D1E8"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p>
  </w:footnote>
  <w:footnote w:id="10">
    <w:p w14:paraId="14F87FF5"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C51A935"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Son también contratos de consultoría los que tienen por objeto la interventoría, asesoría, gerencia de obra o de proyectos, dirección, programación y la ejecución de diseños, planos, anteproyectos y proyectos.</w:t>
      </w:r>
    </w:p>
    <w:p w14:paraId="03D50982"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1EDA7CFF"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p>
  </w:footnote>
  <w:footnote w:id="11">
    <w:p w14:paraId="3EFA0207"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182C93A6"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1. La causal que invoca para contratar directamente.</w:t>
      </w:r>
    </w:p>
    <w:p w14:paraId="0128F743"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2. El objeto del contrato.</w:t>
      </w:r>
    </w:p>
    <w:p w14:paraId="1BA28269"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3. El presupuesto para la contratación y las condiciones que exigirá al contratista.</w:t>
      </w:r>
    </w:p>
    <w:p w14:paraId="4471AB0C"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4. El lugar en el cual los interesados pueden consultar los estudios y documentos previos.</w:t>
      </w:r>
    </w:p>
    <w:p w14:paraId="57BBB37A"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56E135D2" w14:textId="77777777" w:rsidR="00AD1F15" w:rsidRPr="00066ECD" w:rsidRDefault="00AD1F15" w:rsidP="00AD1F15">
      <w:pPr>
        <w:pStyle w:val="Textonotapie"/>
        <w:ind w:firstLine="709"/>
        <w:contextualSpacing/>
        <w:jc w:val="both"/>
        <w:rPr>
          <w:rFonts w:ascii="Arial" w:hAnsi="Arial" w:cs="Arial"/>
          <w:color w:val="000000"/>
          <w:sz w:val="18"/>
          <w:szCs w:val="18"/>
          <w:lang w:val="es-ES"/>
        </w:rPr>
      </w:pPr>
    </w:p>
  </w:footnote>
  <w:footnote w:id="12">
    <w:p w14:paraId="18DAA5B7"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Esta norma expresa: “</w:t>
      </w:r>
      <w:r w:rsidRPr="00C52B71">
        <w:rPr>
          <w:rFonts w:ascii="Verdana" w:hAnsi="Verdana" w:cs="Arial"/>
          <w:color w:val="000000"/>
          <w:sz w:val="14"/>
          <w:szCs w:val="14"/>
        </w:rPr>
        <w:t>P</w:t>
      </w:r>
      <w:r w:rsidRPr="00C52B71">
        <w:rPr>
          <w:rFonts w:ascii="Verdana" w:hAnsi="Verdana" w:cs="Arial"/>
          <w:color w:val="000000"/>
          <w:sz w:val="14"/>
          <w:szCs w:val="14"/>
          <w:lang w:val="es-ES"/>
        </w:rPr>
        <w:t>ara el cumplimiento de los fines de la contratación, las entidades estatales al celebrar un contrato:</w:t>
      </w:r>
    </w:p>
    <w:p w14:paraId="17140A97"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w:t>
      </w:r>
    </w:p>
    <w:p w14:paraId="76E703AA"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17849589"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Las entidades estatales podrán pactar estas cláusulas en los contratos de suministro y de prestación de servicios.</w:t>
      </w:r>
    </w:p>
    <w:p w14:paraId="54695726"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Fonts w:ascii="Verdana" w:hAnsi="Verdana" w:cs="Arial"/>
          <w:color w:val="000000"/>
          <w:sz w:val="14"/>
          <w:szCs w:val="14"/>
          <w:lang w:val="es-ES"/>
        </w:rPr>
        <w:t>[…]”.</w:t>
      </w:r>
    </w:p>
    <w:p w14:paraId="6841375A"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p>
  </w:footnote>
  <w:footnote w:id="13">
    <w:p w14:paraId="28F55CC6"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p w14:paraId="67F4F30A"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p>
  </w:footnote>
  <w:footnote w:id="14">
    <w:p w14:paraId="3B1CC20A" w14:textId="77777777" w:rsidR="00AD1F15" w:rsidRPr="00C52B71" w:rsidRDefault="00AD1F15" w:rsidP="00AD1F15">
      <w:pPr>
        <w:pStyle w:val="Textonotapie"/>
        <w:ind w:firstLine="709"/>
        <w:contextualSpacing/>
        <w:jc w:val="both"/>
        <w:rPr>
          <w:rFonts w:ascii="Verdana" w:hAnsi="Verdana" w:cs="Arial"/>
          <w:color w:val="000000"/>
          <w:sz w:val="14"/>
          <w:szCs w:val="14"/>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94CD9B1" w14:textId="77777777" w:rsidR="00AD1F15" w:rsidRPr="00C52B71" w:rsidRDefault="00AD1F15" w:rsidP="00AD1F15">
      <w:pPr>
        <w:pStyle w:val="Textonotapie"/>
        <w:ind w:firstLine="709"/>
        <w:contextualSpacing/>
        <w:jc w:val="both"/>
        <w:rPr>
          <w:rFonts w:ascii="Verdana" w:hAnsi="Verdana" w:cs="Arial"/>
          <w:color w:val="000000"/>
          <w:sz w:val="14"/>
          <w:szCs w:val="14"/>
        </w:rPr>
      </w:pPr>
      <w:r w:rsidRPr="00C52B71">
        <w:rPr>
          <w:rFonts w:ascii="Verdana" w:hAnsi="Verdana" w:cs="Arial"/>
          <w:color w:val="000000"/>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4482FE4" w14:textId="77777777" w:rsidR="00AD1F15" w:rsidRPr="00C52B71" w:rsidRDefault="00AD1F15" w:rsidP="00AD1F15">
      <w:pPr>
        <w:pStyle w:val="Textonotapie"/>
        <w:ind w:firstLine="709"/>
        <w:contextualSpacing/>
        <w:jc w:val="both"/>
        <w:rPr>
          <w:rFonts w:ascii="Verdana" w:hAnsi="Verdana" w:cs="Arial"/>
          <w:color w:val="000000"/>
          <w:sz w:val="14"/>
          <w:szCs w:val="14"/>
        </w:rPr>
      </w:pPr>
      <w:r w:rsidRPr="00C52B71">
        <w:rPr>
          <w:rFonts w:ascii="Verdana" w:hAnsi="Verdana" w:cs="Arial"/>
          <w:color w:val="000000"/>
          <w:sz w:val="14"/>
          <w:szCs w:val="14"/>
        </w:rPr>
        <w:t>[…]”.</w:t>
      </w:r>
    </w:p>
    <w:p w14:paraId="106240CE"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p>
  </w:footnote>
  <w:footnote w:id="15">
    <w:p w14:paraId="245CE5CC"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r w:rsidRPr="00C52B71">
        <w:rPr>
          <w:rStyle w:val="Refdenotaalpie"/>
          <w:rFonts w:ascii="Verdana" w:hAnsi="Verdana" w:cs="Arial"/>
          <w:color w:val="000000"/>
          <w:sz w:val="14"/>
          <w:szCs w:val="14"/>
        </w:rPr>
        <w:footnoteRef/>
      </w:r>
      <w:r w:rsidRPr="00C52B71">
        <w:rPr>
          <w:rFonts w:ascii="Verdana" w:hAnsi="Verdana" w:cs="Arial"/>
          <w:color w:val="000000"/>
          <w:sz w:val="14"/>
          <w:szCs w:val="14"/>
        </w:rPr>
        <w:t xml:space="preserve"> </w:t>
      </w:r>
      <w:r w:rsidRPr="00C52B71">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1AE8771D" w14:textId="77777777" w:rsidR="00AD1F15" w:rsidRPr="00C52B71" w:rsidRDefault="00AD1F15" w:rsidP="00AD1F15">
      <w:pPr>
        <w:pStyle w:val="Textonotapie"/>
        <w:ind w:firstLine="709"/>
        <w:contextualSpacing/>
        <w:jc w:val="both"/>
        <w:rPr>
          <w:rFonts w:ascii="Verdana" w:hAnsi="Verdana" w:cs="Arial"/>
          <w:color w:val="000000"/>
          <w:sz w:val="14"/>
          <w:szCs w:val="14"/>
          <w:lang w:val="es-ES"/>
        </w:rPr>
      </w:pPr>
    </w:p>
  </w:footnote>
  <w:footnote w:id="16">
    <w:p w14:paraId="632E4942" w14:textId="77777777" w:rsidR="00AD1F15" w:rsidRPr="00066ECD" w:rsidRDefault="00AD1F15" w:rsidP="00AD1F15">
      <w:pPr>
        <w:pStyle w:val="Textonotapie"/>
        <w:ind w:firstLine="707"/>
        <w:contextualSpacing/>
        <w:jc w:val="both"/>
        <w:rPr>
          <w:rFonts w:ascii="Arial" w:hAnsi="Arial" w:cs="Arial"/>
          <w:sz w:val="18"/>
          <w:szCs w:val="18"/>
        </w:rPr>
      </w:pPr>
      <w:r w:rsidRPr="00C52B71">
        <w:rPr>
          <w:rStyle w:val="Refdenotaalpie"/>
          <w:rFonts w:ascii="Verdana" w:hAnsi="Verdana" w:cs="Arial"/>
          <w:sz w:val="14"/>
          <w:szCs w:val="14"/>
        </w:rPr>
        <w:footnoteRef/>
      </w:r>
      <w:r w:rsidRPr="00C52B71">
        <w:rPr>
          <w:rFonts w:ascii="Verdana" w:hAnsi="Verdana" w:cs="Arial"/>
          <w:sz w:val="14"/>
          <w:szCs w:val="14"/>
        </w:rPr>
        <w:t xml:space="preserve"> El artículo 6 de la Ley 80 de 1993 dispone “Pueden celebrar contratos con las entidades estatales las personas consideradas legalmente capaces en las disposiciones vigentes. También podrán celebrar contratos con las entidades estatales, los consorcios y uniones temporales. Las personas jurídicas nacionales y extranjeras deberán acreditar que su duración no será inferior a la del plazo del contrato y un año más”.</w:t>
      </w:r>
    </w:p>
  </w:footnote>
  <w:footnote w:id="17">
    <w:p w14:paraId="01BD4BE3" w14:textId="77777777" w:rsidR="00AD1F15" w:rsidRPr="00066ECD" w:rsidRDefault="00AD1F15" w:rsidP="00AD1F15">
      <w:pPr>
        <w:pStyle w:val="Textonotapie"/>
        <w:contextualSpacing/>
        <w:jc w:val="both"/>
        <w:rPr>
          <w:rFonts w:ascii="Arial" w:hAnsi="Arial" w:cs="Arial"/>
          <w:sz w:val="18"/>
          <w:szCs w:val="18"/>
        </w:rPr>
      </w:pPr>
    </w:p>
    <w:p w14:paraId="5614EDF3" w14:textId="77777777" w:rsidR="00AD1F15" w:rsidRPr="00066ECD" w:rsidRDefault="00AD1F15" w:rsidP="00AD1F15">
      <w:pPr>
        <w:pStyle w:val="Textonotapie"/>
        <w:ind w:firstLine="707"/>
        <w:contextualSpacing/>
        <w:jc w:val="both"/>
        <w:rPr>
          <w:rFonts w:ascii="Arial" w:hAnsi="Arial" w:cs="Arial"/>
          <w:sz w:val="18"/>
          <w:szCs w:val="18"/>
        </w:rPr>
      </w:pPr>
      <w:r w:rsidRPr="00066ECD">
        <w:rPr>
          <w:rStyle w:val="Refdenotaalpie"/>
          <w:rFonts w:ascii="Arial" w:hAnsi="Arial" w:cs="Arial"/>
          <w:sz w:val="18"/>
          <w:szCs w:val="18"/>
        </w:rPr>
        <w:footnoteRef/>
      </w:r>
      <w:r w:rsidRPr="00066ECD">
        <w:rPr>
          <w:rFonts w:ascii="Arial" w:hAnsi="Arial" w:cs="Arial"/>
          <w:sz w:val="18"/>
          <w:szCs w:val="18"/>
        </w:rPr>
        <w:t xml:space="preserve"> Artículo 1502 del Código Civil.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70F4BF1"/>
    <w:multiLevelType w:val="hybridMultilevel"/>
    <w:tmpl w:val="38BC0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015"/>
    <w:rsid w:val="000F6486"/>
    <w:rsid w:val="00116940"/>
    <w:rsid w:val="00125105"/>
    <w:rsid w:val="00127233"/>
    <w:rsid w:val="001453F4"/>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966C7"/>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7454"/>
    <w:rsid w:val="004F21C4"/>
    <w:rsid w:val="004F685F"/>
    <w:rsid w:val="005566E8"/>
    <w:rsid w:val="00574867"/>
    <w:rsid w:val="00591460"/>
    <w:rsid w:val="005A65E0"/>
    <w:rsid w:val="005C3777"/>
    <w:rsid w:val="005C5CDC"/>
    <w:rsid w:val="005D476C"/>
    <w:rsid w:val="006200BF"/>
    <w:rsid w:val="006219F8"/>
    <w:rsid w:val="006302F7"/>
    <w:rsid w:val="00646B9F"/>
    <w:rsid w:val="0065370A"/>
    <w:rsid w:val="00665D70"/>
    <w:rsid w:val="006900D9"/>
    <w:rsid w:val="00706C16"/>
    <w:rsid w:val="007340C3"/>
    <w:rsid w:val="0075235A"/>
    <w:rsid w:val="00756841"/>
    <w:rsid w:val="007649AB"/>
    <w:rsid w:val="00771D0C"/>
    <w:rsid w:val="0078131B"/>
    <w:rsid w:val="007833AC"/>
    <w:rsid w:val="007B1D26"/>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3183"/>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D1F15"/>
    <w:rsid w:val="00AF54CE"/>
    <w:rsid w:val="00B00C0E"/>
    <w:rsid w:val="00B01B1A"/>
    <w:rsid w:val="00B0381D"/>
    <w:rsid w:val="00B03CB3"/>
    <w:rsid w:val="00B44A47"/>
    <w:rsid w:val="00B52AE2"/>
    <w:rsid w:val="00B72CD3"/>
    <w:rsid w:val="00B72FFF"/>
    <w:rsid w:val="00BC3D36"/>
    <w:rsid w:val="00BD54A6"/>
    <w:rsid w:val="00BD7F72"/>
    <w:rsid w:val="00BF7425"/>
    <w:rsid w:val="00C04FB3"/>
    <w:rsid w:val="00C11D8B"/>
    <w:rsid w:val="00C15139"/>
    <w:rsid w:val="00C330EB"/>
    <w:rsid w:val="00C50D69"/>
    <w:rsid w:val="00C5365C"/>
    <w:rsid w:val="00C573E8"/>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4676"/>
    <w:rsid w:val="00E50AFE"/>
    <w:rsid w:val="00E75C92"/>
    <w:rsid w:val="00E771DC"/>
    <w:rsid w:val="00E8772A"/>
    <w:rsid w:val="00E90F6B"/>
    <w:rsid w:val="00E92C27"/>
    <w:rsid w:val="00EA0E3D"/>
    <w:rsid w:val="00EC2D35"/>
    <w:rsid w:val="00EC38A7"/>
    <w:rsid w:val="00EE1AA8"/>
    <w:rsid w:val="00F23FEA"/>
    <w:rsid w:val="00F31EDC"/>
    <w:rsid w:val="00F448AC"/>
    <w:rsid w:val="00F462B3"/>
    <w:rsid w:val="00F5664F"/>
    <w:rsid w:val="00F666C4"/>
    <w:rsid w:val="00F76AFC"/>
    <w:rsid w:val="00FA47C0"/>
    <w:rsid w:val="00FB0784"/>
    <w:rsid w:val="00FB5DD1"/>
    <w:rsid w:val="00FC2B5D"/>
    <w:rsid w:val="00FF1449"/>
    <w:rsid w:val="00FF7963"/>
    <w:rsid w:val="09908A09"/>
    <w:rsid w:val="13CFC91B"/>
    <w:rsid w:val="19A2EC2C"/>
    <w:rsid w:val="2859CA1B"/>
    <w:rsid w:val="2D29EC69"/>
    <w:rsid w:val="32A4F9CF"/>
    <w:rsid w:val="356CEDFD"/>
    <w:rsid w:val="4F229ABC"/>
    <w:rsid w:val="69614A15"/>
    <w:rsid w:val="75694693"/>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D1F15"/>
    <w:rPr>
      <w:rFonts w:ascii="Geomanist Light" w:hAnsi="Geomanist Light"/>
      <w:lang w:val="es-ES"/>
    </w:rPr>
  </w:style>
  <w:style w:type="paragraph" w:customStyle="1" w:styleId="Appelnotedebasde">
    <w:name w:val="Appel note de bas de..."/>
    <w:basedOn w:val="Normal"/>
    <w:link w:val="Refdenotaalpie"/>
    <w:uiPriority w:val="99"/>
    <w:rsid w:val="00AD1F15"/>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c.cabrerac16@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32A6DDF7-E60F-482F-98D1-10441A06D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schemas.microsoft.com/office/infopath/2007/PartnerControls"/>
    <ds:schemaRef ds:uri="http://www.w3.org/XML/1998/namespace"/>
    <ds:schemaRef ds:uri="http://schemas.microsoft.com/office/2006/documentManagement/types"/>
    <ds:schemaRef ds:uri="http://purl.org/dc/dcmitype/"/>
    <ds:schemaRef ds:uri="http://schemas.openxmlformats.org/package/2006/metadata/core-properties"/>
    <ds:schemaRef ds:uri="a6cb9e4b-f1d1-4245-83ec-6cad768d538a"/>
    <ds:schemaRef ds:uri="9d85dbaf-23eb-4e57-a637-93dcacc8b1a1"/>
    <ds:schemaRef ds:uri="http://purl.org/dc/te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14</Pages>
  <Words>3963</Words>
  <Characters>21802</Characters>
  <Application>Microsoft Office Word</Application>
  <DocSecurity>0</DocSecurity>
  <Lines>181</Lines>
  <Paragraphs>51</Paragraphs>
  <ScaleCrop>false</ScaleCrop>
  <Company/>
  <LinksUpToDate>false</LinksUpToDate>
  <CharactersWithSpaces>25714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2025-11-21T03:51:00Z</dcterms:created>
  <dcterms:modified xsi:type="dcterms:W3CDTF">2025-11-21T03:51:00Z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