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E793C5" w14:textId="77777777" w:rsidR="0012216E" w:rsidRPr="006F5095" w:rsidRDefault="0012216E" w:rsidP="006F5095">
      <w:pPr>
        <w:snapToGrid w:val="0"/>
        <w:spacing w:after="0" w:line="240" w:lineRule="auto"/>
        <w:contextualSpacing/>
        <w:jc w:val="both"/>
        <w:rPr>
          <w:rFonts w:ascii="Verdana" w:eastAsia="Calibri" w:hAnsi="Verdana" w:cs="Arial"/>
          <w:b/>
          <w:bCs/>
          <w:lang w:val="es-ES" w:eastAsia="es-ES"/>
        </w:rPr>
      </w:pPr>
      <w:bookmarkStart w:id="0" w:name="_Hlk143780582"/>
      <w:r w:rsidRPr="006F5095">
        <w:rPr>
          <w:rFonts w:ascii="Verdana" w:eastAsia="Calibri" w:hAnsi="Verdana" w:cs="Arial"/>
          <w:b/>
          <w:bCs/>
          <w:lang w:val="es-ES" w:eastAsia="es-ES"/>
        </w:rPr>
        <w:t xml:space="preserve">EMPRESA UNIPERSONAL – Ley 222 de 1995 – Prohibición Artículo 75 </w:t>
      </w:r>
    </w:p>
    <w:p w14:paraId="42569FF7" w14:textId="77777777" w:rsidR="006F5095" w:rsidRPr="006F5095" w:rsidRDefault="006F5095" w:rsidP="006F5095">
      <w:pPr>
        <w:snapToGrid w:val="0"/>
        <w:spacing w:line="240" w:lineRule="auto"/>
        <w:contextualSpacing/>
        <w:jc w:val="both"/>
        <w:rPr>
          <w:rFonts w:ascii="Verdana" w:hAnsi="Verdana" w:cs="Arial"/>
          <w:sz w:val="20"/>
          <w:szCs w:val="20"/>
        </w:rPr>
      </w:pPr>
    </w:p>
    <w:p w14:paraId="3386F165" w14:textId="1BC3D1DC" w:rsidR="0012216E" w:rsidRPr="006F5095" w:rsidRDefault="0012216E" w:rsidP="006F5095">
      <w:pPr>
        <w:snapToGrid w:val="0"/>
        <w:spacing w:line="240" w:lineRule="auto"/>
        <w:contextualSpacing/>
        <w:jc w:val="both"/>
        <w:rPr>
          <w:rFonts w:ascii="Verdana" w:hAnsi="Verdana" w:cs="Arial"/>
          <w:sz w:val="20"/>
          <w:szCs w:val="20"/>
        </w:rPr>
      </w:pPr>
      <w:r w:rsidRPr="006F5095">
        <w:rPr>
          <w:rFonts w:ascii="Verdana" w:hAnsi="Verdana" w:cs="Arial"/>
          <w:sz w:val="20"/>
          <w:szCs w:val="20"/>
        </w:rPr>
        <w:t>Frente a este tipo de empresas, el artículo 75 de la Ley 222 de 1995, mencionado en su consulta, dispuso lo siguiente: “El titular de la empresa unipersonal no puede contratar con ésta, ni tampoco podrán hacerlo entre sí empresas unipersonales constituidas por el mismo titular. Tales actos serán ineficaces de pleno derecho”. En efecto, dicha norma estableció una prohibición específica en cabeza del empresario unipersonal que tiene como finalidad evitar posibles abusos dado que la responsabilidad de la empresa se encuentra limitada al monto del aporte realizado por él.</w:t>
      </w:r>
    </w:p>
    <w:p w14:paraId="2C2EC319" w14:textId="77777777" w:rsidR="006F5095" w:rsidRPr="006F5095" w:rsidRDefault="006F5095" w:rsidP="006F5095">
      <w:pPr>
        <w:snapToGrid w:val="0"/>
        <w:spacing w:after="0" w:line="240" w:lineRule="auto"/>
        <w:contextualSpacing/>
        <w:jc w:val="both"/>
        <w:rPr>
          <w:rFonts w:ascii="Verdana" w:eastAsia="Calibri" w:hAnsi="Verdana" w:cs="Arial"/>
          <w:b/>
          <w:bCs/>
          <w:sz w:val="20"/>
          <w:szCs w:val="20"/>
          <w:lang w:val="es-ES" w:eastAsia="es-ES"/>
        </w:rPr>
      </w:pPr>
    </w:p>
    <w:p w14:paraId="77729372" w14:textId="77777777" w:rsidR="00EC5515" w:rsidRPr="006F5095" w:rsidRDefault="0012216E" w:rsidP="006F5095">
      <w:pPr>
        <w:snapToGrid w:val="0"/>
        <w:spacing w:after="0" w:line="240" w:lineRule="auto"/>
        <w:contextualSpacing/>
        <w:jc w:val="both"/>
        <w:rPr>
          <w:rFonts w:ascii="Verdana" w:eastAsia="Calibri" w:hAnsi="Verdana" w:cs="Arial"/>
          <w:b/>
          <w:bCs/>
          <w:lang w:val="es-ES" w:eastAsia="es-ES"/>
        </w:rPr>
      </w:pPr>
      <w:r w:rsidRPr="006F5095">
        <w:rPr>
          <w:rFonts w:ascii="Verdana" w:eastAsia="Calibri" w:hAnsi="Verdana" w:cs="Arial"/>
          <w:b/>
          <w:bCs/>
          <w:lang w:val="es-ES" w:eastAsia="es-ES"/>
        </w:rPr>
        <w:t>SOCIEDADES POR ACCIONES SIMPLIFICADAS – Prohibición Artículo 75 – No aplica</w:t>
      </w:r>
    </w:p>
    <w:p w14:paraId="787039C1" w14:textId="77777777" w:rsidR="006F5095" w:rsidRPr="006F5095" w:rsidRDefault="006F5095" w:rsidP="006F5095">
      <w:pPr>
        <w:snapToGrid w:val="0"/>
        <w:spacing w:line="240" w:lineRule="auto"/>
        <w:contextualSpacing/>
        <w:jc w:val="both"/>
        <w:rPr>
          <w:rFonts w:ascii="Verdana" w:hAnsi="Verdana" w:cs="Arial"/>
          <w:sz w:val="20"/>
          <w:szCs w:val="20"/>
        </w:rPr>
      </w:pPr>
    </w:p>
    <w:p w14:paraId="7770595E" w14:textId="51670679" w:rsidR="00EC5515" w:rsidRPr="006F5095" w:rsidRDefault="00EC5515" w:rsidP="006F5095">
      <w:pPr>
        <w:snapToGrid w:val="0"/>
        <w:spacing w:after="0" w:line="240" w:lineRule="auto"/>
        <w:contextualSpacing/>
        <w:jc w:val="both"/>
        <w:rPr>
          <w:rFonts w:ascii="Verdana" w:hAnsi="Verdana" w:cs="Arial"/>
          <w:sz w:val="20"/>
          <w:szCs w:val="20"/>
          <w:lang/>
        </w:rPr>
      </w:pPr>
      <w:r w:rsidRPr="006F5095">
        <w:rPr>
          <w:rFonts w:ascii="Verdana" w:hAnsi="Verdana" w:cs="Arial"/>
          <w:sz w:val="20"/>
          <w:szCs w:val="20"/>
        </w:rPr>
        <w:t xml:space="preserve">Mas allá de lo expuesto, la Ley 1258 de 2008, </w:t>
      </w:r>
      <w:r w:rsidRPr="006F5095">
        <w:rPr>
          <w:rFonts w:ascii="Verdana" w:hAnsi="Verdana" w:cs="Arial"/>
          <w:sz w:val="20"/>
          <w:szCs w:val="20"/>
          <w:lang/>
        </w:rPr>
        <w:t>pmedio de la cual se crea la sociedad por acciones simplificada -SAS-, no incorpró ninguna disposición que prohiba a las SAS compuestas por un único socio celebrar algún tipo de negocios jurídicos con este. En efecto, la norma no incluyó una disposición igual o similar a la establecida en el artículo 75 de la Ley 222 de 1995 para el caso de las empresas unipersonales. En consecuencia, la Superintendencia de Sociedades ha conceptuado que, en el caso de las SAS, no existe norma que prohiba a la sociedad celebrar contratos con su único socio.</w:t>
      </w:r>
    </w:p>
    <w:p w14:paraId="208B14D6" w14:textId="77777777" w:rsidR="006F5095" w:rsidRPr="006F5095" w:rsidRDefault="006F5095" w:rsidP="006F5095">
      <w:pPr>
        <w:snapToGrid w:val="0"/>
        <w:spacing w:line="240" w:lineRule="auto"/>
        <w:contextualSpacing/>
        <w:jc w:val="both"/>
        <w:rPr>
          <w:rFonts w:ascii="Verdana" w:hAnsi="Verdana" w:cs="Arial"/>
          <w:sz w:val="20"/>
          <w:szCs w:val="20"/>
          <w:lang/>
        </w:rPr>
      </w:pPr>
    </w:p>
    <w:p w14:paraId="6F9084D1" w14:textId="04648D3D" w:rsidR="00EC5515" w:rsidRPr="006F5095" w:rsidRDefault="00EC5515" w:rsidP="006F5095">
      <w:pPr>
        <w:snapToGrid w:val="0"/>
        <w:spacing w:line="240" w:lineRule="auto"/>
        <w:contextualSpacing/>
        <w:jc w:val="both"/>
        <w:rPr>
          <w:rFonts w:ascii="Verdana" w:hAnsi="Verdana" w:cs="Arial"/>
          <w:sz w:val="20"/>
          <w:szCs w:val="20"/>
          <w:lang/>
        </w:rPr>
      </w:pPr>
      <w:r w:rsidRPr="006F5095">
        <w:rPr>
          <w:rFonts w:ascii="Verdana" w:hAnsi="Verdana" w:cs="Arial"/>
          <w:sz w:val="20"/>
          <w:szCs w:val="20"/>
          <w:lang/>
        </w:rPr>
        <w:t xml:space="preserve">[…] Adicional a lo anterior, es importante resaltar que las normas que establecen prohibiciones o limitaciones, como es el caso del artículo 75 de la Ley 222 de 1995, no pueden ser aplicadas por vía analógica. De esta forma, la prohibición que dispuso la normativa para las empresas unipersonales no puede ser extendida por analogía al supuesto de los negocios jurídicos que celebren las SAS con su único socio. En este sentido, el acuerdo entre una persona natural con la SAS de la cual es único accionista y representante legal para la conformación de un consorcio no puede considerarse ineficaz de pleno derecho, pues no existe norma que disponga esta consecuencia jurídica y no es posible una aplicación extensiva del artículo 75 de la Ley 222 de 1995 a este supuesto de hecho. </w:t>
      </w:r>
    </w:p>
    <w:p w14:paraId="46511DBB" w14:textId="77777777" w:rsidR="006F5095" w:rsidRPr="006F5095" w:rsidRDefault="006F5095" w:rsidP="006F5095">
      <w:pPr>
        <w:snapToGrid w:val="0"/>
        <w:spacing w:after="0" w:line="240" w:lineRule="auto"/>
        <w:contextualSpacing/>
        <w:jc w:val="both"/>
        <w:rPr>
          <w:rFonts w:ascii="Verdana" w:hAnsi="Verdana" w:cs="Arial"/>
          <w:sz w:val="20"/>
          <w:szCs w:val="20"/>
          <w:lang/>
        </w:rPr>
      </w:pPr>
    </w:p>
    <w:p w14:paraId="05CA56AB" w14:textId="018F7461" w:rsidR="0012216E" w:rsidRPr="006F5095" w:rsidRDefault="0012216E" w:rsidP="006F5095">
      <w:pPr>
        <w:snapToGrid w:val="0"/>
        <w:spacing w:line="240" w:lineRule="auto"/>
        <w:contextualSpacing/>
        <w:jc w:val="both"/>
        <w:rPr>
          <w:rFonts w:ascii="Verdana" w:eastAsia="Calibri" w:hAnsi="Verdana" w:cs="Arial"/>
          <w:b/>
          <w:bCs/>
          <w:color w:val="000000"/>
          <w:kern w:val="2"/>
          <w14:ligatures w14:val="standardContextual"/>
        </w:rPr>
      </w:pPr>
      <w:r w:rsidRPr="006F5095">
        <w:rPr>
          <w:rFonts w:ascii="Verdana" w:eastAsia="Calibri" w:hAnsi="Verdana" w:cs="Arial"/>
          <w:b/>
          <w:bCs/>
          <w:color w:val="000000"/>
          <w:kern w:val="2"/>
          <w14:ligatures w14:val="standardContextual"/>
        </w:rPr>
        <w:t>INHABILIDADES E INCOMPATIBILIDADES – Concepto – Principio de legalidad – Interpretación restrictiva</w:t>
      </w:r>
    </w:p>
    <w:p w14:paraId="78C86D28" w14:textId="77777777" w:rsidR="006F5095" w:rsidRPr="006F5095" w:rsidRDefault="006F5095" w:rsidP="006F5095">
      <w:pPr>
        <w:widowControl w:val="0"/>
        <w:autoSpaceDE w:val="0"/>
        <w:autoSpaceDN w:val="0"/>
        <w:snapToGrid w:val="0"/>
        <w:spacing w:line="240" w:lineRule="auto"/>
        <w:contextualSpacing/>
        <w:jc w:val="both"/>
        <w:rPr>
          <w:rFonts w:ascii="Verdana" w:eastAsia="Calibri" w:hAnsi="Verdana" w:cs="Arial"/>
          <w:b/>
          <w:bCs/>
          <w:color w:val="000000"/>
          <w:kern w:val="2"/>
          <w:sz w:val="20"/>
          <w:szCs w:val="20"/>
          <w14:ligatures w14:val="standardContextual"/>
        </w:rPr>
      </w:pPr>
    </w:p>
    <w:p w14:paraId="1EE2BE8C" w14:textId="4D2AA9FF" w:rsidR="00105674" w:rsidRPr="006F5095" w:rsidRDefault="00105674" w:rsidP="006F5095">
      <w:pPr>
        <w:widowControl w:val="0"/>
        <w:autoSpaceDE w:val="0"/>
        <w:autoSpaceDN w:val="0"/>
        <w:snapToGrid w:val="0"/>
        <w:spacing w:after="0" w:line="240" w:lineRule="auto"/>
        <w:contextualSpacing/>
        <w:jc w:val="both"/>
        <w:rPr>
          <w:rFonts w:ascii="Verdana" w:eastAsia="Calibri" w:hAnsi="Verdana" w:cs="Arial"/>
          <w:color w:val="000000" w:themeColor="text1"/>
          <w:sz w:val="20"/>
          <w:szCs w:val="20"/>
          <w:lang w:val="es-ES_tradnl"/>
        </w:rPr>
      </w:pPr>
      <w:r w:rsidRPr="006F5095">
        <w:rPr>
          <w:rFonts w:ascii="Verdana" w:eastAsia="Arial" w:hAnsi="Verdana" w:cs="Arial"/>
          <w:sz w:val="20"/>
          <w:szCs w:val="20"/>
        </w:rPr>
        <w:t xml:space="preserve">Con respecto a la aplicación de las inhabilidades o incompatibilidades, es importante resaltar que </w:t>
      </w:r>
      <w:r w:rsidRPr="006F5095">
        <w:rPr>
          <w:rFonts w:ascii="Verdana" w:eastAsia="Arial MT" w:hAnsi="Verdana" w:cs="Arial"/>
          <w:sz w:val="20"/>
          <w:szCs w:val="20"/>
          <w:lang w:eastAsia="es-ES" w:bidi="es-ES"/>
        </w:rPr>
        <w:t>su aplicación siempre debe estar ajustada a los presupuestos que para cada causal señale el constituyente o el legislador. De este modo, no es posible que las entidades realicen una aplicación extensiva o analógica.</w:t>
      </w:r>
      <w:r w:rsidRPr="006F5095">
        <w:rPr>
          <w:rFonts w:ascii="Verdana" w:eastAsia="Calibri" w:hAnsi="Verdana" w:cs="Arial"/>
          <w:color w:val="000000" w:themeColor="text1"/>
          <w:sz w:val="20"/>
          <w:szCs w:val="20"/>
          <w:lang w:val="es-ES_tradnl"/>
        </w:rPr>
        <w:t xml:space="preserve"> Las inhabilidades e incompatibilidades son restricciones o límites especiales a la capacidad para presentar ofertas y celebrar contratos estatales, en consecuencia, solo pueden tipificarse en la ley y su interpretación debe ser </w:t>
      </w:r>
      <w:r w:rsidRPr="006F5095">
        <w:rPr>
          <w:rFonts w:ascii="Verdana" w:eastAsia="Calibri" w:hAnsi="Verdana" w:cs="Arial"/>
          <w:i/>
          <w:iCs/>
          <w:color w:val="000000" w:themeColor="text1"/>
          <w:sz w:val="20"/>
          <w:szCs w:val="20"/>
          <w:lang w:val="es-ES_tradnl"/>
        </w:rPr>
        <w:t>restrictiva</w:t>
      </w:r>
      <w:r w:rsidRPr="006F5095">
        <w:rPr>
          <w:rFonts w:ascii="Verdana" w:eastAsia="Calibri" w:hAnsi="Verdana" w:cs="Arial"/>
          <w:color w:val="000000" w:themeColor="text1"/>
          <w:sz w:val="20"/>
          <w:szCs w:val="20"/>
          <w:lang w:val="es-ES_tradnl"/>
        </w:rPr>
        <w:t xml:space="preserve">, pues si se admitiera una interpretación amplia, extensiva o finalista de las mismas, los enunciados normativos podrían contemplar múltiples supuestos indeterminados, según el parecer o el sentido común de los operadores jurídicos, poniendo en riesgo principios como la igualdad, el debido proceso, </w:t>
      </w:r>
      <w:r w:rsidRPr="006F5095">
        <w:rPr>
          <w:rFonts w:ascii="Verdana" w:eastAsia="Calibri" w:hAnsi="Verdana" w:cs="Arial"/>
          <w:color w:val="000000" w:themeColor="text1"/>
          <w:sz w:val="20"/>
          <w:szCs w:val="20"/>
          <w:lang w:val="es-ES_tradnl"/>
        </w:rPr>
        <w:lastRenderedPageBreak/>
        <w:t>la libre concurrencia y el ejercicio de la profesión u oficio.</w:t>
      </w:r>
    </w:p>
    <w:p w14:paraId="28DDEF02" w14:textId="77777777" w:rsidR="006F5095" w:rsidRPr="006F5095" w:rsidRDefault="006F5095" w:rsidP="006F5095">
      <w:pPr>
        <w:snapToGrid w:val="0"/>
        <w:spacing w:line="240" w:lineRule="auto"/>
        <w:contextualSpacing/>
        <w:jc w:val="both"/>
        <w:rPr>
          <w:rFonts w:ascii="Verdana" w:eastAsia="Calibri" w:hAnsi="Verdana" w:cs="Arial"/>
          <w:color w:val="000000" w:themeColor="text1"/>
          <w:sz w:val="20"/>
          <w:szCs w:val="20"/>
          <w:lang w:val="es-ES"/>
        </w:rPr>
      </w:pPr>
    </w:p>
    <w:p w14:paraId="5E708D1F" w14:textId="12FDACE1" w:rsidR="00105674" w:rsidRPr="006F5095" w:rsidRDefault="00105674" w:rsidP="006F5095">
      <w:pPr>
        <w:snapToGrid w:val="0"/>
        <w:spacing w:line="240" w:lineRule="auto"/>
        <w:contextualSpacing/>
        <w:jc w:val="both"/>
        <w:rPr>
          <w:rFonts w:ascii="Verdana" w:eastAsia="Calibri" w:hAnsi="Verdana" w:cs="Arial"/>
          <w:color w:val="000000" w:themeColor="text1"/>
          <w:sz w:val="20"/>
          <w:szCs w:val="20"/>
          <w:lang w:val="es-ES"/>
        </w:rPr>
      </w:pPr>
      <w:r w:rsidRPr="006F5095">
        <w:rPr>
          <w:rFonts w:ascii="Verdana" w:eastAsia="Calibri" w:hAnsi="Verdana" w:cs="Arial"/>
          <w:color w:val="000000" w:themeColor="text1"/>
          <w:sz w:val="20"/>
          <w:szCs w:val="20"/>
          <w:lang w:val="es-ES"/>
        </w:rPr>
        <w:t xml:space="preserve">Como se aprecia, el principio </w:t>
      </w:r>
      <w:r w:rsidRPr="006F5095">
        <w:rPr>
          <w:rFonts w:ascii="Verdana" w:eastAsia="Calibri" w:hAnsi="Verdana" w:cs="Arial"/>
          <w:i/>
          <w:color w:val="000000" w:themeColor="text1"/>
          <w:sz w:val="20"/>
          <w:szCs w:val="20"/>
          <w:lang w:val="es-ES"/>
        </w:rPr>
        <w:t xml:space="preserve">pro </w:t>
      </w:r>
      <w:proofErr w:type="spellStart"/>
      <w:r w:rsidRPr="006F5095">
        <w:rPr>
          <w:rFonts w:ascii="Verdana" w:eastAsia="Calibri" w:hAnsi="Verdana" w:cs="Arial"/>
          <w:i/>
          <w:color w:val="000000" w:themeColor="text1"/>
          <w:sz w:val="20"/>
          <w:szCs w:val="20"/>
          <w:lang w:val="es-ES"/>
        </w:rPr>
        <w:t>libertate</w:t>
      </w:r>
      <w:proofErr w:type="spellEnd"/>
      <w:r w:rsidRPr="006F5095">
        <w:rPr>
          <w:rFonts w:ascii="Verdana" w:eastAsia="Calibri" w:hAnsi="Verdana" w:cs="Arial"/>
          <w:color w:val="000000" w:themeColor="text1"/>
          <w:sz w:val="20"/>
          <w:szCs w:val="20"/>
          <w:lang w:val="es-ES"/>
        </w:rPr>
        <w:t xml:space="preserve"> debe dirigir la interpretación de las disposiciones normativas que consagran restricciones de derechos, como sucede con las causales de inhabilidad e incompatibilidad en la contratación estatal. De esta forma, dado que el régimen de inhabilidades e incompatibilidades no se refirió al supuesto objeto de consulta, no será posible que las entidades interpreten la existencia de una inhabilidad que impida participar en un proceso de contratación al consorcio compuesto por una persona natural y por una SAS cuyo único socio y representante legal sea esa misma persona. </w:t>
      </w:r>
    </w:p>
    <w:p w14:paraId="1DE81005" w14:textId="77777777" w:rsidR="006F5095" w:rsidRPr="006F5095" w:rsidRDefault="006F5095" w:rsidP="006F5095">
      <w:pPr>
        <w:snapToGrid w:val="0"/>
        <w:spacing w:after="0" w:line="240" w:lineRule="auto"/>
        <w:contextualSpacing/>
        <w:jc w:val="both"/>
        <w:rPr>
          <w:rFonts w:ascii="Verdana" w:eastAsia="Calibri" w:hAnsi="Verdana" w:cs="Arial"/>
          <w:color w:val="000000" w:themeColor="text1"/>
          <w:sz w:val="20"/>
          <w:szCs w:val="20"/>
          <w:lang w:val="es-ES"/>
        </w:rPr>
      </w:pPr>
    </w:p>
    <w:p w14:paraId="2365CCB9" w14:textId="032C8C36" w:rsidR="0012216E" w:rsidRPr="006F5095" w:rsidRDefault="0012216E" w:rsidP="006F5095">
      <w:pPr>
        <w:snapToGrid w:val="0"/>
        <w:spacing w:after="0" w:line="240" w:lineRule="auto"/>
        <w:contextualSpacing/>
        <w:jc w:val="both"/>
        <w:rPr>
          <w:rFonts w:ascii="Verdana" w:eastAsia="Calibri" w:hAnsi="Verdana" w:cs="Arial"/>
          <w:lang w:val="es-ES" w:eastAsia="es-ES"/>
        </w:rPr>
      </w:pPr>
      <w:r w:rsidRPr="006F5095">
        <w:rPr>
          <w:rFonts w:ascii="Verdana" w:eastAsia="Calibri" w:hAnsi="Verdana" w:cs="Arial"/>
          <w:b/>
          <w:bCs/>
          <w:color w:val="000000"/>
          <w:kern w:val="2"/>
          <w14:ligatures w14:val="standardContextual"/>
        </w:rPr>
        <w:t>CONFLICTOS DE INTERÉS – Verificación de cada caso en concreto</w:t>
      </w:r>
      <w:r w:rsidRPr="006F5095">
        <w:rPr>
          <w:rFonts w:ascii="Verdana" w:eastAsia="Calibri" w:hAnsi="Verdana" w:cs="Arial"/>
          <w:lang w:val="es-ES" w:eastAsia="es-ES"/>
        </w:rPr>
        <w:t>.</w:t>
      </w:r>
    </w:p>
    <w:p w14:paraId="7DF4C8DC" w14:textId="77777777" w:rsidR="006F5095" w:rsidRDefault="006F5095" w:rsidP="006F5095">
      <w:pPr>
        <w:snapToGrid w:val="0"/>
        <w:contextualSpacing/>
        <w:jc w:val="both"/>
        <w:rPr>
          <w:rFonts w:ascii="Verdana" w:eastAsia="Arial" w:hAnsi="Verdana" w:cs="Arial"/>
          <w:sz w:val="20"/>
          <w:szCs w:val="20"/>
        </w:rPr>
      </w:pPr>
    </w:p>
    <w:p w14:paraId="5F16F670" w14:textId="64DFEF86" w:rsidR="006F5095" w:rsidRPr="006F5095" w:rsidRDefault="006F5095" w:rsidP="006F5095">
      <w:pPr>
        <w:snapToGrid w:val="0"/>
        <w:spacing w:after="0" w:line="240" w:lineRule="auto"/>
        <w:contextualSpacing/>
        <w:jc w:val="both"/>
        <w:rPr>
          <w:rFonts w:ascii="Verdana" w:eastAsia="Arial" w:hAnsi="Verdana" w:cs="Arial"/>
          <w:sz w:val="20"/>
          <w:szCs w:val="20"/>
        </w:rPr>
      </w:pPr>
      <w:r w:rsidRPr="006F5095">
        <w:rPr>
          <w:rFonts w:ascii="Verdana" w:eastAsia="Arial" w:hAnsi="Verdana" w:cs="Arial"/>
          <w:sz w:val="20"/>
          <w:szCs w:val="20"/>
        </w:rPr>
        <w:t xml:space="preserve">Por otra parte, aunque la ley no establezca una inhabilidad explícita, la entidad deberá evaluar el supuesto de hecho desde la figura del conflicto de intereses cada caso en particular. Esto se debe a que la ley de contratación estatal en Colombia se basa en principios fundamentales como la transparencia, moralidad y objetividad. Un conflicto de intereses surge cuando los intereses personales o familiares de un servidor público pueden influir en sus decisiones profesionales, comprometiendo así la imparcialidad que se espera de su cargo, lo cual, en principio, no sería aplicable al caso objeto de consulta. </w:t>
      </w:r>
    </w:p>
    <w:p w14:paraId="57A951DA" w14:textId="77777777" w:rsidR="006F5095" w:rsidRDefault="006F5095" w:rsidP="006F5095">
      <w:pPr>
        <w:snapToGrid w:val="0"/>
        <w:contextualSpacing/>
        <w:jc w:val="both"/>
        <w:rPr>
          <w:rFonts w:ascii="Verdana" w:eastAsia="Arial" w:hAnsi="Verdana" w:cs="Arial"/>
          <w:sz w:val="20"/>
          <w:szCs w:val="20"/>
        </w:rPr>
      </w:pPr>
    </w:p>
    <w:p w14:paraId="0EF9016E" w14:textId="1AF8D8FE" w:rsidR="006F5095" w:rsidRPr="006F5095" w:rsidRDefault="006F5095" w:rsidP="006F5095">
      <w:pPr>
        <w:snapToGrid w:val="0"/>
        <w:spacing w:after="0" w:line="240" w:lineRule="auto"/>
        <w:contextualSpacing/>
        <w:jc w:val="both"/>
        <w:rPr>
          <w:rFonts w:ascii="Verdana" w:eastAsia="Arial" w:hAnsi="Verdana" w:cs="Arial"/>
          <w:sz w:val="20"/>
          <w:szCs w:val="20"/>
        </w:rPr>
      </w:pPr>
      <w:r w:rsidRPr="006F5095">
        <w:rPr>
          <w:rFonts w:ascii="Verdana" w:eastAsia="Arial" w:hAnsi="Verdana" w:cs="Arial"/>
          <w:sz w:val="20"/>
          <w:szCs w:val="20"/>
        </w:rPr>
        <w:t>En cualquier caso, corresponde a los equipos jurídicos de cada entidad contratante realizar la verificación previa y concreta de las eventuales inhabilidades e incompatibilidades y el eventual conflicto de intereses en cada proceso, a fin de garantizar el cumplimiento del principio de legalidad y la protección de los principios de transparencia, moralidad e imparcialidad en la contratación estatal.</w:t>
      </w:r>
    </w:p>
    <w:p w14:paraId="14E4AA4B" w14:textId="77777777" w:rsidR="0012216E" w:rsidRDefault="0012216E" w:rsidP="00AA67A0">
      <w:pPr>
        <w:spacing w:after="0"/>
        <w:rPr>
          <w:rFonts w:ascii="Verdana" w:hAnsi="Verdana"/>
          <w:lang w:val="es-ES"/>
        </w:rPr>
      </w:pPr>
    </w:p>
    <w:p w14:paraId="5FA74616" w14:textId="77777777" w:rsidR="006F5095" w:rsidRDefault="006F5095" w:rsidP="00AA67A0">
      <w:pPr>
        <w:spacing w:after="0"/>
        <w:rPr>
          <w:rFonts w:ascii="Verdana" w:hAnsi="Verdana"/>
          <w:lang w:val="es-ES"/>
        </w:rPr>
      </w:pPr>
    </w:p>
    <w:p w14:paraId="2CADF476" w14:textId="77777777" w:rsidR="006F5095" w:rsidRDefault="006F5095" w:rsidP="00AA67A0">
      <w:pPr>
        <w:spacing w:after="0"/>
        <w:rPr>
          <w:rFonts w:ascii="Verdana" w:hAnsi="Verdana"/>
          <w:lang w:val="es-ES"/>
        </w:rPr>
      </w:pPr>
    </w:p>
    <w:p w14:paraId="0808D162" w14:textId="77777777" w:rsidR="006F5095" w:rsidRDefault="006F5095" w:rsidP="00AA67A0">
      <w:pPr>
        <w:spacing w:after="0"/>
        <w:rPr>
          <w:rFonts w:ascii="Verdana" w:hAnsi="Verdana"/>
          <w:lang w:val="es-ES"/>
        </w:rPr>
      </w:pPr>
    </w:p>
    <w:p w14:paraId="44136AC4" w14:textId="77777777" w:rsidR="006F5095" w:rsidRDefault="006F5095" w:rsidP="00AA67A0">
      <w:pPr>
        <w:spacing w:after="0"/>
        <w:rPr>
          <w:rFonts w:ascii="Verdana" w:hAnsi="Verdana"/>
          <w:lang w:val="es-ES"/>
        </w:rPr>
      </w:pPr>
    </w:p>
    <w:p w14:paraId="1D3B9C95" w14:textId="77777777" w:rsidR="006F5095" w:rsidRDefault="006F5095" w:rsidP="00AA67A0">
      <w:pPr>
        <w:spacing w:after="0"/>
        <w:rPr>
          <w:rFonts w:ascii="Verdana" w:hAnsi="Verdana"/>
          <w:lang w:val="es-ES"/>
        </w:rPr>
      </w:pPr>
    </w:p>
    <w:p w14:paraId="0761EAA2" w14:textId="77777777" w:rsidR="006F5095" w:rsidRDefault="006F5095" w:rsidP="00AA67A0">
      <w:pPr>
        <w:spacing w:after="0"/>
        <w:rPr>
          <w:rFonts w:ascii="Verdana" w:hAnsi="Verdana"/>
          <w:lang w:val="es-ES"/>
        </w:rPr>
      </w:pPr>
    </w:p>
    <w:p w14:paraId="22FE94E5" w14:textId="77777777" w:rsidR="006F5095" w:rsidRDefault="006F5095" w:rsidP="00AA67A0">
      <w:pPr>
        <w:spacing w:after="0"/>
        <w:rPr>
          <w:rFonts w:ascii="Verdana" w:hAnsi="Verdana"/>
          <w:lang w:val="es-ES"/>
        </w:rPr>
      </w:pPr>
    </w:p>
    <w:p w14:paraId="4EED9A4F" w14:textId="77777777" w:rsidR="006F5095" w:rsidRDefault="006F5095" w:rsidP="00AA67A0">
      <w:pPr>
        <w:spacing w:after="0"/>
        <w:rPr>
          <w:rFonts w:ascii="Verdana" w:hAnsi="Verdana"/>
          <w:lang w:val="es-ES"/>
        </w:rPr>
      </w:pPr>
    </w:p>
    <w:p w14:paraId="68E07E20" w14:textId="77777777" w:rsidR="006F5095" w:rsidRDefault="006F5095" w:rsidP="00AA67A0">
      <w:pPr>
        <w:spacing w:after="0"/>
        <w:rPr>
          <w:rFonts w:ascii="Verdana" w:hAnsi="Verdana"/>
          <w:lang w:val="es-ES"/>
        </w:rPr>
      </w:pPr>
    </w:p>
    <w:p w14:paraId="2C0E43B0" w14:textId="77777777" w:rsidR="006F5095" w:rsidRDefault="006F5095" w:rsidP="00AA67A0">
      <w:pPr>
        <w:spacing w:after="0"/>
        <w:rPr>
          <w:rFonts w:ascii="Verdana" w:hAnsi="Verdana"/>
          <w:lang w:val="es-ES"/>
        </w:rPr>
      </w:pPr>
    </w:p>
    <w:p w14:paraId="6678B4BD" w14:textId="77777777" w:rsidR="006F5095" w:rsidRDefault="006F5095" w:rsidP="00AA67A0">
      <w:pPr>
        <w:spacing w:after="0"/>
        <w:rPr>
          <w:rFonts w:ascii="Verdana" w:hAnsi="Verdana"/>
          <w:lang w:val="es-ES"/>
        </w:rPr>
      </w:pPr>
    </w:p>
    <w:p w14:paraId="76E9A644" w14:textId="77777777" w:rsidR="006F5095" w:rsidRDefault="006F5095" w:rsidP="00AA67A0">
      <w:pPr>
        <w:spacing w:after="0"/>
        <w:rPr>
          <w:rFonts w:ascii="Verdana" w:hAnsi="Verdana"/>
          <w:lang w:val="es-ES"/>
        </w:rPr>
      </w:pPr>
    </w:p>
    <w:p w14:paraId="1BCB8FE0" w14:textId="77777777" w:rsidR="006F5095" w:rsidRDefault="006F5095" w:rsidP="00AA67A0">
      <w:pPr>
        <w:spacing w:after="0"/>
        <w:rPr>
          <w:rFonts w:ascii="Verdana" w:hAnsi="Verdana"/>
          <w:lang w:val="es-ES"/>
        </w:rPr>
      </w:pPr>
    </w:p>
    <w:p w14:paraId="25E7B2F4" w14:textId="77777777" w:rsidR="006F5095" w:rsidRDefault="006F5095" w:rsidP="00AA67A0">
      <w:pPr>
        <w:spacing w:after="0"/>
        <w:rPr>
          <w:rFonts w:ascii="Verdana" w:hAnsi="Verdana"/>
          <w:lang w:val="es-ES"/>
        </w:rPr>
      </w:pPr>
    </w:p>
    <w:p w14:paraId="70998A8F" w14:textId="77777777" w:rsidR="006F5095" w:rsidRDefault="006F5095" w:rsidP="00AA67A0">
      <w:pPr>
        <w:spacing w:after="0"/>
        <w:rPr>
          <w:rFonts w:ascii="Verdana" w:hAnsi="Verdana"/>
          <w:lang w:val="es-ES"/>
        </w:rPr>
      </w:pPr>
    </w:p>
    <w:p w14:paraId="68748A41" w14:textId="44C910E2" w:rsidR="00AA67A0" w:rsidRPr="002069C6" w:rsidRDefault="00AA67A0" w:rsidP="00AA67A0">
      <w:pPr>
        <w:spacing w:after="0"/>
        <w:rPr>
          <w:rFonts w:ascii="Verdana" w:hAnsi="Verdana"/>
          <w:lang w:val="es-ES"/>
        </w:rPr>
      </w:pPr>
      <w:r w:rsidRPr="002069C6">
        <w:rPr>
          <w:rFonts w:ascii="Verdana" w:hAnsi="Verdana"/>
          <w:lang w:val="es-ES"/>
        </w:rPr>
        <w:lastRenderedPageBreak/>
        <w:t xml:space="preserve">Bogotá D.C., </w:t>
      </w:r>
      <w:r w:rsidR="00DB2807">
        <w:rPr>
          <w:rFonts w:ascii="Verdana" w:hAnsi="Verdana"/>
          <w:lang w:val="es-ES"/>
        </w:rPr>
        <w:t>20 de noviembre de 2025</w:t>
      </w:r>
      <w:r w:rsidRPr="002069C6">
        <w:rPr>
          <w:rFonts w:ascii="Verdana" w:hAnsi="Verdana"/>
          <w:lang w:val="es-ES"/>
        </w:rPr>
        <w:tab/>
      </w:r>
    </w:p>
    <w:p w14:paraId="59E8CF8E" w14:textId="041CB18F" w:rsidR="00AA67A0" w:rsidRPr="002069C6" w:rsidRDefault="00AA67A0" w:rsidP="00AA67A0">
      <w:pPr>
        <w:spacing w:after="0"/>
        <w:rPr>
          <w:rFonts w:ascii="Verdana" w:hAnsi="Verdana"/>
          <w:lang w:val="es-ES"/>
        </w:rPr>
      </w:pPr>
    </w:p>
    <w:p w14:paraId="536F6E20" w14:textId="395D085C" w:rsidR="00AA67A0" w:rsidRDefault="00DB2807" w:rsidP="00AA67A0">
      <w:pPr>
        <w:spacing w:after="0" w:line="240" w:lineRule="auto"/>
        <w:jc w:val="both"/>
        <w:rPr>
          <w:rFonts w:ascii="Verdana" w:eastAsia="Calibri" w:hAnsi="Verdana" w:cs="Arial"/>
          <w:color w:val="000000" w:themeColor="text1"/>
          <w:lang w:val="es-ES" w:eastAsia="es-ES"/>
        </w:rPr>
      </w:pPr>
      <w:r>
        <w:rPr>
          <w:rFonts w:ascii="Verdana" w:eastAsia="Calibri" w:hAnsi="Verdana" w:cs="Arial"/>
          <w:b/>
          <w:bCs/>
          <w:noProof/>
          <w:color w:val="000000" w:themeColor="text1"/>
          <w:lang w:val="es-ES" w:eastAsia="es-ES"/>
        </w:rPr>
        <w:drawing>
          <wp:anchor distT="0" distB="0" distL="114300" distR="114300" simplePos="0" relativeHeight="251660288" behindDoc="0" locked="0" layoutInCell="1" allowOverlap="1" wp14:anchorId="2992AB71" wp14:editId="06518D52">
            <wp:simplePos x="0" y="0"/>
            <wp:positionH relativeFrom="column">
              <wp:posOffset>3113405</wp:posOffset>
            </wp:positionH>
            <wp:positionV relativeFrom="page">
              <wp:posOffset>1878965</wp:posOffset>
            </wp:positionV>
            <wp:extent cx="2325370" cy="667385"/>
            <wp:effectExtent l="0" t="0" r="0" b="5715"/>
            <wp:wrapSquare wrapText="bothSides"/>
            <wp:docPr id="7254540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5454014" name="Picture 72545401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325370" cy="667385"/>
                    </a:xfrm>
                    <a:prstGeom prst="rect">
                      <a:avLst/>
                    </a:prstGeom>
                  </pic:spPr>
                </pic:pic>
              </a:graphicData>
            </a:graphic>
            <wp14:sizeRelH relativeFrom="page">
              <wp14:pctWidth>0</wp14:pctWidth>
            </wp14:sizeRelH>
            <wp14:sizeRelV relativeFrom="page">
              <wp14:pctHeight>0</wp14:pctHeight>
            </wp14:sizeRelV>
          </wp:anchor>
        </w:drawing>
      </w:r>
      <w:r w:rsidR="00AA67A0" w:rsidRPr="002069C6">
        <w:rPr>
          <w:rFonts w:ascii="Verdana" w:eastAsia="Calibri" w:hAnsi="Verdana" w:cs="Arial"/>
          <w:color w:val="000000" w:themeColor="text1"/>
          <w:lang w:val="es-ES" w:eastAsia="es-ES"/>
        </w:rPr>
        <w:t>Señor</w:t>
      </w:r>
      <w:r w:rsidR="00AA67A0">
        <w:rPr>
          <w:rFonts w:ascii="Verdana" w:eastAsia="Calibri" w:hAnsi="Verdana" w:cs="Arial"/>
          <w:color w:val="000000" w:themeColor="text1"/>
          <w:lang w:val="es-ES" w:eastAsia="es-ES"/>
        </w:rPr>
        <w:t>es</w:t>
      </w:r>
    </w:p>
    <w:p w14:paraId="74E09EE8" w14:textId="15780B7A" w:rsidR="00AA67A0" w:rsidRPr="00A1198E" w:rsidRDefault="00AA67A0" w:rsidP="00AA67A0">
      <w:pPr>
        <w:spacing w:after="0" w:line="240" w:lineRule="auto"/>
        <w:jc w:val="both"/>
        <w:rPr>
          <w:rFonts w:ascii="Verdana" w:eastAsia="Calibri" w:hAnsi="Verdana" w:cs="Arial"/>
          <w:b/>
          <w:bCs/>
          <w:color w:val="000000" w:themeColor="text1"/>
          <w:lang w:val="es-ES" w:eastAsia="es-ES"/>
        </w:rPr>
      </w:pPr>
      <w:r w:rsidRPr="00A1198E">
        <w:rPr>
          <w:rFonts w:ascii="Verdana" w:eastAsia="Calibri" w:hAnsi="Verdana" w:cs="Arial"/>
          <w:b/>
          <w:bCs/>
          <w:color w:val="000000" w:themeColor="text1"/>
          <w:lang w:val="es-ES" w:eastAsia="es-ES"/>
        </w:rPr>
        <w:t>AINECOL S.A.S</w:t>
      </w:r>
    </w:p>
    <w:p w14:paraId="683D2FF4" w14:textId="77777777" w:rsidR="00AA67A0" w:rsidRDefault="00AA67A0" w:rsidP="00AA67A0">
      <w:pPr>
        <w:spacing w:after="0" w:line="240" w:lineRule="auto"/>
        <w:rPr>
          <w:rFonts w:ascii="Verdana" w:eastAsia="Calibri" w:hAnsi="Verdana" w:cs="Arial"/>
          <w:color w:val="000000" w:themeColor="text1"/>
          <w:lang w:eastAsia="es-ES_tradnl"/>
        </w:rPr>
      </w:pPr>
      <w:hyperlink r:id="rId11" w:history="1">
        <w:r w:rsidRPr="00DE5693">
          <w:rPr>
            <w:rStyle w:val="Hipervnculo"/>
            <w:rFonts w:ascii="Verdana" w:eastAsia="Calibri" w:hAnsi="Verdana" w:cs="Arial"/>
            <w:lang w:eastAsia="es-ES_tradnl"/>
          </w:rPr>
          <w:t>juridico@ainecol.com</w:t>
        </w:r>
      </w:hyperlink>
    </w:p>
    <w:p w14:paraId="0E657F48" w14:textId="77777777" w:rsidR="00AA67A0" w:rsidRPr="002069C6" w:rsidRDefault="00AA67A0" w:rsidP="00AA67A0">
      <w:pPr>
        <w:spacing w:after="0" w:line="240" w:lineRule="auto"/>
        <w:rPr>
          <w:rFonts w:ascii="Verdana" w:eastAsia="Calibri" w:hAnsi="Verdana" w:cs="Arial"/>
          <w:color w:val="000000" w:themeColor="text1"/>
          <w:lang w:eastAsia="es-ES_tradnl"/>
        </w:rPr>
      </w:pPr>
      <w:r>
        <w:rPr>
          <w:rFonts w:ascii="Verdana" w:eastAsia="Calibri" w:hAnsi="Verdana" w:cs="Arial"/>
          <w:color w:val="000000" w:themeColor="text1"/>
          <w:lang w:eastAsia="es-ES_tradnl"/>
        </w:rPr>
        <w:t>Bogotá D.C.</w:t>
      </w:r>
    </w:p>
    <w:p w14:paraId="66D0A640" w14:textId="77777777" w:rsidR="00AA67A0" w:rsidRPr="002069C6" w:rsidRDefault="00AA67A0" w:rsidP="00AA67A0">
      <w:pPr>
        <w:spacing w:after="0" w:line="240" w:lineRule="auto"/>
        <w:rPr>
          <w:rFonts w:ascii="Verdana" w:eastAsia="Calibri" w:hAnsi="Verdana" w:cs="Arial"/>
          <w:b/>
          <w:bCs/>
          <w:color w:val="000000" w:themeColor="text1"/>
          <w:lang w:val="es-ES" w:eastAsia="es-ES_tradnl"/>
        </w:rPr>
      </w:pPr>
    </w:p>
    <w:tbl>
      <w:tblPr>
        <w:tblStyle w:val="Tablaconcuadrcula"/>
        <w:tblW w:w="129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gridCol w:w="4179"/>
      </w:tblGrid>
      <w:tr w:rsidR="00AA67A0" w:rsidRPr="002069C6" w14:paraId="07A7B9A2" w14:textId="77777777" w:rsidTr="00400F9D">
        <w:trPr>
          <w:gridAfter w:val="1"/>
          <w:wAfter w:w="4179" w:type="dxa"/>
          <w:trHeight w:val="304"/>
        </w:trPr>
        <w:tc>
          <w:tcPr>
            <w:tcW w:w="2689" w:type="dxa"/>
          </w:tcPr>
          <w:p w14:paraId="6D86CED2" w14:textId="77777777" w:rsidR="00AA67A0" w:rsidRPr="002069C6" w:rsidRDefault="00AA67A0" w:rsidP="00400F9D">
            <w:pPr>
              <w:jc w:val="both"/>
              <w:rPr>
                <w:rFonts w:ascii="Verdana" w:eastAsia="Calibri" w:hAnsi="Verdana" w:cs="Arial"/>
                <w:b/>
                <w:bCs/>
                <w:color w:val="000000" w:themeColor="text1"/>
                <w:lang w:val="es-ES" w:eastAsia="es-ES_tradnl"/>
              </w:rPr>
            </w:pPr>
          </w:p>
        </w:tc>
        <w:tc>
          <w:tcPr>
            <w:tcW w:w="6100" w:type="dxa"/>
          </w:tcPr>
          <w:p w14:paraId="67B94BDE" w14:textId="6CAA6C05" w:rsidR="00AA67A0" w:rsidRPr="002069C6" w:rsidRDefault="00AA67A0" w:rsidP="00400F9D">
            <w:pPr>
              <w:jc w:val="both"/>
              <w:rPr>
                <w:rFonts w:ascii="Verdana" w:eastAsia="Calibri" w:hAnsi="Verdana" w:cs="Arial"/>
                <w:b/>
                <w:bCs/>
                <w:color w:val="000000" w:themeColor="text1"/>
                <w:lang w:val="es-ES" w:eastAsia="es-ES"/>
              </w:rPr>
            </w:pPr>
            <w:r w:rsidRPr="002069C6">
              <w:rPr>
                <w:rFonts w:ascii="Verdana" w:eastAsia="Calibri" w:hAnsi="Verdana" w:cs="Arial"/>
                <w:b/>
                <w:bCs/>
                <w:color w:val="000000" w:themeColor="text1"/>
                <w:lang w:val="es-ES" w:eastAsia="es-ES"/>
              </w:rPr>
              <w:t>Concepto C-</w:t>
            </w:r>
            <w:r w:rsidR="0041193E">
              <w:rPr>
                <w:rFonts w:ascii="Verdana" w:eastAsia="Calibri" w:hAnsi="Verdana" w:cs="Arial"/>
                <w:b/>
                <w:bCs/>
                <w:color w:val="000000" w:themeColor="text1"/>
                <w:lang w:val="es-ES" w:eastAsia="es-ES"/>
              </w:rPr>
              <w:t>1463</w:t>
            </w:r>
            <w:r w:rsidRPr="002069C6">
              <w:rPr>
                <w:rFonts w:ascii="Verdana" w:eastAsia="Calibri" w:hAnsi="Verdana" w:cs="Arial"/>
                <w:b/>
                <w:bCs/>
                <w:color w:val="000000" w:themeColor="text1"/>
                <w:lang w:val="es-ES" w:eastAsia="es-ES"/>
              </w:rPr>
              <w:t xml:space="preserve"> de 2025</w:t>
            </w:r>
          </w:p>
          <w:p w14:paraId="4AA06DF9" w14:textId="77777777" w:rsidR="00AA67A0" w:rsidRPr="002069C6" w:rsidRDefault="00AA67A0" w:rsidP="00400F9D">
            <w:pPr>
              <w:jc w:val="both"/>
              <w:rPr>
                <w:rFonts w:ascii="Verdana" w:eastAsia="Calibri" w:hAnsi="Verdana" w:cs="Arial"/>
                <w:b/>
                <w:bCs/>
                <w:color w:val="000000" w:themeColor="text1"/>
                <w:lang w:val="es-ES" w:eastAsia="es-ES"/>
              </w:rPr>
            </w:pPr>
          </w:p>
        </w:tc>
      </w:tr>
      <w:tr w:rsidR="00AA67A0" w:rsidRPr="002069C6" w14:paraId="3AEFC67C" w14:textId="77777777" w:rsidTr="00400F9D">
        <w:trPr>
          <w:trHeight w:val="884"/>
        </w:trPr>
        <w:tc>
          <w:tcPr>
            <w:tcW w:w="2689" w:type="dxa"/>
          </w:tcPr>
          <w:p w14:paraId="48893CF7" w14:textId="77777777" w:rsidR="00AA67A0" w:rsidRPr="002069C6" w:rsidRDefault="00AA67A0" w:rsidP="00400F9D">
            <w:pPr>
              <w:jc w:val="both"/>
              <w:rPr>
                <w:rFonts w:ascii="Verdana" w:eastAsia="Calibri" w:hAnsi="Verdana" w:cs="Arial"/>
                <w:color w:val="000000" w:themeColor="text1"/>
                <w:lang w:val="es-ES" w:eastAsia="es-ES_tradnl"/>
              </w:rPr>
            </w:pPr>
            <w:r w:rsidRPr="002069C6">
              <w:rPr>
                <w:rFonts w:ascii="Verdana" w:eastAsia="Calibri" w:hAnsi="Verdana" w:cs="Arial"/>
                <w:b/>
                <w:color w:val="000000" w:themeColor="text1"/>
                <w:lang w:val="es-ES" w:eastAsia="es-ES_tradnl"/>
              </w:rPr>
              <w:t>Temas:</w:t>
            </w:r>
            <w:r w:rsidRPr="002069C6">
              <w:rPr>
                <w:rFonts w:ascii="Verdana" w:eastAsia="Calibri" w:hAnsi="Verdana" w:cs="Arial"/>
                <w:color w:val="000000" w:themeColor="text1"/>
                <w:lang w:val="es-ES" w:eastAsia="es-ES_tradnl"/>
              </w:rPr>
              <w:t xml:space="preserve">                   </w:t>
            </w:r>
          </w:p>
        </w:tc>
        <w:tc>
          <w:tcPr>
            <w:tcW w:w="6100" w:type="dxa"/>
          </w:tcPr>
          <w:p w14:paraId="53F4A3A6" w14:textId="77777777" w:rsidR="00AA67A0" w:rsidRDefault="00AA67A0" w:rsidP="00400F9D">
            <w:pPr>
              <w:jc w:val="both"/>
              <w:rPr>
                <w:rFonts w:ascii="Verdana" w:eastAsia="Calibri" w:hAnsi="Verdana" w:cs="Arial"/>
                <w:lang w:val="es-ES" w:eastAsia="es-ES"/>
              </w:rPr>
            </w:pPr>
            <w:r>
              <w:rPr>
                <w:rFonts w:ascii="Verdana" w:eastAsia="Calibri" w:hAnsi="Verdana" w:cs="Arial"/>
                <w:lang w:val="es-ES" w:eastAsia="es-ES"/>
              </w:rPr>
              <w:t xml:space="preserve">EMPRESA UNIPERSONAL </w:t>
            </w:r>
            <w:r w:rsidRPr="00FB46C6">
              <w:rPr>
                <w:rFonts w:ascii="Verdana" w:eastAsia="Calibri" w:hAnsi="Verdana" w:cs="Arial"/>
                <w:lang w:val="es-ES" w:eastAsia="es-ES"/>
              </w:rPr>
              <w:t>–</w:t>
            </w:r>
            <w:r>
              <w:rPr>
                <w:rFonts w:ascii="Verdana" w:eastAsia="Calibri" w:hAnsi="Verdana" w:cs="Arial"/>
                <w:lang w:val="es-ES" w:eastAsia="es-ES"/>
              </w:rPr>
              <w:t xml:space="preserve"> Ley 222 de 1995 </w:t>
            </w:r>
            <w:r w:rsidRPr="00FB46C6">
              <w:rPr>
                <w:rFonts w:ascii="Verdana" w:eastAsia="Calibri" w:hAnsi="Verdana" w:cs="Arial"/>
                <w:lang w:val="es-ES" w:eastAsia="es-ES"/>
              </w:rPr>
              <w:t>–</w:t>
            </w:r>
            <w:r>
              <w:rPr>
                <w:rFonts w:ascii="Verdana" w:eastAsia="Calibri" w:hAnsi="Verdana" w:cs="Arial"/>
                <w:lang w:val="es-ES" w:eastAsia="es-ES"/>
              </w:rPr>
              <w:t xml:space="preserve"> Prohibición Artículo 75 / </w:t>
            </w:r>
            <w:r w:rsidRPr="00FB46C6">
              <w:rPr>
                <w:rFonts w:ascii="Verdana" w:eastAsia="Calibri" w:hAnsi="Verdana" w:cs="Arial"/>
                <w:lang w:val="es-ES" w:eastAsia="es-ES"/>
              </w:rPr>
              <w:t>SOCIEDADES POR ACCIONES SIMPLIFICADAS</w:t>
            </w:r>
            <w:r>
              <w:rPr>
                <w:rFonts w:ascii="Verdana" w:eastAsia="Calibri" w:hAnsi="Verdana" w:cs="Arial"/>
                <w:lang w:val="es-ES" w:eastAsia="es-ES"/>
              </w:rPr>
              <w:t xml:space="preserve"> </w:t>
            </w:r>
            <w:r w:rsidRPr="00FB46C6">
              <w:rPr>
                <w:rFonts w:ascii="Verdana" w:eastAsia="Calibri" w:hAnsi="Verdana" w:cs="Arial"/>
                <w:lang w:val="es-ES" w:eastAsia="es-ES"/>
              </w:rPr>
              <w:t>–</w:t>
            </w:r>
            <w:r>
              <w:rPr>
                <w:rFonts w:ascii="Verdana" w:eastAsia="Calibri" w:hAnsi="Verdana" w:cs="Arial"/>
                <w:lang w:val="es-ES" w:eastAsia="es-ES"/>
              </w:rPr>
              <w:t xml:space="preserve"> Prohibición Artículo 75 </w:t>
            </w:r>
            <w:r w:rsidRPr="00FB46C6">
              <w:rPr>
                <w:rFonts w:ascii="Verdana" w:eastAsia="Calibri" w:hAnsi="Verdana" w:cs="Arial"/>
                <w:lang w:val="es-ES" w:eastAsia="es-ES"/>
              </w:rPr>
              <w:t>–</w:t>
            </w:r>
            <w:r>
              <w:rPr>
                <w:rFonts w:ascii="Verdana" w:eastAsia="Calibri" w:hAnsi="Verdana" w:cs="Arial"/>
                <w:lang w:val="es-ES" w:eastAsia="es-ES"/>
              </w:rPr>
              <w:t xml:space="preserve"> No aplica </w:t>
            </w:r>
            <w:r>
              <w:rPr>
                <w:rFonts w:ascii="Verdana" w:eastAsia="Calibri" w:hAnsi="Verdana" w:cs="Arial"/>
                <w:color w:val="000000"/>
                <w:kern w:val="2"/>
                <w14:ligatures w14:val="standardContextual"/>
              </w:rPr>
              <w:t xml:space="preserve">/ </w:t>
            </w:r>
            <w:r w:rsidRPr="008557D1">
              <w:rPr>
                <w:rFonts w:ascii="Verdana" w:eastAsia="Calibri" w:hAnsi="Verdana" w:cs="Arial"/>
                <w:color w:val="000000"/>
                <w:kern w:val="2"/>
                <w14:ligatures w14:val="standardContextual"/>
              </w:rPr>
              <w:t>INHABILIDADES E INCOMPATIBILIDADES – Concepto – Principio de legalidad – Interpretación restrictiva / CONFLICTOS DE INTERES – Verificación de cada caso en concreto</w:t>
            </w:r>
            <w:r>
              <w:rPr>
                <w:rFonts w:ascii="Verdana" w:eastAsia="Calibri" w:hAnsi="Verdana" w:cs="Arial"/>
                <w:lang w:val="es-ES" w:eastAsia="es-ES"/>
              </w:rPr>
              <w:t>.</w:t>
            </w:r>
          </w:p>
          <w:p w14:paraId="6B3701ED" w14:textId="77777777" w:rsidR="00AA67A0" w:rsidRPr="002069C6" w:rsidRDefault="00AA67A0" w:rsidP="00400F9D">
            <w:pPr>
              <w:spacing w:line="276" w:lineRule="auto"/>
              <w:jc w:val="both"/>
              <w:rPr>
                <w:rFonts w:ascii="Verdana" w:eastAsia="Calibri" w:hAnsi="Verdana" w:cs="Arial"/>
                <w:color w:val="000000" w:themeColor="text1"/>
                <w:lang w:val="es-ES" w:eastAsia="es-ES"/>
              </w:rPr>
            </w:pPr>
          </w:p>
        </w:tc>
        <w:tc>
          <w:tcPr>
            <w:tcW w:w="4179" w:type="dxa"/>
          </w:tcPr>
          <w:p w14:paraId="3851CD25" w14:textId="77777777" w:rsidR="00AA67A0" w:rsidRPr="002069C6" w:rsidRDefault="00AA67A0" w:rsidP="00400F9D">
            <w:pPr>
              <w:spacing w:line="276" w:lineRule="auto"/>
              <w:jc w:val="both"/>
              <w:rPr>
                <w:rFonts w:ascii="Verdana" w:eastAsia="Calibri" w:hAnsi="Verdana" w:cs="Arial"/>
                <w:b/>
                <w:bCs/>
                <w:color w:val="000000" w:themeColor="text1"/>
                <w:lang w:val="es-ES" w:eastAsia="es-ES"/>
              </w:rPr>
            </w:pPr>
          </w:p>
          <w:p w14:paraId="3537DB96" w14:textId="77777777" w:rsidR="00AA67A0" w:rsidRPr="002069C6" w:rsidRDefault="00AA67A0" w:rsidP="00400F9D">
            <w:pPr>
              <w:rPr>
                <w:rFonts w:ascii="Verdana" w:hAnsi="Verdana"/>
                <w:lang w:val="es-ES"/>
              </w:rPr>
            </w:pPr>
          </w:p>
        </w:tc>
      </w:tr>
      <w:tr w:rsidR="00AA67A0" w:rsidRPr="002069C6" w14:paraId="4BC17632" w14:textId="77777777" w:rsidTr="00400F9D">
        <w:trPr>
          <w:gridAfter w:val="1"/>
          <w:wAfter w:w="4179" w:type="dxa"/>
        </w:trPr>
        <w:tc>
          <w:tcPr>
            <w:tcW w:w="2689" w:type="dxa"/>
          </w:tcPr>
          <w:p w14:paraId="1B9E5758" w14:textId="77777777" w:rsidR="00AA67A0" w:rsidRPr="002069C6" w:rsidRDefault="00AA67A0" w:rsidP="00400F9D">
            <w:pPr>
              <w:jc w:val="both"/>
              <w:rPr>
                <w:rFonts w:ascii="Verdana" w:eastAsia="Calibri" w:hAnsi="Verdana" w:cs="Arial"/>
                <w:b/>
                <w:color w:val="000000" w:themeColor="text1"/>
                <w:lang w:val="es-ES" w:eastAsia="es-ES_tradnl"/>
              </w:rPr>
            </w:pPr>
            <w:r w:rsidRPr="002069C6">
              <w:rPr>
                <w:rFonts w:ascii="Verdana" w:eastAsia="Calibri" w:hAnsi="Verdana" w:cs="Arial"/>
                <w:b/>
                <w:color w:val="000000" w:themeColor="text1"/>
                <w:lang w:val="es-ES" w:eastAsia="es-ES_tradnl"/>
              </w:rPr>
              <w:t>Radicación:</w:t>
            </w:r>
            <w:r w:rsidRPr="002069C6">
              <w:rPr>
                <w:rFonts w:ascii="Verdana" w:eastAsia="Calibri" w:hAnsi="Verdana" w:cs="Arial"/>
                <w:color w:val="000000" w:themeColor="text1"/>
                <w:lang w:val="es-ES" w:eastAsia="es-ES_tradnl"/>
              </w:rPr>
              <w:t xml:space="preserve">               </w:t>
            </w:r>
          </w:p>
        </w:tc>
        <w:tc>
          <w:tcPr>
            <w:tcW w:w="6100" w:type="dxa"/>
          </w:tcPr>
          <w:p w14:paraId="24898BB5" w14:textId="77777777" w:rsidR="00AA67A0" w:rsidRPr="002069C6" w:rsidRDefault="00AA67A0" w:rsidP="00400F9D">
            <w:pPr>
              <w:jc w:val="both"/>
              <w:rPr>
                <w:rFonts w:ascii="Verdana" w:eastAsia="Calibri" w:hAnsi="Verdana" w:cs="Arial"/>
                <w:color w:val="000000" w:themeColor="text1"/>
                <w:lang w:val="es-ES" w:eastAsia="es-ES_tradnl"/>
              </w:rPr>
            </w:pPr>
            <w:r w:rsidRPr="002069C6">
              <w:rPr>
                <w:rFonts w:ascii="Verdana" w:eastAsia="Calibri" w:hAnsi="Verdana" w:cs="Arial"/>
                <w:color w:val="000000" w:themeColor="text1"/>
                <w:lang w:val="es-ES" w:eastAsia="es-ES_tradnl"/>
              </w:rPr>
              <w:t>Respuesta a consulta</w:t>
            </w:r>
            <w:r>
              <w:rPr>
                <w:rFonts w:ascii="Verdana" w:eastAsia="Calibri" w:hAnsi="Verdana" w:cs="Arial"/>
                <w:color w:val="000000" w:themeColor="text1"/>
                <w:lang w:val="es-ES" w:eastAsia="es-ES_tradnl"/>
              </w:rPr>
              <w:t>s</w:t>
            </w:r>
            <w:r w:rsidRPr="002069C6">
              <w:rPr>
                <w:rFonts w:ascii="Verdana" w:eastAsia="Calibri" w:hAnsi="Verdana" w:cs="Arial"/>
                <w:color w:val="000000" w:themeColor="text1"/>
                <w:lang w:val="es-ES" w:eastAsia="es-ES_tradnl"/>
              </w:rPr>
              <w:t xml:space="preserve"> con radicado</w:t>
            </w:r>
            <w:r>
              <w:rPr>
                <w:rFonts w:ascii="Verdana" w:eastAsia="Calibri" w:hAnsi="Verdana" w:cs="Arial"/>
                <w:color w:val="000000" w:themeColor="text1"/>
                <w:lang w:val="es-ES" w:eastAsia="es-ES_tradnl"/>
              </w:rPr>
              <w:t>s</w:t>
            </w:r>
            <w:r w:rsidRPr="002069C6">
              <w:rPr>
                <w:rFonts w:ascii="Verdana" w:eastAsia="Calibri" w:hAnsi="Verdana" w:cs="Arial"/>
                <w:color w:val="000000" w:themeColor="text1"/>
                <w:lang w:val="es-ES" w:eastAsia="es-ES_tradnl"/>
              </w:rPr>
              <w:t xml:space="preserve"> No. </w:t>
            </w:r>
            <w:r w:rsidRPr="00A1198E">
              <w:rPr>
                <w:rFonts w:ascii="Verdana" w:eastAsia="Calibri" w:hAnsi="Verdana" w:cs="Arial"/>
                <w:color w:val="000000" w:themeColor="text1"/>
                <w:lang w:val="es-ES" w:eastAsia="es-ES_tradnl"/>
              </w:rPr>
              <w:t>1_2025_10_07_011198</w:t>
            </w:r>
          </w:p>
        </w:tc>
      </w:tr>
    </w:tbl>
    <w:p w14:paraId="57E03507" w14:textId="77777777" w:rsidR="00AA67A0" w:rsidRPr="002069C6" w:rsidRDefault="00AA67A0" w:rsidP="00AA67A0">
      <w:pPr>
        <w:spacing w:after="0" w:line="276" w:lineRule="auto"/>
        <w:jc w:val="both"/>
        <w:rPr>
          <w:rFonts w:ascii="Verdana" w:eastAsia="Calibri" w:hAnsi="Verdana" w:cs="Arial"/>
          <w:color w:val="000000" w:themeColor="text1"/>
          <w:lang w:val="es-ES" w:eastAsia="es-ES_tradnl"/>
        </w:rPr>
      </w:pPr>
    </w:p>
    <w:p w14:paraId="4F5F37B7" w14:textId="77777777" w:rsidR="00AA67A0" w:rsidRPr="002069C6" w:rsidRDefault="00AA67A0" w:rsidP="00AA67A0">
      <w:pPr>
        <w:spacing w:after="0" w:line="276" w:lineRule="auto"/>
        <w:jc w:val="both"/>
        <w:rPr>
          <w:rFonts w:ascii="Verdana" w:eastAsia="Calibri" w:hAnsi="Verdana" w:cs="Arial"/>
          <w:color w:val="000000" w:themeColor="text1"/>
          <w:lang w:val="es-ES" w:eastAsia="es-ES_tradnl"/>
        </w:rPr>
      </w:pPr>
    </w:p>
    <w:p w14:paraId="12E95015" w14:textId="77777777" w:rsidR="00AA67A0" w:rsidRPr="002069C6" w:rsidRDefault="00AA67A0" w:rsidP="00AA67A0">
      <w:pPr>
        <w:spacing w:after="0" w:line="276" w:lineRule="auto"/>
        <w:jc w:val="both"/>
        <w:rPr>
          <w:rFonts w:ascii="Verdana" w:eastAsia="Calibri" w:hAnsi="Verdana" w:cs="Arial"/>
          <w:color w:val="000000" w:themeColor="text1"/>
          <w:lang w:val="es-ES" w:eastAsia="es-ES"/>
        </w:rPr>
      </w:pPr>
      <w:r w:rsidRPr="002069C6">
        <w:rPr>
          <w:rFonts w:ascii="Verdana" w:eastAsia="Calibri" w:hAnsi="Verdana" w:cs="Arial"/>
          <w:color w:val="000000" w:themeColor="text1"/>
          <w:lang w:val="es-ES" w:eastAsia="es-ES"/>
        </w:rPr>
        <w:t>Estimado</w:t>
      </w:r>
      <w:r>
        <w:rPr>
          <w:rFonts w:ascii="Verdana" w:eastAsia="Calibri" w:hAnsi="Verdana" w:cs="Arial"/>
          <w:color w:val="000000" w:themeColor="text1"/>
          <w:lang w:val="es-ES" w:eastAsia="es-ES"/>
        </w:rPr>
        <w:t>s</w:t>
      </w:r>
      <w:r w:rsidRPr="002069C6">
        <w:rPr>
          <w:rFonts w:ascii="Verdana" w:eastAsia="Calibri" w:hAnsi="Verdana" w:cs="Arial"/>
          <w:color w:val="000000" w:themeColor="text1"/>
          <w:lang w:val="es-ES" w:eastAsia="es-ES"/>
        </w:rPr>
        <w:t xml:space="preserve"> señ</w:t>
      </w:r>
      <w:r>
        <w:rPr>
          <w:rFonts w:ascii="Verdana" w:eastAsia="Calibri" w:hAnsi="Verdana" w:cs="Arial"/>
          <w:color w:val="000000" w:themeColor="text1"/>
          <w:lang w:val="es-ES" w:eastAsia="es-ES"/>
        </w:rPr>
        <w:t>ores</w:t>
      </w:r>
      <w:r w:rsidRPr="002069C6">
        <w:rPr>
          <w:rFonts w:ascii="Verdana" w:eastAsia="Calibri" w:hAnsi="Verdana" w:cs="Arial"/>
          <w:color w:val="000000" w:themeColor="text1"/>
          <w:lang w:val="es-ES" w:eastAsia="es-ES"/>
        </w:rPr>
        <w:t xml:space="preserve">: </w:t>
      </w:r>
    </w:p>
    <w:p w14:paraId="1BB1FEFC" w14:textId="77777777" w:rsidR="00AA67A0" w:rsidRPr="002069C6" w:rsidRDefault="00AA67A0" w:rsidP="00AA67A0">
      <w:pPr>
        <w:tabs>
          <w:tab w:val="left" w:pos="3768"/>
        </w:tabs>
        <w:spacing w:after="0" w:line="276" w:lineRule="auto"/>
        <w:jc w:val="both"/>
        <w:rPr>
          <w:rFonts w:ascii="Verdana" w:eastAsia="Calibri" w:hAnsi="Verdana" w:cs="Arial"/>
          <w:color w:val="000000" w:themeColor="text1"/>
          <w:lang w:val="es-ES" w:eastAsia="es-ES"/>
        </w:rPr>
      </w:pPr>
      <w:r w:rsidRPr="002069C6">
        <w:rPr>
          <w:rFonts w:ascii="Verdana" w:eastAsia="Calibri" w:hAnsi="Verdana" w:cs="Arial"/>
          <w:color w:val="000000" w:themeColor="text1"/>
          <w:lang w:val="es-ES" w:eastAsia="es-ES"/>
        </w:rPr>
        <w:tab/>
      </w:r>
    </w:p>
    <w:p w14:paraId="168FDCB8" w14:textId="77777777" w:rsidR="00AA67A0" w:rsidRPr="002069C6" w:rsidRDefault="00AA67A0" w:rsidP="00AA67A0">
      <w:pPr>
        <w:spacing w:after="0" w:line="276" w:lineRule="auto"/>
        <w:jc w:val="both"/>
        <w:rPr>
          <w:rFonts w:ascii="Verdana" w:eastAsia="Calibri" w:hAnsi="Verdana" w:cs="Arial"/>
          <w:color w:val="000000" w:themeColor="text1"/>
          <w:lang w:val="es-ES" w:eastAsia="es-ES"/>
        </w:rPr>
      </w:pPr>
      <w:r w:rsidRPr="002069C6">
        <w:rPr>
          <w:rFonts w:ascii="Verdana" w:eastAsia="Calibri" w:hAnsi="Verdana" w:cs="Arial"/>
          <w:color w:val="000000" w:themeColor="text1"/>
          <w:lang w:val="es-ES" w:eastAsia="es-ES"/>
        </w:rPr>
        <w:t>En ejercicio de la competencia otorgada por los artículos 3, numeral 5º, y 11, numeral 8º, del Decreto Ley 4170 de 2011,</w:t>
      </w:r>
      <w:r w:rsidRPr="002069C6">
        <w:rPr>
          <w:rFonts w:ascii="Verdana" w:eastAsia="Arial MT" w:hAnsi="Verdana" w:cs="Arial MT"/>
          <w:color w:val="000000" w:themeColor="text1"/>
          <w:lang w:val="es-ES" w:eastAsia="es-ES"/>
        </w:rPr>
        <w:t xml:space="preserve"> </w:t>
      </w:r>
      <w:r w:rsidRPr="002069C6">
        <w:rPr>
          <w:rFonts w:ascii="Verdana" w:hAnsi="Verdana" w:cs="Arial"/>
          <w:color w:val="000000" w:themeColor="text1"/>
          <w:lang w:val="es-ES"/>
        </w:rPr>
        <w:t xml:space="preserve">así como lo establecido en el artículo 4 de la Resolución 1707 de 2018 expedida por esta Entidad, la Agencia Nacional de Contratación Pública – Colombia Compra Eficiente– responde su solicitud </w:t>
      </w:r>
      <w:r>
        <w:rPr>
          <w:rFonts w:ascii="Verdana" w:hAnsi="Verdana" w:cs="Arial"/>
          <w:color w:val="000000" w:themeColor="text1"/>
          <w:lang w:val="es-ES"/>
        </w:rPr>
        <w:t xml:space="preserve">de concepto del 07 </w:t>
      </w:r>
      <w:r w:rsidRPr="002069C6">
        <w:rPr>
          <w:rFonts w:ascii="Verdana" w:hAnsi="Verdana" w:cs="Arial"/>
          <w:color w:val="000000" w:themeColor="text1"/>
          <w:lang w:val="es-ES"/>
        </w:rPr>
        <w:t xml:space="preserve">de </w:t>
      </w:r>
      <w:r>
        <w:rPr>
          <w:rFonts w:ascii="Verdana" w:hAnsi="Verdana" w:cs="Arial"/>
          <w:color w:val="000000" w:themeColor="text1"/>
          <w:lang w:val="es-ES"/>
        </w:rPr>
        <w:t>octubre</w:t>
      </w:r>
      <w:r w:rsidRPr="002069C6">
        <w:rPr>
          <w:rFonts w:ascii="Verdana" w:hAnsi="Verdana" w:cs="Arial"/>
          <w:color w:val="000000" w:themeColor="text1"/>
          <w:lang w:val="es-ES"/>
        </w:rPr>
        <w:t xml:space="preserve"> de 2025, en la cual manifiesta lo siguiente:</w:t>
      </w:r>
      <w:r w:rsidRPr="002069C6">
        <w:rPr>
          <w:rFonts w:ascii="Verdana" w:eastAsia="Calibri" w:hAnsi="Verdana" w:cs="Arial"/>
          <w:color w:val="000000" w:themeColor="text1"/>
          <w:lang w:val="es-ES" w:eastAsia="es-ES"/>
        </w:rPr>
        <w:t xml:space="preserve"> </w:t>
      </w:r>
    </w:p>
    <w:p w14:paraId="28134A26" w14:textId="77777777" w:rsidR="00AA67A0" w:rsidRPr="002069C6" w:rsidRDefault="00AA67A0" w:rsidP="00AA67A0">
      <w:pPr>
        <w:spacing w:after="0" w:line="276" w:lineRule="auto"/>
        <w:jc w:val="both"/>
        <w:rPr>
          <w:rFonts w:ascii="Verdana" w:eastAsia="Calibri" w:hAnsi="Verdana" w:cs="Arial"/>
          <w:color w:val="000000" w:themeColor="text1"/>
          <w:lang w:val="es-ES" w:eastAsia="es-ES"/>
        </w:rPr>
      </w:pPr>
    </w:p>
    <w:p w14:paraId="07105C57" w14:textId="77777777" w:rsidR="00AA67A0" w:rsidRPr="001B047B" w:rsidRDefault="00AA67A0" w:rsidP="00AA67A0">
      <w:pPr>
        <w:spacing w:after="0"/>
        <w:ind w:left="720" w:right="709"/>
        <w:jc w:val="both"/>
        <w:rPr>
          <w:rFonts w:ascii="Verdana" w:eastAsia="Century Gothic" w:hAnsi="Verdana" w:cs="Century Gothic"/>
          <w:color w:val="000000" w:themeColor="text1"/>
          <w:sz w:val="20"/>
          <w:szCs w:val="20"/>
          <w:lang/>
        </w:rPr>
      </w:pPr>
      <w:r w:rsidRPr="002069C6">
        <w:rPr>
          <w:rFonts w:ascii="Verdana" w:eastAsia="Century Gothic" w:hAnsi="Verdana" w:cs="Century Gothic"/>
          <w:color w:val="000000" w:themeColor="text1"/>
          <w:sz w:val="20"/>
          <w:szCs w:val="20"/>
          <w:lang w:val="es-ES"/>
        </w:rPr>
        <w:t>“[…]</w:t>
      </w:r>
      <w:r w:rsidRPr="001B047B">
        <w:rPr>
          <w:rFonts w:ascii="Verdana" w:eastAsia="Century Gothic" w:hAnsi="Verdana" w:cs="Century Gothic"/>
          <w:color w:val="000000" w:themeColor="text1"/>
          <w:sz w:val="20"/>
          <w:szCs w:val="20"/>
          <w:lang/>
        </w:rPr>
        <w:t xml:space="preserve"> </w:t>
      </w:r>
      <w:r>
        <w:rPr>
          <w:rFonts w:ascii="Verdana" w:eastAsia="Century Gothic" w:hAnsi="Verdana" w:cs="Century Gothic"/>
          <w:color w:val="000000" w:themeColor="text1"/>
          <w:sz w:val="20"/>
          <w:szCs w:val="20"/>
          <w:lang/>
        </w:rPr>
        <w:t>¿Es legal de pleno derecho el consorcio conformado por una persona natural comerciante con establecimiento de comercio y una S.A.S. de la cual esta misma persona natural es el único accionista y representante legal</w:t>
      </w:r>
      <w:r w:rsidRPr="001B047B">
        <w:rPr>
          <w:rFonts w:ascii="Verdana" w:eastAsia="Century Gothic" w:hAnsi="Verdana" w:cs="Century Gothic"/>
          <w:color w:val="000000" w:themeColor="text1"/>
          <w:sz w:val="20"/>
          <w:szCs w:val="20"/>
          <w:lang/>
        </w:rPr>
        <w:t>?</w:t>
      </w:r>
      <w:r>
        <w:rPr>
          <w:rFonts w:ascii="Verdana" w:eastAsia="Century Gothic" w:hAnsi="Verdana" w:cs="Century Gothic"/>
          <w:color w:val="000000" w:themeColor="text1"/>
          <w:sz w:val="20"/>
          <w:szCs w:val="20"/>
          <w:lang/>
        </w:rPr>
        <w:t xml:space="preserve"> ¿Es una práctica que genera conflicto de interés? ¿Podría hacerse una analogíacon el Art. 74 de la Ley 222 de 1995</w:t>
      </w:r>
      <w:r>
        <w:rPr>
          <w:rFonts w:ascii="Verdana" w:eastAsia="Century Gothic" w:hAnsi="Verdana" w:cs="Century Gothic"/>
          <w:color w:val="000000" w:themeColor="text1"/>
          <w:sz w:val="20"/>
          <w:szCs w:val="20"/>
        </w:rPr>
        <w:t>”</w:t>
      </w:r>
      <w:r w:rsidRPr="00897600">
        <w:rPr>
          <w:rFonts w:ascii="Verdana" w:eastAsia="Century Gothic" w:hAnsi="Verdana" w:cs="Century Gothic"/>
          <w:color w:val="000000" w:themeColor="text1"/>
          <w:sz w:val="20"/>
          <w:szCs w:val="20"/>
        </w:rPr>
        <w:t xml:space="preserve"> </w:t>
      </w:r>
    </w:p>
    <w:p w14:paraId="19B3227D" w14:textId="77777777" w:rsidR="00AA67A0" w:rsidRPr="00265AA3" w:rsidRDefault="00AA67A0" w:rsidP="00AA67A0">
      <w:pPr>
        <w:spacing w:after="0"/>
        <w:ind w:left="709" w:right="709"/>
        <w:jc w:val="both"/>
        <w:rPr>
          <w:rFonts w:ascii="Verdana" w:eastAsia="Century Gothic" w:hAnsi="Verdana" w:cs="Century Gothic"/>
          <w:i/>
          <w:iCs/>
          <w:color w:val="000000" w:themeColor="text1"/>
          <w:sz w:val="20"/>
          <w:szCs w:val="20"/>
        </w:rPr>
      </w:pPr>
    </w:p>
    <w:p w14:paraId="083EE7AF" w14:textId="77777777" w:rsidR="00AA67A0" w:rsidRPr="002069C6" w:rsidRDefault="00AA67A0" w:rsidP="00AA67A0">
      <w:pPr>
        <w:spacing w:after="0" w:line="276" w:lineRule="auto"/>
        <w:contextualSpacing/>
        <w:jc w:val="both"/>
        <w:rPr>
          <w:rFonts w:ascii="Verdana" w:eastAsia="Calibri" w:hAnsi="Verdana" w:cs="Arial"/>
          <w:color w:val="000000" w:themeColor="text1"/>
          <w:szCs w:val="24"/>
          <w:lang w:val="es-ES" w:eastAsia="es-ES_tradnl"/>
        </w:rPr>
      </w:pPr>
      <w:r>
        <w:rPr>
          <w:rFonts w:ascii="Verdana" w:eastAsia="Calibri" w:hAnsi="Verdana" w:cs="Arial"/>
          <w:color w:val="000000" w:themeColor="text1"/>
          <w:lang w:val="es-ES" w:eastAsia="es-ES"/>
        </w:rPr>
        <w:tab/>
      </w:r>
      <w:r w:rsidRPr="002069C6">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w:t>
      </w:r>
      <w:r w:rsidRPr="002069C6">
        <w:rPr>
          <w:rFonts w:ascii="Verdana" w:eastAsia="Calibri" w:hAnsi="Verdana" w:cs="Arial"/>
          <w:color w:val="000000" w:themeColor="text1"/>
          <w:lang w:val="es-ES" w:eastAsia="es-ES"/>
        </w:rPr>
        <w:lastRenderedPageBreak/>
        <w:t xml:space="preserve">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2069C6">
        <w:rPr>
          <w:rFonts w:ascii="Verdana" w:eastAsia="Calibri" w:hAnsi="Verdana" w:cs="Arial"/>
          <w:color w:val="000000" w:themeColor="text1"/>
          <w:szCs w:val="24"/>
          <w:lang w:val="es-ES" w:eastAsia="es-ES_tradnl"/>
        </w:rPr>
        <w:tab/>
      </w:r>
    </w:p>
    <w:p w14:paraId="704AE8FB" w14:textId="77777777" w:rsidR="00AA67A0" w:rsidRPr="002069C6" w:rsidRDefault="00AA67A0" w:rsidP="00AA67A0">
      <w:pPr>
        <w:spacing w:before="120" w:after="120" w:line="276" w:lineRule="auto"/>
        <w:ind w:firstLine="709"/>
        <w:jc w:val="both"/>
        <w:rPr>
          <w:rFonts w:ascii="Verdana" w:eastAsia="Calibri" w:hAnsi="Verdana" w:cs="Arial"/>
          <w:color w:val="000000" w:themeColor="text1"/>
          <w:lang w:val="es-ES" w:eastAsia="es-ES"/>
        </w:rPr>
      </w:pPr>
      <w:r w:rsidRPr="002069C6">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Arial"/>
          <w:color w:val="000000" w:themeColor="text1"/>
          <w:lang w:val="es-ES" w:eastAsia="es-ES"/>
        </w:rPr>
        <w:t xml:space="preserve">el </w:t>
      </w:r>
      <w:r w:rsidRPr="002069C6">
        <w:rPr>
          <w:rFonts w:ascii="Verdana" w:eastAsia="Calibri" w:hAnsi="Verdana" w:cs="Arial"/>
          <w:color w:val="000000" w:themeColor="text1"/>
          <w:lang w:val="es-ES" w:eastAsia="es-ES"/>
        </w:rPr>
        <w:t xml:space="preserve">problema jurídico de su consulta. </w:t>
      </w:r>
    </w:p>
    <w:p w14:paraId="04D8DF2C" w14:textId="77777777" w:rsidR="00AA67A0" w:rsidRPr="002069C6" w:rsidRDefault="00AA67A0" w:rsidP="00AA67A0">
      <w:pPr>
        <w:spacing w:after="0" w:line="276" w:lineRule="auto"/>
        <w:jc w:val="both"/>
        <w:rPr>
          <w:rFonts w:ascii="Verdana" w:eastAsia="Calibri" w:hAnsi="Verdana" w:cs="Arial"/>
          <w:color w:val="000000" w:themeColor="text1"/>
          <w:lang w:val="es-ES" w:eastAsia="es-ES"/>
        </w:rPr>
      </w:pPr>
    </w:p>
    <w:p w14:paraId="0EF64360" w14:textId="77777777" w:rsidR="00AA67A0" w:rsidRPr="002069C6" w:rsidRDefault="00AA67A0" w:rsidP="00AA67A0">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2069C6">
        <w:rPr>
          <w:rFonts w:ascii="Verdana" w:eastAsia="Century Gothic" w:hAnsi="Verdana" w:cs="Century Gothic"/>
          <w:b/>
          <w:bCs/>
          <w:color w:val="000000" w:themeColor="text1"/>
        </w:rPr>
        <w:t>Problema planteado:</w:t>
      </w:r>
    </w:p>
    <w:p w14:paraId="188369AF" w14:textId="77777777" w:rsidR="00AA67A0" w:rsidRPr="002069C6" w:rsidRDefault="00AA67A0" w:rsidP="00AA67A0">
      <w:pPr>
        <w:tabs>
          <w:tab w:val="left" w:pos="426"/>
        </w:tabs>
        <w:spacing w:after="0" w:line="276" w:lineRule="auto"/>
        <w:jc w:val="both"/>
        <w:rPr>
          <w:rFonts w:ascii="Verdana" w:eastAsia="Century Gothic" w:hAnsi="Verdana" w:cs="Century Gothic"/>
          <w:color w:val="000000" w:themeColor="text1"/>
          <w:lang w:val="es-ES"/>
        </w:rPr>
      </w:pPr>
    </w:p>
    <w:p w14:paraId="047A0DB5" w14:textId="3B68D89A" w:rsidR="00AA67A0" w:rsidRPr="002069C6" w:rsidRDefault="00AA67A0" w:rsidP="00AA67A0">
      <w:pPr>
        <w:spacing w:after="0" w:line="276" w:lineRule="auto"/>
        <w:jc w:val="both"/>
        <w:rPr>
          <w:rFonts w:ascii="Verdana" w:eastAsia="Century Gothic" w:hAnsi="Verdana" w:cs="Century Gothic"/>
          <w:color w:val="000000" w:themeColor="text1"/>
          <w:lang w:val="es-ES"/>
        </w:rPr>
      </w:pPr>
      <w:r w:rsidRPr="002069C6">
        <w:rPr>
          <w:rFonts w:ascii="Verdana" w:eastAsia="Century Gothic" w:hAnsi="Verdana" w:cs="Century Gothic"/>
          <w:color w:val="000000" w:themeColor="text1"/>
          <w:lang w:val="es-ES"/>
        </w:rPr>
        <w:t xml:space="preserve">De acuerdo con el contenido de su solicitud, esta Agencia resolverá </w:t>
      </w:r>
      <w:r>
        <w:rPr>
          <w:rFonts w:ascii="Verdana" w:eastAsia="Century Gothic" w:hAnsi="Verdana" w:cs="Century Gothic"/>
          <w:color w:val="000000" w:themeColor="text1"/>
          <w:lang w:val="es-ES"/>
        </w:rPr>
        <w:t>el</w:t>
      </w:r>
      <w:r w:rsidRPr="002069C6">
        <w:rPr>
          <w:rFonts w:ascii="Verdana" w:eastAsia="Century Gothic" w:hAnsi="Verdana" w:cs="Century Gothic"/>
          <w:color w:val="000000" w:themeColor="text1"/>
          <w:lang w:val="es-ES"/>
        </w:rPr>
        <w:t xml:space="preserve"> siguiente problema jurídico: </w:t>
      </w:r>
      <w:r w:rsidRPr="006A59B0">
        <w:rPr>
          <w:rFonts w:ascii="Verdana" w:eastAsia="Century Gothic" w:hAnsi="Verdana" w:cs="Century Gothic"/>
          <w:color w:val="000000" w:themeColor="text1"/>
          <w:lang w:val="es-ES"/>
        </w:rPr>
        <w:t>¿Se configura inhabilidad, incompatibilidad o conflicto de interés en el caso de un consorcio conformado por una persona natural y una Sociedad por Acciones Simplificada de la cual esta misma persona es el único accionista y representante legal?</w:t>
      </w:r>
      <w:r w:rsidRPr="00593A5F">
        <w:rPr>
          <w:rFonts w:ascii="Verdana" w:eastAsia="Century Gothic" w:hAnsi="Verdana" w:cs="Century Gothic"/>
        </w:rPr>
        <w:t xml:space="preserve"> </w:t>
      </w:r>
      <w:r w:rsidR="006D4534">
        <w:rPr>
          <w:rFonts w:ascii="Verdana" w:eastAsia="Century Gothic" w:hAnsi="Verdana" w:cs="Century Gothic"/>
        </w:rPr>
        <w:t>¿Puede aplicarse analógicamente el artículo 75 de la Ley 222 de 1995 a este supuesto?</w:t>
      </w:r>
    </w:p>
    <w:p w14:paraId="596C95E5" w14:textId="77777777" w:rsidR="00AA67A0" w:rsidRPr="002069C6" w:rsidRDefault="00AA67A0" w:rsidP="00AA67A0">
      <w:pPr>
        <w:spacing w:after="0" w:line="276" w:lineRule="auto"/>
        <w:jc w:val="both"/>
        <w:rPr>
          <w:rFonts w:ascii="Verdana" w:eastAsia="Calibri" w:hAnsi="Verdana" w:cs="Arial"/>
          <w:color w:val="000000" w:themeColor="text1"/>
          <w:lang w:val="es-ES"/>
        </w:rPr>
      </w:pPr>
    </w:p>
    <w:p w14:paraId="35BF546C" w14:textId="77777777" w:rsidR="00AA67A0" w:rsidRPr="002069C6" w:rsidRDefault="00AA67A0" w:rsidP="00AA67A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2069C6">
        <w:rPr>
          <w:rFonts w:ascii="Verdana" w:eastAsia="Century Gothic" w:hAnsi="Verdana" w:cs="Century Gothic"/>
          <w:b/>
          <w:bCs/>
          <w:color w:val="000000" w:themeColor="text1"/>
        </w:rPr>
        <w:t>Respuesta:</w:t>
      </w:r>
    </w:p>
    <w:p w14:paraId="08169219" w14:textId="77777777" w:rsidR="00AA67A0" w:rsidRPr="002069C6" w:rsidRDefault="00AA67A0" w:rsidP="00AA67A0">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A67A0" w:rsidRPr="002069C6" w14:paraId="37255369" w14:textId="77777777" w:rsidTr="00400F9D">
        <w:tc>
          <w:tcPr>
            <w:tcW w:w="8828" w:type="dxa"/>
          </w:tcPr>
          <w:p w14:paraId="64EF7AE8" w14:textId="1A5E8BBD" w:rsidR="00AA67A0" w:rsidRDefault="00AA67A0" w:rsidP="00531A76">
            <w:pPr>
              <w:pStyle w:val="Textoindependiente"/>
              <w:spacing w:before="120" w:after="0"/>
              <w:ind w:right="49"/>
              <w:jc w:val="both"/>
              <w:rPr>
                <w:rFonts w:ascii="Verdana" w:hAnsi="Verdana" w:cs="Arial"/>
              </w:rPr>
            </w:pPr>
            <w:r>
              <w:rPr>
                <w:rFonts w:ascii="Verdana" w:hAnsi="Verdana" w:cs="Arial"/>
              </w:rPr>
              <w:t xml:space="preserve">La Ley 222 de 1995 </w:t>
            </w:r>
            <w:r w:rsidRPr="00081BBC">
              <w:rPr>
                <w:rFonts w:ascii="Verdana" w:hAnsi="Verdana" w:cs="Arial"/>
              </w:rPr>
              <w:t xml:space="preserve">creó una nueva forma de organización empresarial mediante la cual el comerciante puede destinar ciertos bienes a la realización de actividades mercantiles, con la garantía y el beneficio de la personalidad jurídica. Bajo este supuesto, dicha norma creó la </w:t>
            </w:r>
            <w:r>
              <w:rPr>
                <w:rFonts w:ascii="Verdana" w:hAnsi="Verdana" w:cs="Arial"/>
              </w:rPr>
              <w:t xml:space="preserve">empresa </w:t>
            </w:r>
            <w:r w:rsidRPr="00081BBC">
              <w:rPr>
                <w:rFonts w:ascii="Verdana" w:hAnsi="Verdana" w:cs="Arial"/>
              </w:rPr>
              <w:t xml:space="preserve">unipersonal que, como su nombre lo indica, se refiere a </w:t>
            </w:r>
            <w:r>
              <w:rPr>
                <w:rFonts w:ascii="Verdana" w:hAnsi="Verdana" w:cs="Arial"/>
              </w:rPr>
              <w:t xml:space="preserve">aquellas </w:t>
            </w:r>
            <w:r w:rsidRPr="00081BBC">
              <w:rPr>
                <w:rFonts w:ascii="Verdana" w:hAnsi="Verdana" w:cs="Arial"/>
              </w:rPr>
              <w:t xml:space="preserve">que </w:t>
            </w:r>
            <w:r>
              <w:rPr>
                <w:rFonts w:ascii="Verdana" w:hAnsi="Verdana" w:cs="Arial"/>
              </w:rPr>
              <w:t xml:space="preserve">tienen personería jurídica y </w:t>
            </w:r>
            <w:r w:rsidRPr="00081BBC">
              <w:rPr>
                <w:rFonts w:ascii="Verdana" w:hAnsi="Verdana" w:cs="Arial"/>
              </w:rPr>
              <w:t>son constituidas por un solo socio o son de propiedad de una sola persona</w:t>
            </w:r>
            <w:r>
              <w:rPr>
                <w:rStyle w:val="Refdenotaalpie"/>
                <w:rFonts w:ascii="Verdana" w:hAnsi="Verdana" w:cs="Arial"/>
              </w:rPr>
              <w:footnoteReference w:id="2"/>
            </w:r>
            <w:r w:rsidRPr="00081BBC">
              <w:rPr>
                <w:rFonts w:ascii="Verdana" w:hAnsi="Verdana" w:cs="Arial"/>
              </w:rPr>
              <w:t>.</w:t>
            </w:r>
            <w:r w:rsidRPr="00694947">
              <w:rPr>
                <w:rFonts w:ascii="Verdana" w:hAnsi="Verdana" w:cs="Arial"/>
              </w:rPr>
              <w:t xml:space="preserve"> </w:t>
            </w:r>
            <w:r w:rsidRPr="00694947">
              <w:rPr>
                <w:rFonts w:ascii="Verdana" w:hAnsi="Verdana" w:cs="Arial"/>
              </w:rPr>
              <w:lastRenderedPageBreak/>
              <w:t xml:space="preserve">De esta manera, la </w:t>
            </w:r>
            <w:r>
              <w:rPr>
                <w:rFonts w:ascii="Verdana" w:hAnsi="Verdana" w:cs="Arial"/>
              </w:rPr>
              <w:t>Ley</w:t>
            </w:r>
            <w:r w:rsidRPr="00694947">
              <w:rPr>
                <w:rFonts w:ascii="Verdana" w:hAnsi="Verdana" w:cs="Arial"/>
              </w:rPr>
              <w:t xml:space="preserve"> 222 de 1995 amplió el espectro de los actos que dan origen a la actividad mercantil.</w:t>
            </w:r>
          </w:p>
          <w:p w14:paraId="524B0E77" w14:textId="47C86A11" w:rsidR="00AA67A0" w:rsidRDefault="00AA67A0" w:rsidP="00400F9D">
            <w:pPr>
              <w:widowControl w:val="0"/>
              <w:autoSpaceDE w:val="0"/>
              <w:autoSpaceDN w:val="0"/>
              <w:spacing w:before="120" w:after="120" w:line="276" w:lineRule="auto"/>
              <w:ind w:firstLine="708"/>
              <w:jc w:val="both"/>
              <w:rPr>
                <w:rFonts w:ascii="Verdana" w:hAnsi="Verdana" w:cs="Arial"/>
              </w:rPr>
            </w:pPr>
            <w:r>
              <w:rPr>
                <w:rFonts w:ascii="Verdana" w:hAnsi="Verdana" w:cs="Arial"/>
              </w:rPr>
              <w:t xml:space="preserve">Frente a este tipo de empresas, el artículo </w:t>
            </w:r>
            <w:r w:rsidRPr="007F73FF">
              <w:rPr>
                <w:rFonts w:ascii="Verdana" w:hAnsi="Verdana" w:cs="Arial"/>
              </w:rPr>
              <w:t>75 de la Ley 222 de 1995,</w:t>
            </w:r>
            <w:r>
              <w:rPr>
                <w:rFonts w:ascii="Verdana" w:hAnsi="Verdana" w:cs="Arial"/>
              </w:rPr>
              <w:t xml:space="preserve"> mencionado en su consulta, dispuso lo siguiente</w:t>
            </w:r>
            <w:r w:rsidRPr="007F73FF">
              <w:rPr>
                <w:rFonts w:ascii="Verdana" w:hAnsi="Verdana" w:cs="Arial"/>
              </w:rPr>
              <w:t>:</w:t>
            </w:r>
            <w:r>
              <w:rPr>
                <w:rFonts w:ascii="Verdana" w:hAnsi="Verdana" w:cs="Arial"/>
              </w:rPr>
              <w:t xml:space="preserve"> </w:t>
            </w:r>
            <w:r w:rsidRPr="007F73FF">
              <w:rPr>
                <w:rFonts w:ascii="Verdana" w:hAnsi="Verdana" w:cs="Arial"/>
              </w:rPr>
              <w:t>“El titular de la empresa unipersonal no puede contratar con ésta, ni tampoco podrán hacerlo entre sí empresas unipersonales constituidas por el mismo titular. Tales actos serán ineficaces de pleno derecho”</w:t>
            </w:r>
            <w:r>
              <w:rPr>
                <w:rFonts w:ascii="Verdana" w:hAnsi="Verdana" w:cs="Arial"/>
              </w:rPr>
              <w:t xml:space="preserve">. En efecto, </w:t>
            </w:r>
            <w:r w:rsidR="00584F8F">
              <w:rPr>
                <w:rFonts w:ascii="Verdana" w:hAnsi="Verdana" w:cs="Arial"/>
              </w:rPr>
              <w:t xml:space="preserve">la </w:t>
            </w:r>
            <w:r>
              <w:rPr>
                <w:rFonts w:ascii="Verdana" w:hAnsi="Verdana" w:cs="Arial"/>
              </w:rPr>
              <w:t>norma estableció una prohibición específica en cabeza del empresario unipersonal que tiene como finalidad evitar posibles abusos dado que la responsabilidad de la empresa se encuentra limitada al monto del aporte realizado por él.</w:t>
            </w:r>
          </w:p>
          <w:p w14:paraId="2476D28F" w14:textId="6ACF9170" w:rsidR="00AA67A0" w:rsidRDefault="00F0201C" w:rsidP="00400F9D">
            <w:pPr>
              <w:widowControl w:val="0"/>
              <w:autoSpaceDE w:val="0"/>
              <w:autoSpaceDN w:val="0"/>
              <w:spacing w:before="120" w:after="120" w:line="276" w:lineRule="auto"/>
              <w:ind w:firstLine="708"/>
              <w:jc w:val="both"/>
              <w:rPr>
                <w:rFonts w:ascii="Verdana" w:hAnsi="Verdana" w:cs="Arial"/>
                <w:lang/>
              </w:rPr>
            </w:pPr>
            <w:r>
              <w:rPr>
                <w:rFonts w:ascii="Verdana" w:hAnsi="Verdana" w:cs="Arial"/>
              </w:rPr>
              <w:t>En contraste, l</w:t>
            </w:r>
            <w:r w:rsidR="00AA67A0">
              <w:rPr>
                <w:rFonts w:ascii="Verdana" w:hAnsi="Verdana" w:cs="Arial"/>
              </w:rPr>
              <w:t xml:space="preserve">a Ley 1258 de 2008, </w:t>
            </w:r>
            <w:r w:rsidR="00AA67A0" w:rsidRPr="001379C2">
              <w:rPr>
                <w:rFonts w:ascii="Verdana" w:hAnsi="Verdana" w:cs="Arial"/>
                <w:lang/>
              </w:rPr>
              <w:t>Por medio de la cual se crea la sociedad por acciones simplificada</w:t>
            </w:r>
            <w:r w:rsidR="00AA67A0">
              <w:rPr>
                <w:rFonts w:ascii="Verdana" w:hAnsi="Verdana" w:cs="Arial"/>
                <w:lang/>
              </w:rPr>
              <w:t xml:space="preserve"> -SAS-, no incorpró ninguna disposición que prohiba a las SAS compuestas por un único socio celebrar algún tipo de negocios jurídicos con este. En efecto, la norma no incluyó una disposición igual o similar a la establecida en el artículo 75 de la Ley 222 de 1995 para el caso de las empresas unipersonales. En consecuencia, la Superintendencia de Sociedades ha conceptuado que, en el caso de las SAS, no existe norma que prohiba a la sociedad celebrar contratos con su único socio.</w:t>
            </w:r>
          </w:p>
          <w:p w14:paraId="7D787DEE" w14:textId="50E8B529" w:rsidR="00AA67A0" w:rsidRDefault="00AA67A0" w:rsidP="00400F9D">
            <w:pPr>
              <w:spacing w:line="276" w:lineRule="auto"/>
              <w:ind w:firstLine="709"/>
              <w:jc w:val="both"/>
              <w:rPr>
                <w:rFonts w:ascii="Verdana" w:hAnsi="Verdana" w:cs="Arial"/>
                <w:lang/>
              </w:rPr>
            </w:pPr>
            <w:r>
              <w:rPr>
                <w:rFonts w:ascii="Verdana" w:hAnsi="Verdana" w:cs="Arial"/>
                <w:lang/>
              </w:rPr>
              <w:t xml:space="preserve">Adicional a lo anterior, es importante resaltar que </w:t>
            </w:r>
            <w:r w:rsidRPr="00647BD2">
              <w:rPr>
                <w:rFonts w:ascii="Verdana" w:hAnsi="Verdana" w:cs="Arial"/>
                <w:lang/>
              </w:rPr>
              <w:t>las normas que establecen prohibiciones o limitaciones, como es el caso del ar</w:t>
            </w:r>
            <w:r>
              <w:rPr>
                <w:rFonts w:ascii="Verdana" w:hAnsi="Verdana" w:cs="Arial"/>
                <w:lang/>
              </w:rPr>
              <w:t>t</w:t>
            </w:r>
            <w:r w:rsidRPr="00647BD2">
              <w:rPr>
                <w:rFonts w:ascii="Verdana" w:hAnsi="Verdana" w:cs="Arial"/>
                <w:lang/>
              </w:rPr>
              <w:t>ícul</w:t>
            </w:r>
            <w:r>
              <w:rPr>
                <w:rFonts w:ascii="Verdana" w:hAnsi="Verdana" w:cs="Arial"/>
                <w:lang/>
              </w:rPr>
              <w:t>o</w:t>
            </w:r>
            <w:r w:rsidRPr="00647BD2">
              <w:rPr>
                <w:rFonts w:ascii="Verdana" w:hAnsi="Verdana" w:cs="Arial"/>
                <w:lang/>
              </w:rPr>
              <w:t xml:space="preserve"> 75 de la </w:t>
            </w:r>
            <w:r>
              <w:rPr>
                <w:rFonts w:ascii="Verdana" w:hAnsi="Verdana" w:cs="Arial"/>
                <w:lang/>
              </w:rPr>
              <w:t xml:space="preserve">Ley 222 de 1995, </w:t>
            </w:r>
            <w:r w:rsidRPr="00647BD2">
              <w:rPr>
                <w:rFonts w:ascii="Verdana" w:hAnsi="Verdana" w:cs="Arial"/>
                <w:lang/>
              </w:rPr>
              <w:t>no pueden ser aplicadas por vía analógica.</w:t>
            </w:r>
            <w:r>
              <w:rPr>
                <w:rFonts w:ascii="Verdana" w:hAnsi="Verdana" w:cs="Arial"/>
                <w:lang/>
              </w:rPr>
              <w:t xml:space="preserve"> De esta forma, la prohibición que dispuso la normativa para las empresas unipersonales no puede ser </w:t>
            </w:r>
            <w:r w:rsidR="00DB33D3">
              <w:rPr>
                <w:rFonts w:ascii="Verdana" w:hAnsi="Verdana" w:cs="Arial"/>
                <w:lang/>
              </w:rPr>
              <w:t xml:space="preserve">extendida por analogía </w:t>
            </w:r>
            <w:r>
              <w:rPr>
                <w:rFonts w:ascii="Verdana" w:hAnsi="Verdana" w:cs="Arial"/>
                <w:lang/>
              </w:rPr>
              <w:t xml:space="preserve">al supuesto de los negocios jurídicos que celebren las </w:t>
            </w:r>
            <w:r w:rsidR="008352F4">
              <w:rPr>
                <w:rFonts w:ascii="Verdana" w:hAnsi="Verdana" w:cs="Arial"/>
                <w:lang/>
              </w:rPr>
              <w:t xml:space="preserve">SAS </w:t>
            </w:r>
            <w:r>
              <w:rPr>
                <w:rFonts w:ascii="Verdana" w:hAnsi="Verdana" w:cs="Arial"/>
                <w:lang/>
              </w:rPr>
              <w:t xml:space="preserve">con su único socio. En este sentido, el acuerdo </w:t>
            </w:r>
            <w:r w:rsidR="00DB33D3">
              <w:rPr>
                <w:rFonts w:ascii="Verdana" w:hAnsi="Verdana" w:cs="Arial"/>
                <w:lang/>
              </w:rPr>
              <w:t xml:space="preserve">entre </w:t>
            </w:r>
            <w:r>
              <w:rPr>
                <w:rFonts w:ascii="Verdana" w:hAnsi="Verdana" w:cs="Arial"/>
                <w:lang/>
              </w:rPr>
              <w:t xml:space="preserve">una persona natural con la SAS de la cual es único </w:t>
            </w:r>
            <w:r w:rsidR="008352F4">
              <w:rPr>
                <w:rFonts w:ascii="Verdana" w:hAnsi="Verdana" w:cs="Arial"/>
                <w:lang/>
              </w:rPr>
              <w:t>accionista</w:t>
            </w:r>
            <w:r>
              <w:rPr>
                <w:rFonts w:ascii="Verdana" w:hAnsi="Verdana" w:cs="Arial"/>
                <w:lang/>
              </w:rPr>
              <w:t xml:space="preserve"> y representante legal para la conformación de un consorcio no puede considerarse inefi</w:t>
            </w:r>
            <w:r w:rsidR="00127127">
              <w:rPr>
                <w:rFonts w:ascii="Verdana" w:hAnsi="Verdana" w:cs="Arial"/>
                <w:lang/>
              </w:rPr>
              <w:t>c</w:t>
            </w:r>
            <w:r>
              <w:rPr>
                <w:rFonts w:ascii="Verdana" w:hAnsi="Verdana" w:cs="Arial"/>
                <w:lang/>
              </w:rPr>
              <w:t>az de pleno derecho, pues no existe norma que disponga esta consecuencia jurídica y no es posible una aplicación extensiva del artículo 75</w:t>
            </w:r>
            <w:r w:rsidRPr="00B96361">
              <w:rPr>
                <w:rFonts w:ascii="Verdana" w:hAnsi="Verdana" w:cs="Arial"/>
                <w:lang/>
              </w:rPr>
              <w:t xml:space="preserve"> </w:t>
            </w:r>
            <w:r w:rsidRPr="00647BD2">
              <w:rPr>
                <w:rFonts w:ascii="Verdana" w:hAnsi="Verdana" w:cs="Arial"/>
                <w:lang/>
              </w:rPr>
              <w:t xml:space="preserve">de la </w:t>
            </w:r>
            <w:r>
              <w:rPr>
                <w:rFonts w:ascii="Verdana" w:hAnsi="Verdana" w:cs="Arial"/>
                <w:lang/>
              </w:rPr>
              <w:t xml:space="preserve">Ley 222 de 1995 a este supuesto de hecho. </w:t>
            </w:r>
          </w:p>
          <w:p w14:paraId="12840654" w14:textId="039BA066" w:rsidR="00AA67A0" w:rsidRDefault="00AA67A0" w:rsidP="00400F9D">
            <w:pPr>
              <w:widowControl w:val="0"/>
              <w:autoSpaceDE w:val="0"/>
              <w:autoSpaceDN w:val="0"/>
              <w:spacing w:before="120" w:after="120" w:line="276" w:lineRule="auto"/>
              <w:ind w:firstLine="708"/>
              <w:jc w:val="both"/>
              <w:rPr>
                <w:rFonts w:ascii="Verdana" w:eastAsia="Calibri" w:hAnsi="Verdana" w:cs="Arial"/>
                <w:color w:val="000000" w:themeColor="text1"/>
                <w:lang w:val="es-ES_tradnl"/>
              </w:rPr>
            </w:pPr>
            <w:r>
              <w:rPr>
                <w:rFonts w:ascii="Verdana" w:eastAsia="Arial" w:hAnsi="Verdana" w:cs="Arial"/>
              </w:rPr>
              <w:t xml:space="preserve">Con respecto a la aplicación de las inhabilidades o incompatibilidades, es importante resaltar que </w:t>
            </w:r>
            <w:r>
              <w:rPr>
                <w:rFonts w:ascii="Verdana" w:eastAsia="Arial MT" w:hAnsi="Verdana" w:cs="Arial"/>
                <w:lang w:eastAsia="es-ES" w:bidi="es-ES"/>
              </w:rPr>
              <w:t xml:space="preserve">su </w:t>
            </w:r>
            <w:r w:rsidRPr="00C23CEB">
              <w:rPr>
                <w:rFonts w:ascii="Verdana" w:eastAsia="Arial MT" w:hAnsi="Verdana" w:cs="Arial"/>
                <w:lang w:eastAsia="es-ES" w:bidi="es-ES"/>
              </w:rPr>
              <w:t xml:space="preserve">aplicación siempre debe estar ajustada a los </w:t>
            </w:r>
            <w:r w:rsidRPr="00C23CEB">
              <w:rPr>
                <w:rFonts w:ascii="Verdana" w:eastAsia="Arial MT" w:hAnsi="Verdana" w:cs="Arial"/>
                <w:lang w:eastAsia="es-ES" w:bidi="es-ES"/>
              </w:rPr>
              <w:lastRenderedPageBreak/>
              <w:t xml:space="preserve">presupuestos que para cada causal </w:t>
            </w:r>
            <w:r>
              <w:rPr>
                <w:rFonts w:ascii="Verdana" w:eastAsia="Arial MT" w:hAnsi="Verdana" w:cs="Arial"/>
                <w:lang w:eastAsia="es-ES" w:bidi="es-ES"/>
              </w:rPr>
              <w:t xml:space="preserve">señale </w:t>
            </w:r>
            <w:r w:rsidRPr="00C23CEB">
              <w:rPr>
                <w:rFonts w:ascii="Verdana" w:eastAsia="Arial MT" w:hAnsi="Verdana" w:cs="Arial"/>
                <w:lang w:eastAsia="es-ES" w:bidi="es-ES"/>
              </w:rPr>
              <w:t>el constituyente o el legislador</w:t>
            </w:r>
            <w:r>
              <w:rPr>
                <w:rFonts w:ascii="Verdana" w:eastAsia="Arial MT" w:hAnsi="Verdana" w:cs="Arial"/>
                <w:lang w:eastAsia="es-ES" w:bidi="es-ES"/>
              </w:rPr>
              <w:t xml:space="preserve">. De </w:t>
            </w:r>
            <w:r w:rsidR="004C4CEC">
              <w:rPr>
                <w:rFonts w:ascii="Verdana" w:eastAsia="Arial MT" w:hAnsi="Verdana" w:cs="Arial"/>
                <w:lang w:eastAsia="es-ES" w:bidi="es-ES"/>
              </w:rPr>
              <w:t>este</w:t>
            </w:r>
            <w:r>
              <w:rPr>
                <w:rFonts w:ascii="Verdana" w:eastAsia="Arial MT" w:hAnsi="Verdana" w:cs="Arial"/>
                <w:lang w:eastAsia="es-ES" w:bidi="es-ES"/>
              </w:rPr>
              <w:t xml:space="preserve"> modo, no es </w:t>
            </w:r>
            <w:r w:rsidRPr="00C23CEB">
              <w:rPr>
                <w:rFonts w:ascii="Verdana" w:eastAsia="Arial MT" w:hAnsi="Verdana" w:cs="Arial"/>
                <w:lang w:eastAsia="es-ES" w:bidi="es-ES"/>
              </w:rPr>
              <w:t xml:space="preserve">posible </w:t>
            </w:r>
            <w:r>
              <w:rPr>
                <w:rFonts w:ascii="Verdana" w:eastAsia="Arial MT" w:hAnsi="Verdana" w:cs="Arial"/>
                <w:lang w:eastAsia="es-ES" w:bidi="es-ES"/>
              </w:rPr>
              <w:t xml:space="preserve">que las entidades realicen una </w:t>
            </w:r>
            <w:r w:rsidRPr="00C23CEB">
              <w:rPr>
                <w:rFonts w:ascii="Verdana" w:eastAsia="Arial MT" w:hAnsi="Verdana" w:cs="Arial"/>
                <w:lang w:eastAsia="es-ES" w:bidi="es-ES"/>
              </w:rPr>
              <w:t>aplicación extensiva o analógica.</w:t>
            </w:r>
            <w:r w:rsidRPr="00C23CEB">
              <w:rPr>
                <w:rFonts w:ascii="Verdana" w:eastAsia="Calibri" w:hAnsi="Verdana" w:cs="Arial"/>
                <w:color w:val="000000" w:themeColor="text1"/>
                <w:lang w:val="es-ES_tradnl"/>
              </w:rPr>
              <w:t xml:space="preserve"> </w:t>
            </w:r>
            <w:r w:rsidR="004C4CEC">
              <w:rPr>
                <w:rFonts w:ascii="Verdana" w:eastAsia="Calibri" w:hAnsi="Verdana" w:cs="Arial"/>
                <w:color w:val="000000" w:themeColor="text1"/>
                <w:lang w:val="es-ES_tradnl"/>
              </w:rPr>
              <w:t>L</w:t>
            </w:r>
            <w:r w:rsidRPr="00C23CEB">
              <w:rPr>
                <w:rFonts w:ascii="Verdana" w:eastAsia="Calibri" w:hAnsi="Verdana" w:cs="Arial"/>
                <w:color w:val="000000" w:themeColor="text1"/>
                <w:lang w:val="es-ES_tradnl"/>
              </w:rPr>
              <w:t>as inhabilidades e incompatibilidades</w:t>
            </w:r>
            <w:r>
              <w:rPr>
                <w:rFonts w:ascii="Verdana" w:eastAsia="Calibri" w:hAnsi="Verdana" w:cs="Arial"/>
                <w:color w:val="000000" w:themeColor="text1"/>
                <w:lang w:val="es-ES_tradnl"/>
              </w:rPr>
              <w:t xml:space="preserve"> son </w:t>
            </w:r>
            <w:r w:rsidRPr="00C23CEB">
              <w:rPr>
                <w:rFonts w:ascii="Verdana" w:eastAsia="Calibri" w:hAnsi="Verdana" w:cs="Arial"/>
                <w:color w:val="000000" w:themeColor="text1"/>
                <w:lang w:val="es-ES_tradnl"/>
              </w:rPr>
              <w:t>restricciones o límites especiales a la capacidad para presentar ofertas y celebrar contratos estatales</w:t>
            </w:r>
            <w:r w:rsidR="004C4CEC">
              <w:rPr>
                <w:rFonts w:ascii="Verdana" w:eastAsia="Calibri" w:hAnsi="Verdana" w:cs="Arial"/>
                <w:color w:val="000000" w:themeColor="text1"/>
                <w:lang w:val="es-ES_tradnl"/>
              </w:rPr>
              <w:t>,</w:t>
            </w:r>
            <w:r>
              <w:rPr>
                <w:rFonts w:ascii="Verdana" w:eastAsia="Calibri" w:hAnsi="Verdana" w:cs="Arial"/>
                <w:color w:val="000000" w:themeColor="text1"/>
                <w:lang w:val="es-ES_tradnl"/>
              </w:rPr>
              <w:t xml:space="preserve"> </w:t>
            </w:r>
            <w:r w:rsidR="004C4CEC">
              <w:rPr>
                <w:rFonts w:ascii="Verdana" w:eastAsia="Calibri" w:hAnsi="Verdana" w:cs="Arial"/>
                <w:color w:val="000000" w:themeColor="text1"/>
                <w:lang w:val="es-ES_tradnl"/>
              </w:rPr>
              <w:t>e</w:t>
            </w:r>
            <w:r>
              <w:rPr>
                <w:rFonts w:ascii="Verdana" w:eastAsia="Calibri" w:hAnsi="Verdana" w:cs="Arial"/>
                <w:color w:val="000000" w:themeColor="text1"/>
                <w:lang w:val="es-ES_tradnl"/>
              </w:rPr>
              <w:t>n consecuencia,</w:t>
            </w:r>
            <w:r w:rsidRPr="00C23CEB">
              <w:rPr>
                <w:rFonts w:ascii="Verdana" w:eastAsia="Calibri" w:hAnsi="Verdana" w:cs="Arial"/>
                <w:color w:val="000000" w:themeColor="text1"/>
                <w:lang w:val="es-ES_tradnl"/>
              </w:rPr>
              <w:t xml:space="preserve"> solo pueden tipificarse en la ley y su interpretación debe ser </w:t>
            </w:r>
            <w:r w:rsidRPr="00C23CEB">
              <w:rPr>
                <w:rFonts w:ascii="Verdana" w:eastAsia="Calibri" w:hAnsi="Verdana" w:cs="Arial"/>
                <w:i/>
                <w:iCs/>
                <w:color w:val="000000" w:themeColor="text1"/>
                <w:lang w:val="es-ES_tradnl"/>
              </w:rPr>
              <w:t>restrictiva</w:t>
            </w:r>
            <w:r w:rsidRPr="00C23CEB">
              <w:rPr>
                <w:rFonts w:ascii="Verdana" w:eastAsia="Calibri" w:hAnsi="Verdana" w:cs="Arial"/>
                <w:color w:val="000000" w:themeColor="text1"/>
                <w:lang w:val="es-ES_tradnl"/>
              </w:rPr>
              <w:t xml:space="preserve">, pues si se admitiera una interpretación amplia, extensiva o finalista de las mismas, </w:t>
            </w:r>
            <w:r>
              <w:rPr>
                <w:rFonts w:ascii="Verdana" w:eastAsia="Calibri" w:hAnsi="Verdana" w:cs="Arial"/>
                <w:color w:val="000000" w:themeColor="text1"/>
                <w:lang w:val="es-ES_tradnl"/>
              </w:rPr>
              <w:t xml:space="preserve">los </w:t>
            </w:r>
            <w:r w:rsidRPr="00C23CEB">
              <w:rPr>
                <w:rFonts w:ascii="Verdana" w:eastAsia="Calibri" w:hAnsi="Verdana" w:cs="Arial"/>
                <w:color w:val="000000" w:themeColor="text1"/>
                <w:lang w:val="es-ES_tradnl"/>
              </w:rPr>
              <w:t>enunciados normativos podrían contemplar múltiples supuestos indeterminados, según el parecer o el sentido común de los operadores jurídicos, poniendo en riesgo principios como la igualdad, el debido proceso, la libre concurrencia y el ejercicio de la profesión u oficio.</w:t>
            </w:r>
          </w:p>
          <w:p w14:paraId="6DF38986" w14:textId="77777777" w:rsidR="00AA67A0" w:rsidRDefault="00AA67A0" w:rsidP="00400F9D">
            <w:pPr>
              <w:spacing w:line="276" w:lineRule="auto"/>
              <w:ind w:firstLine="709"/>
              <w:jc w:val="both"/>
              <w:rPr>
                <w:rFonts w:ascii="Verdana" w:eastAsia="Calibri" w:hAnsi="Verdana" w:cs="Arial"/>
                <w:color w:val="000000" w:themeColor="text1"/>
                <w:lang w:val="es-ES"/>
              </w:rPr>
            </w:pPr>
            <w:r w:rsidRPr="0C384551">
              <w:rPr>
                <w:rFonts w:ascii="Verdana" w:eastAsia="Calibri" w:hAnsi="Verdana" w:cs="Arial"/>
                <w:color w:val="000000" w:themeColor="text1"/>
                <w:lang w:val="es-ES"/>
              </w:rPr>
              <w:t xml:space="preserve">Como se aprecia, el principio </w:t>
            </w:r>
            <w:r w:rsidRPr="0C384551">
              <w:rPr>
                <w:rFonts w:ascii="Verdana" w:eastAsia="Calibri" w:hAnsi="Verdana" w:cs="Arial"/>
                <w:i/>
                <w:color w:val="000000" w:themeColor="text1"/>
                <w:lang w:val="es-ES"/>
              </w:rPr>
              <w:t xml:space="preserve">pro </w:t>
            </w:r>
            <w:proofErr w:type="spellStart"/>
            <w:r w:rsidRPr="0C384551">
              <w:rPr>
                <w:rFonts w:ascii="Verdana" w:eastAsia="Calibri" w:hAnsi="Verdana" w:cs="Arial"/>
                <w:i/>
                <w:color w:val="000000" w:themeColor="text1"/>
                <w:lang w:val="es-ES"/>
              </w:rPr>
              <w:t>libertate</w:t>
            </w:r>
            <w:proofErr w:type="spellEnd"/>
            <w:r w:rsidRPr="0C384551">
              <w:rPr>
                <w:rFonts w:ascii="Verdana" w:eastAsia="Calibri" w:hAnsi="Verdana" w:cs="Arial"/>
                <w:color w:val="000000" w:themeColor="text1"/>
                <w:lang w:val="es-ES"/>
              </w:rPr>
              <w:t xml:space="preserve"> debe dirigir la interpretación de las disposiciones normativas que consagran restricciones de derechos, como sucede con las causales de inhabilidad e incompatibilidad en la contratación estatal.</w:t>
            </w:r>
            <w:r>
              <w:rPr>
                <w:rFonts w:ascii="Verdana" w:eastAsia="Calibri" w:hAnsi="Verdana" w:cs="Arial"/>
                <w:color w:val="000000" w:themeColor="text1"/>
                <w:lang w:val="es-ES"/>
              </w:rPr>
              <w:t xml:space="preserve"> De esta forma, dado que el régimen de inhabilidades e incompatibilidades no se refirió al supuesto objeto de consulta, no será posible que las entidades interpreten la existencia de una inhabilidad que impida participar en un proceso de contratación al consorcio compuesto por una persona natural y por una SAS cuyo único socio y representante legal sea esa misma persona. </w:t>
            </w:r>
          </w:p>
          <w:p w14:paraId="3D21926E" w14:textId="77777777" w:rsidR="00FB5A71" w:rsidRDefault="00AA67A0" w:rsidP="00400F9D">
            <w:pPr>
              <w:spacing w:before="120" w:line="276" w:lineRule="auto"/>
              <w:ind w:firstLine="709"/>
              <w:jc w:val="both"/>
              <w:rPr>
                <w:rFonts w:ascii="Verdana" w:eastAsia="Arial" w:hAnsi="Verdana" w:cs="Arial"/>
              </w:rPr>
            </w:pPr>
            <w:r>
              <w:rPr>
                <w:rFonts w:ascii="Verdana" w:eastAsia="Arial" w:hAnsi="Verdana" w:cs="Arial"/>
              </w:rPr>
              <w:t xml:space="preserve">Por otra parte, </w:t>
            </w:r>
            <w:r w:rsidRPr="002D2CC6">
              <w:rPr>
                <w:rFonts w:ascii="Verdana" w:eastAsia="Arial" w:hAnsi="Verdana" w:cs="Arial"/>
              </w:rPr>
              <w:t>aunque la ley no estable</w:t>
            </w:r>
            <w:r>
              <w:rPr>
                <w:rFonts w:ascii="Verdana" w:eastAsia="Arial" w:hAnsi="Verdana" w:cs="Arial"/>
              </w:rPr>
              <w:t>zca</w:t>
            </w:r>
            <w:r w:rsidRPr="002D2CC6">
              <w:rPr>
                <w:rFonts w:ascii="Verdana" w:eastAsia="Arial" w:hAnsi="Verdana" w:cs="Arial"/>
              </w:rPr>
              <w:t xml:space="preserve"> una inhabilidad explícita</w:t>
            </w:r>
            <w:r>
              <w:rPr>
                <w:rFonts w:ascii="Verdana" w:eastAsia="Arial" w:hAnsi="Verdana" w:cs="Arial"/>
              </w:rPr>
              <w:t>, la entidad</w:t>
            </w:r>
            <w:r w:rsidRPr="002D2CC6">
              <w:rPr>
                <w:rFonts w:ascii="Verdana" w:eastAsia="Arial" w:hAnsi="Verdana" w:cs="Arial"/>
              </w:rPr>
              <w:t xml:space="preserve"> </w:t>
            </w:r>
            <w:r>
              <w:rPr>
                <w:rFonts w:ascii="Verdana" w:eastAsia="Arial" w:hAnsi="Verdana" w:cs="Arial"/>
              </w:rPr>
              <w:t>deberá evaluar el supuesto de hecho desde la figura del conflicto de intereses cada caso en particular</w:t>
            </w:r>
            <w:r w:rsidRPr="60F4F7EF">
              <w:rPr>
                <w:rFonts w:ascii="Verdana" w:eastAsia="Arial" w:hAnsi="Verdana" w:cs="Arial"/>
              </w:rPr>
              <w:t>. Esto se debe a que la ley de contratación estatal en Colombia</w:t>
            </w:r>
            <w:r w:rsidR="008E5595">
              <w:rPr>
                <w:rFonts w:ascii="Verdana" w:eastAsia="Arial" w:hAnsi="Verdana" w:cs="Arial"/>
              </w:rPr>
              <w:t xml:space="preserve"> </w:t>
            </w:r>
            <w:r w:rsidRPr="60F4F7EF">
              <w:rPr>
                <w:rFonts w:ascii="Verdana" w:eastAsia="Arial" w:hAnsi="Verdana" w:cs="Arial"/>
              </w:rPr>
              <w:t>se basa en principios fundamentales como la transparencia, moralidad y objetividad. Un conflicto de intereses surge cuando los intereses personales o familiares de un servidor público pueden influir en sus decisiones profesionales, comprometiendo así la imparcialidad que se espera de su cargo</w:t>
            </w:r>
            <w:r>
              <w:rPr>
                <w:rFonts w:ascii="Verdana" w:eastAsia="Arial" w:hAnsi="Verdana" w:cs="Arial"/>
              </w:rPr>
              <w:t xml:space="preserve">, lo cual, en principio, no sería aplicable al caso objeto de consulta. </w:t>
            </w:r>
          </w:p>
          <w:p w14:paraId="32EFBEAF" w14:textId="656DB765" w:rsidR="00AA67A0" w:rsidRDefault="00AA67A0" w:rsidP="00400F9D">
            <w:pPr>
              <w:spacing w:before="120" w:line="276" w:lineRule="auto"/>
              <w:ind w:firstLine="709"/>
              <w:jc w:val="both"/>
              <w:rPr>
                <w:rFonts w:ascii="Verdana" w:eastAsia="Arial" w:hAnsi="Verdana" w:cs="Arial"/>
              </w:rPr>
            </w:pPr>
            <w:r>
              <w:rPr>
                <w:rFonts w:ascii="Verdana" w:eastAsia="Arial" w:hAnsi="Verdana" w:cs="Arial"/>
              </w:rPr>
              <w:t xml:space="preserve">En cualquier caso, </w:t>
            </w:r>
            <w:r w:rsidRPr="00C17B09">
              <w:rPr>
                <w:rFonts w:ascii="Verdana" w:eastAsia="Arial" w:hAnsi="Verdana" w:cs="Arial"/>
              </w:rPr>
              <w:t>corresponde a los equipos jurídicos de cada entidad contratante realizar la verificación previa y concreta de las eventuales inhabilidades e incompatibilidades</w:t>
            </w:r>
            <w:r>
              <w:rPr>
                <w:rFonts w:ascii="Verdana" w:eastAsia="Arial" w:hAnsi="Verdana" w:cs="Arial"/>
              </w:rPr>
              <w:t xml:space="preserve"> y el eventual conflicto de intereses en cada proceso</w:t>
            </w:r>
            <w:r w:rsidRPr="00C17B09">
              <w:rPr>
                <w:rFonts w:ascii="Verdana" w:eastAsia="Arial" w:hAnsi="Verdana" w:cs="Arial"/>
              </w:rPr>
              <w:t>, a fin de garantizar el cumplimiento del principio de legalidad y la protección de los principios de transparencia, moralidad e imparcialidad en la contratación estatal.</w:t>
            </w:r>
          </w:p>
          <w:p w14:paraId="327313B8" w14:textId="77777777" w:rsidR="00AA67A0" w:rsidRDefault="00AA67A0" w:rsidP="00400F9D">
            <w:pPr>
              <w:spacing w:before="120" w:line="276" w:lineRule="auto"/>
              <w:ind w:firstLine="709"/>
              <w:jc w:val="both"/>
              <w:rPr>
                <w:rFonts w:ascii="Verdana" w:eastAsia="Calibri" w:hAnsi="Verdana" w:cs="Arial"/>
                <w:bCs/>
              </w:rPr>
            </w:pPr>
            <w:r>
              <w:rPr>
                <w:rFonts w:ascii="Verdana" w:eastAsia="Arial" w:hAnsi="Verdana" w:cs="Arial"/>
              </w:rPr>
              <w:lastRenderedPageBreak/>
              <w:t xml:space="preserve">Finalmente, </w:t>
            </w:r>
            <w:r>
              <w:rPr>
                <w:rFonts w:ascii="Verdana" w:eastAsia="Calibri" w:hAnsi="Verdana" w:cs="Arial"/>
                <w:bCs/>
              </w:rPr>
              <w:t xml:space="preserve">es importante resaltar que, aunque no exista un supuesto normativo que por sí mismo limite la capacidad jurídica del consorcio en el supuesto objeto de consulta, existen otros elementos y requisitos habilitantes frente a los cuales será necesario que la entidad evalúe el cumplimiento por parte de dicho oferente. </w:t>
            </w:r>
            <w:r w:rsidRPr="00372D18">
              <w:rPr>
                <w:rFonts w:ascii="Verdana" w:eastAsia="Calibri" w:hAnsi="Verdana" w:cs="Arial"/>
                <w:bCs/>
              </w:rPr>
              <w:t>Con esto se hace referencia, entre otras cosas, a la experiencia, la cual, según como lo determine la entidad contratante en los pliegos de condiciones, debe relacionarse con el objeto a contratar</w:t>
            </w:r>
            <w:r>
              <w:rPr>
                <w:rFonts w:ascii="Verdana" w:eastAsia="Calibri" w:hAnsi="Verdana" w:cs="Arial"/>
                <w:bCs/>
              </w:rPr>
              <w:t xml:space="preserve"> y deberá ser acreditada de manera adecuada por el consorcio y sus miembros de modo que el proponente no haga valer dos veces la misma experiencia, es decir, la que ha ejecutado como persona natural y aquella que acredite por conducto de la SAS de la cual es el único socio y representante legal</w:t>
            </w:r>
            <w:r w:rsidRPr="00372D18">
              <w:rPr>
                <w:rFonts w:ascii="Verdana" w:eastAsia="Calibri" w:hAnsi="Verdana" w:cs="Arial"/>
                <w:bCs/>
              </w:rPr>
              <w:t xml:space="preserve">. </w:t>
            </w:r>
          </w:p>
          <w:p w14:paraId="03C85303" w14:textId="0D089A07" w:rsidR="00AA67A0" w:rsidRPr="002A20F5" w:rsidRDefault="00AA67A0" w:rsidP="00400F9D">
            <w:pPr>
              <w:spacing w:before="120" w:after="120" w:line="276" w:lineRule="auto"/>
              <w:ind w:firstLine="709"/>
              <w:jc w:val="both"/>
              <w:rPr>
                <w:rFonts w:ascii="Verdana" w:eastAsia="Arial" w:hAnsi="Verdana" w:cs="Arial"/>
              </w:rPr>
            </w:pPr>
            <w:r w:rsidRPr="00372D18">
              <w:rPr>
                <w:rFonts w:ascii="Verdana" w:eastAsia="Calibri" w:hAnsi="Verdana" w:cs="Arial"/>
                <w:bCs/>
              </w:rPr>
              <w:t>Lo anterior implica que</w:t>
            </w:r>
            <w:r>
              <w:rPr>
                <w:rFonts w:ascii="Verdana" w:eastAsia="Calibri" w:hAnsi="Verdana" w:cs="Arial"/>
                <w:bCs/>
              </w:rPr>
              <w:t xml:space="preserve"> la ausencia de una inhabilidad, incompatibilidad o conflicto de interés que afecte la capacidad jurídica</w:t>
            </w:r>
            <w:r w:rsidRPr="00372D18">
              <w:rPr>
                <w:rFonts w:ascii="Verdana" w:eastAsia="Calibri" w:hAnsi="Verdana" w:cs="Arial"/>
                <w:bCs/>
              </w:rPr>
              <w:t xml:space="preserve"> no </w:t>
            </w:r>
            <w:r>
              <w:rPr>
                <w:rFonts w:ascii="Verdana" w:eastAsia="Calibri" w:hAnsi="Verdana" w:cs="Arial"/>
                <w:bCs/>
              </w:rPr>
              <w:t xml:space="preserve">implica que el proponente pueda utilizar el consorcio para omitir el cumplimiento de los requisitos de experiencia o capacidad financiera que sean necesarios para ejecutar de manera idónea el objeto contractual. Con el fin de </w:t>
            </w:r>
            <w:r w:rsidRPr="00372D18">
              <w:rPr>
                <w:rFonts w:ascii="Verdana" w:eastAsia="Calibri" w:hAnsi="Verdana" w:cs="Arial"/>
                <w:bCs/>
              </w:rPr>
              <w:t>prever esta situación</w:t>
            </w:r>
            <w:r>
              <w:rPr>
                <w:rFonts w:ascii="Verdana" w:eastAsia="Calibri" w:hAnsi="Verdana" w:cs="Arial"/>
                <w:bCs/>
              </w:rPr>
              <w:t xml:space="preserve">, se recomienda que la entidad contratante establezca las reglas precisas en los documentos del proceso que deberán seguir los proponentes para acreditar y determinar de forma objetiva la experiencia y capacidad </w:t>
            </w:r>
            <w:r w:rsidRPr="00372D18">
              <w:rPr>
                <w:rFonts w:ascii="Verdana" w:eastAsia="Calibri" w:hAnsi="Verdana" w:cs="Arial"/>
                <w:bCs/>
              </w:rPr>
              <w:t>mínima con la que deben contar para desarrollar el objeto a contratar de forma satisfactoria.</w:t>
            </w:r>
          </w:p>
        </w:tc>
      </w:tr>
    </w:tbl>
    <w:p w14:paraId="2DFDBB43" w14:textId="77777777" w:rsidR="00AA67A0" w:rsidRPr="002069C6" w:rsidRDefault="00AA67A0" w:rsidP="00AA67A0">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7A05C431" w14:textId="77777777" w:rsidR="00AA67A0" w:rsidRPr="002069C6" w:rsidRDefault="00AA67A0" w:rsidP="00AA67A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2069C6">
        <w:rPr>
          <w:rFonts w:ascii="Verdana" w:eastAsia="Century Gothic" w:hAnsi="Verdana" w:cs="Century Gothic"/>
          <w:b/>
          <w:bCs/>
          <w:color w:val="000000" w:themeColor="text1"/>
        </w:rPr>
        <w:t>Razones de la respuesta:</w:t>
      </w:r>
    </w:p>
    <w:p w14:paraId="4A44773F" w14:textId="77777777" w:rsidR="00AA67A0" w:rsidRPr="002069C6" w:rsidRDefault="00AA67A0" w:rsidP="00AA67A0">
      <w:pPr>
        <w:spacing w:after="0" w:line="276" w:lineRule="auto"/>
        <w:jc w:val="both"/>
        <w:rPr>
          <w:rFonts w:ascii="Verdana" w:eastAsia="Calibri" w:hAnsi="Verdana" w:cs="Arial"/>
          <w:color w:val="000000" w:themeColor="text1"/>
          <w:lang w:val="es-ES"/>
        </w:rPr>
      </w:pPr>
    </w:p>
    <w:p w14:paraId="3F9F9802" w14:textId="77777777" w:rsidR="00AA67A0" w:rsidRDefault="00AA67A0" w:rsidP="00AA67A0">
      <w:pPr>
        <w:spacing w:after="0" w:line="276" w:lineRule="auto"/>
        <w:jc w:val="both"/>
        <w:rPr>
          <w:rFonts w:ascii="Verdana" w:eastAsia="Calibri" w:hAnsi="Verdana" w:cs="Arial"/>
          <w:color w:val="000000" w:themeColor="text1"/>
          <w:lang w:val="es-ES"/>
        </w:rPr>
      </w:pPr>
      <w:r w:rsidRPr="002069C6">
        <w:rPr>
          <w:rFonts w:ascii="Verdana" w:eastAsia="Calibri" w:hAnsi="Verdana" w:cs="Arial"/>
          <w:color w:val="000000" w:themeColor="text1"/>
          <w:lang w:val="es-ES"/>
        </w:rPr>
        <w:t xml:space="preserve">Lo anterior se sustenta en las siguientes consideraciones: </w:t>
      </w:r>
    </w:p>
    <w:p w14:paraId="689762AF" w14:textId="77777777" w:rsidR="00AA67A0" w:rsidRDefault="00AA67A0" w:rsidP="00AA67A0">
      <w:pPr>
        <w:spacing w:after="0" w:line="276" w:lineRule="auto"/>
        <w:jc w:val="both"/>
        <w:rPr>
          <w:rFonts w:ascii="Verdana" w:eastAsia="Calibri" w:hAnsi="Verdana" w:cs="Arial"/>
          <w:color w:val="000000" w:themeColor="text1"/>
          <w:lang w:val="es-ES"/>
        </w:rPr>
      </w:pPr>
    </w:p>
    <w:p w14:paraId="12B1CB3D" w14:textId="77777777" w:rsidR="00AA67A0" w:rsidRPr="00422B6A" w:rsidRDefault="00AA67A0" w:rsidP="00AA67A0">
      <w:pPr>
        <w:pStyle w:val="Textoindependiente"/>
        <w:ind w:right="51"/>
        <w:jc w:val="both"/>
        <w:rPr>
          <w:rFonts w:ascii="Verdana" w:hAnsi="Verdana" w:cs="Arial"/>
        </w:rPr>
      </w:pPr>
      <w:r>
        <w:rPr>
          <w:rFonts w:ascii="Verdana" w:hAnsi="Verdana" w:cs="Arial"/>
        </w:rPr>
        <w:t>i) E</w:t>
      </w:r>
      <w:r w:rsidRPr="00422B6A">
        <w:rPr>
          <w:rFonts w:ascii="Verdana" w:hAnsi="Verdana" w:cs="Arial"/>
        </w:rPr>
        <w:t>l Código de Comercio</w:t>
      </w:r>
      <w:r w:rsidRPr="00422B6A">
        <w:rPr>
          <w:rFonts w:ascii="Verdana" w:hAnsi="Verdana" w:cs="Arial"/>
          <w:spacing w:val="61"/>
        </w:rPr>
        <w:t xml:space="preserve"> </w:t>
      </w:r>
      <w:r w:rsidRPr="00422B6A">
        <w:rPr>
          <w:rFonts w:ascii="Verdana" w:hAnsi="Verdana" w:cs="Arial"/>
        </w:rPr>
        <w:t>identifica varios tipos</w:t>
      </w:r>
      <w:r w:rsidRPr="00422B6A">
        <w:rPr>
          <w:rFonts w:ascii="Verdana" w:hAnsi="Verdana" w:cs="Arial"/>
          <w:spacing w:val="1"/>
        </w:rPr>
        <w:t xml:space="preserve"> </w:t>
      </w:r>
      <w:r w:rsidRPr="00422B6A">
        <w:rPr>
          <w:rFonts w:ascii="Verdana" w:hAnsi="Verdana" w:cs="Arial"/>
          <w:spacing w:val="-1"/>
        </w:rPr>
        <w:t xml:space="preserve">de </w:t>
      </w:r>
      <w:r w:rsidRPr="00422B6A">
        <w:rPr>
          <w:rFonts w:ascii="Verdana" w:hAnsi="Verdana" w:cs="Arial"/>
          <w:i/>
          <w:spacing w:val="-1"/>
        </w:rPr>
        <w:t xml:space="preserve">sociedades comerciales </w:t>
      </w:r>
      <w:r w:rsidRPr="00422B6A">
        <w:rPr>
          <w:rFonts w:ascii="Verdana" w:hAnsi="Verdana" w:cs="Arial"/>
          <w:spacing w:val="-1"/>
        </w:rPr>
        <w:t xml:space="preserve">que pueden constituirse </w:t>
      </w:r>
      <w:r w:rsidRPr="00422B6A">
        <w:rPr>
          <w:rFonts w:ascii="Verdana" w:hAnsi="Verdana" w:cs="Arial"/>
        </w:rPr>
        <w:t>para desarrollar actividades de esta índole, estableciendo el régimen general de las personas jurídicas, delimitando sus</w:t>
      </w:r>
      <w:r w:rsidRPr="00422B6A">
        <w:rPr>
          <w:rFonts w:ascii="Verdana" w:hAnsi="Verdana" w:cs="Arial"/>
          <w:spacing w:val="1"/>
        </w:rPr>
        <w:t xml:space="preserve"> </w:t>
      </w:r>
      <w:r w:rsidRPr="00422B6A">
        <w:rPr>
          <w:rFonts w:ascii="Verdana" w:hAnsi="Verdana" w:cs="Arial"/>
        </w:rPr>
        <w:t>particularidades</w:t>
      </w:r>
      <w:r w:rsidRPr="00422B6A">
        <w:rPr>
          <w:rFonts w:ascii="Verdana" w:hAnsi="Verdana" w:cs="Arial"/>
          <w:spacing w:val="-2"/>
        </w:rPr>
        <w:t xml:space="preserve"> </w:t>
      </w:r>
      <w:r w:rsidRPr="00422B6A">
        <w:rPr>
          <w:rFonts w:ascii="Verdana" w:hAnsi="Verdana" w:cs="Arial"/>
        </w:rPr>
        <w:t>y</w:t>
      </w:r>
      <w:r w:rsidRPr="00422B6A">
        <w:rPr>
          <w:rFonts w:ascii="Verdana" w:hAnsi="Verdana" w:cs="Arial"/>
          <w:spacing w:val="2"/>
        </w:rPr>
        <w:t xml:space="preserve"> los </w:t>
      </w:r>
      <w:r w:rsidRPr="00422B6A">
        <w:rPr>
          <w:rFonts w:ascii="Verdana" w:hAnsi="Verdana" w:cs="Arial"/>
        </w:rPr>
        <w:t>principios que</w:t>
      </w:r>
      <w:r w:rsidRPr="00422B6A">
        <w:rPr>
          <w:rFonts w:ascii="Verdana" w:hAnsi="Verdana" w:cs="Arial"/>
          <w:spacing w:val="9"/>
        </w:rPr>
        <w:t xml:space="preserve"> </w:t>
      </w:r>
      <w:r w:rsidRPr="00422B6A">
        <w:rPr>
          <w:rFonts w:ascii="Verdana" w:hAnsi="Verdana" w:cs="Arial"/>
        </w:rPr>
        <w:t>rigen</w:t>
      </w:r>
      <w:r w:rsidRPr="00422B6A">
        <w:rPr>
          <w:rFonts w:ascii="Verdana" w:hAnsi="Verdana" w:cs="Arial"/>
          <w:spacing w:val="3"/>
        </w:rPr>
        <w:t xml:space="preserve"> </w:t>
      </w:r>
      <w:r w:rsidRPr="00422B6A">
        <w:rPr>
          <w:rFonts w:ascii="Verdana" w:hAnsi="Verdana" w:cs="Arial"/>
        </w:rPr>
        <w:t>el</w:t>
      </w:r>
      <w:r w:rsidRPr="00422B6A">
        <w:rPr>
          <w:rFonts w:ascii="Verdana" w:hAnsi="Verdana" w:cs="Arial"/>
          <w:spacing w:val="-4"/>
        </w:rPr>
        <w:t xml:space="preserve"> </w:t>
      </w:r>
      <w:r w:rsidRPr="00422B6A">
        <w:rPr>
          <w:rFonts w:ascii="Verdana" w:hAnsi="Verdana" w:cs="Arial"/>
        </w:rPr>
        <w:t>contrato</w:t>
      </w:r>
      <w:r w:rsidRPr="00422B6A">
        <w:rPr>
          <w:rFonts w:ascii="Verdana" w:hAnsi="Verdana" w:cs="Arial"/>
          <w:spacing w:val="7"/>
        </w:rPr>
        <w:t xml:space="preserve"> </w:t>
      </w:r>
      <w:r w:rsidRPr="00422B6A">
        <w:rPr>
          <w:rFonts w:ascii="Verdana" w:hAnsi="Verdana" w:cs="Arial"/>
        </w:rPr>
        <w:t>de</w:t>
      </w:r>
      <w:r w:rsidRPr="00422B6A">
        <w:rPr>
          <w:rFonts w:ascii="Verdana" w:hAnsi="Verdana" w:cs="Arial"/>
          <w:spacing w:val="-4"/>
        </w:rPr>
        <w:t xml:space="preserve"> </w:t>
      </w:r>
      <w:r w:rsidRPr="00422B6A">
        <w:rPr>
          <w:rFonts w:ascii="Verdana" w:hAnsi="Verdana" w:cs="Arial"/>
        </w:rPr>
        <w:t>sociedad. Al respecto,</w:t>
      </w:r>
      <w:r w:rsidRPr="00422B6A">
        <w:rPr>
          <w:rFonts w:ascii="Verdana" w:hAnsi="Verdana" w:cs="Arial"/>
          <w:spacing w:val="-6"/>
        </w:rPr>
        <w:t xml:space="preserve"> </w:t>
      </w:r>
      <w:r w:rsidRPr="00422B6A">
        <w:rPr>
          <w:rFonts w:ascii="Verdana" w:hAnsi="Verdana" w:cs="Arial"/>
        </w:rPr>
        <w:t>resultan</w:t>
      </w:r>
      <w:r w:rsidRPr="00422B6A">
        <w:rPr>
          <w:rFonts w:ascii="Verdana" w:hAnsi="Verdana" w:cs="Arial"/>
          <w:spacing w:val="-6"/>
        </w:rPr>
        <w:t xml:space="preserve"> </w:t>
      </w:r>
      <w:r w:rsidRPr="00422B6A">
        <w:rPr>
          <w:rFonts w:ascii="Verdana" w:hAnsi="Verdana" w:cs="Arial"/>
        </w:rPr>
        <w:t>relevantes</w:t>
      </w:r>
      <w:r w:rsidRPr="00422B6A">
        <w:rPr>
          <w:rFonts w:ascii="Verdana" w:hAnsi="Verdana" w:cs="Arial"/>
          <w:spacing w:val="-6"/>
        </w:rPr>
        <w:t xml:space="preserve"> </w:t>
      </w:r>
      <w:r w:rsidRPr="00422B6A">
        <w:rPr>
          <w:rFonts w:ascii="Verdana" w:hAnsi="Verdana" w:cs="Arial"/>
        </w:rPr>
        <w:t>los</w:t>
      </w:r>
      <w:r w:rsidRPr="00422B6A">
        <w:rPr>
          <w:rFonts w:ascii="Verdana" w:hAnsi="Verdana" w:cs="Arial"/>
          <w:spacing w:val="-6"/>
        </w:rPr>
        <w:t xml:space="preserve"> </w:t>
      </w:r>
      <w:r w:rsidRPr="00422B6A">
        <w:rPr>
          <w:rFonts w:ascii="Verdana" w:hAnsi="Verdana" w:cs="Arial"/>
        </w:rPr>
        <w:t>artículos</w:t>
      </w:r>
      <w:r w:rsidRPr="00422B6A">
        <w:rPr>
          <w:rFonts w:ascii="Verdana" w:hAnsi="Verdana" w:cs="Arial"/>
          <w:spacing w:val="-6"/>
        </w:rPr>
        <w:t xml:space="preserve"> </w:t>
      </w:r>
      <w:r w:rsidRPr="00422B6A">
        <w:rPr>
          <w:rFonts w:ascii="Verdana" w:hAnsi="Verdana" w:cs="Arial"/>
        </w:rPr>
        <w:t>98</w:t>
      </w:r>
      <w:r w:rsidRPr="00422B6A">
        <w:rPr>
          <w:rFonts w:ascii="Verdana" w:hAnsi="Verdana" w:cs="Arial"/>
          <w:spacing w:val="-6"/>
        </w:rPr>
        <w:t xml:space="preserve"> </w:t>
      </w:r>
      <w:r w:rsidRPr="00422B6A">
        <w:rPr>
          <w:rFonts w:ascii="Verdana" w:hAnsi="Verdana" w:cs="Arial"/>
        </w:rPr>
        <w:t>y</w:t>
      </w:r>
      <w:r w:rsidRPr="00422B6A">
        <w:rPr>
          <w:rFonts w:ascii="Verdana" w:hAnsi="Verdana" w:cs="Arial"/>
          <w:spacing w:val="-7"/>
        </w:rPr>
        <w:t xml:space="preserve"> </w:t>
      </w:r>
      <w:r w:rsidRPr="00422B6A">
        <w:rPr>
          <w:rFonts w:ascii="Verdana" w:hAnsi="Verdana" w:cs="Arial"/>
        </w:rPr>
        <w:t>100,</w:t>
      </w:r>
      <w:r w:rsidRPr="00422B6A">
        <w:rPr>
          <w:rFonts w:ascii="Verdana" w:hAnsi="Verdana" w:cs="Arial"/>
          <w:spacing w:val="-6"/>
        </w:rPr>
        <w:t xml:space="preserve"> </w:t>
      </w:r>
      <w:r w:rsidRPr="00422B6A">
        <w:rPr>
          <w:rFonts w:ascii="Verdana" w:hAnsi="Verdana" w:cs="Arial"/>
        </w:rPr>
        <w:t>de</w:t>
      </w:r>
      <w:r w:rsidRPr="00422B6A">
        <w:rPr>
          <w:rFonts w:ascii="Verdana" w:hAnsi="Verdana" w:cs="Arial"/>
          <w:spacing w:val="-6"/>
        </w:rPr>
        <w:t xml:space="preserve"> </w:t>
      </w:r>
      <w:r w:rsidRPr="00422B6A">
        <w:rPr>
          <w:rFonts w:ascii="Verdana" w:hAnsi="Verdana" w:cs="Arial"/>
        </w:rPr>
        <w:t>conformidad</w:t>
      </w:r>
      <w:r w:rsidRPr="00422B6A">
        <w:rPr>
          <w:rFonts w:ascii="Verdana" w:hAnsi="Verdana" w:cs="Arial"/>
          <w:spacing w:val="-6"/>
        </w:rPr>
        <w:t xml:space="preserve"> </w:t>
      </w:r>
      <w:r w:rsidRPr="00422B6A">
        <w:rPr>
          <w:rFonts w:ascii="Verdana" w:hAnsi="Verdana" w:cs="Arial"/>
        </w:rPr>
        <w:t>con</w:t>
      </w:r>
      <w:r w:rsidRPr="00422B6A">
        <w:rPr>
          <w:rFonts w:ascii="Verdana" w:hAnsi="Verdana" w:cs="Arial"/>
          <w:spacing w:val="-6"/>
        </w:rPr>
        <w:t xml:space="preserve"> </w:t>
      </w:r>
      <w:r w:rsidRPr="00422B6A">
        <w:rPr>
          <w:rFonts w:ascii="Verdana" w:hAnsi="Verdana" w:cs="Arial"/>
        </w:rPr>
        <w:t xml:space="preserve">los cuales: i) existe contrato de </w:t>
      </w:r>
      <w:r w:rsidRPr="00422B6A">
        <w:rPr>
          <w:rFonts w:ascii="Verdana" w:hAnsi="Verdana" w:cs="Arial"/>
          <w:i/>
        </w:rPr>
        <w:t xml:space="preserve">sociedad comercial </w:t>
      </w:r>
      <w:r w:rsidRPr="00422B6A">
        <w:rPr>
          <w:rFonts w:ascii="Verdana" w:hAnsi="Verdana" w:cs="Arial"/>
        </w:rPr>
        <w:t>cuando dos o más</w:t>
      </w:r>
      <w:r w:rsidRPr="00422B6A">
        <w:rPr>
          <w:rFonts w:ascii="Verdana" w:hAnsi="Verdana" w:cs="Arial"/>
          <w:spacing w:val="1"/>
        </w:rPr>
        <w:t xml:space="preserve"> </w:t>
      </w:r>
      <w:r w:rsidRPr="00422B6A">
        <w:rPr>
          <w:rFonts w:ascii="Verdana" w:hAnsi="Verdana" w:cs="Arial"/>
        </w:rPr>
        <w:t xml:space="preserve">personas aportan dinero, trabajo u otro </w:t>
      </w:r>
      <w:r w:rsidRPr="00422B6A">
        <w:rPr>
          <w:rFonts w:ascii="Verdana" w:hAnsi="Verdana" w:cs="Arial"/>
        </w:rPr>
        <w:lastRenderedPageBreak/>
        <w:t>bien, con el fin de repartirse las utilidades</w:t>
      </w:r>
      <w:r w:rsidRPr="00422B6A">
        <w:rPr>
          <w:rStyle w:val="Refdenotaalpie"/>
          <w:rFonts w:ascii="Verdana" w:hAnsi="Verdana" w:cs="Arial"/>
        </w:rPr>
        <w:footnoteReference w:id="3"/>
      </w:r>
      <w:r w:rsidRPr="00422B6A">
        <w:rPr>
          <w:rFonts w:ascii="Verdana" w:hAnsi="Verdana" w:cs="Arial"/>
        </w:rPr>
        <w:t xml:space="preserve">; y </w:t>
      </w:r>
      <w:proofErr w:type="spellStart"/>
      <w:r w:rsidRPr="00422B6A">
        <w:rPr>
          <w:rFonts w:ascii="Verdana" w:hAnsi="Verdana" w:cs="Arial"/>
        </w:rPr>
        <w:t>ii</w:t>
      </w:r>
      <w:proofErr w:type="spellEnd"/>
      <w:r w:rsidRPr="00422B6A">
        <w:rPr>
          <w:rFonts w:ascii="Verdana" w:hAnsi="Verdana" w:cs="Arial"/>
        </w:rPr>
        <w:t>) se entiende</w:t>
      </w:r>
      <w:r w:rsidRPr="00422B6A">
        <w:rPr>
          <w:rFonts w:ascii="Verdana" w:hAnsi="Verdana" w:cs="Arial"/>
          <w:spacing w:val="1"/>
        </w:rPr>
        <w:t xml:space="preserve"> </w:t>
      </w:r>
      <w:r w:rsidRPr="00422B6A">
        <w:rPr>
          <w:rFonts w:ascii="Verdana" w:hAnsi="Verdana" w:cs="Arial"/>
        </w:rPr>
        <w:t>que</w:t>
      </w:r>
      <w:r w:rsidRPr="00422B6A">
        <w:rPr>
          <w:rFonts w:ascii="Verdana" w:hAnsi="Verdana" w:cs="Arial"/>
          <w:spacing w:val="1"/>
        </w:rPr>
        <w:t xml:space="preserve"> </w:t>
      </w:r>
      <w:r w:rsidRPr="00422B6A">
        <w:rPr>
          <w:rFonts w:ascii="Verdana" w:hAnsi="Verdana" w:cs="Arial"/>
        </w:rPr>
        <w:t>son</w:t>
      </w:r>
      <w:r w:rsidRPr="00422B6A">
        <w:rPr>
          <w:rFonts w:ascii="Verdana" w:hAnsi="Verdana" w:cs="Arial"/>
          <w:spacing w:val="1"/>
        </w:rPr>
        <w:t xml:space="preserve"> </w:t>
      </w:r>
      <w:r w:rsidRPr="00422B6A">
        <w:rPr>
          <w:rFonts w:ascii="Verdana" w:hAnsi="Verdana" w:cs="Arial"/>
        </w:rPr>
        <w:t>comerciales</w:t>
      </w:r>
      <w:r w:rsidRPr="00422B6A">
        <w:rPr>
          <w:rFonts w:ascii="Verdana" w:hAnsi="Verdana" w:cs="Arial"/>
          <w:spacing w:val="1"/>
        </w:rPr>
        <w:t xml:space="preserve"> </w:t>
      </w:r>
      <w:r w:rsidRPr="00422B6A">
        <w:rPr>
          <w:rFonts w:ascii="Verdana" w:hAnsi="Verdana" w:cs="Arial"/>
        </w:rPr>
        <w:t>las</w:t>
      </w:r>
      <w:r w:rsidRPr="00422B6A">
        <w:rPr>
          <w:rFonts w:ascii="Verdana" w:hAnsi="Verdana" w:cs="Arial"/>
          <w:spacing w:val="1"/>
        </w:rPr>
        <w:t xml:space="preserve"> </w:t>
      </w:r>
      <w:r w:rsidRPr="00422B6A">
        <w:rPr>
          <w:rFonts w:ascii="Verdana" w:hAnsi="Verdana" w:cs="Arial"/>
        </w:rPr>
        <w:t>sociedades</w:t>
      </w:r>
      <w:r w:rsidRPr="00422B6A">
        <w:rPr>
          <w:rFonts w:ascii="Verdana" w:hAnsi="Verdana" w:cs="Arial"/>
          <w:spacing w:val="1"/>
        </w:rPr>
        <w:t xml:space="preserve"> </w:t>
      </w:r>
      <w:r w:rsidRPr="00422B6A">
        <w:rPr>
          <w:rFonts w:ascii="Verdana" w:hAnsi="Verdana" w:cs="Arial"/>
        </w:rPr>
        <w:t>creadas</w:t>
      </w:r>
      <w:r w:rsidRPr="00422B6A">
        <w:rPr>
          <w:rFonts w:ascii="Verdana" w:hAnsi="Verdana" w:cs="Arial"/>
          <w:spacing w:val="1"/>
        </w:rPr>
        <w:t xml:space="preserve"> </w:t>
      </w:r>
      <w:r w:rsidRPr="00422B6A">
        <w:rPr>
          <w:rFonts w:ascii="Verdana" w:hAnsi="Verdana" w:cs="Arial"/>
        </w:rPr>
        <w:t>para</w:t>
      </w:r>
      <w:r w:rsidRPr="00422B6A">
        <w:rPr>
          <w:rFonts w:ascii="Verdana" w:hAnsi="Verdana" w:cs="Arial"/>
          <w:spacing w:val="1"/>
        </w:rPr>
        <w:t xml:space="preserve"> </w:t>
      </w:r>
      <w:r w:rsidRPr="00422B6A">
        <w:rPr>
          <w:rFonts w:ascii="Verdana" w:hAnsi="Verdana" w:cs="Arial"/>
        </w:rPr>
        <w:t>ejecutar</w:t>
      </w:r>
      <w:r w:rsidRPr="00422B6A">
        <w:rPr>
          <w:rFonts w:ascii="Verdana" w:hAnsi="Verdana" w:cs="Arial"/>
          <w:spacing w:val="1"/>
        </w:rPr>
        <w:t xml:space="preserve"> </w:t>
      </w:r>
      <w:r w:rsidRPr="00422B6A">
        <w:rPr>
          <w:rFonts w:ascii="Verdana" w:hAnsi="Verdana" w:cs="Arial"/>
        </w:rPr>
        <w:t>actos</w:t>
      </w:r>
      <w:r w:rsidRPr="00422B6A">
        <w:rPr>
          <w:rFonts w:ascii="Verdana" w:hAnsi="Verdana" w:cs="Arial"/>
          <w:spacing w:val="1"/>
        </w:rPr>
        <w:t xml:space="preserve"> </w:t>
      </w:r>
      <w:r w:rsidRPr="00422B6A">
        <w:rPr>
          <w:rFonts w:ascii="Verdana" w:hAnsi="Verdana" w:cs="Arial"/>
        </w:rPr>
        <w:t>o</w:t>
      </w:r>
      <w:r w:rsidRPr="00422B6A">
        <w:rPr>
          <w:rFonts w:ascii="Verdana" w:hAnsi="Verdana" w:cs="Arial"/>
          <w:spacing w:val="1"/>
        </w:rPr>
        <w:t xml:space="preserve"> </w:t>
      </w:r>
      <w:r w:rsidRPr="00422B6A">
        <w:rPr>
          <w:rFonts w:ascii="Verdana" w:hAnsi="Verdana" w:cs="Arial"/>
        </w:rPr>
        <w:t>empresas</w:t>
      </w:r>
      <w:r w:rsidRPr="00422B6A">
        <w:rPr>
          <w:rFonts w:ascii="Verdana" w:hAnsi="Verdana" w:cs="Arial"/>
          <w:spacing w:val="-1"/>
        </w:rPr>
        <w:t xml:space="preserve"> </w:t>
      </w:r>
      <w:r w:rsidRPr="00422B6A">
        <w:rPr>
          <w:rFonts w:ascii="Verdana" w:hAnsi="Verdana" w:cs="Arial"/>
        </w:rPr>
        <w:t>mercantiles</w:t>
      </w:r>
      <w:r w:rsidRPr="00422B6A">
        <w:rPr>
          <w:rStyle w:val="Refdenotaalpie"/>
          <w:rFonts w:ascii="Verdana" w:hAnsi="Verdana" w:cs="Arial"/>
        </w:rPr>
        <w:footnoteReference w:id="4"/>
      </w:r>
      <w:r w:rsidRPr="00422B6A">
        <w:rPr>
          <w:rFonts w:ascii="Verdana" w:hAnsi="Verdana" w:cs="Arial"/>
        </w:rPr>
        <w:t>.</w:t>
      </w:r>
    </w:p>
    <w:p w14:paraId="49CE99B5" w14:textId="77777777" w:rsidR="00AA67A0" w:rsidRPr="00422B6A" w:rsidRDefault="00AA67A0" w:rsidP="00AA67A0">
      <w:pPr>
        <w:pStyle w:val="Textoindependiente"/>
        <w:ind w:right="49" w:firstLine="708"/>
        <w:jc w:val="both"/>
        <w:rPr>
          <w:rFonts w:ascii="Verdana" w:hAnsi="Verdana" w:cs="Arial"/>
        </w:rPr>
      </w:pPr>
      <w:r w:rsidRPr="00422B6A">
        <w:rPr>
          <w:rFonts w:ascii="Verdana" w:hAnsi="Verdana" w:cs="Arial"/>
          <w:spacing w:val="-2"/>
        </w:rPr>
        <w:t>Sobre</w:t>
      </w:r>
      <w:r w:rsidRPr="00422B6A">
        <w:rPr>
          <w:rFonts w:ascii="Verdana" w:hAnsi="Verdana" w:cs="Arial"/>
          <w:spacing w:val="-14"/>
        </w:rPr>
        <w:t xml:space="preserve"> </w:t>
      </w:r>
      <w:r w:rsidRPr="00422B6A">
        <w:rPr>
          <w:rFonts w:ascii="Verdana" w:hAnsi="Verdana" w:cs="Arial"/>
          <w:spacing w:val="-2"/>
        </w:rPr>
        <w:t>el</w:t>
      </w:r>
      <w:r w:rsidRPr="00422B6A">
        <w:rPr>
          <w:rFonts w:ascii="Verdana" w:hAnsi="Verdana" w:cs="Arial"/>
          <w:spacing w:val="-13"/>
        </w:rPr>
        <w:t xml:space="preserve"> </w:t>
      </w:r>
      <w:r w:rsidRPr="00422B6A">
        <w:rPr>
          <w:rFonts w:ascii="Verdana" w:hAnsi="Verdana" w:cs="Arial"/>
          <w:spacing w:val="-2"/>
        </w:rPr>
        <w:t>primer</w:t>
      </w:r>
      <w:r w:rsidRPr="00422B6A">
        <w:rPr>
          <w:rFonts w:ascii="Verdana" w:hAnsi="Verdana" w:cs="Arial"/>
          <w:spacing w:val="-13"/>
        </w:rPr>
        <w:t xml:space="preserve"> </w:t>
      </w:r>
      <w:r w:rsidRPr="00422B6A">
        <w:rPr>
          <w:rFonts w:ascii="Verdana" w:hAnsi="Verdana" w:cs="Arial"/>
          <w:spacing w:val="-2"/>
        </w:rPr>
        <w:t>aspecto,</w:t>
      </w:r>
      <w:r w:rsidRPr="00422B6A">
        <w:rPr>
          <w:rFonts w:ascii="Verdana" w:hAnsi="Verdana" w:cs="Arial"/>
          <w:spacing w:val="-14"/>
        </w:rPr>
        <w:t xml:space="preserve"> </w:t>
      </w:r>
      <w:r w:rsidRPr="00422B6A">
        <w:rPr>
          <w:rFonts w:ascii="Verdana" w:hAnsi="Verdana" w:cs="Arial"/>
          <w:spacing w:val="-2"/>
        </w:rPr>
        <w:t>es necesario tener en cuenta</w:t>
      </w:r>
      <w:r w:rsidRPr="00422B6A">
        <w:rPr>
          <w:rFonts w:ascii="Verdana" w:hAnsi="Verdana" w:cs="Arial"/>
          <w:spacing w:val="-13"/>
        </w:rPr>
        <w:t xml:space="preserve"> </w:t>
      </w:r>
      <w:r w:rsidRPr="00422B6A">
        <w:rPr>
          <w:rFonts w:ascii="Verdana" w:hAnsi="Verdana" w:cs="Arial"/>
          <w:spacing w:val="-1"/>
        </w:rPr>
        <w:t>que,</w:t>
      </w:r>
      <w:r w:rsidRPr="00422B6A">
        <w:rPr>
          <w:rFonts w:ascii="Verdana" w:hAnsi="Verdana" w:cs="Arial"/>
          <w:spacing w:val="-14"/>
        </w:rPr>
        <w:t xml:space="preserve"> </w:t>
      </w:r>
      <w:r w:rsidRPr="00422B6A">
        <w:rPr>
          <w:rFonts w:ascii="Verdana" w:hAnsi="Verdana" w:cs="Arial"/>
          <w:spacing w:val="-1"/>
        </w:rPr>
        <w:t>como</w:t>
      </w:r>
      <w:r w:rsidRPr="00422B6A">
        <w:rPr>
          <w:rFonts w:ascii="Verdana" w:hAnsi="Verdana" w:cs="Arial"/>
          <w:spacing w:val="-13"/>
        </w:rPr>
        <w:t xml:space="preserve"> </w:t>
      </w:r>
      <w:r w:rsidRPr="00422B6A">
        <w:rPr>
          <w:rFonts w:ascii="Verdana" w:hAnsi="Verdana" w:cs="Arial"/>
          <w:spacing w:val="-1"/>
        </w:rPr>
        <w:t>regla</w:t>
      </w:r>
      <w:r w:rsidRPr="00422B6A">
        <w:rPr>
          <w:rFonts w:ascii="Verdana" w:hAnsi="Verdana" w:cs="Arial"/>
          <w:spacing w:val="-13"/>
        </w:rPr>
        <w:t xml:space="preserve"> </w:t>
      </w:r>
      <w:r w:rsidRPr="00422B6A">
        <w:rPr>
          <w:rFonts w:ascii="Verdana" w:hAnsi="Verdana" w:cs="Arial"/>
          <w:spacing w:val="-1"/>
        </w:rPr>
        <w:t>general,</w:t>
      </w:r>
      <w:r w:rsidRPr="00422B6A">
        <w:rPr>
          <w:rFonts w:ascii="Verdana" w:hAnsi="Verdana" w:cs="Arial"/>
          <w:spacing w:val="-13"/>
        </w:rPr>
        <w:t xml:space="preserve"> </w:t>
      </w:r>
      <w:r w:rsidRPr="00422B6A">
        <w:rPr>
          <w:rFonts w:ascii="Verdana" w:hAnsi="Verdana" w:cs="Arial"/>
          <w:spacing w:val="-1"/>
        </w:rPr>
        <w:t>las</w:t>
      </w:r>
      <w:r w:rsidRPr="00422B6A">
        <w:rPr>
          <w:rFonts w:ascii="Verdana" w:hAnsi="Verdana" w:cs="Arial"/>
          <w:spacing w:val="-14"/>
        </w:rPr>
        <w:t xml:space="preserve"> </w:t>
      </w:r>
      <w:r w:rsidRPr="00422B6A">
        <w:rPr>
          <w:rFonts w:ascii="Verdana" w:hAnsi="Verdana" w:cs="Arial"/>
          <w:spacing w:val="-2"/>
        </w:rPr>
        <w:t>sociedades requieren un</w:t>
      </w:r>
      <w:r w:rsidRPr="00422B6A">
        <w:rPr>
          <w:rFonts w:ascii="Verdana" w:hAnsi="Verdana" w:cs="Arial"/>
          <w:spacing w:val="-13"/>
        </w:rPr>
        <w:t xml:space="preserve"> </w:t>
      </w:r>
      <w:r w:rsidRPr="00422B6A">
        <w:rPr>
          <w:rFonts w:ascii="Verdana" w:hAnsi="Verdana" w:cs="Arial"/>
          <w:spacing w:val="-2"/>
        </w:rPr>
        <w:t>número</w:t>
      </w:r>
      <w:r w:rsidRPr="00422B6A">
        <w:rPr>
          <w:rFonts w:ascii="Verdana" w:hAnsi="Verdana" w:cs="Arial"/>
          <w:spacing w:val="-13"/>
        </w:rPr>
        <w:t xml:space="preserve"> </w:t>
      </w:r>
      <w:r w:rsidRPr="00422B6A">
        <w:rPr>
          <w:rFonts w:ascii="Verdana" w:hAnsi="Verdana" w:cs="Arial"/>
          <w:spacing w:val="-1"/>
        </w:rPr>
        <w:t>plural</w:t>
      </w:r>
      <w:r w:rsidRPr="00422B6A">
        <w:rPr>
          <w:rFonts w:ascii="Verdana" w:hAnsi="Verdana" w:cs="Arial"/>
          <w:spacing w:val="-13"/>
        </w:rPr>
        <w:t xml:space="preserve"> </w:t>
      </w:r>
      <w:r w:rsidRPr="00422B6A">
        <w:rPr>
          <w:rFonts w:ascii="Verdana" w:hAnsi="Verdana" w:cs="Arial"/>
          <w:spacing w:val="-1"/>
        </w:rPr>
        <w:t>de</w:t>
      </w:r>
      <w:r w:rsidRPr="00422B6A">
        <w:rPr>
          <w:rFonts w:ascii="Verdana" w:hAnsi="Verdana" w:cs="Arial"/>
          <w:spacing w:val="-14"/>
        </w:rPr>
        <w:t xml:space="preserve"> </w:t>
      </w:r>
      <w:r w:rsidRPr="00422B6A">
        <w:rPr>
          <w:rFonts w:ascii="Verdana" w:hAnsi="Verdana" w:cs="Arial"/>
          <w:spacing w:val="-1"/>
        </w:rPr>
        <w:t>socios</w:t>
      </w:r>
      <w:r w:rsidRPr="00422B6A">
        <w:rPr>
          <w:rFonts w:ascii="Verdana" w:hAnsi="Verdana" w:cs="Arial"/>
          <w:spacing w:val="-13"/>
        </w:rPr>
        <w:t xml:space="preserve"> </w:t>
      </w:r>
      <w:r w:rsidRPr="00422B6A">
        <w:rPr>
          <w:rFonts w:ascii="Verdana" w:hAnsi="Verdana" w:cs="Arial"/>
          <w:spacing w:val="-1"/>
        </w:rPr>
        <w:t>–regla</w:t>
      </w:r>
      <w:r w:rsidRPr="00422B6A">
        <w:rPr>
          <w:rFonts w:ascii="Verdana" w:hAnsi="Verdana" w:cs="Arial"/>
          <w:spacing w:val="-13"/>
        </w:rPr>
        <w:t xml:space="preserve"> </w:t>
      </w:r>
      <w:r w:rsidRPr="00422B6A">
        <w:rPr>
          <w:rFonts w:ascii="Verdana" w:hAnsi="Verdana" w:cs="Arial"/>
          <w:spacing w:val="-1"/>
        </w:rPr>
        <w:t>que</w:t>
      </w:r>
      <w:r w:rsidRPr="00422B6A">
        <w:rPr>
          <w:rFonts w:ascii="Verdana" w:hAnsi="Verdana" w:cs="Arial"/>
          <w:spacing w:val="-13"/>
        </w:rPr>
        <w:t xml:space="preserve"> </w:t>
      </w:r>
      <w:r w:rsidRPr="00422B6A">
        <w:rPr>
          <w:rFonts w:ascii="Verdana" w:hAnsi="Verdana" w:cs="Arial"/>
          <w:spacing w:val="-1"/>
        </w:rPr>
        <w:t>perdió</w:t>
      </w:r>
      <w:r w:rsidRPr="00422B6A">
        <w:rPr>
          <w:rFonts w:ascii="Verdana" w:hAnsi="Verdana" w:cs="Arial"/>
          <w:spacing w:val="-13"/>
        </w:rPr>
        <w:t xml:space="preserve"> </w:t>
      </w:r>
      <w:r w:rsidRPr="00422B6A">
        <w:rPr>
          <w:rFonts w:ascii="Verdana" w:hAnsi="Verdana" w:cs="Arial"/>
          <w:spacing w:val="-1"/>
        </w:rPr>
        <w:t>carácter</w:t>
      </w:r>
      <w:r w:rsidRPr="00422B6A">
        <w:rPr>
          <w:rFonts w:ascii="Verdana" w:hAnsi="Verdana" w:cs="Arial"/>
          <w:spacing w:val="-14"/>
        </w:rPr>
        <w:t xml:space="preserve"> </w:t>
      </w:r>
      <w:r w:rsidRPr="00422B6A">
        <w:rPr>
          <w:rFonts w:ascii="Verdana" w:hAnsi="Verdana" w:cs="Arial"/>
          <w:spacing w:val="-1"/>
        </w:rPr>
        <w:t>absoluto,</w:t>
      </w:r>
      <w:r w:rsidRPr="00422B6A">
        <w:rPr>
          <w:rFonts w:ascii="Verdana" w:hAnsi="Verdana" w:cs="Arial"/>
          <w:spacing w:val="-13"/>
        </w:rPr>
        <w:t xml:space="preserve"> </w:t>
      </w:r>
      <w:r w:rsidRPr="00422B6A">
        <w:rPr>
          <w:rFonts w:ascii="Verdana" w:hAnsi="Verdana" w:cs="Arial"/>
          <w:spacing w:val="-1"/>
        </w:rPr>
        <w:t>dada</w:t>
      </w:r>
      <w:r w:rsidRPr="00422B6A">
        <w:rPr>
          <w:rFonts w:ascii="Verdana" w:hAnsi="Verdana" w:cs="Arial"/>
          <w:spacing w:val="-13"/>
        </w:rPr>
        <w:t xml:space="preserve"> </w:t>
      </w:r>
      <w:r w:rsidRPr="00422B6A">
        <w:rPr>
          <w:rFonts w:ascii="Verdana" w:hAnsi="Verdana" w:cs="Arial"/>
          <w:spacing w:val="-1"/>
        </w:rPr>
        <w:t>la</w:t>
      </w:r>
      <w:r w:rsidRPr="00422B6A">
        <w:rPr>
          <w:rFonts w:ascii="Verdana" w:hAnsi="Verdana" w:cs="Arial"/>
          <w:spacing w:val="-13"/>
        </w:rPr>
        <w:t xml:space="preserve"> </w:t>
      </w:r>
      <w:r w:rsidRPr="00422B6A">
        <w:rPr>
          <w:rFonts w:ascii="Verdana" w:hAnsi="Verdana" w:cs="Arial"/>
          <w:spacing w:val="-1"/>
        </w:rPr>
        <w:t>posib</w:t>
      </w:r>
      <w:r>
        <w:rPr>
          <w:rFonts w:ascii="Verdana" w:hAnsi="Verdana" w:cs="Arial"/>
          <w:spacing w:val="-1"/>
        </w:rPr>
        <w:t>ilidad de que</w:t>
      </w:r>
      <w:r w:rsidRPr="00422B6A">
        <w:rPr>
          <w:rFonts w:ascii="Verdana" w:hAnsi="Verdana" w:cs="Arial"/>
          <w:spacing w:val="-1"/>
        </w:rPr>
        <w:t xml:space="preserve"> </w:t>
      </w:r>
      <w:r w:rsidRPr="00422B6A">
        <w:rPr>
          <w:rFonts w:ascii="Verdana" w:hAnsi="Verdana" w:cs="Arial"/>
        </w:rPr>
        <w:t>exist</w:t>
      </w:r>
      <w:r>
        <w:rPr>
          <w:rFonts w:ascii="Verdana" w:hAnsi="Verdana" w:cs="Arial"/>
        </w:rPr>
        <w:t>an</w:t>
      </w:r>
      <w:r w:rsidRPr="00422B6A">
        <w:rPr>
          <w:rFonts w:ascii="Verdana" w:hAnsi="Verdana" w:cs="Arial"/>
        </w:rPr>
        <w:t xml:space="preserve"> sociedades unipersonales–; además, cada socio debe hacer aportes a la</w:t>
      </w:r>
      <w:r w:rsidRPr="00422B6A">
        <w:rPr>
          <w:rFonts w:ascii="Verdana" w:hAnsi="Verdana" w:cs="Arial"/>
          <w:spacing w:val="1"/>
        </w:rPr>
        <w:t xml:space="preserve"> </w:t>
      </w:r>
      <w:r w:rsidRPr="00422B6A">
        <w:rPr>
          <w:rFonts w:ascii="Verdana" w:hAnsi="Verdana" w:cs="Arial"/>
          <w:spacing w:val="-1"/>
        </w:rPr>
        <w:t>sociedad;</w:t>
      </w:r>
      <w:r w:rsidRPr="00422B6A">
        <w:rPr>
          <w:rFonts w:ascii="Verdana" w:hAnsi="Verdana" w:cs="Arial"/>
          <w:spacing w:val="-14"/>
        </w:rPr>
        <w:t xml:space="preserve"> </w:t>
      </w:r>
      <w:r w:rsidRPr="00422B6A">
        <w:rPr>
          <w:rFonts w:ascii="Verdana" w:hAnsi="Verdana" w:cs="Arial"/>
          <w:spacing w:val="-1"/>
        </w:rPr>
        <w:t>y</w:t>
      </w:r>
      <w:r w:rsidRPr="00422B6A">
        <w:rPr>
          <w:rFonts w:ascii="Verdana" w:hAnsi="Verdana" w:cs="Arial"/>
          <w:spacing w:val="-14"/>
        </w:rPr>
        <w:t xml:space="preserve"> </w:t>
      </w:r>
      <w:r w:rsidRPr="00422B6A">
        <w:rPr>
          <w:rFonts w:ascii="Verdana" w:hAnsi="Verdana" w:cs="Arial"/>
          <w:spacing w:val="-1"/>
        </w:rPr>
        <w:t>los</w:t>
      </w:r>
      <w:r w:rsidRPr="00422B6A">
        <w:rPr>
          <w:rFonts w:ascii="Verdana" w:hAnsi="Verdana" w:cs="Arial"/>
          <w:spacing w:val="-14"/>
        </w:rPr>
        <w:t xml:space="preserve"> </w:t>
      </w:r>
      <w:r w:rsidRPr="00422B6A">
        <w:rPr>
          <w:rFonts w:ascii="Verdana" w:hAnsi="Verdana" w:cs="Arial"/>
          <w:spacing w:val="-1"/>
        </w:rPr>
        <w:t>socios</w:t>
      </w:r>
      <w:r w:rsidRPr="00422B6A">
        <w:rPr>
          <w:rFonts w:ascii="Verdana" w:hAnsi="Verdana" w:cs="Arial"/>
          <w:spacing w:val="-13"/>
        </w:rPr>
        <w:t xml:space="preserve"> </w:t>
      </w:r>
      <w:r w:rsidRPr="00422B6A">
        <w:rPr>
          <w:rFonts w:ascii="Verdana" w:hAnsi="Verdana" w:cs="Arial"/>
          <w:spacing w:val="-1"/>
        </w:rPr>
        <w:t>deben</w:t>
      </w:r>
      <w:r w:rsidRPr="00422B6A">
        <w:rPr>
          <w:rFonts w:ascii="Verdana" w:hAnsi="Verdana" w:cs="Arial"/>
          <w:spacing w:val="-14"/>
        </w:rPr>
        <w:t xml:space="preserve"> </w:t>
      </w:r>
      <w:r w:rsidRPr="00422B6A">
        <w:rPr>
          <w:rFonts w:ascii="Verdana" w:hAnsi="Verdana" w:cs="Arial"/>
          <w:spacing w:val="-1"/>
        </w:rPr>
        <w:t>tener</w:t>
      </w:r>
      <w:r w:rsidRPr="00422B6A">
        <w:rPr>
          <w:rFonts w:ascii="Verdana" w:hAnsi="Verdana" w:cs="Arial"/>
          <w:spacing w:val="-14"/>
        </w:rPr>
        <w:t xml:space="preserve"> </w:t>
      </w:r>
      <w:r w:rsidRPr="00422B6A">
        <w:rPr>
          <w:rFonts w:ascii="Verdana" w:hAnsi="Verdana" w:cs="Arial"/>
          <w:spacing w:val="-1"/>
        </w:rPr>
        <w:t>ánimo</w:t>
      </w:r>
      <w:r w:rsidRPr="00422B6A">
        <w:rPr>
          <w:rFonts w:ascii="Verdana" w:hAnsi="Verdana" w:cs="Arial"/>
          <w:spacing w:val="-13"/>
        </w:rPr>
        <w:t xml:space="preserve"> </w:t>
      </w:r>
      <w:r w:rsidRPr="00422B6A">
        <w:rPr>
          <w:rFonts w:ascii="Verdana" w:hAnsi="Verdana" w:cs="Arial"/>
          <w:spacing w:val="-1"/>
        </w:rPr>
        <w:t>de</w:t>
      </w:r>
      <w:r w:rsidRPr="00422B6A">
        <w:rPr>
          <w:rFonts w:ascii="Verdana" w:hAnsi="Verdana" w:cs="Arial"/>
          <w:spacing w:val="-14"/>
        </w:rPr>
        <w:t xml:space="preserve"> </w:t>
      </w:r>
      <w:r w:rsidRPr="00422B6A">
        <w:rPr>
          <w:rFonts w:ascii="Verdana" w:hAnsi="Verdana" w:cs="Arial"/>
          <w:spacing w:val="-1"/>
        </w:rPr>
        <w:t>lucrarse</w:t>
      </w:r>
      <w:r w:rsidRPr="00422B6A">
        <w:rPr>
          <w:rFonts w:ascii="Verdana" w:hAnsi="Verdana" w:cs="Arial"/>
          <w:spacing w:val="-14"/>
        </w:rPr>
        <w:t xml:space="preserve"> </w:t>
      </w:r>
      <w:r w:rsidRPr="00422B6A">
        <w:rPr>
          <w:rFonts w:ascii="Verdana" w:hAnsi="Verdana" w:cs="Arial"/>
          <w:spacing w:val="-1"/>
        </w:rPr>
        <w:t>con</w:t>
      </w:r>
      <w:r w:rsidRPr="00422B6A">
        <w:rPr>
          <w:rFonts w:ascii="Verdana" w:hAnsi="Verdana" w:cs="Arial"/>
          <w:spacing w:val="-13"/>
        </w:rPr>
        <w:t xml:space="preserve"> </w:t>
      </w:r>
      <w:r w:rsidRPr="00422B6A">
        <w:rPr>
          <w:rFonts w:ascii="Verdana" w:hAnsi="Verdana" w:cs="Arial"/>
          <w:spacing w:val="-1"/>
        </w:rPr>
        <w:t>el</w:t>
      </w:r>
      <w:r w:rsidRPr="00422B6A">
        <w:rPr>
          <w:rFonts w:ascii="Verdana" w:hAnsi="Verdana" w:cs="Arial"/>
          <w:spacing w:val="-14"/>
        </w:rPr>
        <w:t xml:space="preserve"> </w:t>
      </w:r>
      <w:r w:rsidRPr="00422B6A">
        <w:rPr>
          <w:rFonts w:ascii="Verdana" w:hAnsi="Verdana" w:cs="Arial"/>
          <w:spacing w:val="-1"/>
        </w:rPr>
        <w:t>desarrollo</w:t>
      </w:r>
      <w:r w:rsidRPr="00422B6A">
        <w:rPr>
          <w:rFonts w:ascii="Verdana" w:hAnsi="Verdana" w:cs="Arial"/>
          <w:spacing w:val="-14"/>
        </w:rPr>
        <w:t xml:space="preserve"> </w:t>
      </w:r>
      <w:r w:rsidRPr="00422B6A">
        <w:rPr>
          <w:rFonts w:ascii="Verdana" w:hAnsi="Verdana" w:cs="Arial"/>
        </w:rPr>
        <w:t>de</w:t>
      </w:r>
      <w:r w:rsidRPr="00422B6A">
        <w:rPr>
          <w:rFonts w:ascii="Verdana" w:hAnsi="Verdana" w:cs="Arial"/>
          <w:spacing w:val="-13"/>
        </w:rPr>
        <w:t xml:space="preserve"> </w:t>
      </w:r>
      <w:r w:rsidRPr="00422B6A">
        <w:rPr>
          <w:rFonts w:ascii="Verdana" w:hAnsi="Verdana" w:cs="Arial"/>
        </w:rPr>
        <w:t>la</w:t>
      </w:r>
      <w:r w:rsidRPr="00422B6A">
        <w:rPr>
          <w:rFonts w:ascii="Verdana" w:hAnsi="Verdana" w:cs="Arial"/>
          <w:spacing w:val="-14"/>
        </w:rPr>
        <w:t xml:space="preserve"> </w:t>
      </w:r>
      <w:r w:rsidRPr="00422B6A">
        <w:rPr>
          <w:rFonts w:ascii="Verdana" w:hAnsi="Verdana" w:cs="Arial"/>
        </w:rPr>
        <w:t>actividad</w:t>
      </w:r>
      <w:r w:rsidRPr="00422B6A">
        <w:rPr>
          <w:rFonts w:ascii="Verdana" w:hAnsi="Verdana" w:cs="Arial"/>
          <w:spacing w:val="-14"/>
        </w:rPr>
        <w:t xml:space="preserve"> </w:t>
      </w:r>
      <w:r w:rsidRPr="00422B6A">
        <w:rPr>
          <w:rFonts w:ascii="Verdana" w:hAnsi="Verdana" w:cs="Arial"/>
        </w:rPr>
        <w:t xml:space="preserve">que </w:t>
      </w:r>
      <w:r w:rsidRPr="0090369E">
        <w:rPr>
          <w:rFonts w:ascii="Verdana" w:hAnsi="Verdana" w:cs="Arial"/>
          <w:spacing w:val="-1"/>
        </w:rPr>
        <w:t xml:space="preserve">constituya el objeto social, que en este caso se representa en la vocación de repartir </w:t>
      </w:r>
      <w:r w:rsidRPr="00422B6A">
        <w:rPr>
          <w:rFonts w:ascii="Verdana" w:hAnsi="Verdana" w:cs="Arial"/>
          <w:spacing w:val="-1"/>
        </w:rPr>
        <w:t>utilidades.</w:t>
      </w:r>
      <w:r w:rsidRPr="0090369E">
        <w:rPr>
          <w:rFonts w:ascii="Verdana" w:hAnsi="Verdana" w:cs="Arial"/>
          <w:spacing w:val="-1"/>
        </w:rPr>
        <w:t xml:space="preserve"> </w:t>
      </w:r>
      <w:r w:rsidRPr="00422B6A">
        <w:rPr>
          <w:rFonts w:ascii="Verdana" w:hAnsi="Verdana" w:cs="Arial"/>
          <w:spacing w:val="-1"/>
        </w:rPr>
        <w:t>De</w:t>
      </w:r>
      <w:r w:rsidRPr="0090369E">
        <w:rPr>
          <w:rFonts w:ascii="Verdana" w:hAnsi="Verdana" w:cs="Arial"/>
          <w:spacing w:val="-1"/>
        </w:rPr>
        <w:t xml:space="preserve"> </w:t>
      </w:r>
      <w:r w:rsidRPr="00422B6A">
        <w:rPr>
          <w:rFonts w:ascii="Verdana" w:hAnsi="Verdana" w:cs="Arial"/>
          <w:spacing w:val="-1"/>
        </w:rPr>
        <w:t>esta</w:t>
      </w:r>
      <w:r w:rsidRPr="0090369E">
        <w:rPr>
          <w:rFonts w:ascii="Verdana" w:hAnsi="Verdana" w:cs="Arial"/>
          <w:spacing w:val="-1"/>
        </w:rPr>
        <w:t xml:space="preserve"> </w:t>
      </w:r>
      <w:r w:rsidRPr="00422B6A">
        <w:rPr>
          <w:rFonts w:ascii="Verdana" w:hAnsi="Verdana" w:cs="Arial"/>
          <w:spacing w:val="-1"/>
        </w:rPr>
        <w:t>manera,</w:t>
      </w:r>
      <w:r w:rsidRPr="0090369E">
        <w:rPr>
          <w:rFonts w:ascii="Verdana" w:hAnsi="Verdana" w:cs="Arial"/>
          <w:spacing w:val="-1"/>
        </w:rPr>
        <w:t xml:space="preserve"> </w:t>
      </w:r>
      <w:r w:rsidRPr="00422B6A">
        <w:rPr>
          <w:rFonts w:ascii="Verdana" w:hAnsi="Verdana" w:cs="Arial"/>
          <w:spacing w:val="-1"/>
        </w:rPr>
        <w:t>se</w:t>
      </w:r>
      <w:r w:rsidRPr="0090369E">
        <w:rPr>
          <w:rFonts w:ascii="Verdana" w:hAnsi="Verdana" w:cs="Arial"/>
          <w:spacing w:val="-1"/>
        </w:rPr>
        <w:t xml:space="preserve"> </w:t>
      </w:r>
      <w:r w:rsidRPr="00422B6A">
        <w:rPr>
          <w:rFonts w:ascii="Verdana" w:hAnsi="Verdana" w:cs="Arial"/>
          <w:spacing w:val="-1"/>
        </w:rPr>
        <w:t>trata</w:t>
      </w:r>
      <w:r w:rsidRPr="0090369E">
        <w:rPr>
          <w:rFonts w:ascii="Verdana" w:hAnsi="Verdana" w:cs="Arial"/>
          <w:spacing w:val="-1"/>
        </w:rPr>
        <w:t xml:space="preserve"> </w:t>
      </w:r>
      <w:r w:rsidRPr="00422B6A">
        <w:rPr>
          <w:rFonts w:ascii="Verdana" w:hAnsi="Verdana" w:cs="Arial"/>
          <w:spacing w:val="-1"/>
        </w:rPr>
        <w:t>de</w:t>
      </w:r>
      <w:r w:rsidRPr="0090369E">
        <w:rPr>
          <w:rFonts w:ascii="Verdana" w:hAnsi="Verdana" w:cs="Arial"/>
          <w:spacing w:val="-1"/>
        </w:rPr>
        <w:t xml:space="preserve"> </w:t>
      </w:r>
      <w:r w:rsidRPr="00422B6A">
        <w:rPr>
          <w:rFonts w:ascii="Verdana" w:hAnsi="Verdana" w:cs="Arial"/>
          <w:spacing w:val="-1"/>
        </w:rPr>
        <w:t>elementos</w:t>
      </w:r>
      <w:r w:rsidRPr="0090369E">
        <w:rPr>
          <w:rFonts w:ascii="Verdana" w:hAnsi="Verdana" w:cs="Arial"/>
          <w:spacing w:val="-1"/>
        </w:rPr>
        <w:t xml:space="preserve"> y requisitos necesarios para que exista el contrato de sociedad y, por tanto, de la sociedad comercial.</w:t>
      </w:r>
    </w:p>
    <w:p w14:paraId="15EB9796" w14:textId="77777777" w:rsidR="00AA67A0" w:rsidRPr="00422B6A" w:rsidRDefault="00AA67A0" w:rsidP="00AA67A0">
      <w:pPr>
        <w:pStyle w:val="Textoindependiente"/>
        <w:spacing w:before="120"/>
        <w:ind w:right="49" w:firstLine="708"/>
        <w:jc w:val="both"/>
        <w:rPr>
          <w:rFonts w:ascii="Verdana" w:hAnsi="Verdana" w:cs="Arial"/>
        </w:rPr>
      </w:pPr>
      <w:r w:rsidRPr="00422B6A">
        <w:rPr>
          <w:rFonts w:ascii="Verdana" w:hAnsi="Verdana" w:cs="Arial"/>
        </w:rPr>
        <w:t>En relación con el segundo aspecto citado, lo propio de las sociedades comerciales es</w:t>
      </w:r>
      <w:r w:rsidRPr="00422B6A">
        <w:rPr>
          <w:rFonts w:ascii="Verdana" w:hAnsi="Verdana" w:cs="Arial"/>
          <w:spacing w:val="1"/>
        </w:rPr>
        <w:t xml:space="preserve"> </w:t>
      </w:r>
      <w:r w:rsidRPr="00422B6A">
        <w:rPr>
          <w:rFonts w:ascii="Verdana" w:hAnsi="Verdana" w:cs="Arial"/>
          <w:spacing w:val="-3"/>
        </w:rPr>
        <w:t>realizar</w:t>
      </w:r>
      <w:r w:rsidRPr="00422B6A">
        <w:rPr>
          <w:rFonts w:ascii="Verdana" w:hAnsi="Verdana" w:cs="Arial"/>
          <w:spacing w:val="-17"/>
        </w:rPr>
        <w:t xml:space="preserve"> </w:t>
      </w:r>
      <w:r w:rsidRPr="00422B6A">
        <w:rPr>
          <w:rFonts w:ascii="Verdana" w:hAnsi="Verdana" w:cs="Arial"/>
          <w:spacing w:val="-3"/>
        </w:rPr>
        <w:t>actos</w:t>
      </w:r>
      <w:r w:rsidRPr="00422B6A">
        <w:rPr>
          <w:rFonts w:ascii="Verdana" w:hAnsi="Verdana" w:cs="Arial"/>
          <w:spacing w:val="-17"/>
        </w:rPr>
        <w:t xml:space="preserve"> </w:t>
      </w:r>
      <w:r w:rsidRPr="00422B6A">
        <w:rPr>
          <w:rFonts w:ascii="Verdana" w:hAnsi="Verdana" w:cs="Arial"/>
          <w:spacing w:val="-3"/>
        </w:rPr>
        <w:t>de</w:t>
      </w:r>
      <w:r w:rsidRPr="00422B6A">
        <w:rPr>
          <w:rFonts w:ascii="Verdana" w:hAnsi="Verdana" w:cs="Arial"/>
          <w:spacing w:val="-17"/>
        </w:rPr>
        <w:t xml:space="preserve"> </w:t>
      </w:r>
      <w:r w:rsidRPr="00422B6A">
        <w:rPr>
          <w:rFonts w:ascii="Verdana" w:hAnsi="Verdana" w:cs="Arial"/>
          <w:spacing w:val="-3"/>
        </w:rPr>
        <w:t>comercio</w:t>
      </w:r>
      <w:r w:rsidRPr="00422B6A">
        <w:rPr>
          <w:rFonts w:ascii="Verdana" w:hAnsi="Verdana" w:cs="Arial"/>
          <w:spacing w:val="-17"/>
        </w:rPr>
        <w:t xml:space="preserve"> </w:t>
      </w:r>
      <w:r w:rsidRPr="00422B6A">
        <w:rPr>
          <w:rFonts w:ascii="Verdana" w:hAnsi="Verdana" w:cs="Arial"/>
          <w:spacing w:val="-3"/>
        </w:rPr>
        <w:t>o</w:t>
      </w:r>
      <w:r w:rsidRPr="00422B6A">
        <w:rPr>
          <w:rFonts w:ascii="Verdana" w:hAnsi="Verdana" w:cs="Arial"/>
          <w:spacing w:val="-17"/>
        </w:rPr>
        <w:t xml:space="preserve"> </w:t>
      </w:r>
      <w:r w:rsidRPr="00422B6A">
        <w:rPr>
          <w:rFonts w:ascii="Verdana" w:hAnsi="Verdana" w:cs="Arial"/>
          <w:spacing w:val="-3"/>
        </w:rPr>
        <w:t>empresas</w:t>
      </w:r>
      <w:r w:rsidRPr="00422B6A">
        <w:rPr>
          <w:rFonts w:ascii="Verdana" w:hAnsi="Verdana" w:cs="Arial"/>
          <w:spacing w:val="-17"/>
        </w:rPr>
        <w:t xml:space="preserve"> </w:t>
      </w:r>
      <w:r w:rsidRPr="00422B6A">
        <w:rPr>
          <w:rFonts w:ascii="Verdana" w:hAnsi="Verdana" w:cs="Arial"/>
          <w:spacing w:val="-3"/>
        </w:rPr>
        <w:t>mercantiles,</w:t>
      </w:r>
      <w:r w:rsidRPr="00422B6A">
        <w:rPr>
          <w:rFonts w:ascii="Verdana" w:hAnsi="Verdana" w:cs="Arial"/>
          <w:spacing w:val="-17"/>
        </w:rPr>
        <w:t xml:space="preserve"> </w:t>
      </w:r>
      <w:r w:rsidRPr="00422B6A">
        <w:rPr>
          <w:rFonts w:ascii="Verdana" w:hAnsi="Verdana" w:cs="Arial"/>
          <w:spacing w:val="-2"/>
        </w:rPr>
        <w:t>de</w:t>
      </w:r>
      <w:r w:rsidRPr="00422B6A">
        <w:rPr>
          <w:rFonts w:ascii="Verdana" w:hAnsi="Verdana" w:cs="Arial"/>
          <w:spacing w:val="-17"/>
        </w:rPr>
        <w:t xml:space="preserve"> </w:t>
      </w:r>
      <w:r w:rsidRPr="00422B6A">
        <w:rPr>
          <w:rFonts w:ascii="Verdana" w:hAnsi="Verdana" w:cs="Arial"/>
          <w:spacing w:val="-2"/>
        </w:rPr>
        <w:t>ahí</w:t>
      </w:r>
      <w:r w:rsidRPr="00422B6A">
        <w:rPr>
          <w:rFonts w:ascii="Verdana" w:hAnsi="Verdana" w:cs="Arial"/>
          <w:spacing w:val="-17"/>
        </w:rPr>
        <w:t xml:space="preserve"> </w:t>
      </w:r>
      <w:r w:rsidRPr="00422B6A">
        <w:rPr>
          <w:rFonts w:ascii="Verdana" w:hAnsi="Verdana" w:cs="Arial"/>
          <w:spacing w:val="-2"/>
        </w:rPr>
        <w:t>que</w:t>
      </w:r>
      <w:r w:rsidRPr="00422B6A">
        <w:rPr>
          <w:rFonts w:ascii="Verdana" w:hAnsi="Verdana" w:cs="Arial"/>
          <w:spacing w:val="-17"/>
        </w:rPr>
        <w:t xml:space="preserve"> </w:t>
      </w:r>
      <w:r w:rsidRPr="00422B6A">
        <w:rPr>
          <w:rFonts w:ascii="Verdana" w:hAnsi="Verdana" w:cs="Arial"/>
          <w:spacing w:val="-2"/>
        </w:rPr>
        <w:t>el</w:t>
      </w:r>
      <w:r w:rsidRPr="00422B6A">
        <w:rPr>
          <w:rFonts w:ascii="Verdana" w:hAnsi="Verdana" w:cs="Arial"/>
          <w:spacing w:val="-17"/>
        </w:rPr>
        <w:t xml:space="preserve"> </w:t>
      </w:r>
      <w:r w:rsidRPr="00422B6A">
        <w:rPr>
          <w:rFonts w:ascii="Verdana" w:hAnsi="Verdana" w:cs="Arial"/>
          <w:spacing w:val="-2"/>
        </w:rPr>
        <w:t>inciso</w:t>
      </w:r>
      <w:r w:rsidRPr="00422B6A">
        <w:rPr>
          <w:rFonts w:ascii="Verdana" w:hAnsi="Verdana" w:cs="Arial"/>
          <w:spacing w:val="-17"/>
        </w:rPr>
        <w:t xml:space="preserve"> </w:t>
      </w:r>
      <w:r w:rsidRPr="00422B6A">
        <w:rPr>
          <w:rFonts w:ascii="Verdana" w:hAnsi="Verdana" w:cs="Arial"/>
          <w:spacing w:val="-2"/>
        </w:rPr>
        <w:t>primero</w:t>
      </w:r>
      <w:r w:rsidRPr="00422B6A">
        <w:rPr>
          <w:rFonts w:ascii="Verdana" w:hAnsi="Verdana" w:cs="Arial"/>
          <w:spacing w:val="-17"/>
        </w:rPr>
        <w:t xml:space="preserve"> </w:t>
      </w:r>
      <w:r w:rsidRPr="00422B6A">
        <w:rPr>
          <w:rFonts w:ascii="Verdana" w:hAnsi="Verdana" w:cs="Arial"/>
          <w:spacing w:val="-2"/>
        </w:rPr>
        <w:t>del</w:t>
      </w:r>
      <w:r w:rsidRPr="00422B6A">
        <w:rPr>
          <w:rFonts w:ascii="Verdana" w:hAnsi="Verdana" w:cs="Arial"/>
          <w:spacing w:val="-17"/>
        </w:rPr>
        <w:t xml:space="preserve"> </w:t>
      </w:r>
      <w:r w:rsidRPr="002A20F5">
        <w:rPr>
          <w:rFonts w:ascii="Verdana" w:hAnsi="Verdana" w:cs="Arial"/>
          <w:spacing w:val="-1"/>
        </w:rPr>
        <w:t>artículo 100 del Código de Comercio establezca que “se tendrán como comerciales, para todos</w:t>
      </w:r>
      <w:r w:rsidRPr="00422B6A">
        <w:rPr>
          <w:rFonts w:ascii="Verdana" w:hAnsi="Verdana" w:cs="Arial"/>
        </w:rPr>
        <w:t xml:space="preserve"> los efectos legales, las sociedades que se formen para la ejecución de actos o empresas mercantiles. Si la empresa social comprende actos mercantiles y actos que no tengan esa calidad, la sociedad</w:t>
      </w:r>
      <w:r w:rsidRPr="00422B6A">
        <w:rPr>
          <w:rFonts w:ascii="Verdana" w:hAnsi="Verdana" w:cs="Arial"/>
          <w:spacing w:val="-7"/>
        </w:rPr>
        <w:t xml:space="preserve"> </w:t>
      </w:r>
      <w:r w:rsidRPr="00422B6A">
        <w:rPr>
          <w:rFonts w:ascii="Verdana" w:hAnsi="Verdana" w:cs="Arial"/>
        </w:rPr>
        <w:t>será</w:t>
      </w:r>
      <w:r w:rsidRPr="00422B6A">
        <w:rPr>
          <w:rFonts w:ascii="Verdana" w:hAnsi="Verdana" w:cs="Arial"/>
          <w:spacing w:val="-7"/>
        </w:rPr>
        <w:t xml:space="preserve"> </w:t>
      </w:r>
      <w:r w:rsidRPr="00422B6A">
        <w:rPr>
          <w:rFonts w:ascii="Verdana" w:hAnsi="Verdana" w:cs="Arial"/>
        </w:rPr>
        <w:t>comercial”.</w:t>
      </w:r>
    </w:p>
    <w:p w14:paraId="0A231F60" w14:textId="77777777" w:rsidR="00AA67A0" w:rsidRPr="00422B6A" w:rsidRDefault="00AA67A0" w:rsidP="00AA67A0">
      <w:pPr>
        <w:pStyle w:val="Textoindependiente"/>
        <w:spacing w:before="120"/>
        <w:ind w:right="49" w:firstLine="708"/>
        <w:jc w:val="both"/>
        <w:rPr>
          <w:rFonts w:ascii="Verdana" w:hAnsi="Verdana" w:cs="Arial"/>
        </w:rPr>
      </w:pPr>
      <w:r w:rsidRPr="00422B6A">
        <w:rPr>
          <w:rFonts w:ascii="Verdana" w:hAnsi="Verdana" w:cs="Arial"/>
          <w:spacing w:val="-3"/>
        </w:rPr>
        <w:t>Las</w:t>
      </w:r>
      <w:r w:rsidRPr="00422B6A">
        <w:rPr>
          <w:rFonts w:ascii="Verdana" w:hAnsi="Verdana" w:cs="Arial"/>
          <w:spacing w:val="-13"/>
        </w:rPr>
        <w:t xml:space="preserve"> </w:t>
      </w:r>
      <w:r w:rsidRPr="00422B6A">
        <w:rPr>
          <w:rFonts w:ascii="Verdana" w:hAnsi="Verdana" w:cs="Arial"/>
          <w:spacing w:val="-3"/>
        </w:rPr>
        <w:t>normas</w:t>
      </w:r>
      <w:r w:rsidRPr="00422B6A">
        <w:rPr>
          <w:rFonts w:ascii="Verdana" w:hAnsi="Verdana" w:cs="Arial"/>
          <w:spacing w:val="-12"/>
        </w:rPr>
        <w:t xml:space="preserve"> </w:t>
      </w:r>
      <w:r w:rsidRPr="00422B6A">
        <w:rPr>
          <w:rFonts w:ascii="Verdana" w:hAnsi="Verdana" w:cs="Arial"/>
          <w:spacing w:val="-3"/>
        </w:rPr>
        <w:t>indicadas</w:t>
      </w:r>
      <w:r w:rsidRPr="00422B6A">
        <w:rPr>
          <w:rFonts w:ascii="Verdana" w:hAnsi="Verdana" w:cs="Arial"/>
          <w:spacing w:val="-13"/>
        </w:rPr>
        <w:t xml:space="preserve"> </w:t>
      </w:r>
      <w:r w:rsidRPr="00422B6A">
        <w:rPr>
          <w:rFonts w:ascii="Verdana" w:hAnsi="Verdana" w:cs="Arial"/>
          <w:spacing w:val="-3"/>
        </w:rPr>
        <w:t>se</w:t>
      </w:r>
      <w:r w:rsidRPr="00422B6A">
        <w:rPr>
          <w:rFonts w:ascii="Verdana" w:hAnsi="Verdana" w:cs="Arial"/>
          <w:spacing w:val="-12"/>
        </w:rPr>
        <w:t xml:space="preserve"> </w:t>
      </w:r>
      <w:r w:rsidRPr="00422B6A">
        <w:rPr>
          <w:rFonts w:ascii="Verdana" w:hAnsi="Verdana" w:cs="Arial"/>
          <w:spacing w:val="-3"/>
        </w:rPr>
        <w:t>encuentran</w:t>
      </w:r>
      <w:r w:rsidRPr="00422B6A">
        <w:rPr>
          <w:rFonts w:ascii="Verdana" w:hAnsi="Verdana" w:cs="Arial"/>
          <w:spacing w:val="-13"/>
        </w:rPr>
        <w:t xml:space="preserve"> </w:t>
      </w:r>
      <w:r w:rsidRPr="00422B6A">
        <w:rPr>
          <w:rFonts w:ascii="Verdana" w:hAnsi="Verdana" w:cs="Arial"/>
          <w:spacing w:val="-3"/>
        </w:rPr>
        <w:t>en</w:t>
      </w:r>
      <w:r w:rsidRPr="00422B6A">
        <w:rPr>
          <w:rFonts w:ascii="Verdana" w:hAnsi="Verdana" w:cs="Arial"/>
          <w:spacing w:val="-12"/>
        </w:rPr>
        <w:t xml:space="preserve"> </w:t>
      </w:r>
      <w:r w:rsidRPr="00422B6A">
        <w:rPr>
          <w:rFonts w:ascii="Verdana" w:hAnsi="Verdana" w:cs="Arial"/>
          <w:spacing w:val="-3"/>
        </w:rPr>
        <w:t>el</w:t>
      </w:r>
      <w:r w:rsidRPr="00422B6A">
        <w:rPr>
          <w:rFonts w:ascii="Verdana" w:hAnsi="Verdana" w:cs="Arial"/>
          <w:spacing w:val="-13"/>
        </w:rPr>
        <w:t xml:space="preserve"> </w:t>
      </w:r>
      <w:r w:rsidRPr="00422B6A">
        <w:rPr>
          <w:rFonts w:ascii="Verdana" w:hAnsi="Verdana" w:cs="Arial"/>
          <w:spacing w:val="-3"/>
        </w:rPr>
        <w:t>Libro</w:t>
      </w:r>
      <w:r w:rsidRPr="00422B6A">
        <w:rPr>
          <w:rFonts w:ascii="Verdana" w:hAnsi="Verdana" w:cs="Arial"/>
          <w:spacing w:val="-12"/>
        </w:rPr>
        <w:t xml:space="preserve"> </w:t>
      </w:r>
      <w:r w:rsidRPr="00422B6A">
        <w:rPr>
          <w:rFonts w:ascii="Verdana" w:hAnsi="Verdana" w:cs="Arial"/>
          <w:spacing w:val="-3"/>
        </w:rPr>
        <w:t>Segundo</w:t>
      </w:r>
      <w:r w:rsidRPr="00422B6A">
        <w:rPr>
          <w:rFonts w:ascii="Verdana" w:hAnsi="Verdana" w:cs="Arial"/>
          <w:spacing w:val="-13"/>
        </w:rPr>
        <w:t xml:space="preserve"> </w:t>
      </w:r>
      <w:r w:rsidRPr="00422B6A">
        <w:rPr>
          <w:rFonts w:ascii="Verdana" w:hAnsi="Verdana" w:cs="Arial"/>
          <w:spacing w:val="-2"/>
        </w:rPr>
        <w:t>del</w:t>
      </w:r>
      <w:r w:rsidRPr="00422B6A">
        <w:rPr>
          <w:rFonts w:ascii="Verdana" w:hAnsi="Verdana" w:cs="Arial"/>
          <w:spacing w:val="-12"/>
        </w:rPr>
        <w:t xml:space="preserve"> </w:t>
      </w:r>
      <w:r w:rsidRPr="00422B6A">
        <w:rPr>
          <w:rFonts w:ascii="Verdana" w:hAnsi="Verdana" w:cs="Arial"/>
          <w:spacing w:val="-2"/>
        </w:rPr>
        <w:t>Código</w:t>
      </w:r>
      <w:r w:rsidRPr="00422B6A">
        <w:rPr>
          <w:rFonts w:ascii="Verdana" w:hAnsi="Verdana" w:cs="Arial"/>
          <w:spacing w:val="-13"/>
        </w:rPr>
        <w:t xml:space="preserve"> </w:t>
      </w:r>
      <w:r w:rsidRPr="00422B6A">
        <w:rPr>
          <w:rFonts w:ascii="Verdana" w:hAnsi="Verdana" w:cs="Arial"/>
          <w:spacing w:val="-2"/>
        </w:rPr>
        <w:t>de</w:t>
      </w:r>
      <w:r w:rsidRPr="00422B6A">
        <w:rPr>
          <w:rFonts w:ascii="Verdana" w:hAnsi="Verdana" w:cs="Arial"/>
          <w:spacing w:val="-12"/>
        </w:rPr>
        <w:t xml:space="preserve"> </w:t>
      </w:r>
      <w:r w:rsidRPr="00422B6A">
        <w:rPr>
          <w:rFonts w:ascii="Verdana" w:hAnsi="Verdana" w:cs="Arial"/>
          <w:spacing w:val="-2"/>
        </w:rPr>
        <w:t>Comercio,</w:t>
      </w:r>
      <w:r w:rsidRPr="00422B6A">
        <w:rPr>
          <w:rFonts w:ascii="Verdana" w:hAnsi="Verdana" w:cs="Arial"/>
          <w:spacing w:val="-59"/>
        </w:rPr>
        <w:t xml:space="preserve"> </w:t>
      </w:r>
      <w:r w:rsidRPr="00422B6A">
        <w:rPr>
          <w:rFonts w:ascii="Verdana" w:hAnsi="Verdana" w:cs="Arial"/>
        </w:rPr>
        <w:t>que se ocupa “De las Sociedades Comerciales”, y regula las siguientes materias: el</w:t>
      </w:r>
      <w:r w:rsidRPr="00422B6A">
        <w:rPr>
          <w:rFonts w:ascii="Verdana" w:hAnsi="Verdana" w:cs="Arial"/>
          <w:spacing w:val="1"/>
        </w:rPr>
        <w:t xml:space="preserve"> </w:t>
      </w:r>
      <w:r w:rsidRPr="00422B6A">
        <w:rPr>
          <w:rFonts w:ascii="Verdana" w:hAnsi="Verdana" w:cs="Arial"/>
          <w:spacing w:val="-2"/>
        </w:rPr>
        <w:t>contrato</w:t>
      </w:r>
      <w:r w:rsidRPr="00422B6A">
        <w:rPr>
          <w:rFonts w:ascii="Verdana" w:hAnsi="Verdana" w:cs="Arial"/>
          <w:spacing w:val="-13"/>
        </w:rPr>
        <w:t xml:space="preserve"> </w:t>
      </w:r>
      <w:r w:rsidRPr="00422B6A">
        <w:rPr>
          <w:rFonts w:ascii="Verdana" w:hAnsi="Verdana" w:cs="Arial"/>
          <w:spacing w:val="-2"/>
        </w:rPr>
        <w:t>de</w:t>
      </w:r>
      <w:r w:rsidRPr="00422B6A">
        <w:rPr>
          <w:rFonts w:ascii="Verdana" w:hAnsi="Verdana" w:cs="Arial"/>
          <w:spacing w:val="-13"/>
        </w:rPr>
        <w:t xml:space="preserve"> </w:t>
      </w:r>
      <w:r w:rsidRPr="00422B6A">
        <w:rPr>
          <w:rFonts w:ascii="Verdana" w:hAnsi="Verdana" w:cs="Arial"/>
          <w:spacing w:val="-2"/>
        </w:rPr>
        <w:t>sociedad,</w:t>
      </w:r>
      <w:r w:rsidRPr="00422B6A">
        <w:rPr>
          <w:rFonts w:ascii="Verdana" w:hAnsi="Verdana" w:cs="Arial"/>
          <w:spacing w:val="-13"/>
        </w:rPr>
        <w:t xml:space="preserve"> </w:t>
      </w:r>
      <w:r w:rsidRPr="00422B6A">
        <w:rPr>
          <w:rFonts w:ascii="Verdana" w:hAnsi="Verdana" w:cs="Arial"/>
          <w:spacing w:val="-2"/>
        </w:rPr>
        <w:t>la</w:t>
      </w:r>
      <w:r w:rsidRPr="00422B6A">
        <w:rPr>
          <w:rFonts w:ascii="Verdana" w:hAnsi="Verdana" w:cs="Arial"/>
          <w:spacing w:val="-13"/>
        </w:rPr>
        <w:t xml:space="preserve"> </w:t>
      </w:r>
      <w:r w:rsidRPr="00422B6A">
        <w:rPr>
          <w:rFonts w:ascii="Verdana" w:hAnsi="Verdana" w:cs="Arial"/>
          <w:spacing w:val="-2"/>
        </w:rPr>
        <w:t>constitución</w:t>
      </w:r>
      <w:r w:rsidRPr="00422B6A">
        <w:rPr>
          <w:rFonts w:ascii="Verdana" w:hAnsi="Verdana" w:cs="Arial"/>
          <w:spacing w:val="-13"/>
        </w:rPr>
        <w:t xml:space="preserve"> </w:t>
      </w:r>
      <w:r w:rsidRPr="00422B6A">
        <w:rPr>
          <w:rFonts w:ascii="Verdana" w:hAnsi="Verdana" w:cs="Arial"/>
          <w:spacing w:val="-2"/>
        </w:rPr>
        <w:t>y</w:t>
      </w:r>
      <w:r w:rsidRPr="00422B6A">
        <w:rPr>
          <w:rFonts w:ascii="Verdana" w:hAnsi="Verdana" w:cs="Arial"/>
          <w:spacing w:val="-13"/>
        </w:rPr>
        <w:t xml:space="preserve"> </w:t>
      </w:r>
      <w:r w:rsidRPr="00422B6A">
        <w:rPr>
          <w:rFonts w:ascii="Verdana" w:hAnsi="Verdana" w:cs="Arial"/>
          <w:spacing w:val="-2"/>
        </w:rPr>
        <w:t>prueba</w:t>
      </w:r>
      <w:r w:rsidRPr="00422B6A">
        <w:rPr>
          <w:rFonts w:ascii="Verdana" w:hAnsi="Verdana" w:cs="Arial"/>
          <w:spacing w:val="-13"/>
        </w:rPr>
        <w:t xml:space="preserve"> </w:t>
      </w:r>
      <w:r w:rsidRPr="00422B6A">
        <w:rPr>
          <w:rFonts w:ascii="Verdana" w:hAnsi="Verdana" w:cs="Arial"/>
          <w:spacing w:val="-2"/>
        </w:rPr>
        <w:t>de</w:t>
      </w:r>
      <w:r w:rsidRPr="00422B6A">
        <w:rPr>
          <w:rFonts w:ascii="Verdana" w:hAnsi="Verdana" w:cs="Arial"/>
          <w:spacing w:val="-13"/>
        </w:rPr>
        <w:t xml:space="preserve"> </w:t>
      </w:r>
      <w:r w:rsidRPr="00422B6A">
        <w:rPr>
          <w:rFonts w:ascii="Verdana" w:hAnsi="Verdana" w:cs="Arial"/>
          <w:spacing w:val="-2"/>
        </w:rPr>
        <w:t>la</w:t>
      </w:r>
      <w:r w:rsidRPr="00422B6A">
        <w:rPr>
          <w:rFonts w:ascii="Verdana" w:hAnsi="Verdana" w:cs="Arial"/>
          <w:spacing w:val="-13"/>
        </w:rPr>
        <w:t xml:space="preserve"> </w:t>
      </w:r>
      <w:r w:rsidRPr="00422B6A">
        <w:rPr>
          <w:rFonts w:ascii="Verdana" w:hAnsi="Verdana" w:cs="Arial"/>
          <w:spacing w:val="-2"/>
        </w:rPr>
        <w:t>sociedad</w:t>
      </w:r>
      <w:r w:rsidRPr="00422B6A">
        <w:rPr>
          <w:rFonts w:ascii="Verdana" w:hAnsi="Verdana" w:cs="Arial"/>
          <w:spacing w:val="-13"/>
        </w:rPr>
        <w:t xml:space="preserve"> </w:t>
      </w:r>
      <w:r w:rsidRPr="00422B6A">
        <w:rPr>
          <w:rFonts w:ascii="Verdana" w:hAnsi="Verdana" w:cs="Arial"/>
          <w:spacing w:val="-1"/>
        </w:rPr>
        <w:t>comercial,</w:t>
      </w:r>
      <w:r w:rsidRPr="00422B6A">
        <w:rPr>
          <w:rFonts w:ascii="Verdana" w:hAnsi="Verdana" w:cs="Arial"/>
          <w:spacing w:val="-13"/>
        </w:rPr>
        <w:t xml:space="preserve"> </w:t>
      </w:r>
      <w:r w:rsidRPr="00422B6A">
        <w:rPr>
          <w:rFonts w:ascii="Verdana" w:hAnsi="Verdana" w:cs="Arial"/>
          <w:spacing w:val="-1"/>
        </w:rPr>
        <w:t>los</w:t>
      </w:r>
      <w:r w:rsidRPr="00422B6A">
        <w:rPr>
          <w:rFonts w:ascii="Verdana" w:hAnsi="Verdana" w:cs="Arial"/>
          <w:spacing w:val="-13"/>
        </w:rPr>
        <w:t xml:space="preserve"> </w:t>
      </w:r>
      <w:r w:rsidRPr="00422B6A">
        <w:rPr>
          <w:rFonts w:ascii="Verdana" w:hAnsi="Verdana" w:cs="Arial"/>
          <w:spacing w:val="-1"/>
        </w:rPr>
        <w:t>aportes</w:t>
      </w:r>
      <w:r w:rsidRPr="00422B6A">
        <w:rPr>
          <w:rFonts w:ascii="Verdana" w:hAnsi="Verdana" w:cs="Arial"/>
          <w:spacing w:val="-13"/>
        </w:rPr>
        <w:t xml:space="preserve"> </w:t>
      </w:r>
      <w:r w:rsidRPr="00422B6A">
        <w:rPr>
          <w:rFonts w:ascii="Verdana" w:hAnsi="Verdana" w:cs="Arial"/>
          <w:spacing w:val="-1"/>
        </w:rPr>
        <w:t>de</w:t>
      </w:r>
      <w:r w:rsidRPr="00422B6A">
        <w:rPr>
          <w:rFonts w:ascii="Verdana" w:hAnsi="Verdana" w:cs="Arial"/>
          <w:spacing w:val="-13"/>
        </w:rPr>
        <w:t xml:space="preserve"> </w:t>
      </w:r>
      <w:r w:rsidRPr="00422B6A">
        <w:rPr>
          <w:rFonts w:ascii="Verdana" w:hAnsi="Verdana" w:cs="Arial"/>
          <w:spacing w:val="-1"/>
        </w:rPr>
        <w:t xml:space="preserve">los </w:t>
      </w:r>
      <w:r w:rsidRPr="00422B6A">
        <w:rPr>
          <w:rFonts w:ascii="Verdana" w:hAnsi="Verdana" w:cs="Arial"/>
          <w:spacing w:val="-59"/>
        </w:rPr>
        <w:t xml:space="preserve"> </w:t>
      </w:r>
      <w:r w:rsidRPr="00422B6A">
        <w:rPr>
          <w:rFonts w:ascii="Verdana" w:hAnsi="Verdana" w:cs="Arial"/>
        </w:rPr>
        <w:t>asociados, las utilidades sociales, las reformas del contrato social, la transformación y</w:t>
      </w:r>
      <w:r w:rsidRPr="00422B6A">
        <w:rPr>
          <w:rFonts w:ascii="Verdana" w:hAnsi="Verdana" w:cs="Arial"/>
          <w:spacing w:val="1"/>
        </w:rPr>
        <w:t xml:space="preserve"> </w:t>
      </w:r>
      <w:r w:rsidRPr="00422B6A">
        <w:rPr>
          <w:rFonts w:ascii="Verdana" w:hAnsi="Verdana" w:cs="Arial"/>
          <w:spacing w:val="-3"/>
        </w:rPr>
        <w:t>fusión</w:t>
      </w:r>
      <w:r w:rsidRPr="00422B6A">
        <w:rPr>
          <w:rFonts w:ascii="Verdana" w:hAnsi="Verdana" w:cs="Arial"/>
          <w:spacing w:val="-13"/>
        </w:rPr>
        <w:t xml:space="preserve"> </w:t>
      </w:r>
      <w:r w:rsidRPr="00422B6A">
        <w:rPr>
          <w:rFonts w:ascii="Verdana" w:hAnsi="Verdana" w:cs="Arial"/>
          <w:spacing w:val="-3"/>
        </w:rPr>
        <w:t>de</w:t>
      </w:r>
      <w:r w:rsidRPr="00422B6A">
        <w:rPr>
          <w:rFonts w:ascii="Verdana" w:hAnsi="Verdana" w:cs="Arial"/>
          <w:spacing w:val="-12"/>
        </w:rPr>
        <w:t xml:space="preserve"> </w:t>
      </w:r>
      <w:r w:rsidRPr="00422B6A">
        <w:rPr>
          <w:rFonts w:ascii="Verdana" w:hAnsi="Verdana" w:cs="Arial"/>
          <w:spacing w:val="-3"/>
        </w:rPr>
        <w:t>las</w:t>
      </w:r>
      <w:r w:rsidRPr="00422B6A">
        <w:rPr>
          <w:rFonts w:ascii="Verdana" w:hAnsi="Verdana" w:cs="Arial"/>
          <w:spacing w:val="-12"/>
        </w:rPr>
        <w:t xml:space="preserve"> </w:t>
      </w:r>
      <w:r w:rsidRPr="00422B6A">
        <w:rPr>
          <w:rFonts w:ascii="Verdana" w:hAnsi="Verdana" w:cs="Arial"/>
          <w:spacing w:val="-3"/>
        </w:rPr>
        <w:t>sociedades,</w:t>
      </w:r>
      <w:r w:rsidRPr="00422B6A">
        <w:rPr>
          <w:rFonts w:ascii="Verdana" w:hAnsi="Verdana" w:cs="Arial"/>
          <w:spacing w:val="-13"/>
        </w:rPr>
        <w:t xml:space="preserve"> </w:t>
      </w:r>
      <w:r w:rsidRPr="00422B6A">
        <w:rPr>
          <w:rFonts w:ascii="Verdana" w:hAnsi="Verdana" w:cs="Arial"/>
          <w:spacing w:val="-3"/>
        </w:rPr>
        <w:t>la</w:t>
      </w:r>
      <w:r w:rsidRPr="00422B6A">
        <w:rPr>
          <w:rFonts w:ascii="Verdana" w:hAnsi="Verdana" w:cs="Arial"/>
          <w:spacing w:val="-12"/>
        </w:rPr>
        <w:t xml:space="preserve"> </w:t>
      </w:r>
      <w:r w:rsidRPr="00422B6A">
        <w:rPr>
          <w:rFonts w:ascii="Verdana" w:hAnsi="Verdana" w:cs="Arial"/>
          <w:spacing w:val="-3"/>
        </w:rPr>
        <w:t>asamblea</w:t>
      </w:r>
      <w:r w:rsidRPr="00422B6A">
        <w:rPr>
          <w:rFonts w:ascii="Verdana" w:hAnsi="Verdana" w:cs="Arial"/>
          <w:spacing w:val="-12"/>
        </w:rPr>
        <w:t xml:space="preserve"> </w:t>
      </w:r>
      <w:r w:rsidRPr="00422B6A">
        <w:rPr>
          <w:rFonts w:ascii="Verdana" w:hAnsi="Verdana" w:cs="Arial"/>
          <w:spacing w:val="-3"/>
        </w:rPr>
        <w:t>y</w:t>
      </w:r>
      <w:r w:rsidRPr="00422B6A">
        <w:rPr>
          <w:rFonts w:ascii="Verdana" w:hAnsi="Verdana" w:cs="Arial"/>
          <w:spacing w:val="-12"/>
        </w:rPr>
        <w:t xml:space="preserve"> </w:t>
      </w:r>
      <w:r w:rsidRPr="00422B6A">
        <w:rPr>
          <w:rFonts w:ascii="Verdana" w:hAnsi="Verdana" w:cs="Arial"/>
          <w:spacing w:val="-3"/>
        </w:rPr>
        <w:t>junta</w:t>
      </w:r>
      <w:r w:rsidRPr="00422B6A">
        <w:rPr>
          <w:rFonts w:ascii="Verdana" w:hAnsi="Verdana" w:cs="Arial"/>
          <w:spacing w:val="-13"/>
        </w:rPr>
        <w:t xml:space="preserve"> </w:t>
      </w:r>
      <w:r w:rsidRPr="00422B6A">
        <w:rPr>
          <w:rFonts w:ascii="Verdana" w:hAnsi="Verdana" w:cs="Arial"/>
          <w:spacing w:val="-3"/>
        </w:rPr>
        <w:t>de</w:t>
      </w:r>
      <w:r w:rsidRPr="00422B6A">
        <w:rPr>
          <w:rFonts w:ascii="Verdana" w:hAnsi="Verdana" w:cs="Arial"/>
          <w:spacing w:val="-12"/>
        </w:rPr>
        <w:t xml:space="preserve"> </w:t>
      </w:r>
      <w:r w:rsidRPr="00422B6A">
        <w:rPr>
          <w:rFonts w:ascii="Verdana" w:hAnsi="Verdana" w:cs="Arial"/>
          <w:spacing w:val="-3"/>
        </w:rPr>
        <w:t>socios</w:t>
      </w:r>
      <w:r w:rsidRPr="00422B6A">
        <w:rPr>
          <w:rFonts w:ascii="Verdana" w:hAnsi="Verdana" w:cs="Arial"/>
          <w:spacing w:val="-12"/>
        </w:rPr>
        <w:t xml:space="preserve"> </w:t>
      </w:r>
      <w:r w:rsidRPr="00422B6A">
        <w:rPr>
          <w:rFonts w:ascii="Verdana" w:hAnsi="Verdana" w:cs="Arial"/>
          <w:spacing w:val="-3"/>
        </w:rPr>
        <w:t>o</w:t>
      </w:r>
      <w:r w:rsidRPr="00422B6A">
        <w:rPr>
          <w:rFonts w:ascii="Verdana" w:hAnsi="Verdana" w:cs="Arial"/>
          <w:spacing w:val="-12"/>
        </w:rPr>
        <w:t xml:space="preserve"> </w:t>
      </w:r>
      <w:r w:rsidRPr="00422B6A">
        <w:rPr>
          <w:rFonts w:ascii="Verdana" w:hAnsi="Verdana" w:cs="Arial"/>
          <w:spacing w:val="-2"/>
        </w:rPr>
        <w:t>administradores,</w:t>
      </w:r>
      <w:r w:rsidRPr="00422B6A">
        <w:rPr>
          <w:rFonts w:ascii="Verdana" w:hAnsi="Verdana" w:cs="Arial"/>
          <w:spacing w:val="-13"/>
        </w:rPr>
        <w:t xml:space="preserve"> </w:t>
      </w:r>
      <w:r w:rsidRPr="00422B6A">
        <w:rPr>
          <w:rFonts w:ascii="Verdana" w:hAnsi="Verdana" w:cs="Arial"/>
          <w:spacing w:val="-2"/>
        </w:rPr>
        <w:t>el</w:t>
      </w:r>
      <w:r w:rsidRPr="00422B6A">
        <w:rPr>
          <w:rFonts w:ascii="Verdana" w:hAnsi="Verdana" w:cs="Arial"/>
          <w:spacing w:val="-12"/>
        </w:rPr>
        <w:t xml:space="preserve"> </w:t>
      </w:r>
      <w:r w:rsidRPr="00422B6A">
        <w:rPr>
          <w:rFonts w:ascii="Verdana" w:hAnsi="Verdana" w:cs="Arial"/>
          <w:spacing w:val="-2"/>
        </w:rPr>
        <w:t>revisor</w:t>
      </w:r>
      <w:r w:rsidRPr="00422B6A">
        <w:rPr>
          <w:rFonts w:ascii="Verdana" w:hAnsi="Verdana" w:cs="Arial"/>
          <w:spacing w:val="-12"/>
        </w:rPr>
        <w:t xml:space="preserve"> </w:t>
      </w:r>
      <w:r w:rsidRPr="00422B6A">
        <w:rPr>
          <w:rFonts w:ascii="Verdana" w:hAnsi="Verdana" w:cs="Arial"/>
          <w:spacing w:val="-2"/>
        </w:rPr>
        <w:t>fiscal,</w:t>
      </w:r>
      <w:r w:rsidRPr="00422B6A">
        <w:rPr>
          <w:rFonts w:ascii="Verdana" w:hAnsi="Verdana" w:cs="Arial"/>
          <w:spacing w:val="-59"/>
        </w:rPr>
        <w:t xml:space="preserve">     </w:t>
      </w:r>
      <w:r w:rsidRPr="00422B6A">
        <w:rPr>
          <w:rFonts w:ascii="Verdana" w:hAnsi="Verdana" w:cs="Arial"/>
          <w:spacing w:val="-3"/>
        </w:rPr>
        <w:t>la</w:t>
      </w:r>
      <w:r w:rsidRPr="00422B6A">
        <w:rPr>
          <w:rFonts w:ascii="Verdana" w:hAnsi="Verdana" w:cs="Arial"/>
          <w:spacing w:val="-15"/>
        </w:rPr>
        <w:t xml:space="preserve"> </w:t>
      </w:r>
      <w:r w:rsidRPr="00422B6A">
        <w:rPr>
          <w:rFonts w:ascii="Verdana" w:hAnsi="Verdana" w:cs="Arial"/>
          <w:spacing w:val="-3"/>
        </w:rPr>
        <w:t>disolución</w:t>
      </w:r>
      <w:r w:rsidRPr="00422B6A">
        <w:rPr>
          <w:rFonts w:ascii="Verdana" w:hAnsi="Verdana" w:cs="Arial"/>
          <w:spacing w:val="-15"/>
        </w:rPr>
        <w:t xml:space="preserve"> </w:t>
      </w:r>
      <w:r w:rsidRPr="00422B6A">
        <w:rPr>
          <w:rFonts w:ascii="Verdana" w:hAnsi="Verdana" w:cs="Arial"/>
          <w:spacing w:val="-3"/>
        </w:rPr>
        <w:t>de</w:t>
      </w:r>
      <w:r w:rsidRPr="00422B6A">
        <w:rPr>
          <w:rFonts w:ascii="Verdana" w:hAnsi="Verdana" w:cs="Arial"/>
          <w:spacing w:val="-15"/>
        </w:rPr>
        <w:t xml:space="preserve"> </w:t>
      </w:r>
      <w:r w:rsidRPr="00422B6A">
        <w:rPr>
          <w:rFonts w:ascii="Verdana" w:hAnsi="Verdana" w:cs="Arial"/>
          <w:spacing w:val="-3"/>
        </w:rPr>
        <w:t>la</w:t>
      </w:r>
      <w:r w:rsidRPr="00422B6A">
        <w:rPr>
          <w:rFonts w:ascii="Verdana" w:hAnsi="Verdana" w:cs="Arial"/>
          <w:spacing w:val="-15"/>
        </w:rPr>
        <w:t xml:space="preserve"> </w:t>
      </w:r>
      <w:r w:rsidRPr="00422B6A">
        <w:rPr>
          <w:rFonts w:ascii="Verdana" w:hAnsi="Verdana" w:cs="Arial"/>
          <w:spacing w:val="-3"/>
        </w:rPr>
        <w:t>sociedad,</w:t>
      </w:r>
      <w:r w:rsidRPr="00422B6A">
        <w:rPr>
          <w:rFonts w:ascii="Verdana" w:hAnsi="Verdana" w:cs="Arial"/>
          <w:spacing w:val="-15"/>
        </w:rPr>
        <w:t xml:space="preserve"> </w:t>
      </w:r>
      <w:r w:rsidRPr="00422B6A">
        <w:rPr>
          <w:rFonts w:ascii="Verdana" w:hAnsi="Verdana" w:cs="Arial"/>
          <w:spacing w:val="-3"/>
        </w:rPr>
        <w:t>la</w:t>
      </w:r>
      <w:r w:rsidRPr="00422B6A">
        <w:rPr>
          <w:rFonts w:ascii="Verdana" w:hAnsi="Verdana" w:cs="Arial"/>
          <w:spacing w:val="-15"/>
        </w:rPr>
        <w:t xml:space="preserve"> </w:t>
      </w:r>
      <w:r w:rsidRPr="00422B6A">
        <w:rPr>
          <w:rFonts w:ascii="Verdana" w:hAnsi="Verdana" w:cs="Arial"/>
          <w:spacing w:val="-3"/>
        </w:rPr>
        <w:t>liquidación</w:t>
      </w:r>
      <w:r w:rsidRPr="00422B6A">
        <w:rPr>
          <w:rFonts w:ascii="Verdana" w:hAnsi="Verdana" w:cs="Arial"/>
          <w:spacing w:val="-15"/>
        </w:rPr>
        <w:t xml:space="preserve"> </w:t>
      </w:r>
      <w:r w:rsidRPr="00422B6A">
        <w:rPr>
          <w:rFonts w:ascii="Verdana" w:hAnsi="Verdana" w:cs="Arial"/>
          <w:spacing w:val="-3"/>
        </w:rPr>
        <w:t>del</w:t>
      </w:r>
      <w:r w:rsidRPr="00422B6A">
        <w:rPr>
          <w:rFonts w:ascii="Verdana" w:hAnsi="Verdana" w:cs="Arial"/>
          <w:spacing w:val="-15"/>
        </w:rPr>
        <w:t xml:space="preserve"> </w:t>
      </w:r>
      <w:r w:rsidRPr="00422B6A">
        <w:rPr>
          <w:rFonts w:ascii="Verdana" w:hAnsi="Verdana" w:cs="Arial"/>
          <w:spacing w:val="-3"/>
        </w:rPr>
        <w:t>patrimonio</w:t>
      </w:r>
      <w:r w:rsidRPr="00422B6A">
        <w:rPr>
          <w:rFonts w:ascii="Verdana" w:hAnsi="Verdana" w:cs="Arial"/>
          <w:spacing w:val="-15"/>
        </w:rPr>
        <w:t xml:space="preserve"> </w:t>
      </w:r>
      <w:r w:rsidRPr="00422B6A">
        <w:rPr>
          <w:rFonts w:ascii="Verdana" w:hAnsi="Verdana" w:cs="Arial"/>
          <w:spacing w:val="-3"/>
        </w:rPr>
        <w:t>social,</w:t>
      </w:r>
      <w:r w:rsidRPr="00422B6A">
        <w:rPr>
          <w:rFonts w:ascii="Verdana" w:hAnsi="Verdana" w:cs="Arial"/>
          <w:spacing w:val="-15"/>
        </w:rPr>
        <w:t xml:space="preserve"> </w:t>
      </w:r>
      <w:r w:rsidRPr="00422B6A">
        <w:rPr>
          <w:rFonts w:ascii="Verdana" w:hAnsi="Verdana" w:cs="Arial"/>
          <w:spacing w:val="-2"/>
        </w:rPr>
        <w:t>las</w:t>
      </w:r>
      <w:r w:rsidRPr="00422B6A">
        <w:rPr>
          <w:rFonts w:ascii="Verdana" w:hAnsi="Verdana" w:cs="Arial"/>
          <w:spacing w:val="-15"/>
        </w:rPr>
        <w:t xml:space="preserve"> </w:t>
      </w:r>
      <w:r w:rsidRPr="00422B6A">
        <w:rPr>
          <w:rFonts w:ascii="Verdana" w:hAnsi="Verdana" w:cs="Arial"/>
          <w:spacing w:val="-2"/>
        </w:rPr>
        <w:t>matrices,</w:t>
      </w:r>
      <w:r w:rsidRPr="00097EFB">
        <w:rPr>
          <w:rFonts w:ascii="Verdana" w:hAnsi="Verdana" w:cs="Arial"/>
          <w:spacing w:val="-2"/>
        </w:rPr>
        <w:t xml:space="preserve"> </w:t>
      </w:r>
      <w:r w:rsidRPr="00422B6A">
        <w:rPr>
          <w:rFonts w:ascii="Verdana" w:hAnsi="Verdana" w:cs="Arial"/>
          <w:spacing w:val="-2"/>
        </w:rPr>
        <w:t>subordinadas</w:t>
      </w:r>
      <w:r w:rsidRPr="00097EFB">
        <w:rPr>
          <w:rFonts w:ascii="Verdana" w:hAnsi="Verdana" w:cs="Arial"/>
          <w:spacing w:val="-2"/>
        </w:rPr>
        <w:t xml:space="preserve"> y sucursales,</w:t>
      </w:r>
      <w:r w:rsidRPr="00422B6A">
        <w:rPr>
          <w:rFonts w:ascii="Verdana" w:hAnsi="Verdana" w:cs="Arial"/>
          <w:spacing w:val="-2"/>
        </w:rPr>
        <w:t xml:space="preserve"> </w:t>
      </w:r>
      <w:r w:rsidRPr="00097EFB">
        <w:rPr>
          <w:rFonts w:ascii="Verdana" w:hAnsi="Verdana" w:cs="Arial"/>
          <w:spacing w:val="-2"/>
        </w:rPr>
        <w:t>la inspección</w:t>
      </w:r>
      <w:r w:rsidRPr="00422B6A">
        <w:rPr>
          <w:rFonts w:ascii="Verdana" w:hAnsi="Verdana" w:cs="Arial"/>
          <w:spacing w:val="-2"/>
        </w:rPr>
        <w:t xml:space="preserve"> </w:t>
      </w:r>
      <w:r w:rsidRPr="00097EFB">
        <w:rPr>
          <w:rFonts w:ascii="Verdana" w:hAnsi="Verdana" w:cs="Arial"/>
          <w:spacing w:val="-2"/>
        </w:rPr>
        <w:t>y</w:t>
      </w:r>
      <w:r w:rsidRPr="00422B6A">
        <w:rPr>
          <w:rFonts w:ascii="Verdana" w:hAnsi="Verdana" w:cs="Arial"/>
          <w:spacing w:val="-2"/>
        </w:rPr>
        <w:t xml:space="preserve"> </w:t>
      </w:r>
      <w:r w:rsidRPr="00097EFB">
        <w:rPr>
          <w:rFonts w:ascii="Verdana" w:hAnsi="Verdana" w:cs="Arial"/>
          <w:spacing w:val="-2"/>
        </w:rPr>
        <w:t>vigilancia de</w:t>
      </w:r>
      <w:r w:rsidRPr="00422B6A">
        <w:rPr>
          <w:rFonts w:ascii="Verdana" w:hAnsi="Verdana" w:cs="Arial"/>
          <w:spacing w:val="-2"/>
        </w:rPr>
        <w:t xml:space="preserve"> </w:t>
      </w:r>
      <w:r w:rsidRPr="00097EFB">
        <w:rPr>
          <w:rFonts w:ascii="Verdana" w:hAnsi="Verdana" w:cs="Arial"/>
          <w:spacing w:val="-2"/>
        </w:rPr>
        <w:t>las</w:t>
      </w:r>
      <w:r w:rsidRPr="00422B6A">
        <w:rPr>
          <w:rFonts w:ascii="Verdana" w:hAnsi="Verdana" w:cs="Arial"/>
          <w:spacing w:val="-2"/>
        </w:rPr>
        <w:t xml:space="preserve"> </w:t>
      </w:r>
      <w:r w:rsidRPr="00097EFB">
        <w:rPr>
          <w:rFonts w:ascii="Verdana" w:hAnsi="Verdana" w:cs="Arial"/>
          <w:spacing w:val="-2"/>
        </w:rPr>
        <w:t>sociedades, los</w:t>
      </w:r>
      <w:r w:rsidRPr="00422B6A">
        <w:rPr>
          <w:rFonts w:ascii="Verdana" w:hAnsi="Verdana" w:cs="Arial"/>
          <w:spacing w:val="-2"/>
        </w:rPr>
        <w:t xml:space="preserve"> </w:t>
      </w:r>
      <w:r w:rsidRPr="00097EFB">
        <w:rPr>
          <w:rFonts w:ascii="Verdana" w:hAnsi="Verdana" w:cs="Arial"/>
          <w:spacing w:val="-2"/>
        </w:rPr>
        <w:t>balances</w:t>
      </w:r>
      <w:r w:rsidRPr="00422B6A">
        <w:rPr>
          <w:rFonts w:ascii="Verdana" w:hAnsi="Verdana" w:cs="Arial"/>
          <w:spacing w:val="-2"/>
        </w:rPr>
        <w:t xml:space="preserve"> </w:t>
      </w:r>
      <w:r w:rsidRPr="00097EFB">
        <w:rPr>
          <w:rFonts w:ascii="Verdana" w:hAnsi="Verdana" w:cs="Arial"/>
          <w:spacing w:val="-2"/>
        </w:rPr>
        <w:t>y finalmente</w:t>
      </w:r>
      <w:r w:rsidRPr="00422B6A">
        <w:rPr>
          <w:rFonts w:ascii="Verdana" w:hAnsi="Verdana" w:cs="Arial"/>
          <w:spacing w:val="-2"/>
        </w:rPr>
        <w:t xml:space="preserve"> </w:t>
      </w:r>
      <w:r w:rsidRPr="00097EFB">
        <w:rPr>
          <w:rFonts w:ascii="Verdana" w:hAnsi="Verdana" w:cs="Arial"/>
          <w:spacing w:val="-2"/>
        </w:rPr>
        <w:t xml:space="preserve">las clases o tipos de sociedades: colectiva, en comandita –simple y por acciones–, de </w:t>
      </w:r>
      <w:r w:rsidRPr="00097EFB">
        <w:rPr>
          <w:rFonts w:ascii="Verdana" w:hAnsi="Verdana" w:cs="Arial"/>
          <w:spacing w:val="-2"/>
        </w:rPr>
        <w:lastRenderedPageBreak/>
        <w:t>responsabilidad limitada, anónima, de economía mixta, extranjeras, mercantiles de hecho y cuentas en participación.</w:t>
      </w:r>
    </w:p>
    <w:p w14:paraId="00775D1A" w14:textId="77777777" w:rsidR="00AA67A0" w:rsidRDefault="00AA67A0" w:rsidP="00AA67A0">
      <w:pPr>
        <w:spacing w:after="120"/>
        <w:ind w:firstLine="708"/>
        <w:jc w:val="both"/>
        <w:rPr>
          <w:rFonts w:ascii="Verdana" w:hAnsi="Verdana"/>
        </w:rPr>
      </w:pPr>
      <w:r w:rsidRPr="00422B6A">
        <w:rPr>
          <w:rFonts w:ascii="Verdana" w:hAnsi="Verdana"/>
        </w:rPr>
        <w:t xml:space="preserve">Los tipos o clases de sociedades comerciales citadas –entre otras reguladas en leyes especiales; y algunas atípicas, pues en el Código de Comercio no están todas las sociedades que se pueden constituir– se agrupan u organizan, doctrinaria y jurisprudencialmente en i) sociedades de capital y </w:t>
      </w:r>
      <w:proofErr w:type="spellStart"/>
      <w:r w:rsidRPr="00422B6A">
        <w:rPr>
          <w:rFonts w:ascii="Verdana" w:hAnsi="Verdana"/>
        </w:rPr>
        <w:t>ii</w:t>
      </w:r>
      <w:proofErr w:type="spellEnd"/>
      <w:r w:rsidRPr="00422B6A">
        <w:rPr>
          <w:rFonts w:ascii="Verdana" w:hAnsi="Verdana"/>
        </w:rPr>
        <w:t>) sociedades de personas. Sin embargo, el Código de Comercio no establece positivamente esta clasificación, pese a que su vigencia y validez es indiscutida en el ámbito mercantil.</w:t>
      </w:r>
    </w:p>
    <w:p w14:paraId="7E3B5CE6" w14:textId="77777777" w:rsidR="00AA67A0" w:rsidRPr="00097EFB" w:rsidRDefault="00AA67A0" w:rsidP="00AA67A0">
      <w:pPr>
        <w:ind w:firstLine="708"/>
        <w:jc w:val="both"/>
        <w:rPr>
          <w:rFonts w:ascii="Verdana" w:hAnsi="Verdana"/>
        </w:rPr>
      </w:pPr>
      <w:r w:rsidRPr="00422B6A">
        <w:rPr>
          <w:rFonts w:ascii="Verdana" w:hAnsi="Verdana" w:cs="Arial"/>
        </w:rPr>
        <w:t>Sin embargo, esta clasificación no es la única posible. La doctrina del derecho</w:t>
      </w:r>
      <w:r w:rsidRPr="00422B6A">
        <w:rPr>
          <w:rFonts w:ascii="Verdana" w:hAnsi="Verdana" w:cs="Arial"/>
          <w:spacing w:val="1"/>
        </w:rPr>
        <w:t xml:space="preserve"> </w:t>
      </w:r>
      <w:r w:rsidRPr="00422B6A">
        <w:rPr>
          <w:rFonts w:ascii="Verdana" w:hAnsi="Verdana" w:cs="Arial"/>
          <w:spacing w:val="-2"/>
        </w:rPr>
        <w:t>comercial,</w:t>
      </w:r>
      <w:r w:rsidRPr="00422B6A">
        <w:rPr>
          <w:rFonts w:ascii="Verdana" w:hAnsi="Verdana" w:cs="Arial"/>
          <w:spacing w:val="-14"/>
        </w:rPr>
        <w:t xml:space="preserve"> </w:t>
      </w:r>
      <w:r w:rsidRPr="00422B6A">
        <w:rPr>
          <w:rFonts w:ascii="Verdana" w:hAnsi="Verdana" w:cs="Arial"/>
          <w:spacing w:val="-2"/>
        </w:rPr>
        <w:t>tanto</w:t>
      </w:r>
      <w:r w:rsidRPr="00422B6A">
        <w:rPr>
          <w:rFonts w:ascii="Verdana" w:hAnsi="Verdana" w:cs="Arial"/>
          <w:spacing w:val="-13"/>
        </w:rPr>
        <w:t xml:space="preserve"> </w:t>
      </w:r>
      <w:r w:rsidRPr="00422B6A">
        <w:rPr>
          <w:rFonts w:ascii="Verdana" w:hAnsi="Verdana" w:cs="Arial"/>
          <w:spacing w:val="-2"/>
        </w:rPr>
        <w:t>nacional</w:t>
      </w:r>
      <w:r w:rsidRPr="00422B6A">
        <w:rPr>
          <w:rFonts w:ascii="Verdana" w:hAnsi="Verdana" w:cs="Arial"/>
          <w:spacing w:val="-13"/>
        </w:rPr>
        <w:t xml:space="preserve"> </w:t>
      </w:r>
      <w:r w:rsidRPr="00422B6A">
        <w:rPr>
          <w:rFonts w:ascii="Verdana" w:hAnsi="Verdana" w:cs="Arial"/>
          <w:spacing w:val="-2"/>
        </w:rPr>
        <w:t>como</w:t>
      </w:r>
      <w:r w:rsidRPr="00422B6A">
        <w:rPr>
          <w:rFonts w:ascii="Verdana" w:hAnsi="Verdana" w:cs="Arial"/>
          <w:spacing w:val="-13"/>
        </w:rPr>
        <w:t xml:space="preserve"> </w:t>
      </w:r>
      <w:r w:rsidRPr="00422B6A">
        <w:rPr>
          <w:rFonts w:ascii="Verdana" w:hAnsi="Verdana" w:cs="Arial"/>
          <w:spacing w:val="-2"/>
        </w:rPr>
        <w:t>extranjera,</w:t>
      </w:r>
      <w:r w:rsidRPr="00422B6A">
        <w:rPr>
          <w:rFonts w:ascii="Verdana" w:hAnsi="Verdana" w:cs="Arial"/>
          <w:spacing w:val="-13"/>
        </w:rPr>
        <w:t xml:space="preserve"> </w:t>
      </w:r>
      <w:r w:rsidRPr="00422B6A">
        <w:rPr>
          <w:rFonts w:ascii="Verdana" w:hAnsi="Verdana" w:cs="Arial"/>
          <w:spacing w:val="-2"/>
        </w:rPr>
        <w:t>propone</w:t>
      </w:r>
      <w:r w:rsidRPr="00422B6A">
        <w:rPr>
          <w:rFonts w:ascii="Verdana" w:hAnsi="Verdana" w:cs="Arial"/>
          <w:spacing w:val="-13"/>
        </w:rPr>
        <w:t xml:space="preserve"> </w:t>
      </w:r>
      <w:r w:rsidRPr="00422B6A">
        <w:rPr>
          <w:rFonts w:ascii="Verdana" w:hAnsi="Verdana" w:cs="Arial"/>
          <w:spacing w:val="-2"/>
        </w:rPr>
        <w:t>otras,</w:t>
      </w:r>
      <w:r w:rsidRPr="00422B6A">
        <w:rPr>
          <w:rFonts w:ascii="Verdana" w:hAnsi="Verdana" w:cs="Arial"/>
          <w:spacing w:val="-13"/>
        </w:rPr>
        <w:t xml:space="preserve"> </w:t>
      </w:r>
      <w:r w:rsidRPr="00422B6A">
        <w:rPr>
          <w:rFonts w:ascii="Verdana" w:hAnsi="Verdana" w:cs="Arial"/>
          <w:spacing w:val="-2"/>
        </w:rPr>
        <w:t>atendiendo</w:t>
      </w:r>
      <w:r w:rsidRPr="00422B6A">
        <w:rPr>
          <w:rFonts w:ascii="Verdana" w:hAnsi="Verdana" w:cs="Arial"/>
          <w:spacing w:val="-13"/>
        </w:rPr>
        <w:t xml:space="preserve"> </w:t>
      </w:r>
      <w:r w:rsidRPr="00422B6A">
        <w:rPr>
          <w:rFonts w:ascii="Verdana" w:hAnsi="Verdana" w:cs="Arial"/>
          <w:spacing w:val="-1"/>
        </w:rPr>
        <w:t>a</w:t>
      </w:r>
      <w:r w:rsidRPr="00422B6A">
        <w:rPr>
          <w:rFonts w:ascii="Verdana" w:hAnsi="Verdana" w:cs="Arial"/>
          <w:spacing w:val="-13"/>
        </w:rPr>
        <w:t xml:space="preserve"> </w:t>
      </w:r>
      <w:r w:rsidRPr="00422B6A">
        <w:rPr>
          <w:rFonts w:ascii="Verdana" w:hAnsi="Verdana" w:cs="Arial"/>
          <w:spacing w:val="-1"/>
        </w:rPr>
        <w:t>diversos</w:t>
      </w:r>
      <w:r w:rsidRPr="00422B6A">
        <w:rPr>
          <w:rFonts w:ascii="Verdana" w:hAnsi="Verdana" w:cs="Arial"/>
          <w:spacing w:val="-13"/>
        </w:rPr>
        <w:t xml:space="preserve"> </w:t>
      </w:r>
      <w:r w:rsidRPr="00422B6A">
        <w:rPr>
          <w:rFonts w:ascii="Verdana" w:hAnsi="Verdana"/>
        </w:rPr>
        <w:t>aspectos o características</w:t>
      </w:r>
      <w:r w:rsidRPr="00422B6A">
        <w:rPr>
          <w:rFonts w:ascii="Verdana" w:hAnsi="Verdana" w:cs="Arial"/>
          <w:spacing w:val="-14"/>
        </w:rPr>
        <w:t xml:space="preserve"> </w:t>
      </w:r>
      <w:r w:rsidRPr="00422B6A">
        <w:rPr>
          <w:rFonts w:ascii="Verdana" w:hAnsi="Verdana" w:cs="Arial"/>
          <w:spacing w:val="-1"/>
        </w:rPr>
        <w:t>de</w:t>
      </w:r>
      <w:r w:rsidRPr="00422B6A">
        <w:rPr>
          <w:rFonts w:ascii="Verdana" w:hAnsi="Verdana" w:cs="Arial"/>
          <w:spacing w:val="-14"/>
        </w:rPr>
        <w:t xml:space="preserve"> </w:t>
      </w:r>
      <w:r w:rsidRPr="00422B6A">
        <w:rPr>
          <w:rFonts w:ascii="Verdana" w:hAnsi="Verdana" w:cs="Arial"/>
          <w:spacing w:val="-1"/>
        </w:rPr>
        <w:t>las</w:t>
      </w:r>
      <w:r w:rsidRPr="00422B6A">
        <w:rPr>
          <w:rFonts w:ascii="Verdana" w:hAnsi="Verdana" w:cs="Arial"/>
          <w:spacing w:val="-14"/>
        </w:rPr>
        <w:t xml:space="preserve"> </w:t>
      </w:r>
      <w:r w:rsidRPr="00422B6A">
        <w:rPr>
          <w:rFonts w:ascii="Verdana" w:hAnsi="Verdana" w:cs="Arial"/>
          <w:spacing w:val="-1"/>
        </w:rPr>
        <w:t>sociedades.</w:t>
      </w:r>
      <w:r w:rsidRPr="00422B6A">
        <w:rPr>
          <w:rFonts w:ascii="Verdana" w:hAnsi="Verdana" w:cs="Arial"/>
          <w:spacing w:val="-15"/>
        </w:rPr>
        <w:t xml:space="preserve"> </w:t>
      </w:r>
      <w:r w:rsidRPr="00422B6A">
        <w:rPr>
          <w:rFonts w:ascii="Verdana" w:hAnsi="Verdana" w:cs="Arial"/>
          <w:spacing w:val="-1"/>
        </w:rPr>
        <w:t>Por</w:t>
      </w:r>
      <w:r w:rsidRPr="00422B6A">
        <w:rPr>
          <w:rFonts w:ascii="Verdana" w:hAnsi="Verdana" w:cs="Arial"/>
          <w:spacing w:val="-14"/>
        </w:rPr>
        <w:t xml:space="preserve"> </w:t>
      </w:r>
      <w:r w:rsidRPr="00422B6A">
        <w:rPr>
          <w:rFonts w:ascii="Verdana" w:hAnsi="Verdana" w:cs="Arial"/>
          <w:spacing w:val="-1"/>
        </w:rPr>
        <w:t>ejemplo,</w:t>
      </w:r>
      <w:r w:rsidRPr="00422B6A">
        <w:rPr>
          <w:rFonts w:ascii="Verdana" w:hAnsi="Verdana" w:cs="Arial"/>
          <w:spacing w:val="-14"/>
        </w:rPr>
        <w:t xml:space="preserve"> </w:t>
      </w:r>
      <w:r w:rsidRPr="00422B6A">
        <w:rPr>
          <w:rFonts w:ascii="Verdana" w:hAnsi="Verdana" w:cs="Arial"/>
        </w:rPr>
        <w:t>la</w:t>
      </w:r>
      <w:r w:rsidRPr="00422B6A">
        <w:rPr>
          <w:rFonts w:ascii="Verdana" w:hAnsi="Verdana" w:cs="Arial"/>
          <w:spacing w:val="-14"/>
        </w:rPr>
        <w:t xml:space="preserve"> </w:t>
      </w:r>
      <w:r w:rsidRPr="00422B6A">
        <w:rPr>
          <w:rFonts w:ascii="Verdana" w:hAnsi="Verdana" w:cs="Arial"/>
        </w:rPr>
        <w:t>categorización</w:t>
      </w:r>
      <w:r w:rsidRPr="00422B6A">
        <w:rPr>
          <w:rFonts w:ascii="Verdana" w:hAnsi="Verdana" w:cs="Arial"/>
          <w:spacing w:val="-15"/>
        </w:rPr>
        <w:t xml:space="preserve"> </w:t>
      </w:r>
      <w:r w:rsidRPr="00422B6A">
        <w:rPr>
          <w:rFonts w:ascii="Verdana" w:hAnsi="Verdana" w:cs="Arial"/>
        </w:rPr>
        <w:t>citada</w:t>
      </w:r>
      <w:r w:rsidRPr="00422B6A">
        <w:rPr>
          <w:rFonts w:ascii="Verdana" w:hAnsi="Verdana" w:cs="Arial"/>
          <w:spacing w:val="-14"/>
        </w:rPr>
        <w:t xml:space="preserve"> </w:t>
      </w:r>
      <w:r w:rsidRPr="00422B6A">
        <w:rPr>
          <w:rFonts w:ascii="Verdana" w:hAnsi="Verdana" w:cs="Arial"/>
        </w:rPr>
        <w:t>antes</w:t>
      </w:r>
      <w:r w:rsidRPr="00422B6A">
        <w:rPr>
          <w:rFonts w:ascii="Verdana" w:hAnsi="Verdana" w:cs="Arial"/>
          <w:spacing w:val="-14"/>
        </w:rPr>
        <w:t xml:space="preserve"> </w:t>
      </w:r>
      <w:r w:rsidRPr="00422B6A">
        <w:rPr>
          <w:rFonts w:ascii="Verdana" w:hAnsi="Verdana" w:cs="Arial"/>
        </w:rPr>
        <w:t>atiende</w:t>
      </w:r>
      <w:r w:rsidRPr="00422B6A">
        <w:rPr>
          <w:rFonts w:ascii="Verdana" w:hAnsi="Verdana" w:cs="Arial"/>
          <w:spacing w:val="-14"/>
        </w:rPr>
        <w:t xml:space="preserve"> </w:t>
      </w:r>
      <w:r w:rsidRPr="00422B6A">
        <w:rPr>
          <w:rFonts w:ascii="Verdana" w:hAnsi="Verdana" w:cs="Arial"/>
        </w:rPr>
        <w:t>a la relevancia</w:t>
      </w:r>
      <w:r w:rsidRPr="00422B6A">
        <w:rPr>
          <w:rFonts w:ascii="Verdana" w:hAnsi="Verdana" w:cs="Arial"/>
          <w:spacing w:val="-13"/>
        </w:rPr>
        <w:t xml:space="preserve"> </w:t>
      </w:r>
      <w:r w:rsidRPr="00422B6A">
        <w:rPr>
          <w:rFonts w:ascii="Verdana" w:hAnsi="Verdana" w:cs="Arial"/>
        </w:rPr>
        <w:t>que</w:t>
      </w:r>
      <w:r w:rsidRPr="00422B6A">
        <w:rPr>
          <w:rFonts w:ascii="Verdana" w:hAnsi="Verdana" w:cs="Arial"/>
          <w:spacing w:val="-14"/>
        </w:rPr>
        <w:t xml:space="preserve"> </w:t>
      </w:r>
      <w:r w:rsidRPr="00422B6A">
        <w:rPr>
          <w:rFonts w:ascii="Verdana" w:hAnsi="Verdana" w:cs="Arial"/>
        </w:rPr>
        <w:t>tienen</w:t>
      </w:r>
      <w:r w:rsidRPr="00422B6A">
        <w:rPr>
          <w:rFonts w:ascii="Verdana" w:hAnsi="Verdana" w:cs="Arial"/>
          <w:spacing w:val="-13"/>
        </w:rPr>
        <w:t xml:space="preserve"> </w:t>
      </w:r>
      <w:r w:rsidRPr="00422B6A">
        <w:rPr>
          <w:rFonts w:ascii="Verdana" w:hAnsi="Verdana" w:cs="Arial"/>
        </w:rPr>
        <w:t>los</w:t>
      </w:r>
      <w:r w:rsidRPr="00422B6A">
        <w:rPr>
          <w:rFonts w:ascii="Verdana" w:hAnsi="Verdana" w:cs="Arial"/>
          <w:spacing w:val="-14"/>
        </w:rPr>
        <w:t xml:space="preserve"> </w:t>
      </w:r>
      <w:r w:rsidRPr="00422B6A">
        <w:rPr>
          <w:rFonts w:ascii="Verdana" w:hAnsi="Verdana" w:cs="Arial"/>
        </w:rPr>
        <w:t>socios</w:t>
      </w:r>
      <w:r w:rsidRPr="00422B6A">
        <w:rPr>
          <w:rFonts w:ascii="Verdana" w:hAnsi="Verdana" w:cs="Arial"/>
          <w:spacing w:val="-13"/>
        </w:rPr>
        <w:t xml:space="preserve"> </w:t>
      </w:r>
      <w:r w:rsidRPr="00422B6A">
        <w:rPr>
          <w:rFonts w:ascii="Verdana" w:hAnsi="Verdana" w:cs="Arial"/>
        </w:rPr>
        <w:t>o</w:t>
      </w:r>
      <w:r w:rsidRPr="00422B6A">
        <w:rPr>
          <w:rFonts w:ascii="Verdana" w:hAnsi="Verdana" w:cs="Arial"/>
          <w:spacing w:val="-14"/>
        </w:rPr>
        <w:t xml:space="preserve"> </w:t>
      </w:r>
      <w:r w:rsidRPr="00422B6A">
        <w:rPr>
          <w:rFonts w:ascii="Verdana" w:hAnsi="Verdana" w:cs="Arial"/>
        </w:rPr>
        <w:t>el</w:t>
      </w:r>
      <w:r w:rsidRPr="00422B6A">
        <w:rPr>
          <w:rFonts w:ascii="Verdana" w:hAnsi="Verdana" w:cs="Arial"/>
          <w:spacing w:val="-13"/>
        </w:rPr>
        <w:t xml:space="preserve"> </w:t>
      </w:r>
      <w:r w:rsidRPr="00422B6A">
        <w:rPr>
          <w:rFonts w:ascii="Verdana" w:hAnsi="Verdana" w:cs="Arial"/>
        </w:rPr>
        <w:t>capital</w:t>
      </w:r>
      <w:r w:rsidRPr="00422B6A">
        <w:rPr>
          <w:rFonts w:ascii="Verdana" w:hAnsi="Verdana" w:cs="Arial"/>
          <w:spacing w:val="-14"/>
        </w:rPr>
        <w:t xml:space="preserve"> </w:t>
      </w:r>
      <w:r w:rsidRPr="00422B6A">
        <w:rPr>
          <w:rFonts w:ascii="Verdana" w:hAnsi="Verdana" w:cs="Arial"/>
        </w:rPr>
        <w:t>en</w:t>
      </w:r>
      <w:r w:rsidRPr="00422B6A">
        <w:rPr>
          <w:rFonts w:ascii="Verdana" w:hAnsi="Verdana" w:cs="Arial"/>
          <w:spacing w:val="-13"/>
        </w:rPr>
        <w:t xml:space="preserve"> </w:t>
      </w:r>
      <w:r w:rsidRPr="00422B6A">
        <w:rPr>
          <w:rFonts w:ascii="Verdana" w:hAnsi="Verdana" w:cs="Arial"/>
        </w:rPr>
        <w:t>las</w:t>
      </w:r>
      <w:r w:rsidRPr="00422B6A">
        <w:rPr>
          <w:rFonts w:ascii="Verdana" w:hAnsi="Verdana" w:cs="Arial"/>
          <w:spacing w:val="-14"/>
        </w:rPr>
        <w:t xml:space="preserve"> </w:t>
      </w:r>
      <w:r w:rsidRPr="00422B6A">
        <w:rPr>
          <w:rFonts w:ascii="Verdana" w:hAnsi="Verdana" w:cs="Arial"/>
        </w:rPr>
        <w:t>sociedades;</w:t>
      </w:r>
      <w:r w:rsidRPr="00422B6A">
        <w:rPr>
          <w:rFonts w:ascii="Verdana" w:hAnsi="Verdana" w:cs="Arial"/>
          <w:spacing w:val="-13"/>
        </w:rPr>
        <w:t xml:space="preserve"> </w:t>
      </w:r>
      <w:r w:rsidRPr="00422B6A">
        <w:rPr>
          <w:rFonts w:ascii="Verdana" w:hAnsi="Verdana" w:cs="Arial"/>
        </w:rPr>
        <w:t>para</w:t>
      </w:r>
      <w:r w:rsidRPr="00422B6A">
        <w:rPr>
          <w:rFonts w:ascii="Verdana" w:hAnsi="Verdana" w:cs="Arial"/>
          <w:spacing w:val="-13"/>
        </w:rPr>
        <w:t xml:space="preserve"> </w:t>
      </w:r>
      <w:r w:rsidRPr="00422B6A">
        <w:rPr>
          <w:rFonts w:ascii="Verdana" w:hAnsi="Verdana" w:cs="Arial"/>
        </w:rPr>
        <w:t>otros</w:t>
      </w:r>
      <w:r w:rsidRPr="00422B6A">
        <w:rPr>
          <w:rFonts w:ascii="Verdana" w:hAnsi="Verdana" w:cs="Arial"/>
          <w:spacing w:val="-14"/>
        </w:rPr>
        <w:t xml:space="preserve"> </w:t>
      </w:r>
      <w:r w:rsidRPr="00422B6A">
        <w:rPr>
          <w:rFonts w:ascii="Verdana" w:hAnsi="Verdana"/>
        </w:rPr>
        <w:t xml:space="preserve">autores </w:t>
      </w:r>
      <w:r w:rsidRPr="00422B6A">
        <w:rPr>
          <w:rFonts w:ascii="Verdana" w:hAnsi="Verdana" w:cs="Arial"/>
        </w:rPr>
        <w:t>factor determinante de la clasificación son las cuotas en las que se divide el capital –</w:t>
      </w:r>
      <w:r w:rsidRPr="00422B6A">
        <w:rPr>
          <w:rFonts w:ascii="Verdana" w:hAnsi="Verdana" w:cs="Arial"/>
          <w:spacing w:val="-59"/>
        </w:rPr>
        <w:t xml:space="preserve"> </w:t>
      </w:r>
      <w:r w:rsidRPr="00422B6A">
        <w:rPr>
          <w:rFonts w:ascii="Verdana" w:hAnsi="Verdana" w:cs="Arial"/>
          <w:spacing w:val="-3"/>
        </w:rPr>
        <w:t>sociedades</w:t>
      </w:r>
      <w:r w:rsidRPr="00422B6A">
        <w:rPr>
          <w:rFonts w:ascii="Verdana" w:hAnsi="Verdana" w:cs="Arial"/>
          <w:spacing w:val="-12"/>
        </w:rPr>
        <w:t xml:space="preserve"> </w:t>
      </w:r>
      <w:r w:rsidRPr="00422B6A">
        <w:rPr>
          <w:rFonts w:ascii="Verdana" w:hAnsi="Verdana" w:cs="Arial"/>
          <w:spacing w:val="-3"/>
        </w:rPr>
        <w:t>de</w:t>
      </w:r>
      <w:r w:rsidRPr="00422B6A">
        <w:rPr>
          <w:rFonts w:ascii="Verdana" w:hAnsi="Verdana" w:cs="Arial"/>
          <w:spacing w:val="-12"/>
        </w:rPr>
        <w:t xml:space="preserve"> </w:t>
      </w:r>
      <w:r w:rsidRPr="00422B6A">
        <w:rPr>
          <w:rFonts w:ascii="Verdana" w:hAnsi="Verdana" w:cs="Arial"/>
          <w:spacing w:val="-3"/>
        </w:rPr>
        <w:t>partes</w:t>
      </w:r>
      <w:r w:rsidRPr="00422B6A">
        <w:rPr>
          <w:rFonts w:ascii="Verdana" w:hAnsi="Verdana" w:cs="Arial"/>
          <w:spacing w:val="-12"/>
        </w:rPr>
        <w:t xml:space="preserve"> </w:t>
      </w:r>
      <w:r w:rsidRPr="00422B6A">
        <w:rPr>
          <w:rFonts w:ascii="Verdana" w:hAnsi="Verdana" w:cs="Arial"/>
          <w:spacing w:val="-3"/>
        </w:rPr>
        <w:t>de</w:t>
      </w:r>
      <w:r w:rsidRPr="00422B6A">
        <w:rPr>
          <w:rFonts w:ascii="Verdana" w:hAnsi="Verdana" w:cs="Arial"/>
          <w:spacing w:val="-12"/>
        </w:rPr>
        <w:t xml:space="preserve"> </w:t>
      </w:r>
      <w:r w:rsidRPr="00422B6A">
        <w:rPr>
          <w:rFonts w:ascii="Verdana" w:hAnsi="Verdana" w:cs="Arial"/>
          <w:spacing w:val="-3"/>
        </w:rPr>
        <w:t>interés,</w:t>
      </w:r>
      <w:r w:rsidRPr="00422B6A">
        <w:rPr>
          <w:rFonts w:ascii="Verdana" w:hAnsi="Verdana" w:cs="Arial"/>
          <w:spacing w:val="-12"/>
        </w:rPr>
        <w:t xml:space="preserve"> </w:t>
      </w:r>
      <w:r w:rsidRPr="00422B6A">
        <w:rPr>
          <w:rFonts w:ascii="Verdana" w:hAnsi="Verdana" w:cs="Arial"/>
          <w:spacing w:val="-3"/>
        </w:rPr>
        <w:t>sociedades</w:t>
      </w:r>
      <w:r w:rsidRPr="00422B6A">
        <w:rPr>
          <w:rFonts w:ascii="Verdana" w:hAnsi="Verdana" w:cs="Arial"/>
          <w:spacing w:val="-12"/>
        </w:rPr>
        <w:t xml:space="preserve"> </w:t>
      </w:r>
      <w:r w:rsidRPr="00422B6A">
        <w:rPr>
          <w:rFonts w:ascii="Verdana" w:hAnsi="Verdana" w:cs="Arial"/>
          <w:spacing w:val="-2"/>
        </w:rPr>
        <w:t>por</w:t>
      </w:r>
      <w:r w:rsidRPr="00422B6A">
        <w:rPr>
          <w:rFonts w:ascii="Verdana" w:hAnsi="Verdana" w:cs="Arial"/>
          <w:spacing w:val="-12"/>
        </w:rPr>
        <w:t xml:space="preserve"> </w:t>
      </w:r>
      <w:r w:rsidRPr="00422B6A">
        <w:rPr>
          <w:rFonts w:ascii="Verdana" w:hAnsi="Verdana" w:cs="Arial"/>
          <w:spacing w:val="-2"/>
        </w:rPr>
        <w:t>cuotas</w:t>
      </w:r>
      <w:r w:rsidRPr="00422B6A">
        <w:rPr>
          <w:rFonts w:ascii="Verdana" w:hAnsi="Verdana" w:cs="Arial"/>
          <w:spacing w:val="-12"/>
        </w:rPr>
        <w:t xml:space="preserve"> </w:t>
      </w:r>
      <w:r w:rsidRPr="00422B6A">
        <w:rPr>
          <w:rFonts w:ascii="Verdana" w:hAnsi="Verdana" w:cs="Arial"/>
          <w:spacing w:val="-2"/>
        </w:rPr>
        <w:t>y</w:t>
      </w:r>
      <w:r w:rsidRPr="00422B6A">
        <w:rPr>
          <w:rFonts w:ascii="Verdana" w:hAnsi="Verdana" w:cs="Arial"/>
          <w:spacing w:val="-12"/>
        </w:rPr>
        <w:t xml:space="preserve"> </w:t>
      </w:r>
      <w:r w:rsidRPr="00422B6A">
        <w:rPr>
          <w:rFonts w:ascii="Verdana" w:hAnsi="Verdana" w:cs="Arial"/>
          <w:spacing w:val="-2"/>
        </w:rPr>
        <w:t>sociedades</w:t>
      </w:r>
      <w:r w:rsidRPr="00422B6A">
        <w:rPr>
          <w:rFonts w:ascii="Verdana" w:hAnsi="Verdana" w:cs="Arial"/>
          <w:spacing w:val="-12"/>
        </w:rPr>
        <w:t xml:space="preserve"> </w:t>
      </w:r>
      <w:r w:rsidRPr="00422B6A">
        <w:rPr>
          <w:rFonts w:ascii="Verdana" w:hAnsi="Verdana" w:cs="Arial"/>
          <w:spacing w:val="-2"/>
        </w:rPr>
        <w:t>por</w:t>
      </w:r>
      <w:r w:rsidRPr="00422B6A">
        <w:rPr>
          <w:rFonts w:ascii="Verdana" w:hAnsi="Verdana" w:cs="Arial"/>
          <w:spacing w:val="-12"/>
        </w:rPr>
        <w:t xml:space="preserve"> </w:t>
      </w:r>
      <w:r w:rsidRPr="00422B6A">
        <w:rPr>
          <w:rFonts w:ascii="Verdana" w:hAnsi="Verdana" w:cs="Arial"/>
          <w:spacing w:val="-2"/>
        </w:rPr>
        <w:t>acciones–;</w:t>
      </w:r>
      <w:r w:rsidRPr="00422B6A">
        <w:rPr>
          <w:rFonts w:ascii="Verdana" w:hAnsi="Verdana" w:cs="Arial"/>
          <w:spacing w:val="-12"/>
        </w:rPr>
        <w:t xml:space="preserve"> </w:t>
      </w:r>
      <w:r w:rsidRPr="00422B6A">
        <w:rPr>
          <w:rFonts w:ascii="Verdana" w:hAnsi="Verdana" w:cs="Arial"/>
          <w:spacing w:val="-2"/>
        </w:rPr>
        <w:t xml:space="preserve">otros las </w:t>
      </w:r>
      <w:r w:rsidRPr="00422B6A">
        <w:rPr>
          <w:rFonts w:ascii="Verdana" w:hAnsi="Verdana" w:cs="Arial"/>
          <w:spacing w:val="-1"/>
        </w:rPr>
        <w:t>clasifican</w:t>
      </w:r>
      <w:r w:rsidRPr="00422B6A">
        <w:rPr>
          <w:rFonts w:ascii="Verdana" w:hAnsi="Verdana" w:cs="Arial"/>
          <w:spacing w:val="-14"/>
        </w:rPr>
        <w:t xml:space="preserve"> </w:t>
      </w:r>
      <w:r w:rsidRPr="00422B6A">
        <w:rPr>
          <w:rFonts w:ascii="Verdana" w:hAnsi="Verdana" w:cs="Arial"/>
          <w:spacing w:val="-1"/>
        </w:rPr>
        <w:t>según</w:t>
      </w:r>
      <w:r w:rsidRPr="00422B6A">
        <w:rPr>
          <w:rFonts w:ascii="Verdana" w:hAnsi="Verdana" w:cs="Arial"/>
          <w:spacing w:val="-14"/>
        </w:rPr>
        <w:t xml:space="preserve"> </w:t>
      </w:r>
      <w:r w:rsidRPr="00422B6A">
        <w:rPr>
          <w:rFonts w:ascii="Verdana" w:hAnsi="Verdana" w:cs="Arial"/>
        </w:rPr>
        <w:t>la</w:t>
      </w:r>
      <w:r w:rsidRPr="00422B6A">
        <w:rPr>
          <w:rFonts w:ascii="Verdana" w:hAnsi="Verdana" w:cs="Arial"/>
          <w:spacing w:val="-14"/>
        </w:rPr>
        <w:t xml:space="preserve"> </w:t>
      </w:r>
      <w:r w:rsidRPr="00422B6A">
        <w:rPr>
          <w:rFonts w:ascii="Verdana" w:hAnsi="Verdana" w:cs="Arial"/>
        </w:rPr>
        <w:t>nacionalidad</w:t>
      </w:r>
      <w:r w:rsidRPr="00422B6A">
        <w:rPr>
          <w:rFonts w:ascii="Verdana" w:hAnsi="Verdana" w:cs="Arial"/>
          <w:spacing w:val="-14"/>
        </w:rPr>
        <w:t xml:space="preserve"> </w:t>
      </w:r>
      <w:r w:rsidRPr="00422B6A">
        <w:rPr>
          <w:rFonts w:ascii="Verdana" w:hAnsi="Verdana" w:cs="Arial"/>
        </w:rPr>
        <w:t>–nacionales</w:t>
      </w:r>
      <w:r w:rsidRPr="00422B6A">
        <w:rPr>
          <w:rFonts w:ascii="Verdana" w:hAnsi="Verdana" w:cs="Arial"/>
          <w:spacing w:val="-14"/>
        </w:rPr>
        <w:t xml:space="preserve"> </w:t>
      </w:r>
      <w:r w:rsidRPr="00422B6A">
        <w:rPr>
          <w:rFonts w:ascii="Verdana" w:hAnsi="Verdana" w:cs="Arial"/>
        </w:rPr>
        <w:t>y</w:t>
      </w:r>
      <w:r w:rsidRPr="00422B6A">
        <w:rPr>
          <w:rFonts w:ascii="Verdana" w:hAnsi="Verdana" w:cs="Arial"/>
          <w:spacing w:val="-14"/>
        </w:rPr>
        <w:t xml:space="preserve"> </w:t>
      </w:r>
      <w:r w:rsidRPr="00422B6A">
        <w:rPr>
          <w:rFonts w:ascii="Verdana" w:hAnsi="Verdana" w:cs="Arial"/>
        </w:rPr>
        <w:t>extranjeras–,</w:t>
      </w:r>
      <w:r w:rsidRPr="00422B6A">
        <w:rPr>
          <w:rFonts w:ascii="Verdana" w:hAnsi="Verdana" w:cs="Arial"/>
          <w:spacing w:val="-15"/>
        </w:rPr>
        <w:t xml:space="preserve"> </w:t>
      </w:r>
      <w:r w:rsidRPr="00422B6A">
        <w:rPr>
          <w:rFonts w:ascii="Verdana" w:hAnsi="Verdana" w:cs="Arial"/>
        </w:rPr>
        <w:t>o</w:t>
      </w:r>
      <w:r w:rsidRPr="00422B6A">
        <w:rPr>
          <w:rFonts w:ascii="Verdana" w:hAnsi="Verdana" w:cs="Arial"/>
          <w:spacing w:val="-14"/>
        </w:rPr>
        <w:t xml:space="preserve"> </w:t>
      </w:r>
      <w:r w:rsidRPr="00422B6A">
        <w:rPr>
          <w:rFonts w:ascii="Verdana" w:hAnsi="Verdana" w:cs="Arial"/>
        </w:rPr>
        <w:t>según</w:t>
      </w:r>
      <w:r w:rsidRPr="00422B6A">
        <w:rPr>
          <w:rFonts w:ascii="Verdana" w:hAnsi="Verdana" w:cs="Arial"/>
          <w:spacing w:val="-14"/>
        </w:rPr>
        <w:t xml:space="preserve"> </w:t>
      </w:r>
      <w:r w:rsidRPr="00422B6A">
        <w:rPr>
          <w:rFonts w:ascii="Verdana" w:hAnsi="Verdana" w:cs="Arial"/>
        </w:rPr>
        <w:t>el</w:t>
      </w:r>
      <w:r w:rsidRPr="00422B6A">
        <w:rPr>
          <w:rFonts w:ascii="Verdana" w:hAnsi="Verdana" w:cs="Arial"/>
          <w:spacing w:val="-14"/>
        </w:rPr>
        <w:t xml:space="preserve"> </w:t>
      </w:r>
      <w:r w:rsidRPr="00422B6A">
        <w:rPr>
          <w:rFonts w:ascii="Verdana" w:hAnsi="Verdana" w:cs="Arial"/>
        </w:rPr>
        <w:t>sector</w:t>
      </w:r>
      <w:r w:rsidRPr="00422B6A">
        <w:rPr>
          <w:rFonts w:ascii="Verdana" w:hAnsi="Verdana" w:cs="Arial"/>
          <w:spacing w:val="-14"/>
        </w:rPr>
        <w:t xml:space="preserve"> </w:t>
      </w:r>
      <w:r w:rsidRPr="00422B6A">
        <w:rPr>
          <w:rFonts w:ascii="Verdana" w:hAnsi="Verdana" w:cs="Arial"/>
        </w:rPr>
        <w:t>del</w:t>
      </w:r>
      <w:r w:rsidRPr="00422B6A">
        <w:rPr>
          <w:rFonts w:ascii="Verdana" w:hAnsi="Verdana" w:cs="Arial"/>
          <w:spacing w:val="-14"/>
        </w:rPr>
        <w:t xml:space="preserve"> </w:t>
      </w:r>
      <w:r w:rsidRPr="00422B6A">
        <w:rPr>
          <w:rFonts w:ascii="Verdana" w:hAnsi="Verdana" w:cs="Arial"/>
        </w:rPr>
        <w:t>que forman</w:t>
      </w:r>
      <w:r w:rsidRPr="00422B6A">
        <w:rPr>
          <w:rFonts w:ascii="Verdana" w:hAnsi="Verdana" w:cs="Arial"/>
          <w:spacing w:val="-8"/>
        </w:rPr>
        <w:t xml:space="preserve"> </w:t>
      </w:r>
      <w:r w:rsidRPr="00422B6A">
        <w:rPr>
          <w:rFonts w:ascii="Verdana" w:hAnsi="Verdana" w:cs="Arial"/>
        </w:rPr>
        <w:t>parte</w:t>
      </w:r>
      <w:r w:rsidRPr="00422B6A">
        <w:rPr>
          <w:rFonts w:ascii="Verdana" w:hAnsi="Verdana" w:cs="Arial"/>
          <w:spacing w:val="-8"/>
        </w:rPr>
        <w:t xml:space="preserve"> </w:t>
      </w:r>
      <w:r w:rsidRPr="00422B6A">
        <w:rPr>
          <w:rFonts w:ascii="Verdana" w:hAnsi="Verdana" w:cs="Arial"/>
        </w:rPr>
        <w:t>–privado</w:t>
      </w:r>
      <w:r w:rsidRPr="00422B6A">
        <w:rPr>
          <w:rFonts w:ascii="Verdana" w:hAnsi="Verdana" w:cs="Arial"/>
          <w:spacing w:val="-7"/>
        </w:rPr>
        <w:t xml:space="preserve"> </w:t>
      </w:r>
      <w:r w:rsidRPr="00422B6A">
        <w:rPr>
          <w:rFonts w:ascii="Verdana" w:hAnsi="Verdana" w:cs="Arial"/>
        </w:rPr>
        <w:t>o</w:t>
      </w:r>
      <w:r w:rsidRPr="00422B6A">
        <w:rPr>
          <w:rFonts w:ascii="Verdana" w:hAnsi="Verdana" w:cs="Arial"/>
          <w:spacing w:val="-8"/>
        </w:rPr>
        <w:t xml:space="preserve"> </w:t>
      </w:r>
      <w:r w:rsidRPr="00422B6A">
        <w:rPr>
          <w:rFonts w:ascii="Verdana" w:hAnsi="Verdana" w:cs="Arial"/>
        </w:rPr>
        <w:t>público–,</w:t>
      </w:r>
      <w:r w:rsidRPr="00422B6A">
        <w:rPr>
          <w:rFonts w:ascii="Verdana" w:hAnsi="Verdana" w:cs="Arial"/>
          <w:spacing w:val="-8"/>
        </w:rPr>
        <w:t xml:space="preserve"> </w:t>
      </w:r>
      <w:r w:rsidRPr="00422B6A">
        <w:rPr>
          <w:rFonts w:ascii="Verdana" w:hAnsi="Verdana" w:cs="Arial"/>
        </w:rPr>
        <w:t>entre</w:t>
      </w:r>
      <w:r w:rsidRPr="00422B6A">
        <w:rPr>
          <w:rFonts w:ascii="Verdana" w:hAnsi="Verdana" w:cs="Arial"/>
          <w:spacing w:val="-8"/>
        </w:rPr>
        <w:t xml:space="preserve"> </w:t>
      </w:r>
      <w:r w:rsidRPr="00422B6A">
        <w:rPr>
          <w:rFonts w:ascii="Verdana" w:hAnsi="Verdana" w:cs="Arial"/>
        </w:rPr>
        <w:t>otros</w:t>
      </w:r>
      <w:r w:rsidRPr="00422B6A">
        <w:rPr>
          <w:rFonts w:ascii="Verdana" w:hAnsi="Verdana" w:cs="Arial"/>
          <w:spacing w:val="-7"/>
        </w:rPr>
        <w:t xml:space="preserve"> </w:t>
      </w:r>
      <w:r w:rsidRPr="00422B6A">
        <w:rPr>
          <w:rFonts w:ascii="Verdana" w:hAnsi="Verdana" w:cs="Arial"/>
        </w:rPr>
        <w:t>criterios</w:t>
      </w:r>
      <w:r w:rsidRPr="00422B6A">
        <w:rPr>
          <w:rStyle w:val="Refdenotaalpie"/>
          <w:rFonts w:ascii="Verdana" w:hAnsi="Verdana" w:cs="Arial"/>
        </w:rPr>
        <w:footnoteReference w:id="5"/>
      </w:r>
      <w:r w:rsidRPr="00422B6A">
        <w:rPr>
          <w:rFonts w:ascii="Verdana" w:hAnsi="Verdana" w:cs="Arial"/>
        </w:rPr>
        <w:t>.</w:t>
      </w:r>
    </w:p>
    <w:p w14:paraId="4667D512" w14:textId="77777777" w:rsidR="00AA67A0" w:rsidRPr="00422B6A" w:rsidRDefault="00AA67A0" w:rsidP="00AA67A0">
      <w:pPr>
        <w:pStyle w:val="Textoindependiente"/>
        <w:spacing w:before="120"/>
        <w:ind w:right="49" w:firstLine="709"/>
        <w:jc w:val="both"/>
        <w:rPr>
          <w:rFonts w:ascii="Verdana" w:hAnsi="Verdana" w:cs="Arial"/>
        </w:rPr>
      </w:pPr>
      <w:r w:rsidRPr="00422B6A">
        <w:rPr>
          <w:rFonts w:ascii="Verdana" w:hAnsi="Verdana" w:cs="Arial"/>
        </w:rPr>
        <w:t>De</w:t>
      </w:r>
      <w:r w:rsidRPr="00422B6A">
        <w:rPr>
          <w:rFonts w:ascii="Verdana" w:hAnsi="Verdana" w:cs="Arial"/>
          <w:spacing w:val="1"/>
        </w:rPr>
        <w:t xml:space="preserve"> </w:t>
      </w:r>
      <w:r w:rsidRPr="00422B6A">
        <w:rPr>
          <w:rFonts w:ascii="Verdana" w:hAnsi="Verdana" w:cs="Arial"/>
        </w:rPr>
        <w:t>las</w:t>
      </w:r>
      <w:r w:rsidRPr="00422B6A">
        <w:rPr>
          <w:rFonts w:ascii="Verdana" w:hAnsi="Verdana" w:cs="Arial"/>
          <w:spacing w:val="1"/>
        </w:rPr>
        <w:t xml:space="preserve"> </w:t>
      </w:r>
      <w:r w:rsidRPr="00422B6A">
        <w:rPr>
          <w:rFonts w:ascii="Verdana" w:hAnsi="Verdana" w:cs="Arial"/>
        </w:rPr>
        <w:t>clasificaciones</w:t>
      </w:r>
      <w:r w:rsidRPr="00422B6A">
        <w:rPr>
          <w:rFonts w:ascii="Verdana" w:hAnsi="Verdana" w:cs="Arial"/>
          <w:spacing w:val="1"/>
        </w:rPr>
        <w:t xml:space="preserve"> </w:t>
      </w:r>
      <w:r w:rsidRPr="00422B6A">
        <w:rPr>
          <w:rFonts w:ascii="Verdana" w:hAnsi="Verdana" w:cs="Arial"/>
        </w:rPr>
        <w:t>propuestas,</w:t>
      </w:r>
      <w:r w:rsidRPr="00422B6A">
        <w:rPr>
          <w:rFonts w:ascii="Verdana" w:hAnsi="Verdana" w:cs="Arial"/>
          <w:spacing w:val="1"/>
        </w:rPr>
        <w:t xml:space="preserve"> </w:t>
      </w:r>
      <w:r w:rsidRPr="00422B6A">
        <w:rPr>
          <w:rFonts w:ascii="Verdana" w:hAnsi="Verdana" w:cs="Arial"/>
        </w:rPr>
        <w:t>es</w:t>
      </w:r>
      <w:r w:rsidRPr="00422B6A">
        <w:rPr>
          <w:rFonts w:ascii="Verdana" w:hAnsi="Verdana" w:cs="Arial"/>
          <w:spacing w:val="1"/>
        </w:rPr>
        <w:t xml:space="preserve"> </w:t>
      </w:r>
      <w:r w:rsidRPr="00097EFB">
        <w:rPr>
          <w:rFonts w:ascii="Verdana" w:eastAsiaTheme="minorHAnsi" w:hAnsi="Verdana" w:cs="Arial"/>
          <w:spacing w:val="-2"/>
          <w:lang w:eastAsia="en-US"/>
        </w:rPr>
        <w:t xml:space="preserve">bastante generalizada y aceptada aquella que las divide en “sociedades de personas” y “sociedades de capital”. </w:t>
      </w:r>
      <w:r>
        <w:rPr>
          <w:rFonts w:ascii="Verdana" w:eastAsiaTheme="minorHAnsi" w:hAnsi="Verdana" w:cs="Arial"/>
          <w:spacing w:val="-2"/>
          <w:lang w:eastAsia="en-US"/>
        </w:rPr>
        <w:t>L</w:t>
      </w:r>
      <w:r w:rsidRPr="00097EFB">
        <w:rPr>
          <w:rFonts w:ascii="Verdana" w:eastAsiaTheme="minorHAnsi" w:hAnsi="Verdana" w:cs="Arial"/>
          <w:spacing w:val="-2"/>
          <w:lang w:eastAsia="en-US"/>
        </w:rPr>
        <w:t>as últimas se caracterizan porque lo más importante son los aportes económicos, es decir, las acciones y no las personas –</w:t>
      </w:r>
      <w:proofErr w:type="spellStart"/>
      <w:r w:rsidRPr="00097EFB">
        <w:rPr>
          <w:rFonts w:ascii="Verdana" w:eastAsiaTheme="minorHAnsi" w:hAnsi="Verdana" w:cs="Arial"/>
          <w:i/>
          <w:iCs/>
          <w:spacing w:val="-2"/>
          <w:lang w:eastAsia="en-US"/>
        </w:rPr>
        <w:t>intuitus</w:t>
      </w:r>
      <w:proofErr w:type="spellEnd"/>
      <w:r w:rsidRPr="00097EFB">
        <w:rPr>
          <w:rFonts w:ascii="Verdana" w:eastAsiaTheme="minorHAnsi" w:hAnsi="Verdana" w:cs="Arial"/>
          <w:i/>
          <w:iCs/>
          <w:spacing w:val="-2"/>
          <w:lang w:eastAsia="en-US"/>
        </w:rPr>
        <w:t xml:space="preserve"> </w:t>
      </w:r>
      <w:proofErr w:type="spellStart"/>
      <w:r w:rsidRPr="00097EFB">
        <w:rPr>
          <w:rFonts w:ascii="Verdana" w:eastAsiaTheme="minorHAnsi" w:hAnsi="Verdana" w:cs="Arial"/>
          <w:i/>
          <w:iCs/>
          <w:spacing w:val="-2"/>
          <w:lang w:eastAsia="en-US"/>
        </w:rPr>
        <w:t>rei</w:t>
      </w:r>
      <w:proofErr w:type="spellEnd"/>
      <w:r w:rsidRPr="00097EFB">
        <w:rPr>
          <w:rFonts w:ascii="Verdana" w:eastAsiaTheme="minorHAnsi" w:hAnsi="Verdana" w:cs="Arial"/>
          <w:spacing w:val="-2"/>
          <w:lang w:eastAsia="en-US"/>
        </w:rPr>
        <w:t xml:space="preserve">–, porque no </w:t>
      </w:r>
      <w:r>
        <w:rPr>
          <w:rFonts w:ascii="Verdana" w:eastAsiaTheme="minorHAnsi" w:hAnsi="Verdana" w:cs="Arial"/>
          <w:spacing w:val="-2"/>
          <w:lang w:eastAsia="en-US"/>
        </w:rPr>
        <w:t xml:space="preserve">es relevante </w:t>
      </w:r>
      <w:r w:rsidRPr="00097EFB">
        <w:rPr>
          <w:rFonts w:ascii="Verdana" w:eastAsiaTheme="minorHAnsi" w:hAnsi="Verdana" w:cs="Arial"/>
          <w:spacing w:val="-2"/>
          <w:lang w:eastAsia="en-US"/>
        </w:rPr>
        <w:t>de quién sean las acciones</w:t>
      </w:r>
      <w:r w:rsidRPr="00422B6A">
        <w:rPr>
          <w:rStyle w:val="Refdenotaalpie"/>
          <w:rFonts w:ascii="Verdana" w:hAnsi="Verdana" w:cs="Arial"/>
        </w:rPr>
        <w:footnoteReference w:id="6"/>
      </w:r>
      <w:r w:rsidRPr="00422B6A">
        <w:rPr>
          <w:rFonts w:ascii="Verdana" w:hAnsi="Verdana" w:cs="Arial"/>
        </w:rPr>
        <w:t>. En cambio, las sociedades de personas se caracterizan porque quienes</w:t>
      </w:r>
      <w:r w:rsidRPr="00422B6A">
        <w:rPr>
          <w:rFonts w:ascii="Verdana" w:hAnsi="Verdana" w:cs="Arial"/>
          <w:spacing w:val="1"/>
        </w:rPr>
        <w:t xml:space="preserve"> </w:t>
      </w:r>
      <w:r w:rsidRPr="00422B6A">
        <w:rPr>
          <w:rFonts w:ascii="Verdana" w:hAnsi="Verdana" w:cs="Arial"/>
        </w:rPr>
        <w:t>las conforman</w:t>
      </w:r>
      <w:r w:rsidRPr="00422B6A">
        <w:rPr>
          <w:rFonts w:ascii="Verdana" w:hAnsi="Verdana" w:cs="Arial"/>
          <w:spacing w:val="1"/>
        </w:rPr>
        <w:t xml:space="preserve"> </w:t>
      </w:r>
      <w:r w:rsidRPr="00422B6A">
        <w:rPr>
          <w:rFonts w:ascii="Verdana" w:hAnsi="Verdana" w:cs="Arial"/>
        </w:rPr>
        <w:t>–los socios–</w:t>
      </w:r>
      <w:r w:rsidRPr="00422B6A">
        <w:rPr>
          <w:rFonts w:ascii="Verdana" w:hAnsi="Verdana" w:cs="Arial"/>
          <w:spacing w:val="1"/>
        </w:rPr>
        <w:t xml:space="preserve"> </w:t>
      </w:r>
      <w:r w:rsidRPr="00422B6A">
        <w:rPr>
          <w:rFonts w:ascii="Verdana" w:hAnsi="Verdana" w:cs="Arial"/>
        </w:rPr>
        <w:t>determinan</w:t>
      </w:r>
      <w:r w:rsidRPr="00422B6A">
        <w:rPr>
          <w:rFonts w:ascii="Verdana" w:hAnsi="Verdana" w:cs="Arial"/>
          <w:spacing w:val="1"/>
        </w:rPr>
        <w:t xml:space="preserve"> </w:t>
      </w:r>
      <w:r w:rsidRPr="00422B6A">
        <w:rPr>
          <w:rFonts w:ascii="Verdana" w:hAnsi="Verdana" w:cs="Arial"/>
        </w:rPr>
        <w:t>la</w:t>
      </w:r>
      <w:r w:rsidRPr="00422B6A">
        <w:rPr>
          <w:rFonts w:ascii="Verdana" w:hAnsi="Verdana" w:cs="Arial"/>
          <w:spacing w:val="1"/>
        </w:rPr>
        <w:t xml:space="preserve"> </w:t>
      </w:r>
      <w:r w:rsidRPr="00422B6A">
        <w:rPr>
          <w:rFonts w:ascii="Verdana" w:hAnsi="Verdana" w:cs="Arial"/>
        </w:rPr>
        <w:t>existencia</w:t>
      </w:r>
      <w:r w:rsidRPr="00422B6A">
        <w:rPr>
          <w:rFonts w:ascii="Verdana" w:hAnsi="Verdana" w:cs="Arial"/>
          <w:spacing w:val="1"/>
        </w:rPr>
        <w:t xml:space="preserve"> </w:t>
      </w:r>
      <w:r w:rsidRPr="00422B6A">
        <w:rPr>
          <w:rFonts w:ascii="Verdana" w:hAnsi="Verdana" w:cs="Arial"/>
        </w:rPr>
        <w:t>de</w:t>
      </w:r>
      <w:r w:rsidRPr="00422B6A">
        <w:rPr>
          <w:rFonts w:ascii="Verdana" w:hAnsi="Verdana" w:cs="Arial"/>
          <w:spacing w:val="1"/>
        </w:rPr>
        <w:t xml:space="preserve"> </w:t>
      </w:r>
      <w:r w:rsidRPr="00422B6A">
        <w:rPr>
          <w:rFonts w:ascii="Verdana" w:hAnsi="Verdana" w:cs="Arial"/>
        </w:rPr>
        <w:t>la sociedad,</w:t>
      </w:r>
      <w:r w:rsidRPr="00422B6A">
        <w:rPr>
          <w:rFonts w:ascii="Verdana" w:hAnsi="Verdana" w:cs="Arial"/>
          <w:spacing w:val="1"/>
        </w:rPr>
        <w:t xml:space="preserve"> </w:t>
      </w:r>
      <w:r w:rsidRPr="00422B6A">
        <w:rPr>
          <w:rFonts w:ascii="Verdana" w:hAnsi="Verdana" w:cs="Arial"/>
        </w:rPr>
        <w:t>usualmente</w:t>
      </w:r>
      <w:r w:rsidRPr="00422B6A">
        <w:rPr>
          <w:rFonts w:ascii="Verdana" w:hAnsi="Verdana" w:cs="Arial"/>
          <w:spacing w:val="1"/>
        </w:rPr>
        <w:t xml:space="preserve"> </w:t>
      </w:r>
      <w:r w:rsidRPr="00422B6A">
        <w:rPr>
          <w:rFonts w:ascii="Verdana" w:hAnsi="Verdana" w:cs="Arial"/>
        </w:rPr>
        <w:t>representadas</w:t>
      </w:r>
      <w:r w:rsidRPr="00422B6A">
        <w:rPr>
          <w:rFonts w:ascii="Verdana" w:hAnsi="Verdana" w:cs="Arial"/>
          <w:spacing w:val="1"/>
        </w:rPr>
        <w:t xml:space="preserve"> </w:t>
      </w:r>
      <w:r w:rsidRPr="00422B6A">
        <w:rPr>
          <w:rFonts w:ascii="Verdana" w:hAnsi="Verdana" w:cs="Arial"/>
        </w:rPr>
        <w:t>en</w:t>
      </w:r>
      <w:r w:rsidRPr="00422B6A">
        <w:rPr>
          <w:rFonts w:ascii="Verdana" w:hAnsi="Verdana" w:cs="Arial"/>
          <w:spacing w:val="1"/>
        </w:rPr>
        <w:t xml:space="preserve"> </w:t>
      </w:r>
      <w:r w:rsidRPr="00422B6A">
        <w:rPr>
          <w:rFonts w:ascii="Verdana" w:hAnsi="Verdana" w:cs="Arial"/>
        </w:rPr>
        <w:t>personas</w:t>
      </w:r>
      <w:r w:rsidRPr="00422B6A">
        <w:rPr>
          <w:rFonts w:ascii="Verdana" w:hAnsi="Verdana" w:cs="Arial"/>
          <w:spacing w:val="1"/>
        </w:rPr>
        <w:t xml:space="preserve"> </w:t>
      </w:r>
      <w:r w:rsidRPr="00422B6A">
        <w:rPr>
          <w:rFonts w:ascii="Verdana" w:hAnsi="Verdana" w:cs="Arial"/>
        </w:rPr>
        <w:t>que</w:t>
      </w:r>
      <w:r w:rsidRPr="00422B6A">
        <w:rPr>
          <w:rFonts w:ascii="Verdana" w:hAnsi="Verdana" w:cs="Arial"/>
          <w:spacing w:val="1"/>
        </w:rPr>
        <w:t xml:space="preserve"> </w:t>
      </w:r>
      <w:r w:rsidRPr="00422B6A">
        <w:rPr>
          <w:rFonts w:ascii="Verdana" w:hAnsi="Verdana" w:cs="Arial"/>
        </w:rPr>
        <w:t>se</w:t>
      </w:r>
      <w:r w:rsidRPr="00422B6A">
        <w:rPr>
          <w:rFonts w:ascii="Verdana" w:hAnsi="Verdana" w:cs="Arial"/>
          <w:spacing w:val="1"/>
        </w:rPr>
        <w:t xml:space="preserve"> </w:t>
      </w:r>
      <w:r w:rsidRPr="00422B6A">
        <w:rPr>
          <w:rFonts w:ascii="Verdana" w:hAnsi="Verdana" w:cs="Arial"/>
        </w:rPr>
        <w:t>conocen</w:t>
      </w:r>
      <w:r w:rsidRPr="00422B6A">
        <w:rPr>
          <w:rFonts w:ascii="Verdana" w:hAnsi="Verdana" w:cs="Arial"/>
          <w:spacing w:val="1"/>
        </w:rPr>
        <w:t xml:space="preserve"> </w:t>
      </w:r>
      <w:r w:rsidRPr="00422B6A">
        <w:rPr>
          <w:rFonts w:ascii="Verdana" w:hAnsi="Verdana" w:cs="Arial"/>
        </w:rPr>
        <w:t>y</w:t>
      </w:r>
      <w:r w:rsidRPr="00422B6A">
        <w:rPr>
          <w:rFonts w:ascii="Verdana" w:hAnsi="Verdana" w:cs="Arial"/>
          <w:spacing w:val="1"/>
        </w:rPr>
        <w:t xml:space="preserve"> </w:t>
      </w:r>
      <w:r w:rsidRPr="00422B6A">
        <w:rPr>
          <w:rFonts w:ascii="Verdana" w:hAnsi="Verdana" w:cs="Arial"/>
        </w:rPr>
        <w:t>tienen</w:t>
      </w:r>
      <w:r w:rsidRPr="00422B6A">
        <w:rPr>
          <w:rFonts w:ascii="Verdana" w:hAnsi="Verdana" w:cs="Arial"/>
          <w:spacing w:val="1"/>
        </w:rPr>
        <w:t xml:space="preserve"> </w:t>
      </w:r>
      <w:r w:rsidRPr="00422B6A">
        <w:rPr>
          <w:rFonts w:ascii="Verdana" w:hAnsi="Verdana" w:cs="Arial"/>
        </w:rPr>
        <w:t>relación</w:t>
      </w:r>
      <w:r w:rsidRPr="00422B6A">
        <w:rPr>
          <w:rFonts w:ascii="Verdana" w:hAnsi="Verdana" w:cs="Arial"/>
          <w:spacing w:val="1"/>
        </w:rPr>
        <w:t xml:space="preserve"> </w:t>
      </w:r>
      <w:r w:rsidRPr="00422B6A">
        <w:rPr>
          <w:rFonts w:ascii="Verdana" w:hAnsi="Verdana" w:cs="Arial"/>
        </w:rPr>
        <w:t>entre</w:t>
      </w:r>
      <w:r w:rsidRPr="00422B6A">
        <w:rPr>
          <w:rFonts w:ascii="Verdana" w:hAnsi="Verdana" w:cs="Arial"/>
          <w:spacing w:val="1"/>
        </w:rPr>
        <w:t xml:space="preserve"> </w:t>
      </w:r>
      <w:r w:rsidRPr="00422B6A">
        <w:rPr>
          <w:rFonts w:ascii="Verdana" w:hAnsi="Verdana" w:cs="Arial"/>
        </w:rPr>
        <w:t>sí</w:t>
      </w:r>
      <w:r w:rsidRPr="00422B6A">
        <w:rPr>
          <w:rFonts w:ascii="Verdana" w:hAnsi="Verdana" w:cs="Arial"/>
          <w:spacing w:val="1"/>
        </w:rPr>
        <w:t xml:space="preserve"> </w:t>
      </w:r>
      <w:r w:rsidRPr="00422B6A">
        <w:rPr>
          <w:rFonts w:ascii="Verdana" w:hAnsi="Verdana" w:cs="Arial"/>
          <w:i/>
        </w:rPr>
        <w:t>–</w:t>
      </w:r>
      <w:proofErr w:type="spellStart"/>
      <w:r w:rsidRPr="00422B6A">
        <w:rPr>
          <w:rFonts w:ascii="Verdana" w:hAnsi="Verdana" w:cs="Arial"/>
          <w:i/>
        </w:rPr>
        <w:t>intuitus</w:t>
      </w:r>
      <w:proofErr w:type="spellEnd"/>
      <w:r w:rsidRPr="00422B6A">
        <w:rPr>
          <w:rFonts w:ascii="Verdana" w:hAnsi="Verdana" w:cs="Arial"/>
          <w:i/>
          <w:spacing w:val="1"/>
        </w:rPr>
        <w:t xml:space="preserve"> </w:t>
      </w:r>
      <w:proofErr w:type="spellStart"/>
      <w:r w:rsidRPr="00422B6A">
        <w:rPr>
          <w:rFonts w:ascii="Verdana" w:hAnsi="Verdana" w:cs="Arial"/>
          <w:i/>
        </w:rPr>
        <w:t>personarum</w:t>
      </w:r>
      <w:proofErr w:type="spellEnd"/>
      <w:r w:rsidRPr="00422B6A">
        <w:rPr>
          <w:rFonts w:ascii="Verdana" w:hAnsi="Verdana" w:cs="Arial"/>
          <w:i/>
        </w:rPr>
        <w:t>–</w:t>
      </w:r>
      <w:r w:rsidRPr="00422B6A">
        <w:rPr>
          <w:rStyle w:val="Refdenotaalpie"/>
          <w:rFonts w:ascii="Verdana" w:hAnsi="Verdana" w:cs="Arial"/>
          <w:i/>
        </w:rPr>
        <w:footnoteReference w:id="7"/>
      </w:r>
      <w:r w:rsidRPr="00422B6A">
        <w:rPr>
          <w:rFonts w:ascii="Verdana" w:hAnsi="Verdana" w:cs="Arial"/>
          <w:i/>
        </w:rPr>
        <w:t xml:space="preserve">. </w:t>
      </w:r>
      <w:r w:rsidRPr="00422B6A">
        <w:rPr>
          <w:rFonts w:ascii="Verdana" w:hAnsi="Verdana" w:cs="Arial"/>
        </w:rPr>
        <w:t xml:space="preserve">No obstante, en ambos casos existen </w:t>
      </w:r>
      <w:r w:rsidRPr="00422B6A">
        <w:rPr>
          <w:rFonts w:ascii="Verdana" w:hAnsi="Verdana" w:cs="Arial"/>
        </w:rPr>
        <w:lastRenderedPageBreak/>
        <w:t>socios y se necesita</w:t>
      </w:r>
      <w:r w:rsidRPr="00422B6A">
        <w:rPr>
          <w:rFonts w:ascii="Verdana" w:hAnsi="Verdana" w:cs="Arial"/>
          <w:spacing w:val="1"/>
        </w:rPr>
        <w:t xml:space="preserve"> </w:t>
      </w:r>
      <w:r w:rsidRPr="00422B6A">
        <w:rPr>
          <w:rFonts w:ascii="Verdana" w:hAnsi="Verdana" w:cs="Arial"/>
        </w:rPr>
        <w:t>capital o aportes, solo que</w:t>
      </w:r>
      <w:r>
        <w:rPr>
          <w:rFonts w:ascii="Verdana" w:hAnsi="Verdana" w:cs="Arial"/>
        </w:rPr>
        <w:t xml:space="preserve">, </w:t>
      </w:r>
      <w:r w:rsidRPr="00422B6A">
        <w:rPr>
          <w:rFonts w:ascii="Verdana" w:hAnsi="Verdana" w:cs="Arial"/>
        </w:rPr>
        <w:t>dependiendo de la clasificación</w:t>
      </w:r>
      <w:r>
        <w:rPr>
          <w:rFonts w:ascii="Verdana" w:hAnsi="Verdana" w:cs="Arial"/>
          <w:spacing w:val="61"/>
        </w:rPr>
        <w:t xml:space="preserve">, </w:t>
      </w:r>
      <w:r w:rsidRPr="00422B6A">
        <w:rPr>
          <w:rFonts w:ascii="Verdana" w:hAnsi="Verdana" w:cs="Arial"/>
        </w:rPr>
        <w:t>la relevancia se sitúa en</w:t>
      </w:r>
      <w:r w:rsidRPr="00422B6A">
        <w:rPr>
          <w:rFonts w:ascii="Verdana" w:hAnsi="Verdana" w:cs="Arial"/>
          <w:spacing w:val="1"/>
        </w:rPr>
        <w:t xml:space="preserve"> </w:t>
      </w:r>
      <w:r w:rsidRPr="00422B6A">
        <w:rPr>
          <w:rFonts w:ascii="Verdana" w:hAnsi="Verdana" w:cs="Arial"/>
        </w:rPr>
        <w:t>uno</w:t>
      </w:r>
      <w:r w:rsidRPr="00422B6A">
        <w:rPr>
          <w:rFonts w:ascii="Verdana" w:hAnsi="Verdana" w:cs="Arial"/>
          <w:spacing w:val="-2"/>
        </w:rPr>
        <w:t xml:space="preserve"> </w:t>
      </w:r>
      <w:r w:rsidRPr="00422B6A">
        <w:rPr>
          <w:rFonts w:ascii="Verdana" w:hAnsi="Verdana" w:cs="Arial"/>
        </w:rPr>
        <w:t>de</w:t>
      </w:r>
      <w:r w:rsidRPr="00422B6A">
        <w:rPr>
          <w:rFonts w:ascii="Verdana" w:hAnsi="Verdana" w:cs="Arial"/>
          <w:spacing w:val="-1"/>
        </w:rPr>
        <w:t xml:space="preserve"> </w:t>
      </w:r>
      <w:r w:rsidRPr="00422B6A">
        <w:rPr>
          <w:rFonts w:ascii="Verdana" w:hAnsi="Verdana" w:cs="Arial"/>
        </w:rPr>
        <w:t>los</w:t>
      </w:r>
      <w:r w:rsidRPr="00422B6A">
        <w:rPr>
          <w:rFonts w:ascii="Verdana" w:hAnsi="Verdana" w:cs="Arial"/>
          <w:spacing w:val="-1"/>
        </w:rPr>
        <w:t xml:space="preserve"> </w:t>
      </w:r>
      <w:r w:rsidRPr="00422B6A">
        <w:rPr>
          <w:rFonts w:ascii="Verdana" w:hAnsi="Verdana" w:cs="Arial"/>
        </w:rPr>
        <w:t>dos</w:t>
      </w:r>
      <w:r w:rsidRPr="00422B6A">
        <w:rPr>
          <w:rFonts w:ascii="Verdana" w:hAnsi="Verdana" w:cs="Arial"/>
          <w:spacing w:val="-1"/>
        </w:rPr>
        <w:t xml:space="preserve"> </w:t>
      </w:r>
      <w:r w:rsidRPr="00422B6A">
        <w:rPr>
          <w:rFonts w:ascii="Verdana" w:hAnsi="Verdana" w:cs="Arial"/>
        </w:rPr>
        <w:t>elementos.</w:t>
      </w:r>
    </w:p>
    <w:p w14:paraId="1866001D" w14:textId="77777777" w:rsidR="00AA67A0" w:rsidRPr="00422B6A" w:rsidRDefault="00AA67A0" w:rsidP="00AA67A0">
      <w:pPr>
        <w:pStyle w:val="Textoindependiente"/>
        <w:spacing w:before="120"/>
        <w:ind w:right="49" w:firstLine="709"/>
        <w:jc w:val="both"/>
        <w:rPr>
          <w:rFonts w:ascii="Verdana" w:hAnsi="Verdana" w:cs="Arial"/>
        </w:rPr>
      </w:pPr>
      <w:r w:rsidRPr="00097EFB">
        <w:rPr>
          <w:rFonts w:ascii="Verdana" w:hAnsi="Verdana" w:cs="Arial"/>
        </w:rPr>
        <w:t>Al grupo de las “</w:t>
      </w:r>
      <w:r w:rsidRPr="00097EFB">
        <w:rPr>
          <w:rFonts w:ascii="Verdana" w:hAnsi="Verdana" w:cs="Arial"/>
          <w:i/>
          <w:iCs/>
        </w:rPr>
        <w:t>sociedades de personas</w:t>
      </w:r>
      <w:r w:rsidRPr="00097EFB">
        <w:rPr>
          <w:rFonts w:ascii="Verdana" w:hAnsi="Verdana" w:cs="Arial"/>
        </w:rPr>
        <w:t>” pertenecen, por ejemplo, las sociedades colectivas y en</w:t>
      </w:r>
      <w:r w:rsidRPr="00422B6A">
        <w:rPr>
          <w:rFonts w:ascii="Verdana" w:hAnsi="Verdana" w:cs="Arial"/>
        </w:rPr>
        <w:t xml:space="preserve"> comandita simple. Al grupo de</w:t>
      </w:r>
      <w:r w:rsidRPr="00097EFB">
        <w:rPr>
          <w:rFonts w:ascii="Verdana" w:hAnsi="Verdana" w:cs="Arial"/>
        </w:rPr>
        <w:t xml:space="preserve"> </w:t>
      </w:r>
      <w:r w:rsidRPr="00422B6A">
        <w:rPr>
          <w:rFonts w:ascii="Verdana" w:hAnsi="Verdana" w:cs="Arial"/>
        </w:rPr>
        <w:t xml:space="preserve">las </w:t>
      </w:r>
      <w:r w:rsidRPr="00097EFB">
        <w:rPr>
          <w:rFonts w:ascii="Verdana" w:hAnsi="Verdana" w:cs="Arial"/>
        </w:rPr>
        <w:t>“</w:t>
      </w:r>
      <w:r w:rsidRPr="00097EFB">
        <w:rPr>
          <w:rFonts w:ascii="Verdana" w:hAnsi="Verdana" w:cs="Arial"/>
          <w:i/>
          <w:iCs/>
        </w:rPr>
        <w:t>sociedades de capital</w:t>
      </w:r>
      <w:r w:rsidRPr="00097EFB">
        <w:rPr>
          <w:rFonts w:ascii="Verdana" w:hAnsi="Verdana" w:cs="Arial"/>
        </w:rPr>
        <w:t xml:space="preserve">” </w:t>
      </w:r>
      <w:r w:rsidRPr="00422B6A">
        <w:rPr>
          <w:rFonts w:ascii="Verdana" w:hAnsi="Verdana" w:cs="Arial"/>
        </w:rPr>
        <w:t>pertenecen, por ejemplo, las sociedades anónimas, las sociedades en</w:t>
      </w:r>
      <w:r w:rsidRPr="00097EFB">
        <w:rPr>
          <w:rFonts w:ascii="Verdana" w:hAnsi="Verdana" w:cs="Arial"/>
        </w:rPr>
        <w:t xml:space="preserve"> comandita por acciones y las sociedades por acciones simplificadas –SAS–</w:t>
      </w:r>
      <w:r w:rsidRPr="00422B6A">
        <w:rPr>
          <w:rFonts w:ascii="Verdana" w:hAnsi="Verdana" w:cs="Arial"/>
        </w:rPr>
        <w:t>. Lo anterior sin desconocer que la clasificación no siempre es pacífica, toda vez que</w:t>
      </w:r>
      <w:r>
        <w:rPr>
          <w:rFonts w:ascii="Verdana" w:hAnsi="Verdana" w:cs="Arial"/>
        </w:rPr>
        <w:t xml:space="preserve"> </w:t>
      </w:r>
      <w:r w:rsidRPr="00422B6A">
        <w:rPr>
          <w:rFonts w:ascii="Verdana" w:hAnsi="Verdana" w:cs="Arial"/>
        </w:rPr>
        <w:t xml:space="preserve">frente a algunas de ellas hay un fuerte debate, </w:t>
      </w:r>
      <w:r>
        <w:rPr>
          <w:rFonts w:ascii="Verdana" w:hAnsi="Verdana" w:cs="Arial"/>
        </w:rPr>
        <w:t xml:space="preserve">como es el caso de </w:t>
      </w:r>
      <w:r w:rsidRPr="00422B6A">
        <w:rPr>
          <w:rFonts w:ascii="Verdana" w:hAnsi="Verdana" w:cs="Arial"/>
        </w:rPr>
        <w:t>las sociedades</w:t>
      </w:r>
      <w:r w:rsidRPr="00097EFB">
        <w:rPr>
          <w:rFonts w:ascii="Verdana" w:hAnsi="Verdana" w:cs="Arial"/>
        </w:rPr>
        <w:t xml:space="preserve"> </w:t>
      </w:r>
      <w:r w:rsidRPr="00422B6A">
        <w:rPr>
          <w:rFonts w:ascii="Verdana" w:hAnsi="Verdana" w:cs="Arial"/>
        </w:rPr>
        <w:t>limitadas.</w:t>
      </w:r>
      <w:r>
        <w:rPr>
          <w:rFonts w:ascii="Verdana" w:hAnsi="Verdana" w:cs="Arial"/>
        </w:rPr>
        <w:t xml:space="preserve"> </w:t>
      </w:r>
      <w:r w:rsidRPr="00422B6A">
        <w:rPr>
          <w:rFonts w:ascii="Verdana" w:hAnsi="Verdana" w:cs="Arial"/>
        </w:rPr>
        <w:t>Incluso,</w:t>
      </w:r>
      <w:r w:rsidRPr="00422B6A">
        <w:rPr>
          <w:rFonts w:ascii="Verdana" w:hAnsi="Verdana" w:cs="Arial"/>
          <w:spacing w:val="1"/>
        </w:rPr>
        <w:t xml:space="preserve"> </w:t>
      </w:r>
      <w:r w:rsidRPr="00422B6A">
        <w:rPr>
          <w:rFonts w:ascii="Verdana" w:hAnsi="Verdana" w:cs="Arial"/>
        </w:rPr>
        <w:t>parte</w:t>
      </w:r>
      <w:r w:rsidRPr="00422B6A">
        <w:rPr>
          <w:rFonts w:ascii="Verdana" w:hAnsi="Verdana" w:cs="Arial"/>
          <w:spacing w:val="1"/>
        </w:rPr>
        <w:t xml:space="preserve"> </w:t>
      </w:r>
      <w:r w:rsidRPr="00422B6A">
        <w:rPr>
          <w:rFonts w:ascii="Verdana" w:hAnsi="Verdana" w:cs="Arial"/>
        </w:rPr>
        <w:t>de</w:t>
      </w:r>
      <w:r w:rsidRPr="00422B6A">
        <w:rPr>
          <w:rFonts w:ascii="Verdana" w:hAnsi="Verdana" w:cs="Arial"/>
          <w:spacing w:val="1"/>
        </w:rPr>
        <w:t xml:space="preserve"> </w:t>
      </w:r>
      <w:r w:rsidRPr="00422B6A">
        <w:rPr>
          <w:rFonts w:ascii="Verdana" w:hAnsi="Verdana" w:cs="Arial"/>
        </w:rPr>
        <w:t>la</w:t>
      </w:r>
      <w:r w:rsidRPr="00422B6A">
        <w:rPr>
          <w:rFonts w:ascii="Verdana" w:hAnsi="Verdana" w:cs="Arial"/>
          <w:spacing w:val="1"/>
        </w:rPr>
        <w:t xml:space="preserve"> </w:t>
      </w:r>
      <w:r w:rsidRPr="00422B6A">
        <w:rPr>
          <w:rFonts w:ascii="Verdana" w:hAnsi="Verdana" w:cs="Arial"/>
        </w:rPr>
        <w:t>doctrina</w:t>
      </w:r>
      <w:r w:rsidRPr="00422B6A">
        <w:rPr>
          <w:rFonts w:ascii="Verdana" w:hAnsi="Verdana" w:cs="Arial"/>
          <w:spacing w:val="1"/>
        </w:rPr>
        <w:t xml:space="preserve"> </w:t>
      </w:r>
      <w:r w:rsidRPr="00422B6A">
        <w:rPr>
          <w:rFonts w:ascii="Verdana" w:hAnsi="Verdana" w:cs="Arial"/>
        </w:rPr>
        <w:t>del</w:t>
      </w:r>
      <w:r w:rsidRPr="00422B6A">
        <w:rPr>
          <w:rFonts w:ascii="Verdana" w:hAnsi="Verdana" w:cs="Arial"/>
          <w:spacing w:val="1"/>
        </w:rPr>
        <w:t xml:space="preserve"> </w:t>
      </w:r>
      <w:r w:rsidRPr="00422B6A">
        <w:rPr>
          <w:rFonts w:ascii="Verdana" w:hAnsi="Verdana" w:cs="Arial"/>
        </w:rPr>
        <w:t>derecho</w:t>
      </w:r>
      <w:r w:rsidRPr="00422B6A">
        <w:rPr>
          <w:rFonts w:ascii="Verdana" w:hAnsi="Verdana" w:cs="Arial"/>
          <w:spacing w:val="1"/>
        </w:rPr>
        <w:t xml:space="preserve"> </w:t>
      </w:r>
      <w:r w:rsidRPr="00422B6A">
        <w:rPr>
          <w:rFonts w:ascii="Verdana" w:hAnsi="Verdana" w:cs="Arial"/>
        </w:rPr>
        <w:t>comercial</w:t>
      </w:r>
      <w:r w:rsidRPr="00422B6A">
        <w:rPr>
          <w:rFonts w:ascii="Verdana" w:hAnsi="Verdana" w:cs="Arial"/>
          <w:spacing w:val="1"/>
        </w:rPr>
        <w:t xml:space="preserve"> </w:t>
      </w:r>
      <w:r w:rsidRPr="00422B6A">
        <w:rPr>
          <w:rFonts w:ascii="Verdana" w:hAnsi="Verdana" w:cs="Arial"/>
        </w:rPr>
        <w:t>estima</w:t>
      </w:r>
      <w:r w:rsidRPr="00422B6A">
        <w:rPr>
          <w:rFonts w:ascii="Verdana" w:hAnsi="Verdana" w:cs="Arial"/>
          <w:spacing w:val="1"/>
        </w:rPr>
        <w:t xml:space="preserve"> </w:t>
      </w:r>
      <w:r w:rsidRPr="00422B6A">
        <w:rPr>
          <w:rFonts w:ascii="Verdana" w:hAnsi="Verdana" w:cs="Arial"/>
        </w:rPr>
        <w:t>que</w:t>
      </w:r>
      <w:r w:rsidRPr="00422B6A">
        <w:rPr>
          <w:rFonts w:ascii="Verdana" w:hAnsi="Verdana" w:cs="Arial"/>
          <w:spacing w:val="1"/>
        </w:rPr>
        <w:t xml:space="preserve"> </w:t>
      </w:r>
      <w:r w:rsidRPr="00422B6A">
        <w:rPr>
          <w:rFonts w:ascii="Verdana" w:hAnsi="Verdana" w:cs="Arial"/>
        </w:rPr>
        <w:t>en</w:t>
      </w:r>
      <w:r w:rsidRPr="00422B6A">
        <w:rPr>
          <w:rFonts w:ascii="Verdana" w:hAnsi="Verdana" w:cs="Arial"/>
          <w:spacing w:val="1"/>
        </w:rPr>
        <w:t xml:space="preserve"> </w:t>
      </w:r>
      <w:r w:rsidRPr="00422B6A">
        <w:rPr>
          <w:rFonts w:ascii="Verdana" w:hAnsi="Verdana" w:cs="Arial"/>
        </w:rPr>
        <w:t>esta</w:t>
      </w:r>
      <w:r w:rsidRPr="00422B6A">
        <w:rPr>
          <w:rFonts w:ascii="Verdana" w:hAnsi="Verdana" w:cs="Arial"/>
          <w:spacing w:val="1"/>
        </w:rPr>
        <w:t xml:space="preserve"> </w:t>
      </w:r>
      <w:r w:rsidRPr="00422B6A">
        <w:rPr>
          <w:rFonts w:ascii="Verdana" w:hAnsi="Verdana" w:cs="Arial"/>
        </w:rPr>
        <w:t xml:space="preserve">clasificación cabe </w:t>
      </w:r>
      <w:r>
        <w:rPr>
          <w:rFonts w:ascii="Verdana" w:hAnsi="Verdana" w:cs="Arial"/>
        </w:rPr>
        <w:t xml:space="preserve">otro tipo: las </w:t>
      </w:r>
      <w:r w:rsidRPr="00422B6A">
        <w:rPr>
          <w:rFonts w:ascii="Verdana" w:hAnsi="Verdana" w:cs="Arial"/>
        </w:rPr>
        <w:t>“</w:t>
      </w:r>
      <w:r w:rsidRPr="00422B6A">
        <w:rPr>
          <w:rFonts w:ascii="Verdana" w:hAnsi="Verdana" w:cs="Arial"/>
          <w:i/>
        </w:rPr>
        <w:t>sociedades de naturaleza mixta</w:t>
      </w:r>
      <w:r w:rsidRPr="00422B6A">
        <w:rPr>
          <w:rFonts w:ascii="Verdana" w:hAnsi="Verdana" w:cs="Arial"/>
        </w:rPr>
        <w:t>”, que corresponden</w:t>
      </w:r>
      <w:r w:rsidRPr="00422B6A">
        <w:rPr>
          <w:rFonts w:ascii="Verdana" w:hAnsi="Verdana" w:cs="Arial"/>
          <w:spacing w:val="1"/>
        </w:rPr>
        <w:t xml:space="preserve"> </w:t>
      </w:r>
      <w:r w:rsidRPr="00422B6A">
        <w:rPr>
          <w:rFonts w:ascii="Verdana" w:hAnsi="Verdana" w:cs="Arial"/>
        </w:rPr>
        <w:t xml:space="preserve">a aquellas </w:t>
      </w:r>
      <w:r>
        <w:rPr>
          <w:rFonts w:ascii="Verdana" w:hAnsi="Verdana" w:cs="Arial"/>
        </w:rPr>
        <w:t xml:space="preserve">en </w:t>
      </w:r>
      <w:r w:rsidRPr="00422B6A">
        <w:rPr>
          <w:rFonts w:ascii="Verdana" w:hAnsi="Verdana" w:cs="Arial"/>
        </w:rPr>
        <w:t>las</w:t>
      </w:r>
      <w:r>
        <w:rPr>
          <w:rFonts w:ascii="Verdana" w:hAnsi="Verdana" w:cs="Arial"/>
        </w:rPr>
        <w:t xml:space="preserve"> que las</w:t>
      </w:r>
      <w:r w:rsidRPr="00422B6A">
        <w:rPr>
          <w:rFonts w:ascii="Verdana" w:hAnsi="Verdana" w:cs="Arial"/>
        </w:rPr>
        <w:t xml:space="preserve"> acciones o el capital </w:t>
      </w:r>
      <w:r>
        <w:rPr>
          <w:rFonts w:ascii="Verdana" w:hAnsi="Verdana" w:cs="Arial"/>
        </w:rPr>
        <w:t xml:space="preserve">son </w:t>
      </w:r>
      <w:r w:rsidRPr="00422B6A">
        <w:rPr>
          <w:rFonts w:ascii="Verdana" w:hAnsi="Verdana" w:cs="Arial"/>
        </w:rPr>
        <w:t>tan importante</w:t>
      </w:r>
      <w:r>
        <w:rPr>
          <w:rFonts w:ascii="Verdana" w:hAnsi="Verdana" w:cs="Arial"/>
        </w:rPr>
        <w:t>s</w:t>
      </w:r>
      <w:r w:rsidRPr="00422B6A">
        <w:rPr>
          <w:rFonts w:ascii="Verdana" w:hAnsi="Verdana" w:cs="Arial"/>
        </w:rPr>
        <w:t xml:space="preserve"> como las personas que</w:t>
      </w:r>
      <w:r w:rsidRPr="00422B6A">
        <w:rPr>
          <w:rFonts w:ascii="Verdana" w:hAnsi="Verdana" w:cs="Arial"/>
          <w:spacing w:val="1"/>
        </w:rPr>
        <w:t xml:space="preserve"> </w:t>
      </w:r>
      <w:r>
        <w:rPr>
          <w:rFonts w:ascii="Verdana" w:hAnsi="Verdana" w:cs="Arial"/>
        </w:rPr>
        <w:t>las c</w:t>
      </w:r>
      <w:r w:rsidRPr="00422B6A">
        <w:rPr>
          <w:rFonts w:ascii="Verdana" w:hAnsi="Verdana" w:cs="Arial"/>
        </w:rPr>
        <w:t>onforman</w:t>
      </w:r>
      <w:r>
        <w:rPr>
          <w:rFonts w:ascii="Verdana" w:hAnsi="Verdana" w:cs="Arial"/>
        </w:rPr>
        <w:t>.</w:t>
      </w:r>
    </w:p>
    <w:p w14:paraId="1C1F1395" w14:textId="77777777" w:rsidR="00AA67A0" w:rsidRPr="00422B6A" w:rsidRDefault="00AA67A0" w:rsidP="00AA67A0">
      <w:pPr>
        <w:pStyle w:val="Textoindependiente"/>
        <w:spacing w:before="120"/>
        <w:ind w:right="49" w:firstLine="709"/>
        <w:jc w:val="both"/>
        <w:rPr>
          <w:rFonts w:ascii="Verdana" w:hAnsi="Verdana" w:cs="Arial"/>
        </w:rPr>
      </w:pPr>
      <w:r w:rsidRPr="00422B6A">
        <w:rPr>
          <w:rFonts w:ascii="Verdana" w:hAnsi="Verdana" w:cs="Arial"/>
        </w:rPr>
        <w:t>No</w:t>
      </w:r>
      <w:r w:rsidRPr="00422B6A">
        <w:rPr>
          <w:rFonts w:ascii="Verdana" w:hAnsi="Verdana" w:cs="Arial"/>
          <w:spacing w:val="1"/>
        </w:rPr>
        <w:t xml:space="preserve"> </w:t>
      </w:r>
      <w:r w:rsidRPr="00422B6A">
        <w:rPr>
          <w:rFonts w:ascii="Verdana" w:hAnsi="Verdana" w:cs="Arial"/>
        </w:rPr>
        <w:t>obstante,</w:t>
      </w:r>
      <w:r w:rsidRPr="00422B6A">
        <w:rPr>
          <w:rFonts w:ascii="Verdana" w:hAnsi="Verdana" w:cs="Arial"/>
          <w:spacing w:val="1"/>
        </w:rPr>
        <w:t xml:space="preserve"> </w:t>
      </w:r>
      <w:r w:rsidRPr="00422B6A">
        <w:rPr>
          <w:rFonts w:ascii="Verdana" w:hAnsi="Verdana" w:cs="Arial"/>
        </w:rPr>
        <w:t>la</w:t>
      </w:r>
      <w:r w:rsidRPr="00422B6A">
        <w:rPr>
          <w:rFonts w:ascii="Verdana" w:hAnsi="Verdana" w:cs="Arial"/>
          <w:spacing w:val="1"/>
        </w:rPr>
        <w:t xml:space="preserve"> </w:t>
      </w:r>
      <w:r w:rsidRPr="00422B6A">
        <w:rPr>
          <w:rFonts w:ascii="Verdana" w:hAnsi="Verdana" w:cs="Arial"/>
        </w:rPr>
        <w:t>dificultad</w:t>
      </w:r>
      <w:r w:rsidRPr="00422B6A">
        <w:rPr>
          <w:rFonts w:ascii="Verdana" w:hAnsi="Verdana" w:cs="Arial"/>
          <w:spacing w:val="1"/>
        </w:rPr>
        <w:t xml:space="preserve"> </w:t>
      </w:r>
      <w:r w:rsidRPr="00422B6A">
        <w:rPr>
          <w:rFonts w:ascii="Verdana" w:hAnsi="Verdana" w:cs="Arial"/>
        </w:rPr>
        <w:t>que</w:t>
      </w:r>
      <w:r w:rsidRPr="00422B6A">
        <w:rPr>
          <w:rFonts w:ascii="Verdana" w:hAnsi="Verdana" w:cs="Arial"/>
          <w:spacing w:val="1"/>
        </w:rPr>
        <w:t xml:space="preserve"> </w:t>
      </w:r>
      <w:r w:rsidRPr="00422B6A">
        <w:rPr>
          <w:rFonts w:ascii="Verdana" w:hAnsi="Verdana" w:cs="Arial"/>
        </w:rPr>
        <w:t>ofrezca</w:t>
      </w:r>
      <w:r w:rsidRPr="00422B6A">
        <w:rPr>
          <w:rFonts w:ascii="Verdana" w:hAnsi="Verdana" w:cs="Arial"/>
          <w:spacing w:val="1"/>
        </w:rPr>
        <w:t xml:space="preserve"> </w:t>
      </w:r>
      <w:r w:rsidRPr="00422B6A">
        <w:rPr>
          <w:rFonts w:ascii="Verdana" w:hAnsi="Verdana" w:cs="Arial"/>
        </w:rPr>
        <w:t>la</w:t>
      </w:r>
      <w:r w:rsidRPr="00422B6A">
        <w:rPr>
          <w:rFonts w:ascii="Verdana" w:hAnsi="Verdana" w:cs="Arial"/>
          <w:spacing w:val="1"/>
        </w:rPr>
        <w:t xml:space="preserve"> </w:t>
      </w:r>
      <w:r w:rsidRPr="00422B6A">
        <w:rPr>
          <w:rFonts w:ascii="Verdana" w:hAnsi="Verdana" w:cs="Arial"/>
        </w:rPr>
        <w:t>clasificación</w:t>
      </w:r>
      <w:r w:rsidRPr="00422B6A">
        <w:rPr>
          <w:rFonts w:ascii="Verdana" w:hAnsi="Verdana" w:cs="Arial"/>
          <w:spacing w:val="1"/>
        </w:rPr>
        <w:t xml:space="preserve"> </w:t>
      </w:r>
      <w:r w:rsidRPr="00422B6A">
        <w:rPr>
          <w:rFonts w:ascii="Verdana" w:hAnsi="Verdana" w:cs="Arial"/>
        </w:rPr>
        <w:t>que</w:t>
      </w:r>
      <w:r w:rsidRPr="00422B6A">
        <w:rPr>
          <w:rFonts w:ascii="Verdana" w:hAnsi="Verdana" w:cs="Arial"/>
          <w:spacing w:val="1"/>
        </w:rPr>
        <w:t xml:space="preserve"> </w:t>
      </w:r>
      <w:r w:rsidRPr="00422B6A">
        <w:rPr>
          <w:rFonts w:ascii="Verdana" w:hAnsi="Verdana" w:cs="Arial"/>
        </w:rPr>
        <w:t>se</w:t>
      </w:r>
      <w:r w:rsidRPr="00422B6A">
        <w:rPr>
          <w:rFonts w:ascii="Verdana" w:hAnsi="Verdana" w:cs="Arial"/>
          <w:spacing w:val="1"/>
        </w:rPr>
        <w:t xml:space="preserve"> </w:t>
      </w:r>
      <w:r w:rsidRPr="00422B6A">
        <w:rPr>
          <w:rFonts w:ascii="Verdana" w:hAnsi="Verdana" w:cs="Arial"/>
        </w:rPr>
        <w:t>adopte,</w:t>
      </w:r>
      <w:r w:rsidRPr="00422B6A">
        <w:rPr>
          <w:rFonts w:ascii="Verdana" w:hAnsi="Verdana" w:cs="Arial"/>
          <w:spacing w:val="1"/>
        </w:rPr>
        <w:t xml:space="preserve"> </w:t>
      </w:r>
      <w:r w:rsidRPr="00422B6A">
        <w:rPr>
          <w:rFonts w:ascii="Verdana" w:hAnsi="Verdana" w:cs="Arial"/>
        </w:rPr>
        <w:t xml:space="preserve">para </w:t>
      </w:r>
      <w:r w:rsidRPr="00422B6A">
        <w:rPr>
          <w:rFonts w:ascii="Verdana" w:hAnsi="Verdana" w:cs="Arial"/>
          <w:spacing w:val="-59"/>
        </w:rPr>
        <w:t xml:space="preserve"> </w:t>
      </w:r>
      <w:r w:rsidRPr="00422B6A">
        <w:rPr>
          <w:rFonts w:ascii="Verdana" w:hAnsi="Verdana" w:cs="Arial"/>
        </w:rPr>
        <w:t>organizar la pertenencia de cada sociedad al respectivo grupo, en cualquiera de los</w:t>
      </w:r>
      <w:r w:rsidRPr="00422B6A">
        <w:rPr>
          <w:rFonts w:ascii="Verdana" w:hAnsi="Verdana" w:cs="Arial"/>
          <w:spacing w:val="1"/>
        </w:rPr>
        <w:t xml:space="preserve"> </w:t>
      </w:r>
      <w:r w:rsidRPr="00422B6A">
        <w:rPr>
          <w:rFonts w:ascii="Verdana" w:hAnsi="Verdana" w:cs="Arial"/>
        </w:rPr>
        <w:t>casos</w:t>
      </w:r>
      <w:r w:rsidRPr="00422B6A">
        <w:rPr>
          <w:rFonts w:ascii="Verdana" w:hAnsi="Verdana" w:cs="Arial"/>
          <w:spacing w:val="18"/>
        </w:rPr>
        <w:t xml:space="preserve"> </w:t>
      </w:r>
      <w:r w:rsidRPr="00422B6A">
        <w:rPr>
          <w:rFonts w:ascii="Verdana" w:hAnsi="Verdana" w:cs="Arial"/>
        </w:rPr>
        <w:t>debe</w:t>
      </w:r>
      <w:r w:rsidRPr="00422B6A">
        <w:rPr>
          <w:rFonts w:ascii="Verdana" w:hAnsi="Verdana" w:cs="Arial"/>
          <w:spacing w:val="18"/>
        </w:rPr>
        <w:t xml:space="preserve"> </w:t>
      </w:r>
      <w:r w:rsidRPr="00422B6A">
        <w:rPr>
          <w:rFonts w:ascii="Verdana" w:hAnsi="Verdana" w:cs="Arial"/>
        </w:rPr>
        <w:t>estarse</w:t>
      </w:r>
      <w:r w:rsidRPr="00422B6A">
        <w:rPr>
          <w:rFonts w:ascii="Verdana" w:hAnsi="Verdana" w:cs="Arial"/>
          <w:spacing w:val="19"/>
        </w:rPr>
        <w:t xml:space="preserve"> </w:t>
      </w:r>
      <w:r w:rsidRPr="00422B6A">
        <w:rPr>
          <w:rFonts w:ascii="Verdana" w:hAnsi="Verdana" w:cs="Arial"/>
        </w:rPr>
        <w:t>ante</w:t>
      </w:r>
      <w:r w:rsidRPr="00422B6A">
        <w:rPr>
          <w:rFonts w:ascii="Verdana" w:hAnsi="Verdana" w:cs="Arial"/>
          <w:spacing w:val="18"/>
        </w:rPr>
        <w:t xml:space="preserve"> </w:t>
      </w:r>
      <w:r w:rsidRPr="00422B6A">
        <w:rPr>
          <w:rFonts w:ascii="Verdana" w:hAnsi="Verdana" w:cs="Arial"/>
        </w:rPr>
        <w:t>“sociedades”,</w:t>
      </w:r>
      <w:r w:rsidRPr="00422B6A">
        <w:rPr>
          <w:rFonts w:ascii="Verdana" w:hAnsi="Verdana" w:cs="Arial"/>
          <w:spacing w:val="19"/>
        </w:rPr>
        <w:t xml:space="preserve"> </w:t>
      </w:r>
      <w:r w:rsidRPr="00422B6A">
        <w:rPr>
          <w:rFonts w:ascii="Verdana" w:hAnsi="Verdana" w:cs="Arial"/>
        </w:rPr>
        <w:t>es</w:t>
      </w:r>
      <w:r w:rsidRPr="00422B6A">
        <w:rPr>
          <w:rFonts w:ascii="Verdana" w:hAnsi="Verdana" w:cs="Arial"/>
          <w:spacing w:val="19"/>
        </w:rPr>
        <w:t xml:space="preserve"> </w:t>
      </w:r>
      <w:r w:rsidRPr="00422B6A">
        <w:rPr>
          <w:rFonts w:ascii="Verdana" w:hAnsi="Verdana" w:cs="Arial"/>
        </w:rPr>
        <w:t>decir,</w:t>
      </w:r>
      <w:r w:rsidRPr="00422B6A">
        <w:rPr>
          <w:rFonts w:ascii="Verdana" w:hAnsi="Verdana" w:cs="Arial"/>
          <w:spacing w:val="18"/>
        </w:rPr>
        <w:t xml:space="preserve"> </w:t>
      </w:r>
      <w:r w:rsidRPr="00422B6A">
        <w:rPr>
          <w:rFonts w:ascii="Verdana" w:hAnsi="Verdana" w:cs="Arial"/>
        </w:rPr>
        <w:t>ante</w:t>
      </w:r>
      <w:r w:rsidRPr="00422B6A">
        <w:rPr>
          <w:rFonts w:ascii="Verdana" w:hAnsi="Verdana" w:cs="Arial"/>
          <w:spacing w:val="18"/>
        </w:rPr>
        <w:t xml:space="preserve"> </w:t>
      </w:r>
      <w:r w:rsidRPr="00422B6A">
        <w:rPr>
          <w:rFonts w:ascii="Verdana" w:hAnsi="Verdana" w:cs="Arial"/>
        </w:rPr>
        <w:t>sujetos</w:t>
      </w:r>
      <w:r w:rsidRPr="00422B6A">
        <w:rPr>
          <w:rFonts w:ascii="Verdana" w:hAnsi="Verdana" w:cs="Arial"/>
          <w:spacing w:val="18"/>
        </w:rPr>
        <w:t xml:space="preserve"> </w:t>
      </w:r>
      <w:r w:rsidRPr="00422B6A">
        <w:rPr>
          <w:rFonts w:ascii="Verdana" w:hAnsi="Verdana" w:cs="Arial"/>
        </w:rPr>
        <w:t>u</w:t>
      </w:r>
      <w:r w:rsidRPr="00422B6A">
        <w:rPr>
          <w:rFonts w:ascii="Verdana" w:hAnsi="Verdana" w:cs="Arial"/>
          <w:spacing w:val="19"/>
        </w:rPr>
        <w:t xml:space="preserve"> </w:t>
      </w:r>
      <w:r w:rsidRPr="00422B6A">
        <w:rPr>
          <w:rFonts w:ascii="Verdana" w:hAnsi="Verdana" w:cs="Arial"/>
        </w:rPr>
        <w:t>organizaciones</w:t>
      </w:r>
      <w:r w:rsidRPr="00422B6A">
        <w:rPr>
          <w:rFonts w:ascii="Verdana" w:hAnsi="Verdana" w:cs="Arial"/>
          <w:spacing w:val="19"/>
        </w:rPr>
        <w:t xml:space="preserve"> </w:t>
      </w:r>
      <w:r w:rsidRPr="00422B6A">
        <w:rPr>
          <w:rFonts w:ascii="Verdana" w:hAnsi="Verdana" w:cs="Arial"/>
        </w:rPr>
        <w:t>que forman una persona jurídica distinta de los socios que la conforman, como lo dispone</w:t>
      </w:r>
      <w:r w:rsidRPr="00422B6A">
        <w:rPr>
          <w:rFonts w:ascii="Verdana" w:hAnsi="Verdana" w:cs="Arial"/>
          <w:spacing w:val="1"/>
        </w:rPr>
        <w:t xml:space="preserve"> </w:t>
      </w:r>
      <w:r w:rsidRPr="00422B6A">
        <w:rPr>
          <w:rFonts w:ascii="Verdana" w:hAnsi="Verdana" w:cs="Arial"/>
          <w:spacing w:val="-1"/>
        </w:rPr>
        <w:t>el</w:t>
      </w:r>
      <w:r w:rsidRPr="00422B6A">
        <w:rPr>
          <w:rFonts w:ascii="Verdana" w:hAnsi="Verdana" w:cs="Arial"/>
          <w:spacing w:val="-15"/>
        </w:rPr>
        <w:t xml:space="preserve"> </w:t>
      </w:r>
      <w:r w:rsidRPr="00422B6A">
        <w:rPr>
          <w:rFonts w:ascii="Verdana" w:hAnsi="Verdana" w:cs="Arial"/>
          <w:spacing w:val="-1"/>
        </w:rPr>
        <w:t>artículo</w:t>
      </w:r>
      <w:r w:rsidRPr="00422B6A">
        <w:rPr>
          <w:rFonts w:ascii="Verdana" w:hAnsi="Verdana" w:cs="Arial"/>
          <w:spacing w:val="-14"/>
        </w:rPr>
        <w:t xml:space="preserve"> </w:t>
      </w:r>
      <w:r w:rsidRPr="00422B6A">
        <w:rPr>
          <w:rFonts w:ascii="Verdana" w:hAnsi="Verdana" w:cs="Arial"/>
          <w:spacing w:val="-1"/>
        </w:rPr>
        <w:t>98</w:t>
      </w:r>
      <w:r w:rsidRPr="00422B6A">
        <w:rPr>
          <w:rFonts w:ascii="Verdana" w:hAnsi="Verdana" w:cs="Arial"/>
          <w:spacing w:val="-14"/>
        </w:rPr>
        <w:t xml:space="preserve"> </w:t>
      </w:r>
      <w:r w:rsidRPr="00422B6A">
        <w:rPr>
          <w:rFonts w:ascii="Verdana" w:hAnsi="Verdana" w:cs="Arial"/>
          <w:spacing w:val="-1"/>
        </w:rPr>
        <w:t>del</w:t>
      </w:r>
      <w:r w:rsidRPr="00422B6A">
        <w:rPr>
          <w:rFonts w:ascii="Verdana" w:hAnsi="Verdana" w:cs="Arial"/>
          <w:spacing w:val="33"/>
        </w:rPr>
        <w:t xml:space="preserve"> </w:t>
      </w:r>
      <w:r w:rsidRPr="00422B6A">
        <w:rPr>
          <w:rFonts w:ascii="Verdana" w:hAnsi="Verdana" w:cs="Arial"/>
          <w:spacing w:val="-1"/>
        </w:rPr>
        <w:t>Código</w:t>
      </w:r>
      <w:r w:rsidRPr="00422B6A">
        <w:rPr>
          <w:rFonts w:ascii="Verdana" w:hAnsi="Verdana" w:cs="Arial"/>
          <w:spacing w:val="-14"/>
        </w:rPr>
        <w:t xml:space="preserve"> </w:t>
      </w:r>
      <w:r w:rsidRPr="00422B6A">
        <w:rPr>
          <w:rFonts w:ascii="Verdana" w:hAnsi="Verdana" w:cs="Arial"/>
        </w:rPr>
        <w:t>de</w:t>
      </w:r>
      <w:r w:rsidRPr="00422B6A">
        <w:rPr>
          <w:rFonts w:ascii="Verdana" w:hAnsi="Verdana" w:cs="Arial"/>
          <w:spacing w:val="-14"/>
        </w:rPr>
        <w:t xml:space="preserve"> </w:t>
      </w:r>
      <w:r w:rsidRPr="00422B6A">
        <w:rPr>
          <w:rFonts w:ascii="Verdana" w:hAnsi="Verdana" w:cs="Arial"/>
        </w:rPr>
        <w:t>Comercio:</w:t>
      </w:r>
      <w:r w:rsidRPr="00422B6A">
        <w:rPr>
          <w:rFonts w:ascii="Verdana" w:hAnsi="Verdana" w:cs="Arial"/>
          <w:spacing w:val="-14"/>
        </w:rPr>
        <w:t xml:space="preserve"> </w:t>
      </w:r>
      <w:r w:rsidRPr="00422B6A">
        <w:rPr>
          <w:rFonts w:ascii="Verdana" w:hAnsi="Verdana" w:cs="Arial"/>
        </w:rPr>
        <w:t>“Por</w:t>
      </w:r>
      <w:r w:rsidRPr="00422B6A">
        <w:rPr>
          <w:rFonts w:ascii="Verdana" w:hAnsi="Verdana" w:cs="Arial"/>
          <w:spacing w:val="-14"/>
        </w:rPr>
        <w:t xml:space="preserve"> </w:t>
      </w:r>
      <w:r w:rsidRPr="00422B6A">
        <w:rPr>
          <w:rFonts w:ascii="Verdana" w:hAnsi="Verdana" w:cs="Arial"/>
        </w:rPr>
        <w:t>el</w:t>
      </w:r>
      <w:r w:rsidRPr="00422B6A">
        <w:rPr>
          <w:rFonts w:ascii="Verdana" w:hAnsi="Verdana" w:cs="Arial"/>
          <w:spacing w:val="-15"/>
        </w:rPr>
        <w:t xml:space="preserve"> </w:t>
      </w:r>
      <w:r w:rsidRPr="00422B6A">
        <w:rPr>
          <w:rFonts w:ascii="Verdana" w:hAnsi="Verdana" w:cs="Arial"/>
        </w:rPr>
        <w:t>contrato</w:t>
      </w:r>
      <w:r w:rsidRPr="00422B6A">
        <w:rPr>
          <w:rFonts w:ascii="Verdana" w:hAnsi="Verdana" w:cs="Arial"/>
          <w:spacing w:val="-14"/>
        </w:rPr>
        <w:t xml:space="preserve"> </w:t>
      </w:r>
      <w:r w:rsidRPr="00422B6A">
        <w:rPr>
          <w:rFonts w:ascii="Verdana" w:hAnsi="Verdana" w:cs="Arial"/>
        </w:rPr>
        <w:t>de</w:t>
      </w:r>
      <w:r w:rsidRPr="00422B6A">
        <w:rPr>
          <w:rFonts w:ascii="Verdana" w:hAnsi="Verdana" w:cs="Arial"/>
          <w:spacing w:val="-14"/>
        </w:rPr>
        <w:t xml:space="preserve"> </w:t>
      </w:r>
      <w:r w:rsidRPr="00422B6A">
        <w:rPr>
          <w:rFonts w:ascii="Verdana" w:hAnsi="Verdana" w:cs="Arial"/>
        </w:rPr>
        <w:t>sociedad</w:t>
      </w:r>
      <w:r w:rsidRPr="00422B6A">
        <w:rPr>
          <w:rFonts w:ascii="Verdana" w:hAnsi="Verdana" w:cs="Arial"/>
          <w:spacing w:val="-14"/>
        </w:rPr>
        <w:t xml:space="preserve"> </w:t>
      </w:r>
      <w:r w:rsidRPr="00422B6A">
        <w:rPr>
          <w:rFonts w:ascii="Verdana" w:hAnsi="Verdana" w:cs="Arial"/>
        </w:rPr>
        <w:t>dos</w:t>
      </w:r>
      <w:r w:rsidRPr="00422B6A">
        <w:rPr>
          <w:rFonts w:ascii="Verdana" w:hAnsi="Verdana" w:cs="Arial"/>
          <w:spacing w:val="-14"/>
        </w:rPr>
        <w:t xml:space="preserve"> </w:t>
      </w:r>
      <w:r w:rsidRPr="00422B6A">
        <w:rPr>
          <w:rFonts w:ascii="Verdana" w:hAnsi="Verdana" w:cs="Arial"/>
        </w:rPr>
        <w:t>o</w:t>
      </w:r>
      <w:r w:rsidRPr="00422B6A">
        <w:rPr>
          <w:rFonts w:ascii="Verdana" w:hAnsi="Verdana" w:cs="Arial"/>
          <w:spacing w:val="-14"/>
        </w:rPr>
        <w:t xml:space="preserve"> </w:t>
      </w:r>
      <w:r w:rsidRPr="00422B6A">
        <w:rPr>
          <w:rFonts w:ascii="Verdana" w:hAnsi="Verdana" w:cs="Arial"/>
        </w:rPr>
        <w:t>más</w:t>
      </w:r>
      <w:r w:rsidRPr="00422B6A">
        <w:rPr>
          <w:rFonts w:ascii="Verdana" w:hAnsi="Verdana" w:cs="Arial"/>
          <w:spacing w:val="-14"/>
        </w:rPr>
        <w:t xml:space="preserve"> </w:t>
      </w:r>
      <w:r w:rsidRPr="00422B6A">
        <w:rPr>
          <w:rFonts w:ascii="Verdana" w:hAnsi="Verdana" w:cs="Arial"/>
        </w:rPr>
        <w:t xml:space="preserve">personas </w:t>
      </w:r>
      <w:r w:rsidRPr="00422B6A">
        <w:rPr>
          <w:rFonts w:ascii="Verdana" w:hAnsi="Verdana" w:cs="Arial"/>
          <w:spacing w:val="-59"/>
        </w:rPr>
        <w:t xml:space="preserve"> </w:t>
      </w:r>
      <w:r w:rsidRPr="00422B6A">
        <w:rPr>
          <w:rFonts w:ascii="Verdana" w:hAnsi="Verdana" w:cs="Arial"/>
        </w:rPr>
        <w:t>se obligan a hacer un aporte en dinero, en trabajo o en otros bienes apreciables en</w:t>
      </w:r>
      <w:r w:rsidRPr="00422B6A">
        <w:rPr>
          <w:rFonts w:ascii="Verdana" w:hAnsi="Verdana" w:cs="Arial"/>
          <w:spacing w:val="1"/>
        </w:rPr>
        <w:t xml:space="preserve"> </w:t>
      </w:r>
      <w:r w:rsidRPr="00422B6A">
        <w:rPr>
          <w:rFonts w:ascii="Verdana" w:hAnsi="Verdana" w:cs="Arial"/>
        </w:rPr>
        <w:t>dinero,</w:t>
      </w:r>
      <w:r w:rsidRPr="00422B6A">
        <w:rPr>
          <w:rFonts w:ascii="Verdana" w:hAnsi="Verdana" w:cs="Arial"/>
          <w:spacing w:val="-12"/>
        </w:rPr>
        <w:t xml:space="preserve"> </w:t>
      </w:r>
      <w:r w:rsidRPr="00422B6A">
        <w:rPr>
          <w:rFonts w:ascii="Verdana" w:hAnsi="Verdana" w:cs="Arial"/>
        </w:rPr>
        <w:t>con</w:t>
      </w:r>
      <w:r w:rsidRPr="00422B6A">
        <w:rPr>
          <w:rFonts w:ascii="Verdana" w:hAnsi="Verdana" w:cs="Arial"/>
          <w:spacing w:val="-11"/>
        </w:rPr>
        <w:t xml:space="preserve"> </w:t>
      </w:r>
      <w:r w:rsidRPr="00422B6A">
        <w:rPr>
          <w:rFonts w:ascii="Verdana" w:hAnsi="Verdana" w:cs="Arial"/>
        </w:rPr>
        <w:t>el</w:t>
      </w:r>
      <w:r w:rsidRPr="00422B6A">
        <w:rPr>
          <w:rFonts w:ascii="Verdana" w:hAnsi="Verdana" w:cs="Arial"/>
          <w:spacing w:val="-11"/>
        </w:rPr>
        <w:t xml:space="preserve"> </w:t>
      </w:r>
      <w:r w:rsidRPr="00422B6A">
        <w:rPr>
          <w:rFonts w:ascii="Verdana" w:hAnsi="Verdana" w:cs="Arial"/>
        </w:rPr>
        <w:t>fin</w:t>
      </w:r>
      <w:r w:rsidRPr="00422B6A">
        <w:rPr>
          <w:rFonts w:ascii="Verdana" w:hAnsi="Verdana" w:cs="Arial"/>
          <w:spacing w:val="-11"/>
        </w:rPr>
        <w:t xml:space="preserve"> </w:t>
      </w:r>
      <w:r w:rsidRPr="00422B6A">
        <w:rPr>
          <w:rFonts w:ascii="Verdana" w:hAnsi="Verdana" w:cs="Arial"/>
        </w:rPr>
        <w:t>de</w:t>
      </w:r>
      <w:r w:rsidRPr="00422B6A">
        <w:rPr>
          <w:rFonts w:ascii="Verdana" w:hAnsi="Verdana" w:cs="Arial"/>
          <w:spacing w:val="-11"/>
        </w:rPr>
        <w:t xml:space="preserve"> </w:t>
      </w:r>
      <w:r w:rsidRPr="00422B6A">
        <w:rPr>
          <w:rFonts w:ascii="Verdana" w:hAnsi="Verdana" w:cs="Arial"/>
        </w:rPr>
        <w:t>repartirse</w:t>
      </w:r>
      <w:r w:rsidRPr="00422B6A">
        <w:rPr>
          <w:rFonts w:ascii="Verdana" w:hAnsi="Verdana" w:cs="Arial"/>
          <w:spacing w:val="-11"/>
        </w:rPr>
        <w:t xml:space="preserve"> </w:t>
      </w:r>
      <w:r w:rsidRPr="00422B6A">
        <w:rPr>
          <w:rFonts w:ascii="Verdana" w:hAnsi="Verdana" w:cs="Arial"/>
        </w:rPr>
        <w:t>entre</w:t>
      </w:r>
      <w:r w:rsidRPr="00422B6A">
        <w:rPr>
          <w:rFonts w:ascii="Verdana" w:hAnsi="Verdana" w:cs="Arial"/>
          <w:spacing w:val="-11"/>
        </w:rPr>
        <w:t xml:space="preserve"> </w:t>
      </w:r>
      <w:r w:rsidRPr="00422B6A">
        <w:rPr>
          <w:rFonts w:ascii="Verdana" w:hAnsi="Verdana" w:cs="Arial"/>
        </w:rPr>
        <w:t>sí</w:t>
      </w:r>
      <w:r w:rsidRPr="00422B6A">
        <w:rPr>
          <w:rFonts w:ascii="Verdana" w:hAnsi="Verdana" w:cs="Arial"/>
          <w:spacing w:val="-11"/>
        </w:rPr>
        <w:t xml:space="preserve"> </w:t>
      </w:r>
      <w:r w:rsidRPr="00422B6A">
        <w:rPr>
          <w:rFonts w:ascii="Verdana" w:hAnsi="Verdana" w:cs="Arial"/>
        </w:rPr>
        <w:t>las</w:t>
      </w:r>
      <w:r w:rsidRPr="00422B6A">
        <w:rPr>
          <w:rFonts w:ascii="Verdana" w:hAnsi="Verdana" w:cs="Arial"/>
          <w:spacing w:val="-12"/>
        </w:rPr>
        <w:t xml:space="preserve"> </w:t>
      </w:r>
      <w:r w:rsidRPr="00422B6A">
        <w:rPr>
          <w:rFonts w:ascii="Verdana" w:hAnsi="Verdana" w:cs="Arial"/>
        </w:rPr>
        <w:t>utilidades</w:t>
      </w:r>
      <w:r w:rsidRPr="00422B6A">
        <w:rPr>
          <w:rFonts w:ascii="Verdana" w:hAnsi="Verdana" w:cs="Arial"/>
          <w:spacing w:val="-11"/>
        </w:rPr>
        <w:t xml:space="preserve"> </w:t>
      </w:r>
      <w:r w:rsidRPr="00422B6A">
        <w:rPr>
          <w:rFonts w:ascii="Verdana" w:hAnsi="Verdana" w:cs="Arial"/>
        </w:rPr>
        <w:t>obtenidas</w:t>
      </w:r>
      <w:r w:rsidRPr="00422B6A">
        <w:rPr>
          <w:rFonts w:ascii="Verdana" w:hAnsi="Verdana" w:cs="Arial"/>
          <w:spacing w:val="-11"/>
        </w:rPr>
        <w:t xml:space="preserve"> </w:t>
      </w:r>
      <w:r w:rsidRPr="00422B6A">
        <w:rPr>
          <w:rFonts w:ascii="Verdana" w:hAnsi="Verdana" w:cs="Arial"/>
        </w:rPr>
        <w:t>en</w:t>
      </w:r>
      <w:r w:rsidRPr="00422B6A">
        <w:rPr>
          <w:rFonts w:ascii="Verdana" w:hAnsi="Verdana" w:cs="Arial"/>
          <w:spacing w:val="-11"/>
        </w:rPr>
        <w:t xml:space="preserve"> </w:t>
      </w:r>
      <w:r w:rsidRPr="00422B6A">
        <w:rPr>
          <w:rFonts w:ascii="Verdana" w:hAnsi="Verdana" w:cs="Arial"/>
        </w:rPr>
        <w:t>la</w:t>
      </w:r>
      <w:r w:rsidRPr="00422B6A">
        <w:rPr>
          <w:rFonts w:ascii="Verdana" w:hAnsi="Verdana" w:cs="Arial"/>
          <w:spacing w:val="-11"/>
        </w:rPr>
        <w:t xml:space="preserve"> </w:t>
      </w:r>
      <w:r w:rsidRPr="00422B6A">
        <w:rPr>
          <w:rFonts w:ascii="Verdana" w:hAnsi="Verdana" w:cs="Arial"/>
        </w:rPr>
        <w:t>empresa</w:t>
      </w:r>
      <w:r w:rsidRPr="00422B6A">
        <w:rPr>
          <w:rFonts w:ascii="Verdana" w:hAnsi="Verdana" w:cs="Arial"/>
          <w:spacing w:val="-11"/>
        </w:rPr>
        <w:t xml:space="preserve"> </w:t>
      </w:r>
      <w:r w:rsidRPr="00422B6A">
        <w:rPr>
          <w:rFonts w:ascii="Verdana" w:hAnsi="Verdana" w:cs="Arial"/>
        </w:rPr>
        <w:t>o</w:t>
      </w:r>
      <w:r w:rsidRPr="00422B6A">
        <w:rPr>
          <w:rFonts w:ascii="Verdana" w:hAnsi="Verdana" w:cs="Arial"/>
          <w:spacing w:val="-11"/>
        </w:rPr>
        <w:t xml:space="preserve"> </w:t>
      </w:r>
      <w:r w:rsidRPr="00422B6A">
        <w:rPr>
          <w:rFonts w:ascii="Verdana" w:hAnsi="Verdana" w:cs="Arial"/>
        </w:rPr>
        <w:t xml:space="preserve">actividad </w:t>
      </w:r>
      <w:r w:rsidRPr="00422B6A">
        <w:rPr>
          <w:rFonts w:ascii="Verdana" w:hAnsi="Verdana" w:cs="Arial"/>
          <w:spacing w:val="-59"/>
        </w:rPr>
        <w:t xml:space="preserve"> </w:t>
      </w:r>
      <w:r w:rsidRPr="00422B6A">
        <w:rPr>
          <w:rFonts w:ascii="Verdana" w:hAnsi="Verdana" w:cs="Arial"/>
        </w:rPr>
        <w:t>social”.</w:t>
      </w:r>
    </w:p>
    <w:p w14:paraId="6F3EF3B2" w14:textId="77777777" w:rsidR="00AA67A0" w:rsidRDefault="00AA67A0" w:rsidP="00AA67A0">
      <w:pPr>
        <w:pStyle w:val="Textoindependiente"/>
        <w:spacing w:before="120" w:after="0"/>
        <w:ind w:right="49" w:firstLine="709"/>
        <w:jc w:val="both"/>
        <w:rPr>
          <w:rFonts w:ascii="Verdana" w:hAnsi="Verdana" w:cs="Arial"/>
        </w:rPr>
      </w:pPr>
      <w:r>
        <w:rPr>
          <w:rFonts w:ascii="Verdana" w:hAnsi="Verdana" w:cs="Arial"/>
        </w:rPr>
        <w:t>S</w:t>
      </w:r>
      <w:r w:rsidRPr="00422B6A">
        <w:rPr>
          <w:rFonts w:ascii="Verdana" w:hAnsi="Verdana" w:cs="Arial"/>
        </w:rPr>
        <w:t>in perjuicio de las discusiones doctrinarias,</w:t>
      </w:r>
      <w:r w:rsidRPr="00422B6A" w:rsidDel="00814745">
        <w:rPr>
          <w:rFonts w:ascii="Verdana" w:hAnsi="Verdana" w:cs="Arial"/>
        </w:rPr>
        <w:t xml:space="preserve"> </w:t>
      </w:r>
      <w:r w:rsidRPr="00422B6A">
        <w:rPr>
          <w:rFonts w:ascii="Verdana" w:hAnsi="Verdana" w:cs="Arial"/>
        </w:rPr>
        <w:t>según la jurisprudencia, las sociedades comerciales se</w:t>
      </w:r>
      <w:r w:rsidRPr="00422B6A">
        <w:rPr>
          <w:rFonts w:ascii="Verdana" w:hAnsi="Verdana" w:cs="Arial"/>
          <w:spacing w:val="1"/>
        </w:rPr>
        <w:t xml:space="preserve"> </w:t>
      </w:r>
      <w:r w:rsidRPr="00422B6A">
        <w:rPr>
          <w:rFonts w:ascii="Verdana" w:hAnsi="Verdana" w:cs="Arial"/>
        </w:rPr>
        <w:t xml:space="preserve">clasifican en dos grandes categorías: sociedades de capital y sociedades de personas. </w:t>
      </w:r>
      <w:r w:rsidRPr="00422B6A">
        <w:rPr>
          <w:rFonts w:ascii="Verdana" w:hAnsi="Verdana" w:cs="Arial"/>
          <w:spacing w:val="-59"/>
        </w:rPr>
        <w:t xml:space="preserve"> </w:t>
      </w:r>
      <w:r w:rsidRPr="00422B6A">
        <w:rPr>
          <w:rFonts w:ascii="Verdana" w:hAnsi="Verdana" w:cs="Arial"/>
        </w:rPr>
        <w:t>Al respecto</w:t>
      </w:r>
      <w:r>
        <w:rPr>
          <w:rFonts w:ascii="Verdana" w:hAnsi="Verdana" w:cs="Arial"/>
        </w:rPr>
        <w:t>,</w:t>
      </w:r>
      <w:r w:rsidRPr="00422B6A">
        <w:rPr>
          <w:rFonts w:ascii="Verdana" w:hAnsi="Verdana" w:cs="Arial"/>
        </w:rPr>
        <w:t xml:space="preserve"> la Corte Constitucional, en sentencia C-831 de 2010, señaló: “Desde el</w:t>
      </w:r>
      <w:r w:rsidRPr="00422B6A">
        <w:rPr>
          <w:rFonts w:ascii="Verdana" w:hAnsi="Verdana" w:cs="Arial"/>
          <w:spacing w:val="1"/>
        </w:rPr>
        <w:t xml:space="preserve"> </w:t>
      </w:r>
      <w:r w:rsidRPr="00422B6A">
        <w:rPr>
          <w:rFonts w:ascii="Verdana" w:hAnsi="Verdana" w:cs="Arial"/>
        </w:rPr>
        <w:t>punto de vista de la legislación mercantil, las sociedades pueden revestir distintas</w:t>
      </w:r>
      <w:r w:rsidRPr="00422B6A">
        <w:rPr>
          <w:rFonts w:ascii="Verdana" w:hAnsi="Verdana" w:cs="Arial"/>
          <w:spacing w:val="1"/>
        </w:rPr>
        <w:t xml:space="preserve"> </w:t>
      </w:r>
      <w:r w:rsidRPr="00422B6A">
        <w:rPr>
          <w:rFonts w:ascii="Verdana" w:hAnsi="Verdana" w:cs="Arial"/>
        </w:rPr>
        <w:t>formas. Dos grandes categorías societarias son: i) las sociedades de personas, por</w:t>
      </w:r>
      <w:r w:rsidRPr="00422B6A">
        <w:rPr>
          <w:rFonts w:ascii="Verdana" w:hAnsi="Verdana" w:cs="Arial"/>
          <w:spacing w:val="1"/>
        </w:rPr>
        <w:t xml:space="preserve"> </w:t>
      </w:r>
      <w:r w:rsidRPr="00422B6A">
        <w:rPr>
          <w:rFonts w:ascii="Verdana" w:hAnsi="Verdana" w:cs="Arial"/>
        </w:rPr>
        <w:t>aportes o cuotas, que comprenden a las limitadas, sociedades en comandita simple,</w:t>
      </w:r>
      <w:r w:rsidRPr="00422B6A">
        <w:rPr>
          <w:rFonts w:ascii="Verdana" w:hAnsi="Verdana" w:cs="Arial"/>
          <w:spacing w:val="1"/>
        </w:rPr>
        <w:t xml:space="preserve"> </w:t>
      </w:r>
      <w:r w:rsidRPr="00422B6A">
        <w:rPr>
          <w:rFonts w:ascii="Verdana" w:hAnsi="Verdana" w:cs="Arial"/>
        </w:rPr>
        <w:t xml:space="preserve">colectivas y empresas unipersonales y, por otro lado, </w:t>
      </w:r>
      <w:proofErr w:type="spellStart"/>
      <w:r w:rsidRPr="00422B6A">
        <w:rPr>
          <w:rFonts w:ascii="Verdana" w:hAnsi="Verdana" w:cs="Arial"/>
        </w:rPr>
        <w:t>ii</w:t>
      </w:r>
      <w:proofErr w:type="spellEnd"/>
      <w:r w:rsidRPr="00422B6A">
        <w:rPr>
          <w:rFonts w:ascii="Verdana" w:hAnsi="Verdana" w:cs="Arial"/>
        </w:rPr>
        <w:t>) las sociedades de capital o por</w:t>
      </w:r>
      <w:r w:rsidRPr="00422B6A">
        <w:rPr>
          <w:rFonts w:ascii="Verdana" w:hAnsi="Verdana" w:cs="Arial"/>
          <w:spacing w:val="1"/>
        </w:rPr>
        <w:t xml:space="preserve"> </w:t>
      </w:r>
      <w:r w:rsidRPr="00422B6A">
        <w:rPr>
          <w:rFonts w:ascii="Verdana" w:hAnsi="Verdana" w:cs="Arial"/>
        </w:rPr>
        <w:t>acciones,</w:t>
      </w:r>
      <w:r w:rsidRPr="00422B6A">
        <w:rPr>
          <w:rFonts w:ascii="Verdana" w:hAnsi="Verdana" w:cs="Arial"/>
          <w:spacing w:val="-7"/>
        </w:rPr>
        <w:t xml:space="preserve"> </w:t>
      </w:r>
      <w:r w:rsidRPr="00422B6A">
        <w:rPr>
          <w:rFonts w:ascii="Verdana" w:hAnsi="Verdana" w:cs="Arial"/>
        </w:rPr>
        <w:t>entre</w:t>
      </w:r>
      <w:r w:rsidRPr="00422B6A">
        <w:rPr>
          <w:rFonts w:ascii="Verdana" w:hAnsi="Verdana" w:cs="Arial"/>
          <w:spacing w:val="-7"/>
        </w:rPr>
        <w:t xml:space="preserve"> </w:t>
      </w:r>
      <w:r w:rsidRPr="00422B6A">
        <w:rPr>
          <w:rFonts w:ascii="Verdana" w:hAnsi="Verdana" w:cs="Arial"/>
        </w:rPr>
        <w:t>las</w:t>
      </w:r>
      <w:r w:rsidRPr="00422B6A">
        <w:rPr>
          <w:rFonts w:ascii="Verdana" w:hAnsi="Verdana" w:cs="Arial"/>
          <w:spacing w:val="-7"/>
        </w:rPr>
        <w:t xml:space="preserve"> </w:t>
      </w:r>
      <w:r w:rsidRPr="00422B6A">
        <w:rPr>
          <w:rFonts w:ascii="Verdana" w:hAnsi="Verdana" w:cs="Arial"/>
        </w:rPr>
        <w:t>que</w:t>
      </w:r>
      <w:r w:rsidRPr="00422B6A">
        <w:rPr>
          <w:rFonts w:ascii="Verdana" w:hAnsi="Verdana" w:cs="Arial"/>
          <w:spacing w:val="-7"/>
        </w:rPr>
        <w:t xml:space="preserve"> </w:t>
      </w:r>
      <w:r w:rsidRPr="00422B6A">
        <w:rPr>
          <w:rFonts w:ascii="Verdana" w:hAnsi="Verdana" w:cs="Arial"/>
        </w:rPr>
        <w:t>se</w:t>
      </w:r>
      <w:r w:rsidRPr="00422B6A">
        <w:rPr>
          <w:rFonts w:ascii="Verdana" w:hAnsi="Verdana" w:cs="Arial"/>
          <w:spacing w:val="-7"/>
        </w:rPr>
        <w:t xml:space="preserve"> </w:t>
      </w:r>
      <w:r w:rsidRPr="00422B6A">
        <w:rPr>
          <w:rFonts w:ascii="Verdana" w:hAnsi="Verdana" w:cs="Arial"/>
        </w:rPr>
        <w:t>encuentran:</w:t>
      </w:r>
      <w:r w:rsidRPr="00422B6A">
        <w:rPr>
          <w:rFonts w:ascii="Verdana" w:hAnsi="Verdana" w:cs="Arial"/>
          <w:spacing w:val="-6"/>
        </w:rPr>
        <w:t xml:space="preserve"> </w:t>
      </w:r>
      <w:r w:rsidRPr="00422B6A">
        <w:rPr>
          <w:rFonts w:ascii="Verdana" w:hAnsi="Verdana" w:cs="Arial"/>
        </w:rPr>
        <w:t>las</w:t>
      </w:r>
      <w:r w:rsidRPr="00422B6A">
        <w:rPr>
          <w:rFonts w:ascii="Verdana" w:hAnsi="Verdana" w:cs="Arial"/>
          <w:spacing w:val="-7"/>
        </w:rPr>
        <w:t xml:space="preserve"> </w:t>
      </w:r>
      <w:r w:rsidRPr="00422B6A">
        <w:rPr>
          <w:rFonts w:ascii="Verdana" w:hAnsi="Verdana" w:cs="Arial"/>
        </w:rPr>
        <w:t>anónimas,</w:t>
      </w:r>
      <w:r w:rsidRPr="00422B6A">
        <w:rPr>
          <w:rFonts w:ascii="Verdana" w:hAnsi="Verdana" w:cs="Arial"/>
          <w:spacing w:val="-7"/>
        </w:rPr>
        <w:t xml:space="preserve"> </w:t>
      </w:r>
      <w:r w:rsidRPr="00422B6A">
        <w:rPr>
          <w:rFonts w:ascii="Verdana" w:hAnsi="Verdana" w:cs="Arial"/>
        </w:rPr>
        <w:t>simplificadas</w:t>
      </w:r>
      <w:r w:rsidRPr="00422B6A">
        <w:rPr>
          <w:rFonts w:ascii="Verdana" w:hAnsi="Verdana" w:cs="Arial"/>
          <w:spacing w:val="-7"/>
        </w:rPr>
        <w:t xml:space="preserve"> </w:t>
      </w:r>
      <w:r w:rsidRPr="00422B6A">
        <w:rPr>
          <w:rFonts w:ascii="Verdana" w:hAnsi="Verdana" w:cs="Arial"/>
        </w:rPr>
        <w:t>por</w:t>
      </w:r>
      <w:r w:rsidRPr="00422B6A">
        <w:rPr>
          <w:rFonts w:ascii="Verdana" w:hAnsi="Verdana" w:cs="Arial"/>
          <w:spacing w:val="-7"/>
        </w:rPr>
        <w:t xml:space="preserve"> </w:t>
      </w:r>
      <w:r w:rsidRPr="00422B6A">
        <w:rPr>
          <w:rFonts w:ascii="Verdana" w:hAnsi="Verdana" w:cs="Arial"/>
        </w:rPr>
        <w:t>acciones</w:t>
      </w:r>
      <w:r w:rsidRPr="00422B6A">
        <w:rPr>
          <w:rFonts w:ascii="Verdana" w:hAnsi="Verdana" w:cs="Arial"/>
          <w:spacing w:val="-6"/>
        </w:rPr>
        <w:t xml:space="preserve"> </w:t>
      </w:r>
      <w:r w:rsidRPr="00422B6A">
        <w:rPr>
          <w:rFonts w:ascii="Verdana" w:hAnsi="Verdana" w:cs="Arial"/>
        </w:rPr>
        <w:t>(SAS),</w:t>
      </w:r>
      <w:r w:rsidRPr="00422B6A">
        <w:rPr>
          <w:rFonts w:ascii="Verdana" w:hAnsi="Verdana" w:cs="Arial"/>
          <w:spacing w:val="-59"/>
        </w:rPr>
        <w:t xml:space="preserve"> </w:t>
      </w:r>
      <w:r w:rsidRPr="00422B6A">
        <w:rPr>
          <w:rFonts w:ascii="Verdana" w:hAnsi="Verdana" w:cs="Arial"/>
        </w:rPr>
        <w:t xml:space="preserve">y comanditarias por acciones”. </w:t>
      </w:r>
    </w:p>
    <w:p w14:paraId="5D17F92F" w14:textId="77777777" w:rsidR="00AA67A0" w:rsidRDefault="00AA67A0" w:rsidP="00AA67A0">
      <w:pPr>
        <w:pStyle w:val="Textoindependiente"/>
        <w:spacing w:after="0"/>
        <w:ind w:right="49" w:firstLine="709"/>
        <w:jc w:val="both"/>
        <w:rPr>
          <w:rFonts w:ascii="Verdana" w:hAnsi="Verdana" w:cs="Arial"/>
        </w:rPr>
      </w:pPr>
    </w:p>
    <w:p w14:paraId="7BBF7449" w14:textId="77777777" w:rsidR="00AA67A0" w:rsidRDefault="00AA67A0" w:rsidP="00AA67A0">
      <w:pPr>
        <w:pStyle w:val="Textoindependiente"/>
        <w:spacing w:after="0"/>
        <w:ind w:right="49"/>
        <w:jc w:val="both"/>
        <w:rPr>
          <w:rFonts w:ascii="Verdana" w:hAnsi="Verdana" w:cs="Arial"/>
        </w:rPr>
      </w:pPr>
      <w:proofErr w:type="spellStart"/>
      <w:r>
        <w:rPr>
          <w:rFonts w:ascii="Verdana" w:hAnsi="Verdana" w:cs="Arial"/>
        </w:rPr>
        <w:t>ii</w:t>
      </w:r>
      <w:proofErr w:type="spellEnd"/>
      <w:r>
        <w:rPr>
          <w:rFonts w:ascii="Verdana" w:hAnsi="Verdana" w:cs="Arial"/>
        </w:rPr>
        <w:t xml:space="preserve">) Por su parte, la Ley 222 de 1995 </w:t>
      </w:r>
      <w:r w:rsidRPr="00081BBC">
        <w:rPr>
          <w:rFonts w:ascii="Verdana" w:hAnsi="Verdana" w:cs="Arial"/>
        </w:rPr>
        <w:t xml:space="preserve">creó una nueva forma de organización empresarial, mediante la cual el comerciante puede destinar ciertos bienes a la realización de actividades mercantiles, con la garantía y el beneficio de la personalidad jurídica. Bajo este supuesto, dicha norma creó la </w:t>
      </w:r>
      <w:r>
        <w:rPr>
          <w:rFonts w:ascii="Verdana" w:hAnsi="Verdana" w:cs="Arial"/>
        </w:rPr>
        <w:t xml:space="preserve">empresa </w:t>
      </w:r>
      <w:r w:rsidRPr="00081BBC">
        <w:rPr>
          <w:rFonts w:ascii="Verdana" w:hAnsi="Verdana" w:cs="Arial"/>
        </w:rPr>
        <w:lastRenderedPageBreak/>
        <w:t xml:space="preserve">unipersonal que, como su nombre lo indica, se refiere a </w:t>
      </w:r>
      <w:r>
        <w:rPr>
          <w:rFonts w:ascii="Verdana" w:hAnsi="Verdana" w:cs="Arial"/>
        </w:rPr>
        <w:t xml:space="preserve">aquellas </w:t>
      </w:r>
      <w:r w:rsidRPr="00081BBC">
        <w:rPr>
          <w:rFonts w:ascii="Verdana" w:hAnsi="Verdana" w:cs="Arial"/>
        </w:rPr>
        <w:t xml:space="preserve">que </w:t>
      </w:r>
      <w:r>
        <w:rPr>
          <w:rFonts w:ascii="Verdana" w:hAnsi="Verdana" w:cs="Arial"/>
        </w:rPr>
        <w:t xml:space="preserve">tienen personería jurídica y </w:t>
      </w:r>
      <w:r w:rsidRPr="00081BBC">
        <w:rPr>
          <w:rFonts w:ascii="Verdana" w:hAnsi="Verdana" w:cs="Arial"/>
        </w:rPr>
        <w:t>son constituidas por un solo socio o son de propiedad de una sola persona</w:t>
      </w:r>
      <w:r>
        <w:rPr>
          <w:rStyle w:val="Refdenotaalpie"/>
          <w:rFonts w:ascii="Verdana" w:hAnsi="Verdana" w:cs="Arial"/>
        </w:rPr>
        <w:footnoteReference w:id="8"/>
      </w:r>
      <w:r w:rsidRPr="00081BBC">
        <w:rPr>
          <w:rFonts w:ascii="Verdana" w:hAnsi="Verdana" w:cs="Arial"/>
        </w:rPr>
        <w:t>.</w:t>
      </w:r>
      <w:r w:rsidRPr="00694947">
        <w:rPr>
          <w:rFonts w:ascii="Verdana" w:hAnsi="Verdana" w:cs="Arial"/>
        </w:rPr>
        <w:t xml:space="preserve"> De esta manera, la </w:t>
      </w:r>
      <w:r>
        <w:rPr>
          <w:rFonts w:ascii="Verdana" w:hAnsi="Verdana" w:cs="Arial"/>
        </w:rPr>
        <w:t>Ley</w:t>
      </w:r>
      <w:r w:rsidRPr="00694947">
        <w:rPr>
          <w:rFonts w:ascii="Verdana" w:hAnsi="Verdana" w:cs="Arial"/>
        </w:rPr>
        <w:t xml:space="preserve"> 222 de 1995 amplió el espectro de los actos que dan origen a la actividad mercantil.</w:t>
      </w:r>
    </w:p>
    <w:p w14:paraId="7ADD0A27" w14:textId="77777777" w:rsidR="00AA67A0" w:rsidRDefault="00AA67A0" w:rsidP="00AA67A0">
      <w:pPr>
        <w:pStyle w:val="Textoindependiente"/>
        <w:spacing w:before="120" w:after="0"/>
        <w:ind w:right="49" w:firstLine="709"/>
        <w:jc w:val="both"/>
        <w:rPr>
          <w:rFonts w:ascii="Verdana" w:hAnsi="Verdana" w:cs="Arial"/>
          <w:lang/>
        </w:rPr>
      </w:pPr>
      <w:r>
        <w:rPr>
          <w:rFonts w:ascii="Verdana" w:hAnsi="Verdana" w:cs="Arial"/>
        </w:rPr>
        <w:t xml:space="preserve">Frente a este tipo de empresas, el artículo </w:t>
      </w:r>
      <w:r w:rsidRPr="007F73FF">
        <w:rPr>
          <w:rFonts w:ascii="Verdana" w:hAnsi="Verdana" w:cs="Arial"/>
        </w:rPr>
        <w:t>75 de la Ley 222 de 1995,</w:t>
      </w:r>
      <w:r>
        <w:rPr>
          <w:rFonts w:ascii="Verdana" w:hAnsi="Verdana" w:cs="Arial"/>
        </w:rPr>
        <w:t xml:space="preserve"> mencionado en su consulta, dispuso lo siguiente</w:t>
      </w:r>
      <w:r w:rsidRPr="007F73FF">
        <w:rPr>
          <w:rFonts w:ascii="Verdana" w:hAnsi="Verdana" w:cs="Arial"/>
        </w:rPr>
        <w:t>:</w:t>
      </w:r>
      <w:r>
        <w:rPr>
          <w:rFonts w:ascii="Verdana" w:hAnsi="Verdana" w:cs="Arial"/>
        </w:rPr>
        <w:t xml:space="preserve"> </w:t>
      </w:r>
      <w:r w:rsidRPr="007F73FF">
        <w:rPr>
          <w:rFonts w:ascii="Verdana" w:hAnsi="Verdana" w:cs="Arial"/>
        </w:rPr>
        <w:t>“El titular de la empresa unipersonal no puede contratar con ésta, ni tampoco podrán hacerlo entre sí empresas unipersonales constituidas por el mismo titular. Tales actos serán ineficaces de pleno derecho”</w:t>
      </w:r>
      <w:r>
        <w:rPr>
          <w:rFonts w:ascii="Verdana" w:hAnsi="Verdana" w:cs="Arial"/>
        </w:rPr>
        <w:t xml:space="preserve">. En efecto, dicha norma estableció una prohibición específica en cabeza del empresario unipersonal que tiene como finalidad evitar posibles abusos dado que la responsabilidad de la empresa se encuentra limitada al monto del aporte realizado por él. Sobre este asunto la </w:t>
      </w:r>
      <w:r w:rsidRPr="00DC1EEB">
        <w:rPr>
          <w:rFonts w:ascii="Verdana" w:hAnsi="Verdana" w:cs="Arial"/>
          <w:lang/>
        </w:rPr>
        <w:t xml:space="preserve">Corte Constitucional </w:t>
      </w:r>
      <w:r>
        <w:rPr>
          <w:rFonts w:ascii="Verdana" w:hAnsi="Verdana" w:cs="Arial"/>
          <w:lang/>
        </w:rPr>
        <w:t>señaló al estudiar la exequibilidad de la norma lo siguiente:</w:t>
      </w:r>
    </w:p>
    <w:p w14:paraId="0CDB8144" w14:textId="77777777" w:rsidR="00AA67A0" w:rsidRDefault="00AA67A0" w:rsidP="00AA67A0">
      <w:pPr>
        <w:pStyle w:val="Textoindependiente"/>
        <w:spacing w:after="0"/>
        <w:ind w:right="49" w:firstLine="709"/>
        <w:jc w:val="both"/>
        <w:rPr>
          <w:rFonts w:ascii="Verdana" w:hAnsi="Verdana" w:cs="Arial"/>
          <w:lang/>
        </w:rPr>
      </w:pPr>
    </w:p>
    <w:p w14:paraId="5BFAD45C" w14:textId="77777777" w:rsidR="00AA67A0" w:rsidRPr="00EE655B" w:rsidRDefault="00AA67A0" w:rsidP="00AA67A0">
      <w:pPr>
        <w:pStyle w:val="Textoindependiente"/>
        <w:spacing w:after="0" w:line="240" w:lineRule="auto"/>
        <w:ind w:left="709" w:right="709"/>
        <w:jc w:val="both"/>
        <w:rPr>
          <w:rFonts w:ascii="Verdana" w:hAnsi="Verdana" w:cs="Arial"/>
          <w:sz w:val="20"/>
          <w:szCs w:val="20"/>
          <w:lang/>
        </w:rPr>
      </w:pPr>
      <w:r w:rsidRPr="00DC1EEB">
        <w:rPr>
          <w:rFonts w:ascii="Verdana" w:hAnsi="Verdana" w:cs="Arial"/>
          <w:sz w:val="20"/>
          <w:szCs w:val="20"/>
          <w:lang/>
        </w:rPr>
        <w:t xml:space="preserve">“(...) 18- Por consiguiente, esta Corporación estima que la prohibición legal impuesta por la norma acusada es un método adecuado para lograr el fin que se ha propuesto el legislador con respecto a este tipo de empresas. En efecto, la norma garantiza que no se realice ningún tipo de transacción entre el socio y la empresa unipersonal, ni entre las diversas empresas unipersonales constituidas por la misma persona, lo que conlleva en últimas, a que las esferas de unos y otras sean completamente independientes y que no exista posibilidad alguna de que los intereses de unos u otros desvirtúen los intereses de la empresa unipersonal y su proyección en el mercado. </w:t>
      </w:r>
    </w:p>
    <w:p w14:paraId="40B1B247" w14:textId="77777777" w:rsidR="00AA67A0" w:rsidRPr="00EE655B" w:rsidRDefault="00AA67A0" w:rsidP="00AA67A0">
      <w:pPr>
        <w:pStyle w:val="Textoindependiente"/>
        <w:spacing w:after="0" w:line="240" w:lineRule="auto"/>
        <w:ind w:left="709" w:right="709"/>
        <w:jc w:val="both"/>
        <w:rPr>
          <w:rFonts w:ascii="Verdana" w:hAnsi="Verdana" w:cs="Arial"/>
          <w:sz w:val="20"/>
          <w:szCs w:val="20"/>
          <w:lang/>
        </w:rPr>
      </w:pPr>
    </w:p>
    <w:p w14:paraId="7C1113FF" w14:textId="77777777" w:rsidR="00AA67A0" w:rsidRPr="00EE655B" w:rsidRDefault="00AA67A0" w:rsidP="00AA67A0">
      <w:pPr>
        <w:pStyle w:val="Textoindependiente"/>
        <w:spacing w:after="0" w:line="240" w:lineRule="auto"/>
        <w:ind w:left="709" w:right="709"/>
        <w:jc w:val="both"/>
        <w:rPr>
          <w:rFonts w:ascii="Verdana" w:hAnsi="Verdana" w:cs="Arial"/>
          <w:sz w:val="20"/>
          <w:szCs w:val="20"/>
          <w:lang/>
        </w:rPr>
      </w:pPr>
      <w:r w:rsidRPr="00EE655B">
        <w:rPr>
          <w:rFonts w:ascii="Verdana" w:hAnsi="Verdana" w:cs="Arial"/>
          <w:sz w:val="20"/>
          <w:szCs w:val="20"/>
          <w:lang/>
        </w:rPr>
        <w:t xml:space="preserve">Lo </w:t>
      </w:r>
      <w:r w:rsidRPr="00DC1EEB">
        <w:rPr>
          <w:rFonts w:ascii="Verdana" w:hAnsi="Verdana" w:cs="Arial"/>
          <w:sz w:val="20"/>
          <w:szCs w:val="20"/>
          <w:lang/>
        </w:rPr>
        <w:t xml:space="preserve">anterior no indica que la Corte considere que la figura de la empresa unipersonal en sí misma favorece la defraudación. La reflexión se limita al conflicto que genera la contratación entre el empresario y su empresa o entre empresas de un mismo titular. En este evento, y en virtud del deber constitucional que tiene el Estado de promover la prosperidad general, es perfectamente válido que la ley prohíba transacciones comerciales que puedan afectar la transparencia del mercado y desconocer derechos de terceros. </w:t>
      </w:r>
    </w:p>
    <w:p w14:paraId="36392568" w14:textId="77777777" w:rsidR="00AA67A0" w:rsidRPr="00EE655B" w:rsidRDefault="00AA67A0" w:rsidP="00AA67A0">
      <w:pPr>
        <w:pStyle w:val="Textoindependiente"/>
        <w:spacing w:after="0" w:line="240" w:lineRule="auto"/>
        <w:ind w:left="709" w:right="709"/>
        <w:jc w:val="both"/>
        <w:rPr>
          <w:rFonts w:ascii="Verdana" w:hAnsi="Verdana" w:cs="Arial"/>
          <w:sz w:val="20"/>
          <w:szCs w:val="20"/>
          <w:lang/>
        </w:rPr>
      </w:pPr>
    </w:p>
    <w:p w14:paraId="495CE5B7" w14:textId="77777777" w:rsidR="00AA67A0" w:rsidRPr="00EE655B" w:rsidRDefault="00AA67A0" w:rsidP="00AA67A0">
      <w:pPr>
        <w:pStyle w:val="Textoindependiente"/>
        <w:spacing w:after="0" w:line="240" w:lineRule="auto"/>
        <w:ind w:left="709" w:right="709"/>
        <w:jc w:val="both"/>
        <w:rPr>
          <w:rFonts w:ascii="Verdana" w:hAnsi="Verdana" w:cs="Arial"/>
          <w:sz w:val="20"/>
          <w:szCs w:val="20"/>
          <w:lang/>
        </w:rPr>
      </w:pPr>
      <w:r w:rsidRPr="00DC1EEB">
        <w:rPr>
          <w:rFonts w:ascii="Verdana" w:hAnsi="Verdana" w:cs="Arial"/>
          <w:sz w:val="20"/>
          <w:szCs w:val="20"/>
          <w:lang/>
        </w:rPr>
        <w:lastRenderedPageBreak/>
        <w:t xml:space="preserve">19. La limitación acusada no aparece tampoco como manifiestamente desproporcionada ni lesiona en modo alguno el núcleo esencial de la libertad de empresa o contratación, porque la actividad económica de la empresa se puede seguir adelantando en otras condiciones y respecto de otros interlocutores, sin desvirtuar la naturaleza de su gestión en el campo empresarial. Estima, por consiguiente, esta Corporación, que tal restricción no desvirtúa los alcances de la libertad de contratación que requiere la empresa unipersonal para operar en el ámbito económico. En efecto, la empresa unipersonal, puede celebrar contratos con otros sujetos diferentes a los de la prohibición; actuar libremente en el mercado; ceder cuotas a terceros y celebrar indistintamente operaciones comerciales, sin ningún otro tipo de restricción. </w:t>
      </w:r>
    </w:p>
    <w:p w14:paraId="0BE57CA5" w14:textId="77777777" w:rsidR="00AA67A0" w:rsidRPr="00DC1EEB" w:rsidRDefault="00AA67A0" w:rsidP="00AA67A0">
      <w:pPr>
        <w:pStyle w:val="Textoindependiente"/>
        <w:spacing w:after="0" w:line="240" w:lineRule="auto"/>
        <w:ind w:left="709" w:right="709"/>
        <w:jc w:val="both"/>
        <w:rPr>
          <w:rFonts w:ascii="Verdana" w:hAnsi="Verdana" w:cs="Arial"/>
          <w:sz w:val="20"/>
          <w:szCs w:val="20"/>
          <w:lang/>
        </w:rPr>
      </w:pPr>
    </w:p>
    <w:p w14:paraId="7DEB6D46" w14:textId="77777777" w:rsidR="00AA67A0" w:rsidRPr="00DC1EEB" w:rsidRDefault="00AA67A0" w:rsidP="00AA67A0">
      <w:pPr>
        <w:pStyle w:val="Textoindependiente"/>
        <w:spacing w:after="0" w:line="240" w:lineRule="auto"/>
        <w:ind w:left="709" w:right="709"/>
        <w:jc w:val="both"/>
        <w:rPr>
          <w:rFonts w:ascii="Verdana" w:hAnsi="Verdana" w:cs="Arial"/>
          <w:sz w:val="20"/>
          <w:szCs w:val="20"/>
          <w:lang/>
        </w:rPr>
      </w:pPr>
      <w:r w:rsidRPr="00DC1EEB">
        <w:rPr>
          <w:rFonts w:ascii="Verdana" w:hAnsi="Verdana" w:cs="Arial"/>
          <w:sz w:val="20"/>
          <w:szCs w:val="20"/>
          <w:lang/>
        </w:rPr>
        <w:t>Por consiguiente, el resultado concreto de limitar las relaciones contractuales entre el titular y su empresa unipersonal sólo será la plena separación de los ámbitos comerciales en que se desarrolla la actividad del socio unipersonal y de su empresa, y de las empresas del mismo dueño entre sí, con lo cual se garantiza la verdadera independencia de órbitas que debe predicarse de este tipo de empresas de un solo socio</w:t>
      </w:r>
    </w:p>
    <w:p w14:paraId="4BCC247E" w14:textId="77777777" w:rsidR="00AA67A0" w:rsidRPr="00EE655B" w:rsidRDefault="00AA67A0" w:rsidP="00AA67A0">
      <w:pPr>
        <w:pStyle w:val="Textoindependiente"/>
        <w:spacing w:after="0" w:line="240" w:lineRule="auto"/>
        <w:ind w:left="709" w:right="709"/>
        <w:jc w:val="both"/>
        <w:rPr>
          <w:rFonts w:ascii="Verdana" w:hAnsi="Verdana" w:cs="Arial"/>
          <w:sz w:val="20"/>
          <w:szCs w:val="20"/>
          <w:lang/>
        </w:rPr>
      </w:pPr>
      <w:r w:rsidRPr="00EE655B">
        <w:rPr>
          <w:rFonts w:ascii="Verdana" w:hAnsi="Verdana" w:cs="Arial"/>
          <w:sz w:val="20"/>
          <w:szCs w:val="20"/>
          <w:lang/>
        </w:rPr>
        <w:t>[…]</w:t>
      </w:r>
      <w:r w:rsidRPr="00EE655B">
        <w:rPr>
          <w:rStyle w:val="Refdenotaalpie"/>
          <w:rFonts w:ascii="Verdana" w:hAnsi="Verdana" w:cs="Arial"/>
          <w:sz w:val="20"/>
          <w:szCs w:val="20"/>
          <w:lang/>
        </w:rPr>
        <w:footnoteReference w:id="9"/>
      </w:r>
      <w:r w:rsidRPr="00EE655B">
        <w:rPr>
          <w:rFonts w:ascii="Verdana" w:hAnsi="Verdana" w:cs="Arial"/>
          <w:sz w:val="20"/>
          <w:szCs w:val="20"/>
          <w:lang/>
        </w:rPr>
        <w:t>”.</w:t>
      </w:r>
    </w:p>
    <w:p w14:paraId="71A0DE98" w14:textId="77777777" w:rsidR="00AA67A0" w:rsidRPr="00DC1EEB" w:rsidRDefault="00AA67A0" w:rsidP="00AA67A0">
      <w:pPr>
        <w:pStyle w:val="Textoindependiente"/>
        <w:spacing w:after="0" w:line="240" w:lineRule="auto"/>
        <w:ind w:left="709" w:right="709"/>
        <w:jc w:val="both"/>
        <w:rPr>
          <w:rFonts w:ascii="Verdana" w:hAnsi="Verdana" w:cs="Arial"/>
          <w:sz w:val="21"/>
          <w:szCs w:val="21"/>
          <w:lang/>
        </w:rPr>
      </w:pPr>
    </w:p>
    <w:p w14:paraId="438871D8" w14:textId="77777777" w:rsidR="00AA67A0" w:rsidRDefault="00AA67A0" w:rsidP="00AA67A0">
      <w:pPr>
        <w:spacing w:after="120" w:line="276" w:lineRule="auto"/>
        <w:ind w:firstLine="709"/>
        <w:jc w:val="both"/>
        <w:rPr>
          <w:rFonts w:ascii="Verdana" w:hAnsi="Verdana" w:cs="Arial"/>
        </w:rPr>
      </w:pPr>
      <w:r>
        <w:rPr>
          <w:rFonts w:ascii="Verdana" w:hAnsi="Verdana" w:cs="Arial"/>
        </w:rPr>
        <w:t>Ahora bien, en cuanto a las Sociedades por Acciones Simplificadas se debe precisar que, a</w:t>
      </w:r>
      <w:r w:rsidRPr="00372D18">
        <w:rPr>
          <w:rFonts w:ascii="Verdana" w:hAnsi="Verdana" w:cs="Arial"/>
        </w:rPr>
        <w:t xml:space="preserve"> partir de su aparición en el ordenamiento jurídico colombiano, por medio de la Ley 1258 de 2008, las Sociedades por Acciones Simplificadas, fueron definidas por la doctrina como una de las innovaciones más relevantes del derecho societario colombiano, por la posibilidad de conformación a través de un acto unipersonal, la limitación de responsabilidad por obligaciones sociales, la viabilidad de poder contar con un objeto indeterminado para desarrollar actividades lícitas, el término de duración indefinido, la posibilidad de renunciar al derecho de ser convocado a reuniones de la asamblea, entre otras tantas que hicieron de ellas uno de los modelos societarios más atractivos para la conformación empresarial</w:t>
      </w:r>
      <w:r w:rsidRPr="00372D18">
        <w:rPr>
          <w:rStyle w:val="Refdenotaalpie"/>
          <w:rFonts w:ascii="Verdana" w:hAnsi="Verdana" w:cs="Arial"/>
        </w:rPr>
        <w:footnoteReference w:id="10"/>
      </w:r>
      <w:r w:rsidRPr="00372D18">
        <w:rPr>
          <w:rFonts w:ascii="Verdana" w:hAnsi="Verdana" w:cs="Arial"/>
        </w:rPr>
        <w:t xml:space="preserve">. </w:t>
      </w:r>
    </w:p>
    <w:p w14:paraId="6484326D" w14:textId="77777777" w:rsidR="00AA67A0" w:rsidRPr="00372D18" w:rsidRDefault="00AA67A0" w:rsidP="00AA67A0">
      <w:pPr>
        <w:spacing w:before="120" w:after="0" w:line="276" w:lineRule="auto"/>
        <w:ind w:firstLine="708"/>
        <w:jc w:val="both"/>
        <w:rPr>
          <w:rFonts w:ascii="Verdana" w:hAnsi="Verdana" w:cs="Arial"/>
        </w:rPr>
      </w:pPr>
      <w:r w:rsidRPr="00372D18">
        <w:rPr>
          <w:rFonts w:ascii="Verdana" w:hAnsi="Verdana" w:cs="Arial"/>
        </w:rPr>
        <w:t xml:space="preserve">Ahora bien, en cuanto al objeto social, de acuerdo con el numeral 5° del artículo 5° de la </w:t>
      </w:r>
      <w:r>
        <w:rPr>
          <w:rFonts w:ascii="Verdana" w:hAnsi="Verdana" w:cs="Arial"/>
        </w:rPr>
        <w:t>L</w:t>
      </w:r>
      <w:r w:rsidRPr="00372D18">
        <w:rPr>
          <w:rFonts w:ascii="Verdana" w:hAnsi="Verdana" w:cs="Arial"/>
        </w:rPr>
        <w:t>ey 1258 de 2008, se estableció la posibilidad de fijar un objeto social indeterminado, teniendo en cuenta lo citado a continuación:</w:t>
      </w:r>
    </w:p>
    <w:p w14:paraId="3E8F59F6" w14:textId="77777777" w:rsidR="00AA67A0" w:rsidRPr="00D600FA" w:rsidRDefault="00AA67A0" w:rsidP="00AA67A0">
      <w:pPr>
        <w:spacing w:after="0" w:line="276" w:lineRule="auto"/>
        <w:ind w:left="709" w:right="758"/>
        <w:jc w:val="both"/>
        <w:rPr>
          <w:rFonts w:ascii="Verdana" w:hAnsi="Verdana" w:cs="Arial"/>
          <w:iCs/>
        </w:rPr>
      </w:pPr>
    </w:p>
    <w:p w14:paraId="1C7B0E75" w14:textId="77777777" w:rsidR="00AA67A0" w:rsidRPr="003B233F" w:rsidRDefault="00AA67A0" w:rsidP="00AA67A0">
      <w:pPr>
        <w:spacing w:after="0" w:line="240" w:lineRule="auto"/>
        <w:ind w:left="709" w:right="709"/>
        <w:jc w:val="both"/>
        <w:rPr>
          <w:rFonts w:ascii="Verdana" w:hAnsi="Verdana" w:cs="Arial"/>
          <w:iCs/>
          <w:sz w:val="20"/>
          <w:szCs w:val="20"/>
        </w:rPr>
      </w:pPr>
      <w:r>
        <w:rPr>
          <w:rFonts w:ascii="Verdana" w:hAnsi="Verdana" w:cs="Arial"/>
          <w:iCs/>
          <w:sz w:val="20"/>
          <w:szCs w:val="20"/>
        </w:rPr>
        <w:lastRenderedPageBreak/>
        <w:t>“</w:t>
      </w:r>
      <w:r w:rsidRPr="003B233F">
        <w:rPr>
          <w:rFonts w:ascii="Verdana" w:hAnsi="Verdana" w:cs="Arial"/>
          <w:iCs/>
          <w:sz w:val="20"/>
          <w:szCs w:val="20"/>
        </w:rPr>
        <w:t>Artículo 5o. Contenido del documento de constitución. La sociedad por acciones simplificada se creará mediante contrato o acto unilateral que conste en documento privado, inscrito en el Registro Mercantil de la Cámara de Comercio del lugar en que la sociedad establezca su domicilio principal, en el cual se expresará cuando menos lo siguiente:</w:t>
      </w:r>
    </w:p>
    <w:p w14:paraId="37E65B0C" w14:textId="77777777" w:rsidR="00AA67A0" w:rsidRDefault="00AA67A0" w:rsidP="00AA67A0">
      <w:pPr>
        <w:spacing w:after="0" w:line="240" w:lineRule="auto"/>
        <w:ind w:left="709" w:right="709"/>
        <w:jc w:val="both"/>
        <w:rPr>
          <w:rFonts w:ascii="Verdana" w:hAnsi="Verdana" w:cs="Arial"/>
          <w:iCs/>
          <w:sz w:val="20"/>
          <w:szCs w:val="20"/>
        </w:rPr>
      </w:pPr>
      <w:r w:rsidRPr="003B233F">
        <w:rPr>
          <w:rFonts w:ascii="Verdana" w:hAnsi="Verdana" w:cs="Arial"/>
          <w:iCs/>
          <w:sz w:val="20"/>
          <w:szCs w:val="20"/>
        </w:rPr>
        <w:t>[…]</w:t>
      </w:r>
    </w:p>
    <w:p w14:paraId="1B3FAC36" w14:textId="77777777" w:rsidR="00AA67A0" w:rsidRPr="003B233F" w:rsidRDefault="00AA67A0" w:rsidP="00AA67A0">
      <w:pPr>
        <w:spacing w:after="0" w:line="240" w:lineRule="auto"/>
        <w:ind w:left="709" w:right="709"/>
        <w:jc w:val="both"/>
        <w:rPr>
          <w:rFonts w:ascii="Verdana" w:hAnsi="Verdana" w:cs="Arial"/>
          <w:iCs/>
          <w:sz w:val="20"/>
          <w:szCs w:val="20"/>
        </w:rPr>
      </w:pPr>
    </w:p>
    <w:p w14:paraId="74BE46B7" w14:textId="77777777" w:rsidR="00AA67A0" w:rsidRPr="003B233F" w:rsidRDefault="00AA67A0" w:rsidP="00AA67A0">
      <w:pPr>
        <w:spacing w:after="0" w:line="240" w:lineRule="auto"/>
        <w:ind w:left="709" w:right="709"/>
        <w:jc w:val="both"/>
        <w:rPr>
          <w:rFonts w:ascii="Verdana" w:hAnsi="Verdana" w:cs="Arial"/>
          <w:sz w:val="20"/>
          <w:szCs w:val="20"/>
        </w:rPr>
      </w:pPr>
      <w:r w:rsidRPr="003B233F">
        <w:rPr>
          <w:rFonts w:ascii="Verdana" w:hAnsi="Verdana" w:cs="Arial"/>
          <w:iCs/>
          <w:sz w:val="20"/>
          <w:szCs w:val="20"/>
        </w:rPr>
        <w:t xml:space="preserve">5o. Una enunciación clara y completa de las actividades principales, a menos que se exprese que la sociedad podrá realizar cualquier actividad comercial o civil, lícita. Si nada se expresa en el acto de constitución, se entenderá que la </w:t>
      </w:r>
      <w:r w:rsidRPr="003B233F">
        <w:rPr>
          <w:rFonts w:ascii="Verdana" w:hAnsi="Verdana" w:cs="Arial"/>
          <w:sz w:val="20"/>
          <w:szCs w:val="20"/>
        </w:rPr>
        <w:t>sociedad podrá realizar cualquier actividad lícita</w:t>
      </w:r>
      <w:r>
        <w:rPr>
          <w:rFonts w:ascii="Verdana" w:hAnsi="Verdana" w:cs="Arial"/>
          <w:sz w:val="20"/>
          <w:szCs w:val="20"/>
        </w:rPr>
        <w:t>”</w:t>
      </w:r>
      <w:r w:rsidRPr="003B233F">
        <w:rPr>
          <w:rFonts w:ascii="Verdana" w:hAnsi="Verdana" w:cs="Arial"/>
          <w:sz w:val="20"/>
          <w:szCs w:val="20"/>
        </w:rPr>
        <w:t xml:space="preserve">. </w:t>
      </w:r>
    </w:p>
    <w:p w14:paraId="42ABD60A" w14:textId="77777777" w:rsidR="00AA67A0" w:rsidRPr="00D600FA" w:rsidRDefault="00AA67A0" w:rsidP="00AA67A0">
      <w:pPr>
        <w:spacing w:after="0" w:line="276" w:lineRule="auto"/>
        <w:ind w:left="709" w:right="709"/>
        <w:jc w:val="both"/>
        <w:rPr>
          <w:rFonts w:ascii="Verdana" w:hAnsi="Verdana" w:cs="Arial"/>
        </w:rPr>
      </w:pPr>
    </w:p>
    <w:p w14:paraId="553F0557" w14:textId="77777777" w:rsidR="00AA67A0" w:rsidRPr="00372D18" w:rsidRDefault="00AA67A0" w:rsidP="00AA67A0">
      <w:pPr>
        <w:spacing w:line="276" w:lineRule="auto"/>
        <w:ind w:firstLine="708"/>
        <w:jc w:val="both"/>
        <w:rPr>
          <w:rFonts w:ascii="Verdana" w:hAnsi="Verdana" w:cs="Arial"/>
        </w:rPr>
      </w:pPr>
      <w:r w:rsidRPr="00372D18">
        <w:rPr>
          <w:rFonts w:ascii="Verdana" w:hAnsi="Verdana" w:cs="Arial"/>
        </w:rPr>
        <w:t>En contraste a lo desarrollado por el legislador en el año 2008, por regla general, según lo establecido en el artículo 99 del Código de Comercio, la capacidad de una sociedad se circunscribirá al desarrollo de la empresa o a la actividad prevista en su objeto. Esta capacidad, según la jurisprudencia del Consejo de Estado, se refleja en la idoneidad para ejercer sus derechos por sí misma, como una capacidad de obrar.</w:t>
      </w:r>
    </w:p>
    <w:p w14:paraId="6DBCADEC" w14:textId="77777777" w:rsidR="00AA67A0" w:rsidRPr="00372D18" w:rsidRDefault="00AA67A0" w:rsidP="00AA67A0">
      <w:pPr>
        <w:spacing w:before="120" w:after="0" w:line="276" w:lineRule="auto"/>
        <w:ind w:firstLine="709"/>
        <w:jc w:val="both"/>
        <w:rPr>
          <w:rFonts w:ascii="Verdana" w:hAnsi="Verdana" w:cs="Arial"/>
        </w:rPr>
      </w:pPr>
      <w:r w:rsidRPr="00372D18">
        <w:rPr>
          <w:rFonts w:ascii="Verdana" w:hAnsi="Verdana" w:cs="Arial"/>
        </w:rPr>
        <w:t>Con la aparición de las Sociedades por Acciones Simplificadas, se da un giro sustancial a la regla general definida por el artículo 99 del Código de Comercio, debido a que se le otorga a sus asociados, la posibilidad de: definir su capacidad jurídica de forma autónoma, configurando su objeto social y actividades que desarrolla la compañía de forma discrecional, sin que sea necesario que exista una conexidad directa entre ellas o, por otro, facultar a la sociedad para desempeñar cualquier actividad de carácter lícito. Frente a lo anterior se refirió la Superintendencia de Sociedades en el Concepto 0673 de diciembre 30 de 2010, así:</w:t>
      </w:r>
    </w:p>
    <w:p w14:paraId="7A693656" w14:textId="77777777" w:rsidR="00AA67A0" w:rsidRPr="00372D18" w:rsidRDefault="00AA67A0" w:rsidP="00AA67A0">
      <w:pPr>
        <w:spacing w:after="0" w:line="276" w:lineRule="auto"/>
        <w:ind w:firstLine="709"/>
        <w:jc w:val="both"/>
        <w:rPr>
          <w:rFonts w:ascii="Verdana" w:hAnsi="Verdana" w:cs="Arial"/>
        </w:rPr>
      </w:pPr>
    </w:p>
    <w:p w14:paraId="315667F8" w14:textId="77777777" w:rsidR="00AA67A0" w:rsidRDefault="00AA67A0" w:rsidP="00AA67A0">
      <w:pPr>
        <w:spacing w:after="0" w:line="240" w:lineRule="auto"/>
        <w:ind w:left="709" w:right="709"/>
        <w:jc w:val="both"/>
        <w:rPr>
          <w:rFonts w:ascii="Verdana" w:hAnsi="Verdana" w:cs="Arial"/>
          <w:sz w:val="20"/>
          <w:szCs w:val="20"/>
        </w:rPr>
      </w:pPr>
      <w:r w:rsidRPr="00D600FA">
        <w:rPr>
          <w:rFonts w:ascii="Verdana" w:hAnsi="Verdana" w:cs="Arial"/>
          <w:sz w:val="20"/>
          <w:szCs w:val="20"/>
        </w:rPr>
        <w:t xml:space="preserve">De lo expuesto se desprende que es enteramente discrecional de los asociados acoger según su conveniencia y necesidad, un objeto social determinado o indeterminado. En el primer caso se deberán identificar de manera explícita el acto o los actos que constituyan la empresa, en el entendido que la capacidad de la sociedad, como las actuaciones del representante legal y los administradores se han de establecer igualmente en consideración a las actividades en él enunciadas, con sujeción a las reglas y las consecuencias que al efecto prevén las disposiciones consagradas el Código de Comercio, particularmente el artículo 110, ordinal 4º, en concordancia con el 99 </w:t>
      </w:r>
      <w:proofErr w:type="spellStart"/>
      <w:r w:rsidRPr="00D600FA">
        <w:rPr>
          <w:rFonts w:ascii="Verdana" w:hAnsi="Verdana" w:cs="Arial"/>
          <w:sz w:val="20"/>
          <w:szCs w:val="20"/>
        </w:rPr>
        <w:t>ibídem</w:t>
      </w:r>
      <w:proofErr w:type="spellEnd"/>
      <w:r w:rsidRPr="00D600FA">
        <w:rPr>
          <w:rFonts w:ascii="Verdana" w:hAnsi="Verdana" w:cs="Arial"/>
          <w:sz w:val="20"/>
          <w:szCs w:val="20"/>
        </w:rPr>
        <w:t xml:space="preserve">. En el segundo caso, se podrá optar por un objeto indeterminado que bien identifique una o algunas de las actividades a las que especialmente se pretenda aplicar la empresa y, adicionalmente incluya las demás actividades licitas; o simplemente </w:t>
      </w:r>
      <w:r w:rsidRPr="00D600FA">
        <w:rPr>
          <w:rFonts w:ascii="Verdana" w:hAnsi="Verdana" w:cs="Arial"/>
          <w:sz w:val="20"/>
          <w:szCs w:val="20"/>
        </w:rPr>
        <w:lastRenderedPageBreak/>
        <w:t>exprese que la sociedad podrá realizar cualquier actividad comercial o civil, lícita sin mencionar en particular ninguna, lo que igualmente se entenderá para todos los efectos cuando en el acto de constitución no se diga nada sobre ese aspecto y en estos casos la capacidad de la compañía será de todas formas ilimitada</w:t>
      </w:r>
      <w:r w:rsidRPr="00D600FA">
        <w:rPr>
          <w:rStyle w:val="Refdenotaalpie"/>
          <w:rFonts w:ascii="Verdana" w:hAnsi="Verdana" w:cs="Arial"/>
          <w:sz w:val="20"/>
          <w:szCs w:val="20"/>
        </w:rPr>
        <w:footnoteReference w:id="11"/>
      </w:r>
      <w:r w:rsidRPr="00D600FA">
        <w:rPr>
          <w:rFonts w:ascii="Verdana" w:hAnsi="Verdana" w:cs="Arial"/>
          <w:sz w:val="20"/>
          <w:szCs w:val="20"/>
        </w:rPr>
        <w:t xml:space="preserve">. </w:t>
      </w:r>
    </w:p>
    <w:p w14:paraId="5ADF7021" w14:textId="77777777" w:rsidR="00AA67A0" w:rsidRPr="00D600FA" w:rsidRDefault="00AA67A0" w:rsidP="00AA67A0">
      <w:pPr>
        <w:spacing w:after="0" w:line="276" w:lineRule="auto"/>
        <w:ind w:left="709" w:right="709"/>
        <w:jc w:val="both"/>
        <w:rPr>
          <w:rFonts w:ascii="Verdana" w:hAnsi="Verdana" w:cs="Arial"/>
          <w:iCs/>
        </w:rPr>
      </w:pPr>
    </w:p>
    <w:p w14:paraId="48DD966D" w14:textId="77777777" w:rsidR="00AA67A0" w:rsidRDefault="00AA67A0" w:rsidP="00AA67A0">
      <w:pPr>
        <w:spacing w:line="276" w:lineRule="auto"/>
        <w:ind w:firstLine="709"/>
        <w:jc w:val="both"/>
        <w:rPr>
          <w:rFonts w:ascii="Verdana" w:hAnsi="Verdana" w:cs="Arial"/>
        </w:rPr>
      </w:pPr>
      <w:r w:rsidRPr="00372D18">
        <w:rPr>
          <w:rFonts w:ascii="Verdana" w:hAnsi="Verdana" w:cs="Arial"/>
        </w:rPr>
        <w:t xml:space="preserve">De modo que, la Ley 1258 de 2008 suprimió la limitación para las Sociedades por Acciones Simplificadas, que contemplaba el Código de Comercio frente a la indeterminación del objeto social, pues estableció que el silencio de los constituyentes en el contrato o acto de constitución implicaba la indeterminación en el objeto social. Ahora bien, valga decir que dicha supresión no implica que bajo esta tipología societaria no se pueda determinar el objeto social de la misma, no obstante, en estos casos la capacidad jurídica de las Sociedades por Acciones Simplificadas estará limitada a las actividades enunciadas en su objeto social, de conformidad con lo prescrito por el artículo 99 y 110 Numeral 4 del Código de Comerio. </w:t>
      </w:r>
    </w:p>
    <w:p w14:paraId="77E0B7C6" w14:textId="77777777" w:rsidR="00AA67A0" w:rsidRPr="00372D18" w:rsidRDefault="00AA67A0" w:rsidP="00AA67A0">
      <w:pPr>
        <w:spacing w:after="0" w:line="276" w:lineRule="auto"/>
        <w:ind w:firstLine="709"/>
        <w:jc w:val="both"/>
        <w:rPr>
          <w:rFonts w:ascii="Verdana" w:hAnsi="Verdana" w:cs="Arial"/>
        </w:rPr>
      </w:pPr>
      <w:r w:rsidRPr="00372D18">
        <w:rPr>
          <w:rFonts w:ascii="Verdana" w:hAnsi="Verdana" w:cs="Arial"/>
        </w:rPr>
        <w:t>En relación con la capacidad de las sociedades comerciales, se precisa citar al tratadista Néstor Humberto Martínez Neira:</w:t>
      </w:r>
    </w:p>
    <w:p w14:paraId="02F72184" w14:textId="77777777" w:rsidR="00AA67A0" w:rsidRPr="00D600FA" w:rsidRDefault="00AA67A0" w:rsidP="00AA67A0">
      <w:pPr>
        <w:spacing w:after="0" w:line="276" w:lineRule="auto"/>
        <w:ind w:left="709" w:right="758"/>
        <w:jc w:val="both"/>
        <w:rPr>
          <w:rFonts w:ascii="Verdana" w:hAnsi="Verdana" w:cs="Arial"/>
        </w:rPr>
      </w:pPr>
    </w:p>
    <w:p w14:paraId="5DCD7EB9" w14:textId="77777777" w:rsidR="00AA67A0" w:rsidRDefault="00AA67A0" w:rsidP="00AA67A0">
      <w:pPr>
        <w:spacing w:after="0" w:line="240" w:lineRule="auto"/>
        <w:ind w:left="709" w:right="709"/>
        <w:jc w:val="both"/>
        <w:rPr>
          <w:rFonts w:ascii="Verdana" w:hAnsi="Verdana" w:cs="Arial"/>
          <w:sz w:val="20"/>
          <w:szCs w:val="20"/>
        </w:rPr>
      </w:pPr>
      <w:r w:rsidRPr="00D600FA">
        <w:rPr>
          <w:rFonts w:ascii="Verdana" w:hAnsi="Verdana" w:cs="Arial"/>
          <w:sz w:val="20"/>
          <w:szCs w:val="20"/>
        </w:rPr>
        <w:t>“Toda sociedad, por el hecho de existir, se beneficia del atributo de la capacidad de goce; por ende, puede ser titular de derecho y sujeto de obligaciones. Sin embargo, la capacidad legal de la sociedad se circunscribe al objeto social, como lo advierte el art. 99 del Código de Comercio. Es decir, la sociedad goza de capacidad jurídica para llevar adelante los actos propios de sus actividades principales o que constituyan actos conexos</w:t>
      </w:r>
      <w:r>
        <w:rPr>
          <w:rFonts w:ascii="Verdana" w:hAnsi="Verdana" w:cs="Arial"/>
          <w:iCs/>
          <w:sz w:val="20"/>
          <w:szCs w:val="20"/>
        </w:rPr>
        <w:t>”</w:t>
      </w:r>
      <w:r w:rsidRPr="00D600FA">
        <w:rPr>
          <w:rStyle w:val="Refdenotaalpie"/>
          <w:rFonts w:ascii="Verdana" w:hAnsi="Verdana" w:cs="Arial"/>
          <w:sz w:val="20"/>
          <w:szCs w:val="20"/>
        </w:rPr>
        <w:footnoteReference w:id="12"/>
      </w:r>
      <w:r w:rsidRPr="00D600FA">
        <w:rPr>
          <w:rFonts w:ascii="Verdana" w:hAnsi="Verdana" w:cs="Arial"/>
          <w:sz w:val="20"/>
          <w:szCs w:val="20"/>
        </w:rPr>
        <w:t>.</w:t>
      </w:r>
    </w:p>
    <w:p w14:paraId="2F835AC6" w14:textId="77777777" w:rsidR="00AA67A0" w:rsidRPr="00D600FA" w:rsidRDefault="00AA67A0" w:rsidP="00AA67A0">
      <w:pPr>
        <w:spacing w:after="0" w:line="276" w:lineRule="auto"/>
        <w:ind w:left="709" w:right="758"/>
        <w:jc w:val="both"/>
        <w:rPr>
          <w:rFonts w:ascii="Verdana" w:hAnsi="Verdana" w:cs="Arial"/>
          <w:iCs/>
        </w:rPr>
      </w:pPr>
    </w:p>
    <w:p w14:paraId="5D3E270F" w14:textId="77777777" w:rsidR="00AA67A0" w:rsidRPr="00372D18" w:rsidRDefault="00AA67A0" w:rsidP="00AA67A0">
      <w:pPr>
        <w:spacing w:after="120" w:line="276" w:lineRule="auto"/>
        <w:ind w:firstLine="709"/>
        <w:jc w:val="both"/>
        <w:rPr>
          <w:rFonts w:ascii="Verdana" w:hAnsi="Verdana" w:cs="Arial"/>
        </w:rPr>
      </w:pPr>
      <w:r w:rsidRPr="00372D18">
        <w:rPr>
          <w:rFonts w:ascii="Verdana" w:eastAsia="Calibri" w:hAnsi="Verdana" w:cs="Arial"/>
          <w:bCs/>
        </w:rPr>
        <w:t xml:space="preserve">Por las razones expuestas, que se originan en la amplitud del objeto y las actividades que pueden desarrollar las Sociedades por Acciones Simplificadas, al analizar su participación en un procedimiento de selección de contratistas, esta Subdirección </w:t>
      </w:r>
      <w:r>
        <w:rPr>
          <w:rFonts w:ascii="Verdana" w:eastAsia="Calibri" w:hAnsi="Verdana" w:cs="Arial"/>
          <w:bCs/>
        </w:rPr>
        <w:t xml:space="preserve">ha considerado, </w:t>
      </w:r>
      <w:r w:rsidRPr="00372D18">
        <w:rPr>
          <w:rFonts w:ascii="Verdana" w:eastAsia="Calibri" w:hAnsi="Verdana" w:cs="Arial"/>
          <w:bCs/>
        </w:rPr>
        <w:t xml:space="preserve">conforme a la interpretación del numeral 5º del artículo 5 de la Ley 1258 de 2008, que su capacidad contractual se encuentra estrechamente ligada al documento de constitución en los siguientes </w:t>
      </w:r>
      <w:r w:rsidRPr="00372D18">
        <w:rPr>
          <w:rFonts w:ascii="Verdana" w:hAnsi="Verdana" w:cs="Arial"/>
        </w:rPr>
        <w:t xml:space="preserve">términos: </w:t>
      </w:r>
    </w:p>
    <w:p w14:paraId="346D4F14" w14:textId="77777777" w:rsidR="00AA67A0" w:rsidRDefault="00AA67A0" w:rsidP="00AA67A0">
      <w:pPr>
        <w:spacing w:after="120" w:line="276" w:lineRule="auto"/>
        <w:ind w:firstLine="708"/>
        <w:jc w:val="both"/>
        <w:rPr>
          <w:rFonts w:ascii="Verdana" w:hAnsi="Verdana" w:cs="Arial"/>
        </w:rPr>
      </w:pPr>
      <w:r>
        <w:rPr>
          <w:rFonts w:ascii="Verdana" w:hAnsi="Verdana" w:cs="Arial"/>
        </w:rPr>
        <w:lastRenderedPageBreak/>
        <w:t xml:space="preserve">a) </w:t>
      </w:r>
      <w:r w:rsidRPr="00D63DAD">
        <w:rPr>
          <w:rFonts w:ascii="Verdana" w:hAnsi="Verdana" w:cs="Arial"/>
        </w:rPr>
        <w:t>Cuando el</w:t>
      </w:r>
      <w:r w:rsidRPr="00D63DAD">
        <w:rPr>
          <w:rFonts w:ascii="Verdana" w:eastAsia="Calibri" w:hAnsi="Verdana" w:cs="Arial"/>
          <w:bCs/>
        </w:rPr>
        <w:t xml:space="preserve"> proponente defina de forma clara, completa y precisa las actividades comerciales sobre las cuales versa su objeto, sin mencionar la posibilidad de realizar otro tipo de actividades de carácter lícito, solo tendrán capacidad para participar en procedimientos de selección y celebrar contratos cuyo objeto se relacione con las actividades definidas en su documento de </w:t>
      </w:r>
      <w:r w:rsidRPr="00D63DAD">
        <w:rPr>
          <w:rFonts w:ascii="Verdana" w:hAnsi="Verdana" w:cs="Arial"/>
        </w:rPr>
        <w:t>constitución, tal como sucede con otras sociedades comerciales. Ahora bien, sobre este punto vale resaltar que las Entidades Estatales deben verificar que el objeto social de las de las personas jurídicas les permite desarrollar el objeto del contrato, bien porque la actividad está prevista como una actividad del objeto social principal o como una actividad conexa o porque al tratarse de una sociedad por acciones simplificada puede realizar actividades comerciales o civiles.</w:t>
      </w:r>
    </w:p>
    <w:p w14:paraId="607F89EE" w14:textId="77777777" w:rsidR="00AA67A0" w:rsidRDefault="00AA67A0" w:rsidP="00AA67A0">
      <w:pPr>
        <w:spacing w:after="120" w:line="276" w:lineRule="auto"/>
        <w:ind w:firstLine="708"/>
        <w:jc w:val="both"/>
        <w:rPr>
          <w:rFonts w:ascii="Verdana" w:hAnsi="Verdana" w:cs="Arial"/>
        </w:rPr>
      </w:pPr>
      <w:r>
        <w:rPr>
          <w:rFonts w:ascii="Verdana" w:hAnsi="Verdana" w:cs="Arial"/>
        </w:rPr>
        <w:t xml:space="preserve">b) </w:t>
      </w:r>
      <w:r w:rsidRPr="00DD35BB">
        <w:rPr>
          <w:rFonts w:ascii="Verdana" w:hAnsi="Verdana" w:cs="Arial"/>
        </w:rPr>
        <w:t>Cuando</w:t>
      </w:r>
      <w:r w:rsidRPr="00DD35BB">
        <w:rPr>
          <w:rFonts w:ascii="Verdana" w:eastAsia="Calibri" w:hAnsi="Verdana" w:cs="Arial"/>
          <w:bCs/>
        </w:rPr>
        <w:t xml:space="preserve"> el proponente defina de forma clara y precisa las principales actividades comerciales sobre los cuales versa su objeto; pero además señale de forma expresa dentro del documento de constitución que, además de las señaladas, podrá realizar cualquier actividad lícita, su capacidad contractual será amplia y podrá participar en cualquier procedimiento de selección y celebrar cualquier contrato. </w:t>
      </w:r>
    </w:p>
    <w:p w14:paraId="17DB5D3C" w14:textId="77777777" w:rsidR="00AA67A0" w:rsidRPr="00DD35BB" w:rsidRDefault="00AA67A0" w:rsidP="00AA67A0">
      <w:pPr>
        <w:spacing w:after="120" w:line="276" w:lineRule="auto"/>
        <w:ind w:firstLine="708"/>
        <w:jc w:val="both"/>
        <w:rPr>
          <w:rFonts w:ascii="Verdana" w:hAnsi="Verdana" w:cs="Arial"/>
        </w:rPr>
      </w:pPr>
      <w:r>
        <w:rPr>
          <w:rFonts w:ascii="Verdana" w:hAnsi="Verdana" w:cs="Arial"/>
        </w:rPr>
        <w:t xml:space="preserve">c) </w:t>
      </w:r>
      <w:r w:rsidRPr="00DD35BB">
        <w:rPr>
          <w:rFonts w:ascii="Verdana" w:eastAsia="Calibri" w:hAnsi="Verdana" w:cs="Arial"/>
          <w:bCs/>
        </w:rPr>
        <w:t xml:space="preserve">Cuando nada de lo anterior se exprese en el acto de constitución, la entidad entenderá que la sociedad se encuentra facultada para realizar cualquier actividad lícita y podrá participar en cualquier procedimiento de selección y celebrar cualquier contrato. </w:t>
      </w:r>
    </w:p>
    <w:p w14:paraId="55947E3E" w14:textId="4BFBDD9E" w:rsidR="00AA67A0" w:rsidRDefault="00AA67A0" w:rsidP="00AA67A0">
      <w:pPr>
        <w:spacing w:line="276" w:lineRule="auto"/>
        <w:ind w:firstLine="709"/>
        <w:jc w:val="both"/>
        <w:rPr>
          <w:rFonts w:ascii="Verdana" w:hAnsi="Verdana" w:cs="Arial"/>
          <w:lang/>
        </w:rPr>
      </w:pPr>
      <w:r>
        <w:rPr>
          <w:rFonts w:ascii="Verdana" w:hAnsi="Verdana" w:cs="Arial"/>
        </w:rPr>
        <w:t xml:space="preserve">Mas allá de lo expuesto, la Ley 1258 de 2008, </w:t>
      </w:r>
      <w:r w:rsidR="00EC5515">
        <w:rPr>
          <w:rFonts w:ascii="Verdana" w:hAnsi="Verdana" w:cs="Arial"/>
          <w:lang/>
        </w:rPr>
        <w:t>p</w:t>
      </w:r>
      <w:r w:rsidRPr="001379C2">
        <w:rPr>
          <w:rFonts w:ascii="Verdana" w:hAnsi="Verdana" w:cs="Arial"/>
          <w:lang/>
        </w:rPr>
        <w:t>medio de la cual se crea la sociedad por acciones simplificada</w:t>
      </w:r>
      <w:r>
        <w:rPr>
          <w:rFonts w:ascii="Verdana" w:hAnsi="Verdana" w:cs="Arial"/>
          <w:lang/>
        </w:rPr>
        <w:t xml:space="preserve"> -SAS-, no incorpró ninguna disposición que prohiba a las SAS compuestas por un único socio celebrar algún tipo de negocios jurídicos con este. En efecto, la norma no incluyó una disposición igual o similar a la establecida en el artículo 75 de la Ley 222 de 1995 para el caso de las empresas unipersonales. En consecuencia, la Superintendencia de Sociedades ha conceptuado que, en el caso de las SAS, no existe norma que prohiba a la sociedad celebrar contratos con su único socio. A pesar de lo anterior, la Superintendencia resaltó que:</w:t>
      </w:r>
    </w:p>
    <w:p w14:paraId="3CBBFA3F" w14:textId="77777777" w:rsidR="00AA67A0" w:rsidRPr="00E65D8B" w:rsidRDefault="00AA67A0" w:rsidP="00AA67A0">
      <w:pPr>
        <w:ind w:left="709" w:right="709"/>
        <w:jc w:val="both"/>
        <w:rPr>
          <w:rFonts w:ascii="Verdana" w:hAnsi="Verdana" w:cs="Arial"/>
          <w:sz w:val="20"/>
          <w:szCs w:val="20"/>
          <w:lang w:eastAsia="es-CO"/>
        </w:rPr>
      </w:pPr>
      <w:r w:rsidRPr="00E65D8B">
        <w:rPr>
          <w:rFonts w:ascii="Verdana" w:hAnsi="Verdana" w:cs="Arial"/>
          <w:sz w:val="20"/>
          <w:szCs w:val="20"/>
          <w:lang w:eastAsia="es-CO"/>
        </w:rPr>
        <w:t xml:space="preserve">“[…] Lo anterior permite concluir que la prohibición del artículo 75 de la Ley 222 de 1995 no aplica en la S.A.S, no obstante, vale la pena resaltar que, como en la empresa unipersonal (parágrafo del artículo 71 de la Ley 222 de 1995), la Ley de las S.A.S. acogió la figura del </w:t>
      </w:r>
      <w:proofErr w:type="spellStart"/>
      <w:r w:rsidRPr="00E65D8B">
        <w:rPr>
          <w:rFonts w:ascii="Verdana" w:hAnsi="Verdana" w:cs="Arial"/>
          <w:sz w:val="20"/>
          <w:szCs w:val="20"/>
          <w:lang w:eastAsia="es-CO"/>
        </w:rPr>
        <w:t>disregard</w:t>
      </w:r>
      <w:proofErr w:type="spellEnd"/>
      <w:r w:rsidRPr="00E65D8B">
        <w:rPr>
          <w:rFonts w:ascii="Verdana" w:hAnsi="Verdana" w:cs="Arial"/>
          <w:sz w:val="20"/>
          <w:szCs w:val="20"/>
          <w:lang w:eastAsia="es-CO"/>
        </w:rPr>
        <w:t xml:space="preserve"> o levantamiento del velo corporativo (Artículo 42), para los casos en que se </w:t>
      </w:r>
      <w:r w:rsidRPr="00E65D8B">
        <w:rPr>
          <w:rFonts w:ascii="Verdana" w:hAnsi="Verdana" w:cs="Arial"/>
          <w:sz w:val="20"/>
          <w:szCs w:val="20"/>
          <w:lang w:eastAsia="es-CO"/>
        </w:rPr>
        <w:lastRenderedPageBreak/>
        <w:t>utilice este tipo societario en fraude a la Ley o perjuicio de terceros, haciendo responder solidariamente a los accionistas y administradores que realicen, participen o faciliten los actos defraudatorios”.</w:t>
      </w:r>
      <w:r w:rsidRPr="00E65D8B">
        <w:rPr>
          <w:rStyle w:val="Refdenotaalpie"/>
          <w:rFonts w:ascii="Verdana" w:hAnsi="Verdana" w:cs="Arial"/>
          <w:sz w:val="20"/>
          <w:szCs w:val="20"/>
          <w:lang/>
        </w:rPr>
        <w:footnoteReference w:id="13"/>
      </w:r>
    </w:p>
    <w:p w14:paraId="127C280B" w14:textId="07A18A13" w:rsidR="00AA67A0" w:rsidRDefault="00AA67A0" w:rsidP="00AA67A0">
      <w:pPr>
        <w:spacing w:after="0" w:line="276" w:lineRule="auto"/>
        <w:ind w:firstLine="709"/>
        <w:jc w:val="both"/>
        <w:rPr>
          <w:rFonts w:ascii="Verdana" w:hAnsi="Verdana" w:cs="Arial"/>
          <w:lang/>
        </w:rPr>
      </w:pPr>
      <w:r>
        <w:rPr>
          <w:rFonts w:ascii="Verdana" w:hAnsi="Verdana" w:cs="Arial"/>
          <w:lang/>
        </w:rPr>
        <w:t xml:space="preserve">Adicional a lo anterior, es importante resaltar que </w:t>
      </w:r>
      <w:r w:rsidRPr="00647BD2">
        <w:rPr>
          <w:rFonts w:ascii="Verdana" w:hAnsi="Verdana" w:cs="Arial"/>
          <w:lang/>
        </w:rPr>
        <w:t>las normas que establecen prohibiciones o limitaciones, como es el caso del ar</w:t>
      </w:r>
      <w:r>
        <w:rPr>
          <w:rFonts w:ascii="Verdana" w:hAnsi="Verdana" w:cs="Arial"/>
          <w:lang/>
        </w:rPr>
        <w:t>t</w:t>
      </w:r>
      <w:r w:rsidRPr="00647BD2">
        <w:rPr>
          <w:rFonts w:ascii="Verdana" w:hAnsi="Verdana" w:cs="Arial"/>
          <w:lang/>
        </w:rPr>
        <w:t>ícul</w:t>
      </w:r>
      <w:r>
        <w:rPr>
          <w:rFonts w:ascii="Verdana" w:hAnsi="Verdana" w:cs="Arial"/>
          <w:lang/>
        </w:rPr>
        <w:t>o</w:t>
      </w:r>
      <w:r w:rsidRPr="00647BD2">
        <w:rPr>
          <w:rFonts w:ascii="Verdana" w:hAnsi="Verdana" w:cs="Arial"/>
          <w:lang/>
        </w:rPr>
        <w:t xml:space="preserve"> 75 de la </w:t>
      </w:r>
      <w:r>
        <w:rPr>
          <w:rFonts w:ascii="Verdana" w:hAnsi="Verdana" w:cs="Arial"/>
          <w:lang/>
        </w:rPr>
        <w:t xml:space="preserve">Ley 222 de 1995, </w:t>
      </w:r>
      <w:r w:rsidRPr="00647BD2">
        <w:rPr>
          <w:rFonts w:ascii="Verdana" w:hAnsi="Verdana" w:cs="Arial"/>
          <w:lang/>
        </w:rPr>
        <w:t>no pueden ser aplicadas por vía analógica.</w:t>
      </w:r>
      <w:r>
        <w:rPr>
          <w:rFonts w:ascii="Verdana" w:hAnsi="Verdana" w:cs="Arial"/>
          <w:lang/>
        </w:rPr>
        <w:t xml:space="preserve"> De esta forma, la prohibición que dispuso la normativa para las empresas unipersonales no puede ser aplicada de manera analógica al supuesto de los negocios jurídicos que celebren las Sociedades por Acciones Simplificadas con su único socio. En este sentido, el acuerdo que celebre una persona natural con la SAS de la cual es único socio y representante legal para la conformación de un consorcio no pueden considerarse per se inefi</w:t>
      </w:r>
      <w:r w:rsidR="00127127">
        <w:rPr>
          <w:rFonts w:ascii="Verdana" w:hAnsi="Verdana" w:cs="Arial"/>
          <w:lang/>
        </w:rPr>
        <w:t>c</w:t>
      </w:r>
      <w:r>
        <w:rPr>
          <w:rFonts w:ascii="Verdana" w:hAnsi="Verdana" w:cs="Arial"/>
          <w:lang/>
        </w:rPr>
        <w:t>az de pleno derecho, pues no existe norma que disponga esta consecuencia jurídica y dado que no es posible una aplicación extensiva del artículo 75</w:t>
      </w:r>
      <w:r w:rsidRPr="00B96361">
        <w:rPr>
          <w:rFonts w:ascii="Verdana" w:hAnsi="Verdana" w:cs="Arial"/>
          <w:lang/>
        </w:rPr>
        <w:t xml:space="preserve"> </w:t>
      </w:r>
      <w:r w:rsidRPr="00647BD2">
        <w:rPr>
          <w:rFonts w:ascii="Verdana" w:hAnsi="Verdana" w:cs="Arial"/>
          <w:lang/>
        </w:rPr>
        <w:t xml:space="preserve">de la </w:t>
      </w:r>
      <w:r>
        <w:rPr>
          <w:rFonts w:ascii="Verdana" w:hAnsi="Verdana" w:cs="Arial"/>
          <w:lang/>
        </w:rPr>
        <w:t xml:space="preserve">Ley 222 de 1995 a este supuesto de hecho. </w:t>
      </w:r>
    </w:p>
    <w:p w14:paraId="4018E9B7" w14:textId="77777777" w:rsidR="00AA67A0" w:rsidRDefault="00AA67A0" w:rsidP="00AA67A0">
      <w:pPr>
        <w:spacing w:after="0" w:line="276" w:lineRule="auto"/>
        <w:ind w:firstLine="709"/>
        <w:jc w:val="both"/>
        <w:rPr>
          <w:rFonts w:ascii="Verdana" w:hAnsi="Verdana" w:cs="Arial"/>
          <w:lang/>
        </w:rPr>
      </w:pPr>
    </w:p>
    <w:p w14:paraId="16CAE268" w14:textId="77777777" w:rsidR="00AA67A0" w:rsidRDefault="00AA67A0" w:rsidP="00AA67A0">
      <w:pPr>
        <w:spacing w:after="120" w:line="276" w:lineRule="auto"/>
        <w:jc w:val="both"/>
        <w:rPr>
          <w:rFonts w:ascii="Verdana" w:hAnsi="Verdana" w:cs="Arial"/>
          <w:lang/>
        </w:rPr>
      </w:pPr>
      <w:r>
        <w:rPr>
          <w:rFonts w:ascii="Verdana" w:hAnsi="Verdana" w:cs="Arial"/>
          <w:lang/>
        </w:rPr>
        <w:t xml:space="preserve">iii) </w:t>
      </w:r>
      <w:r w:rsidRPr="68E2F5DD">
        <w:rPr>
          <w:rFonts w:ascii="Verdana" w:eastAsia="Calibri" w:hAnsi="Verdana" w:cs="Arial"/>
          <w:lang w:val="es-ES" w:eastAsia="es-ES"/>
        </w:rPr>
        <w:t>La capacidad jurídica es la aptitud que recae en los sujeto</w:t>
      </w:r>
      <w:r>
        <w:rPr>
          <w:rFonts w:ascii="Verdana" w:eastAsia="Calibri" w:hAnsi="Verdana" w:cs="Arial"/>
          <w:lang w:val="es-ES" w:eastAsia="es-ES"/>
        </w:rPr>
        <w:t>s</w:t>
      </w:r>
      <w:r w:rsidRPr="68E2F5DD">
        <w:rPr>
          <w:rFonts w:ascii="Verdana" w:eastAsia="Calibri" w:hAnsi="Verdana" w:cs="Arial"/>
          <w:lang w:val="es-ES" w:eastAsia="es-ES"/>
        </w:rPr>
        <w:t xml:space="preserve"> activos o pasivos de las relaciones jurídicas</w:t>
      </w:r>
      <w:r w:rsidRPr="68E2F5DD">
        <w:rPr>
          <w:rFonts w:ascii="Verdana" w:eastAsia="Calibri" w:hAnsi="Verdana" w:cs="Arial"/>
          <w:vertAlign w:val="superscript"/>
          <w:lang w:val="es-ES" w:eastAsia="es-ES"/>
        </w:rPr>
        <w:footnoteReference w:id="14"/>
      </w:r>
      <w:r w:rsidRPr="68E2F5DD">
        <w:rPr>
          <w:rFonts w:ascii="Verdana" w:eastAsia="Calibri" w:hAnsi="Verdana" w:cs="Arial"/>
          <w:lang w:val="es-ES" w:eastAsia="es-ES"/>
        </w:rPr>
        <w:t xml:space="preserve">. Para efectos de las relaciones contractuales en las que uno de los extremos de la relación sea una Entidad Estatal, la capacidad jurídica es la facultad que tiene una persona natural o jurídica para celebrar contratos con una Entidad Estatal. En otras palabras, es i) la capacidad de obligarse a cumplir el objeto del contrato y </w:t>
      </w:r>
      <w:proofErr w:type="spellStart"/>
      <w:r w:rsidRPr="68E2F5DD">
        <w:rPr>
          <w:rFonts w:ascii="Verdana" w:eastAsia="Calibri" w:hAnsi="Verdana" w:cs="Arial"/>
          <w:lang w:val="es-ES" w:eastAsia="es-ES"/>
        </w:rPr>
        <w:t>ii</w:t>
      </w:r>
      <w:proofErr w:type="spellEnd"/>
      <w:r w:rsidRPr="68E2F5DD">
        <w:rPr>
          <w:rFonts w:ascii="Verdana" w:eastAsia="Calibri" w:hAnsi="Verdana" w:cs="Arial"/>
          <w:lang w:val="es-ES" w:eastAsia="es-ES"/>
        </w:rPr>
        <w:t>) de no estar incursa en inhabilidades o incompatibilidades que impidan la celebración del contrato.</w:t>
      </w:r>
    </w:p>
    <w:p w14:paraId="005C69DB" w14:textId="77777777" w:rsidR="00AA67A0" w:rsidRDefault="00AA67A0" w:rsidP="00AA67A0">
      <w:pPr>
        <w:spacing w:after="120" w:line="276" w:lineRule="auto"/>
        <w:ind w:firstLine="708"/>
        <w:jc w:val="both"/>
        <w:rPr>
          <w:rFonts w:ascii="Verdana" w:eastAsia="Times New Roman" w:hAnsi="Verdana" w:cs="Arial"/>
          <w:lang w:eastAsia="es-ES_tradnl"/>
        </w:rPr>
      </w:pPr>
      <w:r w:rsidRPr="00372D18">
        <w:rPr>
          <w:rFonts w:ascii="Verdana" w:eastAsia="Calibri" w:hAnsi="Verdana" w:cs="Arial"/>
          <w:lang w:val="es-ES_tradnl" w:eastAsia="es-ES_tradnl"/>
        </w:rPr>
        <w:t xml:space="preserve">Para efectos de la aplicación del </w:t>
      </w:r>
      <w:r>
        <w:rPr>
          <w:rFonts w:ascii="Verdana" w:eastAsia="Calibri" w:hAnsi="Verdana" w:cs="Arial"/>
          <w:lang w:val="es-ES_tradnl" w:eastAsia="es-ES_tradnl"/>
        </w:rPr>
        <w:t>Estatuto General de Contratación de la Administración Pública –en adelante</w:t>
      </w:r>
      <w:r w:rsidRPr="00372D18">
        <w:rPr>
          <w:rFonts w:ascii="Verdana" w:eastAsia="Calibri" w:hAnsi="Verdana" w:cs="Arial"/>
          <w:lang w:val="es-ES_tradnl" w:eastAsia="es-ES_tradnl"/>
        </w:rPr>
        <w:t xml:space="preserve"> EGCAP</w:t>
      </w:r>
      <w:r>
        <w:rPr>
          <w:rFonts w:ascii="Verdana" w:eastAsia="Calibri" w:hAnsi="Verdana" w:cs="Arial"/>
          <w:lang w:val="es-ES_tradnl" w:eastAsia="es-ES_tradnl"/>
        </w:rPr>
        <w:t>–</w:t>
      </w:r>
      <w:r w:rsidRPr="00372D18">
        <w:rPr>
          <w:rFonts w:ascii="Verdana" w:eastAsia="Calibri" w:hAnsi="Verdana" w:cs="Arial"/>
          <w:lang w:val="es-ES_tradnl" w:eastAsia="es-ES_tradnl"/>
        </w:rPr>
        <w:t>, la capacidad para contratar la tienen las personas consideradas legalmente capaces en las disposiciones vigentes</w:t>
      </w:r>
      <w:r w:rsidRPr="00372D18">
        <w:rPr>
          <w:rFonts w:ascii="Verdana" w:eastAsia="Calibri" w:hAnsi="Verdana" w:cs="Arial"/>
          <w:vertAlign w:val="superscript"/>
          <w:lang w:val="es-ES_tradnl" w:eastAsia="es-ES_tradnl"/>
        </w:rPr>
        <w:footnoteReference w:id="15"/>
      </w:r>
      <w:r w:rsidRPr="00372D18">
        <w:rPr>
          <w:rFonts w:ascii="Verdana" w:eastAsia="Times New Roman" w:hAnsi="Verdana" w:cs="Arial"/>
          <w:lang w:eastAsia="es-ES_tradnl"/>
        </w:rPr>
        <w:t>, así como otras formas asociativas. En efecto, el artículo 6 de la Ley 80 de 1993 establece que “</w:t>
      </w:r>
      <w:r>
        <w:rPr>
          <w:rFonts w:ascii="Verdana" w:eastAsia="Times New Roman" w:hAnsi="Verdana" w:cs="Arial"/>
          <w:lang w:eastAsia="es-ES_tradnl"/>
        </w:rPr>
        <w:t>P</w:t>
      </w:r>
      <w:r w:rsidRPr="00372D18">
        <w:rPr>
          <w:rFonts w:ascii="Verdana" w:eastAsia="Times New Roman" w:hAnsi="Verdana" w:cs="Arial"/>
          <w:lang w:eastAsia="es-ES_tradnl"/>
        </w:rPr>
        <w:t>ueden celebrar contratos con las entidades estatales las personas consideradas legalmente capaces en las disposiciones vigentes […]”, así como también dispone que podrán hacerlo “[…] los consorcios y uniones temporales”.</w:t>
      </w:r>
    </w:p>
    <w:p w14:paraId="7455A144" w14:textId="77777777" w:rsidR="00AA67A0" w:rsidRPr="00C23CEB" w:rsidRDefault="00AA67A0" w:rsidP="00AA67A0">
      <w:pPr>
        <w:snapToGrid w:val="0"/>
        <w:spacing w:after="120" w:line="276" w:lineRule="auto"/>
        <w:ind w:firstLine="708"/>
        <w:jc w:val="both"/>
        <w:rPr>
          <w:rFonts w:ascii="Verdana" w:eastAsia="Calibri" w:hAnsi="Verdana" w:cs="Arial"/>
          <w:color w:val="000000" w:themeColor="text1"/>
          <w:lang w:val="es-ES"/>
        </w:rPr>
      </w:pPr>
      <w:r>
        <w:rPr>
          <w:rFonts w:ascii="Verdana" w:eastAsia="Calibri" w:hAnsi="Verdana" w:cs="Arial"/>
          <w:color w:val="000000" w:themeColor="text1"/>
          <w:lang w:val="es-ES"/>
        </w:rPr>
        <w:lastRenderedPageBreak/>
        <w:t>En efecto, l</w:t>
      </w:r>
      <w:r w:rsidRPr="0C384551">
        <w:rPr>
          <w:rFonts w:ascii="Verdana" w:eastAsia="Calibri" w:hAnsi="Verdana" w:cs="Arial"/>
          <w:color w:val="000000" w:themeColor="text1"/>
          <w:lang w:val="es-ES"/>
        </w:rPr>
        <w:t xml:space="preserve">a </w:t>
      </w:r>
      <w:r w:rsidRPr="0C384551">
        <w:rPr>
          <w:rFonts w:ascii="Verdana" w:eastAsia="Calibri" w:hAnsi="Verdana" w:cs="Arial"/>
          <w:i/>
          <w:color w:val="000000" w:themeColor="text1"/>
          <w:lang w:val="es-ES"/>
        </w:rPr>
        <w:t>capacidad</w:t>
      </w:r>
      <w:r w:rsidRPr="0C384551">
        <w:rPr>
          <w:rFonts w:ascii="Verdana" w:eastAsia="Calibri" w:hAnsi="Verdana" w:cs="Arial"/>
          <w:color w:val="000000" w:themeColor="text1"/>
          <w:lang w:val="es-ES"/>
        </w:rPr>
        <w:t xml:space="preserve"> es un requisito de validez de los contratos en el régimen de las entidades sujetas al Estatuto General de Contratación de la Administración Pública</w:t>
      </w:r>
      <w:r w:rsidRPr="0C384551">
        <w:rPr>
          <w:rFonts w:ascii="Verdana" w:eastAsia="Calibri" w:hAnsi="Verdana" w:cs="Arial"/>
          <w:color w:val="000000" w:themeColor="text1"/>
          <w:vertAlign w:val="superscript"/>
          <w:lang w:val="es-ES"/>
        </w:rPr>
        <w:footnoteReference w:id="16"/>
      </w:r>
      <w:r w:rsidRPr="0C384551">
        <w:rPr>
          <w:rFonts w:ascii="Verdana" w:eastAsia="Calibri" w:hAnsi="Verdana" w:cs="Arial"/>
          <w:color w:val="000000" w:themeColor="text1"/>
          <w:lang w:val="es-ES"/>
        </w:rPr>
        <w:t xml:space="preserve"> </w:t>
      </w:r>
      <w:r>
        <w:rPr>
          <w:rFonts w:ascii="Verdana" w:eastAsia="Calibri" w:hAnsi="Verdana" w:cs="Arial"/>
          <w:color w:val="000000" w:themeColor="text1"/>
          <w:lang w:val="es-ES"/>
        </w:rPr>
        <w:t xml:space="preserve">y </w:t>
      </w:r>
      <w:r w:rsidRPr="0C384551">
        <w:rPr>
          <w:rFonts w:ascii="Verdana" w:eastAsia="Calibri" w:hAnsi="Verdana" w:cs="Arial"/>
          <w:color w:val="000000" w:themeColor="text1"/>
          <w:lang w:val="es-ES"/>
        </w:rPr>
        <w:t xml:space="preserve">en el de las entidades exceptuadas de </w:t>
      </w:r>
      <w:r>
        <w:rPr>
          <w:rFonts w:ascii="Verdana" w:eastAsia="Calibri" w:hAnsi="Verdana" w:cs="Arial"/>
          <w:color w:val="000000" w:themeColor="text1"/>
          <w:lang w:val="es-ES"/>
        </w:rPr>
        <w:t>este</w:t>
      </w:r>
      <w:r w:rsidRPr="0C384551">
        <w:rPr>
          <w:rFonts w:ascii="Verdana" w:eastAsia="Calibri" w:hAnsi="Verdana" w:cs="Arial"/>
          <w:color w:val="000000" w:themeColor="text1"/>
          <w:vertAlign w:val="superscript"/>
          <w:lang w:val="es-ES"/>
        </w:rPr>
        <w:footnoteReference w:id="17"/>
      </w:r>
      <w:r w:rsidRPr="0C384551">
        <w:rPr>
          <w:rFonts w:ascii="Verdana" w:eastAsia="Calibri" w:hAnsi="Verdana" w:cs="Arial"/>
          <w:color w:val="000000" w:themeColor="text1"/>
          <w:lang w:val="es-ES"/>
        </w:rPr>
        <w:t xml:space="preserve">. </w:t>
      </w:r>
      <w:r>
        <w:rPr>
          <w:rFonts w:ascii="Verdana" w:eastAsia="Calibri" w:hAnsi="Verdana" w:cs="Arial"/>
          <w:color w:val="000000" w:themeColor="text1"/>
          <w:lang w:val="es-ES"/>
        </w:rPr>
        <w:t>Varias disposiciones y exigencias especiales integran la regulación de la capacidad, como es el caso de</w:t>
      </w:r>
      <w:r w:rsidRPr="0C384551">
        <w:rPr>
          <w:rFonts w:ascii="Verdana" w:eastAsia="Calibri" w:hAnsi="Verdana" w:cs="Arial"/>
          <w:color w:val="000000" w:themeColor="text1"/>
          <w:lang w:val="es-ES"/>
        </w:rPr>
        <w:t>l requisito de inscribirse</w:t>
      </w:r>
      <w:r>
        <w:rPr>
          <w:rFonts w:ascii="Verdana" w:eastAsia="Calibri" w:hAnsi="Verdana" w:cs="Arial"/>
          <w:color w:val="000000" w:themeColor="text1"/>
          <w:lang w:val="es-ES"/>
        </w:rPr>
        <w:t xml:space="preserve"> </w:t>
      </w:r>
      <w:r w:rsidRPr="0C384551">
        <w:rPr>
          <w:rFonts w:ascii="Verdana" w:eastAsia="Calibri" w:hAnsi="Verdana" w:cs="Arial"/>
          <w:color w:val="000000" w:themeColor="text1"/>
          <w:lang w:val="es-ES"/>
        </w:rPr>
        <w:t xml:space="preserve">en el Registro Único de Proponentes (RUP), establecido en el artículo 6 de la Ley 1150 de 2007, </w:t>
      </w:r>
      <w:r>
        <w:rPr>
          <w:rFonts w:ascii="Verdana" w:eastAsia="Calibri" w:hAnsi="Verdana" w:cs="Arial"/>
          <w:color w:val="000000" w:themeColor="text1"/>
          <w:lang w:val="es-ES"/>
        </w:rPr>
        <w:t xml:space="preserve">así como </w:t>
      </w:r>
      <w:r w:rsidRPr="0C384551">
        <w:rPr>
          <w:rFonts w:ascii="Verdana" w:eastAsia="Calibri" w:hAnsi="Verdana" w:cs="Arial"/>
          <w:color w:val="000000" w:themeColor="text1"/>
          <w:lang w:val="es-ES"/>
        </w:rPr>
        <w:t>el régimen de inhabilidades e incompatibilidades</w:t>
      </w:r>
      <w:r>
        <w:rPr>
          <w:rFonts w:ascii="Verdana" w:eastAsia="Calibri" w:hAnsi="Verdana" w:cs="Arial"/>
          <w:color w:val="000000" w:themeColor="text1"/>
          <w:lang w:val="es-ES"/>
        </w:rPr>
        <w:t xml:space="preserve">. Este último se refiere al </w:t>
      </w:r>
      <w:r w:rsidRPr="0C384551">
        <w:rPr>
          <w:rFonts w:ascii="Verdana" w:eastAsia="Calibri" w:hAnsi="Verdana" w:cs="Arial"/>
          <w:color w:val="000000" w:themeColor="text1"/>
          <w:lang w:val="es-ES"/>
        </w:rPr>
        <w:t>conjunto de enunciados normativos que imponen restricciones para los sujetos que</w:t>
      </w:r>
      <w:r>
        <w:rPr>
          <w:rFonts w:ascii="Verdana" w:eastAsia="Calibri" w:hAnsi="Verdana" w:cs="Arial"/>
          <w:color w:val="000000" w:themeColor="text1"/>
          <w:lang w:val="es-ES"/>
        </w:rPr>
        <w:t xml:space="preserve"> </w:t>
      </w:r>
      <w:r w:rsidRPr="0C384551">
        <w:rPr>
          <w:rFonts w:ascii="Verdana" w:eastAsia="Calibri" w:hAnsi="Verdana" w:cs="Arial"/>
          <w:color w:val="000000" w:themeColor="text1"/>
          <w:lang w:val="es-ES"/>
        </w:rPr>
        <w:t>pretendan participar en los procedimientos de selección o celebrar contratos con las entidades estatales</w:t>
      </w:r>
      <w:r w:rsidRPr="0C384551">
        <w:rPr>
          <w:rFonts w:ascii="Verdana" w:eastAsia="Calibri" w:hAnsi="Verdana" w:cs="Arial"/>
          <w:color w:val="000000" w:themeColor="text1"/>
          <w:vertAlign w:val="superscript"/>
          <w:lang w:val="es-ES"/>
        </w:rPr>
        <w:footnoteReference w:id="18"/>
      </w:r>
      <w:r w:rsidRPr="0C384551">
        <w:rPr>
          <w:rFonts w:ascii="Verdana" w:eastAsia="Calibri" w:hAnsi="Verdana" w:cs="Arial"/>
          <w:color w:val="000000" w:themeColor="text1"/>
          <w:lang w:val="es-ES"/>
        </w:rPr>
        <w:t>.</w:t>
      </w:r>
    </w:p>
    <w:p w14:paraId="14189C14" w14:textId="77777777" w:rsidR="00AA67A0" w:rsidRDefault="00AA67A0" w:rsidP="00AA67A0">
      <w:pPr>
        <w:spacing w:after="120" w:line="276" w:lineRule="auto"/>
        <w:ind w:firstLine="709"/>
        <w:jc w:val="both"/>
        <w:rPr>
          <w:rFonts w:ascii="Verdana" w:eastAsia="Arial MT" w:hAnsi="Verdana" w:cs="Arial"/>
          <w:lang w:eastAsia="es-ES" w:bidi="es-ES"/>
        </w:rPr>
      </w:pPr>
      <w:r w:rsidRPr="0C384551">
        <w:rPr>
          <w:rFonts w:ascii="Verdana" w:eastAsia="Calibri" w:hAnsi="Verdana" w:cs="Arial"/>
          <w:color w:val="000000" w:themeColor="text1"/>
          <w:lang w:val="es-ES"/>
        </w:rPr>
        <w:t xml:space="preserve">Las </w:t>
      </w:r>
      <w:r w:rsidRPr="00605F5B">
        <w:rPr>
          <w:rFonts w:ascii="Verdana" w:eastAsia="Calibri" w:hAnsi="Verdana" w:cs="Arial"/>
          <w:i/>
          <w:iCs/>
          <w:color w:val="000000" w:themeColor="text1"/>
          <w:lang w:val="es-ES"/>
        </w:rPr>
        <w:t>inhabilidades</w:t>
      </w:r>
      <w:r w:rsidRPr="0C384551">
        <w:rPr>
          <w:rFonts w:ascii="Verdana" w:eastAsia="Calibri" w:hAnsi="Verdana" w:cs="Arial"/>
          <w:color w:val="000000" w:themeColor="text1"/>
          <w:lang w:val="es-ES"/>
        </w:rPr>
        <w:t xml:space="preserve"> son prohibiciones para concurrir a los procedimientos de selección y para contratar con el Estado que se derivan i) de la existencia de comportamientos reprochables o de sanciones anteriormente impuestas, </w:t>
      </w:r>
      <w:proofErr w:type="spellStart"/>
      <w:r w:rsidRPr="0C384551">
        <w:rPr>
          <w:rFonts w:ascii="Verdana" w:eastAsia="Calibri" w:hAnsi="Verdana" w:cs="Arial"/>
          <w:color w:val="000000" w:themeColor="text1"/>
          <w:lang w:val="es-ES"/>
        </w:rPr>
        <w:t>ii</w:t>
      </w:r>
      <w:proofErr w:type="spellEnd"/>
      <w:r w:rsidRPr="0C384551">
        <w:rPr>
          <w:rFonts w:ascii="Verdana" w:eastAsia="Calibri" w:hAnsi="Verdana" w:cs="Arial"/>
          <w:color w:val="000000" w:themeColor="text1"/>
          <w:lang w:val="es-ES"/>
        </w:rPr>
        <w:t>) de vínculos personales relativos al parentesco o al estado civil</w:t>
      </w:r>
      <w:r>
        <w:rPr>
          <w:rFonts w:ascii="Verdana" w:eastAsia="Calibri" w:hAnsi="Verdana" w:cs="Arial"/>
          <w:color w:val="000000" w:themeColor="text1"/>
          <w:lang w:val="es-ES"/>
        </w:rPr>
        <w:t>,</w:t>
      </w:r>
      <w:r w:rsidRPr="0C384551">
        <w:rPr>
          <w:rFonts w:ascii="Verdana" w:eastAsia="Calibri" w:hAnsi="Verdana" w:cs="Arial"/>
          <w:color w:val="000000" w:themeColor="text1"/>
          <w:lang w:val="es-ES"/>
        </w:rPr>
        <w:t xml:space="preserve"> o </w:t>
      </w:r>
      <w:proofErr w:type="spellStart"/>
      <w:r w:rsidRPr="0C384551">
        <w:rPr>
          <w:rFonts w:ascii="Verdana" w:eastAsia="Calibri" w:hAnsi="Verdana" w:cs="Arial"/>
          <w:color w:val="000000" w:themeColor="text1"/>
          <w:lang w:val="es-ES"/>
        </w:rPr>
        <w:t>iii</w:t>
      </w:r>
      <w:proofErr w:type="spellEnd"/>
      <w:r w:rsidRPr="0C384551">
        <w:rPr>
          <w:rFonts w:ascii="Verdana" w:eastAsia="Calibri" w:hAnsi="Verdana" w:cs="Arial"/>
          <w:color w:val="000000" w:themeColor="text1"/>
          <w:lang w:val="es-ES"/>
        </w:rPr>
        <w:t xml:space="preserve">) de una actividad u oficio que se desempeñó en el pasado. De otro lado, las </w:t>
      </w:r>
      <w:r w:rsidRPr="00605F5B">
        <w:rPr>
          <w:rFonts w:ascii="Verdana" w:eastAsia="Calibri" w:hAnsi="Verdana" w:cs="Arial"/>
          <w:i/>
          <w:iCs/>
          <w:color w:val="000000" w:themeColor="text1"/>
          <w:lang w:val="es-ES"/>
        </w:rPr>
        <w:t xml:space="preserve">incompatibilidades </w:t>
      </w:r>
      <w:r w:rsidRPr="0C384551">
        <w:rPr>
          <w:rFonts w:ascii="Verdana" w:eastAsia="Calibri" w:hAnsi="Verdana" w:cs="Arial"/>
          <w:color w:val="000000" w:themeColor="text1"/>
          <w:lang w:val="es-ES"/>
        </w:rPr>
        <w:lastRenderedPageBreak/>
        <w:t>son prohibiciones para participar en los procedimientos de selección y para celebrar contratos estatales, fundadas en</w:t>
      </w:r>
      <w:r>
        <w:rPr>
          <w:rFonts w:ascii="Verdana" w:eastAsia="Calibri" w:hAnsi="Verdana" w:cs="Arial"/>
          <w:color w:val="000000" w:themeColor="text1"/>
          <w:lang w:val="es-ES"/>
        </w:rPr>
        <w:t xml:space="preserve"> que </w:t>
      </w:r>
      <w:r w:rsidRPr="0C384551">
        <w:rPr>
          <w:rFonts w:ascii="Verdana" w:eastAsia="Calibri" w:hAnsi="Verdana" w:cs="Arial"/>
          <w:color w:val="000000" w:themeColor="text1"/>
          <w:lang w:val="es-ES"/>
        </w:rPr>
        <w:t xml:space="preserve">el sujeto interesado </w:t>
      </w:r>
      <w:r>
        <w:rPr>
          <w:rFonts w:ascii="Verdana" w:eastAsia="Calibri" w:hAnsi="Verdana" w:cs="Arial"/>
          <w:color w:val="000000" w:themeColor="text1"/>
          <w:lang w:val="es-ES"/>
        </w:rPr>
        <w:t xml:space="preserve">ostenta </w:t>
      </w:r>
      <w:r w:rsidRPr="0C384551">
        <w:rPr>
          <w:rFonts w:ascii="Verdana" w:eastAsia="Calibri" w:hAnsi="Verdana" w:cs="Arial"/>
          <w:color w:val="000000" w:themeColor="text1"/>
          <w:lang w:val="es-ES"/>
        </w:rPr>
        <w:t xml:space="preserve">una calidad que no puede coexistir con </w:t>
      </w:r>
      <w:r>
        <w:rPr>
          <w:rFonts w:ascii="Verdana" w:eastAsia="Calibri" w:hAnsi="Verdana" w:cs="Arial"/>
          <w:color w:val="000000" w:themeColor="text1"/>
          <w:lang w:val="es-ES"/>
        </w:rPr>
        <w:t xml:space="preserve">el carácter de </w:t>
      </w:r>
      <w:r w:rsidRPr="0C384551">
        <w:rPr>
          <w:rFonts w:ascii="Verdana" w:eastAsia="Calibri" w:hAnsi="Verdana" w:cs="Arial"/>
          <w:color w:val="000000" w:themeColor="text1"/>
          <w:lang w:val="es-ES"/>
        </w:rPr>
        <w:t>proponente o contratista del Estado.</w:t>
      </w:r>
      <w:r>
        <w:rPr>
          <w:rFonts w:ascii="Verdana" w:eastAsia="Calibri" w:hAnsi="Verdana" w:cs="Arial"/>
          <w:color w:val="000000" w:themeColor="text1"/>
          <w:lang w:val="es-ES"/>
        </w:rPr>
        <w:t xml:space="preserve"> </w:t>
      </w:r>
      <w:r w:rsidRPr="00C23CEB">
        <w:rPr>
          <w:rFonts w:ascii="Verdana" w:eastAsia="Arial MT" w:hAnsi="Verdana" w:cs="Arial"/>
          <w:lang w:eastAsia="es-ES" w:bidi="es-ES"/>
        </w:rPr>
        <w:t xml:space="preserve">Por su parte, las situaciones de </w:t>
      </w:r>
      <w:r w:rsidRPr="0093191F">
        <w:rPr>
          <w:rFonts w:ascii="Verdana" w:eastAsia="Arial MT" w:hAnsi="Verdana" w:cs="Arial"/>
          <w:i/>
          <w:iCs/>
          <w:lang w:eastAsia="es-ES" w:bidi="es-ES"/>
        </w:rPr>
        <w:t>conflicto de interés</w:t>
      </w:r>
      <w:r w:rsidRPr="00C23CEB">
        <w:rPr>
          <w:rFonts w:ascii="Verdana" w:eastAsia="Arial MT" w:hAnsi="Verdana" w:cs="Arial"/>
          <w:lang w:eastAsia="es-ES" w:bidi="es-ES"/>
        </w:rPr>
        <w:t xml:space="preserve"> suelen expresarse en prohibiciones, similar a lo que ocurre con las inhabilidades e incompatibilidades</w:t>
      </w:r>
      <w:r>
        <w:rPr>
          <w:rFonts w:ascii="Verdana" w:eastAsia="Arial MT" w:hAnsi="Verdana" w:cs="Arial"/>
          <w:lang w:eastAsia="es-ES" w:bidi="es-ES"/>
        </w:rPr>
        <w:t>. Estas se encuentran establecidas</w:t>
      </w:r>
      <w:r w:rsidRPr="00C23CEB">
        <w:rPr>
          <w:rFonts w:ascii="Verdana" w:eastAsia="Arial MT" w:hAnsi="Verdana" w:cs="Arial"/>
          <w:lang w:eastAsia="es-ES" w:bidi="es-ES"/>
        </w:rPr>
        <w:t xml:space="preserve"> en el pliego de condiciones y en la minuta del contrato</w:t>
      </w:r>
      <w:r>
        <w:rPr>
          <w:rFonts w:ascii="Verdana" w:eastAsia="Arial MT" w:hAnsi="Verdana" w:cs="Arial"/>
          <w:lang w:eastAsia="es-ES" w:bidi="es-ES"/>
        </w:rPr>
        <w:t>.</w:t>
      </w:r>
      <w:r w:rsidRPr="00C23CEB">
        <w:rPr>
          <w:rFonts w:ascii="Verdana" w:eastAsia="Arial MT" w:hAnsi="Verdana" w:cs="Arial"/>
          <w:lang w:eastAsia="es-ES" w:bidi="es-ES"/>
        </w:rPr>
        <w:t xml:space="preserve"> </w:t>
      </w:r>
    </w:p>
    <w:p w14:paraId="0F285C32" w14:textId="77777777" w:rsidR="00AA67A0" w:rsidRPr="0093191F" w:rsidRDefault="00AA67A0" w:rsidP="00AA67A0">
      <w:pPr>
        <w:spacing w:after="120" w:line="276" w:lineRule="auto"/>
        <w:ind w:firstLine="709"/>
        <w:jc w:val="both"/>
        <w:rPr>
          <w:rFonts w:ascii="Verdana" w:eastAsia="Calibri" w:hAnsi="Verdana" w:cs="Arial"/>
          <w:color w:val="000000" w:themeColor="text1"/>
          <w:lang w:val="es-ES"/>
        </w:rPr>
      </w:pPr>
      <w:r>
        <w:rPr>
          <w:rFonts w:ascii="Verdana" w:eastAsia="Arial MT" w:hAnsi="Verdana" w:cs="Arial"/>
          <w:lang w:eastAsia="es-ES" w:bidi="es-ES"/>
        </w:rPr>
        <w:t xml:space="preserve">La consagración de todas estas causales debe ser </w:t>
      </w:r>
      <w:r w:rsidRPr="00C23CEB">
        <w:rPr>
          <w:rFonts w:ascii="Verdana" w:eastAsia="Arial MT" w:hAnsi="Verdana" w:cs="Arial"/>
          <w:lang w:eastAsia="es-ES" w:bidi="es-ES"/>
        </w:rPr>
        <w:t>expresa y su interpretación restrictiva</w:t>
      </w:r>
      <w:r>
        <w:rPr>
          <w:rFonts w:ascii="Verdana" w:eastAsia="Arial MT" w:hAnsi="Verdana" w:cs="Arial"/>
          <w:lang w:eastAsia="es-ES" w:bidi="es-ES"/>
        </w:rPr>
        <w:t>.</w:t>
      </w:r>
      <w:r w:rsidRPr="00C23CEB">
        <w:rPr>
          <w:rFonts w:ascii="Verdana" w:eastAsia="Arial MT" w:hAnsi="Verdana" w:cs="Arial"/>
          <w:lang w:eastAsia="es-ES" w:bidi="es-ES"/>
        </w:rPr>
        <w:t xml:space="preserve"> </w:t>
      </w:r>
      <w:r>
        <w:rPr>
          <w:rFonts w:ascii="Verdana" w:eastAsia="Arial MT" w:hAnsi="Verdana" w:cs="Arial"/>
          <w:lang w:eastAsia="es-ES" w:bidi="es-ES"/>
        </w:rPr>
        <w:t>E</w:t>
      </w:r>
      <w:r w:rsidRPr="00C23CEB">
        <w:rPr>
          <w:rFonts w:ascii="Verdana" w:eastAsia="Arial MT" w:hAnsi="Verdana" w:cs="Arial"/>
          <w:lang w:eastAsia="es-ES" w:bidi="es-ES"/>
        </w:rPr>
        <w:t>n el caso de las inhabilidades e incompatibilidades</w:t>
      </w:r>
      <w:r>
        <w:rPr>
          <w:rFonts w:ascii="Verdana" w:eastAsia="Arial MT" w:hAnsi="Verdana" w:cs="Arial"/>
          <w:lang w:eastAsia="es-ES" w:bidi="es-ES"/>
        </w:rPr>
        <w:t xml:space="preserve">, su </w:t>
      </w:r>
      <w:r w:rsidRPr="00C23CEB">
        <w:rPr>
          <w:rFonts w:ascii="Verdana" w:eastAsia="Arial MT" w:hAnsi="Verdana" w:cs="Arial"/>
          <w:lang w:eastAsia="es-ES" w:bidi="es-ES"/>
        </w:rPr>
        <w:t xml:space="preserve">aplicación siempre debe estar ajustada a los presupuestos que para cada causal </w:t>
      </w:r>
      <w:r>
        <w:rPr>
          <w:rFonts w:ascii="Verdana" w:eastAsia="Arial MT" w:hAnsi="Verdana" w:cs="Arial"/>
          <w:lang w:eastAsia="es-ES" w:bidi="es-ES"/>
        </w:rPr>
        <w:t xml:space="preserve">señale </w:t>
      </w:r>
      <w:r w:rsidRPr="00C23CEB">
        <w:rPr>
          <w:rFonts w:ascii="Verdana" w:eastAsia="Arial MT" w:hAnsi="Verdana" w:cs="Arial"/>
          <w:lang w:eastAsia="es-ES" w:bidi="es-ES"/>
        </w:rPr>
        <w:t>el constituyente o el legislador</w:t>
      </w:r>
      <w:r>
        <w:rPr>
          <w:rFonts w:ascii="Verdana" w:eastAsia="Arial MT" w:hAnsi="Verdana" w:cs="Arial"/>
          <w:lang w:eastAsia="es-ES" w:bidi="es-ES"/>
        </w:rPr>
        <w:t xml:space="preserve">; en el caso de los conflictos de interés, la aplicación debe sujetarse a los presupuestos que señale la entidad contratante en los documentos referidos. De cualquier modo, no es </w:t>
      </w:r>
      <w:r w:rsidRPr="00C23CEB">
        <w:rPr>
          <w:rFonts w:ascii="Verdana" w:eastAsia="Arial MT" w:hAnsi="Verdana" w:cs="Arial"/>
          <w:lang w:eastAsia="es-ES" w:bidi="es-ES"/>
        </w:rPr>
        <w:t xml:space="preserve">posible </w:t>
      </w:r>
      <w:r>
        <w:rPr>
          <w:rFonts w:ascii="Verdana" w:eastAsia="Arial MT" w:hAnsi="Verdana" w:cs="Arial"/>
          <w:lang w:eastAsia="es-ES" w:bidi="es-ES"/>
        </w:rPr>
        <w:t xml:space="preserve">que las entidades realicen una </w:t>
      </w:r>
      <w:r w:rsidRPr="00C23CEB">
        <w:rPr>
          <w:rFonts w:ascii="Verdana" w:eastAsia="Arial MT" w:hAnsi="Verdana" w:cs="Arial"/>
          <w:lang w:eastAsia="es-ES" w:bidi="es-ES"/>
        </w:rPr>
        <w:t>aplicación extensiva o analógica.</w:t>
      </w:r>
      <w:r w:rsidRPr="00C23CEB">
        <w:rPr>
          <w:rFonts w:ascii="Verdana" w:hAnsi="Verdana" w:cs="Arial"/>
        </w:rPr>
        <w:t xml:space="preserve"> </w:t>
      </w:r>
    </w:p>
    <w:p w14:paraId="1A65B518" w14:textId="77777777" w:rsidR="00AA67A0" w:rsidRPr="00C23CEB" w:rsidRDefault="00AA67A0" w:rsidP="00AA67A0">
      <w:pPr>
        <w:spacing w:after="120" w:line="276" w:lineRule="auto"/>
        <w:ind w:firstLine="709"/>
        <w:jc w:val="both"/>
        <w:rPr>
          <w:rFonts w:ascii="Verdana" w:eastAsia="Calibri" w:hAnsi="Verdana" w:cs="Arial"/>
          <w:color w:val="000000" w:themeColor="text1"/>
          <w:lang w:val="es-ES"/>
        </w:rPr>
      </w:pPr>
      <w:r w:rsidRPr="0C384551">
        <w:rPr>
          <w:rFonts w:ascii="Verdana" w:eastAsia="Calibri" w:hAnsi="Verdana" w:cs="Arial"/>
          <w:color w:val="000000" w:themeColor="text1"/>
          <w:lang w:val="es-ES"/>
        </w:rPr>
        <w:t>El régimen de inhabilidades e incompatibilidades en la contratación pública responde a la tendencia</w:t>
      </w:r>
      <w:r>
        <w:rPr>
          <w:rFonts w:ascii="Verdana" w:eastAsia="Calibri" w:hAnsi="Verdana" w:cs="Arial"/>
          <w:color w:val="000000" w:themeColor="text1"/>
          <w:lang w:val="es-ES"/>
        </w:rPr>
        <w:t xml:space="preserve"> </w:t>
      </w:r>
      <w:r w:rsidRPr="0C384551">
        <w:rPr>
          <w:rFonts w:ascii="Verdana" w:eastAsia="Calibri" w:hAnsi="Verdana" w:cs="Arial"/>
          <w:color w:val="000000" w:themeColor="text1"/>
          <w:lang w:val="es-ES"/>
        </w:rPr>
        <w:t xml:space="preserve">de asegurar que la actividad de provisión de los bienes y servicios por parte de las entidades estatales se efectúe cumpliendo con los principios de la función administrativa y de la gestión fiscal, especialmente con probidad y transparencia. Es por ello </w:t>
      </w:r>
      <w:proofErr w:type="gramStart"/>
      <w:r w:rsidRPr="0C384551">
        <w:rPr>
          <w:rFonts w:ascii="Verdana" w:eastAsia="Calibri" w:hAnsi="Verdana" w:cs="Arial"/>
          <w:color w:val="000000" w:themeColor="text1"/>
          <w:lang w:val="es-ES"/>
        </w:rPr>
        <w:t>que</w:t>
      </w:r>
      <w:proofErr w:type="gramEnd"/>
      <w:r>
        <w:rPr>
          <w:rFonts w:ascii="Verdana" w:eastAsia="Calibri" w:hAnsi="Verdana" w:cs="Arial"/>
          <w:color w:val="000000" w:themeColor="text1"/>
          <w:lang w:val="es-ES"/>
        </w:rPr>
        <w:t xml:space="preserve"> </w:t>
      </w:r>
      <w:r w:rsidRPr="0C384551">
        <w:rPr>
          <w:rFonts w:ascii="Verdana" w:eastAsia="Calibri" w:hAnsi="Verdana" w:cs="Arial"/>
          <w:color w:val="000000" w:themeColor="text1"/>
          <w:lang w:val="es-ES"/>
        </w:rPr>
        <w:t>las inhabilidades e incompatibilidades se han convertido en herramientas en la lucha contra la corrupción, adoptando paulatinamente un cariz sancionatorio o “</w:t>
      </w:r>
      <w:proofErr w:type="spellStart"/>
      <w:r w:rsidRPr="0C384551">
        <w:rPr>
          <w:rFonts w:ascii="Verdana" w:eastAsia="Calibri" w:hAnsi="Verdana" w:cs="Arial"/>
          <w:color w:val="000000" w:themeColor="text1"/>
          <w:lang w:val="es-ES"/>
        </w:rPr>
        <w:t>neopunitivo</w:t>
      </w:r>
      <w:proofErr w:type="spellEnd"/>
      <w:r w:rsidRPr="0C384551">
        <w:rPr>
          <w:rFonts w:ascii="Verdana" w:eastAsia="Calibri" w:hAnsi="Verdana" w:cs="Arial"/>
          <w:color w:val="000000" w:themeColor="text1"/>
          <w:lang w:val="es-ES"/>
        </w:rPr>
        <w:t>”</w:t>
      </w:r>
      <w:r w:rsidRPr="0C384551">
        <w:rPr>
          <w:rFonts w:ascii="Verdana" w:eastAsia="Calibri" w:hAnsi="Verdana" w:cs="Arial"/>
          <w:color w:val="000000" w:themeColor="text1"/>
          <w:vertAlign w:val="superscript"/>
          <w:lang w:val="es-ES"/>
        </w:rPr>
        <w:footnoteReference w:id="19"/>
      </w:r>
      <w:r w:rsidRPr="0C384551">
        <w:rPr>
          <w:rFonts w:ascii="Verdana" w:eastAsia="Calibri" w:hAnsi="Verdana" w:cs="Arial"/>
          <w:color w:val="000000" w:themeColor="text1"/>
          <w:lang w:val="es-ES"/>
        </w:rPr>
        <w:t>. Si bien no todas las causales de inhabilidad y de incompatibilidad son consecuencia de una medida de reproche ni de una sanción previa, como ya se explicó, es indiscutible que en los años más recientes los hechos de corrupción han generado, como respuesta del legislador, un incremento de las restricciones a la capacidad contractual, dirigidas a prevenir este tipo de situaciones o a sancionar tales conductas.</w:t>
      </w:r>
    </w:p>
    <w:p w14:paraId="4AE125C5" w14:textId="77777777" w:rsidR="00AA67A0" w:rsidRPr="00C23CEB" w:rsidRDefault="00AA67A0" w:rsidP="00AA67A0">
      <w:pPr>
        <w:spacing w:after="120" w:line="276" w:lineRule="auto"/>
        <w:ind w:firstLine="709"/>
        <w:jc w:val="both"/>
        <w:rPr>
          <w:rFonts w:ascii="Verdana" w:eastAsia="Calibri" w:hAnsi="Verdana" w:cs="Arial"/>
          <w:color w:val="000000" w:themeColor="text1"/>
          <w:lang w:val="es-ES_tradnl"/>
        </w:rPr>
      </w:pPr>
      <w:r w:rsidRPr="00C23CEB">
        <w:rPr>
          <w:rFonts w:ascii="Verdana" w:eastAsia="Calibri" w:hAnsi="Verdana" w:cs="Arial"/>
          <w:color w:val="000000" w:themeColor="text1"/>
          <w:lang w:val="es-ES_tradnl"/>
        </w:rPr>
        <w:t>Ahora bien, las inhabilidades e incompatibilidades</w:t>
      </w:r>
      <w:r>
        <w:rPr>
          <w:rFonts w:ascii="Verdana" w:eastAsia="Calibri" w:hAnsi="Verdana" w:cs="Arial"/>
          <w:color w:val="000000" w:themeColor="text1"/>
          <w:lang w:val="es-ES_tradnl"/>
        </w:rPr>
        <w:t xml:space="preserve"> son </w:t>
      </w:r>
      <w:r w:rsidRPr="00C23CEB">
        <w:rPr>
          <w:rFonts w:ascii="Verdana" w:eastAsia="Calibri" w:hAnsi="Verdana" w:cs="Arial"/>
          <w:color w:val="000000" w:themeColor="text1"/>
          <w:lang w:val="es-ES_tradnl"/>
        </w:rPr>
        <w:t>restricciones o límites especiales a la capacidad para presentar ofertas y celebrar contratos estatales</w:t>
      </w:r>
      <w:r>
        <w:rPr>
          <w:rFonts w:ascii="Verdana" w:eastAsia="Calibri" w:hAnsi="Verdana" w:cs="Arial"/>
          <w:color w:val="000000" w:themeColor="text1"/>
          <w:lang w:val="es-ES_tradnl"/>
        </w:rPr>
        <w:t>. En consecuencia,</w:t>
      </w:r>
      <w:r w:rsidRPr="00C23CEB">
        <w:rPr>
          <w:rFonts w:ascii="Verdana" w:eastAsia="Calibri" w:hAnsi="Verdana" w:cs="Arial"/>
          <w:color w:val="000000" w:themeColor="text1"/>
          <w:lang w:val="es-ES_tradnl"/>
        </w:rPr>
        <w:t xml:space="preserve"> solo pueden tipificarse en la ley –o sea, deben satisfacer el principio de legalidad– y su interpretación debe ser </w:t>
      </w:r>
      <w:r w:rsidRPr="00C23CEB">
        <w:rPr>
          <w:rFonts w:ascii="Verdana" w:eastAsia="Calibri" w:hAnsi="Verdana" w:cs="Arial"/>
          <w:i/>
          <w:iCs/>
          <w:color w:val="000000" w:themeColor="text1"/>
          <w:lang w:val="es-ES_tradnl"/>
        </w:rPr>
        <w:t>restrictiva</w:t>
      </w:r>
      <w:r w:rsidRPr="00C23CEB">
        <w:rPr>
          <w:rFonts w:ascii="Verdana" w:eastAsia="Calibri" w:hAnsi="Verdana" w:cs="Arial"/>
          <w:color w:val="000000" w:themeColor="text1"/>
          <w:vertAlign w:val="superscript"/>
          <w:lang w:val="es-ES_tradnl"/>
        </w:rPr>
        <w:footnoteReference w:id="20"/>
      </w:r>
      <w:r w:rsidRPr="00C23CEB">
        <w:rPr>
          <w:rFonts w:ascii="Verdana" w:eastAsia="Calibri" w:hAnsi="Verdana" w:cs="Arial"/>
          <w:color w:val="000000" w:themeColor="text1"/>
          <w:lang w:val="es-ES_tradnl"/>
        </w:rPr>
        <w:t xml:space="preserve">, pues si se admitiera una interpretación amplia, extensiva o finalista de las mismas, </w:t>
      </w:r>
      <w:r>
        <w:rPr>
          <w:rFonts w:ascii="Verdana" w:eastAsia="Calibri" w:hAnsi="Verdana" w:cs="Arial"/>
          <w:color w:val="000000" w:themeColor="text1"/>
          <w:lang w:val="es-ES_tradnl"/>
        </w:rPr>
        <w:t xml:space="preserve">los </w:t>
      </w:r>
      <w:r w:rsidRPr="00C23CEB">
        <w:rPr>
          <w:rFonts w:ascii="Verdana" w:eastAsia="Calibri" w:hAnsi="Verdana" w:cs="Arial"/>
          <w:color w:val="000000" w:themeColor="text1"/>
          <w:lang w:val="es-ES_tradnl"/>
        </w:rPr>
        <w:t xml:space="preserve">enunciados normativos podrían contemplar múltiples supuestos </w:t>
      </w:r>
      <w:r w:rsidRPr="00C23CEB">
        <w:rPr>
          <w:rFonts w:ascii="Verdana" w:eastAsia="Calibri" w:hAnsi="Verdana" w:cs="Arial"/>
          <w:color w:val="000000" w:themeColor="text1"/>
          <w:lang w:val="es-ES_tradnl"/>
        </w:rPr>
        <w:lastRenderedPageBreak/>
        <w:t xml:space="preserve">indeterminados, según el parecer o el sentido común de los operadores jurídicos, poniendo en riesgo principios como la igualdad, el debido proceso, la libre concurrencia y el ejercicio de la profesión u oficio. </w:t>
      </w:r>
      <w:r>
        <w:rPr>
          <w:rFonts w:ascii="Verdana" w:eastAsia="Calibri" w:hAnsi="Verdana" w:cs="Arial"/>
          <w:color w:val="000000" w:themeColor="text1"/>
          <w:lang w:val="es-ES_tradnl"/>
        </w:rPr>
        <w:t xml:space="preserve">Esta </w:t>
      </w:r>
      <w:r w:rsidRPr="00C23CEB">
        <w:rPr>
          <w:rFonts w:ascii="Verdana" w:eastAsia="Calibri" w:hAnsi="Verdana" w:cs="Arial"/>
          <w:color w:val="000000" w:themeColor="text1"/>
          <w:lang w:val="es-ES_tradnl"/>
        </w:rPr>
        <w:t xml:space="preserve">ha sido la postura al interior de la jurisprudencia, tanto de la Corte Constitucional como de la Sección Tercera del Consejo de Estado. </w:t>
      </w:r>
    </w:p>
    <w:p w14:paraId="3A72DE6B" w14:textId="77777777" w:rsidR="00AA67A0" w:rsidRPr="00C23CEB" w:rsidRDefault="00AA67A0" w:rsidP="00AA67A0">
      <w:pPr>
        <w:spacing w:after="0" w:line="276" w:lineRule="auto"/>
        <w:ind w:firstLine="709"/>
        <w:jc w:val="both"/>
        <w:rPr>
          <w:rFonts w:ascii="Verdana" w:eastAsia="Calibri" w:hAnsi="Verdana" w:cs="Arial"/>
          <w:color w:val="000000" w:themeColor="text1"/>
          <w:lang w:val="es-ES_tradnl"/>
        </w:rPr>
      </w:pPr>
      <w:r w:rsidRPr="00C23CEB">
        <w:rPr>
          <w:rFonts w:ascii="Verdana" w:eastAsia="Calibri" w:hAnsi="Verdana" w:cs="Arial"/>
          <w:color w:val="000000" w:themeColor="text1"/>
          <w:lang w:val="es-ES_tradnl"/>
        </w:rPr>
        <w:t>En efecto, el máximo tribunal constitucional ha indicado que, al tratar de precisar el sentido de este tipo de normas, “[…]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r w:rsidRPr="00C23CEB">
        <w:rPr>
          <w:rFonts w:ascii="Verdana" w:eastAsia="Calibri" w:hAnsi="Verdana" w:cs="Arial"/>
          <w:color w:val="000000" w:themeColor="text1"/>
          <w:vertAlign w:val="superscript"/>
          <w:lang w:val="es-ES_tradnl"/>
        </w:rPr>
        <w:footnoteReference w:id="21"/>
      </w:r>
      <w:r w:rsidRPr="00C23CEB">
        <w:rPr>
          <w:rFonts w:ascii="Verdana" w:eastAsia="Calibri" w:hAnsi="Verdana" w:cs="Arial"/>
          <w:color w:val="000000" w:themeColor="text1"/>
          <w:lang w:val="es-ES_tradnl"/>
        </w:rPr>
        <w:t>. Por su parte, el Consejo de Estado ha acogido también este criterio, considerando –como expresa la Sala de Consulta y Servicio Civil–, que “La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w:t>
      </w:r>
      <w:r>
        <w:rPr>
          <w:rFonts w:ascii="Verdana" w:eastAsia="Calibri" w:hAnsi="Verdana" w:cs="Arial"/>
          <w:color w:val="000000" w:themeColor="text1"/>
          <w:lang w:val="es-ES_tradnl"/>
        </w:rPr>
        <w:t>,</w:t>
      </w:r>
      <w:r w:rsidRPr="00C23CEB">
        <w:rPr>
          <w:rFonts w:ascii="Verdana" w:eastAsia="Calibri" w:hAnsi="Verdana" w:cs="Arial"/>
          <w:color w:val="000000" w:themeColor="text1"/>
          <w:lang w:val="es-ES_tradnl"/>
        </w:rPr>
        <w:t xml:space="preserve"> lo que se traduce en que pueden hacer todo aquello que no les esté expresamente prohibido”</w:t>
      </w:r>
      <w:r w:rsidRPr="00C23CEB">
        <w:rPr>
          <w:rFonts w:ascii="Verdana" w:eastAsia="Calibri" w:hAnsi="Verdana" w:cs="Arial"/>
          <w:color w:val="000000" w:themeColor="text1"/>
          <w:vertAlign w:val="superscript"/>
          <w:lang w:val="es-ES_tradnl"/>
        </w:rPr>
        <w:footnoteReference w:id="22"/>
      </w:r>
      <w:r w:rsidRPr="00C23CEB">
        <w:rPr>
          <w:rFonts w:ascii="Verdana" w:eastAsia="Calibri" w:hAnsi="Verdana" w:cs="Arial"/>
          <w:color w:val="000000" w:themeColor="text1"/>
          <w:lang w:val="es-ES_tradnl"/>
        </w:rPr>
        <w:t>. En tal sentido, la Sección Tercera ha señalado que:</w:t>
      </w:r>
    </w:p>
    <w:p w14:paraId="63CB7F44" w14:textId="77777777" w:rsidR="00AA67A0" w:rsidRPr="00C23CEB" w:rsidRDefault="00AA67A0" w:rsidP="00AA67A0">
      <w:pPr>
        <w:spacing w:after="0" w:line="276" w:lineRule="auto"/>
        <w:ind w:firstLine="709"/>
        <w:jc w:val="both"/>
        <w:rPr>
          <w:rFonts w:ascii="Verdana" w:eastAsia="Calibri" w:hAnsi="Verdana" w:cs="Arial"/>
          <w:color w:val="000000" w:themeColor="text1"/>
          <w:lang w:val="es-ES_tradnl"/>
        </w:rPr>
      </w:pPr>
    </w:p>
    <w:p w14:paraId="10DE5016" w14:textId="77777777" w:rsidR="00AA67A0" w:rsidRPr="00C23CEB" w:rsidRDefault="00AA67A0" w:rsidP="00AA67A0">
      <w:pPr>
        <w:spacing w:after="0" w:line="240" w:lineRule="auto"/>
        <w:ind w:left="709" w:right="709"/>
        <w:jc w:val="both"/>
        <w:rPr>
          <w:rFonts w:ascii="Verdana" w:hAnsi="Verdana" w:cs="Arial"/>
          <w:color w:val="000000" w:themeColor="text1"/>
          <w:sz w:val="20"/>
          <w:szCs w:val="20"/>
          <w:lang w:val="es-ES_tradnl"/>
        </w:rPr>
      </w:pPr>
      <w:r w:rsidRPr="00C23CEB">
        <w:rPr>
          <w:rFonts w:ascii="Verdana" w:hAnsi="Verdana" w:cs="Arial"/>
          <w:color w:val="000000" w:themeColor="text1"/>
          <w:sz w:val="20"/>
          <w:szCs w:val="20"/>
          <w:lang w:val="es-ES_tradnl"/>
        </w:rPr>
        <w:t>“[…] de conformidad con la jurisprudencia uniforme y reiterada de esta Corporación, la aplicación de las normas que contemplan inhabilidades e incompatibilidades, como en general de todas aquellas que comportan prohibiciones o limitaciones, deben responder a una interpretación restrictiva que no permite su extensión, por vía de la figura de la analogía, a supuestos no contemplados por el ordenamiento”</w:t>
      </w:r>
      <w:r w:rsidRPr="00C23CEB">
        <w:rPr>
          <w:rFonts w:ascii="Verdana" w:hAnsi="Verdana" w:cs="Arial"/>
          <w:color w:val="000000" w:themeColor="text1"/>
          <w:sz w:val="20"/>
          <w:szCs w:val="20"/>
          <w:vertAlign w:val="superscript"/>
          <w:lang w:val="es-ES_tradnl"/>
        </w:rPr>
        <w:footnoteReference w:id="23"/>
      </w:r>
      <w:r w:rsidRPr="00C23CEB">
        <w:rPr>
          <w:rFonts w:ascii="Verdana" w:hAnsi="Verdana" w:cs="Arial"/>
          <w:color w:val="000000" w:themeColor="text1"/>
          <w:sz w:val="20"/>
          <w:szCs w:val="20"/>
          <w:lang w:val="es-ES_tradnl"/>
        </w:rPr>
        <w:t>.</w:t>
      </w:r>
    </w:p>
    <w:p w14:paraId="3BB3238D" w14:textId="77777777" w:rsidR="00AA67A0" w:rsidRPr="00C23CEB" w:rsidRDefault="00AA67A0" w:rsidP="00AA67A0">
      <w:pPr>
        <w:spacing w:after="0" w:line="240" w:lineRule="auto"/>
        <w:ind w:left="709" w:right="709"/>
        <w:jc w:val="both"/>
        <w:rPr>
          <w:rFonts w:ascii="Verdana" w:hAnsi="Verdana" w:cs="Arial"/>
          <w:bCs/>
          <w:color w:val="000000" w:themeColor="text1"/>
          <w:sz w:val="20"/>
          <w:szCs w:val="20"/>
          <w:lang w:val="es-ES_tradnl"/>
        </w:rPr>
      </w:pPr>
    </w:p>
    <w:p w14:paraId="62679D9B" w14:textId="77777777" w:rsidR="00AA67A0" w:rsidRPr="002B401F" w:rsidRDefault="00AA67A0" w:rsidP="00AA67A0">
      <w:pPr>
        <w:spacing w:after="0" w:line="240" w:lineRule="auto"/>
        <w:ind w:firstLine="709"/>
        <w:jc w:val="both"/>
        <w:rPr>
          <w:rFonts w:ascii="Verdana" w:eastAsia="Calibri" w:hAnsi="Verdana" w:cs="Arial"/>
          <w:color w:val="000000" w:themeColor="text1"/>
          <w:lang w:val="es-ES"/>
        </w:rPr>
      </w:pPr>
      <w:r w:rsidRPr="002B401F">
        <w:rPr>
          <w:rFonts w:ascii="Verdana" w:eastAsia="Calibri" w:hAnsi="Verdana" w:cs="Arial"/>
          <w:color w:val="000000" w:themeColor="text1"/>
          <w:lang w:val="es-ES"/>
        </w:rPr>
        <w:t>También ha dicho que:</w:t>
      </w:r>
    </w:p>
    <w:p w14:paraId="3C1624CA" w14:textId="77777777" w:rsidR="00AA67A0" w:rsidRPr="00C23CEB" w:rsidRDefault="00AA67A0" w:rsidP="00AA67A0">
      <w:pPr>
        <w:spacing w:after="0" w:line="240" w:lineRule="auto"/>
        <w:jc w:val="both"/>
        <w:rPr>
          <w:rFonts w:ascii="Verdana" w:eastAsia="Calibri" w:hAnsi="Verdana" w:cs="Arial"/>
          <w:color w:val="000000" w:themeColor="text1"/>
          <w:sz w:val="20"/>
          <w:szCs w:val="20"/>
          <w:lang w:val="es-ES_tradnl"/>
        </w:rPr>
      </w:pPr>
    </w:p>
    <w:p w14:paraId="388E3F49" w14:textId="77777777" w:rsidR="00AA67A0" w:rsidRPr="00C23CEB" w:rsidRDefault="00AA67A0" w:rsidP="00AA67A0">
      <w:pPr>
        <w:spacing w:after="0" w:line="240" w:lineRule="auto"/>
        <w:ind w:left="709" w:right="709"/>
        <w:jc w:val="both"/>
        <w:rPr>
          <w:rFonts w:ascii="Verdana" w:hAnsi="Verdana" w:cs="Arial"/>
          <w:color w:val="000000" w:themeColor="text1"/>
          <w:sz w:val="20"/>
          <w:szCs w:val="20"/>
          <w:lang w:val="es-ES"/>
        </w:rPr>
      </w:pPr>
      <w:r w:rsidRPr="0C384551">
        <w:rPr>
          <w:rFonts w:ascii="Verdana" w:hAnsi="Verdana" w:cs="Arial"/>
          <w:color w:val="000000" w:themeColor="text1"/>
          <w:sz w:val="20"/>
          <w:szCs w:val="20"/>
          <w:lang w:val="es-ES"/>
        </w:rPr>
        <w:t xml:space="preserve">“[…] la aplicación de estos preceptos exige una interpretación restrictiva, dado que según el principio hermenéutico </w:t>
      </w:r>
      <w:r w:rsidRPr="0C384551">
        <w:rPr>
          <w:rFonts w:ascii="Verdana" w:hAnsi="Verdana" w:cs="Arial"/>
          <w:i/>
          <w:color w:val="000000" w:themeColor="text1"/>
          <w:sz w:val="20"/>
          <w:szCs w:val="20"/>
          <w:lang w:val="es-ES"/>
        </w:rPr>
        <w:t xml:space="preserve">pro </w:t>
      </w:r>
      <w:proofErr w:type="spellStart"/>
      <w:r w:rsidRPr="0C384551">
        <w:rPr>
          <w:rFonts w:ascii="Verdana" w:hAnsi="Verdana" w:cs="Arial"/>
          <w:i/>
          <w:color w:val="000000" w:themeColor="text1"/>
          <w:sz w:val="20"/>
          <w:szCs w:val="20"/>
          <w:lang w:val="es-ES"/>
        </w:rPr>
        <w:t>libertate</w:t>
      </w:r>
      <w:proofErr w:type="spellEnd"/>
      <w:r w:rsidRPr="0C384551">
        <w:rPr>
          <w:rFonts w:ascii="Verdana" w:hAnsi="Verdana" w:cs="Arial"/>
          <w:color w:val="000000" w:themeColor="text1"/>
          <w:sz w:val="20"/>
          <w:szCs w:val="20"/>
          <w:lang w:val="es-ES"/>
        </w:rPr>
        <w:t xml:space="preserve">, entre varias interpretaciones posibles de una norma que regula una inhabilidad, debe preferirse aquella que menos limita el derecho de las personas; en otros </w:t>
      </w:r>
      <w:r w:rsidRPr="0C384551">
        <w:rPr>
          <w:rFonts w:ascii="Verdana" w:hAnsi="Verdana" w:cs="Arial"/>
          <w:color w:val="000000" w:themeColor="text1"/>
          <w:sz w:val="20"/>
          <w:szCs w:val="20"/>
          <w:lang w:val="es-ES"/>
        </w:rPr>
        <w:lastRenderedPageBreak/>
        <w:t>términos, se encuentra prohibida constitucionalmente la interpretación extensiva de las causales de inhabilidad, toda vez que las palabras de la ley son la frontera que no se puede traspasar en el ejercicio hermenéutico de las mismas, pues de hacerlo se vulnerarían los derechos fundamentales al debido proceso (art. 29 CN) y a la igualdad (art. 13 Ibid.); […]”</w:t>
      </w:r>
      <w:r w:rsidRPr="0C384551">
        <w:rPr>
          <w:rFonts w:ascii="Verdana" w:hAnsi="Verdana" w:cs="Arial"/>
          <w:color w:val="000000" w:themeColor="text1"/>
          <w:sz w:val="20"/>
          <w:szCs w:val="20"/>
          <w:vertAlign w:val="superscript"/>
          <w:lang w:val="es-ES"/>
        </w:rPr>
        <w:footnoteReference w:id="24"/>
      </w:r>
      <w:r w:rsidRPr="0C384551">
        <w:rPr>
          <w:rFonts w:ascii="Verdana" w:hAnsi="Verdana" w:cs="Arial"/>
          <w:color w:val="000000" w:themeColor="text1"/>
          <w:sz w:val="20"/>
          <w:szCs w:val="20"/>
          <w:lang w:val="es-ES"/>
        </w:rPr>
        <w:t>.</w:t>
      </w:r>
    </w:p>
    <w:p w14:paraId="441EAE8F" w14:textId="77777777" w:rsidR="00AA67A0" w:rsidRPr="00C23CEB" w:rsidRDefault="00AA67A0" w:rsidP="00AA67A0">
      <w:pPr>
        <w:spacing w:after="0" w:line="276" w:lineRule="auto"/>
        <w:ind w:left="709" w:right="709"/>
        <w:jc w:val="both"/>
        <w:rPr>
          <w:rFonts w:ascii="Verdana" w:hAnsi="Verdana" w:cs="Arial"/>
          <w:color w:val="000000" w:themeColor="text1"/>
          <w:lang w:val="es-ES_tradnl"/>
        </w:rPr>
      </w:pPr>
    </w:p>
    <w:p w14:paraId="681B7206" w14:textId="77777777" w:rsidR="00AA67A0" w:rsidRDefault="00AA67A0" w:rsidP="00AA67A0">
      <w:pPr>
        <w:spacing w:after="0" w:line="276" w:lineRule="auto"/>
        <w:ind w:firstLine="709"/>
        <w:jc w:val="both"/>
        <w:rPr>
          <w:rFonts w:ascii="Verdana" w:eastAsia="Calibri" w:hAnsi="Verdana" w:cs="Arial"/>
          <w:color w:val="000000" w:themeColor="text1"/>
          <w:lang w:val="es-ES"/>
        </w:rPr>
      </w:pPr>
      <w:r w:rsidRPr="0C384551">
        <w:rPr>
          <w:rFonts w:ascii="Verdana" w:eastAsia="Calibri" w:hAnsi="Verdana" w:cs="Arial"/>
          <w:color w:val="000000" w:themeColor="text1"/>
          <w:lang w:val="es-ES"/>
        </w:rPr>
        <w:t xml:space="preserve">Como se aprecia, el principio </w:t>
      </w:r>
      <w:r w:rsidRPr="0C384551">
        <w:rPr>
          <w:rFonts w:ascii="Verdana" w:eastAsia="Calibri" w:hAnsi="Verdana" w:cs="Arial"/>
          <w:i/>
          <w:color w:val="000000" w:themeColor="text1"/>
          <w:lang w:val="es-ES"/>
        </w:rPr>
        <w:t xml:space="preserve">pro </w:t>
      </w:r>
      <w:proofErr w:type="spellStart"/>
      <w:r w:rsidRPr="0C384551">
        <w:rPr>
          <w:rFonts w:ascii="Verdana" w:eastAsia="Calibri" w:hAnsi="Verdana" w:cs="Arial"/>
          <w:i/>
          <w:color w:val="000000" w:themeColor="text1"/>
          <w:lang w:val="es-ES"/>
        </w:rPr>
        <w:t>libertate</w:t>
      </w:r>
      <w:proofErr w:type="spellEnd"/>
      <w:r w:rsidRPr="0C384551">
        <w:rPr>
          <w:rFonts w:ascii="Verdana" w:eastAsia="Calibri" w:hAnsi="Verdana" w:cs="Arial"/>
          <w:color w:val="000000" w:themeColor="text1"/>
          <w:lang w:val="es-ES"/>
        </w:rPr>
        <w:t xml:space="preserve"> debe dirigir la interpretación de las disposiciones normativas que consagran restricciones de derechos, como sucede con las causales de inhabilidad e incompatibilidad en la contratación estatal.</w:t>
      </w:r>
      <w:r>
        <w:rPr>
          <w:rFonts w:ascii="Verdana" w:eastAsia="Calibri" w:hAnsi="Verdana" w:cs="Arial"/>
          <w:color w:val="000000" w:themeColor="text1"/>
          <w:lang w:val="es-ES"/>
        </w:rPr>
        <w:t xml:space="preserve"> De esta forma, dado que el régimen de inhabilidades e incompatibilidades no se refirió al supuesto objeto de consulta, no será posible que las entidades interpreten la existencia de una inhabilidad que impida participar en un proceso de contratación al consorcio compuesto por una persona natural y por una SAS cuyo único socio y representante legal sea esa misma persona. </w:t>
      </w:r>
    </w:p>
    <w:p w14:paraId="7FF2345B" w14:textId="77777777" w:rsidR="00AA67A0" w:rsidRDefault="00AA67A0" w:rsidP="00AA67A0">
      <w:pPr>
        <w:spacing w:after="0" w:line="276" w:lineRule="auto"/>
        <w:ind w:firstLine="709"/>
        <w:jc w:val="both"/>
        <w:rPr>
          <w:rFonts w:ascii="Verdana" w:eastAsia="Calibri" w:hAnsi="Verdana" w:cs="Arial"/>
          <w:color w:val="000000" w:themeColor="text1"/>
          <w:lang w:val="es-ES"/>
        </w:rPr>
      </w:pPr>
    </w:p>
    <w:p w14:paraId="09CF81A5" w14:textId="77777777" w:rsidR="00AA67A0" w:rsidRDefault="00AA67A0" w:rsidP="00AA67A0">
      <w:pPr>
        <w:spacing w:after="120" w:line="276" w:lineRule="auto"/>
        <w:jc w:val="both"/>
        <w:rPr>
          <w:rFonts w:ascii="Verdana" w:eastAsia="Calibri" w:hAnsi="Verdana" w:cs="Arial"/>
          <w:color w:val="000000"/>
          <w:lang w:val="es-ES_tradnl"/>
        </w:rPr>
      </w:pPr>
      <w:proofErr w:type="spellStart"/>
      <w:r>
        <w:rPr>
          <w:rFonts w:ascii="Verdana" w:eastAsia="Calibri" w:hAnsi="Verdana" w:cs="Arial"/>
          <w:color w:val="000000" w:themeColor="text1"/>
          <w:lang w:val="es-ES"/>
        </w:rPr>
        <w:t>iv</w:t>
      </w:r>
      <w:proofErr w:type="spellEnd"/>
      <w:r>
        <w:rPr>
          <w:rFonts w:ascii="Verdana" w:eastAsia="Calibri" w:hAnsi="Verdana" w:cs="Arial"/>
          <w:color w:val="000000" w:themeColor="text1"/>
          <w:lang w:val="es-ES"/>
        </w:rPr>
        <w:t xml:space="preserve">) </w:t>
      </w:r>
      <w:r>
        <w:rPr>
          <w:rFonts w:ascii="Verdana" w:eastAsia="Calibri" w:hAnsi="Verdana" w:cs="Arial"/>
          <w:color w:val="000000"/>
        </w:rPr>
        <w:t>Por otra parte</w:t>
      </w:r>
      <w:r w:rsidRPr="001F1659">
        <w:rPr>
          <w:rFonts w:ascii="Verdana" w:eastAsia="Calibri" w:hAnsi="Verdana" w:cs="Arial"/>
          <w:color w:val="000000"/>
          <w:lang w:val="es-ES_tradnl"/>
        </w:rPr>
        <w:t xml:space="preserve">, resulta fundamental hacer referencia al régimen de los </w:t>
      </w:r>
      <w:r w:rsidRPr="005374D2">
        <w:rPr>
          <w:rFonts w:ascii="Verdana" w:eastAsia="Calibri" w:hAnsi="Verdana" w:cs="Arial"/>
          <w:i/>
          <w:iCs/>
          <w:color w:val="000000"/>
          <w:lang w:val="es-ES_tradnl"/>
        </w:rPr>
        <w:t>conflictos de interés</w:t>
      </w:r>
      <w:r w:rsidRPr="001F1659">
        <w:rPr>
          <w:rFonts w:ascii="Verdana" w:eastAsia="Calibri" w:hAnsi="Verdana" w:cs="Arial"/>
          <w:color w:val="000000"/>
          <w:lang w:val="es-ES_tradnl"/>
        </w:rPr>
        <w:t xml:space="preserve"> en la contratación estatal. Al respecto, debe señalarse que, de acuerdo con el artículo 209 de la Constitución Política de 1991, la función administrativa debe desarrollarse</w:t>
      </w:r>
      <w:r w:rsidRPr="00896343">
        <w:rPr>
          <w:rFonts w:ascii="Verdana" w:eastAsia="Calibri" w:hAnsi="Verdana" w:cs="Arial"/>
          <w:color w:val="000000"/>
          <w:lang w:val="es-ES_tradnl"/>
        </w:rPr>
        <w:t xml:space="preserve"> conforme al principio de moralidad, mandato que se concreta en la idea de que “[…] todas las personas y los servidores públicos están obligados a actuar con rectitud, lealtad y honestidad en las actuaciones administrativas […]” –numeral 5 del artículo 3 de la Ley 1437 de 2011–. </w:t>
      </w:r>
    </w:p>
    <w:p w14:paraId="78AD50B5" w14:textId="77777777" w:rsidR="00AA67A0" w:rsidRPr="00896343" w:rsidRDefault="00AA67A0" w:rsidP="00AA67A0">
      <w:pPr>
        <w:spacing w:after="120" w:line="276" w:lineRule="auto"/>
        <w:ind w:firstLine="708"/>
        <w:jc w:val="both"/>
        <w:rPr>
          <w:rFonts w:ascii="Verdana" w:eastAsia="Calibri" w:hAnsi="Verdana" w:cs="Arial"/>
          <w:color w:val="000000"/>
          <w:lang w:val="es-ES"/>
        </w:rPr>
      </w:pPr>
      <w:r w:rsidRPr="00896343">
        <w:rPr>
          <w:rFonts w:ascii="Verdana" w:eastAsia="Calibri" w:hAnsi="Verdana" w:cs="Arial"/>
          <w:color w:val="000000" w:themeColor="text1"/>
          <w:lang w:val="es-ES"/>
        </w:rPr>
        <w:t xml:space="preserve">En desarrollo de esta directriz, </w:t>
      </w:r>
      <w:bookmarkStart w:id="1" w:name="_Hlk36672204"/>
      <w:r w:rsidRPr="00896343">
        <w:rPr>
          <w:rFonts w:ascii="Verdana" w:eastAsia="Calibri" w:hAnsi="Verdana" w:cs="Arial"/>
          <w:color w:val="000000" w:themeColor="text1"/>
          <w:lang w:val="es-ES"/>
        </w:rPr>
        <w:t xml:space="preserve">el régimen de los </w:t>
      </w:r>
      <w:r w:rsidRPr="00896343">
        <w:rPr>
          <w:rFonts w:ascii="Verdana" w:eastAsia="Calibri" w:hAnsi="Verdana" w:cs="Arial"/>
          <w:i/>
          <w:iCs/>
          <w:color w:val="000000" w:themeColor="text1"/>
          <w:lang w:val="es-ES"/>
        </w:rPr>
        <w:t>conflictos de interés</w:t>
      </w:r>
      <w:r w:rsidRPr="00896343">
        <w:rPr>
          <w:rFonts w:ascii="Verdana" w:eastAsia="Calibri" w:hAnsi="Verdana" w:cs="Arial"/>
          <w:color w:val="000000" w:themeColor="text1"/>
          <w:lang w:val="es-ES"/>
        </w:rPr>
        <w:t xml:space="preserve"> tiene como objetivo la prevalencia del bien común sobre el particular, razón por la cual se configuran cuando los servidores públicos actúan influenciados por consideraciones personales que colisionan con el deber de preservar su independencia e imparcialidad. En este sentido, se definen como la </w:t>
      </w:r>
      <w:bookmarkStart w:id="2" w:name="_Hlk36668905"/>
      <w:r w:rsidRPr="00896343">
        <w:rPr>
          <w:rFonts w:ascii="Verdana" w:eastAsia="Calibri" w:hAnsi="Verdana" w:cs="Arial"/>
          <w:color w:val="000000" w:themeColor="text1"/>
          <w:lang w:val="es-ES"/>
        </w:rPr>
        <w:t>concurrencia de intereses antagónicos que afectan la transparencia de las decisiones, al implicar –en detrimento del interés general– el aprovechamiento personal, familiar o particular</w:t>
      </w:r>
      <w:bookmarkEnd w:id="1"/>
      <w:bookmarkEnd w:id="2"/>
      <w:r w:rsidRPr="00896343">
        <w:rPr>
          <w:rFonts w:ascii="Verdana" w:eastAsia="Calibri" w:hAnsi="Verdana" w:cs="Arial"/>
          <w:color w:val="000000"/>
          <w:vertAlign w:val="superscript"/>
          <w:lang w:val="es-ES_tradnl"/>
        </w:rPr>
        <w:footnoteReference w:id="25"/>
      </w:r>
      <w:r w:rsidRPr="00896343">
        <w:rPr>
          <w:rFonts w:ascii="Verdana" w:eastAsia="Calibri" w:hAnsi="Verdana" w:cs="Arial"/>
          <w:color w:val="000000" w:themeColor="text1"/>
          <w:lang w:val="es-ES"/>
        </w:rPr>
        <w:t>.</w:t>
      </w:r>
    </w:p>
    <w:p w14:paraId="2BFE31AE" w14:textId="77777777" w:rsidR="00AA67A0" w:rsidRDefault="00AA67A0" w:rsidP="00AA67A0">
      <w:pPr>
        <w:spacing w:after="120" w:line="276" w:lineRule="auto"/>
        <w:jc w:val="both"/>
        <w:rPr>
          <w:rFonts w:ascii="Verdana" w:eastAsia="Calibri" w:hAnsi="Verdana" w:cs="Arial"/>
          <w:color w:val="000000"/>
          <w:lang w:val="es-ES"/>
        </w:rPr>
      </w:pPr>
      <w:r w:rsidRPr="00896343">
        <w:rPr>
          <w:rFonts w:ascii="Verdana" w:eastAsia="Calibri" w:hAnsi="Verdana" w:cs="Arial"/>
          <w:color w:val="000000"/>
          <w:lang w:val="es-ES_tradnl"/>
        </w:rPr>
        <w:lastRenderedPageBreak/>
        <w:tab/>
      </w:r>
      <w:r>
        <w:rPr>
          <w:rFonts w:ascii="Verdana" w:eastAsia="Calibri" w:hAnsi="Verdana" w:cs="Arial"/>
          <w:color w:val="000000"/>
          <w:lang w:val="es-ES_tradnl"/>
        </w:rPr>
        <w:t>Ahora bien, en línea con lo previsto en el concepto C-426 de 2025 expedido por esta Subdirección, l</w:t>
      </w:r>
      <w:r w:rsidRPr="00896343">
        <w:rPr>
          <w:rFonts w:ascii="Verdana" w:eastAsia="Calibri" w:hAnsi="Verdana" w:cs="Arial"/>
          <w:color w:val="000000"/>
          <w:lang w:val="es-ES"/>
        </w:rPr>
        <w:t xml:space="preserve">a institución jurídica de los conflictos de interés no está definida con carácter general en el ordenamiento jurídico y tampoco de forma precisa en las normas que regulan la contratación estatal, por lo que es un asunto ausente en el EGCAP. No obstante, existen disposiciones especiales como el régimen de los congresistas, de los concejales o el régimen disciplinario de los servidores públicos, donde se definen causales de conflictos de interés. En todo caso, la satisfacción del principio de moralidad, el deber de probidad y rectitud también se exige a los contratistas. </w:t>
      </w:r>
    </w:p>
    <w:p w14:paraId="51C4B8DA" w14:textId="77777777" w:rsidR="00AA67A0" w:rsidRDefault="00AA67A0" w:rsidP="00AA67A0">
      <w:pPr>
        <w:spacing w:after="120" w:line="276" w:lineRule="auto"/>
        <w:ind w:firstLine="708"/>
        <w:jc w:val="both"/>
        <w:rPr>
          <w:rFonts w:ascii="Verdana" w:eastAsia="Calibri" w:hAnsi="Verdana" w:cs="Arial"/>
          <w:color w:val="000000"/>
          <w:lang w:val="es-ES"/>
        </w:rPr>
      </w:pPr>
      <w:r w:rsidRPr="00896343">
        <w:rPr>
          <w:rFonts w:ascii="Verdana" w:eastAsia="Calibri" w:hAnsi="Verdana" w:cs="Arial"/>
          <w:color w:val="000000"/>
          <w:lang w:val="es-ES"/>
        </w:rPr>
        <w:t xml:space="preserve">Al respecto, el artículo 3 de la Ley 80 de 1993 dispone que la actividad contractual del Estado se dirige tanto al cumplimiento de los fines estatales como a la continua y eficiente prestación de los servicios públicos, precisando que “Los particulares, por su parte, tendrán en cuenta al celebrar y ejecutar contratos con las entidades estatales que colaboran con ellas en el logro de sus fines y cumplen una función social que, como tal, implica obligaciones”. En concordancia con lo anterior, el numeral 2 del artículo 5 del EGCAP dispone que aquellos obrarán con lealtad y buena fe en las distintas etapas contractuales. </w:t>
      </w:r>
    </w:p>
    <w:p w14:paraId="02F45878" w14:textId="77777777" w:rsidR="00AA67A0" w:rsidRPr="00522661" w:rsidRDefault="00AA67A0" w:rsidP="00AA67A0">
      <w:pPr>
        <w:spacing w:after="120" w:line="276" w:lineRule="auto"/>
        <w:ind w:firstLine="708"/>
        <w:jc w:val="both"/>
        <w:rPr>
          <w:rFonts w:ascii="Verdana" w:eastAsia="Calibri" w:hAnsi="Verdana" w:cs="Arial"/>
          <w:color w:val="000000"/>
          <w:lang w:val="es-ES"/>
        </w:rPr>
      </w:pPr>
      <w:r w:rsidRPr="00896343">
        <w:rPr>
          <w:rFonts w:ascii="Verdana" w:eastAsia="Calibri" w:hAnsi="Verdana" w:cs="Arial"/>
          <w:color w:val="000000"/>
          <w:lang w:val="es-ES_tradnl"/>
        </w:rPr>
        <w:t xml:space="preserve">Sin perjuicio de lo anterior, el EGCAP no establece una noción o causales particulares de conflictos de interés aplicables a los proponentes o contratistas del Estado. En efecto, además de las disposiciones brevemente enunciadas en el párrafo precedente, la Ley 1437 de 2011 establece un régimen de “conflictos de interés  y causales de impedimento y recusación” –artículos 11 y 12–, que si bien aplican en los procedimientos administrativos, en general, incluyendo los de selección de contratistas del Estado, están dirigidos a los servidores públicos que adelantan estas actuaciones en desarrollo de la actividad contractual de la Entidad Estatal de la cual hacen parte. </w:t>
      </w:r>
    </w:p>
    <w:p w14:paraId="72F29BD4" w14:textId="77777777" w:rsidR="00AA67A0" w:rsidRPr="00896343" w:rsidRDefault="00AA67A0" w:rsidP="00AA67A0">
      <w:pPr>
        <w:spacing w:after="120" w:line="276" w:lineRule="auto"/>
        <w:ind w:firstLine="708"/>
        <w:jc w:val="both"/>
        <w:rPr>
          <w:rFonts w:ascii="Verdana" w:eastAsia="Calibri" w:hAnsi="Verdana" w:cs="Arial"/>
          <w:color w:val="000000"/>
          <w:lang w:val="es-ES_tradnl"/>
        </w:rPr>
      </w:pPr>
      <w:r w:rsidRPr="00896343">
        <w:rPr>
          <w:rFonts w:ascii="Verdana" w:eastAsia="Calibri" w:hAnsi="Verdana" w:cs="Arial"/>
          <w:color w:val="000000"/>
          <w:lang w:val="es-ES_tradnl"/>
        </w:rPr>
        <w:t xml:space="preserve">Por lo </w:t>
      </w:r>
      <w:r>
        <w:rPr>
          <w:rFonts w:ascii="Verdana" w:eastAsia="Calibri" w:hAnsi="Verdana" w:cs="Arial"/>
          <w:color w:val="000000"/>
          <w:lang w:val="es-ES_tradnl"/>
        </w:rPr>
        <w:t>expuesto en el párrafo precedente</w:t>
      </w:r>
      <w:r w:rsidRPr="00896343">
        <w:rPr>
          <w:rFonts w:ascii="Verdana" w:eastAsia="Calibri" w:hAnsi="Verdana" w:cs="Arial"/>
          <w:color w:val="000000"/>
          <w:lang w:val="es-ES_tradnl"/>
        </w:rPr>
        <w:t xml:space="preserve">, sus destinatarios no son los proponentes o contratistas particulares que participan en el procedimiento de selección o celebran el contrato con la </w:t>
      </w:r>
      <w:r w:rsidRPr="006A3373">
        <w:rPr>
          <w:rFonts w:ascii="Verdana" w:eastAsia="Calibri" w:hAnsi="Verdana" w:cs="Arial"/>
          <w:color w:val="000000"/>
          <w:lang w:val="es-ES_tradnl"/>
        </w:rPr>
        <w:t>entidad estatal</w:t>
      </w:r>
      <w:r w:rsidRPr="00896343">
        <w:rPr>
          <w:rFonts w:ascii="Verdana" w:eastAsia="Calibri" w:hAnsi="Verdana" w:cs="Arial"/>
          <w:color w:val="000000"/>
          <w:lang w:val="es-ES_tradnl"/>
        </w:rPr>
        <w:t xml:space="preserve">, sino los servidores mencionados. En este sentido, en caso de presentarse alguna de las causales establecidas en el artículo 11 del Código de Procedimiento Administrativo o de lo Contencioso Administrativo –en adelante CPACA–, corresponde aplicar el </w:t>
      </w:r>
      <w:r w:rsidRPr="0046349D">
        <w:rPr>
          <w:rFonts w:ascii="Verdana" w:eastAsia="Calibri" w:hAnsi="Verdana" w:cs="Arial"/>
          <w:color w:val="000000"/>
          <w:lang w:val="es-ES_tradnl"/>
        </w:rPr>
        <w:t>trámite</w:t>
      </w:r>
      <w:r w:rsidRPr="00896343">
        <w:rPr>
          <w:rFonts w:ascii="Verdana" w:eastAsia="Calibri" w:hAnsi="Verdana" w:cs="Arial"/>
          <w:color w:val="000000"/>
          <w:lang w:val="es-ES_tradnl"/>
        </w:rPr>
        <w:t xml:space="preserve"> establecido en el artículo 12 de la misma ley.</w:t>
      </w:r>
    </w:p>
    <w:p w14:paraId="6051029C" w14:textId="77777777" w:rsidR="00AA67A0" w:rsidRDefault="00AA67A0" w:rsidP="00AA67A0">
      <w:pPr>
        <w:widowControl w:val="0"/>
        <w:autoSpaceDE w:val="0"/>
        <w:autoSpaceDN w:val="0"/>
        <w:spacing w:after="120" w:line="276" w:lineRule="auto"/>
        <w:ind w:firstLine="709"/>
        <w:jc w:val="both"/>
        <w:rPr>
          <w:rFonts w:ascii="Verdana" w:eastAsia="Calibri" w:hAnsi="Verdana" w:cs="Arial"/>
        </w:rPr>
      </w:pPr>
      <w:r w:rsidRPr="60F4F7EF">
        <w:rPr>
          <w:rFonts w:ascii="Verdana" w:eastAsia="Calibri" w:hAnsi="Verdana" w:cs="Arial"/>
        </w:rPr>
        <w:t xml:space="preserve">Ahora bien, en el marco de la contratación estatal, las figuras de la incompatibilidad y el conflicto de interés cumplen una función esencial de </w:t>
      </w:r>
      <w:r w:rsidRPr="60F4F7EF">
        <w:rPr>
          <w:rFonts w:ascii="Verdana" w:eastAsia="Calibri" w:hAnsi="Verdana" w:cs="Arial"/>
        </w:rPr>
        <w:lastRenderedPageBreak/>
        <w:t>garantía para la moralidad, la transparencia y la imparcialidad en la gestión pública.</w:t>
      </w:r>
      <w:r>
        <w:rPr>
          <w:rFonts w:ascii="Verdana" w:eastAsia="Calibri" w:hAnsi="Verdana" w:cs="Arial"/>
        </w:rPr>
        <w:t xml:space="preserve"> Como se mencionó antes,</w:t>
      </w:r>
      <w:r w:rsidRPr="60F4F7EF">
        <w:rPr>
          <w:rFonts w:ascii="Verdana" w:eastAsia="Calibri" w:hAnsi="Verdana" w:cs="Arial"/>
        </w:rPr>
        <w:t xml:space="preserve"> </w:t>
      </w:r>
      <w:r>
        <w:rPr>
          <w:rFonts w:ascii="Verdana" w:eastAsia="Calibri" w:hAnsi="Verdana" w:cs="Arial"/>
        </w:rPr>
        <w:t>l</w:t>
      </w:r>
      <w:r w:rsidRPr="60F4F7EF">
        <w:rPr>
          <w:rFonts w:ascii="Verdana" w:eastAsia="Calibri" w:hAnsi="Verdana" w:cs="Arial"/>
        </w:rPr>
        <w:t>as incompatibilidades son prohibiciones de origen legal que impiden a una persona ejercer simultáneamente ciertos cargos, funciones o contratos, cuando su coexistencia pueda comprometer el interés público. Estas se encuentran reguladas de forma expresa en la Constitución Política, la Ley 80 de 1993, la Ley 734 de 2002 (Código Disciplinario), la Ley 1150 de 2007 y normas complementarias, y su configuración requiere una estricta sujeción al principio de legalidad. Por su parte, el conflicto de interés no exige una prohibición legal previa, sino que se presenta cuando una persona —ya sea servidor público o contratista— se encuentra en una situación en la que sus intereses personales, familiares o económicos pueden influir o entrar en tensión con el cumplimiento de sus deberes públicos.</w:t>
      </w:r>
      <w:r>
        <w:rPr>
          <w:rFonts w:ascii="Verdana" w:eastAsia="Calibri" w:hAnsi="Verdana" w:cs="Arial"/>
        </w:rPr>
        <w:t xml:space="preserve"> </w:t>
      </w:r>
      <w:r w:rsidRPr="60F4F7EF">
        <w:rPr>
          <w:rFonts w:ascii="Verdana" w:eastAsia="Calibri" w:hAnsi="Verdana" w:cs="Arial"/>
        </w:rPr>
        <w:t>Si no es gestionado adecuadamente, puede comprometer gravemente principios constitucionales como la moralidad administrativa, la transparencia y la eficiencia.</w:t>
      </w:r>
    </w:p>
    <w:p w14:paraId="1EDE0F7D" w14:textId="77777777" w:rsidR="00AA67A0" w:rsidRPr="00522661" w:rsidRDefault="00AA67A0" w:rsidP="00AA67A0">
      <w:pPr>
        <w:widowControl w:val="0"/>
        <w:autoSpaceDE w:val="0"/>
        <w:autoSpaceDN w:val="0"/>
        <w:spacing w:after="120" w:line="276" w:lineRule="auto"/>
        <w:ind w:firstLine="709"/>
        <w:jc w:val="both"/>
        <w:rPr>
          <w:rFonts w:ascii="Verdana" w:eastAsia="Calibri" w:hAnsi="Verdana" w:cs="Arial"/>
        </w:rPr>
      </w:pPr>
      <w:r w:rsidRPr="002D2CC6">
        <w:rPr>
          <w:rFonts w:ascii="Verdana" w:eastAsia="Arial" w:hAnsi="Verdana" w:cs="Arial"/>
        </w:rPr>
        <w:t>Así las cosas, aunque la ley no estable</w:t>
      </w:r>
      <w:r>
        <w:rPr>
          <w:rFonts w:ascii="Verdana" w:eastAsia="Arial" w:hAnsi="Verdana" w:cs="Arial"/>
        </w:rPr>
        <w:t>zca</w:t>
      </w:r>
      <w:r w:rsidRPr="002D2CC6">
        <w:rPr>
          <w:rFonts w:ascii="Verdana" w:eastAsia="Arial" w:hAnsi="Verdana" w:cs="Arial"/>
        </w:rPr>
        <w:t xml:space="preserve"> una inhabilidad explícita </w:t>
      </w:r>
      <w:r>
        <w:rPr>
          <w:rFonts w:ascii="Verdana" w:eastAsia="Arial" w:hAnsi="Verdana" w:cs="Arial"/>
        </w:rPr>
        <w:t>deberá evaluarse desde la figura del conflicto de intereses cada caso en particular</w:t>
      </w:r>
      <w:r w:rsidRPr="60F4F7EF">
        <w:rPr>
          <w:rFonts w:ascii="Verdana" w:eastAsia="Arial" w:hAnsi="Verdana" w:cs="Arial"/>
        </w:rPr>
        <w:t>. Esto se debe a que la ley de contratación estatal en Colombia, como la Ley 80 de 1993, se basa en principios fundamentales como la transparencia, moralidad y objetividad. Un conflicto de intereses surge cuando los intereses personales o familiares de un servidor público pueden influir en sus decisiones profesionales, comprometiendo así la imparcialidad que se espera de su cargo</w:t>
      </w:r>
      <w:r>
        <w:rPr>
          <w:rFonts w:ascii="Verdana" w:eastAsia="Arial" w:hAnsi="Verdana" w:cs="Arial"/>
        </w:rPr>
        <w:t>, lo cual, en principio, no sería aplicable al caso objeto de consulta.</w:t>
      </w:r>
    </w:p>
    <w:p w14:paraId="4804E8B4" w14:textId="77777777" w:rsidR="00AA67A0" w:rsidRDefault="00AA67A0" w:rsidP="00AA67A0">
      <w:pPr>
        <w:spacing w:after="120" w:line="276" w:lineRule="auto"/>
        <w:ind w:firstLine="709"/>
        <w:jc w:val="both"/>
        <w:rPr>
          <w:rFonts w:ascii="Verdana" w:eastAsia="Arial" w:hAnsi="Verdana" w:cs="Arial"/>
        </w:rPr>
      </w:pPr>
      <w:r>
        <w:rPr>
          <w:rFonts w:ascii="Verdana" w:eastAsia="Arial" w:hAnsi="Verdana" w:cs="Arial"/>
        </w:rPr>
        <w:t>De esta manera p</w:t>
      </w:r>
      <w:r w:rsidRPr="00C17B09">
        <w:rPr>
          <w:rFonts w:ascii="Verdana" w:eastAsia="Arial" w:hAnsi="Verdana" w:cs="Arial"/>
        </w:rPr>
        <w:t>ara evitar cualquier cuestionamiento, el funcionario debe declarar el posible conflicto de intereses ante su superior jerárquico o el órgano de control pertinente. Esta acción, que está respaldada por normas como el artículo 11 de la Ley 1437 de 2011 (CPACA), le permite apartarse de la decisión. La mejor práctica es que otra persona con la autoridad necesaria asuma la responsabilidad de evaluar y aprobar el contrato. De esta manera, se garantiza que la selección se base exclusivamente en los méritos y la idoneidad del contratista.</w:t>
      </w:r>
    </w:p>
    <w:p w14:paraId="7F60275D" w14:textId="77777777" w:rsidR="00AA67A0" w:rsidRDefault="00AA67A0" w:rsidP="00AA67A0">
      <w:pPr>
        <w:spacing w:after="0" w:line="276" w:lineRule="auto"/>
        <w:ind w:firstLine="709"/>
        <w:jc w:val="both"/>
        <w:rPr>
          <w:rFonts w:ascii="Verdana" w:eastAsia="Arial" w:hAnsi="Verdana" w:cs="Arial"/>
        </w:rPr>
      </w:pPr>
      <w:r w:rsidRPr="00C17B09">
        <w:rPr>
          <w:rFonts w:ascii="Verdana" w:eastAsia="Arial" w:hAnsi="Verdana" w:cs="Arial"/>
        </w:rPr>
        <w:t>No obstante, corresponde a los equipos jurídicos de cada entidad contratante realizar la verificación previa y concreta de las eventuales inhabilidades e incompatibilidades</w:t>
      </w:r>
      <w:r>
        <w:rPr>
          <w:rFonts w:ascii="Verdana" w:eastAsia="Arial" w:hAnsi="Verdana" w:cs="Arial"/>
        </w:rPr>
        <w:t xml:space="preserve"> y el eventual conflicto de intereses en cada proceso</w:t>
      </w:r>
      <w:r w:rsidRPr="00C17B09">
        <w:rPr>
          <w:rFonts w:ascii="Verdana" w:eastAsia="Arial" w:hAnsi="Verdana" w:cs="Arial"/>
        </w:rPr>
        <w:t xml:space="preserve">, a fin de garantizar el cumplimiento del principio de legalidad y la </w:t>
      </w:r>
      <w:r w:rsidRPr="00C17B09">
        <w:rPr>
          <w:rFonts w:ascii="Verdana" w:eastAsia="Arial" w:hAnsi="Verdana" w:cs="Arial"/>
        </w:rPr>
        <w:lastRenderedPageBreak/>
        <w:t>protección de los principios de transparencia, moralidad e imparcialidad en la contratación estatal.</w:t>
      </w:r>
    </w:p>
    <w:p w14:paraId="26D32328" w14:textId="77777777" w:rsidR="00AA67A0" w:rsidRPr="007E3260" w:rsidRDefault="00AA67A0" w:rsidP="00AA67A0">
      <w:pPr>
        <w:spacing w:after="0" w:line="276" w:lineRule="auto"/>
        <w:ind w:firstLine="709"/>
        <w:jc w:val="both"/>
        <w:rPr>
          <w:rFonts w:ascii="Verdana" w:eastAsia="Arial" w:hAnsi="Verdana" w:cs="Arial"/>
        </w:rPr>
      </w:pPr>
    </w:p>
    <w:p w14:paraId="0CF87F7D" w14:textId="77777777" w:rsidR="00AA67A0" w:rsidRDefault="00AA67A0" w:rsidP="00AA67A0">
      <w:pPr>
        <w:spacing w:after="120" w:line="276" w:lineRule="auto"/>
        <w:jc w:val="both"/>
        <w:rPr>
          <w:rFonts w:ascii="Verdana" w:eastAsia="Calibri" w:hAnsi="Verdana" w:cs="Arial"/>
          <w:bCs/>
        </w:rPr>
      </w:pPr>
      <w:proofErr w:type="spellStart"/>
      <w:r>
        <w:rPr>
          <w:rFonts w:ascii="Verdana" w:eastAsia="Calibri" w:hAnsi="Verdana" w:cs="Arial"/>
          <w:bCs/>
        </w:rPr>
        <w:t>iv</w:t>
      </w:r>
      <w:proofErr w:type="spellEnd"/>
      <w:r>
        <w:rPr>
          <w:rFonts w:ascii="Verdana" w:eastAsia="Calibri" w:hAnsi="Verdana" w:cs="Arial"/>
          <w:bCs/>
        </w:rPr>
        <w:t xml:space="preserve">) Aunado a lo expuesto en este concepto, es importante resaltar que, aunque no exista un supuesto normativo que por sí mismo limite la capacidad jurídica del consorcio en el supuesto objeto de consulta, existen otros elementos y requisitos habilitantes frente a los cuales será necesario que la entidad evalúe el cumplimiento por parte de dicho oferente. </w:t>
      </w:r>
      <w:r w:rsidRPr="00372D18">
        <w:rPr>
          <w:rFonts w:ascii="Verdana" w:eastAsia="Calibri" w:hAnsi="Verdana" w:cs="Arial"/>
          <w:bCs/>
        </w:rPr>
        <w:t>Con esto se hace referencia, entre otras cosas, a la experiencia, la cual, según como lo determine la entidad contratante en los pliegos de condiciones, debe relacionarse con el objeto a contratar</w:t>
      </w:r>
      <w:r>
        <w:rPr>
          <w:rFonts w:ascii="Verdana" w:eastAsia="Calibri" w:hAnsi="Verdana" w:cs="Arial"/>
          <w:bCs/>
        </w:rPr>
        <w:t xml:space="preserve"> y deberá ser acreditada de manera adecuada por el consorcio y sus miembros de modo que el proponente no haga valer dos veces la misma experiencia, es decir, la que ha ejecutado como persona natural y aquella que acredite por conducto de la SAS de la cual es el único socio y representante legal</w:t>
      </w:r>
      <w:r w:rsidRPr="00372D18">
        <w:rPr>
          <w:rFonts w:ascii="Verdana" w:eastAsia="Calibri" w:hAnsi="Verdana" w:cs="Arial"/>
          <w:bCs/>
        </w:rPr>
        <w:t xml:space="preserve">. </w:t>
      </w:r>
    </w:p>
    <w:p w14:paraId="343F9C9A" w14:textId="77777777" w:rsidR="00AA67A0" w:rsidRPr="000429FF" w:rsidRDefault="00AA67A0" w:rsidP="00AA67A0">
      <w:pPr>
        <w:spacing w:after="120" w:line="276" w:lineRule="auto"/>
        <w:ind w:firstLine="708"/>
        <w:jc w:val="both"/>
        <w:rPr>
          <w:rFonts w:ascii="Verdana" w:eastAsia="Calibri" w:hAnsi="Verdana" w:cs="Arial"/>
          <w:bCs/>
        </w:rPr>
      </w:pPr>
      <w:r w:rsidRPr="000429FF">
        <w:rPr>
          <w:rFonts w:ascii="Verdana" w:eastAsia="Calibri" w:hAnsi="Verdana" w:cs="Arial"/>
        </w:rPr>
        <w:t xml:space="preserve">Lo anterior es </w:t>
      </w:r>
      <w:r>
        <w:rPr>
          <w:rFonts w:ascii="Verdana" w:eastAsia="Calibri" w:hAnsi="Verdana" w:cs="Arial"/>
        </w:rPr>
        <w:t xml:space="preserve">importante </w:t>
      </w:r>
      <w:r w:rsidRPr="000429FF">
        <w:rPr>
          <w:rFonts w:ascii="Verdana" w:eastAsia="Calibri" w:hAnsi="Verdana" w:cs="Arial"/>
        </w:rPr>
        <w:t xml:space="preserve">porque no es posible tener experiencia si en la práctica no se ha ejercido o ejecutado lo que se ofrece a otros contratantes; y precisamente de la experiencia se deriva el conocimiento que tiene el proponente, y que para la contratación pública es importante, ya que garantiza que no existirá improvisación o mayores costos por errores o dificultades originadas en realizar una actividad por primera vez. </w:t>
      </w:r>
      <w:r>
        <w:rPr>
          <w:rFonts w:ascii="Verdana" w:eastAsia="Calibri" w:hAnsi="Verdana" w:cs="Arial"/>
        </w:rPr>
        <w:t xml:space="preserve">En principio, </w:t>
      </w:r>
      <w:r w:rsidRPr="000429FF">
        <w:rPr>
          <w:rFonts w:ascii="Verdana" w:eastAsia="Calibri" w:hAnsi="Verdana" w:cs="Arial"/>
        </w:rPr>
        <w:t>la experiencia puede ser obtenida directamente o por participar asociado con otra persona, como es el caso de los proponentes plurales. En este caso la experiencia no deja de ser personal, sino que es proporcional a la participación como miembro de un consorcio o unión temporal, donde por ser esquemas asociativos la experiencia es compartida.</w:t>
      </w:r>
      <w:r>
        <w:rPr>
          <w:rFonts w:ascii="Verdana" w:eastAsia="Calibri" w:hAnsi="Verdana" w:cs="Arial"/>
        </w:rPr>
        <w:t xml:space="preserve"> Por lo anterior, es necesario que la entidad considere las medidas necesarias para que el supuesto objeto de consulta no se convierta en un mecanismo para omitir el cumplimiento de los requisitos mínimos exigidos.</w:t>
      </w:r>
    </w:p>
    <w:p w14:paraId="076790A6" w14:textId="77777777" w:rsidR="00AA67A0" w:rsidRPr="00372D18" w:rsidRDefault="00AA67A0" w:rsidP="00AA67A0">
      <w:pPr>
        <w:spacing w:after="120" w:line="276" w:lineRule="auto"/>
        <w:ind w:firstLine="708"/>
        <w:jc w:val="both"/>
        <w:rPr>
          <w:rFonts w:ascii="Verdana" w:eastAsia="Calibri" w:hAnsi="Verdana" w:cs="Arial"/>
          <w:bCs/>
        </w:rPr>
      </w:pPr>
      <w:r w:rsidRPr="00372D18">
        <w:rPr>
          <w:rFonts w:ascii="Verdana" w:eastAsia="Calibri" w:hAnsi="Verdana" w:cs="Arial"/>
          <w:bCs/>
        </w:rPr>
        <w:t>Lo anterior implica que</w:t>
      </w:r>
      <w:r>
        <w:rPr>
          <w:rFonts w:ascii="Verdana" w:eastAsia="Calibri" w:hAnsi="Verdana" w:cs="Arial"/>
          <w:bCs/>
        </w:rPr>
        <w:t xml:space="preserve"> la ausencia de una inhabilidad, incompatibilidad o conflicto de interés que afecte la capacidad jurídica</w:t>
      </w:r>
      <w:r w:rsidRPr="00372D18">
        <w:rPr>
          <w:rFonts w:ascii="Verdana" w:eastAsia="Calibri" w:hAnsi="Verdana" w:cs="Arial"/>
          <w:bCs/>
        </w:rPr>
        <w:t xml:space="preserve">, no </w:t>
      </w:r>
      <w:r>
        <w:rPr>
          <w:rFonts w:ascii="Verdana" w:eastAsia="Calibri" w:hAnsi="Verdana" w:cs="Arial"/>
          <w:bCs/>
        </w:rPr>
        <w:t xml:space="preserve">implica que el proponente pueda utilizar el consorcio para omitir el cumplimiento de los requisitos de experiencia o capacidad financiera que sean necesarios para ejecutar de manera idónea el objeto contractual. Con el fin de </w:t>
      </w:r>
      <w:r w:rsidRPr="00372D18">
        <w:rPr>
          <w:rFonts w:ascii="Verdana" w:eastAsia="Calibri" w:hAnsi="Verdana" w:cs="Arial"/>
          <w:bCs/>
        </w:rPr>
        <w:t>prever esta situación</w:t>
      </w:r>
      <w:r>
        <w:rPr>
          <w:rFonts w:ascii="Verdana" w:eastAsia="Calibri" w:hAnsi="Verdana" w:cs="Arial"/>
          <w:bCs/>
        </w:rPr>
        <w:t xml:space="preserve">, se recomienda que la entidad contratante establezca las reglas precisas en los documentos del proceso que deberán seguir los proponentes para acreditar y determinar de </w:t>
      </w:r>
      <w:r>
        <w:rPr>
          <w:rFonts w:ascii="Verdana" w:eastAsia="Calibri" w:hAnsi="Verdana" w:cs="Arial"/>
          <w:bCs/>
        </w:rPr>
        <w:lastRenderedPageBreak/>
        <w:t xml:space="preserve">forma objetiva la experiencia y capacidad </w:t>
      </w:r>
      <w:r w:rsidRPr="00372D18">
        <w:rPr>
          <w:rFonts w:ascii="Verdana" w:eastAsia="Calibri" w:hAnsi="Verdana" w:cs="Arial"/>
          <w:bCs/>
        </w:rPr>
        <w:t>mínima con la que deben contar para desarrollar el objeto a contratar de forma satisfactoria.</w:t>
      </w:r>
    </w:p>
    <w:p w14:paraId="2B24D579" w14:textId="77777777" w:rsidR="00AA67A0" w:rsidRPr="001353E5" w:rsidRDefault="00AA67A0" w:rsidP="00AA67A0">
      <w:pPr>
        <w:spacing w:after="120" w:line="276" w:lineRule="auto"/>
        <w:ind w:firstLine="708"/>
        <w:jc w:val="both"/>
        <w:rPr>
          <w:rFonts w:ascii="Verdana" w:eastAsia="Calibri" w:hAnsi="Verdana" w:cs="Arial"/>
        </w:rPr>
      </w:pPr>
      <w:r w:rsidRPr="001353E5">
        <w:rPr>
          <w:rFonts w:ascii="Verdana" w:eastAsia="Calibri" w:hAnsi="Verdana" w:cs="Arial"/>
          <w:bCs/>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F1E3A08" w14:textId="77777777" w:rsidR="00AA67A0" w:rsidRPr="000429FF" w:rsidRDefault="00AA67A0" w:rsidP="00AA67A0">
      <w:pPr>
        <w:spacing w:after="0" w:line="276" w:lineRule="auto"/>
        <w:ind w:firstLine="708"/>
        <w:jc w:val="both"/>
        <w:rPr>
          <w:rFonts w:ascii="Verdana" w:eastAsia="Calibri" w:hAnsi="Verdana" w:cs="Arial"/>
          <w:bCs/>
        </w:rPr>
      </w:pPr>
      <w:r w:rsidRPr="001353E5">
        <w:rPr>
          <w:rFonts w:ascii="Verdana" w:eastAsia="Calibri" w:hAnsi="Verdana" w:cs="Arial"/>
          <w:bCs/>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05A50BCB" w14:textId="77777777" w:rsidR="00AA67A0" w:rsidRPr="002069C6" w:rsidRDefault="00AA67A0" w:rsidP="00AA67A0">
      <w:pPr>
        <w:spacing w:after="0" w:line="276" w:lineRule="auto"/>
        <w:jc w:val="both"/>
        <w:rPr>
          <w:rFonts w:ascii="Verdana" w:eastAsia="Calibri" w:hAnsi="Verdana" w:cs="Arial"/>
          <w:lang w:val="es-ES"/>
        </w:rPr>
      </w:pPr>
    </w:p>
    <w:p w14:paraId="27C217C8" w14:textId="77777777" w:rsidR="00AA67A0" w:rsidRPr="000429FF" w:rsidRDefault="00AA67A0" w:rsidP="00AA67A0">
      <w:pPr>
        <w:pStyle w:val="Prrafodelista"/>
        <w:numPr>
          <w:ilvl w:val="0"/>
          <w:numId w:val="16"/>
        </w:numPr>
        <w:spacing w:line="276" w:lineRule="auto"/>
        <w:jc w:val="both"/>
        <w:rPr>
          <w:rFonts w:ascii="Verdana" w:eastAsia="Century Gothic" w:hAnsi="Verdana" w:cs="Century Gothic"/>
          <w:b/>
          <w:bCs/>
          <w:color w:val="000000" w:themeColor="text1"/>
        </w:rPr>
      </w:pPr>
      <w:r w:rsidRPr="000429FF">
        <w:rPr>
          <w:rFonts w:ascii="Verdana" w:eastAsia="Century Gothic" w:hAnsi="Verdana" w:cs="Century Gothic"/>
          <w:b/>
          <w:bCs/>
          <w:color w:val="000000" w:themeColor="text1"/>
        </w:rPr>
        <w:t>Referencias normativas, jurisprudenciales y otras fuentes:</w:t>
      </w:r>
    </w:p>
    <w:p w14:paraId="5C170D80" w14:textId="77777777" w:rsidR="00AA67A0" w:rsidRPr="002069C6" w:rsidRDefault="00AA67A0" w:rsidP="00AA67A0">
      <w:pPr>
        <w:pStyle w:val="Prrafodelista"/>
        <w:tabs>
          <w:tab w:val="left" w:pos="142"/>
          <w:tab w:val="left" w:pos="284"/>
        </w:tabs>
        <w:spacing w:after="0" w:line="276" w:lineRule="auto"/>
        <w:ind w:left="0"/>
        <w:jc w:val="both"/>
        <w:rPr>
          <w:rFonts w:ascii="Verdana" w:eastAsia="Century Gothic" w:hAnsi="Verdana" w:cs="Century Gothic"/>
          <w:b/>
          <w:bCs/>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A67A0" w:rsidRPr="002069C6" w14:paraId="6CFFB545" w14:textId="77777777" w:rsidTr="00400F9D">
        <w:trPr>
          <w:trHeight w:val="870"/>
        </w:trPr>
        <w:tc>
          <w:tcPr>
            <w:tcW w:w="8647" w:type="dxa"/>
          </w:tcPr>
          <w:p w14:paraId="7B6DCA07" w14:textId="77777777" w:rsidR="00AA67A0" w:rsidRPr="00372D18" w:rsidRDefault="00AA67A0" w:rsidP="00400F9D">
            <w:pPr>
              <w:pStyle w:val="Prrafodelista"/>
              <w:widowControl w:val="0"/>
              <w:numPr>
                <w:ilvl w:val="0"/>
                <w:numId w:val="17"/>
              </w:numPr>
              <w:autoSpaceDE w:val="0"/>
              <w:autoSpaceDN w:val="0"/>
              <w:snapToGrid w:val="0"/>
              <w:spacing w:before="120" w:after="120" w:line="276" w:lineRule="auto"/>
              <w:ind w:left="714" w:hanging="357"/>
              <w:contextualSpacing w:val="0"/>
              <w:jc w:val="both"/>
              <w:rPr>
                <w:rFonts w:ascii="Verdana" w:hAnsi="Verdana" w:cs="Arial"/>
              </w:rPr>
            </w:pPr>
            <w:r w:rsidRPr="00372D18">
              <w:rPr>
                <w:rFonts w:ascii="Verdana" w:hAnsi="Verdana" w:cs="Arial"/>
              </w:rPr>
              <w:t>Ley 80 de 1993</w:t>
            </w:r>
            <w:r>
              <w:rPr>
                <w:rFonts w:ascii="Verdana" w:hAnsi="Verdana" w:cs="Arial"/>
              </w:rPr>
              <w:t xml:space="preserve">, artículo 3 y 8. </w:t>
            </w:r>
            <w:r w:rsidRPr="00372D18">
              <w:rPr>
                <w:rFonts w:ascii="Verdana" w:hAnsi="Verdana" w:cs="Arial"/>
              </w:rPr>
              <w:t xml:space="preserve"> </w:t>
            </w:r>
          </w:p>
          <w:p w14:paraId="3DEC6947" w14:textId="77777777" w:rsidR="00AA67A0" w:rsidRPr="009420ED" w:rsidRDefault="00AA67A0" w:rsidP="00400F9D">
            <w:pPr>
              <w:pStyle w:val="Prrafodelista"/>
              <w:widowControl w:val="0"/>
              <w:numPr>
                <w:ilvl w:val="0"/>
                <w:numId w:val="17"/>
              </w:numPr>
              <w:autoSpaceDE w:val="0"/>
              <w:autoSpaceDN w:val="0"/>
              <w:snapToGrid w:val="0"/>
              <w:spacing w:before="120" w:after="120" w:line="276" w:lineRule="auto"/>
              <w:ind w:left="714" w:hanging="357"/>
              <w:contextualSpacing w:val="0"/>
              <w:jc w:val="both"/>
              <w:rPr>
                <w:rFonts w:ascii="Verdana" w:eastAsia="Calibri" w:hAnsi="Verdana" w:cs="Arial"/>
                <w:color w:val="000000" w:themeColor="text1"/>
              </w:rPr>
            </w:pPr>
            <w:r>
              <w:rPr>
                <w:rFonts w:ascii="Verdana" w:hAnsi="Verdana" w:cs="Arial"/>
              </w:rPr>
              <w:t>Ley 222 de 1995, artículos 71 y 75.</w:t>
            </w:r>
          </w:p>
          <w:p w14:paraId="318F90A7" w14:textId="77777777" w:rsidR="00AA67A0" w:rsidRPr="0013769D" w:rsidRDefault="00AA67A0" w:rsidP="00400F9D">
            <w:pPr>
              <w:pStyle w:val="Prrafodelista"/>
              <w:widowControl w:val="0"/>
              <w:numPr>
                <w:ilvl w:val="0"/>
                <w:numId w:val="17"/>
              </w:numPr>
              <w:autoSpaceDE w:val="0"/>
              <w:autoSpaceDN w:val="0"/>
              <w:snapToGrid w:val="0"/>
              <w:spacing w:before="120" w:after="120" w:line="276" w:lineRule="auto"/>
              <w:ind w:left="714" w:hanging="357"/>
              <w:contextualSpacing w:val="0"/>
              <w:jc w:val="both"/>
              <w:rPr>
                <w:rFonts w:ascii="Verdana" w:eastAsia="Calibri" w:hAnsi="Verdana" w:cs="Arial"/>
                <w:color w:val="000000" w:themeColor="text1"/>
              </w:rPr>
            </w:pPr>
            <w:r>
              <w:rPr>
                <w:rFonts w:ascii="Verdana" w:hAnsi="Verdana" w:cs="Arial"/>
              </w:rPr>
              <w:t>Ley 1258 de 2008, artículo 5.</w:t>
            </w:r>
          </w:p>
          <w:p w14:paraId="6BAD118F" w14:textId="77777777" w:rsidR="00AA67A0" w:rsidRPr="002A20F5" w:rsidRDefault="00AA67A0" w:rsidP="00400F9D">
            <w:pPr>
              <w:pStyle w:val="Prrafodelista"/>
              <w:widowControl w:val="0"/>
              <w:numPr>
                <w:ilvl w:val="0"/>
                <w:numId w:val="17"/>
              </w:numPr>
              <w:autoSpaceDE w:val="0"/>
              <w:autoSpaceDN w:val="0"/>
              <w:snapToGrid w:val="0"/>
              <w:spacing w:before="120" w:after="120" w:line="276" w:lineRule="auto"/>
              <w:ind w:left="714" w:hanging="357"/>
              <w:contextualSpacing w:val="0"/>
              <w:jc w:val="both"/>
              <w:rPr>
                <w:rFonts w:ascii="Verdana" w:eastAsia="Calibri" w:hAnsi="Verdana" w:cs="Arial"/>
                <w:color w:val="000000" w:themeColor="text1"/>
              </w:rPr>
            </w:pPr>
            <w:r>
              <w:rPr>
                <w:rFonts w:ascii="Verdana" w:hAnsi="Verdana" w:cs="Arial"/>
              </w:rPr>
              <w:t>Ley 1437 de 2011, artículos 11 y 12.</w:t>
            </w:r>
          </w:p>
          <w:p w14:paraId="6987924F" w14:textId="77777777" w:rsidR="00AA67A0" w:rsidRPr="00BF086E" w:rsidRDefault="00AA67A0" w:rsidP="00400F9D">
            <w:pPr>
              <w:pStyle w:val="Prrafodelista"/>
              <w:widowControl w:val="0"/>
              <w:numPr>
                <w:ilvl w:val="0"/>
                <w:numId w:val="17"/>
              </w:numPr>
              <w:autoSpaceDE w:val="0"/>
              <w:autoSpaceDN w:val="0"/>
              <w:snapToGrid w:val="0"/>
              <w:spacing w:before="120" w:after="120" w:line="276" w:lineRule="auto"/>
              <w:ind w:left="714" w:hanging="357"/>
              <w:contextualSpacing w:val="0"/>
              <w:jc w:val="both"/>
              <w:rPr>
                <w:rFonts w:ascii="Verdana" w:hAnsi="Verdana" w:cs="Arial"/>
              </w:rPr>
            </w:pPr>
            <w:r>
              <w:rPr>
                <w:rFonts w:ascii="Verdana" w:hAnsi="Verdana" w:cs="Arial"/>
              </w:rPr>
              <w:t>Código de Comercio, artículos 98, 99 y 100.</w:t>
            </w:r>
          </w:p>
          <w:p w14:paraId="1104C82E" w14:textId="77777777" w:rsidR="00AA67A0" w:rsidRPr="00BF086E" w:rsidRDefault="00AA67A0" w:rsidP="00400F9D">
            <w:pPr>
              <w:pStyle w:val="Prrafodelista"/>
              <w:widowControl w:val="0"/>
              <w:numPr>
                <w:ilvl w:val="0"/>
                <w:numId w:val="17"/>
              </w:numPr>
              <w:autoSpaceDE w:val="0"/>
              <w:autoSpaceDN w:val="0"/>
              <w:snapToGrid w:val="0"/>
              <w:spacing w:before="120" w:after="120" w:line="276" w:lineRule="auto"/>
              <w:ind w:left="714" w:hanging="357"/>
              <w:contextualSpacing w:val="0"/>
              <w:jc w:val="both"/>
              <w:rPr>
                <w:rFonts w:ascii="Verdana" w:hAnsi="Verdana" w:cs="Arial"/>
              </w:rPr>
            </w:pPr>
            <w:r w:rsidRPr="00422B6A">
              <w:rPr>
                <w:rFonts w:ascii="Verdana" w:hAnsi="Verdana" w:cs="Arial"/>
              </w:rPr>
              <w:t>Corte Constitucional</w:t>
            </w:r>
            <w:r>
              <w:rPr>
                <w:rFonts w:ascii="Verdana" w:hAnsi="Verdana" w:cs="Arial"/>
              </w:rPr>
              <w:t xml:space="preserve">, </w:t>
            </w:r>
            <w:r w:rsidRPr="00422B6A">
              <w:rPr>
                <w:rFonts w:ascii="Verdana" w:hAnsi="Verdana" w:cs="Arial"/>
              </w:rPr>
              <w:t>sentencia C-831 de 2010</w:t>
            </w:r>
            <w:r>
              <w:rPr>
                <w:rFonts w:ascii="Verdana" w:hAnsi="Verdana" w:cs="Arial"/>
              </w:rPr>
              <w:t>.</w:t>
            </w:r>
          </w:p>
          <w:p w14:paraId="7F803A44" w14:textId="77777777" w:rsidR="00AA67A0" w:rsidRPr="00BF086E" w:rsidRDefault="00AA67A0" w:rsidP="00400F9D">
            <w:pPr>
              <w:pStyle w:val="Prrafodelista"/>
              <w:widowControl w:val="0"/>
              <w:numPr>
                <w:ilvl w:val="0"/>
                <w:numId w:val="17"/>
              </w:numPr>
              <w:autoSpaceDE w:val="0"/>
              <w:autoSpaceDN w:val="0"/>
              <w:snapToGrid w:val="0"/>
              <w:spacing w:before="120" w:after="120" w:line="276" w:lineRule="auto"/>
              <w:ind w:left="714" w:hanging="357"/>
              <w:contextualSpacing w:val="0"/>
              <w:jc w:val="both"/>
              <w:rPr>
                <w:rFonts w:ascii="Verdana" w:hAnsi="Verdana" w:cs="Arial"/>
              </w:rPr>
            </w:pPr>
            <w:r>
              <w:rPr>
                <w:rFonts w:ascii="Verdana" w:hAnsi="Verdana" w:cs="Arial"/>
              </w:rPr>
              <w:t>S</w:t>
            </w:r>
            <w:r w:rsidRPr="00372D18">
              <w:rPr>
                <w:rFonts w:ascii="Verdana" w:hAnsi="Verdana" w:cs="Arial"/>
              </w:rPr>
              <w:t>uperintendencia de Sociedades</w:t>
            </w:r>
            <w:r>
              <w:rPr>
                <w:rFonts w:ascii="Verdana" w:hAnsi="Verdana" w:cs="Arial"/>
              </w:rPr>
              <w:t xml:space="preserve">, </w:t>
            </w:r>
            <w:r w:rsidRPr="00372D18">
              <w:rPr>
                <w:rFonts w:ascii="Verdana" w:hAnsi="Verdana" w:cs="Arial"/>
              </w:rPr>
              <w:t>Concepto 0673 de diciembre 30 de 2010</w:t>
            </w:r>
            <w:r>
              <w:rPr>
                <w:rFonts w:ascii="Verdana" w:hAnsi="Verdana" w:cs="Arial"/>
              </w:rPr>
              <w:t>.</w:t>
            </w:r>
          </w:p>
          <w:p w14:paraId="75482D53" w14:textId="77777777" w:rsidR="00AA67A0" w:rsidRPr="007178D5" w:rsidRDefault="00AA67A0" w:rsidP="00400F9D">
            <w:pPr>
              <w:pStyle w:val="Prrafodelista"/>
              <w:widowControl w:val="0"/>
              <w:numPr>
                <w:ilvl w:val="0"/>
                <w:numId w:val="17"/>
              </w:numPr>
              <w:autoSpaceDE w:val="0"/>
              <w:autoSpaceDN w:val="0"/>
              <w:snapToGrid w:val="0"/>
              <w:spacing w:before="120" w:after="120" w:line="276" w:lineRule="auto"/>
              <w:ind w:left="714" w:hanging="357"/>
              <w:contextualSpacing w:val="0"/>
              <w:jc w:val="both"/>
              <w:rPr>
                <w:rFonts w:ascii="Verdana" w:eastAsia="Calibri" w:hAnsi="Verdana" w:cs="Arial"/>
                <w:color w:val="000000" w:themeColor="text1"/>
              </w:rPr>
            </w:pPr>
            <w:r w:rsidRPr="00BF086E">
              <w:rPr>
                <w:rFonts w:ascii="Verdana" w:hAnsi="Verdana" w:cs="Arial"/>
              </w:rPr>
              <w:lastRenderedPageBreak/>
              <w:t xml:space="preserve">Superintendencia de Sociedades, Oficio 220-060561 del 15 de </w:t>
            </w:r>
            <w:proofErr w:type="gramStart"/>
            <w:r w:rsidRPr="00BF086E">
              <w:rPr>
                <w:rFonts w:ascii="Verdana" w:hAnsi="Verdana" w:cs="Arial"/>
              </w:rPr>
              <w:t>Mayo</w:t>
            </w:r>
            <w:proofErr w:type="gramEnd"/>
            <w:r w:rsidRPr="00BF086E">
              <w:rPr>
                <w:rFonts w:ascii="Verdana" w:hAnsi="Verdana" w:cs="Arial"/>
              </w:rPr>
              <w:t xml:space="preserve"> de 2011</w:t>
            </w:r>
          </w:p>
        </w:tc>
      </w:tr>
    </w:tbl>
    <w:p w14:paraId="28DA1C77" w14:textId="77777777" w:rsidR="00AA67A0" w:rsidRPr="002069C6" w:rsidRDefault="00AA67A0" w:rsidP="00AA67A0">
      <w:pPr>
        <w:widowControl w:val="0"/>
        <w:autoSpaceDE w:val="0"/>
        <w:autoSpaceDN w:val="0"/>
        <w:spacing w:after="0" w:line="276" w:lineRule="auto"/>
        <w:jc w:val="both"/>
        <w:rPr>
          <w:rFonts w:ascii="Verdana" w:hAnsi="Verdana" w:cs="Arial"/>
          <w:color w:val="000000" w:themeColor="text1"/>
          <w:lang w:val="es-ES"/>
        </w:rPr>
      </w:pPr>
    </w:p>
    <w:p w14:paraId="4693C4E3" w14:textId="1732E5A0" w:rsidR="03BA848C" w:rsidRDefault="03BA848C" w:rsidP="03BA848C">
      <w:pPr>
        <w:widowControl w:val="0"/>
        <w:spacing w:after="0" w:line="276" w:lineRule="auto"/>
        <w:jc w:val="both"/>
        <w:rPr>
          <w:rFonts w:ascii="Verdana" w:hAnsi="Verdana" w:cs="Arial"/>
          <w:color w:val="000000" w:themeColor="text1"/>
          <w:lang w:val="es-ES"/>
        </w:rPr>
      </w:pPr>
    </w:p>
    <w:p w14:paraId="07B6E54F" w14:textId="7298CF44" w:rsidR="03BA848C" w:rsidRDefault="03BA848C" w:rsidP="03BA848C">
      <w:pPr>
        <w:widowControl w:val="0"/>
        <w:spacing w:after="0" w:line="276" w:lineRule="auto"/>
        <w:jc w:val="both"/>
        <w:rPr>
          <w:rFonts w:ascii="Verdana" w:hAnsi="Verdana" w:cs="Arial"/>
          <w:color w:val="000000" w:themeColor="text1"/>
          <w:lang w:val="es-ES"/>
        </w:rPr>
      </w:pPr>
    </w:p>
    <w:p w14:paraId="4B3840C8" w14:textId="0BC56E5C" w:rsidR="03BA848C" w:rsidRDefault="03BA848C" w:rsidP="03BA848C">
      <w:pPr>
        <w:widowControl w:val="0"/>
        <w:spacing w:after="0" w:line="276" w:lineRule="auto"/>
        <w:jc w:val="both"/>
        <w:rPr>
          <w:rFonts w:ascii="Verdana" w:hAnsi="Verdana" w:cs="Arial"/>
          <w:color w:val="000000" w:themeColor="text1"/>
          <w:lang w:val="es-ES"/>
        </w:rPr>
      </w:pPr>
    </w:p>
    <w:p w14:paraId="10CE608F" w14:textId="59BDE8D3" w:rsidR="03BA848C" w:rsidRDefault="03BA848C" w:rsidP="03BA848C">
      <w:pPr>
        <w:widowControl w:val="0"/>
        <w:spacing w:after="0" w:line="276" w:lineRule="auto"/>
        <w:jc w:val="both"/>
        <w:rPr>
          <w:rFonts w:ascii="Verdana" w:hAnsi="Verdana" w:cs="Arial"/>
          <w:color w:val="000000" w:themeColor="text1"/>
          <w:lang w:val="es-ES"/>
        </w:rPr>
      </w:pPr>
    </w:p>
    <w:p w14:paraId="7AF1F6D3" w14:textId="12967B41" w:rsidR="03BA848C" w:rsidRDefault="03BA848C" w:rsidP="03BA848C">
      <w:pPr>
        <w:widowControl w:val="0"/>
        <w:spacing w:after="0" w:line="276" w:lineRule="auto"/>
        <w:jc w:val="both"/>
        <w:rPr>
          <w:rFonts w:ascii="Verdana" w:hAnsi="Verdana" w:cs="Arial"/>
          <w:color w:val="000000" w:themeColor="text1"/>
          <w:lang w:val="es-ES"/>
        </w:rPr>
      </w:pPr>
    </w:p>
    <w:p w14:paraId="5282D992" w14:textId="77777777" w:rsidR="00AA67A0" w:rsidRPr="002069C6" w:rsidRDefault="00AA67A0" w:rsidP="00AA67A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2069C6">
        <w:rPr>
          <w:rFonts w:ascii="Verdana" w:eastAsia="Century Gothic" w:hAnsi="Verdana" w:cs="Century Gothic"/>
          <w:b/>
          <w:bCs/>
          <w:color w:val="000000" w:themeColor="text1"/>
        </w:rPr>
        <w:t>Doctrina de la Agencia Nacional de Contratación Pública:</w:t>
      </w:r>
    </w:p>
    <w:p w14:paraId="00E195CD" w14:textId="77777777" w:rsidR="00AA67A0" w:rsidRPr="002069C6" w:rsidRDefault="00AA67A0" w:rsidP="00AA67A0">
      <w:pPr>
        <w:widowControl w:val="0"/>
        <w:autoSpaceDE w:val="0"/>
        <w:autoSpaceDN w:val="0"/>
        <w:spacing w:after="0" w:line="276" w:lineRule="auto"/>
        <w:jc w:val="both"/>
        <w:rPr>
          <w:rFonts w:ascii="Verdana" w:hAnsi="Verdana" w:cs="Arial"/>
          <w:color w:val="000000" w:themeColor="text1"/>
          <w:lang w:val="es-ES"/>
        </w:rPr>
      </w:pPr>
    </w:p>
    <w:p w14:paraId="693C9231" w14:textId="77777777" w:rsidR="00AA67A0" w:rsidRPr="00195D74" w:rsidRDefault="00AA67A0" w:rsidP="00AA67A0">
      <w:pPr>
        <w:jc w:val="both"/>
        <w:rPr>
          <w:rStyle w:val="normaltextrun"/>
          <w:rFonts w:ascii="Verdana" w:eastAsia="Calibri" w:hAnsi="Verdana" w:cs="Arial"/>
          <w:b/>
          <w:bCs/>
          <w:lang w:val="es-ES" w:eastAsia="es-ES"/>
        </w:rPr>
      </w:pPr>
      <w:r w:rsidRPr="002069C6">
        <w:rPr>
          <w:rStyle w:val="normaltextrun"/>
          <w:rFonts w:ascii="Verdana" w:hAnsi="Verdana" w:cs="Arial"/>
          <w:color w:val="000000" w:themeColor="text1"/>
          <w:shd w:val="clear" w:color="auto" w:fill="FFFFFF"/>
          <w:lang w:val="es-ES"/>
        </w:rPr>
        <w:t>La Agencia Nacional de Contratación Pública – Colombia Compra Eficiente</w:t>
      </w:r>
      <w:r>
        <w:rPr>
          <w:rStyle w:val="normaltextrun"/>
          <w:rFonts w:ascii="Verdana" w:hAnsi="Verdana" w:cs="Arial"/>
          <w:color w:val="000000" w:themeColor="text1"/>
          <w:shd w:val="clear" w:color="auto" w:fill="FFFFFF"/>
          <w:lang w:val="es-ES"/>
        </w:rPr>
        <w:t xml:space="preserve"> </w:t>
      </w:r>
      <w:r>
        <w:rPr>
          <w:rFonts w:ascii="Verdana" w:eastAsia="Calibri" w:hAnsi="Verdana" w:cs="Arial"/>
          <w:lang w:val="es-ES_tradnl" w:eastAsia="es-ES_tradnl"/>
        </w:rPr>
        <w:t>se ha pronunciado s</w:t>
      </w:r>
      <w:r w:rsidRPr="008557D1">
        <w:rPr>
          <w:rFonts w:ascii="Verdana" w:eastAsia="Calibri" w:hAnsi="Verdana" w:cs="Arial"/>
          <w:lang w:val="es-ES_tradnl" w:eastAsia="es-ES_tradnl"/>
        </w:rPr>
        <w:t>obre el régimen de inhabilidades e incompatibilidades en los conceptos</w:t>
      </w:r>
      <w:r w:rsidRPr="008557D1">
        <w:rPr>
          <w:rFonts w:ascii="Verdana" w:eastAsia="Calibri" w:hAnsi="Verdana" w:cs="Arial"/>
          <w:lang w:val="es-MX"/>
        </w:rPr>
        <w:t xml:space="preserve"> C−491 del 14 de septiembre de 2021, C−522 del 1 de octubre de 2021, C−128 del 25 de marzo de 2022, C−252 del 3 de mayo de 2022, C−376 del 14 de junio de 2022, C−413 del 24 de junio de 2022, C−691 del 20 de octubre de 2022, C−731 del 10 de noviembre de 2022, C−928 del 26 de enero de 2023, C−126 del 24 de abril de 2023, C−175 del 4 de mayo de 2023, C−234 del 5 de julio de 2023, C−010 del 31 de enero de 2024</w:t>
      </w:r>
      <w:r>
        <w:rPr>
          <w:rFonts w:ascii="Verdana" w:eastAsia="Calibri" w:hAnsi="Verdana" w:cs="Arial"/>
          <w:lang w:val="es-MX"/>
        </w:rPr>
        <w:t xml:space="preserve">, </w:t>
      </w:r>
      <w:r w:rsidRPr="008557D1">
        <w:rPr>
          <w:rFonts w:ascii="Verdana" w:eastAsia="Calibri" w:hAnsi="Verdana" w:cs="Arial"/>
          <w:lang w:val="es-MX"/>
        </w:rPr>
        <w:t>C-039 del 23 de abril de 2024</w:t>
      </w:r>
      <w:r>
        <w:rPr>
          <w:rFonts w:ascii="Verdana" w:eastAsia="Calibri" w:hAnsi="Verdana" w:cs="Arial"/>
          <w:lang w:val="es-MX"/>
        </w:rPr>
        <w:t xml:space="preserve">, </w:t>
      </w:r>
      <w:r w:rsidRPr="00195D74">
        <w:rPr>
          <w:rFonts w:ascii="Verdana" w:eastAsia="Calibri" w:hAnsi="Verdana" w:cs="Arial"/>
          <w:lang w:val="es-ES" w:eastAsia="es-ES"/>
        </w:rPr>
        <w:t>C-1009 del 03 de agosto de 2025</w:t>
      </w:r>
      <w:r w:rsidRPr="008557D1">
        <w:rPr>
          <w:rFonts w:ascii="Verdana" w:hAnsi="Verdana" w:cs="Arial"/>
        </w:rPr>
        <w:t>. También se ha pronunciado sobre el conflicto de interés en los conceptos C-229 del 16 de abril de 2020, C-815 del 18 de febrero de 2021, C-449 del 31 de agosto de 2021, C-288 del 14 de julio de 2023, C-651 del 22 de octubre de 2024, C-680 del 15 de noviembre de 2024, C-693 del 19 de noviembre de 2024</w:t>
      </w:r>
      <w:r>
        <w:rPr>
          <w:rFonts w:ascii="Verdana" w:hAnsi="Verdana" w:cs="Arial"/>
        </w:rPr>
        <w:t xml:space="preserve">, </w:t>
      </w:r>
      <w:r w:rsidRPr="008557D1">
        <w:rPr>
          <w:rFonts w:ascii="Verdana" w:hAnsi="Verdana" w:cs="Arial"/>
        </w:rPr>
        <w:t>C-839 del 13 de diciembre de 2024</w:t>
      </w:r>
      <w:r>
        <w:rPr>
          <w:rFonts w:ascii="Verdana" w:hAnsi="Verdana" w:cs="Arial"/>
        </w:rPr>
        <w:t>, C-426 del 19 de mayo de 2025</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Estos y otros conceptos se encuentran disponibles para consulta en el Sistema de relatoría de la Agencia</w:t>
      </w:r>
      <w:r w:rsidRPr="00A1554D">
        <w:rPr>
          <w:rFonts w:ascii="Verdana" w:hAnsi="Verdana"/>
        </w:rPr>
        <w:t>, al cual puede acceder</w:t>
      </w:r>
      <w:r>
        <w:rPr>
          <w:rFonts w:ascii="Verdana" w:hAnsi="Verdana"/>
        </w:rPr>
        <w:t>se</w:t>
      </w:r>
      <w:r w:rsidRPr="00A1554D">
        <w:rPr>
          <w:rFonts w:ascii="Verdana" w:hAnsi="Verdana"/>
        </w:rPr>
        <w:t xml:space="preserve"> a través del siguiente enlace:</w:t>
      </w:r>
      <w:r w:rsidRPr="00A1554D">
        <w:rPr>
          <w:rStyle w:val="normaltextrun"/>
          <w:rFonts w:ascii="Verdana" w:hAnsi="Verdana" w:cs="Arial"/>
          <w:shd w:val="clear" w:color="auto" w:fill="FFFFFF"/>
          <w:lang w:val="es-ES"/>
        </w:rPr>
        <w:t xml:space="preserve"> </w:t>
      </w:r>
      <w:hyperlink r:id="rId12" w:history="1">
        <w:r w:rsidRPr="00A1554D">
          <w:rPr>
            <w:rStyle w:val="Hipervnculo"/>
            <w:rFonts w:ascii="Verdana" w:hAnsi="Verdana" w:cs="Arial"/>
            <w:shd w:val="clear" w:color="auto" w:fill="FFFFFF"/>
            <w:lang w:val="es-ES"/>
          </w:rPr>
          <w:t>https://relatoria.colombiacompra.gov.co/busqueda/conceptos</w:t>
        </w:r>
      </w:hyperlink>
      <w:r w:rsidRPr="00CD3D06">
        <w:rPr>
          <w:rStyle w:val="normaltextrun"/>
          <w:rFonts w:ascii="Verdana" w:hAnsi="Verdana" w:cs="Arial"/>
          <w:shd w:val="clear" w:color="auto" w:fill="FFFFFF"/>
          <w:lang w:val="es-ES"/>
        </w:rPr>
        <w:t>.</w:t>
      </w:r>
      <w:r>
        <w:rPr>
          <w:rStyle w:val="normaltextrun"/>
          <w:rFonts w:ascii="Verdana" w:hAnsi="Verdana" w:cs="Arial"/>
          <w:color w:val="FF0000"/>
          <w:shd w:val="clear" w:color="auto" w:fill="FFFFFF"/>
          <w:lang w:val="es-ES"/>
        </w:rPr>
        <w:t xml:space="preserve"> </w:t>
      </w:r>
    </w:p>
    <w:p w14:paraId="53C14EE6" w14:textId="77777777" w:rsidR="00AA67A0" w:rsidRPr="002069C6" w:rsidRDefault="00AA67A0" w:rsidP="00AA67A0">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39FC9E7A" w14:textId="77777777" w:rsidR="00AA67A0" w:rsidRPr="002069C6" w:rsidRDefault="00AA67A0" w:rsidP="00AA67A0">
      <w:pPr>
        <w:spacing w:after="0" w:line="276" w:lineRule="auto"/>
        <w:jc w:val="both"/>
        <w:rPr>
          <w:rFonts w:ascii="Verdana" w:hAnsi="Verdana"/>
          <w:lang w:val="es-ES"/>
        </w:rPr>
      </w:pPr>
      <w:r w:rsidRPr="002069C6">
        <w:rPr>
          <w:rFonts w:ascii="Verdana" w:hAnsi="Verdana"/>
          <w:lang w:val="es-ES"/>
        </w:rPr>
        <w:t xml:space="preserve">Por último, lo invitamos a seguirnos en las redes sociales en las cuales se difunde información institucional: </w:t>
      </w:r>
    </w:p>
    <w:p w14:paraId="2B588EC1" w14:textId="77777777" w:rsidR="00AA67A0" w:rsidRPr="002069C6" w:rsidRDefault="00AA67A0" w:rsidP="00AA67A0">
      <w:pPr>
        <w:spacing w:after="0" w:line="276" w:lineRule="auto"/>
        <w:jc w:val="both"/>
        <w:rPr>
          <w:rFonts w:ascii="Verdana" w:hAnsi="Verdana"/>
          <w:lang w:val="es-ES"/>
        </w:rPr>
      </w:pPr>
    </w:p>
    <w:p w14:paraId="7F69532F" w14:textId="77777777" w:rsidR="00AA67A0" w:rsidRPr="002069C6" w:rsidRDefault="00AA67A0" w:rsidP="00AA67A0">
      <w:pPr>
        <w:spacing w:after="0" w:line="276" w:lineRule="auto"/>
        <w:jc w:val="both"/>
        <w:rPr>
          <w:rFonts w:ascii="Verdana" w:hAnsi="Verdana"/>
          <w:lang w:val="es-ES"/>
        </w:rPr>
      </w:pPr>
      <w:r w:rsidRPr="002069C6">
        <w:rPr>
          <w:rFonts w:ascii="Verdana" w:hAnsi="Verdana"/>
          <w:lang w:val="es-ES"/>
        </w:rPr>
        <w:t xml:space="preserve">Twitter: </w:t>
      </w:r>
      <w:r w:rsidRPr="002069C6">
        <w:rPr>
          <w:rStyle w:val="Hipervnculo"/>
          <w:rFonts w:ascii="Verdana" w:hAnsi="Verdana" w:cs="Arial"/>
          <w:shd w:val="clear" w:color="auto" w:fill="FFFFFF"/>
          <w:lang w:val="es-ES"/>
        </w:rPr>
        <w:t>@colombiacompra</w:t>
      </w:r>
      <w:r w:rsidRPr="002069C6">
        <w:rPr>
          <w:rFonts w:ascii="Verdana" w:hAnsi="Verdana"/>
          <w:color w:val="4472C4" w:themeColor="accent1"/>
          <w:lang w:val="es-ES"/>
        </w:rPr>
        <w:t xml:space="preserve"> </w:t>
      </w:r>
    </w:p>
    <w:p w14:paraId="06A92073" w14:textId="77777777" w:rsidR="00AA67A0" w:rsidRPr="002069C6" w:rsidRDefault="00AA67A0" w:rsidP="00AA67A0">
      <w:pPr>
        <w:spacing w:after="0" w:line="276" w:lineRule="auto"/>
        <w:jc w:val="both"/>
        <w:rPr>
          <w:rFonts w:ascii="Verdana" w:hAnsi="Verdana"/>
          <w:lang w:val="es-ES"/>
        </w:rPr>
      </w:pPr>
      <w:r w:rsidRPr="002069C6">
        <w:rPr>
          <w:rFonts w:ascii="Verdana" w:hAnsi="Verdana"/>
          <w:lang w:val="es-ES"/>
        </w:rPr>
        <w:t xml:space="preserve">Facebook: </w:t>
      </w:r>
      <w:proofErr w:type="spellStart"/>
      <w:r w:rsidRPr="002069C6">
        <w:rPr>
          <w:rStyle w:val="Hipervnculo"/>
          <w:rFonts w:ascii="Verdana" w:hAnsi="Verdana" w:cs="Arial"/>
          <w:shd w:val="clear" w:color="auto" w:fill="FFFFFF"/>
          <w:lang w:val="es-ES"/>
        </w:rPr>
        <w:t>ColombiaCompraEficiente</w:t>
      </w:r>
      <w:proofErr w:type="spellEnd"/>
    </w:p>
    <w:p w14:paraId="214E7E52" w14:textId="77777777" w:rsidR="00AA67A0" w:rsidRPr="002069C6" w:rsidRDefault="00AA67A0" w:rsidP="00AA67A0">
      <w:pPr>
        <w:spacing w:after="0" w:line="276" w:lineRule="auto"/>
        <w:jc w:val="both"/>
        <w:rPr>
          <w:rFonts w:ascii="Verdana" w:hAnsi="Verdana"/>
          <w:lang w:val="es-ES"/>
        </w:rPr>
      </w:pPr>
      <w:r w:rsidRPr="002069C6">
        <w:rPr>
          <w:rFonts w:ascii="Verdana" w:hAnsi="Verdana"/>
          <w:lang w:val="es-ES"/>
        </w:rPr>
        <w:t xml:space="preserve">LinkedIn: </w:t>
      </w:r>
      <w:r w:rsidRPr="002069C6">
        <w:rPr>
          <w:rStyle w:val="Hipervnculo"/>
          <w:rFonts w:ascii="Verdana" w:hAnsi="Verdana" w:cs="Arial"/>
          <w:shd w:val="clear" w:color="auto" w:fill="FFFFFF"/>
          <w:lang w:val="es-ES"/>
        </w:rPr>
        <w:t xml:space="preserve">Agencia Nacional de Contratación Pública - Colombia Compra Eficiente </w:t>
      </w:r>
      <w:r w:rsidRPr="002069C6">
        <w:rPr>
          <w:rFonts w:ascii="Verdana" w:hAnsi="Verdana"/>
          <w:lang w:val="es-ES"/>
        </w:rPr>
        <w:t xml:space="preserve">Instagram: </w:t>
      </w:r>
      <w:r w:rsidRPr="002069C6">
        <w:rPr>
          <w:rStyle w:val="Hipervnculo"/>
          <w:rFonts w:ascii="Verdana" w:hAnsi="Verdana" w:cs="Arial"/>
          <w:shd w:val="clear" w:color="auto" w:fill="FFFFFF"/>
          <w:lang w:val="es-ES"/>
        </w:rPr>
        <w:t>@colombiacompraeficiente_cce</w:t>
      </w:r>
    </w:p>
    <w:p w14:paraId="5B50DF83" w14:textId="77777777" w:rsidR="00AA67A0" w:rsidRPr="002069C6" w:rsidRDefault="00AA67A0" w:rsidP="00AA67A0">
      <w:pPr>
        <w:widowControl w:val="0"/>
        <w:autoSpaceDE w:val="0"/>
        <w:autoSpaceDN w:val="0"/>
        <w:spacing w:after="0" w:line="276" w:lineRule="auto"/>
        <w:jc w:val="both"/>
        <w:rPr>
          <w:rFonts w:ascii="Verdana" w:hAnsi="Verdana" w:cs="Arial"/>
          <w:color w:val="000000" w:themeColor="text1"/>
          <w:lang w:val="es-ES"/>
        </w:rPr>
      </w:pPr>
    </w:p>
    <w:p w14:paraId="489B889E" w14:textId="77777777" w:rsidR="00AA67A0" w:rsidRPr="002069C6" w:rsidRDefault="00AA67A0" w:rsidP="00AA67A0">
      <w:pPr>
        <w:widowControl w:val="0"/>
        <w:autoSpaceDE w:val="0"/>
        <w:autoSpaceDN w:val="0"/>
        <w:spacing w:after="0" w:line="276" w:lineRule="auto"/>
        <w:jc w:val="both"/>
        <w:rPr>
          <w:rFonts w:ascii="Verdana" w:hAnsi="Verdana" w:cs="Arial"/>
          <w:color w:val="000000" w:themeColor="text1"/>
          <w:lang w:val="es-ES"/>
        </w:rPr>
      </w:pPr>
      <w:r w:rsidRPr="002069C6">
        <w:rPr>
          <w:rFonts w:ascii="Verdana" w:hAnsi="Verdana" w:cs="Arial"/>
          <w:color w:val="000000" w:themeColor="text1"/>
          <w:lang w:val="es-ES"/>
        </w:rPr>
        <w:lastRenderedPageBreak/>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11D5020C" w14:textId="77777777" w:rsidR="00AA67A0" w:rsidRPr="002069C6" w:rsidRDefault="00AA67A0" w:rsidP="00AA67A0">
      <w:pPr>
        <w:widowControl w:val="0"/>
        <w:autoSpaceDE w:val="0"/>
        <w:autoSpaceDN w:val="0"/>
        <w:spacing w:after="0" w:line="276" w:lineRule="auto"/>
        <w:jc w:val="both"/>
        <w:rPr>
          <w:rFonts w:ascii="Verdana" w:hAnsi="Verdana" w:cs="Arial"/>
          <w:color w:val="000000" w:themeColor="text1"/>
          <w:lang w:val="es-ES"/>
        </w:rPr>
      </w:pPr>
    </w:p>
    <w:p w14:paraId="33BC485F" w14:textId="77777777" w:rsidR="00AA67A0" w:rsidRPr="002069C6" w:rsidRDefault="00AA67A0" w:rsidP="00AA67A0">
      <w:pPr>
        <w:spacing w:after="0" w:line="276" w:lineRule="auto"/>
        <w:rPr>
          <w:rFonts w:ascii="Verdana" w:hAnsi="Verdana" w:cs="Arial"/>
          <w:color w:val="000000" w:themeColor="text1"/>
          <w:lang w:val="es-ES" w:eastAsia="es-CO"/>
        </w:rPr>
      </w:pPr>
      <w:r w:rsidRPr="002069C6">
        <w:rPr>
          <w:rFonts w:ascii="Verdana" w:eastAsia="Times New Roman" w:hAnsi="Verdana" w:cs="Arial"/>
          <w:color w:val="000000" w:themeColor="text1"/>
          <w:lang w:val="es-ES" w:eastAsia="es-CO"/>
        </w:rPr>
        <w:t>Atentamente,</w:t>
      </w:r>
      <w:r w:rsidRPr="002069C6">
        <w:rPr>
          <w:rFonts w:ascii="Verdana" w:hAnsi="Verdana" w:cs="Arial"/>
          <w:color w:val="000000" w:themeColor="text1"/>
          <w:lang w:val="es-ES" w:eastAsia="es-CO"/>
        </w:rPr>
        <w:t xml:space="preserve"> </w:t>
      </w:r>
    </w:p>
    <w:p w14:paraId="002CA288" w14:textId="6B05274E" w:rsidR="00F82390" w:rsidRDefault="004C06B0" w:rsidP="58C72561">
      <w:pPr>
        <w:spacing w:after="0" w:line="276" w:lineRule="auto"/>
      </w:pPr>
      <w:r>
        <w:rPr>
          <w:noProof/>
        </w:rPr>
        <w:drawing>
          <wp:anchor distT="0" distB="0" distL="114300" distR="114300" simplePos="0" relativeHeight="251659264" behindDoc="0" locked="0" layoutInCell="1" allowOverlap="1" wp14:anchorId="3FC1CFED" wp14:editId="08414827">
            <wp:simplePos x="0" y="0"/>
            <wp:positionH relativeFrom="column">
              <wp:posOffset>1284393</wp:posOffset>
            </wp:positionH>
            <wp:positionV relativeFrom="paragraph">
              <wp:posOffset>45085</wp:posOffset>
            </wp:positionV>
            <wp:extent cx="3222625" cy="1083310"/>
            <wp:effectExtent l="0" t="0" r="3175" b="0"/>
            <wp:wrapSquare wrapText="bothSides"/>
            <wp:docPr id="18424984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3">
                      <a:extLst>
                        <a:ext uri="{28A0092B-C50C-407E-A947-70E740481C1C}">
                          <a14:useLocalDpi xmlns:a14="http://schemas.microsoft.com/office/drawing/2010/main" val="0"/>
                        </a:ext>
                      </a:extLst>
                    </a:blip>
                    <a:srcRect b="20100"/>
                    <a:stretch/>
                  </pic:blipFill>
                  <pic:spPr bwMode="auto">
                    <a:xfrm>
                      <a:off x="0" y="0"/>
                      <a:ext cx="3222625" cy="108331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A67A0" w:rsidRPr="00D0638B" w14:paraId="00095BFA" w14:textId="77777777" w:rsidTr="00400F9D">
        <w:trPr>
          <w:trHeight w:val="315"/>
        </w:trPr>
        <w:tc>
          <w:tcPr>
            <w:tcW w:w="893" w:type="dxa"/>
            <w:vAlign w:val="center"/>
            <w:hideMark/>
          </w:tcPr>
          <w:p w14:paraId="515732AF" w14:textId="77777777" w:rsidR="00AA67A0" w:rsidRPr="00D0638B" w:rsidRDefault="00AA67A0" w:rsidP="00400F9D">
            <w:pPr>
              <w:contextualSpacing/>
              <w:rPr>
                <w:rFonts w:ascii="Verdana" w:hAnsi="Verdana" w:cs="Arial"/>
                <w:sz w:val="15"/>
                <w:szCs w:val="15"/>
                <w:lang w:val="es-ES" w:eastAsia="es-ES"/>
              </w:rPr>
            </w:pPr>
            <w:r w:rsidRPr="00D0638B">
              <w:rPr>
                <w:rFonts w:ascii="Verdana" w:hAnsi="Verdana" w:cs="Arial"/>
                <w:sz w:val="15"/>
                <w:szCs w:val="15"/>
                <w:lang w:val="es-ES" w:eastAsia="es-ES"/>
              </w:rPr>
              <w:t>Elaboró:</w:t>
            </w:r>
          </w:p>
        </w:tc>
        <w:tc>
          <w:tcPr>
            <w:tcW w:w="5628" w:type="dxa"/>
            <w:tcBorders>
              <w:top w:val="nil"/>
              <w:left w:val="nil"/>
              <w:bottom w:val="dotted" w:sz="4" w:space="0" w:color="7F7F7F" w:themeColor="text1" w:themeTint="80"/>
              <w:right w:val="nil"/>
            </w:tcBorders>
            <w:vAlign w:val="center"/>
            <w:hideMark/>
          </w:tcPr>
          <w:p w14:paraId="1940541F" w14:textId="77777777" w:rsidR="00AA67A0" w:rsidRPr="00D0638B" w:rsidRDefault="00AA67A0" w:rsidP="00400F9D">
            <w:pPr>
              <w:contextualSpacing/>
              <w:rPr>
                <w:rFonts w:ascii="Verdana" w:eastAsia="Arial" w:hAnsi="Verdana" w:cs="Arial"/>
                <w:color w:val="000000" w:themeColor="text1"/>
                <w:sz w:val="15"/>
                <w:szCs w:val="15"/>
                <w:lang w:val="es-ES"/>
              </w:rPr>
            </w:pPr>
            <w:r w:rsidRPr="00D0638B">
              <w:rPr>
                <w:rFonts w:ascii="Verdana" w:eastAsia="Arial" w:hAnsi="Verdana" w:cs="Arial"/>
                <w:color w:val="000000" w:themeColor="text1"/>
                <w:sz w:val="15"/>
                <w:szCs w:val="15"/>
                <w:lang w:val="es-ES"/>
              </w:rPr>
              <w:t>Anamaría Bonilla Prieto</w:t>
            </w:r>
          </w:p>
          <w:p w14:paraId="53E7D5FE" w14:textId="77777777" w:rsidR="00AA67A0" w:rsidRPr="00D0638B" w:rsidRDefault="00AA67A0" w:rsidP="00400F9D">
            <w:pPr>
              <w:contextualSpacing/>
              <w:rPr>
                <w:rFonts w:ascii="Verdana" w:eastAsia="Arial" w:hAnsi="Verdana" w:cs="Arial"/>
                <w:sz w:val="15"/>
                <w:szCs w:val="15"/>
                <w:lang w:val="es-ES"/>
              </w:rPr>
            </w:pPr>
            <w:r w:rsidRPr="00D0638B">
              <w:rPr>
                <w:rStyle w:val="normaltextrun"/>
                <w:rFonts w:ascii="Verdana" w:eastAsia="Arial" w:hAnsi="Verdana" w:cs="Arial"/>
                <w:color w:val="000000" w:themeColor="text1"/>
                <w:sz w:val="15"/>
                <w:szCs w:val="15"/>
                <w:lang w:val="es-ES"/>
              </w:rPr>
              <w:t xml:space="preserve">Contratista de la Subdirección </w:t>
            </w:r>
            <w:r w:rsidRPr="00D0638B">
              <w:rPr>
                <w:rStyle w:val="normaltextrun"/>
                <w:rFonts w:ascii="Verdana" w:eastAsia="Arial" w:hAnsi="Verdana" w:cs="Arial"/>
                <w:sz w:val="15"/>
                <w:szCs w:val="15"/>
                <w:lang w:val="es-ES"/>
              </w:rPr>
              <w:t>de Gestión Contractual</w:t>
            </w:r>
          </w:p>
        </w:tc>
      </w:tr>
      <w:tr w:rsidR="00AA67A0" w:rsidRPr="00D0638B" w14:paraId="4756C368" w14:textId="77777777" w:rsidTr="00400F9D">
        <w:trPr>
          <w:trHeight w:val="330"/>
        </w:trPr>
        <w:tc>
          <w:tcPr>
            <w:tcW w:w="893" w:type="dxa"/>
            <w:vAlign w:val="center"/>
            <w:hideMark/>
          </w:tcPr>
          <w:p w14:paraId="021A2C1D" w14:textId="77777777" w:rsidR="00AA67A0" w:rsidRPr="00D0638B" w:rsidRDefault="00AA67A0" w:rsidP="00400F9D">
            <w:pPr>
              <w:contextualSpacing/>
              <w:rPr>
                <w:rFonts w:ascii="Verdana" w:hAnsi="Verdana" w:cs="Arial"/>
                <w:sz w:val="15"/>
                <w:szCs w:val="15"/>
                <w:lang w:val="es-ES" w:eastAsia="es-ES"/>
              </w:rPr>
            </w:pPr>
            <w:r w:rsidRPr="00D0638B">
              <w:rPr>
                <w:rFonts w:ascii="Verdana" w:hAnsi="Verdana" w:cs="Arial"/>
                <w:sz w:val="15"/>
                <w:szCs w:val="15"/>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11B010B" w14:textId="77777777" w:rsidR="00AA67A0" w:rsidRPr="00D0638B" w:rsidRDefault="00AA67A0" w:rsidP="00400F9D">
            <w:pPr>
              <w:contextualSpacing/>
              <w:rPr>
                <w:rFonts w:ascii="Verdana" w:eastAsia="Arial" w:hAnsi="Verdana" w:cs="Arial"/>
                <w:color w:val="000000" w:themeColor="text1"/>
                <w:sz w:val="15"/>
                <w:szCs w:val="15"/>
              </w:rPr>
            </w:pPr>
            <w:r w:rsidRPr="00D0638B">
              <w:rPr>
                <w:rFonts w:ascii="Verdana" w:eastAsia="Arial" w:hAnsi="Verdana" w:cs="Arial"/>
                <w:color w:val="000000" w:themeColor="text1"/>
                <w:sz w:val="15"/>
                <w:szCs w:val="15"/>
              </w:rPr>
              <w:t>Alejandro Sarmiento Cantillo</w:t>
            </w:r>
          </w:p>
          <w:p w14:paraId="4403E672" w14:textId="77777777" w:rsidR="00AA67A0" w:rsidRPr="00D0638B" w:rsidRDefault="00AA67A0" w:rsidP="00400F9D">
            <w:pPr>
              <w:pStyle w:val="paragraph"/>
              <w:spacing w:before="0" w:beforeAutospacing="0" w:after="0" w:afterAutospacing="0"/>
              <w:contextualSpacing/>
              <w:textAlignment w:val="baseline"/>
              <w:rPr>
                <w:rFonts w:ascii="Verdana" w:hAnsi="Verdana" w:cs="Segoe UI"/>
                <w:sz w:val="15"/>
                <w:szCs w:val="15"/>
                <w:lang w:val="es-ES"/>
              </w:rPr>
            </w:pPr>
            <w:r w:rsidRPr="00D0638B">
              <w:rPr>
                <w:rFonts w:ascii="Verdana" w:eastAsia="Arial" w:hAnsi="Verdana" w:cs="Arial"/>
                <w:color w:val="000000" w:themeColor="text1"/>
                <w:sz w:val="15"/>
                <w:szCs w:val="15"/>
              </w:rPr>
              <w:t>Gestor T1 – 15 de la Subdirección de Gestión Contractual</w:t>
            </w:r>
            <w:r w:rsidRPr="00D0638B">
              <w:rPr>
                <w:rFonts w:ascii="Verdana" w:hAnsi="Verdana" w:cs="Segoe UI"/>
                <w:sz w:val="15"/>
                <w:szCs w:val="15"/>
                <w:lang w:val="es-ES"/>
              </w:rPr>
              <w:t> </w:t>
            </w:r>
          </w:p>
          <w:p w14:paraId="64AC76CF" w14:textId="77777777" w:rsidR="00AA67A0" w:rsidRPr="00D0638B" w:rsidRDefault="00AA67A0" w:rsidP="00400F9D">
            <w:pPr>
              <w:pStyle w:val="paragraph"/>
              <w:spacing w:before="0" w:beforeAutospacing="0" w:after="0" w:afterAutospacing="0"/>
              <w:contextualSpacing/>
              <w:textAlignment w:val="baseline"/>
              <w:rPr>
                <w:rFonts w:ascii="Verdana" w:hAnsi="Verdana" w:cs="Segoe UI"/>
                <w:sz w:val="15"/>
                <w:szCs w:val="15"/>
                <w:lang w:val="es-ES"/>
              </w:rPr>
            </w:pPr>
          </w:p>
        </w:tc>
      </w:tr>
      <w:tr w:rsidR="00AA67A0" w:rsidRPr="00D0638B" w14:paraId="0DDB2C3B" w14:textId="77777777" w:rsidTr="00400F9D">
        <w:trPr>
          <w:trHeight w:val="300"/>
        </w:trPr>
        <w:tc>
          <w:tcPr>
            <w:tcW w:w="893" w:type="dxa"/>
            <w:vAlign w:val="center"/>
          </w:tcPr>
          <w:p w14:paraId="66934F4F" w14:textId="77777777" w:rsidR="00AA67A0" w:rsidRPr="00D0638B" w:rsidRDefault="00AA67A0" w:rsidP="00400F9D">
            <w:pPr>
              <w:contextualSpacing/>
              <w:rPr>
                <w:rFonts w:ascii="Verdana" w:hAnsi="Verdana" w:cs="Arial"/>
                <w:sz w:val="15"/>
                <w:szCs w:val="15"/>
                <w:lang w:val="es-ES" w:eastAsia="es-ES"/>
              </w:rPr>
            </w:pPr>
            <w:r w:rsidRPr="00D0638B">
              <w:rPr>
                <w:rFonts w:ascii="Verdana" w:hAnsi="Verdana" w:cs="Arial"/>
                <w:sz w:val="15"/>
                <w:szCs w:val="15"/>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C56846F" w14:textId="1000D866" w:rsidR="00AA67A0" w:rsidRPr="00D0638B" w:rsidRDefault="00504297" w:rsidP="00400F9D">
            <w:pPr>
              <w:contextualSpacing/>
              <w:rPr>
                <w:rFonts w:ascii="Verdana" w:eastAsia="Calibri" w:hAnsi="Verdana" w:cs="Arial"/>
                <w:sz w:val="15"/>
                <w:szCs w:val="15"/>
                <w:lang w:val="es-ES" w:eastAsia="es-ES"/>
              </w:rPr>
            </w:pPr>
            <w:r>
              <w:rPr>
                <w:rFonts w:ascii="Verdana" w:eastAsia="Calibri" w:hAnsi="Verdana" w:cs="Arial"/>
                <w:sz w:val="15"/>
                <w:szCs w:val="15"/>
                <w:lang w:val="es-ES" w:eastAsia="es-ES"/>
              </w:rPr>
              <w:t>Ana María Tolosa Rico (E)</w:t>
            </w:r>
          </w:p>
          <w:p w14:paraId="5E235E07" w14:textId="77777777" w:rsidR="00AA67A0" w:rsidRPr="00D0638B" w:rsidRDefault="00AA67A0" w:rsidP="00400F9D">
            <w:pPr>
              <w:contextualSpacing/>
              <w:rPr>
                <w:rFonts w:ascii="Verdana" w:eastAsia="Calibri" w:hAnsi="Verdana" w:cs="Arial"/>
                <w:sz w:val="15"/>
                <w:szCs w:val="15"/>
                <w:lang w:val="es-ES" w:eastAsia="es-ES"/>
              </w:rPr>
            </w:pPr>
            <w:r w:rsidRPr="00D0638B">
              <w:rPr>
                <w:rFonts w:ascii="Verdana" w:eastAsia="Calibri" w:hAnsi="Verdana" w:cs="Arial"/>
                <w:sz w:val="15"/>
                <w:szCs w:val="15"/>
                <w:lang w:val="es-ES" w:eastAsia="es-ES"/>
              </w:rPr>
              <w:t>Subdirectora de Gestión Contractual ANCP – CCE</w:t>
            </w:r>
          </w:p>
        </w:tc>
      </w:tr>
      <w:bookmarkEnd w:id="0"/>
    </w:tbl>
    <w:p w14:paraId="2C3C8650" w14:textId="77777777" w:rsidR="00AA67A0" w:rsidRPr="002069C6" w:rsidRDefault="00AA67A0" w:rsidP="00AA67A0">
      <w:pPr>
        <w:spacing w:after="0"/>
        <w:rPr>
          <w:rFonts w:ascii="Verdana" w:hAnsi="Verdana"/>
          <w:lang w:val="es-ES"/>
        </w:rPr>
      </w:pPr>
    </w:p>
    <w:p w14:paraId="28F96B5A" w14:textId="77777777" w:rsidR="00AA67A0" w:rsidRPr="00BB25A1" w:rsidRDefault="00AA67A0" w:rsidP="00AA67A0"/>
    <w:p w14:paraId="03982FB2" w14:textId="77777777" w:rsidR="00AA67A0" w:rsidRPr="003819D8" w:rsidRDefault="00AA67A0" w:rsidP="00AA67A0"/>
    <w:p w14:paraId="0F293BF4" w14:textId="04FCF3FB" w:rsidR="00127233" w:rsidRPr="00B944B8" w:rsidRDefault="00127233" w:rsidP="00B944B8"/>
    <w:sectPr w:rsidR="00127233" w:rsidRPr="00B944B8"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BEE12A" w14:textId="77777777" w:rsidR="00D35907" w:rsidRDefault="00D35907" w:rsidP="004A1847">
      <w:pPr>
        <w:spacing w:after="0" w:line="240" w:lineRule="auto"/>
      </w:pPr>
      <w:r>
        <w:separator/>
      </w:r>
    </w:p>
  </w:endnote>
  <w:endnote w:type="continuationSeparator" w:id="0">
    <w:p w14:paraId="1F463267" w14:textId="77777777" w:rsidR="00D35907" w:rsidRDefault="00D35907" w:rsidP="004A1847">
      <w:pPr>
        <w:spacing w:after="0" w:line="240" w:lineRule="auto"/>
      </w:pPr>
      <w:r>
        <w:continuationSeparator/>
      </w:r>
    </w:p>
  </w:endnote>
  <w:endnote w:type="continuationNotice" w:id="1">
    <w:p w14:paraId="535A9DC1" w14:textId="77777777" w:rsidR="00D35907" w:rsidRDefault="00D3590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4E76B" w14:textId="77777777" w:rsidR="00D35907" w:rsidRDefault="00D35907" w:rsidP="004A1847">
      <w:pPr>
        <w:spacing w:after="0" w:line="240" w:lineRule="auto"/>
      </w:pPr>
      <w:r>
        <w:separator/>
      </w:r>
    </w:p>
  </w:footnote>
  <w:footnote w:type="continuationSeparator" w:id="0">
    <w:p w14:paraId="51E7CBC3" w14:textId="77777777" w:rsidR="00D35907" w:rsidRDefault="00D35907" w:rsidP="004A1847">
      <w:pPr>
        <w:spacing w:after="0" w:line="240" w:lineRule="auto"/>
      </w:pPr>
      <w:r>
        <w:continuationSeparator/>
      </w:r>
    </w:p>
  </w:footnote>
  <w:footnote w:type="continuationNotice" w:id="1">
    <w:p w14:paraId="1CD093B2" w14:textId="77777777" w:rsidR="00D35907" w:rsidRDefault="00D35907">
      <w:pPr>
        <w:spacing w:after="0" w:line="240" w:lineRule="auto"/>
      </w:pPr>
    </w:p>
  </w:footnote>
  <w:footnote w:id="2">
    <w:p w14:paraId="5CA3DF76" w14:textId="77777777" w:rsidR="00AA67A0" w:rsidRPr="009C276B" w:rsidRDefault="00AA67A0" w:rsidP="00AA67A0">
      <w:pPr>
        <w:pStyle w:val="Textonotapie"/>
        <w:snapToGrid w:val="0"/>
        <w:ind w:firstLine="687"/>
        <w:contextualSpacing/>
        <w:jc w:val="both"/>
        <w:rPr>
          <w:rFonts w:ascii="Verdana" w:hAnsi="Verdana"/>
          <w:sz w:val="16"/>
          <w:szCs w:val="16"/>
          <w:lang/>
        </w:rPr>
      </w:pPr>
      <w:r w:rsidRPr="00976BF2">
        <w:rPr>
          <w:rStyle w:val="Refdenotaalpie"/>
          <w:rFonts w:ascii="Verdana" w:hAnsi="Verdana"/>
          <w:sz w:val="16"/>
          <w:szCs w:val="16"/>
        </w:rPr>
        <w:footnoteRef/>
      </w:r>
      <w:r w:rsidRPr="00976BF2">
        <w:rPr>
          <w:rFonts w:ascii="Verdana" w:hAnsi="Verdana"/>
          <w:sz w:val="16"/>
          <w:szCs w:val="16"/>
        </w:rPr>
        <w:t xml:space="preserve"> </w:t>
      </w:r>
      <w:r w:rsidRPr="00976BF2">
        <w:rPr>
          <w:rFonts w:ascii="Verdana" w:hAnsi="Verdana"/>
          <w:sz w:val="16"/>
          <w:szCs w:val="16"/>
          <w:lang w:val="es-ES"/>
        </w:rPr>
        <w:t>Al respecto el artículo 71 de la Ley 222 de 1995 dispone: “</w:t>
      </w:r>
      <w:r w:rsidRPr="00976BF2">
        <w:rPr>
          <w:rFonts w:ascii="Verdana" w:hAnsi="Verdana"/>
          <w:sz w:val="16"/>
          <w:szCs w:val="16"/>
          <w:lang/>
        </w:rPr>
        <w:t xml:space="preserve">Mediante la Empresa Unipersonal una persona natural o jurídica que reúna las calidades requeridas para ejercer el comercio, podrá destinar parte de sus activos para la realización de una o varias actividades de carácter mercantil. </w:t>
      </w:r>
      <w:r w:rsidRPr="009C276B">
        <w:rPr>
          <w:rFonts w:ascii="Verdana" w:hAnsi="Verdana"/>
          <w:sz w:val="16"/>
          <w:szCs w:val="16"/>
          <w:lang/>
        </w:rPr>
        <w:t>La Empresa Unipersonal, una vez inscrita en el registro mercantil, forma una persona jurídica.</w:t>
      </w:r>
    </w:p>
    <w:p w14:paraId="15C08F45" w14:textId="77777777" w:rsidR="00AA67A0" w:rsidRPr="00976BF2" w:rsidRDefault="00AA67A0" w:rsidP="00AA67A0">
      <w:pPr>
        <w:pStyle w:val="Textonotapie"/>
        <w:snapToGrid w:val="0"/>
        <w:contextualSpacing/>
        <w:jc w:val="both"/>
        <w:rPr>
          <w:rFonts w:ascii="Verdana" w:hAnsi="Verdana"/>
          <w:sz w:val="16"/>
          <w:szCs w:val="16"/>
          <w:lang/>
        </w:rPr>
      </w:pPr>
      <w:r w:rsidRPr="00976BF2">
        <w:rPr>
          <w:rFonts w:ascii="Verdana" w:hAnsi="Verdana"/>
          <w:sz w:val="16"/>
          <w:szCs w:val="16"/>
          <w:lang/>
        </w:rPr>
        <w:t>Parágrafo.</w:t>
      </w:r>
      <w:r w:rsidRPr="009C276B">
        <w:rPr>
          <w:rFonts w:ascii="Verdana" w:hAnsi="Verdana"/>
          <w:sz w:val="16"/>
          <w:szCs w:val="16"/>
          <w:lang/>
        </w:rPr>
        <w:t> Cuando se utilice la empresa unipersonal en fraude a la ley o en perjuicio de terceros, el titular de las cuotas de capital y los administradores que hubieren realizado, participado o facilitado los actos defraudatorios, responderán solidariamente por las obligaciones nacidas de tales actos y por los perjuicios causados.</w:t>
      </w:r>
    </w:p>
  </w:footnote>
  <w:footnote w:id="3">
    <w:p w14:paraId="4C43F4BB" w14:textId="77777777" w:rsidR="00AA67A0" w:rsidRPr="00976BF2" w:rsidRDefault="00AA67A0" w:rsidP="00AA67A0">
      <w:pPr>
        <w:tabs>
          <w:tab w:val="left" w:pos="8222"/>
        </w:tabs>
        <w:snapToGrid w:val="0"/>
        <w:spacing w:after="0" w:line="240" w:lineRule="auto"/>
        <w:ind w:right="49" w:firstLine="687"/>
        <w:contextualSpacing/>
        <w:jc w:val="both"/>
        <w:rPr>
          <w:rFonts w:ascii="Verdana" w:hAnsi="Verdana" w:cs="Arial"/>
          <w:sz w:val="16"/>
          <w:szCs w:val="16"/>
        </w:rPr>
      </w:pPr>
      <w:r w:rsidRPr="00976BF2">
        <w:rPr>
          <w:rStyle w:val="Refdenotaalpie"/>
          <w:rFonts w:ascii="Verdana" w:hAnsi="Verdana" w:cs="Arial"/>
          <w:sz w:val="16"/>
          <w:szCs w:val="16"/>
        </w:rPr>
        <w:footnoteRef/>
      </w:r>
      <w:r w:rsidRPr="00976BF2">
        <w:rPr>
          <w:rFonts w:ascii="Verdana" w:hAnsi="Verdana" w:cs="Arial"/>
          <w:sz w:val="16"/>
          <w:szCs w:val="16"/>
        </w:rPr>
        <w:t xml:space="preserve"> </w:t>
      </w:r>
      <w:r w:rsidRPr="00976BF2">
        <w:rPr>
          <w:rFonts w:ascii="Verdana" w:hAnsi="Verdana" w:cs="Arial"/>
          <w:spacing w:val="-1"/>
          <w:sz w:val="16"/>
          <w:szCs w:val="16"/>
        </w:rPr>
        <w:t xml:space="preserve">“Art. 98. Por el contrato de sociedad dos o más personas </w:t>
      </w:r>
      <w:r w:rsidRPr="00976BF2">
        <w:rPr>
          <w:rFonts w:ascii="Verdana" w:hAnsi="Verdana" w:cs="Arial"/>
          <w:sz w:val="16"/>
          <w:szCs w:val="16"/>
        </w:rPr>
        <w:t>se obligan a hacer un aporte en</w:t>
      </w:r>
      <w:r w:rsidRPr="00976BF2">
        <w:rPr>
          <w:rFonts w:ascii="Verdana" w:hAnsi="Verdana" w:cs="Arial"/>
          <w:spacing w:val="1"/>
          <w:sz w:val="16"/>
          <w:szCs w:val="16"/>
        </w:rPr>
        <w:t xml:space="preserve"> </w:t>
      </w:r>
      <w:r w:rsidRPr="00976BF2">
        <w:rPr>
          <w:rFonts w:ascii="Verdana" w:hAnsi="Verdana" w:cs="Arial"/>
          <w:sz w:val="16"/>
          <w:szCs w:val="16"/>
        </w:rPr>
        <w:t>dinero, en trabajo o en</w:t>
      </w:r>
      <w:r w:rsidRPr="00976BF2">
        <w:rPr>
          <w:rFonts w:ascii="Verdana" w:hAnsi="Verdana" w:cs="Arial"/>
          <w:spacing w:val="1"/>
          <w:sz w:val="16"/>
          <w:szCs w:val="16"/>
        </w:rPr>
        <w:t xml:space="preserve"> </w:t>
      </w:r>
      <w:r w:rsidRPr="00976BF2">
        <w:rPr>
          <w:rFonts w:ascii="Verdana" w:hAnsi="Verdana" w:cs="Arial"/>
          <w:sz w:val="16"/>
          <w:szCs w:val="16"/>
        </w:rPr>
        <w:t>otros bienes apreciables en dinero, con el fin de repartirse entre sí las</w:t>
      </w:r>
      <w:r w:rsidRPr="00976BF2">
        <w:rPr>
          <w:rFonts w:ascii="Verdana" w:hAnsi="Verdana" w:cs="Arial"/>
          <w:spacing w:val="1"/>
          <w:sz w:val="16"/>
          <w:szCs w:val="16"/>
        </w:rPr>
        <w:t xml:space="preserve"> </w:t>
      </w:r>
      <w:r w:rsidRPr="00976BF2">
        <w:rPr>
          <w:rFonts w:ascii="Verdana" w:hAnsi="Verdana" w:cs="Arial"/>
          <w:sz w:val="16"/>
          <w:szCs w:val="16"/>
        </w:rPr>
        <w:t>utilidades</w:t>
      </w:r>
      <w:r w:rsidRPr="00976BF2">
        <w:rPr>
          <w:rFonts w:ascii="Verdana" w:hAnsi="Verdana" w:cs="Arial"/>
          <w:spacing w:val="18"/>
          <w:sz w:val="16"/>
          <w:szCs w:val="16"/>
        </w:rPr>
        <w:t xml:space="preserve"> </w:t>
      </w:r>
      <w:r w:rsidRPr="00976BF2">
        <w:rPr>
          <w:rFonts w:ascii="Verdana" w:hAnsi="Verdana" w:cs="Arial"/>
          <w:sz w:val="16"/>
          <w:szCs w:val="16"/>
        </w:rPr>
        <w:t>obtenidas</w:t>
      </w:r>
      <w:r w:rsidRPr="00976BF2">
        <w:rPr>
          <w:rFonts w:ascii="Verdana" w:hAnsi="Verdana" w:cs="Arial"/>
          <w:spacing w:val="18"/>
          <w:sz w:val="16"/>
          <w:szCs w:val="16"/>
        </w:rPr>
        <w:t xml:space="preserve"> </w:t>
      </w:r>
      <w:r w:rsidRPr="00976BF2">
        <w:rPr>
          <w:rFonts w:ascii="Verdana" w:hAnsi="Verdana" w:cs="Arial"/>
          <w:sz w:val="16"/>
          <w:szCs w:val="16"/>
        </w:rPr>
        <w:t>en</w:t>
      </w:r>
      <w:r w:rsidRPr="00976BF2">
        <w:rPr>
          <w:rFonts w:ascii="Verdana" w:hAnsi="Verdana" w:cs="Arial"/>
          <w:spacing w:val="2"/>
          <w:sz w:val="16"/>
          <w:szCs w:val="16"/>
        </w:rPr>
        <w:t xml:space="preserve"> </w:t>
      </w:r>
      <w:r w:rsidRPr="00976BF2">
        <w:rPr>
          <w:rFonts w:ascii="Verdana" w:hAnsi="Verdana" w:cs="Arial"/>
          <w:sz w:val="16"/>
          <w:szCs w:val="16"/>
        </w:rPr>
        <w:t>la</w:t>
      </w:r>
      <w:r w:rsidRPr="00976BF2">
        <w:rPr>
          <w:rFonts w:ascii="Verdana" w:hAnsi="Verdana" w:cs="Arial"/>
          <w:spacing w:val="5"/>
          <w:sz w:val="16"/>
          <w:szCs w:val="16"/>
        </w:rPr>
        <w:t xml:space="preserve"> </w:t>
      </w:r>
      <w:r w:rsidRPr="00976BF2">
        <w:rPr>
          <w:rFonts w:ascii="Verdana" w:hAnsi="Verdana" w:cs="Arial"/>
          <w:sz w:val="16"/>
          <w:szCs w:val="16"/>
        </w:rPr>
        <w:t>empresa</w:t>
      </w:r>
      <w:r w:rsidRPr="00976BF2">
        <w:rPr>
          <w:rFonts w:ascii="Verdana" w:hAnsi="Verdana" w:cs="Arial"/>
          <w:spacing w:val="12"/>
          <w:sz w:val="16"/>
          <w:szCs w:val="16"/>
        </w:rPr>
        <w:t xml:space="preserve"> </w:t>
      </w:r>
      <w:r w:rsidRPr="00976BF2">
        <w:rPr>
          <w:rFonts w:ascii="Verdana" w:hAnsi="Verdana" w:cs="Arial"/>
          <w:sz w:val="16"/>
          <w:szCs w:val="16"/>
        </w:rPr>
        <w:t>o</w:t>
      </w:r>
      <w:r w:rsidRPr="00976BF2">
        <w:rPr>
          <w:rFonts w:ascii="Verdana" w:hAnsi="Verdana" w:cs="Arial"/>
          <w:spacing w:val="2"/>
          <w:sz w:val="16"/>
          <w:szCs w:val="16"/>
        </w:rPr>
        <w:t xml:space="preserve"> </w:t>
      </w:r>
      <w:r w:rsidRPr="00976BF2">
        <w:rPr>
          <w:rFonts w:ascii="Verdana" w:hAnsi="Verdana" w:cs="Arial"/>
          <w:sz w:val="16"/>
          <w:szCs w:val="16"/>
        </w:rPr>
        <w:t>actividad</w:t>
      </w:r>
      <w:r w:rsidRPr="00976BF2">
        <w:rPr>
          <w:rFonts w:ascii="Verdana" w:hAnsi="Verdana" w:cs="Arial"/>
          <w:spacing w:val="16"/>
          <w:sz w:val="16"/>
          <w:szCs w:val="16"/>
        </w:rPr>
        <w:t xml:space="preserve"> </w:t>
      </w:r>
      <w:r w:rsidRPr="00976BF2">
        <w:rPr>
          <w:rFonts w:ascii="Verdana" w:hAnsi="Verdana" w:cs="Arial"/>
          <w:sz w:val="16"/>
          <w:szCs w:val="16"/>
        </w:rPr>
        <w:t>social.</w:t>
      </w:r>
    </w:p>
    <w:p w14:paraId="661074B6" w14:textId="77777777" w:rsidR="00AA67A0" w:rsidRPr="00976BF2" w:rsidRDefault="00AA67A0" w:rsidP="00AA67A0">
      <w:pPr>
        <w:tabs>
          <w:tab w:val="left" w:pos="8222"/>
        </w:tabs>
        <w:snapToGrid w:val="0"/>
        <w:spacing w:after="0" w:line="240" w:lineRule="auto"/>
        <w:ind w:right="49" w:firstLine="687"/>
        <w:contextualSpacing/>
        <w:jc w:val="both"/>
        <w:rPr>
          <w:rFonts w:ascii="Verdana" w:hAnsi="Verdana" w:cs="Arial"/>
          <w:sz w:val="16"/>
          <w:szCs w:val="16"/>
        </w:rPr>
      </w:pPr>
      <w:r w:rsidRPr="00976BF2">
        <w:rPr>
          <w:rFonts w:ascii="Verdana" w:hAnsi="Verdana" w:cs="Arial"/>
          <w:sz w:val="16"/>
          <w:szCs w:val="16"/>
        </w:rPr>
        <w:t>La sociedad, una vez constituida legalmente. forma una persona jurídica distinta de los</w:t>
      </w:r>
      <w:r w:rsidRPr="00976BF2">
        <w:rPr>
          <w:rFonts w:ascii="Verdana" w:hAnsi="Verdana" w:cs="Arial"/>
          <w:spacing w:val="1"/>
          <w:sz w:val="16"/>
          <w:szCs w:val="16"/>
        </w:rPr>
        <w:t xml:space="preserve"> </w:t>
      </w:r>
      <w:r w:rsidRPr="00976BF2">
        <w:rPr>
          <w:rFonts w:ascii="Verdana" w:hAnsi="Verdana" w:cs="Arial"/>
          <w:sz w:val="16"/>
          <w:szCs w:val="16"/>
        </w:rPr>
        <w:t>socios</w:t>
      </w:r>
      <w:r w:rsidRPr="00976BF2">
        <w:rPr>
          <w:rFonts w:ascii="Verdana" w:hAnsi="Verdana" w:cs="Arial"/>
          <w:spacing w:val="14"/>
          <w:sz w:val="16"/>
          <w:szCs w:val="16"/>
        </w:rPr>
        <w:t xml:space="preserve"> </w:t>
      </w:r>
      <w:r w:rsidRPr="00976BF2">
        <w:rPr>
          <w:rFonts w:ascii="Verdana" w:hAnsi="Verdana" w:cs="Arial"/>
          <w:sz w:val="16"/>
          <w:szCs w:val="16"/>
        </w:rPr>
        <w:t>individualmente</w:t>
      </w:r>
      <w:r w:rsidRPr="00976BF2">
        <w:rPr>
          <w:rFonts w:ascii="Verdana" w:hAnsi="Verdana" w:cs="Arial"/>
          <w:spacing w:val="28"/>
          <w:sz w:val="16"/>
          <w:szCs w:val="16"/>
        </w:rPr>
        <w:t xml:space="preserve"> </w:t>
      </w:r>
      <w:r w:rsidRPr="00976BF2">
        <w:rPr>
          <w:rFonts w:ascii="Verdana" w:hAnsi="Verdana" w:cs="Arial"/>
          <w:sz w:val="16"/>
          <w:szCs w:val="16"/>
        </w:rPr>
        <w:t>considerados”.</w:t>
      </w:r>
    </w:p>
  </w:footnote>
  <w:footnote w:id="4">
    <w:p w14:paraId="205A4E99" w14:textId="77777777" w:rsidR="00AA67A0" w:rsidRPr="00976BF2" w:rsidRDefault="00AA67A0" w:rsidP="00AA67A0">
      <w:pPr>
        <w:tabs>
          <w:tab w:val="left" w:pos="8222"/>
        </w:tabs>
        <w:snapToGrid w:val="0"/>
        <w:spacing w:after="0" w:line="240" w:lineRule="auto"/>
        <w:ind w:right="49" w:firstLine="687"/>
        <w:contextualSpacing/>
        <w:jc w:val="both"/>
        <w:rPr>
          <w:rFonts w:ascii="Verdana" w:hAnsi="Verdana" w:cs="Arial"/>
          <w:sz w:val="16"/>
          <w:szCs w:val="16"/>
        </w:rPr>
      </w:pPr>
      <w:r w:rsidRPr="00976BF2">
        <w:rPr>
          <w:rStyle w:val="Refdenotaalpie"/>
          <w:rFonts w:ascii="Verdana" w:hAnsi="Verdana" w:cs="Arial"/>
          <w:sz w:val="16"/>
          <w:szCs w:val="16"/>
        </w:rPr>
        <w:footnoteRef/>
      </w:r>
      <w:r w:rsidRPr="00976BF2">
        <w:rPr>
          <w:rFonts w:ascii="Verdana" w:hAnsi="Verdana" w:cs="Arial"/>
          <w:sz w:val="16"/>
          <w:szCs w:val="16"/>
        </w:rPr>
        <w:t xml:space="preserve"> “Art.</w:t>
      </w:r>
      <w:r w:rsidRPr="00976BF2">
        <w:rPr>
          <w:rFonts w:ascii="Verdana" w:hAnsi="Verdana" w:cs="Arial"/>
          <w:spacing w:val="52"/>
          <w:sz w:val="16"/>
          <w:szCs w:val="16"/>
        </w:rPr>
        <w:t xml:space="preserve"> </w:t>
      </w:r>
      <w:r w:rsidRPr="00976BF2">
        <w:rPr>
          <w:rFonts w:ascii="Verdana" w:hAnsi="Verdana" w:cs="Arial"/>
          <w:sz w:val="16"/>
          <w:szCs w:val="16"/>
        </w:rPr>
        <w:t>100. Se tendrán como comerciales. para</w:t>
      </w:r>
      <w:r w:rsidRPr="00976BF2">
        <w:rPr>
          <w:rFonts w:ascii="Verdana" w:hAnsi="Verdana" w:cs="Arial"/>
          <w:spacing w:val="53"/>
          <w:sz w:val="16"/>
          <w:szCs w:val="16"/>
        </w:rPr>
        <w:t xml:space="preserve"> </w:t>
      </w:r>
      <w:r w:rsidRPr="00976BF2">
        <w:rPr>
          <w:rFonts w:ascii="Verdana" w:hAnsi="Verdana" w:cs="Arial"/>
          <w:sz w:val="16"/>
          <w:szCs w:val="16"/>
        </w:rPr>
        <w:t>todos los efectos legales las sociedades</w:t>
      </w:r>
      <w:r w:rsidRPr="00976BF2">
        <w:rPr>
          <w:rFonts w:ascii="Verdana" w:hAnsi="Verdana" w:cs="Arial"/>
          <w:spacing w:val="1"/>
          <w:sz w:val="16"/>
          <w:szCs w:val="16"/>
        </w:rPr>
        <w:t xml:space="preserve"> </w:t>
      </w:r>
      <w:r w:rsidRPr="00976BF2">
        <w:rPr>
          <w:rFonts w:ascii="Verdana" w:hAnsi="Verdana" w:cs="Arial"/>
          <w:spacing w:val="-1"/>
          <w:sz w:val="16"/>
          <w:szCs w:val="16"/>
        </w:rPr>
        <w:t xml:space="preserve">que se formen para la ejecución de actos o empresas </w:t>
      </w:r>
      <w:r w:rsidRPr="00976BF2">
        <w:rPr>
          <w:rFonts w:ascii="Verdana" w:hAnsi="Verdana" w:cs="Arial"/>
          <w:sz w:val="16"/>
          <w:szCs w:val="16"/>
        </w:rPr>
        <w:t>mercantiles. Si la empresa social comprende</w:t>
      </w:r>
      <w:r w:rsidRPr="00976BF2">
        <w:rPr>
          <w:rFonts w:ascii="Verdana" w:hAnsi="Verdana" w:cs="Arial"/>
          <w:spacing w:val="1"/>
          <w:sz w:val="16"/>
          <w:szCs w:val="16"/>
        </w:rPr>
        <w:t xml:space="preserve"> </w:t>
      </w:r>
      <w:r w:rsidRPr="00976BF2">
        <w:rPr>
          <w:rFonts w:ascii="Verdana" w:hAnsi="Verdana" w:cs="Arial"/>
          <w:sz w:val="16"/>
          <w:szCs w:val="16"/>
        </w:rPr>
        <w:t>actos mercantiles y actos que no tengan esa calidad, la sociedad será comercial. Las sociedades</w:t>
      </w:r>
      <w:r w:rsidRPr="00976BF2">
        <w:rPr>
          <w:rFonts w:ascii="Verdana" w:hAnsi="Verdana" w:cs="Arial"/>
          <w:spacing w:val="1"/>
          <w:sz w:val="16"/>
          <w:szCs w:val="16"/>
        </w:rPr>
        <w:t xml:space="preserve"> </w:t>
      </w:r>
      <w:r w:rsidRPr="00976BF2">
        <w:rPr>
          <w:rFonts w:ascii="Verdana" w:hAnsi="Verdana" w:cs="Arial"/>
          <w:sz w:val="16"/>
          <w:szCs w:val="16"/>
        </w:rPr>
        <w:t>que</w:t>
      </w:r>
      <w:r w:rsidRPr="00976BF2">
        <w:rPr>
          <w:rFonts w:ascii="Verdana" w:hAnsi="Verdana" w:cs="Arial"/>
          <w:spacing w:val="7"/>
          <w:sz w:val="16"/>
          <w:szCs w:val="16"/>
        </w:rPr>
        <w:t xml:space="preserve"> </w:t>
      </w:r>
      <w:r w:rsidRPr="00976BF2">
        <w:rPr>
          <w:rFonts w:ascii="Verdana" w:hAnsi="Verdana" w:cs="Arial"/>
          <w:sz w:val="16"/>
          <w:szCs w:val="16"/>
        </w:rPr>
        <w:t>no</w:t>
      </w:r>
      <w:r w:rsidRPr="00976BF2">
        <w:rPr>
          <w:rFonts w:ascii="Verdana" w:hAnsi="Verdana" w:cs="Arial"/>
          <w:spacing w:val="1"/>
          <w:sz w:val="16"/>
          <w:szCs w:val="16"/>
        </w:rPr>
        <w:t xml:space="preserve"> </w:t>
      </w:r>
      <w:r w:rsidRPr="00976BF2">
        <w:rPr>
          <w:rFonts w:ascii="Verdana" w:hAnsi="Verdana" w:cs="Arial"/>
          <w:sz w:val="16"/>
          <w:szCs w:val="16"/>
        </w:rPr>
        <w:t>contemplen</w:t>
      </w:r>
      <w:r w:rsidRPr="00976BF2">
        <w:rPr>
          <w:rFonts w:ascii="Verdana" w:hAnsi="Verdana" w:cs="Arial"/>
          <w:spacing w:val="25"/>
          <w:sz w:val="16"/>
          <w:szCs w:val="16"/>
        </w:rPr>
        <w:t xml:space="preserve"> </w:t>
      </w:r>
      <w:r w:rsidRPr="00976BF2">
        <w:rPr>
          <w:rFonts w:ascii="Verdana" w:hAnsi="Verdana" w:cs="Arial"/>
          <w:sz w:val="16"/>
          <w:szCs w:val="16"/>
        </w:rPr>
        <w:t>en</w:t>
      </w:r>
      <w:r w:rsidRPr="00976BF2">
        <w:rPr>
          <w:rFonts w:ascii="Verdana" w:hAnsi="Verdana" w:cs="Arial"/>
          <w:spacing w:val="7"/>
          <w:sz w:val="16"/>
          <w:szCs w:val="16"/>
        </w:rPr>
        <w:t xml:space="preserve"> </w:t>
      </w:r>
      <w:r w:rsidRPr="00976BF2">
        <w:rPr>
          <w:rFonts w:ascii="Verdana" w:hAnsi="Verdana" w:cs="Arial"/>
          <w:sz w:val="16"/>
          <w:szCs w:val="16"/>
        </w:rPr>
        <w:t>su</w:t>
      </w:r>
      <w:r w:rsidRPr="00976BF2">
        <w:rPr>
          <w:rFonts w:ascii="Verdana" w:hAnsi="Verdana" w:cs="Arial"/>
          <w:spacing w:val="9"/>
          <w:sz w:val="16"/>
          <w:szCs w:val="16"/>
        </w:rPr>
        <w:t xml:space="preserve"> </w:t>
      </w:r>
      <w:r w:rsidRPr="00976BF2">
        <w:rPr>
          <w:rFonts w:ascii="Verdana" w:hAnsi="Verdana" w:cs="Arial"/>
          <w:sz w:val="16"/>
          <w:szCs w:val="16"/>
        </w:rPr>
        <w:t>objeto</w:t>
      </w:r>
      <w:r w:rsidRPr="00976BF2">
        <w:rPr>
          <w:rFonts w:ascii="Verdana" w:hAnsi="Verdana" w:cs="Arial"/>
          <w:spacing w:val="5"/>
          <w:sz w:val="16"/>
          <w:szCs w:val="16"/>
        </w:rPr>
        <w:t xml:space="preserve"> </w:t>
      </w:r>
      <w:r w:rsidRPr="00976BF2">
        <w:rPr>
          <w:rFonts w:ascii="Verdana" w:hAnsi="Verdana" w:cs="Arial"/>
          <w:sz w:val="16"/>
          <w:szCs w:val="16"/>
        </w:rPr>
        <w:t>social</w:t>
      </w:r>
      <w:r w:rsidRPr="00976BF2">
        <w:rPr>
          <w:rFonts w:ascii="Verdana" w:hAnsi="Verdana" w:cs="Arial"/>
          <w:spacing w:val="3"/>
          <w:sz w:val="16"/>
          <w:szCs w:val="16"/>
        </w:rPr>
        <w:t xml:space="preserve"> </w:t>
      </w:r>
      <w:r w:rsidRPr="00976BF2">
        <w:rPr>
          <w:rFonts w:ascii="Verdana" w:hAnsi="Verdana" w:cs="Arial"/>
          <w:sz w:val="16"/>
          <w:szCs w:val="16"/>
        </w:rPr>
        <w:t>actos</w:t>
      </w:r>
      <w:r w:rsidRPr="00976BF2">
        <w:rPr>
          <w:rFonts w:ascii="Verdana" w:hAnsi="Verdana" w:cs="Arial"/>
          <w:spacing w:val="14"/>
          <w:sz w:val="16"/>
          <w:szCs w:val="16"/>
        </w:rPr>
        <w:t xml:space="preserve"> </w:t>
      </w:r>
      <w:r w:rsidRPr="00976BF2">
        <w:rPr>
          <w:rFonts w:ascii="Verdana" w:hAnsi="Verdana" w:cs="Arial"/>
          <w:sz w:val="16"/>
          <w:szCs w:val="16"/>
        </w:rPr>
        <w:t>mercantiles</w:t>
      </w:r>
      <w:r w:rsidRPr="00976BF2">
        <w:rPr>
          <w:rFonts w:ascii="Verdana" w:hAnsi="Verdana" w:cs="Arial"/>
          <w:spacing w:val="19"/>
          <w:sz w:val="16"/>
          <w:szCs w:val="16"/>
        </w:rPr>
        <w:t xml:space="preserve"> </w:t>
      </w:r>
      <w:r w:rsidRPr="00976BF2">
        <w:rPr>
          <w:rFonts w:ascii="Verdana" w:hAnsi="Verdana" w:cs="Arial"/>
          <w:sz w:val="16"/>
          <w:szCs w:val="16"/>
        </w:rPr>
        <w:t>serán</w:t>
      </w:r>
      <w:r w:rsidRPr="00976BF2">
        <w:rPr>
          <w:rFonts w:ascii="Verdana" w:hAnsi="Verdana" w:cs="Arial"/>
          <w:spacing w:val="10"/>
          <w:sz w:val="16"/>
          <w:szCs w:val="16"/>
        </w:rPr>
        <w:t xml:space="preserve"> </w:t>
      </w:r>
      <w:r w:rsidRPr="00976BF2">
        <w:rPr>
          <w:rFonts w:ascii="Verdana" w:hAnsi="Verdana" w:cs="Arial"/>
          <w:sz w:val="16"/>
          <w:szCs w:val="16"/>
        </w:rPr>
        <w:t>civiles.</w:t>
      </w:r>
    </w:p>
    <w:p w14:paraId="43860D50" w14:textId="77777777" w:rsidR="00AA67A0" w:rsidRPr="00976BF2" w:rsidRDefault="00AA67A0" w:rsidP="00AA67A0">
      <w:pPr>
        <w:tabs>
          <w:tab w:val="left" w:pos="8222"/>
        </w:tabs>
        <w:snapToGrid w:val="0"/>
        <w:spacing w:after="0" w:line="240" w:lineRule="auto"/>
        <w:ind w:right="49" w:firstLine="687"/>
        <w:contextualSpacing/>
        <w:jc w:val="both"/>
        <w:rPr>
          <w:rFonts w:ascii="Verdana" w:hAnsi="Verdana" w:cs="Arial"/>
          <w:sz w:val="16"/>
          <w:szCs w:val="16"/>
          <w:lang w:val="es-ES"/>
        </w:rPr>
      </w:pPr>
      <w:r w:rsidRPr="00976BF2">
        <w:rPr>
          <w:rFonts w:ascii="Verdana" w:hAnsi="Verdana" w:cs="Arial"/>
          <w:sz w:val="16"/>
          <w:szCs w:val="16"/>
        </w:rPr>
        <w:t>Sin embargo, cualquiera que sea su objeto. las sociedades comerciales y civiles estarán</w:t>
      </w:r>
      <w:r w:rsidRPr="00976BF2">
        <w:rPr>
          <w:rFonts w:ascii="Verdana" w:hAnsi="Verdana" w:cs="Arial"/>
          <w:spacing w:val="1"/>
          <w:sz w:val="16"/>
          <w:szCs w:val="16"/>
        </w:rPr>
        <w:t xml:space="preserve"> </w:t>
      </w:r>
      <w:r w:rsidRPr="00976BF2">
        <w:rPr>
          <w:rFonts w:ascii="Verdana" w:hAnsi="Verdana" w:cs="Arial"/>
          <w:sz w:val="16"/>
          <w:szCs w:val="16"/>
        </w:rPr>
        <w:t>sujetas,</w:t>
      </w:r>
      <w:r w:rsidRPr="00976BF2">
        <w:rPr>
          <w:rFonts w:ascii="Verdana" w:hAnsi="Verdana" w:cs="Arial"/>
          <w:spacing w:val="4"/>
          <w:sz w:val="16"/>
          <w:szCs w:val="16"/>
        </w:rPr>
        <w:t xml:space="preserve"> </w:t>
      </w:r>
      <w:r w:rsidRPr="00976BF2">
        <w:rPr>
          <w:rFonts w:ascii="Verdana" w:hAnsi="Verdana" w:cs="Arial"/>
          <w:sz w:val="16"/>
          <w:szCs w:val="16"/>
        </w:rPr>
        <w:t>para</w:t>
      </w:r>
      <w:r w:rsidRPr="00976BF2">
        <w:rPr>
          <w:rFonts w:ascii="Verdana" w:hAnsi="Verdana" w:cs="Arial"/>
          <w:spacing w:val="22"/>
          <w:sz w:val="16"/>
          <w:szCs w:val="16"/>
        </w:rPr>
        <w:t xml:space="preserve"> </w:t>
      </w:r>
      <w:r w:rsidRPr="00976BF2">
        <w:rPr>
          <w:rFonts w:ascii="Verdana" w:hAnsi="Verdana" w:cs="Arial"/>
          <w:sz w:val="16"/>
          <w:szCs w:val="16"/>
        </w:rPr>
        <w:t>todos</w:t>
      </w:r>
      <w:r w:rsidRPr="00976BF2">
        <w:rPr>
          <w:rFonts w:ascii="Verdana" w:hAnsi="Verdana" w:cs="Arial"/>
          <w:spacing w:val="14"/>
          <w:sz w:val="16"/>
          <w:szCs w:val="16"/>
        </w:rPr>
        <w:t xml:space="preserve"> </w:t>
      </w:r>
      <w:r w:rsidRPr="00976BF2">
        <w:rPr>
          <w:rFonts w:ascii="Verdana" w:hAnsi="Verdana" w:cs="Arial"/>
          <w:sz w:val="16"/>
          <w:szCs w:val="16"/>
        </w:rPr>
        <w:t>los</w:t>
      </w:r>
      <w:r w:rsidRPr="00976BF2">
        <w:rPr>
          <w:rFonts w:ascii="Verdana" w:hAnsi="Verdana" w:cs="Arial"/>
          <w:spacing w:val="19"/>
          <w:sz w:val="16"/>
          <w:szCs w:val="16"/>
        </w:rPr>
        <w:t xml:space="preserve"> </w:t>
      </w:r>
      <w:r w:rsidRPr="00976BF2">
        <w:rPr>
          <w:rFonts w:ascii="Verdana" w:hAnsi="Verdana" w:cs="Arial"/>
          <w:sz w:val="16"/>
          <w:szCs w:val="16"/>
        </w:rPr>
        <w:t>efectos,</w:t>
      </w:r>
      <w:r w:rsidRPr="00976BF2">
        <w:rPr>
          <w:rFonts w:ascii="Verdana" w:hAnsi="Verdana" w:cs="Arial"/>
          <w:spacing w:val="15"/>
          <w:sz w:val="16"/>
          <w:szCs w:val="16"/>
        </w:rPr>
        <w:t xml:space="preserve"> </w:t>
      </w:r>
      <w:r w:rsidRPr="00976BF2">
        <w:rPr>
          <w:rFonts w:ascii="Verdana" w:hAnsi="Verdana" w:cs="Arial"/>
          <w:sz w:val="16"/>
          <w:szCs w:val="16"/>
        </w:rPr>
        <w:t>a</w:t>
      </w:r>
      <w:r w:rsidRPr="00976BF2">
        <w:rPr>
          <w:rFonts w:ascii="Verdana" w:hAnsi="Verdana" w:cs="Arial"/>
          <w:spacing w:val="9"/>
          <w:sz w:val="16"/>
          <w:szCs w:val="16"/>
        </w:rPr>
        <w:t xml:space="preserve"> </w:t>
      </w:r>
      <w:r w:rsidRPr="00976BF2">
        <w:rPr>
          <w:rFonts w:ascii="Verdana" w:hAnsi="Verdana" w:cs="Arial"/>
          <w:sz w:val="16"/>
          <w:szCs w:val="16"/>
        </w:rPr>
        <w:t>la</w:t>
      </w:r>
      <w:r w:rsidRPr="00976BF2">
        <w:rPr>
          <w:rFonts w:ascii="Verdana" w:hAnsi="Verdana" w:cs="Arial"/>
          <w:spacing w:val="30"/>
          <w:sz w:val="16"/>
          <w:szCs w:val="16"/>
        </w:rPr>
        <w:t xml:space="preserve"> </w:t>
      </w:r>
      <w:r w:rsidRPr="00976BF2">
        <w:rPr>
          <w:rFonts w:ascii="Verdana" w:hAnsi="Verdana" w:cs="Arial"/>
          <w:sz w:val="16"/>
          <w:szCs w:val="16"/>
        </w:rPr>
        <w:t>legislación</w:t>
      </w:r>
      <w:r w:rsidRPr="00976BF2">
        <w:rPr>
          <w:rFonts w:ascii="Verdana" w:hAnsi="Verdana" w:cs="Arial"/>
          <w:spacing w:val="7"/>
          <w:sz w:val="16"/>
          <w:szCs w:val="16"/>
        </w:rPr>
        <w:t xml:space="preserve"> </w:t>
      </w:r>
      <w:r w:rsidRPr="00976BF2">
        <w:rPr>
          <w:rFonts w:ascii="Verdana" w:hAnsi="Verdana" w:cs="Arial"/>
          <w:sz w:val="16"/>
          <w:szCs w:val="16"/>
        </w:rPr>
        <w:t>mercantil”.</w:t>
      </w:r>
    </w:p>
  </w:footnote>
  <w:footnote w:id="5">
    <w:p w14:paraId="08B985B7" w14:textId="77777777" w:rsidR="00AA67A0" w:rsidRPr="00976BF2" w:rsidRDefault="00AA67A0" w:rsidP="00AA67A0">
      <w:pPr>
        <w:tabs>
          <w:tab w:val="left" w:pos="8222"/>
        </w:tabs>
        <w:snapToGrid w:val="0"/>
        <w:spacing w:after="0" w:line="240" w:lineRule="auto"/>
        <w:ind w:right="51" w:firstLine="687"/>
        <w:contextualSpacing/>
        <w:jc w:val="both"/>
        <w:rPr>
          <w:rFonts w:ascii="Verdana" w:hAnsi="Verdana" w:cs="Arial"/>
          <w:sz w:val="16"/>
          <w:szCs w:val="16"/>
          <w:lang w:val="es-ES"/>
        </w:rPr>
      </w:pPr>
      <w:r w:rsidRPr="00976BF2">
        <w:rPr>
          <w:rStyle w:val="Refdenotaalpie"/>
          <w:rFonts w:ascii="Verdana" w:hAnsi="Verdana" w:cs="Arial"/>
          <w:sz w:val="16"/>
          <w:szCs w:val="16"/>
        </w:rPr>
        <w:footnoteRef/>
      </w:r>
      <w:r w:rsidRPr="00976BF2">
        <w:rPr>
          <w:rFonts w:ascii="Verdana" w:hAnsi="Verdana" w:cs="Arial"/>
          <w:sz w:val="16"/>
          <w:szCs w:val="16"/>
        </w:rPr>
        <w:t xml:space="preserve"> BARRERO</w:t>
      </w:r>
      <w:r w:rsidRPr="00976BF2">
        <w:rPr>
          <w:rFonts w:ascii="Verdana" w:hAnsi="Verdana" w:cs="Arial"/>
          <w:spacing w:val="2"/>
          <w:sz w:val="16"/>
          <w:szCs w:val="16"/>
        </w:rPr>
        <w:t xml:space="preserve"> </w:t>
      </w:r>
      <w:r w:rsidRPr="00976BF2">
        <w:rPr>
          <w:rFonts w:ascii="Verdana" w:hAnsi="Verdana" w:cs="Arial"/>
          <w:sz w:val="16"/>
          <w:szCs w:val="16"/>
        </w:rPr>
        <w:t>BUITRAGO,</w:t>
      </w:r>
      <w:r w:rsidRPr="00976BF2">
        <w:rPr>
          <w:rFonts w:ascii="Verdana" w:hAnsi="Verdana" w:cs="Arial"/>
          <w:spacing w:val="-2"/>
          <w:sz w:val="16"/>
          <w:szCs w:val="16"/>
        </w:rPr>
        <w:t xml:space="preserve"> </w:t>
      </w:r>
      <w:r w:rsidRPr="00976BF2">
        <w:rPr>
          <w:rFonts w:ascii="Verdana" w:hAnsi="Verdana" w:cs="Arial"/>
          <w:sz w:val="16"/>
          <w:szCs w:val="16"/>
        </w:rPr>
        <w:t>Álvaro.</w:t>
      </w:r>
      <w:r w:rsidRPr="00976BF2">
        <w:rPr>
          <w:rFonts w:ascii="Verdana" w:hAnsi="Verdana" w:cs="Arial"/>
          <w:spacing w:val="3"/>
          <w:sz w:val="16"/>
          <w:szCs w:val="16"/>
        </w:rPr>
        <w:t xml:space="preserve"> </w:t>
      </w:r>
      <w:r w:rsidRPr="00976BF2">
        <w:rPr>
          <w:rFonts w:ascii="Verdana" w:hAnsi="Verdana" w:cs="Arial"/>
          <w:sz w:val="16"/>
          <w:szCs w:val="16"/>
        </w:rPr>
        <w:t>Manual</w:t>
      </w:r>
      <w:r w:rsidRPr="00976BF2">
        <w:rPr>
          <w:rFonts w:ascii="Verdana" w:hAnsi="Verdana" w:cs="Arial"/>
          <w:spacing w:val="2"/>
          <w:sz w:val="16"/>
          <w:szCs w:val="16"/>
        </w:rPr>
        <w:t xml:space="preserve"> </w:t>
      </w:r>
      <w:r w:rsidRPr="00976BF2">
        <w:rPr>
          <w:rFonts w:ascii="Verdana" w:hAnsi="Verdana" w:cs="Arial"/>
          <w:sz w:val="16"/>
          <w:szCs w:val="16"/>
        </w:rPr>
        <w:t>para</w:t>
      </w:r>
      <w:r w:rsidRPr="00976BF2">
        <w:rPr>
          <w:rFonts w:ascii="Verdana" w:hAnsi="Verdana" w:cs="Arial"/>
          <w:spacing w:val="-6"/>
          <w:sz w:val="16"/>
          <w:szCs w:val="16"/>
        </w:rPr>
        <w:t xml:space="preserve"> </w:t>
      </w:r>
      <w:r w:rsidRPr="00976BF2">
        <w:rPr>
          <w:rFonts w:ascii="Verdana" w:hAnsi="Verdana" w:cs="Arial"/>
          <w:sz w:val="16"/>
          <w:szCs w:val="16"/>
        </w:rPr>
        <w:t>el</w:t>
      </w:r>
      <w:r w:rsidRPr="00976BF2">
        <w:rPr>
          <w:rFonts w:ascii="Verdana" w:hAnsi="Verdana" w:cs="Arial"/>
          <w:spacing w:val="-4"/>
          <w:sz w:val="16"/>
          <w:szCs w:val="16"/>
        </w:rPr>
        <w:t xml:space="preserve"> </w:t>
      </w:r>
      <w:r w:rsidRPr="00976BF2">
        <w:rPr>
          <w:rFonts w:ascii="Verdana" w:hAnsi="Verdana" w:cs="Arial"/>
          <w:sz w:val="16"/>
          <w:szCs w:val="16"/>
        </w:rPr>
        <w:t>establecimiento</w:t>
      </w:r>
      <w:r w:rsidRPr="00976BF2">
        <w:rPr>
          <w:rFonts w:ascii="Verdana" w:hAnsi="Verdana" w:cs="Arial"/>
          <w:spacing w:val="10"/>
          <w:sz w:val="16"/>
          <w:szCs w:val="16"/>
        </w:rPr>
        <w:t xml:space="preserve"> </w:t>
      </w:r>
      <w:r w:rsidRPr="00976BF2">
        <w:rPr>
          <w:rFonts w:ascii="Verdana" w:hAnsi="Verdana" w:cs="Arial"/>
          <w:sz w:val="16"/>
          <w:szCs w:val="16"/>
        </w:rPr>
        <w:t>de</w:t>
      </w:r>
      <w:r w:rsidRPr="00976BF2">
        <w:rPr>
          <w:rFonts w:ascii="Verdana" w:hAnsi="Verdana" w:cs="Arial"/>
          <w:spacing w:val="2"/>
          <w:sz w:val="16"/>
          <w:szCs w:val="16"/>
        </w:rPr>
        <w:t xml:space="preserve"> </w:t>
      </w:r>
      <w:r w:rsidRPr="00976BF2">
        <w:rPr>
          <w:rFonts w:ascii="Verdana" w:hAnsi="Verdana" w:cs="Arial"/>
          <w:sz w:val="16"/>
          <w:szCs w:val="16"/>
        </w:rPr>
        <w:t>sociedades.</w:t>
      </w:r>
      <w:r w:rsidRPr="00976BF2">
        <w:rPr>
          <w:rFonts w:ascii="Verdana" w:hAnsi="Verdana" w:cs="Arial"/>
          <w:spacing w:val="2"/>
          <w:sz w:val="16"/>
          <w:szCs w:val="16"/>
        </w:rPr>
        <w:t xml:space="preserve"> </w:t>
      </w:r>
      <w:r w:rsidRPr="00976BF2">
        <w:rPr>
          <w:rFonts w:ascii="Verdana" w:hAnsi="Verdana" w:cs="Arial"/>
          <w:sz w:val="16"/>
          <w:szCs w:val="16"/>
        </w:rPr>
        <w:t>4ª</w:t>
      </w:r>
      <w:r w:rsidRPr="00976BF2">
        <w:rPr>
          <w:rFonts w:ascii="Verdana" w:hAnsi="Verdana" w:cs="Arial"/>
          <w:spacing w:val="3"/>
          <w:sz w:val="16"/>
          <w:szCs w:val="16"/>
        </w:rPr>
        <w:t xml:space="preserve"> </w:t>
      </w:r>
      <w:r w:rsidRPr="00976BF2">
        <w:rPr>
          <w:rFonts w:ascii="Verdana" w:hAnsi="Verdana" w:cs="Arial"/>
          <w:sz w:val="16"/>
          <w:szCs w:val="16"/>
        </w:rPr>
        <w:t xml:space="preserve">edición. </w:t>
      </w:r>
      <w:r w:rsidRPr="00976BF2">
        <w:rPr>
          <w:rFonts w:ascii="Verdana" w:hAnsi="Verdana" w:cs="Arial"/>
          <w:spacing w:val="-1"/>
          <w:sz w:val="16"/>
          <w:szCs w:val="16"/>
        </w:rPr>
        <w:t>Bogotá:</w:t>
      </w:r>
      <w:r w:rsidRPr="00976BF2">
        <w:rPr>
          <w:rFonts w:ascii="Verdana" w:hAnsi="Verdana" w:cs="Arial"/>
          <w:spacing w:val="10"/>
          <w:sz w:val="16"/>
          <w:szCs w:val="16"/>
        </w:rPr>
        <w:t xml:space="preserve"> </w:t>
      </w:r>
      <w:r w:rsidRPr="00976BF2">
        <w:rPr>
          <w:rFonts w:ascii="Verdana" w:hAnsi="Verdana" w:cs="Arial"/>
          <w:spacing w:val="-1"/>
          <w:sz w:val="16"/>
          <w:szCs w:val="16"/>
        </w:rPr>
        <w:t>Ed.</w:t>
      </w:r>
      <w:r w:rsidRPr="00976BF2">
        <w:rPr>
          <w:rFonts w:ascii="Verdana" w:hAnsi="Verdana" w:cs="Arial"/>
          <w:spacing w:val="-10"/>
          <w:sz w:val="16"/>
          <w:szCs w:val="16"/>
        </w:rPr>
        <w:t xml:space="preserve"> </w:t>
      </w:r>
      <w:r w:rsidRPr="00976BF2">
        <w:rPr>
          <w:rFonts w:ascii="Verdana" w:hAnsi="Verdana" w:cs="Arial"/>
          <w:spacing w:val="-1"/>
          <w:sz w:val="16"/>
          <w:szCs w:val="16"/>
        </w:rPr>
        <w:t>Librería</w:t>
      </w:r>
      <w:r w:rsidRPr="00976BF2">
        <w:rPr>
          <w:rFonts w:ascii="Verdana" w:hAnsi="Verdana" w:cs="Arial"/>
          <w:sz w:val="16"/>
          <w:szCs w:val="16"/>
        </w:rPr>
        <w:t xml:space="preserve"> </w:t>
      </w:r>
      <w:r w:rsidRPr="00976BF2">
        <w:rPr>
          <w:rFonts w:ascii="Verdana" w:hAnsi="Verdana" w:cs="Arial"/>
          <w:spacing w:val="-1"/>
          <w:sz w:val="16"/>
          <w:szCs w:val="16"/>
        </w:rPr>
        <w:t>del</w:t>
      </w:r>
      <w:r w:rsidRPr="00976BF2">
        <w:rPr>
          <w:rFonts w:ascii="Verdana" w:hAnsi="Verdana" w:cs="Arial"/>
          <w:spacing w:val="24"/>
          <w:sz w:val="16"/>
          <w:szCs w:val="16"/>
        </w:rPr>
        <w:t xml:space="preserve"> </w:t>
      </w:r>
      <w:r w:rsidRPr="00976BF2">
        <w:rPr>
          <w:rFonts w:ascii="Verdana" w:hAnsi="Verdana" w:cs="Arial"/>
          <w:spacing w:val="-1"/>
          <w:sz w:val="16"/>
          <w:szCs w:val="16"/>
        </w:rPr>
        <w:t>Profesional.</w:t>
      </w:r>
      <w:r w:rsidRPr="00976BF2">
        <w:rPr>
          <w:rFonts w:ascii="Verdana" w:hAnsi="Verdana" w:cs="Arial"/>
          <w:spacing w:val="-17"/>
          <w:sz w:val="16"/>
          <w:szCs w:val="16"/>
        </w:rPr>
        <w:t xml:space="preserve"> </w:t>
      </w:r>
      <w:r w:rsidRPr="00976BF2">
        <w:rPr>
          <w:rFonts w:ascii="Verdana" w:hAnsi="Verdana" w:cs="Arial"/>
          <w:sz w:val="16"/>
          <w:szCs w:val="16"/>
        </w:rPr>
        <w:t>2006,</w:t>
      </w:r>
      <w:r w:rsidRPr="00976BF2">
        <w:rPr>
          <w:rFonts w:ascii="Verdana" w:hAnsi="Verdana" w:cs="Arial"/>
          <w:spacing w:val="-19"/>
          <w:sz w:val="16"/>
          <w:szCs w:val="16"/>
        </w:rPr>
        <w:t xml:space="preserve"> </w:t>
      </w:r>
      <w:r w:rsidRPr="00976BF2">
        <w:rPr>
          <w:rFonts w:ascii="Verdana" w:hAnsi="Verdana" w:cs="Arial"/>
          <w:sz w:val="16"/>
          <w:szCs w:val="16"/>
        </w:rPr>
        <w:t>p.</w:t>
      </w:r>
      <w:r w:rsidRPr="00976BF2">
        <w:rPr>
          <w:rFonts w:ascii="Verdana" w:hAnsi="Verdana" w:cs="Arial"/>
          <w:spacing w:val="-33"/>
          <w:sz w:val="16"/>
          <w:szCs w:val="16"/>
        </w:rPr>
        <w:t xml:space="preserve"> </w:t>
      </w:r>
      <w:r w:rsidRPr="00976BF2">
        <w:rPr>
          <w:rFonts w:ascii="Verdana" w:hAnsi="Verdana" w:cs="Arial"/>
          <w:sz w:val="16"/>
          <w:szCs w:val="16"/>
        </w:rPr>
        <w:t xml:space="preserve">45-49. </w:t>
      </w:r>
    </w:p>
  </w:footnote>
  <w:footnote w:id="6">
    <w:p w14:paraId="504B742D" w14:textId="77777777" w:rsidR="00AA67A0" w:rsidRPr="00976BF2" w:rsidRDefault="00AA67A0" w:rsidP="00AA67A0">
      <w:pPr>
        <w:tabs>
          <w:tab w:val="left" w:pos="8222"/>
        </w:tabs>
        <w:snapToGrid w:val="0"/>
        <w:spacing w:after="0" w:line="240" w:lineRule="auto"/>
        <w:ind w:right="49" w:firstLine="687"/>
        <w:contextualSpacing/>
        <w:jc w:val="both"/>
        <w:rPr>
          <w:rFonts w:ascii="Verdana" w:hAnsi="Verdana" w:cs="Arial"/>
          <w:sz w:val="16"/>
          <w:szCs w:val="16"/>
          <w:lang w:val="es-ES"/>
        </w:rPr>
      </w:pPr>
      <w:r w:rsidRPr="00976BF2">
        <w:rPr>
          <w:rStyle w:val="Refdenotaalpie"/>
          <w:rFonts w:ascii="Verdana" w:hAnsi="Verdana" w:cs="Arial"/>
          <w:sz w:val="16"/>
          <w:szCs w:val="16"/>
          <w:lang w:val="es-MX"/>
        </w:rPr>
        <w:footnoteRef/>
      </w:r>
      <w:r w:rsidRPr="00976BF2">
        <w:rPr>
          <w:rStyle w:val="Refdenotaalpie"/>
          <w:rFonts w:ascii="Verdana" w:hAnsi="Verdana" w:cs="Arial"/>
          <w:sz w:val="16"/>
          <w:szCs w:val="16"/>
          <w:lang w:val="es-MX"/>
        </w:rPr>
        <w:t xml:space="preserve"> </w:t>
      </w:r>
      <w:r w:rsidRPr="00976BF2">
        <w:rPr>
          <w:rFonts w:ascii="Verdana" w:hAnsi="Verdana" w:cs="Arial"/>
          <w:sz w:val="16"/>
          <w:szCs w:val="16"/>
        </w:rPr>
        <w:t>Para José Ignacio Narváez en las sociedades</w:t>
      </w:r>
      <w:r w:rsidRPr="00976BF2">
        <w:rPr>
          <w:rFonts w:ascii="Verdana" w:hAnsi="Verdana" w:cs="Arial"/>
          <w:spacing w:val="1"/>
          <w:sz w:val="16"/>
          <w:szCs w:val="16"/>
        </w:rPr>
        <w:t xml:space="preserve"> </w:t>
      </w:r>
      <w:r w:rsidRPr="00976BF2">
        <w:rPr>
          <w:rFonts w:ascii="Verdana" w:hAnsi="Verdana" w:cs="Arial"/>
          <w:sz w:val="16"/>
          <w:szCs w:val="16"/>
        </w:rPr>
        <w:t>de capital “[...] una vez efectuados</w:t>
      </w:r>
      <w:r w:rsidRPr="00976BF2">
        <w:rPr>
          <w:rFonts w:ascii="Verdana" w:hAnsi="Verdana" w:cs="Arial"/>
          <w:spacing w:val="1"/>
          <w:sz w:val="16"/>
          <w:szCs w:val="16"/>
        </w:rPr>
        <w:t xml:space="preserve"> </w:t>
      </w:r>
      <w:r w:rsidRPr="00976BF2">
        <w:rPr>
          <w:rFonts w:ascii="Verdana" w:hAnsi="Verdana" w:cs="Arial"/>
          <w:sz w:val="16"/>
          <w:szCs w:val="16"/>
        </w:rPr>
        <w:t>los</w:t>
      </w:r>
      <w:r w:rsidRPr="00976BF2">
        <w:rPr>
          <w:rFonts w:ascii="Verdana" w:hAnsi="Verdana" w:cs="Arial"/>
          <w:spacing w:val="1"/>
          <w:sz w:val="16"/>
          <w:szCs w:val="16"/>
        </w:rPr>
        <w:t xml:space="preserve"> </w:t>
      </w:r>
      <w:r w:rsidRPr="00976BF2">
        <w:rPr>
          <w:rFonts w:ascii="Verdana" w:hAnsi="Verdana" w:cs="Arial"/>
          <w:sz w:val="16"/>
          <w:szCs w:val="16"/>
        </w:rPr>
        <w:t>aportes, los asociados pasan la penumbra y son inadvertidos o carecen de importancia para los</w:t>
      </w:r>
      <w:r w:rsidRPr="00976BF2">
        <w:rPr>
          <w:rFonts w:ascii="Verdana" w:hAnsi="Verdana" w:cs="Arial"/>
          <w:spacing w:val="1"/>
          <w:sz w:val="16"/>
          <w:szCs w:val="16"/>
        </w:rPr>
        <w:t xml:space="preserve"> </w:t>
      </w:r>
      <w:r w:rsidRPr="00976BF2">
        <w:rPr>
          <w:rFonts w:ascii="Verdana" w:hAnsi="Verdana" w:cs="Arial"/>
          <w:spacing w:val="-1"/>
          <w:sz w:val="16"/>
          <w:szCs w:val="16"/>
        </w:rPr>
        <w:t xml:space="preserve">terceros, en razón de que solamente </w:t>
      </w:r>
      <w:r w:rsidRPr="00976BF2">
        <w:rPr>
          <w:rFonts w:ascii="Verdana" w:hAnsi="Verdana" w:cs="Arial"/>
          <w:sz w:val="16"/>
          <w:szCs w:val="16"/>
        </w:rPr>
        <w:t>responden hasta concurrencia de sus respectivas aportaciones</w:t>
      </w:r>
      <w:r w:rsidRPr="00976BF2">
        <w:rPr>
          <w:rFonts w:ascii="Verdana" w:hAnsi="Verdana" w:cs="Arial"/>
          <w:spacing w:val="1"/>
          <w:sz w:val="16"/>
          <w:szCs w:val="16"/>
        </w:rPr>
        <w:t xml:space="preserve"> </w:t>
      </w:r>
      <w:r w:rsidRPr="00976BF2">
        <w:rPr>
          <w:rFonts w:ascii="Verdana" w:hAnsi="Verdana" w:cs="Arial"/>
          <w:sz w:val="16"/>
          <w:szCs w:val="16"/>
        </w:rPr>
        <w:t>[...] y por tal virtud de la ley de circulación propia de las acciones, los accionistas de hoy pueden ser</w:t>
      </w:r>
      <w:r w:rsidRPr="00976BF2">
        <w:rPr>
          <w:rFonts w:ascii="Verdana" w:hAnsi="Verdana" w:cs="Arial"/>
          <w:spacing w:val="1"/>
          <w:sz w:val="16"/>
          <w:szCs w:val="16"/>
        </w:rPr>
        <w:t xml:space="preserve"> </w:t>
      </w:r>
      <w:r w:rsidRPr="00976BF2">
        <w:rPr>
          <w:rFonts w:ascii="Verdana" w:hAnsi="Verdana" w:cs="Arial"/>
          <w:sz w:val="16"/>
          <w:szCs w:val="16"/>
        </w:rPr>
        <w:t>distintos</w:t>
      </w:r>
      <w:r w:rsidRPr="00976BF2">
        <w:rPr>
          <w:rFonts w:ascii="Verdana" w:hAnsi="Verdana" w:cs="Arial"/>
          <w:spacing w:val="2"/>
          <w:sz w:val="16"/>
          <w:szCs w:val="16"/>
        </w:rPr>
        <w:t xml:space="preserve"> </w:t>
      </w:r>
      <w:r w:rsidRPr="00976BF2">
        <w:rPr>
          <w:rFonts w:ascii="Verdana" w:hAnsi="Verdana" w:cs="Arial"/>
          <w:sz w:val="16"/>
          <w:szCs w:val="16"/>
        </w:rPr>
        <w:t>de</w:t>
      </w:r>
      <w:r w:rsidRPr="00976BF2">
        <w:rPr>
          <w:rFonts w:ascii="Verdana" w:hAnsi="Verdana" w:cs="Arial"/>
          <w:spacing w:val="33"/>
          <w:sz w:val="16"/>
          <w:szCs w:val="16"/>
        </w:rPr>
        <w:t xml:space="preserve"> </w:t>
      </w:r>
      <w:r w:rsidRPr="00976BF2">
        <w:rPr>
          <w:rFonts w:ascii="Verdana" w:hAnsi="Verdana" w:cs="Arial"/>
          <w:sz w:val="16"/>
          <w:szCs w:val="16"/>
        </w:rPr>
        <w:t>los</w:t>
      </w:r>
      <w:r w:rsidRPr="00976BF2">
        <w:rPr>
          <w:rFonts w:ascii="Verdana" w:hAnsi="Verdana" w:cs="Arial"/>
          <w:spacing w:val="35"/>
          <w:sz w:val="16"/>
          <w:szCs w:val="16"/>
        </w:rPr>
        <w:t xml:space="preserve"> </w:t>
      </w:r>
      <w:r w:rsidRPr="00976BF2">
        <w:rPr>
          <w:rFonts w:ascii="Verdana" w:hAnsi="Verdana" w:cs="Arial"/>
          <w:sz w:val="16"/>
          <w:szCs w:val="16"/>
        </w:rPr>
        <w:t>de</w:t>
      </w:r>
      <w:r w:rsidRPr="00976BF2">
        <w:rPr>
          <w:rFonts w:ascii="Verdana" w:hAnsi="Verdana" w:cs="Arial"/>
          <w:spacing w:val="26"/>
          <w:sz w:val="16"/>
          <w:szCs w:val="16"/>
        </w:rPr>
        <w:t xml:space="preserve"> </w:t>
      </w:r>
      <w:r w:rsidRPr="00976BF2">
        <w:rPr>
          <w:rFonts w:ascii="Verdana" w:hAnsi="Verdana" w:cs="Arial"/>
          <w:sz w:val="16"/>
          <w:szCs w:val="16"/>
        </w:rPr>
        <w:t>ayer</w:t>
      </w:r>
      <w:r w:rsidRPr="00976BF2">
        <w:rPr>
          <w:rFonts w:ascii="Verdana" w:hAnsi="Verdana" w:cs="Arial"/>
          <w:spacing w:val="33"/>
          <w:sz w:val="16"/>
          <w:szCs w:val="16"/>
        </w:rPr>
        <w:t xml:space="preserve"> </w:t>
      </w:r>
      <w:r w:rsidRPr="00976BF2">
        <w:rPr>
          <w:rFonts w:ascii="Verdana" w:hAnsi="Verdana" w:cs="Arial"/>
          <w:sz w:val="16"/>
          <w:szCs w:val="16"/>
        </w:rPr>
        <w:t>y</w:t>
      </w:r>
      <w:r w:rsidRPr="00976BF2">
        <w:rPr>
          <w:rFonts w:ascii="Verdana" w:hAnsi="Verdana" w:cs="Arial"/>
          <w:spacing w:val="2"/>
          <w:sz w:val="16"/>
          <w:szCs w:val="16"/>
        </w:rPr>
        <w:t xml:space="preserve"> </w:t>
      </w:r>
      <w:r w:rsidRPr="00976BF2">
        <w:rPr>
          <w:rFonts w:ascii="Verdana" w:hAnsi="Verdana" w:cs="Arial"/>
          <w:sz w:val="16"/>
          <w:szCs w:val="16"/>
        </w:rPr>
        <w:t>de</w:t>
      </w:r>
      <w:r w:rsidRPr="00976BF2">
        <w:rPr>
          <w:rFonts w:ascii="Verdana" w:hAnsi="Verdana" w:cs="Arial"/>
          <w:spacing w:val="32"/>
          <w:sz w:val="16"/>
          <w:szCs w:val="16"/>
        </w:rPr>
        <w:t xml:space="preserve"> </w:t>
      </w:r>
      <w:r w:rsidRPr="00976BF2">
        <w:rPr>
          <w:rFonts w:ascii="Verdana" w:hAnsi="Verdana" w:cs="Arial"/>
          <w:sz w:val="16"/>
          <w:szCs w:val="16"/>
        </w:rPr>
        <w:t>los</w:t>
      </w:r>
      <w:r w:rsidRPr="00976BF2">
        <w:rPr>
          <w:rFonts w:ascii="Verdana" w:hAnsi="Verdana" w:cs="Arial"/>
          <w:spacing w:val="34"/>
          <w:sz w:val="16"/>
          <w:szCs w:val="16"/>
        </w:rPr>
        <w:t xml:space="preserve"> </w:t>
      </w:r>
      <w:r w:rsidRPr="00976BF2">
        <w:rPr>
          <w:rFonts w:ascii="Verdana" w:hAnsi="Verdana" w:cs="Arial"/>
          <w:sz w:val="16"/>
          <w:szCs w:val="16"/>
        </w:rPr>
        <w:t>de</w:t>
      </w:r>
      <w:r w:rsidRPr="00976BF2">
        <w:rPr>
          <w:rFonts w:ascii="Verdana" w:hAnsi="Verdana" w:cs="Arial"/>
          <w:spacing w:val="25"/>
          <w:sz w:val="16"/>
          <w:szCs w:val="16"/>
        </w:rPr>
        <w:t xml:space="preserve"> </w:t>
      </w:r>
      <w:r w:rsidRPr="00976BF2">
        <w:rPr>
          <w:rFonts w:ascii="Verdana" w:hAnsi="Verdana" w:cs="Arial"/>
          <w:sz w:val="16"/>
          <w:szCs w:val="16"/>
        </w:rPr>
        <w:t>mañana”</w:t>
      </w:r>
      <w:r w:rsidRPr="00976BF2">
        <w:rPr>
          <w:rFonts w:ascii="Verdana" w:hAnsi="Verdana" w:cs="Arial"/>
          <w:spacing w:val="20"/>
          <w:sz w:val="16"/>
          <w:szCs w:val="16"/>
        </w:rPr>
        <w:t xml:space="preserve"> </w:t>
      </w:r>
      <w:r w:rsidRPr="00976BF2">
        <w:rPr>
          <w:rFonts w:ascii="Verdana" w:hAnsi="Verdana" w:cs="Arial"/>
          <w:sz w:val="16"/>
          <w:szCs w:val="16"/>
        </w:rPr>
        <w:t>(NARVÁEZ</w:t>
      </w:r>
      <w:r w:rsidRPr="00976BF2">
        <w:rPr>
          <w:rFonts w:ascii="Verdana" w:hAnsi="Verdana" w:cs="Arial"/>
          <w:spacing w:val="37"/>
          <w:sz w:val="16"/>
          <w:szCs w:val="16"/>
        </w:rPr>
        <w:t xml:space="preserve"> </w:t>
      </w:r>
      <w:r w:rsidRPr="00976BF2">
        <w:rPr>
          <w:rFonts w:ascii="Verdana" w:hAnsi="Verdana" w:cs="Arial"/>
          <w:sz w:val="16"/>
          <w:szCs w:val="16"/>
        </w:rPr>
        <w:t>GARCÍA,</w:t>
      </w:r>
      <w:r w:rsidRPr="00976BF2">
        <w:rPr>
          <w:rFonts w:ascii="Verdana" w:hAnsi="Verdana" w:cs="Arial"/>
          <w:spacing w:val="32"/>
          <w:sz w:val="16"/>
          <w:szCs w:val="16"/>
        </w:rPr>
        <w:t xml:space="preserve"> </w:t>
      </w:r>
      <w:r w:rsidRPr="00976BF2">
        <w:rPr>
          <w:rFonts w:ascii="Verdana" w:hAnsi="Verdana" w:cs="Arial"/>
          <w:sz w:val="16"/>
          <w:szCs w:val="16"/>
        </w:rPr>
        <w:t>José</w:t>
      </w:r>
      <w:r w:rsidRPr="00976BF2">
        <w:rPr>
          <w:rFonts w:ascii="Verdana" w:hAnsi="Verdana" w:cs="Arial"/>
          <w:spacing w:val="-1"/>
          <w:sz w:val="16"/>
          <w:szCs w:val="16"/>
        </w:rPr>
        <w:t xml:space="preserve"> </w:t>
      </w:r>
      <w:r w:rsidRPr="00976BF2">
        <w:rPr>
          <w:rFonts w:ascii="Verdana" w:hAnsi="Verdana" w:cs="Arial"/>
          <w:sz w:val="16"/>
          <w:szCs w:val="16"/>
        </w:rPr>
        <w:t>Ignacio.</w:t>
      </w:r>
      <w:r w:rsidRPr="00976BF2">
        <w:rPr>
          <w:rFonts w:ascii="Verdana" w:hAnsi="Verdana" w:cs="Arial"/>
          <w:spacing w:val="10"/>
          <w:sz w:val="16"/>
          <w:szCs w:val="16"/>
        </w:rPr>
        <w:t xml:space="preserve"> </w:t>
      </w:r>
      <w:r w:rsidRPr="00976BF2">
        <w:rPr>
          <w:rFonts w:ascii="Verdana" w:hAnsi="Verdana" w:cs="Arial"/>
          <w:sz w:val="16"/>
          <w:szCs w:val="16"/>
        </w:rPr>
        <w:t>Teoría</w:t>
      </w:r>
      <w:r w:rsidRPr="00976BF2">
        <w:rPr>
          <w:rFonts w:ascii="Verdana" w:hAnsi="Verdana" w:cs="Arial"/>
          <w:spacing w:val="35"/>
          <w:sz w:val="16"/>
          <w:szCs w:val="16"/>
        </w:rPr>
        <w:t xml:space="preserve"> </w:t>
      </w:r>
      <w:r w:rsidRPr="00976BF2">
        <w:rPr>
          <w:rFonts w:ascii="Verdana" w:hAnsi="Verdana" w:cs="Arial"/>
          <w:sz w:val="16"/>
          <w:szCs w:val="16"/>
        </w:rPr>
        <w:t>General</w:t>
      </w:r>
      <w:r w:rsidRPr="00976BF2">
        <w:rPr>
          <w:rFonts w:ascii="Verdana" w:hAnsi="Verdana" w:cs="Arial"/>
          <w:spacing w:val="-50"/>
          <w:sz w:val="16"/>
          <w:szCs w:val="16"/>
        </w:rPr>
        <w:t xml:space="preserve"> </w:t>
      </w:r>
      <w:r w:rsidRPr="00976BF2">
        <w:rPr>
          <w:rFonts w:ascii="Verdana" w:hAnsi="Verdana" w:cs="Arial"/>
          <w:sz w:val="16"/>
          <w:szCs w:val="16"/>
        </w:rPr>
        <w:t>de</w:t>
      </w:r>
      <w:r w:rsidRPr="00976BF2">
        <w:rPr>
          <w:rFonts w:ascii="Verdana" w:hAnsi="Verdana" w:cs="Arial"/>
          <w:spacing w:val="37"/>
          <w:sz w:val="16"/>
          <w:szCs w:val="16"/>
        </w:rPr>
        <w:t xml:space="preserve"> </w:t>
      </w:r>
      <w:r w:rsidRPr="00976BF2">
        <w:rPr>
          <w:rFonts w:ascii="Verdana" w:hAnsi="Verdana" w:cs="Arial"/>
          <w:sz w:val="16"/>
          <w:szCs w:val="16"/>
        </w:rPr>
        <w:t>las</w:t>
      </w:r>
      <w:r w:rsidRPr="00976BF2">
        <w:rPr>
          <w:rFonts w:ascii="Verdana" w:hAnsi="Verdana" w:cs="Arial"/>
          <w:spacing w:val="26"/>
          <w:sz w:val="16"/>
          <w:szCs w:val="16"/>
        </w:rPr>
        <w:t xml:space="preserve"> </w:t>
      </w:r>
      <w:r w:rsidRPr="00976BF2">
        <w:rPr>
          <w:rFonts w:ascii="Verdana" w:hAnsi="Verdana" w:cs="Arial"/>
          <w:sz w:val="16"/>
          <w:szCs w:val="16"/>
        </w:rPr>
        <w:t>Sociedades.</w:t>
      </w:r>
      <w:r w:rsidRPr="00976BF2">
        <w:rPr>
          <w:rFonts w:ascii="Verdana" w:hAnsi="Verdana" w:cs="Arial"/>
          <w:spacing w:val="-1"/>
          <w:sz w:val="16"/>
          <w:szCs w:val="16"/>
        </w:rPr>
        <w:t xml:space="preserve"> </w:t>
      </w:r>
      <w:r w:rsidRPr="00976BF2">
        <w:rPr>
          <w:rFonts w:ascii="Verdana" w:hAnsi="Verdana" w:cs="Arial"/>
          <w:sz w:val="16"/>
          <w:szCs w:val="16"/>
        </w:rPr>
        <w:t>Bogotá:</w:t>
      </w:r>
      <w:r w:rsidRPr="00976BF2">
        <w:rPr>
          <w:rFonts w:ascii="Verdana" w:hAnsi="Verdana" w:cs="Arial"/>
          <w:spacing w:val="-7"/>
          <w:sz w:val="16"/>
          <w:szCs w:val="16"/>
        </w:rPr>
        <w:t xml:space="preserve"> </w:t>
      </w:r>
      <w:r w:rsidRPr="00976BF2">
        <w:rPr>
          <w:rFonts w:ascii="Verdana" w:hAnsi="Verdana" w:cs="Arial"/>
          <w:sz w:val="16"/>
          <w:szCs w:val="16"/>
        </w:rPr>
        <w:t>Ed.</w:t>
      </w:r>
      <w:r w:rsidRPr="00976BF2">
        <w:rPr>
          <w:rFonts w:ascii="Verdana" w:hAnsi="Verdana" w:cs="Arial"/>
          <w:spacing w:val="8"/>
          <w:sz w:val="16"/>
          <w:szCs w:val="16"/>
        </w:rPr>
        <w:t xml:space="preserve"> </w:t>
      </w:r>
      <w:r w:rsidRPr="00976BF2">
        <w:rPr>
          <w:rFonts w:ascii="Verdana" w:hAnsi="Verdana" w:cs="Arial"/>
          <w:sz w:val="16"/>
          <w:szCs w:val="16"/>
        </w:rPr>
        <w:t>Legis.</w:t>
      </w:r>
      <w:r w:rsidRPr="00976BF2">
        <w:rPr>
          <w:rFonts w:ascii="Verdana" w:hAnsi="Verdana" w:cs="Arial"/>
          <w:spacing w:val="17"/>
          <w:sz w:val="16"/>
          <w:szCs w:val="16"/>
        </w:rPr>
        <w:t xml:space="preserve"> </w:t>
      </w:r>
      <w:r w:rsidRPr="00976BF2">
        <w:rPr>
          <w:rFonts w:ascii="Verdana" w:hAnsi="Verdana" w:cs="Arial"/>
          <w:sz w:val="16"/>
          <w:szCs w:val="16"/>
        </w:rPr>
        <w:t>1998.</w:t>
      </w:r>
      <w:r w:rsidRPr="00976BF2">
        <w:rPr>
          <w:rFonts w:ascii="Verdana" w:hAnsi="Verdana" w:cs="Arial"/>
          <w:spacing w:val="3"/>
          <w:sz w:val="16"/>
          <w:szCs w:val="16"/>
        </w:rPr>
        <w:t xml:space="preserve"> </w:t>
      </w:r>
      <w:r w:rsidRPr="00976BF2">
        <w:rPr>
          <w:rFonts w:ascii="Verdana" w:hAnsi="Verdana" w:cs="Arial"/>
          <w:sz w:val="16"/>
          <w:szCs w:val="16"/>
        </w:rPr>
        <w:t>p.</w:t>
      </w:r>
      <w:r w:rsidRPr="00976BF2">
        <w:rPr>
          <w:rFonts w:ascii="Verdana" w:hAnsi="Verdana" w:cs="Arial"/>
          <w:spacing w:val="-1"/>
          <w:sz w:val="16"/>
          <w:szCs w:val="16"/>
        </w:rPr>
        <w:t xml:space="preserve"> </w:t>
      </w:r>
      <w:r w:rsidRPr="00976BF2">
        <w:rPr>
          <w:rFonts w:ascii="Verdana" w:hAnsi="Verdana" w:cs="Arial"/>
          <w:sz w:val="16"/>
          <w:szCs w:val="16"/>
        </w:rPr>
        <w:t>74).</w:t>
      </w:r>
    </w:p>
  </w:footnote>
  <w:footnote w:id="7">
    <w:p w14:paraId="79B4D31D" w14:textId="77777777" w:rsidR="00AA67A0" w:rsidRPr="00976BF2" w:rsidRDefault="00AA67A0" w:rsidP="00AA67A0">
      <w:pPr>
        <w:pStyle w:val="Textonotapie"/>
        <w:tabs>
          <w:tab w:val="left" w:pos="8222"/>
        </w:tabs>
        <w:snapToGrid w:val="0"/>
        <w:ind w:right="49" w:firstLine="687"/>
        <w:contextualSpacing/>
        <w:jc w:val="both"/>
        <w:rPr>
          <w:rFonts w:ascii="Verdana" w:hAnsi="Verdana" w:cs="Arial"/>
          <w:sz w:val="16"/>
          <w:szCs w:val="16"/>
          <w:lang w:val="es-ES"/>
        </w:rPr>
      </w:pPr>
      <w:r w:rsidRPr="00976BF2">
        <w:rPr>
          <w:rStyle w:val="Refdenotaalpie"/>
          <w:rFonts w:ascii="Verdana" w:hAnsi="Verdana" w:cs="Arial"/>
          <w:sz w:val="16"/>
          <w:szCs w:val="16"/>
        </w:rPr>
        <w:footnoteRef/>
      </w:r>
      <w:r w:rsidRPr="00976BF2">
        <w:rPr>
          <w:rFonts w:ascii="Verdana" w:hAnsi="Verdana" w:cs="Arial"/>
          <w:sz w:val="16"/>
          <w:szCs w:val="16"/>
        </w:rPr>
        <w:t xml:space="preserve"> Para el mismo autor citado antes</w:t>
      </w:r>
      <w:r w:rsidRPr="00976BF2">
        <w:rPr>
          <w:rFonts w:ascii="Verdana" w:hAnsi="Verdana" w:cs="Arial"/>
          <w:spacing w:val="52"/>
          <w:sz w:val="16"/>
          <w:szCs w:val="16"/>
        </w:rPr>
        <w:t xml:space="preserve"> </w:t>
      </w:r>
      <w:r w:rsidRPr="00976BF2">
        <w:rPr>
          <w:rFonts w:ascii="Verdana" w:hAnsi="Verdana" w:cs="Arial"/>
          <w:sz w:val="16"/>
          <w:szCs w:val="16"/>
        </w:rPr>
        <w:t>“En las de personas los socios se conocen y cada uno</w:t>
      </w:r>
      <w:r w:rsidRPr="00976BF2">
        <w:rPr>
          <w:rFonts w:ascii="Verdana" w:hAnsi="Verdana" w:cs="Arial"/>
          <w:spacing w:val="1"/>
          <w:sz w:val="16"/>
          <w:szCs w:val="16"/>
        </w:rPr>
        <w:t xml:space="preserve"> </w:t>
      </w:r>
      <w:r w:rsidRPr="00976BF2">
        <w:rPr>
          <w:rFonts w:ascii="Verdana" w:hAnsi="Verdana" w:cs="Arial"/>
          <w:sz w:val="16"/>
          <w:szCs w:val="16"/>
        </w:rPr>
        <w:t>es el punto de referencia de los demás consocios, por la confianza recíproca que existe entre ellos.</w:t>
      </w:r>
      <w:r w:rsidRPr="00976BF2">
        <w:rPr>
          <w:rFonts w:ascii="Verdana" w:hAnsi="Verdana" w:cs="Arial"/>
          <w:spacing w:val="1"/>
          <w:sz w:val="16"/>
          <w:szCs w:val="16"/>
        </w:rPr>
        <w:t xml:space="preserve"> </w:t>
      </w:r>
      <w:r w:rsidRPr="00976BF2">
        <w:rPr>
          <w:rFonts w:ascii="Verdana" w:hAnsi="Verdana" w:cs="Arial"/>
          <w:sz w:val="16"/>
          <w:szCs w:val="16"/>
        </w:rPr>
        <w:t>Se forma intuitus personarum,</w:t>
      </w:r>
      <w:r w:rsidRPr="00976BF2">
        <w:rPr>
          <w:rFonts w:ascii="Verdana" w:hAnsi="Verdana" w:cs="Arial"/>
          <w:spacing w:val="1"/>
          <w:sz w:val="16"/>
          <w:szCs w:val="16"/>
        </w:rPr>
        <w:t xml:space="preserve"> </w:t>
      </w:r>
      <w:r w:rsidRPr="00976BF2">
        <w:rPr>
          <w:rFonts w:ascii="Verdana" w:hAnsi="Verdana" w:cs="Arial"/>
          <w:sz w:val="16"/>
          <w:szCs w:val="16"/>
        </w:rPr>
        <w:t>es decir, por razón</w:t>
      </w:r>
      <w:r w:rsidRPr="00976BF2">
        <w:rPr>
          <w:rFonts w:ascii="Verdana" w:hAnsi="Verdana" w:cs="Arial"/>
          <w:spacing w:val="1"/>
          <w:sz w:val="16"/>
          <w:szCs w:val="16"/>
        </w:rPr>
        <w:t xml:space="preserve"> </w:t>
      </w:r>
      <w:r w:rsidRPr="00976BF2">
        <w:rPr>
          <w:rFonts w:ascii="Verdana" w:hAnsi="Verdana" w:cs="Arial"/>
          <w:sz w:val="16"/>
          <w:szCs w:val="16"/>
        </w:rPr>
        <w:t>de las personas</w:t>
      </w:r>
      <w:r w:rsidRPr="00976BF2">
        <w:rPr>
          <w:rFonts w:ascii="Verdana" w:hAnsi="Verdana" w:cs="Arial"/>
          <w:spacing w:val="1"/>
          <w:sz w:val="16"/>
          <w:szCs w:val="16"/>
        </w:rPr>
        <w:t xml:space="preserve"> </w:t>
      </w:r>
      <w:r w:rsidRPr="00976BF2">
        <w:rPr>
          <w:rFonts w:ascii="Verdana" w:hAnsi="Verdana" w:cs="Arial"/>
          <w:sz w:val="16"/>
          <w:szCs w:val="16"/>
        </w:rPr>
        <w:t>o en consideración</w:t>
      </w:r>
      <w:r w:rsidRPr="00976BF2">
        <w:rPr>
          <w:rFonts w:ascii="Verdana" w:hAnsi="Verdana" w:cs="Arial"/>
          <w:spacing w:val="1"/>
          <w:sz w:val="16"/>
          <w:szCs w:val="16"/>
        </w:rPr>
        <w:t xml:space="preserve"> </w:t>
      </w:r>
      <w:r w:rsidRPr="00976BF2">
        <w:rPr>
          <w:rFonts w:ascii="Verdana" w:hAnsi="Verdana" w:cs="Arial"/>
          <w:sz w:val="16"/>
          <w:szCs w:val="16"/>
        </w:rPr>
        <w:t>a ellas,</w:t>
      </w:r>
      <w:r w:rsidRPr="00976BF2">
        <w:rPr>
          <w:rFonts w:ascii="Verdana" w:hAnsi="Verdana" w:cs="Arial"/>
          <w:spacing w:val="1"/>
          <w:sz w:val="16"/>
          <w:szCs w:val="16"/>
        </w:rPr>
        <w:t xml:space="preserve"> </w:t>
      </w:r>
      <w:r w:rsidRPr="00976BF2">
        <w:rPr>
          <w:rFonts w:ascii="Verdana" w:hAnsi="Verdana" w:cs="Arial"/>
          <w:sz w:val="16"/>
          <w:szCs w:val="16"/>
        </w:rPr>
        <w:t>elemento que tiene importancia para los terceros, porque frente a ellos se obliga no solo la persona</w:t>
      </w:r>
      <w:r w:rsidRPr="00976BF2">
        <w:rPr>
          <w:rFonts w:ascii="Verdana" w:hAnsi="Verdana" w:cs="Arial"/>
          <w:spacing w:val="1"/>
          <w:sz w:val="16"/>
          <w:szCs w:val="16"/>
        </w:rPr>
        <w:t xml:space="preserve"> </w:t>
      </w:r>
      <w:r w:rsidRPr="00976BF2">
        <w:rPr>
          <w:rFonts w:ascii="Verdana" w:hAnsi="Verdana" w:cs="Arial"/>
          <w:spacing w:val="-1"/>
          <w:sz w:val="16"/>
          <w:szCs w:val="16"/>
        </w:rPr>
        <w:t xml:space="preserve">jurídica sino también los socios [...], y para que un socio pueda transferir o ceder su </w:t>
      </w:r>
      <w:r w:rsidRPr="00976BF2">
        <w:rPr>
          <w:rFonts w:ascii="Verdana" w:hAnsi="Verdana" w:cs="Arial"/>
          <w:sz w:val="16"/>
          <w:szCs w:val="16"/>
        </w:rPr>
        <w:t>parte de interés</w:t>
      </w:r>
      <w:r w:rsidRPr="00976BF2">
        <w:rPr>
          <w:rFonts w:ascii="Verdana" w:hAnsi="Verdana" w:cs="Arial"/>
          <w:spacing w:val="1"/>
          <w:sz w:val="16"/>
          <w:szCs w:val="16"/>
        </w:rPr>
        <w:t xml:space="preserve"> </w:t>
      </w:r>
      <w:r w:rsidRPr="00976BF2">
        <w:rPr>
          <w:rFonts w:ascii="Verdana" w:hAnsi="Verdana" w:cs="Arial"/>
          <w:sz w:val="16"/>
          <w:szCs w:val="16"/>
        </w:rPr>
        <w:t>en</w:t>
      </w:r>
      <w:r w:rsidRPr="00976BF2">
        <w:rPr>
          <w:rFonts w:ascii="Verdana" w:hAnsi="Verdana" w:cs="Arial"/>
          <w:spacing w:val="6"/>
          <w:sz w:val="16"/>
          <w:szCs w:val="16"/>
        </w:rPr>
        <w:t xml:space="preserve"> </w:t>
      </w:r>
      <w:r w:rsidRPr="00976BF2">
        <w:rPr>
          <w:rFonts w:ascii="Verdana" w:hAnsi="Verdana" w:cs="Arial"/>
          <w:sz w:val="16"/>
          <w:szCs w:val="16"/>
        </w:rPr>
        <w:t>la</w:t>
      </w:r>
      <w:r w:rsidRPr="00976BF2">
        <w:rPr>
          <w:rFonts w:ascii="Verdana" w:hAnsi="Verdana" w:cs="Arial"/>
          <w:spacing w:val="-1"/>
          <w:sz w:val="16"/>
          <w:szCs w:val="16"/>
        </w:rPr>
        <w:t xml:space="preserve"> </w:t>
      </w:r>
      <w:r w:rsidRPr="00976BF2">
        <w:rPr>
          <w:rFonts w:ascii="Verdana" w:hAnsi="Verdana" w:cs="Arial"/>
          <w:sz w:val="16"/>
          <w:szCs w:val="16"/>
        </w:rPr>
        <w:t>sociedad</w:t>
      </w:r>
      <w:r w:rsidRPr="00976BF2">
        <w:rPr>
          <w:rFonts w:ascii="Verdana" w:hAnsi="Verdana" w:cs="Arial"/>
          <w:spacing w:val="18"/>
          <w:sz w:val="16"/>
          <w:szCs w:val="16"/>
        </w:rPr>
        <w:t xml:space="preserve"> </w:t>
      </w:r>
      <w:r w:rsidRPr="00976BF2">
        <w:rPr>
          <w:rFonts w:ascii="Verdana" w:hAnsi="Verdana" w:cs="Arial"/>
          <w:sz w:val="16"/>
          <w:szCs w:val="16"/>
        </w:rPr>
        <w:t>a</w:t>
      </w:r>
      <w:r w:rsidRPr="00976BF2">
        <w:rPr>
          <w:rFonts w:ascii="Verdana" w:hAnsi="Verdana" w:cs="Arial"/>
          <w:spacing w:val="13"/>
          <w:sz w:val="16"/>
          <w:szCs w:val="16"/>
        </w:rPr>
        <w:t xml:space="preserve"> </w:t>
      </w:r>
      <w:r w:rsidRPr="00976BF2">
        <w:rPr>
          <w:rFonts w:ascii="Verdana" w:hAnsi="Verdana" w:cs="Arial"/>
          <w:sz w:val="16"/>
          <w:szCs w:val="16"/>
        </w:rPr>
        <w:t>un</w:t>
      </w:r>
      <w:r w:rsidRPr="00976BF2">
        <w:rPr>
          <w:rFonts w:ascii="Verdana" w:hAnsi="Verdana" w:cs="Arial"/>
          <w:spacing w:val="7"/>
          <w:sz w:val="16"/>
          <w:szCs w:val="16"/>
        </w:rPr>
        <w:t xml:space="preserve"> </w:t>
      </w:r>
      <w:r w:rsidRPr="00976BF2">
        <w:rPr>
          <w:rFonts w:ascii="Verdana" w:hAnsi="Verdana" w:cs="Arial"/>
          <w:sz w:val="16"/>
          <w:szCs w:val="16"/>
        </w:rPr>
        <w:t>tercero,</w:t>
      </w:r>
      <w:r w:rsidRPr="00976BF2">
        <w:rPr>
          <w:rFonts w:ascii="Verdana" w:hAnsi="Verdana" w:cs="Arial"/>
          <w:spacing w:val="15"/>
          <w:sz w:val="16"/>
          <w:szCs w:val="16"/>
        </w:rPr>
        <w:t xml:space="preserve"> </w:t>
      </w:r>
      <w:r w:rsidRPr="00976BF2">
        <w:rPr>
          <w:rFonts w:ascii="Verdana" w:hAnsi="Verdana" w:cs="Arial"/>
          <w:sz w:val="16"/>
          <w:szCs w:val="16"/>
        </w:rPr>
        <w:t>se</w:t>
      </w:r>
      <w:r w:rsidRPr="00976BF2">
        <w:rPr>
          <w:rFonts w:ascii="Verdana" w:hAnsi="Verdana" w:cs="Arial"/>
          <w:spacing w:val="2"/>
          <w:sz w:val="16"/>
          <w:szCs w:val="16"/>
        </w:rPr>
        <w:t xml:space="preserve"> </w:t>
      </w:r>
      <w:r w:rsidRPr="00976BF2">
        <w:rPr>
          <w:rFonts w:ascii="Verdana" w:hAnsi="Verdana" w:cs="Arial"/>
          <w:sz w:val="16"/>
          <w:szCs w:val="16"/>
        </w:rPr>
        <w:t>exige</w:t>
      </w:r>
      <w:r w:rsidRPr="00976BF2">
        <w:rPr>
          <w:rFonts w:ascii="Verdana" w:hAnsi="Verdana" w:cs="Arial"/>
          <w:spacing w:val="5"/>
          <w:sz w:val="16"/>
          <w:szCs w:val="16"/>
        </w:rPr>
        <w:t xml:space="preserve"> </w:t>
      </w:r>
      <w:r w:rsidRPr="00976BF2">
        <w:rPr>
          <w:rFonts w:ascii="Verdana" w:hAnsi="Verdana" w:cs="Arial"/>
          <w:sz w:val="16"/>
          <w:szCs w:val="16"/>
        </w:rPr>
        <w:t>el</w:t>
      </w:r>
      <w:r w:rsidRPr="00976BF2">
        <w:rPr>
          <w:rFonts w:ascii="Verdana" w:hAnsi="Verdana" w:cs="Arial"/>
          <w:spacing w:val="6"/>
          <w:sz w:val="16"/>
          <w:szCs w:val="16"/>
        </w:rPr>
        <w:t xml:space="preserve"> </w:t>
      </w:r>
      <w:r w:rsidRPr="00976BF2">
        <w:rPr>
          <w:rFonts w:ascii="Verdana" w:hAnsi="Verdana" w:cs="Arial"/>
          <w:sz w:val="16"/>
          <w:szCs w:val="16"/>
        </w:rPr>
        <w:t>consentimiento</w:t>
      </w:r>
      <w:r w:rsidRPr="00976BF2">
        <w:rPr>
          <w:rFonts w:ascii="Verdana" w:hAnsi="Verdana" w:cs="Arial"/>
          <w:spacing w:val="20"/>
          <w:sz w:val="16"/>
          <w:szCs w:val="16"/>
        </w:rPr>
        <w:t xml:space="preserve"> </w:t>
      </w:r>
      <w:r w:rsidRPr="00976BF2">
        <w:rPr>
          <w:rFonts w:ascii="Verdana" w:hAnsi="Verdana" w:cs="Arial"/>
          <w:sz w:val="16"/>
          <w:szCs w:val="16"/>
        </w:rPr>
        <w:t>de</w:t>
      </w:r>
      <w:r w:rsidRPr="00976BF2">
        <w:rPr>
          <w:rFonts w:ascii="Verdana" w:hAnsi="Verdana" w:cs="Arial"/>
          <w:spacing w:val="9"/>
          <w:sz w:val="16"/>
          <w:szCs w:val="16"/>
        </w:rPr>
        <w:t xml:space="preserve"> </w:t>
      </w:r>
      <w:r w:rsidRPr="00976BF2">
        <w:rPr>
          <w:rFonts w:ascii="Verdana" w:hAnsi="Verdana" w:cs="Arial"/>
          <w:sz w:val="16"/>
          <w:szCs w:val="16"/>
        </w:rPr>
        <w:t>los</w:t>
      </w:r>
      <w:r w:rsidRPr="00976BF2">
        <w:rPr>
          <w:rFonts w:ascii="Verdana" w:hAnsi="Verdana" w:cs="Arial"/>
          <w:spacing w:val="17"/>
          <w:sz w:val="16"/>
          <w:szCs w:val="16"/>
        </w:rPr>
        <w:t xml:space="preserve"> </w:t>
      </w:r>
      <w:r w:rsidRPr="00976BF2">
        <w:rPr>
          <w:rFonts w:ascii="Verdana" w:hAnsi="Verdana" w:cs="Arial"/>
          <w:sz w:val="16"/>
          <w:szCs w:val="16"/>
        </w:rPr>
        <w:t>demás</w:t>
      </w:r>
      <w:r w:rsidRPr="00976BF2">
        <w:rPr>
          <w:rFonts w:ascii="Verdana" w:hAnsi="Verdana" w:cs="Arial"/>
          <w:spacing w:val="11"/>
          <w:sz w:val="16"/>
          <w:szCs w:val="16"/>
        </w:rPr>
        <w:t xml:space="preserve"> </w:t>
      </w:r>
      <w:r w:rsidRPr="00976BF2">
        <w:rPr>
          <w:rFonts w:ascii="Verdana" w:hAnsi="Verdana" w:cs="Arial"/>
          <w:sz w:val="16"/>
          <w:szCs w:val="16"/>
        </w:rPr>
        <w:t>socios”.</w:t>
      </w:r>
      <w:r w:rsidRPr="00976BF2">
        <w:rPr>
          <w:rFonts w:ascii="Verdana" w:hAnsi="Verdana" w:cs="Arial"/>
          <w:spacing w:val="-4"/>
          <w:sz w:val="16"/>
          <w:szCs w:val="16"/>
        </w:rPr>
        <w:t xml:space="preserve"> </w:t>
      </w:r>
      <w:r w:rsidRPr="00976BF2">
        <w:rPr>
          <w:rFonts w:ascii="Verdana" w:hAnsi="Verdana" w:cs="Arial"/>
          <w:sz w:val="16"/>
          <w:szCs w:val="16"/>
        </w:rPr>
        <w:t>(Ibid.,</w:t>
      </w:r>
      <w:r w:rsidRPr="00976BF2">
        <w:rPr>
          <w:rFonts w:ascii="Verdana" w:hAnsi="Verdana" w:cs="Arial"/>
          <w:spacing w:val="10"/>
          <w:sz w:val="16"/>
          <w:szCs w:val="16"/>
        </w:rPr>
        <w:t xml:space="preserve"> </w:t>
      </w:r>
      <w:r w:rsidRPr="00976BF2">
        <w:rPr>
          <w:rFonts w:ascii="Verdana" w:hAnsi="Verdana" w:cs="Arial"/>
          <w:sz w:val="16"/>
          <w:szCs w:val="16"/>
        </w:rPr>
        <w:t>p.</w:t>
      </w:r>
      <w:r w:rsidRPr="00976BF2">
        <w:rPr>
          <w:rFonts w:ascii="Verdana" w:hAnsi="Verdana" w:cs="Arial"/>
          <w:spacing w:val="-11"/>
          <w:sz w:val="16"/>
          <w:szCs w:val="16"/>
        </w:rPr>
        <w:t xml:space="preserve"> </w:t>
      </w:r>
      <w:r w:rsidRPr="00976BF2">
        <w:rPr>
          <w:rFonts w:ascii="Verdana" w:hAnsi="Verdana" w:cs="Arial"/>
          <w:sz w:val="16"/>
          <w:szCs w:val="16"/>
        </w:rPr>
        <w:t>73-74).</w:t>
      </w:r>
    </w:p>
  </w:footnote>
  <w:footnote w:id="8">
    <w:p w14:paraId="2913E78A" w14:textId="77777777" w:rsidR="00AA67A0" w:rsidRPr="009C276B" w:rsidRDefault="00AA67A0" w:rsidP="00AA67A0">
      <w:pPr>
        <w:pStyle w:val="Textonotapie"/>
        <w:snapToGrid w:val="0"/>
        <w:ind w:firstLine="687"/>
        <w:contextualSpacing/>
        <w:jc w:val="both"/>
        <w:rPr>
          <w:rFonts w:ascii="Verdana" w:hAnsi="Verdana"/>
          <w:sz w:val="16"/>
          <w:szCs w:val="16"/>
          <w:lang/>
        </w:rPr>
      </w:pPr>
      <w:r w:rsidRPr="00976BF2">
        <w:rPr>
          <w:rStyle w:val="Refdenotaalpie"/>
          <w:rFonts w:ascii="Verdana" w:hAnsi="Verdana"/>
          <w:sz w:val="16"/>
          <w:szCs w:val="16"/>
        </w:rPr>
        <w:footnoteRef/>
      </w:r>
      <w:r w:rsidRPr="00976BF2">
        <w:rPr>
          <w:rFonts w:ascii="Verdana" w:hAnsi="Verdana"/>
          <w:sz w:val="16"/>
          <w:szCs w:val="16"/>
        </w:rPr>
        <w:t xml:space="preserve"> </w:t>
      </w:r>
      <w:r w:rsidRPr="00976BF2">
        <w:rPr>
          <w:rFonts w:ascii="Verdana" w:hAnsi="Verdana"/>
          <w:sz w:val="16"/>
          <w:szCs w:val="16"/>
          <w:lang w:val="es-ES"/>
        </w:rPr>
        <w:t>Al respecto el artículo 71 de la Ley 222 de 1995 dispone: “</w:t>
      </w:r>
      <w:r w:rsidRPr="00976BF2">
        <w:rPr>
          <w:rFonts w:ascii="Verdana" w:hAnsi="Verdana"/>
          <w:sz w:val="16"/>
          <w:szCs w:val="16"/>
          <w:lang/>
        </w:rPr>
        <w:t xml:space="preserve">Mediante la Empresa Unipersonal una persona natural o jurídica que reúna las calidades requeridas para ejercer el comercio, podrá destinar parte de sus activos para la realización de una o varias actividades de carácter mercantil. </w:t>
      </w:r>
      <w:r w:rsidRPr="009C276B">
        <w:rPr>
          <w:rFonts w:ascii="Verdana" w:hAnsi="Verdana"/>
          <w:sz w:val="16"/>
          <w:szCs w:val="16"/>
          <w:lang/>
        </w:rPr>
        <w:t>La Empresa Unipersonal, una vez inscrita en el registro mercantil, forma una persona jurídica.</w:t>
      </w:r>
    </w:p>
    <w:p w14:paraId="7BA6511A" w14:textId="77777777" w:rsidR="00AA67A0" w:rsidRPr="00976BF2" w:rsidRDefault="00AA67A0" w:rsidP="00AA67A0">
      <w:pPr>
        <w:pStyle w:val="Textonotapie"/>
        <w:snapToGrid w:val="0"/>
        <w:contextualSpacing/>
        <w:jc w:val="both"/>
        <w:rPr>
          <w:rFonts w:ascii="Verdana" w:hAnsi="Verdana"/>
          <w:sz w:val="16"/>
          <w:szCs w:val="16"/>
          <w:lang/>
        </w:rPr>
      </w:pPr>
      <w:r w:rsidRPr="00976BF2">
        <w:rPr>
          <w:rFonts w:ascii="Verdana" w:hAnsi="Verdana"/>
          <w:sz w:val="16"/>
          <w:szCs w:val="16"/>
          <w:lang/>
        </w:rPr>
        <w:t>Parágrafo.</w:t>
      </w:r>
      <w:r w:rsidRPr="009C276B">
        <w:rPr>
          <w:rFonts w:ascii="Verdana" w:hAnsi="Verdana"/>
          <w:sz w:val="16"/>
          <w:szCs w:val="16"/>
          <w:lang/>
        </w:rPr>
        <w:t> Cuando se utilice la empresa unipersonal en fraude a la ley o en perjuicio de terceros, el titular de las cuotas de capital y los administradores que hubieren realizado, participado o facilitado los actos defraudatorios, responderán solidariamente por las obligaciones nacidas de tales actos y por los perjuicios causados.</w:t>
      </w:r>
    </w:p>
  </w:footnote>
  <w:footnote w:id="9">
    <w:p w14:paraId="36824696" w14:textId="77777777" w:rsidR="00AA67A0" w:rsidRPr="00976BF2" w:rsidRDefault="00AA67A0" w:rsidP="00AA67A0">
      <w:pPr>
        <w:pStyle w:val="Textonotapie"/>
        <w:snapToGrid w:val="0"/>
        <w:ind w:firstLine="708"/>
        <w:contextualSpacing/>
        <w:jc w:val="both"/>
        <w:rPr>
          <w:rFonts w:ascii="Verdana" w:hAnsi="Verdana"/>
          <w:sz w:val="16"/>
          <w:szCs w:val="16"/>
          <w:lang/>
        </w:rPr>
      </w:pPr>
      <w:r w:rsidRPr="00976BF2">
        <w:rPr>
          <w:rStyle w:val="Refdenotaalpie"/>
          <w:rFonts w:ascii="Verdana" w:hAnsi="Verdana"/>
          <w:sz w:val="16"/>
          <w:szCs w:val="16"/>
        </w:rPr>
        <w:footnoteRef/>
      </w:r>
      <w:r w:rsidRPr="00976BF2">
        <w:rPr>
          <w:rFonts w:ascii="Verdana" w:hAnsi="Verdana"/>
          <w:sz w:val="16"/>
          <w:szCs w:val="16"/>
        </w:rPr>
        <w:t xml:space="preserve"> </w:t>
      </w:r>
      <w:r w:rsidRPr="00976BF2">
        <w:rPr>
          <w:rFonts w:ascii="Verdana" w:hAnsi="Verdana"/>
          <w:sz w:val="16"/>
          <w:szCs w:val="16"/>
          <w:lang/>
        </w:rPr>
        <w:t xml:space="preserve">COLOMBIA. CORTE CONSTITUCIONAL. Sentencia C-624 del 4 de noviembre de 1998. Magistrado ponente: Doctor Alejandro Martinez Caballero. </w:t>
      </w:r>
    </w:p>
  </w:footnote>
  <w:footnote w:id="10">
    <w:p w14:paraId="3EDAB0F3" w14:textId="77777777" w:rsidR="00AA67A0" w:rsidRPr="00976BF2" w:rsidRDefault="00AA67A0" w:rsidP="00AA67A0">
      <w:pPr>
        <w:pStyle w:val="Textonotapie"/>
        <w:snapToGrid w:val="0"/>
        <w:ind w:firstLine="709"/>
        <w:contextualSpacing/>
        <w:jc w:val="both"/>
        <w:rPr>
          <w:rFonts w:ascii="Verdana" w:hAnsi="Verdana" w:cs="Arial"/>
          <w:sz w:val="16"/>
          <w:szCs w:val="16"/>
        </w:rPr>
      </w:pPr>
      <w:r w:rsidRPr="00976BF2">
        <w:rPr>
          <w:rStyle w:val="Refdenotaalpie"/>
          <w:rFonts w:ascii="Verdana" w:hAnsi="Verdana"/>
          <w:sz w:val="16"/>
          <w:szCs w:val="16"/>
        </w:rPr>
        <w:footnoteRef/>
      </w:r>
      <w:r w:rsidRPr="00976BF2">
        <w:rPr>
          <w:rFonts w:ascii="Verdana" w:hAnsi="Verdana"/>
          <w:sz w:val="16"/>
          <w:szCs w:val="16"/>
        </w:rPr>
        <w:t xml:space="preserve"> </w:t>
      </w:r>
      <w:r w:rsidRPr="00976BF2">
        <w:rPr>
          <w:rFonts w:ascii="Verdana" w:hAnsi="Verdana" w:cs="Arial"/>
          <w:sz w:val="16"/>
          <w:szCs w:val="16"/>
        </w:rPr>
        <w:t xml:space="preserve">Reyes, F. (2013). La sociedad por acciones simplificada SAS. (3a. ed.) Legis. Recuperado de </w:t>
      </w:r>
      <w:hyperlink r:id="rId1" w:history="1">
        <w:r w:rsidRPr="00976BF2">
          <w:rPr>
            <w:rStyle w:val="Hipervnculo"/>
            <w:rFonts w:ascii="Verdana" w:hAnsi="Verdana" w:cs="Arial"/>
            <w:color w:val="auto"/>
            <w:sz w:val="16"/>
            <w:szCs w:val="16"/>
          </w:rPr>
          <w:t>https://www.ebooks7-24.com:443/?il=1891&amp;pg=125</w:t>
        </w:r>
      </w:hyperlink>
    </w:p>
    <w:p w14:paraId="66C3268D" w14:textId="77777777" w:rsidR="00AA67A0" w:rsidRPr="00976BF2" w:rsidRDefault="00AA67A0" w:rsidP="00AA67A0">
      <w:pPr>
        <w:pStyle w:val="Textonotapie"/>
        <w:snapToGrid w:val="0"/>
        <w:ind w:firstLine="709"/>
        <w:contextualSpacing/>
        <w:jc w:val="both"/>
        <w:rPr>
          <w:rFonts w:ascii="Verdana" w:hAnsi="Verdana"/>
          <w:sz w:val="16"/>
          <w:szCs w:val="16"/>
        </w:rPr>
      </w:pPr>
    </w:p>
  </w:footnote>
  <w:footnote w:id="11">
    <w:p w14:paraId="67AAEBFA" w14:textId="77777777" w:rsidR="00AA67A0" w:rsidRPr="00976BF2" w:rsidRDefault="00AA67A0" w:rsidP="00AA67A0">
      <w:pPr>
        <w:pStyle w:val="Textonotapie"/>
        <w:snapToGrid w:val="0"/>
        <w:ind w:firstLine="709"/>
        <w:contextualSpacing/>
        <w:jc w:val="both"/>
        <w:rPr>
          <w:rFonts w:ascii="Verdana" w:hAnsi="Verdana" w:cs="Arial"/>
          <w:sz w:val="16"/>
          <w:szCs w:val="16"/>
        </w:rPr>
      </w:pPr>
      <w:r w:rsidRPr="00976BF2">
        <w:rPr>
          <w:rStyle w:val="Refdenotaalpie"/>
          <w:rFonts w:ascii="Verdana" w:hAnsi="Verdana"/>
          <w:sz w:val="16"/>
          <w:szCs w:val="16"/>
        </w:rPr>
        <w:footnoteRef/>
      </w:r>
      <w:r w:rsidRPr="00976BF2">
        <w:rPr>
          <w:rFonts w:ascii="Verdana" w:hAnsi="Verdana"/>
          <w:sz w:val="16"/>
          <w:szCs w:val="16"/>
        </w:rPr>
        <w:t xml:space="preserve"> </w:t>
      </w:r>
      <w:r w:rsidRPr="00976BF2">
        <w:rPr>
          <w:rFonts w:ascii="Verdana" w:hAnsi="Verdana" w:cs="Arial"/>
          <w:sz w:val="16"/>
          <w:szCs w:val="16"/>
        </w:rPr>
        <w:t xml:space="preserve">Superintendencia de Sociedades. Concepto 0673, diciembre 30 de 2010. </w:t>
      </w:r>
    </w:p>
  </w:footnote>
  <w:footnote w:id="12">
    <w:p w14:paraId="232BC038" w14:textId="77777777" w:rsidR="00AA67A0" w:rsidRPr="00976BF2" w:rsidRDefault="00AA67A0" w:rsidP="00AA67A0">
      <w:pPr>
        <w:pStyle w:val="Textonotapie"/>
        <w:snapToGrid w:val="0"/>
        <w:ind w:firstLine="709"/>
        <w:contextualSpacing/>
        <w:jc w:val="both"/>
        <w:rPr>
          <w:rFonts w:ascii="Verdana" w:hAnsi="Verdana" w:cs="Arial"/>
          <w:sz w:val="16"/>
          <w:szCs w:val="16"/>
        </w:rPr>
      </w:pPr>
      <w:r w:rsidRPr="00976BF2">
        <w:rPr>
          <w:rStyle w:val="Refdenotaalpie"/>
          <w:rFonts w:ascii="Verdana" w:hAnsi="Verdana"/>
          <w:sz w:val="16"/>
          <w:szCs w:val="16"/>
        </w:rPr>
        <w:footnoteRef/>
      </w:r>
      <w:r w:rsidRPr="00976BF2">
        <w:rPr>
          <w:rFonts w:ascii="Verdana" w:hAnsi="Verdana"/>
          <w:sz w:val="16"/>
          <w:szCs w:val="16"/>
        </w:rPr>
        <w:t xml:space="preserve"> </w:t>
      </w:r>
      <w:r w:rsidRPr="00976BF2">
        <w:rPr>
          <w:rFonts w:ascii="Verdana" w:hAnsi="Verdana" w:cs="Arial"/>
          <w:sz w:val="16"/>
          <w:szCs w:val="16"/>
        </w:rPr>
        <w:t>MARTÍNEZ NEIRA, Néstor Humberto. Cátedra de Derecho Contractual Societario, regulación comercial y bursátil de los actos y contratos societarios. Editorial Abeledo Perrot, Buenos Aires, 1ª. Edición, 2010, p. 153.</w:t>
      </w:r>
    </w:p>
  </w:footnote>
  <w:footnote w:id="13">
    <w:p w14:paraId="6079FB7C" w14:textId="77777777" w:rsidR="00AA67A0" w:rsidRPr="00976BF2" w:rsidRDefault="00AA67A0" w:rsidP="00AA67A0">
      <w:pPr>
        <w:snapToGrid w:val="0"/>
        <w:spacing w:after="0" w:line="240" w:lineRule="auto"/>
        <w:ind w:firstLine="708"/>
        <w:contextualSpacing/>
        <w:jc w:val="both"/>
        <w:rPr>
          <w:rFonts w:ascii="Verdana" w:hAnsi="Verdana" w:cs="Arial"/>
          <w:b/>
          <w:sz w:val="16"/>
          <w:szCs w:val="16"/>
          <w:lang w:eastAsia="es-CO"/>
        </w:rPr>
      </w:pPr>
      <w:r w:rsidRPr="00976BF2">
        <w:rPr>
          <w:rStyle w:val="Refdenotaalpie"/>
          <w:rFonts w:ascii="Verdana" w:hAnsi="Verdana"/>
          <w:sz w:val="16"/>
          <w:szCs w:val="16"/>
        </w:rPr>
        <w:footnoteRef/>
      </w:r>
      <w:r w:rsidRPr="00976BF2">
        <w:rPr>
          <w:rFonts w:ascii="Verdana" w:hAnsi="Verdana"/>
          <w:sz w:val="16"/>
          <w:szCs w:val="16"/>
        </w:rPr>
        <w:t xml:space="preserve"> </w:t>
      </w:r>
      <w:r w:rsidRPr="00976BF2">
        <w:rPr>
          <w:rFonts w:ascii="Verdana" w:hAnsi="Verdana" w:cs="Arial"/>
          <w:sz w:val="16"/>
          <w:szCs w:val="16"/>
          <w:lang w:eastAsia="es-CO"/>
        </w:rPr>
        <w:t xml:space="preserve">Superintendencia de Sociedades, Oficio 220-060561 del 15 de Mayo de 2011. </w:t>
      </w:r>
      <w:r w:rsidRPr="00976BF2">
        <w:rPr>
          <w:rFonts w:ascii="Verdana" w:hAnsi="Verdana" w:cs="Arial"/>
          <w:sz w:val="16"/>
          <w:szCs w:val="16"/>
          <w:lang w:eastAsia="es-CO"/>
        </w:rPr>
        <w:t>Ref: La prohibición del artículo 75 de la Ley 222 de 1995, no aplica en la S.A.S.</w:t>
      </w:r>
    </w:p>
  </w:footnote>
  <w:footnote w:id="14">
    <w:p w14:paraId="42B1A767" w14:textId="77777777" w:rsidR="00AA67A0" w:rsidRPr="00976BF2" w:rsidRDefault="00AA67A0" w:rsidP="00AA67A0">
      <w:pPr>
        <w:pStyle w:val="Textonotapie"/>
        <w:snapToGrid w:val="0"/>
        <w:ind w:firstLine="709"/>
        <w:contextualSpacing/>
        <w:jc w:val="both"/>
        <w:rPr>
          <w:rFonts w:ascii="Verdana" w:hAnsi="Verdana" w:cs="Arial"/>
          <w:sz w:val="16"/>
          <w:szCs w:val="16"/>
        </w:rPr>
      </w:pPr>
      <w:r w:rsidRPr="00976BF2">
        <w:rPr>
          <w:rStyle w:val="Refdenotaalpie"/>
          <w:rFonts w:ascii="Verdana" w:hAnsi="Verdana" w:cs="Arial"/>
          <w:sz w:val="16"/>
          <w:szCs w:val="16"/>
        </w:rPr>
        <w:footnoteRef/>
      </w:r>
      <w:r w:rsidRPr="00976BF2">
        <w:rPr>
          <w:rFonts w:ascii="Verdana" w:hAnsi="Verdana" w:cs="Arial"/>
          <w:sz w:val="16"/>
          <w:szCs w:val="16"/>
        </w:rPr>
        <w:t xml:space="preserve"> Corte Constitucional. Sala Plena. Sentencia C 178 de 29 de abril de 1996. Magistrado Ponente: Antonio Barrera Carbonell. Expediente No. D-974. </w:t>
      </w:r>
    </w:p>
  </w:footnote>
  <w:footnote w:id="15">
    <w:p w14:paraId="346FEEB7" w14:textId="77777777" w:rsidR="00AA67A0" w:rsidRPr="00976BF2" w:rsidRDefault="00AA67A0" w:rsidP="00AA67A0">
      <w:pPr>
        <w:snapToGrid w:val="0"/>
        <w:spacing w:after="0" w:line="240" w:lineRule="auto"/>
        <w:ind w:firstLine="709"/>
        <w:contextualSpacing/>
        <w:jc w:val="both"/>
        <w:rPr>
          <w:rFonts w:ascii="Verdana" w:hAnsi="Verdana" w:cs="Arial"/>
          <w:sz w:val="16"/>
          <w:szCs w:val="16"/>
        </w:rPr>
      </w:pPr>
      <w:r w:rsidRPr="00976BF2">
        <w:rPr>
          <w:rStyle w:val="Refdenotaalpie"/>
          <w:rFonts w:ascii="Verdana" w:hAnsi="Verdana" w:cs="Arial"/>
          <w:sz w:val="16"/>
          <w:szCs w:val="16"/>
        </w:rPr>
        <w:footnoteRef/>
      </w:r>
      <w:r w:rsidRPr="00976BF2">
        <w:rPr>
          <w:rFonts w:ascii="Verdana" w:hAnsi="Verdana" w:cs="Arial"/>
          <w:sz w:val="16"/>
          <w:szCs w:val="16"/>
        </w:rPr>
        <w:t xml:space="preserve"> “Artículo 6o. De la capacidad para contratar. Pueden celebrar contratos con las entidades estatales las personas consideradas legalmente capaces en las disposiciones vigentes”.</w:t>
      </w:r>
    </w:p>
  </w:footnote>
  <w:footnote w:id="16">
    <w:p w14:paraId="4525A338" w14:textId="77777777" w:rsidR="00AA67A0" w:rsidRPr="00D36A54" w:rsidRDefault="00AA67A0" w:rsidP="00AA67A0">
      <w:pPr>
        <w:pStyle w:val="Textonotapie"/>
        <w:snapToGrid w:val="0"/>
        <w:ind w:firstLine="709"/>
        <w:jc w:val="both"/>
        <w:rPr>
          <w:rFonts w:ascii="Verdana" w:hAnsi="Verdana" w:cs="Arial"/>
          <w:color w:val="000000" w:themeColor="text1"/>
          <w:sz w:val="16"/>
          <w:szCs w:val="16"/>
        </w:rPr>
      </w:pPr>
      <w:r w:rsidRPr="00D36A54">
        <w:rPr>
          <w:rStyle w:val="Refdenotaalpie"/>
          <w:rFonts w:ascii="Verdana" w:hAnsi="Verdana" w:cs="Arial"/>
          <w:color w:val="000000" w:themeColor="text1"/>
          <w:sz w:val="16"/>
          <w:szCs w:val="16"/>
        </w:rPr>
        <w:footnoteRef/>
      </w:r>
      <w:r w:rsidRPr="00D36A54">
        <w:rPr>
          <w:rFonts w:ascii="Verdana" w:hAnsi="Verdana" w:cs="Arial"/>
          <w:color w:val="000000" w:themeColor="text1"/>
          <w:sz w:val="16"/>
          <w:szCs w:val="16"/>
        </w:rPr>
        <w:t xml:space="preserve"> El artículo 6 de la Ley 80 de 1993 expresa: “Pueden celebrar contratos con las entidades estatales las personas consideradas legalmente capaces en las disposiciones vigentes. También podrán celebrar contratos con las entidades estatales los Cabildos Indígenas, las asociaciones de Autoridades Tradicionales Indígenas, los consejos comunitarios de las comunidades negras regulados por la Ley 70 de 1993.</w:t>
      </w:r>
    </w:p>
    <w:p w14:paraId="4FF372C9" w14:textId="77777777" w:rsidR="00AA67A0" w:rsidRPr="00D36A54" w:rsidRDefault="00AA67A0" w:rsidP="00AA67A0">
      <w:pPr>
        <w:pStyle w:val="Textonotapie"/>
        <w:snapToGrid w:val="0"/>
        <w:ind w:firstLine="709"/>
        <w:jc w:val="both"/>
        <w:rPr>
          <w:rFonts w:ascii="Verdana" w:hAnsi="Verdana" w:cs="Arial"/>
          <w:color w:val="000000" w:themeColor="text1"/>
          <w:sz w:val="16"/>
          <w:szCs w:val="16"/>
        </w:rPr>
      </w:pPr>
      <w:r w:rsidRPr="00D36A54">
        <w:rPr>
          <w:rFonts w:ascii="Verdana" w:hAnsi="Verdana" w:cs="Arial"/>
          <w:color w:val="000000" w:themeColor="text1"/>
          <w:sz w:val="16"/>
          <w:szCs w:val="16"/>
        </w:rPr>
        <w:t>Para las organizaciones de base de comunidades negras, afrocolombianas, raizales y palenqueras y las demás formas y expresiones organizativas, deberán contar con diez (10) años o más de haber sido incorporados por el Ministerio del Interior en el correspondiente Registro Público Único Nacional y que hayan cumplido con el deber de actualización de información en el mismo registro; y los consorcios y uniones temporales.</w:t>
      </w:r>
    </w:p>
    <w:p w14:paraId="498761E2" w14:textId="77777777" w:rsidR="00AA67A0" w:rsidRPr="00D36A54" w:rsidRDefault="00AA67A0" w:rsidP="00AA67A0">
      <w:pPr>
        <w:pStyle w:val="Textonotapie"/>
        <w:snapToGrid w:val="0"/>
        <w:ind w:firstLine="709"/>
        <w:jc w:val="both"/>
        <w:rPr>
          <w:rFonts w:ascii="Verdana" w:hAnsi="Verdana" w:cs="Arial"/>
          <w:color w:val="000000" w:themeColor="text1"/>
          <w:sz w:val="16"/>
          <w:szCs w:val="16"/>
        </w:rPr>
      </w:pPr>
      <w:r w:rsidRPr="00D36A54">
        <w:rPr>
          <w:rFonts w:ascii="Verdana" w:hAnsi="Verdana" w:cs="Arial"/>
          <w:color w:val="000000" w:themeColor="text1"/>
          <w:sz w:val="16"/>
          <w:szCs w:val="16"/>
        </w:rPr>
        <w:t>Las personas jurídicas nacionales y extranjeras deberán acreditar que su duración no será inferior a la del plazo del contrato y un año más.</w:t>
      </w:r>
    </w:p>
    <w:p w14:paraId="69C30546" w14:textId="77777777" w:rsidR="00AA67A0" w:rsidRPr="00D36A54" w:rsidRDefault="00AA67A0" w:rsidP="00AA67A0">
      <w:pPr>
        <w:pStyle w:val="Textonotapie"/>
        <w:snapToGrid w:val="0"/>
        <w:ind w:firstLine="709"/>
        <w:jc w:val="both"/>
        <w:rPr>
          <w:rFonts w:ascii="Verdana" w:hAnsi="Verdana" w:cs="Arial"/>
          <w:color w:val="000000" w:themeColor="text1"/>
          <w:sz w:val="16"/>
          <w:szCs w:val="16"/>
        </w:rPr>
      </w:pPr>
      <w:r w:rsidRPr="00D36A54">
        <w:rPr>
          <w:rFonts w:ascii="Verdana" w:hAnsi="Verdana" w:cs="Arial"/>
          <w:color w:val="000000" w:themeColor="text1"/>
          <w:sz w:val="16"/>
          <w:szCs w:val="16"/>
        </w:rPr>
        <w:t>PARÁGRAFO. Para efectos de la presente ley, la Corporación para la Reconstrucción de la Cuenca del Río Páez y Zonas Aledañas Nasa Ki'we podrá celebrar contratos para adelantar y ejecutar planes, programas y proyectos para la atención de las necesidades de los habitantes de las comunidades· étnicas de los municipios de Popayán, Almaguer, Bolívar, Buenos Aires, Cajibío, Caldono, Caloto, Corinto, El Tambo, Inzá, Jambaló, La Sierra, La Vega, Miranda, Páez, Patía, Piendamó, Puracé, Rosas, San Sebastián, Santander de Quilichao, Silvia, Sotará, Suárez, Toribío, Totoró del departamento del Cauca y los municipios de Neiva, Gigante, Íquira, La Argentina, La Plata, Nátaga, Paicol, Pitalito, San Agustín, Tesalia, Villavieja, Yaguará, Palermo y Rivera del departamento del Huila”.</w:t>
      </w:r>
    </w:p>
  </w:footnote>
  <w:footnote w:id="17">
    <w:p w14:paraId="79AE3707" w14:textId="77777777" w:rsidR="00AA67A0" w:rsidRPr="00D36A54" w:rsidRDefault="00AA67A0" w:rsidP="00AA67A0">
      <w:pPr>
        <w:pStyle w:val="Textonotapie"/>
        <w:snapToGrid w:val="0"/>
        <w:ind w:firstLine="709"/>
        <w:jc w:val="both"/>
        <w:rPr>
          <w:rFonts w:ascii="Verdana" w:hAnsi="Verdana" w:cs="Arial"/>
          <w:color w:val="000000" w:themeColor="text1"/>
          <w:sz w:val="16"/>
          <w:szCs w:val="16"/>
        </w:rPr>
      </w:pPr>
      <w:r w:rsidRPr="00D36A54">
        <w:rPr>
          <w:rStyle w:val="Refdenotaalpie"/>
          <w:rFonts w:ascii="Verdana" w:hAnsi="Verdana" w:cs="Arial"/>
          <w:color w:val="000000" w:themeColor="text1"/>
          <w:sz w:val="16"/>
          <w:szCs w:val="16"/>
        </w:rPr>
        <w:footnoteRef/>
      </w:r>
      <w:r w:rsidRPr="00D36A54">
        <w:rPr>
          <w:rFonts w:ascii="Verdana" w:hAnsi="Verdana" w:cs="Arial"/>
          <w:color w:val="000000" w:themeColor="text1"/>
          <w:sz w:val="16"/>
          <w:szCs w:val="16"/>
        </w:rPr>
        <w:t xml:space="preserve"> El artículo 1502 del Código Civil prevé la capacidad legal como requisito para obligarse contractualmente, en los siguientes términos: “Para que una persona se obligue a otra por un acto o declaración de voluntad, es necesario:</w:t>
      </w:r>
    </w:p>
    <w:p w14:paraId="2B81F743" w14:textId="77777777" w:rsidR="00AA67A0" w:rsidRPr="00D36A54" w:rsidRDefault="00AA67A0" w:rsidP="00AA67A0">
      <w:pPr>
        <w:pStyle w:val="Textonotapie"/>
        <w:snapToGrid w:val="0"/>
        <w:ind w:firstLine="709"/>
        <w:jc w:val="both"/>
        <w:rPr>
          <w:rFonts w:ascii="Verdana" w:hAnsi="Verdana" w:cs="Arial"/>
          <w:color w:val="000000" w:themeColor="text1"/>
          <w:sz w:val="16"/>
          <w:szCs w:val="16"/>
        </w:rPr>
      </w:pPr>
      <w:r w:rsidRPr="00D36A54">
        <w:rPr>
          <w:rFonts w:ascii="Verdana" w:hAnsi="Verdana" w:cs="Arial"/>
          <w:color w:val="000000" w:themeColor="text1"/>
          <w:sz w:val="16"/>
          <w:szCs w:val="16"/>
        </w:rPr>
        <w:t>1o.) que sea legalmente capaz.</w:t>
      </w:r>
    </w:p>
    <w:p w14:paraId="33F79896" w14:textId="77777777" w:rsidR="00AA67A0" w:rsidRPr="00D36A54" w:rsidRDefault="00AA67A0" w:rsidP="00AA67A0">
      <w:pPr>
        <w:pStyle w:val="Textonotapie"/>
        <w:snapToGrid w:val="0"/>
        <w:ind w:firstLine="709"/>
        <w:jc w:val="both"/>
        <w:rPr>
          <w:rFonts w:ascii="Verdana" w:hAnsi="Verdana" w:cs="Arial"/>
          <w:color w:val="000000" w:themeColor="text1"/>
          <w:sz w:val="16"/>
          <w:szCs w:val="16"/>
        </w:rPr>
      </w:pPr>
      <w:r w:rsidRPr="00D36A54">
        <w:rPr>
          <w:rFonts w:ascii="Verdana" w:hAnsi="Verdana" w:cs="Arial"/>
          <w:color w:val="000000" w:themeColor="text1"/>
          <w:sz w:val="16"/>
          <w:szCs w:val="16"/>
        </w:rPr>
        <w:t>[…]</w:t>
      </w:r>
    </w:p>
    <w:p w14:paraId="3CA584C4" w14:textId="77777777" w:rsidR="00AA67A0" w:rsidRPr="00D36A54" w:rsidRDefault="00AA67A0" w:rsidP="00AA67A0">
      <w:pPr>
        <w:pStyle w:val="Textonotapie"/>
        <w:snapToGrid w:val="0"/>
        <w:ind w:firstLine="709"/>
        <w:jc w:val="both"/>
        <w:rPr>
          <w:rFonts w:ascii="Verdana" w:hAnsi="Verdana" w:cs="Arial"/>
          <w:color w:val="000000" w:themeColor="text1"/>
          <w:sz w:val="16"/>
          <w:szCs w:val="16"/>
        </w:rPr>
      </w:pPr>
      <w:r w:rsidRPr="00D36A54">
        <w:rPr>
          <w:rFonts w:ascii="Verdana" w:hAnsi="Verdana" w:cs="Arial"/>
          <w:color w:val="000000" w:themeColor="text1"/>
          <w:sz w:val="16"/>
          <w:szCs w:val="16"/>
        </w:rPr>
        <w:t>La capacidad legal de una persona consiste en poderse obligar por sí misma, sin el ministerio o la autorización de otra”.</w:t>
      </w:r>
    </w:p>
  </w:footnote>
  <w:footnote w:id="18">
    <w:p w14:paraId="34E3179D" w14:textId="77777777" w:rsidR="00AA67A0" w:rsidRPr="00D36A54" w:rsidRDefault="00AA67A0" w:rsidP="00AA67A0">
      <w:pPr>
        <w:pStyle w:val="Textonotapie"/>
        <w:snapToGrid w:val="0"/>
        <w:ind w:firstLine="709"/>
        <w:jc w:val="both"/>
        <w:rPr>
          <w:rFonts w:ascii="Verdana" w:hAnsi="Verdana" w:cs="Arial"/>
          <w:color w:val="000000" w:themeColor="text1"/>
          <w:sz w:val="16"/>
          <w:szCs w:val="16"/>
          <w:lang w:val="es-ES"/>
        </w:rPr>
      </w:pPr>
      <w:r w:rsidRPr="00D36A54">
        <w:rPr>
          <w:rStyle w:val="Refdenotaalpie"/>
          <w:rFonts w:ascii="Verdana" w:hAnsi="Verdana" w:cs="Arial"/>
          <w:color w:val="000000" w:themeColor="text1"/>
          <w:sz w:val="16"/>
          <w:szCs w:val="16"/>
        </w:rPr>
        <w:footnoteRef/>
      </w:r>
      <w:r w:rsidRPr="00D36A54">
        <w:rPr>
          <w:rFonts w:ascii="Verdana" w:hAnsi="Verdana" w:cs="Arial"/>
          <w:color w:val="000000" w:themeColor="text1"/>
          <w:sz w:val="16"/>
          <w:szCs w:val="16"/>
        </w:rPr>
        <w:t xml:space="preserve"> </w:t>
      </w:r>
      <w:r w:rsidRPr="00D36A54">
        <w:rPr>
          <w:rFonts w:ascii="Verdana" w:hAnsi="Verdana" w:cs="Arial"/>
          <w:color w:val="000000" w:themeColor="text1"/>
          <w:sz w:val="16"/>
          <w:szCs w:val="16"/>
          <w:lang w:val="es-ES"/>
        </w:rPr>
        <w:t xml:space="preserve">En tal sentido, José Luis Benavides comenta que “Aunque la mayoría de las reglas limitativas de la responsabilidad contractual se aplican a la administración, existen también algunas restricciones importantes a la capacidad de los contratistas: </w:t>
      </w:r>
      <w:r w:rsidRPr="00D36A54">
        <w:rPr>
          <w:rFonts w:ascii="Verdana" w:hAnsi="Verdana" w:cs="Arial"/>
          <w:i/>
          <w:iCs/>
          <w:color w:val="000000" w:themeColor="text1"/>
          <w:sz w:val="16"/>
          <w:szCs w:val="16"/>
          <w:lang w:val="es-ES"/>
        </w:rPr>
        <w:t>el régimen de inhabilidades e incompatibilidades</w:t>
      </w:r>
      <w:r w:rsidRPr="00D36A54">
        <w:rPr>
          <w:rFonts w:ascii="Verdana" w:hAnsi="Verdana" w:cs="Arial"/>
          <w:color w:val="000000" w:themeColor="text1"/>
          <w:sz w:val="16"/>
          <w:szCs w:val="16"/>
          <w:lang w:val="es-ES"/>
        </w:rPr>
        <w:t xml:space="preserve"> (1) y la obligación de ciertos proponentes de inscribirse en el </w:t>
      </w:r>
      <w:r w:rsidRPr="00D36A54">
        <w:rPr>
          <w:rFonts w:ascii="Verdana" w:hAnsi="Verdana" w:cs="Arial"/>
          <w:i/>
          <w:iCs/>
          <w:color w:val="000000" w:themeColor="text1"/>
          <w:sz w:val="16"/>
          <w:szCs w:val="16"/>
          <w:lang w:val="es-ES"/>
        </w:rPr>
        <w:t>registro único</w:t>
      </w:r>
      <w:r w:rsidRPr="00D36A54">
        <w:rPr>
          <w:rFonts w:ascii="Verdana" w:hAnsi="Verdana" w:cs="Arial"/>
          <w:color w:val="000000" w:themeColor="text1"/>
          <w:sz w:val="16"/>
          <w:szCs w:val="16"/>
          <w:lang w:val="es-ES"/>
        </w:rPr>
        <w:t xml:space="preserve"> (2)” (BENAVIDES, José Luis. El contrato estatal. Entre el Derecho público y el Derecho privado. 2ª ed. Bogotá: Universidad Externado de Colombia, 2004. p. 278). </w:t>
      </w:r>
    </w:p>
  </w:footnote>
  <w:footnote w:id="19">
    <w:p w14:paraId="070DB5A9" w14:textId="77777777" w:rsidR="00AA67A0" w:rsidRPr="00D36A54" w:rsidRDefault="00AA67A0" w:rsidP="00AA67A0">
      <w:pPr>
        <w:pStyle w:val="Textonotapie"/>
        <w:snapToGrid w:val="0"/>
        <w:ind w:firstLine="709"/>
        <w:jc w:val="both"/>
        <w:rPr>
          <w:rFonts w:ascii="Verdana" w:hAnsi="Verdana" w:cs="Arial"/>
          <w:color w:val="000000" w:themeColor="text1"/>
          <w:sz w:val="16"/>
          <w:szCs w:val="16"/>
          <w:lang w:val="es-ES"/>
        </w:rPr>
      </w:pPr>
      <w:r w:rsidRPr="00D36A54">
        <w:rPr>
          <w:rStyle w:val="Refdenotaalpie"/>
          <w:rFonts w:ascii="Verdana" w:hAnsi="Verdana" w:cs="Arial"/>
          <w:color w:val="000000" w:themeColor="text1"/>
          <w:sz w:val="16"/>
          <w:szCs w:val="16"/>
        </w:rPr>
        <w:footnoteRef/>
      </w:r>
      <w:r w:rsidRPr="00D36A54">
        <w:rPr>
          <w:rFonts w:ascii="Verdana" w:hAnsi="Verdana" w:cs="Arial"/>
          <w:color w:val="000000" w:themeColor="text1"/>
          <w:sz w:val="16"/>
          <w:szCs w:val="16"/>
        </w:rPr>
        <w:t xml:space="preserve"> </w:t>
      </w:r>
      <w:r w:rsidRPr="00D36A54">
        <w:rPr>
          <w:rFonts w:ascii="Verdana" w:hAnsi="Verdana" w:cs="Arial"/>
          <w:color w:val="000000" w:themeColor="text1"/>
          <w:sz w:val="16"/>
          <w:szCs w:val="16"/>
          <w:lang w:val="es-ES"/>
        </w:rPr>
        <w:t xml:space="preserve">BARRETO ROZO, Antonio Alejandro. Inhabilidades de la contratación estatal, efectos y </w:t>
      </w:r>
      <w:r w:rsidRPr="00D36A54">
        <w:rPr>
          <w:rFonts w:ascii="Verdana" w:hAnsi="Verdana" w:cs="Arial"/>
          <w:color w:val="000000" w:themeColor="text1"/>
          <w:sz w:val="16"/>
          <w:szCs w:val="16"/>
          <w:lang w:val="es-ES"/>
        </w:rPr>
        <w:t>neopunitivismo en el Estatuto Anticorrupción. En: ALVIAR GARCÍA, Helena (Coordinadora). Nuevas tendencias del Derecho administrativo. Bogotá: Universidad de los Andes; Temis, 2016. pp. 63-99.</w:t>
      </w:r>
    </w:p>
  </w:footnote>
  <w:footnote w:id="20">
    <w:p w14:paraId="33FEBCC8" w14:textId="77777777" w:rsidR="00AA67A0" w:rsidRPr="00D36A54" w:rsidRDefault="00AA67A0" w:rsidP="00AA67A0">
      <w:pPr>
        <w:pStyle w:val="Textonotapie"/>
        <w:snapToGrid w:val="0"/>
        <w:ind w:firstLine="709"/>
        <w:jc w:val="both"/>
        <w:rPr>
          <w:rFonts w:ascii="Verdana" w:hAnsi="Verdana" w:cs="Arial"/>
          <w:color w:val="000000" w:themeColor="text1"/>
          <w:sz w:val="16"/>
          <w:szCs w:val="16"/>
          <w:lang w:val="es-ES"/>
        </w:rPr>
      </w:pPr>
      <w:r w:rsidRPr="00D36A54">
        <w:rPr>
          <w:rStyle w:val="Refdenotaalpie"/>
          <w:rFonts w:ascii="Verdana" w:hAnsi="Verdana" w:cs="Arial"/>
          <w:color w:val="000000" w:themeColor="text1"/>
          <w:sz w:val="16"/>
          <w:szCs w:val="16"/>
        </w:rPr>
        <w:footnoteRef/>
      </w:r>
      <w:r w:rsidRPr="00D36A54">
        <w:rPr>
          <w:rFonts w:ascii="Verdana" w:hAnsi="Verdana" w:cs="Arial"/>
          <w:color w:val="000000" w:themeColor="text1"/>
          <w:sz w:val="16"/>
          <w:szCs w:val="16"/>
        </w:rPr>
        <w:t xml:space="preserve"> </w:t>
      </w:r>
      <w:r w:rsidRPr="00D36A54">
        <w:rPr>
          <w:rFonts w:ascii="Verdana" w:hAnsi="Verdana" w:cs="Arial"/>
          <w:color w:val="000000" w:themeColor="text1"/>
          <w:sz w:val="16"/>
          <w:szCs w:val="16"/>
          <w:lang w:val="es-ES"/>
        </w:rPr>
        <w:t>Ibíd., p. 69.</w:t>
      </w:r>
    </w:p>
  </w:footnote>
  <w:footnote w:id="21">
    <w:p w14:paraId="4E9D1AD3" w14:textId="77777777" w:rsidR="00AA67A0" w:rsidRPr="00D36A54" w:rsidRDefault="00AA67A0" w:rsidP="00AA67A0">
      <w:pPr>
        <w:pStyle w:val="Textonotapie"/>
        <w:snapToGrid w:val="0"/>
        <w:ind w:firstLine="709"/>
        <w:jc w:val="both"/>
        <w:rPr>
          <w:rFonts w:ascii="Verdana" w:hAnsi="Verdana" w:cs="Arial"/>
          <w:color w:val="000000" w:themeColor="text1"/>
          <w:sz w:val="16"/>
          <w:szCs w:val="16"/>
          <w:lang w:val="es-ES"/>
        </w:rPr>
      </w:pPr>
      <w:r w:rsidRPr="00D36A54">
        <w:rPr>
          <w:rStyle w:val="Refdenotaalpie"/>
          <w:rFonts w:ascii="Verdana" w:hAnsi="Verdana" w:cs="Arial"/>
          <w:color w:val="000000" w:themeColor="text1"/>
          <w:sz w:val="16"/>
          <w:szCs w:val="16"/>
        </w:rPr>
        <w:footnoteRef/>
      </w:r>
      <w:r w:rsidRPr="00D36A54">
        <w:rPr>
          <w:rFonts w:ascii="Verdana" w:hAnsi="Verdana" w:cs="Arial"/>
          <w:color w:val="000000" w:themeColor="text1"/>
          <w:sz w:val="16"/>
          <w:szCs w:val="16"/>
        </w:rPr>
        <w:t xml:space="preserve"> </w:t>
      </w:r>
      <w:r w:rsidRPr="00D36A54">
        <w:rPr>
          <w:rFonts w:ascii="Verdana" w:hAnsi="Verdana" w:cs="Arial"/>
          <w:color w:val="000000" w:themeColor="text1"/>
          <w:sz w:val="16"/>
          <w:szCs w:val="16"/>
          <w:lang w:val="es-ES"/>
        </w:rPr>
        <w:t xml:space="preserve">Corte Constitucional. Sentencia T-1039 de 2006. Magistrado Ponente: Humberto Sierra Porto. La Corte ha mantenido este criterio en las sentencias: C-903 de 2008. Magistrado Ponente: Jaime Araujo Rentería; C-101 de 2018. Magistrada Ponente Gloria Stella Ortiz Delgado; entre otras. </w:t>
      </w:r>
    </w:p>
  </w:footnote>
  <w:footnote w:id="22">
    <w:p w14:paraId="7C1AE624" w14:textId="77777777" w:rsidR="00AA67A0" w:rsidRPr="00D36A54" w:rsidRDefault="00AA67A0" w:rsidP="00AA67A0">
      <w:pPr>
        <w:pStyle w:val="Textonotapie"/>
        <w:snapToGrid w:val="0"/>
        <w:ind w:firstLine="709"/>
        <w:jc w:val="both"/>
        <w:rPr>
          <w:rFonts w:ascii="Verdana" w:hAnsi="Verdana" w:cs="Arial"/>
          <w:color w:val="000000" w:themeColor="text1"/>
          <w:sz w:val="16"/>
          <w:szCs w:val="16"/>
          <w:lang w:val="es-ES"/>
        </w:rPr>
      </w:pPr>
      <w:r w:rsidRPr="00D36A54">
        <w:rPr>
          <w:rStyle w:val="Refdenotaalpie"/>
          <w:rFonts w:ascii="Verdana" w:hAnsi="Verdana" w:cs="Arial"/>
          <w:color w:val="000000" w:themeColor="text1"/>
          <w:sz w:val="16"/>
          <w:szCs w:val="16"/>
        </w:rPr>
        <w:footnoteRef/>
      </w:r>
      <w:r w:rsidRPr="00D36A54">
        <w:rPr>
          <w:rFonts w:ascii="Verdana" w:hAnsi="Verdana" w:cs="Arial"/>
          <w:color w:val="000000" w:themeColor="text1"/>
          <w:sz w:val="16"/>
          <w:szCs w:val="16"/>
        </w:rPr>
        <w:t xml:space="preserve"> </w:t>
      </w:r>
      <w:r w:rsidRPr="00D36A54">
        <w:rPr>
          <w:rFonts w:ascii="Verdana" w:hAnsi="Verdana" w:cs="Arial"/>
          <w:color w:val="000000" w:themeColor="text1"/>
          <w:sz w:val="16"/>
          <w:szCs w:val="16"/>
          <w:lang w:val="es-ES"/>
        </w:rPr>
        <w:t>Consejo de Estado. Sala de Consulta y Servicio Civil. Concepto del 30 de abril de 2015. Expediente: 2251. Consejero Ponente: Álvaro Namén Vargas.</w:t>
      </w:r>
    </w:p>
  </w:footnote>
  <w:footnote w:id="23">
    <w:p w14:paraId="2EFBFCF3" w14:textId="77777777" w:rsidR="00AA67A0" w:rsidRPr="00D36A54" w:rsidRDefault="00AA67A0" w:rsidP="00AA67A0">
      <w:pPr>
        <w:pStyle w:val="Textonotapie"/>
        <w:snapToGrid w:val="0"/>
        <w:ind w:firstLine="709"/>
        <w:jc w:val="both"/>
        <w:rPr>
          <w:rFonts w:ascii="Verdana" w:hAnsi="Verdana" w:cs="Arial"/>
          <w:color w:val="000000" w:themeColor="text1"/>
          <w:sz w:val="16"/>
          <w:szCs w:val="16"/>
        </w:rPr>
      </w:pPr>
      <w:r w:rsidRPr="00D36A54">
        <w:rPr>
          <w:rStyle w:val="Refdenotaalpie"/>
          <w:rFonts w:ascii="Verdana" w:hAnsi="Verdana" w:cs="Arial"/>
          <w:color w:val="000000" w:themeColor="text1"/>
          <w:sz w:val="16"/>
          <w:szCs w:val="16"/>
        </w:rPr>
        <w:footnoteRef/>
      </w:r>
      <w:r w:rsidRPr="00D36A54">
        <w:rPr>
          <w:rFonts w:ascii="Verdana" w:hAnsi="Verdana" w:cs="Arial"/>
          <w:color w:val="000000" w:themeColor="text1"/>
          <w:sz w:val="16"/>
          <w:szCs w:val="16"/>
        </w:rPr>
        <w:t xml:space="preserve"> Consejo de Estado. Sección Tercera. Subsección A. Sentencia del 24 de junio de 2015. Exp. 40.635. Consejero Ponente: Hernán Andrade Rincón (E).</w:t>
      </w:r>
    </w:p>
  </w:footnote>
  <w:footnote w:id="24">
    <w:p w14:paraId="1423B226" w14:textId="77777777" w:rsidR="00AA67A0" w:rsidRPr="00D36A54" w:rsidRDefault="00AA67A0" w:rsidP="00AA67A0">
      <w:pPr>
        <w:pStyle w:val="Textonotapie"/>
        <w:snapToGrid w:val="0"/>
        <w:ind w:firstLine="709"/>
        <w:jc w:val="both"/>
        <w:rPr>
          <w:rFonts w:ascii="Verdana" w:hAnsi="Verdana" w:cs="Arial"/>
          <w:color w:val="000000" w:themeColor="text1"/>
          <w:sz w:val="16"/>
          <w:szCs w:val="16"/>
        </w:rPr>
      </w:pPr>
      <w:r w:rsidRPr="00D36A54">
        <w:rPr>
          <w:rStyle w:val="Refdenotaalpie"/>
          <w:rFonts w:ascii="Verdana" w:hAnsi="Verdana" w:cs="Arial"/>
          <w:color w:val="000000" w:themeColor="text1"/>
          <w:sz w:val="16"/>
          <w:szCs w:val="16"/>
        </w:rPr>
        <w:footnoteRef/>
      </w:r>
      <w:r w:rsidRPr="00D36A54">
        <w:rPr>
          <w:rFonts w:ascii="Verdana" w:hAnsi="Verdana" w:cs="Arial"/>
          <w:color w:val="000000" w:themeColor="text1"/>
          <w:sz w:val="16"/>
          <w:szCs w:val="16"/>
        </w:rPr>
        <w:t xml:space="preserve"> Consejo de Estado. Sección Tercera. Subsección C. Sentencia del 22 de mayo de 2013. Exp. 24.057. Consejera Ponente: Olga Melida Valle De De La Hoz.</w:t>
      </w:r>
    </w:p>
  </w:footnote>
  <w:footnote w:id="25">
    <w:p w14:paraId="3876144D" w14:textId="77777777" w:rsidR="00AA67A0" w:rsidRPr="001C38D9" w:rsidRDefault="00AA67A0" w:rsidP="00AA67A0">
      <w:pPr>
        <w:pStyle w:val="Textonotapie"/>
        <w:ind w:firstLine="708"/>
        <w:contextualSpacing/>
        <w:jc w:val="both"/>
        <w:rPr>
          <w:rFonts w:ascii="Verdana" w:hAnsi="Verdana" w:cs="Arial"/>
          <w:color w:val="000000"/>
          <w:sz w:val="16"/>
          <w:szCs w:val="16"/>
        </w:rPr>
      </w:pPr>
      <w:r w:rsidRPr="001F1659">
        <w:rPr>
          <w:rStyle w:val="Refdenotaalpie"/>
          <w:rFonts w:ascii="Verdana" w:hAnsi="Verdana" w:cs="Arial"/>
          <w:color w:val="000000"/>
          <w:sz w:val="16"/>
          <w:szCs w:val="16"/>
        </w:rPr>
        <w:footnoteRef/>
      </w:r>
      <w:r w:rsidRPr="001F1659">
        <w:rPr>
          <w:rFonts w:ascii="Verdana" w:hAnsi="Verdana" w:cs="Arial"/>
          <w:color w:val="000000"/>
          <w:sz w:val="16"/>
          <w:szCs w:val="16"/>
        </w:rPr>
        <w:t xml:space="preserve"> Consejo de Estado. Sala de Consulta y de Servicio Civil. Concepto del 23 de marzo de 2011. Rad. 2.045. C.P. Enrique José Arboleda Perdomo.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7"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502"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EA57309"/>
    <w:multiLevelType w:val="multilevel"/>
    <w:tmpl w:val="F0626F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1916AB3"/>
    <w:multiLevelType w:val="hybridMultilevel"/>
    <w:tmpl w:val="D61EC1E6"/>
    <w:lvl w:ilvl="0" w:tplc="73DEAA1A">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24BE58A7"/>
    <w:multiLevelType w:val="hybridMultilevel"/>
    <w:tmpl w:val="E0EEB9AE"/>
    <w:lvl w:ilvl="0" w:tplc="4F1A1D9A">
      <w:start w:val="1"/>
      <w:numFmt w:val="lowerRoman"/>
      <w:lvlText w:val="%1)"/>
      <w:lvlJc w:val="left"/>
      <w:pPr>
        <w:ind w:left="1428" w:hanging="72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6"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9"/>
  </w:num>
  <w:num w:numId="2" w16cid:durableId="19822139">
    <w:abstractNumId w:val="2"/>
  </w:num>
  <w:num w:numId="3" w16cid:durableId="876742304">
    <w:abstractNumId w:val="7"/>
  </w:num>
  <w:num w:numId="4" w16cid:durableId="24518640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6"/>
  </w:num>
  <w:num w:numId="7" w16cid:durableId="1946422806">
    <w:abstractNumId w:val="8"/>
  </w:num>
  <w:num w:numId="8" w16cid:durableId="152644682">
    <w:abstractNumId w:val="15"/>
  </w:num>
  <w:num w:numId="9" w16cid:durableId="1317221377">
    <w:abstractNumId w:val="10"/>
  </w:num>
  <w:num w:numId="10" w16cid:durableId="1471245386">
    <w:abstractNumId w:val="14"/>
  </w:num>
  <w:num w:numId="11" w16cid:durableId="289172385">
    <w:abstractNumId w:val="11"/>
  </w:num>
  <w:num w:numId="12" w16cid:durableId="1470781324">
    <w:abstractNumId w:val="1"/>
  </w:num>
  <w:num w:numId="13" w16cid:durableId="1512908409">
    <w:abstractNumId w:val="6"/>
  </w:num>
  <w:num w:numId="14" w16cid:durableId="895897244">
    <w:abstractNumId w:val="17"/>
  </w:num>
  <w:num w:numId="15" w16cid:durableId="390349800">
    <w:abstractNumId w:val="13"/>
  </w:num>
  <w:num w:numId="16" w16cid:durableId="341274352">
    <w:abstractNumId w:val="0"/>
  </w:num>
  <w:num w:numId="17" w16cid:durableId="571424827">
    <w:abstractNumId w:val="4"/>
  </w:num>
  <w:num w:numId="18" w16cid:durableId="1074012399">
    <w:abstractNumId w:val="3"/>
  </w:num>
  <w:num w:numId="19" w16cid:durableId="1207987066">
    <w:abstractNumId w:val="5"/>
  </w:num>
  <w:num w:numId="20" w16cid:durableId="67908957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177C"/>
    <w:rsid w:val="00037915"/>
    <w:rsid w:val="00046945"/>
    <w:rsid w:val="00061B2A"/>
    <w:rsid w:val="00082362"/>
    <w:rsid w:val="000950C2"/>
    <w:rsid w:val="000A683E"/>
    <w:rsid w:val="000B19B9"/>
    <w:rsid w:val="000D0334"/>
    <w:rsid w:val="000D5DA7"/>
    <w:rsid w:val="000F6486"/>
    <w:rsid w:val="00105674"/>
    <w:rsid w:val="00116940"/>
    <w:rsid w:val="0012216E"/>
    <w:rsid w:val="00125105"/>
    <w:rsid w:val="00127127"/>
    <w:rsid w:val="00127233"/>
    <w:rsid w:val="0015699B"/>
    <w:rsid w:val="001A33BF"/>
    <w:rsid w:val="001E4177"/>
    <w:rsid w:val="001F0B24"/>
    <w:rsid w:val="001F7DC6"/>
    <w:rsid w:val="0022400B"/>
    <w:rsid w:val="002421BB"/>
    <w:rsid w:val="0025796E"/>
    <w:rsid w:val="002707A2"/>
    <w:rsid w:val="00274767"/>
    <w:rsid w:val="002951A0"/>
    <w:rsid w:val="002962BC"/>
    <w:rsid w:val="002A093D"/>
    <w:rsid w:val="002A0DD0"/>
    <w:rsid w:val="002A49AC"/>
    <w:rsid w:val="002A64FD"/>
    <w:rsid w:val="002C7A84"/>
    <w:rsid w:val="002E2BF8"/>
    <w:rsid w:val="002E4FD9"/>
    <w:rsid w:val="0030657A"/>
    <w:rsid w:val="00315814"/>
    <w:rsid w:val="00322A85"/>
    <w:rsid w:val="00324168"/>
    <w:rsid w:val="00330834"/>
    <w:rsid w:val="003448F4"/>
    <w:rsid w:val="00367D1F"/>
    <w:rsid w:val="00374F5E"/>
    <w:rsid w:val="00377E3E"/>
    <w:rsid w:val="003A779E"/>
    <w:rsid w:val="003D0F4D"/>
    <w:rsid w:val="003D5B0D"/>
    <w:rsid w:val="003E0499"/>
    <w:rsid w:val="003E4F80"/>
    <w:rsid w:val="003E6439"/>
    <w:rsid w:val="003F3941"/>
    <w:rsid w:val="00406575"/>
    <w:rsid w:val="0041193E"/>
    <w:rsid w:val="00414C74"/>
    <w:rsid w:val="0042722E"/>
    <w:rsid w:val="00430E98"/>
    <w:rsid w:val="0044528D"/>
    <w:rsid w:val="00466E39"/>
    <w:rsid w:val="004A1847"/>
    <w:rsid w:val="004A305D"/>
    <w:rsid w:val="004C06B0"/>
    <w:rsid w:val="004C4CEC"/>
    <w:rsid w:val="004F21C4"/>
    <w:rsid w:val="004F685F"/>
    <w:rsid w:val="00504297"/>
    <w:rsid w:val="00531A76"/>
    <w:rsid w:val="005566E8"/>
    <w:rsid w:val="00574867"/>
    <w:rsid w:val="00584F8F"/>
    <w:rsid w:val="00591460"/>
    <w:rsid w:val="005A31CD"/>
    <w:rsid w:val="005A65E0"/>
    <w:rsid w:val="005C3777"/>
    <w:rsid w:val="005C5CDC"/>
    <w:rsid w:val="005D476C"/>
    <w:rsid w:val="006200BF"/>
    <w:rsid w:val="006219F8"/>
    <w:rsid w:val="006302F7"/>
    <w:rsid w:val="00646B9F"/>
    <w:rsid w:val="00664F91"/>
    <w:rsid w:val="00665D70"/>
    <w:rsid w:val="006900D9"/>
    <w:rsid w:val="006A051D"/>
    <w:rsid w:val="006D4534"/>
    <w:rsid w:val="006F5095"/>
    <w:rsid w:val="00706C16"/>
    <w:rsid w:val="007340C3"/>
    <w:rsid w:val="0075235A"/>
    <w:rsid w:val="00756841"/>
    <w:rsid w:val="007649AB"/>
    <w:rsid w:val="00771D0C"/>
    <w:rsid w:val="007833AC"/>
    <w:rsid w:val="007B268C"/>
    <w:rsid w:val="007B7171"/>
    <w:rsid w:val="007C0C0F"/>
    <w:rsid w:val="007C3DC2"/>
    <w:rsid w:val="007E5497"/>
    <w:rsid w:val="007F3094"/>
    <w:rsid w:val="00806F5F"/>
    <w:rsid w:val="00820278"/>
    <w:rsid w:val="008258C9"/>
    <w:rsid w:val="008352F4"/>
    <w:rsid w:val="00844AE9"/>
    <w:rsid w:val="00867F95"/>
    <w:rsid w:val="008843B6"/>
    <w:rsid w:val="00891928"/>
    <w:rsid w:val="008A446D"/>
    <w:rsid w:val="008B25F1"/>
    <w:rsid w:val="008D180B"/>
    <w:rsid w:val="008E5595"/>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520"/>
    <w:rsid w:val="00A23AF9"/>
    <w:rsid w:val="00A33C78"/>
    <w:rsid w:val="00AA67A0"/>
    <w:rsid w:val="00AA79C7"/>
    <w:rsid w:val="00AB0ADB"/>
    <w:rsid w:val="00AB3C80"/>
    <w:rsid w:val="00B00C0E"/>
    <w:rsid w:val="00B01B1A"/>
    <w:rsid w:val="00B0381D"/>
    <w:rsid w:val="00B44A47"/>
    <w:rsid w:val="00B62F40"/>
    <w:rsid w:val="00B72CD3"/>
    <w:rsid w:val="00B72FFF"/>
    <w:rsid w:val="00B944B8"/>
    <w:rsid w:val="00BC3D36"/>
    <w:rsid w:val="00BD53BC"/>
    <w:rsid w:val="00BD54A6"/>
    <w:rsid w:val="00BD7F72"/>
    <w:rsid w:val="00BF7425"/>
    <w:rsid w:val="00C04FB3"/>
    <w:rsid w:val="00C11D8B"/>
    <w:rsid w:val="00C15139"/>
    <w:rsid w:val="00C330EB"/>
    <w:rsid w:val="00C50D69"/>
    <w:rsid w:val="00C5365C"/>
    <w:rsid w:val="00C754BE"/>
    <w:rsid w:val="00C76B1C"/>
    <w:rsid w:val="00C85584"/>
    <w:rsid w:val="00C925AC"/>
    <w:rsid w:val="00CB6357"/>
    <w:rsid w:val="00CC1B26"/>
    <w:rsid w:val="00D23F3A"/>
    <w:rsid w:val="00D35907"/>
    <w:rsid w:val="00D360AB"/>
    <w:rsid w:val="00D361FD"/>
    <w:rsid w:val="00D423A2"/>
    <w:rsid w:val="00D44E26"/>
    <w:rsid w:val="00D520D8"/>
    <w:rsid w:val="00D63AC2"/>
    <w:rsid w:val="00D7383B"/>
    <w:rsid w:val="00D7788A"/>
    <w:rsid w:val="00D97F0F"/>
    <w:rsid w:val="00DA231B"/>
    <w:rsid w:val="00DB2807"/>
    <w:rsid w:val="00DB33D3"/>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C5515"/>
    <w:rsid w:val="00EE1AA8"/>
    <w:rsid w:val="00F0201C"/>
    <w:rsid w:val="00F23FEA"/>
    <w:rsid w:val="00F31EDC"/>
    <w:rsid w:val="00F462B3"/>
    <w:rsid w:val="00F5664F"/>
    <w:rsid w:val="00F666C4"/>
    <w:rsid w:val="00F755C1"/>
    <w:rsid w:val="00F76AFC"/>
    <w:rsid w:val="00F82390"/>
    <w:rsid w:val="00FA47C0"/>
    <w:rsid w:val="00FB5A71"/>
    <w:rsid w:val="00FB5DD1"/>
    <w:rsid w:val="00FC2B5D"/>
    <w:rsid w:val="00FF1449"/>
    <w:rsid w:val="00FF7963"/>
    <w:rsid w:val="03BA848C"/>
    <w:rsid w:val="09908A09"/>
    <w:rsid w:val="13CFC91B"/>
    <w:rsid w:val="19A2EC2C"/>
    <w:rsid w:val="1B2A509F"/>
    <w:rsid w:val="2859CA1B"/>
    <w:rsid w:val="32A4F9CF"/>
    <w:rsid w:val="356CEDFD"/>
    <w:rsid w:val="58C72561"/>
    <w:rsid w:val="69614A15"/>
    <w:rsid w:val="71B33F18"/>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AA67A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A67A0"/>
    <w:rPr>
      <w:rFonts w:ascii="Geomanist Light" w:hAnsi="Geomanist Light"/>
      <w:lang w:val="es-ES"/>
    </w:rPr>
  </w:style>
  <w:style w:type="character" w:customStyle="1" w:styleId="s15">
    <w:name w:val="s15"/>
    <w:basedOn w:val="Fuentedeprrafopredeter"/>
    <w:rsid w:val="00AA67A0"/>
  </w:style>
  <w:style w:type="character" w:customStyle="1" w:styleId="apple-converted-space">
    <w:name w:val="apple-converted-space"/>
    <w:basedOn w:val="Fuentedeprrafopredeter"/>
    <w:rsid w:val="00AA67A0"/>
  </w:style>
  <w:style w:type="paragraph" w:styleId="Textoindependiente">
    <w:name w:val="Body Text"/>
    <w:basedOn w:val="Normal"/>
    <w:link w:val="TextoindependienteCar"/>
    <w:uiPriority w:val="1"/>
    <w:unhideWhenUsed/>
    <w:qFormat/>
    <w:rsid w:val="00AA67A0"/>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1"/>
    <w:rsid w:val="00AA67A0"/>
    <w:rPr>
      <w:rFonts w:eastAsiaTheme="minorEastAsia"/>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uridico@ainecol.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s://www.ebooks7-24.com:443/?il=1891&amp;pg=125"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01781fedfafda0f78eb836b344c0283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c95995aec6ec9bb8a2772c6ac378fe6"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3CF6A07-349E-4AD3-B24C-D99A97613A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26</Pages>
  <Words>8437</Words>
  <Characters>46404</Characters>
  <Application>Microsoft Office Word</Application>
  <DocSecurity>0</DocSecurity>
  <Lines>386</Lines>
  <Paragraphs>109</Paragraphs>
  <ScaleCrop>false</ScaleCrop>
  <Company/>
  <LinksUpToDate>false</LinksUpToDate>
  <CharactersWithSpaces>54732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2025-11-25T21:40:00Z</dcterms:created>
  <dcterms:modified xsi:type="dcterms:W3CDTF">2025-11-25T21:40:00Z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