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BD8E6C" w14:textId="77777777" w:rsidR="00572E66" w:rsidRPr="00572E66" w:rsidRDefault="00572E66" w:rsidP="00572E66">
      <w:pPr>
        <w:spacing w:line="276" w:lineRule="auto"/>
        <w:jc w:val="both"/>
        <w:rPr>
          <w:rFonts w:ascii="Verdana" w:hAnsi="Verdana" w:cs="Arial"/>
          <w:b/>
          <w:bCs/>
          <w:color w:val="000000" w:themeColor="text1"/>
          <w:lang w:val="es-ES"/>
        </w:rPr>
      </w:pPr>
      <w:bookmarkStart w:id="0" w:name="_Hlk143780582"/>
      <w:bookmarkStart w:id="1" w:name="_Hlk213432287"/>
      <w:bookmarkStart w:id="2" w:name="_Hlk213674657"/>
      <w:bookmarkEnd w:id="2"/>
      <w:r w:rsidRPr="00572E66">
        <w:rPr>
          <w:rFonts w:ascii="Verdana" w:hAnsi="Verdana" w:cs="Arial"/>
          <w:b/>
          <w:bCs/>
          <w:color w:val="000000" w:themeColor="text1"/>
          <w:lang w:val="es-ES"/>
        </w:rPr>
        <w:t xml:space="preserve">SUBSANABILIDAD – Aplicación – Regla general – Excepciones </w:t>
      </w:r>
    </w:p>
    <w:p w14:paraId="6EBF7CAD" w14:textId="77777777" w:rsidR="00EC0EEB" w:rsidRDefault="00572E66" w:rsidP="00EC0EEB">
      <w:pPr>
        <w:spacing w:after="0" w:line="240" w:lineRule="auto"/>
        <w:jc w:val="both"/>
        <w:rPr>
          <w:rFonts w:ascii="Verdana" w:eastAsia="Times New Roman" w:hAnsi="Verdana" w:cs="Arial"/>
          <w:sz w:val="20"/>
          <w:szCs w:val="20"/>
          <w:lang w:val="es-ES" w:eastAsia="es-ES"/>
        </w:rPr>
      </w:pPr>
      <w:r w:rsidRPr="00EC0EEB">
        <w:rPr>
          <w:rFonts w:ascii="Verdana" w:hAnsi="Verdana" w:cs="Arial"/>
          <w:noProof/>
          <w:sz w:val="20"/>
          <w:szCs w:val="20"/>
          <w:lang w:val="es-ES"/>
        </w:rPr>
        <w:t>L</w:t>
      </w:r>
      <w:r w:rsidRPr="00EC0EEB">
        <w:rPr>
          <w:rFonts w:ascii="Verdana" w:eastAsia="Times New Roman" w:hAnsi="Verdana" w:cs="Arial"/>
          <w:sz w:val="20"/>
          <w:szCs w:val="20"/>
        </w:rPr>
        <w:t xml:space="preserve">a regla de la </w:t>
      </w:r>
      <w:proofErr w:type="spellStart"/>
      <w:r w:rsidRPr="00EC0EEB">
        <w:rPr>
          <w:rFonts w:ascii="Verdana" w:eastAsia="Times New Roman" w:hAnsi="Verdana" w:cs="Arial"/>
          <w:sz w:val="20"/>
          <w:szCs w:val="20"/>
        </w:rPr>
        <w:t>subsanabilidad</w:t>
      </w:r>
      <w:proofErr w:type="spellEnd"/>
      <w:r w:rsidRPr="00EC0EEB">
        <w:rPr>
          <w:rFonts w:ascii="Verdana" w:eastAsia="Times New Roman" w:hAnsi="Verdana" w:cs="Arial"/>
          <w:sz w:val="20"/>
          <w:szCs w:val="20"/>
        </w:rPr>
        <w:t xml:space="preserve"> de las ofertas en los procedimientos de selección</w:t>
      </w:r>
      <w:r w:rsidRPr="00EC0EEB">
        <w:rPr>
          <w:rFonts w:ascii="Verdana" w:eastAsia="Times New Roman" w:hAnsi="Verdana" w:cs="Arial"/>
          <w:b/>
          <w:bCs/>
          <w:sz w:val="20"/>
          <w:szCs w:val="20"/>
        </w:rPr>
        <w:t xml:space="preserve"> </w:t>
      </w:r>
      <w:r w:rsidRPr="00EC0EEB">
        <w:rPr>
          <w:rFonts w:ascii="Verdana" w:eastAsia="Times New Roman" w:hAnsi="Verdana" w:cs="Arial"/>
          <w:sz w:val="20"/>
          <w:szCs w:val="20"/>
          <w:lang w:val="es-ES" w:eastAsia="es-ES"/>
        </w:rPr>
        <w:t>indica que, por regla general, la falta de entrega y los defectos en la acreditación de los requisitos habilitantes son aspectos subsanables. La excepción corresponde en la prohibición de permitir que se subsanen aspectos que otorgan puntaje, de valer la acreditación de circunstancias ocurridas con posterioridad al cierre del proceso y de permitir la entrega de la garantía de seriedad de la oferta que no fue aportada con la propuesta.</w:t>
      </w:r>
    </w:p>
    <w:p w14:paraId="45BCB5FD" w14:textId="77777777" w:rsidR="00EC0EEB" w:rsidRDefault="00EC0EEB" w:rsidP="00EC0EEB">
      <w:pPr>
        <w:spacing w:after="0" w:line="240" w:lineRule="auto"/>
        <w:jc w:val="both"/>
        <w:rPr>
          <w:rFonts w:ascii="Verdana" w:eastAsia="Times New Roman" w:hAnsi="Verdana" w:cs="Arial"/>
          <w:sz w:val="20"/>
          <w:szCs w:val="20"/>
          <w:lang w:val="es-ES" w:eastAsia="es-ES"/>
        </w:rPr>
      </w:pPr>
    </w:p>
    <w:p w14:paraId="7154E4A3" w14:textId="77777777" w:rsidR="00EC0EEB" w:rsidRDefault="00572E66" w:rsidP="00EC0EEB">
      <w:pPr>
        <w:spacing w:after="0" w:line="240" w:lineRule="auto"/>
        <w:jc w:val="both"/>
        <w:rPr>
          <w:rFonts w:ascii="Verdana" w:hAnsi="Verdana" w:cs="Arial"/>
          <w:b/>
          <w:bCs/>
          <w:color w:val="000000" w:themeColor="text1"/>
          <w:lang w:val="es-ES"/>
        </w:rPr>
      </w:pPr>
      <w:r w:rsidRPr="00572E66">
        <w:rPr>
          <w:rFonts w:ascii="Verdana" w:hAnsi="Verdana" w:cs="Arial"/>
          <w:b/>
          <w:bCs/>
          <w:color w:val="000000" w:themeColor="text1"/>
          <w:lang w:val="es-ES"/>
        </w:rPr>
        <w:t>SUBSANABILIDAD – Ley 1882 de 2018</w:t>
      </w:r>
    </w:p>
    <w:p w14:paraId="4931FF61" w14:textId="77777777" w:rsidR="00EC0EEB" w:rsidRDefault="00EC0EEB" w:rsidP="00EC0EEB">
      <w:pPr>
        <w:spacing w:after="0" w:line="240" w:lineRule="auto"/>
        <w:jc w:val="both"/>
        <w:rPr>
          <w:rFonts w:ascii="Verdana" w:hAnsi="Verdana" w:cs="Arial"/>
          <w:b/>
          <w:bCs/>
          <w:color w:val="000000" w:themeColor="text1"/>
          <w:lang w:val="es-ES"/>
        </w:rPr>
      </w:pPr>
    </w:p>
    <w:p w14:paraId="6BBEAC0F" w14:textId="60D43CEB" w:rsidR="00572E66" w:rsidRPr="00EC0EEB" w:rsidRDefault="00572E66" w:rsidP="00EC0EEB">
      <w:pPr>
        <w:spacing w:after="0" w:line="240" w:lineRule="auto"/>
        <w:jc w:val="both"/>
        <w:rPr>
          <w:rFonts w:ascii="Verdana" w:eastAsia="Times New Roman" w:hAnsi="Verdana" w:cs="Arial"/>
          <w:sz w:val="20"/>
          <w:szCs w:val="20"/>
          <w:lang w:val="es-ES" w:eastAsia="es-ES"/>
        </w:rPr>
      </w:pPr>
      <w:r w:rsidRPr="00EC0EEB">
        <w:rPr>
          <w:rFonts w:ascii="Verdana" w:eastAsia="Arial" w:hAnsi="Verdana" w:cs="Arial"/>
          <w:color w:val="000000"/>
          <w:sz w:val="20"/>
          <w:szCs w:val="20"/>
        </w:rPr>
        <w:t xml:space="preserve">[…] el legislador expidió la Ley 1882 de 2018, con la finalidad de introducir cambios y ajustes para fortalecer la contratación pública. […] esta norma: i) mantiene el criterio de la Ley 80 de 1993, relativo a que todo lo que no sea necesario para la comparación de propuestas no es título suficiente para su rechazo; </w:t>
      </w:r>
      <w:proofErr w:type="spellStart"/>
      <w:r w:rsidRPr="00EC0EEB">
        <w:rPr>
          <w:rFonts w:ascii="Verdana" w:eastAsia="Arial" w:hAnsi="Verdana" w:cs="Arial"/>
          <w:color w:val="000000"/>
          <w:sz w:val="20"/>
          <w:szCs w:val="20"/>
        </w:rPr>
        <w:t>ii</w:t>
      </w:r>
      <w:proofErr w:type="spellEnd"/>
      <w:r w:rsidRPr="00EC0EEB">
        <w:rPr>
          <w:rFonts w:ascii="Verdana" w:eastAsia="Arial" w:hAnsi="Verdana" w:cs="Arial"/>
          <w:color w:val="000000"/>
          <w:sz w:val="20"/>
          <w:szCs w:val="20"/>
        </w:rPr>
        <w:t xml:space="preserve">) mantiene el criterio aclaratorio de la Ley 1150 de 2007, según el cual todo lo que no afecte la asignación de puntaje puede subsanarse e </w:t>
      </w:r>
      <w:proofErr w:type="spellStart"/>
      <w:r w:rsidRPr="00EC0EEB">
        <w:rPr>
          <w:rFonts w:ascii="Verdana" w:eastAsia="Arial" w:hAnsi="Verdana" w:cs="Arial"/>
          <w:color w:val="000000"/>
          <w:sz w:val="20"/>
          <w:szCs w:val="20"/>
        </w:rPr>
        <w:t>iii</w:t>
      </w:r>
      <w:proofErr w:type="spellEnd"/>
      <w:r w:rsidRPr="00EC0EEB">
        <w:rPr>
          <w:rFonts w:ascii="Verdana" w:eastAsia="Arial" w:hAnsi="Verdana" w:cs="Arial"/>
          <w:color w:val="000000"/>
          <w:sz w:val="20"/>
          <w:szCs w:val="20"/>
        </w:rPr>
        <w:t xml:space="preserve">) introduce modificaciones en relación con algunos aspectos que se analizarán a continuación. </w:t>
      </w:r>
    </w:p>
    <w:p w14:paraId="0165EFA5" w14:textId="77777777" w:rsidR="00EC0EEB" w:rsidRDefault="00EC0EEB" w:rsidP="00EC0EEB">
      <w:pPr>
        <w:pBdr>
          <w:top w:val="nil"/>
          <w:left w:val="nil"/>
          <w:bottom w:val="nil"/>
          <w:right w:val="nil"/>
          <w:between w:val="nil"/>
        </w:pBdr>
        <w:tabs>
          <w:tab w:val="left" w:pos="284"/>
        </w:tabs>
        <w:spacing w:after="0" w:line="240" w:lineRule="auto"/>
        <w:jc w:val="both"/>
        <w:rPr>
          <w:rFonts w:ascii="Verdana" w:eastAsia="Arial" w:hAnsi="Verdana" w:cs="Arial"/>
          <w:color w:val="000000"/>
          <w:sz w:val="20"/>
          <w:szCs w:val="20"/>
        </w:rPr>
      </w:pPr>
    </w:p>
    <w:p w14:paraId="54830581" w14:textId="77777777" w:rsidR="00EC0EEB" w:rsidRDefault="00572E66" w:rsidP="00EC0EEB">
      <w:pPr>
        <w:pBdr>
          <w:top w:val="nil"/>
          <w:left w:val="nil"/>
          <w:bottom w:val="nil"/>
          <w:right w:val="nil"/>
          <w:between w:val="nil"/>
        </w:pBdr>
        <w:tabs>
          <w:tab w:val="left" w:pos="284"/>
        </w:tabs>
        <w:spacing w:after="0" w:line="240" w:lineRule="auto"/>
        <w:jc w:val="both"/>
        <w:rPr>
          <w:rFonts w:ascii="Verdana" w:eastAsia="Arial" w:hAnsi="Verdana" w:cs="Arial"/>
          <w:color w:val="000000"/>
          <w:sz w:val="20"/>
          <w:szCs w:val="20"/>
        </w:rPr>
      </w:pPr>
      <w:r w:rsidRPr="00EC0EEB">
        <w:rPr>
          <w:rFonts w:ascii="Verdana" w:eastAsia="Arial" w:hAnsi="Verdana" w:cs="Arial"/>
          <w:color w:val="000000"/>
          <w:sz w:val="20"/>
          <w:szCs w:val="20"/>
        </w:rPr>
        <w:t>El primero es el ámbito temporal para ejercer la facultad de subsanar la oferta, pues la Ley 1882 de 2018 fijó una regla general y una excepción. La regla general es que el límite para que la entidad solicite y para que el proponente corrija lo que haga falta es hasta el término de traslado del informe de evaluación que corresponda a cada modalidad de selección. La excepción es que el anterior límite no aplica para los procesos de mínima cuantía y para el proceso de selección a través del sistema de subasta; en el último, los documentos o requisitos subsanables pueden y deben solicitarse hasta el momento previo a su realización.</w:t>
      </w:r>
    </w:p>
    <w:p w14:paraId="0ECEDBF6" w14:textId="77777777" w:rsidR="00EC0EEB" w:rsidRDefault="00EC0EEB" w:rsidP="00EC0EEB">
      <w:pPr>
        <w:pBdr>
          <w:top w:val="nil"/>
          <w:left w:val="nil"/>
          <w:bottom w:val="nil"/>
          <w:right w:val="nil"/>
          <w:between w:val="nil"/>
        </w:pBdr>
        <w:tabs>
          <w:tab w:val="left" w:pos="284"/>
        </w:tabs>
        <w:spacing w:after="0" w:line="240" w:lineRule="auto"/>
        <w:jc w:val="both"/>
        <w:rPr>
          <w:rFonts w:ascii="Verdana" w:eastAsia="Arial" w:hAnsi="Verdana" w:cs="Arial"/>
          <w:color w:val="000000"/>
          <w:sz w:val="20"/>
          <w:szCs w:val="20"/>
        </w:rPr>
      </w:pPr>
    </w:p>
    <w:p w14:paraId="43D2444F" w14:textId="77777777" w:rsidR="00EC0EEB" w:rsidRDefault="0050169E" w:rsidP="00EC0EEB">
      <w:pPr>
        <w:pBdr>
          <w:top w:val="nil"/>
          <w:left w:val="nil"/>
          <w:bottom w:val="nil"/>
          <w:right w:val="nil"/>
          <w:between w:val="nil"/>
        </w:pBdr>
        <w:tabs>
          <w:tab w:val="left" w:pos="284"/>
        </w:tabs>
        <w:spacing w:after="0" w:line="240" w:lineRule="auto"/>
        <w:jc w:val="both"/>
        <w:rPr>
          <w:rFonts w:ascii="Verdana" w:eastAsia="Arial" w:hAnsi="Verdana" w:cs="Arial"/>
          <w:color w:val="000000"/>
          <w:sz w:val="20"/>
          <w:szCs w:val="20"/>
        </w:rPr>
      </w:pPr>
      <w:r w:rsidRPr="00EC0EEB">
        <w:rPr>
          <w:rFonts w:ascii="Verdana" w:eastAsia="Arial" w:hAnsi="Verdana" w:cs="Arial"/>
          <w:color w:val="000000"/>
          <w:sz w:val="20"/>
          <w:szCs w:val="20"/>
        </w:rPr>
        <w:t xml:space="preserve">[…] </w:t>
      </w:r>
    </w:p>
    <w:p w14:paraId="58115672" w14:textId="77777777" w:rsidR="00EC0EEB" w:rsidRDefault="00EC0EEB" w:rsidP="00EC0EEB">
      <w:pPr>
        <w:pBdr>
          <w:top w:val="nil"/>
          <w:left w:val="nil"/>
          <w:bottom w:val="nil"/>
          <w:right w:val="nil"/>
          <w:between w:val="nil"/>
        </w:pBdr>
        <w:tabs>
          <w:tab w:val="left" w:pos="284"/>
        </w:tabs>
        <w:spacing w:after="0" w:line="240" w:lineRule="auto"/>
        <w:jc w:val="both"/>
        <w:rPr>
          <w:rFonts w:ascii="Verdana" w:eastAsia="Arial" w:hAnsi="Verdana" w:cs="Arial"/>
          <w:color w:val="000000"/>
          <w:sz w:val="20"/>
          <w:szCs w:val="20"/>
        </w:rPr>
      </w:pPr>
    </w:p>
    <w:p w14:paraId="2F424C04" w14:textId="77777777" w:rsidR="00EC0EEB" w:rsidRDefault="0050169E" w:rsidP="00EC0EEB">
      <w:pPr>
        <w:pBdr>
          <w:top w:val="nil"/>
          <w:left w:val="nil"/>
          <w:bottom w:val="nil"/>
          <w:right w:val="nil"/>
          <w:between w:val="nil"/>
        </w:pBdr>
        <w:tabs>
          <w:tab w:val="left" w:pos="284"/>
        </w:tabs>
        <w:spacing w:after="0" w:line="240" w:lineRule="auto"/>
        <w:jc w:val="both"/>
        <w:rPr>
          <w:rFonts w:ascii="Verdana" w:eastAsia="Arial" w:hAnsi="Verdana" w:cs="Arial"/>
          <w:color w:val="000000"/>
          <w:sz w:val="20"/>
          <w:szCs w:val="20"/>
        </w:rPr>
      </w:pPr>
      <w:r w:rsidRPr="00EC0EEB">
        <w:rPr>
          <w:rFonts w:ascii="Verdana" w:eastAsia="Arial" w:hAnsi="Verdana" w:cs="Arial"/>
          <w:color w:val="000000"/>
          <w:sz w:val="20"/>
          <w:szCs w:val="20"/>
        </w:rPr>
        <w:t xml:space="preserve">Así pues, la modificación introducida por el artículo 5 de la Ley 1882 de 2018, si bien pudo significar, en la práctica de los procesos de selección, que el informe de evaluación fuera la oportunidad de la Administración para requerir al proponente para que subsane la oferta, y el término del traslado la oportunidad para hacerlo, lo cierto es que no impide que esto se realice con anterioridad a la publicación del informe, inclusive, es más adecuado y conveniente que la subsanación de las ofertas se intente con anterioridad, de forma que una vez la Administración advierta el defecto le solicite directamente al oferente que subsane. Esta interpretación es más consistente con los principios de economía, transparencia y selección objetiva. </w:t>
      </w:r>
    </w:p>
    <w:p w14:paraId="2DA13428" w14:textId="77777777" w:rsidR="00EC0EEB" w:rsidRDefault="00EC0EEB" w:rsidP="00EC0EEB">
      <w:pPr>
        <w:pBdr>
          <w:top w:val="nil"/>
          <w:left w:val="nil"/>
          <w:bottom w:val="nil"/>
          <w:right w:val="nil"/>
          <w:between w:val="nil"/>
        </w:pBdr>
        <w:tabs>
          <w:tab w:val="left" w:pos="284"/>
        </w:tabs>
        <w:spacing w:after="0" w:line="240" w:lineRule="auto"/>
        <w:jc w:val="both"/>
        <w:rPr>
          <w:rFonts w:ascii="Verdana" w:eastAsia="Arial" w:hAnsi="Verdana" w:cs="Arial"/>
          <w:color w:val="000000"/>
          <w:sz w:val="20"/>
          <w:szCs w:val="20"/>
        </w:rPr>
      </w:pPr>
    </w:p>
    <w:p w14:paraId="6E133BDF" w14:textId="1D6B04BB" w:rsidR="00572E66" w:rsidRPr="00EC0EEB" w:rsidRDefault="0050169E" w:rsidP="00EC0EEB">
      <w:pPr>
        <w:pBdr>
          <w:top w:val="nil"/>
          <w:left w:val="nil"/>
          <w:bottom w:val="nil"/>
          <w:right w:val="nil"/>
          <w:between w:val="nil"/>
        </w:pBdr>
        <w:tabs>
          <w:tab w:val="left" w:pos="284"/>
        </w:tabs>
        <w:spacing w:after="0" w:line="240" w:lineRule="auto"/>
        <w:jc w:val="both"/>
        <w:rPr>
          <w:rFonts w:ascii="Verdana" w:eastAsia="Arial" w:hAnsi="Verdana" w:cs="Arial"/>
          <w:color w:val="000000"/>
          <w:sz w:val="20"/>
          <w:szCs w:val="20"/>
        </w:rPr>
      </w:pPr>
      <w:r w:rsidRPr="00EC0EEB">
        <w:rPr>
          <w:rFonts w:ascii="Verdana" w:eastAsia="Arial" w:hAnsi="Verdana" w:cs="Arial"/>
          <w:color w:val="000000"/>
          <w:sz w:val="20"/>
          <w:szCs w:val="20"/>
        </w:rPr>
        <w:t>De otro lado, el segundo cambio importante de la Ley 1882 de 2018 fue la introducción de un criterio material, directamente relacionado con los aspectos subsanables: “los proponentes no podrán acreditar circunstancias ocurridas con posterioridad al cierre del proceso”</w:t>
      </w:r>
      <w:r w:rsidRPr="00EC0EEB">
        <w:rPr>
          <w:rFonts w:ascii="Verdana" w:eastAsia="Arial" w:hAnsi="Verdana" w:cs="Arial"/>
          <w:b/>
          <w:i/>
          <w:color w:val="000000"/>
          <w:sz w:val="20"/>
          <w:szCs w:val="20"/>
        </w:rPr>
        <w:t>.</w:t>
      </w:r>
      <w:r w:rsidRPr="00EC0EEB">
        <w:rPr>
          <w:rFonts w:ascii="Verdana" w:eastAsia="Arial" w:hAnsi="Verdana" w:cs="Arial"/>
          <w:b/>
          <w:color w:val="000000"/>
          <w:sz w:val="20"/>
          <w:szCs w:val="20"/>
        </w:rPr>
        <w:t xml:space="preserve"> </w:t>
      </w:r>
    </w:p>
    <w:p w14:paraId="5715390F" w14:textId="77777777" w:rsidR="00EC0EEB" w:rsidRDefault="00EC0EEB" w:rsidP="00EC0EEB">
      <w:pPr>
        <w:pBdr>
          <w:top w:val="nil"/>
          <w:left w:val="nil"/>
          <w:bottom w:val="nil"/>
          <w:right w:val="nil"/>
          <w:between w:val="nil"/>
        </w:pBdr>
        <w:tabs>
          <w:tab w:val="left" w:pos="284"/>
        </w:tabs>
        <w:spacing w:after="0" w:line="240" w:lineRule="auto"/>
        <w:jc w:val="both"/>
        <w:rPr>
          <w:rFonts w:ascii="Verdana" w:eastAsia="Arial" w:hAnsi="Verdana" w:cs="Arial"/>
          <w:bCs/>
          <w:color w:val="000000"/>
          <w:sz w:val="20"/>
          <w:szCs w:val="20"/>
        </w:rPr>
      </w:pPr>
    </w:p>
    <w:p w14:paraId="62DF9FCB" w14:textId="42B93AE5" w:rsidR="00EC0EEB" w:rsidRPr="00EC0EEB" w:rsidRDefault="00EC0EEB" w:rsidP="00EC0EEB">
      <w:pPr>
        <w:pBdr>
          <w:top w:val="nil"/>
          <w:left w:val="nil"/>
          <w:bottom w:val="nil"/>
          <w:right w:val="nil"/>
          <w:between w:val="nil"/>
        </w:pBdr>
        <w:tabs>
          <w:tab w:val="left" w:pos="284"/>
        </w:tabs>
        <w:spacing w:after="0" w:line="240" w:lineRule="auto"/>
        <w:jc w:val="both"/>
        <w:rPr>
          <w:rFonts w:ascii="Verdana" w:eastAsia="Arial" w:hAnsi="Verdana" w:cs="Arial"/>
          <w:bCs/>
          <w:color w:val="000000"/>
          <w:sz w:val="20"/>
          <w:szCs w:val="20"/>
        </w:rPr>
      </w:pPr>
      <w:r w:rsidRPr="00EC0EEB">
        <w:rPr>
          <w:rFonts w:ascii="Verdana" w:eastAsia="Arial" w:hAnsi="Verdana" w:cs="Arial"/>
          <w:bCs/>
          <w:color w:val="000000"/>
          <w:sz w:val="20"/>
          <w:szCs w:val="20"/>
        </w:rPr>
        <w:lastRenderedPageBreak/>
        <w:t xml:space="preserve">[…] </w:t>
      </w:r>
    </w:p>
    <w:p w14:paraId="3FF473F3" w14:textId="77777777" w:rsidR="00EC0EEB" w:rsidRDefault="00EC0EEB" w:rsidP="00EC0EEB">
      <w:pPr>
        <w:pBdr>
          <w:top w:val="nil"/>
          <w:left w:val="nil"/>
          <w:bottom w:val="nil"/>
          <w:right w:val="nil"/>
          <w:between w:val="nil"/>
        </w:pBdr>
        <w:tabs>
          <w:tab w:val="left" w:pos="284"/>
        </w:tabs>
        <w:spacing w:after="0" w:line="240" w:lineRule="auto"/>
        <w:jc w:val="both"/>
        <w:rPr>
          <w:rFonts w:ascii="Verdana" w:eastAsia="Arial" w:hAnsi="Verdana" w:cs="Arial"/>
          <w:color w:val="000000"/>
          <w:sz w:val="20"/>
          <w:szCs w:val="20"/>
        </w:rPr>
      </w:pPr>
    </w:p>
    <w:p w14:paraId="30973F95" w14:textId="643AD46E" w:rsidR="00EC0EEB" w:rsidRPr="00EC0EEB" w:rsidRDefault="00EC0EEB" w:rsidP="00EC0EEB">
      <w:pPr>
        <w:pBdr>
          <w:top w:val="nil"/>
          <w:left w:val="nil"/>
          <w:bottom w:val="nil"/>
          <w:right w:val="nil"/>
          <w:between w:val="nil"/>
        </w:pBdr>
        <w:tabs>
          <w:tab w:val="left" w:pos="284"/>
        </w:tabs>
        <w:spacing w:after="0" w:line="240" w:lineRule="auto"/>
        <w:jc w:val="both"/>
        <w:rPr>
          <w:rFonts w:ascii="Verdana" w:eastAsia="Arial" w:hAnsi="Verdana" w:cs="Arial"/>
          <w:color w:val="000000"/>
          <w:sz w:val="20"/>
          <w:szCs w:val="20"/>
        </w:rPr>
      </w:pPr>
      <w:r w:rsidRPr="00EC0EEB">
        <w:rPr>
          <w:rFonts w:ascii="Verdana" w:eastAsia="Arial" w:hAnsi="Verdana" w:cs="Arial"/>
          <w:color w:val="000000"/>
          <w:sz w:val="20"/>
          <w:szCs w:val="20"/>
        </w:rPr>
        <w:t xml:space="preserve">Un mejor entendimiento del significado de la expresión “circunstancias ocurridas con posterioridad al cierre del proceso” lleva necesariamente a distinguir entre la prueba de un hecho y el hecho mismo. En el caso de la </w:t>
      </w:r>
      <w:proofErr w:type="spellStart"/>
      <w:r w:rsidRPr="00EC0EEB">
        <w:rPr>
          <w:rFonts w:ascii="Verdana" w:eastAsia="Arial" w:hAnsi="Verdana" w:cs="Arial"/>
          <w:color w:val="000000"/>
          <w:sz w:val="20"/>
          <w:szCs w:val="20"/>
        </w:rPr>
        <w:t>subsanabilidad</w:t>
      </w:r>
      <w:proofErr w:type="spellEnd"/>
      <w:r w:rsidRPr="00EC0EEB">
        <w:rPr>
          <w:rFonts w:ascii="Verdana" w:eastAsia="Arial" w:hAnsi="Verdana" w:cs="Arial"/>
          <w:color w:val="000000"/>
          <w:sz w:val="20"/>
          <w:szCs w:val="20"/>
        </w:rPr>
        <w:t xml:space="preserve"> de las ofertas, una cosa es el requisito habilitante o el elemento de la propuesta y otra su prueba. Lo que prohíbe la norma es que se subsanen requisitos que no estaban cumplidos al momento de presentar la oferta, o en palabras de la ley, que se acrediten hechos que ocurrieron después del cierre del proceso.</w:t>
      </w:r>
    </w:p>
    <w:p w14:paraId="49ECC3AC" w14:textId="77777777" w:rsidR="00EC0EEB" w:rsidRDefault="00EC0EEB" w:rsidP="00EC0EEB">
      <w:pPr>
        <w:pBdr>
          <w:top w:val="nil"/>
          <w:left w:val="nil"/>
          <w:bottom w:val="nil"/>
          <w:right w:val="nil"/>
          <w:between w:val="nil"/>
        </w:pBdr>
        <w:tabs>
          <w:tab w:val="left" w:pos="284"/>
        </w:tabs>
        <w:spacing w:after="0" w:line="240" w:lineRule="auto"/>
        <w:jc w:val="both"/>
        <w:rPr>
          <w:rFonts w:ascii="Verdana" w:eastAsia="Arial" w:hAnsi="Verdana" w:cs="Arial"/>
          <w:color w:val="000000"/>
          <w:sz w:val="20"/>
          <w:szCs w:val="20"/>
        </w:rPr>
      </w:pPr>
    </w:p>
    <w:p w14:paraId="4E44DA23" w14:textId="77777777" w:rsidR="00EC0EEB" w:rsidRDefault="00EC0EEB" w:rsidP="00EC0EEB">
      <w:pPr>
        <w:pBdr>
          <w:top w:val="nil"/>
          <w:left w:val="nil"/>
          <w:bottom w:val="nil"/>
          <w:right w:val="nil"/>
          <w:between w:val="nil"/>
        </w:pBdr>
        <w:tabs>
          <w:tab w:val="left" w:pos="284"/>
        </w:tabs>
        <w:spacing w:after="0" w:line="240" w:lineRule="auto"/>
        <w:jc w:val="both"/>
        <w:rPr>
          <w:rFonts w:ascii="Verdana" w:eastAsia="Arial" w:hAnsi="Verdana" w:cs="Arial"/>
          <w:color w:val="000000"/>
          <w:sz w:val="20"/>
          <w:szCs w:val="20"/>
        </w:rPr>
      </w:pPr>
      <w:r w:rsidRPr="00EC0EEB">
        <w:rPr>
          <w:rFonts w:ascii="Verdana" w:eastAsia="Arial" w:hAnsi="Verdana" w:cs="Arial"/>
          <w:color w:val="000000"/>
          <w:sz w:val="20"/>
          <w:szCs w:val="20"/>
        </w:rPr>
        <w:t xml:space="preserve">Lo anterior quiere decir que no es la prueba –usualmente un documento– lo que debe ser anterior al cierre del proceso, sino el hecho que ella acredita, es decir, ante la solicitud de la Administración de subsanar un requisito, el documento podría estar fechado con posterioridad al vencimiento del término para recibir propuestas, siempre y cuando el hecho que acredite haya ocurrido antes, esto es, que no sea una circunstancia ocurrida con posterioridad al cierre del proceso. Es por ello </w:t>
      </w:r>
      <w:proofErr w:type="gramStart"/>
      <w:r w:rsidRPr="00EC0EEB">
        <w:rPr>
          <w:rFonts w:ascii="Verdana" w:eastAsia="Arial" w:hAnsi="Verdana" w:cs="Arial"/>
          <w:color w:val="000000"/>
          <w:sz w:val="20"/>
          <w:szCs w:val="20"/>
        </w:rPr>
        <w:t>que</w:t>
      </w:r>
      <w:proofErr w:type="gramEnd"/>
      <w:r w:rsidRPr="00EC0EEB">
        <w:rPr>
          <w:rFonts w:ascii="Verdana" w:eastAsia="Arial" w:hAnsi="Verdana" w:cs="Arial"/>
          <w:color w:val="000000"/>
          <w:sz w:val="20"/>
          <w:szCs w:val="20"/>
        </w:rPr>
        <w:t xml:space="preserve"> el Consejo de Estado sostiene que “lo que se subsana es la prueba y no la condición habilitante o un elemento de la propuesta (...) lo que se puede remediar es la prueba y no el requisito: La posibilidad debe recaer exclusivamente sobre circunstancias acaecidas antes del cierre del respectivo proceso, esto es, del vencimiento del plazo para presentar ofertas.</w:t>
      </w:r>
    </w:p>
    <w:p w14:paraId="10908C63" w14:textId="77777777" w:rsidR="00EC0EEB" w:rsidRDefault="00EC0EEB" w:rsidP="00EC0EEB">
      <w:pPr>
        <w:pBdr>
          <w:top w:val="nil"/>
          <w:left w:val="nil"/>
          <w:bottom w:val="nil"/>
          <w:right w:val="nil"/>
          <w:between w:val="nil"/>
        </w:pBdr>
        <w:tabs>
          <w:tab w:val="left" w:pos="284"/>
        </w:tabs>
        <w:spacing w:after="0" w:line="240" w:lineRule="auto"/>
        <w:jc w:val="both"/>
        <w:rPr>
          <w:rFonts w:ascii="Verdana" w:eastAsia="Arial" w:hAnsi="Verdana" w:cs="Arial"/>
          <w:color w:val="000000"/>
          <w:sz w:val="20"/>
          <w:szCs w:val="20"/>
        </w:rPr>
      </w:pPr>
    </w:p>
    <w:p w14:paraId="537250B5" w14:textId="77777777" w:rsidR="00EC0EEB" w:rsidRDefault="00572E66" w:rsidP="00EC0EEB">
      <w:pPr>
        <w:pBdr>
          <w:top w:val="nil"/>
          <w:left w:val="nil"/>
          <w:bottom w:val="nil"/>
          <w:right w:val="nil"/>
          <w:between w:val="nil"/>
        </w:pBdr>
        <w:tabs>
          <w:tab w:val="left" w:pos="284"/>
        </w:tabs>
        <w:spacing w:after="0" w:line="240" w:lineRule="auto"/>
        <w:jc w:val="both"/>
        <w:rPr>
          <w:rFonts w:ascii="Verdana" w:hAnsi="Verdana" w:cs="Arial"/>
          <w:b/>
          <w:bCs/>
          <w:color w:val="000000" w:themeColor="text1"/>
        </w:rPr>
      </w:pPr>
      <w:r w:rsidRPr="00EC0EEB">
        <w:rPr>
          <w:rFonts w:ascii="Verdana" w:hAnsi="Verdana" w:cs="Arial"/>
          <w:b/>
          <w:bCs/>
          <w:color w:val="000000" w:themeColor="text1"/>
        </w:rPr>
        <w:t xml:space="preserve">CAUSALES DE RECHAZO DE LAS OFERTAS – Origen – Límites en su configuración </w:t>
      </w:r>
    </w:p>
    <w:p w14:paraId="0047CB37" w14:textId="77777777" w:rsidR="00EC0EEB" w:rsidRDefault="00EC0EEB" w:rsidP="00EC0EEB">
      <w:pPr>
        <w:pBdr>
          <w:top w:val="nil"/>
          <w:left w:val="nil"/>
          <w:bottom w:val="nil"/>
          <w:right w:val="nil"/>
          <w:between w:val="nil"/>
        </w:pBdr>
        <w:tabs>
          <w:tab w:val="left" w:pos="284"/>
        </w:tabs>
        <w:spacing w:after="0" w:line="240" w:lineRule="auto"/>
        <w:jc w:val="both"/>
        <w:rPr>
          <w:rFonts w:ascii="Verdana" w:hAnsi="Verdana" w:cs="Arial"/>
          <w:b/>
          <w:bCs/>
          <w:color w:val="000000" w:themeColor="text1"/>
        </w:rPr>
      </w:pPr>
    </w:p>
    <w:p w14:paraId="27BB3A53" w14:textId="3C0AE6B0" w:rsidR="00EC0EEB" w:rsidRPr="00EC0EEB" w:rsidRDefault="00EC0EEB" w:rsidP="00EC0EEB">
      <w:pPr>
        <w:pBdr>
          <w:top w:val="nil"/>
          <w:left w:val="nil"/>
          <w:bottom w:val="nil"/>
          <w:right w:val="nil"/>
          <w:between w:val="nil"/>
        </w:pBdr>
        <w:tabs>
          <w:tab w:val="left" w:pos="284"/>
        </w:tabs>
        <w:spacing w:after="0" w:line="240" w:lineRule="auto"/>
        <w:jc w:val="both"/>
        <w:rPr>
          <w:rFonts w:ascii="Verdana" w:eastAsia="Arial" w:hAnsi="Verdana" w:cs="Arial"/>
          <w:color w:val="000000"/>
          <w:sz w:val="20"/>
          <w:szCs w:val="20"/>
        </w:rPr>
      </w:pPr>
      <w:r w:rsidRPr="00EC0EEB">
        <w:rPr>
          <w:rFonts w:ascii="Verdana" w:eastAsia="Arial" w:hAnsi="Verdana" w:cs="Arial"/>
          <w:sz w:val="20"/>
          <w:szCs w:val="20"/>
        </w:rPr>
        <w:t xml:space="preserve">El rechazo de las ofertas y los eventos en los que proceden han sido asuntos de los que se ha ocupado la legislación nacional en materia de contratación pública, por lo que “la competencia de las entidades estales para establecer eventos de exclusión de propuestas es de carácter residual y restringido”. En ese sentido, si bien las entidades estatales, en ejercicio de la discrecionalidad que les corresponde en la configuración de los pliegos de condiciones, tienen competencia para determinar los requisitos que deben cumplir los proponentes para la presentación de ofertas y regular los eventos en los que procede su rechazo, el ejercicio de tales facultades encuentra ciertos límites en la ley y el reglamento, así como en los principios de razonabilidad y proporcionalidad.  </w:t>
      </w:r>
    </w:p>
    <w:p w14:paraId="4AD254D0" w14:textId="77777777" w:rsidR="00EC0EEB" w:rsidRDefault="00EC0EEB" w:rsidP="00EC0EEB">
      <w:pPr>
        <w:spacing w:after="0" w:line="240" w:lineRule="auto"/>
        <w:jc w:val="both"/>
        <w:rPr>
          <w:rFonts w:ascii="Verdana" w:eastAsia="Arial" w:hAnsi="Verdana" w:cs="Arial"/>
          <w:sz w:val="20"/>
          <w:szCs w:val="20"/>
        </w:rPr>
      </w:pPr>
    </w:p>
    <w:p w14:paraId="3E246217" w14:textId="77777777" w:rsidR="00EC0EEB" w:rsidRDefault="00EC0EEB" w:rsidP="00EC0EEB">
      <w:pPr>
        <w:spacing w:after="0" w:line="240" w:lineRule="auto"/>
        <w:jc w:val="both"/>
        <w:rPr>
          <w:rFonts w:ascii="Verdana" w:eastAsia="Arial" w:hAnsi="Verdana" w:cs="Arial"/>
          <w:color w:val="000000"/>
          <w:sz w:val="20"/>
          <w:szCs w:val="20"/>
        </w:rPr>
      </w:pPr>
      <w:r w:rsidRPr="00EC0EEB">
        <w:rPr>
          <w:rFonts w:ascii="Verdana" w:eastAsia="Arial" w:hAnsi="Verdana" w:cs="Arial"/>
          <w:sz w:val="20"/>
          <w:szCs w:val="20"/>
        </w:rPr>
        <w:t xml:space="preserve">En ese entendido, uno de los límites a la facultad para establecer causales de rechazo, se encuentra en la regla de </w:t>
      </w:r>
      <w:proofErr w:type="spellStart"/>
      <w:r w:rsidRPr="00EC0EEB">
        <w:rPr>
          <w:rFonts w:ascii="Verdana" w:eastAsia="Arial" w:hAnsi="Verdana" w:cs="Arial"/>
          <w:sz w:val="20"/>
          <w:szCs w:val="20"/>
        </w:rPr>
        <w:t>subsanabilidad</w:t>
      </w:r>
      <w:proofErr w:type="spellEnd"/>
      <w:r w:rsidRPr="00EC0EEB">
        <w:rPr>
          <w:rFonts w:ascii="Verdana" w:eastAsia="Arial" w:hAnsi="Verdana" w:cs="Arial"/>
          <w:sz w:val="20"/>
          <w:szCs w:val="20"/>
        </w:rPr>
        <w:t xml:space="preserve"> del parágrafo 1 del artículo 5 de la Ley 1150 de 2007, según la cual “La ausencia de requisitos o la falta de documentos referentes a la futura contratación o al proponente, no necesarios para la comparación de las propuestas no servirán de título suficiente para el rechazo de los ofrecimientos hechos”, por lo que las entidades no podrán establecer causales de rechazo referentes a meros requisitos formales o rechazar las ofertas por esa razón. </w:t>
      </w:r>
    </w:p>
    <w:p w14:paraId="1CAF2651" w14:textId="77777777" w:rsidR="00EC0EEB" w:rsidRDefault="00EC0EEB" w:rsidP="00EC0EEB">
      <w:pPr>
        <w:spacing w:after="0" w:line="240" w:lineRule="auto"/>
        <w:jc w:val="both"/>
        <w:rPr>
          <w:rFonts w:ascii="Verdana" w:eastAsia="Arial" w:hAnsi="Verdana" w:cs="Arial"/>
          <w:color w:val="000000"/>
          <w:sz w:val="20"/>
          <w:szCs w:val="20"/>
        </w:rPr>
      </w:pPr>
    </w:p>
    <w:p w14:paraId="578A0905" w14:textId="77777777" w:rsidR="00EC0EEB" w:rsidRPr="00EC0EEB" w:rsidRDefault="00572E66" w:rsidP="00EC0EEB">
      <w:pPr>
        <w:spacing w:after="0" w:line="240" w:lineRule="auto"/>
        <w:jc w:val="both"/>
        <w:rPr>
          <w:rFonts w:ascii="Verdana" w:eastAsia="Arial" w:hAnsi="Verdana" w:cs="Arial"/>
          <w:b/>
          <w:bCs/>
          <w:color w:val="000000"/>
          <w:sz w:val="20"/>
          <w:szCs w:val="20"/>
        </w:rPr>
      </w:pPr>
      <w:r w:rsidRPr="00EC0EEB">
        <w:rPr>
          <w:rFonts w:ascii="Verdana" w:hAnsi="Verdana" w:cs="Arial"/>
          <w:b/>
          <w:bCs/>
          <w:color w:val="000000" w:themeColor="text1"/>
        </w:rPr>
        <w:t>CAUSALES DE RECHAZO – Procedencia</w:t>
      </w:r>
    </w:p>
    <w:p w14:paraId="532832C8" w14:textId="77777777" w:rsidR="00EC0EEB" w:rsidRDefault="00EC0EEB" w:rsidP="00EC0EEB">
      <w:pPr>
        <w:spacing w:after="0" w:line="240" w:lineRule="auto"/>
        <w:jc w:val="both"/>
        <w:rPr>
          <w:rFonts w:ascii="Verdana" w:eastAsia="Arial" w:hAnsi="Verdana" w:cs="Arial"/>
        </w:rPr>
      </w:pPr>
    </w:p>
    <w:p w14:paraId="4A9BECEB" w14:textId="6588FB93" w:rsidR="00EC0EEB" w:rsidRPr="00EC0EEB" w:rsidRDefault="00EC0EEB" w:rsidP="00EC0EEB">
      <w:pPr>
        <w:spacing w:after="0" w:line="240" w:lineRule="auto"/>
        <w:jc w:val="both"/>
        <w:rPr>
          <w:rFonts w:ascii="Verdana" w:eastAsia="Arial" w:hAnsi="Verdana" w:cs="Arial"/>
          <w:color w:val="000000"/>
          <w:sz w:val="20"/>
          <w:szCs w:val="20"/>
        </w:rPr>
      </w:pPr>
      <w:r w:rsidRPr="00EC0EEB">
        <w:rPr>
          <w:rFonts w:ascii="Verdana" w:eastAsia="Arial" w:hAnsi="Verdana" w:cs="Arial"/>
          <w:sz w:val="20"/>
          <w:szCs w:val="20"/>
        </w:rPr>
        <w:lastRenderedPageBreak/>
        <w:t xml:space="preserve">De acuerdo con la jurisprudencia citada, existen dos eventos en los cuales procede el rechazo de la oferta: i) cuando se configure alguna de las causales de rechazo originadas en la ley o el reglamento y </w:t>
      </w:r>
      <w:proofErr w:type="spellStart"/>
      <w:r w:rsidRPr="00EC0EEB">
        <w:rPr>
          <w:rFonts w:ascii="Verdana" w:eastAsia="Arial" w:hAnsi="Verdana" w:cs="Arial"/>
          <w:sz w:val="20"/>
          <w:szCs w:val="20"/>
        </w:rPr>
        <w:t>ii</w:t>
      </w:r>
      <w:proofErr w:type="spellEnd"/>
      <w:r w:rsidRPr="00EC0EEB">
        <w:rPr>
          <w:rFonts w:ascii="Verdana" w:eastAsia="Arial" w:hAnsi="Verdana" w:cs="Arial"/>
          <w:sz w:val="20"/>
          <w:szCs w:val="20"/>
        </w:rPr>
        <w:t xml:space="preserve">) cuando se materialicen las establecidas en el pliego de condiciones. En tal sentido, las causales de rechazo de la oferta serán las consagradas en la ley o el reglamento producto de su aplicación, así como las definidas por las entidades en el respectivo pliego de condiciones. </w:t>
      </w:r>
    </w:p>
    <w:p w14:paraId="37120D7B" w14:textId="77777777" w:rsidR="00EC0EEB" w:rsidRDefault="00EC0EEB" w:rsidP="00572E66">
      <w:pPr>
        <w:spacing w:line="276" w:lineRule="auto"/>
        <w:jc w:val="both"/>
        <w:rPr>
          <w:rFonts w:ascii="Verdana" w:hAnsi="Verdana" w:cs="Arial"/>
          <w:color w:val="000000" w:themeColor="text1"/>
        </w:rPr>
      </w:pPr>
    </w:p>
    <w:p w14:paraId="344E18C0" w14:textId="77777777" w:rsidR="00EC0EEB" w:rsidRDefault="00EC0EEB" w:rsidP="00572E66">
      <w:pPr>
        <w:spacing w:line="276" w:lineRule="auto"/>
        <w:jc w:val="both"/>
        <w:rPr>
          <w:rFonts w:ascii="Verdana" w:hAnsi="Verdana" w:cs="Arial"/>
          <w:color w:val="000000" w:themeColor="text1"/>
        </w:rPr>
      </w:pPr>
    </w:p>
    <w:p w14:paraId="46279893" w14:textId="77777777" w:rsidR="00EC0EEB" w:rsidRDefault="00EC0EEB" w:rsidP="00572E66">
      <w:pPr>
        <w:spacing w:line="276" w:lineRule="auto"/>
        <w:jc w:val="both"/>
        <w:rPr>
          <w:rFonts w:ascii="Verdana" w:hAnsi="Verdana" w:cs="Arial"/>
          <w:color w:val="000000" w:themeColor="text1"/>
        </w:rPr>
      </w:pPr>
    </w:p>
    <w:p w14:paraId="5EC6568D" w14:textId="77777777" w:rsidR="00EC0EEB" w:rsidRDefault="00EC0EEB" w:rsidP="00572E66">
      <w:pPr>
        <w:spacing w:line="276" w:lineRule="auto"/>
        <w:jc w:val="both"/>
        <w:rPr>
          <w:rFonts w:ascii="Verdana" w:hAnsi="Verdana" w:cs="Arial"/>
          <w:color w:val="000000" w:themeColor="text1"/>
        </w:rPr>
      </w:pPr>
    </w:p>
    <w:p w14:paraId="07D1B396" w14:textId="77777777" w:rsidR="00EC0EEB" w:rsidRDefault="00EC0EEB" w:rsidP="00572E66">
      <w:pPr>
        <w:spacing w:line="276" w:lineRule="auto"/>
        <w:jc w:val="both"/>
        <w:rPr>
          <w:rFonts w:ascii="Verdana" w:hAnsi="Verdana" w:cs="Arial"/>
          <w:color w:val="000000" w:themeColor="text1"/>
        </w:rPr>
      </w:pPr>
    </w:p>
    <w:p w14:paraId="2FE171DF" w14:textId="77777777" w:rsidR="00EC0EEB" w:rsidRDefault="00EC0EEB" w:rsidP="00572E66">
      <w:pPr>
        <w:spacing w:line="276" w:lineRule="auto"/>
        <w:jc w:val="both"/>
        <w:rPr>
          <w:rFonts w:ascii="Verdana" w:hAnsi="Verdana" w:cs="Arial"/>
          <w:color w:val="000000" w:themeColor="text1"/>
        </w:rPr>
      </w:pPr>
    </w:p>
    <w:p w14:paraId="30AB280F" w14:textId="77777777" w:rsidR="00EC0EEB" w:rsidRDefault="00EC0EEB" w:rsidP="00572E66">
      <w:pPr>
        <w:spacing w:line="276" w:lineRule="auto"/>
        <w:jc w:val="both"/>
        <w:rPr>
          <w:rFonts w:ascii="Verdana" w:hAnsi="Verdana" w:cs="Arial"/>
          <w:color w:val="000000" w:themeColor="text1"/>
        </w:rPr>
      </w:pPr>
    </w:p>
    <w:p w14:paraId="153D87B3" w14:textId="77777777" w:rsidR="00EC0EEB" w:rsidRDefault="00EC0EEB" w:rsidP="00572E66">
      <w:pPr>
        <w:spacing w:line="276" w:lineRule="auto"/>
        <w:jc w:val="both"/>
        <w:rPr>
          <w:rFonts w:ascii="Verdana" w:hAnsi="Verdana" w:cs="Arial"/>
          <w:color w:val="000000" w:themeColor="text1"/>
        </w:rPr>
      </w:pPr>
    </w:p>
    <w:p w14:paraId="2B597C84" w14:textId="77777777" w:rsidR="00EC0EEB" w:rsidRDefault="00EC0EEB" w:rsidP="00572E66">
      <w:pPr>
        <w:spacing w:line="276" w:lineRule="auto"/>
        <w:jc w:val="both"/>
        <w:rPr>
          <w:rFonts w:ascii="Verdana" w:hAnsi="Verdana" w:cs="Arial"/>
          <w:color w:val="000000" w:themeColor="text1"/>
        </w:rPr>
      </w:pPr>
    </w:p>
    <w:p w14:paraId="6AF69F36" w14:textId="77777777" w:rsidR="00EC0EEB" w:rsidRDefault="00EC0EEB" w:rsidP="00572E66">
      <w:pPr>
        <w:spacing w:line="276" w:lineRule="auto"/>
        <w:jc w:val="both"/>
        <w:rPr>
          <w:rFonts w:ascii="Verdana" w:hAnsi="Verdana" w:cs="Arial"/>
          <w:color w:val="000000" w:themeColor="text1"/>
        </w:rPr>
      </w:pPr>
    </w:p>
    <w:p w14:paraId="3F34EADA" w14:textId="77777777" w:rsidR="00EC0EEB" w:rsidRDefault="00EC0EEB" w:rsidP="00572E66">
      <w:pPr>
        <w:spacing w:line="276" w:lineRule="auto"/>
        <w:jc w:val="both"/>
        <w:rPr>
          <w:rFonts w:ascii="Verdana" w:hAnsi="Verdana" w:cs="Arial"/>
          <w:color w:val="000000" w:themeColor="text1"/>
        </w:rPr>
      </w:pPr>
    </w:p>
    <w:p w14:paraId="03F69232" w14:textId="77777777" w:rsidR="00EC0EEB" w:rsidRDefault="00EC0EEB" w:rsidP="00572E66">
      <w:pPr>
        <w:spacing w:line="276" w:lineRule="auto"/>
        <w:jc w:val="both"/>
        <w:rPr>
          <w:rFonts w:ascii="Verdana" w:hAnsi="Verdana" w:cs="Arial"/>
          <w:color w:val="000000" w:themeColor="text1"/>
        </w:rPr>
      </w:pPr>
    </w:p>
    <w:p w14:paraId="046BDC88" w14:textId="77777777" w:rsidR="00EC0EEB" w:rsidRDefault="00EC0EEB" w:rsidP="00572E66">
      <w:pPr>
        <w:spacing w:line="276" w:lineRule="auto"/>
        <w:jc w:val="both"/>
        <w:rPr>
          <w:rFonts w:ascii="Verdana" w:hAnsi="Verdana" w:cs="Arial"/>
          <w:color w:val="000000" w:themeColor="text1"/>
        </w:rPr>
      </w:pPr>
    </w:p>
    <w:p w14:paraId="1C7D78D4" w14:textId="77777777" w:rsidR="00EC0EEB" w:rsidRDefault="00EC0EEB" w:rsidP="00572E66">
      <w:pPr>
        <w:spacing w:line="276" w:lineRule="auto"/>
        <w:jc w:val="both"/>
        <w:rPr>
          <w:rFonts w:ascii="Verdana" w:hAnsi="Verdana" w:cs="Arial"/>
          <w:color w:val="000000" w:themeColor="text1"/>
        </w:rPr>
      </w:pPr>
    </w:p>
    <w:p w14:paraId="1F1DE1D3" w14:textId="77777777" w:rsidR="00EC0EEB" w:rsidRDefault="00EC0EEB" w:rsidP="00572E66">
      <w:pPr>
        <w:spacing w:line="276" w:lineRule="auto"/>
        <w:jc w:val="both"/>
        <w:rPr>
          <w:rFonts w:ascii="Verdana" w:hAnsi="Verdana" w:cs="Arial"/>
          <w:color w:val="000000" w:themeColor="text1"/>
        </w:rPr>
      </w:pPr>
    </w:p>
    <w:p w14:paraId="6B4072C7" w14:textId="77777777" w:rsidR="00EC0EEB" w:rsidRDefault="00EC0EEB" w:rsidP="00572E66">
      <w:pPr>
        <w:spacing w:line="276" w:lineRule="auto"/>
        <w:jc w:val="both"/>
        <w:rPr>
          <w:rFonts w:ascii="Verdana" w:hAnsi="Verdana" w:cs="Arial"/>
          <w:color w:val="000000" w:themeColor="text1"/>
        </w:rPr>
      </w:pPr>
    </w:p>
    <w:p w14:paraId="2B44B567" w14:textId="77777777" w:rsidR="00EC0EEB" w:rsidRDefault="00EC0EEB" w:rsidP="00572E66">
      <w:pPr>
        <w:spacing w:line="276" w:lineRule="auto"/>
        <w:jc w:val="both"/>
        <w:rPr>
          <w:rFonts w:ascii="Verdana" w:hAnsi="Verdana" w:cs="Arial"/>
          <w:color w:val="000000" w:themeColor="text1"/>
        </w:rPr>
      </w:pPr>
    </w:p>
    <w:p w14:paraId="651F73A3" w14:textId="77777777" w:rsidR="00EC0EEB" w:rsidRDefault="00EC0EEB" w:rsidP="00572E66">
      <w:pPr>
        <w:spacing w:line="276" w:lineRule="auto"/>
        <w:jc w:val="both"/>
        <w:rPr>
          <w:rFonts w:ascii="Verdana" w:hAnsi="Verdana" w:cs="Arial"/>
          <w:color w:val="000000" w:themeColor="text1"/>
        </w:rPr>
      </w:pPr>
    </w:p>
    <w:p w14:paraId="6E84B52C" w14:textId="77777777" w:rsidR="00EC0EEB" w:rsidRDefault="00EC0EEB" w:rsidP="00572E66">
      <w:pPr>
        <w:spacing w:line="276" w:lineRule="auto"/>
        <w:jc w:val="both"/>
        <w:rPr>
          <w:rFonts w:ascii="Verdana" w:hAnsi="Verdana" w:cs="Arial"/>
          <w:color w:val="000000" w:themeColor="text1"/>
        </w:rPr>
      </w:pPr>
    </w:p>
    <w:p w14:paraId="235C1D49" w14:textId="77777777" w:rsidR="00EC0EEB" w:rsidRPr="00EC0EEB" w:rsidRDefault="00EC0EEB" w:rsidP="00572E66">
      <w:pPr>
        <w:spacing w:line="276" w:lineRule="auto"/>
        <w:jc w:val="both"/>
        <w:rPr>
          <w:rFonts w:ascii="Verdana" w:hAnsi="Verdana" w:cs="Arial"/>
          <w:color w:val="000000" w:themeColor="text1"/>
        </w:rPr>
      </w:pPr>
    </w:p>
    <w:p w14:paraId="74FE8759" w14:textId="6A1D501E" w:rsidR="00572E66" w:rsidRDefault="00EC0EEB" w:rsidP="00572E66">
      <w:pPr>
        <w:spacing w:after="0" w:line="240" w:lineRule="auto"/>
        <w:jc w:val="right"/>
        <w:rPr>
          <w:rFonts w:ascii="Verdana" w:eastAsia="Calibri" w:hAnsi="Verdana" w:cs="Arial"/>
          <w:lang w:eastAsia="es-ES"/>
        </w:rPr>
      </w:pPr>
      <w:r w:rsidRPr="00EC0EEB">
        <w:rPr>
          <w:rFonts w:ascii="Verdana" w:eastAsia="Calibri" w:hAnsi="Verdana" w:cs="Arial"/>
          <w:noProof/>
          <w:lang w:eastAsia="es-ES"/>
        </w:rPr>
        <w:lastRenderedPageBreak/>
        <w:drawing>
          <wp:inline distT="0" distB="0" distL="0" distR="0" wp14:anchorId="019777F4" wp14:editId="161105C9">
            <wp:extent cx="2458015" cy="733544"/>
            <wp:effectExtent l="0" t="0" r="0" b="0"/>
            <wp:docPr id="24951384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9513848" name=""/>
                    <pic:cNvPicPr/>
                  </pic:nvPicPr>
                  <pic:blipFill>
                    <a:blip r:embed="rId10"/>
                    <a:stretch>
                      <a:fillRect/>
                    </a:stretch>
                  </pic:blipFill>
                  <pic:spPr>
                    <a:xfrm>
                      <a:off x="0" y="0"/>
                      <a:ext cx="2458015" cy="733544"/>
                    </a:xfrm>
                    <a:prstGeom prst="rect">
                      <a:avLst/>
                    </a:prstGeom>
                  </pic:spPr>
                </pic:pic>
              </a:graphicData>
            </a:graphic>
          </wp:inline>
        </w:drawing>
      </w:r>
    </w:p>
    <w:p w14:paraId="6D0D435A" w14:textId="2617B315" w:rsidR="00D27C18" w:rsidRDefault="00572E66" w:rsidP="00D27C18">
      <w:pPr>
        <w:spacing w:after="0" w:line="240" w:lineRule="auto"/>
        <w:rPr>
          <w:rFonts w:ascii="Verdana" w:eastAsia="Calibri" w:hAnsi="Verdana" w:cs="Arial"/>
          <w:lang w:eastAsia="es-ES"/>
        </w:rPr>
      </w:pPr>
      <w:r w:rsidRPr="00572E66">
        <w:rPr>
          <w:rFonts w:ascii="Verdana" w:eastAsia="Calibri" w:hAnsi="Verdana" w:cs="Arial"/>
          <w:noProof/>
          <w:lang w:eastAsia="es-ES"/>
        </w:rPr>
        <w:drawing>
          <wp:anchor distT="0" distB="0" distL="114300" distR="114300" simplePos="0" relativeHeight="251658240" behindDoc="1" locked="0" layoutInCell="1" allowOverlap="1" wp14:anchorId="7558C036" wp14:editId="5A5AC11B">
            <wp:simplePos x="0" y="0"/>
            <wp:positionH relativeFrom="column">
              <wp:posOffset>3180366</wp:posOffset>
            </wp:positionH>
            <wp:positionV relativeFrom="paragraph">
              <wp:posOffset>-2038</wp:posOffset>
            </wp:positionV>
            <wp:extent cx="2428875" cy="697117"/>
            <wp:effectExtent l="0" t="0" r="0" b="8255"/>
            <wp:wrapNone/>
            <wp:docPr id="330432922"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0432922" name="Imagen 1" descr="Texto&#10;&#10;El contenido generado por IA puede ser incorrecto."/>
                    <pic:cNvPicPr/>
                  </pic:nvPicPr>
                  <pic:blipFill>
                    <a:blip r:embed="rId11">
                      <a:extLst>
                        <a:ext uri="{28A0092B-C50C-407E-A947-70E740481C1C}">
                          <a14:useLocalDpi xmlns:a14="http://schemas.microsoft.com/office/drawing/2010/main" val="0"/>
                        </a:ext>
                      </a:extLst>
                    </a:blip>
                    <a:stretch>
                      <a:fillRect/>
                    </a:stretch>
                  </pic:blipFill>
                  <pic:spPr>
                    <a:xfrm>
                      <a:off x="0" y="0"/>
                      <a:ext cx="2428875" cy="697117"/>
                    </a:xfrm>
                    <a:prstGeom prst="rect">
                      <a:avLst/>
                    </a:prstGeom>
                  </pic:spPr>
                </pic:pic>
              </a:graphicData>
            </a:graphic>
          </wp:anchor>
        </w:drawing>
      </w:r>
      <w:r w:rsidR="00D27C18">
        <w:rPr>
          <w:rFonts w:ascii="Verdana" w:eastAsia="Calibri" w:hAnsi="Verdana" w:cs="Arial"/>
          <w:lang w:eastAsia="es-ES"/>
        </w:rPr>
        <w:t>Bogotá,  6 de Noviembre de 2025</w:t>
      </w:r>
    </w:p>
    <w:p w14:paraId="7F8CCAB4" w14:textId="5206E1B2" w:rsidR="00A76E99" w:rsidRDefault="00A76E99" w:rsidP="00A76E99">
      <w:pPr>
        <w:spacing w:after="0" w:line="240" w:lineRule="auto"/>
        <w:jc w:val="both"/>
        <w:rPr>
          <w:rFonts w:ascii="Verdana" w:eastAsia="Calibri" w:hAnsi="Verdana" w:cs="Arial"/>
          <w:lang w:eastAsia="es-ES"/>
        </w:rPr>
      </w:pPr>
      <w:r w:rsidRPr="005644FE">
        <w:rPr>
          <w:rFonts w:ascii="Verdana" w:eastAsia="Calibri" w:hAnsi="Verdana" w:cs="Arial"/>
          <w:lang w:eastAsia="es-ES"/>
        </w:rPr>
        <w:t>Señor</w:t>
      </w:r>
    </w:p>
    <w:p w14:paraId="57495E11" w14:textId="77777777" w:rsidR="00A76E99" w:rsidRPr="002D2BFB" w:rsidRDefault="00A76E99" w:rsidP="00A76E99">
      <w:pPr>
        <w:spacing w:after="0" w:line="240" w:lineRule="auto"/>
        <w:jc w:val="both"/>
        <w:rPr>
          <w:rFonts w:ascii="Verdana" w:eastAsia="Calibri" w:hAnsi="Verdana" w:cs="Arial"/>
          <w:b/>
          <w:bCs/>
          <w:lang w:eastAsia="es-ES"/>
        </w:rPr>
      </w:pPr>
      <w:r w:rsidRPr="002D2BFB">
        <w:rPr>
          <w:rFonts w:ascii="Verdana" w:eastAsia="Calibri" w:hAnsi="Verdana" w:cs="Arial"/>
          <w:b/>
          <w:bCs/>
          <w:lang w:eastAsia="es-ES"/>
        </w:rPr>
        <w:t xml:space="preserve">José Leonardo Álvarez Fonseca </w:t>
      </w:r>
    </w:p>
    <w:p w14:paraId="34AA83A0" w14:textId="77777777" w:rsidR="00A76E99" w:rsidRDefault="00A76E99" w:rsidP="00A76E99">
      <w:pPr>
        <w:spacing w:after="0" w:line="240" w:lineRule="auto"/>
        <w:jc w:val="both"/>
        <w:rPr>
          <w:rFonts w:ascii="Verdana" w:eastAsia="Calibri" w:hAnsi="Verdana" w:cs="Arial"/>
          <w:lang w:eastAsia="es-ES"/>
        </w:rPr>
      </w:pPr>
      <w:r>
        <w:rPr>
          <w:rFonts w:ascii="Verdana" w:eastAsia="Calibri" w:hAnsi="Verdana" w:cs="Arial"/>
          <w:lang w:eastAsia="es-ES"/>
        </w:rPr>
        <w:t xml:space="preserve">Representante </w:t>
      </w:r>
    </w:p>
    <w:p w14:paraId="0C88559D" w14:textId="77777777" w:rsidR="00A76E99" w:rsidRPr="005644FE" w:rsidRDefault="00A76E99" w:rsidP="00A76E99">
      <w:pPr>
        <w:spacing w:after="0" w:line="240" w:lineRule="auto"/>
        <w:jc w:val="both"/>
        <w:rPr>
          <w:rFonts w:ascii="Verdana" w:eastAsia="Calibri" w:hAnsi="Verdana" w:cs="Arial"/>
          <w:lang w:eastAsia="es-ES"/>
        </w:rPr>
      </w:pPr>
      <w:r>
        <w:rPr>
          <w:rFonts w:ascii="Verdana" w:eastAsia="Calibri" w:hAnsi="Verdana" w:cs="Arial"/>
          <w:lang w:eastAsia="es-ES"/>
        </w:rPr>
        <w:t xml:space="preserve">Licitaciones APP </w:t>
      </w:r>
    </w:p>
    <w:p w14:paraId="65491C42" w14:textId="77777777" w:rsidR="00A76E99" w:rsidRPr="002D2BFB" w:rsidRDefault="00A76E99" w:rsidP="00A76E99">
      <w:pPr>
        <w:spacing w:after="0" w:line="240" w:lineRule="auto"/>
        <w:jc w:val="both"/>
        <w:rPr>
          <w:rFonts w:ascii="Verdana" w:hAnsi="Verdana"/>
          <w:b/>
          <w:bCs/>
        </w:rPr>
      </w:pPr>
      <w:hyperlink r:id="rId12" w:history="1">
        <w:r w:rsidRPr="002D2BFB">
          <w:rPr>
            <w:rStyle w:val="Hipervnculo"/>
            <w:rFonts w:ascii="Verdana" w:hAnsi="Verdana"/>
            <w:b/>
            <w:bCs/>
          </w:rPr>
          <w:t>licitacionesappcontroljp@gmail.com</w:t>
        </w:r>
      </w:hyperlink>
    </w:p>
    <w:p w14:paraId="40CE00F8" w14:textId="77777777" w:rsidR="00A76E99" w:rsidRPr="005644FE" w:rsidRDefault="00A76E99" w:rsidP="00A76E99">
      <w:pPr>
        <w:spacing w:after="0" w:line="240" w:lineRule="auto"/>
        <w:jc w:val="both"/>
        <w:rPr>
          <w:rFonts w:ascii="Verdana" w:hAnsi="Verdana"/>
        </w:rPr>
      </w:pPr>
      <w:r w:rsidRPr="005644FE">
        <w:rPr>
          <w:rFonts w:ascii="Verdana" w:hAnsi="Verdana"/>
        </w:rPr>
        <w:t xml:space="preserve">Ciudad </w:t>
      </w:r>
    </w:p>
    <w:p w14:paraId="3A0800A3" w14:textId="77777777" w:rsidR="00A76E99" w:rsidRPr="005644FE" w:rsidRDefault="00A76E99" w:rsidP="00A76E99">
      <w:pPr>
        <w:spacing w:after="0" w:line="240" w:lineRule="auto"/>
        <w:jc w:val="both"/>
        <w:rPr>
          <w:rFonts w:ascii="Verdana" w:eastAsia="Calibri" w:hAnsi="Verdana" w:cs="Arial"/>
          <w:b/>
          <w:bCs/>
          <w:color w:val="000000"/>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A76E99" w:rsidRPr="005644FE" w14:paraId="742FA995" w14:textId="77777777" w:rsidTr="00313D33">
        <w:trPr>
          <w:trHeight w:val="162"/>
        </w:trPr>
        <w:tc>
          <w:tcPr>
            <w:tcW w:w="3119" w:type="dxa"/>
          </w:tcPr>
          <w:p w14:paraId="600D3F2F" w14:textId="77777777" w:rsidR="00A76E99" w:rsidRPr="005644FE" w:rsidRDefault="00A76E99" w:rsidP="00313D33">
            <w:pPr>
              <w:jc w:val="both"/>
              <w:rPr>
                <w:rFonts w:ascii="Verdana" w:eastAsia="Calibri" w:hAnsi="Verdana" w:cs="Arial"/>
                <w:b/>
                <w:bCs/>
                <w:color w:val="7030A0"/>
                <w:lang w:eastAsia="es-ES_tradnl"/>
              </w:rPr>
            </w:pPr>
          </w:p>
        </w:tc>
        <w:tc>
          <w:tcPr>
            <w:tcW w:w="5670" w:type="dxa"/>
          </w:tcPr>
          <w:p w14:paraId="773DE355" w14:textId="77777777" w:rsidR="00A76E99" w:rsidRPr="005644FE" w:rsidRDefault="00A76E99" w:rsidP="00313D33">
            <w:pPr>
              <w:jc w:val="both"/>
              <w:rPr>
                <w:rFonts w:ascii="Verdana" w:eastAsia="Calibri" w:hAnsi="Verdana" w:cs="Arial"/>
                <w:b/>
                <w:bCs/>
                <w:lang w:eastAsia="es-ES"/>
              </w:rPr>
            </w:pPr>
            <w:r w:rsidRPr="005644FE">
              <w:rPr>
                <w:rFonts w:ascii="Verdana" w:eastAsia="Calibri" w:hAnsi="Verdana" w:cs="Arial"/>
                <w:b/>
                <w:bCs/>
                <w:lang w:eastAsia="es-ES"/>
              </w:rPr>
              <w:t>Concepto C-14</w:t>
            </w:r>
            <w:r>
              <w:rPr>
                <w:rFonts w:ascii="Verdana" w:eastAsia="Calibri" w:hAnsi="Verdana" w:cs="Arial"/>
                <w:b/>
                <w:bCs/>
                <w:lang w:eastAsia="es-ES"/>
              </w:rPr>
              <w:t>65</w:t>
            </w:r>
            <w:r w:rsidRPr="005644FE">
              <w:rPr>
                <w:rFonts w:ascii="Verdana" w:eastAsia="Calibri" w:hAnsi="Verdana" w:cs="Arial"/>
                <w:b/>
                <w:bCs/>
                <w:lang w:eastAsia="es-ES"/>
              </w:rPr>
              <w:t xml:space="preserve"> de 2025</w:t>
            </w:r>
          </w:p>
          <w:p w14:paraId="1C473E59" w14:textId="77777777" w:rsidR="00A76E99" w:rsidRPr="005644FE" w:rsidRDefault="00A76E99" w:rsidP="00313D33">
            <w:pPr>
              <w:jc w:val="both"/>
              <w:rPr>
                <w:rFonts w:ascii="Verdana" w:eastAsia="Calibri" w:hAnsi="Verdana" w:cs="Arial"/>
                <w:b/>
                <w:bCs/>
                <w:color w:val="7030A0"/>
                <w:lang w:eastAsia="es-ES"/>
              </w:rPr>
            </w:pPr>
          </w:p>
        </w:tc>
      </w:tr>
      <w:tr w:rsidR="00A76E99" w:rsidRPr="005644FE" w14:paraId="2C133A69" w14:textId="77777777" w:rsidTr="00313D33">
        <w:trPr>
          <w:trHeight w:val="884"/>
        </w:trPr>
        <w:tc>
          <w:tcPr>
            <w:tcW w:w="3119" w:type="dxa"/>
          </w:tcPr>
          <w:p w14:paraId="63899D62" w14:textId="77777777" w:rsidR="00A76E99" w:rsidRPr="005644FE" w:rsidRDefault="00A76E99" w:rsidP="00313D33">
            <w:pPr>
              <w:jc w:val="both"/>
              <w:rPr>
                <w:rFonts w:ascii="Verdana" w:eastAsia="Calibri" w:hAnsi="Verdana" w:cs="Arial"/>
                <w:color w:val="000000"/>
                <w:lang w:eastAsia="es-ES_tradnl"/>
              </w:rPr>
            </w:pPr>
            <w:r w:rsidRPr="005644FE">
              <w:rPr>
                <w:rFonts w:ascii="Verdana" w:eastAsia="Calibri" w:hAnsi="Verdana" w:cs="Arial"/>
                <w:b/>
                <w:color w:val="000000"/>
                <w:lang w:eastAsia="es-ES_tradnl"/>
              </w:rPr>
              <w:t>Temas:</w:t>
            </w:r>
            <w:r w:rsidRPr="005644FE">
              <w:rPr>
                <w:rFonts w:ascii="Verdana" w:eastAsia="Calibri" w:hAnsi="Verdana" w:cs="Arial"/>
                <w:color w:val="000000"/>
                <w:lang w:eastAsia="es-ES_tradnl"/>
              </w:rPr>
              <w:t xml:space="preserve">                   </w:t>
            </w:r>
          </w:p>
        </w:tc>
        <w:tc>
          <w:tcPr>
            <w:tcW w:w="5670" w:type="dxa"/>
          </w:tcPr>
          <w:p w14:paraId="316793F1" w14:textId="77777777" w:rsidR="00A76E99" w:rsidRPr="00314EDC" w:rsidRDefault="00A76E99" w:rsidP="00313D33">
            <w:pPr>
              <w:spacing w:line="276" w:lineRule="auto"/>
              <w:jc w:val="both"/>
              <w:rPr>
                <w:rFonts w:ascii="Verdana" w:hAnsi="Verdana" w:cs="Arial"/>
                <w:color w:val="000000" w:themeColor="text1"/>
              </w:rPr>
            </w:pPr>
            <w:bookmarkStart w:id="3" w:name="_Hlk213432273"/>
            <w:r w:rsidRPr="00314EDC">
              <w:rPr>
                <w:rFonts w:ascii="Verdana" w:hAnsi="Verdana" w:cs="Arial"/>
                <w:color w:val="000000" w:themeColor="text1"/>
                <w:lang w:val="es-ES"/>
              </w:rPr>
              <w:t xml:space="preserve">SUBSANABILIDAD – Aplicación – Regla general – Excepciones / SUBSANABILIDAD – Ley 1882 de 2018 / </w:t>
            </w:r>
            <w:r w:rsidRPr="00314EDC">
              <w:rPr>
                <w:rFonts w:ascii="Verdana" w:hAnsi="Verdana" w:cs="Arial"/>
                <w:color w:val="000000" w:themeColor="text1"/>
              </w:rPr>
              <w:t>CAUSALES DE RECHAZO DE LAS OFERTAS – Origen – Límites en su configuración / CAUSALES DE RECHAZO – Procedencia</w:t>
            </w:r>
          </w:p>
          <w:bookmarkEnd w:id="3"/>
          <w:p w14:paraId="6DA34822" w14:textId="77777777" w:rsidR="00A76E99" w:rsidRPr="00314EDC" w:rsidRDefault="00A76E99" w:rsidP="00313D33">
            <w:pPr>
              <w:spacing w:line="276" w:lineRule="auto"/>
              <w:jc w:val="both"/>
              <w:rPr>
                <w:rFonts w:ascii="Verdana" w:hAnsi="Verdana" w:cs="Arial"/>
                <w:color w:val="000000" w:themeColor="text1"/>
              </w:rPr>
            </w:pPr>
          </w:p>
        </w:tc>
      </w:tr>
      <w:tr w:rsidR="00A76E99" w:rsidRPr="005644FE" w14:paraId="79DB27A2" w14:textId="77777777" w:rsidTr="00313D33">
        <w:tc>
          <w:tcPr>
            <w:tcW w:w="3119" w:type="dxa"/>
          </w:tcPr>
          <w:p w14:paraId="78B4A3EF" w14:textId="77777777" w:rsidR="00A76E99" w:rsidRPr="005644FE" w:rsidRDefault="00A76E99" w:rsidP="00313D33">
            <w:pPr>
              <w:jc w:val="both"/>
              <w:rPr>
                <w:rFonts w:ascii="Verdana" w:eastAsia="Calibri" w:hAnsi="Verdana" w:cs="Arial"/>
                <w:b/>
                <w:lang w:eastAsia="es-ES_tradnl"/>
              </w:rPr>
            </w:pPr>
            <w:r w:rsidRPr="005644FE">
              <w:rPr>
                <w:rFonts w:ascii="Verdana" w:eastAsia="Calibri" w:hAnsi="Verdana" w:cs="Arial"/>
                <w:b/>
                <w:lang w:eastAsia="es-ES_tradnl"/>
              </w:rPr>
              <w:t>Radicación:</w:t>
            </w:r>
            <w:r w:rsidRPr="005644FE">
              <w:rPr>
                <w:rFonts w:ascii="Verdana" w:eastAsia="Calibri" w:hAnsi="Verdana" w:cs="Arial"/>
                <w:lang w:eastAsia="es-ES_tradnl"/>
              </w:rPr>
              <w:t xml:space="preserve">               </w:t>
            </w:r>
          </w:p>
        </w:tc>
        <w:tc>
          <w:tcPr>
            <w:tcW w:w="5670" w:type="dxa"/>
          </w:tcPr>
          <w:p w14:paraId="45020734" w14:textId="77777777" w:rsidR="00A76E99" w:rsidRPr="005644FE" w:rsidRDefault="00A76E99" w:rsidP="00313D33">
            <w:pPr>
              <w:jc w:val="both"/>
              <w:rPr>
                <w:rFonts w:ascii="Verdana" w:eastAsia="Calibri" w:hAnsi="Verdana" w:cs="Arial"/>
                <w:lang w:eastAsia="es-ES_tradnl"/>
              </w:rPr>
            </w:pPr>
            <w:r w:rsidRPr="005644FE">
              <w:rPr>
                <w:rFonts w:ascii="Verdana" w:eastAsia="Calibri" w:hAnsi="Verdana" w:cs="Arial"/>
                <w:lang w:eastAsia="es-ES_tradnl"/>
              </w:rPr>
              <w:t xml:space="preserve">Respuesta a consulta con radicado </w:t>
            </w:r>
            <w:r w:rsidRPr="002D2BFB">
              <w:rPr>
                <w:rFonts w:ascii="Verdana" w:eastAsia="Calibri" w:hAnsi="Verdana" w:cs="Arial"/>
                <w:lang w:eastAsia="es-ES_tradnl"/>
              </w:rPr>
              <w:t>1_2025_10_07_011231</w:t>
            </w:r>
            <w:r>
              <w:rPr>
                <w:rFonts w:ascii="Verdana" w:eastAsia="Calibri" w:hAnsi="Verdana" w:cs="Arial"/>
                <w:lang w:eastAsia="es-ES_tradnl"/>
              </w:rPr>
              <w:t xml:space="preserve"> y </w:t>
            </w:r>
            <w:r w:rsidRPr="002D2BFB">
              <w:rPr>
                <w:rFonts w:ascii="Verdana" w:eastAsia="Calibri" w:hAnsi="Verdana" w:cs="Arial"/>
                <w:lang w:eastAsia="es-ES_tradnl"/>
              </w:rPr>
              <w:t>1_2025_10_08_011243</w:t>
            </w:r>
            <w:r>
              <w:rPr>
                <w:rFonts w:ascii="Verdana" w:eastAsia="Calibri" w:hAnsi="Verdana" w:cs="Arial"/>
                <w:lang w:eastAsia="es-ES_tradnl"/>
              </w:rPr>
              <w:t xml:space="preserve"> (Acumuladas)</w:t>
            </w:r>
          </w:p>
        </w:tc>
      </w:tr>
    </w:tbl>
    <w:p w14:paraId="678C7892" w14:textId="77777777" w:rsidR="00A76E99" w:rsidRPr="005644FE" w:rsidRDefault="00A76E99" w:rsidP="00A76E99">
      <w:pPr>
        <w:spacing w:after="0" w:line="276" w:lineRule="auto"/>
        <w:jc w:val="both"/>
        <w:rPr>
          <w:rFonts w:ascii="Verdana" w:eastAsia="Calibri" w:hAnsi="Verdana" w:cs="Arial"/>
          <w:lang w:eastAsia="es-ES_tradnl"/>
        </w:rPr>
      </w:pPr>
    </w:p>
    <w:p w14:paraId="12FA69A9" w14:textId="77777777" w:rsidR="00A76E99" w:rsidRPr="005644FE" w:rsidRDefault="00A76E99" w:rsidP="00A76E99">
      <w:pPr>
        <w:spacing w:after="0" w:line="276" w:lineRule="auto"/>
        <w:jc w:val="both"/>
        <w:rPr>
          <w:rFonts w:ascii="Verdana" w:eastAsia="Calibri" w:hAnsi="Verdana" w:cs="Arial"/>
          <w:lang w:eastAsia="es-ES"/>
        </w:rPr>
      </w:pPr>
      <w:r w:rsidRPr="005644FE">
        <w:rPr>
          <w:rFonts w:ascii="Verdana" w:eastAsia="Calibri" w:hAnsi="Verdana" w:cs="Arial"/>
          <w:lang w:eastAsia="es-ES"/>
        </w:rPr>
        <w:t>Estimad</w:t>
      </w:r>
      <w:r>
        <w:rPr>
          <w:rFonts w:ascii="Verdana" w:eastAsia="Calibri" w:hAnsi="Verdana" w:cs="Arial"/>
          <w:lang w:eastAsia="es-ES"/>
        </w:rPr>
        <w:t>o señor Álvarez</w:t>
      </w:r>
      <w:r w:rsidRPr="005644FE">
        <w:rPr>
          <w:rFonts w:ascii="Verdana" w:eastAsia="Calibri" w:hAnsi="Verdana" w:cs="Arial"/>
          <w:lang w:eastAsia="es-ES"/>
        </w:rPr>
        <w:t>:</w:t>
      </w:r>
    </w:p>
    <w:p w14:paraId="2BB42C19" w14:textId="77777777" w:rsidR="00A76E99" w:rsidRPr="00E02524" w:rsidRDefault="00A76E99" w:rsidP="00A76E99">
      <w:pPr>
        <w:spacing w:after="0"/>
        <w:jc w:val="both"/>
        <w:rPr>
          <w:rFonts w:ascii="Verdana" w:hAnsi="Verdana"/>
          <w:lang w:val="es-MX"/>
        </w:rPr>
      </w:pPr>
    </w:p>
    <w:p w14:paraId="3A0C7B4C" w14:textId="77777777" w:rsidR="00A76E99" w:rsidRDefault="00A76E99" w:rsidP="00A76E99">
      <w:pPr>
        <w:spacing w:after="0"/>
        <w:jc w:val="both"/>
        <w:rPr>
          <w:rFonts w:ascii="Verdana" w:hAnsi="Verdana"/>
        </w:rPr>
      </w:pPr>
      <w:r w:rsidRPr="00E02524">
        <w:rPr>
          <w:rFonts w:ascii="Verdana" w:hAnsi="Verdana"/>
        </w:rPr>
        <w:t xml:space="preserve">La Agencia Nacional de Contratación Pública – Colombia Compra Eficiente –, en ejercicio de las competencias otorgadas </w:t>
      </w:r>
      <w:r w:rsidRPr="005644FE">
        <w:rPr>
          <w:rFonts w:ascii="Verdana" w:eastAsia="Calibri" w:hAnsi="Verdana" w:cs="Arial"/>
          <w:lang w:eastAsia="es-ES"/>
        </w:rPr>
        <w:t>por los artículos 3, numeral 5º, y 11, numeral 8º, del Decreto Ley 4170 de 2011</w:t>
      </w:r>
      <w:r>
        <w:rPr>
          <w:rFonts w:ascii="Verdana" w:eastAsia="Calibri" w:hAnsi="Verdana" w:cs="Arial"/>
          <w:lang w:eastAsia="es-ES"/>
        </w:rPr>
        <w:t>,</w:t>
      </w:r>
      <w:r w:rsidRPr="00595C9B">
        <w:rPr>
          <w:rFonts w:ascii="Verdana" w:hAnsi="Verdana" w:cs="Arial"/>
        </w:rPr>
        <w:t xml:space="preserve"> </w:t>
      </w:r>
      <w:r w:rsidRPr="005644FE">
        <w:rPr>
          <w:rFonts w:ascii="Verdana" w:hAnsi="Verdana" w:cs="Arial"/>
        </w:rPr>
        <w:t>así como lo establecido en el artículo 4 de la Resolución 1707 de 2018 expedida por esta Entidad</w:t>
      </w:r>
      <w:r w:rsidRPr="00E02524">
        <w:rPr>
          <w:rFonts w:ascii="Verdana" w:hAnsi="Verdana"/>
        </w:rPr>
        <w:t xml:space="preserve"> y</w:t>
      </w:r>
      <w:r>
        <w:rPr>
          <w:rFonts w:ascii="Verdana" w:hAnsi="Verdana"/>
        </w:rPr>
        <w:t>,</w:t>
      </w:r>
      <w:r w:rsidRPr="00E02524">
        <w:rPr>
          <w:rFonts w:ascii="Verdana" w:hAnsi="Verdana"/>
        </w:rPr>
        <w:t xml:space="preserve"> de conformidad con las modalidades del derecho de petición contempladas en la Ley 1755 de 2015</w:t>
      </w:r>
      <w:r>
        <w:rPr>
          <w:rFonts w:ascii="Verdana" w:hAnsi="Verdana"/>
        </w:rPr>
        <w:t xml:space="preserve"> y en </w:t>
      </w:r>
      <w:r w:rsidRPr="00E02524">
        <w:rPr>
          <w:rFonts w:ascii="Verdana" w:hAnsi="Verdana"/>
        </w:rPr>
        <w:t xml:space="preserve">la resolución </w:t>
      </w:r>
      <w:proofErr w:type="spellStart"/>
      <w:r w:rsidRPr="00E02524">
        <w:rPr>
          <w:rFonts w:ascii="Verdana" w:eastAsia="Times New Roman" w:hAnsi="Verdana" w:cs="Segoe UI"/>
          <w:lang w:eastAsia="es-CO"/>
        </w:rPr>
        <w:t>N°</w:t>
      </w:r>
      <w:proofErr w:type="spellEnd"/>
      <w:r w:rsidRPr="00E02524">
        <w:rPr>
          <w:rFonts w:ascii="Verdana" w:eastAsia="Times New Roman" w:hAnsi="Verdana" w:cs="Segoe UI"/>
          <w:lang w:eastAsia="es-CO"/>
        </w:rPr>
        <w:t xml:space="preserve"> 469 del 2025 </w:t>
      </w:r>
      <w:r w:rsidRPr="00E02524">
        <w:rPr>
          <w:rFonts w:ascii="Verdana" w:hAnsi="Verdana"/>
        </w:rPr>
        <w:t xml:space="preserve">expedida por esta Agencia, </w:t>
      </w:r>
      <w:r w:rsidRPr="005644FE">
        <w:rPr>
          <w:rFonts w:ascii="Verdana" w:eastAsia="Calibri" w:hAnsi="Verdana" w:cs="Arial"/>
          <w:lang w:eastAsia="es-ES"/>
        </w:rPr>
        <w:t xml:space="preserve">responde su solicitud de consulta de fecha </w:t>
      </w:r>
      <w:r>
        <w:rPr>
          <w:rFonts w:ascii="Verdana" w:eastAsia="Calibri" w:hAnsi="Verdana" w:cs="Arial"/>
          <w:lang w:eastAsia="es-ES"/>
        </w:rPr>
        <w:t>7</w:t>
      </w:r>
      <w:r w:rsidRPr="005644FE">
        <w:rPr>
          <w:rFonts w:ascii="Verdana" w:eastAsia="Calibri" w:hAnsi="Verdana" w:cs="Arial"/>
          <w:lang w:eastAsia="es-ES"/>
        </w:rPr>
        <w:t xml:space="preserve"> de octubre de 2025, en la cual manifiesta lo siguiente:</w:t>
      </w:r>
    </w:p>
    <w:p w14:paraId="0BE2DFA4" w14:textId="77777777" w:rsidR="00A76E99" w:rsidRDefault="00A76E99" w:rsidP="00A76E99">
      <w:pPr>
        <w:spacing w:after="0"/>
        <w:jc w:val="both"/>
        <w:rPr>
          <w:rFonts w:ascii="Verdana" w:hAnsi="Verdana"/>
        </w:rPr>
      </w:pPr>
    </w:p>
    <w:p w14:paraId="33555EDD" w14:textId="2206FB29" w:rsidR="00A76E99" w:rsidRPr="00EC0EEB" w:rsidRDefault="00A76E99" w:rsidP="00A76E99">
      <w:pPr>
        <w:spacing w:after="0"/>
        <w:jc w:val="both"/>
        <w:rPr>
          <w:rFonts w:ascii="Verdana" w:hAnsi="Verdana"/>
        </w:rPr>
      </w:pPr>
      <w:r w:rsidRPr="00E02524">
        <w:rPr>
          <w:rFonts w:ascii="Verdana" w:hAnsi="Verdana"/>
        </w:rPr>
        <w:t xml:space="preserve">PETICIÓN REALIZADA </w:t>
      </w:r>
    </w:p>
    <w:p w14:paraId="6D251F2C" w14:textId="77777777" w:rsidR="00A76E99" w:rsidRPr="00A931AE" w:rsidRDefault="00A76E99" w:rsidP="00A76E99">
      <w:pPr>
        <w:spacing w:after="0"/>
        <w:ind w:left="708" w:right="758"/>
        <w:jc w:val="both"/>
        <w:rPr>
          <w:rFonts w:ascii="Verdana" w:hAnsi="Verdana"/>
          <w:i/>
          <w:iCs/>
          <w:sz w:val="20"/>
          <w:szCs w:val="20"/>
        </w:rPr>
      </w:pPr>
      <w:r>
        <w:rPr>
          <w:rFonts w:ascii="Verdana" w:hAnsi="Verdana"/>
          <w:i/>
          <w:iCs/>
          <w:sz w:val="20"/>
          <w:szCs w:val="20"/>
        </w:rPr>
        <w:t xml:space="preserve">“(…) </w:t>
      </w:r>
      <w:r w:rsidRPr="00A931AE">
        <w:rPr>
          <w:rFonts w:ascii="Verdana" w:hAnsi="Verdana"/>
          <w:i/>
          <w:iCs/>
          <w:sz w:val="20"/>
          <w:szCs w:val="20"/>
        </w:rPr>
        <w:t xml:space="preserve">En un proceso de selección bajo la modalidad de concurso de méritos abierto, el pliego de condiciones dispuso que el proponente (persona natural, jurídica o plural) debía acreditar título profesional en Ingeniería </w:t>
      </w:r>
      <w:r w:rsidRPr="00A931AE">
        <w:rPr>
          <w:rFonts w:ascii="Verdana" w:hAnsi="Verdana"/>
          <w:i/>
          <w:iCs/>
          <w:sz w:val="20"/>
          <w:szCs w:val="20"/>
        </w:rPr>
        <w:lastRenderedPageBreak/>
        <w:t xml:space="preserve">Civil, Ingeniería Geológica, Ingeniería en Saneamiento Básico o Arquitectura, con experiencia mínima de ocho (8) años, y que, en el caso de personas jurídicas, si el representante legal </w:t>
      </w:r>
      <w:r w:rsidRPr="00A931AE">
        <w:rPr>
          <w:rFonts w:ascii="Verdana" w:hAnsi="Verdana"/>
          <w:b/>
          <w:bCs/>
          <w:i/>
          <w:iCs/>
          <w:sz w:val="20"/>
          <w:szCs w:val="20"/>
          <w:u w:val="single"/>
        </w:rPr>
        <w:t>no cumplía</w:t>
      </w:r>
      <w:r w:rsidRPr="00A931AE">
        <w:rPr>
          <w:rFonts w:ascii="Verdana" w:hAnsi="Verdana"/>
          <w:i/>
          <w:iCs/>
          <w:sz w:val="20"/>
          <w:szCs w:val="20"/>
        </w:rPr>
        <w:t xml:space="preserve"> con tales requisitos, la oferta debía estar </w:t>
      </w:r>
      <w:r w:rsidRPr="00A931AE">
        <w:rPr>
          <w:rFonts w:ascii="Verdana" w:hAnsi="Verdana"/>
          <w:b/>
          <w:bCs/>
          <w:i/>
          <w:iCs/>
          <w:sz w:val="20"/>
          <w:szCs w:val="20"/>
        </w:rPr>
        <w:t>avalada por un profesional</w:t>
      </w:r>
      <w:r w:rsidRPr="00A931AE">
        <w:rPr>
          <w:rFonts w:ascii="Verdana" w:hAnsi="Verdana"/>
          <w:i/>
          <w:iCs/>
          <w:sz w:val="20"/>
          <w:szCs w:val="20"/>
        </w:rPr>
        <w:t xml:space="preserve"> que sí los cumpliera.</w:t>
      </w:r>
    </w:p>
    <w:p w14:paraId="4429C17D" w14:textId="77777777" w:rsidR="00A76E99" w:rsidRDefault="00A76E99" w:rsidP="00A76E99">
      <w:pPr>
        <w:spacing w:after="0"/>
        <w:ind w:left="708" w:right="758"/>
        <w:jc w:val="both"/>
        <w:rPr>
          <w:rFonts w:ascii="Verdana" w:hAnsi="Verdana"/>
          <w:i/>
          <w:iCs/>
          <w:sz w:val="20"/>
          <w:szCs w:val="20"/>
        </w:rPr>
      </w:pPr>
      <w:r w:rsidRPr="00A931AE">
        <w:rPr>
          <w:rFonts w:ascii="Verdana" w:hAnsi="Verdana"/>
          <w:i/>
          <w:iCs/>
          <w:sz w:val="20"/>
          <w:szCs w:val="20"/>
        </w:rPr>
        <w:t xml:space="preserve">En este caso, un proponente presento </w:t>
      </w:r>
      <w:r w:rsidRPr="00A931AE">
        <w:rPr>
          <w:rFonts w:ascii="Verdana" w:hAnsi="Verdana"/>
          <w:sz w:val="20"/>
          <w:szCs w:val="20"/>
        </w:rPr>
        <w:t>(sic)</w:t>
      </w:r>
      <w:r w:rsidRPr="00A931AE">
        <w:rPr>
          <w:rFonts w:ascii="Verdana" w:hAnsi="Verdana"/>
          <w:i/>
          <w:iCs/>
          <w:sz w:val="20"/>
          <w:szCs w:val="20"/>
        </w:rPr>
        <w:t xml:space="preserve"> oferta como persona jurídica cuyo representante legal no cumplía el perfil exigido, y de igual manera tampoco anexo ningún AVAL de esta por un profesional que cumpliera con el requisito.</w:t>
      </w:r>
    </w:p>
    <w:p w14:paraId="10F09E79" w14:textId="77777777" w:rsidR="00A76E99" w:rsidRDefault="00A76E99" w:rsidP="00A76E99">
      <w:pPr>
        <w:spacing w:after="0"/>
        <w:ind w:left="708" w:right="758"/>
        <w:jc w:val="both"/>
        <w:rPr>
          <w:rFonts w:ascii="Verdana" w:hAnsi="Verdana"/>
          <w:i/>
          <w:iCs/>
          <w:sz w:val="20"/>
          <w:szCs w:val="20"/>
        </w:rPr>
      </w:pPr>
    </w:p>
    <w:p w14:paraId="79FC3510" w14:textId="77777777" w:rsidR="00A76E99" w:rsidRDefault="00A76E99" w:rsidP="00A76E99">
      <w:pPr>
        <w:spacing w:after="0"/>
        <w:ind w:left="708" w:right="758"/>
        <w:jc w:val="both"/>
        <w:rPr>
          <w:rFonts w:ascii="Verdana" w:hAnsi="Verdana"/>
          <w:b/>
          <w:bCs/>
          <w:i/>
          <w:iCs/>
          <w:sz w:val="20"/>
          <w:szCs w:val="20"/>
        </w:rPr>
      </w:pPr>
      <w:r w:rsidRPr="00A931AE">
        <w:rPr>
          <w:rFonts w:ascii="Verdana" w:hAnsi="Verdana"/>
          <w:i/>
          <w:iCs/>
          <w:sz w:val="20"/>
          <w:szCs w:val="20"/>
        </w:rPr>
        <w:t xml:space="preserve">Inicialmente, en el </w:t>
      </w:r>
      <w:r w:rsidRPr="00A931AE">
        <w:rPr>
          <w:rFonts w:ascii="Verdana" w:hAnsi="Verdana"/>
          <w:b/>
          <w:bCs/>
          <w:i/>
          <w:iCs/>
          <w:sz w:val="20"/>
          <w:szCs w:val="20"/>
        </w:rPr>
        <w:t>informe de evaluación N.º 1</w:t>
      </w:r>
      <w:r w:rsidRPr="00A931AE">
        <w:rPr>
          <w:rFonts w:ascii="Verdana" w:hAnsi="Verdana"/>
          <w:i/>
          <w:iCs/>
          <w:sz w:val="20"/>
          <w:szCs w:val="20"/>
        </w:rPr>
        <w:t xml:space="preserve"> la entidad contratante indicó que el aval </w:t>
      </w:r>
      <w:r w:rsidRPr="00A931AE">
        <w:rPr>
          <w:rFonts w:ascii="Verdana" w:hAnsi="Verdana"/>
          <w:b/>
          <w:bCs/>
          <w:i/>
          <w:iCs/>
          <w:sz w:val="20"/>
          <w:szCs w:val="20"/>
        </w:rPr>
        <w:t>no era subsanable</w:t>
      </w:r>
      <w:r w:rsidRPr="00A931AE">
        <w:rPr>
          <w:rFonts w:ascii="Verdana" w:hAnsi="Verdana"/>
          <w:i/>
          <w:iCs/>
          <w:sz w:val="20"/>
          <w:szCs w:val="20"/>
        </w:rPr>
        <w:t xml:space="preserve"> y, en consecuencia, </w:t>
      </w:r>
      <w:r w:rsidRPr="00A931AE">
        <w:rPr>
          <w:rFonts w:ascii="Verdana" w:hAnsi="Verdana"/>
          <w:b/>
          <w:bCs/>
          <w:i/>
          <w:iCs/>
          <w:sz w:val="20"/>
          <w:szCs w:val="20"/>
        </w:rPr>
        <w:t>rechazó la oferta</w:t>
      </w:r>
      <w:r w:rsidRPr="00A931AE">
        <w:rPr>
          <w:rFonts w:ascii="Verdana" w:hAnsi="Verdana"/>
          <w:i/>
          <w:iCs/>
          <w:sz w:val="20"/>
          <w:szCs w:val="20"/>
        </w:rPr>
        <w:t xml:space="preserve">. Sin embargo, ante la </w:t>
      </w:r>
      <w:r w:rsidRPr="00A931AE">
        <w:rPr>
          <w:rFonts w:ascii="Verdana" w:hAnsi="Verdana"/>
          <w:b/>
          <w:bCs/>
          <w:i/>
          <w:iCs/>
          <w:sz w:val="20"/>
          <w:szCs w:val="20"/>
        </w:rPr>
        <w:t>solicitud de subsanación</w:t>
      </w:r>
      <w:r w:rsidRPr="00A931AE">
        <w:rPr>
          <w:rFonts w:ascii="Verdana" w:hAnsi="Verdana"/>
          <w:i/>
          <w:iCs/>
          <w:sz w:val="20"/>
          <w:szCs w:val="20"/>
        </w:rPr>
        <w:t xml:space="preserve"> presentada por el proponente, </w:t>
      </w:r>
      <w:r w:rsidRPr="00A931AE">
        <w:rPr>
          <w:rFonts w:ascii="Verdana" w:hAnsi="Verdana"/>
          <w:b/>
          <w:bCs/>
          <w:i/>
          <w:iCs/>
          <w:sz w:val="20"/>
          <w:szCs w:val="20"/>
        </w:rPr>
        <w:t>éste acreditó que el aval existía antes del cierre del proceso</w:t>
      </w:r>
      <w:r w:rsidRPr="00A931AE">
        <w:rPr>
          <w:rFonts w:ascii="Verdana" w:hAnsi="Verdana"/>
          <w:i/>
          <w:iCs/>
          <w:sz w:val="20"/>
          <w:szCs w:val="20"/>
        </w:rPr>
        <w:t xml:space="preserve">, demostrando que el documento fue firmado y expedido un día antes de la fecha de cierre. Además, el proponente sostuvo que dicho aval </w:t>
      </w:r>
      <w:r w:rsidRPr="00A931AE">
        <w:rPr>
          <w:rFonts w:ascii="Verdana" w:hAnsi="Verdana"/>
          <w:b/>
          <w:bCs/>
          <w:i/>
          <w:iCs/>
          <w:sz w:val="20"/>
          <w:szCs w:val="20"/>
        </w:rPr>
        <w:t>no constituye un requisito para comparar ofertas</w:t>
      </w:r>
      <w:r w:rsidRPr="00A931AE">
        <w:rPr>
          <w:rFonts w:ascii="Verdana" w:hAnsi="Verdana"/>
          <w:i/>
          <w:iCs/>
          <w:sz w:val="20"/>
          <w:szCs w:val="20"/>
        </w:rPr>
        <w:t xml:space="preserve">, por lo que su omisión debía considerarse subsanable, al tratarse de la acreditación de un hecho ocurrido con anterioridad al cierre, es decir, que en ninguna circunstancia se estaban acreditando hechos posteriores al cierre, puesto que el aval lo emitió el profesional antes y cumplía con la experiencia requerida a la fecha de cierre, que la falta de anexión a la propuesta inicial solo correspondía a un error humano. En consecuencia, la entidad </w:t>
      </w:r>
      <w:r w:rsidRPr="00A931AE">
        <w:rPr>
          <w:rFonts w:ascii="Verdana" w:hAnsi="Verdana"/>
          <w:b/>
          <w:bCs/>
          <w:i/>
          <w:iCs/>
          <w:sz w:val="20"/>
          <w:szCs w:val="20"/>
        </w:rPr>
        <w:t>reconsideró su posición</w:t>
      </w:r>
      <w:r w:rsidRPr="00A931AE">
        <w:rPr>
          <w:rFonts w:ascii="Verdana" w:hAnsi="Verdana"/>
          <w:i/>
          <w:iCs/>
          <w:sz w:val="20"/>
          <w:szCs w:val="20"/>
        </w:rPr>
        <w:t xml:space="preserve"> y, en el </w:t>
      </w:r>
      <w:r w:rsidRPr="00A931AE">
        <w:rPr>
          <w:rFonts w:ascii="Verdana" w:hAnsi="Verdana"/>
          <w:b/>
          <w:bCs/>
          <w:i/>
          <w:iCs/>
          <w:sz w:val="20"/>
          <w:szCs w:val="20"/>
        </w:rPr>
        <w:t>informe de evaluación N.º 2, aceptó el aval como válido y habilitó al proponente.</w:t>
      </w:r>
    </w:p>
    <w:p w14:paraId="5B8C8DFD" w14:textId="77777777" w:rsidR="00A76E99" w:rsidRDefault="00A76E99" w:rsidP="00A76E99">
      <w:pPr>
        <w:spacing w:after="0"/>
        <w:ind w:left="708" w:right="758"/>
        <w:jc w:val="both"/>
        <w:rPr>
          <w:rFonts w:ascii="Verdana" w:hAnsi="Verdana"/>
          <w:b/>
          <w:bCs/>
          <w:i/>
          <w:iCs/>
          <w:sz w:val="20"/>
          <w:szCs w:val="20"/>
        </w:rPr>
      </w:pPr>
    </w:p>
    <w:p w14:paraId="3A300165" w14:textId="77777777" w:rsidR="00A76E99" w:rsidRDefault="00A76E99" w:rsidP="00A76E99">
      <w:pPr>
        <w:spacing w:after="0"/>
        <w:ind w:left="708" w:right="758"/>
        <w:jc w:val="both"/>
        <w:rPr>
          <w:rFonts w:ascii="Verdana" w:hAnsi="Verdana"/>
          <w:b/>
          <w:bCs/>
          <w:i/>
          <w:iCs/>
          <w:sz w:val="20"/>
          <w:szCs w:val="20"/>
        </w:rPr>
      </w:pPr>
      <w:r w:rsidRPr="00A931AE">
        <w:rPr>
          <w:rFonts w:ascii="Verdana" w:hAnsi="Verdana"/>
          <w:i/>
          <w:iCs/>
          <w:sz w:val="20"/>
          <w:szCs w:val="20"/>
        </w:rPr>
        <w:t>En este contexto, y conforme al</w:t>
      </w:r>
      <w:r w:rsidRPr="00A931AE">
        <w:rPr>
          <w:rFonts w:ascii="Verdana" w:hAnsi="Verdana"/>
          <w:b/>
          <w:bCs/>
          <w:i/>
          <w:iCs/>
          <w:sz w:val="20"/>
          <w:szCs w:val="20"/>
        </w:rPr>
        <w:t xml:space="preserve"> artículo 5 del Decreto 1082 de 2015 </w:t>
      </w:r>
      <w:r w:rsidRPr="00A931AE">
        <w:rPr>
          <w:rFonts w:ascii="Verdana" w:hAnsi="Verdana"/>
          <w:i/>
          <w:iCs/>
          <w:sz w:val="20"/>
          <w:szCs w:val="20"/>
        </w:rPr>
        <w:t>y a los principios de transparencia, selección objetiva y prevalencia del derecho sustancial sobre las formalidades,</w:t>
      </w:r>
      <w:r w:rsidRPr="00A931AE">
        <w:rPr>
          <w:rFonts w:ascii="Verdana" w:hAnsi="Verdana"/>
          <w:b/>
          <w:bCs/>
          <w:i/>
          <w:iCs/>
          <w:sz w:val="20"/>
          <w:szCs w:val="20"/>
        </w:rPr>
        <w:t xml:space="preserve"> solicito su orientación sobre lo siguiente:</w:t>
      </w:r>
    </w:p>
    <w:p w14:paraId="5EB25B67" w14:textId="77777777" w:rsidR="00A76E99" w:rsidRDefault="00A76E99" w:rsidP="00A76E99">
      <w:pPr>
        <w:spacing w:after="0"/>
        <w:ind w:left="708" w:right="758"/>
        <w:jc w:val="both"/>
        <w:rPr>
          <w:rFonts w:ascii="Verdana" w:hAnsi="Verdana"/>
          <w:b/>
          <w:bCs/>
          <w:i/>
          <w:iCs/>
          <w:sz w:val="20"/>
          <w:szCs w:val="20"/>
        </w:rPr>
      </w:pPr>
    </w:p>
    <w:p w14:paraId="7B6964D7" w14:textId="77777777" w:rsidR="00A76E99" w:rsidRDefault="00A76E99" w:rsidP="00A76E99">
      <w:pPr>
        <w:spacing w:after="0"/>
        <w:ind w:left="708" w:right="758"/>
        <w:jc w:val="both"/>
        <w:rPr>
          <w:rFonts w:ascii="Verdana" w:hAnsi="Verdana"/>
          <w:b/>
          <w:bCs/>
          <w:i/>
          <w:iCs/>
          <w:sz w:val="20"/>
          <w:szCs w:val="20"/>
        </w:rPr>
      </w:pPr>
      <w:r w:rsidRPr="00A931AE">
        <w:rPr>
          <w:rFonts w:ascii="Verdana" w:hAnsi="Verdana"/>
          <w:b/>
          <w:bCs/>
          <w:i/>
          <w:iCs/>
          <w:sz w:val="20"/>
          <w:szCs w:val="20"/>
        </w:rPr>
        <w:t xml:space="preserve">¿Actuó correctamente la entidad al aceptar como subsanable el AVAL del profesional, considerando que el documento existía antes del cierre del proceso y su omisión obedeció a un error material, o dicha actuación podría considerarse un mejoramiento indebido de la oferta? Se solicita explicar lo </w:t>
      </w:r>
      <w:proofErr w:type="spellStart"/>
      <w:r w:rsidRPr="00A931AE">
        <w:rPr>
          <w:rFonts w:ascii="Verdana" w:hAnsi="Verdana"/>
          <w:b/>
          <w:bCs/>
          <w:i/>
          <w:iCs/>
          <w:sz w:val="20"/>
          <w:szCs w:val="20"/>
        </w:rPr>
        <w:t>mas</w:t>
      </w:r>
      <w:proofErr w:type="spellEnd"/>
      <w:r w:rsidRPr="00A931AE">
        <w:rPr>
          <w:rFonts w:ascii="Verdana" w:hAnsi="Verdana"/>
          <w:b/>
          <w:bCs/>
          <w:i/>
          <w:iCs/>
          <w:sz w:val="20"/>
          <w:szCs w:val="20"/>
        </w:rPr>
        <w:t xml:space="preserve"> claro posible, ¿Por qué si o por qué no </w:t>
      </w:r>
      <w:proofErr w:type="spellStart"/>
      <w:r w:rsidRPr="00A931AE">
        <w:rPr>
          <w:rFonts w:ascii="Verdana" w:hAnsi="Verdana"/>
          <w:b/>
          <w:bCs/>
          <w:i/>
          <w:iCs/>
          <w:sz w:val="20"/>
          <w:szCs w:val="20"/>
        </w:rPr>
        <w:t>seria</w:t>
      </w:r>
      <w:proofErr w:type="spellEnd"/>
      <w:r w:rsidRPr="00A931AE">
        <w:rPr>
          <w:rFonts w:ascii="Verdana" w:hAnsi="Verdana"/>
          <w:b/>
          <w:bCs/>
          <w:i/>
          <w:iCs/>
          <w:sz w:val="20"/>
          <w:szCs w:val="20"/>
        </w:rPr>
        <w:t xml:space="preserve"> valido la subsanación del AVAL de la oferta?</w:t>
      </w:r>
      <w:r>
        <w:rPr>
          <w:rFonts w:ascii="Verdana" w:hAnsi="Verdana"/>
          <w:b/>
          <w:bCs/>
          <w:i/>
          <w:iCs/>
          <w:sz w:val="20"/>
          <w:szCs w:val="20"/>
        </w:rPr>
        <w:t xml:space="preserve"> (…)”.</w:t>
      </w:r>
    </w:p>
    <w:p w14:paraId="154E97ED" w14:textId="77777777" w:rsidR="00A76E99" w:rsidRDefault="00A76E99" w:rsidP="00A76E99">
      <w:pPr>
        <w:spacing w:after="0"/>
        <w:ind w:right="758"/>
        <w:jc w:val="both"/>
        <w:rPr>
          <w:rFonts w:ascii="Verdana" w:hAnsi="Verdana"/>
          <w:b/>
          <w:bCs/>
          <w:i/>
          <w:iCs/>
          <w:sz w:val="20"/>
          <w:szCs w:val="20"/>
        </w:rPr>
      </w:pPr>
    </w:p>
    <w:p w14:paraId="0327107B" w14:textId="77777777" w:rsidR="00A76E99" w:rsidRPr="005644FE" w:rsidRDefault="00A76E99" w:rsidP="00A76E99">
      <w:pPr>
        <w:spacing w:after="120" w:line="276" w:lineRule="auto"/>
        <w:ind w:firstLine="709"/>
        <w:jc w:val="both"/>
        <w:rPr>
          <w:rFonts w:ascii="Verdana" w:eastAsia="Calibri" w:hAnsi="Verdana" w:cs="Arial"/>
          <w:color w:val="000000"/>
          <w:szCs w:val="24"/>
          <w:lang w:eastAsia="es-ES_tradnl"/>
        </w:rPr>
      </w:pPr>
      <w:r w:rsidRPr="005644FE">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w:t>
      </w:r>
      <w:r w:rsidRPr="005644FE">
        <w:rPr>
          <w:rFonts w:ascii="Verdana" w:eastAsia="Calibri" w:hAnsi="Verdana" w:cs="Arial"/>
          <w:color w:val="000000"/>
          <w:lang w:eastAsia="es-ES"/>
        </w:rPr>
        <w:lastRenderedPageBreak/>
        <w:t xml:space="preserve">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0CAFE6B3" w14:textId="77777777" w:rsidR="00A76E99" w:rsidRPr="00944AEB" w:rsidRDefault="00A76E99" w:rsidP="00A76E99">
      <w:pPr>
        <w:spacing w:after="120" w:line="276" w:lineRule="auto"/>
        <w:ind w:firstLine="709"/>
        <w:jc w:val="both"/>
        <w:rPr>
          <w:rFonts w:ascii="Verdana" w:eastAsia="Calibri" w:hAnsi="Verdana" w:cs="Arial"/>
          <w:lang w:eastAsia="es-ES"/>
        </w:rPr>
      </w:pPr>
      <w:r w:rsidRPr="005644FE">
        <w:rPr>
          <w:rFonts w:ascii="Verdana" w:eastAsia="Calibri" w:hAnsi="Verdana" w:cs="Arial"/>
          <w:color w:val="000000"/>
          <w:lang w:eastAsia="es-ES"/>
        </w:rPr>
        <w:t xml:space="preserve">Conforme lo expuesto, en aras de garantizar el derecho fundamental de petición, se resolverá su petición dentro de los límites de la referida competencia consultiva, esto es, haciendo abstracción del caso particular y concreto señalado en su petición, pero señalando algunas consideraciones sobre las normas generales relacionadas con </w:t>
      </w:r>
      <w:r w:rsidRPr="00944AEB">
        <w:rPr>
          <w:rFonts w:ascii="Verdana" w:eastAsia="Calibri" w:hAnsi="Verdana" w:cs="Arial"/>
          <w:color w:val="000000"/>
          <w:lang w:eastAsia="es-ES"/>
        </w:rPr>
        <w:t>los problemas jurídicos de su consulta</w:t>
      </w:r>
      <w:r w:rsidRPr="00944AEB">
        <w:rPr>
          <w:rFonts w:ascii="Verdana" w:eastAsia="Calibri" w:hAnsi="Verdana" w:cs="Arial"/>
          <w:lang w:eastAsia="es-ES"/>
        </w:rPr>
        <w:t xml:space="preserve">.  </w:t>
      </w:r>
    </w:p>
    <w:p w14:paraId="5332145B" w14:textId="77777777" w:rsidR="00A76E99" w:rsidRPr="00944AEB" w:rsidRDefault="00A76E99" w:rsidP="00A76E99">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944AEB">
        <w:rPr>
          <w:rFonts w:ascii="Verdana" w:eastAsia="Century Gothic" w:hAnsi="Verdana" w:cs="Century Gothic"/>
          <w:b/>
          <w:bCs/>
          <w:lang w:val="es-CO"/>
        </w:rPr>
        <w:t>Problema planteado:</w:t>
      </w:r>
    </w:p>
    <w:p w14:paraId="4343C1CA" w14:textId="77777777" w:rsidR="00A76E99" w:rsidRPr="00944AEB" w:rsidRDefault="00A76E99" w:rsidP="00A76E99">
      <w:pPr>
        <w:pStyle w:val="Prrafodelista"/>
        <w:tabs>
          <w:tab w:val="left" w:pos="142"/>
          <w:tab w:val="left" w:pos="284"/>
        </w:tabs>
        <w:spacing w:after="0" w:line="240" w:lineRule="auto"/>
        <w:ind w:left="0"/>
        <w:contextualSpacing w:val="0"/>
        <w:jc w:val="both"/>
        <w:rPr>
          <w:rFonts w:ascii="Verdana" w:eastAsia="Century Gothic" w:hAnsi="Verdana" w:cs="Century Gothic"/>
          <w:b/>
          <w:bCs/>
          <w:lang w:val="es-CO"/>
        </w:rPr>
      </w:pPr>
    </w:p>
    <w:p w14:paraId="196E2BAA" w14:textId="152D7DAA" w:rsidR="00A76E99" w:rsidRDefault="00A76E99" w:rsidP="00A76E99">
      <w:pPr>
        <w:spacing w:after="0" w:line="276" w:lineRule="auto"/>
        <w:jc w:val="both"/>
        <w:rPr>
          <w:rFonts w:ascii="Verdana" w:eastAsia="Calibri" w:hAnsi="Verdana" w:cs="Arial"/>
          <w:color w:val="000000"/>
          <w:lang w:eastAsia="es-ES"/>
        </w:rPr>
      </w:pPr>
      <w:r w:rsidRPr="741F9A7A">
        <w:rPr>
          <w:rFonts w:ascii="Verdana" w:eastAsia="Calibri" w:hAnsi="Verdana" w:cs="Arial"/>
          <w:color w:val="000000" w:themeColor="text1"/>
          <w:lang w:eastAsia="es-ES"/>
        </w:rPr>
        <w:t xml:space="preserve">De acuerdo con el contenido de su solicitud, esta Agencia resolverá los siguientes problemas jurídicos: i) </w:t>
      </w:r>
      <w:r w:rsidRPr="00944AEB">
        <w:rPr>
          <w:rFonts w:ascii="Verdana" w:eastAsia="Calibri" w:hAnsi="Verdana" w:cs="Arial"/>
          <w:color w:val="000000" w:themeColor="text1"/>
          <w:lang w:eastAsia="es-ES"/>
        </w:rPr>
        <w:t xml:space="preserve">¿Cuál es el régimen de </w:t>
      </w:r>
      <w:proofErr w:type="spellStart"/>
      <w:r w:rsidRPr="00944AEB">
        <w:rPr>
          <w:rFonts w:ascii="Verdana" w:eastAsia="Calibri" w:hAnsi="Verdana" w:cs="Arial"/>
          <w:color w:val="000000" w:themeColor="text1"/>
          <w:lang w:eastAsia="es-ES"/>
        </w:rPr>
        <w:t>subsanabilidad</w:t>
      </w:r>
      <w:proofErr w:type="spellEnd"/>
      <w:r w:rsidRPr="00944AEB">
        <w:rPr>
          <w:rFonts w:ascii="Verdana" w:eastAsia="Calibri" w:hAnsi="Verdana" w:cs="Arial"/>
          <w:color w:val="000000" w:themeColor="text1"/>
          <w:lang w:eastAsia="es-ES"/>
        </w:rPr>
        <w:t xml:space="preserve"> en los procedimientos de selección? </w:t>
      </w:r>
      <w:proofErr w:type="spellStart"/>
      <w:r w:rsidRPr="741F9A7A">
        <w:rPr>
          <w:rFonts w:ascii="Verdana" w:eastAsia="Calibri" w:hAnsi="Verdana" w:cs="Arial"/>
          <w:color w:val="000000" w:themeColor="text1"/>
          <w:lang w:eastAsia="es-ES"/>
        </w:rPr>
        <w:t>ii</w:t>
      </w:r>
      <w:proofErr w:type="spellEnd"/>
      <w:r w:rsidRPr="741F9A7A">
        <w:rPr>
          <w:rFonts w:ascii="Verdana" w:eastAsia="Calibri" w:hAnsi="Verdana" w:cs="Arial"/>
          <w:color w:val="000000" w:themeColor="text1"/>
          <w:lang w:eastAsia="es-ES"/>
        </w:rPr>
        <w:t>) ¿</w:t>
      </w:r>
      <w:r w:rsidR="3AC1A458" w:rsidRPr="741F9A7A">
        <w:rPr>
          <w:rFonts w:ascii="Verdana" w:eastAsia="Calibri" w:hAnsi="Verdana" w:cs="Arial"/>
          <w:color w:val="000000" w:themeColor="text1"/>
          <w:lang w:eastAsia="es-ES"/>
        </w:rPr>
        <w:t xml:space="preserve">Cuáles son los parámetros para </w:t>
      </w:r>
      <w:r w:rsidR="7E183317" w:rsidRPr="741F9A7A">
        <w:rPr>
          <w:rFonts w:ascii="Verdana" w:eastAsia="Calibri" w:hAnsi="Verdana" w:cs="Arial"/>
          <w:color w:val="000000" w:themeColor="text1"/>
          <w:lang w:eastAsia="es-ES"/>
        </w:rPr>
        <w:t>establecer</w:t>
      </w:r>
      <w:r w:rsidR="3AC1A458" w:rsidRPr="741F9A7A">
        <w:rPr>
          <w:rFonts w:ascii="Verdana" w:eastAsia="Calibri" w:hAnsi="Verdana" w:cs="Arial"/>
          <w:color w:val="000000" w:themeColor="text1"/>
          <w:lang w:eastAsia="es-ES"/>
        </w:rPr>
        <w:t xml:space="preserve"> la</w:t>
      </w:r>
      <w:r w:rsidR="73900932" w:rsidRPr="741F9A7A">
        <w:rPr>
          <w:rFonts w:ascii="Verdana" w:eastAsia="Calibri" w:hAnsi="Verdana" w:cs="Arial"/>
          <w:color w:val="000000" w:themeColor="text1"/>
          <w:lang w:eastAsia="es-ES"/>
        </w:rPr>
        <w:t>s</w:t>
      </w:r>
      <w:r w:rsidR="3AC1A458" w:rsidRPr="741F9A7A">
        <w:rPr>
          <w:rFonts w:ascii="Verdana" w:eastAsia="Calibri" w:hAnsi="Verdana" w:cs="Arial"/>
          <w:color w:val="000000" w:themeColor="text1"/>
          <w:lang w:eastAsia="es-ES"/>
        </w:rPr>
        <w:t xml:space="preserve"> causales </w:t>
      </w:r>
      <w:r w:rsidRPr="05E3EA9D">
        <w:rPr>
          <w:rFonts w:ascii="Verdana" w:eastAsia="Calibri" w:hAnsi="Verdana" w:cs="Arial"/>
          <w:color w:val="000000" w:themeColor="text1"/>
          <w:lang w:eastAsia="es-ES"/>
        </w:rPr>
        <w:t>de rechazo dentro de un proceso de selección?</w:t>
      </w:r>
    </w:p>
    <w:p w14:paraId="328DE4F6" w14:textId="77777777" w:rsidR="00A76E99" w:rsidRDefault="00A76E99" w:rsidP="00A76E99">
      <w:pPr>
        <w:spacing w:after="0" w:line="276" w:lineRule="auto"/>
        <w:jc w:val="both"/>
        <w:rPr>
          <w:rFonts w:ascii="Verdana" w:eastAsia="Calibri" w:hAnsi="Verdana" w:cs="Arial"/>
          <w:color w:val="000000"/>
          <w:lang w:eastAsia="es-ES"/>
        </w:rPr>
      </w:pPr>
    </w:p>
    <w:p w14:paraId="089580CB" w14:textId="77777777" w:rsidR="00A76E99" w:rsidRDefault="00A76E99" w:rsidP="00A76E99">
      <w:pPr>
        <w:spacing w:after="0" w:line="276" w:lineRule="auto"/>
        <w:jc w:val="both"/>
        <w:rPr>
          <w:rFonts w:ascii="Verdana" w:eastAsia="Century Gothic" w:hAnsi="Verdana" w:cs="Century Gothic"/>
          <w:b/>
          <w:bCs/>
        </w:rPr>
      </w:pPr>
      <w:r>
        <w:rPr>
          <w:rFonts w:ascii="Verdana" w:eastAsia="Century Gothic" w:hAnsi="Verdana" w:cs="Century Gothic"/>
          <w:b/>
          <w:bCs/>
        </w:rPr>
        <w:t>2</w:t>
      </w:r>
      <w:r w:rsidRPr="005644FE">
        <w:rPr>
          <w:rFonts w:ascii="Verdana" w:eastAsia="Century Gothic" w:hAnsi="Verdana" w:cs="Century Gothic"/>
          <w:b/>
          <w:bCs/>
        </w:rPr>
        <w:t>. Respuesta:</w:t>
      </w:r>
    </w:p>
    <w:p w14:paraId="6A7AB3E6" w14:textId="77777777" w:rsidR="00A76E99" w:rsidRPr="005644FE" w:rsidRDefault="00A76E99" w:rsidP="00A76E99">
      <w:pPr>
        <w:spacing w:after="0" w:line="240" w:lineRule="auto"/>
        <w:jc w:val="both"/>
        <w:rPr>
          <w:rFonts w:ascii="Verdana" w:eastAsia="Century Gothic" w:hAnsi="Verdana" w:cs="Century Gothic"/>
          <w:b/>
          <w:bCs/>
        </w:rPr>
      </w:pPr>
    </w:p>
    <w:tbl>
      <w:tblPr>
        <w:tblStyle w:val="Tablaconcuadrcula"/>
        <w:tblW w:w="0" w:type="auto"/>
        <w:tblLook w:val="04A0" w:firstRow="1" w:lastRow="0" w:firstColumn="1" w:lastColumn="0" w:noHBand="0" w:noVBand="1"/>
      </w:tblPr>
      <w:tblGrid>
        <w:gridCol w:w="8828"/>
      </w:tblGrid>
      <w:tr w:rsidR="00A76E99" w:rsidRPr="005644FE" w14:paraId="2955DE65" w14:textId="77777777" w:rsidTr="00313D33">
        <w:tc>
          <w:tcPr>
            <w:tcW w:w="8828" w:type="dxa"/>
          </w:tcPr>
          <w:p w14:paraId="00547BB0" w14:textId="77777777" w:rsidR="00A76E99" w:rsidRDefault="00A76E99" w:rsidP="00313D33">
            <w:pPr>
              <w:spacing w:after="120" w:line="276" w:lineRule="auto"/>
              <w:jc w:val="both"/>
              <w:rPr>
                <w:rFonts w:ascii="Verdana" w:eastAsia="Times New Roman" w:hAnsi="Verdana" w:cs="Arial"/>
                <w:lang w:val="es-ES" w:eastAsia="es-ES"/>
              </w:rPr>
            </w:pPr>
            <w:r>
              <w:rPr>
                <w:rFonts w:ascii="Verdana" w:hAnsi="Verdana" w:cs="Arial"/>
                <w:noProof/>
                <w:lang w:val="es-ES"/>
              </w:rPr>
              <w:t xml:space="preserve">i) </w:t>
            </w:r>
            <w:r w:rsidRPr="3F2B4452">
              <w:rPr>
                <w:rFonts w:ascii="Verdana" w:hAnsi="Verdana" w:cs="Arial"/>
                <w:noProof/>
                <w:lang w:val="es-ES"/>
              </w:rPr>
              <w:t>L</w:t>
            </w:r>
            <w:r w:rsidRPr="3F2B4452">
              <w:rPr>
                <w:rFonts w:ascii="Verdana" w:eastAsia="Times New Roman" w:hAnsi="Verdana" w:cs="Arial"/>
              </w:rPr>
              <w:t xml:space="preserve">a regla de la </w:t>
            </w:r>
            <w:proofErr w:type="spellStart"/>
            <w:r w:rsidRPr="3F2B4452">
              <w:rPr>
                <w:rFonts w:ascii="Verdana" w:eastAsia="Times New Roman" w:hAnsi="Verdana" w:cs="Arial"/>
              </w:rPr>
              <w:t>subsanabilidad</w:t>
            </w:r>
            <w:proofErr w:type="spellEnd"/>
            <w:r w:rsidRPr="3F2B4452">
              <w:rPr>
                <w:rFonts w:ascii="Verdana" w:eastAsia="Times New Roman" w:hAnsi="Verdana" w:cs="Arial"/>
              </w:rPr>
              <w:t xml:space="preserve"> de las ofertas en los procedimientos de selección</w:t>
            </w:r>
            <w:r w:rsidRPr="3F2B4452">
              <w:rPr>
                <w:rFonts w:ascii="Verdana" w:eastAsia="Times New Roman" w:hAnsi="Verdana" w:cs="Arial"/>
                <w:b/>
                <w:bCs/>
              </w:rPr>
              <w:t xml:space="preserve"> </w:t>
            </w:r>
            <w:r w:rsidRPr="3F2B4452">
              <w:rPr>
                <w:rFonts w:ascii="Verdana" w:eastAsia="Times New Roman" w:hAnsi="Verdana" w:cs="Arial"/>
                <w:lang w:val="es-ES" w:eastAsia="es-ES"/>
              </w:rPr>
              <w:t xml:space="preserve">indica que, por regla general, la falta de entrega y los defectos en la acreditación de los requisitos habilitantes son aspectos subsanables. La excepción </w:t>
            </w:r>
            <w:r>
              <w:rPr>
                <w:rFonts w:ascii="Verdana" w:eastAsia="Times New Roman" w:hAnsi="Verdana" w:cs="Arial"/>
                <w:lang w:val="es-ES" w:eastAsia="es-ES"/>
              </w:rPr>
              <w:t>corresponde</w:t>
            </w:r>
            <w:r w:rsidRPr="3F2B4452">
              <w:rPr>
                <w:rFonts w:ascii="Verdana" w:eastAsia="Times New Roman" w:hAnsi="Verdana" w:cs="Arial"/>
                <w:lang w:val="es-ES" w:eastAsia="es-ES"/>
              </w:rPr>
              <w:t xml:space="preserve"> en la prohibición de permitir que se subsanen aspectos que otorgan puntaje, de valer la acreditación de circunstancias ocurridas con posterioridad al cierre del proceso y de permitir la entrega de la garantía de seriedad de la oferta que no fue aportada con la propuesta.</w:t>
            </w:r>
          </w:p>
          <w:p w14:paraId="4419CF73" w14:textId="77777777" w:rsidR="00A76E99" w:rsidRDefault="00A76E99" w:rsidP="00313D33">
            <w:pPr>
              <w:pBdr>
                <w:top w:val="nil"/>
                <w:left w:val="nil"/>
                <w:bottom w:val="nil"/>
                <w:right w:val="nil"/>
                <w:between w:val="nil"/>
              </w:pBdr>
              <w:tabs>
                <w:tab w:val="left" w:pos="284"/>
              </w:tabs>
              <w:spacing w:before="120" w:line="276" w:lineRule="auto"/>
              <w:ind w:firstLine="709"/>
              <w:jc w:val="both"/>
              <w:rPr>
                <w:rFonts w:ascii="Verdana" w:eastAsia="Arial" w:hAnsi="Verdana" w:cs="Arial"/>
                <w:color w:val="000000"/>
              </w:rPr>
            </w:pPr>
            <w:r w:rsidRPr="00C64261">
              <w:rPr>
                <w:rFonts w:ascii="Verdana" w:eastAsia="Arial" w:hAnsi="Verdana" w:cs="Arial"/>
                <w:color w:val="000000"/>
              </w:rPr>
              <w:t xml:space="preserve">El artículo 5 </w:t>
            </w:r>
            <w:r>
              <w:rPr>
                <w:rFonts w:ascii="Verdana" w:eastAsia="Arial" w:hAnsi="Verdana" w:cs="Arial"/>
                <w:color w:val="000000"/>
              </w:rPr>
              <w:t xml:space="preserve">de la Ley 1882 de 2018 </w:t>
            </w:r>
            <w:r w:rsidRPr="00C64261">
              <w:rPr>
                <w:rFonts w:ascii="Verdana" w:eastAsia="Arial" w:hAnsi="Verdana" w:cs="Arial"/>
                <w:color w:val="000000"/>
              </w:rPr>
              <w:t xml:space="preserve">modificó el parágrafo 1º del artículo 5 de la Ley 1150 de 2007 en los siguientes términos: “La ausencia de requisitos o la falta de documentos referentes a la futura contratación o al proponente, no necesarios para la comparación de las propuestas no servirán de título suficiente para el rechazo de los ofrecimientos hechos. En consecuencia, todos </w:t>
            </w:r>
            <w:r w:rsidRPr="00C64261">
              <w:rPr>
                <w:rFonts w:ascii="Verdana" w:eastAsia="Arial" w:hAnsi="Verdana" w:cs="Arial"/>
                <w:color w:val="000000"/>
              </w:rPr>
              <w:lastRenderedPageBreak/>
              <w:t xml:space="preserve">aquellos requisitos de la propuesta que no afecten la asignación de puntaje deberán ser solicitados por las entidades estatales y deberán ser entregados por los proponentes hasta el término de traslado del informe de evaluación que corresponda a cada modalidad de selección, salvo lo dispuesto para el proceso de Mínima cuantía y para el proceso de selección a través del sistema de subasta. Serán rechazadas las ofertas de aquellos proponentes que no suministren la información y la documentación solicitada por la entidad estatal hasta el plazo anteriormente señalado. Durante el término otorgado para subsanar las ofertas, los proponentes no podrán acreditar circunstancias ocurridas con posterioridad al cierre del proceso”. </w:t>
            </w:r>
          </w:p>
          <w:p w14:paraId="2D3857AE" w14:textId="77777777" w:rsidR="00A76E99" w:rsidRDefault="00A76E99" w:rsidP="00313D33">
            <w:pPr>
              <w:ind w:firstLine="709"/>
              <w:jc w:val="both"/>
              <w:rPr>
                <w:rFonts w:ascii="Verdana" w:eastAsia="Arial" w:hAnsi="Verdana" w:cs="Arial"/>
                <w:color w:val="000000" w:themeColor="text1"/>
              </w:rPr>
            </w:pPr>
          </w:p>
          <w:p w14:paraId="65887B76" w14:textId="77777777" w:rsidR="00A76E99" w:rsidRDefault="00A76E99" w:rsidP="00313D33">
            <w:pPr>
              <w:spacing w:line="276" w:lineRule="auto"/>
              <w:ind w:firstLine="709"/>
              <w:jc w:val="both"/>
              <w:rPr>
                <w:rFonts w:ascii="Verdana" w:eastAsia="Arial" w:hAnsi="Verdana" w:cs="Arial"/>
                <w:color w:val="000000" w:themeColor="text1"/>
              </w:rPr>
            </w:pPr>
            <w:r w:rsidRPr="05E3EA9D">
              <w:rPr>
                <w:rFonts w:ascii="Verdana" w:eastAsia="Arial" w:hAnsi="Verdana" w:cs="Arial"/>
                <w:color w:val="000000" w:themeColor="text1"/>
              </w:rPr>
              <w:t xml:space="preserve">De conformidad con el artículo 5 de la Ley 1882 de 2018, lo subsanable es la prueba de todas las circunstancias ocurridas antes del vencimiento del término para presentar las ofertas; eso es lo que implica la prohibición de acreditar circunstancias ocurridas con posterioridad al “cierre del proceso”. </w:t>
            </w:r>
          </w:p>
          <w:p w14:paraId="3FF5421F" w14:textId="77777777" w:rsidR="00A76E99" w:rsidRDefault="00A76E99" w:rsidP="00313D33">
            <w:pPr>
              <w:spacing w:before="120" w:line="276" w:lineRule="auto"/>
              <w:ind w:firstLine="709"/>
              <w:jc w:val="both"/>
              <w:rPr>
                <w:rFonts w:ascii="Verdana" w:eastAsia="Arial" w:hAnsi="Verdana" w:cs="Arial"/>
                <w:color w:val="000000"/>
              </w:rPr>
            </w:pPr>
            <w:r w:rsidRPr="00C64261">
              <w:rPr>
                <w:rFonts w:ascii="Verdana" w:eastAsia="Arial" w:hAnsi="Verdana" w:cs="Arial"/>
                <w:color w:val="000000"/>
              </w:rPr>
              <w:t xml:space="preserve">Un mejor entendimiento del significado de la expresión “circunstancias ocurridas con posterioridad al cierre del proceso” lleva necesariamente a distinguir entre la prueba de un hecho y el hecho mismo. En el caso de la </w:t>
            </w:r>
            <w:proofErr w:type="spellStart"/>
            <w:r w:rsidRPr="00C64261">
              <w:rPr>
                <w:rFonts w:ascii="Verdana" w:eastAsia="Arial" w:hAnsi="Verdana" w:cs="Arial"/>
                <w:color w:val="000000"/>
              </w:rPr>
              <w:t>subsanabilidad</w:t>
            </w:r>
            <w:proofErr w:type="spellEnd"/>
            <w:r w:rsidRPr="00C64261">
              <w:rPr>
                <w:rFonts w:ascii="Verdana" w:eastAsia="Arial" w:hAnsi="Verdana" w:cs="Arial"/>
                <w:color w:val="000000"/>
              </w:rPr>
              <w:t xml:space="preserve"> de las ofertas, una cosa es el requisito habilitante o el elemento de la propuesta y otra su prueba. Lo que prohíbe la norma es que se subsanen requisitos que no estaban cumplidos al momento de presentar la oferta, o en palabras de la ley, que se acrediten hechos que ocurrieron después del cierre del proceso. </w:t>
            </w:r>
          </w:p>
          <w:p w14:paraId="3EF67A73" w14:textId="77777777" w:rsidR="00A76E99" w:rsidRDefault="00A76E99" w:rsidP="00313D33">
            <w:pPr>
              <w:spacing w:before="120" w:line="276" w:lineRule="auto"/>
              <w:ind w:firstLine="709"/>
              <w:jc w:val="both"/>
              <w:rPr>
                <w:rFonts w:ascii="Verdana" w:eastAsia="Arial" w:hAnsi="Verdana" w:cs="Arial"/>
                <w:color w:val="000000"/>
              </w:rPr>
            </w:pPr>
            <w:r w:rsidRPr="00C64261">
              <w:rPr>
                <w:rFonts w:ascii="Verdana" w:eastAsia="Arial" w:hAnsi="Verdana" w:cs="Arial"/>
                <w:color w:val="000000"/>
              </w:rPr>
              <w:t xml:space="preserve">Visto lo anterior, una vez verificada la ausencia de requisitos y/o documentos de la oferta, para saber si se puede subsanar, la Administración se debe preguntar, en primer lugar, si lo que hace falta es un documento o información que otorga puntaje o no y, en segundo lugar, si el cumplimiento del requisito constituye una circunstancia ocurrida con anterioridad o con posterioridad al cierre del proceso. Para arribar a la conclusión de que lo omitido puede subsanarse, la respuesta al primer interrogante debe ser negativa, es decir, que lo omitido no sea un factor que otorgue puntaje, y la respuesta al segundo interrogante debe dar cuenta de que lo omitido sea la prueba de una circunstancia o hecho que ocurrió con anterioridad al cierre del proceso. </w:t>
            </w:r>
          </w:p>
          <w:p w14:paraId="10C469CB" w14:textId="77777777" w:rsidR="00A76E99" w:rsidRDefault="00A76E99" w:rsidP="00313D33">
            <w:pPr>
              <w:spacing w:before="120" w:line="276" w:lineRule="auto"/>
              <w:ind w:firstLine="709"/>
              <w:jc w:val="both"/>
              <w:rPr>
                <w:rFonts w:ascii="Verdana" w:eastAsia="Arial" w:hAnsi="Verdana" w:cs="Arial"/>
              </w:rPr>
            </w:pPr>
            <w:proofErr w:type="spellStart"/>
            <w:r>
              <w:rPr>
                <w:rFonts w:ascii="Verdana" w:eastAsia="Arial" w:hAnsi="Verdana" w:cs="Arial"/>
              </w:rPr>
              <w:lastRenderedPageBreak/>
              <w:t>ii</w:t>
            </w:r>
            <w:proofErr w:type="spellEnd"/>
            <w:r>
              <w:rPr>
                <w:rFonts w:ascii="Verdana" w:eastAsia="Arial" w:hAnsi="Verdana" w:cs="Arial"/>
              </w:rPr>
              <w:t xml:space="preserve">) </w:t>
            </w:r>
            <w:r w:rsidRPr="00B36F85">
              <w:rPr>
                <w:rFonts w:ascii="Verdana" w:eastAsia="Arial" w:hAnsi="Verdana" w:cs="Arial"/>
              </w:rPr>
              <w:t xml:space="preserve">El rechazo de las ofertas y los eventos en los que proceden han sido asuntos de los que se ha ocupado la legislación nacional en materia de contratación pública, por lo que </w:t>
            </w:r>
            <w:r>
              <w:rPr>
                <w:rFonts w:ascii="Verdana" w:eastAsia="Arial" w:hAnsi="Verdana" w:cs="Arial"/>
              </w:rPr>
              <w:t>“</w:t>
            </w:r>
            <w:r w:rsidRPr="00B36F85">
              <w:rPr>
                <w:rFonts w:ascii="Verdana" w:eastAsia="Arial" w:hAnsi="Verdana" w:cs="Arial"/>
              </w:rPr>
              <w:t>la competencia de las entidades estales para establecer eventos de exclusión de propuestas es de carácter residual y restringido</w:t>
            </w:r>
            <w:r>
              <w:rPr>
                <w:rFonts w:ascii="Verdana" w:eastAsia="Arial" w:hAnsi="Verdana" w:cs="Arial"/>
              </w:rPr>
              <w:t>”</w:t>
            </w:r>
            <w:r w:rsidRPr="00B36F85">
              <w:rPr>
                <w:rFonts w:ascii="Verdana" w:eastAsia="Arial" w:hAnsi="Verdana" w:cs="Arial"/>
              </w:rPr>
              <w:t xml:space="preserve">. En ese sentido, si bien las entidades estatales, en ejercicio de la discrecionalidad que les corresponde en la configuración de los pliegos de condiciones, tienen competencia para determinar los requisitos que deben cumplir los proponentes para la presentación de ofertas y regular los eventos en los que procede su rechazo, el ejercicio de tales facultades encuentra ciertos límites en la ley y el reglamento, así como en los principios de razonabilidad y proporcionalidad.  </w:t>
            </w:r>
          </w:p>
          <w:p w14:paraId="5A1B4652" w14:textId="77777777" w:rsidR="00A76E99" w:rsidRPr="001C79AB" w:rsidRDefault="00A76E99" w:rsidP="00313D33">
            <w:pPr>
              <w:spacing w:before="120" w:line="276" w:lineRule="auto"/>
              <w:ind w:firstLine="709"/>
              <w:jc w:val="both"/>
              <w:rPr>
                <w:rFonts w:ascii="Verdana" w:eastAsia="Arial" w:hAnsi="Verdana" w:cs="Arial"/>
                <w:color w:val="000000"/>
              </w:rPr>
            </w:pPr>
            <w:r>
              <w:rPr>
                <w:rFonts w:ascii="Verdana" w:eastAsia="Arial" w:hAnsi="Verdana" w:cs="Arial"/>
              </w:rPr>
              <w:t xml:space="preserve">En este contexto, </w:t>
            </w:r>
            <w:r w:rsidRPr="00B36F85">
              <w:rPr>
                <w:rFonts w:ascii="Verdana" w:eastAsia="Arial" w:hAnsi="Verdana" w:cs="Arial"/>
              </w:rPr>
              <w:t xml:space="preserve">existen dos </w:t>
            </w:r>
            <w:r>
              <w:rPr>
                <w:rFonts w:ascii="Verdana" w:eastAsia="Arial" w:hAnsi="Verdana" w:cs="Arial"/>
              </w:rPr>
              <w:t>eventos</w:t>
            </w:r>
            <w:r w:rsidRPr="00B36F85">
              <w:rPr>
                <w:rFonts w:ascii="Verdana" w:eastAsia="Arial" w:hAnsi="Verdana" w:cs="Arial"/>
              </w:rPr>
              <w:t xml:space="preserve"> en los </w:t>
            </w:r>
            <w:r>
              <w:rPr>
                <w:rFonts w:ascii="Verdana" w:eastAsia="Arial" w:hAnsi="Verdana" w:cs="Arial"/>
              </w:rPr>
              <w:t xml:space="preserve">cuales </w:t>
            </w:r>
            <w:r w:rsidRPr="00B36F85">
              <w:rPr>
                <w:rFonts w:ascii="Verdana" w:eastAsia="Arial" w:hAnsi="Verdana" w:cs="Arial"/>
              </w:rPr>
              <w:t xml:space="preserve">procede el rechazo de la oferta: </w:t>
            </w:r>
            <w:r>
              <w:rPr>
                <w:rFonts w:ascii="Verdana" w:eastAsia="Arial" w:hAnsi="Verdana" w:cs="Arial"/>
              </w:rPr>
              <w:t xml:space="preserve">i) cuando </w:t>
            </w:r>
            <w:r w:rsidRPr="00B36F85">
              <w:rPr>
                <w:rFonts w:ascii="Verdana" w:eastAsia="Arial" w:hAnsi="Verdana" w:cs="Arial"/>
              </w:rPr>
              <w:t>se configure alguna de las causales de rechazo originadas en la ley o</w:t>
            </w:r>
            <w:r>
              <w:rPr>
                <w:rFonts w:ascii="Verdana" w:eastAsia="Arial" w:hAnsi="Verdana" w:cs="Arial"/>
              </w:rPr>
              <w:t xml:space="preserve"> el reglamento y</w:t>
            </w:r>
            <w:r w:rsidRPr="00B36F85">
              <w:rPr>
                <w:rFonts w:ascii="Verdana" w:eastAsia="Arial" w:hAnsi="Verdana" w:cs="Arial"/>
              </w:rPr>
              <w:t xml:space="preserve"> </w:t>
            </w:r>
            <w:proofErr w:type="spellStart"/>
            <w:r>
              <w:rPr>
                <w:rFonts w:ascii="Verdana" w:eastAsia="Arial" w:hAnsi="Verdana" w:cs="Arial"/>
              </w:rPr>
              <w:t>ii</w:t>
            </w:r>
            <w:proofErr w:type="spellEnd"/>
            <w:r>
              <w:rPr>
                <w:rFonts w:ascii="Verdana" w:eastAsia="Arial" w:hAnsi="Verdana" w:cs="Arial"/>
              </w:rPr>
              <w:t xml:space="preserve">) cuando se materialicen </w:t>
            </w:r>
            <w:r w:rsidRPr="00B36F85">
              <w:rPr>
                <w:rFonts w:ascii="Verdana" w:eastAsia="Arial" w:hAnsi="Verdana" w:cs="Arial"/>
              </w:rPr>
              <w:t>las establecidas en el pliego de condiciones. En tal sentido, las causales de rechazo de la oferta serán las consagradas en la ley o</w:t>
            </w:r>
            <w:r>
              <w:rPr>
                <w:rFonts w:ascii="Verdana" w:eastAsia="Arial" w:hAnsi="Verdana" w:cs="Arial"/>
              </w:rPr>
              <w:t xml:space="preserve"> el reglamento</w:t>
            </w:r>
            <w:r w:rsidRPr="00B36F85">
              <w:rPr>
                <w:rFonts w:ascii="Verdana" w:eastAsia="Arial" w:hAnsi="Verdana" w:cs="Arial"/>
              </w:rPr>
              <w:t xml:space="preserve"> producto de su aplicación, así como las definidas por las entidades en el respectivo pliego de condiciones. </w:t>
            </w:r>
          </w:p>
          <w:p w14:paraId="63658CC2" w14:textId="77777777" w:rsidR="00A76E99" w:rsidRDefault="00A76E99" w:rsidP="00313D33">
            <w:pPr>
              <w:widowControl w:val="0"/>
              <w:spacing w:before="120" w:line="276" w:lineRule="auto"/>
              <w:ind w:firstLine="709"/>
              <w:jc w:val="both"/>
              <w:rPr>
                <w:rFonts w:ascii="Verdana" w:eastAsia="Arial" w:hAnsi="Verdana" w:cs="Arial"/>
              </w:rPr>
            </w:pPr>
            <w:r w:rsidRPr="00B36F85">
              <w:rPr>
                <w:rFonts w:ascii="Verdana" w:eastAsia="Arial" w:hAnsi="Verdana" w:cs="Arial"/>
              </w:rPr>
              <w:t xml:space="preserve">En tales términos, la facultad de las entidades estatales para incluir en los pliegos de condiciones causales de rechazo de las ofertas, no es una facultad absoluta, en la medida que se encuentra limitada por lo dispuesto en ley, al igual que por los principios de razonabilidad y proporcionalidad, los cuales exigen que las causales de rechazo que sean establecidas por la entidad, además de no contrariar el ordenamiento jurídico, no versen sobre aspectos meramente formales sin relevancia para el transcurso del proceso de selección o el perfeccionamiento del contrato. </w:t>
            </w:r>
          </w:p>
          <w:p w14:paraId="49D5C791" w14:textId="77777777" w:rsidR="00A76E99" w:rsidRPr="001C79AB" w:rsidRDefault="00A76E99" w:rsidP="00313D33">
            <w:pPr>
              <w:widowControl w:val="0"/>
              <w:spacing w:before="120" w:line="276" w:lineRule="auto"/>
              <w:ind w:firstLine="709"/>
              <w:jc w:val="both"/>
              <w:rPr>
                <w:rFonts w:ascii="Verdana" w:eastAsia="Arial" w:hAnsi="Verdana" w:cs="Arial"/>
              </w:rPr>
            </w:pPr>
            <w:r w:rsidRPr="004B49E2">
              <w:rPr>
                <w:rFonts w:ascii="Verdana" w:eastAsia="Arial" w:hAnsi="Verdana" w:cs="Arial"/>
                <w:lang w:val="es-ES"/>
              </w:rPr>
              <w:t>Por lo expuesto, las causales de rechazo deben estar necesariamente nominadas en la Ley o en el pliego de condiciones, y no puede realizarse, frente a su redacción, ninguna interpretación extensiva. Por esta razón si el Estatuto General de Contratación de la Administración Pública o el pliego de condiciones no establecen de manera literal una causal de rechazo, en los términos expuestos, no podrán rechazarse las propuestas.</w:t>
            </w:r>
          </w:p>
        </w:tc>
      </w:tr>
    </w:tbl>
    <w:p w14:paraId="5E417E90" w14:textId="77777777" w:rsidR="00A76E99" w:rsidRDefault="00A76E99" w:rsidP="00A76E99">
      <w:pPr>
        <w:tabs>
          <w:tab w:val="left" w:pos="142"/>
          <w:tab w:val="left" w:pos="284"/>
        </w:tabs>
        <w:spacing w:after="0" w:line="276" w:lineRule="auto"/>
        <w:jc w:val="both"/>
        <w:rPr>
          <w:rFonts w:ascii="Verdana" w:eastAsia="Century Gothic" w:hAnsi="Verdana" w:cs="Century Gothic"/>
          <w:b/>
          <w:bCs/>
        </w:rPr>
      </w:pPr>
    </w:p>
    <w:p w14:paraId="11A14B28" w14:textId="77777777" w:rsidR="00A76E99" w:rsidRPr="005644FE" w:rsidRDefault="00A76E99" w:rsidP="00A76E99">
      <w:pPr>
        <w:tabs>
          <w:tab w:val="left" w:pos="142"/>
          <w:tab w:val="left" w:pos="284"/>
        </w:tabs>
        <w:spacing w:after="0" w:line="276" w:lineRule="auto"/>
        <w:jc w:val="both"/>
        <w:rPr>
          <w:rFonts w:ascii="Verdana" w:eastAsia="Century Gothic" w:hAnsi="Verdana" w:cs="Century Gothic"/>
          <w:b/>
          <w:bCs/>
        </w:rPr>
      </w:pPr>
      <w:r w:rsidRPr="005644FE">
        <w:rPr>
          <w:rFonts w:ascii="Verdana" w:eastAsia="Century Gothic" w:hAnsi="Verdana" w:cs="Century Gothic"/>
          <w:b/>
          <w:bCs/>
        </w:rPr>
        <w:t>3. Razones de la respuesta:</w:t>
      </w:r>
    </w:p>
    <w:p w14:paraId="73CD0622" w14:textId="77777777" w:rsidR="00A76E99" w:rsidRPr="005644FE" w:rsidRDefault="00A76E99" w:rsidP="00A76E99">
      <w:pPr>
        <w:pStyle w:val="Prrafodelista"/>
        <w:tabs>
          <w:tab w:val="left" w:pos="142"/>
          <w:tab w:val="left" w:pos="284"/>
        </w:tabs>
        <w:spacing w:after="0" w:line="240" w:lineRule="auto"/>
        <w:ind w:left="0"/>
        <w:contextualSpacing w:val="0"/>
        <w:jc w:val="both"/>
        <w:rPr>
          <w:rFonts w:ascii="Verdana" w:eastAsia="Calibri" w:hAnsi="Verdana" w:cs="Arial"/>
          <w:lang w:val="es-CO"/>
        </w:rPr>
      </w:pPr>
    </w:p>
    <w:p w14:paraId="1B7146EE" w14:textId="77777777" w:rsidR="00A76E99" w:rsidRDefault="00A76E99" w:rsidP="00A76E99">
      <w:pPr>
        <w:tabs>
          <w:tab w:val="left" w:pos="142"/>
          <w:tab w:val="left" w:pos="284"/>
        </w:tabs>
        <w:spacing w:after="0" w:line="276" w:lineRule="auto"/>
        <w:jc w:val="both"/>
        <w:rPr>
          <w:rFonts w:ascii="Verdana" w:eastAsia="Calibri" w:hAnsi="Verdana" w:cs="Arial"/>
        </w:rPr>
      </w:pPr>
      <w:r w:rsidRPr="005644FE">
        <w:rPr>
          <w:rFonts w:ascii="Verdana" w:eastAsia="Calibri" w:hAnsi="Verdana" w:cs="Arial"/>
        </w:rPr>
        <w:lastRenderedPageBreak/>
        <w:t>Lo anterior se sustenta en las siguientes consideraciones:</w:t>
      </w:r>
    </w:p>
    <w:p w14:paraId="63BAE69C" w14:textId="77777777" w:rsidR="00A76E99" w:rsidRDefault="00A76E99" w:rsidP="00087279">
      <w:pPr>
        <w:tabs>
          <w:tab w:val="left" w:pos="142"/>
          <w:tab w:val="left" w:pos="284"/>
        </w:tabs>
        <w:spacing w:after="0" w:line="240" w:lineRule="auto"/>
        <w:jc w:val="both"/>
        <w:rPr>
          <w:rFonts w:ascii="Verdana" w:eastAsia="Calibri" w:hAnsi="Verdana" w:cs="Arial"/>
        </w:rPr>
      </w:pPr>
    </w:p>
    <w:p w14:paraId="142DD9D3" w14:textId="77777777" w:rsidR="00A76E99" w:rsidRPr="0055341A" w:rsidDel="004D5F83" w:rsidRDefault="00A76E99" w:rsidP="00A76E99">
      <w:pPr>
        <w:spacing w:after="120" w:line="276" w:lineRule="auto"/>
        <w:jc w:val="both"/>
        <w:rPr>
          <w:rFonts w:ascii="Verdana" w:eastAsia="Times New Roman" w:hAnsi="Verdana" w:cs="Arial"/>
          <w:lang w:val="es-ES" w:eastAsia="es-ES"/>
        </w:rPr>
      </w:pPr>
      <w:r w:rsidRPr="3F2B4452">
        <w:rPr>
          <w:rFonts w:ascii="Verdana" w:hAnsi="Verdana" w:cs="Arial"/>
          <w:noProof/>
          <w:lang w:val="es-ES"/>
        </w:rPr>
        <w:t>L</w:t>
      </w:r>
      <w:r w:rsidRPr="3F2B4452">
        <w:rPr>
          <w:rFonts w:ascii="Verdana" w:eastAsia="Times New Roman" w:hAnsi="Verdana" w:cs="Arial"/>
        </w:rPr>
        <w:t xml:space="preserve">a regla de la </w:t>
      </w:r>
      <w:proofErr w:type="spellStart"/>
      <w:r w:rsidRPr="3F2B4452">
        <w:rPr>
          <w:rFonts w:ascii="Verdana" w:eastAsia="Times New Roman" w:hAnsi="Verdana" w:cs="Arial"/>
        </w:rPr>
        <w:t>subsanabilidad</w:t>
      </w:r>
      <w:proofErr w:type="spellEnd"/>
      <w:r w:rsidRPr="3F2B4452">
        <w:rPr>
          <w:rFonts w:ascii="Verdana" w:eastAsia="Times New Roman" w:hAnsi="Verdana" w:cs="Arial"/>
        </w:rPr>
        <w:t xml:space="preserve"> de las ofertas en los procedimientos de selección</w:t>
      </w:r>
      <w:r w:rsidRPr="3F2B4452">
        <w:rPr>
          <w:rFonts w:ascii="Verdana" w:eastAsia="Times New Roman" w:hAnsi="Verdana" w:cs="Arial"/>
          <w:b/>
          <w:bCs/>
        </w:rPr>
        <w:t xml:space="preserve"> </w:t>
      </w:r>
      <w:r w:rsidRPr="3F2B4452">
        <w:rPr>
          <w:rFonts w:ascii="Verdana" w:eastAsia="Times New Roman" w:hAnsi="Verdana" w:cs="Arial"/>
          <w:lang w:val="es-ES" w:eastAsia="es-ES"/>
        </w:rPr>
        <w:t xml:space="preserve">indica que, por regla general, la falta de entrega y los defectos en la acreditación de los requisitos habilitantes son aspectos subsanables. La excepción </w:t>
      </w:r>
      <w:r>
        <w:rPr>
          <w:rFonts w:ascii="Verdana" w:eastAsia="Times New Roman" w:hAnsi="Verdana" w:cs="Arial"/>
          <w:lang w:val="es-ES" w:eastAsia="es-ES"/>
        </w:rPr>
        <w:t>corresponde</w:t>
      </w:r>
      <w:r w:rsidRPr="3F2B4452">
        <w:rPr>
          <w:rFonts w:ascii="Verdana" w:eastAsia="Times New Roman" w:hAnsi="Verdana" w:cs="Arial"/>
          <w:lang w:val="es-ES" w:eastAsia="es-ES"/>
        </w:rPr>
        <w:t xml:space="preserve"> en la prohibición de permitir que se subsanen aspectos que otorgan puntaje, de valer la acreditación de circunstancias ocurridas con posterioridad al cierre del proceso y de permitir la entrega de la garantía de seriedad de la oferta que no fue aportada con la propuesta.</w:t>
      </w:r>
    </w:p>
    <w:p w14:paraId="3E0A1D63" w14:textId="77777777" w:rsidR="00A76E99" w:rsidRDefault="00A76E99" w:rsidP="00A76E99">
      <w:pPr>
        <w:tabs>
          <w:tab w:val="left" w:pos="3828"/>
        </w:tabs>
        <w:spacing w:after="120" w:line="276" w:lineRule="auto"/>
        <w:ind w:firstLine="709"/>
        <w:jc w:val="both"/>
        <w:rPr>
          <w:rFonts w:ascii="Verdana" w:eastAsia="Times New Roman" w:hAnsi="Verdana" w:cs="Arial"/>
          <w:lang w:val="es-ES" w:eastAsia="es-ES"/>
        </w:rPr>
      </w:pPr>
      <w:r w:rsidRPr="37C57DE6">
        <w:rPr>
          <w:rFonts w:ascii="Verdana" w:eastAsia="Times New Roman" w:hAnsi="Verdana" w:cs="Arial"/>
          <w:lang w:val="es-ES" w:eastAsia="es-ES"/>
        </w:rPr>
        <w:t>La posibilidad de enmendar, corregir o subsanar los errores en los que se incurre en los documentos contentivos de la oferta</w:t>
      </w:r>
      <w:r>
        <w:rPr>
          <w:rFonts w:ascii="Verdana" w:eastAsia="Times New Roman" w:hAnsi="Verdana" w:cs="Arial"/>
          <w:lang w:val="es-ES" w:eastAsia="es-ES"/>
        </w:rPr>
        <w:t>,</w:t>
      </w:r>
      <w:r w:rsidRPr="37C57DE6">
        <w:rPr>
          <w:rFonts w:ascii="Verdana" w:eastAsia="Times New Roman" w:hAnsi="Verdana" w:cs="Arial"/>
          <w:lang w:val="es-ES" w:eastAsia="es-ES"/>
        </w:rPr>
        <w:t xml:space="preserve"> es un </w:t>
      </w:r>
      <w:r>
        <w:rPr>
          <w:rFonts w:ascii="Verdana" w:eastAsia="Times New Roman" w:hAnsi="Verdana" w:cs="Arial"/>
          <w:lang w:val="es-ES" w:eastAsia="es-ES"/>
        </w:rPr>
        <w:t xml:space="preserve">asunto </w:t>
      </w:r>
      <w:r w:rsidRPr="37C57DE6">
        <w:rPr>
          <w:rFonts w:ascii="Verdana" w:eastAsia="Times New Roman" w:hAnsi="Verdana" w:cs="Arial"/>
          <w:lang w:val="es-ES" w:eastAsia="es-ES"/>
        </w:rPr>
        <w:t>que ha tenido diferentes momentos o etapas en el ordenamiento jurídico colombiano</w:t>
      </w:r>
      <w:r>
        <w:rPr>
          <w:rFonts w:ascii="Verdana" w:eastAsia="Times New Roman" w:hAnsi="Verdana" w:cs="Arial"/>
          <w:lang w:val="es-ES" w:eastAsia="es-ES"/>
        </w:rPr>
        <w:t xml:space="preserve">. </w:t>
      </w:r>
    </w:p>
    <w:p w14:paraId="25163F79" w14:textId="77777777" w:rsidR="00A76E99" w:rsidRDefault="00A76E99" w:rsidP="00A76E99">
      <w:pPr>
        <w:spacing w:after="120" w:line="276" w:lineRule="auto"/>
        <w:ind w:firstLine="709"/>
        <w:jc w:val="both"/>
        <w:rPr>
          <w:rFonts w:ascii="Verdana" w:eastAsia="Arial" w:hAnsi="Verdana" w:cs="Arial"/>
          <w:color w:val="000000" w:themeColor="text1"/>
        </w:rPr>
      </w:pPr>
      <w:r w:rsidRPr="05E3EA9D">
        <w:rPr>
          <w:rFonts w:ascii="Verdana" w:eastAsia="Arial" w:hAnsi="Verdana" w:cs="Arial"/>
          <w:color w:val="000000" w:themeColor="text1"/>
        </w:rPr>
        <w:t xml:space="preserve">En un </w:t>
      </w:r>
      <w:r w:rsidRPr="05E3EA9D">
        <w:rPr>
          <w:rFonts w:ascii="Verdana" w:eastAsia="Arial" w:hAnsi="Verdana" w:cs="Arial"/>
          <w:i/>
          <w:color w:val="000000" w:themeColor="text1"/>
        </w:rPr>
        <w:t>primer momento</w:t>
      </w:r>
      <w:r w:rsidRPr="05E3EA9D">
        <w:rPr>
          <w:rFonts w:ascii="Verdana" w:eastAsia="Arial" w:hAnsi="Verdana" w:cs="Arial"/>
          <w:color w:val="000000" w:themeColor="text1"/>
        </w:rPr>
        <w:t xml:space="preserve">, antes de expedirse la Constitución Política de 1991, el régimen jurídico de la </w:t>
      </w:r>
      <w:proofErr w:type="spellStart"/>
      <w:r w:rsidRPr="05E3EA9D">
        <w:rPr>
          <w:rFonts w:ascii="Verdana" w:eastAsia="Arial" w:hAnsi="Verdana" w:cs="Arial"/>
          <w:color w:val="000000" w:themeColor="text1"/>
        </w:rPr>
        <w:t>subsanabilidad</w:t>
      </w:r>
      <w:proofErr w:type="spellEnd"/>
      <w:r w:rsidRPr="05E3EA9D">
        <w:rPr>
          <w:rFonts w:ascii="Verdana" w:eastAsia="Arial" w:hAnsi="Verdana" w:cs="Arial"/>
          <w:color w:val="000000" w:themeColor="text1"/>
        </w:rPr>
        <w:t xml:space="preserve"> de las ofertas estaba compuesto por el Decreto-ley 150 de 1976 y el Decreto-ley 222 de 1983. Bajo el imperio de estas normas, la posibilidad de subsanar errores era prácticamente inexistente, debido al excesivo formalismo procedimental que irradiaba la actuación administrativa. En este contexto, por ejemplo, no era extraordinario que una oferta fuera rechazada por no aportar una copia de esta. </w:t>
      </w:r>
    </w:p>
    <w:p w14:paraId="618DDCFF" w14:textId="77777777" w:rsidR="00A76E99" w:rsidRPr="00166975" w:rsidRDefault="00A76E99" w:rsidP="00A76E99">
      <w:pPr>
        <w:spacing w:before="120" w:after="0" w:line="276" w:lineRule="auto"/>
        <w:ind w:firstLine="709"/>
        <w:jc w:val="both"/>
        <w:rPr>
          <w:rFonts w:ascii="Verdana" w:eastAsia="Arial" w:hAnsi="Verdana" w:cs="Arial"/>
          <w:color w:val="000000" w:themeColor="text1"/>
        </w:rPr>
      </w:pPr>
      <w:r w:rsidRPr="00C64261">
        <w:rPr>
          <w:rFonts w:ascii="Verdana" w:eastAsia="Arial" w:hAnsi="Verdana" w:cs="Arial"/>
          <w:color w:val="000000"/>
        </w:rPr>
        <w:t xml:space="preserve">En un </w:t>
      </w:r>
      <w:r w:rsidRPr="00C64261">
        <w:rPr>
          <w:rFonts w:ascii="Verdana" w:eastAsia="Arial" w:hAnsi="Verdana" w:cs="Arial"/>
          <w:i/>
          <w:color w:val="000000"/>
        </w:rPr>
        <w:t>segundo momento</w:t>
      </w:r>
      <w:r w:rsidRPr="00C64261">
        <w:rPr>
          <w:rFonts w:ascii="Verdana" w:eastAsia="Arial" w:hAnsi="Verdana" w:cs="Arial"/>
          <w:color w:val="000000"/>
        </w:rPr>
        <w:t xml:space="preserve"> se expidió la Ley 80 de 1993, bajo el paradigma que supuso la Constitución de 1991, particularmente en la forma como se relaciona lo formal y lo sustancial en las actuaciones judiciales y administrativas. Este cambio ideológico quedó consignado en el artículo 228, que introdujo el principio de supremacía o prevalencia del derecho sustancial sobre el procedimental. En este nuevo escenario constitucional, el numeral 15 del artículo 25 de la Ley 80 de 1993 dispuso lo siguiente: </w:t>
      </w:r>
    </w:p>
    <w:p w14:paraId="1A640CE3" w14:textId="77777777" w:rsidR="00A76E99" w:rsidRPr="00C64261" w:rsidRDefault="00A76E99" w:rsidP="00087279">
      <w:pPr>
        <w:spacing w:after="0" w:line="240" w:lineRule="auto"/>
        <w:jc w:val="both"/>
        <w:rPr>
          <w:rFonts w:ascii="Verdana" w:eastAsia="Arial" w:hAnsi="Verdana" w:cs="Arial"/>
          <w:color w:val="000000"/>
        </w:rPr>
      </w:pPr>
    </w:p>
    <w:p w14:paraId="0B4F29AC" w14:textId="77777777" w:rsidR="00A76E99" w:rsidRPr="00216288" w:rsidRDefault="00A76E99" w:rsidP="00A76E99">
      <w:pPr>
        <w:spacing w:after="0" w:line="240" w:lineRule="auto"/>
        <w:ind w:left="709" w:right="709"/>
        <w:jc w:val="both"/>
        <w:rPr>
          <w:rFonts w:ascii="Verdana" w:eastAsia="Arial" w:hAnsi="Verdana" w:cs="Arial"/>
          <w:color w:val="000000"/>
          <w:sz w:val="20"/>
          <w:szCs w:val="20"/>
        </w:rPr>
      </w:pPr>
      <w:r w:rsidRPr="00216288">
        <w:rPr>
          <w:rFonts w:ascii="Verdana" w:eastAsia="Arial" w:hAnsi="Verdana" w:cs="Arial"/>
          <w:color w:val="000000"/>
          <w:sz w:val="20"/>
          <w:szCs w:val="20"/>
        </w:rPr>
        <w:t xml:space="preserve">“15. Las autoridades no exigirán sellos, autenticaciones, documentos originales o autenticados, reconocimientos de firmas, traducciones oficiales, ni cualquier otra clase de formalidades o exigencias rituales, salvo cuando en forma perentoria y expresa lo exijan leyes especiales. </w:t>
      </w:r>
    </w:p>
    <w:p w14:paraId="1BEA2A3D" w14:textId="77777777" w:rsidR="006F6528" w:rsidRDefault="006F6528" w:rsidP="00A76E99">
      <w:pPr>
        <w:spacing w:after="0" w:line="240" w:lineRule="auto"/>
        <w:ind w:left="709" w:right="709"/>
        <w:jc w:val="both"/>
        <w:rPr>
          <w:rFonts w:ascii="Verdana" w:eastAsia="Arial" w:hAnsi="Verdana" w:cs="Arial"/>
          <w:color w:val="000000" w:themeColor="text1"/>
          <w:sz w:val="20"/>
          <w:szCs w:val="20"/>
        </w:rPr>
      </w:pPr>
    </w:p>
    <w:p w14:paraId="76FE70B7" w14:textId="0D3A981C" w:rsidR="00A76E99" w:rsidRPr="001F283D" w:rsidRDefault="00A76E99" w:rsidP="00A76E99">
      <w:pPr>
        <w:spacing w:after="0" w:line="240" w:lineRule="auto"/>
        <w:ind w:left="709" w:right="709"/>
        <w:jc w:val="both"/>
        <w:rPr>
          <w:rFonts w:ascii="Verdana" w:eastAsia="Arial" w:hAnsi="Verdana" w:cs="Arial"/>
          <w:color w:val="000000"/>
          <w:sz w:val="20"/>
          <w:szCs w:val="20"/>
        </w:rPr>
      </w:pPr>
      <w:r w:rsidRPr="05E3EA9D">
        <w:rPr>
          <w:rFonts w:ascii="Verdana" w:eastAsia="Arial" w:hAnsi="Verdana" w:cs="Arial"/>
          <w:color w:val="000000" w:themeColor="text1"/>
          <w:sz w:val="20"/>
          <w:szCs w:val="20"/>
        </w:rPr>
        <w:t xml:space="preserve">La ausencia de requisitos o la falta de documentos referentes a la futura contratación o al proponente, no necesarios para la comparación de propuestas, no servirá de título suficiente para el rechazo de los ofrecimientos hechos”. </w:t>
      </w:r>
    </w:p>
    <w:p w14:paraId="1A371664" w14:textId="77777777" w:rsidR="00A76E99" w:rsidRPr="00693ABA" w:rsidRDefault="00A76E99" w:rsidP="00A76E99">
      <w:pPr>
        <w:spacing w:after="0" w:line="240" w:lineRule="auto"/>
        <w:ind w:left="709" w:right="709"/>
        <w:jc w:val="both"/>
        <w:rPr>
          <w:rFonts w:ascii="Verdana" w:eastAsia="Arial" w:hAnsi="Verdana" w:cs="Arial"/>
          <w:color w:val="000000"/>
        </w:rPr>
      </w:pPr>
    </w:p>
    <w:p w14:paraId="4E62C22F" w14:textId="77777777" w:rsidR="00A76E99" w:rsidRDefault="00A76E99" w:rsidP="00A76E99">
      <w:pPr>
        <w:spacing w:after="0" w:line="276" w:lineRule="auto"/>
        <w:ind w:firstLine="709"/>
        <w:jc w:val="both"/>
        <w:rPr>
          <w:rFonts w:ascii="Verdana" w:eastAsia="Arial" w:hAnsi="Verdana" w:cs="Arial"/>
          <w:color w:val="000000"/>
        </w:rPr>
      </w:pPr>
      <w:r w:rsidRPr="05E3EA9D">
        <w:rPr>
          <w:rFonts w:ascii="Verdana" w:eastAsia="Arial" w:hAnsi="Verdana" w:cs="Arial"/>
          <w:color w:val="000000" w:themeColor="text1"/>
        </w:rPr>
        <w:lastRenderedPageBreak/>
        <w:t xml:space="preserve">Bajo el amparo de esta norma, el régimen jurídico de </w:t>
      </w:r>
      <w:proofErr w:type="spellStart"/>
      <w:r w:rsidRPr="05E3EA9D">
        <w:rPr>
          <w:rFonts w:ascii="Verdana" w:eastAsia="Arial" w:hAnsi="Verdana" w:cs="Arial"/>
          <w:color w:val="000000" w:themeColor="text1"/>
        </w:rPr>
        <w:t>subsanabilidad</w:t>
      </w:r>
      <w:proofErr w:type="spellEnd"/>
      <w:r w:rsidRPr="05E3EA9D">
        <w:rPr>
          <w:rFonts w:ascii="Verdana" w:eastAsia="Arial" w:hAnsi="Verdana" w:cs="Arial"/>
          <w:color w:val="000000" w:themeColor="text1"/>
        </w:rPr>
        <w:t xml:space="preserve"> de las ofertas sufre un cambio fundamental, pues ya no era posible rechazar las ofertas por falta de requisitos o documentos que no fueran “</w:t>
      </w:r>
      <w:r w:rsidRPr="05E3EA9D">
        <w:rPr>
          <w:rFonts w:ascii="Verdana" w:eastAsia="Arial" w:hAnsi="Verdana" w:cs="Arial"/>
          <w:i/>
          <w:color w:val="000000" w:themeColor="text1"/>
        </w:rPr>
        <w:t>necesarios para la comparación de propuestas</w:t>
      </w:r>
      <w:r w:rsidRPr="05E3EA9D">
        <w:rPr>
          <w:rFonts w:ascii="Verdana" w:eastAsia="Arial" w:hAnsi="Verdana" w:cs="Arial"/>
          <w:color w:val="000000" w:themeColor="text1"/>
        </w:rPr>
        <w:t xml:space="preserve">”. De esta manera, la ley introdujo un primer criterio jurídico, aunque indeterminado, que servía como punto de partida en la posibilidad de subsanar las ofertas, pues, verificada la ausencia de un requisito o documento, previo al rechazo de la oferta, la Administración debía constatar si este era o no necesario para la comparación de las propuestas, y de ese análisis surgiría la decisión sobre su rechazo o la oportunidad de subsanar. </w:t>
      </w:r>
    </w:p>
    <w:p w14:paraId="3DC06655" w14:textId="77777777" w:rsidR="00A76E99" w:rsidRDefault="00A76E99" w:rsidP="00A76E99">
      <w:pPr>
        <w:spacing w:before="120" w:after="0" w:line="276" w:lineRule="auto"/>
        <w:ind w:firstLine="709"/>
        <w:jc w:val="both"/>
        <w:rPr>
          <w:rFonts w:ascii="Verdana" w:eastAsia="Arial" w:hAnsi="Verdana" w:cs="Arial"/>
          <w:color w:val="000000"/>
        </w:rPr>
      </w:pPr>
      <w:r w:rsidRPr="00C64261">
        <w:rPr>
          <w:rFonts w:ascii="Verdana" w:eastAsia="Arial" w:hAnsi="Verdana" w:cs="Arial"/>
          <w:color w:val="000000"/>
        </w:rPr>
        <w:t>El artículo 25</w:t>
      </w:r>
      <w:r>
        <w:rPr>
          <w:rFonts w:ascii="Verdana" w:eastAsia="Arial" w:hAnsi="Verdana" w:cs="Arial"/>
          <w:color w:val="000000"/>
        </w:rPr>
        <w:t xml:space="preserve"> numeral 1</w:t>
      </w:r>
      <w:r w:rsidRPr="00C64261">
        <w:rPr>
          <w:rFonts w:ascii="Verdana" w:eastAsia="Arial" w:hAnsi="Verdana" w:cs="Arial"/>
          <w:color w:val="000000"/>
        </w:rPr>
        <w:t xml:space="preserve">5 </w:t>
      </w:r>
      <w:r>
        <w:rPr>
          <w:rFonts w:ascii="Verdana" w:eastAsia="Arial" w:hAnsi="Verdana" w:cs="Arial"/>
          <w:color w:val="000000"/>
        </w:rPr>
        <w:t xml:space="preserve">de la Ley 80 de 1993 </w:t>
      </w:r>
      <w:r w:rsidRPr="00C64261">
        <w:rPr>
          <w:rFonts w:ascii="Verdana" w:eastAsia="Arial" w:hAnsi="Verdana" w:cs="Arial"/>
          <w:color w:val="000000"/>
        </w:rPr>
        <w:t>debía leerse en conjunto con otras de</w:t>
      </w:r>
      <w:r>
        <w:rPr>
          <w:rFonts w:ascii="Verdana" w:eastAsia="Arial" w:hAnsi="Verdana" w:cs="Arial"/>
          <w:color w:val="000000"/>
        </w:rPr>
        <w:t>l EGCAP</w:t>
      </w:r>
      <w:r w:rsidRPr="00C64261">
        <w:rPr>
          <w:rFonts w:ascii="Verdana" w:eastAsia="Arial" w:hAnsi="Verdana" w:cs="Arial"/>
          <w:color w:val="000000"/>
        </w:rPr>
        <w:t>, particularmente con el artículo 30</w:t>
      </w:r>
      <w:r>
        <w:rPr>
          <w:rFonts w:ascii="Verdana" w:eastAsia="Arial" w:hAnsi="Verdana" w:cs="Arial"/>
          <w:color w:val="000000"/>
        </w:rPr>
        <w:t xml:space="preserve"> numeral </w:t>
      </w:r>
      <w:r w:rsidRPr="00C64261">
        <w:rPr>
          <w:rFonts w:ascii="Verdana" w:eastAsia="Arial" w:hAnsi="Verdana" w:cs="Arial"/>
          <w:color w:val="000000"/>
        </w:rPr>
        <w:t>7</w:t>
      </w:r>
      <w:r w:rsidRPr="00C64261">
        <w:rPr>
          <w:rFonts w:ascii="Verdana" w:eastAsia="Arial" w:hAnsi="Verdana" w:cs="Arial"/>
          <w:color w:val="000000"/>
          <w:vertAlign w:val="superscript"/>
        </w:rPr>
        <w:footnoteReference w:id="1"/>
      </w:r>
      <w:r w:rsidRPr="00C64261">
        <w:rPr>
          <w:rFonts w:ascii="Verdana" w:eastAsia="Arial" w:hAnsi="Verdana" w:cs="Arial"/>
          <w:color w:val="000000"/>
        </w:rPr>
        <w:t xml:space="preserve">, que ordena a la </w:t>
      </w:r>
      <w:r w:rsidRPr="003C06BF">
        <w:rPr>
          <w:rFonts w:ascii="Verdana" w:eastAsia="Arial" w:hAnsi="Verdana" w:cs="Arial"/>
          <w:color w:val="000000"/>
        </w:rPr>
        <w:t>entidad señalar un plazo razonable para evaluar las propuestas y pedir a los proponentes, de ser necesario, que aclaren o expliquen aspectos que ofrezcan dudas y resulten indispensables para hacer la evaluación</w:t>
      </w:r>
      <w:r>
        <w:rPr>
          <w:rFonts w:ascii="Verdana" w:eastAsia="Arial" w:hAnsi="Verdana" w:cs="Arial"/>
          <w:color w:val="000000"/>
        </w:rPr>
        <w:t>. C</w:t>
      </w:r>
      <w:r w:rsidRPr="003C06BF">
        <w:rPr>
          <w:rFonts w:ascii="Verdana" w:eastAsia="Arial" w:hAnsi="Verdana" w:cs="Arial"/>
          <w:color w:val="000000"/>
        </w:rPr>
        <w:t>on el artículo 30</w:t>
      </w:r>
      <w:r>
        <w:rPr>
          <w:rFonts w:ascii="Verdana" w:eastAsia="Arial" w:hAnsi="Verdana" w:cs="Arial"/>
          <w:color w:val="000000"/>
        </w:rPr>
        <w:t xml:space="preserve"> numeral </w:t>
      </w:r>
      <w:r w:rsidRPr="003C06BF">
        <w:rPr>
          <w:rFonts w:ascii="Verdana" w:eastAsia="Arial" w:hAnsi="Verdana" w:cs="Arial"/>
          <w:color w:val="000000"/>
        </w:rPr>
        <w:t>8</w:t>
      </w:r>
      <w:r w:rsidRPr="003C06BF">
        <w:rPr>
          <w:rFonts w:ascii="Verdana" w:eastAsia="Arial" w:hAnsi="Verdana" w:cs="Arial"/>
          <w:color w:val="000000"/>
          <w:vertAlign w:val="superscript"/>
        </w:rPr>
        <w:footnoteReference w:id="2"/>
      </w:r>
      <w:r w:rsidRPr="003C06BF">
        <w:rPr>
          <w:rFonts w:ascii="Verdana" w:eastAsia="Arial" w:hAnsi="Verdana" w:cs="Arial"/>
          <w:color w:val="000000"/>
        </w:rPr>
        <w:t>, que consagró el término de 5 días hábiles para que los oferentes presenten observaciones al informe de evaluación de las propuestas, sin que sea posible completar, adicionar, modificar o mejorar la oferta. A partir de la lectura integrada de estas tres normas</w:t>
      </w:r>
      <w:r>
        <w:rPr>
          <w:rFonts w:ascii="Verdana" w:eastAsia="Arial" w:hAnsi="Verdana" w:cs="Arial"/>
          <w:color w:val="000000"/>
        </w:rPr>
        <w:t>,</w:t>
      </w:r>
      <w:r w:rsidRPr="003C06BF">
        <w:rPr>
          <w:rFonts w:ascii="Verdana" w:eastAsia="Arial" w:hAnsi="Verdana" w:cs="Arial"/>
          <w:color w:val="000000"/>
        </w:rPr>
        <w:t xml:space="preserve"> debía concluirse que con la Ley 80 de 1993 era posible subsanar las propuestas, y la omisión o el error en algún aspecto de </w:t>
      </w:r>
      <w:proofErr w:type="gramStart"/>
      <w:r w:rsidRPr="003C06BF">
        <w:rPr>
          <w:rFonts w:ascii="Verdana" w:eastAsia="Arial" w:hAnsi="Verdana" w:cs="Arial"/>
          <w:color w:val="000000"/>
        </w:rPr>
        <w:t>la misma</w:t>
      </w:r>
      <w:proofErr w:type="gramEnd"/>
      <w:r w:rsidRPr="003C06BF">
        <w:rPr>
          <w:rFonts w:ascii="Verdana" w:eastAsia="Arial" w:hAnsi="Verdana" w:cs="Arial"/>
          <w:color w:val="000000"/>
        </w:rPr>
        <w:t xml:space="preserve"> no podía llevar a su rechazo, sin antes verificar que lo omitido fuera un aspecto necesario para la comparación.</w:t>
      </w:r>
      <w:r w:rsidRPr="00C64261">
        <w:rPr>
          <w:rFonts w:ascii="Verdana" w:eastAsia="Arial" w:hAnsi="Verdana" w:cs="Arial"/>
          <w:color w:val="000000"/>
        </w:rPr>
        <w:t xml:space="preserve"> </w:t>
      </w:r>
    </w:p>
    <w:p w14:paraId="19229BE1" w14:textId="77777777" w:rsidR="00A76E99" w:rsidRDefault="00A76E99" w:rsidP="00A76E99">
      <w:pPr>
        <w:spacing w:before="120" w:after="0" w:line="276" w:lineRule="auto"/>
        <w:ind w:firstLine="709"/>
        <w:jc w:val="both"/>
        <w:rPr>
          <w:rFonts w:ascii="Verdana" w:eastAsia="Arial" w:hAnsi="Verdana" w:cs="Arial"/>
          <w:color w:val="000000"/>
        </w:rPr>
      </w:pPr>
      <w:r w:rsidRPr="00C64261">
        <w:rPr>
          <w:rFonts w:ascii="Verdana" w:eastAsia="Arial" w:hAnsi="Verdana" w:cs="Arial"/>
          <w:color w:val="000000"/>
        </w:rPr>
        <w:t xml:space="preserve">En un </w:t>
      </w:r>
      <w:r w:rsidRPr="00C64261">
        <w:rPr>
          <w:rFonts w:ascii="Verdana" w:eastAsia="Arial" w:hAnsi="Verdana" w:cs="Arial"/>
          <w:i/>
          <w:color w:val="000000"/>
        </w:rPr>
        <w:t>tercer momento</w:t>
      </w:r>
      <w:r w:rsidRPr="00C64261">
        <w:rPr>
          <w:rFonts w:ascii="Verdana" w:eastAsia="Arial" w:hAnsi="Verdana" w:cs="Arial"/>
          <w:color w:val="000000"/>
        </w:rPr>
        <w:t>, y siguiendo la línea trazada por la Ley 80 de 1993, el legislador expidió la Ley 1150 de 2007, que, en el parágrafo 1º del artículo 5, determinó lo siguiente: “La ausencia de requisitos o la falta de documentos referentes a la futura contratación o al proponente, no necesarios para la comparación de las propuestas no servirán de título suficiente para el rechazo de los ofrecimientos hechos. En consecuencia</w:t>
      </w:r>
      <w:r w:rsidRPr="00C64261">
        <w:rPr>
          <w:rFonts w:ascii="Verdana" w:eastAsia="Arial" w:hAnsi="Verdana" w:cs="Arial"/>
          <w:b/>
          <w:color w:val="000000"/>
        </w:rPr>
        <w:t xml:space="preserve">, </w:t>
      </w:r>
      <w:r w:rsidRPr="00C64261">
        <w:rPr>
          <w:rFonts w:ascii="Verdana" w:eastAsia="Arial" w:hAnsi="Verdana" w:cs="Arial"/>
          <w:color w:val="000000"/>
        </w:rPr>
        <w:t xml:space="preserve">todos aquellos requisitos de la propuesta que no afecten la asignación de </w:t>
      </w:r>
      <w:proofErr w:type="gramStart"/>
      <w:r w:rsidRPr="00C64261">
        <w:rPr>
          <w:rFonts w:ascii="Verdana" w:eastAsia="Arial" w:hAnsi="Verdana" w:cs="Arial"/>
          <w:color w:val="000000"/>
        </w:rPr>
        <w:t>puntaje</w:t>
      </w:r>
      <w:r>
        <w:rPr>
          <w:rFonts w:ascii="Verdana" w:eastAsia="Arial" w:hAnsi="Verdana" w:cs="Arial"/>
          <w:color w:val="000000"/>
        </w:rPr>
        <w:t>,</w:t>
      </w:r>
      <w:proofErr w:type="gramEnd"/>
      <w:r w:rsidRPr="00C64261">
        <w:rPr>
          <w:rFonts w:ascii="Verdana" w:eastAsia="Arial" w:hAnsi="Verdana" w:cs="Arial"/>
          <w:color w:val="000000"/>
        </w:rPr>
        <w:t xml:space="preserve"> podrán ser solicitados por las entidades en cualquier momento, hasta la adjudicación. No </w:t>
      </w:r>
      <w:proofErr w:type="gramStart"/>
      <w:r w:rsidRPr="00C64261">
        <w:rPr>
          <w:rFonts w:ascii="Verdana" w:eastAsia="Arial" w:hAnsi="Verdana" w:cs="Arial"/>
          <w:color w:val="000000"/>
        </w:rPr>
        <w:t>obstante</w:t>
      </w:r>
      <w:proofErr w:type="gramEnd"/>
      <w:r w:rsidRPr="00C64261">
        <w:rPr>
          <w:rFonts w:ascii="Verdana" w:eastAsia="Arial" w:hAnsi="Verdana" w:cs="Arial"/>
          <w:color w:val="000000"/>
        </w:rPr>
        <w:t xml:space="preserve"> lo </w:t>
      </w:r>
      <w:r w:rsidRPr="00C64261">
        <w:rPr>
          <w:rFonts w:ascii="Verdana" w:eastAsia="Arial" w:hAnsi="Verdana" w:cs="Arial"/>
          <w:color w:val="000000"/>
        </w:rPr>
        <w:lastRenderedPageBreak/>
        <w:t xml:space="preserve">anterior, en aquellos procesos de selección en los que se utilice el mecanismo de subasta, deberán ser solicitados hasta el momento previo a su realización”. </w:t>
      </w:r>
    </w:p>
    <w:p w14:paraId="5FC2C7C6" w14:textId="77777777" w:rsidR="00A76E99" w:rsidRDefault="00A76E99" w:rsidP="00A76E99">
      <w:pPr>
        <w:spacing w:before="120" w:after="0" w:line="276" w:lineRule="auto"/>
        <w:ind w:firstLine="709"/>
        <w:jc w:val="both"/>
        <w:rPr>
          <w:rFonts w:ascii="Verdana" w:eastAsia="Arial" w:hAnsi="Verdana" w:cs="Arial"/>
          <w:color w:val="000000"/>
        </w:rPr>
      </w:pPr>
      <w:r w:rsidRPr="00C64261">
        <w:rPr>
          <w:rFonts w:ascii="Verdana" w:eastAsia="Arial" w:hAnsi="Verdana" w:cs="Arial"/>
          <w:color w:val="000000"/>
        </w:rPr>
        <w:t xml:space="preserve">Nótese que esta norma reitera lo que dispuso la Ley 80 de 1993, en el sentido de que los requisitos o documentos que no sean necesarios para la comparación de las ofertas pueden subsanarse, pero además la Ley 1150 de 2007 introdujo otro criterio que le dio mayor claridad al tema: la asignación de puntaje. A partir de la Ley 1150 de 2007, la Administración contó con un criterio más claro y determinado para saber si la ausencia de documentos o requisitos de la oferta conlleva a su rechazo o al requerimiento del proponente para que lo subsane, pues bastará con un simple ejercicio de verificación que consiste en corroborar si lo omitido hace parte de los aspectos que otorgan puntaje o no.  Si al verificar la Administración encuentra que lo omitido por el proponente es un aspecto que otorga puntaje, no es posible subsanarlo; pero, si no otorga puntaje, la Administración debe requerir al proponente para que lo subsane.  </w:t>
      </w:r>
    </w:p>
    <w:p w14:paraId="4E76EA3E" w14:textId="77777777" w:rsidR="00A76E99" w:rsidRPr="00C64261" w:rsidRDefault="00A76E99" w:rsidP="00A76E99">
      <w:pPr>
        <w:spacing w:before="120" w:after="0" w:line="276" w:lineRule="auto"/>
        <w:ind w:firstLine="709"/>
        <w:jc w:val="both"/>
        <w:rPr>
          <w:rFonts w:ascii="Verdana" w:eastAsia="Arial" w:hAnsi="Verdana" w:cs="Arial"/>
          <w:color w:val="000000"/>
        </w:rPr>
      </w:pPr>
      <w:r w:rsidRPr="00C64261">
        <w:rPr>
          <w:rFonts w:ascii="Verdana" w:eastAsia="Arial" w:hAnsi="Verdana" w:cs="Arial"/>
          <w:color w:val="000000"/>
        </w:rPr>
        <w:t>El artículo 5 de la Ley 1150 de 2007, además de consagrar un criterio más claro, y, de paso, reducir la discrecionalidad de la Administración, fijó un ámbito temporal para la subsanación de las ofertas: “</w:t>
      </w:r>
      <w:r w:rsidRPr="00C64261">
        <w:rPr>
          <w:rFonts w:ascii="Verdana" w:eastAsia="Arial" w:hAnsi="Verdana" w:cs="Arial"/>
          <w:i/>
          <w:color w:val="000000"/>
        </w:rPr>
        <w:t>en cualquier momento, hasta la adjudicación</w:t>
      </w:r>
      <w:r w:rsidRPr="00C64261">
        <w:rPr>
          <w:rFonts w:ascii="Verdana" w:eastAsia="Arial" w:hAnsi="Verdana" w:cs="Arial"/>
          <w:color w:val="000000"/>
        </w:rPr>
        <w:t xml:space="preserve">”. El Consejo de Estado, con particular sindéresis, concluyó que a partir del parágrafo 1º del artículo 5 de la Ley 1150, la definición de lo que es subsanable y lo que no lo es surge a partir del planteamiento de la pregunta sobre si el defecto asigna puntaje o no, en estos términos: </w:t>
      </w:r>
    </w:p>
    <w:p w14:paraId="43053B45" w14:textId="77777777" w:rsidR="00A76E99" w:rsidRPr="00C64261" w:rsidRDefault="00A76E99" w:rsidP="00A76E99">
      <w:pPr>
        <w:spacing w:after="0" w:line="240" w:lineRule="auto"/>
        <w:jc w:val="both"/>
        <w:rPr>
          <w:rFonts w:ascii="Verdana" w:eastAsia="Arial" w:hAnsi="Verdana" w:cs="Arial"/>
          <w:color w:val="000000"/>
        </w:rPr>
      </w:pPr>
    </w:p>
    <w:p w14:paraId="6152BC63" w14:textId="00DE0A12" w:rsidR="00A76E99" w:rsidRPr="00EC0EEB" w:rsidRDefault="00A76E99" w:rsidP="00EC0EEB">
      <w:pPr>
        <w:spacing w:after="0" w:line="240" w:lineRule="auto"/>
        <w:ind w:left="709" w:right="709"/>
        <w:jc w:val="both"/>
        <w:rPr>
          <w:rFonts w:ascii="Verdana" w:eastAsia="Arial" w:hAnsi="Verdana" w:cs="Arial"/>
          <w:color w:val="000000"/>
          <w:sz w:val="20"/>
          <w:szCs w:val="20"/>
        </w:rPr>
      </w:pPr>
      <w:r w:rsidRPr="003C06BF">
        <w:rPr>
          <w:rFonts w:ascii="Verdana" w:eastAsia="Arial" w:hAnsi="Verdana" w:cs="Arial"/>
          <w:color w:val="000000"/>
          <w:sz w:val="20"/>
          <w:szCs w:val="20"/>
        </w:rPr>
        <w:t>“Esto significa que en adelante las entidades y los oferentes aplican directamente la regla que contempla el art. 5, parágrafo, de la Ley 1150, de manera que lo subsanable o insubsanable se define a partir de una pregunta, que se le formula a cada requisito omitido o cumplido imperfectamente: ¿el defecto asigna puntaje al oferente? Si lo hace no es subsanable, si no lo hace es subsanable; en el último evento la entidad le solicitará al oferente que satisfaga la deficiencia, para poner su oferta en condiciones de ser evaluada, y no importa si se refiere a no a problemas de capacidad o a requisitos cumplidos antes o después de presentadas las ofertas, con la condición de que cuando le pidan la acreditación la satisfaga suficientemente”</w:t>
      </w:r>
      <w:r w:rsidRPr="003C06BF">
        <w:rPr>
          <w:rFonts w:ascii="Verdana" w:eastAsia="Arial" w:hAnsi="Verdana" w:cs="Arial"/>
          <w:color w:val="000000"/>
          <w:sz w:val="20"/>
          <w:szCs w:val="20"/>
          <w:vertAlign w:val="superscript"/>
        </w:rPr>
        <w:footnoteReference w:id="3"/>
      </w:r>
      <w:r w:rsidRPr="003C06BF">
        <w:rPr>
          <w:rFonts w:ascii="Verdana" w:eastAsia="Arial" w:hAnsi="Verdana" w:cs="Arial"/>
          <w:color w:val="000000"/>
          <w:sz w:val="20"/>
          <w:szCs w:val="20"/>
        </w:rPr>
        <w:t>.</w:t>
      </w:r>
    </w:p>
    <w:p w14:paraId="3E120BFD" w14:textId="77777777" w:rsidR="00A76E99" w:rsidRDefault="00A76E99" w:rsidP="00A76E99">
      <w:pPr>
        <w:pBdr>
          <w:top w:val="nil"/>
          <w:left w:val="nil"/>
          <w:bottom w:val="nil"/>
          <w:right w:val="nil"/>
          <w:between w:val="nil"/>
        </w:pBdr>
        <w:tabs>
          <w:tab w:val="left" w:pos="284"/>
        </w:tabs>
        <w:spacing w:after="0" w:line="276" w:lineRule="auto"/>
        <w:ind w:firstLine="709"/>
        <w:jc w:val="both"/>
        <w:rPr>
          <w:rFonts w:ascii="Verdana" w:eastAsia="Arial" w:hAnsi="Verdana" w:cs="Arial"/>
          <w:color w:val="000000"/>
        </w:rPr>
      </w:pPr>
      <w:r w:rsidRPr="00C64261">
        <w:rPr>
          <w:rFonts w:ascii="Verdana" w:eastAsia="Arial" w:hAnsi="Verdana" w:cs="Arial"/>
          <w:color w:val="000000"/>
        </w:rPr>
        <w:lastRenderedPageBreak/>
        <w:t>Esa interpretación fue compartida por la Agencia Nacional de Contratación Pública – Colombia Compra Eficiente, pues en la Circular Externa Única</w:t>
      </w:r>
      <w:r>
        <w:rPr>
          <w:rStyle w:val="Refdenotaalpie"/>
          <w:rFonts w:ascii="Verdana" w:eastAsia="Arial" w:hAnsi="Verdana" w:cs="Arial"/>
          <w:color w:val="000000"/>
        </w:rPr>
        <w:footnoteReference w:id="4"/>
      </w:r>
      <w:r w:rsidRPr="00C64261">
        <w:rPr>
          <w:rFonts w:ascii="Verdana" w:eastAsia="Arial" w:hAnsi="Verdana" w:cs="Arial"/>
          <w:color w:val="000000"/>
        </w:rPr>
        <w:t xml:space="preserve"> se había precisado que</w:t>
      </w:r>
      <w:r>
        <w:rPr>
          <w:rFonts w:ascii="Verdana" w:eastAsia="Arial" w:hAnsi="Verdana" w:cs="Arial"/>
          <w:color w:val="000000"/>
        </w:rPr>
        <w:t>,</w:t>
      </w:r>
      <w:r w:rsidRPr="00C64261">
        <w:rPr>
          <w:rFonts w:ascii="Verdana" w:eastAsia="Arial" w:hAnsi="Verdana" w:cs="Arial"/>
          <w:color w:val="000000"/>
        </w:rPr>
        <w:t xml:space="preserve"> si durante un proceso de contratación hay proponentes que no acreditaron en sus ofertas requisitos que no afectan la asignación de puntaje o la comparación de </w:t>
      </w:r>
      <w:proofErr w:type="gramStart"/>
      <w:r w:rsidRPr="00C64261">
        <w:rPr>
          <w:rFonts w:ascii="Verdana" w:eastAsia="Arial" w:hAnsi="Verdana" w:cs="Arial"/>
          <w:color w:val="000000"/>
        </w:rPr>
        <w:t>las mismas</w:t>
      </w:r>
      <w:proofErr w:type="gramEnd"/>
      <w:r w:rsidRPr="00C64261">
        <w:rPr>
          <w:rFonts w:ascii="Verdana" w:eastAsia="Arial" w:hAnsi="Verdana" w:cs="Arial"/>
          <w:color w:val="000000"/>
        </w:rPr>
        <w:t>, la entidad estatal deberá indicarlo en el informe de evaluación y advertir que la correspondiente oferta no será evaluada hasta que se subsane.</w:t>
      </w:r>
    </w:p>
    <w:p w14:paraId="5562C393" w14:textId="77777777" w:rsidR="00A76E99" w:rsidRDefault="00A76E99" w:rsidP="00A76E99">
      <w:pPr>
        <w:pBdr>
          <w:top w:val="nil"/>
          <w:left w:val="nil"/>
          <w:bottom w:val="nil"/>
          <w:right w:val="nil"/>
          <w:between w:val="nil"/>
        </w:pBdr>
        <w:tabs>
          <w:tab w:val="left" w:pos="284"/>
        </w:tabs>
        <w:spacing w:before="120" w:after="0" w:line="276" w:lineRule="auto"/>
        <w:ind w:firstLine="709"/>
        <w:jc w:val="both"/>
        <w:rPr>
          <w:rFonts w:ascii="Verdana" w:eastAsia="Arial" w:hAnsi="Verdana" w:cs="Arial"/>
          <w:color w:val="000000"/>
        </w:rPr>
      </w:pPr>
      <w:r w:rsidRPr="00C64261">
        <w:rPr>
          <w:rFonts w:ascii="Verdana" w:eastAsia="Arial" w:hAnsi="Verdana" w:cs="Arial"/>
          <w:color w:val="000000"/>
        </w:rPr>
        <w:t xml:space="preserve">En un </w:t>
      </w:r>
      <w:r w:rsidRPr="00C64261">
        <w:rPr>
          <w:rFonts w:ascii="Verdana" w:eastAsia="Arial" w:hAnsi="Verdana" w:cs="Arial"/>
          <w:i/>
          <w:color w:val="000000"/>
        </w:rPr>
        <w:t>cuarto momento</w:t>
      </w:r>
      <w:r w:rsidRPr="00C64261">
        <w:rPr>
          <w:rFonts w:ascii="Verdana" w:eastAsia="Arial" w:hAnsi="Verdana" w:cs="Arial"/>
          <w:color w:val="000000"/>
        </w:rPr>
        <w:t xml:space="preserve">, el legislador expidió la Ley 1882 de 2018, con la finalidad de introducir cambios y ajustes para fortalecer la contratación pública. El artículo 5 modificó el parágrafo 1º del artículo 5 de la Ley 1150 de 2007 en los siguientes términos: “La ausencia de requisitos o la falta de documentos referentes a la futura contratación o al proponente, no necesarios para la comparación de las propuestas no servirán de título suficiente para el rechazo de los ofrecimientos hechos. En consecuencia, todos aquellos requisitos de la propuesta que no afecten la asignación de puntaje deberán ser solicitados por las entidades estatales y deberán ser entregados por los proponentes hasta el término de traslado del informe de evaluación que corresponda a cada modalidad de selección, salvo lo dispuesto para el proceso de Mínima cuantía y para el proceso de selección a través del sistema de subasta. Serán rechazadas las ofertas de aquellos proponentes que no suministren la información y la documentación solicitada por la entidad estatal hasta el plazo anteriormente señalado. Durante el término otorgado para subsanar las ofertas, los proponentes no podrán acreditar circunstancias ocurridas con posterioridad al cierre del proceso”. </w:t>
      </w:r>
    </w:p>
    <w:p w14:paraId="48F5B000" w14:textId="77777777" w:rsidR="00A76E99" w:rsidRDefault="00A76E99" w:rsidP="00A76E99">
      <w:pPr>
        <w:pBdr>
          <w:top w:val="nil"/>
          <w:left w:val="nil"/>
          <w:bottom w:val="nil"/>
          <w:right w:val="nil"/>
          <w:between w:val="nil"/>
        </w:pBdr>
        <w:tabs>
          <w:tab w:val="left" w:pos="284"/>
        </w:tabs>
        <w:spacing w:before="120" w:after="0" w:line="276" w:lineRule="auto"/>
        <w:ind w:firstLine="709"/>
        <w:jc w:val="both"/>
        <w:rPr>
          <w:rFonts w:ascii="Verdana" w:eastAsia="Arial" w:hAnsi="Verdana" w:cs="Arial"/>
          <w:color w:val="000000"/>
        </w:rPr>
      </w:pPr>
      <w:r w:rsidRPr="00C64261">
        <w:rPr>
          <w:rFonts w:ascii="Verdana" w:eastAsia="Arial" w:hAnsi="Verdana" w:cs="Arial"/>
          <w:color w:val="000000"/>
        </w:rPr>
        <w:t xml:space="preserve">Como puede observarse, esta norma: i) mantiene el criterio de la Ley 80 de 1993, relativo a que todo lo que no sea necesario para la comparación de propuestas no es título suficiente para su rechazo; </w:t>
      </w:r>
      <w:proofErr w:type="spellStart"/>
      <w:r w:rsidRPr="00C64261">
        <w:rPr>
          <w:rFonts w:ascii="Verdana" w:eastAsia="Arial" w:hAnsi="Verdana" w:cs="Arial"/>
          <w:color w:val="000000"/>
        </w:rPr>
        <w:t>ii</w:t>
      </w:r>
      <w:proofErr w:type="spellEnd"/>
      <w:r w:rsidRPr="00C64261">
        <w:rPr>
          <w:rFonts w:ascii="Verdana" w:eastAsia="Arial" w:hAnsi="Verdana" w:cs="Arial"/>
          <w:color w:val="000000"/>
        </w:rPr>
        <w:t xml:space="preserve">) mantiene el criterio aclaratorio de la Ley 1150 de 2007, según el cual todo lo que no afecte la asignación de puntaje puede subsanarse e </w:t>
      </w:r>
      <w:proofErr w:type="spellStart"/>
      <w:r w:rsidRPr="00C64261">
        <w:rPr>
          <w:rFonts w:ascii="Verdana" w:eastAsia="Arial" w:hAnsi="Verdana" w:cs="Arial"/>
          <w:color w:val="000000"/>
        </w:rPr>
        <w:t>iii</w:t>
      </w:r>
      <w:proofErr w:type="spellEnd"/>
      <w:r w:rsidRPr="00C64261">
        <w:rPr>
          <w:rFonts w:ascii="Verdana" w:eastAsia="Arial" w:hAnsi="Verdana" w:cs="Arial"/>
          <w:color w:val="000000"/>
        </w:rPr>
        <w:t xml:space="preserve">) introduce modificaciones en relación con algunos aspectos que se analizarán a continuación. </w:t>
      </w:r>
    </w:p>
    <w:p w14:paraId="146DC26D" w14:textId="77777777" w:rsidR="00A76E99" w:rsidRDefault="00A76E99" w:rsidP="00A76E99">
      <w:pPr>
        <w:pBdr>
          <w:top w:val="nil"/>
          <w:left w:val="nil"/>
          <w:bottom w:val="nil"/>
          <w:right w:val="nil"/>
          <w:between w:val="nil"/>
        </w:pBdr>
        <w:tabs>
          <w:tab w:val="left" w:pos="284"/>
        </w:tabs>
        <w:spacing w:before="120" w:after="0" w:line="276" w:lineRule="auto"/>
        <w:ind w:firstLine="709"/>
        <w:jc w:val="both"/>
        <w:rPr>
          <w:rFonts w:ascii="Verdana" w:eastAsia="Arial" w:hAnsi="Verdana" w:cs="Arial"/>
          <w:color w:val="000000"/>
        </w:rPr>
      </w:pPr>
      <w:r w:rsidRPr="00C64261">
        <w:rPr>
          <w:rFonts w:ascii="Verdana" w:eastAsia="Arial" w:hAnsi="Verdana" w:cs="Arial"/>
          <w:color w:val="000000"/>
        </w:rPr>
        <w:t xml:space="preserve">El primero es el ámbito temporal para ejercer la facultad de subsanar la oferta, pues la Ley 1882 de 2018 fijó una regla general y una excepción. La regla general es que el límite para que la entidad solicite y para que el proponente </w:t>
      </w:r>
      <w:r w:rsidRPr="00C64261">
        <w:rPr>
          <w:rFonts w:ascii="Verdana" w:eastAsia="Arial" w:hAnsi="Verdana" w:cs="Arial"/>
          <w:color w:val="000000"/>
        </w:rPr>
        <w:lastRenderedPageBreak/>
        <w:t>corrija lo que haga falta es hasta el término de traslado del informe de evaluación que corresponda a cada modalidad de selección. La excepción es que el anterior límite no aplica para los procesos de mínima cuantía y para el proceso de selección a través del sistema de subasta</w:t>
      </w:r>
      <w:r w:rsidRPr="00C64261">
        <w:rPr>
          <w:rFonts w:ascii="Verdana" w:eastAsia="Arial" w:hAnsi="Verdana" w:cs="Arial"/>
          <w:color w:val="000000"/>
          <w:vertAlign w:val="superscript"/>
        </w:rPr>
        <w:footnoteReference w:id="5"/>
      </w:r>
      <w:r w:rsidRPr="00C64261">
        <w:rPr>
          <w:rFonts w:ascii="Verdana" w:eastAsia="Arial" w:hAnsi="Verdana" w:cs="Arial"/>
          <w:color w:val="000000"/>
        </w:rPr>
        <w:t>; en el último</w:t>
      </w:r>
      <w:r>
        <w:rPr>
          <w:rFonts w:ascii="Verdana" w:eastAsia="Arial" w:hAnsi="Verdana" w:cs="Arial"/>
          <w:color w:val="000000"/>
        </w:rPr>
        <w:t>,</w:t>
      </w:r>
      <w:r w:rsidRPr="00C64261">
        <w:rPr>
          <w:rFonts w:ascii="Verdana" w:eastAsia="Arial" w:hAnsi="Verdana" w:cs="Arial"/>
          <w:color w:val="000000"/>
        </w:rPr>
        <w:t xml:space="preserve"> los documentos o requisitos subsanables pueden y deben solicitarse hasta el momento previo a su realización.</w:t>
      </w:r>
    </w:p>
    <w:p w14:paraId="51C87B94" w14:textId="77777777" w:rsidR="00A76E99" w:rsidRDefault="00A76E99" w:rsidP="00A76E99">
      <w:pPr>
        <w:pBdr>
          <w:top w:val="nil"/>
          <w:left w:val="nil"/>
          <w:bottom w:val="nil"/>
          <w:right w:val="nil"/>
          <w:between w:val="nil"/>
        </w:pBdr>
        <w:tabs>
          <w:tab w:val="left" w:pos="284"/>
        </w:tabs>
        <w:spacing w:before="120" w:after="0" w:line="276" w:lineRule="auto"/>
        <w:ind w:firstLine="709"/>
        <w:jc w:val="both"/>
        <w:rPr>
          <w:rFonts w:ascii="Verdana" w:eastAsia="Arial" w:hAnsi="Verdana" w:cs="Arial"/>
          <w:color w:val="000000"/>
        </w:rPr>
      </w:pPr>
      <w:r w:rsidRPr="00C64261">
        <w:rPr>
          <w:rFonts w:ascii="Verdana" w:eastAsia="Arial" w:hAnsi="Verdana" w:cs="Arial"/>
          <w:color w:val="000000"/>
        </w:rPr>
        <w:t xml:space="preserve">Frente a la regla general, la norma fijó un límite final para que la Administración y los oferentes subsanen los requisitos o documentos que puedan y deban ser subsanados, pero nada impide, y la norma no lo hace, que la Administración requiera al proponente antes de publicar el informe de evaluación. En efecto, la redacción de la norma permite que la Administración solicite a los oferentes subsanar y que estos lo hagan hasta antes del término del traslado del informe de evaluación: “deberán ser solicitados por las entidades estatales y deberán ser entregados por los proponentes hasta el término de traslado del informe de evaluación que corresponda a cada modalidad de selección”. </w:t>
      </w:r>
    </w:p>
    <w:p w14:paraId="1339CE83" w14:textId="77777777" w:rsidR="00A76E99" w:rsidRDefault="00A76E99" w:rsidP="00A76E99">
      <w:pPr>
        <w:pBdr>
          <w:top w:val="nil"/>
          <w:left w:val="nil"/>
          <w:bottom w:val="nil"/>
          <w:right w:val="nil"/>
          <w:between w:val="nil"/>
        </w:pBdr>
        <w:tabs>
          <w:tab w:val="left" w:pos="284"/>
        </w:tabs>
        <w:spacing w:before="120" w:after="0" w:line="276" w:lineRule="auto"/>
        <w:ind w:firstLine="709"/>
        <w:jc w:val="both"/>
        <w:rPr>
          <w:rFonts w:ascii="Verdana" w:eastAsia="Arial" w:hAnsi="Verdana" w:cs="Arial"/>
          <w:color w:val="000000"/>
        </w:rPr>
      </w:pPr>
      <w:r w:rsidRPr="00C64261">
        <w:rPr>
          <w:rFonts w:ascii="Verdana" w:eastAsia="Arial" w:hAnsi="Verdana" w:cs="Arial"/>
          <w:color w:val="000000"/>
        </w:rPr>
        <w:t xml:space="preserve">No obstante, de la lectura de este aparte podrían, en la práctica, darse dos interpretaciones que dan lugar a dos formas de proceder en los procesos de selección, en lo que se refiere a la </w:t>
      </w:r>
      <w:proofErr w:type="spellStart"/>
      <w:r w:rsidRPr="00C64261">
        <w:rPr>
          <w:rFonts w:ascii="Verdana" w:eastAsia="Arial" w:hAnsi="Verdana" w:cs="Arial"/>
          <w:color w:val="000000"/>
        </w:rPr>
        <w:t>subsanabilidad</w:t>
      </w:r>
      <w:proofErr w:type="spellEnd"/>
      <w:r w:rsidRPr="00C64261">
        <w:rPr>
          <w:rFonts w:ascii="Verdana" w:eastAsia="Arial" w:hAnsi="Verdana" w:cs="Arial"/>
          <w:color w:val="000000"/>
        </w:rPr>
        <w:t xml:space="preserve"> de las ofertas. </w:t>
      </w:r>
      <w:r w:rsidRPr="00C64261">
        <w:rPr>
          <w:rFonts w:ascii="Verdana" w:eastAsia="Arial" w:hAnsi="Verdana" w:cs="Arial"/>
          <w:i/>
          <w:color w:val="000000"/>
        </w:rPr>
        <w:t>Primera</w:t>
      </w:r>
      <w:r w:rsidRPr="00C64261">
        <w:rPr>
          <w:rFonts w:ascii="Verdana" w:eastAsia="Arial" w:hAnsi="Verdana" w:cs="Arial"/>
          <w:color w:val="000000"/>
        </w:rPr>
        <w:t xml:space="preserve">, que la posibilidad de los oferentes para subsanar es el término del traslado del informe de evaluación, ya que en este documento es donde la Administración establece los requisitos o documentos omitidos que los oferentes deben subsanar, so pena de rechazo; </w:t>
      </w:r>
      <w:r w:rsidRPr="00C64261">
        <w:rPr>
          <w:rFonts w:ascii="Verdana" w:eastAsia="Arial" w:hAnsi="Verdana" w:cs="Arial"/>
          <w:i/>
          <w:color w:val="000000"/>
        </w:rPr>
        <w:t>segunda</w:t>
      </w:r>
      <w:r w:rsidRPr="00C64261">
        <w:rPr>
          <w:rFonts w:ascii="Verdana" w:eastAsia="Arial" w:hAnsi="Verdana" w:cs="Arial"/>
          <w:color w:val="000000"/>
        </w:rPr>
        <w:t xml:space="preserve">, que el término del traslado del informe de evaluación es el límite para la subsanación de ofertas, pero no el único momento para hacerlo. </w:t>
      </w:r>
    </w:p>
    <w:p w14:paraId="2BB420BA" w14:textId="77777777" w:rsidR="00A76E99" w:rsidRDefault="00A76E99" w:rsidP="00A76E99">
      <w:pPr>
        <w:pBdr>
          <w:top w:val="nil"/>
          <w:left w:val="nil"/>
          <w:bottom w:val="nil"/>
          <w:right w:val="nil"/>
          <w:between w:val="nil"/>
        </w:pBdr>
        <w:tabs>
          <w:tab w:val="left" w:pos="284"/>
        </w:tabs>
        <w:spacing w:before="120" w:after="0" w:line="276" w:lineRule="auto"/>
        <w:ind w:firstLine="709"/>
        <w:jc w:val="both"/>
        <w:rPr>
          <w:rFonts w:ascii="Verdana" w:eastAsia="Arial" w:hAnsi="Verdana" w:cs="Arial"/>
          <w:color w:val="000000"/>
        </w:rPr>
      </w:pPr>
      <w:r w:rsidRPr="00C64261">
        <w:rPr>
          <w:rFonts w:ascii="Verdana" w:eastAsia="Arial" w:hAnsi="Verdana" w:cs="Arial"/>
          <w:color w:val="000000"/>
        </w:rPr>
        <w:t xml:space="preserve">De acuerdo con la primera interpretación, el informe de evaluación se convierte en la oportunidad que adopta la Administración para comunicarles a los oferentes qué documentos o requisitos omitieron y deben subsanar y, consecuentemente, el término del traslado es la oportunidad del proponente para cumplir con lo solicitado. La segunda interpretación permitiría que la Administración requiera al oferente durante el proceso de evaluación de las propuestas, tan pronto advierta que hace falta un documento o requisito que se puede subsanar. En este caso, la subsanación se lleva a cabo con anterioridad a </w:t>
      </w:r>
      <w:r w:rsidRPr="00C64261">
        <w:rPr>
          <w:rFonts w:ascii="Verdana" w:eastAsia="Arial" w:hAnsi="Verdana" w:cs="Arial"/>
          <w:color w:val="000000"/>
        </w:rPr>
        <w:lastRenderedPageBreak/>
        <w:t>la publicación del informe de evaluación, de manera que una vez se publique el informe ya se encuentren subsanadas las propuestas, sin perjuicio del término límite que concedió la ley.</w:t>
      </w:r>
    </w:p>
    <w:p w14:paraId="38584EB2" w14:textId="77777777" w:rsidR="00A76E99" w:rsidRDefault="00A76E99" w:rsidP="00A76E99">
      <w:pPr>
        <w:pBdr>
          <w:top w:val="nil"/>
          <w:left w:val="nil"/>
          <w:bottom w:val="nil"/>
          <w:right w:val="nil"/>
          <w:between w:val="nil"/>
        </w:pBdr>
        <w:tabs>
          <w:tab w:val="left" w:pos="284"/>
        </w:tabs>
        <w:spacing w:before="120" w:after="0" w:line="276" w:lineRule="auto"/>
        <w:ind w:firstLine="709"/>
        <w:jc w:val="both"/>
        <w:rPr>
          <w:rFonts w:ascii="Verdana" w:eastAsia="Arial" w:hAnsi="Verdana" w:cs="Arial"/>
          <w:color w:val="000000"/>
        </w:rPr>
      </w:pPr>
      <w:r w:rsidRPr="00C64261">
        <w:rPr>
          <w:rFonts w:ascii="Verdana" w:eastAsia="Arial" w:hAnsi="Verdana" w:cs="Arial"/>
          <w:color w:val="000000"/>
        </w:rPr>
        <w:t xml:space="preserve">En criterio de esta Subdirección, la segunda interpretación es la que más se ajusta a la norma, pero, además, es la más conveniente para el desarrollo del proceso de selección, porque garantiza que el informe de evaluación presente una comparación de propuestas más depurada y el término de traslado para observaciones al mismo sea una oportunidad en la que se planteen aspectos sustanciales o de fondo a la evaluación, teniendo en cuenta que ya las propuestas estarán consolidadas en lo formal. Subsanar antes del informe de evaluación ofrece mayor seguridad y certeza al proceso de selección, a la Administración y a los oferentes. </w:t>
      </w:r>
    </w:p>
    <w:p w14:paraId="2ECFD550" w14:textId="77777777" w:rsidR="00A76E99" w:rsidRDefault="00A76E99" w:rsidP="00A76E99">
      <w:pPr>
        <w:pBdr>
          <w:top w:val="nil"/>
          <w:left w:val="nil"/>
          <w:bottom w:val="nil"/>
          <w:right w:val="nil"/>
          <w:between w:val="nil"/>
        </w:pBdr>
        <w:tabs>
          <w:tab w:val="left" w:pos="284"/>
        </w:tabs>
        <w:spacing w:before="120" w:after="0" w:line="276" w:lineRule="auto"/>
        <w:ind w:firstLine="709"/>
        <w:jc w:val="both"/>
        <w:rPr>
          <w:rFonts w:ascii="Verdana" w:eastAsia="Arial" w:hAnsi="Verdana" w:cs="Arial"/>
          <w:color w:val="000000"/>
        </w:rPr>
      </w:pPr>
      <w:r w:rsidRPr="00C64261">
        <w:rPr>
          <w:rFonts w:ascii="Verdana" w:eastAsia="Arial" w:hAnsi="Verdana" w:cs="Arial"/>
          <w:color w:val="000000"/>
        </w:rPr>
        <w:t xml:space="preserve">Así pues, la modificación introducida por el artículo 5 de la Ley 1882 de 2018, si bien pudo significar, en la práctica de los procesos de selección, que el informe de evaluación fuera la oportunidad de la Administración para requerir al proponente para que subsane la oferta, y el término del traslado la oportunidad para hacerlo, lo cierto es que no impide que esto se realice con anterioridad a la publicación del informe, inclusive, es más adecuado y conveniente que la subsanación de las ofertas se intente con anterioridad, de forma que una vez la Administración advierta el defecto le solicite directamente al oferente que subsane. Esta interpretación es más consistente con los principios de economía, transparencia y selección objetiva. </w:t>
      </w:r>
    </w:p>
    <w:p w14:paraId="76371EF3" w14:textId="77777777" w:rsidR="00A76E99" w:rsidRDefault="00A76E99" w:rsidP="00A76E99">
      <w:pPr>
        <w:pBdr>
          <w:top w:val="nil"/>
          <w:left w:val="nil"/>
          <w:bottom w:val="nil"/>
          <w:right w:val="nil"/>
          <w:between w:val="nil"/>
        </w:pBdr>
        <w:tabs>
          <w:tab w:val="left" w:pos="284"/>
        </w:tabs>
        <w:spacing w:before="120" w:after="0" w:line="276" w:lineRule="auto"/>
        <w:ind w:firstLine="709"/>
        <w:jc w:val="both"/>
        <w:rPr>
          <w:rFonts w:ascii="Verdana" w:eastAsia="Arial" w:hAnsi="Verdana" w:cs="Arial"/>
          <w:color w:val="000000"/>
        </w:rPr>
      </w:pPr>
      <w:r w:rsidRPr="00C64261">
        <w:rPr>
          <w:rFonts w:ascii="Verdana" w:eastAsia="Arial" w:hAnsi="Verdana" w:cs="Arial"/>
          <w:color w:val="000000"/>
        </w:rPr>
        <w:t>De otro lado, el segundo cambio importante de la Ley 1882 de 2018 fue la introducción de un criterio material, directamente relacionado con los aspectos subsanables: “los proponentes no podrán acreditar circunstancias ocurridas con posterioridad al cierre del proceso”</w:t>
      </w:r>
      <w:r w:rsidRPr="00C64261">
        <w:rPr>
          <w:rFonts w:ascii="Verdana" w:eastAsia="Arial" w:hAnsi="Verdana" w:cs="Arial"/>
          <w:b/>
          <w:i/>
          <w:color w:val="000000"/>
        </w:rPr>
        <w:t>.</w:t>
      </w:r>
      <w:r w:rsidRPr="00C64261">
        <w:rPr>
          <w:rFonts w:ascii="Verdana" w:eastAsia="Arial" w:hAnsi="Verdana" w:cs="Arial"/>
          <w:b/>
          <w:color w:val="000000"/>
        </w:rPr>
        <w:t xml:space="preserve"> </w:t>
      </w:r>
      <w:r w:rsidRPr="00C64261">
        <w:rPr>
          <w:rFonts w:ascii="Verdana" w:eastAsia="Arial" w:hAnsi="Verdana" w:cs="Arial"/>
          <w:color w:val="000000"/>
        </w:rPr>
        <w:t xml:space="preserve">Lo anterior ofrece dos aspectos que merecen clarificación: </w:t>
      </w:r>
      <w:r w:rsidRPr="00C64261">
        <w:rPr>
          <w:rFonts w:ascii="Verdana" w:eastAsia="Arial" w:hAnsi="Verdana" w:cs="Arial"/>
          <w:i/>
          <w:color w:val="000000"/>
        </w:rPr>
        <w:t>primero</w:t>
      </w:r>
      <w:r w:rsidRPr="00C64261">
        <w:rPr>
          <w:rFonts w:ascii="Verdana" w:eastAsia="Arial" w:hAnsi="Verdana" w:cs="Arial"/>
          <w:color w:val="000000"/>
        </w:rPr>
        <w:t xml:space="preserve">, qué debe entenderse por circunstancias ocurridas con posterioridad; y </w:t>
      </w:r>
      <w:r w:rsidRPr="00C64261">
        <w:rPr>
          <w:rFonts w:ascii="Verdana" w:eastAsia="Arial" w:hAnsi="Verdana" w:cs="Arial"/>
          <w:i/>
          <w:color w:val="000000"/>
        </w:rPr>
        <w:t>segundo</w:t>
      </w:r>
      <w:r w:rsidRPr="00C64261">
        <w:rPr>
          <w:rFonts w:ascii="Verdana" w:eastAsia="Arial" w:hAnsi="Verdana" w:cs="Arial"/>
          <w:color w:val="000000"/>
        </w:rPr>
        <w:t>, qué es el cierre del proceso.</w:t>
      </w:r>
    </w:p>
    <w:p w14:paraId="3BAB35A8" w14:textId="77777777" w:rsidR="00A76E99" w:rsidRPr="00C64261" w:rsidRDefault="00A76E99" w:rsidP="00A76E99">
      <w:pPr>
        <w:pBdr>
          <w:top w:val="nil"/>
          <w:left w:val="nil"/>
          <w:bottom w:val="nil"/>
          <w:right w:val="nil"/>
          <w:between w:val="nil"/>
        </w:pBdr>
        <w:tabs>
          <w:tab w:val="left" w:pos="284"/>
        </w:tabs>
        <w:spacing w:before="120" w:after="0" w:line="276" w:lineRule="auto"/>
        <w:ind w:firstLine="709"/>
        <w:jc w:val="both"/>
        <w:rPr>
          <w:rFonts w:ascii="Verdana" w:eastAsia="Arial" w:hAnsi="Verdana" w:cs="Arial"/>
          <w:color w:val="000000"/>
        </w:rPr>
      </w:pPr>
      <w:r w:rsidRPr="00C64261">
        <w:rPr>
          <w:rFonts w:ascii="Verdana" w:eastAsia="Arial" w:hAnsi="Verdana" w:cs="Arial"/>
          <w:color w:val="000000"/>
        </w:rPr>
        <w:t>La Sala de Consulta y Servicio Civil del Consejo de Estado ya había tenido la oportunidad de precisar estas expresiones, a propósito de un concepto en el que se refirió al artículo 10 del derogado Decreto 2474 de 2008</w:t>
      </w:r>
      <w:r w:rsidRPr="00C64261">
        <w:rPr>
          <w:rFonts w:ascii="Verdana" w:eastAsia="Arial" w:hAnsi="Verdana" w:cs="Arial"/>
          <w:color w:val="000000"/>
          <w:vertAlign w:val="superscript"/>
        </w:rPr>
        <w:footnoteReference w:id="6"/>
      </w:r>
      <w:r w:rsidRPr="00C64261">
        <w:rPr>
          <w:rFonts w:ascii="Verdana" w:eastAsia="Arial" w:hAnsi="Verdana" w:cs="Arial"/>
          <w:color w:val="000000"/>
        </w:rPr>
        <w:t xml:space="preserve">, que había </w:t>
      </w:r>
      <w:r w:rsidRPr="00C64261">
        <w:rPr>
          <w:rFonts w:ascii="Verdana" w:eastAsia="Arial" w:hAnsi="Verdana" w:cs="Arial"/>
          <w:color w:val="000000"/>
        </w:rPr>
        <w:lastRenderedPageBreak/>
        <w:t xml:space="preserve">determinado que en ningún caso la entidad podía permitir que se acreditaran circunstancias ocurridas con posterioridad al cierre del proceso. El Consejo de Estado precisó que por cierre del proceso debe entenderse el vencimiento del plazo para la presentación de las ofertas y que lo subsanable son las circunstancias que ocurrieron con anterioridad a esa fecha: </w:t>
      </w:r>
    </w:p>
    <w:p w14:paraId="32363EBB" w14:textId="77777777" w:rsidR="00A76E99" w:rsidRPr="00C64261" w:rsidRDefault="00A76E99" w:rsidP="00A76E99">
      <w:pPr>
        <w:spacing w:after="0" w:line="240" w:lineRule="auto"/>
        <w:ind w:left="709" w:right="709"/>
        <w:jc w:val="both"/>
        <w:rPr>
          <w:rFonts w:ascii="Verdana" w:eastAsia="Arial" w:hAnsi="Verdana" w:cs="Arial"/>
          <w:color w:val="000000"/>
        </w:rPr>
      </w:pPr>
    </w:p>
    <w:p w14:paraId="66115776" w14:textId="77777777" w:rsidR="00A76E99" w:rsidRPr="00817F71" w:rsidRDefault="00A76E99" w:rsidP="00A76E99">
      <w:pPr>
        <w:spacing w:after="120" w:line="240" w:lineRule="auto"/>
        <w:ind w:left="709" w:right="709"/>
        <w:jc w:val="both"/>
        <w:rPr>
          <w:rFonts w:ascii="Verdana" w:eastAsia="Arial" w:hAnsi="Verdana" w:cs="Arial"/>
          <w:color w:val="000000"/>
          <w:sz w:val="20"/>
          <w:szCs w:val="20"/>
        </w:rPr>
      </w:pPr>
      <w:r w:rsidRPr="00817F71">
        <w:rPr>
          <w:rFonts w:ascii="Verdana" w:eastAsia="Arial" w:hAnsi="Verdana" w:cs="Arial"/>
          <w:color w:val="000000"/>
          <w:sz w:val="20"/>
          <w:szCs w:val="20"/>
        </w:rPr>
        <w:t xml:space="preserve">“Sin embargo, debe tenerse en cuenta que la última norma en cita -Decreto 2474 de 2008, aparte subrayado-, establece un límite a la </w:t>
      </w:r>
      <w:proofErr w:type="spellStart"/>
      <w:r w:rsidRPr="00817F71">
        <w:rPr>
          <w:rFonts w:ascii="Verdana" w:eastAsia="Arial" w:hAnsi="Verdana" w:cs="Arial"/>
          <w:color w:val="000000"/>
          <w:sz w:val="20"/>
          <w:szCs w:val="20"/>
        </w:rPr>
        <w:t>subsanabilidad</w:t>
      </w:r>
      <w:proofErr w:type="spellEnd"/>
      <w:r w:rsidRPr="00817F71">
        <w:rPr>
          <w:rFonts w:ascii="Verdana" w:eastAsia="Arial" w:hAnsi="Verdana" w:cs="Arial"/>
          <w:color w:val="000000"/>
          <w:sz w:val="20"/>
          <w:szCs w:val="20"/>
        </w:rPr>
        <w:t>, puesto que en cualquier caso debe referirse o recaer sobre circunstancias ocurridas antes del cierre del respectivo proceso, esto es, del vencimiento del plazo para presentar ofertas.</w:t>
      </w:r>
    </w:p>
    <w:p w14:paraId="4255274E" w14:textId="77777777" w:rsidR="00A76E99" w:rsidRPr="001F283D" w:rsidRDefault="00A76E99" w:rsidP="00A76E99">
      <w:pPr>
        <w:spacing w:after="0" w:line="240" w:lineRule="auto"/>
        <w:ind w:left="709" w:right="709"/>
        <w:jc w:val="both"/>
        <w:rPr>
          <w:rFonts w:ascii="Verdana" w:eastAsia="Arial" w:hAnsi="Verdana" w:cs="Arial"/>
          <w:color w:val="000000"/>
          <w:sz w:val="20"/>
          <w:szCs w:val="20"/>
        </w:rPr>
      </w:pPr>
      <w:r w:rsidRPr="00817F71">
        <w:rPr>
          <w:rFonts w:ascii="Verdana" w:eastAsia="Arial" w:hAnsi="Verdana" w:cs="Arial"/>
          <w:color w:val="000000"/>
          <w:sz w:val="20"/>
          <w:szCs w:val="20"/>
        </w:rPr>
        <w:t xml:space="preserve">De esta manera, quien se presenta al proceso de selección debe cumplir para la fecha en que ‘se cierra el proceso’ con los requisitos que se requieren para presentar la oferta, de manera que es sobre ellos y no sobre otros que se cumplan con posterioridad, sobre los que recae la posibilidad de saneamiento. Así, por ejemplo, si se requiere una experiencia x, la misma se debe tener al presentar la oferta y la Administración puede requerir al oferente para que especifique aspectos relacionados con ella (complementar certificaciones, aclarar fechas, acreditación de </w:t>
      </w:r>
      <w:proofErr w:type="gramStart"/>
      <w:r w:rsidRPr="00817F71">
        <w:rPr>
          <w:rFonts w:ascii="Verdana" w:eastAsia="Arial" w:hAnsi="Verdana" w:cs="Arial"/>
          <w:color w:val="000000"/>
          <w:sz w:val="20"/>
          <w:szCs w:val="20"/>
        </w:rPr>
        <w:t>la misma</w:t>
      </w:r>
      <w:proofErr w:type="gramEnd"/>
      <w:r w:rsidRPr="00817F71">
        <w:rPr>
          <w:rFonts w:ascii="Verdana" w:eastAsia="Arial" w:hAnsi="Verdana" w:cs="Arial"/>
          <w:color w:val="000000"/>
          <w:sz w:val="20"/>
          <w:szCs w:val="20"/>
        </w:rPr>
        <w:t xml:space="preserve">, etc.); pero no podría, por vía de las normas en cita, extender el tiempo para avalar experiencia que sólo se llega a cumplir después del cierre del proceso contractual. O si, igualmente a manera de ejemplo, fuera necesario ser persona jurídica pero el oferente no entrega el certificado de existencia y representación legal que lo acredita o éste es demasiado antiguo, la entidad contratante podría requerir al interesado para que haga entrega </w:t>
      </w:r>
      <w:proofErr w:type="gramStart"/>
      <w:r w:rsidRPr="00817F71">
        <w:rPr>
          <w:rFonts w:ascii="Verdana" w:eastAsia="Arial" w:hAnsi="Verdana" w:cs="Arial"/>
          <w:color w:val="000000"/>
          <w:sz w:val="20"/>
          <w:szCs w:val="20"/>
        </w:rPr>
        <w:t>del mismo</w:t>
      </w:r>
      <w:proofErr w:type="gramEnd"/>
      <w:r w:rsidRPr="00817F71">
        <w:rPr>
          <w:rFonts w:ascii="Verdana" w:eastAsia="Arial" w:hAnsi="Verdana" w:cs="Arial"/>
          <w:color w:val="000000"/>
          <w:sz w:val="20"/>
          <w:szCs w:val="20"/>
        </w:rPr>
        <w:t xml:space="preserve"> o lo actualice, pero no para que se constituya la sociedad con posterioridad al cierre del proceso, pues si ello no se había hecho, significa simplemente que el oferente no tenía la condición para participar”</w:t>
      </w:r>
      <w:r w:rsidRPr="00817F71">
        <w:rPr>
          <w:rFonts w:ascii="Verdana" w:eastAsia="Arial" w:hAnsi="Verdana" w:cs="Arial"/>
          <w:color w:val="000000"/>
          <w:sz w:val="20"/>
          <w:szCs w:val="20"/>
          <w:vertAlign w:val="superscript"/>
        </w:rPr>
        <w:footnoteReference w:id="7"/>
      </w:r>
      <w:r w:rsidRPr="00817F71">
        <w:rPr>
          <w:rFonts w:ascii="Verdana" w:eastAsia="Arial" w:hAnsi="Verdana" w:cs="Arial"/>
          <w:color w:val="000000"/>
          <w:sz w:val="20"/>
          <w:szCs w:val="20"/>
        </w:rPr>
        <w:t>.</w:t>
      </w:r>
    </w:p>
    <w:p w14:paraId="57D1A238" w14:textId="77777777" w:rsidR="00A76E99" w:rsidRPr="00693ABA" w:rsidRDefault="00A76E99" w:rsidP="00A76E99">
      <w:pPr>
        <w:spacing w:after="0" w:line="240" w:lineRule="auto"/>
        <w:ind w:left="709" w:right="709"/>
        <w:jc w:val="both"/>
        <w:rPr>
          <w:rFonts w:ascii="Verdana" w:eastAsia="Arial" w:hAnsi="Verdana" w:cs="Arial"/>
          <w:color w:val="000000"/>
        </w:rPr>
      </w:pPr>
    </w:p>
    <w:p w14:paraId="204911BE" w14:textId="77777777" w:rsidR="00A76E99" w:rsidRDefault="00A76E99" w:rsidP="00A76E99">
      <w:pPr>
        <w:spacing w:after="0" w:line="276" w:lineRule="auto"/>
        <w:ind w:firstLine="709"/>
        <w:jc w:val="both"/>
        <w:rPr>
          <w:rFonts w:ascii="Verdana" w:eastAsia="Arial" w:hAnsi="Verdana" w:cs="Arial"/>
          <w:color w:val="000000"/>
        </w:rPr>
      </w:pPr>
      <w:r w:rsidRPr="05E3EA9D">
        <w:rPr>
          <w:rFonts w:ascii="Verdana" w:eastAsia="Arial" w:hAnsi="Verdana" w:cs="Arial"/>
          <w:color w:val="000000" w:themeColor="text1"/>
        </w:rPr>
        <w:lastRenderedPageBreak/>
        <w:t xml:space="preserve">De conformidad con el artículo 5 de la Ley 1882 de 2018, lo subsanable es la prueba de todas las circunstancias ocurridas antes del vencimiento del término para presentar las ofertas; eso es lo que implica la prohibición de acreditar circunstancias ocurridas con posterioridad al “cierre del proceso”. Lo anterior evita, por ejemplo, que se presenten oferentes que no cumplían con los requisitos para participar al momento de presentar las ofertas, y pretendan cumplirlos durante el proceso de selección o, inclusive, que se puedan variar condiciones de la oferta una vez presentada. </w:t>
      </w:r>
    </w:p>
    <w:p w14:paraId="2E3A5FDF" w14:textId="77777777" w:rsidR="00A76E99" w:rsidRDefault="00A76E99" w:rsidP="00A76E99">
      <w:pPr>
        <w:spacing w:before="120" w:after="0" w:line="276" w:lineRule="auto"/>
        <w:ind w:firstLine="709"/>
        <w:jc w:val="both"/>
        <w:rPr>
          <w:rFonts w:ascii="Verdana" w:eastAsia="Arial" w:hAnsi="Verdana" w:cs="Arial"/>
          <w:color w:val="000000"/>
        </w:rPr>
      </w:pPr>
      <w:r w:rsidRPr="00C64261">
        <w:rPr>
          <w:rFonts w:ascii="Verdana" w:eastAsia="Arial" w:hAnsi="Verdana" w:cs="Arial"/>
          <w:color w:val="000000"/>
        </w:rPr>
        <w:t xml:space="preserve">Un mejor entendimiento del significado de la expresión “circunstancias ocurridas con posterioridad al cierre del proceso” lleva necesariamente a distinguir entre la prueba de un hecho y el hecho mismo. En el caso de la </w:t>
      </w:r>
      <w:proofErr w:type="spellStart"/>
      <w:r w:rsidRPr="00C64261">
        <w:rPr>
          <w:rFonts w:ascii="Verdana" w:eastAsia="Arial" w:hAnsi="Verdana" w:cs="Arial"/>
          <w:color w:val="000000"/>
        </w:rPr>
        <w:t>subsanabilidad</w:t>
      </w:r>
      <w:proofErr w:type="spellEnd"/>
      <w:r w:rsidRPr="00C64261">
        <w:rPr>
          <w:rFonts w:ascii="Verdana" w:eastAsia="Arial" w:hAnsi="Verdana" w:cs="Arial"/>
          <w:color w:val="000000"/>
        </w:rPr>
        <w:t xml:space="preserve"> de las ofertas, una cosa es el requisito habilitante o el elemento de la propuesta y otra su prueba. Lo que prohíbe la norma es que se subsanen requisitos que no estaban cumplidos al momento de presentar la oferta, o en palabras de la ley, que se acrediten hechos que ocurrieron después del cierre del proceso. </w:t>
      </w:r>
    </w:p>
    <w:p w14:paraId="107CAA2F" w14:textId="77777777" w:rsidR="00A76E99" w:rsidRDefault="00A76E99" w:rsidP="00A76E99">
      <w:pPr>
        <w:spacing w:before="120" w:after="0" w:line="276" w:lineRule="auto"/>
        <w:ind w:firstLine="709"/>
        <w:jc w:val="both"/>
        <w:rPr>
          <w:rFonts w:ascii="Verdana" w:eastAsia="Arial" w:hAnsi="Verdana" w:cs="Arial"/>
          <w:color w:val="000000"/>
        </w:rPr>
      </w:pPr>
      <w:r w:rsidRPr="00C64261">
        <w:rPr>
          <w:rFonts w:ascii="Verdana" w:eastAsia="Arial" w:hAnsi="Verdana" w:cs="Arial"/>
          <w:color w:val="000000"/>
        </w:rPr>
        <w:t xml:space="preserve">Por ejemplo: i) si un oferente olvidó adjuntar con su propuesta el certificado que da cuenta de su inscripción en el RUP, el requisito será subsanable siempre que la prueba allegada demuestre que el hecho, esto es, la inscripción en el registro, ocurrió con anterioridad al cierre del proceso; </w:t>
      </w:r>
      <w:proofErr w:type="spellStart"/>
      <w:r w:rsidRPr="00C64261">
        <w:rPr>
          <w:rFonts w:ascii="Verdana" w:eastAsia="Arial" w:hAnsi="Verdana" w:cs="Arial"/>
          <w:color w:val="000000"/>
        </w:rPr>
        <w:t>ii</w:t>
      </w:r>
      <w:proofErr w:type="spellEnd"/>
      <w:r w:rsidRPr="00C64261">
        <w:rPr>
          <w:rFonts w:ascii="Verdana" w:eastAsia="Arial" w:hAnsi="Verdana" w:cs="Arial"/>
          <w:color w:val="000000"/>
        </w:rPr>
        <w:t>) si un oferente presentó la propuesta sin aportar la autorización al representante legal, por parte de la junta directiva de la sociedad, el certificado, aunque sea posterior, debe dar cuenta de que el hecho que pretende acreditar –la autorización de la junta– ocurrió antes del vencimiento del término para ofertar</w:t>
      </w:r>
      <w:r w:rsidRPr="00C64261">
        <w:rPr>
          <w:rFonts w:ascii="Verdana" w:eastAsia="Arial" w:hAnsi="Verdana" w:cs="Arial"/>
          <w:color w:val="000000"/>
          <w:vertAlign w:val="superscript"/>
        </w:rPr>
        <w:footnoteReference w:id="8"/>
      </w:r>
      <w:r w:rsidRPr="00C64261">
        <w:rPr>
          <w:rFonts w:ascii="Verdana" w:eastAsia="Arial" w:hAnsi="Verdana" w:cs="Arial"/>
          <w:color w:val="000000"/>
        </w:rPr>
        <w:t xml:space="preserve">; </w:t>
      </w:r>
      <w:proofErr w:type="spellStart"/>
      <w:r w:rsidRPr="00C64261">
        <w:rPr>
          <w:rFonts w:ascii="Verdana" w:eastAsia="Arial" w:hAnsi="Verdana" w:cs="Arial"/>
          <w:color w:val="000000"/>
        </w:rPr>
        <w:t>iii</w:t>
      </w:r>
      <w:proofErr w:type="spellEnd"/>
      <w:r w:rsidRPr="00C64261">
        <w:rPr>
          <w:rFonts w:ascii="Verdana" w:eastAsia="Arial" w:hAnsi="Verdana" w:cs="Arial"/>
          <w:color w:val="000000"/>
        </w:rPr>
        <w:t>) si un oferente no anexó el certificado de existencia y representación legal, el documento aportado con posterioridad debe dar cuenta de que la sociedad existe desde antes del cierre del proceso</w:t>
      </w:r>
      <w:r w:rsidRPr="00C64261">
        <w:rPr>
          <w:rFonts w:ascii="Verdana" w:eastAsia="Arial" w:hAnsi="Verdana" w:cs="Arial"/>
          <w:color w:val="000000"/>
          <w:vertAlign w:val="superscript"/>
        </w:rPr>
        <w:footnoteReference w:id="9"/>
      </w:r>
      <w:r w:rsidRPr="00C64261">
        <w:rPr>
          <w:rFonts w:ascii="Verdana" w:eastAsia="Arial" w:hAnsi="Verdana" w:cs="Arial"/>
          <w:color w:val="000000"/>
        </w:rPr>
        <w:t xml:space="preserve">; </w:t>
      </w:r>
      <w:proofErr w:type="spellStart"/>
      <w:r w:rsidRPr="00C64261">
        <w:rPr>
          <w:rFonts w:ascii="Verdana" w:eastAsia="Arial" w:hAnsi="Verdana" w:cs="Arial"/>
          <w:color w:val="000000"/>
        </w:rPr>
        <w:t>iv</w:t>
      </w:r>
      <w:proofErr w:type="spellEnd"/>
      <w:r w:rsidRPr="00C64261">
        <w:rPr>
          <w:rFonts w:ascii="Verdana" w:eastAsia="Arial" w:hAnsi="Verdana" w:cs="Arial"/>
          <w:color w:val="000000"/>
        </w:rPr>
        <w:t xml:space="preserve">) si un oferente olvidó adjuntar un certificado que demuestra un título universitario, el documento, aunque tenga fecha posterior al cierre del proceso, debe acreditar que el título académico se obtuvo con anterioridad al cierre del proceso; v) si un oferente no aportó un </w:t>
      </w:r>
      <w:r w:rsidRPr="00C64261">
        <w:rPr>
          <w:rFonts w:ascii="Verdana" w:eastAsia="Arial" w:hAnsi="Verdana" w:cs="Arial"/>
          <w:color w:val="000000"/>
        </w:rPr>
        <w:lastRenderedPageBreak/>
        <w:t xml:space="preserve">certificado de experiencia, el documento que subsana –sin importar que tenga fecha posterior– debe demostrar que la experiencia que se pretende hacer valer se obtuvo antes de vencerse el término para presentar ofertas, </w:t>
      </w:r>
      <w:r>
        <w:rPr>
          <w:rFonts w:ascii="Verdana" w:eastAsia="Arial" w:hAnsi="Verdana" w:cs="Arial"/>
          <w:color w:val="000000"/>
        </w:rPr>
        <w:t>o</w:t>
      </w:r>
      <w:r w:rsidRPr="00C64261">
        <w:rPr>
          <w:rFonts w:ascii="Verdana" w:eastAsia="Arial" w:hAnsi="Verdana" w:cs="Arial"/>
          <w:color w:val="000000"/>
        </w:rPr>
        <w:t xml:space="preserve"> vi) si el oferente olvidó firmar la propuesta o presentar una copia de ella, puede subsanar sin que se entienda que acreditó una circunstancia ocurrida con posterioridad al cierre del proceso. </w:t>
      </w:r>
    </w:p>
    <w:p w14:paraId="19997B15" w14:textId="77777777" w:rsidR="00A76E99" w:rsidRPr="00C64261" w:rsidRDefault="00A76E99" w:rsidP="00A76E99">
      <w:pPr>
        <w:spacing w:before="120" w:after="0" w:line="276" w:lineRule="auto"/>
        <w:ind w:firstLine="709"/>
        <w:jc w:val="both"/>
        <w:rPr>
          <w:rFonts w:ascii="Verdana" w:eastAsia="Arial" w:hAnsi="Verdana" w:cs="Arial"/>
          <w:color w:val="000000"/>
        </w:rPr>
      </w:pPr>
      <w:r w:rsidRPr="00C64261">
        <w:rPr>
          <w:rFonts w:ascii="Verdana" w:eastAsia="Arial" w:hAnsi="Verdana" w:cs="Arial"/>
          <w:color w:val="000000"/>
        </w:rPr>
        <w:t xml:space="preserve">Lo anterior quiere decir que no es la prueba –usualmente un documento– lo que debe ser anterior al cierre del proceso, sino el hecho que ella acredita, es decir, ante la solicitud de la Administración de subsanar un requisito, el documento podría estar fechado con posterioridad al vencimiento del término para recibir propuestas, siempre y cuando el hecho que acredite haya ocurrido antes, esto es, que no sea una circunstancia ocurrida con posterioridad al cierre del proceso. Es por ello </w:t>
      </w:r>
      <w:proofErr w:type="gramStart"/>
      <w:r w:rsidRPr="00C64261">
        <w:rPr>
          <w:rFonts w:ascii="Verdana" w:eastAsia="Arial" w:hAnsi="Verdana" w:cs="Arial"/>
          <w:color w:val="000000"/>
        </w:rPr>
        <w:t>que</w:t>
      </w:r>
      <w:proofErr w:type="gramEnd"/>
      <w:r w:rsidRPr="00C64261">
        <w:rPr>
          <w:rFonts w:ascii="Verdana" w:eastAsia="Arial" w:hAnsi="Verdana" w:cs="Arial"/>
          <w:color w:val="000000"/>
        </w:rPr>
        <w:t xml:space="preserve"> el Consejo de Estado sostiene que “lo que se subsana es la prueba y no la condición habilitante o un elemento de la propuesta (...) lo que se puede remediar es la prueba y no el requisito: La posibilidad debe recaer exclusivamente sobre circunstancias acaecidas antes del cierre del respectivo proceso, esto es, del vencimiento del plazo para presentar ofertas”</w:t>
      </w:r>
      <w:r w:rsidRPr="00C64261">
        <w:rPr>
          <w:rFonts w:ascii="Verdana" w:eastAsia="Arial" w:hAnsi="Verdana" w:cs="Arial"/>
          <w:color w:val="000000"/>
          <w:vertAlign w:val="superscript"/>
        </w:rPr>
        <w:footnoteReference w:id="10"/>
      </w:r>
      <w:r w:rsidRPr="00C64261">
        <w:rPr>
          <w:rFonts w:ascii="Verdana" w:eastAsia="Arial" w:hAnsi="Verdana" w:cs="Arial"/>
          <w:color w:val="000000"/>
        </w:rPr>
        <w:t xml:space="preserve">. </w:t>
      </w:r>
    </w:p>
    <w:p w14:paraId="30139C56" w14:textId="77777777" w:rsidR="00A76E99" w:rsidRDefault="00A76E99" w:rsidP="00A76E99">
      <w:pPr>
        <w:spacing w:before="120" w:after="0" w:line="276" w:lineRule="auto"/>
        <w:ind w:firstLine="709"/>
        <w:jc w:val="both"/>
        <w:rPr>
          <w:rFonts w:ascii="Verdana" w:eastAsia="Arial" w:hAnsi="Verdana" w:cs="Arial"/>
          <w:color w:val="000000"/>
        </w:rPr>
      </w:pPr>
      <w:r w:rsidRPr="00C64261">
        <w:rPr>
          <w:rFonts w:ascii="Verdana" w:eastAsia="Arial" w:hAnsi="Verdana" w:cs="Arial"/>
          <w:color w:val="000000"/>
        </w:rPr>
        <w:t xml:space="preserve">Visto lo anterior, una vez verificada la ausencia de requisitos y/o documentos de la oferta, para saber si se puede subsanar, la Administración se debe preguntar, en primer lugar, si lo que hace falta es un documento o información que otorga puntaje o no y, en segundo lugar, si el cumplimiento del requisito constituye una circunstancia ocurrida con anterioridad o con posterioridad al cierre del proceso. Para arribar a la conclusión de que lo omitido puede subsanarse, la respuesta al primer interrogante debe ser negativa, es decir, que lo omitido no sea un factor que otorgue puntaje, y la respuesta al segundo interrogante debe dar cuenta de que lo omitido sea la prueba de una circunstancia o hecho que ocurrió con anterioridad al cierre del proceso. </w:t>
      </w:r>
    </w:p>
    <w:p w14:paraId="7B61628F" w14:textId="77777777" w:rsidR="00A76E99" w:rsidRDefault="00A76E99" w:rsidP="00A76E99">
      <w:pPr>
        <w:spacing w:before="120" w:after="0" w:line="276" w:lineRule="auto"/>
        <w:ind w:firstLine="709"/>
        <w:jc w:val="both"/>
        <w:rPr>
          <w:rFonts w:ascii="Verdana" w:eastAsia="Arial" w:hAnsi="Verdana" w:cs="Arial"/>
          <w:color w:val="000000"/>
        </w:rPr>
      </w:pPr>
      <w:r w:rsidRPr="05E3EA9D">
        <w:rPr>
          <w:rFonts w:ascii="Verdana" w:eastAsia="Arial" w:hAnsi="Verdana" w:cs="Arial"/>
          <w:color w:val="000000" w:themeColor="text1"/>
        </w:rPr>
        <w:t xml:space="preserve">Finalmente, el parágrafo 3 del artículo 5 de la Ley 1882 de 2018 determinó, de manera expresa, que “la no entrega de la garantía de seriedad junto con la propuesta no será subsanable y será causal de rechazo de </w:t>
      </w:r>
      <w:proofErr w:type="gramStart"/>
      <w:r w:rsidRPr="05E3EA9D">
        <w:rPr>
          <w:rFonts w:ascii="Verdana" w:eastAsia="Arial" w:hAnsi="Verdana" w:cs="Arial"/>
          <w:color w:val="000000" w:themeColor="text1"/>
        </w:rPr>
        <w:t>la misma</w:t>
      </w:r>
      <w:proofErr w:type="gramEnd"/>
      <w:r w:rsidRPr="05E3EA9D">
        <w:rPr>
          <w:rFonts w:ascii="Verdana" w:eastAsia="Arial" w:hAnsi="Verdana" w:cs="Arial"/>
          <w:color w:val="000000" w:themeColor="text1"/>
        </w:rPr>
        <w:t xml:space="preserve">”, dejando claro que se trata de un documento de obligatoria presentación </w:t>
      </w:r>
      <w:r w:rsidRPr="05E3EA9D">
        <w:rPr>
          <w:rFonts w:ascii="Verdana" w:eastAsia="Arial" w:hAnsi="Verdana" w:cs="Arial"/>
          <w:color w:val="000000" w:themeColor="text1"/>
        </w:rPr>
        <w:lastRenderedPageBreak/>
        <w:t>junto con la propuesta y que materializa los principios de seriedad e irrevocabilidad de la oferta.</w:t>
      </w:r>
    </w:p>
    <w:p w14:paraId="620F078D" w14:textId="77777777" w:rsidR="00A76E99" w:rsidRDefault="00A76E99" w:rsidP="00A76E99">
      <w:pPr>
        <w:spacing w:after="0" w:line="240" w:lineRule="auto"/>
        <w:ind w:firstLine="709"/>
        <w:jc w:val="both"/>
        <w:rPr>
          <w:rFonts w:ascii="Verdana" w:eastAsia="Arial" w:hAnsi="Verdana" w:cs="Arial"/>
          <w:color w:val="000000"/>
        </w:rPr>
      </w:pPr>
    </w:p>
    <w:p w14:paraId="75A192F2" w14:textId="77777777" w:rsidR="00A76E99" w:rsidRDefault="00A76E99" w:rsidP="00A76E99">
      <w:pPr>
        <w:spacing w:line="276" w:lineRule="auto"/>
        <w:ind w:firstLine="708"/>
        <w:jc w:val="both"/>
        <w:rPr>
          <w:rFonts w:ascii="Verdana" w:eastAsia="Calibri" w:hAnsi="Verdana" w:cs="Arial"/>
          <w:lang w:eastAsia="es-ES"/>
        </w:rPr>
      </w:pPr>
      <w:r>
        <w:rPr>
          <w:rFonts w:ascii="Verdana" w:eastAsia="Calibri" w:hAnsi="Verdana" w:cs="Arial"/>
        </w:rPr>
        <w:t>Por otro lado, el</w:t>
      </w:r>
      <w:r w:rsidRPr="00E85A8F">
        <w:rPr>
          <w:rFonts w:ascii="Verdana" w:eastAsia="Calibri" w:hAnsi="Verdana" w:cs="Arial"/>
        </w:rPr>
        <w:t xml:space="preserve"> Manual para determinar y verificar los requisitos habilitantes en los Procesos de Contratación, elaborado por Colombia Compra Eficiente</w:t>
      </w:r>
      <w:r>
        <w:rPr>
          <w:rStyle w:val="Refdenotaalpie"/>
          <w:rFonts w:ascii="Verdana" w:eastAsia="Calibri" w:hAnsi="Verdana" w:cs="Arial"/>
        </w:rPr>
        <w:footnoteReference w:id="11"/>
      </w:r>
      <w:r w:rsidRPr="00E85A8F">
        <w:rPr>
          <w:rFonts w:ascii="Verdana" w:eastAsia="Calibri" w:hAnsi="Verdana" w:cs="Arial"/>
        </w:rPr>
        <w:t xml:space="preserve">, constituye una herramienta técnica fundamental para las entidades estatales y los proponentes, ya que establece criterios claros y uniformes sobre cómo definir, exigir y verificar los requisitos habilitantes en los distintos procesos de selección. Este manual orienta a las entidades para que dichos requisitos respondan a la naturaleza del objeto contractual, se ajusten al principio de proporcionalidad y no constituyan barreras injustificadas al acceso. Además, delimita con precisión cuáles documentos pueden ser objeto de subsanación, brindando seguridad jurídica en la evaluación de ofertas. </w:t>
      </w:r>
    </w:p>
    <w:p w14:paraId="528F4F3D" w14:textId="77777777" w:rsidR="00A76E99" w:rsidRDefault="00A76E99" w:rsidP="00A76E99">
      <w:pPr>
        <w:spacing w:after="0" w:line="276" w:lineRule="auto"/>
        <w:jc w:val="both"/>
        <w:rPr>
          <w:rFonts w:ascii="Verdana" w:eastAsia="Arial" w:hAnsi="Verdana" w:cs="Arial"/>
          <w:color w:val="000000"/>
        </w:rPr>
      </w:pPr>
      <w:proofErr w:type="spellStart"/>
      <w:r>
        <w:rPr>
          <w:rFonts w:ascii="Verdana" w:eastAsia="Arial" w:hAnsi="Verdana" w:cs="Arial"/>
          <w:color w:val="000000"/>
        </w:rPr>
        <w:t>ii</w:t>
      </w:r>
      <w:proofErr w:type="spellEnd"/>
      <w:r>
        <w:rPr>
          <w:rFonts w:ascii="Verdana" w:eastAsia="Arial" w:hAnsi="Verdana" w:cs="Arial"/>
          <w:color w:val="000000"/>
        </w:rPr>
        <w:t xml:space="preserve">) Respecto del segundo problema jurídico es importante señalar que </w:t>
      </w:r>
      <w:r>
        <w:rPr>
          <w:rFonts w:ascii="Verdana" w:eastAsia="Arial" w:hAnsi="Verdana" w:cs="Arial"/>
          <w:color w:val="000000"/>
          <w:lang w:val="es-ES"/>
        </w:rPr>
        <w:t>e</w:t>
      </w:r>
      <w:r w:rsidRPr="00176581">
        <w:rPr>
          <w:rFonts w:ascii="Verdana" w:eastAsia="Arial" w:hAnsi="Verdana" w:cs="Arial"/>
          <w:color w:val="000000"/>
          <w:lang w:val="es-ES"/>
        </w:rPr>
        <w:t>l pliego de condiciones es la hoja de ruta o plan</w:t>
      </w:r>
      <w:r w:rsidRPr="00176581">
        <w:rPr>
          <w:rFonts w:ascii="Verdana" w:eastAsia="Arial" w:hAnsi="Verdana" w:cs="Arial"/>
          <w:color w:val="000000"/>
          <w:vertAlign w:val="superscript"/>
          <w:lang w:val="es-ES"/>
        </w:rPr>
        <w:footnoteReference w:id="12"/>
      </w:r>
      <w:r w:rsidRPr="00176581">
        <w:rPr>
          <w:rFonts w:ascii="Verdana" w:eastAsia="Arial" w:hAnsi="Verdana" w:cs="Arial"/>
          <w:color w:val="000000"/>
          <w:lang w:val="es-ES"/>
        </w:rPr>
        <w:t xml:space="preserve"> sobre el cual se diseña, estructura y concreta el procedimiento de selección de contratistas. El mismo ha sido definido como un “acto jurídico mixto, que nace como un acto administrativo de contenido general y que, con la adjudicación y suscripción del contrato estatal, algunos de sus contenidos se transforman para incorporarse al texto del negocio jurídico y, por consiguiente, se convierten en cláusulas vinculantes del mismo”</w:t>
      </w:r>
      <w:r w:rsidRPr="00176581">
        <w:rPr>
          <w:rFonts w:ascii="Verdana" w:eastAsia="Arial" w:hAnsi="Verdana" w:cs="Arial"/>
          <w:color w:val="000000"/>
          <w:vertAlign w:val="superscript"/>
          <w:lang w:val="es-ES"/>
        </w:rPr>
        <w:footnoteReference w:id="13"/>
      </w:r>
      <w:r w:rsidRPr="00176581">
        <w:rPr>
          <w:rFonts w:ascii="Verdana" w:eastAsia="Arial" w:hAnsi="Verdana" w:cs="Arial"/>
          <w:color w:val="000000"/>
          <w:lang w:val="es-ES"/>
        </w:rPr>
        <w:t>.</w:t>
      </w:r>
      <w:r w:rsidRPr="05E3EA9D">
        <w:rPr>
          <w:rFonts w:ascii="Verdana" w:eastAsia="Arial" w:hAnsi="Verdana" w:cs="Arial"/>
          <w:color w:val="000000"/>
          <w:lang w:val="es-ES"/>
        </w:rPr>
        <w:t xml:space="preserve"> En este sentido, en el marco de su discrecionalidad, cada entidad debe establecer la forma como se estructura el pliego de condiciones, el cual está condicionado a la proporcionalidad de las decisiones que toma en aras de garantizar la pluralidad de oferentes y la selección objetiva</w:t>
      </w:r>
      <w:r w:rsidRPr="00176581">
        <w:rPr>
          <w:rFonts w:ascii="Verdana" w:eastAsia="Arial" w:hAnsi="Verdana" w:cs="Arial"/>
          <w:color w:val="000000"/>
        </w:rPr>
        <w:t>.</w:t>
      </w:r>
    </w:p>
    <w:p w14:paraId="5EDFC4C7" w14:textId="77777777" w:rsidR="00A76E99" w:rsidRDefault="00A76E99" w:rsidP="00A76E99">
      <w:pPr>
        <w:spacing w:before="120" w:after="0" w:line="276" w:lineRule="auto"/>
        <w:ind w:firstLine="709"/>
        <w:jc w:val="both"/>
        <w:rPr>
          <w:rFonts w:ascii="Verdana" w:eastAsia="Arial" w:hAnsi="Verdana" w:cs="Arial"/>
          <w:color w:val="000000"/>
        </w:rPr>
      </w:pPr>
      <w:r w:rsidRPr="00B36F85">
        <w:rPr>
          <w:rFonts w:ascii="Verdana" w:eastAsia="Arial" w:hAnsi="Verdana" w:cs="Arial"/>
        </w:rPr>
        <w:t xml:space="preserve">El rechazo de las ofertas y los eventos en los que proceden han sido asuntos de los que se ha ocupado la legislación nacional en materia de contratación pública, por lo que </w:t>
      </w:r>
      <w:r>
        <w:rPr>
          <w:rFonts w:ascii="Verdana" w:eastAsia="Arial" w:hAnsi="Verdana" w:cs="Arial"/>
        </w:rPr>
        <w:t>“</w:t>
      </w:r>
      <w:r w:rsidRPr="00B36F85">
        <w:rPr>
          <w:rFonts w:ascii="Verdana" w:eastAsia="Arial" w:hAnsi="Verdana" w:cs="Arial"/>
        </w:rPr>
        <w:t xml:space="preserve">la competencia de las entidades estales para establecer eventos de exclusión de propuestas es de carácter residual y </w:t>
      </w:r>
      <w:r w:rsidRPr="00B36F85">
        <w:rPr>
          <w:rFonts w:ascii="Verdana" w:eastAsia="Arial" w:hAnsi="Verdana" w:cs="Arial"/>
        </w:rPr>
        <w:lastRenderedPageBreak/>
        <w:t>restringido</w:t>
      </w:r>
      <w:r>
        <w:rPr>
          <w:rFonts w:ascii="Verdana" w:eastAsia="Arial" w:hAnsi="Verdana" w:cs="Arial"/>
        </w:rPr>
        <w:t>”</w:t>
      </w:r>
      <w:r w:rsidRPr="00B36F85">
        <w:rPr>
          <w:rFonts w:ascii="Verdana" w:eastAsia="Arial" w:hAnsi="Verdana" w:cs="Arial"/>
          <w:vertAlign w:val="superscript"/>
        </w:rPr>
        <w:footnoteReference w:id="14"/>
      </w:r>
      <w:r w:rsidRPr="00B36F85">
        <w:rPr>
          <w:rFonts w:ascii="Verdana" w:eastAsia="Arial" w:hAnsi="Verdana" w:cs="Arial"/>
        </w:rPr>
        <w:t>. En ese sentido, si bien las entidades estatales, en ejercicio de la discrecionalidad que les corresponde en la configuración de los pliegos de condiciones, tienen competencia para determinar los requisitos que deben cumplir los proponentes para la presentación de ofertas</w:t>
      </w:r>
      <w:r w:rsidRPr="00B36F85">
        <w:rPr>
          <w:rFonts w:ascii="Verdana" w:eastAsia="Arial" w:hAnsi="Verdana" w:cs="Arial"/>
          <w:vertAlign w:val="superscript"/>
        </w:rPr>
        <w:footnoteReference w:id="15"/>
      </w:r>
      <w:r w:rsidRPr="00B36F85">
        <w:rPr>
          <w:rFonts w:ascii="Verdana" w:eastAsia="Arial" w:hAnsi="Verdana" w:cs="Arial"/>
        </w:rPr>
        <w:t xml:space="preserve"> y regular los eventos en los que procede su rechazo</w:t>
      </w:r>
      <w:r w:rsidRPr="00B36F85">
        <w:rPr>
          <w:rFonts w:ascii="Verdana" w:eastAsia="Arial" w:hAnsi="Verdana" w:cs="Arial"/>
          <w:vertAlign w:val="superscript"/>
        </w:rPr>
        <w:footnoteReference w:id="16"/>
      </w:r>
      <w:r w:rsidRPr="00B36F85">
        <w:rPr>
          <w:rFonts w:ascii="Verdana" w:eastAsia="Arial" w:hAnsi="Verdana" w:cs="Arial"/>
        </w:rPr>
        <w:t xml:space="preserve">, el ejercicio de tales facultades encuentra ciertos límites en la ley y el reglamento, así como en los principios de razonabilidad y proporcionalidad.  </w:t>
      </w:r>
    </w:p>
    <w:p w14:paraId="498CFC88" w14:textId="77777777" w:rsidR="00A76E99" w:rsidRDefault="00A76E99" w:rsidP="00A76E99">
      <w:pPr>
        <w:spacing w:before="120" w:after="0" w:line="276" w:lineRule="auto"/>
        <w:ind w:firstLine="709"/>
        <w:jc w:val="both"/>
        <w:rPr>
          <w:rFonts w:ascii="Verdana" w:eastAsia="Arial" w:hAnsi="Verdana" w:cs="Arial"/>
          <w:color w:val="000000"/>
        </w:rPr>
      </w:pPr>
      <w:r w:rsidRPr="00B36F85">
        <w:rPr>
          <w:rFonts w:ascii="Verdana" w:eastAsia="Arial" w:hAnsi="Verdana" w:cs="Arial"/>
        </w:rPr>
        <w:t xml:space="preserve">En ese entendido, uno de los límites a la facultad para establecer causales de rechazo, se encuentra en la regla de </w:t>
      </w:r>
      <w:proofErr w:type="spellStart"/>
      <w:r w:rsidRPr="00B36F85">
        <w:rPr>
          <w:rFonts w:ascii="Verdana" w:eastAsia="Arial" w:hAnsi="Verdana" w:cs="Arial"/>
        </w:rPr>
        <w:t>subsanabilidad</w:t>
      </w:r>
      <w:proofErr w:type="spellEnd"/>
      <w:r w:rsidRPr="00B36F85">
        <w:rPr>
          <w:rFonts w:ascii="Verdana" w:eastAsia="Arial" w:hAnsi="Verdana" w:cs="Arial"/>
        </w:rPr>
        <w:t xml:space="preserve"> del parágrafo 1 del artículo 5 de la Ley 1150 de 2007, según la cual </w:t>
      </w:r>
      <w:r>
        <w:rPr>
          <w:rFonts w:ascii="Verdana" w:eastAsia="Arial" w:hAnsi="Verdana" w:cs="Arial"/>
        </w:rPr>
        <w:t>“</w:t>
      </w:r>
      <w:r w:rsidRPr="00B36F85">
        <w:rPr>
          <w:rFonts w:ascii="Verdana" w:eastAsia="Arial" w:hAnsi="Verdana" w:cs="Arial"/>
        </w:rPr>
        <w:t>La ausencia de requisitos o la falta de documentos referentes a la futura contratación o al proponente, no necesarios para la comparación de las propuestas no servirán de título suficiente para el rechazo de los ofrecimientos hechos</w:t>
      </w:r>
      <w:r>
        <w:rPr>
          <w:rFonts w:ascii="Verdana" w:eastAsia="Arial" w:hAnsi="Verdana" w:cs="Arial"/>
        </w:rPr>
        <w:t>”</w:t>
      </w:r>
      <w:r w:rsidRPr="00B36F85">
        <w:rPr>
          <w:rFonts w:ascii="Verdana" w:eastAsia="Arial" w:hAnsi="Verdana" w:cs="Arial"/>
        </w:rPr>
        <w:t xml:space="preserve">, por lo que las entidades no podrán establecer causales de rechazo referentes a meros requisitos formales o rechazar las ofertas por esa razón. </w:t>
      </w:r>
    </w:p>
    <w:p w14:paraId="40C0B902" w14:textId="77777777" w:rsidR="00A76E99" w:rsidRPr="00166975" w:rsidRDefault="00A76E99" w:rsidP="00A76E99">
      <w:pPr>
        <w:spacing w:before="120" w:after="0" w:line="276" w:lineRule="auto"/>
        <w:ind w:firstLine="709"/>
        <w:jc w:val="both"/>
        <w:rPr>
          <w:rFonts w:ascii="Verdana" w:eastAsia="Arial" w:hAnsi="Verdana" w:cs="Arial"/>
          <w:color w:val="000000"/>
        </w:rPr>
      </w:pPr>
      <w:r w:rsidRPr="00B36F85">
        <w:rPr>
          <w:rFonts w:ascii="Verdana" w:eastAsia="Arial" w:hAnsi="Verdana" w:cs="Arial"/>
        </w:rPr>
        <w:t>De esta manera, la jurisprudencia del Consejo de Estado ha determinado que las causales de rechazo pueden o no estar establecidas en el pliego de condiciones, sin perjuicio de que sean aplicables al proceso contractual las establecidas directamente en la ley. Así se estableció en la sentencia del 27 de abril de 2011, en los siguientes términos:</w:t>
      </w:r>
    </w:p>
    <w:p w14:paraId="3C866622" w14:textId="77777777" w:rsidR="00A76E99" w:rsidRPr="00B36F85" w:rsidRDefault="00A76E99" w:rsidP="00A76E99">
      <w:pPr>
        <w:widowControl w:val="0"/>
        <w:spacing w:after="0"/>
        <w:ind w:firstLine="708"/>
        <w:jc w:val="both"/>
        <w:rPr>
          <w:rFonts w:ascii="Verdana" w:eastAsia="Arial" w:hAnsi="Verdana" w:cs="Arial"/>
        </w:rPr>
      </w:pPr>
    </w:p>
    <w:p w14:paraId="6FE3D14D" w14:textId="61351487" w:rsidR="00A76E99" w:rsidRPr="004B49E2" w:rsidRDefault="00A76E99" w:rsidP="00EC0EEB">
      <w:pPr>
        <w:widowControl w:val="0"/>
        <w:spacing w:after="0" w:line="240" w:lineRule="auto"/>
        <w:ind w:left="709" w:right="709"/>
        <w:jc w:val="both"/>
        <w:rPr>
          <w:rFonts w:ascii="Verdana" w:eastAsia="Arial" w:hAnsi="Verdana" w:cs="Arial"/>
          <w:sz w:val="20"/>
          <w:szCs w:val="20"/>
        </w:rPr>
      </w:pPr>
      <w:r>
        <w:rPr>
          <w:rFonts w:ascii="Verdana" w:eastAsia="Arial" w:hAnsi="Verdana" w:cs="Arial"/>
          <w:sz w:val="21"/>
          <w:szCs w:val="21"/>
        </w:rPr>
        <w:t>“</w:t>
      </w:r>
      <w:r w:rsidRPr="004B49E2">
        <w:rPr>
          <w:rFonts w:ascii="Verdana" w:eastAsia="Arial" w:hAnsi="Verdana" w:cs="Arial"/>
          <w:sz w:val="20"/>
          <w:szCs w:val="20"/>
        </w:rPr>
        <w:t>En efecto, la Administración puede rechazar o descalificar los ofrecimientos hechos por causales previstas en la ley; hipótesis bajo la cual, la entidad pública licitante se limita a dar por comprobado el hecho que justifica la exclusión y así lo declarará apoyada en normas legales o reglamentarias de carácter general.</w:t>
      </w:r>
    </w:p>
    <w:p w14:paraId="11E17A06" w14:textId="77777777" w:rsidR="00A76E99" w:rsidRPr="004B49E2" w:rsidRDefault="00A76E99" w:rsidP="00A76E99">
      <w:pPr>
        <w:widowControl w:val="0"/>
        <w:spacing w:after="0" w:line="240" w:lineRule="auto"/>
        <w:ind w:left="709" w:right="709"/>
        <w:jc w:val="both"/>
        <w:rPr>
          <w:rFonts w:ascii="Verdana" w:eastAsia="Arial" w:hAnsi="Verdana" w:cs="Arial"/>
          <w:sz w:val="20"/>
          <w:szCs w:val="20"/>
        </w:rPr>
      </w:pPr>
      <w:r w:rsidRPr="004B49E2">
        <w:rPr>
          <w:rFonts w:ascii="Verdana" w:eastAsia="Arial" w:hAnsi="Verdana" w:cs="Arial"/>
          <w:sz w:val="20"/>
          <w:szCs w:val="20"/>
        </w:rPr>
        <w:lastRenderedPageBreak/>
        <w:t>En esta línea de pensamiento, resulta claro que el rechazo o la descalificación de ofertas no puede depender de la libre discrecionalidad de la Administración, en la medida en que el oferente adquiere el derecho de participar en el procedimiento de selección y se genera para él una situación jurídica particular, en consecuencia, para rechazar o descalificar una propuesta la entidad pública debe sujetarse a determinadas reglas consistentes en que las causales que dan lugar a ello se encuentren previamente establecidas en la ley o deriven del incumplimiento de requisitos de la propuesta o de la omisión de documentos referentes a la futura contratación que sean necesarios para la comparación de las propuestas, de conformidad con lo establecido en el numeral 15 del artículo 25 de la Ley 80 de 1993, puesto que la causa excluyente debe ser razonable, esencial y proporcionada, toda vez que no tendría justificación excluir una propuesta por una deficiencia que no tenga incidencia alguna en la contratación.</w:t>
      </w:r>
    </w:p>
    <w:p w14:paraId="1213062F" w14:textId="77777777" w:rsidR="00A76E99" w:rsidRDefault="00A76E99" w:rsidP="00A76E99">
      <w:pPr>
        <w:widowControl w:val="0"/>
        <w:spacing w:after="0" w:line="240" w:lineRule="auto"/>
        <w:ind w:left="709" w:right="709"/>
        <w:jc w:val="both"/>
        <w:rPr>
          <w:rFonts w:ascii="Verdana" w:eastAsia="Arial" w:hAnsi="Verdana" w:cs="Arial"/>
          <w:sz w:val="20"/>
          <w:szCs w:val="20"/>
        </w:rPr>
      </w:pPr>
    </w:p>
    <w:p w14:paraId="7EE0EFEB" w14:textId="77777777" w:rsidR="00A76E99" w:rsidRPr="004B49E2" w:rsidRDefault="00A76E99" w:rsidP="00A76E99">
      <w:pPr>
        <w:widowControl w:val="0"/>
        <w:spacing w:after="0" w:line="240" w:lineRule="auto"/>
        <w:ind w:left="709" w:right="709"/>
        <w:jc w:val="both"/>
        <w:rPr>
          <w:rFonts w:ascii="Verdana" w:eastAsia="Arial" w:hAnsi="Verdana" w:cs="Arial"/>
          <w:sz w:val="20"/>
          <w:szCs w:val="20"/>
        </w:rPr>
      </w:pPr>
      <w:r w:rsidRPr="004B49E2">
        <w:rPr>
          <w:rFonts w:ascii="Verdana" w:eastAsia="Arial" w:hAnsi="Verdana" w:cs="Arial"/>
          <w:sz w:val="20"/>
          <w:szCs w:val="20"/>
        </w:rPr>
        <w:t>[…]</w:t>
      </w:r>
    </w:p>
    <w:p w14:paraId="16610914" w14:textId="77777777" w:rsidR="00A76E99" w:rsidRDefault="00A76E99" w:rsidP="00A76E99">
      <w:pPr>
        <w:widowControl w:val="0"/>
        <w:spacing w:after="0" w:line="240" w:lineRule="auto"/>
        <w:ind w:left="709" w:right="709"/>
        <w:jc w:val="both"/>
        <w:rPr>
          <w:rFonts w:ascii="Verdana" w:eastAsia="Arial" w:hAnsi="Verdana" w:cs="Arial"/>
          <w:sz w:val="20"/>
          <w:szCs w:val="20"/>
        </w:rPr>
      </w:pPr>
    </w:p>
    <w:p w14:paraId="23A5FDBD" w14:textId="77777777" w:rsidR="00A76E99" w:rsidRPr="004B49E2" w:rsidRDefault="00A76E99" w:rsidP="00A76E99">
      <w:pPr>
        <w:widowControl w:val="0"/>
        <w:spacing w:after="0" w:line="240" w:lineRule="auto"/>
        <w:ind w:left="709" w:right="709"/>
        <w:jc w:val="both"/>
        <w:rPr>
          <w:rFonts w:ascii="Verdana" w:eastAsia="Arial" w:hAnsi="Verdana" w:cs="Arial"/>
          <w:sz w:val="20"/>
          <w:szCs w:val="20"/>
        </w:rPr>
      </w:pPr>
      <w:r w:rsidRPr="004B49E2">
        <w:rPr>
          <w:rFonts w:ascii="Verdana" w:eastAsia="Arial" w:hAnsi="Verdana" w:cs="Arial"/>
          <w:sz w:val="20"/>
          <w:szCs w:val="20"/>
        </w:rPr>
        <w:t xml:space="preserve">Quiere con esto destacar la Sala que las causales de rechazo de las propuestas pueden ser legales y por lo mismo generan el efecto del descarte o exclusión de la oferta </w:t>
      </w:r>
      <w:proofErr w:type="spellStart"/>
      <w:r w:rsidRPr="004B49E2">
        <w:rPr>
          <w:rFonts w:ascii="Verdana" w:eastAsia="Arial" w:hAnsi="Verdana" w:cs="Arial"/>
          <w:i/>
          <w:iCs/>
          <w:sz w:val="20"/>
          <w:szCs w:val="20"/>
        </w:rPr>
        <w:t>ope</w:t>
      </w:r>
      <w:proofErr w:type="spellEnd"/>
      <w:r w:rsidRPr="004B49E2">
        <w:rPr>
          <w:rFonts w:ascii="Verdana" w:eastAsia="Arial" w:hAnsi="Verdana" w:cs="Arial"/>
          <w:i/>
          <w:iCs/>
          <w:sz w:val="20"/>
          <w:szCs w:val="20"/>
        </w:rPr>
        <w:t xml:space="preserve"> </w:t>
      </w:r>
      <w:proofErr w:type="spellStart"/>
      <w:r w:rsidRPr="004B49E2">
        <w:rPr>
          <w:rFonts w:ascii="Verdana" w:eastAsia="Arial" w:hAnsi="Verdana" w:cs="Arial"/>
          <w:i/>
          <w:iCs/>
          <w:sz w:val="20"/>
          <w:szCs w:val="20"/>
        </w:rPr>
        <w:t>legis</w:t>
      </w:r>
      <w:proofErr w:type="spellEnd"/>
      <w:r w:rsidRPr="004B49E2">
        <w:rPr>
          <w:rFonts w:ascii="Verdana" w:eastAsia="Arial" w:hAnsi="Verdana" w:cs="Arial"/>
          <w:sz w:val="20"/>
          <w:szCs w:val="20"/>
        </w:rPr>
        <w:t>, sin necesidad de que se haga referencia a las mismas en el pliego de condiciones; o también pueden las causales de rechazo de las propuestas ser establecidas expresamente por la entidad en el respectivo pliego de condiciones. Lo cierto es que, sea que las causales de rechazo de la oferta emanen directamente de la ley o del pliego de condiciones, en uno y en otro caso se refieren a defectos, omisiones o circunstancias impeditivas que permiten deducir que la misma no resulta favorable para los intereses de la entidad y los fines de la contratación y que de soslayarse se comprometería el cumplimiento de los principios de transparencia, economía y responsabilidad, así como  el deber de selección objetiva en la contratación</w:t>
      </w:r>
      <w:r w:rsidRPr="004B49E2">
        <w:rPr>
          <w:rFonts w:ascii="Verdana" w:eastAsia="Arial" w:hAnsi="Verdana" w:cs="Arial"/>
          <w:sz w:val="20"/>
          <w:szCs w:val="20"/>
          <w:vertAlign w:val="superscript"/>
        </w:rPr>
        <w:footnoteReference w:id="17"/>
      </w:r>
      <w:r w:rsidRPr="004B49E2">
        <w:rPr>
          <w:rFonts w:ascii="Verdana" w:eastAsia="Arial" w:hAnsi="Verdana" w:cs="Arial"/>
          <w:sz w:val="20"/>
          <w:szCs w:val="20"/>
        </w:rPr>
        <w:t>”.</w:t>
      </w:r>
    </w:p>
    <w:p w14:paraId="3203FB5A" w14:textId="77777777" w:rsidR="00A76E99" w:rsidRPr="004B49E2" w:rsidRDefault="00A76E99" w:rsidP="00A76E99">
      <w:pPr>
        <w:widowControl w:val="0"/>
        <w:spacing w:after="0" w:line="240" w:lineRule="auto"/>
        <w:ind w:left="709" w:right="709"/>
        <w:jc w:val="both"/>
        <w:rPr>
          <w:rFonts w:ascii="Verdana" w:eastAsia="Arial" w:hAnsi="Verdana" w:cs="Arial"/>
          <w:sz w:val="20"/>
          <w:szCs w:val="20"/>
        </w:rPr>
      </w:pPr>
    </w:p>
    <w:p w14:paraId="5DCE6E4E" w14:textId="77777777" w:rsidR="00A76E99" w:rsidRDefault="00A76E99" w:rsidP="00A76E99">
      <w:pPr>
        <w:widowControl w:val="0"/>
        <w:spacing w:after="0" w:line="276" w:lineRule="auto"/>
        <w:ind w:firstLine="709"/>
        <w:jc w:val="both"/>
        <w:rPr>
          <w:rFonts w:ascii="Verdana" w:eastAsia="Arial" w:hAnsi="Verdana" w:cs="Arial"/>
        </w:rPr>
      </w:pPr>
      <w:r w:rsidRPr="00B36F85">
        <w:rPr>
          <w:rFonts w:ascii="Verdana" w:eastAsia="Arial" w:hAnsi="Verdana" w:cs="Arial"/>
        </w:rPr>
        <w:t xml:space="preserve">De acuerdo con la jurisprudencia citada, existen dos </w:t>
      </w:r>
      <w:r>
        <w:rPr>
          <w:rFonts w:ascii="Verdana" w:eastAsia="Arial" w:hAnsi="Verdana" w:cs="Arial"/>
        </w:rPr>
        <w:t>eventos</w:t>
      </w:r>
      <w:r w:rsidRPr="00B36F85">
        <w:rPr>
          <w:rFonts w:ascii="Verdana" w:eastAsia="Arial" w:hAnsi="Verdana" w:cs="Arial"/>
        </w:rPr>
        <w:t xml:space="preserve"> en los </w:t>
      </w:r>
      <w:r>
        <w:rPr>
          <w:rFonts w:ascii="Verdana" w:eastAsia="Arial" w:hAnsi="Verdana" w:cs="Arial"/>
        </w:rPr>
        <w:t xml:space="preserve">cuales </w:t>
      </w:r>
      <w:r w:rsidRPr="00B36F85">
        <w:rPr>
          <w:rFonts w:ascii="Verdana" w:eastAsia="Arial" w:hAnsi="Verdana" w:cs="Arial"/>
        </w:rPr>
        <w:t xml:space="preserve">procede el rechazo de la oferta: </w:t>
      </w:r>
      <w:r>
        <w:rPr>
          <w:rFonts w:ascii="Verdana" w:eastAsia="Arial" w:hAnsi="Verdana" w:cs="Arial"/>
        </w:rPr>
        <w:t xml:space="preserve">i) cuando </w:t>
      </w:r>
      <w:r w:rsidRPr="00B36F85">
        <w:rPr>
          <w:rFonts w:ascii="Verdana" w:eastAsia="Arial" w:hAnsi="Verdana" w:cs="Arial"/>
        </w:rPr>
        <w:t>se configure alguna de las causales de rechazo originadas en la ley o</w:t>
      </w:r>
      <w:r>
        <w:rPr>
          <w:rFonts w:ascii="Verdana" w:eastAsia="Arial" w:hAnsi="Verdana" w:cs="Arial"/>
        </w:rPr>
        <w:t xml:space="preserve"> el reglamento y</w:t>
      </w:r>
      <w:r w:rsidRPr="00B36F85">
        <w:rPr>
          <w:rFonts w:ascii="Verdana" w:eastAsia="Arial" w:hAnsi="Verdana" w:cs="Arial"/>
        </w:rPr>
        <w:t xml:space="preserve"> </w:t>
      </w:r>
      <w:proofErr w:type="spellStart"/>
      <w:r>
        <w:rPr>
          <w:rFonts w:ascii="Verdana" w:eastAsia="Arial" w:hAnsi="Verdana" w:cs="Arial"/>
        </w:rPr>
        <w:t>ii</w:t>
      </w:r>
      <w:proofErr w:type="spellEnd"/>
      <w:r>
        <w:rPr>
          <w:rFonts w:ascii="Verdana" w:eastAsia="Arial" w:hAnsi="Verdana" w:cs="Arial"/>
        </w:rPr>
        <w:t xml:space="preserve">) cuando se materialicen </w:t>
      </w:r>
      <w:r w:rsidRPr="00B36F85">
        <w:rPr>
          <w:rFonts w:ascii="Verdana" w:eastAsia="Arial" w:hAnsi="Verdana" w:cs="Arial"/>
        </w:rPr>
        <w:t>las establecidas en el pliego de condiciones. En tal sentido, las causales de rechazo de la oferta serán las consagradas en la ley o</w:t>
      </w:r>
      <w:r>
        <w:rPr>
          <w:rFonts w:ascii="Verdana" w:eastAsia="Arial" w:hAnsi="Verdana" w:cs="Arial"/>
        </w:rPr>
        <w:t xml:space="preserve"> el reglamento</w:t>
      </w:r>
      <w:r w:rsidRPr="00B36F85">
        <w:rPr>
          <w:rFonts w:ascii="Verdana" w:eastAsia="Arial" w:hAnsi="Verdana" w:cs="Arial"/>
        </w:rPr>
        <w:t xml:space="preserve"> producto de su aplicación, así como las definidas por las entidades en el respectivo pliego de condiciones. </w:t>
      </w:r>
    </w:p>
    <w:p w14:paraId="536A9288" w14:textId="77777777" w:rsidR="00A76E99" w:rsidRDefault="00A76E99" w:rsidP="00A76E99">
      <w:pPr>
        <w:widowControl w:val="0"/>
        <w:spacing w:before="120" w:after="0" w:line="276" w:lineRule="auto"/>
        <w:ind w:firstLine="709"/>
        <w:jc w:val="both"/>
        <w:rPr>
          <w:rFonts w:ascii="Verdana" w:eastAsia="Arial" w:hAnsi="Verdana" w:cs="Arial"/>
        </w:rPr>
      </w:pPr>
      <w:r w:rsidRPr="00B36F85">
        <w:rPr>
          <w:rFonts w:ascii="Verdana" w:eastAsia="Arial" w:hAnsi="Verdana" w:cs="Arial"/>
        </w:rPr>
        <w:lastRenderedPageBreak/>
        <w:t xml:space="preserve">En tales términos, la facultad de las entidades estatales para incluir en los pliegos de condiciones causales de rechazo de las ofertas, no es una facultad absoluta, en la medida que se encuentra limitada por lo dispuesto en ley, al igual que por los principios de razonabilidad y proporcionalidad, los cuales exigen que las causales de rechazo que sean establecidas por la entidad, además de no contrariar el ordenamiento jurídico, no versen sobre aspectos meramente formales sin relevancia para el transcurso del proceso de selección o el perfeccionamiento del contrato. </w:t>
      </w:r>
    </w:p>
    <w:p w14:paraId="3A845056" w14:textId="77777777" w:rsidR="00A76E99" w:rsidRDefault="00A76E99" w:rsidP="00A76E99">
      <w:pPr>
        <w:widowControl w:val="0"/>
        <w:spacing w:before="120" w:after="0" w:line="276" w:lineRule="auto"/>
        <w:ind w:firstLine="709"/>
        <w:jc w:val="both"/>
        <w:rPr>
          <w:rFonts w:ascii="Verdana" w:eastAsia="Arial" w:hAnsi="Verdana" w:cs="Arial"/>
        </w:rPr>
      </w:pPr>
      <w:r w:rsidRPr="05E3EA9D">
        <w:rPr>
          <w:rFonts w:ascii="Verdana" w:eastAsia="Arial" w:hAnsi="Verdana" w:cs="Arial"/>
          <w:lang w:val="es-ES"/>
        </w:rPr>
        <w:t>De igual forma, esta Agencia ha reiterado la postura del Consejo de Estado, según la cual, por la naturaleza propia de las causales de rechazo, su aplicación es estricta y restrictiva, lo que significa que su interpretación gramatical prevalece sobre una interpretación extensiva o de otra índole, mediante la cual se pretenda ampliar su alcance. Al respecto, el Consejo de Estado</w:t>
      </w:r>
      <w:r w:rsidRPr="05E3EA9D">
        <w:rPr>
          <w:rFonts w:ascii="Verdana" w:eastAsia="Arial" w:hAnsi="Verdana" w:cs="Arial"/>
          <w:vertAlign w:val="superscript"/>
          <w:lang w:val="es-ES"/>
        </w:rPr>
        <w:footnoteReference w:id="18"/>
      </w:r>
      <w:r w:rsidRPr="05E3EA9D">
        <w:rPr>
          <w:rFonts w:ascii="Verdana" w:eastAsia="Arial" w:hAnsi="Verdana" w:cs="Arial"/>
          <w:lang w:val="es-ES"/>
        </w:rPr>
        <w:t xml:space="preserve"> sostuvo: </w:t>
      </w:r>
    </w:p>
    <w:p w14:paraId="010AC06C" w14:textId="77777777" w:rsidR="00A76E99" w:rsidRPr="008C505B" w:rsidRDefault="00A76E99" w:rsidP="00A76E99">
      <w:pPr>
        <w:spacing w:after="0" w:line="240" w:lineRule="auto"/>
        <w:ind w:firstLine="709"/>
        <w:jc w:val="both"/>
        <w:rPr>
          <w:rFonts w:ascii="Verdana" w:eastAsia="Arial" w:hAnsi="Verdana" w:cs="Arial"/>
        </w:rPr>
      </w:pPr>
    </w:p>
    <w:p w14:paraId="1484A629" w14:textId="77777777" w:rsidR="00A76E99" w:rsidRDefault="00A76E99" w:rsidP="00A76E99">
      <w:pPr>
        <w:spacing w:after="0"/>
        <w:ind w:left="708" w:right="709"/>
        <w:jc w:val="both"/>
        <w:rPr>
          <w:rFonts w:ascii="Verdana" w:eastAsia="Arial" w:hAnsi="Verdana" w:cs="Arial"/>
          <w:sz w:val="20"/>
          <w:szCs w:val="20"/>
          <w:lang w:val="es-ES"/>
        </w:rPr>
      </w:pPr>
      <w:r w:rsidRPr="05E3EA9D">
        <w:rPr>
          <w:rFonts w:ascii="Verdana" w:eastAsia="Arial" w:hAnsi="Verdana" w:cs="Arial"/>
          <w:sz w:val="20"/>
          <w:szCs w:val="20"/>
          <w:lang w:val="es-ES"/>
        </w:rPr>
        <w:t>“En esta línea de pensamiento, resulta claro que el rechazo o la descalificación de ofertas no puede depender de la libre discrecionalidad de la administración, en la medida en que el oferente, por el hecho de participar en el proceso licitatorio, adquiere el derecho de participar en el procedimiento de selección y se genera para él una situación jurídica particular; en consecuencia, para rechazar o descalificar una propuesta, la entidad pública debe sujetarse a determinadas reglas consistentes en que las causales que dan lugar a ello se encuentren previamente establecidas en la ley, deriven del incumplimiento de requisitos de la propuesta o de la omisión de documentos referentes a la futura contratación que sean necesarios para la comparación de las propuestas, de conformidad con lo establecido en el numeral 15 del artículo 25 de la Ley 80 de 1993, puesto que la causa excluyente debe ser razonable, esencial y proporcionada, toda vez que no tendría justificación excluir una propuesta por una deficiencia que no tenga incidencia alguna en la contratación.”</w:t>
      </w:r>
    </w:p>
    <w:p w14:paraId="3FE72BD7" w14:textId="77777777" w:rsidR="00A76E99" w:rsidRPr="004B49E2" w:rsidRDefault="00A76E99" w:rsidP="00A76E99">
      <w:pPr>
        <w:spacing w:after="0"/>
        <w:ind w:left="708" w:right="709"/>
        <w:jc w:val="both"/>
        <w:rPr>
          <w:rFonts w:ascii="Verdana" w:eastAsia="Arial" w:hAnsi="Verdana" w:cs="Arial"/>
          <w:sz w:val="20"/>
          <w:szCs w:val="20"/>
          <w:lang w:val="es-ES"/>
        </w:rPr>
      </w:pPr>
    </w:p>
    <w:p w14:paraId="2289BE3F" w14:textId="77777777" w:rsidR="00A76E99" w:rsidRDefault="00A76E99" w:rsidP="00A76E99">
      <w:pPr>
        <w:spacing w:after="0" w:line="276" w:lineRule="auto"/>
        <w:ind w:firstLine="709"/>
        <w:jc w:val="both"/>
        <w:rPr>
          <w:rFonts w:ascii="Verdana" w:eastAsia="Arial" w:hAnsi="Verdana" w:cs="Arial"/>
          <w:lang w:val="es-ES"/>
        </w:rPr>
      </w:pPr>
      <w:r w:rsidRPr="004B49E2">
        <w:rPr>
          <w:rFonts w:ascii="Verdana" w:eastAsia="Arial" w:hAnsi="Verdana" w:cs="Arial"/>
          <w:lang w:val="es-ES"/>
        </w:rPr>
        <w:t xml:space="preserve">Por lo expuesto, las causales de rechazo deben estar necesariamente nominadas en la Ley o en el pliego de condiciones, y no puede realizarse, frente a su redacción, ninguna interpretación extensiva. Por esta razón si el Estatuto General de Contratación de la Administración Pública o el pliego de condiciones </w:t>
      </w:r>
      <w:r w:rsidRPr="004B49E2">
        <w:rPr>
          <w:rFonts w:ascii="Verdana" w:eastAsia="Arial" w:hAnsi="Verdana" w:cs="Arial"/>
          <w:lang w:val="es-ES"/>
        </w:rPr>
        <w:lastRenderedPageBreak/>
        <w:t>no establecen de manera literal una causal de rechazo, en los términos expuestos, no podrán rechazarse las propuestas.</w:t>
      </w:r>
    </w:p>
    <w:p w14:paraId="19543EAC" w14:textId="77777777" w:rsidR="00A76E99" w:rsidRDefault="00A76E99" w:rsidP="00A76E99">
      <w:pPr>
        <w:spacing w:before="120" w:after="0" w:line="276" w:lineRule="auto"/>
        <w:ind w:firstLine="709"/>
        <w:jc w:val="both"/>
        <w:rPr>
          <w:rFonts w:ascii="Verdana" w:eastAsia="Arial" w:hAnsi="Verdana" w:cs="Arial"/>
        </w:rPr>
      </w:pPr>
      <w:r>
        <w:rPr>
          <w:rFonts w:ascii="Verdana" w:eastAsia="Arial" w:hAnsi="Verdana" w:cs="Arial"/>
        </w:rPr>
        <w:t>De conformidad con lo anterior, p</w:t>
      </w:r>
      <w:r w:rsidRPr="004B49E2">
        <w:rPr>
          <w:rFonts w:ascii="Verdana" w:eastAsia="Arial" w:hAnsi="Verdana" w:cs="Arial"/>
        </w:rPr>
        <w:t xml:space="preserve">ara garantizar el principio de selección objetiva, es necesario, entre otras, que las entidades estatales se abstengan de rechazar las ofertas, por el incumplimiento de requisitos meramente formales, sacrificando la favorabilidad que podría representar la oferta que adolezca de estos defectos, si se permitiese su corrección. </w:t>
      </w:r>
    </w:p>
    <w:p w14:paraId="4FF50069" w14:textId="77777777" w:rsidR="00A76E99" w:rsidRDefault="00A76E99" w:rsidP="00A76E99">
      <w:pPr>
        <w:spacing w:before="120" w:after="0" w:line="276" w:lineRule="auto"/>
        <w:ind w:firstLine="709"/>
        <w:jc w:val="both"/>
        <w:rPr>
          <w:rFonts w:ascii="Verdana" w:eastAsia="Arial" w:hAnsi="Verdana" w:cs="Arial"/>
        </w:rPr>
      </w:pPr>
      <w:r w:rsidRPr="004B49E2">
        <w:rPr>
          <w:rFonts w:ascii="Verdana" w:eastAsia="Arial" w:hAnsi="Verdana" w:cs="Arial"/>
        </w:rPr>
        <w:t>La decisión de rechazar, por regla general –salvo en los casos específicos previstos en la ley, como el de la imposibilidad de subsanar la no entrega de la garantía de seriedad de la oferta o de acreditar circunstancias ocurridas con posterioridad al cierre del procedimiento de selección –art. 5, par. 1º y 3º, Ley 1150 de 2007)– solo puede tomarse si, previamente, se ha permitido que los proponentes completen o corrijan la información relacionada con los requisitos que no asignan puntaje, como mecanismo para hacer prevalecer el derecho sustancial sobre las formalidades.</w:t>
      </w:r>
    </w:p>
    <w:p w14:paraId="051D9144" w14:textId="77777777" w:rsidR="00A76E99" w:rsidRPr="00314EDC" w:rsidRDefault="00A76E99" w:rsidP="00A76E99">
      <w:pPr>
        <w:spacing w:before="120" w:after="0" w:line="276" w:lineRule="auto"/>
        <w:ind w:firstLine="709"/>
        <w:jc w:val="both"/>
        <w:rPr>
          <w:rFonts w:ascii="Verdana" w:eastAsia="Arial" w:hAnsi="Verdana" w:cs="Arial"/>
        </w:rPr>
      </w:pPr>
      <w:r w:rsidRPr="00314EDC">
        <w:rPr>
          <w:rFonts w:ascii="Verdana" w:eastAsia="Arial" w:hAnsi="Verdana" w:cs="Arial"/>
          <w:lang w:val="es-ES"/>
        </w:rPr>
        <w:t>Finalmente debe advertirse, que el análisis para resolver problemas específicos en torno a los procesos de contratación debe ser realizado por quienes tengan interés en ello.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p>
    <w:p w14:paraId="5A5A9E5D" w14:textId="77777777" w:rsidR="00A76E99" w:rsidRPr="00314EDC" w:rsidRDefault="00A76E99" w:rsidP="00A76E99">
      <w:pPr>
        <w:spacing w:before="120" w:after="0" w:line="276" w:lineRule="auto"/>
        <w:ind w:firstLine="709"/>
        <w:jc w:val="both"/>
        <w:rPr>
          <w:rFonts w:ascii="Verdana" w:eastAsia="Arial" w:hAnsi="Verdana" w:cs="Arial"/>
          <w:lang w:val="es-ES"/>
        </w:rPr>
      </w:pPr>
      <w:r w:rsidRPr="00314EDC">
        <w:rPr>
          <w:rFonts w:ascii="Verdana" w:eastAsia="Arial" w:hAnsi="Verdana" w:cs="Arial"/>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p>
    <w:p w14:paraId="617A4C9F" w14:textId="77777777" w:rsidR="00A76E99" w:rsidRDefault="00A76E99" w:rsidP="00A76E99">
      <w:pPr>
        <w:pStyle w:val="Prrafodelista"/>
        <w:tabs>
          <w:tab w:val="left" w:pos="142"/>
          <w:tab w:val="left" w:pos="284"/>
          <w:tab w:val="left" w:pos="3828"/>
          <w:tab w:val="left" w:pos="6900"/>
        </w:tabs>
        <w:spacing w:after="0" w:line="240" w:lineRule="auto"/>
        <w:ind w:left="0"/>
        <w:contextualSpacing w:val="0"/>
        <w:jc w:val="both"/>
        <w:rPr>
          <w:rFonts w:ascii="Verdana" w:eastAsia="Calibri" w:hAnsi="Verdana" w:cs="Arial"/>
          <w:lang w:val="es-CO"/>
        </w:rPr>
      </w:pPr>
    </w:p>
    <w:p w14:paraId="2BDA4CC0" w14:textId="77777777" w:rsidR="00A76E99" w:rsidRDefault="00A76E99" w:rsidP="00A76E99">
      <w:pPr>
        <w:tabs>
          <w:tab w:val="left" w:pos="142"/>
          <w:tab w:val="left" w:pos="284"/>
          <w:tab w:val="left" w:pos="3828"/>
        </w:tabs>
        <w:spacing w:after="0" w:line="240" w:lineRule="auto"/>
        <w:rPr>
          <w:rFonts w:ascii="Verdana" w:eastAsia="Century Gothic" w:hAnsi="Verdana" w:cs="Century Gothic"/>
          <w:b/>
          <w:bCs/>
        </w:rPr>
      </w:pPr>
      <w:bookmarkStart w:id="4" w:name="_Hlk204854194"/>
      <w:r w:rsidRPr="005644FE">
        <w:rPr>
          <w:rFonts w:ascii="Verdana" w:eastAsia="Century Gothic" w:hAnsi="Verdana" w:cs="Century Gothic"/>
          <w:b/>
          <w:bCs/>
        </w:rPr>
        <w:t>4. Referencias normativas</w:t>
      </w:r>
      <w:r>
        <w:rPr>
          <w:rFonts w:ascii="Verdana" w:eastAsia="Century Gothic" w:hAnsi="Verdana" w:cs="Century Gothic"/>
          <w:b/>
          <w:bCs/>
        </w:rPr>
        <w:t xml:space="preserve"> y jurisprudenciales</w:t>
      </w:r>
      <w:r w:rsidRPr="005644FE">
        <w:rPr>
          <w:rFonts w:ascii="Verdana" w:eastAsia="Century Gothic" w:hAnsi="Verdana" w:cs="Century Gothic"/>
          <w:b/>
          <w:bCs/>
        </w:rPr>
        <w:t>:</w:t>
      </w:r>
      <w:bookmarkEnd w:id="4"/>
    </w:p>
    <w:p w14:paraId="70026831" w14:textId="77777777" w:rsidR="00A76E99" w:rsidRPr="005644FE" w:rsidRDefault="00A76E99" w:rsidP="00A76E99">
      <w:pPr>
        <w:tabs>
          <w:tab w:val="left" w:pos="142"/>
          <w:tab w:val="left" w:pos="284"/>
          <w:tab w:val="left" w:pos="3828"/>
        </w:tabs>
        <w:spacing w:after="0" w:line="240" w:lineRule="auto"/>
        <w:rPr>
          <w:rFonts w:ascii="Verdana" w:eastAsia="Century Gothic" w:hAnsi="Verdana" w:cs="Century Gothic"/>
          <w:b/>
          <w:bCs/>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A76E99" w:rsidRPr="005644FE" w14:paraId="34C2EE0E" w14:textId="77777777" w:rsidTr="00313D33">
        <w:trPr>
          <w:trHeight w:val="1288"/>
          <w:jc w:val="center"/>
        </w:trPr>
        <w:tc>
          <w:tcPr>
            <w:tcW w:w="8647" w:type="dxa"/>
          </w:tcPr>
          <w:p w14:paraId="27642433" w14:textId="77777777" w:rsidR="00A76E99" w:rsidRPr="001C79AB" w:rsidRDefault="00A76E99" w:rsidP="00A76E99">
            <w:pPr>
              <w:pStyle w:val="Prrafodelista"/>
              <w:widowControl w:val="0"/>
              <w:numPr>
                <w:ilvl w:val="0"/>
                <w:numId w:val="17"/>
              </w:numPr>
              <w:tabs>
                <w:tab w:val="left" w:pos="3828"/>
              </w:tabs>
              <w:autoSpaceDE w:val="0"/>
              <w:autoSpaceDN w:val="0"/>
              <w:spacing w:after="120" w:line="276" w:lineRule="auto"/>
              <w:jc w:val="both"/>
              <w:rPr>
                <w:rFonts w:ascii="Verdana" w:eastAsia="Aptos" w:hAnsi="Verdana" w:cs="Arial"/>
              </w:rPr>
            </w:pPr>
            <w:r w:rsidRPr="001C79AB">
              <w:rPr>
                <w:rFonts w:ascii="Verdana" w:eastAsia="Arial" w:hAnsi="Verdana" w:cs="Arial"/>
                <w:color w:val="000000" w:themeColor="text1"/>
              </w:rPr>
              <w:lastRenderedPageBreak/>
              <w:t>Decreto-ley 150 de 1976</w:t>
            </w:r>
            <w:r>
              <w:rPr>
                <w:rFonts w:ascii="Verdana" w:eastAsia="Arial" w:hAnsi="Verdana" w:cs="Arial"/>
                <w:color w:val="000000" w:themeColor="text1"/>
              </w:rPr>
              <w:t>.</w:t>
            </w:r>
          </w:p>
          <w:p w14:paraId="47CD90DE" w14:textId="77777777" w:rsidR="00A76E99" w:rsidRPr="001C79AB" w:rsidRDefault="00A76E99" w:rsidP="00A76E99">
            <w:pPr>
              <w:pStyle w:val="Prrafodelista"/>
              <w:widowControl w:val="0"/>
              <w:numPr>
                <w:ilvl w:val="0"/>
                <w:numId w:val="17"/>
              </w:numPr>
              <w:tabs>
                <w:tab w:val="left" w:pos="3828"/>
              </w:tabs>
              <w:autoSpaceDE w:val="0"/>
              <w:autoSpaceDN w:val="0"/>
              <w:spacing w:after="120" w:line="276" w:lineRule="auto"/>
              <w:jc w:val="both"/>
              <w:rPr>
                <w:rFonts w:ascii="Verdana" w:eastAsia="Aptos" w:hAnsi="Verdana" w:cs="Arial"/>
              </w:rPr>
            </w:pPr>
            <w:r w:rsidRPr="001C79AB">
              <w:rPr>
                <w:rFonts w:ascii="Verdana" w:eastAsia="Arial" w:hAnsi="Verdana" w:cs="Arial"/>
                <w:color w:val="000000" w:themeColor="text1"/>
              </w:rPr>
              <w:t>Decreto-ley 222 de 1983</w:t>
            </w:r>
            <w:r>
              <w:rPr>
                <w:rFonts w:ascii="Verdana" w:eastAsia="Arial" w:hAnsi="Verdana" w:cs="Arial"/>
                <w:color w:val="000000" w:themeColor="text1"/>
              </w:rPr>
              <w:t>.</w:t>
            </w:r>
          </w:p>
          <w:p w14:paraId="343B7468" w14:textId="77777777" w:rsidR="00A76E99" w:rsidRPr="005F35CB" w:rsidRDefault="00A76E99" w:rsidP="00A76E99">
            <w:pPr>
              <w:pStyle w:val="Prrafodelista"/>
              <w:widowControl w:val="0"/>
              <w:numPr>
                <w:ilvl w:val="0"/>
                <w:numId w:val="17"/>
              </w:numPr>
              <w:tabs>
                <w:tab w:val="left" w:pos="3828"/>
              </w:tabs>
              <w:autoSpaceDE w:val="0"/>
              <w:autoSpaceDN w:val="0"/>
              <w:spacing w:after="120" w:line="276" w:lineRule="auto"/>
              <w:jc w:val="both"/>
              <w:rPr>
                <w:rFonts w:ascii="Verdana" w:eastAsia="Aptos" w:hAnsi="Verdana" w:cs="Arial"/>
              </w:rPr>
            </w:pPr>
            <w:r>
              <w:rPr>
                <w:rFonts w:ascii="Verdana" w:eastAsia="Arial" w:hAnsi="Verdana" w:cs="Arial"/>
                <w:color w:val="000000" w:themeColor="text1"/>
              </w:rPr>
              <w:t>Constitución Política. Artículo 228.</w:t>
            </w:r>
          </w:p>
          <w:p w14:paraId="67ED98DD" w14:textId="77777777" w:rsidR="00A76E99" w:rsidRPr="005F35CB" w:rsidRDefault="00A76E99" w:rsidP="00A76E99">
            <w:pPr>
              <w:pStyle w:val="Prrafodelista"/>
              <w:widowControl w:val="0"/>
              <w:numPr>
                <w:ilvl w:val="0"/>
                <w:numId w:val="17"/>
              </w:numPr>
              <w:tabs>
                <w:tab w:val="left" w:pos="3828"/>
              </w:tabs>
              <w:autoSpaceDE w:val="0"/>
              <w:autoSpaceDN w:val="0"/>
              <w:spacing w:after="120" w:line="276" w:lineRule="auto"/>
              <w:jc w:val="both"/>
              <w:rPr>
                <w:rFonts w:ascii="Verdana" w:eastAsia="Aptos" w:hAnsi="Verdana" w:cs="Arial"/>
              </w:rPr>
            </w:pPr>
            <w:r>
              <w:rPr>
                <w:rFonts w:ascii="Verdana" w:eastAsia="Arial" w:hAnsi="Verdana" w:cs="Arial"/>
                <w:color w:val="000000" w:themeColor="text1"/>
              </w:rPr>
              <w:t>Ley 80 de 1993. Artículo 25 numeral 15, 30 numerales 7 y 8.</w:t>
            </w:r>
          </w:p>
          <w:p w14:paraId="210E4362" w14:textId="77777777" w:rsidR="00A76E99" w:rsidRDefault="00A76E99" w:rsidP="00A76E99">
            <w:pPr>
              <w:pStyle w:val="Prrafodelista"/>
              <w:widowControl w:val="0"/>
              <w:numPr>
                <w:ilvl w:val="0"/>
                <w:numId w:val="17"/>
              </w:numPr>
              <w:tabs>
                <w:tab w:val="left" w:pos="3828"/>
              </w:tabs>
              <w:autoSpaceDE w:val="0"/>
              <w:autoSpaceDN w:val="0"/>
              <w:spacing w:after="120" w:line="276" w:lineRule="auto"/>
              <w:jc w:val="both"/>
              <w:rPr>
                <w:rFonts w:ascii="Verdana" w:eastAsia="Aptos" w:hAnsi="Verdana" w:cs="Arial"/>
              </w:rPr>
            </w:pPr>
            <w:r w:rsidRPr="005F35CB">
              <w:rPr>
                <w:rFonts w:ascii="Verdana" w:eastAsia="Aptos" w:hAnsi="Verdana" w:cs="Arial"/>
              </w:rPr>
              <w:t xml:space="preserve">Ley 1150 de 2007. Artículo 5 parágrafo 1. </w:t>
            </w:r>
          </w:p>
          <w:p w14:paraId="3B3BCC10" w14:textId="77777777" w:rsidR="00A76E99" w:rsidRPr="005F35CB" w:rsidRDefault="00A76E99" w:rsidP="00A76E99">
            <w:pPr>
              <w:pStyle w:val="Prrafodelista"/>
              <w:widowControl w:val="0"/>
              <w:numPr>
                <w:ilvl w:val="0"/>
                <w:numId w:val="17"/>
              </w:numPr>
              <w:tabs>
                <w:tab w:val="left" w:pos="3828"/>
              </w:tabs>
              <w:autoSpaceDE w:val="0"/>
              <w:autoSpaceDN w:val="0"/>
              <w:spacing w:after="120" w:line="276" w:lineRule="auto"/>
              <w:jc w:val="both"/>
              <w:rPr>
                <w:rFonts w:ascii="Verdana" w:eastAsia="Aptos" w:hAnsi="Verdana" w:cs="Arial"/>
              </w:rPr>
            </w:pPr>
            <w:r w:rsidRPr="00C64261">
              <w:rPr>
                <w:rFonts w:ascii="Verdana" w:eastAsia="Arial" w:hAnsi="Verdana" w:cs="Arial"/>
                <w:color w:val="000000"/>
              </w:rPr>
              <w:t>Ley 1882 de 2018</w:t>
            </w:r>
            <w:r>
              <w:rPr>
                <w:rFonts w:ascii="Verdana" w:eastAsia="Arial" w:hAnsi="Verdana" w:cs="Arial"/>
                <w:color w:val="000000"/>
              </w:rPr>
              <w:t>. Artículo 5.</w:t>
            </w:r>
          </w:p>
          <w:p w14:paraId="001043E7" w14:textId="77777777" w:rsidR="00A76E99" w:rsidRDefault="00A76E99" w:rsidP="00A76E99">
            <w:pPr>
              <w:pStyle w:val="Prrafodelista"/>
              <w:widowControl w:val="0"/>
              <w:numPr>
                <w:ilvl w:val="0"/>
                <w:numId w:val="17"/>
              </w:numPr>
              <w:tabs>
                <w:tab w:val="left" w:pos="3828"/>
              </w:tabs>
              <w:autoSpaceDE w:val="0"/>
              <w:autoSpaceDN w:val="0"/>
              <w:spacing w:after="120" w:line="276" w:lineRule="auto"/>
              <w:jc w:val="both"/>
              <w:rPr>
                <w:rFonts w:ascii="Verdana" w:eastAsia="Aptos" w:hAnsi="Verdana" w:cs="Arial"/>
              </w:rPr>
            </w:pPr>
            <w:r w:rsidRPr="005F35CB">
              <w:rPr>
                <w:rFonts w:ascii="Verdana" w:eastAsia="Aptos" w:hAnsi="Verdana" w:cs="Arial"/>
              </w:rPr>
              <w:t xml:space="preserve">Consejo de Estado. Sala de lo Contencioso Administrativo Sección Tercera, Subsección C. Sentencia del 26 de febrero de 2014. Radicado: 1999-00113-01 (25.804). C.P. Enrique Gil Botero. </w:t>
            </w:r>
          </w:p>
          <w:p w14:paraId="0B09B057" w14:textId="77777777" w:rsidR="00A76E99" w:rsidRDefault="00A76E99" w:rsidP="00A76E99">
            <w:pPr>
              <w:pStyle w:val="Prrafodelista"/>
              <w:widowControl w:val="0"/>
              <w:numPr>
                <w:ilvl w:val="0"/>
                <w:numId w:val="17"/>
              </w:numPr>
              <w:tabs>
                <w:tab w:val="left" w:pos="3828"/>
              </w:tabs>
              <w:autoSpaceDE w:val="0"/>
              <w:autoSpaceDN w:val="0"/>
              <w:spacing w:after="120" w:line="276" w:lineRule="auto"/>
              <w:jc w:val="both"/>
              <w:rPr>
                <w:rFonts w:ascii="Verdana" w:eastAsia="Aptos" w:hAnsi="Verdana" w:cs="Arial"/>
              </w:rPr>
            </w:pPr>
            <w:r w:rsidRPr="005F35CB">
              <w:rPr>
                <w:rFonts w:ascii="Verdana" w:eastAsia="Aptos" w:hAnsi="Verdana" w:cs="Arial"/>
              </w:rPr>
              <w:t>Consejo de Estado. Sala de Consulta y Servicio Civil, concepto del 6 de noviembre de 2008. Rad. 2008-00079-00 (1927). C.P. William Zambrano Cetina.</w:t>
            </w:r>
          </w:p>
          <w:p w14:paraId="0DBEAEA9" w14:textId="77777777" w:rsidR="00A76E99" w:rsidRPr="005F35CB" w:rsidRDefault="00A76E99" w:rsidP="00A76E99">
            <w:pPr>
              <w:pStyle w:val="Prrafodelista"/>
              <w:widowControl w:val="0"/>
              <w:numPr>
                <w:ilvl w:val="0"/>
                <w:numId w:val="17"/>
              </w:numPr>
              <w:tabs>
                <w:tab w:val="left" w:pos="3828"/>
              </w:tabs>
              <w:autoSpaceDE w:val="0"/>
              <w:autoSpaceDN w:val="0"/>
              <w:spacing w:after="120" w:line="276" w:lineRule="auto"/>
              <w:jc w:val="both"/>
              <w:rPr>
                <w:rFonts w:ascii="Verdana" w:eastAsia="Aptos" w:hAnsi="Verdana" w:cs="Arial"/>
              </w:rPr>
            </w:pPr>
            <w:r w:rsidRPr="005F35CB">
              <w:rPr>
                <w:rFonts w:ascii="Verdana" w:eastAsia="Aptos" w:hAnsi="Verdana" w:cs="Arial"/>
              </w:rPr>
              <w:t xml:space="preserve">Consejo de Estado. Sala de lo Contencioso Administrativo. Sección Tercera, Subsección C. Sentencia del 26 de febrero de 2011. Radicado: 11001-03-26-000-2009-00018-00 (36.408). C.P. Jaime Orlando Santofimio.   </w:t>
            </w:r>
          </w:p>
          <w:p w14:paraId="673F3B3D" w14:textId="77777777" w:rsidR="00A76E99" w:rsidRDefault="00A76E99" w:rsidP="00A76E99">
            <w:pPr>
              <w:pStyle w:val="Prrafodelista"/>
              <w:widowControl w:val="0"/>
              <w:numPr>
                <w:ilvl w:val="0"/>
                <w:numId w:val="17"/>
              </w:numPr>
              <w:tabs>
                <w:tab w:val="left" w:pos="3828"/>
              </w:tabs>
              <w:autoSpaceDE w:val="0"/>
              <w:autoSpaceDN w:val="0"/>
              <w:spacing w:after="120" w:line="276" w:lineRule="auto"/>
              <w:jc w:val="both"/>
              <w:rPr>
                <w:rFonts w:ascii="Verdana" w:eastAsia="Aptos" w:hAnsi="Verdana" w:cs="Arial"/>
              </w:rPr>
            </w:pPr>
            <w:r w:rsidRPr="005F35CB">
              <w:rPr>
                <w:rFonts w:ascii="Verdana" w:eastAsia="Aptos" w:hAnsi="Verdana" w:cs="Arial"/>
              </w:rPr>
              <w:t xml:space="preserve">Consejo de Estado, Sección Tercera, Subsección C. Sentencia del 26 de febrero de 2014. C.P. Enrique Gil Botero. Radicado: 13001-23-31-000-1999-00113-01 (25.804). M.P: Enrique Gil Botero.   </w:t>
            </w:r>
          </w:p>
          <w:p w14:paraId="7FD0837E" w14:textId="77777777" w:rsidR="00A76E99" w:rsidRDefault="00A76E99" w:rsidP="00A76E99">
            <w:pPr>
              <w:pStyle w:val="Prrafodelista"/>
              <w:widowControl w:val="0"/>
              <w:numPr>
                <w:ilvl w:val="0"/>
                <w:numId w:val="17"/>
              </w:numPr>
              <w:tabs>
                <w:tab w:val="left" w:pos="3828"/>
              </w:tabs>
              <w:autoSpaceDE w:val="0"/>
              <w:autoSpaceDN w:val="0"/>
              <w:spacing w:after="120" w:line="276" w:lineRule="auto"/>
              <w:jc w:val="both"/>
              <w:rPr>
                <w:rFonts w:ascii="Verdana" w:eastAsia="Aptos" w:hAnsi="Verdana" w:cs="Arial"/>
              </w:rPr>
            </w:pPr>
            <w:r w:rsidRPr="005F35CB">
              <w:rPr>
                <w:rFonts w:ascii="Verdana" w:eastAsia="Aptos" w:hAnsi="Verdana" w:cs="Arial"/>
              </w:rPr>
              <w:t>Consejo de Estado. Sala de Consulta y Servicio Civil. Concepto del 20 de mayo de 2010. Rad. 2010-00034-00 (1992). C.P. Enrique José Arboleda Perdomo.</w:t>
            </w:r>
          </w:p>
          <w:p w14:paraId="7D517BD2" w14:textId="77777777" w:rsidR="00A76E99" w:rsidRDefault="00A76E99" w:rsidP="00A76E99">
            <w:pPr>
              <w:pStyle w:val="Prrafodelista"/>
              <w:widowControl w:val="0"/>
              <w:numPr>
                <w:ilvl w:val="0"/>
                <w:numId w:val="17"/>
              </w:numPr>
              <w:tabs>
                <w:tab w:val="left" w:pos="3828"/>
              </w:tabs>
              <w:autoSpaceDE w:val="0"/>
              <w:autoSpaceDN w:val="0"/>
              <w:spacing w:after="120" w:line="276" w:lineRule="auto"/>
              <w:jc w:val="both"/>
              <w:rPr>
                <w:rFonts w:ascii="Verdana" w:eastAsia="Aptos" w:hAnsi="Verdana" w:cs="Arial"/>
              </w:rPr>
            </w:pPr>
            <w:r w:rsidRPr="005F35CB">
              <w:rPr>
                <w:rFonts w:ascii="Verdana" w:eastAsia="Aptos" w:hAnsi="Verdana" w:cs="Arial"/>
              </w:rPr>
              <w:t>Consejo de Estado. Sala de lo Contencioso Administrativo. Sección Tercera. Sentencia de 30 de noviembre de 2006. Radicado: 11001-03-26-000-2000-00020-01 (18.059). M.P. Alier Hernández Enríquez.</w:t>
            </w:r>
          </w:p>
          <w:p w14:paraId="3A081BA7" w14:textId="77777777" w:rsidR="00A76E99" w:rsidRDefault="00A76E99" w:rsidP="00A76E99">
            <w:pPr>
              <w:pStyle w:val="Prrafodelista"/>
              <w:widowControl w:val="0"/>
              <w:numPr>
                <w:ilvl w:val="0"/>
                <w:numId w:val="17"/>
              </w:numPr>
              <w:tabs>
                <w:tab w:val="left" w:pos="3828"/>
              </w:tabs>
              <w:autoSpaceDE w:val="0"/>
              <w:autoSpaceDN w:val="0"/>
              <w:spacing w:after="120" w:line="276" w:lineRule="auto"/>
              <w:jc w:val="both"/>
              <w:rPr>
                <w:rFonts w:ascii="Verdana" w:eastAsia="Aptos" w:hAnsi="Verdana" w:cs="Arial"/>
              </w:rPr>
            </w:pPr>
            <w:r w:rsidRPr="005F35CB">
              <w:rPr>
                <w:rFonts w:ascii="Verdana" w:eastAsia="Aptos" w:hAnsi="Verdana" w:cs="Arial"/>
              </w:rPr>
              <w:t>Consejo de Estado. Sala de lo Contencioso Administrativo. Sección Tercera Subsección B. Sentencia del 27 de abril de 2011. Radicado: 25000-23-26-000-1997-03924-01 (18.293). C.P. Ponente: Ruth Stella Correa Palacio.</w:t>
            </w:r>
          </w:p>
          <w:p w14:paraId="6419B2F4" w14:textId="77777777" w:rsidR="00A76E99" w:rsidRPr="005F35CB" w:rsidRDefault="00A76E99" w:rsidP="00A76E99">
            <w:pPr>
              <w:pStyle w:val="Prrafodelista"/>
              <w:widowControl w:val="0"/>
              <w:numPr>
                <w:ilvl w:val="0"/>
                <w:numId w:val="17"/>
              </w:numPr>
              <w:tabs>
                <w:tab w:val="left" w:pos="3828"/>
              </w:tabs>
              <w:autoSpaceDE w:val="0"/>
              <w:autoSpaceDN w:val="0"/>
              <w:spacing w:after="120" w:line="276" w:lineRule="auto"/>
              <w:jc w:val="both"/>
              <w:rPr>
                <w:rFonts w:ascii="Verdana" w:eastAsia="Aptos" w:hAnsi="Verdana" w:cs="Arial"/>
              </w:rPr>
            </w:pPr>
            <w:r w:rsidRPr="005F35CB">
              <w:rPr>
                <w:rFonts w:ascii="Verdana" w:eastAsia="Aptos" w:hAnsi="Verdana" w:cs="Arial"/>
              </w:rPr>
              <w:t>Consejo de Estado. Sección Tercera. Sentencia del 21 de noviembre de 2013. Radicado 25000-23-26-000-1999-01850-01 (25.397). C.P. Carlos Alberto Zambrano Barrera.</w:t>
            </w:r>
          </w:p>
          <w:p w14:paraId="48F319F3" w14:textId="77777777" w:rsidR="00A76E99" w:rsidRPr="005F35CB" w:rsidRDefault="00A76E99" w:rsidP="00A76E99">
            <w:pPr>
              <w:pStyle w:val="Prrafodelista"/>
              <w:numPr>
                <w:ilvl w:val="0"/>
                <w:numId w:val="17"/>
              </w:numPr>
              <w:jc w:val="both"/>
              <w:rPr>
                <w:rFonts w:ascii="Verdana" w:eastAsia="Aptos" w:hAnsi="Verdana" w:cs="Arial"/>
              </w:rPr>
            </w:pPr>
            <w:r w:rsidRPr="005F35CB">
              <w:rPr>
                <w:rFonts w:ascii="Verdana" w:eastAsia="Aptos" w:hAnsi="Verdana" w:cs="Arial"/>
              </w:rPr>
              <w:t xml:space="preserve">Circular </w:t>
            </w:r>
            <w:r>
              <w:rPr>
                <w:rFonts w:ascii="Verdana" w:eastAsia="Aptos" w:hAnsi="Verdana" w:cs="Arial"/>
              </w:rPr>
              <w:t xml:space="preserve">Única </w:t>
            </w:r>
            <w:r w:rsidRPr="005F35CB">
              <w:rPr>
                <w:rFonts w:ascii="Verdana" w:eastAsia="Aptos" w:hAnsi="Verdana" w:cs="Arial"/>
              </w:rPr>
              <w:t xml:space="preserve">Externa. Agencia Nacional de Contratación Pública. Disponible en </w:t>
            </w:r>
            <w:hyperlink r:id="rId13" w:history="1">
              <w:r w:rsidRPr="005F35CB">
                <w:rPr>
                  <w:rStyle w:val="Hipervnculo"/>
                  <w:rFonts w:ascii="Verdana" w:hAnsi="Verdana"/>
                  <w:lang w:val="es-CO"/>
                </w:rPr>
                <w:t>circular_externa_unica_version_3_vf49.pdf</w:t>
              </w:r>
            </w:hyperlink>
          </w:p>
          <w:p w14:paraId="31375AEA" w14:textId="77777777" w:rsidR="00A76E99" w:rsidRPr="005F35CB" w:rsidRDefault="00A76E99" w:rsidP="00A76E99">
            <w:pPr>
              <w:pStyle w:val="Prrafodelista"/>
              <w:numPr>
                <w:ilvl w:val="0"/>
                <w:numId w:val="17"/>
              </w:numPr>
              <w:jc w:val="both"/>
              <w:rPr>
                <w:rFonts w:ascii="Verdana" w:eastAsia="Aptos" w:hAnsi="Verdana" w:cs="Arial"/>
              </w:rPr>
            </w:pPr>
            <w:r w:rsidRPr="00E85A8F">
              <w:rPr>
                <w:rFonts w:ascii="Verdana" w:eastAsia="Calibri" w:hAnsi="Verdana" w:cs="Arial"/>
              </w:rPr>
              <w:t>Manual para determinar y verificar los requisitos habilitantes en los Procesos de Contratación</w:t>
            </w:r>
            <w:r>
              <w:rPr>
                <w:rFonts w:ascii="Verdana" w:hAnsi="Verdana"/>
                <w:sz w:val="16"/>
                <w:szCs w:val="16"/>
                <w:lang w:val="es-CO"/>
              </w:rPr>
              <w:t xml:space="preserve">. </w:t>
            </w:r>
            <w:r w:rsidRPr="005F35CB">
              <w:rPr>
                <w:rFonts w:ascii="Verdana" w:hAnsi="Verdana"/>
                <w:lang w:val="es-CO"/>
              </w:rPr>
              <w:t xml:space="preserve">Disponible en </w:t>
            </w:r>
            <w:hyperlink r:id="rId14" w:history="1">
              <w:r w:rsidRPr="005F35CB">
                <w:rPr>
                  <w:rStyle w:val="Hipervnculo"/>
                  <w:rFonts w:ascii="Verdana" w:hAnsi="Verdana"/>
                  <w:lang w:val="es-CO"/>
                </w:rPr>
                <w:t>cce-eicp-ma-04._manual_requisitos_habilitantes_v3_29-09-2023.pdf</w:t>
              </w:r>
            </w:hyperlink>
          </w:p>
          <w:p w14:paraId="33A7A278" w14:textId="77777777" w:rsidR="00A76E99" w:rsidRDefault="00A76E99" w:rsidP="00A76E99">
            <w:pPr>
              <w:pStyle w:val="Prrafodelista"/>
              <w:numPr>
                <w:ilvl w:val="0"/>
                <w:numId w:val="17"/>
              </w:numPr>
              <w:jc w:val="both"/>
              <w:rPr>
                <w:rFonts w:ascii="Verdana" w:eastAsia="Aptos" w:hAnsi="Verdana" w:cs="Arial"/>
              </w:rPr>
            </w:pPr>
            <w:r w:rsidRPr="005F35CB">
              <w:rPr>
                <w:rFonts w:ascii="Verdana" w:eastAsia="Aptos" w:hAnsi="Verdana" w:cs="Arial"/>
              </w:rPr>
              <w:lastRenderedPageBreak/>
              <w:t xml:space="preserve">OSPINA MENA, Jesús Marino. Régimen de la Contratación Estatal. Un salto a la contratación líquida. Bogotá: Ed. 1ª. </w:t>
            </w:r>
            <w:proofErr w:type="spellStart"/>
            <w:r w:rsidRPr="005F35CB">
              <w:rPr>
                <w:rFonts w:ascii="Verdana" w:eastAsia="Aptos" w:hAnsi="Verdana" w:cs="Arial"/>
              </w:rPr>
              <w:t>Diké</w:t>
            </w:r>
            <w:proofErr w:type="spellEnd"/>
            <w:r w:rsidRPr="005F35CB">
              <w:rPr>
                <w:rFonts w:ascii="Verdana" w:eastAsia="Aptos" w:hAnsi="Verdana" w:cs="Arial"/>
              </w:rPr>
              <w:t>, 2020</w:t>
            </w:r>
            <w:r>
              <w:rPr>
                <w:rFonts w:ascii="Verdana" w:eastAsia="Aptos" w:hAnsi="Verdana" w:cs="Arial"/>
              </w:rPr>
              <w:t>.</w:t>
            </w:r>
          </w:p>
          <w:p w14:paraId="411098CE" w14:textId="77777777" w:rsidR="00A76E99" w:rsidRPr="005F35CB" w:rsidRDefault="00A76E99" w:rsidP="00A76E99">
            <w:pPr>
              <w:pStyle w:val="Prrafodelista"/>
              <w:numPr>
                <w:ilvl w:val="0"/>
                <w:numId w:val="17"/>
              </w:numPr>
              <w:jc w:val="both"/>
              <w:rPr>
                <w:rFonts w:ascii="Verdana" w:eastAsia="Aptos" w:hAnsi="Verdana" w:cs="Arial"/>
              </w:rPr>
            </w:pPr>
            <w:r w:rsidRPr="005F35CB">
              <w:rPr>
                <w:rFonts w:ascii="Verdana" w:eastAsia="Aptos" w:hAnsi="Verdana" w:cs="Arial"/>
              </w:rPr>
              <w:t xml:space="preserve">RODRÍGUEZ TAMAYO, Mauricio Fernando. Evaluación y rechazo de ofertas en la Ley 80 de 1993. Medellín: Librería Jurídica Sánchez, 2016. </w:t>
            </w:r>
          </w:p>
        </w:tc>
      </w:tr>
    </w:tbl>
    <w:p w14:paraId="3533530C" w14:textId="77777777" w:rsidR="00A76E99" w:rsidRPr="005644FE" w:rsidRDefault="00A76E99" w:rsidP="00A76E99">
      <w:pPr>
        <w:widowControl w:val="0"/>
        <w:tabs>
          <w:tab w:val="left" w:pos="3828"/>
        </w:tabs>
        <w:autoSpaceDE w:val="0"/>
        <w:autoSpaceDN w:val="0"/>
        <w:spacing w:after="0" w:line="276" w:lineRule="auto"/>
        <w:jc w:val="both"/>
        <w:rPr>
          <w:rFonts w:ascii="Verdana" w:hAnsi="Verdana" w:cs="Arial"/>
        </w:rPr>
      </w:pPr>
    </w:p>
    <w:p w14:paraId="0D05C389" w14:textId="77777777" w:rsidR="00A76E99" w:rsidRPr="005644FE" w:rsidRDefault="00A76E99" w:rsidP="00A76E99">
      <w:pPr>
        <w:tabs>
          <w:tab w:val="left" w:pos="142"/>
          <w:tab w:val="left" w:pos="284"/>
          <w:tab w:val="left" w:pos="3828"/>
        </w:tabs>
        <w:spacing w:after="0" w:line="276" w:lineRule="auto"/>
        <w:jc w:val="both"/>
        <w:rPr>
          <w:rFonts w:ascii="Verdana" w:eastAsia="Century Gothic" w:hAnsi="Verdana" w:cs="Century Gothic"/>
          <w:b/>
          <w:bCs/>
        </w:rPr>
      </w:pPr>
      <w:r w:rsidRPr="005644FE">
        <w:rPr>
          <w:rFonts w:ascii="Verdana" w:eastAsia="Century Gothic" w:hAnsi="Verdana" w:cs="Century Gothic"/>
          <w:b/>
          <w:bCs/>
        </w:rPr>
        <w:t>5. Doctrina de la Agencia Nacional de Contratación Pública:</w:t>
      </w:r>
    </w:p>
    <w:p w14:paraId="312B1FE2" w14:textId="77777777" w:rsidR="00A76E99" w:rsidRPr="005644FE" w:rsidRDefault="00A76E99" w:rsidP="00A76E99">
      <w:pPr>
        <w:widowControl w:val="0"/>
        <w:tabs>
          <w:tab w:val="left" w:pos="3828"/>
        </w:tabs>
        <w:autoSpaceDE w:val="0"/>
        <w:autoSpaceDN w:val="0"/>
        <w:spacing w:after="0" w:line="276" w:lineRule="auto"/>
        <w:jc w:val="both"/>
        <w:rPr>
          <w:rFonts w:ascii="Verdana" w:hAnsi="Verdana" w:cs="Arial"/>
          <w:shd w:val="clear" w:color="auto" w:fill="FFFFFF"/>
        </w:rPr>
      </w:pPr>
    </w:p>
    <w:p w14:paraId="5E72F505" w14:textId="77777777" w:rsidR="00A76E99" w:rsidRDefault="00A76E99" w:rsidP="00A76E99">
      <w:pPr>
        <w:widowControl w:val="0"/>
        <w:autoSpaceDE w:val="0"/>
        <w:autoSpaceDN w:val="0"/>
        <w:spacing w:after="0" w:line="276" w:lineRule="auto"/>
        <w:jc w:val="both"/>
        <w:rPr>
          <w:rStyle w:val="normaltextrun"/>
          <w:rFonts w:ascii="Verdana" w:hAnsi="Verdana" w:cs="Arial"/>
          <w:shd w:val="clear" w:color="auto" w:fill="FFFFFF"/>
          <w:lang w:val="es-ES"/>
        </w:rPr>
      </w:pPr>
      <w:r w:rsidRPr="00277E26">
        <w:rPr>
          <w:rStyle w:val="normaltextrun"/>
          <w:rFonts w:ascii="Verdana" w:hAnsi="Verdana" w:cs="Arial"/>
          <w:shd w:val="clear" w:color="auto" w:fill="FFFFFF"/>
          <w:lang w:val="es-ES"/>
        </w:rPr>
        <w:t>Esta Subdirección</w:t>
      </w:r>
      <w:r>
        <w:rPr>
          <w:rStyle w:val="normaltextrun"/>
          <w:rFonts w:ascii="Verdana" w:hAnsi="Verdana" w:cs="Arial"/>
          <w:shd w:val="clear" w:color="auto" w:fill="FFFFFF"/>
          <w:lang w:val="es-ES"/>
        </w:rPr>
        <w:t xml:space="preserve"> </w:t>
      </w:r>
      <w:r w:rsidRPr="009D1699">
        <w:rPr>
          <w:rStyle w:val="normaltextrun"/>
          <w:rFonts w:ascii="Verdana" w:hAnsi="Verdana" w:cs="Arial"/>
          <w:shd w:val="clear" w:color="auto" w:fill="FFFFFF"/>
          <w:lang w:val="es-ES"/>
        </w:rPr>
        <w:t xml:space="preserve">se ha pronunciado sobre la </w:t>
      </w:r>
      <w:r>
        <w:rPr>
          <w:rStyle w:val="normaltextrun"/>
          <w:rFonts w:ascii="Verdana" w:hAnsi="Verdana" w:cs="Arial"/>
          <w:shd w:val="clear" w:color="auto" w:fill="FFFFFF"/>
          <w:lang w:val="es-ES"/>
        </w:rPr>
        <w:t xml:space="preserve">regla de </w:t>
      </w:r>
      <w:proofErr w:type="spellStart"/>
      <w:r>
        <w:rPr>
          <w:rStyle w:val="normaltextrun"/>
          <w:rFonts w:ascii="Verdana" w:hAnsi="Verdana" w:cs="Arial"/>
          <w:shd w:val="clear" w:color="auto" w:fill="FFFFFF"/>
          <w:lang w:val="es-ES"/>
        </w:rPr>
        <w:t>subsanabilidad</w:t>
      </w:r>
      <w:proofErr w:type="spellEnd"/>
      <w:r w:rsidRPr="00277E26">
        <w:rPr>
          <w:rStyle w:val="normaltextrun"/>
          <w:rFonts w:ascii="Verdana" w:hAnsi="Verdana" w:cs="Arial"/>
          <w:shd w:val="clear" w:color="auto" w:fill="FFFFFF"/>
          <w:lang w:val="es-ES"/>
        </w:rPr>
        <w:t xml:space="preserve"> en los Conceptos </w:t>
      </w:r>
      <w:r w:rsidRPr="00E90148">
        <w:rPr>
          <w:rStyle w:val="normaltextrun"/>
          <w:rFonts w:ascii="Verdana" w:hAnsi="Verdana" w:cs="Arial"/>
          <w:shd w:val="clear" w:color="auto" w:fill="FFFFFF"/>
          <w:lang w:val="es-ES"/>
        </w:rPr>
        <w:t>C-218 del 2 de abril de 2020, C-229 del 16 de abril de 2020, C-307 del 21 de mayo de 2020, C-396 del 16 de julio de 2020, C-410 del 26 de junio de 2020, C-429 del 24 de julio de 2020, C-481 del 27 de julio de 2020, C-548 del 21 de agosto de 2020, C-633 del 2 de octubre de 2020, C-634 del 21 de octubre de 2020, C-675 del 25 de noviembre de 2020, C-802 del 1° de febrero de 2021, C-010 del 16 de febrero de 2021, C-083 del 18 de marzo de 2021, C-090 del 23 de marzo de 2021, C-565 del 11 de octubre de 2021, C-691 del 28 de diciembre de 2021, C-716 del 23 de enero de 2022, C-728 del 26 de enero de 2022, C-753 del 6 de febrero de 2022, C-114 del 22 de marzo de 2022, C-140 del 28 de marzo de 2022, C-162 del 5 de abril de 2022, C-285 del 20 de mayo de 2022, C-343 del 31 de mayo de 2022, C-381 del 15 de julio de 2022, C-416 del 30 de junio de 2022, C-431 del 7 de julio de 2022, C-434 del 8 de julio de 2022, C-542 del 23 de agosto de 2022, C-595 del 9 de septiembre de 2022, C-772 del 28 de noviembre de 2022, C-793 del 21 de noviembre de 2022, C-923 del 27 de diciembre de 2022, C-965 del 27 de enero de 2023, C-058 del 10 de mayo de 2023, C-082 del 19 de abril de 2023</w:t>
      </w:r>
      <w:r>
        <w:rPr>
          <w:rStyle w:val="normaltextrun"/>
          <w:rFonts w:ascii="Verdana" w:hAnsi="Verdana" w:cs="Arial"/>
          <w:shd w:val="clear" w:color="auto" w:fill="FFFFFF"/>
          <w:lang w:val="es-ES"/>
        </w:rPr>
        <w:t>,</w:t>
      </w:r>
      <w:r w:rsidRPr="00E90148">
        <w:rPr>
          <w:rStyle w:val="normaltextrun"/>
          <w:rFonts w:ascii="Verdana" w:hAnsi="Verdana" w:cs="Arial"/>
          <w:shd w:val="clear" w:color="auto" w:fill="FFFFFF"/>
          <w:lang w:val="es-ES"/>
        </w:rPr>
        <w:t xml:space="preserve"> C-216 del 6 de junio de 2023</w:t>
      </w:r>
      <w:r>
        <w:rPr>
          <w:rStyle w:val="normaltextrun"/>
          <w:rFonts w:ascii="Verdana" w:hAnsi="Verdana" w:cs="Arial"/>
          <w:shd w:val="clear" w:color="auto" w:fill="FFFFFF"/>
          <w:lang w:val="es-ES"/>
        </w:rPr>
        <w:t>, C-304 del 4 de julio de 2023, C-051 del 21 de febrero de 2025, C-293 del 16 de abril de 2025, C-295 del 16 de abril de 2025, C-678 del 9 de julio de 2025, C- 1363 del 30 de octubre de 2025, C-1376 del 31 de octubre de 2025, entre otros</w:t>
      </w:r>
      <w:r w:rsidRPr="00277E26">
        <w:rPr>
          <w:rStyle w:val="normaltextrun"/>
          <w:rFonts w:ascii="Verdana" w:hAnsi="Verdana" w:cs="Arial"/>
          <w:shd w:val="clear" w:color="auto" w:fill="FFFFFF"/>
          <w:lang w:val="es-ES"/>
        </w:rPr>
        <w:t xml:space="preserve">. </w:t>
      </w:r>
    </w:p>
    <w:p w14:paraId="7B2EAB70" w14:textId="77777777" w:rsidR="00A76E99" w:rsidRDefault="00A76E99" w:rsidP="00A76E99">
      <w:pPr>
        <w:widowControl w:val="0"/>
        <w:autoSpaceDE w:val="0"/>
        <w:autoSpaceDN w:val="0"/>
        <w:spacing w:after="0" w:line="240" w:lineRule="auto"/>
        <w:jc w:val="both"/>
        <w:rPr>
          <w:rStyle w:val="normaltextrun"/>
          <w:rFonts w:ascii="Verdana" w:hAnsi="Verdana" w:cs="Arial"/>
          <w:shd w:val="clear" w:color="auto" w:fill="FFFFFF"/>
          <w:lang w:val="es-ES"/>
        </w:rPr>
      </w:pPr>
    </w:p>
    <w:p w14:paraId="4873D3BC" w14:textId="1D6D2F37" w:rsidR="00A76E99" w:rsidRPr="005644FE" w:rsidRDefault="00A76E99" w:rsidP="00A76E99">
      <w:pPr>
        <w:widowControl w:val="0"/>
        <w:tabs>
          <w:tab w:val="left" w:pos="3828"/>
        </w:tabs>
        <w:autoSpaceDE w:val="0"/>
        <w:autoSpaceDN w:val="0"/>
        <w:spacing w:after="0" w:line="276" w:lineRule="auto"/>
        <w:jc w:val="both"/>
        <w:rPr>
          <w:rFonts w:ascii="Verdana" w:eastAsia="Times New Roman" w:hAnsi="Verdana" w:cs="Arial"/>
          <w:shd w:val="clear" w:color="auto" w:fill="FFFFFF"/>
        </w:rPr>
      </w:pPr>
      <w:r>
        <w:rPr>
          <w:rStyle w:val="normaltextrun"/>
          <w:rFonts w:ascii="Verdana" w:hAnsi="Verdana" w:cs="Arial"/>
          <w:shd w:val="clear" w:color="auto" w:fill="FFFFFF"/>
          <w:lang w:val="es-ES"/>
        </w:rPr>
        <w:t xml:space="preserve">Sobre las causales de rechazo contempladas en el pliego de condiciones, esta Subdirección se ha pronunciado en los conceptos </w:t>
      </w:r>
      <w:r w:rsidRPr="0039727B">
        <w:rPr>
          <w:rFonts w:ascii="Verdana" w:eastAsia="Calibri" w:hAnsi="Verdana" w:cs="Arial"/>
          <w:shd w:val="clear" w:color="auto" w:fill="FFFFFF"/>
          <w:lang w:val="es-ES"/>
        </w:rPr>
        <w:t>2201913000007117 del 25 de septiembre de 2019, 2201913000009538 del 23 de diciembre de 2019, C- 716 del 30 de octubre de 2020, C-096 del 24 de marzo de 2021, C-056 del 20 de abril de 2021, C-078 del 15 de marzo de 2022, C-321 del 17 de mayo de 2022, C-113 del 22 de marzo de 2022, C-178, C-186 del 12 de abril de 2022, C-406 del 2 de octubre de 2023,</w:t>
      </w:r>
      <w:r>
        <w:rPr>
          <w:rFonts w:ascii="Verdana" w:eastAsia="Calibri" w:hAnsi="Verdana" w:cs="Arial"/>
          <w:shd w:val="clear" w:color="auto" w:fill="FFFFFF"/>
          <w:lang w:val="es-ES"/>
        </w:rPr>
        <w:t xml:space="preserve"> C-244 del 13 de agosto de 2024,</w:t>
      </w:r>
      <w:r w:rsidRPr="0039727B">
        <w:rPr>
          <w:rFonts w:ascii="Verdana" w:eastAsia="Calibri" w:hAnsi="Verdana" w:cs="Arial"/>
          <w:shd w:val="clear" w:color="auto" w:fill="FFFFFF"/>
          <w:lang w:val="es-ES"/>
        </w:rPr>
        <w:t xml:space="preserve"> </w:t>
      </w:r>
      <w:r>
        <w:rPr>
          <w:rFonts w:ascii="Verdana" w:eastAsia="Calibri" w:hAnsi="Verdana" w:cs="Arial"/>
          <w:shd w:val="clear" w:color="auto" w:fill="FFFFFF"/>
          <w:lang w:val="es-ES"/>
        </w:rPr>
        <w:t xml:space="preserve">C- 848 del 4 de </w:t>
      </w:r>
      <w:r>
        <w:rPr>
          <w:rFonts w:ascii="Verdana" w:eastAsia="Calibri" w:hAnsi="Verdana" w:cs="Arial"/>
          <w:shd w:val="clear" w:color="auto" w:fill="FFFFFF"/>
          <w:lang w:val="es-ES"/>
        </w:rPr>
        <w:lastRenderedPageBreak/>
        <w:t xml:space="preserve">agosto de 2025, </w:t>
      </w:r>
      <w:r w:rsidRPr="0039727B">
        <w:rPr>
          <w:rFonts w:ascii="Verdana" w:eastAsia="Calibri" w:hAnsi="Verdana" w:cs="Arial"/>
          <w:shd w:val="clear" w:color="auto" w:fill="FFFFFF"/>
          <w:lang w:val="es-ES"/>
        </w:rPr>
        <w:t>entre otros</w:t>
      </w:r>
      <w:r w:rsidR="2127726B" w:rsidRPr="0039727B">
        <w:rPr>
          <w:rFonts w:ascii="Verdana" w:eastAsia="Calibri" w:hAnsi="Verdana" w:cs="Arial"/>
          <w:shd w:val="clear" w:color="auto" w:fill="FFFFFF"/>
          <w:lang w:val="es-ES"/>
        </w:rPr>
        <w:t>.</w:t>
      </w:r>
      <w:r>
        <w:rPr>
          <w:rStyle w:val="normaltextrun"/>
          <w:rFonts w:ascii="Verdana" w:hAnsi="Verdana" w:cs="Arial"/>
          <w:shd w:val="clear" w:color="auto" w:fill="FFFFFF"/>
          <w:lang w:val="es-ES"/>
        </w:rPr>
        <w:t xml:space="preserve"> </w:t>
      </w:r>
      <w:r w:rsidRPr="00314EDC">
        <w:rPr>
          <w:rFonts w:ascii="Verdana" w:hAnsi="Verdana" w:cs="Arial"/>
        </w:rPr>
        <w:t xml:space="preserve">Estos y otros </w:t>
      </w:r>
      <w:r w:rsidRPr="00314EDC">
        <w:rPr>
          <w:rFonts w:ascii="Verdana" w:hAnsi="Verdana"/>
        </w:rPr>
        <w:t>conceptos se encuentran disponibles para consulta en el Sistema de relatoría de la Agencia, al cual se puede acceder a través del siguiente enlace:</w:t>
      </w:r>
      <w:r w:rsidRPr="00314EDC">
        <w:rPr>
          <w:rFonts w:ascii="Verdana" w:hAnsi="Verdana" w:cs="Arial"/>
          <w:shd w:val="clear" w:color="auto" w:fill="FFFFFF"/>
        </w:rPr>
        <w:t xml:space="preserve"> </w:t>
      </w:r>
      <w:hyperlink r:id="rId15" w:history="1">
        <w:r w:rsidRPr="00314EDC">
          <w:rPr>
            <w:rStyle w:val="Hipervnculo"/>
            <w:rFonts w:ascii="Verdana" w:hAnsi="Verdana" w:cs="Arial"/>
            <w:shd w:val="clear" w:color="auto" w:fill="FFFFFF"/>
          </w:rPr>
          <w:t>https://relatoria.colombiacompra.gov.co/busqueda/conceptos</w:t>
        </w:r>
      </w:hyperlink>
      <w:r w:rsidRPr="00314EDC">
        <w:rPr>
          <w:rFonts w:ascii="Verdana" w:hAnsi="Verdana" w:cs="Arial"/>
          <w:shd w:val="clear" w:color="auto" w:fill="FFFFFF"/>
        </w:rPr>
        <w:t>.</w:t>
      </w:r>
      <w:r w:rsidRPr="005644FE">
        <w:rPr>
          <w:rFonts w:ascii="Verdana" w:hAnsi="Verdana" w:cs="Arial"/>
          <w:color w:val="FF0000"/>
          <w:shd w:val="clear" w:color="auto" w:fill="FFFFFF"/>
        </w:rPr>
        <w:t xml:space="preserve"> </w:t>
      </w:r>
      <w:r w:rsidRPr="005644FE">
        <w:rPr>
          <w:rFonts w:ascii="Verdana" w:hAnsi="Verdana" w:cs="Arial"/>
          <w:color w:val="000000" w:themeColor="text1"/>
          <w:shd w:val="clear" w:color="auto" w:fill="FFFFFF"/>
        </w:rPr>
        <w:t>  </w:t>
      </w:r>
    </w:p>
    <w:p w14:paraId="1E8EAA71" w14:textId="77777777" w:rsidR="00A76E99" w:rsidRPr="006B4FA1" w:rsidRDefault="00A76E99" w:rsidP="00A76E99">
      <w:pPr>
        <w:spacing w:after="0" w:line="276" w:lineRule="auto"/>
        <w:jc w:val="both"/>
        <w:rPr>
          <w:rFonts w:ascii="Verdana" w:eastAsia="Century Gothic" w:hAnsi="Verdana" w:cs="Century Gothic"/>
        </w:rPr>
      </w:pPr>
    </w:p>
    <w:p w14:paraId="622D6E0A" w14:textId="77777777" w:rsidR="00A76E99" w:rsidRPr="00116940" w:rsidRDefault="00A76E99" w:rsidP="00A76E99">
      <w:pPr>
        <w:spacing w:after="0"/>
        <w:jc w:val="both"/>
        <w:rPr>
          <w:rFonts w:ascii="Verdana" w:hAnsi="Verdana"/>
        </w:rPr>
      </w:pPr>
      <w:r w:rsidRPr="00E02524">
        <w:rPr>
          <w:rFonts w:ascii="Verdana" w:hAnsi="Verdana"/>
        </w:rPr>
        <w:t xml:space="preserve">Por último, aprovechamos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requiera en el marco de nuestras funciones a través de nuestros diferentes canales de atención: </w:t>
      </w:r>
    </w:p>
    <w:p w14:paraId="03E3704B" w14:textId="77777777" w:rsidR="00A76E99" w:rsidRPr="00116940" w:rsidRDefault="00A76E99" w:rsidP="00A76E99">
      <w:pPr>
        <w:spacing w:after="0"/>
        <w:jc w:val="both"/>
        <w:rPr>
          <w:rFonts w:ascii="Verdana" w:hAnsi="Verdana"/>
        </w:rPr>
      </w:pPr>
    </w:p>
    <w:p w14:paraId="4757ADFC" w14:textId="77777777" w:rsidR="00A76E99" w:rsidRPr="00116940" w:rsidRDefault="00A76E99" w:rsidP="00A76E99">
      <w:pPr>
        <w:pStyle w:val="Prrafodelista"/>
        <w:numPr>
          <w:ilvl w:val="0"/>
          <w:numId w:val="15"/>
        </w:numPr>
        <w:spacing w:after="0" w:line="240" w:lineRule="auto"/>
        <w:jc w:val="both"/>
        <w:rPr>
          <w:rFonts w:ascii="Verdana" w:eastAsia="Verdana" w:hAnsi="Verdana" w:cs="Verdana"/>
          <w:color w:val="4472C4" w:themeColor="accent1"/>
          <w:u w:val="single"/>
          <w:lang w:val="es-MX"/>
        </w:rPr>
      </w:pPr>
      <w:r w:rsidRPr="00116940">
        <w:rPr>
          <w:rFonts w:ascii="Verdana" w:eastAsia="Verdana" w:hAnsi="Verdana" w:cs="Verdana"/>
          <w:lang w:val="es-MX"/>
        </w:rPr>
        <w:t xml:space="preserve">Línea nacional gratuita o servicio a la ciudadanía (Mesa de servicio): </w:t>
      </w:r>
      <w:r w:rsidRPr="00116940">
        <w:rPr>
          <w:rStyle w:val="Hipervnculo"/>
          <w:rFonts w:ascii="Verdana" w:hAnsi="Verdana"/>
        </w:rPr>
        <w:t>01800 0520808</w:t>
      </w:r>
    </w:p>
    <w:p w14:paraId="09BA73FE" w14:textId="77777777" w:rsidR="00A76E99" w:rsidRPr="00116940" w:rsidRDefault="00A76E99" w:rsidP="00A76E99">
      <w:pPr>
        <w:pStyle w:val="Prrafodelista"/>
        <w:numPr>
          <w:ilvl w:val="0"/>
          <w:numId w:val="15"/>
        </w:numPr>
        <w:spacing w:after="0"/>
        <w:rPr>
          <w:rFonts w:ascii="Verdana" w:eastAsia="Verdana" w:hAnsi="Verdana" w:cs="Verdana"/>
          <w:color w:val="4472C4" w:themeColor="accent1"/>
          <w:u w:val="single"/>
          <w:lang w:val="es-MX"/>
        </w:rPr>
      </w:pPr>
      <w:r w:rsidRPr="00116940">
        <w:rPr>
          <w:rFonts w:ascii="Verdana" w:eastAsia="Verdana" w:hAnsi="Verdana" w:cs="Verdana"/>
          <w:lang w:val="es-MX"/>
        </w:rPr>
        <w:t>Línea en Bogotá (Mesa de servicio</w:t>
      </w:r>
      <w:proofErr w:type="gramStart"/>
      <w:r w:rsidRPr="00116940">
        <w:rPr>
          <w:rFonts w:ascii="Verdana" w:eastAsia="Verdana" w:hAnsi="Verdana" w:cs="Verdana"/>
          <w:lang w:val="es-MX"/>
        </w:rPr>
        <w:t>):</w:t>
      </w:r>
      <w:r w:rsidRPr="00116940">
        <w:rPr>
          <w:rStyle w:val="Hipervnculo"/>
          <w:rFonts w:ascii="Verdana" w:hAnsi="Verdana"/>
        </w:rPr>
        <w:t>+</w:t>
      </w:r>
      <w:proofErr w:type="gramEnd"/>
      <w:r w:rsidRPr="00116940">
        <w:rPr>
          <w:rStyle w:val="Hipervnculo"/>
          <w:rFonts w:ascii="Verdana" w:hAnsi="Verdana"/>
        </w:rPr>
        <w:t>57 601 7456788</w:t>
      </w:r>
    </w:p>
    <w:p w14:paraId="510089C6" w14:textId="77777777" w:rsidR="00A76E99" w:rsidRPr="00116940" w:rsidRDefault="00A76E99" w:rsidP="00A76E99">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lang w:val="es-MX"/>
        </w:rPr>
        <w:t xml:space="preserve">Correo de radicación de correspondencia: </w:t>
      </w:r>
      <w:hyperlink r:id="rId16">
        <w:r w:rsidRPr="00116940">
          <w:rPr>
            <w:rStyle w:val="Hipervnculo"/>
            <w:rFonts w:ascii="Verdana" w:eastAsia="Verdana" w:hAnsi="Verdana" w:cs="Verdana"/>
            <w:lang w:val="es-MX"/>
          </w:rPr>
          <w:t>ventanilladeradicacion@colombiacompra.gov.co</w:t>
        </w:r>
      </w:hyperlink>
    </w:p>
    <w:p w14:paraId="1CB25B1B" w14:textId="77777777" w:rsidR="00A76E99" w:rsidRPr="00116940" w:rsidRDefault="00A76E99" w:rsidP="00A76E99">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rPr>
        <w:t>Formulario web para</w:t>
      </w:r>
      <w:r w:rsidRPr="00116940">
        <w:rPr>
          <w:rFonts w:ascii="Verdana" w:eastAsia="Verdana" w:hAnsi="Verdana" w:cs="Verdana"/>
          <w:lang w:val="es"/>
        </w:rPr>
        <w:t xml:space="preserve"> PQRSD: </w:t>
      </w:r>
      <w:hyperlink r:id="rId17">
        <w:r w:rsidRPr="00116940">
          <w:rPr>
            <w:rStyle w:val="Hipervnculo"/>
            <w:rFonts w:ascii="Verdana" w:eastAsia="Verdana" w:hAnsi="Verdana" w:cs="Verdana"/>
            <w:lang w:val="es-MX"/>
          </w:rPr>
          <w:t>https://www.colombiacompra.gov.co/pqrsd/informacion-importante-antes-de-formular-una-pqrsd</w:t>
        </w:r>
      </w:hyperlink>
    </w:p>
    <w:p w14:paraId="015DDD0D" w14:textId="77777777" w:rsidR="00A76E99" w:rsidRPr="00116940" w:rsidRDefault="00A76E99" w:rsidP="00A76E99">
      <w:pPr>
        <w:spacing w:after="0" w:line="240" w:lineRule="auto"/>
        <w:ind w:left="720"/>
        <w:jc w:val="both"/>
        <w:rPr>
          <w:rFonts w:ascii="Verdana" w:hAnsi="Verdana"/>
        </w:rPr>
      </w:pPr>
    </w:p>
    <w:p w14:paraId="08F5DEB8" w14:textId="77777777" w:rsidR="00A76E99" w:rsidRPr="00116940" w:rsidRDefault="00A76E99" w:rsidP="00A76E99">
      <w:pPr>
        <w:spacing w:after="0" w:line="240" w:lineRule="auto"/>
        <w:rPr>
          <w:rFonts w:ascii="Verdana" w:hAnsi="Verdana"/>
        </w:rPr>
      </w:pPr>
      <w:r w:rsidRPr="00116940">
        <w:rPr>
          <w:rFonts w:ascii="Verdana" w:hAnsi="Verdana"/>
        </w:rPr>
        <w:t xml:space="preserve">Evalúa el servicio que ofrece la Agencia por el canal de atención de PQRSD en el siguiente </w:t>
      </w:r>
      <w:proofErr w:type="gramStart"/>
      <w:r w:rsidRPr="00116940">
        <w:rPr>
          <w:rFonts w:ascii="Verdana" w:hAnsi="Verdana"/>
        </w:rPr>
        <w:t>enlace :</w:t>
      </w:r>
      <w:proofErr w:type="gramEnd"/>
      <w:hyperlink r:id="rId18" w:tgtFrame="_blank" w:tooltip="https://forms.office.com/r/pphywvs2sz" w:history="1">
        <w:r w:rsidRPr="00116940">
          <w:rPr>
            <w:rStyle w:val="Hipervnculo"/>
            <w:rFonts w:ascii="Verdana" w:hAnsi="Verdana"/>
          </w:rPr>
          <w:t>https://forms.office.com/r/pPHyWVs2SZ</w:t>
        </w:r>
      </w:hyperlink>
      <w:r w:rsidRPr="00116940">
        <w:rPr>
          <w:rFonts w:ascii="Verdana" w:hAnsi="Verdana"/>
        </w:rPr>
        <w:t xml:space="preserve"> .¡Ayúdanos a mejorar porque el compromiso es de todos!</w:t>
      </w:r>
    </w:p>
    <w:p w14:paraId="5B6DE5A7" w14:textId="77777777" w:rsidR="00A76E99" w:rsidRPr="00116940" w:rsidRDefault="00A76E99" w:rsidP="00A76E99">
      <w:pPr>
        <w:spacing w:after="0" w:line="240" w:lineRule="auto"/>
        <w:rPr>
          <w:rFonts w:ascii="Verdana" w:hAnsi="Verdana"/>
        </w:rPr>
      </w:pPr>
    </w:p>
    <w:p w14:paraId="22100E79" w14:textId="77777777" w:rsidR="00A76E99" w:rsidRPr="00116940" w:rsidRDefault="00A76E99" w:rsidP="00A76E99">
      <w:pPr>
        <w:spacing w:after="0" w:line="240" w:lineRule="auto"/>
        <w:jc w:val="both"/>
        <w:rPr>
          <w:rFonts w:ascii="Verdana" w:hAnsi="Verdana"/>
        </w:rPr>
      </w:pPr>
      <w:r w:rsidRPr="00116940">
        <w:rPr>
          <w:rFonts w:ascii="Verdana" w:hAnsi="Verdana"/>
        </w:rPr>
        <w:t xml:space="preserve">Por último, lo invitamos a seguirnos en las redes sociales en las cuales se difunde información institucional: </w:t>
      </w:r>
    </w:p>
    <w:p w14:paraId="5D080F2C" w14:textId="77777777" w:rsidR="00A76E99" w:rsidRPr="00116940" w:rsidRDefault="00A76E99" w:rsidP="00A76E99">
      <w:pPr>
        <w:spacing w:after="0" w:line="240" w:lineRule="auto"/>
        <w:jc w:val="both"/>
        <w:rPr>
          <w:rFonts w:ascii="Verdana" w:hAnsi="Verdana"/>
        </w:rPr>
      </w:pPr>
    </w:p>
    <w:p w14:paraId="193AF54F" w14:textId="77777777" w:rsidR="00A76E99" w:rsidRPr="00116940" w:rsidRDefault="00A76E99" w:rsidP="00A76E99">
      <w:pPr>
        <w:spacing w:after="0" w:line="240"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05E1A7E0" w14:textId="77777777" w:rsidR="00A76E99" w:rsidRPr="00116940" w:rsidRDefault="00A76E99" w:rsidP="00A76E99">
      <w:pPr>
        <w:spacing w:after="0" w:line="240" w:lineRule="auto"/>
        <w:jc w:val="both"/>
        <w:rPr>
          <w:rFonts w:ascii="Verdana" w:hAnsi="Verdana"/>
        </w:rPr>
      </w:pPr>
      <w:r w:rsidRPr="00116940">
        <w:rPr>
          <w:rFonts w:ascii="Verdana" w:hAnsi="Verdana"/>
        </w:rPr>
        <w:t xml:space="preserve">Facebook: </w:t>
      </w:r>
      <w:proofErr w:type="spellStart"/>
      <w:r w:rsidRPr="00116940">
        <w:rPr>
          <w:rStyle w:val="Hipervnculo"/>
          <w:rFonts w:ascii="Verdana" w:hAnsi="Verdana"/>
        </w:rPr>
        <w:t>ColombiaCompraEficiente</w:t>
      </w:r>
      <w:proofErr w:type="spellEnd"/>
    </w:p>
    <w:p w14:paraId="3CF1FD7D" w14:textId="77777777" w:rsidR="00A76E99" w:rsidRPr="00116940" w:rsidRDefault="00A76E99" w:rsidP="00A76E99">
      <w:pPr>
        <w:spacing w:after="0" w:line="240"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2A967855" w14:textId="77777777" w:rsidR="00A76E99" w:rsidRPr="00116940" w:rsidRDefault="00A76E99" w:rsidP="00A76E99">
      <w:pPr>
        <w:spacing w:after="0" w:line="240" w:lineRule="auto"/>
        <w:jc w:val="both"/>
        <w:rPr>
          <w:rFonts w:ascii="Verdana" w:hAnsi="Verdana"/>
        </w:rPr>
      </w:pPr>
    </w:p>
    <w:p w14:paraId="69931923" w14:textId="77777777" w:rsidR="00A76E99" w:rsidRDefault="00A76E99" w:rsidP="00A76E99">
      <w:pPr>
        <w:spacing w:after="0" w:line="240" w:lineRule="auto"/>
        <w:jc w:val="both"/>
        <w:rPr>
          <w:rFonts w:ascii="Verdana" w:hAnsi="Verdana"/>
          <w:lang w:val="es-MX"/>
        </w:rPr>
      </w:pPr>
    </w:p>
    <w:p w14:paraId="4B383FC3" w14:textId="77777777" w:rsidR="00A76E99" w:rsidRPr="00E02524" w:rsidRDefault="00A76E99" w:rsidP="00A76E99">
      <w:pPr>
        <w:spacing w:after="0" w:line="240" w:lineRule="auto"/>
        <w:jc w:val="both"/>
        <w:rPr>
          <w:rFonts w:ascii="Verdana" w:hAnsi="Verdana"/>
          <w:lang w:val="es-MX"/>
        </w:rPr>
      </w:pPr>
      <w:r w:rsidRPr="00E02524">
        <w:rPr>
          <w:rFonts w:ascii="Verdana" w:hAnsi="Verdana"/>
          <w:lang w:val="es-MX"/>
        </w:rPr>
        <w:t>Cordialmente,</w:t>
      </w:r>
    </w:p>
    <w:p w14:paraId="47F2F2D5" w14:textId="77777777" w:rsidR="00A76E99" w:rsidRPr="005644FE" w:rsidRDefault="00A76E99" w:rsidP="00A76E99">
      <w:pPr>
        <w:spacing w:after="0" w:line="276" w:lineRule="auto"/>
        <w:jc w:val="both"/>
        <w:rPr>
          <w:rFonts w:ascii="Verdana" w:eastAsia="Calibri" w:hAnsi="Verdana" w:cs="Times New Roman"/>
        </w:rPr>
      </w:pPr>
    </w:p>
    <w:p w14:paraId="4E5AAACC" w14:textId="5D1315C3" w:rsidR="00A76E99" w:rsidRDefault="00572E66" w:rsidP="00A76E99">
      <w:pPr>
        <w:spacing w:after="0" w:line="256" w:lineRule="auto"/>
        <w:jc w:val="center"/>
        <w:rPr>
          <w:rFonts w:ascii="Verdana" w:eastAsia="Calibri" w:hAnsi="Verdana" w:cs="Times New Roman"/>
        </w:rPr>
      </w:pPr>
      <w:r w:rsidRPr="0065791A">
        <w:rPr>
          <w:rFonts w:ascii="Century Gothic" w:hAnsi="Century Gothic"/>
          <w:noProof/>
        </w:rPr>
        <w:lastRenderedPageBreak/>
        <w:drawing>
          <wp:inline distT="0" distB="0" distL="0" distR="0" wp14:anchorId="4036B554" wp14:editId="3BACE65B">
            <wp:extent cx="3613741" cy="1702628"/>
            <wp:effectExtent l="0" t="0" r="6350" b="0"/>
            <wp:docPr id="119417683" name="Imagen 1" descr="Interfaz de usuario gráfica, Texto, Aplicación&#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417683" name="Imagen 1" descr="Interfaz de usuario gráfica, Texto, Aplicación&#10;&#10;Descripción generada automáticamente con confianza media"/>
                    <pic:cNvPicPr/>
                  </pic:nvPicPr>
                  <pic:blipFill>
                    <a:blip r:embed="rId19"/>
                    <a:stretch>
                      <a:fillRect/>
                    </a:stretch>
                  </pic:blipFill>
                  <pic:spPr>
                    <a:xfrm>
                      <a:off x="0" y="0"/>
                      <a:ext cx="3621423" cy="1706248"/>
                    </a:xfrm>
                    <a:prstGeom prst="rect">
                      <a:avLst/>
                    </a:prstGeom>
                  </pic:spPr>
                </pic:pic>
              </a:graphicData>
            </a:graphic>
          </wp:inline>
        </w:drawing>
      </w:r>
    </w:p>
    <w:tbl>
      <w:tblPr>
        <w:tblStyle w:val="Tablaconcuadrcula"/>
        <w:tblW w:w="59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061"/>
      </w:tblGrid>
      <w:tr w:rsidR="00A76E99" w:rsidRPr="005644FE" w14:paraId="50CB40A5" w14:textId="77777777" w:rsidTr="00313D33">
        <w:trPr>
          <w:trHeight w:val="315"/>
        </w:trPr>
        <w:tc>
          <w:tcPr>
            <w:tcW w:w="893" w:type="dxa"/>
            <w:vAlign w:val="center"/>
            <w:hideMark/>
          </w:tcPr>
          <w:p w14:paraId="075730A6" w14:textId="77777777" w:rsidR="00A76E99" w:rsidRPr="005644FE" w:rsidRDefault="00A76E99" w:rsidP="00313D33">
            <w:pPr>
              <w:contextualSpacing/>
              <w:rPr>
                <w:rFonts w:ascii="Verdana" w:hAnsi="Verdana" w:cs="Arial"/>
                <w:sz w:val="16"/>
                <w:szCs w:val="16"/>
                <w:lang w:eastAsia="es-ES"/>
              </w:rPr>
            </w:pPr>
            <w:r w:rsidRPr="005644FE">
              <w:rPr>
                <w:rFonts w:ascii="Verdana" w:hAnsi="Verdana" w:cs="Arial"/>
                <w:sz w:val="16"/>
                <w:szCs w:val="16"/>
                <w:lang w:eastAsia="es-ES"/>
              </w:rPr>
              <w:t>Elaboró:</w:t>
            </w:r>
          </w:p>
        </w:tc>
        <w:tc>
          <w:tcPr>
            <w:tcW w:w="5061" w:type="dxa"/>
            <w:tcBorders>
              <w:top w:val="nil"/>
              <w:left w:val="nil"/>
              <w:bottom w:val="dotted" w:sz="4" w:space="0" w:color="7F7F7F" w:themeColor="text1" w:themeTint="80"/>
              <w:right w:val="nil"/>
            </w:tcBorders>
            <w:vAlign w:val="center"/>
            <w:hideMark/>
          </w:tcPr>
          <w:p w14:paraId="36F2104B" w14:textId="77777777" w:rsidR="00A76E99" w:rsidRPr="005644FE" w:rsidRDefault="00A76E99" w:rsidP="00313D33">
            <w:pPr>
              <w:contextualSpacing/>
              <w:rPr>
                <w:rStyle w:val="normaltextrun"/>
                <w:rFonts w:ascii="Verdana" w:hAnsi="Verdana"/>
                <w:sz w:val="16"/>
                <w:szCs w:val="16"/>
              </w:rPr>
            </w:pPr>
            <w:r w:rsidRPr="005644FE">
              <w:rPr>
                <w:rStyle w:val="normaltextrun"/>
                <w:rFonts w:ascii="Verdana" w:hAnsi="Verdana"/>
                <w:sz w:val="16"/>
                <w:szCs w:val="16"/>
              </w:rPr>
              <w:t xml:space="preserve">Esperanza Contreras P </w:t>
            </w:r>
          </w:p>
          <w:p w14:paraId="7F67EBBA" w14:textId="77777777" w:rsidR="00A76E99" w:rsidRPr="005644FE" w:rsidRDefault="00A76E99" w:rsidP="00313D33">
            <w:pPr>
              <w:contextualSpacing/>
              <w:rPr>
                <w:rFonts w:ascii="Verdana" w:eastAsia="Arial" w:hAnsi="Verdana" w:cs="Arial"/>
                <w:sz w:val="16"/>
                <w:szCs w:val="16"/>
              </w:rPr>
            </w:pPr>
            <w:r w:rsidRPr="005644FE">
              <w:rPr>
                <w:rStyle w:val="normaltextrun"/>
                <w:rFonts w:ascii="Verdana" w:hAnsi="Verdana" w:cs="Arial"/>
                <w:sz w:val="16"/>
                <w:szCs w:val="16"/>
              </w:rPr>
              <w:t>Contratista de la Subdirección de Gestión Contractual</w:t>
            </w:r>
            <w:r w:rsidRPr="005644FE">
              <w:rPr>
                <w:rStyle w:val="eop"/>
                <w:rFonts w:ascii="Verdana" w:hAnsi="Verdana" w:cs="Arial"/>
                <w:sz w:val="16"/>
                <w:szCs w:val="16"/>
              </w:rPr>
              <w:t> </w:t>
            </w:r>
          </w:p>
        </w:tc>
      </w:tr>
      <w:tr w:rsidR="00A76E99" w:rsidRPr="005644FE" w14:paraId="4DF94092" w14:textId="77777777" w:rsidTr="00313D33">
        <w:trPr>
          <w:trHeight w:val="330"/>
        </w:trPr>
        <w:tc>
          <w:tcPr>
            <w:tcW w:w="893" w:type="dxa"/>
            <w:vAlign w:val="center"/>
            <w:hideMark/>
          </w:tcPr>
          <w:p w14:paraId="207BE05F" w14:textId="77777777" w:rsidR="00A76E99" w:rsidRPr="005644FE" w:rsidRDefault="00A76E99" w:rsidP="00313D33">
            <w:pPr>
              <w:contextualSpacing/>
              <w:rPr>
                <w:rFonts w:ascii="Verdana" w:hAnsi="Verdana" w:cs="Arial"/>
                <w:sz w:val="16"/>
                <w:szCs w:val="16"/>
                <w:lang w:eastAsia="es-ES"/>
              </w:rPr>
            </w:pPr>
            <w:r w:rsidRPr="005644FE">
              <w:rPr>
                <w:rFonts w:ascii="Verdana" w:hAnsi="Verdana" w:cs="Arial"/>
                <w:sz w:val="16"/>
                <w:szCs w:val="16"/>
                <w:lang w:eastAsia="es-ES"/>
              </w:rPr>
              <w:t>Revisó:</w:t>
            </w:r>
          </w:p>
        </w:tc>
        <w:tc>
          <w:tcPr>
            <w:tcW w:w="5061" w:type="dxa"/>
            <w:tcBorders>
              <w:top w:val="dotted" w:sz="4" w:space="0" w:color="7F7F7F" w:themeColor="text1" w:themeTint="80"/>
              <w:left w:val="nil"/>
              <w:bottom w:val="dotted" w:sz="4" w:space="0" w:color="7F7F7F" w:themeColor="text1" w:themeTint="80"/>
              <w:right w:val="nil"/>
            </w:tcBorders>
            <w:vAlign w:val="center"/>
            <w:hideMark/>
          </w:tcPr>
          <w:p w14:paraId="4B5B5B9A" w14:textId="77777777" w:rsidR="00A76E99" w:rsidRPr="00224150" w:rsidRDefault="00A76E99" w:rsidP="00313D33">
            <w:pPr>
              <w:pStyle w:val="paragraph"/>
              <w:spacing w:before="0" w:beforeAutospacing="0" w:after="0" w:afterAutospacing="0"/>
              <w:contextualSpacing/>
              <w:textAlignment w:val="baseline"/>
              <w:rPr>
                <w:rStyle w:val="normaltextrun"/>
                <w:rFonts w:ascii="Verdana" w:hAnsi="Verdana"/>
                <w:sz w:val="16"/>
                <w:szCs w:val="16"/>
              </w:rPr>
            </w:pPr>
            <w:r w:rsidRPr="00224150">
              <w:rPr>
                <w:rStyle w:val="normaltextrun"/>
                <w:rFonts w:ascii="Verdana" w:hAnsi="Verdana"/>
                <w:sz w:val="16"/>
                <w:szCs w:val="16"/>
              </w:rPr>
              <w:t>Juan Carlos González Vásquez</w:t>
            </w:r>
          </w:p>
          <w:p w14:paraId="0AD5FA8A" w14:textId="77777777" w:rsidR="00A76E99" w:rsidRPr="005644FE" w:rsidRDefault="00A76E99" w:rsidP="00313D33">
            <w:pPr>
              <w:pStyle w:val="paragraph"/>
              <w:spacing w:before="0" w:beforeAutospacing="0" w:after="0" w:afterAutospacing="0"/>
              <w:contextualSpacing/>
              <w:textAlignment w:val="baseline"/>
              <w:rPr>
                <w:rFonts w:ascii="Verdana" w:hAnsi="Verdana" w:cs="Segoe UI"/>
                <w:sz w:val="16"/>
                <w:szCs w:val="16"/>
              </w:rPr>
            </w:pPr>
            <w:r w:rsidRPr="005644FE">
              <w:rPr>
                <w:rStyle w:val="normaltextrun"/>
                <w:rFonts w:ascii="Verdana" w:hAnsi="Verdana" w:cs="Arial"/>
                <w:sz w:val="16"/>
                <w:szCs w:val="16"/>
              </w:rPr>
              <w:t>Contratista de la Subdirección de Gestión Contractual</w:t>
            </w:r>
            <w:r w:rsidRPr="005644FE">
              <w:rPr>
                <w:rStyle w:val="eop"/>
                <w:rFonts w:ascii="Verdana" w:hAnsi="Verdana" w:cs="Arial"/>
                <w:sz w:val="16"/>
                <w:szCs w:val="16"/>
              </w:rPr>
              <w:t> </w:t>
            </w:r>
          </w:p>
        </w:tc>
      </w:tr>
      <w:tr w:rsidR="00A76E99" w:rsidRPr="005644FE" w14:paraId="68C27FA2" w14:textId="77777777" w:rsidTr="00313D33">
        <w:trPr>
          <w:trHeight w:val="300"/>
        </w:trPr>
        <w:tc>
          <w:tcPr>
            <w:tcW w:w="893" w:type="dxa"/>
            <w:vAlign w:val="center"/>
          </w:tcPr>
          <w:p w14:paraId="6E2F02F8" w14:textId="77777777" w:rsidR="00A76E99" w:rsidRPr="005644FE" w:rsidRDefault="00A76E99" w:rsidP="00313D33">
            <w:pPr>
              <w:contextualSpacing/>
              <w:rPr>
                <w:rFonts w:ascii="Verdana" w:hAnsi="Verdana" w:cs="Arial"/>
                <w:sz w:val="16"/>
                <w:szCs w:val="16"/>
                <w:lang w:eastAsia="es-ES"/>
              </w:rPr>
            </w:pPr>
            <w:r w:rsidRPr="005644FE">
              <w:rPr>
                <w:rFonts w:ascii="Verdana" w:hAnsi="Verdana" w:cs="Arial"/>
                <w:sz w:val="16"/>
                <w:szCs w:val="16"/>
                <w:lang w:eastAsia="es-ES"/>
              </w:rPr>
              <w:t>Aprobó:</w:t>
            </w:r>
          </w:p>
        </w:tc>
        <w:tc>
          <w:tcPr>
            <w:tcW w:w="5061" w:type="dxa"/>
            <w:tcBorders>
              <w:top w:val="dotted" w:sz="4" w:space="0" w:color="7F7F7F" w:themeColor="text1" w:themeTint="80"/>
              <w:left w:val="nil"/>
              <w:bottom w:val="dotted" w:sz="4" w:space="0" w:color="7F7F7F" w:themeColor="text1" w:themeTint="80"/>
              <w:right w:val="nil"/>
            </w:tcBorders>
            <w:vAlign w:val="center"/>
          </w:tcPr>
          <w:p w14:paraId="1C91CD72" w14:textId="77777777" w:rsidR="00A76E99" w:rsidRPr="005644FE" w:rsidRDefault="00A76E99" w:rsidP="00313D33">
            <w:pPr>
              <w:contextualSpacing/>
              <w:rPr>
                <w:rFonts w:ascii="Verdana" w:eastAsia="Calibri" w:hAnsi="Verdana" w:cs="Arial"/>
                <w:sz w:val="16"/>
                <w:szCs w:val="16"/>
                <w:lang w:eastAsia="es-ES"/>
              </w:rPr>
            </w:pPr>
            <w:r w:rsidRPr="005644FE">
              <w:rPr>
                <w:rFonts w:ascii="Verdana" w:eastAsia="Calibri" w:hAnsi="Verdana" w:cs="Arial"/>
                <w:sz w:val="16"/>
                <w:szCs w:val="16"/>
                <w:lang w:eastAsia="es-ES"/>
              </w:rPr>
              <w:t xml:space="preserve">Carolina Quintero </w:t>
            </w:r>
            <w:proofErr w:type="spellStart"/>
            <w:r w:rsidRPr="005644FE">
              <w:rPr>
                <w:rFonts w:ascii="Verdana" w:eastAsia="Calibri" w:hAnsi="Verdana" w:cs="Arial"/>
                <w:sz w:val="16"/>
                <w:szCs w:val="16"/>
                <w:lang w:eastAsia="es-ES"/>
              </w:rPr>
              <w:t>Gacharná</w:t>
            </w:r>
            <w:proofErr w:type="spellEnd"/>
          </w:p>
          <w:p w14:paraId="208350E1" w14:textId="77777777" w:rsidR="00A76E99" w:rsidRPr="005644FE" w:rsidRDefault="00A76E99" w:rsidP="00313D33">
            <w:pPr>
              <w:contextualSpacing/>
              <w:rPr>
                <w:rFonts w:ascii="Verdana" w:eastAsia="Calibri" w:hAnsi="Verdana" w:cs="Arial"/>
                <w:sz w:val="16"/>
                <w:szCs w:val="16"/>
                <w:lang w:eastAsia="es-ES"/>
              </w:rPr>
            </w:pPr>
            <w:r w:rsidRPr="005644FE">
              <w:rPr>
                <w:rFonts w:ascii="Verdana" w:eastAsia="Calibri" w:hAnsi="Verdana" w:cs="Arial"/>
                <w:sz w:val="16"/>
                <w:szCs w:val="16"/>
                <w:lang w:eastAsia="es-ES"/>
              </w:rPr>
              <w:t>Subdirectora de Gestión Contractual ANCP – CCE</w:t>
            </w:r>
          </w:p>
        </w:tc>
      </w:tr>
    </w:tbl>
    <w:p w14:paraId="372817A3" w14:textId="77777777" w:rsidR="00A76E99" w:rsidRPr="005644FE" w:rsidRDefault="00A76E99" w:rsidP="00A76E99">
      <w:pPr>
        <w:spacing w:after="0" w:line="256" w:lineRule="auto"/>
        <w:rPr>
          <w:rFonts w:ascii="Verdana" w:eastAsia="Calibri" w:hAnsi="Verdana" w:cs="Times New Roman"/>
        </w:rPr>
      </w:pPr>
    </w:p>
    <w:p w14:paraId="181FAA60" w14:textId="77777777" w:rsidR="00A76E99" w:rsidRPr="00224150" w:rsidRDefault="00A76E99" w:rsidP="00A76E99">
      <w:pPr>
        <w:spacing w:after="0"/>
        <w:jc w:val="both"/>
        <w:rPr>
          <w:rFonts w:ascii="Verdana" w:hAnsi="Verdana"/>
        </w:rPr>
      </w:pPr>
    </w:p>
    <w:bookmarkEnd w:id="0"/>
    <w:p w14:paraId="11D7D668" w14:textId="77777777" w:rsidR="00A76E99" w:rsidRPr="0015699B" w:rsidRDefault="00A76E99" w:rsidP="00A76E99">
      <w:pPr>
        <w:spacing w:after="0" w:line="240" w:lineRule="auto"/>
        <w:jc w:val="both"/>
        <w:textAlignment w:val="baseline"/>
        <w:rPr>
          <w:rFonts w:ascii="Verdana" w:eastAsia="Times New Roman" w:hAnsi="Verdana" w:cs="Segoe UI"/>
          <w:lang w:eastAsia="es-CO"/>
        </w:rPr>
      </w:pPr>
    </w:p>
    <w:bookmarkEnd w:id="1"/>
    <w:p w14:paraId="0F293BF4" w14:textId="3A05569B" w:rsidR="00127233" w:rsidRPr="0015699B" w:rsidRDefault="00127233" w:rsidP="00C55F36">
      <w:pPr>
        <w:spacing w:after="0" w:line="240" w:lineRule="auto"/>
        <w:jc w:val="both"/>
        <w:textAlignment w:val="baseline"/>
        <w:rPr>
          <w:rFonts w:ascii="Verdana" w:eastAsia="Times New Roman" w:hAnsi="Verdana" w:cs="Segoe UI"/>
          <w:lang w:eastAsia="es-CO"/>
        </w:rPr>
      </w:pPr>
    </w:p>
    <w:sectPr w:rsidR="00127233" w:rsidRPr="0015699B" w:rsidSect="007C0C0F">
      <w:headerReference w:type="default" r:id="rId20"/>
      <w:footerReference w:type="default" r:id="rId21"/>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F826F3" w14:textId="77777777" w:rsidR="0077550A" w:rsidRDefault="0077550A" w:rsidP="004A1847">
      <w:pPr>
        <w:spacing w:after="0" w:line="240" w:lineRule="auto"/>
      </w:pPr>
      <w:r>
        <w:separator/>
      </w:r>
    </w:p>
  </w:endnote>
  <w:endnote w:type="continuationSeparator" w:id="0">
    <w:p w14:paraId="1432F147" w14:textId="77777777" w:rsidR="0077550A" w:rsidRDefault="0077550A"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Century Gothic">
    <w:altName w:val="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Geomanist Bold">
    <w:altName w:val="Corbel"/>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101983" w14:textId="77777777" w:rsidR="0077550A" w:rsidRDefault="0077550A" w:rsidP="004A1847">
      <w:pPr>
        <w:spacing w:after="0" w:line="240" w:lineRule="auto"/>
      </w:pPr>
      <w:r>
        <w:separator/>
      </w:r>
    </w:p>
  </w:footnote>
  <w:footnote w:type="continuationSeparator" w:id="0">
    <w:p w14:paraId="54933F33" w14:textId="77777777" w:rsidR="0077550A" w:rsidRDefault="0077550A" w:rsidP="004A1847">
      <w:pPr>
        <w:spacing w:after="0" w:line="240" w:lineRule="auto"/>
      </w:pPr>
      <w:r>
        <w:continuationSeparator/>
      </w:r>
    </w:p>
  </w:footnote>
  <w:footnote w:id="1">
    <w:p w14:paraId="04D8A017" w14:textId="77777777" w:rsidR="00A76E99" w:rsidRPr="00AF56B9" w:rsidRDefault="00A76E99" w:rsidP="00A76E99">
      <w:pPr>
        <w:pBdr>
          <w:top w:val="nil"/>
          <w:left w:val="nil"/>
          <w:bottom w:val="nil"/>
          <w:right w:val="nil"/>
          <w:between w:val="nil"/>
        </w:pBdr>
        <w:spacing w:after="0" w:line="240" w:lineRule="auto"/>
        <w:ind w:firstLine="709"/>
        <w:jc w:val="both"/>
        <w:rPr>
          <w:rFonts w:ascii="Verdana" w:eastAsia="Arial" w:hAnsi="Verdana" w:cs="Arial"/>
          <w:color w:val="000000"/>
          <w:sz w:val="16"/>
          <w:szCs w:val="16"/>
        </w:rPr>
      </w:pPr>
      <w:r w:rsidRPr="00AF56B9">
        <w:rPr>
          <w:rFonts w:ascii="Verdana" w:hAnsi="Verdana" w:cs="Arial"/>
          <w:sz w:val="16"/>
          <w:szCs w:val="16"/>
          <w:vertAlign w:val="superscript"/>
        </w:rPr>
        <w:footnoteRef/>
      </w:r>
      <w:r w:rsidRPr="00AF56B9">
        <w:rPr>
          <w:rFonts w:ascii="Verdana" w:eastAsia="Arial" w:hAnsi="Verdana" w:cs="Arial"/>
          <w:color w:val="000000"/>
          <w:sz w:val="16"/>
          <w:szCs w:val="16"/>
        </w:rPr>
        <w:t xml:space="preserve"> Ley 80 de 1993, art. 30.7: “De acuerdo con la naturaleza, objeto y cuantía del contrato, en los pliegos de condiciones o términos de referencia, se señalará el plazo razonable dentro del cual la entidad deberá elaborar los estudios técnicos, económicos y jurídicos necesarios para la evaluación de las propuestas y para solicitar a los proponentes las aclaraciones y explicaciones que se estimen indispensables”. </w:t>
      </w:r>
    </w:p>
    <w:p w14:paraId="05824696" w14:textId="77777777" w:rsidR="00A76E99" w:rsidRPr="00AF56B9" w:rsidRDefault="00A76E99" w:rsidP="00A76E99">
      <w:pPr>
        <w:pBdr>
          <w:top w:val="nil"/>
          <w:left w:val="nil"/>
          <w:bottom w:val="nil"/>
          <w:right w:val="nil"/>
          <w:between w:val="nil"/>
        </w:pBdr>
        <w:spacing w:after="0" w:line="240" w:lineRule="auto"/>
        <w:ind w:firstLine="709"/>
        <w:jc w:val="both"/>
        <w:rPr>
          <w:rFonts w:ascii="Verdana" w:eastAsia="Arial" w:hAnsi="Verdana" w:cs="Arial"/>
          <w:color w:val="000000"/>
          <w:sz w:val="16"/>
          <w:szCs w:val="16"/>
        </w:rPr>
      </w:pPr>
    </w:p>
  </w:footnote>
  <w:footnote w:id="2">
    <w:p w14:paraId="71DA8CC1" w14:textId="77777777" w:rsidR="00A76E99" w:rsidRPr="00AF56B9" w:rsidRDefault="00A76E99" w:rsidP="00A76E99">
      <w:pPr>
        <w:pBdr>
          <w:top w:val="nil"/>
          <w:left w:val="nil"/>
          <w:bottom w:val="nil"/>
          <w:right w:val="nil"/>
          <w:between w:val="nil"/>
        </w:pBdr>
        <w:spacing w:after="0" w:line="240" w:lineRule="auto"/>
        <w:ind w:firstLine="709"/>
        <w:jc w:val="both"/>
        <w:rPr>
          <w:rFonts w:ascii="Verdana" w:eastAsia="Arial" w:hAnsi="Verdana" w:cs="Arial"/>
          <w:color w:val="000000"/>
          <w:sz w:val="16"/>
          <w:szCs w:val="16"/>
        </w:rPr>
      </w:pPr>
      <w:r w:rsidRPr="00AF56B9">
        <w:rPr>
          <w:rFonts w:ascii="Verdana" w:hAnsi="Verdana" w:cs="Arial"/>
          <w:sz w:val="16"/>
          <w:szCs w:val="16"/>
          <w:vertAlign w:val="superscript"/>
        </w:rPr>
        <w:footnoteRef/>
      </w:r>
      <w:r w:rsidRPr="00AF56B9">
        <w:rPr>
          <w:rFonts w:ascii="Verdana" w:eastAsia="Arial" w:hAnsi="Verdana" w:cs="Arial"/>
          <w:color w:val="000000"/>
          <w:sz w:val="16"/>
          <w:szCs w:val="16"/>
        </w:rPr>
        <w:t xml:space="preserve"> Ley 80 de 1993, art. 30.8: “Los informes de evaluación de las propuestas permanecerán en la secretaría de la entidad por un término de cinco (5) días hábiles para que los oferentes presenten las observaciones que estimen pertinentes. En ejercicio de esta facultad, los oferentes no podrán completar, adicionar, modificar o mejorar sus propuestas”.</w:t>
      </w:r>
    </w:p>
  </w:footnote>
  <w:footnote w:id="3">
    <w:p w14:paraId="6856C504" w14:textId="77777777" w:rsidR="00A76E99" w:rsidRPr="00AF56B9" w:rsidRDefault="00A76E99" w:rsidP="00A76E99">
      <w:pPr>
        <w:pBdr>
          <w:top w:val="nil"/>
          <w:left w:val="nil"/>
          <w:bottom w:val="nil"/>
          <w:right w:val="nil"/>
          <w:between w:val="nil"/>
        </w:pBdr>
        <w:spacing w:after="0" w:line="240" w:lineRule="auto"/>
        <w:ind w:firstLine="709"/>
        <w:jc w:val="both"/>
        <w:rPr>
          <w:rFonts w:ascii="Verdana" w:eastAsia="Arial" w:hAnsi="Verdana" w:cs="Arial"/>
          <w:color w:val="000000"/>
          <w:sz w:val="16"/>
          <w:szCs w:val="16"/>
        </w:rPr>
      </w:pPr>
      <w:r w:rsidRPr="00AF56B9">
        <w:rPr>
          <w:rFonts w:ascii="Verdana" w:hAnsi="Verdana" w:cs="Arial"/>
          <w:sz w:val="16"/>
          <w:szCs w:val="16"/>
          <w:vertAlign w:val="superscript"/>
        </w:rPr>
        <w:footnoteRef/>
      </w:r>
      <w:r w:rsidRPr="00AF56B9">
        <w:rPr>
          <w:rFonts w:ascii="Verdana" w:eastAsia="Arial" w:hAnsi="Verdana" w:cs="Arial"/>
          <w:color w:val="000000"/>
          <w:sz w:val="16"/>
          <w:szCs w:val="16"/>
        </w:rPr>
        <w:t xml:space="preserve"> Consejo de Estado. Sala de lo Contencioso Administrativo Sección Tercera, Subsección C. Sentencia del 26 de febrero de 2014. Radicado: 1999-00113-01 (25.804). C.P. Enrique Gil Botero. </w:t>
      </w:r>
    </w:p>
    <w:p w14:paraId="63D122DC" w14:textId="77777777" w:rsidR="00A76E99" w:rsidRPr="00AF56B9" w:rsidRDefault="00A76E99" w:rsidP="00A76E99">
      <w:pPr>
        <w:pBdr>
          <w:top w:val="nil"/>
          <w:left w:val="nil"/>
          <w:bottom w:val="nil"/>
          <w:right w:val="nil"/>
          <w:between w:val="nil"/>
        </w:pBdr>
        <w:spacing w:after="0" w:line="240" w:lineRule="auto"/>
        <w:ind w:firstLine="709"/>
        <w:jc w:val="both"/>
        <w:rPr>
          <w:rFonts w:ascii="Verdana" w:eastAsia="Arial" w:hAnsi="Verdana" w:cs="Arial"/>
          <w:color w:val="000000"/>
          <w:sz w:val="16"/>
          <w:szCs w:val="16"/>
        </w:rPr>
      </w:pPr>
    </w:p>
  </w:footnote>
  <w:footnote w:id="4">
    <w:p w14:paraId="69334E27" w14:textId="77777777" w:rsidR="00A76E99" w:rsidRPr="00AF56B9" w:rsidRDefault="00A76E99" w:rsidP="00A76E99">
      <w:pPr>
        <w:pStyle w:val="Textonotapie"/>
        <w:ind w:firstLine="709"/>
        <w:jc w:val="both"/>
        <w:rPr>
          <w:rFonts w:ascii="Verdana" w:hAnsi="Verdana"/>
          <w:sz w:val="16"/>
          <w:szCs w:val="16"/>
        </w:rPr>
      </w:pPr>
      <w:r w:rsidRPr="00AF56B9">
        <w:rPr>
          <w:rStyle w:val="Refdenotaalpie"/>
          <w:rFonts w:ascii="Verdana" w:hAnsi="Verdana"/>
          <w:sz w:val="16"/>
          <w:szCs w:val="16"/>
        </w:rPr>
        <w:footnoteRef/>
      </w:r>
      <w:r w:rsidRPr="00AF56B9">
        <w:rPr>
          <w:rFonts w:ascii="Verdana" w:hAnsi="Verdana"/>
          <w:sz w:val="16"/>
          <w:szCs w:val="16"/>
        </w:rPr>
        <w:t xml:space="preserve"> En </w:t>
      </w:r>
      <w:hyperlink r:id="rId1" w:history="1">
        <w:r w:rsidRPr="00AF56B9">
          <w:rPr>
            <w:rStyle w:val="Hipervnculo"/>
            <w:rFonts w:ascii="Verdana" w:hAnsi="Verdana"/>
            <w:sz w:val="16"/>
            <w:szCs w:val="16"/>
            <w:lang w:val="es-CO"/>
          </w:rPr>
          <w:t>circular_externa_unica_version_3_vf49.pdf</w:t>
        </w:r>
      </w:hyperlink>
    </w:p>
  </w:footnote>
  <w:footnote w:id="5">
    <w:p w14:paraId="704A0E26" w14:textId="77777777" w:rsidR="00A76E99" w:rsidRPr="00AF56B9" w:rsidRDefault="00A76E99" w:rsidP="00A76E99">
      <w:pPr>
        <w:pBdr>
          <w:top w:val="nil"/>
          <w:left w:val="nil"/>
          <w:bottom w:val="nil"/>
          <w:right w:val="nil"/>
          <w:between w:val="nil"/>
        </w:pBdr>
        <w:spacing w:after="0" w:line="240" w:lineRule="auto"/>
        <w:ind w:firstLine="709"/>
        <w:jc w:val="both"/>
        <w:rPr>
          <w:rFonts w:ascii="Verdana" w:eastAsia="Arial" w:hAnsi="Verdana" w:cs="Arial"/>
          <w:color w:val="000000"/>
          <w:sz w:val="16"/>
          <w:szCs w:val="16"/>
        </w:rPr>
      </w:pPr>
      <w:r w:rsidRPr="00AF56B9">
        <w:rPr>
          <w:rFonts w:ascii="Verdana" w:hAnsi="Verdana" w:cs="Arial"/>
          <w:sz w:val="16"/>
          <w:szCs w:val="16"/>
          <w:vertAlign w:val="superscript"/>
        </w:rPr>
        <w:footnoteRef/>
      </w:r>
      <w:r w:rsidRPr="00AF56B9">
        <w:rPr>
          <w:rFonts w:ascii="Verdana" w:eastAsia="Arial" w:hAnsi="Verdana" w:cs="Arial"/>
          <w:color w:val="000000"/>
          <w:sz w:val="16"/>
          <w:szCs w:val="16"/>
          <w:vertAlign w:val="superscript"/>
        </w:rPr>
        <w:t xml:space="preserve"> </w:t>
      </w:r>
      <w:r w:rsidRPr="00AF56B9">
        <w:rPr>
          <w:rFonts w:ascii="Verdana" w:eastAsia="Arial" w:hAnsi="Verdana" w:cs="Arial"/>
          <w:color w:val="000000"/>
          <w:sz w:val="16"/>
          <w:szCs w:val="16"/>
        </w:rPr>
        <w:t>Ley 1150 de 2007, artículo 5, parágrafo 4°: “En aquellos procesos de selección en los que se utilice el mecanismo de subasta, los documentos referentes a la futura contratación o a proponente, no necesarios para la comparación de las propuestas, deberán ser solicitados hasta el momento previo a su realización”.</w:t>
      </w:r>
    </w:p>
  </w:footnote>
  <w:footnote w:id="6">
    <w:p w14:paraId="640DBBCB" w14:textId="77777777" w:rsidR="00A76E99" w:rsidRPr="00AF56B9" w:rsidRDefault="00A76E99" w:rsidP="00A76E99">
      <w:pPr>
        <w:spacing w:after="0" w:line="240" w:lineRule="auto"/>
        <w:ind w:firstLine="709"/>
        <w:jc w:val="both"/>
        <w:rPr>
          <w:rFonts w:ascii="Verdana" w:eastAsia="Arial" w:hAnsi="Verdana" w:cs="Arial"/>
          <w:color w:val="000000"/>
          <w:sz w:val="16"/>
          <w:szCs w:val="16"/>
        </w:rPr>
      </w:pPr>
      <w:r w:rsidRPr="00AF56B9">
        <w:rPr>
          <w:rFonts w:ascii="Verdana" w:hAnsi="Verdana" w:cs="Arial"/>
          <w:sz w:val="16"/>
          <w:szCs w:val="16"/>
          <w:vertAlign w:val="superscript"/>
        </w:rPr>
        <w:footnoteRef/>
      </w:r>
      <w:r w:rsidRPr="00AF56B9">
        <w:rPr>
          <w:rFonts w:ascii="Verdana" w:eastAsia="Arial" w:hAnsi="Verdana" w:cs="Arial"/>
          <w:color w:val="000000"/>
          <w:sz w:val="16"/>
          <w:szCs w:val="16"/>
        </w:rPr>
        <w:t xml:space="preserve"> Decreto 2474 de 2008 (DEROGADO): “art. 10. Reglas de subsanabilidad. En todo proceso de selección de contratistas primará lo sustancial sobre lo formal. En consecuencia no podrá rechazarse una propuesta por la ausencia de requisitos o la falta de documentos que verifiquen las condiciones del proponente o soporten el contenido de la oferta, y que no constituyan los factores de escogencia establecidos por la entidad en el pliego de condiciones, de conformidad con lo previsto en los numerales 2º, 3º y 4º del artículo 5º de la </w:t>
      </w:r>
      <w:hyperlink r:id="rId2">
        <w:r w:rsidRPr="00AF56B9">
          <w:rPr>
            <w:rFonts w:ascii="Verdana" w:eastAsia="Arial" w:hAnsi="Verdana" w:cs="Arial"/>
            <w:color w:val="000000"/>
            <w:sz w:val="16"/>
            <w:szCs w:val="16"/>
          </w:rPr>
          <w:t>Ley 1150 de 2007</w:t>
        </w:r>
      </w:hyperlink>
      <w:r w:rsidRPr="00AF56B9">
        <w:rPr>
          <w:rFonts w:ascii="Verdana" w:eastAsia="Arial" w:hAnsi="Verdana" w:cs="Arial"/>
          <w:color w:val="000000"/>
          <w:sz w:val="16"/>
          <w:szCs w:val="16"/>
        </w:rPr>
        <w:t> y en el presente decreto.</w:t>
      </w:r>
    </w:p>
    <w:p w14:paraId="7DEA3B7A" w14:textId="77777777" w:rsidR="00A76E99" w:rsidRPr="00AF56B9" w:rsidRDefault="00A76E99" w:rsidP="00A76E99">
      <w:pPr>
        <w:spacing w:after="0" w:line="240" w:lineRule="auto"/>
        <w:ind w:firstLine="709"/>
        <w:jc w:val="both"/>
        <w:rPr>
          <w:rFonts w:ascii="Verdana" w:eastAsia="Arial" w:hAnsi="Verdana" w:cs="Arial"/>
          <w:color w:val="000000"/>
          <w:sz w:val="16"/>
          <w:szCs w:val="16"/>
        </w:rPr>
      </w:pPr>
      <w:r w:rsidRPr="00AF56B9">
        <w:rPr>
          <w:rFonts w:ascii="Verdana" w:eastAsia="Arial" w:hAnsi="Verdana" w:cs="Arial"/>
          <w:color w:val="000000"/>
          <w:sz w:val="16"/>
          <w:szCs w:val="16"/>
        </w:rPr>
        <w:t>Tales requisitos o documentos podrán ser requeridos por la entidad en condiciones de igualdad para todos los proponentes hasta la adjudicación, o hasta el momento en que la entidad lo establezca en los pliegos de condiciones, sin que tal previsión haga nugatorio el principio contemplado en el inciso anterior.</w:t>
      </w:r>
    </w:p>
    <w:p w14:paraId="1DF8A445" w14:textId="77777777" w:rsidR="00A76E99" w:rsidRPr="00AF56B9" w:rsidRDefault="00A76E99" w:rsidP="00A76E99">
      <w:pPr>
        <w:spacing w:after="0" w:line="240" w:lineRule="auto"/>
        <w:ind w:firstLine="709"/>
        <w:jc w:val="both"/>
        <w:rPr>
          <w:rFonts w:ascii="Verdana" w:eastAsia="Arial" w:hAnsi="Verdana" w:cs="Arial"/>
          <w:color w:val="000000"/>
          <w:sz w:val="16"/>
          <w:szCs w:val="16"/>
        </w:rPr>
      </w:pPr>
      <w:r w:rsidRPr="00AF56B9">
        <w:rPr>
          <w:rFonts w:ascii="Verdana" w:eastAsia="Arial" w:hAnsi="Verdana" w:cs="Arial"/>
          <w:color w:val="000000"/>
          <w:sz w:val="16"/>
          <w:szCs w:val="16"/>
        </w:rPr>
        <w:t>Será rechazada la oferta del proponente que dentro del término previsto en el pliego o en la solicitud, no responda al requerimiento que le haga la entidad para subsanarla.</w:t>
      </w:r>
    </w:p>
    <w:p w14:paraId="66C2A2BC" w14:textId="77777777" w:rsidR="00A76E99" w:rsidRPr="00AF56B9" w:rsidRDefault="00A76E99" w:rsidP="00A76E99">
      <w:pPr>
        <w:spacing w:after="0" w:line="240" w:lineRule="auto"/>
        <w:ind w:firstLine="709"/>
        <w:jc w:val="both"/>
        <w:rPr>
          <w:rFonts w:ascii="Verdana" w:eastAsia="Arial" w:hAnsi="Verdana" w:cs="Arial"/>
          <w:color w:val="000000"/>
          <w:sz w:val="16"/>
          <w:szCs w:val="16"/>
        </w:rPr>
      </w:pPr>
      <w:r w:rsidRPr="00AF56B9">
        <w:rPr>
          <w:rFonts w:ascii="Verdana" w:eastAsia="Arial" w:hAnsi="Verdana" w:cs="Arial"/>
          <w:color w:val="000000"/>
          <w:sz w:val="16"/>
          <w:szCs w:val="16"/>
        </w:rPr>
        <w:t>Cuando se utilice el mecanismo de subasta esta posibilidad deberá ejercerse hasta el momento previo a su realización, de conformidad con el artículo 22 del presente decreto.</w:t>
      </w:r>
    </w:p>
    <w:p w14:paraId="53EA04ED" w14:textId="77777777" w:rsidR="00A76E99" w:rsidRDefault="00A76E99" w:rsidP="00A76E99">
      <w:pPr>
        <w:spacing w:after="0" w:line="240" w:lineRule="auto"/>
        <w:ind w:firstLine="709"/>
        <w:jc w:val="both"/>
        <w:rPr>
          <w:rFonts w:ascii="Verdana" w:eastAsia="Arial" w:hAnsi="Verdana" w:cs="Arial"/>
          <w:color w:val="000000"/>
          <w:sz w:val="14"/>
          <w:szCs w:val="14"/>
        </w:rPr>
      </w:pPr>
      <w:r w:rsidRPr="00AF56B9">
        <w:rPr>
          <w:rFonts w:ascii="Verdana" w:eastAsia="Arial" w:hAnsi="Verdana" w:cs="Arial"/>
          <w:color w:val="000000"/>
          <w:sz w:val="16"/>
          <w:szCs w:val="16"/>
        </w:rPr>
        <w:t xml:space="preserve">En ningún caso la entidad podrá señalar taxativamente los requisitos o documentos subsanables o no subsanables en el pliego de condiciones, </w:t>
      </w:r>
      <w:r w:rsidRPr="00AF56B9">
        <w:rPr>
          <w:rFonts w:ascii="Verdana" w:eastAsia="Arial" w:hAnsi="Verdana" w:cs="Arial"/>
          <w:i/>
          <w:color w:val="000000"/>
          <w:sz w:val="16"/>
          <w:szCs w:val="16"/>
        </w:rPr>
        <w:t>ni permitir que se subsane la falta de capacidad para presentar la oferta, ni que se acrediten circunstancias ocurridas con posterioridad al cierre del proceso</w:t>
      </w:r>
      <w:r w:rsidRPr="00AF56B9">
        <w:rPr>
          <w:rFonts w:ascii="Verdana" w:eastAsia="Arial" w:hAnsi="Verdana" w:cs="Arial"/>
          <w:color w:val="000000"/>
          <w:sz w:val="16"/>
          <w:szCs w:val="16"/>
        </w:rPr>
        <w:t>”. (Cursivas fuera de texto).</w:t>
      </w:r>
      <w:r w:rsidRPr="00817F71">
        <w:rPr>
          <w:rFonts w:ascii="Verdana" w:eastAsia="Arial" w:hAnsi="Verdana" w:cs="Arial"/>
          <w:color w:val="000000"/>
          <w:sz w:val="14"/>
          <w:szCs w:val="14"/>
        </w:rPr>
        <w:t xml:space="preserve"> </w:t>
      </w:r>
    </w:p>
    <w:p w14:paraId="53CBD0E3" w14:textId="77777777" w:rsidR="00A76E99" w:rsidRPr="00817F71" w:rsidRDefault="00A76E99" w:rsidP="00A76E99">
      <w:pPr>
        <w:spacing w:after="0" w:line="240" w:lineRule="auto"/>
        <w:ind w:firstLine="709"/>
        <w:jc w:val="both"/>
        <w:rPr>
          <w:rFonts w:ascii="Verdana" w:eastAsia="Arial" w:hAnsi="Verdana" w:cs="Arial"/>
          <w:color w:val="000000"/>
          <w:sz w:val="14"/>
          <w:szCs w:val="14"/>
        </w:rPr>
      </w:pPr>
    </w:p>
  </w:footnote>
  <w:footnote w:id="7">
    <w:p w14:paraId="4D1977AB" w14:textId="77777777" w:rsidR="00A76E99" w:rsidRPr="00AF56B9" w:rsidRDefault="00A76E99" w:rsidP="00A76E99">
      <w:pPr>
        <w:pBdr>
          <w:top w:val="nil"/>
          <w:left w:val="nil"/>
          <w:bottom w:val="nil"/>
          <w:right w:val="nil"/>
          <w:between w:val="nil"/>
        </w:pBdr>
        <w:spacing w:after="0" w:line="240" w:lineRule="auto"/>
        <w:ind w:firstLine="709"/>
        <w:jc w:val="both"/>
        <w:rPr>
          <w:rFonts w:ascii="Verdana" w:eastAsia="Arial" w:hAnsi="Verdana" w:cs="Arial"/>
          <w:color w:val="000000"/>
          <w:sz w:val="16"/>
          <w:szCs w:val="16"/>
        </w:rPr>
      </w:pPr>
      <w:r w:rsidRPr="00AF56B9">
        <w:rPr>
          <w:rFonts w:ascii="Verdana" w:hAnsi="Verdana" w:cs="Arial"/>
          <w:sz w:val="16"/>
          <w:szCs w:val="16"/>
          <w:vertAlign w:val="superscript"/>
        </w:rPr>
        <w:footnoteRef/>
      </w:r>
      <w:r w:rsidRPr="00AF56B9">
        <w:rPr>
          <w:rFonts w:ascii="Verdana" w:eastAsia="Arial" w:hAnsi="Verdana" w:cs="Arial"/>
          <w:color w:val="000000"/>
          <w:sz w:val="16"/>
          <w:szCs w:val="16"/>
        </w:rPr>
        <w:t xml:space="preserve"> Consejo de Estado. Sala de Consulta y Servicio Civil, concepto del 6 de noviembre de 2008. Rad. 2008-00079-00 (1927). C.P. William Zambrano Cetina.</w:t>
      </w:r>
    </w:p>
  </w:footnote>
  <w:footnote w:id="8">
    <w:p w14:paraId="6510C7D7" w14:textId="77777777" w:rsidR="00A76E99" w:rsidRPr="00AF56B9" w:rsidRDefault="00A76E99" w:rsidP="00A76E99">
      <w:pPr>
        <w:pBdr>
          <w:top w:val="nil"/>
          <w:left w:val="nil"/>
          <w:bottom w:val="nil"/>
          <w:right w:val="nil"/>
          <w:between w:val="nil"/>
        </w:pBdr>
        <w:spacing w:after="0" w:line="240" w:lineRule="auto"/>
        <w:ind w:firstLine="709"/>
        <w:jc w:val="both"/>
        <w:rPr>
          <w:rFonts w:ascii="Verdana" w:eastAsia="Arial" w:hAnsi="Verdana" w:cs="Arial"/>
          <w:color w:val="000000"/>
          <w:sz w:val="16"/>
          <w:szCs w:val="16"/>
        </w:rPr>
      </w:pPr>
      <w:r w:rsidRPr="00AF56B9">
        <w:rPr>
          <w:rFonts w:ascii="Verdana" w:hAnsi="Verdana" w:cs="Arial"/>
          <w:sz w:val="16"/>
          <w:szCs w:val="16"/>
          <w:vertAlign w:val="superscript"/>
        </w:rPr>
        <w:footnoteRef/>
      </w:r>
      <w:r w:rsidRPr="00AF56B9">
        <w:rPr>
          <w:rFonts w:ascii="Verdana" w:eastAsia="Arial" w:hAnsi="Verdana" w:cs="Arial"/>
          <w:color w:val="000000"/>
          <w:sz w:val="16"/>
          <w:szCs w:val="16"/>
        </w:rPr>
        <w:t xml:space="preserve"> Ver Consejo de Estado. Sala de lo Contencioso Administrativo. Sección Tercera, Subsección C. Sentencia del 26 de febrero de 2011. Radicado: 11001-03-26-000-2009-00018-00 (36.408). C.P. Jaime Orlando Santofimio.   </w:t>
      </w:r>
    </w:p>
    <w:p w14:paraId="4FCF7273" w14:textId="77777777" w:rsidR="00A76E99" w:rsidRPr="00AF56B9" w:rsidRDefault="00A76E99" w:rsidP="00A76E99">
      <w:pPr>
        <w:pBdr>
          <w:top w:val="nil"/>
          <w:left w:val="nil"/>
          <w:bottom w:val="nil"/>
          <w:right w:val="nil"/>
          <w:between w:val="nil"/>
        </w:pBdr>
        <w:spacing w:after="0" w:line="240" w:lineRule="auto"/>
        <w:ind w:firstLine="709"/>
        <w:jc w:val="both"/>
        <w:rPr>
          <w:rFonts w:ascii="Verdana" w:eastAsia="Arial" w:hAnsi="Verdana" w:cs="Arial"/>
          <w:color w:val="000000"/>
          <w:sz w:val="16"/>
          <w:szCs w:val="16"/>
        </w:rPr>
      </w:pPr>
    </w:p>
  </w:footnote>
  <w:footnote w:id="9">
    <w:p w14:paraId="64667C78" w14:textId="77777777" w:rsidR="00A76E99" w:rsidRPr="00AF56B9" w:rsidRDefault="00A76E99" w:rsidP="00A76E99">
      <w:pPr>
        <w:pBdr>
          <w:top w:val="nil"/>
          <w:left w:val="nil"/>
          <w:bottom w:val="nil"/>
          <w:right w:val="nil"/>
          <w:between w:val="nil"/>
        </w:pBdr>
        <w:spacing w:after="0" w:line="240" w:lineRule="auto"/>
        <w:ind w:firstLine="709"/>
        <w:jc w:val="both"/>
        <w:rPr>
          <w:rFonts w:ascii="Verdana" w:eastAsia="Arial" w:hAnsi="Verdana" w:cs="Arial"/>
          <w:color w:val="000000"/>
          <w:sz w:val="16"/>
          <w:szCs w:val="16"/>
        </w:rPr>
      </w:pPr>
      <w:r w:rsidRPr="00AF56B9">
        <w:rPr>
          <w:rFonts w:ascii="Verdana" w:hAnsi="Verdana" w:cs="Arial"/>
          <w:sz w:val="16"/>
          <w:szCs w:val="16"/>
          <w:vertAlign w:val="superscript"/>
        </w:rPr>
        <w:footnoteRef/>
      </w:r>
      <w:r w:rsidRPr="00AF56B9">
        <w:rPr>
          <w:rFonts w:ascii="Verdana" w:eastAsia="Arial" w:hAnsi="Verdana" w:cs="Arial"/>
          <w:color w:val="000000"/>
          <w:sz w:val="16"/>
          <w:szCs w:val="16"/>
        </w:rPr>
        <w:t xml:space="preserve"> Ver Consejo de Estado, Sección Tercera, Subsección C. Sentencia del 26 de febrero de 2014. C.P. Enrique Gil Botero. Radicado: 13001-23-31-000-1999-00113-01 (25.804). M.P: Enrique Gil Botero.   </w:t>
      </w:r>
    </w:p>
    <w:p w14:paraId="4AC1E780" w14:textId="77777777" w:rsidR="00A76E99" w:rsidRPr="00AF56B9" w:rsidRDefault="00A76E99" w:rsidP="00A76E99">
      <w:pPr>
        <w:pBdr>
          <w:top w:val="nil"/>
          <w:left w:val="nil"/>
          <w:bottom w:val="nil"/>
          <w:right w:val="nil"/>
          <w:between w:val="nil"/>
        </w:pBdr>
        <w:spacing w:after="0" w:line="240" w:lineRule="auto"/>
        <w:ind w:firstLine="709"/>
        <w:jc w:val="both"/>
        <w:rPr>
          <w:rFonts w:ascii="Verdana" w:eastAsia="Arial" w:hAnsi="Verdana" w:cs="Arial"/>
          <w:color w:val="000000"/>
          <w:sz w:val="16"/>
          <w:szCs w:val="16"/>
        </w:rPr>
      </w:pPr>
    </w:p>
  </w:footnote>
  <w:footnote w:id="10">
    <w:p w14:paraId="0BDB0686" w14:textId="77777777" w:rsidR="00A76E99" w:rsidRPr="00AF56B9" w:rsidRDefault="00A76E99" w:rsidP="00A76E99">
      <w:pPr>
        <w:pBdr>
          <w:top w:val="nil"/>
          <w:left w:val="nil"/>
          <w:bottom w:val="nil"/>
          <w:right w:val="nil"/>
          <w:between w:val="nil"/>
        </w:pBdr>
        <w:spacing w:after="0" w:line="240" w:lineRule="auto"/>
        <w:ind w:firstLine="709"/>
        <w:jc w:val="both"/>
        <w:rPr>
          <w:rFonts w:ascii="Verdana" w:eastAsia="Arial" w:hAnsi="Verdana" w:cs="Arial"/>
          <w:color w:val="000000"/>
          <w:sz w:val="16"/>
          <w:szCs w:val="16"/>
        </w:rPr>
      </w:pPr>
      <w:r w:rsidRPr="00AF56B9">
        <w:rPr>
          <w:rFonts w:ascii="Verdana" w:hAnsi="Verdana" w:cs="Arial"/>
          <w:sz w:val="16"/>
          <w:szCs w:val="16"/>
          <w:vertAlign w:val="superscript"/>
        </w:rPr>
        <w:footnoteRef/>
      </w:r>
      <w:r w:rsidRPr="00AF56B9">
        <w:rPr>
          <w:rFonts w:ascii="Verdana" w:eastAsia="Arial" w:hAnsi="Verdana" w:cs="Arial"/>
          <w:color w:val="000000"/>
          <w:sz w:val="16"/>
          <w:szCs w:val="16"/>
        </w:rPr>
        <w:t xml:space="preserve"> Consejo de Estado. Sala de Consulta y Servicio Civil. Concepto del 20 de mayo de 2010. Rad. 2010-00034-00 (1992). C.P. Enrique José Arboleda Perdomo.</w:t>
      </w:r>
    </w:p>
    <w:p w14:paraId="6C96012B" w14:textId="77777777" w:rsidR="00A76E99" w:rsidRPr="00AF56B9" w:rsidRDefault="00A76E99" w:rsidP="00A76E99">
      <w:pPr>
        <w:pBdr>
          <w:top w:val="nil"/>
          <w:left w:val="nil"/>
          <w:bottom w:val="nil"/>
          <w:right w:val="nil"/>
          <w:between w:val="nil"/>
        </w:pBdr>
        <w:spacing w:after="0" w:line="240" w:lineRule="auto"/>
        <w:ind w:firstLine="709"/>
        <w:jc w:val="both"/>
        <w:rPr>
          <w:rFonts w:ascii="Verdana" w:eastAsia="Arial" w:hAnsi="Verdana" w:cs="Arial"/>
          <w:color w:val="000000"/>
          <w:sz w:val="16"/>
          <w:szCs w:val="16"/>
        </w:rPr>
      </w:pPr>
    </w:p>
  </w:footnote>
  <w:footnote w:id="11">
    <w:p w14:paraId="51B7BB31" w14:textId="77777777" w:rsidR="00A76E99" w:rsidRPr="00A76E99" w:rsidRDefault="00A76E99" w:rsidP="00A76E99">
      <w:pPr>
        <w:pStyle w:val="Textonotapie"/>
        <w:ind w:firstLine="709"/>
        <w:rPr>
          <w:rFonts w:ascii="Verdana" w:hAnsi="Verdana"/>
          <w:sz w:val="16"/>
          <w:szCs w:val="16"/>
          <w:lang w:val="es-CO"/>
        </w:rPr>
      </w:pPr>
      <w:r w:rsidRPr="00AF56B9">
        <w:rPr>
          <w:rStyle w:val="Refdenotaalpie"/>
          <w:rFonts w:ascii="Verdana" w:hAnsi="Verdana"/>
          <w:sz w:val="16"/>
          <w:szCs w:val="16"/>
        </w:rPr>
        <w:footnoteRef/>
      </w:r>
      <w:r w:rsidRPr="00AF56B9">
        <w:rPr>
          <w:rFonts w:ascii="Verdana" w:hAnsi="Verdana"/>
          <w:sz w:val="16"/>
          <w:szCs w:val="16"/>
          <w:lang w:val="es-CO"/>
        </w:rPr>
        <w:t xml:space="preserve"> Disponible en </w:t>
      </w:r>
      <w:hyperlink r:id="rId3" w:history="1">
        <w:r w:rsidRPr="00AF56B9">
          <w:rPr>
            <w:rStyle w:val="Hipervnculo"/>
            <w:rFonts w:ascii="Verdana" w:hAnsi="Verdana"/>
            <w:sz w:val="16"/>
            <w:szCs w:val="16"/>
            <w:lang w:val="es-CO"/>
          </w:rPr>
          <w:t>cce-eicp-ma-04._manual_requisitos_habilitantes_v3_29-09-2023.pdf</w:t>
        </w:r>
      </w:hyperlink>
    </w:p>
    <w:p w14:paraId="10952849" w14:textId="77777777" w:rsidR="00A76E99" w:rsidRPr="00AF56B9" w:rsidRDefault="00A76E99" w:rsidP="00A76E99">
      <w:pPr>
        <w:pStyle w:val="Textonotapie"/>
        <w:ind w:firstLine="709"/>
        <w:rPr>
          <w:rFonts w:ascii="Verdana" w:hAnsi="Verdana"/>
          <w:sz w:val="16"/>
          <w:szCs w:val="16"/>
          <w:lang w:val="es-CO"/>
        </w:rPr>
      </w:pPr>
    </w:p>
  </w:footnote>
  <w:footnote w:id="12">
    <w:p w14:paraId="4537380F" w14:textId="77777777" w:rsidR="00A76E99" w:rsidRDefault="00A76E99" w:rsidP="00A76E99">
      <w:pPr>
        <w:pStyle w:val="Textonotapie"/>
        <w:ind w:firstLine="709"/>
        <w:jc w:val="both"/>
        <w:rPr>
          <w:rFonts w:ascii="Verdana" w:hAnsi="Verdana" w:cs="Arial"/>
          <w:sz w:val="16"/>
          <w:szCs w:val="16"/>
        </w:rPr>
      </w:pPr>
      <w:r w:rsidRPr="00495D64">
        <w:rPr>
          <w:rStyle w:val="Refdenotaalpie"/>
          <w:rFonts w:ascii="Verdana" w:hAnsi="Verdana" w:cs="Arial"/>
          <w:sz w:val="16"/>
          <w:szCs w:val="16"/>
        </w:rPr>
        <w:footnoteRef/>
      </w:r>
      <w:r w:rsidRPr="00A76E99">
        <w:rPr>
          <w:rFonts w:ascii="Verdana" w:hAnsi="Verdana" w:cs="Arial"/>
          <w:sz w:val="16"/>
          <w:szCs w:val="16"/>
          <w:lang w:val="es-CO"/>
        </w:rPr>
        <w:t xml:space="preserve"> OSPINA MENA, Jesús Marino. </w:t>
      </w:r>
      <w:r w:rsidRPr="00495D64">
        <w:rPr>
          <w:rFonts w:ascii="Verdana" w:hAnsi="Verdana" w:cs="Arial"/>
          <w:sz w:val="16"/>
          <w:szCs w:val="16"/>
        </w:rPr>
        <w:t>Régimen de la Contratación Estatal. Un salto a la contratación líquida. Bogotá: Ed. 1ª. Diké, 2020. p. 383.</w:t>
      </w:r>
    </w:p>
    <w:p w14:paraId="726E727C" w14:textId="77777777" w:rsidR="00A76E99" w:rsidRPr="00A5060D" w:rsidRDefault="00A76E99" w:rsidP="00A76E99">
      <w:pPr>
        <w:pStyle w:val="Textonotapie"/>
        <w:ind w:firstLine="709"/>
        <w:jc w:val="both"/>
        <w:rPr>
          <w:rFonts w:ascii="Verdana" w:hAnsi="Verdana" w:cs="Arial"/>
          <w:sz w:val="14"/>
          <w:szCs w:val="14"/>
        </w:rPr>
      </w:pPr>
    </w:p>
  </w:footnote>
  <w:footnote w:id="13">
    <w:p w14:paraId="122AF37D" w14:textId="77777777" w:rsidR="00A76E99" w:rsidRPr="00AF56B9" w:rsidRDefault="00A76E99" w:rsidP="00A76E99">
      <w:pPr>
        <w:pStyle w:val="Textonotapie"/>
        <w:ind w:firstLine="709"/>
        <w:jc w:val="both"/>
        <w:rPr>
          <w:rFonts w:ascii="Verdana" w:hAnsi="Verdana" w:cs="Arial"/>
          <w:sz w:val="16"/>
          <w:szCs w:val="16"/>
        </w:rPr>
      </w:pPr>
      <w:r w:rsidRPr="00AF56B9">
        <w:rPr>
          <w:rStyle w:val="Refdenotaalpie"/>
          <w:rFonts w:ascii="Verdana" w:hAnsi="Verdana" w:cs="Arial"/>
          <w:sz w:val="16"/>
          <w:szCs w:val="16"/>
        </w:rPr>
        <w:footnoteRef/>
      </w:r>
      <w:r w:rsidRPr="00AF56B9">
        <w:rPr>
          <w:rFonts w:ascii="Verdana" w:hAnsi="Verdana" w:cs="Arial"/>
          <w:sz w:val="16"/>
          <w:szCs w:val="16"/>
        </w:rPr>
        <w:t xml:space="preserve"> Consejo de Estado. Sala de lo Contencioso Administrativo. Sección Tercera. Sentencia de 30 de noviembre de 2006. Radicado: </w:t>
      </w:r>
      <w:r w:rsidRPr="00AF56B9">
        <w:rPr>
          <w:rFonts w:ascii="Verdana" w:hAnsi="Verdana" w:cs="Arial"/>
          <w:sz w:val="16"/>
          <w:szCs w:val="16"/>
          <w:lang w:val="es-CO"/>
        </w:rPr>
        <w:t>11001-03-26-000-2000-00020-01 (</w:t>
      </w:r>
      <w:r w:rsidRPr="00AF56B9">
        <w:rPr>
          <w:rFonts w:ascii="Verdana" w:hAnsi="Verdana" w:cs="Arial"/>
          <w:sz w:val="16"/>
          <w:szCs w:val="16"/>
        </w:rPr>
        <w:t>18.059). M.P. Alier Hernández Enríquez.</w:t>
      </w:r>
    </w:p>
    <w:p w14:paraId="14CBC061" w14:textId="77777777" w:rsidR="00A76E99" w:rsidRPr="00AF56B9" w:rsidRDefault="00A76E99" w:rsidP="00A76E99">
      <w:pPr>
        <w:pStyle w:val="Textonotapie"/>
        <w:ind w:firstLine="709"/>
        <w:jc w:val="both"/>
        <w:rPr>
          <w:rFonts w:ascii="Verdana" w:hAnsi="Verdana" w:cs="Arial"/>
          <w:sz w:val="16"/>
          <w:szCs w:val="16"/>
        </w:rPr>
      </w:pPr>
    </w:p>
  </w:footnote>
  <w:footnote w:id="14">
    <w:p w14:paraId="67A00507" w14:textId="77777777" w:rsidR="00A76E99" w:rsidRPr="00AF56B9" w:rsidRDefault="00A76E99" w:rsidP="00A76E99">
      <w:pPr>
        <w:pBdr>
          <w:top w:val="nil"/>
          <w:left w:val="nil"/>
          <w:bottom w:val="nil"/>
          <w:right w:val="nil"/>
          <w:between w:val="nil"/>
        </w:pBdr>
        <w:spacing w:after="0" w:line="240" w:lineRule="auto"/>
        <w:ind w:firstLine="709"/>
        <w:jc w:val="both"/>
        <w:rPr>
          <w:rFonts w:ascii="Verdana" w:eastAsia="Arial" w:hAnsi="Verdana" w:cs="Arial"/>
          <w:color w:val="000000" w:themeColor="text1"/>
          <w:sz w:val="16"/>
          <w:szCs w:val="16"/>
        </w:rPr>
      </w:pPr>
      <w:r w:rsidRPr="00AF56B9">
        <w:rPr>
          <w:rFonts w:ascii="Verdana" w:hAnsi="Verdana" w:cs="Arial"/>
          <w:color w:val="000000" w:themeColor="text1"/>
          <w:sz w:val="16"/>
          <w:szCs w:val="16"/>
          <w:vertAlign w:val="superscript"/>
        </w:rPr>
        <w:footnoteRef/>
      </w:r>
      <w:r w:rsidRPr="00AF56B9">
        <w:rPr>
          <w:rFonts w:ascii="Verdana" w:eastAsia="Arial" w:hAnsi="Verdana" w:cs="Arial"/>
          <w:color w:val="000000" w:themeColor="text1"/>
          <w:sz w:val="16"/>
          <w:szCs w:val="16"/>
        </w:rPr>
        <w:t xml:space="preserve">  RODRÍGUEZ TAMAYO, Mauricio Fernando. Evaluación y rechazo de ofertas en la Ley 80 de 1993. Medellín: Librería Jurídica Sánchez, 2016. p. 190. </w:t>
      </w:r>
    </w:p>
    <w:p w14:paraId="00EDDBCD" w14:textId="77777777" w:rsidR="00A76E99" w:rsidRPr="00AF56B9" w:rsidRDefault="00A76E99" w:rsidP="00A76E99">
      <w:pPr>
        <w:pBdr>
          <w:top w:val="nil"/>
          <w:left w:val="nil"/>
          <w:bottom w:val="nil"/>
          <w:right w:val="nil"/>
          <w:between w:val="nil"/>
        </w:pBdr>
        <w:spacing w:after="0" w:line="240" w:lineRule="auto"/>
        <w:ind w:firstLine="709"/>
        <w:jc w:val="both"/>
        <w:rPr>
          <w:rFonts w:ascii="Verdana" w:eastAsia="Arial" w:hAnsi="Verdana" w:cs="Arial"/>
          <w:color w:val="000000" w:themeColor="text1"/>
          <w:sz w:val="16"/>
          <w:szCs w:val="16"/>
        </w:rPr>
      </w:pPr>
    </w:p>
  </w:footnote>
  <w:footnote w:id="15">
    <w:p w14:paraId="4015FD6C" w14:textId="77777777" w:rsidR="00A76E99" w:rsidRPr="00AF56B9" w:rsidRDefault="00A76E99" w:rsidP="00A76E99">
      <w:pPr>
        <w:pBdr>
          <w:top w:val="nil"/>
          <w:left w:val="nil"/>
          <w:bottom w:val="nil"/>
          <w:right w:val="nil"/>
          <w:between w:val="nil"/>
        </w:pBdr>
        <w:spacing w:after="0" w:line="240" w:lineRule="auto"/>
        <w:ind w:firstLine="709"/>
        <w:jc w:val="both"/>
        <w:rPr>
          <w:rFonts w:ascii="Verdana" w:eastAsia="Arial" w:hAnsi="Verdana" w:cs="Arial"/>
          <w:color w:val="000000" w:themeColor="text1"/>
          <w:sz w:val="16"/>
          <w:szCs w:val="16"/>
        </w:rPr>
      </w:pPr>
      <w:r w:rsidRPr="00AF56B9">
        <w:rPr>
          <w:rFonts w:ascii="Verdana" w:hAnsi="Verdana" w:cs="Arial"/>
          <w:color w:val="000000" w:themeColor="text1"/>
          <w:sz w:val="16"/>
          <w:szCs w:val="16"/>
          <w:vertAlign w:val="superscript"/>
        </w:rPr>
        <w:footnoteRef/>
      </w:r>
      <w:r w:rsidRPr="00AF56B9">
        <w:rPr>
          <w:rFonts w:ascii="Verdana" w:eastAsia="Arial" w:hAnsi="Verdana" w:cs="Arial"/>
          <w:color w:val="000000" w:themeColor="text1"/>
          <w:sz w:val="16"/>
          <w:szCs w:val="16"/>
        </w:rPr>
        <w:t xml:space="preserve">  Ley 80 de 1993 “</w:t>
      </w:r>
      <w:r w:rsidRPr="00AF56B9">
        <w:rPr>
          <w:rFonts w:ascii="Verdana" w:eastAsia="Arial" w:hAnsi="Verdana" w:cs="Arial"/>
          <w:bCs/>
          <w:color w:val="000000" w:themeColor="text1"/>
          <w:sz w:val="16"/>
          <w:szCs w:val="16"/>
        </w:rPr>
        <w:t>Articulo 24. Del principio de transparencia. </w:t>
      </w:r>
      <w:r w:rsidRPr="00AF56B9">
        <w:rPr>
          <w:rFonts w:ascii="Verdana" w:eastAsia="Arial" w:hAnsi="Verdana" w:cs="Arial"/>
          <w:color w:val="000000" w:themeColor="text1"/>
          <w:sz w:val="16"/>
          <w:szCs w:val="16"/>
        </w:rPr>
        <w:t xml:space="preserve">En virtud de este principio: </w:t>
      </w:r>
    </w:p>
    <w:p w14:paraId="26A7E9AF" w14:textId="77777777" w:rsidR="00A76E99" w:rsidRPr="00AF56B9" w:rsidRDefault="00A76E99" w:rsidP="00A76E99">
      <w:pPr>
        <w:pBdr>
          <w:top w:val="nil"/>
          <w:left w:val="nil"/>
          <w:bottom w:val="nil"/>
          <w:right w:val="nil"/>
          <w:between w:val="nil"/>
        </w:pBdr>
        <w:spacing w:after="0" w:line="240" w:lineRule="auto"/>
        <w:ind w:firstLine="709"/>
        <w:jc w:val="both"/>
        <w:rPr>
          <w:rFonts w:ascii="Verdana" w:eastAsia="Arial" w:hAnsi="Verdana" w:cs="Arial"/>
          <w:color w:val="000000" w:themeColor="text1"/>
          <w:sz w:val="16"/>
          <w:szCs w:val="16"/>
        </w:rPr>
      </w:pPr>
      <w:r w:rsidRPr="00AF56B9">
        <w:rPr>
          <w:rFonts w:ascii="Verdana" w:eastAsia="Arial" w:hAnsi="Verdana" w:cs="Arial"/>
          <w:color w:val="000000" w:themeColor="text1"/>
          <w:sz w:val="16"/>
          <w:szCs w:val="16"/>
        </w:rPr>
        <w:t>[…]</w:t>
      </w:r>
    </w:p>
    <w:p w14:paraId="12BCAE87" w14:textId="77777777" w:rsidR="00A76E99" w:rsidRPr="00AF56B9" w:rsidRDefault="00A76E99" w:rsidP="00A76E99">
      <w:pPr>
        <w:spacing w:after="0" w:line="240" w:lineRule="auto"/>
        <w:ind w:firstLine="709"/>
        <w:jc w:val="both"/>
        <w:rPr>
          <w:rFonts w:ascii="Verdana" w:eastAsia="Arial" w:hAnsi="Verdana" w:cs="Arial"/>
          <w:color w:val="000000" w:themeColor="text1"/>
          <w:sz w:val="16"/>
          <w:szCs w:val="16"/>
        </w:rPr>
      </w:pPr>
      <w:r w:rsidRPr="00AF56B9">
        <w:rPr>
          <w:rFonts w:ascii="Verdana" w:eastAsia="Arial" w:hAnsi="Verdana" w:cs="Arial"/>
          <w:color w:val="000000" w:themeColor="text1"/>
          <w:sz w:val="16"/>
          <w:szCs w:val="16"/>
        </w:rPr>
        <w:t>5o. En los pliegos de condiciones:</w:t>
      </w:r>
    </w:p>
    <w:p w14:paraId="6B801D40" w14:textId="77777777" w:rsidR="00A76E99" w:rsidRPr="00AF56B9" w:rsidRDefault="00A76E99" w:rsidP="00A76E99">
      <w:pPr>
        <w:spacing w:after="0" w:line="240" w:lineRule="auto"/>
        <w:ind w:firstLine="709"/>
        <w:jc w:val="both"/>
        <w:rPr>
          <w:rFonts w:ascii="Verdana" w:eastAsia="Arial" w:hAnsi="Verdana" w:cs="Arial"/>
          <w:color w:val="000000" w:themeColor="text1"/>
          <w:sz w:val="16"/>
          <w:szCs w:val="16"/>
        </w:rPr>
      </w:pPr>
      <w:r w:rsidRPr="00AF56B9">
        <w:rPr>
          <w:rFonts w:ascii="Verdana" w:eastAsia="Arial" w:hAnsi="Verdana" w:cs="Arial"/>
          <w:color w:val="000000" w:themeColor="text1"/>
          <w:sz w:val="16"/>
          <w:szCs w:val="16"/>
        </w:rPr>
        <w:t>[…]</w:t>
      </w:r>
    </w:p>
    <w:p w14:paraId="2CEF0089" w14:textId="77777777" w:rsidR="00A76E99" w:rsidRDefault="00A76E99" w:rsidP="00A76E99">
      <w:pPr>
        <w:spacing w:after="0" w:line="240" w:lineRule="auto"/>
        <w:ind w:firstLine="709"/>
        <w:jc w:val="both"/>
        <w:rPr>
          <w:rFonts w:ascii="Verdana" w:eastAsia="Arial" w:hAnsi="Verdana" w:cs="Arial"/>
          <w:color w:val="000000" w:themeColor="text1"/>
          <w:sz w:val="16"/>
          <w:szCs w:val="16"/>
        </w:rPr>
      </w:pPr>
      <w:r w:rsidRPr="00AF56B9">
        <w:rPr>
          <w:rFonts w:ascii="Verdana" w:eastAsia="Arial" w:hAnsi="Verdana" w:cs="Arial"/>
          <w:color w:val="000000" w:themeColor="text1"/>
          <w:sz w:val="16"/>
          <w:szCs w:val="16"/>
        </w:rPr>
        <w:t>b) Se definirán reglas objetivas, justas, claras y completas que permitan la confección de ofrecimientos de la misma índole, aseguren una escogencia objetiva y eviten la declaratoria de desierta de la licitación […]”.</w:t>
      </w:r>
    </w:p>
    <w:p w14:paraId="67F44AFA" w14:textId="77777777" w:rsidR="00A76E99" w:rsidRPr="00AF56B9" w:rsidRDefault="00A76E99" w:rsidP="00A76E99">
      <w:pPr>
        <w:spacing w:after="0" w:line="240" w:lineRule="auto"/>
        <w:ind w:firstLine="709"/>
        <w:jc w:val="both"/>
        <w:rPr>
          <w:rFonts w:ascii="Verdana" w:eastAsia="Arial" w:hAnsi="Verdana" w:cs="Arial"/>
          <w:color w:val="000000" w:themeColor="text1"/>
          <w:sz w:val="16"/>
          <w:szCs w:val="16"/>
        </w:rPr>
      </w:pPr>
    </w:p>
  </w:footnote>
  <w:footnote w:id="16">
    <w:p w14:paraId="21ED5667" w14:textId="77777777" w:rsidR="00A76E99" w:rsidRPr="00AF56B9" w:rsidRDefault="00A76E99" w:rsidP="00A76E99">
      <w:pPr>
        <w:pBdr>
          <w:top w:val="nil"/>
          <w:left w:val="nil"/>
          <w:bottom w:val="nil"/>
          <w:right w:val="nil"/>
          <w:between w:val="nil"/>
        </w:pBdr>
        <w:spacing w:after="0" w:line="240" w:lineRule="auto"/>
        <w:ind w:firstLine="709"/>
        <w:jc w:val="both"/>
        <w:rPr>
          <w:rFonts w:ascii="Verdana" w:eastAsia="Arial" w:hAnsi="Verdana" w:cs="Arial"/>
          <w:color w:val="000000" w:themeColor="text1"/>
          <w:sz w:val="16"/>
          <w:szCs w:val="16"/>
        </w:rPr>
      </w:pPr>
      <w:r w:rsidRPr="00AF56B9">
        <w:rPr>
          <w:rFonts w:ascii="Verdana" w:hAnsi="Verdana" w:cs="Arial"/>
          <w:color w:val="000000" w:themeColor="text1"/>
          <w:sz w:val="16"/>
          <w:szCs w:val="16"/>
          <w:vertAlign w:val="superscript"/>
        </w:rPr>
        <w:footnoteRef/>
      </w:r>
      <w:r w:rsidRPr="00AF56B9">
        <w:rPr>
          <w:rFonts w:ascii="Verdana" w:eastAsia="Arial" w:hAnsi="Verdana" w:cs="Arial"/>
          <w:color w:val="000000" w:themeColor="text1"/>
          <w:sz w:val="16"/>
          <w:szCs w:val="16"/>
        </w:rPr>
        <w:t xml:space="preserve"> Decreto 1082 de 2015 “Artículo 2.2.1.1.2.1.3. Pliegos de condiciones. Los pliegos de condiciones deben contener por lo menos la siguiente información</w:t>
      </w:r>
    </w:p>
    <w:p w14:paraId="29187161" w14:textId="77777777" w:rsidR="00A76E99" w:rsidRPr="00AF56B9" w:rsidRDefault="00A76E99" w:rsidP="00A76E99">
      <w:pPr>
        <w:pBdr>
          <w:top w:val="nil"/>
          <w:left w:val="nil"/>
          <w:bottom w:val="nil"/>
          <w:right w:val="nil"/>
          <w:between w:val="nil"/>
        </w:pBdr>
        <w:spacing w:after="0" w:line="240" w:lineRule="auto"/>
        <w:ind w:firstLine="709"/>
        <w:jc w:val="both"/>
        <w:rPr>
          <w:rFonts w:ascii="Verdana" w:eastAsia="Arial" w:hAnsi="Verdana" w:cs="Arial"/>
          <w:color w:val="000000" w:themeColor="text1"/>
          <w:sz w:val="16"/>
          <w:szCs w:val="16"/>
        </w:rPr>
      </w:pPr>
      <w:r w:rsidRPr="00AF56B9">
        <w:rPr>
          <w:rFonts w:ascii="Verdana" w:eastAsia="Arial" w:hAnsi="Verdana" w:cs="Arial"/>
          <w:color w:val="000000" w:themeColor="text1"/>
          <w:sz w:val="16"/>
          <w:szCs w:val="16"/>
        </w:rPr>
        <w:t>[…]</w:t>
      </w:r>
    </w:p>
    <w:p w14:paraId="29C2666A" w14:textId="77777777" w:rsidR="00A76E99" w:rsidRPr="00AF56B9" w:rsidRDefault="00A76E99" w:rsidP="00A76E99">
      <w:pPr>
        <w:pBdr>
          <w:top w:val="nil"/>
          <w:left w:val="nil"/>
          <w:bottom w:val="nil"/>
          <w:right w:val="nil"/>
          <w:between w:val="nil"/>
        </w:pBdr>
        <w:spacing w:after="0" w:line="240" w:lineRule="auto"/>
        <w:ind w:firstLine="709"/>
        <w:jc w:val="both"/>
        <w:rPr>
          <w:rFonts w:ascii="Verdana" w:eastAsia="Arial" w:hAnsi="Verdana" w:cs="Arial"/>
          <w:color w:val="000000" w:themeColor="text1"/>
          <w:sz w:val="16"/>
          <w:szCs w:val="16"/>
        </w:rPr>
      </w:pPr>
      <w:r w:rsidRPr="00AF56B9">
        <w:rPr>
          <w:rFonts w:ascii="Verdana" w:eastAsia="Arial" w:hAnsi="Verdana" w:cs="Arial"/>
          <w:color w:val="000000" w:themeColor="text1"/>
          <w:sz w:val="16"/>
          <w:szCs w:val="16"/>
        </w:rPr>
        <w:t>6. Las causas que dan lugar a rechazar una oferta […]”.</w:t>
      </w:r>
    </w:p>
  </w:footnote>
  <w:footnote w:id="17">
    <w:p w14:paraId="21DFB19F" w14:textId="77777777" w:rsidR="00A76E99" w:rsidRDefault="00A76E99" w:rsidP="00A76E99">
      <w:pPr>
        <w:pBdr>
          <w:top w:val="nil"/>
          <w:left w:val="nil"/>
          <w:bottom w:val="nil"/>
          <w:right w:val="nil"/>
          <w:between w:val="nil"/>
        </w:pBdr>
        <w:spacing w:after="0" w:line="240" w:lineRule="auto"/>
        <w:ind w:firstLine="709"/>
        <w:jc w:val="both"/>
        <w:rPr>
          <w:rFonts w:ascii="Verdana" w:eastAsia="Arial" w:hAnsi="Verdana" w:cs="Arial"/>
          <w:color w:val="000000" w:themeColor="text1"/>
          <w:sz w:val="16"/>
          <w:szCs w:val="16"/>
        </w:rPr>
      </w:pPr>
      <w:r w:rsidRPr="00AF56B9">
        <w:rPr>
          <w:rFonts w:ascii="Verdana" w:hAnsi="Verdana" w:cs="Arial"/>
          <w:color w:val="000000" w:themeColor="text1"/>
          <w:sz w:val="16"/>
          <w:szCs w:val="16"/>
          <w:vertAlign w:val="superscript"/>
        </w:rPr>
        <w:footnoteRef/>
      </w:r>
      <w:r w:rsidRPr="00AF56B9">
        <w:rPr>
          <w:rFonts w:ascii="Verdana" w:eastAsia="Arial" w:hAnsi="Verdana" w:cs="Arial"/>
          <w:color w:val="000000" w:themeColor="text1"/>
          <w:sz w:val="16"/>
          <w:szCs w:val="16"/>
        </w:rPr>
        <w:t xml:space="preserve"> Consejo de Estado. Sala de lo Contencioso Administrativo. Sección Tercera Subsección B. Sentencia del 27 de abril de 2011. Radicado: 25000-23-26-000-1997-03924-01 (18.293). C.P. Ponente: Ruth Stella Correa Palacio. </w:t>
      </w:r>
    </w:p>
    <w:p w14:paraId="1DADF4AF" w14:textId="77777777" w:rsidR="00A76E99" w:rsidRPr="00AF56B9" w:rsidRDefault="00A76E99" w:rsidP="00A76E99">
      <w:pPr>
        <w:pBdr>
          <w:top w:val="nil"/>
          <w:left w:val="nil"/>
          <w:bottom w:val="nil"/>
          <w:right w:val="nil"/>
          <w:between w:val="nil"/>
        </w:pBdr>
        <w:spacing w:after="0" w:line="240" w:lineRule="auto"/>
        <w:ind w:firstLine="709"/>
        <w:jc w:val="both"/>
        <w:rPr>
          <w:rFonts w:ascii="Verdana" w:eastAsia="Arial" w:hAnsi="Verdana" w:cs="Arial"/>
          <w:color w:val="000000" w:themeColor="text1"/>
          <w:sz w:val="16"/>
          <w:szCs w:val="16"/>
        </w:rPr>
      </w:pPr>
    </w:p>
  </w:footnote>
  <w:footnote w:id="18">
    <w:p w14:paraId="3590A1D6" w14:textId="77777777" w:rsidR="00A76E99" w:rsidRPr="00AF56B9" w:rsidRDefault="00A76E99" w:rsidP="00A76E99">
      <w:pPr>
        <w:pStyle w:val="Textonotapie"/>
        <w:ind w:firstLine="709"/>
        <w:jc w:val="both"/>
        <w:rPr>
          <w:rFonts w:ascii="Verdana" w:eastAsia="Times New Roman" w:hAnsi="Verdana" w:cs="Arial"/>
          <w:sz w:val="16"/>
          <w:szCs w:val="16"/>
          <w:lang w:val="es-CO" w:eastAsia="es-CO"/>
        </w:rPr>
      </w:pPr>
      <w:r w:rsidRPr="00AF56B9">
        <w:rPr>
          <w:rStyle w:val="Refdenotaalpie"/>
          <w:rFonts w:ascii="Verdana" w:hAnsi="Verdana" w:cs="Arial"/>
          <w:sz w:val="16"/>
          <w:szCs w:val="16"/>
        </w:rPr>
        <w:footnoteRef/>
      </w:r>
      <w:r w:rsidRPr="00AF56B9">
        <w:rPr>
          <w:rFonts w:ascii="Verdana" w:hAnsi="Verdana" w:cs="Arial"/>
          <w:sz w:val="16"/>
          <w:szCs w:val="16"/>
        </w:rPr>
        <w:t xml:space="preserve"> </w:t>
      </w:r>
      <w:r w:rsidRPr="00AF56B9">
        <w:rPr>
          <w:rFonts w:ascii="Verdana" w:eastAsia="Times New Roman" w:hAnsi="Verdana" w:cs="Arial"/>
          <w:sz w:val="16"/>
          <w:szCs w:val="16"/>
          <w:lang w:val="es-CO" w:eastAsia="es-CO"/>
        </w:rPr>
        <w:t>Consejo de Estado. Sección Tercera. Sentencia del 21 de noviembre de 2013. Radicado 25000-23-26-000-1999-01850-01 (25.397). C.P. Carlos Alberto Zambrano Barrera.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4" type="#_x0000_t75" style="width:11.85pt;height:11.8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0BFD188E"/>
    <w:multiLevelType w:val="hybridMultilevel"/>
    <w:tmpl w:val="8888292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6"/>
  </w:num>
  <w:num w:numId="8" w16cid:durableId="152644682">
    <w:abstractNumId w:val="12"/>
  </w:num>
  <w:num w:numId="9" w16cid:durableId="1317221377">
    <w:abstractNumId w:val="8"/>
  </w:num>
  <w:num w:numId="10" w16cid:durableId="1471245386">
    <w:abstractNumId w:val="11"/>
  </w:num>
  <w:num w:numId="11" w16cid:durableId="289172385">
    <w:abstractNumId w:val="9"/>
  </w:num>
  <w:num w:numId="12" w16cid:durableId="1470781324">
    <w:abstractNumId w:val="1"/>
  </w:num>
  <w:num w:numId="13" w16cid:durableId="1512908409">
    <w:abstractNumId w:val="4"/>
  </w:num>
  <w:num w:numId="14" w16cid:durableId="895897244">
    <w:abstractNumId w:val="14"/>
  </w:num>
  <w:num w:numId="15" w16cid:durableId="390349800">
    <w:abstractNumId w:val="10"/>
  </w:num>
  <w:num w:numId="16" w16cid:durableId="341274352">
    <w:abstractNumId w:val="0"/>
  </w:num>
  <w:num w:numId="17" w16cid:durableId="143663266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5"/>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87279"/>
    <w:rsid w:val="000A683E"/>
    <w:rsid w:val="000B19B9"/>
    <w:rsid w:val="000D0334"/>
    <w:rsid w:val="000D5DA7"/>
    <w:rsid w:val="000F6486"/>
    <w:rsid w:val="00115043"/>
    <w:rsid w:val="00116940"/>
    <w:rsid w:val="00125105"/>
    <w:rsid w:val="00127233"/>
    <w:rsid w:val="00131096"/>
    <w:rsid w:val="0015699B"/>
    <w:rsid w:val="001A33BF"/>
    <w:rsid w:val="001E4177"/>
    <w:rsid w:val="001F0B24"/>
    <w:rsid w:val="001F7DC6"/>
    <w:rsid w:val="00223778"/>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A1847"/>
    <w:rsid w:val="004A305D"/>
    <w:rsid w:val="004F21C4"/>
    <w:rsid w:val="004F685F"/>
    <w:rsid w:val="0050169E"/>
    <w:rsid w:val="005566E8"/>
    <w:rsid w:val="00572E66"/>
    <w:rsid w:val="00574867"/>
    <w:rsid w:val="00591460"/>
    <w:rsid w:val="005A65E0"/>
    <w:rsid w:val="005C3777"/>
    <w:rsid w:val="005C5CDC"/>
    <w:rsid w:val="005D476C"/>
    <w:rsid w:val="006200BF"/>
    <w:rsid w:val="006219F8"/>
    <w:rsid w:val="006302F7"/>
    <w:rsid w:val="00646B9F"/>
    <w:rsid w:val="00665D70"/>
    <w:rsid w:val="006900D9"/>
    <w:rsid w:val="006F6528"/>
    <w:rsid w:val="00706C16"/>
    <w:rsid w:val="007340C3"/>
    <w:rsid w:val="0075235A"/>
    <w:rsid w:val="00756841"/>
    <w:rsid w:val="007649AB"/>
    <w:rsid w:val="00771D0C"/>
    <w:rsid w:val="0077550A"/>
    <w:rsid w:val="007833AC"/>
    <w:rsid w:val="007B268C"/>
    <w:rsid w:val="007B7171"/>
    <w:rsid w:val="007C0C0F"/>
    <w:rsid w:val="007C1E7F"/>
    <w:rsid w:val="007C3DC2"/>
    <w:rsid w:val="007E5497"/>
    <w:rsid w:val="007F7A1D"/>
    <w:rsid w:val="00806F5F"/>
    <w:rsid w:val="00820278"/>
    <w:rsid w:val="008258C9"/>
    <w:rsid w:val="00844AE9"/>
    <w:rsid w:val="0084721D"/>
    <w:rsid w:val="00867F95"/>
    <w:rsid w:val="00883FA3"/>
    <w:rsid w:val="008843B6"/>
    <w:rsid w:val="00891928"/>
    <w:rsid w:val="008A446D"/>
    <w:rsid w:val="008B25F1"/>
    <w:rsid w:val="008D180B"/>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37A52"/>
    <w:rsid w:val="00A76E99"/>
    <w:rsid w:val="00AB0ADB"/>
    <w:rsid w:val="00B00C0E"/>
    <w:rsid w:val="00B01B1A"/>
    <w:rsid w:val="00B0381D"/>
    <w:rsid w:val="00B44A47"/>
    <w:rsid w:val="00B72CD3"/>
    <w:rsid w:val="00B72FFF"/>
    <w:rsid w:val="00BC3D36"/>
    <w:rsid w:val="00BD54A6"/>
    <w:rsid w:val="00BD7F72"/>
    <w:rsid w:val="00BF7425"/>
    <w:rsid w:val="00C04FB3"/>
    <w:rsid w:val="00C11D8B"/>
    <w:rsid w:val="00C15139"/>
    <w:rsid w:val="00C330EB"/>
    <w:rsid w:val="00C50D69"/>
    <w:rsid w:val="00C527D9"/>
    <w:rsid w:val="00C5365C"/>
    <w:rsid w:val="00C55F36"/>
    <w:rsid w:val="00C754BE"/>
    <w:rsid w:val="00C76B1C"/>
    <w:rsid w:val="00C925AC"/>
    <w:rsid w:val="00CB6357"/>
    <w:rsid w:val="00CC1B26"/>
    <w:rsid w:val="00CD3846"/>
    <w:rsid w:val="00D27C18"/>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0EEB"/>
    <w:rsid w:val="00EC38A7"/>
    <w:rsid w:val="00EC6EDB"/>
    <w:rsid w:val="00EE1AA8"/>
    <w:rsid w:val="00F23FEA"/>
    <w:rsid w:val="00F31EDC"/>
    <w:rsid w:val="00F462B3"/>
    <w:rsid w:val="00F52AEF"/>
    <w:rsid w:val="00F5664F"/>
    <w:rsid w:val="00F666C4"/>
    <w:rsid w:val="00F76AFC"/>
    <w:rsid w:val="00F84809"/>
    <w:rsid w:val="00FA47C0"/>
    <w:rsid w:val="00FB5DD1"/>
    <w:rsid w:val="00FC2B5D"/>
    <w:rsid w:val="00FF1449"/>
    <w:rsid w:val="00FF7963"/>
    <w:rsid w:val="09908A09"/>
    <w:rsid w:val="13CFC91B"/>
    <w:rsid w:val="19A2EC2C"/>
    <w:rsid w:val="2127726B"/>
    <w:rsid w:val="2859CA1B"/>
    <w:rsid w:val="2ADEBA84"/>
    <w:rsid w:val="32A4F9CF"/>
    <w:rsid w:val="356CEDFD"/>
    <w:rsid w:val="3AC1A458"/>
    <w:rsid w:val="69614A15"/>
    <w:rsid w:val="73900932"/>
    <w:rsid w:val="741F9A7A"/>
    <w:rsid w:val="79E0AEA0"/>
    <w:rsid w:val="7BB183BC"/>
    <w:rsid w:val="7E183317"/>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A76E99"/>
    <w:rPr>
      <w:rFonts w:ascii="Geomanist Light" w:hAnsi="Geomanist Light"/>
      <w:lang w:val="es-ES"/>
    </w:rPr>
  </w:style>
  <w:style w:type="paragraph" w:customStyle="1" w:styleId="Appelnotedebasde">
    <w:name w:val="Appel note de bas de..."/>
    <w:basedOn w:val="Normal"/>
    <w:link w:val="Refdenotaalpie"/>
    <w:uiPriority w:val="99"/>
    <w:rsid w:val="00A76E99"/>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colombiacompra.gov.co/wp-content/uploads/2024/08/circular_externa_unica_version_3_vf49.pdf" TargetMode="External"/><Relationship Id="rId18" Type="http://schemas.openxmlformats.org/officeDocument/2006/relationships/hyperlink" Target="https://forms.office.com/r/pPHyWVs2SZ"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webSettings" Target="webSettings.xml"/><Relationship Id="rId12" Type="http://schemas.openxmlformats.org/officeDocument/2006/relationships/hyperlink" Target="mailto:licitacionesappcontroljp@gmail.com" TargetMode="External"/><Relationship Id="rId17" Type="http://schemas.openxmlformats.org/officeDocument/2006/relationships/hyperlink" Target="https://www.colombiacompra.gov.co/pqrsd/informacion-importante-antes-de-formular-una-pqrsd" TargetMode="External"/><Relationship Id="rId2" Type="http://schemas.openxmlformats.org/officeDocument/2006/relationships/customXml" Target="../customXml/item2.xml"/><Relationship Id="rId16" Type="http://schemas.openxmlformats.org/officeDocument/2006/relationships/hyperlink" Target="mailto:ventanilladeradicacion@colombiacompra.gov.co"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3.png"/><Relationship Id="rId5" Type="http://schemas.openxmlformats.org/officeDocument/2006/relationships/styles" Target="styles.xml"/><Relationship Id="rId15" Type="http://schemas.openxmlformats.org/officeDocument/2006/relationships/hyperlink" Target="https://relatoria.colombiacompra.gov.co/busqueda/conceptos" TargetMode="External"/><Relationship Id="rId23" Type="http://schemas.openxmlformats.org/officeDocument/2006/relationships/theme" Target="theme/theme1.xml"/><Relationship Id="rId10" Type="http://schemas.openxmlformats.org/officeDocument/2006/relationships/image" Target="media/image2.png"/><Relationship Id="rId19" Type="http://schemas.openxmlformats.org/officeDocument/2006/relationships/image" Target="media/image4.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wp-content/uploads/2024/08/cce-eicp-ma-04._manual_requisitos_habilitantes_v3_29-09-2023.pdf" TargetMode="External"/><Relationship Id="rId22" Type="http://schemas.openxmlformats.org/officeDocument/2006/relationships/fontTable" Target="fontTable.xml"/></Relationships>
</file>

<file path=word/_rels/footnotes.xml.rels><?xml version="1.0" encoding="UTF-8" standalone="yes"?>
<Relationships xmlns="http://schemas.openxmlformats.org/package/2006/relationships"><Relationship Id="rId3" Type="http://schemas.openxmlformats.org/officeDocument/2006/relationships/hyperlink" Target="https://www.colombiacompra.gov.co/wp-content/uploads/2024/08/cce-eicp-ma-04._manual_requisitos_habilitantes_v3_29-09-2023.pdf" TargetMode="External"/><Relationship Id="rId2" Type="http://schemas.openxmlformats.org/officeDocument/2006/relationships/hyperlink" Target="http://www.lexbase.biz/lexbase/normas/leyes/2007/L1150de2007.htm" TargetMode="External"/><Relationship Id="rId1" Type="http://schemas.openxmlformats.org/officeDocument/2006/relationships/hyperlink" Target="https://www.colombiacompra.gov.co/wp-content/uploads/2024/08/circular_externa_unica_version_3_vf49.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e12b00258f526aca9cff1c58808bc7a0">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730abbc8c4891a3f3c16b4680e1768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3A46516E-E4C3-456E-870C-5C30FE94E5A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30</TotalTime>
  <Pages>26</Pages>
  <Words>8617</Words>
  <Characters>46189</Characters>
  <Application>Microsoft Office Word</Application>
  <DocSecurity>0</DocSecurity>
  <Lines>1004</Lines>
  <Paragraphs>236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54570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Keila Margarita Reyes Cassiani</cp:lastModifiedBy>
  <cp:revision>5</cp:revision>
  <cp:lastPrinted>2023-01-10T21:18:00Z</cp:lastPrinted>
  <dcterms:created xsi:type="dcterms:W3CDTF">2025-11-06T22:07:00Z</dcterms:created>
  <dcterms:modified xsi:type="dcterms:W3CDTF">2025-11-10T18:47:00Z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