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0392A" w14:textId="1B466D46" w:rsidR="00FA3F40" w:rsidRPr="00FA3F40" w:rsidRDefault="00FA3F40" w:rsidP="008960C4">
      <w:pPr>
        <w:spacing w:after="240"/>
        <w:rPr>
          <w:rFonts w:ascii="Verdana" w:hAnsi="Verdana"/>
          <w:b/>
          <w:bCs/>
        </w:rPr>
      </w:pPr>
      <w:bookmarkStart w:id="0" w:name="_Hlk143780582"/>
      <w:r w:rsidRPr="00FA3F40">
        <w:rPr>
          <w:rFonts w:ascii="Verdana" w:hAnsi="Verdana"/>
          <w:b/>
          <w:bCs/>
        </w:rPr>
        <w:t>CONTRATO ESTATAL – Régimen jurídico</w:t>
      </w:r>
    </w:p>
    <w:p w14:paraId="2D614F68" w14:textId="77777777" w:rsidR="00D73886" w:rsidRDefault="00D73886" w:rsidP="008960C4">
      <w:pPr>
        <w:spacing w:after="120" w:line="240" w:lineRule="auto"/>
        <w:jc w:val="both"/>
        <w:rPr>
          <w:rFonts w:ascii="Verdana" w:hAnsi="Verdana"/>
          <w:sz w:val="20"/>
          <w:szCs w:val="20"/>
        </w:rPr>
      </w:pPr>
      <w:r w:rsidRPr="00D73886">
        <w:rPr>
          <w:rFonts w:ascii="Verdana" w:hAnsi="Verdana"/>
          <w:sz w:val="20"/>
          <w:szCs w:val="20"/>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74BD86E9" w14:textId="093018F5" w:rsidR="00D73886" w:rsidRDefault="00D73886" w:rsidP="008960C4">
      <w:pPr>
        <w:spacing w:after="240" w:line="240" w:lineRule="auto"/>
        <w:jc w:val="both"/>
        <w:rPr>
          <w:rFonts w:ascii="Verdana" w:hAnsi="Verdana"/>
          <w:sz w:val="20"/>
          <w:szCs w:val="20"/>
        </w:rPr>
      </w:pPr>
      <w:r w:rsidRPr="00D73886">
        <w:rPr>
          <w:rFonts w:ascii="Verdana" w:hAnsi="Verdana"/>
          <w:sz w:val="20"/>
          <w:szCs w:val="20"/>
        </w:rPr>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w:t>
      </w:r>
    </w:p>
    <w:p w14:paraId="23E5EF38" w14:textId="16642844" w:rsidR="00D73886" w:rsidRDefault="00D73886" w:rsidP="008960C4">
      <w:pPr>
        <w:spacing w:after="240" w:line="240" w:lineRule="auto"/>
        <w:jc w:val="both"/>
        <w:rPr>
          <w:rFonts w:ascii="Verdana" w:hAnsi="Verdana"/>
          <w:b/>
          <w:bCs/>
        </w:rPr>
      </w:pPr>
      <w:r w:rsidRPr="00D73886">
        <w:rPr>
          <w:rFonts w:ascii="Verdana" w:hAnsi="Verdana"/>
          <w:b/>
          <w:bCs/>
        </w:rPr>
        <w:t>CONTRATO DE COMODATO – Reglas vigentes</w:t>
      </w:r>
    </w:p>
    <w:p w14:paraId="70651D8C" w14:textId="59C46A8A" w:rsidR="00D73886" w:rsidRDefault="008960C4" w:rsidP="008960C4">
      <w:pPr>
        <w:spacing w:after="120" w:line="240" w:lineRule="auto"/>
        <w:jc w:val="both"/>
        <w:rPr>
          <w:rFonts w:ascii="Verdana" w:hAnsi="Verdana"/>
          <w:sz w:val="20"/>
          <w:szCs w:val="20"/>
        </w:rPr>
      </w:pPr>
      <w:r w:rsidRPr="008960C4">
        <w:rPr>
          <w:rFonts w:ascii="Verdana" w:hAnsi="Verdana"/>
          <w:sz w:val="20"/>
          <w:szCs w:val="20"/>
        </w:rPr>
        <w:t xml:space="preserve">El marco jurídico vigente de los contratos de comodato se rige por las siguiente reglas: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8960C4">
        <w:rPr>
          <w:rFonts w:ascii="Verdana" w:hAnsi="Verdana"/>
          <w:sz w:val="20"/>
          <w:szCs w:val="20"/>
        </w:rPr>
        <w:t>ii</w:t>
      </w:r>
      <w:proofErr w:type="spellEnd"/>
      <w:r w:rsidRPr="008960C4">
        <w:rPr>
          <w:rFonts w:ascii="Verdana" w:hAnsi="Verdana"/>
          <w:sz w:val="20"/>
          <w:szCs w:val="20"/>
        </w:rPr>
        <w:t xml:space="preserve">) las entidades estatales pueden celebrar contratos de comodato de bienes muebles entre sí, de acuerdo con las reglas del Código Civil; </w:t>
      </w:r>
      <w:proofErr w:type="spellStart"/>
      <w:r w:rsidRPr="008960C4">
        <w:rPr>
          <w:rFonts w:ascii="Verdana" w:hAnsi="Verdana"/>
          <w:sz w:val="20"/>
          <w:szCs w:val="20"/>
        </w:rPr>
        <w:t>iii</w:t>
      </w:r>
      <w:proofErr w:type="spellEnd"/>
      <w:r w:rsidRPr="008960C4">
        <w:rPr>
          <w:rFonts w:ascii="Verdana" w:hAnsi="Verdana"/>
          <w:sz w:val="20"/>
          <w:szCs w:val="20"/>
        </w:rPr>
        <w:t xml:space="preserve">) en virtud del artículo 355 de la Constitución Política, de acuerdo con el procedimiento establecido en el Decreto 092 de 2017,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8960C4">
        <w:rPr>
          <w:rFonts w:ascii="Verdana" w:hAnsi="Verdana"/>
          <w:sz w:val="20"/>
          <w:szCs w:val="20"/>
        </w:rPr>
        <w:t>iv</w:t>
      </w:r>
      <w:proofErr w:type="spellEnd"/>
      <w:r w:rsidRPr="008960C4">
        <w:rPr>
          <w:rFonts w:ascii="Verdana" w:hAnsi="Verdana"/>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0D0BBB04" w14:textId="7437D43F" w:rsidR="008960C4" w:rsidRPr="008960C4" w:rsidRDefault="008960C4" w:rsidP="00D73886">
      <w:pPr>
        <w:spacing w:after="0" w:line="240" w:lineRule="auto"/>
        <w:jc w:val="both"/>
        <w:rPr>
          <w:rFonts w:ascii="Verdana" w:hAnsi="Verdana"/>
          <w:sz w:val="20"/>
          <w:szCs w:val="20"/>
        </w:rPr>
      </w:pPr>
      <w:r w:rsidRPr="008960C4">
        <w:rPr>
          <w:rFonts w:ascii="Verdana" w:hAnsi="Verdana"/>
          <w:sz w:val="20"/>
          <w:szCs w:val="20"/>
        </w:rPr>
        <w:t xml:space="preserve">Por lo demás, como el comodato es un contrato a título gratuito, del incremento del plazo no se sigue el aumento de valor. En esto se diferencia del contrato de </w:t>
      </w:r>
      <w:r w:rsidRPr="008960C4">
        <w:rPr>
          <w:rFonts w:ascii="Verdana" w:hAnsi="Verdana"/>
          <w:sz w:val="20"/>
          <w:szCs w:val="20"/>
        </w:rPr>
        <w:lastRenderedPageBreak/>
        <w:t>arrendamiento, pues el incremento del plazo está ligado al pago de más cánones de los inicialmente previstos. Por ello, mientras en el segundo aplica la limitación del artículo 40 de la Ley 80 de 1993, no existen restricciones en las prórrogas de los contratos de comodato. Los mismo rige para las renovaciones, pues la norma citada sólo restringe las adiciones. Esto no sólo aplica a los comodatos entre entidades públicas, sino también a los suscritos con entidades privadas sin ánimo de lucro bajo en Decreto 092 de 2017, pues el artículo 8 dispone que “La contratación a la que hace referencia el presente decreto está sujeta a las normas generales aplicables a la contratación pública excepto en lo reglamentado en el presente decreto”.</w:t>
      </w:r>
    </w:p>
    <w:p w14:paraId="5ABEAC76" w14:textId="77777777" w:rsidR="00D73886" w:rsidRPr="00D73886" w:rsidRDefault="00D73886" w:rsidP="00D73886">
      <w:pPr>
        <w:spacing w:after="0" w:line="240" w:lineRule="auto"/>
        <w:jc w:val="both"/>
        <w:rPr>
          <w:rFonts w:ascii="Verdana" w:hAnsi="Verdana"/>
          <w:sz w:val="20"/>
          <w:szCs w:val="20"/>
        </w:rPr>
      </w:pPr>
    </w:p>
    <w:p w14:paraId="25A07EEE" w14:textId="77777777" w:rsidR="00D73886" w:rsidRDefault="00D73886" w:rsidP="00C15139">
      <w:pPr>
        <w:spacing w:after="0"/>
        <w:rPr>
          <w:rFonts w:ascii="Verdana" w:hAnsi="Verdana"/>
        </w:rPr>
      </w:pPr>
    </w:p>
    <w:p w14:paraId="5FBC536A" w14:textId="77777777" w:rsidR="008960C4" w:rsidRDefault="008960C4" w:rsidP="00C15139">
      <w:pPr>
        <w:spacing w:after="0"/>
        <w:rPr>
          <w:rFonts w:ascii="Verdana" w:hAnsi="Verdana"/>
        </w:rPr>
      </w:pPr>
    </w:p>
    <w:p w14:paraId="5B9EE798" w14:textId="77777777" w:rsidR="008960C4" w:rsidRDefault="008960C4" w:rsidP="00C15139">
      <w:pPr>
        <w:spacing w:after="0"/>
        <w:rPr>
          <w:rFonts w:ascii="Verdana" w:hAnsi="Verdana"/>
        </w:rPr>
      </w:pPr>
    </w:p>
    <w:p w14:paraId="5D56E90A" w14:textId="77777777" w:rsidR="008960C4" w:rsidRDefault="008960C4" w:rsidP="00C15139">
      <w:pPr>
        <w:spacing w:after="0"/>
        <w:rPr>
          <w:rFonts w:ascii="Verdana" w:hAnsi="Verdana"/>
        </w:rPr>
      </w:pPr>
    </w:p>
    <w:p w14:paraId="5AE9F856" w14:textId="77777777" w:rsidR="008960C4" w:rsidRDefault="008960C4" w:rsidP="00C15139">
      <w:pPr>
        <w:spacing w:after="0"/>
        <w:rPr>
          <w:rFonts w:ascii="Verdana" w:hAnsi="Verdana"/>
        </w:rPr>
      </w:pPr>
    </w:p>
    <w:p w14:paraId="6AC4DDFD" w14:textId="77777777" w:rsidR="008960C4" w:rsidRDefault="008960C4" w:rsidP="00C15139">
      <w:pPr>
        <w:spacing w:after="0"/>
        <w:rPr>
          <w:rFonts w:ascii="Verdana" w:hAnsi="Verdana"/>
        </w:rPr>
      </w:pPr>
    </w:p>
    <w:p w14:paraId="1863042B" w14:textId="77777777" w:rsidR="008960C4" w:rsidRDefault="008960C4" w:rsidP="00C15139">
      <w:pPr>
        <w:spacing w:after="0"/>
        <w:rPr>
          <w:rFonts w:ascii="Verdana" w:hAnsi="Verdana"/>
        </w:rPr>
      </w:pPr>
    </w:p>
    <w:p w14:paraId="035D8F75" w14:textId="77777777" w:rsidR="008960C4" w:rsidRDefault="008960C4" w:rsidP="00C15139">
      <w:pPr>
        <w:spacing w:after="0"/>
        <w:rPr>
          <w:rFonts w:ascii="Verdana" w:hAnsi="Verdana"/>
        </w:rPr>
      </w:pPr>
    </w:p>
    <w:p w14:paraId="5A3A41E1" w14:textId="77777777" w:rsidR="008960C4" w:rsidRDefault="008960C4" w:rsidP="00C15139">
      <w:pPr>
        <w:spacing w:after="0"/>
        <w:rPr>
          <w:rFonts w:ascii="Verdana" w:hAnsi="Verdana"/>
        </w:rPr>
      </w:pPr>
    </w:p>
    <w:p w14:paraId="4047732B" w14:textId="77777777" w:rsidR="008960C4" w:rsidRDefault="008960C4" w:rsidP="00C15139">
      <w:pPr>
        <w:spacing w:after="0"/>
        <w:rPr>
          <w:rFonts w:ascii="Verdana" w:hAnsi="Verdana"/>
        </w:rPr>
      </w:pPr>
    </w:p>
    <w:p w14:paraId="1B016D7D" w14:textId="77777777" w:rsidR="000C53FF" w:rsidRDefault="000C53FF" w:rsidP="00C15139">
      <w:pPr>
        <w:spacing w:after="0"/>
        <w:rPr>
          <w:rFonts w:ascii="Verdana" w:hAnsi="Verdana"/>
        </w:rPr>
      </w:pPr>
    </w:p>
    <w:p w14:paraId="38C11062" w14:textId="77777777" w:rsidR="000C53FF" w:rsidRDefault="000C53FF" w:rsidP="00C15139">
      <w:pPr>
        <w:spacing w:after="0"/>
        <w:rPr>
          <w:rFonts w:ascii="Verdana" w:hAnsi="Verdana"/>
        </w:rPr>
      </w:pPr>
    </w:p>
    <w:p w14:paraId="0FEBD77B" w14:textId="77777777" w:rsidR="000C53FF" w:rsidRDefault="000C53FF" w:rsidP="00C15139">
      <w:pPr>
        <w:spacing w:after="0"/>
        <w:rPr>
          <w:rFonts w:ascii="Verdana" w:hAnsi="Verdana"/>
        </w:rPr>
      </w:pPr>
    </w:p>
    <w:p w14:paraId="1B7A7DE3" w14:textId="77777777" w:rsidR="000C53FF" w:rsidRDefault="000C53FF" w:rsidP="00C15139">
      <w:pPr>
        <w:spacing w:after="0"/>
        <w:rPr>
          <w:rFonts w:ascii="Verdana" w:hAnsi="Verdana"/>
        </w:rPr>
      </w:pPr>
    </w:p>
    <w:p w14:paraId="322F880A" w14:textId="77777777" w:rsidR="000C53FF" w:rsidRDefault="000C53FF" w:rsidP="00C15139">
      <w:pPr>
        <w:spacing w:after="0"/>
        <w:rPr>
          <w:rFonts w:ascii="Verdana" w:hAnsi="Verdana"/>
        </w:rPr>
      </w:pPr>
    </w:p>
    <w:p w14:paraId="040C15C0" w14:textId="77777777" w:rsidR="000C53FF" w:rsidRDefault="000C53FF" w:rsidP="00C15139">
      <w:pPr>
        <w:spacing w:after="0"/>
        <w:rPr>
          <w:rFonts w:ascii="Verdana" w:hAnsi="Verdana"/>
        </w:rPr>
      </w:pPr>
    </w:p>
    <w:p w14:paraId="640EA0C5" w14:textId="77777777" w:rsidR="000C53FF" w:rsidRDefault="000C53FF" w:rsidP="00C15139">
      <w:pPr>
        <w:spacing w:after="0"/>
        <w:rPr>
          <w:rFonts w:ascii="Verdana" w:hAnsi="Verdana"/>
        </w:rPr>
      </w:pPr>
    </w:p>
    <w:p w14:paraId="7F16EBDF" w14:textId="77777777" w:rsidR="000C53FF" w:rsidRDefault="000C53FF" w:rsidP="00C15139">
      <w:pPr>
        <w:spacing w:after="0"/>
        <w:rPr>
          <w:rFonts w:ascii="Verdana" w:hAnsi="Verdana"/>
        </w:rPr>
      </w:pPr>
    </w:p>
    <w:p w14:paraId="694B868C" w14:textId="77777777" w:rsidR="000C53FF" w:rsidRDefault="000C53FF" w:rsidP="00C15139">
      <w:pPr>
        <w:spacing w:after="0"/>
        <w:rPr>
          <w:rFonts w:ascii="Verdana" w:hAnsi="Verdana"/>
        </w:rPr>
      </w:pPr>
    </w:p>
    <w:p w14:paraId="69EC3C18" w14:textId="77777777" w:rsidR="000C53FF" w:rsidRDefault="000C53FF" w:rsidP="00C15139">
      <w:pPr>
        <w:spacing w:after="0"/>
        <w:rPr>
          <w:rFonts w:ascii="Verdana" w:hAnsi="Verdana"/>
        </w:rPr>
      </w:pPr>
    </w:p>
    <w:p w14:paraId="3BA2F986" w14:textId="77777777" w:rsidR="000C53FF" w:rsidRDefault="000C53FF" w:rsidP="00C15139">
      <w:pPr>
        <w:spacing w:after="0"/>
        <w:rPr>
          <w:rFonts w:ascii="Verdana" w:hAnsi="Verdana"/>
        </w:rPr>
      </w:pPr>
    </w:p>
    <w:p w14:paraId="41840189" w14:textId="77777777" w:rsidR="000C53FF" w:rsidRDefault="000C53FF" w:rsidP="00C15139">
      <w:pPr>
        <w:spacing w:after="0"/>
        <w:rPr>
          <w:rFonts w:ascii="Verdana" w:hAnsi="Verdana"/>
        </w:rPr>
      </w:pPr>
    </w:p>
    <w:p w14:paraId="10F4E25D" w14:textId="77777777" w:rsidR="000C53FF" w:rsidRDefault="000C53FF" w:rsidP="00C15139">
      <w:pPr>
        <w:spacing w:after="0"/>
        <w:rPr>
          <w:rFonts w:ascii="Verdana" w:hAnsi="Verdana"/>
        </w:rPr>
      </w:pPr>
    </w:p>
    <w:p w14:paraId="1F83257D" w14:textId="77777777" w:rsidR="000C53FF" w:rsidRDefault="000C53FF" w:rsidP="00C15139">
      <w:pPr>
        <w:spacing w:after="0"/>
        <w:rPr>
          <w:rFonts w:ascii="Verdana" w:hAnsi="Verdana"/>
        </w:rPr>
      </w:pPr>
    </w:p>
    <w:p w14:paraId="5082CA39" w14:textId="77777777" w:rsidR="008960C4" w:rsidRDefault="008960C4" w:rsidP="00C15139">
      <w:pPr>
        <w:spacing w:after="0"/>
        <w:rPr>
          <w:rFonts w:ascii="Verdana" w:hAnsi="Verdana"/>
        </w:rPr>
      </w:pPr>
    </w:p>
    <w:p w14:paraId="354653B0" w14:textId="77777777" w:rsidR="009B3026" w:rsidRDefault="009B3026" w:rsidP="00C15139">
      <w:pPr>
        <w:spacing w:after="0"/>
        <w:rPr>
          <w:rFonts w:ascii="Verdana" w:hAnsi="Verdana"/>
        </w:rPr>
      </w:pPr>
    </w:p>
    <w:p w14:paraId="789AB5BC" w14:textId="77777777" w:rsidR="009B3026" w:rsidRDefault="009B3026" w:rsidP="00C15139">
      <w:pPr>
        <w:spacing w:after="0"/>
        <w:rPr>
          <w:rFonts w:ascii="Verdana" w:hAnsi="Verdana"/>
        </w:rPr>
      </w:pPr>
    </w:p>
    <w:p w14:paraId="1C55063B" w14:textId="77777777" w:rsidR="008960C4" w:rsidRDefault="008960C4" w:rsidP="00C15139">
      <w:pPr>
        <w:spacing w:after="0"/>
        <w:rPr>
          <w:rFonts w:ascii="Verdana" w:hAnsi="Verdana"/>
        </w:rPr>
      </w:pPr>
    </w:p>
    <w:p w14:paraId="2363AC2C" w14:textId="77777777" w:rsidR="008960C4" w:rsidRDefault="008960C4" w:rsidP="00C15139">
      <w:pPr>
        <w:spacing w:after="0"/>
        <w:rPr>
          <w:rFonts w:ascii="Verdana" w:hAnsi="Verdana"/>
        </w:rPr>
      </w:pPr>
    </w:p>
    <w:p w14:paraId="12443EE0" w14:textId="235A8082" w:rsidR="00C15139" w:rsidRDefault="00C15139" w:rsidP="00C15139">
      <w:pPr>
        <w:spacing w:after="0"/>
        <w:rPr>
          <w:rFonts w:ascii="Verdana" w:hAnsi="Verdana"/>
        </w:rPr>
      </w:pPr>
      <w:r w:rsidRPr="00FA3F40">
        <w:rPr>
          <w:rFonts w:ascii="Verdana" w:hAnsi="Verdana"/>
        </w:rPr>
        <w:t xml:space="preserve">Bogotá D.C., </w:t>
      </w:r>
      <w:r w:rsidR="00FA3F40" w:rsidRPr="00FA3F40">
        <w:rPr>
          <w:rFonts w:ascii="Verdana" w:hAnsi="Verdana"/>
        </w:rPr>
        <w:t>18 de n</w:t>
      </w:r>
      <w:r w:rsidR="00FA3F40">
        <w:rPr>
          <w:rFonts w:ascii="Verdana" w:hAnsi="Verdana"/>
        </w:rPr>
        <w:t>oviembre del 2025</w:t>
      </w:r>
      <w:r w:rsidRPr="00FA3F40">
        <w:rPr>
          <w:rFonts w:ascii="Verdana" w:hAnsi="Verdana"/>
        </w:rPr>
        <w:tab/>
      </w:r>
    </w:p>
    <w:p w14:paraId="1D51B2C1" w14:textId="77777777" w:rsidR="00F96B60" w:rsidRDefault="00F96B60" w:rsidP="00C15139">
      <w:pPr>
        <w:spacing w:after="0"/>
        <w:rPr>
          <w:rFonts w:ascii="Verdana" w:hAnsi="Verdana"/>
        </w:rPr>
      </w:pPr>
    </w:p>
    <w:p w14:paraId="4355AD17" w14:textId="56EE2F0F" w:rsidR="000C53FF" w:rsidRDefault="00D730A1" w:rsidP="000C53FF">
      <w:pPr>
        <w:spacing w:after="0"/>
        <w:jc w:val="right"/>
        <w:rPr>
          <w:rFonts w:ascii="Verdana" w:hAnsi="Verdana"/>
        </w:rPr>
      </w:pPr>
      <w:r w:rsidRPr="00D730A1">
        <w:rPr>
          <w:rFonts w:ascii="Verdana" w:hAnsi="Verdana"/>
          <w:noProof/>
        </w:rPr>
        <w:lastRenderedPageBreak/>
        <w:drawing>
          <wp:inline distT="0" distB="0" distL="0" distR="0" wp14:anchorId="0A903090" wp14:editId="1A9A2E4D">
            <wp:extent cx="2704465" cy="742950"/>
            <wp:effectExtent l="0" t="0" r="635" b="0"/>
            <wp:docPr id="13839560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956057" name=""/>
                    <pic:cNvPicPr/>
                  </pic:nvPicPr>
                  <pic:blipFill>
                    <a:blip r:embed="rId11"/>
                    <a:stretch>
                      <a:fillRect/>
                    </a:stretch>
                  </pic:blipFill>
                  <pic:spPr>
                    <a:xfrm>
                      <a:off x="0" y="0"/>
                      <a:ext cx="2707617" cy="743816"/>
                    </a:xfrm>
                    <a:prstGeom prst="rect">
                      <a:avLst/>
                    </a:prstGeom>
                  </pic:spPr>
                </pic:pic>
              </a:graphicData>
            </a:graphic>
          </wp:inline>
        </w:drawing>
      </w:r>
    </w:p>
    <w:p w14:paraId="7C1DED30" w14:textId="297CEDCB" w:rsidR="00056991" w:rsidRPr="005E773A" w:rsidRDefault="00056991" w:rsidP="00056991">
      <w:pPr>
        <w:spacing w:after="0" w:line="240" w:lineRule="auto"/>
        <w:jc w:val="both"/>
        <w:rPr>
          <w:rFonts w:ascii="Verdana" w:eastAsia="Calibri" w:hAnsi="Verdana" w:cs="Arial"/>
          <w:color w:val="000000" w:themeColor="text1"/>
          <w:lang w:eastAsia="es-ES"/>
        </w:rPr>
      </w:pPr>
      <w:r w:rsidRPr="005E773A">
        <w:rPr>
          <w:rFonts w:ascii="Verdana" w:eastAsia="Calibri" w:hAnsi="Verdana" w:cs="Arial"/>
          <w:color w:val="000000" w:themeColor="text1"/>
          <w:lang w:eastAsia="es-ES"/>
        </w:rPr>
        <w:t>Señor:</w:t>
      </w:r>
    </w:p>
    <w:p w14:paraId="23215282" w14:textId="413187B7" w:rsidR="00056991" w:rsidRPr="005E773A" w:rsidRDefault="00DC0018" w:rsidP="00056991">
      <w:pPr>
        <w:spacing w:after="0" w:line="240" w:lineRule="auto"/>
        <w:jc w:val="both"/>
        <w:rPr>
          <w:rFonts w:ascii="Verdana" w:eastAsia="Calibri" w:hAnsi="Verdana" w:cs="Arial"/>
          <w:b/>
          <w:bCs/>
          <w:color w:val="000000" w:themeColor="text1"/>
          <w:lang w:eastAsia="es-ES"/>
        </w:rPr>
      </w:pPr>
      <w:r w:rsidRPr="005E773A">
        <w:rPr>
          <w:rFonts w:ascii="Verdana" w:eastAsia="Calibri" w:hAnsi="Verdana" w:cs="Arial"/>
          <w:b/>
          <w:bCs/>
          <w:color w:val="000000" w:themeColor="text1"/>
          <w:lang w:eastAsia="es-ES"/>
        </w:rPr>
        <w:t>Jorge David</w:t>
      </w:r>
    </w:p>
    <w:p w14:paraId="11A246A2" w14:textId="34BE0E95" w:rsidR="00DC0018" w:rsidRPr="005E773A" w:rsidRDefault="00DC0018" w:rsidP="00056991">
      <w:pPr>
        <w:spacing w:after="0" w:line="240" w:lineRule="auto"/>
        <w:rPr>
          <w:rFonts w:ascii="Verdana" w:hAnsi="Verdana"/>
        </w:rPr>
      </w:pPr>
      <w:hyperlink r:id="rId12" w:history="1">
        <w:r w:rsidRPr="005E773A">
          <w:rPr>
            <w:rStyle w:val="Hipervnculo"/>
            <w:rFonts w:ascii="Verdana" w:hAnsi="Verdana"/>
          </w:rPr>
          <w:t>jorgemariod@hotmail.com</w:t>
        </w:r>
      </w:hyperlink>
    </w:p>
    <w:p w14:paraId="1E50AA29" w14:textId="0F4FE570" w:rsidR="00056991" w:rsidRPr="005E773A" w:rsidRDefault="00DC0018" w:rsidP="00056991">
      <w:pPr>
        <w:spacing w:after="0" w:line="240" w:lineRule="auto"/>
        <w:rPr>
          <w:rFonts w:ascii="Verdana" w:eastAsia="Calibri" w:hAnsi="Verdana" w:cs="Arial"/>
          <w:b/>
          <w:bCs/>
          <w:color w:val="000000" w:themeColor="text1"/>
          <w:lang w:eastAsia="es-ES"/>
        </w:rPr>
      </w:pPr>
      <w:r w:rsidRPr="005E773A">
        <w:rPr>
          <w:rFonts w:ascii="Verdana" w:eastAsia="Calibri" w:hAnsi="Verdana" w:cs="Arial"/>
          <w:color w:val="000000" w:themeColor="text1"/>
          <w:lang w:eastAsia="es-ES"/>
        </w:rPr>
        <w:t>Andes</w:t>
      </w:r>
      <w:r w:rsidR="00056991" w:rsidRPr="005E773A">
        <w:rPr>
          <w:rFonts w:ascii="Verdana" w:eastAsia="Calibri" w:hAnsi="Verdana" w:cs="Arial"/>
          <w:color w:val="000000" w:themeColor="text1"/>
          <w:lang w:eastAsia="es-ES"/>
        </w:rPr>
        <w:t xml:space="preserve">, </w:t>
      </w:r>
      <w:r w:rsidRPr="005E773A">
        <w:rPr>
          <w:rFonts w:ascii="Verdana" w:eastAsia="Calibri" w:hAnsi="Verdana" w:cs="Arial"/>
          <w:color w:val="000000" w:themeColor="text1"/>
          <w:lang w:eastAsia="es-ES"/>
        </w:rPr>
        <w:t xml:space="preserve">Antioquia </w:t>
      </w:r>
    </w:p>
    <w:p w14:paraId="179CB619" w14:textId="77777777" w:rsidR="00056991" w:rsidRPr="005E773A" w:rsidRDefault="00056991" w:rsidP="00056991">
      <w:pPr>
        <w:spacing w:after="0" w:line="240" w:lineRule="auto"/>
        <w:rPr>
          <w:rFonts w:ascii="Verdana" w:eastAsia="Calibri" w:hAnsi="Verdana" w:cs="Arial"/>
          <w:b/>
          <w:bCs/>
          <w:color w:val="000000" w:themeColor="text1"/>
          <w:highlight w:val="cyan"/>
          <w:lang w:eastAsia="es-ES_tradnl"/>
        </w:rPr>
      </w:pPr>
    </w:p>
    <w:p w14:paraId="72029055" w14:textId="77777777" w:rsidR="00056991" w:rsidRPr="00D912C1" w:rsidRDefault="00056991" w:rsidP="00056991">
      <w:pPr>
        <w:spacing w:after="0" w:line="240" w:lineRule="auto"/>
        <w:rPr>
          <w:rFonts w:ascii="Verdana" w:eastAsia="Calibri" w:hAnsi="Verdana" w:cs="Arial"/>
          <w:b/>
          <w:bCs/>
          <w:color w:val="000000" w:themeColor="text1"/>
          <w:highlight w:val="cyan"/>
          <w:lang w:val="es-ES_tradnl" w:eastAsia="es-ES_tradnl"/>
        </w:rPr>
      </w:pPr>
    </w:p>
    <w:p w14:paraId="09D437A8" w14:textId="4B8EE4C6" w:rsidR="0014020D" w:rsidRPr="00D912C1" w:rsidRDefault="00056991" w:rsidP="00056991">
      <w:pPr>
        <w:spacing w:after="0" w:line="240" w:lineRule="auto"/>
        <w:rPr>
          <w:rFonts w:ascii="Verdana" w:eastAsia="Calibri" w:hAnsi="Verdana" w:cs="Arial"/>
          <w:b/>
          <w:bCs/>
          <w:color w:val="000000" w:themeColor="text1"/>
          <w:lang w:val="es-ES_tradnl" w:eastAsia="es-ES_tradnl"/>
        </w:rPr>
      </w:pPr>
      <w:r w:rsidRPr="00D912C1">
        <w:rPr>
          <w:rFonts w:ascii="Verdana" w:eastAsia="Calibri" w:hAnsi="Verdana" w:cs="Arial"/>
          <w:b/>
          <w:bCs/>
          <w:color w:val="000000" w:themeColor="text1"/>
          <w:lang w:val="es-ES_tradnl" w:eastAsia="es-ES_tradnl"/>
        </w:rPr>
        <w:t xml:space="preserve">                                   Concepto </w:t>
      </w:r>
      <w:r w:rsidR="00CD2C8B" w:rsidRPr="00D912C1">
        <w:rPr>
          <w:rFonts w:ascii="Verdana" w:eastAsia="Calibri" w:hAnsi="Verdana" w:cs="Arial"/>
          <w:b/>
          <w:bCs/>
          <w:color w:val="000000" w:themeColor="text1"/>
          <w:lang w:val="es-ES_tradnl" w:eastAsia="es-ES_tradnl"/>
        </w:rPr>
        <w:t xml:space="preserve">C-1466 </w:t>
      </w:r>
      <w:r w:rsidRPr="00D912C1">
        <w:rPr>
          <w:rFonts w:ascii="Verdana" w:eastAsia="Calibri" w:hAnsi="Verdana" w:cs="Arial"/>
          <w:b/>
          <w:bCs/>
          <w:color w:val="000000" w:themeColor="text1"/>
          <w:lang w:val="es-ES_tradnl" w:eastAsia="es-ES_tradnl"/>
        </w:rPr>
        <w:t>del 2025</w:t>
      </w:r>
    </w:p>
    <w:p w14:paraId="0279F1A1" w14:textId="77777777" w:rsidR="0014020D" w:rsidRPr="00D912C1" w:rsidRDefault="0014020D" w:rsidP="00056991">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56991" w:rsidRPr="00D912C1" w14:paraId="14796647" w14:textId="77777777" w:rsidTr="009F18E3">
        <w:trPr>
          <w:trHeight w:val="884"/>
        </w:trPr>
        <w:tc>
          <w:tcPr>
            <w:tcW w:w="2689" w:type="dxa"/>
          </w:tcPr>
          <w:p w14:paraId="5859C03A" w14:textId="77777777" w:rsidR="00056991" w:rsidRPr="00D912C1" w:rsidRDefault="00056991" w:rsidP="009F18E3">
            <w:pPr>
              <w:jc w:val="both"/>
              <w:rPr>
                <w:rFonts w:ascii="Verdana" w:eastAsia="Calibri" w:hAnsi="Verdana" w:cs="Arial"/>
                <w:color w:val="000000" w:themeColor="text1"/>
                <w:lang w:val="es-ES_tradnl" w:eastAsia="es-ES_tradnl"/>
              </w:rPr>
            </w:pPr>
            <w:r w:rsidRPr="00D912C1">
              <w:rPr>
                <w:rFonts w:ascii="Verdana" w:eastAsia="Calibri" w:hAnsi="Verdana" w:cs="Arial"/>
                <w:b/>
                <w:color w:val="000000" w:themeColor="text1"/>
                <w:lang w:val="es-ES_tradnl" w:eastAsia="es-ES_tradnl"/>
              </w:rPr>
              <w:t>Temas:</w:t>
            </w:r>
            <w:r w:rsidRPr="00D912C1">
              <w:rPr>
                <w:rFonts w:ascii="Verdana" w:eastAsia="Calibri" w:hAnsi="Verdana" w:cs="Arial"/>
                <w:color w:val="000000" w:themeColor="text1"/>
                <w:lang w:val="es-ES_tradnl" w:eastAsia="es-ES_tradnl"/>
              </w:rPr>
              <w:t xml:space="preserve">                   </w:t>
            </w:r>
          </w:p>
        </w:tc>
        <w:tc>
          <w:tcPr>
            <w:tcW w:w="6100" w:type="dxa"/>
          </w:tcPr>
          <w:p w14:paraId="50832FE6" w14:textId="77777777" w:rsidR="0014020D" w:rsidRPr="00D912C1" w:rsidRDefault="0014020D" w:rsidP="0014020D">
            <w:pPr>
              <w:spacing w:line="276" w:lineRule="auto"/>
              <w:jc w:val="both"/>
              <w:rPr>
                <w:rFonts w:ascii="Verdana" w:eastAsia="Calibri" w:hAnsi="Verdana" w:cs="Arial"/>
                <w:lang w:val="es-ES" w:eastAsia="es-ES"/>
              </w:rPr>
            </w:pPr>
            <w:r w:rsidRPr="00D912C1">
              <w:rPr>
                <w:rFonts w:ascii="Verdana" w:eastAsia="Calibri" w:hAnsi="Verdana" w:cs="Arial"/>
                <w:lang w:val="es-ES" w:eastAsia="es-ES"/>
              </w:rPr>
              <w:t xml:space="preserve">CONTRATO ESTATAL – Régimen jurídico / CONTRATO DE COMODATO – Reglas vigentes        </w:t>
            </w:r>
          </w:p>
          <w:p w14:paraId="0734ED1F" w14:textId="77777777" w:rsidR="00056991" w:rsidRPr="00D912C1" w:rsidRDefault="00056991" w:rsidP="009F18E3">
            <w:pPr>
              <w:spacing w:line="276" w:lineRule="auto"/>
              <w:jc w:val="both"/>
              <w:rPr>
                <w:rFonts w:ascii="Verdana" w:hAnsi="Verdana" w:cs="Arial"/>
                <w:bCs/>
                <w:color w:val="000000" w:themeColor="text1"/>
                <w:lang w:val="es-ES"/>
              </w:rPr>
            </w:pPr>
          </w:p>
        </w:tc>
      </w:tr>
      <w:tr w:rsidR="00056991" w:rsidRPr="00D912C1" w14:paraId="0C3C7D8C" w14:textId="77777777" w:rsidTr="009F18E3">
        <w:tc>
          <w:tcPr>
            <w:tcW w:w="2689" w:type="dxa"/>
          </w:tcPr>
          <w:p w14:paraId="1055651F" w14:textId="77777777" w:rsidR="00056991" w:rsidRPr="00D912C1" w:rsidRDefault="00056991" w:rsidP="009F18E3">
            <w:pPr>
              <w:jc w:val="both"/>
              <w:rPr>
                <w:rFonts w:ascii="Verdana" w:eastAsia="Calibri" w:hAnsi="Verdana" w:cs="Arial"/>
                <w:b/>
                <w:color w:val="000000" w:themeColor="text1"/>
                <w:lang w:val="es-ES_tradnl" w:eastAsia="es-ES_tradnl"/>
              </w:rPr>
            </w:pPr>
            <w:r w:rsidRPr="00D912C1">
              <w:rPr>
                <w:rFonts w:ascii="Verdana" w:eastAsia="Calibri" w:hAnsi="Verdana" w:cs="Arial"/>
                <w:b/>
                <w:color w:val="000000" w:themeColor="text1"/>
                <w:lang w:val="es-ES_tradnl" w:eastAsia="es-ES_tradnl"/>
              </w:rPr>
              <w:t>Radicación:</w:t>
            </w:r>
            <w:r w:rsidRPr="00D912C1">
              <w:rPr>
                <w:rFonts w:ascii="Verdana" w:eastAsia="Calibri" w:hAnsi="Verdana" w:cs="Arial"/>
                <w:color w:val="000000" w:themeColor="text1"/>
                <w:lang w:val="es-ES_tradnl" w:eastAsia="es-ES_tradnl"/>
              </w:rPr>
              <w:t xml:space="preserve">               </w:t>
            </w:r>
          </w:p>
        </w:tc>
        <w:tc>
          <w:tcPr>
            <w:tcW w:w="6100" w:type="dxa"/>
          </w:tcPr>
          <w:p w14:paraId="371519FF" w14:textId="6FC94365" w:rsidR="00056991" w:rsidRPr="00D912C1" w:rsidRDefault="00056991" w:rsidP="009F18E3">
            <w:pPr>
              <w:jc w:val="both"/>
              <w:rPr>
                <w:rFonts w:ascii="Verdana" w:hAnsi="Verdana" w:cs="Arial"/>
              </w:rPr>
            </w:pPr>
            <w:r w:rsidRPr="00D912C1">
              <w:rPr>
                <w:rFonts w:ascii="Verdana" w:eastAsia="Calibri" w:hAnsi="Verdana" w:cs="Arial"/>
                <w:color w:val="000000" w:themeColor="text1"/>
                <w:lang w:val="es-ES_tradnl" w:eastAsia="es-ES_tradnl"/>
              </w:rPr>
              <w:t>Respuesta a consulta con radicado No.</w:t>
            </w:r>
            <w:r w:rsidR="00B35129" w:rsidRPr="00D912C1">
              <w:rPr>
                <w:rFonts w:ascii="Verdana" w:hAnsi="Verdana"/>
              </w:rPr>
              <w:t xml:space="preserve"> </w:t>
            </w:r>
            <w:r w:rsidR="00B35129" w:rsidRPr="00D912C1">
              <w:rPr>
                <w:rFonts w:ascii="Verdana" w:eastAsia="Calibri" w:hAnsi="Verdana" w:cs="Arial"/>
                <w:color w:val="000000" w:themeColor="text1"/>
                <w:lang w:val="es-ES_tradnl" w:eastAsia="es-ES_tradnl"/>
              </w:rPr>
              <w:t>1_2025_10_07_011223</w:t>
            </w:r>
          </w:p>
          <w:p w14:paraId="3F932D45" w14:textId="77777777" w:rsidR="00056991" w:rsidRPr="00D912C1" w:rsidRDefault="00056991" w:rsidP="009F18E3">
            <w:pPr>
              <w:jc w:val="both"/>
              <w:rPr>
                <w:rFonts w:ascii="Verdana" w:hAnsi="Verdana"/>
                <w:color w:val="000000"/>
              </w:rPr>
            </w:pPr>
          </w:p>
        </w:tc>
      </w:tr>
    </w:tbl>
    <w:p w14:paraId="7BE2DC11" w14:textId="77777777" w:rsidR="00056991" w:rsidRPr="00D912C1" w:rsidRDefault="00056991" w:rsidP="00056991">
      <w:pPr>
        <w:spacing w:after="0" w:line="240" w:lineRule="auto"/>
        <w:jc w:val="both"/>
        <w:rPr>
          <w:rFonts w:ascii="Verdana" w:eastAsia="Calibri" w:hAnsi="Verdana" w:cs="Arial"/>
          <w:color w:val="000000" w:themeColor="text1"/>
          <w:highlight w:val="cyan"/>
          <w:lang w:val="es-ES_tradnl" w:eastAsia="es-ES_tradnl"/>
        </w:rPr>
      </w:pPr>
    </w:p>
    <w:p w14:paraId="49217BAD" w14:textId="28E1DDF5" w:rsidR="00056991" w:rsidRPr="00D912C1" w:rsidRDefault="00056991" w:rsidP="00056991">
      <w:pPr>
        <w:spacing w:after="0" w:line="276" w:lineRule="auto"/>
        <w:jc w:val="both"/>
        <w:rPr>
          <w:rFonts w:ascii="Verdana" w:eastAsia="Calibri" w:hAnsi="Verdana" w:cs="Arial"/>
          <w:color w:val="000000" w:themeColor="text1"/>
          <w:lang w:val="es-ES" w:eastAsia="es-ES"/>
        </w:rPr>
      </w:pPr>
      <w:r w:rsidRPr="00D912C1">
        <w:rPr>
          <w:rFonts w:ascii="Verdana" w:eastAsia="Calibri" w:hAnsi="Verdana" w:cs="Arial"/>
          <w:color w:val="000000" w:themeColor="text1"/>
          <w:lang w:val="es-ES" w:eastAsia="es-ES"/>
        </w:rPr>
        <w:t>Estimad</w:t>
      </w:r>
      <w:r w:rsidR="00DC0018" w:rsidRPr="00D912C1">
        <w:rPr>
          <w:rFonts w:ascii="Verdana" w:eastAsia="Calibri" w:hAnsi="Verdana" w:cs="Arial"/>
          <w:color w:val="000000" w:themeColor="text1"/>
          <w:lang w:val="es-ES" w:eastAsia="es-ES"/>
        </w:rPr>
        <w:t>o</w:t>
      </w:r>
      <w:r w:rsidRPr="00D912C1">
        <w:rPr>
          <w:rFonts w:ascii="Verdana" w:eastAsia="Calibri" w:hAnsi="Verdana" w:cs="Arial"/>
          <w:color w:val="000000" w:themeColor="text1"/>
          <w:lang w:val="es-ES" w:eastAsia="es-ES"/>
        </w:rPr>
        <w:t xml:space="preserve"> señor </w:t>
      </w:r>
      <w:r w:rsidR="00DC0018" w:rsidRPr="00D912C1">
        <w:rPr>
          <w:rFonts w:ascii="Verdana" w:eastAsia="Calibri" w:hAnsi="Verdana" w:cs="Arial"/>
          <w:color w:val="000000" w:themeColor="text1"/>
          <w:lang w:val="es-ES" w:eastAsia="es-ES"/>
        </w:rPr>
        <w:t>David</w:t>
      </w:r>
      <w:r w:rsidRPr="00D912C1">
        <w:rPr>
          <w:rFonts w:ascii="Verdana" w:eastAsia="Calibri" w:hAnsi="Verdana" w:cs="Arial"/>
          <w:color w:val="000000" w:themeColor="text1"/>
          <w:lang w:val="es-ES" w:eastAsia="es-ES"/>
        </w:rPr>
        <w:t xml:space="preserve">: </w:t>
      </w:r>
    </w:p>
    <w:p w14:paraId="24926D4C" w14:textId="77777777" w:rsidR="00056991" w:rsidRPr="00D912C1" w:rsidRDefault="00056991" w:rsidP="00056991">
      <w:pPr>
        <w:tabs>
          <w:tab w:val="left" w:pos="3768"/>
        </w:tabs>
        <w:spacing w:after="0" w:line="276" w:lineRule="auto"/>
        <w:jc w:val="both"/>
        <w:rPr>
          <w:rFonts w:ascii="Verdana" w:eastAsia="Calibri" w:hAnsi="Verdana" w:cs="Arial"/>
          <w:color w:val="000000" w:themeColor="text1"/>
          <w:highlight w:val="cyan"/>
          <w:lang w:val="es-ES" w:eastAsia="es-ES"/>
        </w:rPr>
      </w:pPr>
      <w:r w:rsidRPr="00D912C1">
        <w:rPr>
          <w:rFonts w:ascii="Verdana" w:eastAsia="Calibri" w:hAnsi="Verdana" w:cs="Arial"/>
          <w:color w:val="000000" w:themeColor="text1"/>
          <w:lang w:val="es-ES" w:eastAsia="es-ES"/>
        </w:rPr>
        <w:tab/>
      </w:r>
    </w:p>
    <w:p w14:paraId="2077C119" w14:textId="1D3982C5" w:rsidR="00056991" w:rsidRPr="00D912C1" w:rsidRDefault="00056991" w:rsidP="00056991">
      <w:pPr>
        <w:spacing w:after="0" w:line="276" w:lineRule="auto"/>
        <w:jc w:val="both"/>
        <w:rPr>
          <w:rFonts w:ascii="Verdana" w:eastAsia="Calibri" w:hAnsi="Verdana" w:cs="Arial"/>
          <w:color w:val="000000" w:themeColor="text1"/>
          <w:lang w:val="es-ES" w:eastAsia="es-ES"/>
        </w:rPr>
      </w:pPr>
      <w:r w:rsidRPr="00D912C1">
        <w:rPr>
          <w:rFonts w:ascii="Verdana" w:eastAsia="Calibri" w:hAnsi="Verdana" w:cs="Arial"/>
          <w:color w:val="000000" w:themeColor="text1"/>
          <w:lang w:val="es-ES" w:eastAsia="es-ES"/>
        </w:rPr>
        <w:t>En ejercicio de la competencia otorgada por los artículos 3, numeral 5º, y 11, numeral 8º, del Decreto Ley 4170 de 2011,</w:t>
      </w:r>
      <w:r w:rsidRPr="00D912C1">
        <w:rPr>
          <w:rFonts w:ascii="Verdana" w:eastAsia="Arial MT" w:hAnsi="Verdana" w:cs="Arial MT"/>
          <w:color w:val="000000" w:themeColor="text1"/>
          <w:lang w:val="es-ES" w:eastAsia="es-ES"/>
        </w:rPr>
        <w:t xml:space="preserve"> </w:t>
      </w:r>
      <w:r w:rsidRPr="00D912C1">
        <w:rPr>
          <w:rFonts w:ascii="Verdana" w:hAnsi="Verdana" w:cs="Arial"/>
          <w:color w:val="000000" w:themeColor="text1"/>
        </w:rPr>
        <w:t xml:space="preserve">así como lo establecido en el artículo 4 de la Resolución 1707 de 2018 expedida por esta Entidad, </w:t>
      </w:r>
      <w:r w:rsidRPr="00D912C1">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3D616A" w:rsidRPr="00D912C1">
        <w:rPr>
          <w:rFonts w:ascii="Verdana" w:eastAsia="Calibri" w:hAnsi="Verdana" w:cs="Arial"/>
          <w:color w:val="000000" w:themeColor="text1"/>
          <w:lang w:val="es-ES" w:eastAsia="es-ES"/>
        </w:rPr>
        <w:t>07 de octubre del 2025</w:t>
      </w:r>
      <w:r w:rsidRPr="00D912C1">
        <w:rPr>
          <w:rFonts w:ascii="Verdana" w:eastAsia="Calibri" w:hAnsi="Verdana" w:cs="Arial"/>
          <w:color w:val="000000" w:themeColor="text1"/>
          <w:lang w:val="es-ES" w:eastAsia="es-ES"/>
        </w:rPr>
        <w:t xml:space="preserve">, en la cual manifiesta lo siguiente: </w:t>
      </w:r>
    </w:p>
    <w:p w14:paraId="2D37904F" w14:textId="77777777" w:rsidR="00056991" w:rsidRPr="00D912C1" w:rsidRDefault="00056991" w:rsidP="00056991">
      <w:pPr>
        <w:spacing w:after="0" w:line="276" w:lineRule="auto"/>
        <w:jc w:val="both"/>
        <w:rPr>
          <w:rFonts w:ascii="Verdana" w:eastAsia="Calibri" w:hAnsi="Verdana" w:cs="Arial"/>
          <w:color w:val="000000" w:themeColor="text1"/>
          <w:highlight w:val="cyan"/>
          <w:lang w:val="es-ES" w:eastAsia="es-ES"/>
        </w:rPr>
      </w:pPr>
    </w:p>
    <w:p w14:paraId="47A7F154" w14:textId="7B295623" w:rsidR="00056991" w:rsidRPr="00D912C1" w:rsidRDefault="00056991" w:rsidP="00056991">
      <w:pPr>
        <w:spacing w:after="0" w:line="240" w:lineRule="auto"/>
        <w:ind w:left="709" w:right="709"/>
        <w:jc w:val="both"/>
        <w:rPr>
          <w:rFonts w:ascii="Verdana" w:hAnsi="Verdana"/>
          <w:sz w:val="20"/>
          <w:szCs w:val="20"/>
        </w:rPr>
      </w:pPr>
      <w:bookmarkStart w:id="1" w:name="_Hlk95313578"/>
      <w:r w:rsidRPr="00D912C1">
        <w:rPr>
          <w:rFonts w:ascii="Verdana" w:eastAsia="Century Gothic" w:hAnsi="Verdana" w:cs="Century Gothic"/>
          <w:i/>
          <w:iCs/>
          <w:color w:val="000000" w:themeColor="text1"/>
          <w:sz w:val="20"/>
          <w:szCs w:val="20"/>
          <w:lang w:val="es-ES"/>
        </w:rPr>
        <w:t>“</w:t>
      </w:r>
      <w:bookmarkEnd w:id="1"/>
      <w:r w:rsidRPr="00D912C1">
        <w:rPr>
          <w:rFonts w:ascii="Verdana" w:eastAsia="Century Gothic" w:hAnsi="Verdana" w:cs="Century Gothic"/>
          <w:i/>
          <w:iCs/>
          <w:color w:val="000000" w:themeColor="text1"/>
          <w:sz w:val="20"/>
          <w:szCs w:val="20"/>
          <w:lang w:val="es-ES"/>
        </w:rPr>
        <w:t xml:space="preserve">[…] </w:t>
      </w:r>
      <w:r w:rsidR="00ED4A66" w:rsidRPr="00D912C1">
        <w:rPr>
          <w:rFonts w:ascii="Verdana" w:hAnsi="Verdana"/>
          <w:sz w:val="20"/>
          <w:szCs w:val="20"/>
        </w:rPr>
        <w:t>¿Bajo qué causal o modalidad (o normatividad) puede un municipio realizar un contrato de un comodato con una Junta de Acción Comunal para que dicha Junta pueda usar un inmueble propiedad del municipio como su sede teniendo en cuenta que la JAC es una entidad sin ánimo de lucro?</w:t>
      </w:r>
      <w:r w:rsidR="00ED4A66" w:rsidRPr="00D912C1">
        <w:rPr>
          <w:rFonts w:ascii="Verdana" w:hAnsi="Verdana"/>
          <w:i/>
          <w:iCs/>
          <w:sz w:val="20"/>
          <w:szCs w:val="20"/>
          <w:lang w:val="es-ES"/>
        </w:rPr>
        <w:t xml:space="preserve"> </w:t>
      </w:r>
      <w:r w:rsidRPr="00D912C1">
        <w:rPr>
          <w:rFonts w:ascii="Verdana" w:eastAsia="Century Gothic" w:hAnsi="Verdana" w:cs="Century Gothic"/>
          <w:i/>
          <w:iCs/>
          <w:color w:val="000000" w:themeColor="text1"/>
          <w:sz w:val="20"/>
          <w:szCs w:val="20"/>
          <w:lang w:val="es-ES"/>
        </w:rPr>
        <w:t>[…]”</w:t>
      </w:r>
    </w:p>
    <w:p w14:paraId="10E1FA10" w14:textId="77777777" w:rsidR="00056991" w:rsidRPr="00327645" w:rsidRDefault="00056991" w:rsidP="00327645">
      <w:pPr>
        <w:spacing w:after="0" w:line="276" w:lineRule="auto"/>
        <w:ind w:left="709" w:right="709"/>
        <w:jc w:val="both"/>
        <w:rPr>
          <w:rFonts w:ascii="Verdana" w:eastAsia="Times New Roman" w:hAnsi="Verdana" w:cs="Arial"/>
          <w:i/>
          <w:highlight w:val="cyan"/>
          <w:lang w:eastAsia="es-ES_tradnl"/>
        </w:rPr>
      </w:pPr>
    </w:p>
    <w:p w14:paraId="4842E36C" w14:textId="77777777" w:rsidR="00056991" w:rsidRPr="00D912C1" w:rsidRDefault="00056991" w:rsidP="00056991">
      <w:pPr>
        <w:spacing w:after="120" w:line="276" w:lineRule="auto"/>
        <w:ind w:firstLine="709"/>
        <w:jc w:val="both"/>
        <w:rPr>
          <w:rFonts w:ascii="Verdana" w:eastAsia="Calibri" w:hAnsi="Verdana" w:cs="Arial"/>
          <w:color w:val="000000" w:themeColor="text1"/>
          <w:szCs w:val="24"/>
          <w:lang w:val="es-ES_tradnl" w:eastAsia="es-ES_tradnl"/>
        </w:rPr>
      </w:pPr>
      <w:r w:rsidRPr="00D912C1">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D912C1">
        <w:rPr>
          <w:rFonts w:ascii="Verdana" w:eastAsia="Calibri" w:hAnsi="Verdana" w:cs="Arial"/>
          <w:color w:val="000000" w:themeColor="text1"/>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912C1">
        <w:rPr>
          <w:rFonts w:ascii="Verdana" w:eastAsia="Calibri" w:hAnsi="Verdana" w:cs="Arial"/>
          <w:color w:val="000000" w:themeColor="text1"/>
          <w:szCs w:val="24"/>
          <w:lang w:val="es-ES_tradnl" w:eastAsia="es-ES_tradnl"/>
        </w:rPr>
        <w:tab/>
      </w:r>
    </w:p>
    <w:p w14:paraId="491B7522" w14:textId="77777777" w:rsidR="00056991" w:rsidRPr="00D912C1" w:rsidRDefault="00056991" w:rsidP="00056991">
      <w:pPr>
        <w:spacing w:after="0" w:line="276" w:lineRule="auto"/>
        <w:ind w:firstLine="709"/>
        <w:jc w:val="both"/>
        <w:rPr>
          <w:rFonts w:ascii="Verdana" w:eastAsia="Calibri" w:hAnsi="Verdana" w:cs="Arial"/>
          <w:color w:val="000000" w:themeColor="text1"/>
          <w:lang w:val="es-ES" w:eastAsia="es-ES"/>
        </w:rPr>
      </w:pPr>
      <w:r w:rsidRPr="00D912C1">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D697D75" w14:textId="77777777" w:rsidR="00056991" w:rsidRPr="00D912C1" w:rsidRDefault="00056991" w:rsidP="00056991">
      <w:pPr>
        <w:spacing w:after="0" w:line="276" w:lineRule="auto"/>
        <w:ind w:firstLine="709"/>
        <w:jc w:val="both"/>
        <w:rPr>
          <w:rFonts w:ascii="Verdana" w:eastAsia="Calibri" w:hAnsi="Verdana" w:cs="Arial"/>
          <w:color w:val="000000" w:themeColor="text1"/>
          <w:highlight w:val="cyan"/>
          <w:lang w:val="es-ES" w:eastAsia="es-ES"/>
        </w:rPr>
      </w:pPr>
    </w:p>
    <w:p w14:paraId="12FEBEC2" w14:textId="77777777" w:rsidR="00056991" w:rsidRPr="00D912C1" w:rsidRDefault="00056991" w:rsidP="000569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2C1">
        <w:rPr>
          <w:rFonts w:ascii="Verdana" w:eastAsia="Century Gothic" w:hAnsi="Verdana" w:cs="Century Gothic"/>
          <w:b/>
          <w:bCs/>
          <w:color w:val="000000" w:themeColor="text1"/>
        </w:rPr>
        <w:t>Problema planteado:</w:t>
      </w:r>
    </w:p>
    <w:p w14:paraId="51E8D65E" w14:textId="77777777" w:rsidR="00056991" w:rsidRPr="00D912C1" w:rsidRDefault="00056991" w:rsidP="00056991">
      <w:pPr>
        <w:tabs>
          <w:tab w:val="left" w:pos="426"/>
        </w:tabs>
        <w:spacing w:after="0" w:line="276" w:lineRule="auto"/>
        <w:jc w:val="both"/>
        <w:rPr>
          <w:rFonts w:ascii="Verdana" w:eastAsia="Century Gothic" w:hAnsi="Verdana" w:cs="Century Gothic"/>
          <w:color w:val="000000" w:themeColor="text1"/>
          <w:highlight w:val="cyan"/>
          <w:lang w:val="es-ES"/>
        </w:rPr>
      </w:pPr>
    </w:p>
    <w:p w14:paraId="53775241" w14:textId="7C09F31A" w:rsidR="00056991" w:rsidRPr="00D912C1" w:rsidRDefault="00056991" w:rsidP="00056991">
      <w:pPr>
        <w:spacing w:after="0" w:line="276" w:lineRule="auto"/>
        <w:jc w:val="both"/>
        <w:rPr>
          <w:rFonts w:ascii="Verdana" w:eastAsia="Century Gothic" w:hAnsi="Verdana" w:cs="Century Gothic"/>
        </w:rPr>
      </w:pPr>
      <w:r w:rsidRPr="00D912C1">
        <w:rPr>
          <w:rFonts w:ascii="Verdana" w:eastAsia="Century Gothic" w:hAnsi="Verdana" w:cs="Century Gothic"/>
          <w:color w:val="000000" w:themeColor="text1"/>
        </w:rPr>
        <w:t xml:space="preserve">De acuerdo con el contenido de su solicitud, esta Agencia resolverá el siguiente problema jurídico: </w:t>
      </w:r>
      <w:r w:rsidR="006F79C0" w:rsidRPr="00D912C1">
        <w:rPr>
          <w:rFonts w:ascii="Verdana" w:eastAsia="Century Gothic" w:hAnsi="Verdana" w:cs="Century Gothic"/>
        </w:rPr>
        <w:t>¿cuál es el marco jurídico vigente del contrato de comodato en el sistema de compras públicas?</w:t>
      </w:r>
    </w:p>
    <w:p w14:paraId="77C918BA" w14:textId="77777777" w:rsidR="006F79C0" w:rsidRPr="00D912C1" w:rsidRDefault="006F79C0" w:rsidP="00056991">
      <w:pPr>
        <w:spacing w:after="0" w:line="276" w:lineRule="auto"/>
        <w:jc w:val="both"/>
        <w:rPr>
          <w:rFonts w:ascii="Verdana" w:eastAsia="Calibri" w:hAnsi="Verdana" w:cs="Arial"/>
          <w:color w:val="000000" w:themeColor="text1"/>
          <w:lang w:val="es-ES"/>
        </w:rPr>
      </w:pPr>
    </w:p>
    <w:p w14:paraId="239B638D" w14:textId="77777777" w:rsidR="00056991" w:rsidRPr="00D912C1" w:rsidRDefault="00056991" w:rsidP="000569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2C1">
        <w:rPr>
          <w:rFonts w:ascii="Verdana" w:eastAsia="Century Gothic" w:hAnsi="Verdana" w:cs="Century Gothic"/>
          <w:b/>
          <w:bCs/>
          <w:color w:val="000000" w:themeColor="text1"/>
        </w:rPr>
        <w:t xml:space="preserve">Respuesta: </w:t>
      </w:r>
    </w:p>
    <w:p w14:paraId="1B46ED32" w14:textId="77777777" w:rsidR="00056991" w:rsidRPr="00D912C1" w:rsidRDefault="00056991" w:rsidP="0005699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6991" w:rsidRPr="00D912C1" w14:paraId="6CB6D0E5" w14:textId="77777777" w:rsidTr="009F18E3">
        <w:tc>
          <w:tcPr>
            <w:tcW w:w="8828" w:type="dxa"/>
          </w:tcPr>
          <w:p w14:paraId="0B0649E5" w14:textId="77777777" w:rsidR="00056991" w:rsidRPr="00D912C1" w:rsidRDefault="00056991" w:rsidP="00327645">
            <w:pPr>
              <w:spacing w:after="120" w:line="276" w:lineRule="auto"/>
              <w:jc w:val="both"/>
              <w:rPr>
                <w:rFonts w:ascii="Verdana" w:hAnsi="Verdana" w:cs="Arial"/>
                <w:color w:val="000000" w:themeColor="text1"/>
              </w:rPr>
            </w:pPr>
            <w:r w:rsidRPr="00D912C1">
              <w:rPr>
                <w:rFonts w:ascii="Verdana" w:hAnsi="Verdana" w:cs="Arial"/>
                <w:color w:val="000000" w:themeColor="text1"/>
              </w:rPr>
              <w:t>En respuesta al problema antes planteado esta Subdirección manifiesta lo siguiente:</w:t>
            </w:r>
          </w:p>
          <w:p w14:paraId="6C476949" w14:textId="77777777" w:rsidR="00F101B8" w:rsidRPr="00D912C1" w:rsidRDefault="00F101B8" w:rsidP="00056991">
            <w:pPr>
              <w:spacing w:before="120" w:after="120" w:line="276" w:lineRule="auto"/>
              <w:ind w:firstLine="709"/>
              <w:jc w:val="both"/>
              <w:rPr>
                <w:rFonts w:ascii="Verdana" w:eastAsia="Calibri" w:hAnsi="Verdana" w:cs="Arial"/>
                <w:bCs/>
                <w:color w:val="000000" w:themeColor="text1"/>
                <w:lang w:val="es-ES"/>
              </w:rPr>
            </w:pPr>
            <w:r w:rsidRPr="00D912C1">
              <w:rPr>
                <w:rFonts w:ascii="Verdana" w:eastAsia="Calibri" w:hAnsi="Verdana" w:cs="Arial"/>
                <w:bCs/>
                <w:color w:val="000000" w:themeColor="text1"/>
                <w:lang w:val="es-ES"/>
              </w:rPr>
              <w:t xml:space="preserve">Conforme a la interpretación de las normas generales del sistema de compras públicas, se encuentra que el marco jurídico vigente de los contratos de comodato se rige por las siguiente reglas: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w:t>
            </w:r>
            <w:r w:rsidRPr="00D912C1">
              <w:rPr>
                <w:rFonts w:ascii="Verdana" w:eastAsia="Calibri" w:hAnsi="Verdana" w:cs="Arial"/>
                <w:bCs/>
                <w:i/>
                <w:iCs/>
                <w:color w:val="000000" w:themeColor="text1"/>
                <w:lang w:val="es-ES"/>
              </w:rPr>
              <w:t>juntas de acción comunal</w:t>
            </w:r>
            <w:r w:rsidRPr="00D912C1">
              <w:rPr>
                <w:rFonts w:ascii="Verdana" w:eastAsia="Calibri" w:hAnsi="Verdana" w:cs="Arial"/>
                <w:bCs/>
                <w:color w:val="000000" w:themeColor="text1"/>
                <w:lang w:val="es-ES"/>
              </w:rPr>
              <w:t xml:space="preserve">, fondos de empleados y las demás que puedan asimilarse a las anteriores, por un término máximo de cinco (5) años, renovables, de acuerdo con el artículo 38 de la Ley 9 de 1989; </w:t>
            </w:r>
            <w:proofErr w:type="spellStart"/>
            <w:r w:rsidRPr="00D912C1">
              <w:rPr>
                <w:rFonts w:ascii="Verdana" w:eastAsia="Calibri" w:hAnsi="Verdana" w:cs="Arial"/>
                <w:bCs/>
                <w:color w:val="000000" w:themeColor="text1"/>
                <w:lang w:val="es-ES"/>
              </w:rPr>
              <w:t>ii</w:t>
            </w:r>
            <w:proofErr w:type="spellEnd"/>
            <w:r w:rsidRPr="00D912C1">
              <w:rPr>
                <w:rFonts w:ascii="Verdana" w:eastAsia="Calibri" w:hAnsi="Verdana" w:cs="Arial"/>
                <w:bCs/>
                <w:color w:val="000000" w:themeColor="text1"/>
                <w:lang w:val="es-ES"/>
              </w:rPr>
              <w:t xml:space="preserve">) las </w:t>
            </w:r>
            <w:r w:rsidR="00B536EA"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ntidades </w:t>
            </w:r>
            <w:r w:rsidR="00B536EA"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statales pueden celebrar contratos de comodato de bienes muebles entre sí, de acuerdo con las reglas del Código Civil; </w:t>
            </w:r>
            <w:proofErr w:type="spellStart"/>
            <w:r w:rsidRPr="00D912C1">
              <w:rPr>
                <w:rFonts w:ascii="Verdana" w:eastAsia="Calibri" w:hAnsi="Verdana" w:cs="Arial"/>
                <w:bCs/>
                <w:color w:val="000000" w:themeColor="text1"/>
                <w:lang w:val="es-ES"/>
              </w:rPr>
              <w:t>iii</w:t>
            </w:r>
            <w:proofErr w:type="spellEnd"/>
            <w:r w:rsidRPr="00D912C1">
              <w:rPr>
                <w:rFonts w:ascii="Verdana" w:eastAsia="Calibri" w:hAnsi="Verdana" w:cs="Arial"/>
                <w:bCs/>
                <w:color w:val="000000" w:themeColor="text1"/>
                <w:lang w:val="es-ES"/>
              </w:rPr>
              <w:t xml:space="preserve">) en virtud del artículo 355 de la Constitución Política, de acuerdo con el procedimiento establecido en el Decreto 092 de 2017, las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ntidades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statales pueden entregar en comodato sus bienes muebles a entidades privadas sin ánimo de lucro, y el tiempo de duración del contrato estará sujeto en todo </w:t>
            </w:r>
            <w:r w:rsidRPr="00D912C1">
              <w:rPr>
                <w:rFonts w:ascii="Verdana" w:eastAsia="Calibri" w:hAnsi="Verdana" w:cs="Arial"/>
                <w:bCs/>
                <w:color w:val="000000" w:themeColor="text1"/>
                <w:lang w:val="es-ES"/>
              </w:rPr>
              <w:lastRenderedPageBreak/>
              <w:t xml:space="preserve">caso a la actividad misional de la respectiva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ntidad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statal de acuerdo con lo previsto en el artículo 96 de la Ley 489 de 1998 y; </w:t>
            </w:r>
            <w:proofErr w:type="spellStart"/>
            <w:r w:rsidRPr="00D912C1">
              <w:rPr>
                <w:rFonts w:ascii="Verdana" w:eastAsia="Calibri" w:hAnsi="Verdana" w:cs="Arial"/>
                <w:bCs/>
                <w:color w:val="000000" w:themeColor="text1"/>
                <w:lang w:val="es-ES"/>
              </w:rPr>
              <w:t>iv</w:t>
            </w:r>
            <w:proofErr w:type="spellEnd"/>
            <w:r w:rsidRPr="00D912C1">
              <w:rPr>
                <w:rFonts w:ascii="Verdana" w:eastAsia="Calibri" w:hAnsi="Verdana" w:cs="Arial"/>
                <w:bCs/>
                <w:color w:val="000000" w:themeColor="text1"/>
                <w:lang w:val="es-ES"/>
              </w:rPr>
              <w:t xml:space="preserve">) las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 xml:space="preserve">ntidades </w:t>
            </w:r>
            <w:r w:rsidR="00ED3D92" w:rsidRPr="00D912C1">
              <w:rPr>
                <w:rFonts w:ascii="Verdana" w:eastAsia="Calibri" w:hAnsi="Verdana" w:cs="Arial"/>
                <w:bCs/>
                <w:color w:val="000000" w:themeColor="text1"/>
                <w:lang w:val="es-ES"/>
              </w:rPr>
              <w:t>E</w:t>
            </w:r>
            <w:r w:rsidRPr="00D912C1">
              <w:rPr>
                <w:rFonts w:ascii="Verdana" w:eastAsia="Calibri" w:hAnsi="Verdana" w:cs="Arial"/>
                <w:bCs/>
                <w:color w:val="000000" w:themeColor="text1"/>
                <w:lang w:val="es-ES"/>
              </w:rPr>
              <w:t>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w:t>
            </w:r>
          </w:p>
          <w:p w14:paraId="0BCDAEC7" w14:textId="0A9F023E" w:rsidR="000A39CC" w:rsidRPr="00D912C1" w:rsidRDefault="000A39CC" w:rsidP="00056991">
            <w:pPr>
              <w:spacing w:before="120" w:after="120" w:line="276" w:lineRule="auto"/>
              <w:ind w:firstLine="709"/>
              <w:jc w:val="both"/>
              <w:rPr>
                <w:rFonts w:ascii="Verdana" w:eastAsia="Calibri" w:hAnsi="Verdana" w:cs="Arial"/>
                <w:bCs/>
                <w:color w:val="000000" w:themeColor="text1"/>
                <w:lang w:val="es-ES"/>
              </w:rPr>
            </w:pPr>
            <w:r w:rsidRPr="00D912C1">
              <w:rPr>
                <w:rFonts w:ascii="Verdana" w:eastAsia="Calibri" w:hAnsi="Verdana" w:cs="Arial"/>
                <w:lang w:val="es-ES"/>
              </w:rPr>
              <w:t>Al margen de la explicación precedente debe advertirse que el análisis requerido para resolver problemas específicos en torno a la celebración de contratos de comodato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C78E1C5" w14:textId="77777777" w:rsidR="00056991" w:rsidRPr="00D912C1" w:rsidRDefault="00056991" w:rsidP="0005699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47A10B8" w14:textId="77777777" w:rsidR="00056991" w:rsidRPr="00D912C1" w:rsidRDefault="00056991" w:rsidP="000569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912C1">
        <w:rPr>
          <w:rFonts w:ascii="Verdana" w:eastAsia="Century Gothic" w:hAnsi="Verdana" w:cs="Century Gothic"/>
          <w:b/>
          <w:bCs/>
          <w:color w:val="000000" w:themeColor="text1"/>
        </w:rPr>
        <w:t>Razones de la respuesta:</w:t>
      </w:r>
    </w:p>
    <w:p w14:paraId="59E027A0" w14:textId="77777777" w:rsidR="00056991" w:rsidRPr="00D912C1" w:rsidRDefault="00056991" w:rsidP="00056991">
      <w:pPr>
        <w:spacing w:after="0" w:line="276" w:lineRule="auto"/>
        <w:jc w:val="both"/>
        <w:rPr>
          <w:rFonts w:ascii="Verdana" w:eastAsia="Calibri" w:hAnsi="Verdana" w:cs="Arial"/>
          <w:color w:val="000000" w:themeColor="text1"/>
          <w:lang w:val="es-ES"/>
        </w:rPr>
      </w:pPr>
    </w:p>
    <w:p w14:paraId="075D1B97" w14:textId="77777777" w:rsidR="00056991" w:rsidRPr="00D912C1" w:rsidRDefault="00056991" w:rsidP="00056991">
      <w:pPr>
        <w:spacing w:after="0" w:line="276" w:lineRule="auto"/>
        <w:jc w:val="both"/>
        <w:rPr>
          <w:rFonts w:ascii="Verdana" w:eastAsia="Calibri" w:hAnsi="Verdana" w:cs="Arial"/>
          <w:color w:val="000000" w:themeColor="text1"/>
          <w:lang w:val="es-ES"/>
        </w:rPr>
      </w:pPr>
      <w:r w:rsidRPr="00D912C1">
        <w:rPr>
          <w:rFonts w:ascii="Verdana" w:eastAsia="Calibri" w:hAnsi="Verdana" w:cs="Arial"/>
          <w:color w:val="000000" w:themeColor="text1"/>
          <w:lang w:val="es-ES"/>
        </w:rPr>
        <w:t xml:space="preserve">Lo anterior se sustenta en las siguientes consideraciones: </w:t>
      </w:r>
    </w:p>
    <w:p w14:paraId="2D2F9DA4" w14:textId="326A67F4" w:rsidR="00891928" w:rsidRPr="00D912C1" w:rsidRDefault="00891928" w:rsidP="00891928">
      <w:pPr>
        <w:spacing w:after="0"/>
        <w:jc w:val="both"/>
        <w:rPr>
          <w:rFonts w:ascii="Verdana" w:hAnsi="Verdana"/>
          <w:lang w:val="es-ES"/>
        </w:rPr>
      </w:pPr>
    </w:p>
    <w:p w14:paraId="09E9A46C" w14:textId="0DF4C66F" w:rsidR="002810EC" w:rsidRPr="00D912C1" w:rsidRDefault="002810EC" w:rsidP="002810EC">
      <w:pPr>
        <w:spacing w:after="120" w:line="276" w:lineRule="auto"/>
        <w:jc w:val="both"/>
        <w:rPr>
          <w:rFonts w:ascii="Verdana" w:hAnsi="Verdana" w:cs="Arial"/>
        </w:rPr>
      </w:pPr>
      <w:r w:rsidRPr="00D912C1">
        <w:rPr>
          <w:rFonts w:ascii="Verdana" w:eastAsia="Calibri" w:hAnsi="Verdana" w:cs="Arial"/>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D912C1">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6355870B" w14:textId="77777777" w:rsidR="002810EC" w:rsidRPr="00D912C1" w:rsidRDefault="002810EC" w:rsidP="002810EC">
      <w:pPr>
        <w:spacing w:after="120" w:line="276" w:lineRule="auto"/>
        <w:ind w:firstLine="709"/>
        <w:jc w:val="both"/>
        <w:rPr>
          <w:rFonts w:ascii="Verdana" w:hAnsi="Verdana" w:cs="Arial"/>
        </w:rPr>
      </w:pPr>
      <w:r w:rsidRPr="00D912C1">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w:t>
      </w:r>
      <w:r w:rsidRPr="00D912C1">
        <w:rPr>
          <w:rFonts w:ascii="Verdana" w:hAnsi="Verdana" w:cs="Arial"/>
        </w:rPr>
        <w:lastRenderedPageBreak/>
        <w:t>comerciales y las previstas en esta ley, correspondan a su esencia y naturaleza” –art. 40, inciso primero–.</w:t>
      </w:r>
    </w:p>
    <w:p w14:paraId="632A9998" w14:textId="77777777" w:rsidR="002810EC" w:rsidRPr="00D912C1" w:rsidRDefault="002810EC" w:rsidP="002810EC">
      <w:pPr>
        <w:spacing w:after="0" w:line="276" w:lineRule="auto"/>
        <w:ind w:firstLine="708"/>
        <w:jc w:val="both"/>
        <w:rPr>
          <w:rFonts w:ascii="Verdana" w:hAnsi="Verdana" w:cs="Arial"/>
        </w:rPr>
      </w:pPr>
      <w:r w:rsidRPr="00D912C1">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D912C1">
        <w:rPr>
          <w:rStyle w:val="Refdenotaalpie"/>
          <w:rFonts w:ascii="Verdana" w:hAnsi="Verdana" w:cs="Arial"/>
        </w:rPr>
        <w:footnoteReference w:id="1"/>
      </w:r>
      <w:r w:rsidRPr="00D912C1">
        <w:rPr>
          <w:rFonts w:ascii="Verdana" w:hAnsi="Verdana" w:cs="Arial"/>
        </w:rPr>
        <w:t>. Para la doctrina, la mixtura del régimen contractual:</w:t>
      </w:r>
    </w:p>
    <w:p w14:paraId="74534BEF" w14:textId="77777777" w:rsidR="002810EC" w:rsidRPr="00D912C1" w:rsidRDefault="002810EC" w:rsidP="002810EC">
      <w:pPr>
        <w:spacing w:after="0" w:line="276" w:lineRule="auto"/>
        <w:ind w:firstLine="709"/>
        <w:jc w:val="both"/>
        <w:rPr>
          <w:rFonts w:ascii="Verdana" w:hAnsi="Verdana" w:cs="Arial"/>
        </w:rPr>
      </w:pPr>
    </w:p>
    <w:p w14:paraId="3A95095C" w14:textId="77777777" w:rsidR="002810EC" w:rsidRPr="00D912C1" w:rsidRDefault="002810EC" w:rsidP="002810EC">
      <w:pPr>
        <w:spacing w:after="0" w:line="240" w:lineRule="auto"/>
        <w:ind w:left="709" w:right="709"/>
        <w:jc w:val="both"/>
        <w:rPr>
          <w:rFonts w:ascii="Verdana" w:hAnsi="Verdana" w:cs="Arial"/>
          <w:sz w:val="20"/>
          <w:szCs w:val="20"/>
        </w:rPr>
      </w:pPr>
      <w:r w:rsidRPr="00D912C1">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0294D9E1" w14:textId="77777777" w:rsidR="002810EC" w:rsidRPr="00D912C1" w:rsidRDefault="002810EC" w:rsidP="002810EC">
      <w:pPr>
        <w:spacing w:after="0" w:line="240" w:lineRule="auto"/>
        <w:ind w:right="709"/>
        <w:jc w:val="both"/>
        <w:rPr>
          <w:rFonts w:ascii="Verdana" w:hAnsi="Verdana" w:cs="Arial"/>
          <w:sz w:val="20"/>
          <w:szCs w:val="20"/>
        </w:rPr>
      </w:pPr>
      <w:r w:rsidRPr="00D912C1">
        <w:rPr>
          <w:rFonts w:ascii="Verdana" w:hAnsi="Verdana" w:cs="Arial"/>
          <w:sz w:val="20"/>
          <w:szCs w:val="20"/>
        </w:rPr>
        <w:tab/>
      </w:r>
    </w:p>
    <w:p w14:paraId="23773CD8" w14:textId="77777777" w:rsidR="002810EC" w:rsidRPr="00D912C1" w:rsidRDefault="002810EC" w:rsidP="002810EC">
      <w:pPr>
        <w:spacing w:after="0" w:line="240" w:lineRule="auto"/>
        <w:ind w:left="709" w:right="709"/>
        <w:jc w:val="both"/>
        <w:rPr>
          <w:rFonts w:ascii="Verdana" w:hAnsi="Verdana" w:cs="Arial"/>
          <w:sz w:val="20"/>
          <w:szCs w:val="20"/>
        </w:rPr>
      </w:pPr>
      <w:r w:rsidRPr="00D912C1">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D912C1">
        <w:rPr>
          <w:rStyle w:val="Refdenotaalpie"/>
          <w:rFonts w:ascii="Verdana" w:hAnsi="Verdana" w:cs="Arial"/>
          <w:sz w:val="20"/>
          <w:szCs w:val="20"/>
        </w:rPr>
        <w:footnoteReference w:id="2"/>
      </w:r>
      <w:r w:rsidRPr="00D912C1">
        <w:rPr>
          <w:rFonts w:ascii="Verdana" w:hAnsi="Verdana" w:cs="Arial"/>
          <w:sz w:val="20"/>
          <w:szCs w:val="20"/>
        </w:rPr>
        <w:t xml:space="preserve">. </w:t>
      </w:r>
    </w:p>
    <w:p w14:paraId="3065F57A" w14:textId="77777777" w:rsidR="002810EC" w:rsidRPr="00D912C1" w:rsidRDefault="002810EC" w:rsidP="002810EC">
      <w:pPr>
        <w:spacing w:after="0" w:line="276" w:lineRule="auto"/>
        <w:ind w:left="709" w:right="709"/>
        <w:jc w:val="both"/>
        <w:rPr>
          <w:rFonts w:ascii="Verdana" w:hAnsi="Verdana" w:cs="Arial"/>
        </w:rPr>
      </w:pPr>
      <w:r w:rsidRPr="00D912C1">
        <w:rPr>
          <w:rFonts w:ascii="Verdana" w:hAnsi="Verdana" w:cs="Arial"/>
        </w:rPr>
        <w:t xml:space="preserve"> </w:t>
      </w:r>
    </w:p>
    <w:p w14:paraId="7FE0685E" w14:textId="77777777" w:rsidR="00AF71BD" w:rsidRPr="00D912C1" w:rsidRDefault="002810EC" w:rsidP="00AF71BD">
      <w:pPr>
        <w:spacing w:after="120" w:line="276" w:lineRule="auto"/>
        <w:jc w:val="both"/>
        <w:rPr>
          <w:rFonts w:ascii="Verdana" w:hAnsi="Verdana" w:cs="Arial"/>
        </w:rPr>
      </w:pPr>
      <w:r w:rsidRPr="00D912C1">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Esta precisión es importante, porque el comodato se encuentra tipificado en el Código Civil y allí se encuentra gran parte de su régimen jurídico.</w:t>
      </w:r>
      <w:bookmarkStart w:id="2" w:name="_Hlk121750800"/>
    </w:p>
    <w:p w14:paraId="42F8D703" w14:textId="77777777" w:rsidR="00AF71BD" w:rsidRPr="00D912C1" w:rsidRDefault="002810EC" w:rsidP="00AF71BD">
      <w:pPr>
        <w:spacing w:after="120" w:line="276" w:lineRule="auto"/>
        <w:ind w:firstLine="708"/>
        <w:jc w:val="both"/>
        <w:rPr>
          <w:rFonts w:ascii="Verdana" w:hAnsi="Verdana" w:cs="Arial"/>
        </w:rPr>
      </w:pPr>
      <w:r w:rsidRPr="00D912C1">
        <w:rPr>
          <w:rFonts w:ascii="Verdana" w:eastAsia="Calibri" w:hAnsi="Verdana" w:cs="Arial"/>
          <w:bCs/>
          <w:color w:val="000000" w:themeColor="text1"/>
        </w:rPr>
        <w:lastRenderedPageBreak/>
        <w:t xml:space="preserve">El comodato está previsto en el título XXIX del Código Civil, en cuyo artículo 2200 lo define como aquel en que “[…] una de las partes entrega a la otra gratuitamente una especie mueble o raíz, para que haga uso de ella y con cargo de restituir la misma especie después de terminar el uso”. </w:t>
      </w:r>
      <w:bookmarkEnd w:id="2"/>
      <w:r w:rsidRPr="00D912C1">
        <w:rPr>
          <w:rFonts w:ascii="Verdana" w:eastAsia="Calibri" w:hAnsi="Verdana" w:cs="Arial"/>
          <w:bCs/>
          <w:color w:val="000000" w:themeColor="text1"/>
        </w:rPr>
        <w:t>En virtud de esta definición, se desprende su carácter de contrato nominado, principal, real, unilateral y gratuito</w:t>
      </w:r>
      <w:r w:rsidRPr="00D912C1">
        <w:rPr>
          <w:rFonts w:ascii="Verdana" w:eastAsia="Calibri" w:hAnsi="Verdana" w:cs="Arial"/>
          <w:bCs/>
          <w:color w:val="000000" w:themeColor="text1"/>
          <w:vertAlign w:val="superscript"/>
        </w:rPr>
        <w:footnoteReference w:id="3"/>
      </w:r>
      <w:r w:rsidRPr="00D912C1">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1CD73762" w14:textId="2F1E92F7" w:rsidR="002810EC" w:rsidRPr="00D912C1" w:rsidRDefault="002810EC" w:rsidP="00AF71BD">
      <w:pPr>
        <w:spacing w:after="120" w:line="276" w:lineRule="auto"/>
        <w:ind w:firstLine="708"/>
        <w:jc w:val="both"/>
        <w:rPr>
          <w:rFonts w:ascii="Verdana" w:hAnsi="Verdana" w:cs="Arial"/>
        </w:rPr>
      </w:pPr>
      <w:r w:rsidRPr="00D912C1">
        <w:rPr>
          <w:rFonts w:ascii="Verdana" w:eastAsia="Calibri" w:hAnsi="Verdana" w:cs="Arial"/>
          <w:bCs/>
          <w:color w:val="000000" w:themeColor="text1"/>
        </w:rPr>
        <w:t xml:space="preserve">De igual manera, el artículo 2201 del Código Civil regula lo relacionado con los derechos del comodante. Al respecto, establece que el comodato no trasfiere el dominio de la cosa dada en comodato y, por ello, “El </w:t>
      </w:r>
      <w:r w:rsidR="00BD29B2" w:rsidRPr="00D912C1">
        <w:rPr>
          <w:rFonts w:ascii="Verdana" w:eastAsia="Calibri" w:hAnsi="Verdana" w:cs="Arial"/>
          <w:bCs/>
          <w:color w:val="000000" w:themeColor="text1"/>
        </w:rPr>
        <w:t>comodante conserva</w:t>
      </w:r>
      <w:r w:rsidRPr="00D912C1">
        <w:rPr>
          <w:rFonts w:ascii="Verdana" w:eastAsia="Calibri" w:hAnsi="Verdana" w:cs="Arial"/>
          <w:bCs/>
          <w:color w:val="000000" w:themeColor="text1"/>
        </w:rPr>
        <w:t xml:space="preserve"> sobre la cosa prestada todos los derechos que antes tenía, pero no su ejercicio, en cuanto fuere incompatible con el uso concedido al comodatario”. Por lo tanto, </w:t>
      </w:r>
      <w:bookmarkStart w:id="3" w:name="_Hlk121750901"/>
      <w:r w:rsidRPr="00D912C1">
        <w:rPr>
          <w:rFonts w:ascii="Verdana" w:eastAsia="Calibri" w:hAnsi="Verdana" w:cs="Arial"/>
          <w:bCs/>
          <w:color w:val="000000" w:themeColor="text1"/>
        </w:rPr>
        <w:t xml:space="preserve">el comodatario es un mero tenedor de la cosa y, en los términos del artículo 2205 </w:t>
      </w:r>
      <w:r w:rsidRPr="00D912C1">
        <w:rPr>
          <w:rFonts w:ascii="Verdana" w:eastAsia="Calibri" w:hAnsi="Verdana" w:cs="Arial"/>
          <w:bCs/>
          <w:i/>
          <w:iCs/>
          <w:color w:val="000000" w:themeColor="text1"/>
        </w:rPr>
        <w:t>ibidem</w:t>
      </w:r>
      <w:r w:rsidRPr="00D912C1">
        <w:rPr>
          <w:rFonts w:ascii="Verdana" w:eastAsia="Calibri" w:hAnsi="Verdana" w:cs="Arial"/>
          <w:bCs/>
          <w:color w:val="000000" w:themeColor="text1"/>
        </w:rPr>
        <w:t>, está obligado a la restitución del bien entregado en comodato al vencimiento del plazo o cuando se ha cumplido el servicio para el cual ha sido prestada</w:t>
      </w:r>
      <w:bookmarkEnd w:id="3"/>
      <w:r w:rsidRPr="00D912C1">
        <w:rPr>
          <w:rStyle w:val="Refdenotaalpie"/>
          <w:rFonts w:ascii="Verdana" w:eastAsia="Calibri" w:hAnsi="Verdana" w:cs="Arial"/>
          <w:bCs/>
          <w:color w:val="000000" w:themeColor="text1"/>
        </w:rPr>
        <w:footnoteReference w:id="4"/>
      </w:r>
      <w:r w:rsidRPr="00D912C1">
        <w:rPr>
          <w:rFonts w:ascii="Verdana" w:eastAsia="Calibri" w:hAnsi="Verdana" w:cs="Arial"/>
          <w:bCs/>
          <w:color w:val="000000" w:themeColor="text1"/>
        </w:rPr>
        <w:t xml:space="preserve">. </w:t>
      </w:r>
    </w:p>
    <w:p w14:paraId="07747CF4" w14:textId="77777777" w:rsidR="002810EC" w:rsidRPr="00D912C1" w:rsidRDefault="002810EC" w:rsidP="002810EC">
      <w:pPr>
        <w:spacing w:after="0" w:line="276" w:lineRule="auto"/>
        <w:ind w:firstLine="709"/>
        <w:jc w:val="both"/>
        <w:rPr>
          <w:rFonts w:ascii="Verdana" w:eastAsia="Calibri" w:hAnsi="Verdana" w:cs="Arial"/>
          <w:bCs/>
          <w:color w:val="000000" w:themeColor="text1"/>
        </w:rPr>
      </w:pPr>
      <w:r w:rsidRPr="00D912C1">
        <w:rPr>
          <w:rFonts w:ascii="Verdana" w:eastAsia="Calibri" w:hAnsi="Verdana" w:cs="Arial"/>
          <w:bCs/>
          <w:color w:val="000000" w:themeColor="text1"/>
        </w:rPr>
        <w:t xml:space="preserve">Conforme al artículo 2202 del Código Civil, el comodatario tendrá la obligación de emplear la cosa para el uso convenido, o a falta de acuerdo, está </w:t>
      </w:r>
      <w:r w:rsidRPr="00D912C1">
        <w:rPr>
          <w:rFonts w:ascii="Verdana" w:eastAsia="Calibri" w:hAnsi="Verdana" w:cs="Arial"/>
          <w:bCs/>
          <w:color w:val="000000" w:themeColor="text1"/>
        </w:rPr>
        <w:lastRenderedPageBreak/>
        <w:t>obligado a usar la cosa bajo el uso ordinario</w:t>
      </w:r>
      <w:r w:rsidRPr="00D912C1">
        <w:rPr>
          <w:rStyle w:val="Refdenotaalpie"/>
          <w:rFonts w:ascii="Verdana" w:eastAsia="Calibri" w:hAnsi="Verdana" w:cs="Arial"/>
          <w:bCs/>
          <w:color w:val="000000" w:themeColor="text1"/>
        </w:rPr>
        <w:footnoteReference w:id="5"/>
      </w:r>
      <w:r w:rsidRPr="00D912C1">
        <w:rPr>
          <w:rFonts w:ascii="Verdana" w:eastAsia="Calibri" w:hAnsi="Verdana" w:cs="Arial"/>
          <w:bCs/>
          <w:color w:val="000000" w:themeColor="text1"/>
        </w:rPr>
        <w:t xml:space="preserve">. De incumplir esta obligación, el comodante podrá exigir la reparación de perjuicios y la restitución inmediata de la cosa. A propósito de las características del contrato de comodato, la Sala de Consulta y Servicio Civil del Consejo de Estado explica que: </w:t>
      </w:r>
    </w:p>
    <w:p w14:paraId="1AEA41A8" w14:textId="77777777" w:rsidR="002810EC" w:rsidRPr="00D912C1" w:rsidRDefault="002810EC" w:rsidP="002810EC">
      <w:pPr>
        <w:spacing w:after="0" w:line="276" w:lineRule="auto"/>
        <w:ind w:firstLine="709"/>
        <w:jc w:val="both"/>
        <w:rPr>
          <w:rFonts w:ascii="Verdana" w:eastAsia="Calibri" w:hAnsi="Verdana" w:cs="Arial"/>
          <w:bCs/>
          <w:color w:val="000000" w:themeColor="text1"/>
        </w:rPr>
      </w:pPr>
    </w:p>
    <w:p w14:paraId="27E59988" w14:textId="77777777" w:rsidR="002810EC" w:rsidRPr="00D912C1" w:rsidRDefault="002810EC" w:rsidP="002810EC">
      <w:pPr>
        <w:spacing w:line="240" w:lineRule="auto"/>
        <w:ind w:left="709" w:right="709"/>
        <w:contextualSpacing/>
        <w:jc w:val="both"/>
        <w:rPr>
          <w:rFonts w:ascii="Verdana" w:hAnsi="Verdana" w:cs="Arial"/>
          <w:color w:val="000000" w:themeColor="text1"/>
          <w:sz w:val="20"/>
          <w:szCs w:val="20"/>
        </w:rPr>
      </w:pPr>
      <w:r w:rsidRPr="00D912C1">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2E3FC588" w14:textId="77777777" w:rsidR="002810EC" w:rsidRPr="00D912C1" w:rsidRDefault="002810EC" w:rsidP="002810EC">
      <w:pPr>
        <w:spacing w:after="120" w:line="240" w:lineRule="auto"/>
        <w:ind w:left="709" w:right="709"/>
        <w:contextualSpacing/>
        <w:jc w:val="both"/>
        <w:rPr>
          <w:rFonts w:ascii="Verdana" w:hAnsi="Verdana" w:cs="Arial"/>
          <w:color w:val="000000" w:themeColor="text1"/>
          <w:sz w:val="20"/>
          <w:szCs w:val="20"/>
        </w:rPr>
      </w:pPr>
      <w:r w:rsidRPr="00D912C1">
        <w:rPr>
          <w:rFonts w:ascii="Verdana" w:hAnsi="Verdana" w:cs="Arial"/>
          <w:color w:val="000000" w:themeColor="text1"/>
          <w:sz w:val="20"/>
          <w:szCs w:val="20"/>
        </w:rPr>
        <w:t xml:space="preserve">[…] </w:t>
      </w:r>
    </w:p>
    <w:p w14:paraId="5F89C50D" w14:textId="77777777" w:rsidR="002810EC" w:rsidRPr="00D912C1" w:rsidRDefault="002810EC" w:rsidP="002810EC">
      <w:pPr>
        <w:spacing w:after="120" w:line="240" w:lineRule="auto"/>
        <w:ind w:left="709" w:right="709"/>
        <w:contextualSpacing/>
        <w:jc w:val="both"/>
        <w:rPr>
          <w:rFonts w:ascii="Verdana" w:hAnsi="Verdana" w:cs="Arial"/>
          <w:color w:val="000000" w:themeColor="text1"/>
          <w:sz w:val="20"/>
          <w:szCs w:val="20"/>
        </w:rPr>
      </w:pPr>
    </w:p>
    <w:p w14:paraId="43596AF9" w14:textId="77777777" w:rsidR="002810EC" w:rsidRPr="00D912C1" w:rsidRDefault="002810EC" w:rsidP="002810EC">
      <w:pPr>
        <w:spacing w:after="0" w:line="240" w:lineRule="auto"/>
        <w:ind w:left="709" w:right="709"/>
        <w:contextualSpacing/>
        <w:jc w:val="both"/>
        <w:rPr>
          <w:rFonts w:ascii="Verdana" w:hAnsi="Verdana" w:cs="Arial"/>
          <w:color w:val="000000" w:themeColor="text1"/>
          <w:sz w:val="20"/>
          <w:szCs w:val="20"/>
        </w:rPr>
      </w:pPr>
      <w:r w:rsidRPr="00D912C1">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5869B7D5" w14:textId="77777777" w:rsidR="002810EC" w:rsidRPr="00D912C1" w:rsidRDefault="002810EC" w:rsidP="002810EC">
      <w:pPr>
        <w:spacing w:line="240" w:lineRule="auto"/>
        <w:ind w:left="709" w:right="709"/>
        <w:contextualSpacing/>
        <w:jc w:val="both"/>
        <w:rPr>
          <w:rFonts w:ascii="Verdana" w:eastAsia="Calibri" w:hAnsi="Verdana" w:cs="Arial"/>
          <w:bCs/>
          <w:color w:val="000000" w:themeColor="text1"/>
          <w:sz w:val="20"/>
          <w:szCs w:val="20"/>
        </w:rPr>
      </w:pPr>
    </w:p>
    <w:p w14:paraId="6ABE5D5D" w14:textId="77777777" w:rsidR="002810EC" w:rsidRPr="00D912C1" w:rsidRDefault="002810EC" w:rsidP="002810EC">
      <w:pPr>
        <w:numPr>
          <w:ilvl w:val="0"/>
          <w:numId w:val="17"/>
        </w:numPr>
        <w:tabs>
          <w:tab w:val="clear" w:pos="720"/>
        </w:tabs>
        <w:spacing w:after="120" w:line="240" w:lineRule="auto"/>
        <w:ind w:left="1066" w:right="709" w:hanging="357"/>
        <w:contextualSpacing/>
        <w:jc w:val="both"/>
        <w:rPr>
          <w:rFonts w:ascii="Verdana" w:eastAsia="Calibri" w:hAnsi="Verdana" w:cs="Arial"/>
          <w:bCs/>
          <w:color w:val="000000" w:themeColor="text1"/>
          <w:sz w:val="20"/>
          <w:szCs w:val="20"/>
        </w:rPr>
      </w:pPr>
      <w:r w:rsidRPr="00D912C1">
        <w:rPr>
          <w:rFonts w:ascii="Verdana" w:eastAsia="Calibri" w:hAnsi="Verdana" w:cs="Arial"/>
          <w:bCs/>
          <w:color w:val="000000" w:themeColor="text1"/>
          <w:sz w:val="20"/>
          <w:szCs w:val="20"/>
        </w:rPr>
        <w:t>El comodato se clasifica dentro de los denominados contratos traslaticios del uso y disfrute de un bien.</w:t>
      </w:r>
    </w:p>
    <w:p w14:paraId="2410A3B6" w14:textId="77777777" w:rsidR="002810EC" w:rsidRPr="00D912C1" w:rsidRDefault="002810EC" w:rsidP="002810EC">
      <w:pPr>
        <w:tabs>
          <w:tab w:val="num" w:pos="1068"/>
        </w:tabs>
        <w:spacing w:after="120" w:line="240" w:lineRule="auto"/>
        <w:ind w:left="1066" w:right="709"/>
        <w:contextualSpacing/>
        <w:jc w:val="both"/>
        <w:rPr>
          <w:rFonts w:ascii="Verdana" w:eastAsia="Calibri" w:hAnsi="Verdana" w:cs="Arial"/>
          <w:bCs/>
          <w:color w:val="000000" w:themeColor="text1"/>
          <w:sz w:val="20"/>
          <w:szCs w:val="20"/>
        </w:rPr>
      </w:pPr>
    </w:p>
    <w:p w14:paraId="2D653850" w14:textId="77777777" w:rsidR="002810EC" w:rsidRPr="00D912C1" w:rsidRDefault="002810EC" w:rsidP="002810EC">
      <w:pPr>
        <w:numPr>
          <w:ilvl w:val="0"/>
          <w:numId w:val="17"/>
        </w:numPr>
        <w:spacing w:after="0" w:line="240" w:lineRule="auto"/>
        <w:ind w:left="1069" w:right="709"/>
        <w:contextualSpacing/>
        <w:jc w:val="both"/>
        <w:rPr>
          <w:rFonts w:ascii="Verdana" w:eastAsia="Calibri" w:hAnsi="Verdana" w:cs="Arial"/>
          <w:bCs/>
          <w:color w:val="000000" w:themeColor="text1"/>
          <w:sz w:val="20"/>
          <w:szCs w:val="20"/>
        </w:rPr>
      </w:pPr>
      <w:r w:rsidRPr="00D912C1">
        <w:rPr>
          <w:rFonts w:ascii="Verdana" w:eastAsia="Calibri" w:hAnsi="Verdana" w:cs="Arial"/>
          <w:bCs/>
          <w:color w:val="000000" w:themeColor="text1"/>
          <w:sz w:val="20"/>
          <w:szCs w:val="20"/>
        </w:rPr>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D912C1">
        <w:rPr>
          <w:rStyle w:val="Refdenotaalpie"/>
          <w:rFonts w:ascii="Verdana" w:eastAsia="Calibri" w:hAnsi="Verdana" w:cs="Arial"/>
          <w:bCs/>
          <w:color w:val="000000" w:themeColor="text1"/>
          <w:sz w:val="20"/>
          <w:szCs w:val="20"/>
        </w:rPr>
        <w:footnoteReference w:id="6"/>
      </w:r>
      <w:r w:rsidRPr="00D912C1">
        <w:rPr>
          <w:rFonts w:ascii="Verdana" w:eastAsia="Calibri" w:hAnsi="Verdana" w:cs="Arial"/>
          <w:bCs/>
          <w:color w:val="000000" w:themeColor="text1"/>
          <w:sz w:val="20"/>
          <w:szCs w:val="20"/>
        </w:rPr>
        <w:t>.</w:t>
      </w:r>
    </w:p>
    <w:p w14:paraId="1F2E1B93" w14:textId="77777777" w:rsidR="002810EC" w:rsidRPr="00D912C1" w:rsidRDefault="002810EC" w:rsidP="002810EC">
      <w:pPr>
        <w:spacing w:after="0" w:line="276" w:lineRule="auto"/>
        <w:ind w:firstLine="708"/>
        <w:jc w:val="both"/>
        <w:rPr>
          <w:rFonts w:ascii="Verdana" w:eastAsia="Calibri" w:hAnsi="Verdana" w:cs="Arial"/>
          <w:bCs/>
          <w:color w:val="000000" w:themeColor="text1"/>
        </w:rPr>
      </w:pPr>
    </w:p>
    <w:p w14:paraId="46E486F5" w14:textId="77777777" w:rsidR="002810EC" w:rsidRPr="00D912C1" w:rsidRDefault="002810EC" w:rsidP="002810EC">
      <w:pPr>
        <w:spacing w:after="120" w:line="276" w:lineRule="auto"/>
        <w:ind w:firstLine="709"/>
        <w:jc w:val="both"/>
        <w:rPr>
          <w:rFonts w:ascii="Verdana" w:eastAsia="Calibri" w:hAnsi="Verdana" w:cs="Arial"/>
          <w:bCs/>
          <w:color w:val="000000" w:themeColor="text1"/>
        </w:rPr>
      </w:pPr>
      <w:r w:rsidRPr="00D912C1">
        <w:rPr>
          <w:rFonts w:ascii="Verdana" w:eastAsia="Calibri" w:hAnsi="Verdana" w:cs="Arial"/>
          <w:bCs/>
          <w:color w:val="000000" w:themeColor="text1"/>
        </w:rPr>
        <w:t>Si bien el artículo 1452 del Código Civil dispone que no existe donación en el comodato, implica un auxilio en favor de terceros. Para estos efectos, la jurisprudencia considera que el contrato “</w:t>
      </w:r>
      <w:r w:rsidRPr="00D912C1">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w:t>
      </w:r>
      <w:r w:rsidRPr="00D912C1">
        <w:rPr>
          <w:rFonts w:ascii="Verdana" w:eastAsia="Calibri" w:hAnsi="Verdana" w:cs="Arial"/>
          <w:bCs/>
          <w:iCs/>
          <w:color w:val="000000" w:themeColor="text1"/>
        </w:rPr>
        <w:lastRenderedPageBreak/>
        <w:t xml:space="preserve">el lucro como inspiración esencial y que facilita al comodatario la satisfacción de sus necesidades […] No en vano, comodato viene del latín </w:t>
      </w:r>
      <w:proofErr w:type="spellStart"/>
      <w:r w:rsidRPr="00D912C1">
        <w:rPr>
          <w:rFonts w:ascii="Verdana" w:eastAsia="Calibri" w:hAnsi="Verdana" w:cs="Arial"/>
          <w:bCs/>
          <w:i/>
          <w:color w:val="000000" w:themeColor="text1"/>
        </w:rPr>
        <w:t>commodatum</w:t>
      </w:r>
      <w:proofErr w:type="spellEnd"/>
      <w:r w:rsidRPr="00D912C1">
        <w:rPr>
          <w:rFonts w:ascii="Verdana" w:eastAsia="Calibri" w:hAnsi="Verdana" w:cs="Arial"/>
          <w:bCs/>
          <w:iCs/>
          <w:color w:val="000000" w:themeColor="text1"/>
        </w:rPr>
        <w:t xml:space="preserve">, expresión que conjuga los términos </w:t>
      </w:r>
      <w:proofErr w:type="spellStart"/>
      <w:r w:rsidRPr="00D912C1">
        <w:rPr>
          <w:rFonts w:ascii="Verdana" w:eastAsia="Calibri" w:hAnsi="Verdana" w:cs="Arial"/>
          <w:bCs/>
          <w:i/>
          <w:color w:val="000000" w:themeColor="text1"/>
        </w:rPr>
        <w:t>commodum</w:t>
      </w:r>
      <w:proofErr w:type="spellEnd"/>
      <w:r w:rsidRPr="00D912C1">
        <w:rPr>
          <w:rFonts w:ascii="Verdana" w:eastAsia="Calibri" w:hAnsi="Verdana" w:cs="Arial"/>
          <w:bCs/>
          <w:iCs/>
          <w:color w:val="000000" w:themeColor="text1"/>
        </w:rPr>
        <w:t xml:space="preserve"> -utilidad, provecho- y </w:t>
      </w:r>
      <w:r w:rsidRPr="00D912C1">
        <w:rPr>
          <w:rFonts w:ascii="Verdana" w:eastAsia="Calibri" w:hAnsi="Verdana" w:cs="Arial"/>
          <w:bCs/>
          <w:i/>
          <w:color w:val="000000" w:themeColor="text1"/>
        </w:rPr>
        <w:t>datum</w:t>
      </w:r>
      <w:r w:rsidRPr="00D912C1">
        <w:rPr>
          <w:rFonts w:ascii="Verdana" w:eastAsia="Calibri" w:hAnsi="Verdana" w:cs="Arial"/>
          <w:bCs/>
          <w:iCs/>
          <w:color w:val="000000" w:themeColor="text1"/>
        </w:rPr>
        <w:t xml:space="preserve"> -dar-, es decir, entregar para utilidad de otro (</w:t>
      </w:r>
      <w:proofErr w:type="spellStart"/>
      <w:r w:rsidRPr="00D912C1">
        <w:rPr>
          <w:rFonts w:ascii="Verdana" w:eastAsia="Calibri" w:hAnsi="Verdana" w:cs="Arial"/>
          <w:bCs/>
          <w:i/>
          <w:color w:val="000000" w:themeColor="text1"/>
        </w:rPr>
        <w:t>utendum</w:t>
      </w:r>
      <w:proofErr w:type="spellEnd"/>
      <w:r w:rsidRPr="00D912C1">
        <w:rPr>
          <w:rFonts w:ascii="Verdana" w:eastAsia="Calibri" w:hAnsi="Verdana" w:cs="Arial"/>
          <w:bCs/>
          <w:i/>
          <w:color w:val="000000" w:themeColor="text1"/>
        </w:rPr>
        <w:t xml:space="preserve"> </w:t>
      </w:r>
      <w:proofErr w:type="spellStart"/>
      <w:r w:rsidRPr="00D912C1">
        <w:rPr>
          <w:rFonts w:ascii="Verdana" w:eastAsia="Calibri" w:hAnsi="Verdana" w:cs="Arial"/>
          <w:bCs/>
          <w:i/>
          <w:color w:val="000000" w:themeColor="text1"/>
        </w:rPr>
        <w:t>dare</w:t>
      </w:r>
      <w:proofErr w:type="spellEnd"/>
      <w:r w:rsidRPr="00D912C1">
        <w:rPr>
          <w:rFonts w:ascii="Verdana" w:eastAsia="Calibri" w:hAnsi="Verdana" w:cs="Arial"/>
          <w:bCs/>
          <w:iCs/>
          <w:color w:val="000000" w:themeColor="text1"/>
        </w:rPr>
        <w:t>)</w:t>
      </w:r>
      <w:r w:rsidRPr="00D912C1">
        <w:rPr>
          <w:rFonts w:ascii="Verdana" w:eastAsia="Calibri" w:hAnsi="Verdana" w:cs="Arial"/>
          <w:bCs/>
          <w:color w:val="000000" w:themeColor="text1"/>
        </w:rPr>
        <w:t>”</w:t>
      </w:r>
      <w:r w:rsidRPr="00D912C1">
        <w:rPr>
          <w:rFonts w:ascii="Verdana" w:eastAsia="Calibri" w:hAnsi="Verdana"/>
          <w:vertAlign w:val="superscript"/>
        </w:rPr>
        <w:footnoteReference w:id="7"/>
      </w:r>
      <w:bookmarkStart w:id="6" w:name="_Hlk35263504"/>
      <w:r w:rsidRPr="00D912C1">
        <w:rPr>
          <w:rFonts w:ascii="Verdana" w:eastAsia="Calibri" w:hAnsi="Verdana" w:cs="Arial"/>
          <w:bCs/>
          <w:color w:val="000000" w:themeColor="text1"/>
        </w:rPr>
        <w:t xml:space="preserve">. </w:t>
      </w:r>
    </w:p>
    <w:p w14:paraId="481A3374" w14:textId="6C0FE9B4" w:rsidR="002810EC" w:rsidRPr="00D912C1" w:rsidRDefault="002810EC" w:rsidP="002810EC">
      <w:pPr>
        <w:spacing w:after="0" w:line="276" w:lineRule="auto"/>
        <w:ind w:firstLine="708"/>
        <w:jc w:val="both"/>
        <w:rPr>
          <w:rFonts w:ascii="Verdana" w:eastAsia="Calibri" w:hAnsi="Verdana" w:cs="Arial"/>
          <w:bCs/>
          <w:color w:val="000000" w:themeColor="text1"/>
        </w:rPr>
      </w:pPr>
      <w:r w:rsidRPr="00D912C1">
        <w:rPr>
          <w:rFonts w:ascii="Verdana" w:eastAsia="Calibri" w:hAnsi="Verdana" w:cs="Arial"/>
          <w:bCs/>
          <w:color w:val="000000" w:themeColor="text1"/>
        </w:rPr>
        <w:t xml:space="preserve">Sin perjuicio de lo anterior, resulta relevante resaltar que </w:t>
      </w:r>
      <w:bookmarkStart w:id="7" w:name="_Hlk121742558"/>
      <w:r w:rsidRPr="00D912C1">
        <w:rPr>
          <w:rFonts w:ascii="Verdana" w:eastAsia="Calibri" w:hAnsi="Verdana" w:cs="Arial"/>
          <w:bCs/>
          <w:color w:val="000000" w:themeColor="text1"/>
        </w:rPr>
        <w:t xml:space="preserve">esta tipología contractual es restrictiva en la contratación pública, cuando se pretende celebrar con particulares, máxime cuando el ordenamiento sólo permite donaciones y auxilios a favor de </w:t>
      </w:r>
      <w:r w:rsidR="001F3DBB"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ntidades </w:t>
      </w:r>
      <w:r w:rsidR="001F3DBB" w:rsidRPr="00D912C1">
        <w:rPr>
          <w:rFonts w:ascii="Verdana" w:eastAsia="Calibri" w:hAnsi="Verdana" w:cs="Arial"/>
          <w:bCs/>
          <w:color w:val="000000" w:themeColor="text1"/>
        </w:rPr>
        <w:t>E</w:t>
      </w:r>
      <w:r w:rsidRPr="00D912C1">
        <w:rPr>
          <w:rFonts w:ascii="Verdana" w:eastAsia="Calibri" w:hAnsi="Verdana" w:cs="Arial"/>
          <w:bCs/>
          <w:color w:val="000000" w:themeColor="text1"/>
        </w:rPr>
        <w:t>statales.</w:t>
      </w:r>
      <w:bookmarkEnd w:id="7"/>
      <w:r w:rsidRPr="00D912C1">
        <w:rPr>
          <w:rFonts w:ascii="Verdana" w:eastAsia="Calibri" w:hAnsi="Verdana" w:cs="Arial"/>
          <w:bCs/>
          <w:color w:val="000000" w:themeColor="text1"/>
        </w:rPr>
        <w:t xml:space="preserve"> Al respecto, es importante destacar que el artículo 38 de la Ley 9 de 1989</w:t>
      </w:r>
      <w:bookmarkEnd w:id="6"/>
      <w:r w:rsidRPr="00D912C1">
        <w:rPr>
          <w:rFonts w:ascii="Verdana" w:eastAsia="Calibri" w:hAnsi="Verdana" w:cs="Arial"/>
          <w:bCs/>
          <w:color w:val="000000" w:themeColor="text1"/>
        </w:rPr>
        <w:t xml:space="preserve"> prescribe que:</w:t>
      </w:r>
    </w:p>
    <w:p w14:paraId="3034C9CD" w14:textId="77777777" w:rsidR="002810EC" w:rsidRPr="00D912C1" w:rsidRDefault="002810EC" w:rsidP="002810EC">
      <w:pPr>
        <w:pStyle w:val="Prrafodelista"/>
        <w:spacing w:line="276" w:lineRule="auto"/>
        <w:jc w:val="both"/>
        <w:rPr>
          <w:rFonts w:ascii="Verdana" w:eastAsia="Calibri" w:hAnsi="Verdana" w:cs="Arial"/>
          <w:bCs/>
          <w:color w:val="000000" w:themeColor="text1"/>
          <w:lang w:val="es-ES_tradnl"/>
        </w:rPr>
      </w:pPr>
    </w:p>
    <w:p w14:paraId="742E7D15" w14:textId="77777777" w:rsidR="002810EC" w:rsidRPr="00D912C1" w:rsidRDefault="002810EC" w:rsidP="00D53E1F">
      <w:pPr>
        <w:pStyle w:val="Prrafodelista"/>
        <w:spacing w:after="0" w:line="240" w:lineRule="auto"/>
        <w:ind w:left="709" w:right="709"/>
        <w:jc w:val="both"/>
        <w:rPr>
          <w:rFonts w:ascii="Verdana" w:eastAsia="Calibri" w:hAnsi="Verdana" w:cs="Arial"/>
          <w:bCs/>
          <w:iCs/>
          <w:color w:val="000000" w:themeColor="text1"/>
          <w:sz w:val="20"/>
          <w:szCs w:val="20"/>
          <w:lang w:val="es-ES_tradnl"/>
        </w:rPr>
      </w:pPr>
      <w:r w:rsidRPr="00D912C1">
        <w:rPr>
          <w:rFonts w:ascii="Verdana" w:eastAsia="Calibri" w:hAnsi="Verdana" w:cs="Arial"/>
          <w:bCs/>
          <w:iCs/>
          <w:color w:val="000000" w:themeColor="text1"/>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p>
    <w:p w14:paraId="36819700" w14:textId="77777777" w:rsidR="002810EC" w:rsidRPr="00D912C1" w:rsidRDefault="002810EC" w:rsidP="00D53E1F">
      <w:pPr>
        <w:pStyle w:val="Prrafodelista"/>
        <w:spacing w:after="0" w:line="240" w:lineRule="auto"/>
        <w:ind w:left="709" w:right="709"/>
        <w:jc w:val="both"/>
        <w:rPr>
          <w:rFonts w:ascii="Verdana" w:eastAsia="Calibri" w:hAnsi="Verdana" w:cs="Arial"/>
          <w:bCs/>
          <w:iCs/>
          <w:color w:val="000000" w:themeColor="text1"/>
          <w:sz w:val="20"/>
          <w:szCs w:val="20"/>
          <w:lang w:val="es-ES_tradnl"/>
        </w:rPr>
      </w:pPr>
    </w:p>
    <w:p w14:paraId="248AA4F5" w14:textId="77777777" w:rsidR="002810EC" w:rsidRPr="00D912C1" w:rsidRDefault="002810EC" w:rsidP="00D53E1F">
      <w:pPr>
        <w:pStyle w:val="Prrafodelista"/>
        <w:spacing w:after="0" w:line="240" w:lineRule="auto"/>
        <w:ind w:left="709" w:right="709"/>
        <w:jc w:val="both"/>
        <w:rPr>
          <w:rFonts w:ascii="Verdana" w:eastAsia="Calibri" w:hAnsi="Verdana" w:cs="Arial"/>
          <w:bCs/>
          <w:color w:val="000000" w:themeColor="text1"/>
          <w:sz w:val="20"/>
          <w:szCs w:val="20"/>
          <w:lang w:val="es-ES_tradnl"/>
        </w:rPr>
      </w:pPr>
      <w:r w:rsidRPr="00D912C1">
        <w:rPr>
          <w:rFonts w:ascii="Verdana" w:eastAsia="Calibri" w:hAnsi="Verdana" w:cs="Arial"/>
          <w:bCs/>
          <w:iCs/>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w:t>
      </w:r>
      <w:r w:rsidRPr="00D912C1">
        <w:rPr>
          <w:rFonts w:ascii="Verdana" w:eastAsia="Calibri" w:hAnsi="Verdana" w:cs="Arial"/>
          <w:bCs/>
          <w:color w:val="000000" w:themeColor="text1"/>
          <w:sz w:val="20"/>
          <w:szCs w:val="20"/>
          <w:lang w:val="es-ES_tradnl"/>
        </w:rPr>
        <w:t xml:space="preserve"> a partir de la promulgación de la presente Ley”. (Énfasis fuera de texto)</w:t>
      </w:r>
    </w:p>
    <w:p w14:paraId="75E70931" w14:textId="77777777" w:rsidR="002810EC" w:rsidRPr="00D912C1" w:rsidRDefault="002810EC" w:rsidP="002810EC">
      <w:pPr>
        <w:pStyle w:val="Prrafodelista"/>
        <w:spacing w:after="0" w:line="276" w:lineRule="auto"/>
        <w:jc w:val="both"/>
        <w:rPr>
          <w:rFonts w:ascii="Verdana" w:eastAsia="Calibri" w:hAnsi="Verdana" w:cs="Arial"/>
          <w:bCs/>
          <w:color w:val="000000" w:themeColor="text1"/>
          <w:lang w:val="es-ES_tradnl"/>
        </w:rPr>
      </w:pPr>
    </w:p>
    <w:p w14:paraId="3B5893DD" w14:textId="6592D170" w:rsidR="002810EC" w:rsidRPr="00D912C1" w:rsidRDefault="002810EC" w:rsidP="002810EC">
      <w:pPr>
        <w:spacing w:after="120" w:line="276" w:lineRule="auto"/>
        <w:ind w:firstLine="709"/>
        <w:jc w:val="both"/>
        <w:rPr>
          <w:rFonts w:ascii="Verdana" w:eastAsia="Calibri" w:hAnsi="Verdana" w:cs="Arial"/>
          <w:bCs/>
          <w:color w:val="000000" w:themeColor="text1"/>
        </w:rPr>
      </w:pPr>
      <w:r w:rsidRPr="00D912C1">
        <w:rPr>
          <w:rFonts w:ascii="Verdana" w:eastAsia="Calibri" w:hAnsi="Verdana" w:cs="Arial"/>
          <w:bCs/>
          <w:color w:val="000000" w:themeColor="text1"/>
        </w:rPr>
        <w:t xml:space="preserve">Esta norma es congruente con el artículo 355 de la Constitución Política de 1991, el cual dispone que “Ninguna de las ramas u órganos del poder público podrá decretar auxilios o donaciones en favor de personas naturales o jurídicas de derecho privado”. No obstante, el inciso segundo también señala lo siguiente: “El Gobierno, en los niveles nacional, departamental, distrital y municipal podrá, con recursos de los respectivos presupuestos, </w:t>
      </w:r>
      <w:r w:rsidR="00BD29B2" w:rsidRPr="00D912C1">
        <w:rPr>
          <w:rFonts w:ascii="Verdana" w:eastAsia="Calibri" w:hAnsi="Verdana" w:cs="Arial"/>
          <w:bCs/>
          <w:color w:val="000000" w:themeColor="text1"/>
        </w:rPr>
        <w:t>celebrará</w:t>
      </w:r>
      <w:r w:rsidRPr="00D912C1">
        <w:rPr>
          <w:rFonts w:ascii="Verdana" w:eastAsia="Calibri" w:hAnsi="Verdana" w:cs="Arial"/>
          <w:bCs/>
          <w:color w:val="000000" w:themeColor="text1"/>
        </w:rPr>
        <w:t xml:space="preserve"> contratos con entidades privadas sin ánimo de lucro y de reconocida idoneidad con el fin de impulsar programas y actividades de interés público acordes con el Plan Nacional y con los planes seccionales de Desarrollo […]”.</w:t>
      </w:r>
    </w:p>
    <w:p w14:paraId="502D50E3" w14:textId="09B52D30" w:rsidR="002810EC" w:rsidRPr="00D912C1" w:rsidRDefault="002810EC" w:rsidP="002810EC">
      <w:pPr>
        <w:widowControl w:val="0"/>
        <w:autoSpaceDE w:val="0"/>
        <w:autoSpaceDN w:val="0"/>
        <w:spacing w:after="120" w:line="276" w:lineRule="auto"/>
        <w:ind w:firstLine="709"/>
        <w:jc w:val="both"/>
        <w:rPr>
          <w:rFonts w:ascii="Verdana" w:eastAsia="Calibri" w:hAnsi="Verdana" w:cs="Arial"/>
          <w:bCs/>
          <w:color w:val="000000" w:themeColor="text1"/>
        </w:rPr>
      </w:pPr>
      <w:r w:rsidRPr="00D912C1">
        <w:rPr>
          <w:rFonts w:ascii="Verdana" w:eastAsia="Calibri" w:hAnsi="Verdana" w:cs="Arial"/>
          <w:bCs/>
          <w:color w:val="000000" w:themeColor="text1"/>
        </w:rPr>
        <w:t xml:space="preserve">Mediante Concepto 415140000909 de 2015, la ANCP – CCE explicó que el artículo 38 de la Ley 9 de 1989 contiene una restricción al texto constitucional del artículo 355, toda vez que tratándose de bienes inmuebles establece dos (2) condiciones a las que están sujetas las </w:t>
      </w:r>
      <w:r w:rsidR="0023678F"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ntidades </w:t>
      </w:r>
      <w:r w:rsidR="0023678F"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statales para celebrar el </w:t>
      </w:r>
      <w:r w:rsidRPr="00D912C1">
        <w:rPr>
          <w:rFonts w:ascii="Verdana" w:eastAsia="Calibri" w:hAnsi="Verdana" w:cs="Arial"/>
          <w:bCs/>
          <w:color w:val="000000" w:themeColor="text1"/>
        </w:rPr>
        <w:lastRenderedPageBreak/>
        <w:t xml:space="preserve">contrato de comodato: i) el tiempo de duración del contrato y </w:t>
      </w:r>
      <w:proofErr w:type="spellStart"/>
      <w:r w:rsidRPr="00D912C1">
        <w:rPr>
          <w:rFonts w:ascii="Verdana" w:eastAsia="Calibri" w:hAnsi="Verdana" w:cs="Arial"/>
          <w:bCs/>
          <w:color w:val="000000" w:themeColor="text1"/>
        </w:rPr>
        <w:t>ii</w:t>
      </w:r>
      <w:proofErr w:type="spellEnd"/>
      <w:r w:rsidRPr="00D912C1">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w:t>
      </w:r>
      <w:r w:rsidR="003F7448"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ntidades </w:t>
      </w:r>
      <w:r w:rsidR="003F7448"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statales podrían celebrar contratos de comodato entre sí, de acuerdo con las reglas del Código Civil dispuestas entre los artículos 2200 al 2220. </w:t>
      </w:r>
    </w:p>
    <w:p w14:paraId="7584F8DE" w14:textId="4B130BAF" w:rsidR="002810EC" w:rsidRPr="00D912C1" w:rsidRDefault="002810EC" w:rsidP="002810EC">
      <w:pPr>
        <w:widowControl w:val="0"/>
        <w:autoSpaceDE w:val="0"/>
        <w:autoSpaceDN w:val="0"/>
        <w:spacing w:after="120" w:line="276" w:lineRule="auto"/>
        <w:ind w:firstLine="709"/>
        <w:jc w:val="both"/>
        <w:rPr>
          <w:rFonts w:ascii="Verdana" w:eastAsia="Calibri" w:hAnsi="Verdana" w:cs="Arial"/>
          <w:bCs/>
          <w:color w:val="000000" w:themeColor="text1"/>
        </w:rPr>
      </w:pPr>
      <w:bookmarkStart w:id="8" w:name="_Hlk121751380"/>
      <w:r w:rsidRPr="00D912C1">
        <w:rPr>
          <w:rFonts w:ascii="Verdana" w:eastAsia="Calibri" w:hAnsi="Verdana" w:cs="Arial"/>
          <w:bCs/>
          <w:color w:val="000000" w:themeColor="text1"/>
        </w:rPr>
        <w:t xml:space="preserve">El supuesto antes descrito hace referencia al caso cuando la </w:t>
      </w:r>
      <w:r w:rsidR="00D21617"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 </w:t>
      </w:r>
      <w:r w:rsidR="00D21617"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statal tiene la condición de comodante. Es decir, cuando la entidad tiene el dominio de la cosa y la entrega a otra persona –que deben ser a otras entidades públicas, sindicatos, cooperativas, asociaciones y fundaciones que no repartan utilidades entre sus asociados o fundadores ni adjudiquen sus activos en el momento de su liquidación a los mismos, juntas de acción comunal, fondos de empleados, conforme lo expuesto anteriormente– para que esta haga uso de ella. </w:t>
      </w:r>
    </w:p>
    <w:p w14:paraId="094C45C7" w14:textId="3BA146DE" w:rsidR="002810EC" w:rsidRPr="00D912C1" w:rsidRDefault="002810EC" w:rsidP="002810EC">
      <w:pPr>
        <w:widowControl w:val="0"/>
        <w:autoSpaceDE w:val="0"/>
        <w:autoSpaceDN w:val="0"/>
        <w:spacing w:after="120" w:line="276" w:lineRule="auto"/>
        <w:ind w:firstLine="709"/>
        <w:jc w:val="both"/>
        <w:rPr>
          <w:rFonts w:ascii="Verdana" w:hAnsi="Verdana" w:cs="Arial"/>
          <w:color w:val="000000" w:themeColor="text1"/>
        </w:rPr>
      </w:pPr>
      <w:r w:rsidRPr="00D912C1">
        <w:rPr>
          <w:rFonts w:ascii="Verdana" w:eastAsia="Calibri" w:hAnsi="Verdana" w:cs="Arial"/>
          <w:bCs/>
          <w:color w:val="000000" w:themeColor="text1"/>
        </w:rPr>
        <w:t xml:space="preserve">Ahora bien, la prohibición transcrita en los párrafos anteriores no aplicaría para el supuesto de hecho en el cual la </w:t>
      </w:r>
      <w:r w:rsidR="00DC706B"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 </w:t>
      </w:r>
      <w:r w:rsidR="00DC706B"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statal tenga la condición de comodataria, pues en este caso la </w:t>
      </w:r>
      <w:r w:rsidR="005271C5"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 </w:t>
      </w:r>
      <w:r w:rsidR="005271C5"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statal no entregaría un bien a otra persona, sino que por el contrario a la </w:t>
      </w:r>
      <w:r w:rsidR="00320AD2" w:rsidRPr="00D912C1">
        <w:rPr>
          <w:rFonts w:ascii="Verdana" w:eastAsia="Calibri" w:hAnsi="Verdana" w:cs="Arial"/>
          <w:bCs/>
          <w:color w:val="000000" w:themeColor="text1"/>
        </w:rPr>
        <w:t>E</w:t>
      </w:r>
      <w:r w:rsidRPr="00D912C1">
        <w:rPr>
          <w:rFonts w:ascii="Verdana" w:eastAsia="Calibri" w:hAnsi="Verdana" w:cs="Arial"/>
          <w:bCs/>
          <w:color w:val="000000" w:themeColor="text1"/>
        </w:rPr>
        <w:t xml:space="preserve">ntidad </w:t>
      </w:r>
      <w:r w:rsidR="00320AD2" w:rsidRPr="00D912C1">
        <w:rPr>
          <w:rFonts w:ascii="Verdana" w:eastAsia="Calibri" w:hAnsi="Verdana" w:cs="Arial"/>
          <w:bCs/>
          <w:color w:val="000000" w:themeColor="text1"/>
        </w:rPr>
        <w:t>E</w:t>
      </w:r>
      <w:r w:rsidRPr="00D912C1">
        <w:rPr>
          <w:rFonts w:ascii="Verdana" w:eastAsia="Calibri" w:hAnsi="Verdana" w:cs="Arial"/>
          <w:bCs/>
          <w:color w:val="000000" w:themeColor="text1"/>
        </w:rPr>
        <w:t>statal le entregarían el bien para su uso. Esta postura se basa en dos (2) argumentos: i) de acuerdo con</w:t>
      </w:r>
      <w:r w:rsidRPr="00D912C1">
        <w:rPr>
          <w:rFonts w:ascii="Verdana" w:hAnsi="Verdana" w:cs="Arial"/>
          <w:color w:val="000000" w:themeColor="text1"/>
        </w:rPr>
        <w:t xml:space="preserve"> el artículo 32 de la Ley 80 de 1993, las entidades públicas en ejercicio de la autonomía de la voluntad pueden celebrar contratos con particulares para satisfacer sus necesidades que estén asociadas con el logro del interés público, siempre que no estén prohibidas por la Constitución y la Ley; </w:t>
      </w:r>
      <w:proofErr w:type="spellStart"/>
      <w:r w:rsidRPr="00D912C1">
        <w:rPr>
          <w:rFonts w:ascii="Verdana" w:hAnsi="Verdana" w:cs="Arial"/>
          <w:color w:val="000000" w:themeColor="text1"/>
        </w:rPr>
        <w:t>ii</w:t>
      </w:r>
      <w:proofErr w:type="spellEnd"/>
      <w:r w:rsidRPr="00D912C1">
        <w:rPr>
          <w:rFonts w:ascii="Verdana" w:hAnsi="Verdana" w:cs="Arial"/>
          <w:color w:val="000000" w:themeColor="text1"/>
        </w:rPr>
        <w:t xml:space="preserve">) en el supuesto que la </w:t>
      </w:r>
      <w:r w:rsidR="005271C5" w:rsidRPr="00D912C1">
        <w:rPr>
          <w:rFonts w:ascii="Verdana" w:hAnsi="Verdana" w:cs="Arial"/>
          <w:color w:val="000000" w:themeColor="text1"/>
        </w:rPr>
        <w:t>E</w:t>
      </w:r>
      <w:r w:rsidRPr="00D912C1">
        <w:rPr>
          <w:rFonts w:ascii="Verdana" w:hAnsi="Verdana" w:cs="Arial"/>
          <w:color w:val="000000" w:themeColor="text1"/>
        </w:rPr>
        <w:t xml:space="preserve">ntidad </w:t>
      </w:r>
      <w:r w:rsidR="005271C5" w:rsidRPr="00D912C1">
        <w:rPr>
          <w:rFonts w:ascii="Verdana" w:hAnsi="Verdana" w:cs="Arial"/>
          <w:color w:val="000000" w:themeColor="text1"/>
        </w:rPr>
        <w:t>E</w:t>
      </w:r>
      <w:r w:rsidRPr="00D912C1">
        <w:rPr>
          <w:rFonts w:ascii="Verdana" w:hAnsi="Verdana" w:cs="Arial"/>
          <w:color w:val="000000" w:themeColor="text1"/>
        </w:rPr>
        <w:t xml:space="preserve">statal actúe como comodatario no está entregando sus bienes en favor de un particular, por el contrario estaría recibiendo un bien </w:t>
      </w:r>
      <w:r w:rsidRPr="00D912C1">
        <w:rPr>
          <w:rFonts w:ascii="Verdana" w:eastAsia="Calibri" w:hAnsi="Verdana" w:cs="Arial"/>
          <w:bCs/>
          <w:color w:val="000000" w:themeColor="text1"/>
        </w:rPr>
        <w:t xml:space="preserve">para que haga uso del mismo, y con cargo de restituir la misma especie después de terminar el uso. </w:t>
      </w:r>
    </w:p>
    <w:bookmarkEnd w:id="8"/>
    <w:p w14:paraId="5B4364BF" w14:textId="77777777" w:rsidR="00E77C2B" w:rsidRPr="00D912C1" w:rsidRDefault="002810EC" w:rsidP="00E77C2B">
      <w:pPr>
        <w:widowControl w:val="0"/>
        <w:autoSpaceDE w:val="0"/>
        <w:autoSpaceDN w:val="0"/>
        <w:spacing w:after="120" w:line="276" w:lineRule="auto"/>
        <w:ind w:firstLine="709"/>
        <w:jc w:val="both"/>
        <w:rPr>
          <w:rFonts w:ascii="Verdana" w:hAnsi="Verdana" w:cs="Arial"/>
          <w:color w:val="000000" w:themeColor="text1"/>
        </w:rPr>
      </w:pPr>
      <w:r w:rsidRPr="00D912C1">
        <w:rPr>
          <w:rFonts w:ascii="Verdana" w:hAnsi="Verdana" w:cs="Arial"/>
          <w:color w:val="000000" w:themeColor="text1"/>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D912C1">
        <w:rPr>
          <w:rFonts w:ascii="Verdana" w:hAnsi="Verdana" w:cs="Arial"/>
          <w:color w:val="000000" w:themeColor="text1"/>
        </w:rPr>
        <w:t>ii</w:t>
      </w:r>
      <w:proofErr w:type="spellEnd"/>
      <w:r w:rsidRPr="00D912C1">
        <w:rPr>
          <w:rFonts w:ascii="Verdana" w:hAnsi="Verdana" w:cs="Arial"/>
          <w:color w:val="000000" w:themeColor="text1"/>
        </w:rPr>
        <w:t xml:space="preserve">) las entidades estatales pueden celebrar contratos de comodato de bienes muebles entre sí, de acuerdo con las reglas del Código Civil; </w:t>
      </w:r>
      <w:proofErr w:type="spellStart"/>
      <w:r w:rsidRPr="00D912C1">
        <w:rPr>
          <w:rFonts w:ascii="Verdana" w:hAnsi="Verdana" w:cs="Arial"/>
          <w:color w:val="000000" w:themeColor="text1"/>
        </w:rPr>
        <w:t>iii</w:t>
      </w:r>
      <w:proofErr w:type="spellEnd"/>
      <w:r w:rsidRPr="00D912C1">
        <w:rPr>
          <w:rFonts w:ascii="Verdana" w:hAnsi="Verdana" w:cs="Arial"/>
          <w:color w:val="000000" w:themeColor="text1"/>
        </w:rPr>
        <w:t xml:space="preserve">) en virtud del artículo 355 de la Constitución Política, de acuerdo con el procedimiento establecido en el Decreto </w:t>
      </w:r>
      <w:r w:rsidRPr="00D912C1">
        <w:rPr>
          <w:rFonts w:ascii="Verdana" w:hAnsi="Verdana" w:cs="Arial"/>
          <w:color w:val="000000" w:themeColor="text1"/>
        </w:rPr>
        <w:lastRenderedPageBreak/>
        <w:t xml:space="preserve">092 de 2017,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D912C1">
        <w:rPr>
          <w:rFonts w:ascii="Verdana" w:hAnsi="Verdana" w:cs="Arial"/>
          <w:color w:val="000000" w:themeColor="text1"/>
        </w:rPr>
        <w:t>iv</w:t>
      </w:r>
      <w:proofErr w:type="spellEnd"/>
      <w:r w:rsidRPr="00D912C1">
        <w:rPr>
          <w:rFonts w:ascii="Verdana" w:hAnsi="Verdana" w:cs="Arial"/>
          <w:color w:val="000000" w:themeColor="text1"/>
        </w:rPr>
        <w:t xml:space="preserve">)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w:t>
      </w:r>
    </w:p>
    <w:p w14:paraId="1E942303" w14:textId="18499E1C" w:rsidR="002810EC" w:rsidRPr="00D912C1" w:rsidRDefault="002810EC" w:rsidP="00E77C2B">
      <w:pPr>
        <w:widowControl w:val="0"/>
        <w:autoSpaceDE w:val="0"/>
        <w:autoSpaceDN w:val="0"/>
        <w:spacing w:after="0" w:line="276" w:lineRule="auto"/>
        <w:ind w:firstLine="709"/>
        <w:jc w:val="both"/>
        <w:rPr>
          <w:rFonts w:ascii="Verdana" w:hAnsi="Verdana" w:cs="Arial"/>
          <w:color w:val="000000" w:themeColor="text1"/>
        </w:rPr>
      </w:pPr>
      <w:r w:rsidRPr="00D912C1">
        <w:rPr>
          <w:rFonts w:ascii="Verdana" w:hAnsi="Verdana" w:cs="Arial"/>
          <w:lang w:eastAsia="es-ES"/>
        </w:rPr>
        <w:t>Al margen de la explicación precedente debe advertirse que el análisis requerido para resolver problemas específicos en torno a la celebración de contratos de comodato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0FE728" w14:textId="77777777" w:rsidR="002810EC" w:rsidRPr="00D912C1" w:rsidRDefault="002810EC" w:rsidP="002810EC">
      <w:pPr>
        <w:spacing w:before="120" w:after="0" w:line="276" w:lineRule="auto"/>
        <w:ind w:firstLine="709"/>
        <w:jc w:val="both"/>
        <w:rPr>
          <w:rFonts w:ascii="Verdana" w:hAnsi="Verdana" w:cs="Arial"/>
          <w:lang w:eastAsia="es-ES"/>
        </w:rPr>
      </w:pPr>
      <w:r w:rsidRPr="00D912C1">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284EDE9" w14:textId="77777777" w:rsidR="002810EC" w:rsidRPr="00D912C1" w:rsidRDefault="002810EC" w:rsidP="00891928">
      <w:pPr>
        <w:spacing w:after="0"/>
        <w:jc w:val="both"/>
        <w:rPr>
          <w:rFonts w:ascii="Verdana" w:hAnsi="Verdana"/>
        </w:rPr>
      </w:pPr>
    </w:p>
    <w:p w14:paraId="0FBB7905" w14:textId="00D1181D" w:rsidR="00DE127E" w:rsidRPr="00D912C1" w:rsidRDefault="00DE127E" w:rsidP="00DE127E">
      <w:pPr>
        <w:pStyle w:val="Prrafodelista"/>
        <w:numPr>
          <w:ilvl w:val="0"/>
          <w:numId w:val="16"/>
        </w:numPr>
        <w:tabs>
          <w:tab w:val="left" w:pos="142"/>
          <w:tab w:val="left" w:pos="284"/>
        </w:tabs>
        <w:spacing w:after="0" w:line="276" w:lineRule="auto"/>
        <w:ind w:left="360"/>
        <w:jc w:val="both"/>
        <w:rPr>
          <w:rFonts w:ascii="Verdana" w:eastAsia="Century Gothic" w:hAnsi="Verdana" w:cs="Century Gothic"/>
          <w:b/>
          <w:bCs/>
        </w:rPr>
      </w:pPr>
      <w:r w:rsidRPr="00D912C1">
        <w:rPr>
          <w:rFonts w:ascii="Verdana" w:eastAsia="Century Gothic" w:hAnsi="Verdana" w:cs="Century Gothic"/>
          <w:b/>
          <w:bCs/>
        </w:rPr>
        <w:t>Referencias normativas, jurisprudenciales y otras fuentes:</w:t>
      </w:r>
    </w:p>
    <w:p w14:paraId="261E661F" w14:textId="77777777" w:rsidR="00DE127E" w:rsidRPr="00D912C1" w:rsidRDefault="00DE127E" w:rsidP="00DE127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127E" w:rsidRPr="00D912C1" w14:paraId="75ECE3C0" w14:textId="77777777" w:rsidTr="009F18E3">
        <w:trPr>
          <w:trHeight w:val="870"/>
        </w:trPr>
        <w:tc>
          <w:tcPr>
            <w:tcW w:w="8647" w:type="dxa"/>
          </w:tcPr>
          <w:p w14:paraId="5F80550B" w14:textId="77777777" w:rsidR="009A5A63" w:rsidRPr="00D912C1" w:rsidRDefault="009A5A63" w:rsidP="009A5A63">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Constitución Política de 1991, artículos 313 y 355.</w:t>
            </w:r>
          </w:p>
          <w:p w14:paraId="594B6F4C" w14:textId="77777777" w:rsidR="009A5A63" w:rsidRPr="00D912C1" w:rsidRDefault="009A5A63" w:rsidP="009A5A63">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Ley 9 de 1989, artículo 38.</w:t>
            </w:r>
          </w:p>
          <w:p w14:paraId="3DF98A74" w14:textId="77777777" w:rsidR="009A5A63" w:rsidRPr="00D912C1" w:rsidRDefault="009A5A63" w:rsidP="009A5A63">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Ley 80 de 1993, artículos 13, 32 y 40.</w:t>
            </w:r>
          </w:p>
          <w:p w14:paraId="294167CC" w14:textId="77777777" w:rsidR="009A5A63" w:rsidRPr="00D912C1" w:rsidRDefault="009A5A63" w:rsidP="009A5A63">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lastRenderedPageBreak/>
              <w:t xml:space="preserve">Ley 489 de 1998, artículo 96. </w:t>
            </w:r>
          </w:p>
          <w:p w14:paraId="4D37C6EA" w14:textId="77777777" w:rsidR="009A5A63" w:rsidRPr="00D912C1" w:rsidRDefault="009A5A63" w:rsidP="009A5A63">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Decreto 092 de 2017, artículos 5 y 8.</w:t>
            </w:r>
          </w:p>
          <w:p w14:paraId="63B496F8" w14:textId="45C25C12" w:rsidR="00833F20" w:rsidRPr="00D912C1" w:rsidRDefault="00833F20" w:rsidP="00833F20">
            <w:pPr>
              <w:pStyle w:val="Prrafodelista"/>
              <w:numPr>
                <w:ilvl w:val="0"/>
                <w:numId w:val="18"/>
              </w:numPr>
              <w:spacing w:after="120" w:line="259" w:lineRule="auto"/>
              <w:jc w:val="both"/>
              <w:rPr>
                <w:rFonts w:ascii="Verdana" w:hAnsi="Verdana" w:cs="Arial"/>
              </w:rPr>
            </w:pPr>
            <w:r w:rsidRPr="00D912C1">
              <w:rPr>
                <w:rFonts w:ascii="Verdana" w:hAnsi="Verdana" w:cs="Arial"/>
              </w:rPr>
              <w:t xml:space="preserve">Código Civil, artículos </w:t>
            </w:r>
            <w:r w:rsidRPr="00D912C1">
              <w:rPr>
                <w:rFonts w:ascii="Verdana" w:eastAsia="Calibri" w:hAnsi="Verdana" w:cs="Arial"/>
                <w:bCs/>
                <w:color w:val="000000" w:themeColor="text1"/>
              </w:rPr>
              <w:t>2200 al 2220</w:t>
            </w:r>
            <w:r w:rsidRPr="00D912C1">
              <w:rPr>
                <w:rFonts w:ascii="Verdana" w:hAnsi="Verdana" w:cs="Arial"/>
              </w:rPr>
              <w:t xml:space="preserve">. </w:t>
            </w:r>
          </w:p>
          <w:p w14:paraId="4FE24DB1" w14:textId="77777777" w:rsidR="00833F20" w:rsidRPr="00D912C1" w:rsidRDefault="00833F20" w:rsidP="00833F20">
            <w:pPr>
              <w:pStyle w:val="Prrafodelista"/>
              <w:spacing w:after="120" w:line="259" w:lineRule="auto"/>
              <w:jc w:val="both"/>
              <w:rPr>
                <w:rFonts w:ascii="Verdana" w:hAnsi="Verdana" w:cs="Arial"/>
              </w:rPr>
            </w:pPr>
          </w:p>
          <w:p w14:paraId="6DE0A7F0" w14:textId="77777777" w:rsidR="00833F20" w:rsidRPr="00D912C1" w:rsidRDefault="00833F20" w:rsidP="00833F20">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CONSEJO DE ESTADO. Sala de Consulta y Servicio Civil. Concepto del 24 de julio de 2003. Radicación 1.510. C.P. Susana Montes de Echeverri.</w:t>
            </w:r>
          </w:p>
          <w:p w14:paraId="096EACEE" w14:textId="6FA13D0F" w:rsidR="009A5A63" w:rsidRPr="00D912C1" w:rsidRDefault="00833F20" w:rsidP="00833F20">
            <w:pPr>
              <w:pStyle w:val="Prrafodelista"/>
              <w:widowControl w:val="0"/>
              <w:numPr>
                <w:ilvl w:val="0"/>
                <w:numId w:val="18"/>
              </w:numPr>
              <w:autoSpaceDE w:val="0"/>
              <w:autoSpaceDN w:val="0"/>
              <w:spacing w:after="120" w:line="276" w:lineRule="auto"/>
              <w:ind w:left="714" w:hanging="357"/>
              <w:contextualSpacing w:val="0"/>
              <w:jc w:val="both"/>
              <w:rPr>
                <w:rFonts w:ascii="Verdana" w:hAnsi="Verdana" w:cs="Arial"/>
              </w:rPr>
            </w:pPr>
            <w:r w:rsidRPr="00D912C1">
              <w:rPr>
                <w:rFonts w:ascii="Verdana" w:hAnsi="Verdana" w:cs="Arial"/>
              </w:rPr>
              <w:t xml:space="preserve">CORTE SUPREMA DE JUSTICIA. Sala de Casación Civil. Sentencia del 4 de agosto de 2008. </w:t>
            </w:r>
            <w:proofErr w:type="spellStart"/>
            <w:r w:rsidRPr="00D912C1">
              <w:rPr>
                <w:rFonts w:ascii="Verdana" w:hAnsi="Verdana" w:cs="Arial"/>
              </w:rPr>
              <w:t>Exp</w:t>
            </w:r>
            <w:proofErr w:type="spellEnd"/>
            <w:r w:rsidRPr="00D912C1">
              <w:rPr>
                <w:rFonts w:ascii="Verdana" w:hAnsi="Verdana" w:cs="Arial"/>
              </w:rPr>
              <w:t>. 68001310300920000071001. M.P. Edgardo Villamil Portilla.</w:t>
            </w:r>
          </w:p>
        </w:tc>
      </w:tr>
    </w:tbl>
    <w:p w14:paraId="1BEA2CEC" w14:textId="77777777" w:rsidR="00DE127E" w:rsidRPr="00D912C1" w:rsidRDefault="00DE127E" w:rsidP="00DE127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1CA0A11" w14:textId="77777777" w:rsidR="00DE127E" w:rsidRPr="00D912C1" w:rsidRDefault="00DE127E" w:rsidP="00DE127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D912C1">
        <w:rPr>
          <w:rFonts w:ascii="Verdana" w:eastAsia="Century Gothic" w:hAnsi="Verdana" w:cs="Century Gothic"/>
          <w:b/>
          <w:bCs/>
        </w:rPr>
        <w:t>5. Doctrina de la Agencia Nacional de Contratación Pública:</w:t>
      </w:r>
    </w:p>
    <w:p w14:paraId="3EF0E7B9" w14:textId="77777777" w:rsidR="00DE127E" w:rsidRPr="00D912C1" w:rsidRDefault="00DE127E" w:rsidP="00DE127E">
      <w:pPr>
        <w:spacing w:after="0" w:line="276" w:lineRule="auto"/>
        <w:ind w:firstLine="709"/>
        <w:jc w:val="both"/>
        <w:rPr>
          <w:rFonts w:ascii="Verdana" w:eastAsia="Times New Roman" w:hAnsi="Verdana" w:cs="Arial"/>
          <w:lang w:eastAsia="es-ES_tradnl"/>
        </w:rPr>
      </w:pPr>
    </w:p>
    <w:p w14:paraId="3AF66ADE" w14:textId="5E226582" w:rsidR="00DE127E" w:rsidRPr="00D912C1" w:rsidRDefault="00DE127E" w:rsidP="00DE127E">
      <w:pPr>
        <w:widowControl w:val="0"/>
        <w:autoSpaceDE w:val="0"/>
        <w:autoSpaceDN w:val="0"/>
        <w:spacing w:after="0" w:line="276" w:lineRule="auto"/>
        <w:jc w:val="both"/>
        <w:rPr>
          <w:rFonts w:ascii="Verdana" w:hAnsi="Verdana" w:cs="Arial"/>
          <w:shd w:val="clear" w:color="auto" w:fill="FFFFFF"/>
        </w:rPr>
      </w:pPr>
      <w:r w:rsidRPr="00D912C1">
        <w:rPr>
          <w:rFonts w:ascii="Verdana" w:hAnsi="Verdana" w:cs="Arial"/>
          <w:shd w:val="clear" w:color="auto" w:fill="FFFFFF"/>
          <w:lang w:val="es-ES"/>
        </w:rPr>
        <w:t xml:space="preserve">Sobre </w:t>
      </w:r>
      <w:r w:rsidR="007C4BDC" w:rsidRPr="00D912C1">
        <w:rPr>
          <w:rFonts w:ascii="Verdana" w:hAnsi="Verdana" w:cs="Arial"/>
          <w:shd w:val="clear" w:color="auto" w:fill="FFFFFF"/>
        </w:rPr>
        <w:t>sobre el contrato de comodato</w:t>
      </w:r>
      <w:r w:rsidRPr="00D912C1">
        <w:rPr>
          <w:rFonts w:ascii="Verdana" w:hAnsi="Verdana" w:cs="Arial"/>
          <w:shd w:val="clear" w:color="auto" w:fill="FFFFFF"/>
          <w:lang w:val="es-ES"/>
        </w:rPr>
        <w:t>, esta Subdirección se ha referido en los Conceptos Nro.</w:t>
      </w:r>
      <w:r w:rsidR="0071731B" w:rsidRPr="00D912C1">
        <w:rPr>
          <w:rFonts w:ascii="Verdana" w:eastAsia="Calibri" w:hAnsi="Verdana" w:cs="Arial"/>
          <w:bCs/>
          <w:color w:val="000000" w:themeColor="text1"/>
        </w:rPr>
        <w:t xml:space="preserve"> 415140000909 de 2015,</w:t>
      </w:r>
      <w:r w:rsidR="0071731B" w:rsidRPr="00D912C1">
        <w:rPr>
          <w:rFonts w:ascii="Verdana" w:hAnsi="Verdana" w:cs="Arial"/>
          <w:shd w:val="clear" w:color="auto" w:fill="FFFFFF"/>
        </w:rPr>
        <w:t xml:space="preserve"> C-014 del 24 de marzo de 2020, C-012 del 18 de febrero de 2022, C-799 del 12 de diciembre de 2022, C-161 del 6 de junio de 2023, C-270 del 12 de julio de 2023, C-685 del 14 de noviembre de 2024, C-785 del 11 de diciembre de 2024, C-286 del 01 de abril de 2025 y C-</w:t>
      </w:r>
      <w:r w:rsidR="00F118BC" w:rsidRPr="00D912C1">
        <w:rPr>
          <w:rFonts w:ascii="Verdana" w:hAnsi="Verdana" w:cs="Arial"/>
          <w:shd w:val="clear" w:color="auto" w:fill="FFFFFF"/>
        </w:rPr>
        <w:t xml:space="preserve">1213 del 08 de septiembre del 2025. </w:t>
      </w:r>
      <w:r w:rsidRPr="00D912C1">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D912C1">
          <w:rPr>
            <w:rStyle w:val="Hipervnculo"/>
            <w:rFonts w:ascii="Verdana" w:eastAsia="Calibri" w:hAnsi="Verdana" w:cs="Arial"/>
            <w:lang w:eastAsia="es-ES_tradnl"/>
          </w:rPr>
          <w:t>https://relatoria.colombiacompra.gov.co/</w:t>
        </w:r>
      </w:hyperlink>
      <w:r w:rsidRPr="00D912C1">
        <w:rPr>
          <w:rFonts w:ascii="Verdana" w:eastAsia="Calibri" w:hAnsi="Verdana" w:cs="Arial"/>
          <w:lang w:eastAsia="es-ES_tradnl"/>
        </w:rPr>
        <w:t> </w:t>
      </w:r>
    </w:p>
    <w:p w14:paraId="1A6E9C25" w14:textId="77777777" w:rsidR="00DE127E" w:rsidRPr="00D912C1" w:rsidRDefault="00DE127E" w:rsidP="00DE127E">
      <w:pPr>
        <w:widowControl w:val="0"/>
        <w:autoSpaceDE w:val="0"/>
        <w:autoSpaceDN w:val="0"/>
        <w:spacing w:after="0" w:line="276" w:lineRule="auto"/>
        <w:jc w:val="both"/>
        <w:rPr>
          <w:rFonts w:ascii="Verdana" w:eastAsia="Calibri" w:hAnsi="Verdana" w:cs="Arial"/>
          <w:lang w:eastAsia="es-ES_tradnl"/>
        </w:rPr>
      </w:pPr>
    </w:p>
    <w:p w14:paraId="2068F496" w14:textId="77777777" w:rsidR="00DE127E" w:rsidRPr="00D912C1" w:rsidRDefault="00DE127E" w:rsidP="00DE127E">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D912C1">
        <w:rPr>
          <w:rFonts w:ascii="Verdana" w:eastAsia="Times New Roman" w:hAnsi="Verdana" w:cs="Times New Roman"/>
          <w:color w:val="000000"/>
          <w:bdr w:val="none" w:sz="0" w:space="0" w:color="auto" w:frame="1"/>
          <w:lang w:eastAsia="es-CO"/>
        </w:rPr>
        <w:t xml:space="preserve">También le contamos que ya se encuentra disponible la </w:t>
      </w:r>
      <w:r w:rsidRPr="00D912C1">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D912C1">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912C1">
        <w:rPr>
          <w:rFonts w:ascii="Verdana" w:eastAsia="Times New Roman" w:hAnsi="Verdana" w:cs="Times New Roman"/>
          <w:color w:val="000000"/>
          <w:bdr w:val="none" w:sz="0" w:space="0" w:color="auto" w:frame="1"/>
          <w:lang w:eastAsia="es-CO"/>
        </w:rPr>
        <w:t>Wayúu</w:t>
      </w:r>
      <w:proofErr w:type="spellEnd"/>
      <w:r w:rsidRPr="00D912C1">
        <w:rPr>
          <w:rFonts w:ascii="Verdana" w:eastAsia="Times New Roman" w:hAnsi="Verdana" w:cs="Times New Roman"/>
          <w:color w:val="000000"/>
          <w:bdr w:val="none" w:sz="0" w:space="0" w:color="auto" w:frame="1"/>
          <w:lang w:eastAsia="es-CO"/>
        </w:rPr>
        <w:t xml:space="preserve">.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912C1">
          <w:rPr>
            <w:rStyle w:val="Hipervnculo"/>
            <w:rFonts w:ascii="Verdana" w:eastAsia="Times New Roman" w:hAnsi="Verdana"/>
            <w:bdr w:val="none" w:sz="0" w:space="0" w:color="auto" w:frame="1"/>
            <w:lang w:eastAsia="es-CO"/>
          </w:rPr>
          <w:t>Guía de lineamientos de transparencia y selección objetiva para el departamento de La Guajira – Objetivo sexto constitucional de la Sentencia T-302 del 2017</w:t>
        </w:r>
      </w:hyperlink>
    </w:p>
    <w:p w14:paraId="757BDA5B" w14:textId="77777777" w:rsidR="00DE127E" w:rsidRPr="00D912C1" w:rsidRDefault="00DE127E" w:rsidP="00DE127E">
      <w:pPr>
        <w:widowControl w:val="0"/>
        <w:autoSpaceDE w:val="0"/>
        <w:autoSpaceDN w:val="0"/>
        <w:spacing w:after="0" w:line="276" w:lineRule="auto"/>
        <w:jc w:val="both"/>
        <w:rPr>
          <w:rFonts w:ascii="Verdana" w:hAnsi="Verdana" w:cs="Arial"/>
        </w:rPr>
      </w:pPr>
    </w:p>
    <w:p w14:paraId="2B74DA48" w14:textId="77777777" w:rsidR="00DE127E" w:rsidRPr="00D912C1" w:rsidRDefault="00DE127E" w:rsidP="00DE127E">
      <w:pPr>
        <w:spacing w:after="0" w:line="276" w:lineRule="auto"/>
        <w:jc w:val="both"/>
        <w:rPr>
          <w:rFonts w:ascii="Verdana" w:hAnsi="Verdana"/>
        </w:rPr>
      </w:pPr>
      <w:r w:rsidRPr="00D912C1">
        <w:rPr>
          <w:rFonts w:ascii="Verdana" w:hAnsi="Verdana"/>
        </w:rPr>
        <w:t xml:space="preserve">Por último, lo invitamos a seguirnos en las redes sociales en las cuales se difunde información institucional: </w:t>
      </w:r>
    </w:p>
    <w:p w14:paraId="3CE6D47F" w14:textId="77777777" w:rsidR="00DE127E" w:rsidRPr="00D912C1" w:rsidRDefault="00DE127E" w:rsidP="00DE127E">
      <w:pPr>
        <w:spacing w:after="0" w:line="276" w:lineRule="auto"/>
        <w:jc w:val="both"/>
        <w:rPr>
          <w:rFonts w:ascii="Verdana" w:hAnsi="Verdana"/>
        </w:rPr>
      </w:pPr>
    </w:p>
    <w:p w14:paraId="7E72EBE4" w14:textId="77777777" w:rsidR="00DE127E" w:rsidRPr="00D912C1" w:rsidRDefault="00DE127E" w:rsidP="00DE127E">
      <w:pPr>
        <w:spacing w:after="0" w:line="276" w:lineRule="auto"/>
        <w:jc w:val="both"/>
        <w:rPr>
          <w:rFonts w:ascii="Verdana" w:hAnsi="Verdana"/>
        </w:rPr>
      </w:pPr>
      <w:r w:rsidRPr="00D912C1">
        <w:rPr>
          <w:rFonts w:ascii="Verdana" w:hAnsi="Verdana"/>
        </w:rPr>
        <w:t xml:space="preserve">Twitter: </w:t>
      </w:r>
      <w:r w:rsidRPr="00D912C1">
        <w:rPr>
          <w:rStyle w:val="Hipervnculo"/>
          <w:rFonts w:ascii="Verdana" w:hAnsi="Verdana"/>
          <w:color w:val="4472C4" w:themeColor="accent1"/>
        </w:rPr>
        <w:t>@colombiacompra</w:t>
      </w:r>
      <w:r w:rsidRPr="00D912C1">
        <w:rPr>
          <w:rFonts w:ascii="Verdana" w:hAnsi="Verdana"/>
          <w:color w:val="4472C4" w:themeColor="accent1"/>
        </w:rPr>
        <w:t xml:space="preserve"> </w:t>
      </w:r>
    </w:p>
    <w:p w14:paraId="19D08F47" w14:textId="77777777" w:rsidR="00DE127E" w:rsidRPr="00D912C1" w:rsidRDefault="00DE127E" w:rsidP="00DE127E">
      <w:pPr>
        <w:spacing w:after="0" w:line="276" w:lineRule="auto"/>
        <w:jc w:val="both"/>
        <w:rPr>
          <w:rFonts w:ascii="Verdana" w:hAnsi="Verdana"/>
        </w:rPr>
      </w:pPr>
      <w:r w:rsidRPr="00D912C1">
        <w:rPr>
          <w:rFonts w:ascii="Verdana" w:hAnsi="Verdana"/>
        </w:rPr>
        <w:t xml:space="preserve">Facebook: </w:t>
      </w:r>
      <w:proofErr w:type="spellStart"/>
      <w:r w:rsidRPr="00D912C1">
        <w:rPr>
          <w:rStyle w:val="Hipervnculo"/>
          <w:rFonts w:ascii="Verdana" w:hAnsi="Verdana"/>
          <w:color w:val="4472C4" w:themeColor="accent1"/>
        </w:rPr>
        <w:t>ColombiaCompraEficiente</w:t>
      </w:r>
      <w:proofErr w:type="spellEnd"/>
    </w:p>
    <w:p w14:paraId="71155D99" w14:textId="77777777" w:rsidR="00DE127E" w:rsidRPr="00D912C1" w:rsidRDefault="00DE127E" w:rsidP="00DE127E">
      <w:pPr>
        <w:spacing w:after="0" w:line="276" w:lineRule="auto"/>
        <w:jc w:val="both"/>
        <w:rPr>
          <w:rFonts w:ascii="Verdana" w:hAnsi="Verdana"/>
        </w:rPr>
      </w:pPr>
      <w:r w:rsidRPr="00D912C1">
        <w:rPr>
          <w:rFonts w:ascii="Verdana" w:hAnsi="Verdana"/>
        </w:rPr>
        <w:t xml:space="preserve">LinkedIn: </w:t>
      </w:r>
      <w:r w:rsidRPr="00D912C1">
        <w:rPr>
          <w:rStyle w:val="Hipervnculo"/>
          <w:rFonts w:ascii="Verdana" w:hAnsi="Verdana"/>
          <w:color w:val="4472C4" w:themeColor="accent1"/>
        </w:rPr>
        <w:t>Agencia Nacional de Contratación Pública - Colombia Compra Eficiente</w:t>
      </w:r>
      <w:r w:rsidRPr="00D912C1">
        <w:rPr>
          <w:rFonts w:ascii="Verdana" w:hAnsi="Verdana"/>
          <w:color w:val="4472C4" w:themeColor="accent1"/>
        </w:rPr>
        <w:t xml:space="preserve"> </w:t>
      </w:r>
      <w:r w:rsidRPr="00D912C1">
        <w:rPr>
          <w:rFonts w:ascii="Verdana" w:hAnsi="Verdana"/>
        </w:rPr>
        <w:t xml:space="preserve">Instagram: </w:t>
      </w:r>
      <w:r w:rsidRPr="00D912C1">
        <w:rPr>
          <w:rStyle w:val="Hipervnculo"/>
          <w:rFonts w:ascii="Verdana" w:hAnsi="Verdana"/>
          <w:color w:val="4472C4" w:themeColor="accent1"/>
        </w:rPr>
        <w:t>@colombiacompraeficiente_cce</w:t>
      </w:r>
    </w:p>
    <w:p w14:paraId="5BB4A95F" w14:textId="77777777" w:rsidR="00DE127E" w:rsidRPr="00D912C1" w:rsidRDefault="00DE127E" w:rsidP="00DE127E">
      <w:pPr>
        <w:widowControl w:val="0"/>
        <w:autoSpaceDE w:val="0"/>
        <w:autoSpaceDN w:val="0"/>
        <w:spacing w:after="0" w:line="276" w:lineRule="auto"/>
        <w:jc w:val="both"/>
        <w:rPr>
          <w:rFonts w:ascii="Verdana" w:hAnsi="Verdana"/>
        </w:rPr>
      </w:pPr>
    </w:p>
    <w:p w14:paraId="3CD285D7" w14:textId="77777777" w:rsidR="00DE127E" w:rsidRPr="00D912C1" w:rsidRDefault="00DE127E" w:rsidP="00DE127E">
      <w:pPr>
        <w:widowControl w:val="0"/>
        <w:autoSpaceDE w:val="0"/>
        <w:autoSpaceDN w:val="0"/>
        <w:spacing w:after="0" w:line="276" w:lineRule="auto"/>
        <w:jc w:val="both"/>
        <w:rPr>
          <w:rFonts w:ascii="Verdana" w:hAnsi="Verdana" w:cs="Arial"/>
        </w:rPr>
      </w:pPr>
      <w:r w:rsidRPr="00D912C1">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3656B42" w14:textId="77777777" w:rsidR="00DE127E" w:rsidRPr="00D912C1" w:rsidRDefault="00DE127E" w:rsidP="00DE127E">
      <w:pPr>
        <w:spacing w:after="0" w:line="276" w:lineRule="auto"/>
        <w:ind w:firstLine="709"/>
        <w:jc w:val="both"/>
        <w:rPr>
          <w:rFonts w:ascii="Verdana" w:eastAsia="Times New Roman" w:hAnsi="Verdana" w:cs="Arial"/>
          <w:lang w:eastAsia="es-ES_tradnl"/>
        </w:rPr>
      </w:pPr>
    </w:p>
    <w:p w14:paraId="14D0C13C" w14:textId="77777777" w:rsidR="00DE127E" w:rsidRPr="00D912C1" w:rsidRDefault="00DE127E" w:rsidP="00DE127E">
      <w:pPr>
        <w:spacing w:after="0" w:line="276" w:lineRule="auto"/>
        <w:jc w:val="both"/>
        <w:rPr>
          <w:rFonts w:ascii="Verdana" w:eastAsia="Times New Roman" w:hAnsi="Verdana" w:cs="Arial"/>
          <w:lang w:eastAsia="es-CO"/>
        </w:rPr>
      </w:pPr>
      <w:bookmarkStart w:id="9" w:name="_Hlk117695077"/>
      <w:r w:rsidRPr="00D912C1">
        <w:rPr>
          <w:rFonts w:ascii="Verdana" w:eastAsia="Times New Roman" w:hAnsi="Verdana" w:cs="Arial"/>
          <w:lang w:eastAsia="es-CO"/>
        </w:rPr>
        <w:t>Atentamente,</w:t>
      </w:r>
      <w:bookmarkEnd w:id="9"/>
    </w:p>
    <w:p w14:paraId="2791D0D2" w14:textId="3EEF6916" w:rsidR="00DE127E" w:rsidRPr="009B3026" w:rsidRDefault="009B3026" w:rsidP="009B3026">
      <w:pPr>
        <w:spacing w:after="0" w:line="276" w:lineRule="auto"/>
        <w:jc w:val="center"/>
      </w:pPr>
      <w:r>
        <w:rPr>
          <w:noProof/>
        </w:rPr>
        <w:drawing>
          <wp:inline distT="0" distB="0" distL="0" distR="0" wp14:anchorId="0393E479" wp14:editId="731BE2AA">
            <wp:extent cx="3379470" cy="1381125"/>
            <wp:effectExtent l="0" t="0" r="0" b="9525"/>
            <wp:docPr id="103946392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94173" cy="1387134"/>
                    </a:xfrm>
                    <a:prstGeom prst="rect">
                      <a:avLst/>
                    </a:prstGeom>
                    <a:noFill/>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E127E" w:rsidRPr="00D912C1" w14:paraId="2A01F65F" w14:textId="77777777" w:rsidTr="009F18E3">
        <w:trPr>
          <w:trHeight w:val="315"/>
        </w:trPr>
        <w:tc>
          <w:tcPr>
            <w:tcW w:w="893" w:type="dxa"/>
            <w:vAlign w:val="center"/>
            <w:hideMark/>
          </w:tcPr>
          <w:p w14:paraId="762D401D" w14:textId="77777777" w:rsidR="00DE127E" w:rsidRPr="00D912C1" w:rsidRDefault="00DE127E" w:rsidP="009F18E3">
            <w:pPr>
              <w:contextualSpacing/>
              <w:rPr>
                <w:rFonts w:ascii="Verdana" w:hAnsi="Verdana" w:cs="Arial"/>
                <w:sz w:val="16"/>
                <w:szCs w:val="16"/>
                <w:lang w:eastAsia="es-ES"/>
              </w:rPr>
            </w:pPr>
            <w:r w:rsidRPr="00D912C1">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10199DD" w14:textId="77777777" w:rsidR="00DE127E" w:rsidRPr="00D912C1" w:rsidRDefault="00DE127E" w:rsidP="009F18E3">
            <w:pPr>
              <w:contextualSpacing/>
              <w:rPr>
                <w:rFonts w:ascii="Verdana" w:hAnsi="Verdana"/>
                <w:sz w:val="16"/>
                <w:szCs w:val="16"/>
              </w:rPr>
            </w:pPr>
            <w:r w:rsidRPr="00D912C1">
              <w:rPr>
                <w:rFonts w:ascii="Verdana" w:hAnsi="Verdana"/>
                <w:sz w:val="16"/>
                <w:szCs w:val="16"/>
              </w:rPr>
              <w:t>Ana María Ortiz Ballesteros</w:t>
            </w:r>
          </w:p>
          <w:p w14:paraId="75787A8A" w14:textId="77777777" w:rsidR="00DE127E" w:rsidRPr="00D912C1" w:rsidRDefault="00DE127E" w:rsidP="009F18E3">
            <w:pPr>
              <w:contextualSpacing/>
              <w:rPr>
                <w:rFonts w:ascii="Verdana" w:eastAsia="Arial" w:hAnsi="Verdana" w:cs="Arial"/>
                <w:sz w:val="16"/>
                <w:szCs w:val="16"/>
              </w:rPr>
            </w:pPr>
            <w:r w:rsidRPr="00D912C1">
              <w:rPr>
                <w:rStyle w:val="normaltextrun"/>
                <w:rFonts w:ascii="Verdana" w:hAnsi="Verdana" w:cs="Arial"/>
                <w:sz w:val="16"/>
                <w:szCs w:val="16"/>
              </w:rPr>
              <w:t>Contratista de la Subdirección de Gestión Contractual</w:t>
            </w:r>
            <w:r w:rsidRPr="00D912C1">
              <w:rPr>
                <w:rStyle w:val="eop"/>
                <w:rFonts w:ascii="Verdana" w:eastAsiaTheme="majorEastAsia" w:hAnsi="Verdana" w:cs="Arial"/>
                <w:sz w:val="16"/>
                <w:szCs w:val="16"/>
              </w:rPr>
              <w:t> </w:t>
            </w:r>
          </w:p>
        </w:tc>
      </w:tr>
      <w:tr w:rsidR="00DE127E" w:rsidRPr="00D912C1" w14:paraId="14E1EB51" w14:textId="77777777" w:rsidTr="009F18E3">
        <w:trPr>
          <w:trHeight w:val="330"/>
        </w:trPr>
        <w:tc>
          <w:tcPr>
            <w:tcW w:w="893" w:type="dxa"/>
            <w:vAlign w:val="center"/>
            <w:hideMark/>
          </w:tcPr>
          <w:p w14:paraId="28556644" w14:textId="77777777" w:rsidR="00DE127E" w:rsidRPr="00D912C1" w:rsidRDefault="00DE127E" w:rsidP="009F18E3">
            <w:pPr>
              <w:contextualSpacing/>
              <w:rPr>
                <w:rFonts w:ascii="Verdana" w:hAnsi="Verdana" w:cs="Arial"/>
                <w:sz w:val="16"/>
                <w:szCs w:val="16"/>
                <w:lang w:eastAsia="es-ES"/>
              </w:rPr>
            </w:pPr>
            <w:r w:rsidRPr="00D912C1">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52A491D" w14:textId="3E9EC444" w:rsidR="00751A58" w:rsidRPr="00D912C1" w:rsidRDefault="00751A58" w:rsidP="009F18E3">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sidRPr="00D912C1">
              <w:rPr>
                <w:rFonts w:ascii="Verdana" w:eastAsiaTheme="minorHAnsi" w:hAnsi="Verdana" w:cstheme="minorBidi"/>
                <w:sz w:val="16"/>
                <w:szCs w:val="16"/>
                <w:lang w:eastAsia="en-US"/>
              </w:rPr>
              <w:t>Diana Lucia Saavedra Castañeda</w:t>
            </w:r>
          </w:p>
          <w:p w14:paraId="2D439618" w14:textId="700FB1F0" w:rsidR="00DE127E" w:rsidRPr="00D912C1" w:rsidRDefault="00DE127E" w:rsidP="009F18E3">
            <w:pPr>
              <w:pStyle w:val="paragraph"/>
              <w:spacing w:before="0" w:beforeAutospacing="0" w:after="0" w:afterAutospacing="0"/>
              <w:contextualSpacing/>
              <w:textAlignment w:val="baseline"/>
              <w:rPr>
                <w:rFonts w:ascii="Verdana" w:hAnsi="Verdana" w:cs="Segoe UI"/>
                <w:sz w:val="16"/>
                <w:szCs w:val="16"/>
              </w:rPr>
            </w:pPr>
            <w:r w:rsidRPr="00D912C1">
              <w:rPr>
                <w:rStyle w:val="normaltextrun"/>
                <w:rFonts w:ascii="Verdana" w:hAnsi="Verdana" w:cs="Arial"/>
                <w:sz w:val="16"/>
                <w:szCs w:val="16"/>
              </w:rPr>
              <w:t>Contratista de la Subdirección de Gestión Contractual</w:t>
            </w:r>
            <w:r w:rsidRPr="00D912C1">
              <w:rPr>
                <w:rStyle w:val="eop"/>
                <w:rFonts w:ascii="Verdana" w:eastAsiaTheme="majorEastAsia" w:hAnsi="Verdana" w:cs="Arial"/>
                <w:sz w:val="16"/>
                <w:szCs w:val="16"/>
              </w:rPr>
              <w:t> </w:t>
            </w:r>
          </w:p>
        </w:tc>
      </w:tr>
      <w:tr w:rsidR="00DE127E" w:rsidRPr="00D912C1" w14:paraId="05F8589E" w14:textId="77777777" w:rsidTr="009F18E3">
        <w:trPr>
          <w:trHeight w:val="300"/>
        </w:trPr>
        <w:tc>
          <w:tcPr>
            <w:tcW w:w="893" w:type="dxa"/>
            <w:vAlign w:val="center"/>
          </w:tcPr>
          <w:p w14:paraId="3A0D38AD" w14:textId="77777777" w:rsidR="00DE127E" w:rsidRPr="00D912C1" w:rsidRDefault="00DE127E" w:rsidP="009F18E3">
            <w:pPr>
              <w:contextualSpacing/>
              <w:rPr>
                <w:rFonts w:ascii="Verdana" w:hAnsi="Verdana" w:cs="Arial"/>
                <w:sz w:val="16"/>
                <w:szCs w:val="16"/>
                <w:lang w:eastAsia="es-ES"/>
              </w:rPr>
            </w:pPr>
            <w:r w:rsidRPr="00D912C1">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440BCE" w14:textId="28AC4AE0" w:rsidR="00DE127E" w:rsidRPr="00D912C1" w:rsidRDefault="00E8675F" w:rsidP="009F18E3">
            <w:pPr>
              <w:rPr>
                <w:rFonts w:ascii="Verdana" w:hAnsi="Verdana"/>
                <w:sz w:val="16"/>
                <w:szCs w:val="16"/>
              </w:rPr>
            </w:pPr>
            <w:r>
              <w:rPr>
                <w:rFonts w:ascii="Verdana" w:eastAsia="Calibri" w:hAnsi="Verdana" w:cs="Arial"/>
                <w:sz w:val="16"/>
                <w:szCs w:val="16"/>
                <w:lang w:eastAsia="es-ES"/>
              </w:rPr>
              <w:t>Ana María Tolosa Rico</w:t>
            </w:r>
          </w:p>
          <w:p w14:paraId="5585B833" w14:textId="4D4F523B" w:rsidR="00DE127E" w:rsidRPr="00D912C1" w:rsidRDefault="00DE127E" w:rsidP="009F18E3">
            <w:pPr>
              <w:contextualSpacing/>
              <w:rPr>
                <w:rFonts w:ascii="Verdana" w:eastAsia="Calibri" w:hAnsi="Verdana" w:cs="Arial"/>
                <w:sz w:val="16"/>
                <w:szCs w:val="16"/>
                <w:lang w:eastAsia="es-ES"/>
              </w:rPr>
            </w:pPr>
            <w:r w:rsidRPr="00D912C1">
              <w:rPr>
                <w:rFonts w:ascii="Verdana" w:eastAsia="Calibri" w:hAnsi="Verdana" w:cs="Arial"/>
                <w:sz w:val="16"/>
                <w:szCs w:val="16"/>
                <w:lang w:eastAsia="es-ES"/>
              </w:rPr>
              <w:t xml:space="preserve">Subdirectora de Gestión Contractual ANCP – CCE </w:t>
            </w:r>
            <w:r w:rsidR="005C0882">
              <w:rPr>
                <w:rFonts w:ascii="Verdana" w:eastAsia="Calibri" w:hAnsi="Verdana" w:cs="Arial"/>
                <w:sz w:val="16"/>
                <w:szCs w:val="16"/>
                <w:lang w:eastAsia="es-ES"/>
              </w:rPr>
              <w:t>(E)</w:t>
            </w:r>
          </w:p>
        </w:tc>
      </w:tr>
      <w:bookmarkEnd w:id="0"/>
    </w:tbl>
    <w:p w14:paraId="1D9FE9D7" w14:textId="77777777" w:rsidR="00DE127E" w:rsidRPr="002810EC" w:rsidRDefault="00DE127E" w:rsidP="00891928">
      <w:pPr>
        <w:spacing w:after="0"/>
        <w:jc w:val="both"/>
        <w:rPr>
          <w:rFonts w:ascii="Verdana" w:hAnsi="Verdana"/>
        </w:rPr>
      </w:pPr>
    </w:p>
    <w:sectPr w:rsidR="00DE127E" w:rsidRPr="002810EC" w:rsidSect="008B739A">
      <w:headerReference w:type="default" r:id="rId16"/>
      <w:footerReference w:type="default" r:id="rId17"/>
      <w:pgSz w:w="12240" w:h="15840" w:code="1"/>
      <w:pgMar w:top="1417" w:right="1701" w:bottom="1417"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E170D" w14:textId="77777777" w:rsidR="00CE6CFF" w:rsidRDefault="00CE6CFF" w:rsidP="004A1847">
      <w:pPr>
        <w:spacing w:after="0" w:line="240" w:lineRule="auto"/>
      </w:pPr>
      <w:r>
        <w:separator/>
      </w:r>
    </w:p>
  </w:endnote>
  <w:endnote w:type="continuationSeparator" w:id="0">
    <w:p w14:paraId="6F714661" w14:textId="77777777" w:rsidR="00CE6CFF" w:rsidRDefault="00CE6C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7CF9E" w14:textId="77777777" w:rsidR="00CE6CFF" w:rsidRDefault="00CE6CFF" w:rsidP="004A1847">
      <w:pPr>
        <w:spacing w:after="0" w:line="240" w:lineRule="auto"/>
      </w:pPr>
      <w:r>
        <w:separator/>
      </w:r>
    </w:p>
  </w:footnote>
  <w:footnote w:type="continuationSeparator" w:id="0">
    <w:p w14:paraId="0055A90F" w14:textId="77777777" w:rsidR="00CE6CFF" w:rsidRDefault="00CE6CFF" w:rsidP="004A1847">
      <w:pPr>
        <w:spacing w:after="0" w:line="240" w:lineRule="auto"/>
      </w:pPr>
      <w:r>
        <w:continuationSeparator/>
      </w:r>
    </w:p>
  </w:footnote>
  <w:footnote w:id="1">
    <w:p w14:paraId="6123C4CB" w14:textId="77777777" w:rsidR="002810EC" w:rsidRPr="00C37D87" w:rsidRDefault="002810EC" w:rsidP="002810EC">
      <w:pPr>
        <w:pStyle w:val="Textonotapie"/>
        <w:ind w:firstLine="708"/>
        <w:jc w:val="both"/>
        <w:rPr>
          <w:rFonts w:ascii="Verdana" w:hAnsi="Verdana" w:cs="Arial"/>
          <w:sz w:val="18"/>
          <w:szCs w:val="18"/>
        </w:rPr>
      </w:pPr>
      <w:r w:rsidRPr="00C37D87">
        <w:rPr>
          <w:rStyle w:val="Refdenotaalpie"/>
          <w:rFonts w:ascii="Verdana" w:hAnsi="Verdana" w:cs="Arial"/>
          <w:sz w:val="18"/>
          <w:szCs w:val="18"/>
        </w:rPr>
        <w:footnoteRef/>
      </w:r>
      <w:r w:rsidRPr="00C37D87">
        <w:rPr>
          <w:rFonts w:ascii="Verdana" w:hAnsi="Verdana" w:cs="Arial"/>
          <w:sz w:val="18"/>
          <w:szCs w:val="18"/>
        </w:rPr>
        <w:t xml:space="preserve"> Cfr. BENAVIDES, José Luis. El contrato estatal: entre el derecho público y el derecho privado. Segunda edición. Bogotá: Universidad Externado de Colombia, 2009. pp. 78-79.      </w:t>
      </w:r>
    </w:p>
    <w:p w14:paraId="4EF718F7" w14:textId="77777777" w:rsidR="00BD29B2" w:rsidRPr="00C37D87" w:rsidRDefault="00BD29B2" w:rsidP="002810EC">
      <w:pPr>
        <w:pStyle w:val="Textonotapie"/>
        <w:ind w:firstLine="708"/>
        <w:jc w:val="both"/>
        <w:rPr>
          <w:rFonts w:ascii="Verdana" w:hAnsi="Verdana" w:cs="Arial"/>
          <w:sz w:val="18"/>
          <w:szCs w:val="18"/>
          <w:lang w:val="es-ES"/>
        </w:rPr>
      </w:pPr>
    </w:p>
  </w:footnote>
  <w:footnote w:id="2">
    <w:p w14:paraId="344182BA" w14:textId="77777777" w:rsidR="002810EC" w:rsidRPr="00C37D87" w:rsidRDefault="002810EC" w:rsidP="002810EC">
      <w:pPr>
        <w:pStyle w:val="Textonotapie"/>
        <w:ind w:firstLine="708"/>
        <w:jc w:val="both"/>
        <w:rPr>
          <w:rFonts w:ascii="Verdana" w:hAnsi="Verdana" w:cs="Arial"/>
          <w:sz w:val="18"/>
          <w:szCs w:val="18"/>
          <w:lang w:val="es-ES"/>
        </w:rPr>
      </w:pPr>
      <w:r w:rsidRPr="00C37D87">
        <w:rPr>
          <w:rStyle w:val="Refdenotaalpie"/>
          <w:rFonts w:ascii="Verdana" w:hAnsi="Verdana" w:cs="Arial"/>
          <w:sz w:val="18"/>
          <w:szCs w:val="18"/>
        </w:rPr>
        <w:footnoteRef/>
      </w:r>
      <w:r w:rsidRPr="00C37D87">
        <w:rPr>
          <w:rFonts w:ascii="Verdana" w:hAnsi="Verdana" w:cs="Arial"/>
          <w:sz w:val="18"/>
          <w:szCs w:val="18"/>
        </w:rPr>
        <w:t xml:space="preserve"> BETANCUR JARAMILLO, Carlos. Derecho procesal administrativo. Octava edición. Medellín: Señal Editora, 2013. p. 627. </w:t>
      </w:r>
    </w:p>
  </w:footnote>
  <w:footnote w:id="3">
    <w:p w14:paraId="5040F163" w14:textId="77777777" w:rsidR="002810EC" w:rsidRPr="00C37D87" w:rsidRDefault="002810EC" w:rsidP="002810EC">
      <w:pPr>
        <w:pStyle w:val="Textonotapie"/>
        <w:ind w:firstLine="709"/>
        <w:contextualSpacing/>
        <w:jc w:val="both"/>
        <w:rPr>
          <w:rFonts w:ascii="Verdana" w:hAnsi="Verdana" w:cs="Arial"/>
          <w:sz w:val="18"/>
          <w:szCs w:val="18"/>
        </w:rPr>
      </w:pPr>
      <w:r w:rsidRPr="00C37D87">
        <w:rPr>
          <w:rFonts w:ascii="Verdana" w:hAnsi="Verdana" w:cs="Arial"/>
          <w:sz w:val="18"/>
          <w:szCs w:val="18"/>
          <w:vertAlign w:val="superscript"/>
        </w:rPr>
        <w:footnoteRef/>
      </w:r>
      <w:r w:rsidRPr="00C37D87">
        <w:rPr>
          <w:rFonts w:ascii="Verdana" w:hAnsi="Verdana" w:cs="Arial"/>
          <w:sz w:val="18"/>
          <w:szCs w:val="18"/>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C37D87">
        <w:rPr>
          <w:rFonts w:ascii="Verdana" w:hAnsi="Verdana" w:cs="Arial"/>
          <w:sz w:val="18"/>
          <w:szCs w:val="18"/>
          <w:lang w:val="es-ES"/>
        </w:rPr>
        <w:t xml:space="preserve"> </w:t>
      </w:r>
      <w:r w:rsidRPr="00C37D87">
        <w:rPr>
          <w:rFonts w:ascii="Verdana" w:hAnsi="Verdana" w:cs="Arial"/>
          <w:sz w:val="18"/>
          <w:szCs w:val="18"/>
        </w:rPr>
        <w:t xml:space="preserve">(arts.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w:t>
      </w:r>
      <w:proofErr w:type="spellStart"/>
      <w:r w:rsidRPr="00C37D87">
        <w:rPr>
          <w:rFonts w:ascii="Verdana" w:hAnsi="Verdana" w:cs="Arial"/>
          <w:sz w:val="18"/>
          <w:szCs w:val="18"/>
        </w:rPr>
        <w:t>Exp</w:t>
      </w:r>
      <w:proofErr w:type="spellEnd"/>
      <w:r w:rsidRPr="00C37D87">
        <w:rPr>
          <w:rFonts w:ascii="Verdana" w:hAnsi="Verdana" w:cs="Arial"/>
          <w:sz w:val="18"/>
          <w:szCs w:val="18"/>
        </w:rPr>
        <w:t>. 76001310301220080040401. M.P. Luis Armando Tolosa Villabona).</w:t>
      </w:r>
    </w:p>
    <w:p w14:paraId="397B0863" w14:textId="77777777" w:rsidR="006E3EF3" w:rsidRPr="00C37D87" w:rsidRDefault="006E3EF3" w:rsidP="002810EC">
      <w:pPr>
        <w:pStyle w:val="Textonotapie"/>
        <w:ind w:firstLine="709"/>
        <w:contextualSpacing/>
        <w:jc w:val="both"/>
        <w:rPr>
          <w:rFonts w:ascii="Verdana" w:hAnsi="Verdana" w:cs="Arial"/>
          <w:sz w:val="18"/>
          <w:szCs w:val="18"/>
        </w:rPr>
      </w:pPr>
    </w:p>
  </w:footnote>
  <w:footnote w:id="4">
    <w:p w14:paraId="6679384E" w14:textId="77777777" w:rsidR="002810EC" w:rsidRPr="00C37D87" w:rsidRDefault="002810EC" w:rsidP="002810EC">
      <w:pPr>
        <w:pStyle w:val="Textonotapie"/>
        <w:ind w:firstLine="708"/>
        <w:contextualSpacing/>
        <w:jc w:val="both"/>
        <w:rPr>
          <w:rFonts w:ascii="Verdana" w:hAnsi="Verdana" w:cs="Arial"/>
          <w:sz w:val="18"/>
          <w:szCs w:val="18"/>
          <w:lang w:val="es-CO"/>
        </w:rPr>
      </w:pPr>
      <w:r w:rsidRPr="00C37D87">
        <w:rPr>
          <w:rStyle w:val="Refdenotaalpie"/>
          <w:rFonts w:ascii="Verdana" w:hAnsi="Verdana" w:cs="Arial"/>
          <w:sz w:val="18"/>
          <w:szCs w:val="18"/>
        </w:rPr>
        <w:footnoteRef/>
      </w:r>
      <w:r w:rsidRPr="00C37D87">
        <w:rPr>
          <w:rFonts w:ascii="Verdana" w:hAnsi="Verdana" w:cs="Arial"/>
          <w:sz w:val="18"/>
          <w:szCs w:val="18"/>
        </w:rPr>
        <w:t xml:space="preserve"> </w:t>
      </w:r>
      <w:bookmarkStart w:id="4" w:name="2205"/>
      <w:r w:rsidRPr="00C37D87">
        <w:rPr>
          <w:rFonts w:ascii="Verdana" w:hAnsi="Verdana" w:cs="Arial"/>
          <w:sz w:val="18"/>
          <w:szCs w:val="18"/>
        </w:rPr>
        <w:t>“</w:t>
      </w:r>
      <w:r w:rsidRPr="00C37D87">
        <w:rPr>
          <w:rFonts w:ascii="Verdana" w:hAnsi="Verdana" w:cs="Arial"/>
          <w:sz w:val="18"/>
          <w:szCs w:val="18"/>
          <w:lang w:val="es-CO"/>
        </w:rPr>
        <w:t>ARTÍCULO 2205. &lt;TERMINO PARA LA RESTITUCION DE LA COSA PRESTADA&gt;.</w:t>
      </w:r>
      <w:bookmarkEnd w:id="4"/>
      <w:r w:rsidRPr="00C37D87">
        <w:rPr>
          <w:rFonts w:ascii="Verdana" w:hAnsi="Verdana" w:cs="Arial"/>
          <w:sz w:val="18"/>
          <w:szCs w:val="18"/>
          <w:lang w:val="es-CO"/>
        </w:rPr>
        <w:t xml:space="preserve"> El comodatario es obligado a restituir la cosa prestada en el tiempo convenido, o a falta de convención, después del uso para que </w:t>
      </w:r>
      <w:proofErr w:type="gramStart"/>
      <w:r w:rsidRPr="00C37D87">
        <w:rPr>
          <w:rFonts w:ascii="Verdana" w:hAnsi="Verdana" w:cs="Arial"/>
          <w:sz w:val="18"/>
          <w:szCs w:val="18"/>
          <w:lang w:val="es-CO"/>
        </w:rPr>
        <w:t>ha</w:t>
      </w:r>
      <w:proofErr w:type="gramEnd"/>
      <w:r w:rsidRPr="00C37D87">
        <w:rPr>
          <w:rFonts w:ascii="Verdana" w:hAnsi="Verdana" w:cs="Arial"/>
          <w:sz w:val="18"/>
          <w:szCs w:val="18"/>
          <w:lang w:val="es-CO"/>
        </w:rPr>
        <w:t xml:space="preserve"> sido prestada.</w:t>
      </w:r>
    </w:p>
    <w:p w14:paraId="53720444" w14:textId="77777777" w:rsidR="002810EC" w:rsidRPr="00C37D87" w:rsidRDefault="002810EC" w:rsidP="002810EC">
      <w:pPr>
        <w:pStyle w:val="Textonotapie"/>
        <w:contextualSpacing/>
        <w:jc w:val="both"/>
        <w:rPr>
          <w:rFonts w:ascii="Verdana" w:hAnsi="Verdana" w:cs="Arial"/>
          <w:sz w:val="18"/>
          <w:szCs w:val="18"/>
          <w:lang w:val="es-CO"/>
        </w:rPr>
      </w:pPr>
      <w:r w:rsidRPr="00C37D87">
        <w:rPr>
          <w:rFonts w:ascii="Verdana" w:hAnsi="Verdana" w:cs="Arial"/>
          <w:sz w:val="18"/>
          <w:szCs w:val="18"/>
          <w:lang w:val="es-CO"/>
        </w:rPr>
        <w:t>Pero podrá exigirse la restitución aún antes del tiempo estipulado en tres casos:</w:t>
      </w:r>
    </w:p>
    <w:p w14:paraId="581A8F2D" w14:textId="77777777" w:rsidR="002810EC" w:rsidRPr="00C37D87" w:rsidRDefault="002810EC" w:rsidP="002810EC">
      <w:pPr>
        <w:pStyle w:val="Textonotapie"/>
        <w:ind w:firstLine="708"/>
        <w:contextualSpacing/>
        <w:jc w:val="both"/>
        <w:rPr>
          <w:rFonts w:ascii="Verdana" w:hAnsi="Verdana" w:cs="Arial"/>
          <w:sz w:val="18"/>
          <w:szCs w:val="18"/>
          <w:lang w:val="es-CO"/>
        </w:rPr>
      </w:pPr>
      <w:r w:rsidRPr="00C37D87">
        <w:rPr>
          <w:rFonts w:ascii="Verdana" w:hAnsi="Verdana" w:cs="Arial"/>
          <w:sz w:val="18"/>
          <w:szCs w:val="18"/>
          <w:lang w:val="es-CO"/>
        </w:rPr>
        <w:t>1. Si muere el comodatario, a menos que la cosa haya sido prestada para un servicio particular que no pueda diferirse o suspenderse.</w:t>
      </w:r>
    </w:p>
    <w:p w14:paraId="0DF38F76" w14:textId="77777777" w:rsidR="002810EC" w:rsidRPr="00C37D87" w:rsidRDefault="002810EC" w:rsidP="002810EC">
      <w:pPr>
        <w:pStyle w:val="Textonotapie"/>
        <w:ind w:firstLine="708"/>
        <w:contextualSpacing/>
        <w:jc w:val="both"/>
        <w:rPr>
          <w:rFonts w:ascii="Verdana" w:hAnsi="Verdana" w:cs="Arial"/>
          <w:sz w:val="18"/>
          <w:szCs w:val="18"/>
          <w:lang w:val="es-CO"/>
        </w:rPr>
      </w:pPr>
      <w:r w:rsidRPr="00C37D87">
        <w:rPr>
          <w:rFonts w:ascii="Verdana" w:hAnsi="Verdana" w:cs="Arial"/>
          <w:sz w:val="18"/>
          <w:szCs w:val="18"/>
          <w:lang w:val="es-CO"/>
        </w:rPr>
        <w:t>2. Si sobreviene al comodante una necesidad imprevista y urgente de la cosa.</w:t>
      </w:r>
    </w:p>
    <w:p w14:paraId="53D35ABD" w14:textId="77777777" w:rsidR="002810EC" w:rsidRPr="00C37D87" w:rsidRDefault="002810EC" w:rsidP="002810EC">
      <w:pPr>
        <w:pStyle w:val="Textonotapie"/>
        <w:ind w:firstLine="708"/>
        <w:contextualSpacing/>
        <w:jc w:val="both"/>
        <w:rPr>
          <w:rFonts w:ascii="Verdana" w:hAnsi="Verdana" w:cs="Arial"/>
          <w:sz w:val="18"/>
          <w:szCs w:val="18"/>
        </w:rPr>
      </w:pPr>
      <w:r w:rsidRPr="00C37D87">
        <w:rPr>
          <w:rFonts w:ascii="Verdana" w:hAnsi="Verdana" w:cs="Arial"/>
          <w:sz w:val="18"/>
          <w:szCs w:val="18"/>
          <w:lang w:val="es-CO"/>
        </w:rPr>
        <w:t>3. Si ha terminado o no tiene lugar el servicio para el cual se ha prestado la cosa</w:t>
      </w:r>
      <w:r w:rsidRPr="00C37D87">
        <w:rPr>
          <w:rFonts w:ascii="Verdana" w:hAnsi="Verdana" w:cs="Arial"/>
          <w:sz w:val="18"/>
          <w:szCs w:val="18"/>
        </w:rPr>
        <w:t>”.</w:t>
      </w:r>
    </w:p>
    <w:p w14:paraId="244D0A72" w14:textId="77777777" w:rsidR="006E3EF3" w:rsidRPr="00C37D87" w:rsidRDefault="006E3EF3" w:rsidP="002810EC">
      <w:pPr>
        <w:pStyle w:val="Textonotapie"/>
        <w:ind w:firstLine="708"/>
        <w:contextualSpacing/>
        <w:jc w:val="both"/>
        <w:rPr>
          <w:rFonts w:ascii="Verdana" w:hAnsi="Verdana" w:cs="Arial"/>
          <w:sz w:val="18"/>
          <w:szCs w:val="18"/>
          <w:lang w:val="es-CO"/>
        </w:rPr>
      </w:pPr>
    </w:p>
  </w:footnote>
  <w:footnote w:id="5">
    <w:p w14:paraId="6E4CD954" w14:textId="77777777" w:rsidR="002810EC" w:rsidRPr="00C37D87" w:rsidRDefault="002810EC" w:rsidP="002810EC">
      <w:pPr>
        <w:pStyle w:val="Textonotapie"/>
        <w:ind w:firstLine="708"/>
        <w:contextualSpacing/>
        <w:jc w:val="both"/>
        <w:rPr>
          <w:rFonts w:ascii="Verdana" w:hAnsi="Verdana" w:cs="Arial"/>
          <w:sz w:val="18"/>
          <w:szCs w:val="18"/>
          <w:lang w:val="es-CO"/>
        </w:rPr>
      </w:pPr>
      <w:r w:rsidRPr="00C37D87">
        <w:rPr>
          <w:rStyle w:val="Refdenotaalpie"/>
          <w:rFonts w:ascii="Verdana" w:hAnsi="Verdana" w:cs="Arial"/>
          <w:sz w:val="18"/>
          <w:szCs w:val="18"/>
        </w:rPr>
        <w:footnoteRef/>
      </w:r>
      <w:r w:rsidRPr="00C37D87">
        <w:rPr>
          <w:rFonts w:ascii="Verdana" w:hAnsi="Verdana" w:cs="Arial"/>
          <w:sz w:val="18"/>
          <w:szCs w:val="18"/>
        </w:rPr>
        <w:t xml:space="preserve"> </w:t>
      </w:r>
      <w:bookmarkStart w:id="5" w:name="2202"/>
      <w:r w:rsidRPr="00C37D87">
        <w:rPr>
          <w:rFonts w:ascii="Verdana" w:hAnsi="Verdana" w:cs="Arial"/>
          <w:sz w:val="18"/>
          <w:szCs w:val="18"/>
        </w:rPr>
        <w:t>“</w:t>
      </w:r>
      <w:r w:rsidRPr="00C37D87">
        <w:rPr>
          <w:rFonts w:ascii="Verdana" w:hAnsi="Verdana" w:cs="Arial"/>
          <w:sz w:val="18"/>
          <w:szCs w:val="18"/>
          <w:lang w:val="es-CO"/>
        </w:rPr>
        <w:t>ARTÍCULO 2202. &lt;LIMITACIONES DEL COMODATARIO&gt;.</w:t>
      </w:r>
      <w:bookmarkEnd w:id="5"/>
      <w:r w:rsidRPr="00C37D87">
        <w:rPr>
          <w:rFonts w:ascii="Verdana" w:hAnsi="Verdana" w:cs="Arial"/>
          <w:sz w:val="18"/>
          <w:szCs w:val="18"/>
          <w:lang w:val="es-CO"/>
        </w:rPr>
        <w:t> El comodatario no puede emplear la cosa sino en el uso convenido, o falta de convención en el uso ordinario de las de su clase.</w:t>
      </w:r>
    </w:p>
    <w:p w14:paraId="153A4F19" w14:textId="1219C522" w:rsidR="002810EC" w:rsidRPr="00C37D87" w:rsidRDefault="002810EC" w:rsidP="002810EC">
      <w:pPr>
        <w:pStyle w:val="Textonotapie"/>
        <w:ind w:firstLine="708"/>
        <w:contextualSpacing/>
        <w:jc w:val="both"/>
        <w:rPr>
          <w:rFonts w:ascii="Verdana" w:hAnsi="Verdana" w:cs="Arial"/>
          <w:sz w:val="18"/>
          <w:szCs w:val="18"/>
        </w:rPr>
      </w:pPr>
      <w:r w:rsidRPr="00C37D87">
        <w:rPr>
          <w:rFonts w:ascii="Verdana" w:hAnsi="Verdana" w:cs="Arial"/>
          <w:sz w:val="18"/>
          <w:szCs w:val="18"/>
          <w:lang w:val="es-CO"/>
        </w:rPr>
        <w:t xml:space="preserve">En el caso de contravención podrá el comodante exigir la reparación de todo perjuicio, y la restitución inmediata, </w:t>
      </w:r>
      <w:r w:rsidR="007D72F3" w:rsidRPr="00C37D87">
        <w:rPr>
          <w:rFonts w:ascii="Verdana" w:hAnsi="Verdana" w:cs="Arial"/>
          <w:sz w:val="18"/>
          <w:szCs w:val="18"/>
          <w:lang w:val="es-CO"/>
        </w:rPr>
        <w:t>aun</w:t>
      </w:r>
      <w:r w:rsidRPr="00C37D87">
        <w:rPr>
          <w:rFonts w:ascii="Verdana" w:hAnsi="Verdana" w:cs="Arial"/>
          <w:sz w:val="18"/>
          <w:szCs w:val="18"/>
          <w:lang w:val="es-CO"/>
        </w:rPr>
        <w:t xml:space="preserve"> cuando para la restitución se haya estipulado plazo</w:t>
      </w:r>
      <w:r w:rsidRPr="00C37D87">
        <w:rPr>
          <w:rFonts w:ascii="Verdana" w:hAnsi="Verdana" w:cs="Arial"/>
          <w:sz w:val="18"/>
          <w:szCs w:val="18"/>
        </w:rPr>
        <w:t>”.</w:t>
      </w:r>
    </w:p>
    <w:p w14:paraId="7C8504B9" w14:textId="77777777" w:rsidR="006E3EF3" w:rsidRPr="00C37D87" w:rsidRDefault="006E3EF3" w:rsidP="002810EC">
      <w:pPr>
        <w:pStyle w:val="Textonotapie"/>
        <w:ind w:firstLine="708"/>
        <w:contextualSpacing/>
        <w:jc w:val="both"/>
        <w:rPr>
          <w:rFonts w:ascii="Verdana" w:hAnsi="Verdana" w:cs="Arial"/>
          <w:sz w:val="18"/>
          <w:szCs w:val="18"/>
          <w:lang w:val="es-CO"/>
        </w:rPr>
      </w:pPr>
    </w:p>
  </w:footnote>
  <w:footnote w:id="6">
    <w:p w14:paraId="78F934FD" w14:textId="77777777" w:rsidR="002810EC" w:rsidRPr="00C37D87" w:rsidRDefault="002810EC" w:rsidP="002810EC">
      <w:pPr>
        <w:pStyle w:val="Textonotapie"/>
        <w:ind w:firstLine="708"/>
        <w:contextualSpacing/>
        <w:jc w:val="both"/>
        <w:rPr>
          <w:rFonts w:ascii="Verdana" w:hAnsi="Verdana" w:cs="Arial"/>
          <w:sz w:val="18"/>
          <w:szCs w:val="18"/>
        </w:rPr>
      </w:pPr>
      <w:r w:rsidRPr="00C37D87">
        <w:rPr>
          <w:rStyle w:val="Refdenotaalpie"/>
          <w:rFonts w:ascii="Verdana" w:hAnsi="Verdana" w:cs="Arial"/>
          <w:sz w:val="18"/>
          <w:szCs w:val="18"/>
        </w:rPr>
        <w:footnoteRef/>
      </w:r>
      <w:r w:rsidRPr="00C37D87">
        <w:rPr>
          <w:rFonts w:ascii="Verdana" w:hAnsi="Verdana" w:cs="Arial"/>
          <w:sz w:val="18"/>
          <w:szCs w:val="18"/>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p w14:paraId="477B0FF0" w14:textId="77777777" w:rsidR="00BD29B2" w:rsidRPr="00D90575" w:rsidRDefault="00BD29B2" w:rsidP="002810EC">
      <w:pPr>
        <w:pStyle w:val="Textonotapie"/>
        <w:ind w:firstLine="708"/>
        <w:contextualSpacing/>
        <w:jc w:val="both"/>
        <w:rPr>
          <w:rFonts w:ascii="Verdana" w:hAnsi="Verdana" w:cs="Arial"/>
          <w:sz w:val="16"/>
          <w:szCs w:val="16"/>
        </w:rPr>
      </w:pPr>
    </w:p>
  </w:footnote>
  <w:footnote w:id="7">
    <w:p w14:paraId="0B72D5FC" w14:textId="77777777" w:rsidR="002810EC" w:rsidRPr="00D90575" w:rsidRDefault="002810EC" w:rsidP="002810EC">
      <w:pPr>
        <w:pStyle w:val="Textonotapie"/>
        <w:ind w:firstLine="708"/>
        <w:contextualSpacing/>
        <w:jc w:val="both"/>
        <w:rPr>
          <w:rFonts w:ascii="Verdana" w:hAnsi="Verdana" w:cs="Arial"/>
          <w:sz w:val="16"/>
          <w:szCs w:val="16"/>
          <w:lang w:val="es-ES"/>
        </w:rPr>
      </w:pPr>
      <w:r w:rsidRPr="00D90575">
        <w:rPr>
          <w:rStyle w:val="Refdenotaalpie"/>
          <w:rFonts w:ascii="Verdana" w:hAnsi="Verdana" w:cs="Arial"/>
          <w:sz w:val="16"/>
          <w:szCs w:val="16"/>
        </w:rPr>
        <w:footnoteRef/>
      </w:r>
      <w:r w:rsidRPr="00D90575">
        <w:rPr>
          <w:rFonts w:ascii="Verdana" w:hAnsi="Verdana" w:cs="Arial"/>
          <w:sz w:val="16"/>
          <w:szCs w:val="16"/>
        </w:rPr>
        <w:t xml:space="preserve"> CORTE SUPREMA DE JUSTICIA. Sala de Casación Civil. Sentencia del 4 de agosto de 2008. Exp. 68001310300920000071001. M.P. Edgardo Villamil Portilla.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4.25pt;height:14.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58970328">
    <w:abstractNumId w:val="10"/>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991"/>
    <w:rsid w:val="00061B2A"/>
    <w:rsid w:val="00082362"/>
    <w:rsid w:val="000916B0"/>
    <w:rsid w:val="000A39CC"/>
    <w:rsid w:val="000A5889"/>
    <w:rsid w:val="000A683E"/>
    <w:rsid w:val="000B19B9"/>
    <w:rsid w:val="000C53FF"/>
    <w:rsid w:val="000D0334"/>
    <w:rsid w:val="000D5DA7"/>
    <w:rsid w:val="000F6486"/>
    <w:rsid w:val="00110C61"/>
    <w:rsid w:val="00116940"/>
    <w:rsid w:val="001225C1"/>
    <w:rsid w:val="00125105"/>
    <w:rsid w:val="00127233"/>
    <w:rsid w:val="0014020D"/>
    <w:rsid w:val="00155329"/>
    <w:rsid w:val="0015699B"/>
    <w:rsid w:val="00185E79"/>
    <w:rsid w:val="001A33BF"/>
    <w:rsid w:val="001E4177"/>
    <w:rsid w:val="001F0B24"/>
    <w:rsid w:val="001F3DBB"/>
    <w:rsid w:val="001F7DC6"/>
    <w:rsid w:val="00210F14"/>
    <w:rsid w:val="0022400B"/>
    <w:rsid w:val="0023678F"/>
    <w:rsid w:val="002421BB"/>
    <w:rsid w:val="0025796E"/>
    <w:rsid w:val="002707A2"/>
    <w:rsid w:val="00270D84"/>
    <w:rsid w:val="002810EC"/>
    <w:rsid w:val="002951A0"/>
    <w:rsid w:val="002962BC"/>
    <w:rsid w:val="002A093D"/>
    <w:rsid w:val="002A0DD0"/>
    <w:rsid w:val="002A49AC"/>
    <w:rsid w:val="002A64FD"/>
    <w:rsid w:val="002C7A84"/>
    <w:rsid w:val="002E2BF8"/>
    <w:rsid w:val="002E4FD9"/>
    <w:rsid w:val="0030219F"/>
    <w:rsid w:val="0030657A"/>
    <w:rsid w:val="00320AD2"/>
    <w:rsid w:val="00322A85"/>
    <w:rsid w:val="00324168"/>
    <w:rsid w:val="00327645"/>
    <w:rsid w:val="00330834"/>
    <w:rsid w:val="003448F4"/>
    <w:rsid w:val="00374F5E"/>
    <w:rsid w:val="00377E3E"/>
    <w:rsid w:val="003A779E"/>
    <w:rsid w:val="003B1F9D"/>
    <w:rsid w:val="003C3430"/>
    <w:rsid w:val="003D0F4D"/>
    <w:rsid w:val="003D5B0D"/>
    <w:rsid w:val="003D616A"/>
    <w:rsid w:val="003E0499"/>
    <w:rsid w:val="003E0CF4"/>
    <w:rsid w:val="003E4F80"/>
    <w:rsid w:val="003E6439"/>
    <w:rsid w:val="003F3941"/>
    <w:rsid w:val="003F7448"/>
    <w:rsid w:val="00406575"/>
    <w:rsid w:val="00414C74"/>
    <w:rsid w:val="0042722E"/>
    <w:rsid w:val="004275AB"/>
    <w:rsid w:val="0044528D"/>
    <w:rsid w:val="00466E39"/>
    <w:rsid w:val="004A1847"/>
    <w:rsid w:val="004A305D"/>
    <w:rsid w:val="004F21C4"/>
    <w:rsid w:val="004F685F"/>
    <w:rsid w:val="00523507"/>
    <w:rsid w:val="005271C5"/>
    <w:rsid w:val="005566E8"/>
    <w:rsid w:val="00574867"/>
    <w:rsid w:val="00575715"/>
    <w:rsid w:val="00591460"/>
    <w:rsid w:val="005A65E0"/>
    <w:rsid w:val="005C0882"/>
    <w:rsid w:val="005C3777"/>
    <w:rsid w:val="005C5CDC"/>
    <w:rsid w:val="005D476C"/>
    <w:rsid w:val="005E773A"/>
    <w:rsid w:val="006200BF"/>
    <w:rsid w:val="006219F8"/>
    <w:rsid w:val="006302F7"/>
    <w:rsid w:val="00646B9F"/>
    <w:rsid w:val="00665D70"/>
    <w:rsid w:val="006900D9"/>
    <w:rsid w:val="006907EE"/>
    <w:rsid w:val="006A6377"/>
    <w:rsid w:val="006E3EF3"/>
    <w:rsid w:val="006F79C0"/>
    <w:rsid w:val="00706C16"/>
    <w:rsid w:val="0071731B"/>
    <w:rsid w:val="007340C3"/>
    <w:rsid w:val="00751A58"/>
    <w:rsid w:val="0075235A"/>
    <w:rsid w:val="00756841"/>
    <w:rsid w:val="007649AB"/>
    <w:rsid w:val="00766177"/>
    <w:rsid w:val="00771D0C"/>
    <w:rsid w:val="007833AC"/>
    <w:rsid w:val="007B268C"/>
    <w:rsid w:val="007B7171"/>
    <w:rsid w:val="007C0C0F"/>
    <w:rsid w:val="007C3DC2"/>
    <w:rsid w:val="007C4BDC"/>
    <w:rsid w:val="007D72F3"/>
    <w:rsid w:val="007E5497"/>
    <w:rsid w:val="00806F5F"/>
    <w:rsid w:val="00820278"/>
    <w:rsid w:val="008258C9"/>
    <w:rsid w:val="00833F20"/>
    <w:rsid w:val="00844AE9"/>
    <w:rsid w:val="00851847"/>
    <w:rsid w:val="00867F95"/>
    <w:rsid w:val="008843B6"/>
    <w:rsid w:val="00891928"/>
    <w:rsid w:val="008960C4"/>
    <w:rsid w:val="008A446D"/>
    <w:rsid w:val="008B25F1"/>
    <w:rsid w:val="008B739A"/>
    <w:rsid w:val="008D180B"/>
    <w:rsid w:val="008F0EA7"/>
    <w:rsid w:val="00923EEF"/>
    <w:rsid w:val="00925FCE"/>
    <w:rsid w:val="009419F9"/>
    <w:rsid w:val="00943F80"/>
    <w:rsid w:val="0095685E"/>
    <w:rsid w:val="00961B09"/>
    <w:rsid w:val="0096339A"/>
    <w:rsid w:val="00963A81"/>
    <w:rsid w:val="00965334"/>
    <w:rsid w:val="0097093E"/>
    <w:rsid w:val="009732F1"/>
    <w:rsid w:val="009A0DFA"/>
    <w:rsid w:val="009A1C6F"/>
    <w:rsid w:val="009A5A63"/>
    <w:rsid w:val="009B2D26"/>
    <w:rsid w:val="009B3026"/>
    <w:rsid w:val="009C078B"/>
    <w:rsid w:val="009C71FA"/>
    <w:rsid w:val="009C72E7"/>
    <w:rsid w:val="009C7F7E"/>
    <w:rsid w:val="009D3058"/>
    <w:rsid w:val="009F18E3"/>
    <w:rsid w:val="009F3A13"/>
    <w:rsid w:val="00A122D3"/>
    <w:rsid w:val="00A14468"/>
    <w:rsid w:val="00A17F13"/>
    <w:rsid w:val="00A20739"/>
    <w:rsid w:val="00A23AF9"/>
    <w:rsid w:val="00A33C78"/>
    <w:rsid w:val="00A47C90"/>
    <w:rsid w:val="00A77843"/>
    <w:rsid w:val="00A8796F"/>
    <w:rsid w:val="00AB0ADB"/>
    <w:rsid w:val="00AF71BD"/>
    <w:rsid w:val="00AF7206"/>
    <w:rsid w:val="00B00C0E"/>
    <w:rsid w:val="00B01B1A"/>
    <w:rsid w:val="00B0381D"/>
    <w:rsid w:val="00B22873"/>
    <w:rsid w:val="00B35129"/>
    <w:rsid w:val="00B44A47"/>
    <w:rsid w:val="00B536EA"/>
    <w:rsid w:val="00B72CD3"/>
    <w:rsid w:val="00B72FFF"/>
    <w:rsid w:val="00BA08F6"/>
    <w:rsid w:val="00BC3D36"/>
    <w:rsid w:val="00BD29B2"/>
    <w:rsid w:val="00BD54A6"/>
    <w:rsid w:val="00BD7F72"/>
    <w:rsid w:val="00BF7425"/>
    <w:rsid w:val="00C04FB3"/>
    <w:rsid w:val="00C11D8B"/>
    <w:rsid w:val="00C15139"/>
    <w:rsid w:val="00C330EB"/>
    <w:rsid w:val="00C37D87"/>
    <w:rsid w:val="00C50D69"/>
    <w:rsid w:val="00C5365C"/>
    <w:rsid w:val="00C754BE"/>
    <w:rsid w:val="00C76B1C"/>
    <w:rsid w:val="00C925AC"/>
    <w:rsid w:val="00C94E79"/>
    <w:rsid w:val="00CB6357"/>
    <w:rsid w:val="00CC1B26"/>
    <w:rsid w:val="00CD2C8B"/>
    <w:rsid w:val="00CE4CC6"/>
    <w:rsid w:val="00CE6CFF"/>
    <w:rsid w:val="00D21617"/>
    <w:rsid w:val="00D361FD"/>
    <w:rsid w:val="00D423A2"/>
    <w:rsid w:val="00D44E26"/>
    <w:rsid w:val="00D520D8"/>
    <w:rsid w:val="00D529A6"/>
    <w:rsid w:val="00D53E1F"/>
    <w:rsid w:val="00D63AC2"/>
    <w:rsid w:val="00D730A1"/>
    <w:rsid w:val="00D7383B"/>
    <w:rsid w:val="00D73886"/>
    <w:rsid w:val="00D7788A"/>
    <w:rsid w:val="00D912C1"/>
    <w:rsid w:val="00DA231B"/>
    <w:rsid w:val="00DC0018"/>
    <w:rsid w:val="00DC39FC"/>
    <w:rsid w:val="00DC706B"/>
    <w:rsid w:val="00DE127E"/>
    <w:rsid w:val="00DF5254"/>
    <w:rsid w:val="00E02524"/>
    <w:rsid w:val="00E16408"/>
    <w:rsid w:val="00E20894"/>
    <w:rsid w:val="00E22EBB"/>
    <w:rsid w:val="00E245AB"/>
    <w:rsid w:val="00E2764C"/>
    <w:rsid w:val="00E27F2E"/>
    <w:rsid w:val="00E410CC"/>
    <w:rsid w:val="00E50AFE"/>
    <w:rsid w:val="00E75C92"/>
    <w:rsid w:val="00E771DC"/>
    <w:rsid w:val="00E77C2B"/>
    <w:rsid w:val="00E8675F"/>
    <w:rsid w:val="00E8772A"/>
    <w:rsid w:val="00E90F6B"/>
    <w:rsid w:val="00E92C27"/>
    <w:rsid w:val="00EA0E3D"/>
    <w:rsid w:val="00EB74BC"/>
    <w:rsid w:val="00EC38A7"/>
    <w:rsid w:val="00ED3D92"/>
    <w:rsid w:val="00ED4A66"/>
    <w:rsid w:val="00EE1AA8"/>
    <w:rsid w:val="00F03D64"/>
    <w:rsid w:val="00F101B8"/>
    <w:rsid w:val="00F118BC"/>
    <w:rsid w:val="00F23FEA"/>
    <w:rsid w:val="00F24730"/>
    <w:rsid w:val="00F31EDC"/>
    <w:rsid w:val="00F4221D"/>
    <w:rsid w:val="00F462B3"/>
    <w:rsid w:val="00F5664F"/>
    <w:rsid w:val="00F666C4"/>
    <w:rsid w:val="00F76AFC"/>
    <w:rsid w:val="00F96B60"/>
    <w:rsid w:val="00FA3F40"/>
    <w:rsid w:val="00FA47C0"/>
    <w:rsid w:val="00FB5DD1"/>
    <w:rsid w:val="00FC2B5D"/>
    <w:rsid w:val="00FD07E4"/>
    <w:rsid w:val="00FD50C1"/>
    <w:rsid w:val="00FF1449"/>
    <w:rsid w:val="00FF7963"/>
    <w:rsid w:val="09908A09"/>
    <w:rsid w:val="13CFC91B"/>
    <w:rsid w:val="19A2EC2C"/>
    <w:rsid w:val="26AE8CDD"/>
    <w:rsid w:val="2859CA1B"/>
    <w:rsid w:val="32A4F9CF"/>
    <w:rsid w:val="356CEDFD"/>
    <w:rsid w:val="62DACF92"/>
    <w:rsid w:val="69614A15"/>
    <w:rsid w:val="762DC558"/>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908A483-33F9-4B4D-A77F-3A642C6B7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unhideWhenUsed/>
    <w:rsid w:val="00185E79"/>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185E79"/>
    <w:rPr>
      <w:rFonts w:eastAsiaTheme="minorEastAsia"/>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56991"/>
    <w:rPr>
      <w:rFonts w:ascii="Geomanist Light" w:hAnsi="Geomanist Light"/>
      <w:lang w:val="es-ES"/>
    </w:rPr>
  </w:style>
  <w:style w:type="paragraph" w:customStyle="1" w:styleId="Appelnotedebasde">
    <w:name w:val="Appel note de bas de..."/>
    <w:basedOn w:val="Normal"/>
    <w:link w:val="Refdenotaalpie"/>
    <w:uiPriority w:val="99"/>
    <w:rsid w:val="002810E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orgemariod@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B8CAF7-0D1A-42E9-A3B4-367D2672947A}">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02BA8375-99FC-4D2F-A9E8-E8D7CD7529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13</Pages>
  <Words>4179</Words>
  <Characters>22985</Characters>
  <Application>Microsoft Office Word</Application>
  <DocSecurity>0</DocSecurity>
  <Lines>489</Lines>
  <Paragraphs>91</Paragraphs>
  <ScaleCrop>false</ScaleCrop>
  <Company/>
  <LinksUpToDate>false</LinksUpToDate>
  <CharactersWithSpaces>27073</CharactersWithSpaces>
  <SharedDoc>false</SharedDoc>
  <HLinks>
    <vt:vector size="18" baseType="variant">
      <vt:variant>
        <vt:i4>3801139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vt:lpwstr>
      </vt:variant>
      <vt:variant>
        <vt:lpwstr/>
      </vt:variant>
      <vt:variant>
        <vt:i4>1900622</vt:i4>
      </vt:variant>
      <vt:variant>
        <vt:i4>3</vt:i4>
      </vt:variant>
      <vt:variant>
        <vt:i4>0</vt:i4>
      </vt:variant>
      <vt:variant>
        <vt:i4>5</vt:i4>
      </vt:variant>
      <vt:variant>
        <vt:lpwstr>https://relatoria.colombiacompra.gov.co/</vt:lpwstr>
      </vt:variant>
      <vt:variant>
        <vt:lpwstr/>
      </vt:variant>
      <vt:variant>
        <vt:i4>7077976</vt:i4>
      </vt:variant>
      <vt:variant>
        <vt:i4>0</vt:i4>
      </vt:variant>
      <vt:variant>
        <vt:i4>0</vt:i4>
      </vt:variant>
      <vt:variant>
        <vt:i4>5</vt:i4>
      </vt:variant>
      <vt:variant>
        <vt:lpwstr>mailto:jorgemariod@hotmail.com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44</cp:revision>
  <cp:lastPrinted>2023-01-10T21:18:00Z</cp:lastPrinted>
  <dcterms:created xsi:type="dcterms:W3CDTF">2025-11-18T23:47:00Z</dcterms:created>
  <dcterms:modified xsi:type="dcterms:W3CDTF">2025-11-20T20:42:00Z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