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C52248" w14:textId="77777777" w:rsidR="007E075F" w:rsidRDefault="007E075F" w:rsidP="006B714E">
      <w:pPr>
        <w:pStyle w:val="Textoindependiente"/>
        <w:spacing w:before="1"/>
      </w:pPr>
      <w:bookmarkStart w:id="0" w:name="_Hlk143780582"/>
    </w:p>
    <w:p w14:paraId="25C0E113" w14:textId="77777777" w:rsidR="007E075F" w:rsidRDefault="007E075F" w:rsidP="006B714E">
      <w:pPr>
        <w:pStyle w:val="Textoindependiente"/>
        <w:spacing w:before="1"/>
      </w:pPr>
    </w:p>
    <w:p w14:paraId="7387633A" w14:textId="77777777" w:rsidR="007E075F" w:rsidRPr="007E075F" w:rsidRDefault="007E075F" w:rsidP="007E075F">
      <w:pPr>
        <w:pStyle w:val="NormalWeb"/>
        <w:spacing w:line="276" w:lineRule="auto"/>
        <w:jc w:val="both"/>
        <w:rPr>
          <w:rFonts w:ascii="Verdana" w:hAnsi="Verdana"/>
          <w:sz w:val="22"/>
          <w:szCs w:val="22"/>
        </w:rPr>
      </w:pPr>
      <w:r w:rsidRPr="007E075F">
        <w:rPr>
          <w:rFonts w:ascii="Verdana" w:hAnsi="Verdana"/>
          <w:b/>
          <w:bCs/>
          <w:sz w:val="22"/>
          <w:szCs w:val="22"/>
        </w:rPr>
        <w:t xml:space="preserve">SIMULTANEIDAD DE CONTRATOS – INEXISTENCIA DE PROHIBICIÓN </w:t>
      </w:r>
      <w:r w:rsidRPr="007E075F">
        <w:rPr>
          <w:rFonts w:ascii="Verdana" w:hAnsi="Verdana"/>
          <w:sz w:val="22"/>
          <w:szCs w:val="22"/>
        </w:rPr>
        <w:t xml:space="preserve">Tras analizar el régimen de inhabilidades e incompatibilidades (específicamente el artículo 8 de la Ley 80 de 1993), no se advierte una causal taxativa que restrinja expresamente que una persona —natural o jurídica— celebre más de un contrato de prestación de servicios al mismo tiempo con la misma entidad. </w:t>
      </w:r>
      <w:r w:rsidRPr="007E075F">
        <w:rPr>
          <w:rStyle w:val="citation-182"/>
          <w:rFonts w:ascii="Verdana" w:hAnsi="Verdana"/>
          <w:sz w:val="22"/>
          <w:szCs w:val="22"/>
        </w:rPr>
        <w:t>Esta conclusión es extensiva a las Empresas Sociales del Estado (ESE), dado que en su régimen tampoco existe dicha prohibición</w:t>
      </w:r>
      <w:r w:rsidRPr="007E075F">
        <w:rPr>
          <w:rFonts w:ascii="Verdana" w:hAnsi="Verdana"/>
          <w:sz w:val="22"/>
          <w:szCs w:val="22"/>
        </w:rPr>
        <w:t>.</w:t>
      </w:r>
    </w:p>
    <w:p w14:paraId="2BF69ECC" w14:textId="77777777" w:rsidR="007E075F" w:rsidRPr="007E075F" w:rsidRDefault="007E075F" w:rsidP="007E075F">
      <w:pPr>
        <w:pStyle w:val="NormalWeb"/>
        <w:spacing w:line="276" w:lineRule="auto"/>
        <w:jc w:val="both"/>
        <w:rPr>
          <w:rFonts w:ascii="Verdana" w:hAnsi="Verdana"/>
          <w:sz w:val="22"/>
          <w:szCs w:val="22"/>
        </w:rPr>
      </w:pPr>
      <w:r w:rsidRPr="007E075F">
        <w:rPr>
          <w:rFonts w:ascii="Verdana" w:hAnsi="Verdana"/>
          <w:b/>
          <w:bCs/>
          <w:sz w:val="22"/>
          <w:szCs w:val="22"/>
        </w:rPr>
        <w:t xml:space="preserve">PROHIBICIÓN CONSTITUCIONAL (ART. 128) – ALCANCE </w:t>
      </w:r>
      <w:r w:rsidRPr="007E075F">
        <w:rPr>
          <w:rFonts w:ascii="Verdana" w:hAnsi="Verdana"/>
          <w:sz w:val="22"/>
          <w:szCs w:val="22"/>
        </w:rPr>
        <w:t xml:space="preserve">La prohibición constitucional de recibir más de una asignación del tesoro público (Art. 128 C.P.) aplica restrictivamente a los servidores públicos en situación legal y reglamentaria. </w:t>
      </w:r>
      <w:r w:rsidRPr="007E075F">
        <w:rPr>
          <w:rStyle w:val="citation-181"/>
          <w:rFonts w:ascii="Verdana" w:hAnsi="Verdana"/>
          <w:sz w:val="22"/>
          <w:szCs w:val="22"/>
        </w:rPr>
        <w:t>No se extiende a los contratistas de prestación de servicios, quienes actúan como particulares colaboradores y perciben honorarios, no salarios</w:t>
      </w:r>
      <w:r w:rsidRPr="007E075F">
        <w:rPr>
          <w:rFonts w:ascii="Verdana" w:hAnsi="Verdana"/>
          <w:sz w:val="22"/>
          <w:szCs w:val="22"/>
        </w:rPr>
        <w:t>.</w:t>
      </w:r>
    </w:p>
    <w:p w14:paraId="2F36B76D" w14:textId="77777777" w:rsidR="007E075F" w:rsidRPr="007E075F" w:rsidRDefault="007E075F" w:rsidP="007E075F">
      <w:pPr>
        <w:pStyle w:val="NormalWeb"/>
        <w:spacing w:line="276" w:lineRule="auto"/>
        <w:jc w:val="both"/>
        <w:rPr>
          <w:rFonts w:ascii="Verdana" w:hAnsi="Verdana"/>
          <w:sz w:val="22"/>
          <w:szCs w:val="22"/>
        </w:rPr>
      </w:pPr>
      <w:r w:rsidRPr="007E075F">
        <w:rPr>
          <w:rFonts w:ascii="Verdana" w:hAnsi="Verdana"/>
          <w:b/>
          <w:bCs/>
          <w:sz w:val="22"/>
          <w:szCs w:val="22"/>
        </w:rPr>
        <w:t xml:space="preserve">CAPACIDAD E IDONEIDAD – LÍMITE FÁCTICO </w:t>
      </w:r>
      <w:r w:rsidRPr="007E075F">
        <w:rPr>
          <w:rFonts w:ascii="Verdana" w:hAnsi="Verdana"/>
          <w:sz w:val="22"/>
          <w:szCs w:val="22"/>
        </w:rPr>
        <w:t xml:space="preserve">Aunque la figura es legal, la única limitante real no es normativa, sino fáctica y operativa. </w:t>
      </w:r>
      <w:r w:rsidRPr="007E075F">
        <w:rPr>
          <w:rStyle w:val="citation-180"/>
          <w:rFonts w:ascii="Verdana" w:hAnsi="Verdana"/>
          <w:sz w:val="22"/>
          <w:szCs w:val="22"/>
        </w:rPr>
        <w:t>El contratista debe garantizar que cuenta con la capacidad técnica para ejecutar cabalmente todos los objetos contractuales sin que uno interfiera con el otro</w:t>
      </w:r>
      <w:r w:rsidRPr="007E075F">
        <w:rPr>
          <w:rFonts w:ascii="Verdana" w:hAnsi="Verdana"/>
          <w:sz w:val="22"/>
          <w:szCs w:val="22"/>
        </w:rPr>
        <w:t xml:space="preserve">. </w:t>
      </w:r>
      <w:r w:rsidRPr="007E075F">
        <w:rPr>
          <w:rStyle w:val="citation-179"/>
          <w:rFonts w:ascii="Verdana" w:hAnsi="Verdana"/>
          <w:sz w:val="22"/>
          <w:szCs w:val="22"/>
        </w:rPr>
        <w:t>La Entidad Estatal tiene el deber de verificar la idoneidad y capacidad del contratista para ejecutar el objeto, analizando si la simultaneidad afecta el cumplimiento o genera conflictos de interés</w:t>
      </w:r>
      <w:r w:rsidRPr="007E075F">
        <w:rPr>
          <w:rFonts w:ascii="Verdana" w:hAnsi="Verdana"/>
          <w:sz w:val="22"/>
          <w:szCs w:val="22"/>
        </w:rPr>
        <w:t>.</w:t>
      </w:r>
    </w:p>
    <w:p w14:paraId="612796BB" w14:textId="77777777" w:rsidR="007E075F" w:rsidRPr="007E075F" w:rsidRDefault="007E075F" w:rsidP="006B714E">
      <w:pPr>
        <w:pStyle w:val="Textoindependiente"/>
        <w:spacing w:before="1"/>
        <w:rPr>
          <w:lang w:val="es-CO"/>
        </w:rPr>
      </w:pPr>
    </w:p>
    <w:p w14:paraId="46CE5E5F" w14:textId="77777777" w:rsidR="007E075F" w:rsidRDefault="007E075F" w:rsidP="006B714E">
      <w:pPr>
        <w:pStyle w:val="Textoindependiente"/>
        <w:spacing w:before="1"/>
      </w:pPr>
    </w:p>
    <w:p w14:paraId="76074590" w14:textId="77777777" w:rsidR="007E075F" w:rsidRDefault="007E075F" w:rsidP="006B714E">
      <w:pPr>
        <w:pStyle w:val="Textoindependiente"/>
        <w:spacing w:before="1"/>
      </w:pPr>
    </w:p>
    <w:p w14:paraId="1004AA77" w14:textId="77777777" w:rsidR="007E075F" w:rsidRDefault="007E075F" w:rsidP="006B714E">
      <w:pPr>
        <w:pStyle w:val="Textoindependiente"/>
        <w:spacing w:before="1"/>
      </w:pPr>
    </w:p>
    <w:p w14:paraId="1E0C422B" w14:textId="77777777" w:rsidR="007E075F" w:rsidRDefault="007E075F" w:rsidP="006B714E">
      <w:pPr>
        <w:pStyle w:val="Textoindependiente"/>
        <w:spacing w:before="1"/>
      </w:pPr>
    </w:p>
    <w:p w14:paraId="5753222B" w14:textId="77777777" w:rsidR="007E075F" w:rsidRDefault="007E075F" w:rsidP="006B714E">
      <w:pPr>
        <w:pStyle w:val="Textoindependiente"/>
        <w:spacing w:before="1"/>
      </w:pPr>
    </w:p>
    <w:p w14:paraId="2B52AE74" w14:textId="77777777" w:rsidR="007E075F" w:rsidRDefault="007E075F" w:rsidP="006B714E">
      <w:pPr>
        <w:pStyle w:val="Textoindependiente"/>
        <w:spacing w:before="1"/>
      </w:pPr>
    </w:p>
    <w:p w14:paraId="1DFB6206" w14:textId="77777777" w:rsidR="007E075F" w:rsidRDefault="007E075F" w:rsidP="006B714E">
      <w:pPr>
        <w:pStyle w:val="Textoindependiente"/>
        <w:spacing w:before="1"/>
      </w:pPr>
    </w:p>
    <w:p w14:paraId="4FEC3767" w14:textId="77777777" w:rsidR="007E075F" w:rsidRDefault="007E075F" w:rsidP="006B714E">
      <w:pPr>
        <w:pStyle w:val="Textoindependiente"/>
        <w:spacing w:before="1"/>
      </w:pPr>
    </w:p>
    <w:p w14:paraId="34163F3D" w14:textId="77777777" w:rsidR="007E075F" w:rsidRDefault="007E075F" w:rsidP="006B714E">
      <w:pPr>
        <w:pStyle w:val="Textoindependiente"/>
        <w:spacing w:before="1"/>
      </w:pPr>
    </w:p>
    <w:p w14:paraId="5484D250" w14:textId="77777777" w:rsidR="007E075F" w:rsidRDefault="007E075F" w:rsidP="006B714E">
      <w:pPr>
        <w:pStyle w:val="Textoindependiente"/>
        <w:spacing w:before="1"/>
      </w:pPr>
    </w:p>
    <w:p w14:paraId="06852806" w14:textId="77777777" w:rsidR="007E075F" w:rsidRDefault="007E075F" w:rsidP="006B714E">
      <w:pPr>
        <w:pStyle w:val="Textoindependiente"/>
        <w:spacing w:before="1"/>
      </w:pPr>
    </w:p>
    <w:p w14:paraId="3D5D234E" w14:textId="77777777" w:rsidR="007E075F" w:rsidRDefault="007E075F" w:rsidP="006B714E">
      <w:pPr>
        <w:pStyle w:val="Textoindependiente"/>
        <w:spacing w:before="1"/>
      </w:pPr>
    </w:p>
    <w:p w14:paraId="392038DC" w14:textId="77777777" w:rsidR="007E075F" w:rsidRDefault="007E075F" w:rsidP="006B714E">
      <w:pPr>
        <w:pStyle w:val="Textoindependiente"/>
        <w:spacing w:before="1"/>
      </w:pPr>
    </w:p>
    <w:p w14:paraId="24321B60" w14:textId="77777777" w:rsidR="00C15139" w:rsidRPr="0024624F" w:rsidRDefault="006B714E" w:rsidP="006B714E">
      <w:pPr>
        <w:pStyle w:val="Textoindependiente"/>
        <w:spacing w:before="1"/>
      </w:pPr>
      <w:r>
        <w:rPr>
          <w:noProof/>
        </w:rPr>
        <w:drawing>
          <wp:anchor distT="0" distB="0" distL="0" distR="0" simplePos="0" relativeHeight="251659264" behindDoc="0" locked="0" layoutInCell="1" allowOverlap="1" wp14:anchorId="5B36EE65" wp14:editId="65646F75">
            <wp:simplePos x="0" y="0"/>
            <wp:positionH relativeFrom="page">
              <wp:posOffset>4291965</wp:posOffset>
            </wp:positionH>
            <wp:positionV relativeFrom="paragraph">
              <wp:posOffset>-1250</wp:posOffset>
            </wp:positionV>
            <wp:extent cx="2400300" cy="615950"/>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0" cstate="print"/>
                    <a:stretch>
                      <a:fillRect/>
                    </a:stretch>
                  </pic:blipFill>
                  <pic:spPr>
                    <a:xfrm>
                      <a:off x="0" y="0"/>
                      <a:ext cx="2400300" cy="615950"/>
                    </a:xfrm>
                    <a:prstGeom prst="rect">
                      <a:avLst/>
                    </a:prstGeom>
                  </pic:spPr>
                </pic:pic>
              </a:graphicData>
            </a:graphic>
          </wp:anchor>
        </w:drawing>
      </w:r>
      <w:r>
        <w:t>Bogotá</w:t>
      </w:r>
      <w:r>
        <w:rPr>
          <w:spacing w:val="-8"/>
        </w:rPr>
        <w:t xml:space="preserve"> </w:t>
      </w:r>
      <w:r>
        <w:t>D.C.,</w:t>
      </w:r>
      <w:r>
        <w:rPr>
          <w:spacing w:val="-1"/>
        </w:rPr>
        <w:t xml:space="preserve"> </w:t>
      </w:r>
      <w:r>
        <w:t>19</w:t>
      </w:r>
      <w:r>
        <w:rPr>
          <w:spacing w:val="-4"/>
        </w:rPr>
        <w:t xml:space="preserve"> </w:t>
      </w:r>
      <w:r>
        <w:t>noviembre</w:t>
      </w:r>
      <w:r>
        <w:rPr>
          <w:spacing w:val="-6"/>
        </w:rPr>
        <w:t xml:space="preserve"> </w:t>
      </w:r>
      <w:r>
        <w:rPr>
          <w:spacing w:val="-4"/>
        </w:rPr>
        <w:t>2025</w:t>
      </w:r>
      <w:r w:rsidR="00C15139" w:rsidRPr="0024624F">
        <w:tab/>
      </w:r>
    </w:p>
    <w:p w14:paraId="31510858" w14:textId="77777777" w:rsidR="006B714E" w:rsidRDefault="006B714E" w:rsidP="00DF3FD9">
      <w:pPr>
        <w:spacing w:after="0" w:line="240" w:lineRule="auto"/>
        <w:jc w:val="both"/>
        <w:rPr>
          <w:rFonts w:ascii="Verdana" w:eastAsia="Calibri" w:hAnsi="Verdana" w:cs="Arial"/>
          <w:lang w:val="es-ES" w:eastAsia="es-ES"/>
        </w:rPr>
      </w:pPr>
    </w:p>
    <w:p w14:paraId="0CB9E2FA" w14:textId="77777777" w:rsidR="00DF3FD9" w:rsidRDefault="00DF3FD9" w:rsidP="00DF3FD9">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52453D7A" w14:textId="77777777" w:rsidR="00DF3FD9" w:rsidRPr="003922EA" w:rsidRDefault="00DF3FD9" w:rsidP="00DF3FD9">
      <w:pPr>
        <w:spacing w:after="0" w:line="240" w:lineRule="auto"/>
        <w:jc w:val="both"/>
        <w:rPr>
          <w:rFonts w:ascii="Verdana" w:eastAsia="Calibri" w:hAnsi="Verdana" w:cs="Arial"/>
          <w:b/>
          <w:bCs/>
          <w:lang w:val="es-ES" w:eastAsia="es-ES"/>
        </w:rPr>
      </w:pPr>
      <w:r w:rsidRPr="003922EA">
        <w:rPr>
          <w:rFonts w:ascii="Verdana" w:eastAsia="Calibri" w:hAnsi="Verdana" w:cs="Arial"/>
          <w:b/>
          <w:bCs/>
          <w:lang w:val="es-ES" w:eastAsia="es-ES"/>
        </w:rPr>
        <w:t xml:space="preserve">Anónimo </w:t>
      </w:r>
    </w:p>
    <w:p w14:paraId="4554550D" w14:textId="77777777" w:rsidR="00DF3FD9" w:rsidRPr="003922EA" w:rsidRDefault="00DF3FD9" w:rsidP="00DF3FD9">
      <w:pPr>
        <w:spacing w:after="0" w:line="240" w:lineRule="auto"/>
        <w:jc w:val="both"/>
        <w:rPr>
          <w:rFonts w:ascii="Verdana" w:eastAsia="Times New Roman" w:hAnsi="Verdana" w:cs="Calibri"/>
          <w:color w:val="1F4E78"/>
          <w:u w:val="single"/>
          <w:lang w:eastAsia="es-MX"/>
        </w:rPr>
      </w:pPr>
      <w:r w:rsidRPr="003922EA">
        <w:rPr>
          <w:rFonts w:ascii="Verdana" w:eastAsia="Times New Roman" w:hAnsi="Verdana" w:cs="Calibri"/>
          <w:color w:val="1F4E78"/>
          <w:u w:val="single"/>
          <w:lang w:eastAsia="es-MX"/>
        </w:rPr>
        <w:t>abogadodaviddurancarvajal@gmail.com</w:t>
      </w:r>
    </w:p>
    <w:p w14:paraId="4F4FA47F" w14:textId="77777777" w:rsidR="00DF3FD9" w:rsidRDefault="00DF3FD9" w:rsidP="00DF3FD9">
      <w:pPr>
        <w:spacing w:after="0" w:line="240" w:lineRule="auto"/>
        <w:jc w:val="both"/>
        <w:rPr>
          <w:rFonts w:ascii="Verdana" w:eastAsia="Calibri" w:hAnsi="Verdana" w:cs="Arial"/>
          <w:lang w:val="es-ES" w:eastAsia="es-ES"/>
        </w:rPr>
      </w:pPr>
      <w:r>
        <w:rPr>
          <w:rFonts w:ascii="Verdana" w:eastAsia="Calibri" w:hAnsi="Verdana" w:cs="Arial"/>
          <w:lang w:val="es-ES" w:eastAsia="es-ES"/>
        </w:rPr>
        <w:t xml:space="preserve">Bogotá, D.C </w:t>
      </w:r>
    </w:p>
    <w:p w14:paraId="3D666EA2" w14:textId="77777777" w:rsidR="00DF3FD9" w:rsidRPr="003922EA" w:rsidRDefault="00DF3FD9" w:rsidP="00DF3FD9">
      <w:pPr>
        <w:spacing w:after="0" w:line="240" w:lineRule="auto"/>
        <w:jc w:val="both"/>
        <w:rPr>
          <w:rFonts w:ascii="Verdana" w:eastAsia="Calibri" w:hAnsi="Verdana" w:cs="Arial"/>
          <w:lang w:val="es-ES" w:eastAsia="es-ES"/>
        </w:rPr>
      </w:pPr>
    </w:p>
    <w:p w14:paraId="1DAF162B" w14:textId="77777777" w:rsidR="00DF3FD9" w:rsidRPr="00593A5F" w:rsidRDefault="00DF3FD9" w:rsidP="00DF3FD9">
      <w:pPr>
        <w:spacing w:after="0" w:line="240" w:lineRule="auto"/>
        <w:rPr>
          <w:rFonts w:ascii="Verdana" w:eastAsia="Calibri" w:hAnsi="Verdana" w:cs="Arial"/>
          <w:b/>
          <w:bCs/>
          <w:color w:val="000000"/>
          <w:lang w:val="es-ES_tradnl" w:eastAsia="es-ES_tradnl"/>
        </w:rPr>
      </w:pPr>
    </w:p>
    <w:p w14:paraId="60F236E0" w14:textId="77777777" w:rsidR="00DF3FD9" w:rsidRPr="00593A5F" w:rsidRDefault="00DF3FD9" w:rsidP="00DF3FD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F3FD9" w:rsidRPr="00593A5F" w14:paraId="66A1289E" w14:textId="77777777" w:rsidTr="000A5ACE">
        <w:trPr>
          <w:trHeight w:val="884"/>
        </w:trPr>
        <w:tc>
          <w:tcPr>
            <w:tcW w:w="2689" w:type="dxa"/>
          </w:tcPr>
          <w:p w14:paraId="4730259D" w14:textId="77777777" w:rsidR="00DF3FD9" w:rsidRPr="00C00976" w:rsidRDefault="00DF3FD9" w:rsidP="000A5ACE">
            <w:pPr>
              <w:jc w:val="both"/>
              <w:rPr>
                <w:rFonts w:ascii="Verdana" w:eastAsia="Calibri" w:hAnsi="Verdana" w:cs="Arial"/>
                <w:b/>
                <w:bCs/>
                <w:color w:val="7030A0"/>
                <w:lang w:val="es-ES_tradnl" w:eastAsia="es-ES_tradnl"/>
              </w:rPr>
            </w:pPr>
          </w:p>
        </w:tc>
        <w:tc>
          <w:tcPr>
            <w:tcW w:w="6100" w:type="dxa"/>
          </w:tcPr>
          <w:p w14:paraId="1D1FC3A4" w14:textId="77777777" w:rsidR="00DF3FD9" w:rsidRPr="00C00976" w:rsidRDefault="00DF3FD9" w:rsidP="000A5ACE">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 xml:space="preserve">Concepto C- </w:t>
            </w:r>
            <w:r>
              <w:rPr>
                <w:rFonts w:ascii="Verdana" w:eastAsia="Calibri" w:hAnsi="Verdana" w:cs="Arial"/>
                <w:b/>
                <w:bCs/>
                <w:lang w:val="es-ES" w:eastAsia="es-ES"/>
              </w:rPr>
              <w:t>1467</w:t>
            </w:r>
            <w:r w:rsidRPr="00C00976">
              <w:rPr>
                <w:rFonts w:ascii="Verdana" w:eastAsia="Calibri" w:hAnsi="Verdana" w:cs="Arial"/>
                <w:b/>
                <w:bCs/>
                <w:color w:val="7030A0"/>
                <w:lang w:val="es-ES" w:eastAsia="es-ES"/>
              </w:rPr>
              <w:t xml:space="preserve"> </w:t>
            </w:r>
            <w:r w:rsidRPr="00247BDE">
              <w:rPr>
                <w:rFonts w:ascii="Verdana" w:eastAsia="Calibri" w:hAnsi="Verdana" w:cs="Arial"/>
                <w:b/>
                <w:bCs/>
                <w:lang w:val="es-ES" w:eastAsia="es-ES"/>
              </w:rPr>
              <w:t>d</w:t>
            </w:r>
            <w:r>
              <w:rPr>
                <w:rFonts w:ascii="Verdana" w:eastAsia="Calibri" w:hAnsi="Verdana" w:cs="Arial"/>
                <w:b/>
                <w:bCs/>
                <w:lang w:val="es-ES" w:eastAsia="es-ES"/>
              </w:rPr>
              <w:t>e 2025</w:t>
            </w:r>
          </w:p>
        </w:tc>
      </w:tr>
      <w:tr w:rsidR="00DF3FD9" w:rsidRPr="00593A5F" w14:paraId="7C4C1927" w14:textId="77777777" w:rsidTr="000A5ACE">
        <w:trPr>
          <w:trHeight w:val="884"/>
        </w:trPr>
        <w:tc>
          <w:tcPr>
            <w:tcW w:w="2689" w:type="dxa"/>
          </w:tcPr>
          <w:p w14:paraId="4FA01E86" w14:textId="77777777" w:rsidR="00DF3FD9" w:rsidRPr="00737579" w:rsidRDefault="00DF3FD9" w:rsidP="000A5ACE">
            <w:pPr>
              <w:jc w:val="both"/>
              <w:rPr>
                <w:rFonts w:ascii="Verdana" w:eastAsia="Calibri" w:hAnsi="Verdana" w:cs="Arial"/>
                <w:b/>
                <w:color w:val="000000"/>
                <w:lang w:val="es-ES_tradnl" w:eastAsia="es-ES_tradnl"/>
              </w:rPr>
            </w:pPr>
            <w:r w:rsidRPr="00737579">
              <w:rPr>
                <w:rFonts w:ascii="Verdana" w:eastAsia="Calibri" w:hAnsi="Verdana" w:cs="Arial"/>
                <w:b/>
                <w:color w:val="000000"/>
                <w:lang w:val="es-ES_tradnl" w:eastAsia="es-ES_tradnl"/>
              </w:rPr>
              <w:t xml:space="preserve">Temas:                   </w:t>
            </w:r>
          </w:p>
        </w:tc>
        <w:tc>
          <w:tcPr>
            <w:tcW w:w="6100" w:type="dxa"/>
          </w:tcPr>
          <w:p w14:paraId="4CBFCE73" w14:textId="77777777" w:rsidR="00DF3FD9" w:rsidRDefault="00DF3FD9" w:rsidP="000A5ACE">
            <w:pPr>
              <w:spacing w:line="276" w:lineRule="auto"/>
              <w:jc w:val="both"/>
              <w:rPr>
                <w:rFonts w:ascii="Verdana" w:hAnsi="Verdana"/>
                <w:bCs/>
              </w:rPr>
            </w:pPr>
            <w:r w:rsidRPr="00737579">
              <w:rPr>
                <w:rFonts w:ascii="Verdana" w:hAnsi="Verdana"/>
                <w:bCs/>
              </w:rPr>
              <w:t>CONTRATO DE PRESTACIÓN DE SERVICIOS – Régimen de Inhabilidades e Incompatibilidades – Inexistencia de prohibición por simultaneidad / CONTRATO DE PRESTACIÓN DE SERVICIOS PROFESIONALES – Idoneidad y experiencia / EJECUCIÓN SIMULTÁNEA DE CONTRATOS – Capacidad de cumplimiento.</w:t>
            </w:r>
          </w:p>
          <w:p w14:paraId="755FEE76" w14:textId="77777777" w:rsidR="00DF3FD9" w:rsidRPr="00737579" w:rsidRDefault="00DF3FD9" w:rsidP="000A5ACE">
            <w:pPr>
              <w:spacing w:line="276" w:lineRule="auto"/>
              <w:jc w:val="both"/>
              <w:rPr>
                <w:rFonts w:ascii="Verdana" w:eastAsia="Calibri" w:hAnsi="Verdana" w:cs="Arial"/>
                <w:bCs/>
                <w:lang w:val="es-ES" w:eastAsia="es-ES"/>
              </w:rPr>
            </w:pPr>
          </w:p>
        </w:tc>
      </w:tr>
      <w:tr w:rsidR="00DF3FD9" w:rsidRPr="00593A5F" w14:paraId="6909769C" w14:textId="77777777" w:rsidTr="000A5ACE">
        <w:tc>
          <w:tcPr>
            <w:tcW w:w="2689" w:type="dxa"/>
          </w:tcPr>
          <w:p w14:paraId="0E6DE9C7" w14:textId="77777777" w:rsidR="00DF3FD9" w:rsidRPr="003922EA" w:rsidRDefault="00DF3FD9" w:rsidP="000A5ACE">
            <w:pPr>
              <w:jc w:val="both"/>
              <w:rPr>
                <w:rFonts w:ascii="Verdana" w:eastAsia="Calibri" w:hAnsi="Verdana" w:cs="Arial"/>
                <w:b/>
                <w:color w:val="000000" w:themeColor="text1"/>
                <w:lang w:val="es-ES_tradnl" w:eastAsia="es-ES_tradnl"/>
              </w:rPr>
            </w:pPr>
            <w:r w:rsidRPr="003922EA">
              <w:rPr>
                <w:rFonts w:ascii="Verdana" w:eastAsia="Calibri" w:hAnsi="Verdana" w:cs="Arial"/>
                <w:b/>
                <w:color w:val="000000" w:themeColor="text1"/>
                <w:lang w:val="es-ES_tradnl" w:eastAsia="es-ES_tradnl"/>
              </w:rPr>
              <w:t>Radicación:</w:t>
            </w:r>
            <w:r w:rsidRPr="003922EA">
              <w:rPr>
                <w:rFonts w:ascii="Verdana" w:eastAsia="Calibri" w:hAnsi="Verdana" w:cs="Arial"/>
                <w:color w:val="000000" w:themeColor="text1"/>
                <w:lang w:val="es-ES_tradnl" w:eastAsia="es-ES_tradnl"/>
              </w:rPr>
              <w:t xml:space="preserve">               </w:t>
            </w:r>
          </w:p>
        </w:tc>
        <w:tc>
          <w:tcPr>
            <w:tcW w:w="6100" w:type="dxa"/>
          </w:tcPr>
          <w:p w14:paraId="29AE2D78" w14:textId="77777777" w:rsidR="00DF3FD9" w:rsidRPr="0035673F" w:rsidRDefault="00DF3FD9" w:rsidP="000A5ACE">
            <w:pPr>
              <w:jc w:val="both"/>
              <w:rPr>
                <w:rFonts w:ascii="Verdana" w:eastAsia="Calibri" w:hAnsi="Verdana" w:cs="Arial"/>
                <w:color w:val="000000" w:themeColor="text1"/>
                <w:lang w:val="es-ES_tradnl" w:eastAsia="es-ES_tradnl"/>
              </w:rPr>
            </w:pPr>
            <w:r w:rsidRPr="0035673F">
              <w:rPr>
                <w:rFonts w:ascii="Verdana" w:eastAsia="Calibri" w:hAnsi="Verdana" w:cs="Arial"/>
                <w:color w:val="000000" w:themeColor="text1"/>
                <w:lang w:val="es-ES_tradnl" w:eastAsia="es-ES_tradnl"/>
              </w:rPr>
              <w:t xml:space="preserve">Respuesta a consulta con radicado No. </w:t>
            </w:r>
            <w:r w:rsidRPr="0035673F">
              <w:rPr>
                <w:rFonts w:ascii="Verdana" w:hAnsi="Verdana" w:cs="Calibri"/>
                <w:color w:val="000000" w:themeColor="text1"/>
              </w:rPr>
              <w:t xml:space="preserve">1_2025_10_08_011240, acumulada con el radicado No. </w:t>
            </w:r>
            <w:r w:rsidRPr="0035673F">
              <w:rPr>
                <w:rFonts w:ascii="Verdana" w:hAnsi="Verdana"/>
              </w:rPr>
              <w:t>1_2025_10_08_011242.</w:t>
            </w:r>
          </w:p>
          <w:p w14:paraId="1A131496" w14:textId="77777777" w:rsidR="00DF3FD9" w:rsidRPr="003922EA" w:rsidRDefault="00DF3FD9" w:rsidP="000A5ACE">
            <w:pPr>
              <w:jc w:val="both"/>
              <w:rPr>
                <w:rFonts w:ascii="Verdana" w:eastAsia="Calibri" w:hAnsi="Verdana" w:cs="Arial"/>
                <w:color w:val="000000" w:themeColor="text1"/>
                <w:lang w:val="es-ES_tradnl" w:eastAsia="es-ES_tradnl"/>
              </w:rPr>
            </w:pPr>
          </w:p>
        </w:tc>
      </w:tr>
    </w:tbl>
    <w:p w14:paraId="2B1840C0" w14:textId="77777777" w:rsidR="00DF3FD9" w:rsidRPr="00593A5F" w:rsidRDefault="00DF3FD9" w:rsidP="00DF3FD9">
      <w:pPr>
        <w:spacing w:after="0" w:line="240" w:lineRule="auto"/>
        <w:jc w:val="both"/>
        <w:rPr>
          <w:rFonts w:ascii="Verdana" w:eastAsia="Calibri" w:hAnsi="Verdana" w:cs="Arial"/>
          <w:color w:val="000000"/>
          <w:lang w:val="es-ES_tradnl" w:eastAsia="es-ES_tradnl"/>
        </w:rPr>
      </w:pPr>
    </w:p>
    <w:p w14:paraId="5C78C5D0" w14:textId="77777777" w:rsidR="00DF3FD9" w:rsidRPr="003922EA" w:rsidRDefault="00DF3FD9" w:rsidP="00DF3FD9">
      <w:pPr>
        <w:spacing w:after="0" w:line="276" w:lineRule="auto"/>
        <w:jc w:val="both"/>
        <w:rPr>
          <w:rFonts w:ascii="Verdana" w:eastAsia="Calibri" w:hAnsi="Verdana" w:cs="Arial"/>
          <w:color w:val="000000" w:themeColor="text1"/>
          <w:lang w:val="es-ES" w:eastAsia="es-ES"/>
        </w:rPr>
      </w:pPr>
      <w:r w:rsidRPr="003922EA">
        <w:rPr>
          <w:rFonts w:ascii="Verdana" w:eastAsia="Calibri" w:hAnsi="Verdana" w:cs="Arial"/>
          <w:color w:val="000000" w:themeColor="text1"/>
          <w:lang w:val="es-ES" w:eastAsia="es-ES"/>
        </w:rPr>
        <w:t xml:space="preserve">Estimado señor Anónimo: </w:t>
      </w:r>
    </w:p>
    <w:p w14:paraId="2049A205" w14:textId="77777777" w:rsidR="00DF3FD9" w:rsidRDefault="00DF3FD9" w:rsidP="00DF3FD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3D94B0B" w14:textId="77777777" w:rsidR="00DF3FD9" w:rsidRDefault="00DF3FD9" w:rsidP="00DF3FD9">
      <w:pPr>
        <w:spacing w:after="0" w:line="276" w:lineRule="auto"/>
        <w:jc w:val="both"/>
        <w:rPr>
          <w:rFonts w:ascii="Verdana" w:eastAsia="Calibri" w:hAnsi="Verdana" w:cs="Arial"/>
          <w:color w:val="000000" w:themeColor="text1"/>
          <w:lang w:val="es-ES" w:eastAsia="es-ES"/>
        </w:rPr>
      </w:pPr>
      <w:r w:rsidRPr="003922EA">
        <w:rPr>
          <w:rFonts w:ascii="Verdana" w:eastAsia="Calibri" w:hAnsi="Verdana" w:cs="Arial"/>
          <w:color w:val="000000" w:themeColor="text1"/>
          <w:lang w:val="es-ES" w:eastAsia="es-ES"/>
        </w:rPr>
        <w:t>En ejercicio de la competencia otorgada por los artículos 3, numeral 5º, y 11, numeral 8º, del Decreto Ley 4170 de 2011,</w:t>
      </w:r>
      <w:r w:rsidRPr="003922EA">
        <w:rPr>
          <w:rFonts w:ascii="Verdana" w:eastAsia="Arial MT" w:hAnsi="Verdana" w:cs="Arial MT"/>
          <w:color w:val="000000" w:themeColor="text1"/>
          <w:lang w:val="es-ES" w:eastAsia="es-ES"/>
        </w:rPr>
        <w:t xml:space="preserve"> </w:t>
      </w:r>
      <w:r w:rsidRPr="003922EA">
        <w:rPr>
          <w:rFonts w:ascii="Verdana" w:hAnsi="Verdana" w:cs="Arial"/>
          <w:color w:val="000000" w:themeColor="text1"/>
        </w:rPr>
        <w:t xml:space="preserve">así como lo establecido en el artículo 4 de la Resolución 1707 de 2018 expedida por esta Entidad, </w:t>
      </w:r>
      <w:r w:rsidRPr="003922EA">
        <w:rPr>
          <w:rFonts w:ascii="Verdana" w:eastAsia="Calibri" w:hAnsi="Verdana" w:cs="Arial"/>
          <w:color w:val="000000" w:themeColor="text1"/>
          <w:lang w:val="es-ES" w:eastAsia="es-ES"/>
        </w:rPr>
        <w:t xml:space="preserve">la Agencia Nacional de Contratación Pública – Colombia Compra Eficiente– responde su solicitud de consulta de fecha 08 de octubre de 2025, en la cual manifiesta lo siguiente: </w:t>
      </w:r>
    </w:p>
    <w:p w14:paraId="0220CBCD" w14:textId="77777777" w:rsidR="00DF3FD9" w:rsidRDefault="00DF3FD9" w:rsidP="00DF3FD9">
      <w:pPr>
        <w:spacing w:after="0" w:line="276" w:lineRule="auto"/>
        <w:jc w:val="both"/>
        <w:rPr>
          <w:rFonts w:ascii="Verdana" w:eastAsia="Calibri" w:hAnsi="Verdana" w:cs="Arial"/>
          <w:color w:val="000000" w:themeColor="text1"/>
          <w:lang w:val="es-ES" w:eastAsia="es-ES"/>
        </w:rPr>
      </w:pPr>
    </w:p>
    <w:p w14:paraId="3F37330B" w14:textId="77777777" w:rsidR="00DF3FD9" w:rsidRPr="003922EA" w:rsidRDefault="00DF3FD9" w:rsidP="00DF3FD9">
      <w:pPr>
        <w:spacing w:after="0" w:line="276" w:lineRule="auto"/>
        <w:jc w:val="both"/>
        <w:rPr>
          <w:rFonts w:ascii="Verdana" w:eastAsia="Calibri" w:hAnsi="Verdana" w:cs="Arial"/>
          <w:color w:val="000000" w:themeColor="text1"/>
          <w:lang w:val="es-ES" w:eastAsia="es-ES"/>
        </w:rPr>
      </w:pPr>
    </w:p>
    <w:p w14:paraId="43ADEFFC" w14:textId="77777777" w:rsidR="00DF3FD9" w:rsidRPr="003922EA" w:rsidRDefault="00DF3FD9" w:rsidP="00DF3FD9">
      <w:pPr>
        <w:spacing w:after="0"/>
        <w:ind w:left="709" w:right="709"/>
        <w:jc w:val="both"/>
        <w:rPr>
          <w:rFonts w:ascii="Verdana" w:hAnsi="Verdana"/>
          <w:sz w:val="20"/>
          <w:szCs w:val="20"/>
        </w:rPr>
      </w:pPr>
      <w:r w:rsidRPr="003922EA">
        <w:rPr>
          <w:rFonts w:ascii="Verdana" w:hAnsi="Verdana"/>
          <w:sz w:val="20"/>
          <w:szCs w:val="20"/>
        </w:rPr>
        <w:t xml:space="preserve"> "1. Puede una persona natural suscribir más de un (1) contrato de prestación de servicios con la misma entidad al mismo tiempo ?</w:t>
      </w:r>
    </w:p>
    <w:p w14:paraId="02DC6FDE" w14:textId="77777777" w:rsidR="00DF3FD9" w:rsidRPr="003922EA" w:rsidRDefault="00DF3FD9" w:rsidP="00DF3FD9">
      <w:pPr>
        <w:spacing w:after="0"/>
        <w:ind w:left="709" w:right="709"/>
        <w:jc w:val="both"/>
        <w:rPr>
          <w:rFonts w:ascii="Verdana" w:hAnsi="Verdana"/>
          <w:sz w:val="20"/>
          <w:szCs w:val="20"/>
        </w:rPr>
      </w:pPr>
      <w:r w:rsidRPr="003922EA">
        <w:rPr>
          <w:rFonts w:ascii="Verdana" w:hAnsi="Verdana"/>
          <w:sz w:val="20"/>
          <w:szCs w:val="20"/>
        </w:rPr>
        <w:t>2. Puede una persona jurídica suscribir más de un (1) contrato de prestación de servicios con la misma entidad al mismo tiempo ?</w:t>
      </w:r>
    </w:p>
    <w:p w14:paraId="5DBC388A" w14:textId="77777777" w:rsidR="00DF3FD9" w:rsidRPr="003922EA" w:rsidRDefault="00DF3FD9" w:rsidP="00DF3FD9">
      <w:pPr>
        <w:spacing w:after="0"/>
        <w:ind w:left="709" w:right="709"/>
        <w:jc w:val="both"/>
        <w:rPr>
          <w:rFonts w:ascii="Verdana" w:hAnsi="Verdana"/>
          <w:sz w:val="20"/>
          <w:szCs w:val="20"/>
        </w:rPr>
      </w:pPr>
      <w:r w:rsidRPr="003922EA">
        <w:rPr>
          <w:rFonts w:ascii="Verdana" w:hAnsi="Verdana"/>
          <w:sz w:val="20"/>
          <w:szCs w:val="20"/>
        </w:rPr>
        <w:lastRenderedPageBreak/>
        <w:t>3. Puede una persona natural suscribir más de un (1) contrato de prestación de servicios con la misma entidad al mismo tiempo, específicamente con una Empresa Social del Estado</w:t>
      </w:r>
    </w:p>
    <w:p w14:paraId="18D1FC60" w14:textId="77777777" w:rsidR="00DF3FD9" w:rsidRPr="003922EA" w:rsidRDefault="00DF3FD9" w:rsidP="00DF3FD9">
      <w:pPr>
        <w:spacing w:after="0"/>
        <w:ind w:left="709" w:right="709"/>
        <w:jc w:val="both"/>
        <w:rPr>
          <w:rFonts w:ascii="Verdana" w:hAnsi="Verdana"/>
          <w:sz w:val="20"/>
          <w:szCs w:val="20"/>
        </w:rPr>
      </w:pPr>
      <w:r w:rsidRPr="003922EA">
        <w:rPr>
          <w:rFonts w:ascii="Verdana" w:hAnsi="Verdana"/>
          <w:sz w:val="20"/>
          <w:szCs w:val="20"/>
        </w:rPr>
        <w:t xml:space="preserve">4. Existe algún tipo de inhabilidad o incompatibilidad tanto para el </w:t>
      </w:r>
      <w:proofErr w:type="spellStart"/>
      <w:r w:rsidRPr="003922EA">
        <w:rPr>
          <w:rFonts w:ascii="Verdana" w:hAnsi="Verdana"/>
          <w:sz w:val="20"/>
          <w:szCs w:val="20"/>
        </w:rPr>
        <w:t>contrante</w:t>
      </w:r>
      <w:proofErr w:type="spellEnd"/>
      <w:r w:rsidRPr="003922EA">
        <w:rPr>
          <w:rFonts w:ascii="Verdana" w:hAnsi="Verdana"/>
          <w:sz w:val="20"/>
          <w:szCs w:val="20"/>
        </w:rPr>
        <w:t xml:space="preserve"> como para el contratista, </w:t>
      </w:r>
      <w:proofErr w:type="spellStart"/>
      <w:r w:rsidRPr="003922EA">
        <w:rPr>
          <w:rFonts w:ascii="Verdana" w:hAnsi="Verdana"/>
          <w:sz w:val="20"/>
          <w:szCs w:val="20"/>
        </w:rPr>
        <w:t>suscbrir</w:t>
      </w:r>
      <w:proofErr w:type="spellEnd"/>
      <w:r w:rsidRPr="003922EA">
        <w:rPr>
          <w:rFonts w:ascii="Verdana" w:hAnsi="Verdana"/>
          <w:sz w:val="20"/>
          <w:szCs w:val="20"/>
        </w:rPr>
        <w:t xml:space="preserve"> más de un (1) contrato de prestación de servicios con la misma entidad al mismo tiempo?".</w:t>
      </w:r>
    </w:p>
    <w:p w14:paraId="4ACBAB1E" w14:textId="77777777" w:rsidR="00DF3FD9" w:rsidRDefault="00DF3FD9" w:rsidP="00DF3FD9">
      <w:pPr>
        <w:spacing w:after="0" w:line="240" w:lineRule="auto"/>
        <w:ind w:left="709" w:right="709"/>
        <w:jc w:val="both"/>
        <w:rPr>
          <w:rFonts w:ascii="Verdana" w:eastAsia="Century Gothic" w:hAnsi="Verdana" w:cs="Century Gothic"/>
          <w:b/>
          <w:bCs/>
          <w:lang w:val="es-ES"/>
        </w:rPr>
      </w:pPr>
    </w:p>
    <w:p w14:paraId="0270793D" w14:textId="77777777" w:rsidR="00DF3FD9" w:rsidRPr="00593A5F" w:rsidRDefault="00DF3FD9" w:rsidP="00DF3FD9">
      <w:pPr>
        <w:spacing w:after="0" w:line="240" w:lineRule="auto"/>
        <w:ind w:left="709" w:right="709"/>
        <w:jc w:val="both"/>
        <w:rPr>
          <w:rFonts w:ascii="Verdana" w:eastAsia="Century Gothic" w:hAnsi="Verdana" w:cs="Century Gothic"/>
          <w:b/>
          <w:bCs/>
          <w:lang w:val="es-ES"/>
        </w:rPr>
      </w:pPr>
    </w:p>
    <w:p w14:paraId="2FE7DCBF" w14:textId="77777777" w:rsidR="00DF3FD9" w:rsidRDefault="00DF3FD9" w:rsidP="00DF3FD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D0C5F15" w14:textId="77777777" w:rsidR="00DF3FD9" w:rsidRDefault="00DF3FD9" w:rsidP="00DF3FD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p>
    <w:p w14:paraId="0EA8955A" w14:textId="77777777" w:rsidR="00DF3FD9" w:rsidRPr="00593A5F" w:rsidRDefault="00DF3FD9" w:rsidP="00DF3FD9">
      <w:pPr>
        <w:spacing w:after="0" w:line="276" w:lineRule="auto"/>
        <w:ind w:firstLine="709"/>
        <w:jc w:val="both"/>
        <w:rPr>
          <w:rFonts w:ascii="Verdana" w:eastAsia="Calibri" w:hAnsi="Verdana" w:cs="Arial"/>
          <w:color w:val="000000"/>
          <w:lang w:val="es-ES" w:eastAsia="es-ES"/>
        </w:rPr>
      </w:pPr>
    </w:p>
    <w:p w14:paraId="747666BF" w14:textId="77777777" w:rsidR="00DF3FD9" w:rsidRPr="00593A5F" w:rsidRDefault="00DF3FD9" w:rsidP="00DF3FD9">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7D50B168" w14:textId="77777777" w:rsidR="00DF3FD9" w:rsidRPr="00593A5F" w:rsidRDefault="00DF3FD9" w:rsidP="00DF3FD9">
      <w:pPr>
        <w:tabs>
          <w:tab w:val="left" w:pos="426"/>
        </w:tabs>
        <w:spacing w:after="0" w:line="276" w:lineRule="auto"/>
        <w:jc w:val="both"/>
        <w:rPr>
          <w:rFonts w:ascii="Verdana" w:eastAsia="Century Gothic" w:hAnsi="Verdana" w:cs="Century Gothic"/>
          <w:lang w:val="es-ES"/>
        </w:rPr>
      </w:pPr>
    </w:p>
    <w:p w14:paraId="1BB2E4EF" w14:textId="77777777" w:rsidR="00DF3FD9" w:rsidRPr="009F5D48" w:rsidRDefault="00DF3FD9" w:rsidP="00DF3FD9">
      <w:pPr>
        <w:spacing w:after="0" w:line="276" w:lineRule="auto"/>
        <w:jc w:val="both"/>
        <w:rPr>
          <w:rFonts w:ascii="Verdana" w:eastAsia="Century Gothic" w:hAnsi="Verdana" w:cs="Century Gothic"/>
        </w:rPr>
      </w:pPr>
      <w:r w:rsidRPr="1F9252E4">
        <w:rPr>
          <w:rFonts w:ascii="Verdana" w:eastAsia="Century Gothic" w:hAnsi="Verdana" w:cs="Century Gothic"/>
        </w:rPr>
        <w:t>De acuerdo con el contenido de su solicitud, esta Agencia resolverá el  siguiente problema</w:t>
      </w:r>
      <w:r>
        <w:rPr>
          <w:rFonts w:ascii="Verdana" w:eastAsia="Century Gothic" w:hAnsi="Verdana" w:cs="Century Gothic"/>
        </w:rPr>
        <w:t xml:space="preserve"> </w:t>
      </w:r>
      <w:r w:rsidRPr="1F9252E4">
        <w:rPr>
          <w:rFonts w:ascii="Verdana" w:eastAsia="Century Gothic" w:hAnsi="Verdana" w:cs="Century Gothic"/>
        </w:rPr>
        <w:t xml:space="preserve">jurídico: </w:t>
      </w:r>
      <w:r>
        <w:rPr>
          <w:rFonts w:ascii="Verdana" w:eastAsia="Century Gothic" w:hAnsi="Verdana" w:cs="Century Gothic"/>
        </w:rPr>
        <w:t>¿</w:t>
      </w:r>
      <w:r w:rsidRPr="009F5D48">
        <w:rPr>
          <w:rFonts w:ascii="Verdana" w:eastAsia="Century Gothic" w:hAnsi="Verdana" w:cs="Century Gothic"/>
        </w:rPr>
        <w:t>Existe alguna inhabilidad o incompatibilidad para</w:t>
      </w:r>
      <w:r>
        <w:rPr>
          <w:rFonts w:ascii="Verdana" w:eastAsia="Century Gothic" w:hAnsi="Verdana" w:cs="Century Gothic"/>
        </w:rPr>
        <w:t xml:space="preserve"> que una persona natural o jurídica </w:t>
      </w:r>
      <w:r w:rsidRPr="009F5D48">
        <w:rPr>
          <w:rFonts w:ascii="Verdana" w:eastAsia="Century Gothic" w:hAnsi="Verdana" w:cs="Century Gothic"/>
        </w:rPr>
        <w:t>celebr</w:t>
      </w:r>
      <w:r>
        <w:rPr>
          <w:rFonts w:ascii="Verdana" w:eastAsia="Century Gothic" w:hAnsi="Verdana" w:cs="Century Gothic"/>
        </w:rPr>
        <w:t>e</w:t>
      </w:r>
      <w:r w:rsidRPr="009F5D48">
        <w:rPr>
          <w:rFonts w:ascii="Verdana" w:eastAsia="Century Gothic" w:hAnsi="Verdana" w:cs="Century Gothic"/>
        </w:rPr>
        <w:t xml:space="preserve"> de forma simultánea </w:t>
      </w:r>
      <w:r>
        <w:rPr>
          <w:rFonts w:ascii="Verdana" w:eastAsia="Century Gothic" w:hAnsi="Verdana" w:cs="Century Gothic"/>
        </w:rPr>
        <w:t xml:space="preserve">varios </w:t>
      </w:r>
      <w:r w:rsidRPr="009F5D48">
        <w:rPr>
          <w:rFonts w:ascii="Verdana" w:eastAsia="Century Gothic" w:hAnsi="Verdana" w:cs="Century Gothic"/>
        </w:rPr>
        <w:t>contrato</w:t>
      </w:r>
      <w:r>
        <w:rPr>
          <w:rFonts w:ascii="Verdana" w:eastAsia="Century Gothic" w:hAnsi="Verdana" w:cs="Century Gothic"/>
        </w:rPr>
        <w:t>s</w:t>
      </w:r>
      <w:r w:rsidRPr="009F5D48">
        <w:rPr>
          <w:rFonts w:ascii="Verdana" w:eastAsia="Century Gothic" w:hAnsi="Verdana" w:cs="Century Gothic"/>
        </w:rPr>
        <w:t xml:space="preserve"> de prestación de servicios</w:t>
      </w:r>
      <w:r>
        <w:rPr>
          <w:rFonts w:ascii="Verdana" w:eastAsia="Times New Roman" w:hAnsi="Verdana" w:cs="Times New Roman"/>
          <w:lang w:eastAsia="es-MX"/>
        </w:rPr>
        <w:t xml:space="preserve"> en una misma entidad pública o en una</w:t>
      </w:r>
      <w:r w:rsidRPr="00236674">
        <w:rPr>
          <w:rFonts w:ascii="Verdana" w:eastAsia="Times New Roman" w:hAnsi="Verdana" w:cs="Times New Roman"/>
          <w:lang w:eastAsia="es-MX"/>
        </w:rPr>
        <w:t xml:space="preserve"> </w:t>
      </w:r>
      <w:r>
        <w:rPr>
          <w:rFonts w:ascii="Verdana" w:eastAsia="Times New Roman" w:hAnsi="Verdana" w:cs="Times New Roman"/>
          <w:lang w:eastAsia="es-MX"/>
        </w:rPr>
        <w:t>e</w:t>
      </w:r>
      <w:r w:rsidRPr="00236674">
        <w:rPr>
          <w:rFonts w:ascii="Verdana" w:eastAsia="Times New Roman" w:hAnsi="Verdana" w:cs="Times New Roman"/>
          <w:lang w:eastAsia="es-MX"/>
        </w:rPr>
        <w:t>mpresa Social</w:t>
      </w:r>
      <w:r>
        <w:rPr>
          <w:rFonts w:ascii="Verdana" w:eastAsia="Times New Roman" w:hAnsi="Verdana" w:cs="Times New Roman"/>
          <w:lang w:eastAsia="es-MX"/>
        </w:rPr>
        <w:t xml:space="preserve"> </w:t>
      </w:r>
      <w:r w:rsidRPr="00236674">
        <w:rPr>
          <w:rFonts w:ascii="Verdana" w:eastAsia="Times New Roman" w:hAnsi="Verdana" w:cs="Times New Roman"/>
          <w:lang w:eastAsia="es-MX"/>
        </w:rPr>
        <w:t>del Estado</w:t>
      </w:r>
      <w:r>
        <w:rPr>
          <w:rFonts w:ascii="Verdana" w:eastAsia="Century Gothic" w:hAnsi="Verdana" w:cs="Century Gothic"/>
        </w:rPr>
        <w:t>?</w:t>
      </w:r>
    </w:p>
    <w:p w14:paraId="39056BEF" w14:textId="77777777" w:rsidR="00DF3FD9" w:rsidRPr="00593A5F" w:rsidRDefault="00DF3FD9" w:rsidP="00DF3FD9">
      <w:pPr>
        <w:spacing w:after="0" w:line="276" w:lineRule="auto"/>
        <w:jc w:val="both"/>
        <w:rPr>
          <w:rFonts w:ascii="Verdana" w:eastAsia="Calibri" w:hAnsi="Verdana" w:cs="Arial"/>
          <w:color w:val="7030A0"/>
          <w:lang w:val="es-ES"/>
        </w:rPr>
      </w:pPr>
    </w:p>
    <w:p w14:paraId="200A71C3" w14:textId="77777777" w:rsidR="00DF3FD9" w:rsidRPr="00593A5F" w:rsidRDefault="00DF3FD9" w:rsidP="00DF3FD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BBB19AF" w14:textId="77777777" w:rsidR="00DF3FD9" w:rsidRPr="00593A5F" w:rsidRDefault="00DF3FD9" w:rsidP="00DF3FD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F3FD9" w:rsidRPr="00593A5F" w14:paraId="41C073E2" w14:textId="77777777" w:rsidTr="000A5ACE">
        <w:tc>
          <w:tcPr>
            <w:tcW w:w="8828" w:type="dxa"/>
          </w:tcPr>
          <w:p w14:paraId="6D882F77" w14:textId="5484F104" w:rsidR="002C3BE9" w:rsidRDefault="00DF3FD9" w:rsidP="000A5ACE">
            <w:pPr>
              <w:spacing w:before="100" w:beforeAutospacing="1" w:after="100" w:afterAutospacing="1" w:line="276" w:lineRule="auto"/>
              <w:jc w:val="both"/>
              <w:rPr>
                <w:rFonts w:ascii="Verdana" w:eastAsia="Times New Roman" w:hAnsi="Verdana" w:cs="Times New Roman"/>
                <w:lang w:eastAsia="es-MX"/>
              </w:rPr>
            </w:pPr>
            <w:r w:rsidRPr="00236674">
              <w:rPr>
                <w:rFonts w:ascii="Verdana" w:eastAsia="Times New Roman" w:hAnsi="Verdana" w:cs="Times New Roman"/>
                <w:lang w:eastAsia="es-MX"/>
              </w:rPr>
              <w:lastRenderedPageBreak/>
              <w:t>Para abordar los interrogantes planteados, es imperativo realizar un análisis sistemático del marco constitucional y legal vigente, partiendo de la premisa establecida en la Constitución Política. En este orden de ideas, analizado el conjunto de disposiciones que integran el régimen de inhabilidades e incompatibilidades para la contratación estatal, específicamente el artículo 8 de la Ley 80 de 1993, no se advierte una causal taxativa que restrinja de forma expresa que una persona —sea natural o jurídica— celebre más de un contrato de prestación de servicios al mismo tiempo con la misma entidad. Es fundamental distinguir que la prohibición constitucional del artículo 128, referente a recibir más de una asignación del tesoro público, aplica restrictivamente a los servidores públicos en situación legal y reglamentaria, y no se extiende a los contratistas de prestación de servicios, quienes actúan como particulares colaboradores de la administración y perciben honorarios, no salario</w:t>
            </w:r>
            <w:r w:rsidR="002C3BE9">
              <w:rPr>
                <w:rFonts w:ascii="Verdana" w:eastAsia="Times New Roman" w:hAnsi="Verdana" w:cs="Times New Roman"/>
                <w:lang w:eastAsia="es-MX"/>
              </w:rPr>
              <w:t xml:space="preserve">s. </w:t>
            </w:r>
          </w:p>
          <w:p w14:paraId="430144E3" w14:textId="65D27ECC" w:rsidR="002C3BE9" w:rsidRDefault="002C3BE9" w:rsidP="000A5ACE">
            <w:pPr>
              <w:spacing w:before="100" w:beforeAutospacing="1" w:after="100" w:afterAutospacing="1" w:line="276" w:lineRule="auto"/>
              <w:jc w:val="both"/>
              <w:rPr>
                <w:rFonts w:ascii="Verdana" w:hAnsi="Verdana"/>
              </w:rPr>
            </w:pPr>
            <w:r>
              <w:rPr>
                <w:rFonts w:ascii="Verdana" w:hAnsi="Verdana"/>
              </w:rPr>
              <w:t xml:space="preserve">       </w:t>
            </w:r>
            <w:r w:rsidRPr="002C3BE9">
              <w:rPr>
                <w:rFonts w:ascii="Verdana" w:hAnsi="Verdana"/>
              </w:rPr>
              <w:t>No obstante, de la viabilidad jurídica descrita, la contratación directa requiere que la entidad estatal celebre este tipo de contratos en virtud de la idoneidad y capacidad del contratista para desarrollar el objeto contractual. Al respecto, el artículo 2.2.1.2.1.4.9 del Decreto 1082 de 2015 faculta a las Entidades Estatales para contratar servicios profesionales y de apoyo a la gestión, condicionando dicha potestad a que se verifique que la persona natural o jurídica esté en capacidad de ejecutar el objeto del contrato. Este requisito de capacidad trasciende al hecho de determinar si el futuro contratista está inmerso en una causal de inhabilidad o incompatibilidad; la capacidad está relacionada con la disponibilidad de tiempo, recursos y dedicación necesarios para cumplir con las obligaciones pactadas. Por consiguiente, en virtud del principio de planeación, es indispensable que la entidad pública no solo defina con claridad el objeto contractual, sino que evalúe la carga del contratista por cada contrato para determinar la viabilidad material de la suscripción simultánea objeto de consulta.</w:t>
            </w:r>
          </w:p>
          <w:p w14:paraId="4854E03C" w14:textId="6F910A8D" w:rsidR="00DF3FD9" w:rsidRDefault="002C3BE9" w:rsidP="000A5ACE">
            <w:pPr>
              <w:spacing w:before="100" w:beforeAutospacing="1" w:after="100" w:afterAutospacing="1" w:line="276" w:lineRule="auto"/>
              <w:jc w:val="both"/>
              <w:rPr>
                <w:rFonts w:ascii="Verdana" w:eastAsia="Times New Roman" w:hAnsi="Verdana" w:cs="Times New Roman"/>
                <w:lang w:eastAsia="es-MX"/>
              </w:rPr>
            </w:pPr>
            <w:r>
              <w:t xml:space="preserve">          </w:t>
            </w:r>
            <w:r w:rsidRPr="002C3BE9">
              <w:rPr>
                <w:rFonts w:ascii="Verdana" w:hAnsi="Verdana"/>
              </w:rPr>
              <w:t xml:space="preserve">De conformidad con lo expuesto, se concluye que, si bien no existe una causal de inhabilidad o incompatibilidad taxativa para la suscripción simultánea de contratos de prestación de servicios con una misma entidad — situación extensiva a las Empresas Sociales del Estado, dado que su régimen especial tampoco contempla dicha prohibición—, la procedencia de la </w:t>
            </w:r>
            <w:r w:rsidRPr="002C3BE9">
              <w:rPr>
                <w:rFonts w:ascii="Verdana" w:hAnsi="Verdana"/>
              </w:rPr>
              <w:lastRenderedPageBreak/>
              <w:t>contratación está supeditada al análisis fáctico de la entidad. Por ende, es imperativo que la entidad contratante verifique que la simultaneidad no afecte la capacidad de cumplimiento de las estipulaciones de cada vínculo contractual y que no existan situaciones de conflicto de interés en el desarrollo de los objetos contractuales concurrentes.</w:t>
            </w:r>
            <w:r w:rsidR="00DF3FD9" w:rsidRPr="00236674">
              <w:rPr>
                <w:rFonts w:ascii="Verdana" w:eastAsia="Times New Roman" w:hAnsi="Verdana" w:cs="Times New Roman"/>
                <w:lang w:eastAsia="es-MX"/>
              </w:rPr>
              <w:t xml:space="preserve"> </w:t>
            </w:r>
          </w:p>
          <w:p w14:paraId="7B2B2892" w14:textId="77777777" w:rsidR="00DF3FD9" w:rsidRPr="00236674" w:rsidRDefault="00DF3FD9" w:rsidP="000A5ACE">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 xml:space="preserve">Finalmente, debe advertirse que el análisis requerido para resolver problemas específicos en torno a restricciones frente a la simultaneidad en la celebración </w:t>
            </w:r>
            <w:r w:rsidR="4C1110DF" w:rsidRPr="77EDCC31">
              <w:rPr>
                <w:rFonts w:ascii="Verdana" w:eastAsia="Times New Roman" w:hAnsi="Verdana" w:cs="Times New Roman"/>
                <w:lang w:eastAsia="es-MX"/>
              </w:rPr>
              <w:t xml:space="preserve">y ejecución </w:t>
            </w:r>
            <w:r w:rsidRPr="00236674">
              <w:rPr>
                <w:rFonts w:ascii="Verdana" w:eastAsia="Times New Roman" w:hAnsi="Verdana" w:cs="Times New Roman"/>
                <w:lang w:eastAsia="es-MX"/>
              </w:rPr>
              <w:t>de contratos debe ser realizado por quienes tengan interés directo en ello. De esta manera, las afirmaciones aquí realizadas obedecen a una interpretación general de la norma y no pueden ser interpretadas como juicios de valor sobre circunstancias concretas ni definen situaciones particulares, cuya solución corresponde a los ordenadores del gasto y supervisores y, en caso de conflicto, a las autoridades judiciales, fiscales y disciplinarias competentes</w:t>
            </w:r>
            <w:r>
              <w:rPr>
                <w:rFonts w:ascii="Verdana" w:eastAsia="Times New Roman" w:hAnsi="Verdana" w:cs="Times New Roman"/>
                <w:lang w:eastAsia="es-MX"/>
              </w:rPr>
              <w:t>.</w:t>
            </w:r>
          </w:p>
        </w:tc>
      </w:tr>
    </w:tbl>
    <w:p w14:paraId="0F2A6EE9" w14:textId="77777777" w:rsidR="00DF3FD9" w:rsidRPr="00593A5F" w:rsidRDefault="00DF3FD9" w:rsidP="00DF3FD9">
      <w:pPr>
        <w:tabs>
          <w:tab w:val="left" w:pos="142"/>
          <w:tab w:val="left" w:pos="284"/>
        </w:tabs>
        <w:spacing w:after="0" w:line="276" w:lineRule="auto"/>
        <w:jc w:val="both"/>
        <w:rPr>
          <w:rFonts w:ascii="Verdana" w:eastAsia="Century Gothic" w:hAnsi="Verdana" w:cs="Century Gothic"/>
          <w:b/>
          <w:bCs/>
          <w:lang w:val="es-ES"/>
        </w:rPr>
      </w:pPr>
    </w:p>
    <w:p w14:paraId="69ED90E5" w14:textId="77777777" w:rsidR="00DF3FD9" w:rsidRPr="00593A5F" w:rsidRDefault="00DF3FD9" w:rsidP="00DF3FD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9DCA07E" w14:textId="77777777" w:rsidR="00DF3FD9" w:rsidRPr="00593A5F" w:rsidRDefault="00DF3FD9" w:rsidP="00DF3FD9">
      <w:pPr>
        <w:spacing w:after="0" w:line="276" w:lineRule="auto"/>
        <w:jc w:val="both"/>
        <w:rPr>
          <w:rFonts w:ascii="Verdana" w:eastAsia="Calibri" w:hAnsi="Verdana" w:cs="Arial"/>
          <w:color w:val="7030A0"/>
          <w:lang w:val="es-ES"/>
        </w:rPr>
      </w:pPr>
    </w:p>
    <w:p w14:paraId="0005F2EB" w14:textId="77777777" w:rsidR="00DF3FD9" w:rsidRDefault="00DF3FD9" w:rsidP="00DF3FD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7F44DF7C" w14:textId="77777777" w:rsidR="00DF3FD9" w:rsidRDefault="00DF3FD9" w:rsidP="00DF3FD9">
      <w:pPr>
        <w:spacing w:after="0" w:line="276" w:lineRule="auto"/>
        <w:jc w:val="both"/>
        <w:rPr>
          <w:rFonts w:ascii="Verdana" w:eastAsia="Calibri" w:hAnsi="Verdana" w:cs="Arial"/>
          <w:lang w:val="es-ES"/>
        </w:rPr>
      </w:pPr>
    </w:p>
    <w:p w14:paraId="103E8825" w14:textId="77777777" w:rsidR="00DF3FD9" w:rsidRPr="003053B5" w:rsidRDefault="00DF3FD9" w:rsidP="00DF3FD9">
      <w:pPr>
        <w:pStyle w:val="Prrafodelista"/>
        <w:numPr>
          <w:ilvl w:val="0"/>
          <w:numId w:val="19"/>
        </w:numPr>
        <w:spacing w:after="0" w:line="276" w:lineRule="auto"/>
        <w:jc w:val="both"/>
        <w:rPr>
          <w:rFonts w:ascii="Verdana" w:eastAsia="Calibri" w:hAnsi="Verdana" w:cs="Arial"/>
          <w:u w:val="single"/>
        </w:rPr>
      </w:pPr>
      <w:r w:rsidRPr="003053B5">
        <w:rPr>
          <w:rFonts w:ascii="Verdana" w:eastAsia="Calibri" w:hAnsi="Verdana" w:cs="Arial"/>
          <w:u w:val="single"/>
        </w:rPr>
        <w:t>Fundamento normativo y características del contrato de prestación de servicios</w:t>
      </w:r>
    </w:p>
    <w:p w14:paraId="49F9AA83" w14:textId="77777777" w:rsidR="00DF3FD9" w:rsidRDefault="00DF3FD9" w:rsidP="00DF3FD9">
      <w:pPr>
        <w:widowControl w:val="0"/>
        <w:autoSpaceDE w:val="0"/>
        <w:autoSpaceDN w:val="0"/>
        <w:spacing w:after="0" w:line="276" w:lineRule="auto"/>
        <w:jc w:val="both"/>
        <w:rPr>
          <w:rFonts w:ascii="Verdana" w:eastAsia="Calibri" w:hAnsi="Verdana" w:cs="Arial"/>
        </w:rPr>
      </w:pPr>
    </w:p>
    <w:p w14:paraId="0A0F50D7" w14:textId="77777777" w:rsidR="00DF3FD9" w:rsidRPr="009F5D48" w:rsidRDefault="00DF3FD9" w:rsidP="00DF3FD9">
      <w:pPr>
        <w:widowControl w:val="0"/>
        <w:autoSpaceDE w:val="0"/>
        <w:autoSpaceDN w:val="0"/>
        <w:spacing w:after="0" w:line="276" w:lineRule="auto"/>
        <w:jc w:val="both"/>
        <w:rPr>
          <w:rFonts w:ascii="Verdana" w:eastAsia="Calibri" w:hAnsi="Verdana" w:cs="Arial"/>
          <w:lang w:val="es-ES"/>
        </w:rPr>
      </w:pPr>
      <w:r w:rsidRPr="009F5D48">
        <w:rPr>
          <w:rFonts w:ascii="Verdana" w:eastAsia="Calibri" w:hAnsi="Verdana" w:cs="Arial"/>
          <w:lang w:val="es-ES"/>
        </w:rPr>
        <w:t>Para empezar, el contrato de prestación de servicios es un contrato estatal típico que está regulado en el numeral 3 del artículo 32 de la Ley 80 de 1993:</w:t>
      </w:r>
    </w:p>
    <w:p w14:paraId="089CF524" w14:textId="77777777" w:rsidR="00DF3FD9" w:rsidRPr="009F5D48" w:rsidRDefault="00DF3FD9" w:rsidP="00DF3FD9">
      <w:pPr>
        <w:spacing w:before="100" w:beforeAutospacing="1" w:after="100" w:afterAutospacing="1" w:line="276" w:lineRule="auto"/>
        <w:ind w:left="851" w:right="758"/>
        <w:jc w:val="both"/>
        <w:rPr>
          <w:rFonts w:ascii="Verdana" w:eastAsia="Times New Roman" w:hAnsi="Verdana" w:cs="Open Sans"/>
          <w:lang w:eastAsia="es-CO"/>
        </w:rPr>
      </w:pPr>
      <w:r w:rsidRPr="009F5D48">
        <w:rPr>
          <w:rFonts w:ascii="Verdana" w:eastAsia="Times New Roman" w:hAnsi="Verdana" w:cs="Open Sans"/>
          <w:lang w:eastAsia="es-CO"/>
        </w:rPr>
        <w:t>Son contratos de prestación de servicios los que celebren las entidades estatales para desarrollar actividades relacionadas con la administración o funcionamiento de la entidad. Estos contratos sólo podrán celebrarse con personas naturales cuando dichas actividades </w:t>
      </w:r>
      <w:r w:rsidRPr="009F5D48">
        <w:rPr>
          <w:rFonts w:ascii="Verdana" w:eastAsia="Times New Roman" w:hAnsi="Verdana" w:cs="Open Sans"/>
          <w:u w:val="single"/>
          <w:lang w:eastAsia="es-CO"/>
        </w:rPr>
        <w:t>no puedan realizarse con personal de planta</w:t>
      </w:r>
      <w:r w:rsidRPr="009F5D48">
        <w:rPr>
          <w:rFonts w:ascii="Verdana" w:eastAsia="Times New Roman" w:hAnsi="Verdana" w:cs="Open Sans"/>
          <w:lang w:eastAsia="es-CO"/>
        </w:rPr>
        <w:t> o requieran conocimientos especializados.</w:t>
      </w:r>
    </w:p>
    <w:p w14:paraId="08751FED" w14:textId="77777777" w:rsidR="00DF3FD9" w:rsidRPr="009F5D48" w:rsidRDefault="00DF3FD9" w:rsidP="00DF3FD9">
      <w:pPr>
        <w:spacing w:before="100" w:beforeAutospacing="1" w:after="100" w:afterAutospacing="1" w:line="276" w:lineRule="auto"/>
        <w:ind w:left="851" w:right="758"/>
        <w:jc w:val="both"/>
        <w:rPr>
          <w:rFonts w:ascii="Verdana" w:eastAsia="Times New Roman" w:hAnsi="Verdana" w:cs="Open Sans"/>
          <w:lang w:eastAsia="es-CO"/>
        </w:rPr>
      </w:pPr>
      <w:r w:rsidRPr="009F5D48">
        <w:rPr>
          <w:rFonts w:ascii="Verdana" w:eastAsia="Times New Roman" w:hAnsi="Verdana" w:cs="Open Sans"/>
          <w:u w:val="single"/>
          <w:lang w:eastAsia="es-CO"/>
        </w:rPr>
        <w:t>En ningún caso</w:t>
      </w:r>
      <w:r w:rsidRPr="009F5D48">
        <w:rPr>
          <w:rFonts w:ascii="Verdana" w:eastAsia="Times New Roman" w:hAnsi="Verdana" w:cs="Open Sans"/>
          <w:lang w:eastAsia="es-CO"/>
        </w:rPr>
        <w:t> estos contratos</w:t>
      </w:r>
      <w:r w:rsidRPr="009F5D48">
        <w:rPr>
          <w:rFonts w:ascii="Verdana" w:eastAsia="Times New Roman" w:hAnsi="Verdana" w:cs="Open Sans"/>
          <w:u w:val="single"/>
          <w:lang w:eastAsia="es-CO"/>
        </w:rPr>
        <w:t> generan relación laboral ni prestaciones sociales</w:t>
      </w:r>
      <w:r w:rsidRPr="009F5D48">
        <w:rPr>
          <w:rFonts w:ascii="Verdana" w:eastAsia="Times New Roman" w:hAnsi="Verdana" w:cs="Open Sans"/>
          <w:lang w:eastAsia="es-CO"/>
        </w:rPr>
        <w:t> y se celebrarán por el término estrictamente indispensable.</w:t>
      </w:r>
    </w:p>
    <w:p w14:paraId="10568345" w14:textId="77777777" w:rsidR="00DF3FD9" w:rsidRPr="009F5D48" w:rsidRDefault="00DF3FD9" w:rsidP="00DF3FD9">
      <w:pPr>
        <w:widowControl w:val="0"/>
        <w:autoSpaceDE w:val="0"/>
        <w:autoSpaceDN w:val="0"/>
        <w:spacing w:after="0" w:line="276" w:lineRule="auto"/>
        <w:jc w:val="both"/>
        <w:rPr>
          <w:rFonts w:ascii="Verdana" w:eastAsia="Calibri" w:hAnsi="Verdana" w:cs="Arial"/>
        </w:rPr>
      </w:pPr>
      <w:r w:rsidRPr="009F5D48">
        <w:rPr>
          <w:rFonts w:ascii="Verdana" w:eastAsia="Calibri" w:hAnsi="Verdana" w:cs="Arial"/>
          <w:lang w:val="es-ES"/>
        </w:rPr>
        <w:lastRenderedPageBreak/>
        <w:t xml:space="preserve">Su modalidad de selección se encuentra establecida en el </w:t>
      </w:r>
      <w:r w:rsidRPr="009F5D48">
        <w:rPr>
          <w:rFonts w:ascii="Verdana" w:eastAsia="Calibri" w:hAnsi="Verdana" w:cs="Arial"/>
          <w:lang w:val="es-ES_tradnl"/>
        </w:rPr>
        <w:t xml:space="preserve">artículo 2, numeral 4º, literal h), de la Ley 1150 de 2007 como </w:t>
      </w:r>
      <w:r w:rsidRPr="009F5D48">
        <w:rPr>
          <w:rFonts w:ascii="Verdana" w:eastAsia="Calibri" w:hAnsi="Verdana" w:cs="Arial"/>
          <w:color w:val="000000" w:themeColor="text1"/>
          <w:lang w:val="es-ES_tradnl"/>
        </w:rPr>
        <w:t xml:space="preserve">contratación directa, y aquella es reglamentada en el </w:t>
      </w:r>
      <w:bookmarkStart w:id="1" w:name="_Hlk197360180"/>
      <w:r w:rsidRPr="009F5D48">
        <w:rPr>
          <w:rFonts w:ascii="Verdana" w:eastAsia="Calibri" w:hAnsi="Verdana" w:cs="Arial"/>
        </w:rPr>
        <w:t xml:space="preserve">artículo 2.2.1.2.1.4.9 </w:t>
      </w:r>
      <w:bookmarkEnd w:id="1"/>
      <w:r w:rsidRPr="009F5D48">
        <w:rPr>
          <w:rFonts w:ascii="Verdana" w:eastAsia="Calibri" w:hAnsi="Verdana" w:cs="Arial"/>
        </w:rPr>
        <w:t xml:space="preserve">del Decreto 1082 de 2015, del que se resalta </w:t>
      </w:r>
      <w:r w:rsidRPr="009F5D48">
        <w:rPr>
          <w:rFonts w:ascii="Verdana" w:hAnsi="Verdana" w:cs="Arial"/>
        </w:rPr>
        <w:t>la obligación de las entidades estatales de verificar la idoneidad de las personas con las que se celebrará este tipo de contratos</w:t>
      </w:r>
      <w:r w:rsidRPr="009F5D48">
        <w:rPr>
          <w:rFonts w:ascii="Verdana" w:eastAsia="Calibri" w:hAnsi="Verdana" w:cs="Arial"/>
        </w:rPr>
        <w:t>:</w:t>
      </w:r>
    </w:p>
    <w:p w14:paraId="61F69C12" w14:textId="77777777" w:rsidR="00DF3FD9" w:rsidRPr="009F5D48" w:rsidRDefault="00DF3FD9" w:rsidP="77EDCC31">
      <w:pPr>
        <w:shd w:val="clear" w:color="auto" w:fill="FFFFFF" w:themeFill="background1"/>
        <w:spacing w:before="100" w:beforeAutospacing="1" w:after="100" w:afterAutospacing="1" w:line="276" w:lineRule="auto"/>
        <w:ind w:left="851" w:right="758"/>
        <w:jc w:val="both"/>
        <w:rPr>
          <w:rFonts w:ascii="Verdana" w:eastAsia="Times New Roman" w:hAnsi="Verdana" w:cs="Times New Roman"/>
          <w:color w:val="333333"/>
          <w:lang w:eastAsia="es-CO"/>
        </w:rPr>
      </w:pPr>
      <w:r w:rsidRPr="009F5D48">
        <w:rPr>
          <w:rFonts w:ascii="Verdana" w:eastAsia="Times New Roman" w:hAnsi="Verdana" w:cs="Times New Roman"/>
          <w:color w:val="333333"/>
          <w:lang w:eastAsia="es-CO"/>
        </w:rPr>
        <w:t xml:space="preserve">Las Entidades Estatales pueden contratar bajo la modalidad de contratación directa la prestación de servicios profesionales y de apoyo a la gestión con la persona natural o jurídica </w:t>
      </w:r>
      <w:r w:rsidRPr="00966C8C">
        <w:rPr>
          <w:rFonts w:ascii="Verdana" w:eastAsia="Times New Roman" w:hAnsi="Verdana" w:cs="Times New Roman"/>
          <w:b/>
          <w:color w:val="333333"/>
          <w:u w:val="single"/>
          <w:lang w:eastAsia="es-CO"/>
        </w:rPr>
        <w:t>que esté en capacidad de ejecutar el objeto del contrato</w:t>
      </w:r>
      <w:r w:rsidRPr="009F5D48">
        <w:rPr>
          <w:rFonts w:ascii="Verdana" w:eastAsia="Times New Roman" w:hAnsi="Verdana" w:cs="Times New Roman"/>
          <w:color w:val="333333"/>
          <w:lang w:eastAsia="es-CO"/>
        </w:rPr>
        <w:t>,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4CCE4C9C" w14:textId="77777777" w:rsidR="00DF3FD9" w:rsidRPr="009F5D48" w:rsidRDefault="00DF3FD9" w:rsidP="00DF3FD9">
      <w:pPr>
        <w:shd w:val="clear" w:color="auto" w:fill="FFFFFF"/>
        <w:spacing w:before="100" w:beforeAutospacing="1" w:after="100" w:afterAutospacing="1" w:line="276" w:lineRule="auto"/>
        <w:ind w:left="851" w:right="758"/>
        <w:jc w:val="both"/>
        <w:rPr>
          <w:rFonts w:ascii="Verdana" w:eastAsia="Times New Roman" w:hAnsi="Verdana" w:cs="Times New Roman"/>
          <w:color w:val="333333"/>
          <w:lang w:eastAsia="es-CO"/>
        </w:rPr>
      </w:pPr>
      <w:r w:rsidRPr="009F5D48">
        <w:rPr>
          <w:rFonts w:ascii="Verdana" w:eastAsia="Times New Roman" w:hAnsi="Verdana" w:cs="Times New Roman"/>
          <w:color w:val="333333"/>
          <w:lang w:eastAsia="es-CO"/>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215DCFFF" w14:textId="77777777" w:rsidR="00DF3FD9" w:rsidRPr="009F5D48" w:rsidRDefault="00DF3FD9" w:rsidP="00DF3FD9">
      <w:pPr>
        <w:shd w:val="clear" w:color="auto" w:fill="FFFFFF"/>
        <w:spacing w:before="100" w:beforeAutospacing="1" w:after="100" w:afterAutospacing="1" w:line="276" w:lineRule="auto"/>
        <w:ind w:left="851" w:right="758"/>
        <w:jc w:val="both"/>
        <w:rPr>
          <w:rFonts w:ascii="Verdana" w:eastAsia="Times New Roman" w:hAnsi="Verdana" w:cs="Times New Roman"/>
          <w:color w:val="333333"/>
          <w:lang w:eastAsia="es-CO"/>
        </w:rPr>
      </w:pPr>
      <w:r w:rsidRPr="009F5D48">
        <w:rPr>
          <w:rFonts w:ascii="Verdana" w:eastAsia="Times New Roman" w:hAnsi="Verdana" w:cs="Times New Roman"/>
          <w:color w:val="333333"/>
          <w:lang w:eastAsia="es-CO"/>
        </w:rPr>
        <w:t>La Entidad Estatal, para la contratación de trabajos artísticos que solamente puedan encomendarse a determinadas personas naturales, debe justificar esta situación en los estudios y documentos previos.</w:t>
      </w:r>
    </w:p>
    <w:p w14:paraId="27011C84" w14:textId="77777777" w:rsidR="00DF3FD9" w:rsidRPr="001E7958" w:rsidRDefault="00DF3FD9" w:rsidP="00DF3FD9">
      <w:pPr>
        <w:spacing w:after="120" w:line="276" w:lineRule="auto"/>
        <w:ind w:right="51" w:firstLine="709"/>
        <w:jc w:val="both"/>
        <w:rPr>
          <w:rFonts w:ascii="Verdana" w:eastAsia="Calibri" w:hAnsi="Verdana" w:cs="Arial"/>
        </w:rPr>
      </w:pPr>
      <w:r w:rsidRPr="009F5D48">
        <w:rPr>
          <w:rFonts w:ascii="Verdana" w:eastAsia="Calibri" w:hAnsi="Verdana" w:cs="Arial"/>
        </w:rPr>
        <w:t xml:space="preserve">Se resalta que </w:t>
      </w:r>
      <w:r w:rsidRPr="009F5D48">
        <w:rPr>
          <w:rFonts w:ascii="Verdana" w:hAnsi="Verdana" w:cs="Arial"/>
        </w:rPr>
        <w:t xml:space="preserve">cada entidad estatal tiene la facultad de definir los requisitos habilitantes para la contratación en los documentos previos de acuerdo con las características y la naturaleza del contrato, atendiendo siempre a los principios de planeación, transparencia y selección objetiva. En virtud de los cuales, la Entidad estatal al definir la necesidad a satisfacer con la contratación de prestación de servicios profesionales, debe establecer el objeto contractual, las obligaciones que lo desarrollan y el perfil requerido para dar cumplimiento a los mismos. </w:t>
      </w:r>
    </w:p>
    <w:p w14:paraId="70AFB43D" w14:textId="77777777" w:rsidR="00DF3FD9" w:rsidRPr="009F5D48" w:rsidRDefault="00DF3FD9" w:rsidP="00DF3FD9">
      <w:pPr>
        <w:spacing w:after="120" w:line="276" w:lineRule="auto"/>
        <w:ind w:firstLine="709"/>
        <w:jc w:val="both"/>
        <w:rPr>
          <w:rFonts w:ascii="Verdana" w:eastAsia="Calibri" w:hAnsi="Verdana" w:cs="Arial"/>
          <w:color w:val="000000"/>
          <w:lang w:val="es-ES_tradnl" w:eastAsia="es-ES_tradnl"/>
        </w:rPr>
      </w:pPr>
      <w:r w:rsidRPr="009F5D48">
        <w:rPr>
          <w:rFonts w:ascii="Verdana" w:eastAsia="Calibri" w:hAnsi="Verdana" w:cs="Arial"/>
          <w:color w:val="000000"/>
          <w:lang w:val="es-ES_tradnl" w:eastAsia="es-ES_tradnl"/>
        </w:rPr>
        <w:lastRenderedPageBreak/>
        <w:t>Así, a partir de estos enunciados normativos, entre otros, de carácter legal y reglamentario, que complementan su regulación, así como de pronunciamientos jurisprudenciales</w:t>
      </w:r>
      <w:r w:rsidRPr="009F5D48">
        <w:rPr>
          <w:rStyle w:val="Refdenotaalpie"/>
          <w:rFonts w:ascii="Verdana" w:eastAsia="Calibri" w:hAnsi="Verdana" w:cs="Arial"/>
          <w:color w:val="000000"/>
          <w:lang w:val="es-ES_tradnl" w:eastAsia="es-ES_tradnl"/>
        </w:rPr>
        <w:footnoteReference w:id="1"/>
      </w:r>
      <w:r w:rsidRPr="009F5D48">
        <w:rPr>
          <w:rFonts w:ascii="Verdana" w:eastAsia="Calibri" w:hAnsi="Verdana" w:cs="Arial"/>
          <w:color w:val="000000"/>
          <w:lang w:val="es-ES_tradnl" w:eastAsia="es-ES_tradnl"/>
        </w:rPr>
        <w:t>, es posible señalar las siguientes características del contrato de prestación de servicios:</w:t>
      </w:r>
    </w:p>
    <w:p w14:paraId="1FA28285" w14:textId="77777777" w:rsidR="00DF3FD9" w:rsidRPr="009F5D48" w:rsidRDefault="00DF3FD9" w:rsidP="00DF3FD9">
      <w:pPr>
        <w:pStyle w:val="Prrafodelista"/>
        <w:numPr>
          <w:ilvl w:val="0"/>
          <w:numId w:val="18"/>
        </w:numPr>
        <w:spacing w:after="0" w:line="276" w:lineRule="auto"/>
        <w:ind w:left="0" w:firstLine="709"/>
        <w:jc w:val="both"/>
        <w:rPr>
          <w:rFonts w:ascii="Verdana" w:eastAsia="Calibri" w:hAnsi="Verdana" w:cs="Arial"/>
        </w:rPr>
      </w:pPr>
      <w:r w:rsidRPr="009F5D48">
        <w:rPr>
          <w:rFonts w:ascii="Verdana" w:eastAsia="Calibri" w:hAnsi="Verdana" w:cs="Arial"/>
        </w:rPr>
        <w:t>Solo puede celebrarse para realizar “actividades relacionadas con la administración o funcionamiento de la entidad”, es decir, que hagan parte de su giro ordinario o quehacer cotidiano</w:t>
      </w:r>
      <w:r w:rsidRPr="009F5D48">
        <w:rPr>
          <w:rStyle w:val="Refdenotaalpie"/>
          <w:rFonts w:ascii="Verdana" w:eastAsia="Calibri" w:hAnsi="Verdana" w:cs="Arial"/>
        </w:rPr>
        <w:footnoteReference w:id="2"/>
      </w:r>
      <w:r w:rsidRPr="009F5D48">
        <w:rPr>
          <w:rFonts w:ascii="Verdana" w:eastAsia="Calibri" w:hAnsi="Verdana" w:cs="Arial"/>
        </w:rPr>
        <w:t xml:space="preserve">; </w:t>
      </w:r>
    </w:p>
    <w:p w14:paraId="3875F39F" w14:textId="77777777" w:rsidR="00DF3FD9" w:rsidRPr="009F5D48" w:rsidRDefault="00DF3FD9" w:rsidP="00DF3FD9">
      <w:pPr>
        <w:pStyle w:val="Prrafodelista"/>
        <w:numPr>
          <w:ilvl w:val="0"/>
          <w:numId w:val="18"/>
        </w:numPr>
        <w:spacing w:after="0" w:line="276" w:lineRule="auto"/>
        <w:ind w:left="0" w:firstLine="720"/>
        <w:jc w:val="both"/>
        <w:rPr>
          <w:rFonts w:ascii="Verdana" w:eastAsia="Calibri" w:hAnsi="Verdana" w:cs="Arial"/>
        </w:rPr>
      </w:pPr>
      <w:r w:rsidRPr="009F5D48">
        <w:rPr>
          <w:rFonts w:ascii="Verdana" w:eastAsia="Calibri" w:hAnsi="Verdana" w:cs="Arial"/>
        </w:rPr>
        <w:t xml:space="preserve">Respecto del tipo de personas que pueden ser contratadas, admite que se suscriba con personas naturales o jurídicas. Sin embargo, cuando se celebre con personas naturales la Entidad Estatal debe justificar, en los estudios previos, que las actividades “no puedan realizarse con personal de planta o requieran conocimientos especializados”; </w:t>
      </w:r>
    </w:p>
    <w:p w14:paraId="200FE34B" w14:textId="77777777" w:rsidR="00DF3FD9" w:rsidRPr="009F5D48" w:rsidRDefault="00DF3FD9" w:rsidP="00DF3FD9">
      <w:pPr>
        <w:pStyle w:val="Prrafodelista"/>
        <w:numPr>
          <w:ilvl w:val="0"/>
          <w:numId w:val="18"/>
        </w:numPr>
        <w:spacing w:after="120" w:line="276" w:lineRule="auto"/>
        <w:ind w:left="0" w:firstLine="709"/>
        <w:jc w:val="both"/>
        <w:rPr>
          <w:rFonts w:ascii="Verdana" w:hAnsi="Verdana" w:cs="Arial"/>
          <w:noProof/>
          <w:lang w:val="es-ES_tradnl"/>
        </w:rPr>
      </w:pPr>
      <w:r w:rsidRPr="009F5D48">
        <w:rPr>
          <w:rFonts w:ascii="Verdana" w:hAnsi="Verdana" w:cs="Arial"/>
          <w:noProof/>
          <w:lang w:val="es-ES_tradnl"/>
        </w:rPr>
        <w:t xml:space="preserve">Si bien se celebran para obtener la prestación personal de un servicio, se diferencian del contrato de trabajo en que quien celebra el contrato de prestación de servicios debe mantener autonomía e independencia en la ejecución de la labor, lo que significa que no debe existir </w:t>
      </w:r>
      <w:r w:rsidRPr="009F5D48">
        <w:rPr>
          <w:rFonts w:ascii="Verdana" w:hAnsi="Verdana" w:cs="Arial"/>
          <w:i/>
          <w:noProof/>
          <w:lang w:val="es-ES_tradnl"/>
        </w:rPr>
        <w:t xml:space="preserve">subordinación </w:t>
      </w:r>
      <w:r w:rsidRPr="009F5D48">
        <w:rPr>
          <w:rFonts w:ascii="Verdana" w:hAnsi="Verdana" w:cs="Arial"/>
          <w:iCs/>
          <w:noProof/>
          <w:lang w:val="es-ES_tradnl"/>
        </w:rPr>
        <w:t>ni</w:t>
      </w:r>
      <w:r w:rsidRPr="009F5D48">
        <w:rPr>
          <w:rFonts w:ascii="Verdana" w:hAnsi="Verdana" w:cs="Arial"/>
          <w:i/>
          <w:noProof/>
          <w:lang w:val="es-ES_tradnl"/>
        </w:rPr>
        <w:t xml:space="preserve"> dependencia</w:t>
      </w:r>
      <w:r w:rsidRPr="009F5D48">
        <w:rPr>
          <w:rFonts w:ascii="Verdana" w:hAnsi="Verdana" w:cs="Arial"/>
          <w:iCs/>
          <w:noProof/>
          <w:lang w:val="es-ES_tradnl"/>
        </w:rPr>
        <w:t>,</w:t>
      </w:r>
      <w:r w:rsidRPr="009F5D48">
        <w:rPr>
          <w:rFonts w:ascii="Verdana" w:hAnsi="Verdana" w:cs="Arial"/>
          <w:noProof/>
          <w:lang w:val="es-ES_tradnl"/>
        </w:rPr>
        <w:t xml:space="preserve"> que es uno de los elementos constitutivos del vínculo laboral</w:t>
      </w:r>
      <w:r w:rsidRPr="009F5D48">
        <w:rPr>
          <w:rFonts w:ascii="Verdana" w:hAnsi="Verdana"/>
          <w:noProof/>
          <w:vertAlign w:val="superscript"/>
          <w:lang w:val="es-ES_tradnl"/>
        </w:rPr>
        <w:footnoteReference w:id="3"/>
      </w:r>
      <w:r w:rsidRPr="009F5D48">
        <w:rPr>
          <w:rFonts w:ascii="Verdana" w:hAnsi="Verdana" w:cs="Arial"/>
          <w:noProof/>
          <w:lang w:val="es-ES_tradnl"/>
        </w:rPr>
        <w:t xml:space="preserve">. </w:t>
      </w:r>
    </w:p>
    <w:p w14:paraId="1C8F877E" w14:textId="77777777" w:rsidR="00DF3FD9" w:rsidRPr="009F5D48" w:rsidRDefault="00DF3FD9" w:rsidP="00DF3FD9">
      <w:pPr>
        <w:spacing w:after="120" w:line="276" w:lineRule="auto"/>
        <w:jc w:val="both"/>
        <w:rPr>
          <w:rFonts w:ascii="Verdana" w:hAnsi="Verdana" w:cs="Arial"/>
          <w:noProof/>
          <w:lang w:val="es-ES_tradnl"/>
        </w:rPr>
      </w:pPr>
      <w:r w:rsidRPr="009F5D48">
        <w:rPr>
          <w:rFonts w:ascii="Verdana" w:hAnsi="Verdana" w:cs="Arial"/>
          <w:noProof/>
          <w:lang w:val="es-ES_tradnl"/>
        </w:rPr>
        <w:t xml:space="preserve">Por lo anterior, el artículo 32, numeral 3º, de la Ley 80 de 1993 establece que “En ningún caso estos contratos generan relación laboral ni prestaciones sociales”. Este inciso, más que un enunciado que aluda al “ser”, se refiere al “deber ser”, pues debe interpretarse en el sentido de que los contratos de prestación de servicios profesionales </w:t>
      </w:r>
      <w:r w:rsidRPr="009F5D48">
        <w:rPr>
          <w:rFonts w:ascii="Verdana" w:hAnsi="Verdana" w:cs="Arial"/>
          <w:i/>
          <w:noProof/>
          <w:lang w:val="es-ES_tradnl"/>
        </w:rPr>
        <w:t>no pueden</w:t>
      </w:r>
      <w:r w:rsidRPr="009F5D48">
        <w:rPr>
          <w:rFonts w:ascii="Verdana" w:hAnsi="Verdana" w:cs="Arial"/>
          <w:noProof/>
          <w:lang w:val="es-ES_tradnl"/>
        </w:rPr>
        <w:t xml:space="preserve"> generar relación laboral. Tal como se indicó, no puede existir subordinación y dependencia; entonces, la relación laboral está proscrita y el contratista es quien, como “trabajador independiente” – debe dispononer de forma autonoma la ejecución de las actividades objeto del contrato.  </w:t>
      </w:r>
    </w:p>
    <w:p w14:paraId="494DBF0B" w14:textId="77777777" w:rsidR="00DF3FD9" w:rsidRPr="009F5D48" w:rsidRDefault="00DF3FD9" w:rsidP="00DF3FD9">
      <w:pPr>
        <w:pStyle w:val="Prrafodelista"/>
        <w:numPr>
          <w:ilvl w:val="0"/>
          <w:numId w:val="18"/>
        </w:numPr>
        <w:spacing w:after="120" w:line="276" w:lineRule="auto"/>
        <w:ind w:left="0" w:firstLine="720"/>
        <w:jc w:val="both"/>
        <w:rPr>
          <w:rFonts w:ascii="Verdana" w:eastAsia="Calibri" w:hAnsi="Verdana" w:cs="Arial"/>
          <w:color w:val="000000"/>
          <w:lang w:val="es-ES_tradnl" w:eastAsia="es-ES_tradnl"/>
        </w:rPr>
      </w:pPr>
      <w:r w:rsidRPr="009F5D48">
        <w:rPr>
          <w:rFonts w:ascii="Verdana" w:hAnsi="Verdana" w:cs="Arial"/>
          <w:noProof/>
          <w:lang w:val="es-ES_tradnl"/>
        </w:rPr>
        <w:lastRenderedPageBreak/>
        <w:t xml:space="preserve">Deben ser temporales. La </w:t>
      </w:r>
      <w:r w:rsidRPr="009F5D48">
        <w:rPr>
          <w:rFonts w:ascii="Verdana" w:eastAsia="Arial" w:hAnsi="Verdana" w:cs="Arial"/>
          <w:color w:val="000000"/>
        </w:rPr>
        <w:t>Sentencia de Unificación Jurisprudencial de 09 de septiembre de 2021, proferida por el Consejo de Estado</w:t>
      </w:r>
      <w:r w:rsidRPr="009F5D48">
        <w:rPr>
          <w:rFonts w:ascii="Verdana" w:hAnsi="Verdana"/>
          <w:bCs/>
          <w:vertAlign w:val="superscript"/>
        </w:rPr>
        <w:footnoteReference w:id="4"/>
      </w:r>
      <w:r w:rsidRPr="009F5D48">
        <w:rPr>
          <w:rFonts w:ascii="Verdana" w:hAnsi="Verdana" w:cs="Arial"/>
          <w:noProof/>
          <w:lang w:val="es-ES_tradnl"/>
        </w:rPr>
        <w:t>, frente a la duración del contrato de prestación de servicios señaló que, solo puede celebrarse por un “término estrictamente indispensable”. En ese entendido, la citada sentencia unificó el sentido y alcance del término estrictamente indispensable como “aquel que aparece expresamente estipulado en la minuta del contrato de prestación de servicios, que de acuerdo con los razonamientos contenidos en los estudios previos, representa el lapso durante el cual se espera que el contratista cumpla a cabalidad el objeto del contrato y las obligaciones que de él se derivan, sin perjuicio de las prórrogas excepcionales que puedan acordarse para garantizar su cumplimiento”.</w:t>
      </w:r>
    </w:p>
    <w:p w14:paraId="46A6F3C5" w14:textId="77777777" w:rsidR="00DF3FD9" w:rsidRPr="009F5D48" w:rsidRDefault="00DF3FD9" w:rsidP="00DF3FD9">
      <w:pPr>
        <w:pStyle w:val="Prrafodelista"/>
        <w:numPr>
          <w:ilvl w:val="0"/>
          <w:numId w:val="18"/>
        </w:numPr>
        <w:spacing w:after="120" w:line="276" w:lineRule="auto"/>
        <w:ind w:left="0" w:firstLine="720"/>
        <w:jc w:val="both"/>
        <w:rPr>
          <w:rFonts w:ascii="Verdana" w:eastAsia="Calibri" w:hAnsi="Verdana" w:cs="Arial"/>
          <w:lang w:eastAsia="es-ES"/>
        </w:rPr>
      </w:pPr>
      <w:r w:rsidRPr="009F5D48">
        <w:rPr>
          <w:rFonts w:ascii="Verdana" w:eastAsia="Calibri" w:hAnsi="Verdana" w:cs="Arial"/>
          <w:color w:val="000000"/>
          <w:lang w:eastAsia="es-ES"/>
        </w:rPr>
        <w:t xml:space="preserve">Los contratos de prestación de servicios constituyen un </w:t>
      </w:r>
      <w:r w:rsidRPr="009F5D48">
        <w:rPr>
          <w:rFonts w:ascii="Verdana" w:eastAsia="Calibri" w:hAnsi="Verdana" w:cs="Arial"/>
          <w:i/>
          <w:color w:val="000000"/>
          <w:lang w:eastAsia="es-ES"/>
        </w:rPr>
        <w:t>género</w:t>
      </w:r>
      <w:r w:rsidRPr="009F5D48">
        <w:rPr>
          <w:rFonts w:ascii="Verdana" w:eastAsia="Calibri" w:hAnsi="Verdana" w:cs="Arial"/>
          <w:color w:val="000000"/>
          <w:lang w:eastAsia="es-ES"/>
        </w:rPr>
        <w:t xml:space="preserve"> que incluye, como </w:t>
      </w:r>
      <w:r w:rsidRPr="009F5D48">
        <w:rPr>
          <w:rFonts w:ascii="Verdana" w:eastAsia="Calibri" w:hAnsi="Verdana" w:cs="Arial"/>
          <w:i/>
          <w:color w:val="000000"/>
          <w:lang w:eastAsia="es-ES"/>
        </w:rPr>
        <w:t>especies</w:t>
      </w:r>
      <w:r w:rsidRPr="009F5D48">
        <w:rPr>
          <w:rFonts w:ascii="Verdana" w:eastAsia="Calibri" w:hAnsi="Verdana" w:cs="Arial"/>
          <w:color w:val="000000"/>
          <w:lang w:eastAsia="es-ES"/>
        </w:rPr>
        <w:t>, los contratos de prestación de servicios profesionales, los contratos de prestación de servicios de apoyo a la gestión y los contratos de prestación de servicios artísticos que solo pueden encomendarse a determinadas personas naturales</w:t>
      </w:r>
      <w:r w:rsidRPr="009F5D48">
        <w:rPr>
          <w:rFonts w:ascii="Verdana" w:hAnsi="Verdana"/>
          <w:vertAlign w:val="superscript"/>
          <w:lang w:eastAsia="es-ES"/>
        </w:rPr>
        <w:footnoteReference w:id="5"/>
      </w:r>
      <w:r w:rsidRPr="009F5D48">
        <w:rPr>
          <w:rFonts w:ascii="Verdana" w:eastAsia="Calibri" w:hAnsi="Verdana" w:cs="Arial"/>
          <w:color w:val="000000"/>
          <w:lang w:eastAsia="es-ES"/>
        </w:rPr>
        <w:t xml:space="preserve">. La diferencia entre el contrato de prestación de servicios </w:t>
      </w:r>
      <w:r w:rsidRPr="009F5D48">
        <w:rPr>
          <w:rFonts w:ascii="Verdana" w:eastAsia="Calibri" w:hAnsi="Verdana" w:cs="Arial"/>
          <w:i/>
          <w:color w:val="000000"/>
          <w:lang w:eastAsia="es-ES"/>
        </w:rPr>
        <w:t>profesionales</w:t>
      </w:r>
      <w:r w:rsidRPr="009F5D48">
        <w:rPr>
          <w:rFonts w:ascii="Verdana" w:eastAsia="Calibri" w:hAnsi="Verdana" w:cs="Arial"/>
          <w:color w:val="000000"/>
          <w:lang w:eastAsia="es-ES"/>
        </w:rPr>
        <w:t xml:space="preserve"> con las otras dos especies del género en el cual se ubican radica en su contenido intelectual intangible y, al mismo tiempo, en la formación </w:t>
      </w:r>
      <w:r w:rsidRPr="009F5D48">
        <w:rPr>
          <w:rFonts w:ascii="Verdana" w:eastAsia="Calibri" w:hAnsi="Verdana" w:cs="Arial"/>
          <w:lang w:eastAsia="es-ES"/>
        </w:rPr>
        <w:t>profesional que se exige para desempeñar la labor</w:t>
      </w:r>
      <w:r w:rsidRPr="009F5D48">
        <w:rPr>
          <w:rFonts w:ascii="Verdana" w:hAnsi="Verdana"/>
          <w:vertAlign w:val="superscript"/>
          <w:lang w:eastAsia="es-ES"/>
        </w:rPr>
        <w:footnoteReference w:id="6"/>
      </w:r>
      <w:r w:rsidRPr="009F5D48">
        <w:rPr>
          <w:rFonts w:ascii="Verdana" w:eastAsia="Calibri" w:hAnsi="Verdana" w:cs="Arial"/>
          <w:lang w:eastAsia="es-ES"/>
        </w:rPr>
        <w:t>.</w:t>
      </w:r>
    </w:p>
    <w:p w14:paraId="0DE2A031" w14:textId="77777777" w:rsidR="00DF3FD9" w:rsidRPr="009F5D48" w:rsidRDefault="00DF3FD9" w:rsidP="00DF3FD9">
      <w:pPr>
        <w:pStyle w:val="Prrafodelista"/>
        <w:widowControl w:val="0"/>
        <w:numPr>
          <w:ilvl w:val="0"/>
          <w:numId w:val="18"/>
        </w:numPr>
        <w:autoSpaceDE w:val="0"/>
        <w:autoSpaceDN w:val="0"/>
        <w:spacing w:after="0" w:line="276" w:lineRule="auto"/>
        <w:ind w:left="0" w:firstLine="720"/>
        <w:jc w:val="both"/>
        <w:rPr>
          <w:rFonts w:ascii="Verdana" w:eastAsia="Calibri" w:hAnsi="Verdana" w:cs="Arial"/>
          <w:color w:val="7030A0"/>
        </w:rPr>
      </w:pPr>
      <w:r w:rsidRPr="009F5D48">
        <w:rPr>
          <w:rFonts w:ascii="Verdana" w:hAnsi="Verdana" w:cs="Arial"/>
          <w:noProof/>
          <w:lang w:val="es-ES_tradnl"/>
        </w:rPr>
        <w:t xml:space="preserve">Se celebran a través de la modalidad de contratación directa, independientemente de la cuantía y del tipo de servicio profesional, siempre que su objeto no sea la consultoría. Esto por cuanto, como lo indicó </w:t>
      </w:r>
      <w:r w:rsidRPr="009F5D48">
        <w:rPr>
          <w:rFonts w:ascii="Verdana" w:eastAsia="Arial" w:hAnsi="Verdana" w:cs="Arial"/>
        </w:rPr>
        <w:t>Sentencia de Unificación Jurisprudencial de 09 de septiembre de 2021, proferida por el Consejo de Estado</w:t>
      </w:r>
      <w:r w:rsidRPr="009F5D48">
        <w:rPr>
          <w:rFonts w:ascii="Verdana" w:hAnsi="Verdana"/>
          <w:bCs/>
          <w:vertAlign w:val="superscript"/>
        </w:rPr>
        <w:footnoteReference w:id="7"/>
      </w:r>
      <w:r w:rsidRPr="009F5D48">
        <w:rPr>
          <w:rFonts w:ascii="Verdana" w:hAnsi="Verdana" w:cs="Arial"/>
          <w:noProof/>
          <w:lang w:val="es-ES_tradnl"/>
        </w:rPr>
        <w:t xml:space="preserve">, si bien en ambos existe un componente intelectual y </w:t>
      </w:r>
      <w:r w:rsidRPr="009F5D48">
        <w:rPr>
          <w:rFonts w:ascii="Verdana" w:hAnsi="Verdana" w:cs="Arial"/>
          <w:noProof/>
          <w:lang w:val="es-ES_tradnl"/>
        </w:rPr>
        <w:lastRenderedPageBreak/>
        <w:t>profesional, el objeto del contrato de consultoría es especial y debe celebrarse, por regla general, mediante un concurso de méritos</w:t>
      </w:r>
      <w:r w:rsidRPr="009F5D48">
        <w:rPr>
          <w:rFonts w:ascii="Verdana" w:hAnsi="Verdana"/>
          <w:noProof/>
          <w:vertAlign w:val="superscript"/>
          <w:lang w:val="es-ES_tradnl"/>
        </w:rPr>
        <w:footnoteReference w:id="8"/>
      </w:r>
      <w:r w:rsidRPr="009F5D48">
        <w:rPr>
          <w:rFonts w:ascii="Verdana" w:hAnsi="Verdana" w:cs="Arial"/>
          <w:noProof/>
          <w:lang w:val="es-ES_tradnl"/>
        </w:rPr>
        <w:t>. Esto también se deriva d</w:t>
      </w:r>
      <w:r w:rsidRPr="009F5D48">
        <w:rPr>
          <w:rFonts w:ascii="Verdana" w:eastAsia="Calibri" w:hAnsi="Verdana" w:cs="Arial"/>
          <w:color w:val="000000" w:themeColor="text1"/>
          <w:lang w:val="es-ES_tradnl"/>
        </w:rPr>
        <w:t>el artículo 2, numeral 4º, literal h) de la Ley 1150 de 2007, al señalar que procede la contratación directa para la prestación de servicios profesionales y de apoyo a la gestión o para la ejecución de trabajos artísticos que solo pueden encomendarse a determinadas personas.</w:t>
      </w:r>
    </w:p>
    <w:p w14:paraId="4A282030" w14:textId="77777777" w:rsidR="00DF3FD9" w:rsidRPr="009F5D48" w:rsidRDefault="00DF3FD9" w:rsidP="00DF3FD9">
      <w:pPr>
        <w:pStyle w:val="Prrafodelista"/>
        <w:numPr>
          <w:ilvl w:val="0"/>
          <w:numId w:val="18"/>
        </w:numPr>
        <w:spacing w:after="120" w:line="276" w:lineRule="auto"/>
        <w:ind w:left="0" w:firstLine="720"/>
        <w:jc w:val="both"/>
        <w:rPr>
          <w:rFonts w:ascii="Verdana" w:hAnsi="Verdana" w:cs="Arial"/>
          <w:noProof/>
          <w:lang w:val="es-ES_tradnl"/>
        </w:rPr>
      </w:pPr>
      <w:r w:rsidRPr="009F5D48">
        <w:rPr>
          <w:rFonts w:ascii="Verdana" w:hAnsi="Verdana" w:cs="Arial"/>
          <w:noProof/>
          <w:lang w:val="es-ES_tradnl"/>
        </w:rPr>
        <w:t>Para su celebración no se requiere expedir un acto administrativo de justificación de la contratación directa</w:t>
      </w:r>
      <w:r w:rsidRPr="009F5D48">
        <w:rPr>
          <w:rFonts w:ascii="Verdana" w:hAnsi="Verdana"/>
          <w:noProof/>
          <w:vertAlign w:val="superscript"/>
          <w:lang w:val="es-ES_tradnl"/>
        </w:rPr>
        <w:footnoteReference w:id="9"/>
      </w:r>
      <w:r w:rsidRPr="009F5D48">
        <w:rPr>
          <w:rFonts w:ascii="Verdana" w:hAnsi="Verdana" w:cs="Arial"/>
          <w:noProof/>
          <w:lang w:val="es-ES_tradnl"/>
        </w:rPr>
        <w:t>.</w:t>
      </w:r>
    </w:p>
    <w:p w14:paraId="0067A79C" w14:textId="77777777" w:rsidR="00DF3FD9" w:rsidRPr="009F5D48" w:rsidRDefault="00DF3FD9" w:rsidP="00DF3FD9">
      <w:pPr>
        <w:pStyle w:val="Prrafodelista"/>
        <w:numPr>
          <w:ilvl w:val="0"/>
          <w:numId w:val="18"/>
        </w:numPr>
        <w:spacing w:after="120" w:line="276" w:lineRule="auto"/>
        <w:ind w:left="0" w:firstLine="698"/>
        <w:jc w:val="both"/>
        <w:rPr>
          <w:rFonts w:ascii="Verdana" w:hAnsi="Verdana" w:cs="Arial"/>
          <w:noProof/>
          <w:lang w:val="es-ES_tradnl"/>
        </w:rPr>
      </w:pPr>
      <w:r w:rsidRPr="009F5D48">
        <w:rPr>
          <w:rFonts w:ascii="Verdana" w:hAnsi="Verdana" w:cs="Arial"/>
          <w:noProof/>
          <w:lang w:val="es-ES_tradnl"/>
        </w:rPr>
        <w:t>El contrato admite la inclusión de cláusulas excepcionales. En los contratos de prestación de servicios se puede pactar la caducidad, la modificación, interpretación o terminación unilateral, como acuerdos o elementos accidentales, así que para ejercer estas exorbitancias deben incluirse expresamente, porque no se entienden pactadas como cláusula de la naturaleza. Así se infiere del artículo 14, numeral 2º, de la Ley 80 de 1993</w:t>
      </w:r>
      <w:r w:rsidRPr="009F5D48">
        <w:rPr>
          <w:rFonts w:ascii="Verdana" w:hAnsi="Verdana"/>
          <w:noProof/>
          <w:vertAlign w:val="superscript"/>
          <w:lang w:val="es-ES_tradnl"/>
        </w:rPr>
        <w:footnoteReference w:id="10"/>
      </w:r>
      <w:r w:rsidRPr="009F5D48">
        <w:rPr>
          <w:rFonts w:ascii="Verdana" w:hAnsi="Verdana" w:cs="Arial"/>
          <w:noProof/>
          <w:lang w:val="es-ES_tradnl"/>
        </w:rPr>
        <w:t>.</w:t>
      </w:r>
    </w:p>
    <w:p w14:paraId="2395BACE" w14:textId="77777777" w:rsidR="00DF3FD9" w:rsidRPr="009F5D48" w:rsidRDefault="00DF3FD9" w:rsidP="00DF3FD9">
      <w:pPr>
        <w:pStyle w:val="Prrafodelista"/>
        <w:numPr>
          <w:ilvl w:val="0"/>
          <w:numId w:val="18"/>
        </w:numPr>
        <w:spacing w:after="120" w:line="276" w:lineRule="auto"/>
        <w:ind w:left="0" w:firstLine="698"/>
        <w:jc w:val="both"/>
        <w:rPr>
          <w:rFonts w:ascii="Verdana" w:hAnsi="Verdana" w:cs="Arial"/>
          <w:noProof/>
          <w:lang w:val="es-ES_tradnl"/>
        </w:rPr>
      </w:pPr>
      <w:r w:rsidRPr="009F5D48">
        <w:rPr>
          <w:rFonts w:ascii="Verdana" w:hAnsi="Verdana" w:cs="Arial"/>
          <w:noProof/>
          <w:lang w:val="es-ES_tradnl"/>
        </w:rPr>
        <w:lastRenderedPageBreak/>
        <w:t>No es obligatoria la liquidación de estos contratos, como lo establece el artículo 217 del Decreto 019 de 2012, que modificó el artículo 60 de la Ley 80 de 1993</w:t>
      </w:r>
      <w:r w:rsidRPr="009F5D48">
        <w:rPr>
          <w:rFonts w:ascii="Verdana" w:hAnsi="Verdana"/>
          <w:noProof/>
          <w:vertAlign w:val="superscript"/>
          <w:lang w:val="es-ES_tradnl"/>
        </w:rPr>
        <w:footnoteReference w:id="11"/>
      </w:r>
      <w:r w:rsidRPr="009F5D48">
        <w:rPr>
          <w:rFonts w:ascii="Verdana" w:hAnsi="Verdana" w:cs="Arial"/>
          <w:noProof/>
          <w:lang w:val="es-ES_tradnl"/>
        </w:rPr>
        <w:t>.</w:t>
      </w:r>
    </w:p>
    <w:p w14:paraId="422C2DFB" w14:textId="77777777" w:rsidR="00DF3FD9" w:rsidRPr="009F5D48" w:rsidRDefault="00DF3FD9" w:rsidP="00DF3FD9">
      <w:pPr>
        <w:pStyle w:val="Prrafodelista"/>
        <w:numPr>
          <w:ilvl w:val="0"/>
          <w:numId w:val="18"/>
        </w:numPr>
        <w:spacing w:after="120" w:line="276" w:lineRule="auto"/>
        <w:ind w:left="0" w:firstLine="720"/>
        <w:jc w:val="both"/>
        <w:rPr>
          <w:rFonts w:ascii="Verdana" w:hAnsi="Verdana" w:cs="Arial"/>
          <w:noProof/>
          <w:lang w:val="es-ES_tradnl"/>
        </w:rPr>
      </w:pPr>
      <w:r w:rsidRPr="009F5D48">
        <w:rPr>
          <w:rFonts w:ascii="Verdana" w:hAnsi="Verdana" w:cs="Arial"/>
          <w:noProof/>
          <w:lang w:val="es-ES_tradnl"/>
        </w:rPr>
        <w:t>Para su celebración el contratista no requiere estar inscrito en el Registro Único de Proponentes –en adelante RUP–, como lo señala el artículo 6 de la Ley 1150 de 2007</w:t>
      </w:r>
      <w:r w:rsidRPr="009F5D48">
        <w:rPr>
          <w:rFonts w:ascii="Verdana" w:hAnsi="Verdana"/>
          <w:noProof/>
          <w:vertAlign w:val="superscript"/>
          <w:lang w:val="es-ES_tradnl"/>
        </w:rPr>
        <w:footnoteReference w:id="12"/>
      </w:r>
      <w:r w:rsidRPr="009F5D48">
        <w:rPr>
          <w:rFonts w:ascii="Verdana" w:hAnsi="Verdana" w:cs="Arial"/>
          <w:noProof/>
          <w:lang w:val="es-ES_tradnl"/>
        </w:rPr>
        <w:t>.</w:t>
      </w:r>
    </w:p>
    <w:p w14:paraId="33ECC070" w14:textId="77777777" w:rsidR="00DF3FD9" w:rsidRPr="009F5D48" w:rsidRDefault="00DF3FD9" w:rsidP="00DF3FD9">
      <w:pPr>
        <w:pStyle w:val="Prrafodelista"/>
        <w:numPr>
          <w:ilvl w:val="0"/>
          <w:numId w:val="18"/>
        </w:numPr>
        <w:spacing w:after="120" w:line="276" w:lineRule="auto"/>
        <w:jc w:val="both"/>
        <w:rPr>
          <w:rFonts w:ascii="Verdana" w:hAnsi="Verdana" w:cs="Arial"/>
          <w:noProof/>
          <w:lang w:val="es-ES_tradnl"/>
        </w:rPr>
      </w:pPr>
      <w:r w:rsidRPr="009F5D48">
        <w:rPr>
          <w:rFonts w:ascii="Verdana" w:hAnsi="Verdana" w:cs="Arial"/>
          <w:noProof/>
          <w:lang w:val="es-ES_tradnl"/>
        </w:rPr>
        <w:t>No es obligtoria la exigencia de garantías</w:t>
      </w:r>
      <w:r w:rsidRPr="009F5D48">
        <w:rPr>
          <w:rFonts w:ascii="Verdana" w:hAnsi="Verdana"/>
          <w:noProof/>
          <w:vertAlign w:val="superscript"/>
          <w:lang w:val="es-ES_tradnl"/>
        </w:rPr>
        <w:footnoteReference w:id="13"/>
      </w:r>
      <w:r w:rsidRPr="009F5D48">
        <w:rPr>
          <w:rFonts w:ascii="Verdana" w:hAnsi="Verdana" w:cs="Arial"/>
          <w:noProof/>
          <w:lang w:val="es-ES_tradnl"/>
        </w:rPr>
        <w:t>.</w:t>
      </w:r>
    </w:p>
    <w:p w14:paraId="1C9F62C1" w14:textId="77777777" w:rsidR="00DF3FD9" w:rsidRDefault="00DF3FD9" w:rsidP="00DF3FD9">
      <w:pPr>
        <w:pStyle w:val="Prrafodelista"/>
        <w:numPr>
          <w:ilvl w:val="0"/>
          <w:numId w:val="18"/>
        </w:numPr>
        <w:spacing w:after="120" w:line="276" w:lineRule="auto"/>
        <w:ind w:left="0" w:firstLine="709"/>
        <w:jc w:val="both"/>
        <w:rPr>
          <w:rFonts w:ascii="Verdana" w:hAnsi="Verdana" w:cs="Arial"/>
          <w:noProof/>
          <w:lang w:val="es-ES_tradnl"/>
        </w:rPr>
      </w:pPr>
      <w:r w:rsidRPr="009F5D48">
        <w:rPr>
          <w:rFonts w:ascii="Verdana" w:hAnsi="Verdana" w:cs="Arial"/>
          <w:noProof/>
          <w:lang w:val="es-ES_tradnl"/>
        </w:rPr>
        <w:t>Como los demás contratos estatales, se trata de un contrato solemne que debe constar por escrito y debe ser publicado en el SECOP.</w:t>
      </w:r>
    </w:p>
    <w:p w14:paraId="299C4654" w14:textId="77777777" w:rsidR="00DF3FD9" w:rsidRPr="001E7958" w:rsidRDefault="00DF3FD9" w:rsidP="00DF3FD9">
      <w:pPr>
        <w:spacing w:after="0" w:line="276" w:lineRule="auto"/>
        <w:jc w:val="both"/>
        <w:rPr>
          <w:rFonts w:ascii="Verdana" w:eastAsia="Calibri" w:hAnsi="Verdana" w:cs="Arial"/>
          <w:color w:val="7030A0"/>
          <w:lang w:val="es-ES"/>
        </w:rPr>
      </w:pPr>
      <w:r w:rsidRPr="009F5D48">
        <w:rPr>
          <w:rFonts w:ascii="Verdana" w:hAnsi="Verdana" w:cs="Arial"/>
        </w:rPr>
        <w:t xml:space="preserve">Una vez establecidos los requisitos habilitantes y las demás características de la contratación en los documentos previos, a cada entidad estatal le corresponde </w:t>
      </w:r>
      <w:r w:rsidRPr="009F5D48">
        <w:rPr>
          <w:rFonts w:ascii="Verdana" w:hAnsi="Verdana" w:cs="Arial"/>
          <w:lang w:val="es-ES"/>
        </w:rPr>
        <w:t>verificar la idoneidad de las personas que pretendan celebrar contratos de prestación de servicios profesionales, de acuerdo con las características, el alcance del objeto del contrato y el perfil establecido.</w:t>
      </w:r>
    </w:p>
    <w:p w14:paraId="6B42D18A" w14:textId="77777777" w:rsidR="00DF3FD9" w:rsidRPr="009F5D48" w:rsidRDefault="00DF3FD9" w:rsidP="00DF3FD9">
      <w:pPr>
        <w:spacing w:after="0" w:line="276" w:lineRule="auto"/>
        <w:jc w:val="both"/>
        <w:rPr>
          <w:rFonts w:ascii="Verdana" w:eastAsia="Calibri" w:hAnsi="Verdana" w:cs="Arial"/>
          <w:lang w:val="es-ES"/>
        </w:rPr>
      </w:pPr>
    </w:p>
    <w:p w14:paraId="7D6D90D7" w14:textId="77777777" w:rsidR="00DF3FD9" w:rsidRPr="009F5D48" w:rsidRDefault="00DF3FD9" w:rsidP="00DF3FD9">
      <w:pPr>
        <w:pStyle w:val="Prrafodelista"/>
        <w:numPr>
          <w:ilvl w:val="0"/>
          <w:numId w:val="20"/>
        </w:numPr>
        <w:spacing w:after="0" w:line="276" w:lineRule="auto"/>
        <w:jc w:val="both"/>
        <w:rPr>
          <w:rFonts w:ascii="Verdana" w:eastAsia="Calibri" w:hAnsi="Verdana" w:cs="Arial"/>
          <w:u w:val="single"/>
        </w:rPr>
      </w:pPr>
      <w:r w:rsidRPr="009F5D48">
        <w:rPr>
          <w:rFonts w:ascii="Verdana" w:eastAsia="Calibri" w:hAnsi="Verdana" w:cs="Arial"/>
          <w:u w:val="single"/>
        </w:rPr>
        <w:t>Régimen de inhabilidades e incompatibilidades</w:t>
      </w:r>
    </w:p>
    <w:p w14:paraId="6F5A9618" w14:textId="77777777" w:rsidR="00DF3FD9" w:rsidRPr="009F5D48" w:rsidRDefault="00DF3FD9" w:rsidP="00DF3FD9">
      <w:pPr>
        <w:spacing w:after="0" w:line="276" w:lineRule="auto"/>
        <w:jc w:val="both"/>
        <w:rPr>
          <w:rFonts w:ascii="Verdana" w:eastAsia="Calibri" w:hAnsi="Verdana" w:cs="Arial"/>
          <w:color w:val="7030A0"/>
          <w:lang w:val="es-ES"/>
        </w:rPr>
      </w:pPr>
    </w:p>
    <w:p w14:paraId="013CF8A7" w14:textId="77777777" w:rsidR="00DF3FD9" w:rsidRPr="009F5D48" w:rsidRDefault="00DF3FD9" w:rsidP="00DF3FD9">
      <w:pPr>
        <w:widowControl w:val="0"/>
        <w:autoSpaceDE w:val="0"/>
        <w:autoSpaceDN w:val="0"/>
        <w:spacing w:after="120" w:line="276" w:lineRule="auto"/>
        <w:jc w:val="both"/>
        <w:rPr>
          <w:rFonts w:ascii="Verdana" w:eastAsia="Calibri" w:hAnsi="Verdana" w:cs="Arial"/>
          <w:lang w:val="es-ES"/>
        </w:rPr>
      </w:pPr>
      <w:r w:rsidRPr="009F5D48">
        <w:rPr>
          <w:rFonts w:ascii="Verdana" w:eastAsia="Calibri" w:hAnsi="Verdana" w:cs="Arial"/>
          <w:lang w:val="es-ES"/>
        </w:rPr>
        <w:t xml:space="preserve">Se destaca el régimen de inhabilidades e incompatibilidades como un conjunto de normas que impone restricciones para los sujetos que eventualmente pretendan participar en los procedimientos de selección o en la celebración de </w:t>
      </w:r>
      <w:r w:rsidRPr="009F5D48">
        <w:rPr>
          <w:rFonts w:ascii="Verdana" w:eastAsia="Calibri" w:hAnsi="Verdana" w:cs="Arial"/>
          <w:lang w:val="es-ES"/>
        </w:rPr>
        <w:lastRenderedPageBreak/>
        <w:t>contratos con las entidades estatales, constituyendo “</w:t>
      </w:r>
      <w:r w:rsidRPr="444F5416">
        <w:rPr>
          <w:rFonts w:ascii="Verdana" w:eastAsia="Calibri" w:hAnsi="Verdana" w:cs="Arial"/>
          <w:i/>
          <w:iCs/>
          <w:lang w:val="es-ES"/>
        </w:rPr>
        <w:t>prohibiciones que restringen la capacidad y la libertad de un contratista para acceder a la contratación</w:t>
      </w:r>
      <w:r w:rsidRPr="009F5D48">
        <w:rPr>
          <w:rFonts w:ascii="Verdana" w:eastAsia="Calibri" w:hAnsi="Verdana" w:cs="Arial"/>
          <w:lang w:val="es-ES"/>
        </w:rPr>
        <w:t>”</w:t>
      </w:r>
      <w:r w:rsidRPr="009F5D48">
        <w:rPr>
          <w:rStyle w:val="Refdenotaalpie"/>
          <w:rFonts w:ascii="Verdana" w:eastAsia="Calibri" w:hAnsi="Verdana" w:cs="Arial"/>
          <w:lang w:val="es-ES"/>
        </w:rPr>
        <w:footnoteReference w:id="14"/>
      </w:r>
      <w:r w:rsidRPr="009F5D48">
        <w:rPr>
          <w:rFonts w:ascii="Verdana" w:eastAsia="Calibri" w:hAnsi="Verdana" w:cs="Arial"/>
          <w:lang w:val="es-ES"/>
        </w:rPr>
        <w:t xml:space="preserve">. </w:t>
      </w:r>
    </w:p>
    <w:p w14:paraId="1B1BE1BB" w14:textId="77777777" w:rsidR="00DF3FD9" w:rsidRPr="009F5D48" w:rsidRDefault="00DF3FD9" w:rsidP="00DF3FD9">
      <w:pPr>
        <w:widowControl w:val="0"/>
        <w:autoSpaceDE w:val="0"/>
        <w:autoSpaceDN w:val="0"/>
        <w:spacing w:after="120" w:line="276" w:lineRule="auto"/>
        <w:ind w:firstLine="708"/>
        <w:jc w:val="both"/>
        <w:rPr>
          <w:rFonts w:ascii="Verdana" w:eastAsia="Calibri" w:hAnsi="Verdana" w:cs="Arial"/>
          <w:lang w:val="es-ES"/>
        </w:rPr>
      </w:pPr>
      <w:r w:rsidRPr="009F5D48">
        <w:rPr>
          <w:rFonts w:ascii="Verdana" w:eastAsia="Calibri" w:hAnsi="Verdana" w:cs="Arial"/>
          <w:lang w:val="es-ES"/>
        </w:rPr>
        <w:t>De una parte, las inhabilidades son prohibiciones para concurrir a los procedimientos de selección y para contratar con el Estado, que se derivan i) de la existencia de comportamientos reprochables o de sanciones anteriormente impuestas</w:t>
      </w:r>
      <w:r w:rsidRPr="009F5D48">
        <w:rPr>
          <w:rFonts w:ascii="Verdana" w:eastAsia="Calibri" w:hAnsi="Verdana" w:cs="Arial"/>
          <w:vertAlign w:val="superscript"/>
          <w:lang w:val="es-ES"/>
        </w:rPr>
        <w:footnoteReference w:id="15"/>
      </w:r>
      <w:r w:rsidRPr="009F5D48">
        <w:rPr>
          <w:rFonts w:ascii="Verdana" w:eastAsia="Calibri" w:hAnsi="Verdana" w:cs="Arial"/>
          <w:lang w:val="es-ES"/>
        </w:rPr>
        <w:t xml:space="preserve">, </w:t>
      </w:r>
      <w:proofErr w:type="spellStart"/>
      <w:r w:rsidRPr="009F5D48">
        <w:rPr>
          <w:rFonts w:ascii="Verdana" w:eastAsia="Calibri" w:hAnsi="Verdana" w:cs="Arial"/>
          <w:lang w:val="es-ES"/>
        </w:rPr>
        <w:t>ii</w:t>
      </w:r>
      <w:proofErr w:type="spellEnd"/>
      <w:r w:rsidRPr="009F5D48">
        <w:rPr>
          <w:rFonts w:ascii="Verdana" w:eastAsia="Calibri" w:hAnsi="Verdana" w:cs="Arial"/>
          <w:lang w:val="es-ES"/>
        </w:rPr>
        <w:t>) de vínculos personales relativos al parentesco o al estado civil</w:t>
      </w:r>
      <w:r w:rsidRPr="009F5D48">
        <w:rPr>
          <w:rFonts w:ascii="Verdana" w:eastAsia="Calibri" w:hAnsi="Verdana" w:cs="Arial"/>
          <w:vertAlign w:val="superscript"/>
          <w:lang w:val="es-ES"/>
        </w:rPr>
        <w:footnoteReference w:id="16"/>
      </w:r>
      <w:r w:rsidRPr="009F5D48">
        <w:rPr>
          <w:rFonts w:ascii="Verdana" w:eastAsia="Calibri" w:hAnsi="Verdana" w:cs="Arial"/>
          <w:lang w:val="es-ES"/>
        </w:rPr>
        <w:t xml:space="preserve"> </w:t>
      </w:r>
      <w:r w:rsidRPr="009F5D48">
        <w:rPr>
          <w:rFonts w:ascii="Verdana" w:eastAsia="Calibri" w:hAnsi="Verdana" w:cs="Arial"/>
          <w:lang w:val="es-ES"/>
        </w:rPr>
        <w:lastRenderedPageBreak/>
        <w:t xml:space="preserve">o </w:t>
      </w:r>
      <w:proofErr w:type="spellStart"/>
      <w:r w:rsidRPr="009F5D48">
        <w:rPr>
          <w:rFonts w:ascii="Verdana" w:eastAsia="Calibri" w:hAnsi="Verdana" w:cs="Arial"/>
          <w:lang w:val="es-ES"/>
        </w:rPr>
        <w:t>iii</w:t>
      </w:r>
      <w:proofErr w:type="spellEnd"/>
      <w:r w:rsidRPr="009F5D48">
        <w:rPr>
          <w:rFonts w:ascii="Verdana" w:eastAsia="Calibri" w:hAnsi="Verdana" w:cs="Arial"/>
          <w:lang w:val="es-ES"/>
        </w:rPr>
        <w:t>) de una actividad u oficio que se desempeñó en el pasado</w:t>
      </w:r>
      <w:r w:rsidRPr="009F5D48">
        <w:rPr>
          <w:rFonts w:ascii="Verdana" w:eastAsia="Calibri" w:hAnsi="Verdana" w:cs="Arial"/>
          <w:vertAlign w:val="superscript"/>
          <w:lang w:val="es-ES"/>
        </w:rPr>
        <w:footnoteReference w:id="17"/>
      </w:r>
      <w:r w:rsidRPr="009F5D48">
        <w:rPr>
          <w:rFonts w:ascii="Verdana" w:eastAsia="Calibri" w:hAnsi="Verdana" w:cs="Arial"/>
          <w:lang w:val="es-ES"/>
        </w:rPr>
        <w:t xml:space="preserve"> (se encuentran principalmente en el artículo 8 de la Ley 80 de 1993). De otra, las incompatibilidades son prohibiciones para participar en los procedimientos de selección y para celebrar contratos estatales, fundadas en la presencia de una calidad que ostenta el sujeto interesado en realizar alguna de dichas actividades, que no puede coexistir con su calidad de proponente o contratista del Estado</w:t>
      </w:r>
      <w:r w:rsidRPr="009F5D48">
        <w:rPr>
          <w:rFonts w:ascii="Verdana" w:eastAsia="Calibri" w:hAnsi="Verdana" w:cs="Arial"/>
          <w:vertAlign w:val="superscript"/>
          <w:lang w:val="es-ES"/>
        </w:rPr>
        <w:footnoteReference w:id="18"/>
      </w:r>
      <w:r w:rsidRPr="009F5D48">
        <w:rPr>
          <w:rFonts w:ascii="Verdana" w:eastAsia="Calibri" w:hAnsi="Verdana" w:cs="Arial"/>
          <w:lang w:val="es-ES"/>
        </w:rPr>
        <w:t>.</w:t>
      </w:r>
    </w:p>
    <w:p w14:paraId="17AF8C38" w14:textId="77777777" w:rsidR="00DF3FD9" w:rsidRPr="009F5D48" w:rsidRDefault="00DF3FD9" w:rsidP="00DF3FD9">
      <w:pPr>
        <w:widowControl w:val="0"/>
        <w:autoSpaceDE w:val="0"/>
        <w:autoSpaceDN w:val="0"/>
        <w:spacing w:after="120" w:line="276" w:lineRule="auto"/>
        <w:jc w:val="both"/>
        <w:rPr>
          <w:rFonts w:ascii="Verdana" w:eastAsia="Calibri" w:hAnsi="Verdana" w:cs="Arial"/>
          <w:lang w:val="es-ES"/>
        </w:rPr>
      </w:pPr>
      <w:r w:rsidRPr="009F5D48">
        <w:rPr>
          <w:rFonts w:ascii="Verdana" w:eastAsia="Calibri" w:hAnsi="Verdana" w:cs="Arial"/>
          <w:lang w:val="es-ES"/>
        </w:rPr>
        <w:tab/>
        <w:t xml:space="preserve">Debido a las restricciones que impone el régimen de inhabilidades e incompatibilidades, este se tipifica en la Ley expresamente y su interpretación debe ser restrictiva. Es decir, las causales de inhabilidad e impedimentos deben estar enunciadas en las normas de forma taxativa y al aplicarse en una situación particular su interpretación debe ser restrictiva, de tal forma que no se admita una interpretación amplia o extensiva que permitiera contemplar supuestos indeterminados como causales de inhabilidad o impedimentos. Por lo que, la interpretación de los efectos de la suspensión o exclusión del ejercicio de la profesión no puede hacerse extensiva a otras sanciones que no estén </w:t>
      </w:r>
      <w:r w:rsidRPr="009F5D48">
        <w:rPr>
          <w:rFonts w:ascii="Verdana" w:eastAsia="Calibri" w:hAnsi="Verdana" w:cs="Arial"/>
          <w:lang w:val="es-ES"/>
        </w:rPr>
        <w:lastRenderedPageBreak/>
        <w:t xml:space="preserve">expresamente establecidas en la norma. </w:t>
      </w:r>
    </w:p>
    <w:p w14:paraId="44A2F1AF" w14:textId="77777777" w:rsidR="00DF3FD9" w:rsidRPr="009F5D48" w:rsidRDefault="00DF3FD9" w:rsidP="00DF3FD9">
      <w:pPr>
        <w:widowControl w:val="0"/>
        <w:autoSpaceDE w:val="0"/>
        <w:autoSpaceDN w:val="0"/>
        <w:spacing w:after="120" w:line="276" w:lineRule="auto"/>
        <w:ind w:firstLine="708"/>
        <w:jc w:val="both"/>
        <w:rPr>
          <w:rFonts w:ascii="Verdana" w:eastAsia="Calibri" w:hAnsi="Verdana" w:cs="Arial"/>
          <w:lang w:val="es-ES_tradnl" w:eastAsia="es-ES_tradnl"/>
        </w:rPr>
      </w:pPr>
      <w:r w:rsidRPr="009F5D48">
        <w:rPr>
          <w:rFonts w:ascii="Verdana" w:eastAsia="Calibri" w:hAnsi="Verdana" w:cs="Arial"/>
          <w:lang w:val="es-ES"/>
        </w:rPr>
        <w:t>En efecto, sobre la interpretación de este tipo de normas, la Corte Constitucional ha aclarado que</w:t>
      </w:r>
      <w:r w:rsidRPr="009F5D48">
        <w:rPr>
          <w:rFonts w:ascii="Verdana" w:eastAsia="Calibri" w:hAnsi="Verdana" w:cs="Arial"/>
          <w:lang w:val="es-ES_tradnl" w:eastAsia="es-ES_tradnl"/>
        </w:rPr>
        <w:t xml:space="preserve"> “[…] el intérprete de las disposiciones legislativas en la materia ha de ceñirse en la mayor medida posible al tenor literal y gramatical de los enunciados normativos, sin que pueda acudir prima facie a criterios interpretativos tales como la analogía, la interpretación extensiva para ampliar el alcance de las causales legalmente fijadas”</w:t>
      </w:r>
      <w:r w:rsidRPr="009F5D48">
        <w:rPr>
          <w:rFonts w:ascii="Verdana" w:eastAsia="Aptos" w:hAnsi="Verdana" w:cs="Times New Roman"/>
          <w:vertAlign w:val="superscript"/>
        </w:rPr>
        <w:footnoteReference w:id="19"/>
      </w:r>
      <w:r w:rsidRPr="009F5D48">
        <w:rPr>
          <w:rFonts w:ascii="Verdana" w:eastAsia="Calibri" w:hAnsi="Verdana" w:cs="Arial"/>
          <w:lang w:val="es-ES_tradnl" w:eastAsia="es-ES_tradnl"/>
        </w:rPr>
        <w:t>. Por su parte, el Consejo de Estado ha acogido también este criterio, considerando –como expresa la Sala de Consulta y Servicio Civil– que “La interpretación restrictiva de las normas que establecen inhabilidades constituye una aplicación del principio del Estado de Derecho previsto en el artículo 6º de la Constitución, según el cual “Los particulares sólo son responsables ante las autoridades por infringir la Constitución y las leyes” lo que se traduce en que pueden hacer todo aquello que no les esté expresamente prohibido”</w:t>
      </w:r>
      <w:r w:rsidRPr="009F5D48">
        <w:rPr>
          <w:rFonts w:ascii="Verdana" w:eastAsia="Aptos" w:hAnsi="Verdana" w:cs="Times New Roman"/>
          <w:vertAlign w:val="superscript"/>
        </w:rPr>
        <w:footnoteReference w:id="20"/>
      </w:r>
      <w:r w:rsidRPr="009F5D48">
        <w:rPr>
          <w:rFonts w:ascii="Verdana" w:eastAsia="Calibri" w:hAnsi="Verdana" w:cs="Arial"/>
          <w:lang w:val="es-ES_tradnl" w:eastAsia="es-ES_tradnl"/>
        </w:rPr>
        <w:t>.</w:t>
      </w:r>
    </w:p>
    <w:p w14:paraId="3A1EA4A6" w14:textId="77777777" w:rsidR="00DF3FD9" w:rsidRPr="006C0274" w:rsidRDefault="00DF3FD9" w:rsidP="00DF3FD9">
      <w:pPr>
        <w:pStyle w:val="Prrafodelista"/>
        <w:numPr>
          <w:ilvl w:val="0"/>
          <w:numId w:val="20"/>
        </w:numPr>
        <w:spacing w:after="0"/>
        <w:ind w:right="709"/>
        <w:jc w:val="both"/>
        <w:rPr>
          <w:rFonts w:ascii="Verdana" w:hAnsi="Verdana"/>
          <w:u w:val="single"/>
        </w:rPr>
      </w:pPr>
      <w:bookmarkStart w:id="4" w:name="OLE_LINK1"/>
      <w:r w:rsidRPr="006C0274">
        <w:rPr>
          <w:rFonts w:ascii="Verdana" w:eastAsia="Calibri" w:hAnsi="Verdana" w:cs="Arial"/>
          <w:u w:val="single"/>
        </w:rPr>
        <w:t xml:space="preserve">Posibilidad de que una persona natura y\o jurídica </w:t>
      </w:r>
      <w:r w:rsidRPr="006C0274">
        <w:rPr>
          <w:rFonts w:ascii="Verdana" w:hAnsi="Verdana"/>
          <w:u w:val="single"/>
        </w:rPr>
        <w:t xml:space="preserve">Puede suscribir más de un (1) contrato de prestación de servicios con una entidad pública. </w:t>
      </w:r>
    </w:p>
    <w:p w14:paraId="449F3CE9" w14:textId="4C95B3B6" w:rsidR="00DF3FD9" w:rsidRDefault="002C3BE9" w:rsidP="00DF3FD9">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P</w:t>
      </w:r>
      <w:r w:rsidR="00DF3FD9" w:rsidRPr="00236674">
        <w:rPr>
          <w:rFonts w:ascii="Verdana" w:eastAsia="Times New Roman" w:hAnsi="Verdana" w:cs="Times New Roman"/>
          <w:lang w:eastAsia="es-MX"/>
        </w:rPr>
        <w:t xml:space="preserve">ara abordar los interrogantes planteados, es imperativo realizar un análisis sistemático del marco constitucional y legal vigente, partiendo de la premisa establecida en la Constitución Política. En este orden de ideas, analizado el conjunto de disposiciones que integran el régimen de inhabilidades e incompatibilidades para la contratación estatal, específicamente el artículo 8 de la Ley 80 de 1993, no se advierte una causal taxativa que restrinja de forma expresa que una persona —sea natural o jurídica— celebre más de un contrato de prestación de servicios al mismo tiempo con la misma entidad. Es fundamental distinguir que la prohibición constitucional del artículo 128, referente a recibir más de una asignación del tesoro público, aplica restrictivamente a los servidores públicos en situación legal y reglamentaria, y no se extiende a los contratistas de prestación de servicios, quienes actúan como </w:t>
      </w:r>
      <w:r w:rsidR="00DF3FD9" w:rsidRPr="00236674">
        <w:rPr>
          <w:rFonts w:ascii="Verdana" w:eastAsia="Times New Roman" w:hAnsi="Verdana" w:cs="Times New Roman"/>
          <w:lang w:eastAsia="es-MX"/>
        </w:rPr>
        <w:lastRenderedPageBreak/>
        <w:t>particulares colaboradores de la administración y perciben honorarios, no salarios.</w:t>
      </w:r>
    </w:p>
    <w:p w14:paraId="3CAAB8A8" w14:textId="77777777" w:rsidR="002C3BE9" w:rsidRDefault="00DF3FD9" w:rsidP="002C3BE9">
      <w:pPr>
        <w:spacing w:before="100" w:beforeAutospacing="1" w:after="100" w:afterAutospacing="1" w:line="276" w:lineRule="auto"/>
        <w:jc w:val="both"/>
        <w:rPr>
          <w:rFonts w:ascii="Verdana" w:hAnsi="Verdana"/>
        </w:rPr>
      </w:pPr>
      <w:r>
        <w:rPr>
          <w:rFonts w:ascii="Verdana" w:eastAsia="Times New Roman" w:hAnsi="Verdana" w:cs="Times New Roman"/>
          <w:lang w:eastAsia="es-MX"/>
        </w:rPr>
        <w:t xml:space="preserve">        </w:t>
      </w:r>
      <w:r w:rsidR="002C3BE9" w:rsidRPr="002C3BE9">
        <w:rPr>
          <w:rFonts w:ascii="Verdana" w:hAnsi="Verdana"/>
        </w:rPr>
        <w:t>No obstante, de la viabilidad jurídica descrita, la contratación directa requiere que la entidad estatal celebre este tipo de contratos en virtud de la idoneidad y capacidad del contratista para desarrollar el objeto contractual. Al respecto, el artículo 2.2.1.2.1.4.9 del Decreto 1082 de 2015 faculta a las Entidades Estatales para contratar servicios profesionales y de apoyo a la gestión, condicionando dicha potestad a que se verifique que la persona natural o jurídica esté en capacidad de ejecutar el objeto del contrato. Este requisito de capacidad trasciende al hecho de determinar si el futuro contratista está inmerso en una causal de inhabilidad o incompatibilidad; la capacidad está relacionada con la disponibilidad de tiempo, recursos y dedicación necesarios para cumplir con las obligaciones pactadas. Por consiguiente, en virtud del principio de planeación, es indispensable que la entidad pública no solo defina con claridad el objeto contractual, sino que evalúe la carga del contratista por cada contrato para determinar la viabilidad material de la suscripción simultánea objeto de consulta.</w:t>
      </w:r>
    </w:p>
    <w:p w14:paraId="50459BB0" w14:textId="24C4277A" w:rsidR="00DF3FD9" w:rsidRDefault="002C3BE9" w:rsidP="002C3BE9">
      <w:pPr>
        <w:spacing w:before="100" w:beforeAutospacing="1" w:after="100" w:afterAutospacing="1" w:line="276" w:lineRule="auto"/>
        <w:jc w:val="both"/>
        <w:rPr>
          <w:rFonts w:ascii="Verdana" w:eastAsia="Times New Roman" w:hAnsi="Verdana" w:cs="Times New Roman"/>
          <w:lang w:eastAsia="es-MX"/>
        </w:rPr>
      </w:pPr>
      <w:r>
        <w:t xml:space="preserve">          </w:t>
      </w:r>
      <w:r w:rsidRPr="002C3BE9">
        <w:rPr>
          <w:rFonts w:ascii="Verdana" w:hAnsi="Verdana"/>
        </w:rPr>
        <w:t>De conformidad con lo expuesto, se concluye que, si bien no existe una causal de inhabilidad o incompatibilidad taxativa para la suscripción simultánea de contratos de prestación de servicios con una misma entidad — situación extensiva a las Empresas Sociales del Estado, dado que su régimen especial tampoco contempla dicha prohibición—, la procedencia de la contratación está supeditada al análisis fáctico de la entidad. Por ende, es imperativo que la entidad contratante verifique que la simultaneidad no afecte la capacidad de cumplimiento de las estipulaciones de cada vínculo contractual y que no existan situaciones de conflicto de interés en el desarrollo de los objetos contractuales concurrentes.</w:t>
      </w:r>
      <w:r w:rsidRPr="00236674">
        <w:rPr>
          <w:rFonts w:ascii="Verdana" w:eastAsia="Times New Roman" w:hAnsi="Verdana" w:cs="Times New Roman"/>
          <w:lang w:eastAsia="es-MX"/>
        </w:rPr>
        <w:t xml:space="preserve"> </w:t>
      </w:r>
    </w:p>
    <w:p w14:paraId="19727F0A" w14:textId="77777777" w:rsidR="00DF3FD9" w:rsidRPr="00236674" w:rsidRDefault="00DF3FD9" w:rsidP="00DF3FD9">
      <w:pPr>
        <w:spacing w:before="100" w:beforeAutospacing="1" w:after="100" w:afterAutospacing="1" w:line="276" w:lineRule="auto"/>
        <w:jc w:val="both"/>
        <w:rPr>
          <w:rFonts w:ascii="Verdana" w:eastAsia="Times New Roman" w:hAnsi="Verdana" w:cs="Times New Roman"/>
          <w:lang w:eastAsia="es-MX"/>
        </w:rPr>
      </w:pPr>
      <w:r>
        <w:rPr>
          <w:rFonts w:ascii="Verdana" w:eastAsia="Times New Roman" w:hAnsi="Verdana" w:cs="Times New Roman"/>
          <w:lang w:eastAsia="es-MX"/>
        </w:rPr>
        <w:t xml:space="preserve">      </w:t>
      </w:r>
      <w:r w:rsidRPr="00236674">
        <w:rPr>
          <w:rFonts w:ascii="Verdana" w:eastAsia="Times New Roman" w:hAnsi="Verdana" w:cs="Times New Roman"/>
          <w:lang w:eastAsia="es-MX"/>
        </w:rPr>
        <w:t xml:space="preserve">Finalmente, debe advertirse que el análisis requerido para resolver problemas específicos en torno a restricciones frente a la simultaneidad en la celebración de contratos debe ser realizado por quienes tengan interés directo en ello. De esta manera, las afirmaciones aquí realizadas obedecen a una interpretación general de la norma y no pueden ser interpretadas como juicios de valor sobre circunstancias concretas ni definen situaciones particulares, cuya </w:t>
      </w:r>
      <w:r w:rsidRPr="00236674">
        <w:rPr>
          <w:rFonts w:ascii="Verdana" w:eastAsia="Times New Roman" w:hAnsi="Verdana" w:cs="Times New Roman"/>
          <w:lang w:eastAsia="es-MX"/>
        </w:rPr>
        <w:lastRenderedPageBreak/>
        <w:t>solución corresponde a los ordenadores del gasto y supervisores y, en caso de conflicto, a las autoridades judiciales, fiscales y disciplinarias competentes</w:t>
      </w:r>
      <w:r>
        <w:rPr>
          <w:rFonts w:ascii="Verdana" w:eastAsia="Times New Roman" w:hAnsi="Verdana" w:cs="Times New Roman"/>
          <w:lang w:eastAsia="es-MX"/>
        </w:rPr>
        <w:t>.</w:t>
      </w:r>
      <w:bookmarkEnd w:id="4"/>
    </w:p>
    <w:p w14:paraId="58805CC7" w14:textId="77777777" w:rsidR="00DF3FD9" w:rsidRPr="00593A5F" w:rsidRDefault="00DF3FD9" w:rsidP="00DF3FD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4F741655" w14:textId="77777777" w:rsidR="00DF3FD9" w:rsidRPr="00593A5F" w:rsidRDefault="00DF3FD9" w:rsidP="00DF3FD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F3FD9" w:rsidRPr="00593A5F" w14:paraId="2B70701E" w14:textId="77777777" w:rsidTr="000A5ACE">
        <w:trPr>
          <w:trHeight w:val="870"/>
        </w:trPr>
        <w:tc>
          <w:tcPr>
            <w:tcW w:w="8647" w:type="dxa"/>
          </w:tcPr>
          <w:p w14:paraId="3389A521" w14:textId="77777777" w:rsidR="00DF3FD9" w:rsidRPr="00737579" w:rsidRDefault="00DF3FD9" w:rsidP="00DF3FD9">
            <w:pPr>
              <w:pStyle w:val="Prrafodelista"/>
              <w:numPr>
                <w:ilvl w:val="0"/>
                <w:numId w:val="17"/>
              </w:numPr>
              <w:rPr>
                <w:rFonts w:ascii="Verdana" w:hAnsi="Verdana"/>
              </w:rPr>
            </w:pPr>
            <w:r w:rsidRPr="00737579">
              <w:rPr>
                <w:rFonts w:ascii="Verdana" w:hAnsi="Verdana"/>
              </w:rPr>
              <w:t>Ley 80 de 1993, artículos 8, 13, 14,17, 32, 40 45.</w:t>
            </w:r>
          </w:p>
          <w:p w14:paraId="4290AC32" w14:textId="77777777" w:rsidR="00DF3FD9" w:rsidRPr="00737579" w:rsidRDefault="00DF3FD9" w:rsidP="00DF3FD9">
            <w:pPr>
              <w:pStyle w:val="Prrafodelista"/>
              <w:numPr>
                <w:ilvl w:val="0"/>
                <w:numId w:val="17"/>
              </w:numPr>
              <w:rPr>
                <w:rFonts w:ascii="Verdana" w:hAnsi="Verdana"/>
              </w:rPr>
            </w:pPr>
            <w:r w:rsidRPr="00737579">
              <w:rPr>
                <w:rFonts w:ascii="Verdana" w:hAnsi="Verdana"/>
              </w:rPr>
              <w:t>Ley 1150 de 2007, artículo 2, numeral 4, literal h; artículo 6</w:t>
            </w:r>
          </w:p>
          <w:p w14:paraId="432ABF66" w14:textId="77777777" w:rsidR="00DF3FD9" w:rsidRPr="00737579" w:rsidRDefault="00DF3FD9" w:rsidP="00DF3FD9">
            <w:pPr>
              <w:pStyle w:val="Prrafodelista"/>
              <w:numPr>
                <w:ilvl w:val="0"/>
                <w:numId w:val="17"/>
              </w:numPr>
              <w:rPr>
                <w:rFonts w:ascii="Verdana" w:hAnsi="Verdana"/>
              </w:rPr>
            </w:pPr>
            <w:r w:rsidRPr="00737579">
              <w:rPr>
                <w:rFonts w:ascii="Verdana" w:hAnsi="Verdana"/>
              </w:rPr>
              <w:t>Decreto 1082 de 2015, artículo 2.2.1.2.1.4.9</w:t>
            </w:r>
          </w:p>
          <w:p w14:paraId="59FD7F99" w14:textId="77777777" w:rsidR="00DF3FD9" w:rsidRPr="00737579" w:rsidRDefault="00DF3FD9" w:rsidP="00DF3FD9">
            <w:pPr>
              <w:pStyle w:val="Prrafodelista"/>
              <w:numPr>
                <w:ilvl w:val="0"/>
                <w:numId w:val="17"/>
              </w:numPr>
              <w:rPr>
                <w:rFonts w:ascii="Verdana" w:hAnsi="Verdana"/>
              </w:rPr>
            </w:pPr>
            <w:r w:rsidRPr="00737579">
              <w:rPr>
                <w:rFonts w:ascii="Verdana" w:hAnsi="Verdana" w:cs="Arial"/>
                <w:color w:val="000000"/>
              </w:rPr>
              <w:t xml:space="preserve">Corte Constitucional. Sentencia T-1039 de 2006. </w:t>
            </w:r>
            <w:r w:rsidRPr="00737579">
              <w:rPr>
                <w:rFonts w:ascii="Verdana" w:hAnsi="Verdana" w:cs="Arial"/>
                <w:color w:val="000000"/>
                <w:lang w:val="it-IT"/>
              </w:rPr>
              <w:t>M</w:t>
            </w:r>
            <w:r>
              <w:rPr>
                <w:rFonts w:ascii="Verdana" w:hAnsi="Verdana" w:cs="Arial"/>
                <w:color w:val="000000"/>
                <w:lang w:val="it-IT"/>
              </w:rPr>
              <w:t>.</w:t>
            </w:r>
            <w:r w:rsidRPr="00737579">
              <w:rPr>
                <w:rFonts w:ascii="Verdana" w:hAnsi="Verdana" w:cs="Arial"/>
                <w:color w:val="000000"/>
                <w:lang w:val="it-IT"/>
              </w:rPr>
              <w:t>P</w:t>
            </w:r>
            <w:r>
              <w:rPr>
                <w:rFonts w:ascii="Verdana" w:hAnsi="Verdana" w:cs="Arial"/>
                <w:color w:val="000000"/>
                <w:lang w:val="it-IT"/>
              </w:rPr>
              <w:t>,</w:t>
            </w:r>
            <w:r w:rsidRPr="00737579">
              <w:rPr>
                <w:rFonts w:ascii="Verdana" w:hAnsi="Verdana" w:cs="Arial"/>
                <w:color w:val="000000"/>
                <w:lang w:val="it-IT"/>
              </w:rPr>
              <w:t xml:space="preserve"> Humberto Sierra Porto</w:t>
            </w:r>
          </w:p>
          <w:p w14:paraId="6D14FEB9" w14:textId="77777777" w:rsidR="00DF3FD9" w:rsidRPr="00737579" w:rsidRDefault="00DF3FD9" w:rsidP="00DF3FD9">
            <w:pPr>
              <w:pStyle w:val="Prrafodelista"/>
              <w:numPr>
                <w:ilvl w:val="0"/>
                <w:numId w:val="17"/>
              </w:numPr>
              <w:rPr>
                <w:rFonts w:ascii="Verdana" w:hAnsi="Verdana"/>
              </w:rPr>
            </w:pPr>
            <w:r w:rsidRPr="00737579">
              <w:rPr>
                <w:rFonts w:ascii="Verdana" w:hAnsi="Verdana" w:cs="Arial"/>
                <w:color w:val="000000"/>
              </w:rPr>
              <w:t xml:space="preserve">Consejo de Estado. Sala de Consulta y Servicio Civil. Concepto del 30 de abril de 2015. Expediente: 2.251. Consejero Ponente: Álvaro </w:t>
            </w:r>
            <w:proofErr w:type="spellStart"/>
            <w:r w:rsidRPr="00737579">
              <w:rPr>
                <w:rFonts w:ascii="Verdana" w:hAnsi="Verdana" w:cs="Arial"/>
                <w:color w:val="000000"/>
              </w:rPr>
              <w:t>Namén</w:t>
            </w:r>
            <w:proofErr w:type="spellEnd"/>
            <w:r w:rsidRPr="00737579">
              <w:rPr>
                <w:rFonts w:ascii="Verdana" w:hAnsi="Verdana" w:cs="Arial"/>
                <w:color w:val="000000"/>
              </w:rPr>
              <w:t xml:space="preserve"> Vargas.</w:t>
            </w:r>
          </w:p>
          <w:p w14:paraId="597CFFDC" w14:textId="77777777" w:rsidR="00DF3FD9" w:rsidRPr="00737579" w:rsidRDefault="00DF3FD9" w:rsidP="00DF3FD9">
            <w:pPr>
              <w:pStyle w:val="Prrafodelista"/>
              <w:numPr>
                <w:ilvl w:val="0"/>
                <w:numId w:val="17"/>
              </w:numPr>
              <w:rPr>
                <w:rFonts w:ascii="Verdana" w:hAnsi="Verdana"/>
              </w:rPr>
            </w:pPr>
            <w:r w:rsidRPr="00737579">
              <w:rPr>
                <w:rFonts w:ascii="Verdana" w:hAnsi="Verdana"/>
              </w:rPr>
              <w:t>Corte Constitucional. Sentencia C-489/96. M.P: Antonio Barrera Carbonell</w:t>
            </w:r>
          </w:p>
        </w:tc>
      </w:tr>
    </w:tbl>
    <w:p w14:paraId="1389F688" w14:textId="77777777" w:rsidR="00DF3FD9" w:rsidRPr="00593A5F" w:rsidRDefault="00DF3FD9" w:rsidP="00DF3FD9">
      <w:pPr>
        <w:widowControl w:val="0"/>
        <w:autoSpaceDE w:val="0"/>
        <w:autoSpaceDN w:val="0"/>
        <w:spacing w:after="0" w:line="276" w:lineRule="auto"/>
        <w:jc w:val="both"/>
        <w:rPr>
          <w:rFonts w:ascii="Verdana" w:hAnsi="Verdana" w:cs="Arial"/>
        </w:rPr>
      </w:pPr>
    </w:p>
    <w:p w14:paraId="2EC38BC2" w14:textId="77777777" w:rsidR="00DF3FD9" w:rsidRPr="00593A5F" w:rsidRDefault="00DF3FD9" w:rsidP="00DF3FD9">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ED56ED7" w14:textId="77777777" w:rsidR="00DF3FD9" w:rsidRDefault="00DF3FD9" w:rsidP="00DF3FD9">
      <w:pPr>
        <w:widowControl w:val="0"/>
        <w:autoSpaceDE w:val="0"/>
        <w:autoSpaceDN w:val="0"/>
        <w:spacing w:after="0" w:line="276" w:lineRule="auto"/>
        <w:jc w:val="both"/>
        <w:rPr>
          <w:rFonts w:ascii="Verdana" w:hAnsi="Verdana" w:cs="Arial"/>
        </w:rPr>
      </w:pPr>
    </w:p>
    <w:p w14:paraId="7D09EE04" w14:textId="77777777" w:rsidR="00DF3FD9" w:rsidRPr="00856809" w:rsidRDefault="00DF3FD9" w:rsidP="00DF3FD9">
      <w:pPr>
        <w:tabs>
          <w:tab w:val="left" w:pos="142"/>
          <w:tab w:val="left" w:pos="284"/>
        </w:tabs>
        <w:spacing w:after="0" w:line="276" w:lineRule="auto"/>
        <w:jc w:val="both"/>
        <w:rPr>
          <w:rStyle w:val="normaltextrun"/>
          <w:rFonts w:ascii="Verdana" w:eastAsia="Century Gothic" w:hAnsi="Verdana" w:cs="Century Gothic"/>
          <w:b/>
          <w:bCs/>
          <w:lang w:val="es-ES"/>
        </w:rPr>
      </w:pPr>
      <w:r w:rsidRPr="00856809">
        <w:rPr>
          <w:rStyle w:val="normaltextrun"/>
          <w:rFonts w:ascii="Verdana" w:hAnsi="Verdana" w:cs="Arial"/>
          <w:shd w:val="clear" w:color="auto" w:fill="FFFFFF"/>
          <w:lang w:val="es-ES"/>
        </w:rPr>
        <w:t>Sobre las características de los contratos de prestación de servicios se pronunció esta Subdirección en los conceptos C-024 del 3 de marzo de 2022</w:t>
      </w:r>
      <w:r w:rsidRPr="00856809">
        <w:rPr>
          <w:rStyle w:val="normaltextrun"/>
          <w:rFonts w:ascii="Verdana" w:hAnsi="Verdana" w:cs="Calibri"/>
          <w:shd w:val="clear" w:color="auto" w:fill="FFFFFF"/>
        </w:rPr>
        <w:t xml:space="preserve"> C-311 de 21 de agosto de 2024, C-327 del 26 de agosto de 2024, C- 604 de 25 de octubre de 2024, C-849 del 19 de diciembre de 2024, C-028 del 5 de febrero de 2025, C-037 de 20 de febrero de 2025, C-140 del 14 de marzo de 2025. </w:t>
      </w:r>
      <w:r w:rsidRPr="00856809">
        <w:rPr>
          <w:rFonts w:ascii="Verdana" w:eastAsia="Calibri" w:hAnsi="Verdana" w:cs="Arial"/>
          <w:lang w:val="es-ES_tradnl" w:eastAsia="es-ES_tradnl"/>
        </w:rPr>
        <w:t>Sobre el régimen de inhabilidades e incompatibilidades esta Subdirección se pronunció en los</w:t>
      </w:r>
      <w:r w:rsidRPr="00856809">
        <w:rPr>
          <w:rFonts w:ascii="Verdana" w:eastAsia="Calibri" w:hAnsi="Verdana" w:cs="Arial"/>
          <w:lang w:val="es-MX"/>
        </w:rPr>
        <w:t xml:space="preserve"> C−410 del 7 de julio de 2021, C−491 del 14 de septiembre de 2021, C−522 del 1 de octubre de 2021, C−128 del 25 de marzo de 2022, C−252 del 3 de mayo de 2022, C−376 del 14 de junio de 2022, C−413 del 24 de junio de 2022, C−691 del 20 de octubre de 2022, C−731 del 10 de noviembre de 2022, C−928 del 26 de enero de 2023, C−126 del 24 de abril de 2023, C−175 del 4 de mayo de 2023, C−234 del 5 de julio de 2023, C−010 del 31 de enero de 2024, la respuesta </w:t>
      </w:r>
      <w:r w:rsidRPr="00856809">
        <w:rPr>
          <w:rFonts w:ascii="Verdana" w:hAnsi="Verdana" w:cs="Arial"/>
        </w:rPr>
        <w:t xml:space="preserve">al radicado </w:t>
      </w:r>
      <w:r w:rsidRPr="00856809">
        <w:rPr>
          <w:rFonts w:ascii="Verdana" w:eastAsia="Aptos" w:hAnsi="Verdana" w:cs="Calibri"/>
        </w:rPr>
        <w:t>P20240308002646 del 24 de abril de 2024,</w:t>
      </w:r>
      <w:r w:rsidRPr="00856809">
        <w:rPr>
          <w:rFonts w:ascii="Verdana" w:eastAsia="Calibri" w:hAnsi="Verdana" w:cs="Arial"/>
          <w:lang w:val="es-MX"/>
        </w:rPr>
        <w:t xml:space="preserve"> el C-039 del 23 de abril de 2024, </w:t>
      </w:r>
      <w:r w:rsidRPr="00856809">
        <w:rPr>
          <w:rFonts w:ascii="Verdana" w:hAnsi="Verdana" w:cs="Arial"/>
        </w:rPr>
        <w:t xml:space="preserve">C-085 del 3 de marzo de 2025 y </w:t>
      </w:r>
      <w:r w:rsidRPr="00856809">
        <w:rPr>
          <w:rFonts w:ascii="Verdana" w:eastAsia="Aptos" w:hAnsi="Verdana" w:cs="Calibri"/>
        </w:rPr>
        <w:t>C-170 del 19 de marzo de 2025</w:t>
      </w:r>
      <w:r>
        <w:rPr>
          <w:rFonts w:ascii="Verdana" w:eastAsia="Aptos" w:hAnsi="Verdana" w:cs="Calibri"/>
        </w:rPr>
        <w:t>, C–392 del 8 del mayo de 2025</w:t>
      </w:r>
      <w:r w:rsidRPr="00856809">
        <w:rPr>
          <w:rFonts w:ascii="Verdana" w:eastAsia="Aptos" w:hAnsi="Verdana" w:cs="Calibri"/>
        </w:rPr>
        <w:t>.</w:t>
      </w:r>
      <w:r>
        <w:rPr>
          <w:rFonts w:ascii="Verdana" w:eastAsia="Aptos" w:hAnsi="Verdana" w:cs="Calibri"/>
        </w:rPr>
        <w:t xml:space="preserve"> </w:t>
      </w:r>
      <w:r w:rsidRPr="00856809">
        <w:rPr>
          <w:rStyle w:val="normaltextrun"/>
          <w:rFonts w:ascii="Verdana" w:hAnsi="Verdana" w:cs="Arial"/>
          <w:shd w:val="clear" w:color="auto" w:fill="FFFFFF"/>
          <w:lang w:val="es-ES"/>
        </w:rPr>
        <w:t>Es</w:t>
      </w:r>
      <w:r w:rsidRPr="00856809">
        <w:rPr>
          <w:rFonts w:ascii="Verdana" w:hAnsi="Verdana"/>
        </w:rPr>
        <w:t>tos y otros conceptos se encuentran disponibles para consulta en el Sistema de relatoría de la Agencia, al cual se puede acceder a través del siguiente enlace:</w:t>
      </w:r>
      <w:r w:rsidRPr="00856809">
        <w:rPr>
          <w:rStyle w:val="normaltextrun"/>
          <w:rFonts w:ascii="Verdana" w:hAnsi="Verdana" w:cs="Arial"/>
          <w:shd w:val="clear" w:color="auto" w:fill="FFFFFF"/>
          <w:lang w:val="es-ES"/>
        </w:rPr>
        <w:t xml:space="preserve"> </w:t>
      </w:r>
      <w:hyperlink r:id="rId11" w:history="1">
        <w:r w:rsidRPr="00856809">
          <w:rPr>
            <w:rStyle w:val="Hipervnculo"/>
            <w:rFonts w:ascii="Verdana" w:hAnsi="Verdana" w:cs="Arial"/>
            <w:shd w:val="clear" w:color="auto" w:fill="FFFFFF"/>
            <w:lang w:val="es-ES"/>
          </w:rPr>
          <w:t>https://relatoria.colombiacompra.gov.co/busqueda/conceptos</w:t>
        </w:r>
      </w:hyperlink>
      <w:r w:rsidRPr="00856809">
        <w:rPr>
          <w:rStyle w:val="normaltextrun"/>
          <w:rFonts w:ascii="Verdana" w:hAnsi="Verdana" w:cs="Arial"/>
          <w:color w:val="FF0000"/>
          <w:shd w:val="clear" w:color="auto" w:fill="FFFFFF"/>
          <w:lang w:val="es-ES"/>
        </w:rPr>
        <w:t xml:space="preserve">. </w:t>
      </w:r>
    </w:p>
    <w:p w14:paraId="00FD0D56" w14:textId="77777777" w:rsidR="00DF3FD9" w:rsidRPr="00856809" w:rsidRDefault="00DF3FD9" w:rsidP="00DF3FD9">
      <w:pPr>
        <w:pStyle w:val="Prrafodelista"/>
        <w:widowControl w:val="0"/>
        <w:autoSpaceDE w:val="0"/>
        <w:autoSpaceDN w:val="0"/>
        <w:spacing w:after="0" w:line="276" w:lineRule="auto"/>
        <w:ind w:left="6601"/>
        <w:jc w:val="both"/>
        <w:rPr>
          <w:rStyle w:val="normaltextrun"/>
          <w:rFonts w:ascii="Verdana" w:hAnsi="Verdana" w:cs="Arial"/>
          <w:color w:val="FF0000"/>
          <w:shd w:val="clear" w:color="auto" w:fill="FFFFFF"/>
        </w:rPr>
      </w:pPr>
    </w:p>
    <w:p w14:paraId="06F555B7" w14:textId="77777777" w:rsidR="00DF3FD9" w:rsidRPr="009F5D48" w:rsidRDefault="00DF3FD9" w:rsidP="00DF3FD9">
      <w:pPr>
        <w:spacing w:after="0" w:line="276" w:lineRule="auto"/>
        <w:jc w:val="both"/>
        <w:rPr>
          <w:rFonts w:ascii="Verdana" w:hAnsi="Verdana"/>
        </w:rPr>
      </w:pPr>
      <w:r w:rsidRPr="009F5D48">
        <w:rPr>
          <w:rFonts w:ascii="Verdana" w:hAnsi="Verdana"/>
        </w:rPr>
        <w:lastRenderedPageBreak/>
        <w:t xml:space="preserve">Por último, lo invitamos a seguirnos en las redes sociales en las cuales se difunde información institucional: </w:t>
      </w:r>
    </w:p>
    <w:p w14:paraId="0CE60D2D" w14:textId="77777777" w:rsidR="00DF3FD9" w:rsidRPr="009F5D48" w:rsidRDefault="00DF3FD9" w:rsidP="00DF3FD9">
      <w:pPr>
        <w:spacing w:after="0" w:line="276" w:lineRule="auto"/>
        <w:jc w:val="both"/>
        <w:rPr>
          <w:rFonts w:ascii="Verdana" w:hAnsi="Verdana"/>
        </w:rPr>
      </w:pPr>
    </w:p>
    <w:p w14:paraId="70941F18" w14:textId="77777777" w:rsidR="00DF3FD9" w:rsidRPr="009F5D48" w:rsidRDefault="00DF3FD9" w:rsidP="00DF3FD9">
      <w:pPr>
        <w:spacing w:after="0" w:line="276" w:lineRule="auto"/>
        <w:jc w:val="both"/>
        <w:rPr>
          <w:rFonts w:ascii="Verdana" w:hAnsi="Verdana"/>
        </w:rPr>
      </w:pPr>
      <w:r w:rsidRPr="009F5D48">
        <w:rPr>
          <w:rFonts w:ascii="Verdana" w:hAnsi="Verdana"/>
        </w:rPr>
        <w:t xml:space="preserve">Twitter: </w:t>
      </w:r>
      <w:r w:rsidRPr="009F5D48">
        <w:rPr>
          <w:rStyle w:val="Hipervnculo"/>
          <w:rFonts w:ascii="Verdana" w:hAnsi="Verdana"/>
          <w:color w:val="4472C4" w:themeColor="accent1"/>
        </w:rPr>
        <w:t>@colombiacompra</w:t>
      </w:r>
      <w:r w:rsidRPr="009F5D48">
        <w:rPr>
          <w:rFonts w:ascii="Verdana" w:hAnsi="Verdana"/>
          <w:color w:val="4472C4" w:themeColor="accent1"/>
        </w:rPr>
        <w:t xml:space="preserve"> </w:t>
      </w:r>
    </w:p>
    <w:p w14:paraId="7D79D68F" w14:textId="77777777" w:rsidR="00DF3FD9" w:rsidRPr="009F5D48" w:rsidRDefault="00DF3FD9" w:rsidP="00DF3FD9">
      <w:pPr>
        <w:spacing w:after="0" w:line="276" w:lineRule="auto"/>
        <w:jc w:val="both"/>
        <w:rPr>
          <w:rFonts w:ascii="Verdana" w:hAnsi="Verdana"/>
        </w:rPr>
      </w:pPr>
      <w:r w:rsidRPr="009F5D48">
        <w:rPr>
          <w:rFonts w:ascii="Verdana" w:hAnsi="Verdana"/>
        </w:rPr>
        <w:t xml:space="preserve">Facebook: </w:t>
      </w:r>
      <w:proofErr w:type="spellStart"/>
      <w:r w:rsidRPr="009F5D48">
        <w:rPr>
          <w:rStyle w:val="Hipervnculo"/>
          <w:rFonts w:ascii="Verdana" w:hAnsi="Verdana"/>
          <w:color w:val="4472C4" w:themeColor="accent1"/>
        </w:rPr>
        <w:t>ColombiaCompraEficiente</w:t>
      </w:r>
      <w:proofErr w:type="spellEnd"/>
    </w:p>
    <w:p w14:paraId="462937B1" w14:textId="77777777" w:rsidR="00DF3FD9" w:rsidRPr="009F5D48" w:rsidRDefault="00DF3FD9" w:rsidP="00DF3FD9">
      <w:pPr>
        <w:spacing w:after="0" w:line="276" w:lineRule="auto"/>
        <w:jc w:val="both"/>
        <w:rPr>
          <w:rFonts w:ascii="Verdana" w:hAnsi="Verdana"/>
        </w:rPr>
      </w:pPr>
      <w:r w:rsidRPr="009F5D48">
        <w:rPr>
          <w:rFonts w:ascii="Verdana" w:hAnsi="Verdana"/>
        </w:rPr>
        <w:t xml:space="preserve">LinkedIn: </w:t>
      </w:r>
      <w:r w:rsidRPr="009F5D48">
        <w:rPr>
          <w:rStyle w:val="Hipervnculo"/>
          <w:rFonts w:ascii="Verdana" w:hAnsi="Verdana"/>
          <w:color w:val="4472C4" w:themeColor="accent1"/>
        </w:rPr>
        <w:t>Agencia Nacional de Contratación Pública - Colombia Compra Eficiente</w:t>
      </w:r>
      <w:r w:rsidRPr="009F5D48">
        <w:rPr>
          <w:rFonts w:ascii="Verdana" w:hAnsi="Verdana"/>
          <w:color w:val="4472C4" w:themeColor="accent1"/>
        </w:rPr>
        <w:t xml:space="preserve"> </w:t>
      </w:r>
      <w:r w:rsidRPr="009F5D48">
        <w:rPr>
          <w:rFonts w:ascii="Verdana" w:hAnsi="Verdana"/>
        </w:rPr>
        <w:t xml:space="preserve">Instagram: </w:t>
      </w:r>
      <w:r w:rsidRPr="009F5D48">
        <w:rPr>
          <w:rStyle w:val="Hipervnculo"/>
          <w:rFonts w:ascii="Verdana" w:hAnsi="Verdana"/>
          <w:color w:val="4472C4" w:themeColor="accent1"/>
        </w:rPr>
        <w:t>@colombiacompraeficiente_cce</w:t>
      </w:r>
    </w:p>
    <w:p w14:paraId="364A5200" w14:textId="77777777" w:rsidR="00DF3FD9" w:rsidRPr="009F5D48" w:rsidRDefault="00DF3FD9" w:rsidP="00DF3FD9">
      <w:pPr>
        <w:widowControl w:val="0"/>
        <w:autoSpaceDE w:val="0"/>
        <w:autoSpaceDN w:val="0"/>
        <w:spacing w:after="0" w:line="276" w:lineRule="auto"/>
        <w:jc w:val="both"/>
        <w:rPr>
          <w:rFonts w:ascii="Verdana" w:hAnsi="Verdana" w:cs="Arial"/>
        </w:rPr>
      </w:pPr>
    </w:p>
    <w:p w14:paraId="5C389587" w14:textId="77777777" w:rsidR="00DF3FD9" w:rsidRPr="009F5D48" w:rsidRDefault="00DF3FD9" w:rsidP="00DF3FD9">
      <w:pPr>
        <w:widowControl w:val="0"/>
        <w:autoSpaceDE w:val="0"/>
        <w:autoSpaceDN w:val="0"/>
        <w:spacing w:after="0" w:line="276" w:lineRule="auto"/>
        <w:jc w:val="both"/>
        <w:rPr>
          <w:rFonts w:ascii="Verdana" w:hAnsi="Verdana" w:cs="Arial"/>
          <w:lang w:val="es-ES_tradnl"/>
        </w:rPr>
      </w:pPr>
      <w:r w:rsidRPr="009F5D48">
        <w:rPr>
          <w:rFonts w:ascii="Verdana" w:hAnsi="Verdana" w:cs="Arial"/>
        </w:rPr>
        <w:t xml:space="preserve">Este concepto tiene el alcance previsto en el artículo 28 del Código de Procedimiento Administrativo y de lo Contencioso Administrativo </w:t>
      </w:r>
      <w:r w:rsidRPr="009F5D48">
        <w:rPr>
          <w:rFonts w:ascii="Verdana" w:hAnsi="Verdana" w:cs="Arial"/>
          <w:lang w:val="es-ES_tradnl"/>
        </w:rPr>
        <w:t>y las expresiones aquí utilizadas con mayúscula inicial deben ser entendidas con el significado que les otorga el artículo 2.2.1.1.1.3.1. del Decreto 1082 de 2015.</w:t>
      </w:r>
    </w:p>
    <w:p w14:paraId="01CD397C" w14:textId="77777777" w:rsidR="00DF3FD9" w:rsidRPr="009F5D48" w:rsidRDefault="00DF3FD9" w:rsidP="00DF3FD9">
      <w:pPr>
        <w:widowControl w:val="0"/>
        <w:autoSpaceDE w:val="0"/>
        <w:autoSpaceDN w:val="0"/>
        <w:spacing w:after="0" w:line="276" w:lineRule="auto"/>
        <w:jc w:val="both"/>
        <w:rPr>
          <w:rFonts w:ascii="Verdana" w:hAnsi="Verdana" w:cs="Arial"/>
        </w:rPr>
      </w:pPr>
    </w:p>
    <w:p w14:paraId="3922EA91" w14:textId="77777777" w:rsidR="00DF3FD9" w:rsidRPr="009F5D48" w:rsidRDefault="00DF3FD9" w:rsidP="00DF3FD9">
      <w:pPr>
        <w:spacing w:after="0" w:line="276" w:lineRule="auto"/>
        <w:jc w:val="both"/>
        <w:rPr>
          <w:rFonts w:ascii="Verdana" w:hAnsi="Verdana" w:cs="Arial"/>
          <w:lang w:eastAsia="es-CO"/>
        </w:rPr>
      </w:pPr>
      <w:r w:rsidRPr="009F5D48">
        <w:rPr>
          <w:rFonts w:ascii="Verdana" w:eastAsia="Times New Roman" w:hAnsi="Verdana" w:cs="Arial"/>
          <w:lang w:eastAsia="es-CO"/>
        </w:rPr>
        <w:t>Atentamente,</w:t>
      </w:r>
      <w:r w:rsidRPr="009F5D48">
        <w:rPr>
          <w:rFonts w:ascii="Verdana" w:hAnsi="Verdana" w:cs="Arial"/>
          <w:lang w:eastAsia="es-CO"/>
        </w:rPr>
        <w:t xml:space="preserve"> </w:t>
      </w:r>
    </w:p>
    <w:p w14:paraId="0B8D9014" w14:textId="77777777" w:rsidR="00DF3FD9" w:rsidRPr="00593A5F" w:rsidRDefault="00DF3FD9" w:rsidP="006B714E">
      <w:pPr>
        <w:widowControl w:val="0"/>
        <w:autoSpaceDE w:val="0"/>
        <w:autoSpaceDN w:val="0"/>
        <w:spacing w:after="0" w:line="276" w:lineRule="auto"/>
        <w:jc w:val="center"/>
        <w:rPr>
          <w:rFonts w:ascii="Verdana" w:hAnsi="Verdana" w:cs="Arial"/>
        </w:rPr>
      </w:pPr>
    </w:p>
    <w:p w14:paraId="50DCF9C0" w14:textId="77777777" w:rsidR="00DF3FD9" w:rsidRPr="00593A5F" w:rsidRDefault="00E7707D" w:rsidP="00DF3FD9">
      <w:pPr>
        <w:spacing w:line="276" w:lineRule="auto"/>
        <w:jc w:val="center"/>
        <w:rPr>
          <w:rFonts w:ascii="Verdana" w:hAnsi="Verdana" w:cs="Arial"/>
          <w:color w:val="000000"/>
          <w:lang w:val="es-ES_tradnl" w:eastAsia="es-CO"/>
        </w:rPr>
      </w:pPr>
      <w:r w:rsidRPr="002F244C">
        <w:rPr>
          <w:rFonts w:ascii="Verdana" w:hAnsi="Verdana"/>
          <w:noProof/>
        </w:rPr>
        <w:drawing>
          <wp:inline distT="0" distB="0" distL="0" distR="0" wp14:anchorId="1249C2C0" wp14:editId="32C0F2DA">
            <wp:extent cx="3057525" cy="1281967"/>
            <wp:effectExtent l="0" t="0" r="0" b="0"/>
            <wp:docPr id="1310363812"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63566" cy="1284500"/>
                    </a:xfrm>
                    <a:prstGeom prst="rect">
                      <a:avLst/>
                    </a:prstGeom>
                    <a:noFill/>
                    <a:ln>
                      <a:noFill/>
                    </a:ln>
                  </pic:spPr>
                </pic:pic>
              </a:graphicData>
            </a:graphic>
          </wp:inline>
        </w:drawing>
      </w:r>
    </w:p>
    <w:tbl>
      <w:tblPr>
        <w:tblStyle w:val="Tablaconcuadrcula"/>
        <w:tblpPr w:leftFromText="141" w:rightFromText="141" w:vertAnchor="text" w:horzAnchor="margin" w:tblpY="-190"/>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F3FD9" w:rsidRPr="00EA1223" w14:paraId="7C390988" w14:textId="77777777" w:rsidTr="000A5ACE">
        <w:trPr>
          <w:trHeight w:val="315"/>
        </w:trPr>
        <w:tc>
          <w:tcPr>
            <w:tcW w:w="893" w:type="dxa"/>
            <w:vAlign w:val="center"/>
            <w:hideMark/>
          </w:tcPr>
          <w:p w14:paraId="48661437" w14:textId="77777777" w:rsidR="00DF3FD9" w:rsidRPr="00EA1223" w:rsidRDefault="00DF3FD9" w:rsidP="000A5ACE">
            <w:pPr>
              <w:contextualSpacing/>
              <w:rPr>
                <w:rFonts w:ascii="Verdana" w:hAnsi="Verdana" w:cs="Arial"/>
                <w:sz w:val="16"/>
                <w:szCs w:val="16"/>
                <w:lang w:val="es-ES" w:eastAsia="es-ES"/>
              </w:rPr>
            </w:pPr>
            <w:r w:rsidRPr="00EA122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F22572D" w14:textId="77777777" w:rsidR="00DF3FD9" w:rsidRPr="00EA1223" w:rsidRDefault="00DF3FD9" w:rsidP="000A5ACE">
            <w:pPr>
              <w:contextualSpacing/>
              <w:rPr>
                <w:rStyle w:val="normaltextrun"/>
                <w:rFonts w:ascii="Verdana" w:eastAsia="Arial" w:hAnsi="Verdana" w:cs="Arial"/>
                <w:sz w:val="16"/>
                <w:szCs w:val="16"/>
              </w:rPr>
            </w:pPr>
            <w:r w:rsidRPr="00EA1223">
              <w:rPr>
                <w:rStyle w:val="normaltextrun"/>
                <w:rFonts w:ascii="Verdana" w:eastAsia="Arial" w:hAnsi="Verdana" w:cs="Arial"/>
                <w:sz w:val="16"/>
                <w:szCs w:val="16"/>
              </w:rPr>
              <w:t>Andrea del Pilar Garzón Sánchez</w:t>
            </w:r>
          </w:p>
          <w:p w14:paraId="337720FB" w14:textId="77777777" w:rsidR="00DF3FD9" w:rsidRPr="00EA1223" w:rsidRDefault="00DF3FD9" w:rsidP="000A5ACE">
            <w:pPr>
              <w:contextualSpacing/>
              <w:rPr>
                <w:rFonts w:ascii="Verdana" w:eastAsia="Arial" w:hAnsi="Verdana" w:cs="Arial"/>
                <w:color w:val="7030A0"/>
                <w:sz w:val="16"/>
                <w:szCs w:val="16"/>
              </w:rPr>
            </w:pPr>
            <w:r w:rsidRPr="00EA1223">
              <w:rPr>
                <w:rStyle w:val="normaltextrun"/>
                <w:rFonts w:ascii="Verdana" w:eastAsia="Arial" w:hAnsi="Verdana" w:cs="Arial"/>
                <w:sz w:val="16"/>
                <w:szCs w:val="16"/>
              </w:rPr>
              <w:t>Contratista de la Subdirección de Gestión Contractual</w:t>
            </w:r>
          </w:p>
        </w:tc>
      </w:tr>
      <w:tr w:rsidR="00DF3FD9" w:rsidRPr="00EA1223" w14:paraId="4DDC162D" w14:textId="77777777" w:rsidTr="000A5ACE">
        <w:trPr>
          <w:trHeight w:val="330"/>
        </w:trPr>
        <w:tc>
          <w:tcPr>
            <w:tcW w:w="893" w:type="dxa"/>
            <w:vAlign w:val="center"/>
            <w:hideMark/>
          </w:tcPr>
          <w:p w14:paraId="332FAA22" w14:textId="77777777" w:rsidR="00DF3FD9" w:rsidRPr="00EA1223" w:rsidRDefault="00DF3FD9" w:rsidP="000A5ACE">
            <w:pPr>
              <w:contextualSpacing/>
              <w:rPr>
                <w:rFonts w:ascii="Verdana" w:hAnsi="Verdana" w:cs="Arial"/>
                <w:sz w:val="16"/>
                <w:szCs w:val="16"/>
                <w:lang w:val="es-ES" w:eastAsia="es-ES"/>
              </w:rPr>
            </w:pPr>
            <w:r w:rsidRPr="00EA122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69E9A44" w14:textId="77777777" w:rsidR="00DF3FD9" w:rsidRPr="00EA1223" w:rsidRDefault="00DF3FD9" w:rsidP="000A5ACE">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Juan Carlos Gonzáles Vásquez</w:t>
            </w:r>
          </w:p>
          <w:p w14:paraId="4D90FA38" w14:textId="77777777" w:rsidR="00DF3FD9" w:rsidRPr="00EA1223" w:rsidRDefault="00DF3FD9" w:rsidP="000A5ACE">
            <w:pPr>
              <w:pStyle w:val="paragraph"/>
              <w:spacing w:before="0" w:beforeAutospacing="0" w:after="0" w:afterAutospacing="0"/>
              <w:contextualSpacing/>
              <w:textAlignment w:val="baseline"/>
              <w:rPr>
                <w:rFonts w:ascii="Verdana" w:hAnsi="Verdana" w:cs="Segoe UI"/>
                <w:sz w:val="16"/>
                <w:szCs w:val="16"/>
              </w:rPr>
            </w:pPr>
            <w:r w:rsidRPr="00EA1223">
              <w:rPr>
                <w:rStyle w:val="normaltextrun"/>
                <w:rFonts w:ascii="Verdana" w:hAnsi="Verdana" w:cs="Arial"/>
                <w:sz w:val="16"/>
                <w:szCs w:val="16"/>
                <w:lang w:val="es-ES"/>
              </w:rPr>
              <w:t>Contratista de la Subdirección de Gestión Contractual</w:t>
            </w:r>
            <w:r w:rsidRPr="00EA1223">
              <w:rPr>
                <w:rStyle w:val="eop"/>
                <w:rFonts w:ascii="Verdana" w:hAnsi="Verdana" w:cs="Arial"/>
                <w:sz w:val="16"/>
                <w:szCs w:val="16"/>
              </w:rPr>
              <w:t> </w:t>
            </w:r>
          </w:p>
        </w:tc>
      </w:tr>
      <w:tr w:rsidR="00DF3FD9" w:rsidRPr="00EA1223" w14:paraId="5323BB96" w14:textId="77777777" w:rsidTr="000A5ACE">
        <w:trPr>
          <w:trHeight w:val="300"/>
        </w:trPr>
        <w:tc>
          <w:tcPr>
            <w:tcW w:w="893" w:type="dxa"/>
            <w:vAlign w:val="center"/>
          </w:tcPr>
          <w:p w14:paraId="0F4BA267" w14:textId="77777777" w:rsidR="00DF3FD9" w:rsidRPr="00EA1223" w:rsidRDefault="00DF3FD9" w:rsidP="000A5ACE">
            <w:pPr>
              <w:contextualSpacing/>
              <w:rPr>
                <w:rFonts w:ascii="Verdana" w:hAnsi="Verdana" w:cs="Arial"/>
                <w:sz w:val="16"/>
                <w:szCs w:val="16"/>
                <w:lang w:val="es-ES" w:eastAsia="es-ES"/>
              </w:rPr>
            </w:pPr>
            <w:r w:rsidRPr="00EA122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3A20C07" w14:textId="77777777" w:rsidR="00DF3FD9" w:rsidRPr="00EA1223" w:rsidRDefault="00E7707D" w:rsidP="000A5ACE">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Ana Maria Tolosa Rico</w:t>
            </w:r>
          </w:p>
          <w:p w14:paraId="5AB454BD" w14:textId="77777777" w:rsidR="00DF3FD9" w:rsidRPr="00EA1223" w:rsidRDefault="00DF3FD9" w:rsidP="000A5ACE">
            <w:pPr>
              <w:contextualSpacing/>
              <w:rPr>
                <w:rFonts w:ascii="Verdana" w:eastAsia="Calibri" w:hAnsi="Verdana" w:cs="Arial"/>
                <w:sz w:val="16"/>
                <w:szCs w:val="16"/>
                <w:lang w:val="pt-BR" w:eastAsia="es-ES"/>
              </w:rPr>
            </w:pPr>
            <w:r w:rsidRPr="00EA1223">
              <w:rPr>
                <w:rFonts w:ascii="Verdana" w:eastAsia="Calibri" w:hAnsi="Verdana" w:cs="Arial"/>
                <w:sz w:val="16"/>
                <w:szCs w:val="16"/>
                <w:lang w:eastAsia="es-ES"/>
              </w:rPr>
              <w:t>Subdirectora</w:t>
            </w:r>
            <w:r w:rsidRPr="00EA1223">
              <w:rPr>
                <w:rFonts w:ascii="Verdana" w:eastAsia="Calibri" w:hAnsi="Verdana" w:cs="Arial"/>
                <w:sz w:val="16"/>
                <w:szCs w:val="16"/>
                <w:lang w:val="pt-BR" w:eastAsia="es-ES"/>
              </w:rPr>
              <w:t xml:space="preserve"> de Gestión </w:t>
            </w:r>
            <w:proofErr w:type="spellStart"/>
            <w:r w:rsidRPr="00EA1223">
              <w:rPr>
                <w:rFonts w:ascii="Verdana" w:eastAsia="Calibri" w:hAnsi="Verdana" w:cs="Arial"/>
                <w:sz w:val="16"/>
                <w:szCs w:val="16"/>
                <w:lang w:val="pt-BR" w:eastAsia="es-ES"/>
              </w:rPr>
              <w:t>Contractual</w:t>
            </w:r>
            <w:proofErr w:type="spellEnd"/>
            <w:r w:rsidRPr="00EA1223">
              <w:rPr>
                <w:rFonts w:ascii="Verdana" w:eastAsia="Calibri" w:hAnsi="Verdana" w:cs="Arial"/>
                <w:sz w:val="16"/>
                <w:szCs w:val="16"/>
                <w:lang w:val="pt-BR" w:eastAsia="es-ES"/>
              </w:rPr>
              <w:t xml:space="preserve"> ANCP – CCE</w:t>
            </w:r>
            <w:r w:rsidR="00E7707D">
              <w:rPr>
                <w:rFonts w:ascii="Verdana" w:eastAsia="Calibri" w:hAnsi="Verdana" w:cs="Arial"/>
                <w:sz w:val="16"/>
                <w:szCs w:val="16"/>
                <w:lang w:val="pt-BR" w:eastAsia="es-ES"/>
              </w:rPr>
              <w:t xml:space="preserve"> (E)</w:t>
            </w:r>
          </w:p>
        </w:tc>
      </w:tr>
    </w:tbl>
    <w:p w14:paraId="1CE05D09" w14:textId="77777777" w:rsidR="00DF3FD9" w:rsidRPr="00593A5F" w:rsidRDefault="00DF3FD9" w:rsidP="00DF3FD9">
      <w:pPr>
        <w:spacing w:after="0" w:line="240" w:lineRule="auto"/>
        <w:rPr>
          <w:rFonts w:ascii="Verdana" w:eastAsia="Times New Roman" w:hAnsi="Verdana" w:cs="Arial"/>
          <w:sz w:val="24"/>
          <w:szCs w:val="24"/>
          <w:lang w:eastAsia="es-ES"/>
        </w:rPr>
      </w:pPr>
    </w:p>
    <w:p w14:paraId="665DD931" w14:textId="77777777" w:rsidR="00DF3FD9" w:rsidRPr="00871B59" w:rsidRDefault="00DF3FD9" w:rsidP="00DF3FD9"/>
    <w:bookmarkEnd w:id="0"/>
    <w:p w14:paraId="39620C1C" w14:textId="77777777" w:rsidR="00C15139" w:rsidRPr="0024624F" w:rsidRDefault="00C15139" w:rsidP="00C15139">
      <w:pPr>
        <w:spacing w:after="0"/>
        <w:rPr>
          <w:rFonts w:ascii="Verdana" w:hAnsi="Verdana"/>
        </w:rPr>
      </w:pPr>
    </w:p>
    <w:sectPr w:rsidR="00C15139" w:rsidRPr="0024624F"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2A9E19" w14:textId="77777777" w:rsidR="005103FF" w:rsidRDefault="005103FF" w:rsidP="004A1847">
      <w:pPr>
        <w:spacing w:after="0" w:line="240" w:lineRule="auto"/>
      </w:pPr>
      <w:r>
        <w:separator/>
      </w:r>
    </w:p>
  </w:endnote>
  <w:endnote w:type="continuationSeparator" w:id="0">
    <w:p w14:paraId="1ED18825" w14:textId="77777777" w:rsidR="005103FF" w:rsidRDefault="005103F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Open Sans">
    <w:panose1 w:val="020B0606030504020204"/>
    <w:charset w:val="00"/>
    <w:family w:val="swiss"/>
    <w:pitch w:val="variable"/>
    <w:sig w:usb0="E00002EF" w:usb1="4000205B" w:usb2="00000028" w:usb3="00000000" w:csb0="0000019F" w:csb1="00000000"/>
  </w:font>
  <w:font w:name="Aptos">
    <w:panose1 w:val="020B0004020202020204"/>
    <w:charset w:val="00"/>
    <w:family w:val="swiss"/>
    <w:pitch w:val="variable"/>
    <w:sig w:usb0="20000287" w:usb1="00000003" w:usb2="00000000" w:usb3="00000000" w:csb0="000001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B7C878" w14:textId="77777777" w:rsidR="004A1847" w:rsidRDefault="004A1847">
    <w:pPr>
      <w:pStyle w:val="Piedepgina"/>
    </w:pPr>
  </w:p>
  <w:p w14:paraId="45925A5E"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1AA19986"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448B6732"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3302C7E0" w14:textId="77777777"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E56FDD" w14:textId="77777777" w:rsidR="005103FF" w:rsidRDefault="005103FF" w:rsidP="004A1847">
      <w:pPr>
        <w:spacing w:after="0" w:line="240" w:lineRule="auto"/>
      </w:pPr>
      <w:r>
        <w:separator/>
      </w:r>
    </w:p>
  </w:footnote>
  <w:footnote w:type="continuationSeparator" w:id="0">
    <w:p w14:paraId="1FBABE2F" w14:textId="77777777" w:rsidR="005103FF" w:rsidRDefault="005103FF" w:rsidP="004A1847">
      <w:pPr>
        <w:spacing w:after="0" w:line="240" w:lineRule="auto"/>
      </w:pPr>
      <w:r>
        <w:continuationSeparator/>
      </w:r>
    </w:p>
  </w:footnote>
  <w:footnote w:id="1">
    <w:p w14:paraId="19C72FCD" w14:textId="77777777" w:rsidR="00DF3FD9" w:rsidRPr="00097DBE" w:rsidRDefault="00DF3FD9" w:rsidP="00DF3FD9">
      <w:pPr>
        <w:pStyle w:val="Textonotapie"/>
        <w:ind w:firstLine="708"/>
        <w:jc w:val="both"/>
        <w:rPr>
          <w:rFonts w:ascii="Verdana" w:hAnsi="Verdana" w:cs="Arial"/>
          <w:sz w:val="16"/>
          <w:szCs w:val="16"/>
          <w:lang w:val="es-ES"/>
        </w:rPr>
      </w:pPr>
      <w:r w:rsidRPr="00097DBE">
        <w:rPr>
          <w:rStyle w:val="Refdenotaalpie"/>
          <w:rFonts w:ascii="Verdana" w:hAnsi="Verdana"/>
          <w:sz w:val="16"/>
          <w:szCs w:val="16"/>
        </w:rPr>
        <w:footnoteRef/>
      </w:r>
      <w:r w:rsidRPr="00097DBE">
        <w:rPr>
          <w:rFonts w:ascii="Verdana" w:hAnsi="Verdana"/>
          <w:sz w:val="16"/>
          <w:szCs w:val="16"/>
        </w:rPr>
        <w:t xml:space="preserve"> </w:t>
      </w:r>
      <w:bookmarkStart w:id="2" w:name="_Hlk192845550"/>
      <w:r w:rsidRPr="00097DBE">
        <w:rPr>
          <w:rFonts w:ascii="Verdana" w:hAnsi="Verdana" w:cs="Arial"/>
          <w:sz w:val="16"/>
          <w:szCs w:val="16"/>
        </w:rPr>
        <w:t>Consejo de Estado. Sección Segunda. Sentencia del 9 de septiembre de 2021. Expediente No. 05001-23-33-000-2013-01143-01(1317-16). M.P. Dra. Sandra Lisset Ibarra Vélez</w:t>
      </w:r>
      <w:bookmarkEnd w:id="2"/>
      <w:r w:rsidRPr="00097DBE">
        <w:rPr>
          <w:rFonts w:ascii="Verdana" w:hAnsi="Verdana" w:cs="Arial"/>
          <w:sz w:val="16"/>
          <w:szCs w:val="16"/>
        </w:rPr>
        <w:t>.</w:t>
      </w:r>
    </w:p>
    <w:p w14:paraId="09819894" w14:textId="77777777" w:rsidR="00DF3FD9" w:rsidRPr="00097DBE" w:rsidRDefault="00DF3FD9" w:rsidP="00DF3FD9">
      <w:pPr>
        <w:pStyle w:val="Textonotapie"/>
        <w:rPr>
          <w:rFonts w:ascii="Verdana" w:hAnsi="Verdana"/>
          <w:sz w:val="16"/>
          <w:szCs w:val="16"/>
          <w:lang w:val="es-ES"/>
        </w:rPr>
      </w:pPr>
    </w:p>
  </w:footnote>
  <w:footnote w:id="2">
    <w:p w14:paraId="4BC715B8" w14:textId="77777777" w:rsidR="00DF3FD9" w:rsidRPr="00A56FFA" w:rsidRDefault="00DF3FD9" w:rsidP="00DF3FD9">
      <w:pPr>
        <w:pStyle w:val="Textonotapie"/>
        <w:ind w:firstLine="708"/>
        <w:jc w:val="both"/>
        <w:rPr>
          <w:rFonts w:ascii="Verdana" w:hAnsi="Verdana" w:cs="Arial"/>
          <w:sz w:val="18"/>
          <w:szCs w:val="18"/>
          <w:lang w:val="es-ES"/>
        </w:rPr>
      </w:pPr>
      <w:r w:rsidRPr="00097DBE">
        <w:rPr>
          <w:rStyle w:val="Refdenotaalpie"/>
          <w:rFonts w:ascii="Verdana" w:hAnsi="Verdana" w:cs="Arial"/>
          <w:sz w:val="16"/>
          <w:szCs w:val="16"/>
        </w:rPr>
        <w:footnoteRef/>
      </w:r>
      <w:r w:rsidRPr="00097DBE">
        <w:rPr>
          <w:rFonts w:ascii="Verdana" w:hAnsi="Verdana" w:cs="Arial"/>
          <w:sz w:val="16"/>
          <w:szCs w:val="16"/>
        </w:rPr>
        <w:t xml:space="preserve"> Así lo señaló el Consejo de Estado en la sentencia de unificación en mención, al indicar que “cualquier contrato de prestación de servicios tiene por objeto genérico “desarrollar actividades relacionadas con la administración o funcionamiento de la entidad”.</w:t>
      </w:r>
    </w:p>
  </w:footnote>
  <w:footnote w:id="3">
    <w:p w14:paraId="2F991746" w14:textId="77777777" w:rsidR="00DF3FD9" w:rsidRPr="00097DBE" w:rsidRDefault="00DF3FD9" w:rsidP="00DF3FD9">
      <w:pPr>
        <w:pStyle w:val="Textonotapie"/>
        <w:ind w:firstLine="708"/>
        <w:contextualSpacing/>
        <w:jc w:val="both"/>
        <w:rPr>
          <w:rFonts w:ascii="Verdana" w:hAnsi="Verdana" w:cs="Arial"/>
          <w:sz w:val="16"/>
          <w:szCs w:val="16"/>
          <w:lang w:val="es-ES"/>
        </w:rPr>
      </w:pPr>
      <w:r w:rsidRPr="00097DBE">
        <w:rPr>
          <w:rStyle w:val="Refdenotaalpie"/>
          <w:rFonts w:ascii="Verdana" w:hAnsi="Verdana" w:cs="Arial"/>
          <w:sz w:val="16"/>
          <w:szCs w:val="16"/>
        </w:rPr>
        <w:footnoteRef/>
      </w:r>
      <w:r w:rsidRPr="00097DBE">
        <w:rPr>
          <w:rFonts w:ascii="Verdana" w:hAnsi="Verdana" w:cs="Arial"/>
          <w:sz w:val="16"/>
          <w:szCs w:val="16"/>
        </w:rPr>
        <w:t xml:space="preserve"> </w:t>
      </w:r>
      <w:r w:rsidRPr="00097DBE">
        <w:rPr>
          <w:rFonts w:ascii="Verdana" w:hAnsi="Verdana" w:cs="Arial"/>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2. Quien presta el servicio se denomina trabajador, quien lo recibe y remunera, empleador, y la remuneración, cualquiera que sea su forma, salario”.</w:t>
      </w:r>
    </w:p>
    <w:p w14:paraId="1F1EB3B2" w14:textId="77777777" w:rsidR="00DF3FD9" w:rsidRPr="00097DBE" w:rsidRDefault="00DF3FD9" w:rsidP="00DF3FD9">
      <w:pPr>
        <w:pStyle w:val="Textonotapie"/>
        <w:ind w:firstLine="709"/>
        <w:contextualSpacing/>
        <w:jc w:val="both"/>
        <w:rPr>
          <w:rFonts w:ascii="Verdana" w:hAnsi="Verdana" w:cs="Arial"/>
          <w:sz w:val="16"/>
          <w:szCs w:val="16"/>
          <w:lang w:val="es-ES"/>
        </w:rPr>
      </w:pPr>
    </w:p>
  </w:footnote>
  <w:footnote w:id="4">
    <w:p w14:paraId="77E07047" w14:textId="77777777" w:rsidR="00DF3FD9" w:rsidRPr="00C0717E" w:rsidRDefault="00DF3FD9" w:rsidP="00DF3FD9">
      <w:pPr>
        <w:spacing w:after="0" w:line="240" w:lineRule="auto"/>
        <w:contextualSpacing/>
        <w:jc w:val="both"/>
        <w:rPr>
          <w:rFonts w:ascii="Verdana" w:hAnsi="Verdana"/>
          <w:sz w:val="18"/>
          <w:szCs w:val="18"/>
        </w:rPr>
      </w:pPr>
    </w:p>
  </w:footnote>
  <w:footnote w:id="5">
    <w:p w14:paraId="784051F8" w14:textId="77777777" w:rsidR="00DF3FD9" w:rsidRPr="00097DBE" w:rsidRDefault="00DF3FD9" w:rsidP="00DF3FD9">
      <w:pPr>
        <w:pStyle w:val="Textonotapie"/>
        <w:ind w:firstLine="709"/>
        <w:contextualSpacing/>
        <w:jc w:val="both"/>
        <w:rPr>
          <w:rFonts w:ascii="Verdana" w:hAnsi="Verdana" w:cs="Arial"/>
          <w:color w:val="000000"/>
          <w:sz w:val="16"/>
          <w:szCs w:val="16"/>
          <w:lang w:val="es-ES"/>
        </w:rPr>
      </w:pPr>
      <w:r w:rsidRPr="00097DBE">
        <w:rPr>
          <w:rStyle w:val="Refdenotaalpie"/>
          <w:rFonts w:ascii="Verdana" w:hAnsi="Verdana" w:cs="Arial"/>
          <w:color w:val="000000"/>
          <w:sz w:val="16"/>
          <w:szCs w:val="16"/>
        </w:rPr>
        <w:footnoteRef/>
      </w:r>
      <w:r w:rsidRPr="00097DBE">
        <w:rPr>
          <w:rFonts w:ascii="Verdana" w:hAnsi="Verdana" w:cs="Arial"/>
          <w:color w:val="000000"/>
          <w:sz w:val="16"/>
          <w:szCs w:val="16"/>
        </w:rPr>
        <w:t xml:space="preserve"> </w:t>
      </w:r>
      <w:r w:rsidRPr="00097DBE">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p w14:paraId="569592CD" w14:textId="77777777" w:rsidR="00DF3FD9" w:rsidRPr="00097DBE" w:rsidRDefault="00DF3FD9" w:rsidP="00DF3FD9">
      <w:pPr>
        <w:pStyle w:val="Textonotapie"/>
        <w:ind w:firstLine="709"/>
        <w:contextualSpacing/>
        <w:jc w:val="both"/>
        <w:rPr>
          <w:rFonts w:ascii="Verdana" w:hAnsi="Verdana" w:cs="Arial"/>
          <w:color w:val="000000"/>
          <w:sz w:val="16"/>
          <w:szCs w:val="16"/>
          <w:lang w:val="es-ES"/>
        </w:rPr>
      </w:pPr>
      <w:r w:rsidRPr="00097DBE">
        <w:rPr>
          <w:rFonts w:ascii="Verdana" w:hAnsi="Verdana" w:cs="Arial"/>
          <w:color w:val="000000"/>
          <w:sz w:val="16"/>
          <w:szCs w:val="16"/>
          <w:lang w:val="es-ES"/>
        </w:rPr>
        <w:t>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w:t>
      </w:r>
    </w:p>
    <w:p w14:paraId="432D981E" w14:textId="77777777" w:rsidR="00DF3FD9" w:rsidRPr="00097DBE" w:rsidRDefault="00DF3FD9" w:rsidP="00DF3FD9">
      <w:pPr>
        <w:pStyle w:val="Textonotapie"/>
        <w:ind w:firstLine="709"/>
        <w:contextualSpacing/>
        <w:jc w:val="both"/>
        <w:rPr>
          <w:rFonts w:ascii="Verdana" w:hAnsi="Verdana" w:cs="Arial"/>
          <w:color w:val="000000"/>
          <w:sz w:val="16"/>
          <w:szCs w:val="16"/>
          <w:lang w:val="es-ES"/>
        </w:rPr>
      </w:pPr>
      <w:r w:rsidRPr="00097DBE">
        <w:rPr>
          <w:rFonts w:ascii="Verdana" w:hAnsi="Verdana" w:cs="Arial"/>
          <w:color w:val="000000"/>
          <w:sz w:val="16"/>
          <w:szCs w:val="16"/>
          <w:lang w:val="es-ES"/>
        </w:rPr>
        <w:t>La Entidad Estatal, para la contratación de trabajos artísticos que solamente puedan en­comendarse a determinadas personas naturales, debe justificar esta situación en los estudios y documentos previos”.</w:t>
      </w:r>
    </w:p>
    <w:p w14:paraId="473181FA" w14:textId="77777777" w:rsidR="00DF3FD9" w:rsidRPr="00C0717E" w:rsidRDefault="00DF3FD9" w:rsidP="00DF3FD9">
      <w:pPr>
        <w:pStyle w:val="Textonotapie"/>
        <w:ind w:firstLine="709"/>
        <w:contextualSpacing/>
        <w:jc w:val="both"/>
        <w:rPr>
          <w:rFonts w:ascii="Verdana" w:hAnsi="Verdana" w:cs="Arial"/>
          <w:color w:val="000000"/>
          <w:sz w:val="18"/>
          <w:szCs w:val="18"/>
          <w:lang w:val="es-ES"/>
        </w:rPr>
      </w:pPr>
    </w:p>
  </w:footnote>
  <w:footnote w:id="6">
    <w:p w14:paraId="51542DCF" w14:textId="77777777" w:rsidR="00DF3FD9" w:rsidRPr="00097DBE" w:rsidRDefault="00DF3FD9" w:rsidP="00DF3FD9">
      <w:pPr>
        <w:pStyle w:val="Textonotapie"/>
        <w:ind w:firstLine="709"/>
        <w:contextualSpacing/>
        <w:jc w:val="both"/>
        <w:rPr>
          <w:rFonts w:ascii="Verdana" w:hAnsi="Verdana" w:cs="Arial"/>
          <w:color w:val="000000"/>
          <w:sz w:val="16"/>
          <w:szCs w:val="16"/>
          <w:lang w:val="es-ES"/>
        </w:rPr>
      </w:pPr>
      <w:r w:rsidRPr="00097DBE">
        <w:rPr>
          <w:rStyle w:val="Refdenotaalpie"/>
          <w:rFonts w:ascii="Verdana" w:hAnsi="Verdana" w:cs="Arial"/>
          <w:color w:val="000000"/>
          <w:sz w:val="16"/>
          <w:szCs w:val="16"/>
        </w:rPr>
        <w:footnoteRef/>
      </w:r>
      <w:r w:rsidRPr="00097DBE">
        <w:rPr>
          <w:rFonts w:ascii="Verdana" w:hAnsi="Verdana" w:cs="Arial"/>
          <w:color w:val="000000"/>
          <w:sz w:val="16"/>
          <w:szCs w:val="16"/>
        </w:rPr>
        <w:t xml:space="preserve"> </w:t>
      </w:r>
      <w:r w:rsidRPr="00097DBE">
        <w:rPr>
          <w:rFonts w:ascii="Verdana" w:hAnsi="Verdana" w:cs="Arial"/>
          <w:color w:val="000000"/>
          <w:sz w:val="16"/>
          <w:szCs w:val="16"/>
          <w:lang w:val="es-ES"/>
        </w:rPr>
        <w:t>Consejo de Estado. Sección Tercera. Subsección C. Sentencia del 2 de diciembre de 2013. Exp. 41719. Consejero Ponente: Jaime Orlando Santofimio Gamboa.</w:t>
      </w:r>
    </w:p>
  </w:footnote>
  <w:footnote w:id="7">
    <w:p w14:paraId="256E3DCF" w14:textId="77777777" w:rsidR="00DF3FD9" w:rsidRPr="00097DBE" w:rsidRDefault="00DF3FD9" w:rsidP="00DF3FD9">
      <w:pPr>
        <w:spacing w:after="0" w:line="240" w:lineRule="auto"/>
        <w:contextualSpacing/>
        <w:jc w:val="both"/>
        <w:rPr>
          <w:rFonts w:ascii="Verdana" w:hAnsi="Verdana"/>
          <w:sz w:val="16"/>
          <w:szCs w:val="16"/>
        </w:rPr>
      </w:pPr>
    </w:p>
  </w:footnote>
  <w:footnote w:id="8">
    <w:p w14:paraId="1145FF5A" w14:textId="77777777" w:rsidR="00DF3FD9" w:rsidRPr="00097DBE" w:rsidRDefault="00DF3FD9" w:rsidP="00DF3FD9">
      <w:pPr>
        <w:pStyle w:val="Textonotapie"/>
        <w:ind w:firstLine="709"/>
        <w:contextualSpacing/>
        <w:jc w:val="both"/>
        <w:rPr>
          <w:rFonts w:ascii="Verdana" w:hAnsi="Verdana" w:cs="Arial"/>
          <w:sz w:val="16"/>
          <w:szCs w:val="16"/>
        </w:rPr>
      </w:pPr>
      <w:r w:rsidRPr="00097DBE">
        <w:rPr>
          <w:rStyle w:val="Refdenotaalpie"/>
          <w:rFonts w:ascii="Verdana" w:hAnsi="Verdana" w:cs="Arial"/>
          <w:sz w:val="16"/>
          <w:szCs w:val="16"/>
        </w:rPr>
        <w:footnoteRef/>
      </w:r>
      <w:r w:rsidRPr="00097DBE">
        <w:rPr>
          <w:rFonts w:ascii="Verdana" w:hAnsi="Verdana" w:cs="Arial"/>
          <w:sz w:val="16"/>
          <w:szCs w:val="16"/>
        </w:rPr>
        <w:t xml:space="preserve"> </w:t>
      </w:r>
      <w:r w:rsidRPr="00097DBE">
        <w:rPr>
          <w:rFonts w:ascii="Verdana" w:hAnsi="Verdana" w:cs="Arial"/>
          <w:sz w:val="16"/>
          <w:szCs w:val="16"/>
          <w:lang w:val="es-ES"/>
        </w:rPr>
        <w:t>Consejo de Estado. Sección Tercera. Subsección C. Sentencia de Unificación del 2 de diciembre de 2013. Exp. 41.719. C.P. Jaime Orlando Santofimio Gamboa.</w:t>
      </w:r>
      <w:r w:rsidRPr="00097DBE">
        <w:rPr>
          <w:rFonts w:ascii="Verdana" w:hAnsi="Verdana" w:cs="Arial"/>
          <w:sz w:val="16"/>
          <w:szCs w:val="16"/>
        </w:rPr>
        <w:t xml:space="preserve"> </w:t>
      </w:r>
    </w:p>
    <w:p w14:paraId="4561C84E" w14:textId="77777777" w:rsidR="00DF3FD9" w:rsidRPr="00097DBE" w:rsidRDefault="00DF3FD9" w:rsidP="00DF3FD9">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Además,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534E4368" w14:textId="77777777" w:rsidR="00DF3FD9" w:rsidRPr="00097DBE" w:rsidRDefault="00DF3FD9" w:rsidP="00DF3FD9">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Son también contratos de consultoría los que tienen por objeto la interventoría, asesoría, gerencia de obra o de proyectos, dirección, programación y la ejecución de diseños, planos, anteproyectos y proyectos.</w:t>
      </w:r>
    </w:p>
    <w:p w14:paraId="7C7CDC45" w14:textId="77777777" w:rsidR="00DF3FD9" w:rsidRPr="00097DBE" w:rsidRDefault="00DF3FD9" w:rsidP="00DF3FD9">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Ninguna orden del interventor de una obra podrá darse verbalmente. Es obligatorio para el interventor entregar por escrito sus órdenes o sugerencias y ellas deben enmarcarse dentro de los términos del respectivo contrato”.</w:t>
      </w:r>
    </w:p>
    <w:p w14:paraId="5D1B4E0F" w14:textId="77777777" w:rsidR="00DF3FD9" w:rsidRPr="00097DBE" w:rsidRDefault="00DF3FD9" w:rsidP="00DF3FD9">
      <w:pPr>
        <w:pStyle w:val="Textonotapie"/>
        <w:ind w:firstLine="709"/>
        <w:contextualSpacing/>
        <w:jc w:val="both"/>
        <w:rPr>
          <w:rFonts w:ascii="Verdana" w:hAnsi="Verdana" w:cs="Arial"/>
          <w:sz w:val="16"/>
          <w:szCs w:val="16"/>
          <w:lang w:val="es-ES"/>
        </w:rPr>
      </w:pPr>
    </w:p>
  </w:footnote>
  <w:footnote w:id="9">
    <w:p w14:paraId="7B8E6D30" w14:textId="77777777" w:rsidR="00DF3FD9" w:rsidRPr="00097DBE" w:rsidRDefault="00DF3FD9" w:rsidP="00DF3FD9">
      <w:pPr>
        <w:pStyle w:val="Textonotapie"/>
        <w:ind w:firstLine="709"/>
        <w:contextualSpacing/>
        <w:jc w:val="both"/>
        <w:rPr>
          <w:rFonts w:ascii="Verdana" w:hAnsi="Verdana" w:cs="Arial"/>
          <w:sz w:val="16"/>
          <w:szCs w:val="16"/>
          <w:lang w:val="es-ES"/>
        </w:rPr>
      </w:pPr>
      <w:r w:rsidRPr="00097DBE">
        <w:rPr>
          <w:rStyle w:val="Refdenotaalpie"/>
          <w:rFonts w:ascii="Verdana" w:hAnsi="Verdana" w:cs="Arial"/>
          <w:sz w:val="16"/>
          <w:szCs w:val="16"/>
        </w:rPr>
        <w:footnoteRef/>
      </w:r>
      <w:r w:rsidRPr="00097DBE">
        <w:rPr>
          <w:rFonts w:ascii="Verdana" w:hAnsi="Verdana" w:cs="Arial"/>
          <w:sz w:val="16"/>
          <w:szCs w:val="16"/>
        </w:rPr>
        <w:t xml:space="preserve"> </w:t>
      </w:r>
      <w:r w:rsidRPr="00097DBE">
        <w:rPr>
          <w:rFonts w:ascii="Verdana" w:hAnsi="Verdana" w:cs="Arial"/>
          <w:sz w:val="16"/>
          <w:szCs w:val="16"/>
          <w:lang w:val="es-ES"/>
        </w:rPr>
        <w:t>Así lo dispone el artículo 2.2.1.2.1.4.1. del Decreto 1082 de 2015: “La Entidad Estatal debe señalar en un acto administrativo la justificación para contratar bajo la modalidad de contratación directa, el cual debe contener:</w:t>
      </w:r>
    </w:p>
    <w:p w14:paraId="21FFBF2E" w14:textId="77777777" w:rsidR="00DF3FD9" w:rsidRPr="00097DBE" w:rsidRDefault="00DF3FD9" w:rsidP="00DF3FD9">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1. La causal que invoca para contratar directamente.</w:t>
      </w:r>
    </w:p>
    <w:p w14:paraId="6B55FB09" w14:textId="77777777" w:rsidR="00DF3FD9" w:rsidRPr="00097DBE" w:rsidRDefault="00DF3FD9" w:rsidP="00DF3FD9">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2. El objeto del contrato.</w:t>
      </w:r>
    </w:p>
    <w:p w14:paraId="5C8C725E" w14:textId="77777777" w:rsidR="00DF3FD9" w:rsidRPr="00097DBE" w:rsidRDefault="00DF3FD9" w:rsidP="00DF3FD9">
      <w:pPr>
        <w:pStyle w:val="Textonotapie"/>
        <w:ind w:firstLine="709"/>
        <w:contextualSpacing/>
        <w:jc w:val="both"/>
        <w:rPr>
          <w:rFonts w:ascii="Verdana" w:hAnsi="Verdana" w:cs="Arial"/>
          <w:sz w:val="16"/>
          <w:szCs w:val="16"/>
          <w:lang w:val="es-ES"/>
        </w:rPr>
      </w:pPr>
      <w:r w:rsidRPr="00097DBE">
        <w:rPr>
          <w:rFonts w:ascii="Verdana" w:hAnsi="Verdana" w:cs="Arial"/>
          <w:sz w:val="16"/>
          <w:szCs w:val="16"/>
          <w:lang w:val="es-ES"/>
        </w:rPr>
        <w:t>3. El presupuesto para la contratación y las condiciones que exigirá al contratista.</w:t>
      </w:r>
    </w:p>
    <w:p w14:paraId="130C61C8" w14:textId="77777777" w:rsidR="00DF3FD9" w:rsidRPr="00C0717E" w:rsidRDefault="00DF3FD9" w:rsidP="00DF3FD9">
      <w:pPr>
        <w:pStyle w:val="Textonotapie"/>
        <w:ind w:firstLine="709"/>
        <w:contextualSpacing/>
        <w:jc w:val="both"/>
        <w:rPr>
          <w:rFonts w:ascii="Verdana" w:hAnsi="Verdana" w:cs="Arial"/>
          <w:sz w:val="18"/>
          <w:szCs w:val="18"/>
          <w:lang w:val="es-ES"/>
        </w:rPr>
      </w:pPr>
      <w:r w:rsidRPr="00097DBE">
        <w:rPr>
          <w:rFonts w:ascii="Verdana" w:hAnsi="Verdana" w:cs="Arial"/>
          <w:sz w:val="16"/>
          <w:szCs w:val="16"/>
          <w:lang w:val="es-ES"/>
        </w:rPr>
        <w:t>4. El lugar en el cual los interesados pueden consultar los estudios y documentos previos</w:t>
      </w:r>
      <w:r w:rsidRPr="00C0717E">
        <w:rPr>
          <w:rFonts w:ascii="Verdana" w:hAnsi="Verdana" w:cs="Arial"/>
          <w:sz w:val="18"/>
          <w:szCs w:val="18"/>
          <w:lang w:val="es-ES"/>
        </w:rPr>
        <w:t>.</w:t>
      </w:r>
    </w:p>
    <w:p w14:paraId="5D100321" w14:textId="77777777" w:rsidR="00DF3FD9" w:rsidRPr="00441AF3" w:rsidRDefault="00DF3FD9" w:rsidP="00DF3FD9">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0">
    <w:p w14:paraId="4A550226" w14:textId="77777777" w:rsidR="00DF3FD9" w:rsidRPr="00441AF3" w:rsidRDefault="00DF3FD9" w:rsidP="00DF3FD9">
      <w:pPr>
        <w:pStyle w:val="Textonotapie"/>
        <w:contextualSpacing/>
        <w:jc w:val="both"/>
        <w:rPr>
          <w:rFonts w:ascii="Verdana" w:hAnsi="Verdana" w:cs="Arial"/>
          <w:sz w:val="16"/>
          <w:szCs w:val="16"/>
        </w:rPr>
      </w:pPr>
    </w:p>
    <w:p w14:paraId="3A403AA1" w14:textId="77777777" w:rsidR="00DF3FD9" w:rsidRPr="00441AF3" w:rsidRDefault="00DF3FD9" w:rsidP="00DF3FD9">
      <w:pPr>
        <w:pStyle w:val="Textonotapie"/>
        <w:ind w:firstLine="709"/>
        <w:contextualSpacing/>
        <w:jc w:val="both"/>
        <w:rPr>
          <w:rFonts w:ascii="Verdana" w:hAnsi="Verdana" w:cs="Arial"/>
          <w:sz w:val="16"/>
          <w:szCs w:val="16"/>
          <w:lang w:val="es-ES"/>
        </w:rPr>
      </w:pPr>
      <w:r w:rsidRPr="00441AF3">
        <w:rPr>
          <w:rStyle w:val="Refdenotaalpie"/>
          <w:rFonts w:ascii="Verdana" w:hAnsi="Verdana" w:cs="Arial"/>
          <w:sz w:val="16"/>
          <w:szCs w:val="16"/>
        </w:rPr>
        <w:footnoteRef/>
      </w:r>
      <w:r w:rsidRPr="00441AF3">
        <w:rPr>
          <w:rFonts w:ascii="Verdana" w:hAnsi="Verdana" w:cs="Arial"/>
          <w:sz w:val="16"/>
          <w:szCs w:val="16"/>
        </w:rPr>
        <w:t xml:space="preserve"> </w:t>
      </w:r>
      <w:r w:rsidRPr="00441AF3">
        <w:rPr>
          <w:rFonts w:ascii="Verdana" w:hAnsi="Verdana" w:cs="Arial"/>
          <w:sz w:val="16"/>
          <w:szCs w:val="16"/>
          <w:lang w:val="es-ES"/>
        </w:rPr>
        <w:t xml:space="preserve">La norma expresa: “Art. 14. </w:t>
      </w:r>
      <w:r w:rsidRPr="00441AF3">
        <w:rPr>
          <w:rFonts w:ascii="Verdana" w:hAnsi="Verdana" w:cs="Arial"/>
          <w:sz w:val="16"/>
          <w:szCs w:val="16"/>
        </w:rPr>
        <w:t>P</w:t>
      </w:r>
      <w:r w:rsidRPr="00441AF3">
        <w:rPr>
          <w:rFonts w:ascii="Verdana" w:hAnsi="Verdana" w:cs="Arial"/>
          <w:sz w:val="16"/>
          <w:szCs w:val="16"/>
          <w:lang w:val="es-ES"/>
        </w:rPr>
        <w:t>ara el cumplimiento de los fines de la contratación, las entidades estatales al celebrar un contrato:</w:t>
      </w:r>
    </w:p>
    <w:p w14:paraId="4D160FA0" w14:textId="77777777" w:rsidR="00DF3FD9" w:rsidRPr="00441AF3" w:rsidRDefault="00DF3FD9" w:rsidP="00DF3FD9">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w:t>
      </w:r>
    </w:p>
    <w:p w14:paraId="62623E7F" w14:textId="77777777" w:rsidR="00DF3FD9" w:rsidRPr="00441AF3" w:rsidRDefault="00DF3FD9" w:rsidP="00DF3FD9">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6E047203" w14:textId="77777777" w:rsidR="00DF3FD9" w:rsidRPr="00441AF3" w:rsidRDefault="00DF3FD9" w:rsidP="00DF3FD9">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Las entidades estatales podrán pactar estas cláusulas en los contratos de suministro y de prestación de servicios.</w:t>
      </w:r>
    </w:p>
    <w:p w14:paraId="3B96E22A" w14:textId="77777777" w:rsidR="00DF3FD9" w:rsidRPr="00441AF3" w:rsidRDefault="00DF3FD9" w:rsidP="00DF3FD9">
      <w:pPr>
        <w:pStyle w:val="Textonotapie"/>
        <w:ind w:firstLine="709"/>
        <w:contextualSpacing/>
        <w:jc w:val="both"/>
        <w:rPr>
          <w:rFonts w:ascii="Verdana" w:hAnsi="Verdana" w:cs="Arial"/>
          <w:sz w:val="16"/>
          <w:szCs w:val="16"/>
          <w:lang w:val="es-ES"/>
        </w:rPr>
      </w:pPr>
      <w:r w:rsidRPr="00441AF3">
        <w:rPr>
          <w:rFonts w:ascii="Verdana" w:hAnsi="Verdana" w:cs="Arial"/>
          <w:sz w:val="16"/>
          <w:szCs w:val="16"/>
          <w:lang w:val="es-ES"/>
        </w:rPr>
        <w:t>[…]”.</w:t>
      </w:r>
    </w:p>
    <w:p w14:paraId="266F2F83" w14:textId="77777777" w:rsidR="00DF3FD9" w:rsidRPr="00441AF3" w:rsidRDefault="00DF3FD9" w:rsidP="00DF3FD9">
      <w:pPr>
        <w:pStyle w:val="Textonotapie"/>
        <w:ind w:firstLine="709"/>
        <w:contextualSpacing/>
        <w:jc w:val="both"/>
        <w:rPr>
          <w:rFonts w:ascii="Verdana" w:hAnsi="Verdana" w:cs="Arial"/>
          <w:sz w:val="16"/>
          <w:szCs w:val="16"/>
          <w:lang w:val="es-ES"/>
        </w:rPr>
      </w:pPr>
    </w:p>
  </w:footnote>
  <w:footnote w:id="11">
    <w:p w14:paraId="127E8EA8" w14:textId="77777777" w:rsidR="00DF3FD9" w:rsidRPr="00441AF3" w:rsidRDefault="00DF3FD9" w:rsidP="00DF3FD9">
      <w:pPr>
        <w:pStyle w:val="Textonotapie"/>
        <w:ind w:firstLine="709"/>
        <w:contextualSpacing/>
        <w:jc w:val="both"/>
        <w:rPr>
          <w:rFonts w:ascii="Verdana" w:hAnsi="Verdana" w:cs="Arial"/>
          <w:sz w:val="16"/>
          <w:szCs w:val="16"/>
          <w:lang w:val="es-ES"/>
        </w:rPr>
      </w:pPr>
      <w:r w:rsidRPr="00441AF3">
        <w:rPr>
          <w:rStyle w:val="Refdenotaalpie"/>
          <w:rFonts w:ascii="Verdana" w:hAnsi="Verdana" w:cs="Arial"/>
          <w:sz w:val="16"/>
          <w:szCs w:val="16"/>
        </w:rPr>
        <w:footnoteRef/>
      </w:r>
      <w:r w:rsidRPr="00441AF3">
        <w:rPr>
          <w:rFonts w:ascii="Verdana" w:hAnsi="Verdana" w:cs="Arial"/>
          <w:sz w:val="16"/>
          <w:szCs w:val="16"/>
        </w:rPr>
        <w:t xml:space="preserve"> </w:t>
      </w:r>
      <w:r w:rsidRPr="00441AF3">
        <w:rPr>
          <w:rFonts w:ascii="Verdana" w:hAnsi="Verdana" w:cs="Arial"/>
          <w:sz w:val="16"/>
          <w:szCs w:val="16"/>
          <w:lang w:val="es-ES"/>
        </w:rPr>
        <w:t>La norma dispone: “La liquidación a que se refiere el presente artículo no será obligatoria en los contratos de prestación de servicios profesionales y de apoyo a la gestión”.</w:t>
      </w:r>
    </w:p>
    <w:p w14:paraId="1C33833F" w14:textId="77777777" w:rsidR="00DF3FD9" w:rsidRPr="00441AF3" w:rsidRDefault="00DF3FD9" w:rsidP="00DF3FD9">
      <w:pPr>
        <w:pStyle w:val="Textonotapie"/>
        <w:ind w:firstLine="709"/>
        <w:contextualSpacing/>
        <w:jc w:val="both"/>
        <w:rPr>
          <w:rFonts w:ascii="Verdana" w:hAnsi="Verdana" w:cs="Arial"/>
          <w:sz w:val="16"/>
          <w:szCs w:val="16"/>
          <w:lang w:val="es-ES"/>
        </w:rPr>
      </w:pPr>
    </w:p>
  </w:footnote>
  <w:footnote w:id="12">
    <w:p w14:paraId="7F3ED4E9" w14:textId="77777777" w:rsidR="00DF3FD9" w:rsidRPr="00441AF3" w:rsidRDefault="00DF3FD9" w:rsidP="00DF3FD9">
      <w:pPr>
        <w:pStyle w:val="Textonotapie"/>
        <w:ind w:firstLine="709"/>
        <w:contextualSpacing/>
        <w:jc w:val="both"/>
        <w:rPr>
          <w:rFonts w:ascii="Verdana" w:hAnsi="Verdana" w:cs="Arial"/>
          <w:sz w:val="16"/>
          <w:szCs w:val="16"/>
        </w:rPr>
      </w:pPr>
      <w:r w:rsidRPr="00441AF3">
        <w:rPr>
          <w:rStyle w:val="Refdenotaalpie"/>
          <w:rFonts w:ascii="Verdana" w:hAnsi="Verdana" w:cs="Arial"/>
          <w:sz w:val="16"/>
          <w:szCs w:val="16"/>
        </w:rPr>
        <w:footnoteRef/>
      </w:r>
      <w:r w:rsidRPr="00441AF3">
        <w:rPr>
          <w:rFonts w:ascii="Verdana" w:hAnsi="Verdana" w:cs="Arial"/>
          <w:sz w:val="16"/>
          <w:szCs w:val="16"/>
        </w:rPr>
        <w:t xml:space="preserve"> Según dicho artículo: “Art.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287AE45C" w14:textId="77777777" w:rsidR="00DF3FD9" w:rsidRPr="00C0717E" w:rsidRDefault="00DF3FD9" w:rsidP="00DF3FD9">
      <w:pPr>
        <w:pStyle w:val="Textonotapie"/>
        <w:ind w:firstLine="709"/>
        <w:contextualSpacing/>
        <w:jc w:val="both"/>
        <w:rPr>
          <w:rFonts w:ascii="Verdana" w:hAnsi="Verdana" w:cs="Arial"/>
          <w:sz w:val="18"/>
          <w:szCs w:val="18"/>
        </w:rPr>
      </w:pPr>
      <w:r w:rsidRPr="00441AF3">
        <w:rPr>
          <w:rFonts w:ascii="Verdana" w:hAnsi="Verdana" w:cs="Arial"/>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0D975EB0" w14:textId="77777777" w:rsidR="00DF3FD9" w:rsidRPr="00C0717E" w:rsidRDefault="00DF3FD9" w:rsidP="00DF3FD9">
      <w:pPr>
        <w:pStyle w:val="Textonotapie"/>
        <w:ind w:firstLine="709"/>
        <w:contextualSpacing/>
        <w:jc w:val="both"/>
        <w:rPr>
          <w:rFonts w:ascii="Verdana" w:hAnsi="Verdana" w:cs="Arial"/>
          <w:sz w:val="18"/>
          <w:szCs w:val="18"/>
        </w:rPr>
      </w:pPr>
      <w:r w:rsidRPr="00C0717E">
        <w:rPr>
          <w:rFonts w:ascii="Verdana" w:hAnsi="Verdana" w:cs="Arial"/>
          <w:sz w:val="18"/>
          <w:szCs w:val="18"/>
        </w:rPr>
        <w:t>[…]”.</w:t>
      </w:r>
    </w:p>
    <w:p w14:paraId="0318416F" w14:textId="77777777" w:rsidR="00DF3FD9" w:rsidRPr="00C0717E" w:rsidRDefault="00DF3FD9" w:rsidP="00DF3FD9">
      <w:pPr>
        <w:pStyle w:val="Textonotapie"/>
        <w:ind w:firstLine="709"/>
        <w:contextualSpacing/>
        <w:jc w:val="both"/>
        <w:rPr>
          <w:rFonts w:ascii="Verdana" w:hAnsi="Verdana" w:cs="Arial"/>
          <w:sz w:val="18"/>
          <w:szCs w:val="18"/>
          <w:lang w:val="es-ES"/>
        </w:rPr>
      </w:pPr>
    </w:p>
  </w:footnote>
  <w:footnote w:id="13">
    <w:p w14:paraId="5492FB57" w14:textId="77777777" w:rsidR="00DF3FD9" w:rsidRPr="00441AF3" w:rsidRDefault="00DF3FD9" w:rsidP="00DF3FD9">
      <w:pPr>
        <w:pStyle w:val="Textonotapie"/>
        <w:contextualSpacing/>
        <w:jc w:val="both"/>
        <w:rPr>
          <w:rFonts w:ascii="Verdana" w:hAnsi="Verdana" w:cs="Arial"/>
          <w:sz w:val="16"/>
          <w:szCs w:val="16"/>
          <w:lang w:val="es-ES"/>
        </w:rPr>
      </w:pPr>
      <w:r w:rsidRPr="00441AF3">
        <w:rPr>
          <w:rStyle w:val="Refdenotaalpie"/>
          <w:rFonts w:ascii="Verdana" w:hAnsi="Verdana" w:cs="Arial"/>
          <w:sz w:val="16"/>
          <w:szCs w:val="16"/>
        </w:rPr>
        <w:footnoteRef/>
      </w:r>
      <w:r w:rsidRPr="00441AF3">
        <w:rPr>
          <w:rFonts w:ascii="Verdana" w:hAnsi="Verdana" w:cs="Arial"/>
          <w:sz w:val="16"/>
          <w:szCs w:val="16"/>
        </w:rPr>
        <w:t xml:space="preserve"> </w:t>
      </w:r>
      <w:r w:rsidRPr="00441AF3">
        <w:rPr>
          <w:rFonts w:ascii="Verdana" w:hAnsi="Verdana" w:cs="Arial"/>
          <w:sz w:val="16"/>
          <w:szCs w:val="16"/>
          <w:lang w:val="es-ES"/>
        </w:rPr>
        <w:t>Así lo establece el Decreto 1082 de 2015: “Artículo 2.2.1.2.1.4.5. No obligatoriedad de garantías. En la contratación directa la exigencia de garantías establecidas en la Sección 3, que comprende los artículos 2.2.1.2.3.1.1 al 2.2.1.2.3.5.1. del presente decreto no es obligatoria y la justificación para exigirlas o no debe estar en los estudios y documentos previos”.</w:t>
      </w:r>
    </w:p>
    <w:p w14:paraId="25C12568" w14:textId="77777777" w:rsidR="00DF3FD9" w:rsidRPr="00E478A7" w:rsidRDefault="00DF3FD9" w:rsidP="00DF3FD9">
      <w:pPr>
        <w:pStyle w:val="Textonotapie"/>
        <w:ind w:firstLine="709"/>
        <w:contextualSpacing/>
        <w:jc w:val="both"/>
        <w:rPr>
          <w:rFonts w:ascii="Verdana" w:hAnsi="Verdana" w:cs="Arial"/>
          <w:sz w:val="18"/>
          <w:szCs w:val="18"/>
          <w:lang w:val="es-ES"/>
        </w:rPr>
      </w:pPr>
    </w:p>
  </w:footnote>
  <w:footnote w:id="14">
    <w:p w14:paraId="7DC4C75E" w14:textId="77777777" w:rsidR="00DF3FD9" w:rsidRPr="007F6E1C" w:rsidRDefault="00DF3FD9" w:rsidP="00DF3FD9">
      <w:pPr>
        <w:pStyle w:val="Textonotapie"/>
        <w:rPr>
          <w:lang w:val="es-ES"/>
        </w:rPr>
      </w:pPr>
      <w:bookmarkStart w:id="3" w:name="_Hlk194585808"/>
      <w:r w:rsidRPr="00E478A7">
        <w:rPr>
          <w:rStyle w:val="Refdenotaalpie"/>
          <w:rFonts w:ascii="Verdana" w:hAnsi="Verdana"/>
          <w:sz w:val="18"/>
          <w:szCs w:val="18"/>
        </w:rPr>
        <w:footnoteRef/>
      </w:r>
      <w:r w:rsidRPr="00E478A7">
        <w:rPr>
          <w:rFonts w:ascii="Verdana" w:hAnsi="Verdana"/>
          <w:sz w:val="18"/>
          <w:szCs w:val="18"/>
        </w:rPr>
        <w:t xml:space="preserve"> </w:t>
      </w:r>
      <w:r w:rsidRPr="00E478A7">
        <w:rPr>
          <w:rFonts w:ascii="Verdana" w:hAnsi="Verdana"/>
          <w:sz w:val="18"/>
          <w:szCs w:val="18"/>
          <w:lang w:val="es-ES"/>
        </w:rPr>
        <w:t>Corte Constitucional. Sentencia C-489/96. M.P: Antonio Barrera Carbonell</w:t>
      </w:r>
      <w:bookmarkEnd w:id="3"/>
    </w:p>
  </w:footnote>
  <w:footnote w:id="15">
    <w:p w14:paraId="01215105" w14:textId="77777777" w:rsidR="00DF3FD9" w:rsidRPr="001A625A" w:rsidRDefault="00DF3FD9" w:rsidP="00DF3FD9">
      <w:pPr>
        <w:spacing w:after="0" w:line="240" w:lineRule="auto"/>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Son inhabilidades que responden a esta circunstancia, entre otras, las siguientes: “Quienes participaron en las licitaciones o celebraron los contratos de que trata el literal anterior estando inhabilitados” (art. 8, num. 1º, lit. b, Ley 80/93); “Quienes dieron lugar a la declaratoria de caducidad” (art. 8, num. 1º, lit. c), Ley 80/93); “Quienes en sentencia judicial hayan sido condenados a la pena accesoria de interdicción de derechos y funciones públicas y quienes hayan sido sancionados disciplinariamente con destitución” (art. 8, num. 1º, lit. d), Ley 80/93); “Quienes sin justa causa se abstengan de suscribir el contrato estatal adjudicado” (art. 8, num. 1º, lit. e), Ley 80/93); “i) Los socios de sociedades de personas a las cuales se haya declarado la caducidad, así como las sociedades de personas de las que aquellos formen parte con posterioridad a dicha declaratoria” (art. 8, num. 1º, lit. i), Ley 80/93); “Las personas naturales que hayan sido declaradas responsables judicialmente por la comisión de delitos contra la Administración Pública o de cualquiera de los delitos o faltas contemplados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 (art. 8, num. 1º, lit. j), Ley 80/93);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 (art. 8, num. 1º, lit. k), Ley 80/93); “Haber sido objeto de imposición de cinco (5) o más multas durante la ejecución de uno o varios contratos, con una o varias entidades estatales, durante los últimos tres (3) años; […] Haber sido objeto de declaratorias de incumplimiento contractual en por lo menos dos (2) contratos, con una o varias entidades estatales, durante los últimos tres (3) años; […] Haber sido objeto de imposición de dos (2) multas y un (1) incumplimiento durante una misma vigencia fiscal, con una o varias entidades estatales” (art. 90, lit. a), b) y c), Ley 1474/11, modificado por el art. 43, Ley 1955/19).</w:t>
      </w:r>
    </w:p>
    <w:p w14:paraId="762DE7A2" w14:textId="77777777" w:rsidR="00DF3FD9" w:rsidRPr="001A625A" w:rsidRDefault="00DF3FD9" w:rsidP="00DF3FD9">
      <w:pPr>
        <w:spacing w:after="0" w:line="240" w:lineRule="auto"/>
        <w:ind w:firstLine="709"/>
        <w:jc w:val="both"/>
        <w:rPr>
          <w:rFonts w:ascii="Verdana" w:hAnsi="Verdana" w:cs="Arial"/>
          <w:color w:val="000000" w:themeColor="text1"/>
          <w:sz w:val="16"/>
          <w:szCs w:val="16"/>
          <w:lang w:val="es-ES"/>
        </w:rPr>
      </w:pPr>
    </w:p>
  </w:footnote>
  <w:footnote w:id="16">
    <w:p w14:paraId="5A1C223E" w14:textId="77777777" w:rsidR="00DF3FD9" w:rsidRPr="001A625A" w:rsidRDefault="00DF3FD9" w:rsidP="00DF3FD9">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Por ejemplo, a título enunciativo, las siguientes: “Quienes sean cónyuges o compañeros permanentes y quienes se encuentren dentro del segundo grado de consanguinidad o segundo de afinidad con cualquier otra persona que formalmente haya presentado propuesta para una misma licitación” (art. 8, num. 1º, lit. g), Ley 80/93); “Las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(art. 8, num. 1º, lit. h), Ley 80/93); “Las personas que tengan vínculos de parentesco, hasta el segundo grado de consanguinidad, segundo de afinidad o primero civil con los servidores públicos de los niveles directivo, asesor, ejecutivo o con los miembros de la junta o consejo directivo, o con las personas que ejerzan el control interno o fiscal de la entidad contratante” (art. 8, num. 2º, lit. b), Ley 80/93); “El cónyuge, compañero o compañera permanente del servidor público en los niveles directivo, asesor, ejecutivo, o de un miembro de la junta o consejo directivo, o de quien ejerza funciones de control interno o de control fiscal” (art. 8, num. 2º, lit. c),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w:t>
      </w:r>
    </w:p>
    <w:p w14:paraId="045A9B97" w14:textId="77777777" w:rsidR="00DF3FD9" w:rsidRPr="001A625A" w:rsidRDefault="00DF3FD9" w:rsidP="00DF3FD9">
      <w:pPr>
        <w:pStyle w:val="Textonotapie"/>
        <w:ind w:firstLine="709"/>
        <w:jc w:val="both"/>
        <w:rPr>
          <w:rFonts w:ascii="Verdana" w:hAnsi="Verdana" w:cs="Arial"/>
          <w:color w:val="000000" w:themeColor="text1"/>
          <w:sz w:val="16"/>
          <w:szCs w:val="16"/>
          <w:lang w:val="es-CO"/>
        </w:rPr>
      </w:pPr>
    </w:p>
  </w:footnote>
  <w:footnote w:id="17">
    <w:p w14:paraId="230F9506" w14:textId="77777777" w:rsidR="00DF3FD9" w:rsidRPr="001A625A" w:rsidRDefault="00DF3FD9" w:rsidP="00DF3FD9">
      <w:pPr>
        <w:pStyle w:val="Textonotapie"/>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Verbigracia, entre otras, las que se indican a continuación: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 (art. 8, num. 1º, lit. k), Ley 80/93, modificado por el art. 33, Ley 1778/16); “Quienes fueron miembros de la junta o consejo directivo o servidores públicos de la entidad contratante” (art. 8, num. 2º, lit. a), Ley 80/93) [a pesar de que la norma la califica como una incompatibilidad, en realidad se trata de una inhabilidad, ya que en dicha causal no existe concurrencia de calidades en un sujeto]; “Directa o indirectamente las personas que hayan ejercido cargos en el nivel directivo en entidades del Estado y las sociedades en las cuales estos hagan parte o estén vinculados a cualquier título, durante los dos (2) años siguientes al retiro del ejercicio del cargo público, cuando el objeto que desarrollen tenga relación con el sector al cual prestaron sus servicios” (art. 8, num. 2º, lit. f), Ley 80/93, adicionado por el art. 4º, Ley 1474/2011) [a pesar de que la norma la califica como una incompatibilidad, en realidad se trata de una inhabilidad, ya que en dicha causal no existe concurrencia de calidades en un sujeto]. </w:t>
      </w:r>
    </w:p>
    <w:p w14:paraId="27D4BE41" w14:textId="77777777" w:rsidR="00DF3FD9" w:rsidRPr="001A625A" w:rsidRDefault="00DF3FD9" w:rsidP="00DF3FD9">
      <w:pPr>
        <w:pStyle w:val="Textonotapie"/>
        <w:ind w:firstLine="709"/>
        <w:jc w:val="both"/>
        <w:rPr>
          <w:rFonts w:ascii="Verdana" w:hAnsi="Verdana" w:cs="Arial"/>
          <w:color w:val="000000" w:themeColor="text1"/>
          <w:sz w:val="16"/>
          <w:szCs w:val="16"/>
          <w:lang w:val="es-CO"/>
        </w:rPr>
      </w:pPr>
      <w:r w:rsidRPr="001A625A">
        <w:rPr>
          <w:rFonts w:ascii="Verdana" w:hAnsi="Verdana" w:cs="Arial"/>
          <w:color w:val="000000" w:themeColor="text1"/>
          <w:sz w:val="16"/>
          <w:szCs w:val="16"/>
          <w:lang w:val="es-ES"/>
        </w:rPr>
        <w:t xml:space="preserve">  </w:t>
      </w:r>
    </w:p>
  </w:footnote>
  <w:footnote w:id="18">
    <w:p w14:paraId="27938A7F" w14:textId="77777777" w:rsidR="00DF3FD9" w:rsidRPr="001A625A" w:rsidRDefault="00DF3FD9" w:rsidP="00DF3FD9">
      <w:pPr>
        <w:spacing w:after="0" w:line="240" w:lineRule="auto"/>
        <w:ind w:firstLine="709"/>
        <w:jc w:val="both"/>
        <w:rPr>
          <w:rFonts w:ascii="Verdana" w:hAnsi="Verdana" w:cs="Arial"/>
          <w:color w:val="000000" w:themeColor="text1"/>
          <w:sz w:val="16"/>
          <w:szCs w:val="16"/>
          <w:lang w:val="es-ES"/>
        </w:rPr>
      </w:pPr>
      <w:r w:rsidRPr="001A625A">
        <w:rPr>
          <w:rStyle w:val="Refdenotaalpie"/>
          <w:rFonts w:ascii="Verdana" w:hAnsi="Verdana" w:cs="Arial"/>
          <w:color w:val="000000" w:themeColor="text1"/>
          <w:sz w:val="16"/>
          <w:szCs w:val="16"/>
        </w:rPr>
        <w:footnoteRef/>
      </w:r>
      <w:r w:rsidRPr="001A625A">
        <w:rPr>
          <w:rFonts w:ascii="Verdana" w:hAnsi="Verdana" w:cs="Arial"/>
          <w:color w:val="000000" w:themeColor="text1"/>
          <w:sz w:val="16"/>
          <w:szCs w:val="16"/>
        </w:rPr>
        <w:t xml:space="preserve"> </w:t>
      </w:r>
      <w:r w:rsidRPr="001A625A">
        <w:rPr>
          <w:rFonts w:ascii="Verdana" w:hAnsi="Verdana" w:cs="Arial"/>
          <w:color w:val="000000" w:themeColor="text1"/>
          <w:sz w:val="16"/>
          <w:szCs w:val="16"/>
          <w:lang w:val="es-ES"/>
        </w:rPr>
        <w:t xml:space="preserve">Como las señaladas a continuación: “Los servidores públicos” (art. 8, num. 1º, lit. f), Ley 80/93); “Las corporaciones, asociaciones, fundaciones y las sociedades anónimas que no tengan el carácter de abiertas, así como las sociedades de responsabilidad limitada y las demás sociedades de personas en las que el servidor público en los niveles directivo, asesor o ejecutivo, o el miembro de la junta o consejo directivo, o el cónyuge, compañero o compañera permanente o los parientes hasta el segundo grado de consanguinidad, afinidad o civil de cualquiera de ellos, tenga participación o desempeñe cargos de dirección o manejo” (art. 8, num. 2º, lit. d), Ley 80/93); “Los miembros de las juntas o consejos directivos. Esta incompatibilidad sólo se predica respecto de la entidad a la cual prestan sus servicios y de las del sector administrativo al que la misma esté adscrita o vinculada” (art. 8, num. 2º, lit. e), Ley 80/93); “Quien haya celebrado un contrato estatal de obra pública, de concesión, suministro de medicamentos y de alimentos o su cónyuge, compañero o compañera permanente, pariente hasta el segundo grado de consaguinidad, segundo de afinidad y/o primero civil o sus socios en sociedades distintas de las anónimas abiertas, con las entidades a que se refiere el artículo 2o de la Ley 80 de 1993, durante el plazo de ejecución y hasta la liquidación del mismo, no podrán celebrar contratos de interventoría con la misma entidad” (art. 5, Ley 1474/11). </w:t>
      </w:r>
    </w:p>
    <w:p w14:paraId="6234FD88" w14:textId="77777777" w:rsidR="00DF3FD9" w:rsidRPr="001A625A" w:rsidRDefault="00DF3FD9" w:rsidP="00DF3FD9">
      <w:pPr>
        <w:spacing w:after="0" w:line="240" w:lineRule="auto"/>
        <w:ind w:firstLine="709"/>
        <w:jc w:val="both"/>
        <w:rPr>
          <w:rFonts w:ascii="Verdana" w:hAnsi="Verdana" w:cs="Arial"/>
          <w:color w:val="000000" w:themeColor="text1"/>
          <w:sz w:val="16"/>
          <w:szCs w:val="16"/>
          <w:lang w:val="es-ES"/>
        </w:rPr>
      </w:pPr>
    </w:p>
  </w:footnote>
  <w:footnote w:id="19">
    <w:p w14:paraId="25EF2A9E" w14:textId="77777777" w:rsidR="00DF3FD9" w:rsidRPr="00140995" w:rsidRDefault="00DF3FD9" w:rsidP="00DF3FD9">
      <w:pPr>
        <w:pStyle w:val="Textonotapie"/>
        <w:ind w:firstLine="709"/>
        <w:contextualSpacing/>
        <w:jc w:val="both"/>
        <w:rPr>
          <w:rFonts w:ascii="Verdana" w:hAnsi="Verdana" w:cs="Arial"/>
          <w:color w:val="000000"/>
          <w:sz w:val="16"/>
          <w:szCs w:val="16"/>
          <w:lang w:val="es-ES"/>
        </w:rPr>
      </w:pPr>
      <w:r w:rsidRPr="00140995">
        <w:rPr>
          <w:rStyle w:val="Refdenotaalpie"/>
          <w:rFonts w:ascii="Verdana" w:hAnsi="Verdana"/>
          <w:sz w:val="16"/>
          <w:szCs w:val="16"/>
        </w:rPr>
        <w:footnoteRef/>
      </w:r>
      <w:r w:rsidRPr="00140995">
        <w:rPr>
          <w:rFonts w:ascii="Verdana" w:hAnsi="Verdana" w:cs="Arial"/>
          <w:color w:val="000000"/>
          <w:sz w:val="16"/>
          <w:szCs w:val="16"/>
        </w:rPr>
        <w:t xml:space="preserve"> </w:t>
      </w:r>
      <w:r w:rsidRPr="00140995">
        <w:rPr>
          <w:rFonts w:ascii="Verdana" w:hAnsi="Verdana" w:cs="Arial"/>
          <w:color w:val="000000"/>
          <w:sz w:val="16"/>
          <w:szCs w:val="16"/>
          <w:lang w:val="es-ES"/>
        </w:rPr>
        <w:t xml:space="preserve">Corte Constitucional. Sentencia T-1039 de 2006. </w:t>
      </w:r>
      <w:r w:rsidRPr="00140995">
        <w:rPr>
          <w:rFonts w:ascii="Verdana" w:hAnsi="Verdana" w:cs="Arial"/>
          <w:color w:val="000000"/>
          <w:sz w:val="16"/>
          <w:szCs w:val="16"/>
          <w:lang w:val="it-IT"/>
        </w:rPr>
        <w:t xml:space="preserve">Magistrado Ponente: Humberto Sierra Porto. </w:t>
      </w:r>
      <w:r w:rsidRPr="00140995">
        <w:rPr>
          <w:rFonts w:ascii="Verdana" w:hAnsi="Verdana" w:cs="Arial"/>
          <w:color w:val="000000"/>
          <w:sz w:val="16"/>
          <w:szCs w:val="16"/>
          <w:lang w:val="es-ES"/>
        </w:rPr>
        <w:t xml:space="preserve">La Corte ha mantenido este criterio en las sentencias: C-903 de 2008. Magistrado Ponente: Jaime Araujo Rentería; C-101 de 2018. Magistrada Ponente Gloria Stella Ortiz Delgado; entre otras. </w:t>
      </w:r>
    </w:p>
    <w:p w14:paraId="6342AB90" w14:textId="77777777" w:rsidR="00DF3FD9" w:rsidRPr="00140995" w:rsidRDefault="00DF3FD9" w:rsidP="00DF3FD9">
      <w:pPr>
        <w:pStyle w:val="Textonotapie"/>
        <w:ind w:firstLine="709"/>
        <w:contextualSpacing/>
        <w:jc w:val="both"/>
        <w:rPr>
          <w:rFonts w:ascii="Verdana" w:hAnsi="Verdana" w:cs="Arial"/>
          <w:color w:val="000000"/>
          <w:sz w:val="16"/>
          <w:szCs w:val="16"/>
          <w:lang w:val="es-ES"/>
        </w:rPr>
      </w:pPr>
    </w:p>
  </w:footnote>
  <w:footnote w:id="20">
    <w:p w14:paraId="0FBCAE0C" w14:textId="77777777" w:rsidR="00DF3FD9" w:rsidRPr="00140995" w:rsidRDefault="00DF3FD9" w:rsidP="00DF3FD9">
      <w:pPr>
        <w:pStyle w:val="Textonotapie"/>
        <w:ind w:firstLine="709"/>
        <w:contextualSpacing/>
        <w:jc w:val="both"/>
        <w:rPr>
          <w:rFonts w:ascii="Verdana" w:hAnsi="Verdana" w:cs="Arial"/>
          <w:color w:val="000000"/>
          <w:sz w:val="16"/>
          <w:szCs w:val="16"/>
          <w:lang w:val="es-ES"/>
        </w:rPr>
      </w:pPr>
      <w:r w:rsidRPr="00140995">
        <w:rPr>
          <w:rStyle w:val="Refdenotaalpie"/>
          <w:rFonts w:ascii="Verdana" w:hAnsi="Verdana"/>
          <w:sz w:val="16"/>
          <w:szCs w:val="16"/>
        </w:rPr>
        <w:footnoteRef/>
      </w:r>
      <w:r w:rsidRPr="00140995">
        <w:rPr>
          <w:rFonts w:ascii="Verdana" w:hAnsi="Verdana" w:cs="Arial"/>
          <w:color w:val="000000"/>
          <w:sz w:val="16"/>
          <w:szCs w:val="16"/>
        </w:rPr>
        <w:t xml:space="preserve"> </w:t>
      </w:r>
      <w:r w:rsidRPr="00140995">
        <w:rPr>
          <w:rFonts w:ascii="Verdana" w:hAnsi="Verdana" w:cs="Arial"/>
          <w:color w:val="000000"/>
          <w:sz w:val="16"/>
          <w:szCs w:val="16"/>
          <w:lang w:val="es-ES"/>
        </w:rPr>
        <w:t>Consejo de Estado. Sala de Consulta y Servicio Civil. Concepto del 30 de abril de 2015. Expediente: 2.251. Consejero Ponente: Álvaro Namén Vargas.</w:t>
      </w:r>
    </w:p>
    <w:p w14:paraId="546DCA11" w14:textId="77777777" w:rsidR="00DF3FD9" w:rsidRPr="00140995" w:rsidRDefault="00DF3FD9" w:rsidP="00DF3FD9">
      <w:pPr>
        <w:pStyle w:val="Textonotapie"/>
        <w:ind w:firstLine="709"/>
        <w:contextualSpacing/>
        <w:jc w:val="both"/>
        <w:rPr>
          <w:rFonts w:ascii="Verdana" w:hAnsi="Verdana" w:cs="Arial"/>
          <w:color w:val="000000"/>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0E92E" w14:textId="77777777"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E4E7E73" w14:textId="77777777" w:rsidR="00756841" w:rsidRDefault="00756841">
    <w:pPr>
      <w:pStyle w:val="Encabezado"/>
    </w:pPr>
  </w:p>
  <w:p w14:paraId="6455DB77" w14:textId="77777777" w:rsidR="004A305D" w:rsidRPr="004A305D" w:rsidRDefault="004A305D" w:rsidP="00B01B1A">
    <w:pPr>
      <w:spacing w:after="0" w:line="120" w:lineRule="auto"/>
      <w:rPr>
        <w:rFonts w:ascii="Century Gothic" w:eastAsia="Geo" w:hAnsi="Century Gothic" w:cs="Geo"/>
        <w:sz w:val="16"/>
        <w:szCs w:val="16"/>
        <w:lang w:eastAsia="es-CO"/>
      </w:rPr>
    </w:pPr>
  </w:p>
  <w:p w14:paraId="4CD14E54" w14:textId="77777777" w:rsidR="00C925AC" w:rsidRDefault="00C925AC" w:rsidP="00844AE9">
    <w:pPr>
      <w:spacing w:after="0" w:line="240" w:lineRule="auto"/>
      <w:rPr>
        <w:rFonts w:ascii="Verdana" w:hAnsi="Verdana"/>
        <w:sz w:val="24"/>
        <w:szCs w:val="24"/>
      </w:rPr>
    </w:pPr>
  </w:p>
  <w:p w14:paraId="14B6CE26" w14:textId="77777777" w:rsidR="00A14468" w:rsidRPr="00C925AC" w:rsidRDefault="00A14468" w:rsidP="00844AE9">
    <w:pPr>
      <w:spacing w:after="0" w:line="240" w:lineRule="auto"/>
      <w:rPr>
        <w:rFonts w:ascii="Verdana" w:hAnsi="Verdana"/>
        <w:sz w:val="24"/>
        <w:szCs w:val="24"/>
      </w:rPr>
    </w:pPr>
  </w:p>
  <w:p w14:paraId="440F5548" w14:textId="77777777"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65pt;height:12.6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E7758F"/>
    <w:multiLevelType w:val="hybridMultilevel"/>
    <w:tmpl w:val="15860DC0"/>
    <w:lvl w:ilvl="0" w:tplc="F4EA7E54">
      <w:start w:val="1"/>
      <w:numFmt w:val="lowerRoman"/>
      <w:lvlText w:val="%1)"/>
      <w:lvlJc w:val="left"/>
      <w:pPr>
        <w:ind w:left="1440" w:hanging="720"/>
      </w:pPr>
      <w:rPr>
        <w:rFonts w:hint="default"/>
        <w:color w:val="auto"/>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EFB3685"/>
    <w:multiLevelType w:val="hybridMultilevel"/>
    <w:tmpl w:val="67F22258"/>
    <w:lvl w:ilvl="0" w:tplc="A75265A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59F14D9"/>
    <w:multiLevelType w:val="hybridMultilevel"/>
    <w:tmpl w:val="842ABA9C"/>
    <w:lvl w:ilvl="0" w:tplc="EB06FEE0">
      <w:start w:val="2"/>
      <w:numFmt w:val="low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3"/>
  </w:num>
  <w:num w:numId="14" w16cid:durableId="895897244">
    <w:abstractNumId w:val="16"/>
  </w:num>
  <w:num w:numId="15" w16cid:durableId="390349800">
    <w:abstractNumId w:val="12"/>
  </w:num>
  <w:num w:numId="16" w16cid:durableId="341274352">
    <w:abstractNumId w:val="0"/>
  </w:num>
  <w:num w:numId="17" w16cid:durableId="679089576">
    <w:abstractNumId w:val="10"/>
  </w:num>
  <w:num w:numId="18" w16cid:durableId="692001641">
    <w:abstractNumId w:val="4"/>
  </w:num>
  <w:num w:numId="19" w16cid:durableId="1312828074">
    <w:abstractNumId w:val="11"/>
  </w:num>
  <w:num w:numId="20" w16cid:durableId="197335966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BE9"/>
    <w:rsid w:val="00016F78"/>
    <w:rsid w:val="00046945"/>
    <w:rsid w:val="00061B2A"/>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3BE9"/>
    <w:rsid w:val="002C7A84"/>
    <w:rsid w:val="002E2BF8"/>
    <w:rsid w:val="002E4FD9"/>
    <w:rsid w:val="002E6486"/>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103FF"/>
    <w:rsid w:val="00535B92"/>
    <w:rsid w:val="005566E8"/>
    <w:rsid w:val="005639E8"/>
    <w:rsid w:val="00574867"/>
    <w:rsid w:val="00591460"/>
    <w:rsid w:val="005A65E0"/>
    <w:rsid w:val="005C3777"/>
    <w:rsid w:val="005C5CDC"/>
    <w:rsid w:val="005D476C"/>
    <w:rsid w:val="0061029B"/>
    <w:rsid w:val="00615D73"/>
    <w:rsid w:val="006200BF"/>
    <w:rsid w:val="006219F8"/>
    <w:rsid w:val="006302F7"/>
    <w:rsid w:val="00646B9F"/>
    <w:rsid w:val="00665D70"/>
    <w:rsid w:val="006900D9"/>
    <w:rsid w:val="006B714E"/>
    <w:rsid w:val="006C7821"/>
    <w:rsid w:val="006D2B3C"/>
    <w:rsid w:val="00706C16"/>
    <w:rsid w:val="00733C0B"/>
    <w:rsid w:val="007340C3"/>
    <w:rsid w:val="0075235A"/>
    <w:rsid w:val="00756841"/>
    <w:rsid w:val="007649AB"/>
    <w:rsid w:val="00771D0C"/>
    <w:rsid w:val="00772B36"/>
    <w:rsid w:val="007833AC"/>
    <w:rsid w:val="007B268C"/>
    <w:rsid w:val="007B7171"/>
    <w:rsid w:val="007C0C0F"/>
    <w:rsid w:val="007C3DC2"/>
    <w:rsid w:val="007E075F"/>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66C8C"/>
    <w:rsid w:val="0097093E"/>
    <w:rsid w:val="009A0DFA"/>
    <w:rsid w:val="009A1C6F"/>
    <w:rsid w:val="009B2D26"/>
    <w:rsid w:val="009C71FA"/>
    <w:rsid w:val="009C72E7"/>
    <w:rsid w:val="009C7F7E"/>
    <w:rsid w:val="009D3058"/>
    <w:rsid w:val="009F3A13"/>
    <w:rsid w:val="009F5719"/>
    <w:rsid w:val="00A122D3"/>
    <w:rsid w:val="00A14468"/>
    <w:rsid w:val="00A17F13"/>
    <w:rsid w:val="00A20739"/>
    <w:rsid w:val="00A23AF9"/>
    <w:rsid w:val="00A33C78"/>
    <w:rsid w:val="00AA5B3D"/>
    <w:rsid w:val="00AB0ADB"/>
    <w:rsid w:val="00B00C0E"/>
    <w:rsid w:val="00B01B1A"/>
    <w:rsid w:val="00B0381D"/>
    <w:rsid w:val="00B317FF"/>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3655F"/>
    <w:rsid w:val="00D423A2"/>
    <w:rsid w:val="00D44E26"/>
    <w:rsid w:val="00D520D8"/>
    <w:rsid w:val="00D63AC2"/>
    <w:rsid w:val="00D7383B"/>
    <w:rsid w:val="00D7788A"/>
    <w:rsid w:val="00DA231B"/>
    <w:rsid w:val="00DC39FC"/>
    <w:rsid w:val="00DF3FD9"/>
    <w:rsid w:val="00DF5254"/>
    <w:rsid w:val="00E02524"/>
    <w:rsid w:val="00E16408"/>
    <w:rsid w:val="00E20894"/>
    <w:rsid w:val="00E245AB"/>
    <w:rsid w:val="00E2764C"/>
    <w:rsid w:val="00E27F2E"/>
    <w:rsid w:val="00E50AFE"/>
    <w:rsid w:val="00E75C92"/>
    <w:rsid w:val="00E7707D"/>
    <w:rsid w:val="00E771DC"/>
    <w:rsid w:val="00E8772A"/>
    <w:rsid w:val="00E90F6B"/>
    <w:rsid w:val="00E92C27"/>
    <w:rsid w:val="00EA0E3D"/>
    <w:rsid w:val="00EC38A7"/>
    <w:rsid w:val="00EC7F8B"/>
    <w:rsid w:val="00EE1AA8"/>
    <w:rsid w:val="00F20F73"/>
    <w:rsid w:val="00F23FEA"/>
    <w:rsid w:val="00F31EDC"/>
    <w:rsid w:val="00F462B3"/>
    <w:rsid w:val="00F5664F"/>
    <w:rsid w:val="00F666C4"/>
    <w:rsid w:val="00F76AFC"/>
    <w:rsid w:val="00FA47C0"/>
    <w:rsid w:val="00FB5DD1"/>
    <w:rsid w:val="00FC2B5D"/>
    <w:rsid w:val="00FF1449"/>
    <w:rsid w:val="00FF7963"/>
    <w:rsid w:val="01F1D2C5"/>
    <w:rsid w:val="05E94DA2"/>
    <w:rsid w:val="09908A09"/>
    <w:rsid w:val="0D5D88DC"/>
    <w:rsid w:val="120716E3"/>
    <w:rsid w:val="13CFC91B"/>
    <w:rsid w:val="14611165"/>
    <w:rsid w:val="159136B9"/>
    <w:rsid w:val="15E16A13"/>
    <w:rsid w:val="161DEDB1"/>
    <w:rsid w:val="19A2EC2C"/>
    <w:rsid w:val="219DBBEF"/>
    <w:rsid w:val="2602B8CD"/>
    <w:rsid w:val="27BB50FF"/>
    <w:rsid w:val="2859CA1B"/>
    <w:rsid w:val="2B5FA8E9"/>
    <w:rsid w:val="2BF774F0"/>
    <w:rsid w:val="32A4F9CF"/>
    <w:rsid w:val="34D5D1A5"/>
    <w:rsid w:val="356CEDFD"/>
    <w:rsid w:val="42C75114"/>
    <w:rsid w:val="4C1110DF"/>
    <w:rsid w:val="51DFC675"/>
    <w:rsid w:val="537D06CF"/>
    <w:rsid w:val="58CA7363"/>
    <w:rsid w:val="6139EFDC"/>
    <w:rsid w:val="6555C07F"/>
    <w:rsid w:val="69614A15"/>
    <w:rsid w:val="73F84C4B"/>
    <w:rsid w:val="742BDA20"/>
    <w:rsid w:val="77EDCC31"/>
    <w:rsid w:val="781B1F89"/>
    <w:rsid w:val="7BB183BC"/>
    <w:rsid w:val="7D56D78A"/>
    <w:rsid w:val="7E4C58F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3F8F88"/>
  <w15:chartTrackingRefBased/>
  <w15:docId w15:val="{0541D129-B7BC-8D43-9F16-39CF36F39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F3FD9"/>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DF3FD9"/>
    <w:rPr>
      <w:rFonts w:ascii="Geomanist Light" w:hAnsi="Geomanist Light"/>
      <w:lang w:val="es-ES"/>
    </w:rPr>
  </w:style>
  <w:style w:type="paragraph" w:styleId="Textoindependiente">
    <w:name w:val="Body Text"/>
    <w:basedOn w:val="Normal"/>
    <w:link w:val="TextoindependienteCar"/>
    <w:uiPriority w:val="1"/>
    <w:qFormat/>
    <w:rsid w:val="006B714E"/>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6B714E"/>
    <w:rPr>
      <w:rFonts w:ascii="Verdana" w:eastAsia="Verdana" w:hAnsi="Verdana" w:cs="Verdana"/>
      <w:lang w:val="es-ES"/>
    </w:rPr>
  </w:style>
  <w:style w:type="character" w:customStyle="1" w:styleId="citation-182">
    <w:name w:val="citation-182"/>
    <w:basedOn w:val="Fuentedeprrafopredeter"/>
    <w:rsid w:val="007E075F"/>
  </w:style>
  <w:style w:type="character" w:customStyle="1" w:styleId="citation-181">
    <w:name w:val="citation-181"/>
    <w:basedOn w:val="Fuentedeprrafopredeter"/>
    <w:rsid w:val="007E075F"/>
  </w:style>
  <w:style w:type="character" w:customStyle="1" w:styleId="citation-180">
    <w:name w:val="citation-180"/>
    <w:basedOn w:val="Fuentedeprrafopredeter"/>
    <w:rsid w:val="007E075F"/>
  </w:style>
  <w:style w:type="character" w:customStyle="1" w:styleId="citation-179">
    <w:name w:val="citation-179"/>
    <w:basedOn w:val="Fuentedeprrafopredeter"/>
    <w:rsid w:val="007E075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ndreagarzon/Desktop/C-1467.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9130262-9FFF-4162-B2ED-F99FE01CFC48}"/>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C-1467.dotx</Template>
  <TotalTime>3</TotalTime>
  <Pages>16</Pages>
  <Words>3929</Words>
  <Characters>21809</Characters>
  <Application>Microsoft Office Word</Application>
  <DocSecurity>0</DocSecurity>
  <Lines>427</Lines>
  <Paragraphs>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Andrea del Pilar Garzón Sánchez</cp:lastModifiedBy>
  <cp:revision>1</cp:revision>
  <cp:lastPrinted>2023-01-10T21:18:00Z</cp:lastPrinted>
  <dcterms:created xsi:type="dcterms:W3CDTF">2026-03-05T23:04:00Z</dcterms:created>
  <dcterms:modified xsi:type="dcterms:W3CDTF">2026-03-05T23:10:00Z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