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C9B404" w14:textId="77777777" w:rsidR="006E0020" w:rsidRPr="009B46EA" w:rsidRDefault="006E0020" w:rsidP="006E0020">
      <w:pPr>
        <w:pStyle w:val="Textoindependiente"/>
        <w:spacing w:after="0" w:line="240" w:lineRule="auto"/>
        <w:ind w:right="102"/>
        <w:jc w:val="both"/>
        <w:rPr>
          <w:rFonts w:ascii="Verdana" w:hAnsi="Verdana" w:cs="Arial"/>
          <w:b/>
          <w:color w:val="000000" w:themeColor="text1"/>
          <w:lang w:val="es-ES_tradnl"/>
        </w:rPr>
      </w:pPr>
      <w:bookmarkStart w:id="0" w:name="_Hlk143780582"/>
      <w:r w:rsidRPr="009B46EA">
        <w:rPr>
          <w:rFonts w:ascii="Verdana" w:hAnsi="Verdana" w:cs="Arial"/>
          <w:b/>
          <w:color w:val="000000" w:themeColor="text1"/>
          <w:lang w:val="es-ES_tradnl"/>
        </w:rPr>
        <w:t xml:space="preserve">DECRETO 092 DE 2017 – Finalidad – Clases de contratos </w:t>
      </w:r>
    </w:p>
    <w:p w14:paraId="5D0BD6B1" w14:textId="77777777" w:rsidR="006E0020" w:rsidRPr="009B46EA" w:rsidRDefault="006E0020" w:rsidP="006E0020">
      <w:pPr>
        <w:pStyle w:val="Textoindependiente"/>
        <w:spacing w:after="0" w:line="240" w:lineRule="auto"/>
        <w:ind w:right="102"/>
        <w:jc w:val="both"/>
        <w:rPr>
          <w:rFonts w:ascii="Verdana" w:hAnsi="Verdana" w:cs="Arial"/>
          <w:color w:val="000000" w:themeColor="text1"/>
          <w:sz w:val="20"/>
          <w:szCs w:val="20"/>
          <w:lang w:val="es-ES_tradnl"/>
        </w:rPr>
      </w:pPr>
    </w:p>
    <w:p w14:paraId="2A382AF4" w14:textId="77777777" w:rsidR="006E0020" w:rsidRPr="009B46EA" w:rsidRDefault="006E0020" w:rsidP="006E0020">
      <w:pPr>
        <w:spacing w:after="0" w:line="240" w:lineRule="auto"/>
        <w:jc w:val="both"/>
        <w:rPr>
          <w:rFonts w:ascii="Verdana" w:eastAsia="Arial" w:hAnsi="Verdana" w:cs="Arial"/>
          <w:color w:val="000000" w:themeColor="text1"/>
          <w:sz w:val="20"/>
          <w:szCs w:val="20"/>
          <w:lang w:val="es-ES_tradnl"/>
        </w:rPr>
      </w:pPr>
      <w:r w:rsidRPr="009B46EA">
        <w:rPr>
          <w:rFonts w:ascii="Verdana" w:eastAsia="Arial" w:hAnsi="Verdana" w:cs="Arial"/>
          <w:color w:val="000000" w:themeColor="text1"/>
          <w:sz w:val="20"/>
          <w:szCs w:val="20"/>
          <w:lang w:val="es-ES_tradnl"/>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9B46EA">
        <w:rPr>
          <w:rFonts w:ascii="Verdana" w:eastAsia="Arial" w:hAnsi="Verdana" w:cs="Arial"/>
          <w:color w:val="000000" w:themeColor="text1"/>
          <w:sz w:val="20"/>
          <w:szCs w:val="20"/>
          <w:lang w:val="es-ES_tradnl"/>
        </w:rPr>
        <w:t>ii</w:t>
      </w:r>
      <w:proofErr w:type="spellEnd"/>
      <w:r w:rsidRPr="009B46EA">
        <w:rPr>
          <w:rFonts w:ascii="Verdana" w:eastAsia="Arial" w:hAnsi="Verdana" w:cs="Arial"/>
          <w:color w:val="000000" w:themeColor="text1"/>
          <w:sz w:val="20"/>
          <w:szCs w:val="20"/>
          <w:lang w:val="es-ES_tradnl"/>
        </w:rPr>
        <w:t>) los convenios de asociación, para el desarrollo conjunto de actividades relacionadas con las funciones de las entidades estatales, en desarrollo del artículo 96 de la Ley 489 de 1998.</w:t>
      </w:r>
    </w:p>
    <w:p w14:paraId="47D4A6A3" w14:textId="77777777" w:rsidR="006E0020" w:rsidRPr="009B46EA" w:rsidRDefault="006E0020" w:rsidP="006E0020">
      <w:pPr>
        <w:spacing w:after="0" w:line="240" w:lineRule="auto"/>
        <w:jc w:val="both"/>
        <w:rPr>
          <w:rFonts w:ascii="Verdana" w:eastAsia="Calibri" w:hAnsi="Verdana" w:cs="Arial"/>
          <w:b/>
          <w:color w:val="000000" w:themeColor="text1"/>
          <w:lang w:val="es-ES_tradnl"/>
        </w:rPr>
      </w:pPr>
    </w:p>
    <w:p w14:paraId="44098671" w14:textId="77777777" w:rsidR="006E0020" w:rsidRPr="009B46EA" w:rsidRDefault="006E0020" w:rsidP="006E0020">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 xml:space="preserve">CONTRATACIÓN CON ESAL – Contrato de colaboración – Objeto – Alcance </w:t>
      </w:r>
    </w:p>
    <w:p w14:paraId="3C7784FA" w14:textId="77777777" w:rsidR="006E0020" w:rsidRPr="009B46EA" w:rsidRDefault="006E0020" w:rsidP="006E0020">
      <w:pPr>
        <w:spacing w:after="0" w:line="240" w:lineRule="auto"/>
        <w:jc w:val="both"/>
        <w:rPr>
          <w:rFonts w:ascii="Verdana" w:eastAsia="Calibri" w:hAnsi="Verdana" w:cs="Arial"/>
          <w:bCs/>
          <w:color w:val="000000" w:themeColor="text1"/>
          <w:sz w:val="20"/>
          <w:szCs w:val="20"/>
          <w:lang w:val="es-ES_tradnl"/>
        </w:rPr>
      </w:pPr>
    </w:p>
    <w:p w14:paraId="50354230" w14:textId="77777777" w:rsidR="006E0020" w:rsidRPr="009B46EA" w:rsidRDefault="006E0020" w:rsidP="006E0020">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Los contratos del artículo 355 de la Constitución Política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w:t>
      </w:r>
    </w:p>
    <w:p w14:paraId="2638FD56" w14:textId="77777777" w:rsidR="006E0020" w:rsidRPr="009B46EA" w:rsidRDefault="006E0020" w:rsidP="006E0020">
      <w:pPr>
        <w:spacing w:after="0" w:line="240" w:lineRule="auto"/>
        <w:jc w:val="both"/>
        <w:rPr>
          <w:rFonts w:ascii="Verdana" w:hAnsi="Verdana" w:cs="Arial"/>
          <w:color w:val="000000" w:themeColor="text1"/>
          <w:sz w:val="21"/>
          <w:szCs w:val="21"/>
          <w:lang w:val="es-ES_tradnl"/>
        </w:rPr>
      </w:pPr>
    </w:p>
    <w:p w14:paraId="735B942C" w14:textId="77777777" w:rsidR="006E0020" w:rsidRPr="009B46EA" w:rsidRDefault="006E0020" w:rsidP="006E0020">
      <w:pPr>
        <w:spacing w:after="0" w:line="240" w:lineRule="auto"/>
        <w:jc w:val="both"/>
        <w:rPr>
          <w:rFonts w:ascii="Verdana" w:eastAsia="Calibri" w:hAnsi="Verdana" w:cs="Arial"/>
          <w:b/>
          <w:color w:val="000000" w:themeColor="text1"/>
          <w:lang w:val="es-ES_tradnl"/>
        </w:rPr>
      </w:pPr>
      <w:bookmarkStart w:id="1" w:name="_Hlk109118876"/>
      <w:r w:rsidRPr="009B46EA">
        <w:rPr>
          <w:rFonts w:ascii="Verdana" w:eastAsia="Calibri" w:hAnsi="Verdana" w:cs="Arial"/>
          <w:b/>
          <w:color w:val="000000" w:themeColor="text1"/>
          <w:lang w:val="es-ES_tradnl"/>
        </w:rPr>
        <w:t>CONTRATACIÓN CON ESAL –</w:t>
      </w:r>
      <w:bookmarkEnd w:id="1"/>
      <w:r w:rsidRPr="009B46EA">
        <w:rPr>
          <w:rFonts w:ascii="Verdana" w:eastAsia="Calibri" w:hAnsi="Verdana" w:cs="Arial"/>
          <w:b/>
          <w:color w:val="000000" w:themeColor="text1"/>
          <w:lang w:val="es-ES_tradnl"/>
        </w:rPr>
        <w:t xml:space="preserve"> Con</w:t>
      </w:r>
      <w:r>
        <w:rPr>
          <w:rFonts w:ascii="Verdana" w:eastAsia="Calibri" w:hAnsi="Verdana" w:cs="Arial"/>
          <w:b/>
          <w:color w:val="000000" w:themeColor="text1"/>
          <w:lang w:val="es-ES_tradnl"/>
        </w:rPr>
        <w:t>venios</w:t>
      </w:r>
      <w:r w:rsidRPr="009B46EA">
        <w:rPr>
          <w:rFonts w:ascii="Verdana" w:eastAsia="Calibri" w:hAnsi="Verdana" w:cs="Arial"/>
          <w:b/>
          <w:color w:val="000000" w:themeColor="text1"/>
          <w:lang w:val="es-ES_tradnl"/>
        </w:rPr>
        <w:t xml:space="preserve"> de asociación – Objeto – Alcance </w:t>
      </w:r>
    </w:p>
    <w:p w14:paraId="1B504436" w14:textId="77777777" w:rsidR="006E0020" w:rsidRPr="009B46EA" w:rsidRDefault="006E0020" w:rsidP="006E0020">
      <w:pPr>
        <w:spacing w:after="0" w:line="240" w:lineRule="auto"/>
        <w:jc w:val="both"/>
        <w:rPr>
          <w:rFonts w:ascii="Verdana" w:eastAsia="Calibri" w:hAnsi="Verdana" w:cs="Arial"/>
          <w:b/>
          <w:color w:val="000000" w:themeColor="text1"/>
          <w:lang w:val="es-ES_tradnl"/>
        </w:rPr>
      </w:pPr>
    </w:p>
    <w:p w14:paraId="71559891" w14:textId="77777777" w:rsidR="006E0020" w:rsidRPr="009B46EA" w:rsidRDefault="006E0020" w:rsidP="006E0020">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De otro lado, los convenios de asociación «[t]</w:t>
      </w:r>
      <w:proofErr w:type="spellStart"/>
      <w:r w:rsidRPr="009B46EA">
        <w:rPr>
          <w:rFonts w:ascii="Verdana" w:hAnsi="Verdana" w:cs="Arial"/>
          <w:color w:val="000000" w:themeColor="text1"/>
          <w:sz w:val="20"/>
          <w:szCs w:val="20"/>
          <w:lang w:val="es-ES_tradnl"/>
        </w:rPr>
        <w:t>ienen</w:t>
      </w:r>
      <w:proofErr w:type="spellEnd"/>
      <w:r w:rsidRPr="009B46EA">
        <w:rPr>
          <w:rFonts w:ascii="Verdana" w:hAnsi="Verdana" w:cs="Arial"/>
          <w:color w:val="000000" w:themeColor="text1"/>
          <w:sz w:val="20"/>
          <w:szCs w:val="20"/>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w:t>
      </w:r>
      <w:proofErr w:type="gramStart"/>
      <w:r w:rsidRPr="009B46EA">
        <w:rPr>
          <w:rFonts w:ascii="Verdana" w:hAnsi="Verdana" w:cs="Arial"/>
          <w:color w:val="000000" w:themeColor="text1"/>
          <w:sz w:val="20"/>
          <w:szCs w:val="20"/>
          <w:lang w:val="es-ES_tradnl"/>
        </w:rPr>
        <w:t>y</w:t>
      </w:r>
      <w:proofErr w:type="gramEnd"/>
      <w:r w:rsidRPr="009B46EA">
        <w:rPr>
          <w:rFonts w:ascii="Verdana" w:hAnsi="Verdana" w:cs="Arial"/>
          <w:color w:val="000000" w:themeColor="text1"/>
          <w:sz w:val="20"/>
          <w:szCs w:val="20"/>
          <w:lang w:val="es-ES_tradnl"/>
        </w:rPr>
        <w:t xml:space="preserve"> por tanto, la entidad no instruye al contratista para desarrollar los programas o actividades previstas, sino que se asocia con él para el cumplimiento de objetivos comunes.</w:t>
      </w:r>
    </w:p>
    <w:p w14:paraId="7BCAE16B" w14:textId="77777777" w:rsidR="006E0020" w:rsidRPr="009B46EA" w:rsidRDefault="006E0020" w:rsidP="006E0020">
      <w:pPr>
        <w:spacing w:after="0" w:line="240" w:lineRule="auto"/>
        <w:jc w:val="both"/>
        <w:rPr>
          <w:rFonts w:ascii="Verdana" w:hAnsi="Verdana" w:cs="Arial"/>
          <w:color w:val="000000" w:themeColor="text1"/>
          <w:sz w:val="20"/>
          <w:szCs w:val="20"/>
          <w:lang w:val="es-ES_tradnl"/>
        </w:rPr>
      </w:pPr>
    </w:p>
    <w:p w14:paraId="3136B1B2" w14:textId="77777777" w:rsidR="006E0020" w:rsidRPr="009B46EA" w:rsidRDefault="006E0020" w:rsidP="006E0020">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CONVENIOS DE ASOCIACIÓN – Multiplicidad de sujetos – Límites legales</w:t>
      </w:r>
    </w:p>
    <w:p w14:paraId="1A4BBBD4" w14:textId="77777777" w:rsidR="006E0020" w:rsidRPr="009B46EA" w:rsidRDefault="006E0020" w:rsidP="006E0020">
      <w:pPr>
        <w:spacing w:after="0" w:line="240" w:lineRule="auto"/>
        <w:jc w:val="both"/>
        <w:rPr>
          <w:rFonts w:ascii="Verdana" w:hAnsi="Verdana" w:cs="Arial"/>
          <w:color w:val="000000" w:themeColor="text1"/>
          <w:sz w:val="20"/>
          <w:szCs w:val="20"/>
          <w:lang w:val="es-ES_tradnl"/>
        </w:rPr>
      </w:pPr>
    </w:p>
    <w:p w14:paraId="66717666" w14:textId="77777777" w:rsidR="006E0020" w:rsidRPr="009B46EA" w:rsidRDefault="006E0020" w:rsidP="006E0020">
      <w:pPr>
        <w:pStyle w:val="Sinespaciad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 xml:space="preserve">La normativa vigente no impide que varias entidades suscriban conjuntamente el convenio de asociación y tampoco que dos o más ESAL pueden hacerlo, a través de las figuras asociativas autorizadas por la ley, por ejemplo, como unión temporal o como consorcio.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w:t>
      </w:r>
      <w:r w:rsidRPr="009B46EA">
        <w:rPr>
          <w:rFonts w:ascii="Verdana" w:hAnsi="Verdana" w:cs="Arial"/>
          <w:color w:val="000000" w:themeColor="text1"/>
          <w:sz w:val="20"/>
          <w:szCs w:val="20"/>
          <w:lang w:val="es-ES_tradnl"/>
        </w:rPr>
        <w:lastRenderedPageBreak/>
        <w:t>coincidir. Igualmente, atendiendo a que los convenios de asociación «no estarán sujetos a competencia cuando la entidad sin ánimo de lucro comprometa recursos en dinero para la ejecución de esas actividades en una proporción no inferior al 30% del valor total del convenio», la o las entidades deben asegurarse de que su contratista, es decir, una o varias ESAL, aporten al menos el treinta por ciento del valor del convenio para celebrarlo directamente. Además, en atención al inciso 2 del artículo 5 del Decreto 092 de 2017, deben «asegurarse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29D824B6" w14:textId="77777777" w:rsidR="006E0020" w:rsidRPr="009B46EA" w:rsidRDefault="006E0020" w:rsidP="006E0020">
      <w:pPr>
        <w:pStyle w:val="Sinespaciado"/>
        <w:jc w:val="both"/>
        <w:rPr>
          <w:rFonts w:ascii="Verdana" w:hAnsi="Verdana" w:cs="Arial"/>
          <w:color w:val="000000" w:themeColor="text1"/>
          <w:sz w:val="20"/>
          <w:szCs w:val="20"/>
          <w:lang w:val="es-ES_tradnl"/>
        </w:rPr>
      </w:pPr>
    </w:p>
    <w:p w14:paraId="6405250B" w14:textId="77777777" w:rsidR="006E0020" w:rsidRPr="009B46EA" w:rsidRDefault="006E0020" w:rsidP="006E0020">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 xml:space="preserve">DECRETO 092 DE 2017 – Criterios – Aplicación </w:t>
      </w:r>
    </w:p>
    <w:p w14:paraId="346B096A" w14:textId="77777777" w:rsidR="006E0020" w:rsidRPr="009B46EA" w:rsidRDefault="006E0020" w:rsidP="006E0020">
      <w:pPr>
        <w:spacing w:after="0" w:line="240" w:lineRule="auto"/>
        <w:jc w:val="both"/>
        <w:rPr>
          <w:rFonts w:ascii="Verdana" w:hAnsi="Verdana" w:cs="Arial"/>
          <w:color w:val="000000" w:themeColor="text1"/>
          <w:sz w:val="21"/>
          <w:szCs w:val="21"/>
          <w:lang w:val="es-ES_tradnl"/>
        </w:rPr>
      </w:pPr>
    </w:p>
    <w:p w14:paraId="0954E900" w14:textId="77777777" w:rsidR="006E0020" w:rsidRDefault="006E0020" w:rsidP="006E0020">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 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w:t>
      </w:r>
    </w:p>
    <w:p w14:paraId="197B4F0A" w14:textId="77777777" w:rsidR="006E0020" w:rsidRPr="009B46EA" w:rsidRDefault="006E0020" w:rsidP="006E0020">
      <w:pPr>
        <w:spacing w:after="0" w:line="240" w:lineRule="auto"/>
        <w:jc w:val="both"/>
        <w:rPr>
          <w:rFonts w:ascii="Verdana" w:hAnsi="Verdana" w:cs="Arial"/>
          <w:color w:val="000000" w:themeColor="text1"/>
          <w:sz w:val="20"/>
          <w:szCs w:val="20"/>
          <w:lang w:val="es-ES_tradnl"/>
        </w:rPr>
      </w:pPr>
    </w:p>
    <w:p w14:paraId="2A93E24A" w14:textId="77777777" w:rsidR="006E0020" w:rsidRPr="009B46EA" w:rsidRDefault="006E0020" w:rsidP="006E0020">
      <w:pPr>
        <w:spacing w:after="0" w:line="240" w:lineRule="auto"/>
        <w:jc w:val="both"/>
        <w:rPr>
          <w:rFonts w:ascii="Verdana" w:eastAsia="Arial" w:hAnsi="Verdana" w:cs="Arial"/>
          <w:b/>
          <w:bCs/>
          <w:color w:val="000000" w:themeColor="text1"/>
          <w:lang w:val="es-ES_tradnl"/>
        </w:rPr>
      </w:pPr>
      <w:r w:rsidRPr="009B46EA">
        <w:rPr>
          <w:rFonts w:ascii="Verdana" w:eastAsia="Arial" w:hAnsi="Verdana" w:cs="Arial"/>
          <w:b/>
          <w:bCs/>
          <w:color w:val="000000" w:themeColor="text1"/>
          <w:lang w:val="es-ES_tradnl"/>
        </w:rPr>
        <w:t xml:space="preserve">DECRETO 092 DE 2017 – Normativa vigente </w:t>
      </w:r>
    </w:p>
    <w:p w14:paraId="065CF871" w14:textId="77777777" w:rsidR="006E0020" w:rsidRPr="009B46EA" w:rsidRDefault="006E0020" w:rsidP="006E0020">
      <w:pPr>
        <w:spacing w:after="0" w:line="240" w:lineRule="auto"/>
        <w:jc w:val="both"/>
        <w:rPr>
          <w:rFonts w:ascii="Verdana" w:eastAsia="Arial" w:hAnsi="Verdana" w:cs="Arial"/>
          <w:b/>
          <w:bCs/>
          <w:color w:val="000000" w:themeColor="text1"/>
          <w:lang w:val="es-ES_tradnl"/>
        </w:rPr>
      </w:pPr>
    </w:p>
    <w:p w14:paraId="37B3CC6F" w14:textId="77777777" w:rsidR="006E0020" w:rsidRDefault="006E0020" w:rsidP="006E0020">
      <w:pPr>
        <w:spacing w:after="0" w:line="240" w:lineRule="auto"/>
        <w:jc w:val="both"/>
        <w:rPr>
          <w:rFonts w:ascii="Verdana" w:hAnsi="Verdana" w:cs="Arial"/>
          <w:color w:val="000000" w:themeColor="text1"/>
          <w:sz w:val="20"/>
          <w:szCs w:val="20"/>
          <w:lang w:val="es-ES_tradnl"/>
        </w:rPr>
      </w:pPr>
      <w:r w:rsidRPr="008251D0">
        <w:rPr>
          <w:rFonts w:ascii="Verdana" w:hAnsi="Verdana" w:cs="Arial"/>
          <w:color w:val="000000" w:themeColor="text1"/>
          <w:sz w:val="20"/>
          <w:szCs w:val="20"/>
          <w:lang w:val="es-ES_tradnl"/>
        </w:rPr>
        <w:t xml:space="preserve">Es importante tener en cuenta que la contratación con entidades sin ánimo de lucro se rige por el Decreto 092 de 2017, salvo lo que ha sido objeto de suspensión provisional por parte del Consejo de Estado. Por lo tanto, las entidades públicas que desean celebrar contratos del artículo 355 de la Constitución Política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8251D0">
        <w:rPr>
          <w:rFonts w:ascii="Verdana" w:hAnsi="Verdana" w:cs="Arial"/>
          <w:color w:val="000000" w:themeColor="text1"/>
          <w:sz w:val="20"/>
          <w:szCs w:val="20"/>
          <w:lang w:val="es-ES_tradnl"/>
        </w:rPr>
        <w:t>ii</w:t>
      </w:r>
      <w:proofErr w:type="spellEnd"/>
      <w:r w:rsidRPr="008251D0">
        <w:rPr>
          <w:rFonts w:ascii="Verdana" w:hAnsi="Verdana" w:cs="Arial"/>
          <w:color w:val="000000" w:themeColor="text1"/>
          <w:sz w:val="20"/>
          <w:szCs w:val="20"/>
          <w:lang w:val="es-ES_tradnl"/>
        </w:rPr>
        <w:t xml:space="preserve">) tampoco debe condicionarse a que la contratación con las ESAL garantice la optimización de los recursos públicos en términos de eficiencia, eficacia, economía y manejo del riesgo; </w:t>
      </w:r>
      <w:proofErr w:type="spellStart"/>
      <w:r w:rsidRPr="008251D0">
        <w:rPr>
          <w:rFonts w:ascii="Verdana" w:hAnsi="Verdana" w:cs="Arial"/>
          <w:color w:val="000000" w:themeColor="text1"/>
          <w:sz w:val="20"/>
          <w:szCs w:val="20"/>
          <w:lang w:val="es-ES_tradnl"/>
        </w:rPr>
        <w:t>iii</w:t>
      </w:r>
      <w:proofErr w:type="spellEnd"/>
      <w:r w:rsidRPr="008251D0">
        <w:rPr>
          <w:rFonts w:ascii="Verdana" w:hAnsi="Verdana" w:cs="Arial"/>
          <w:color w:val="000000" w:themeColor="text1"/>
          <w:sz w:val="20"/>
          <w:szCs w:val="20"/>
          <w:lang w:val="es-ES_tradnl"/>
        </w:rPr>
        <w:t xml:space="preserve">) el objeto del contrato debe estar acorde con el plan nacional o seccional de desarrollo; </w:t>
      </w:r>
      <w:proofErr w:type="spellStart"/>
      <w:r w:rsidRPr="008251D0">
        <w:rPr>
          <w:rFonts w:ascii="Verdana" w:hAnsi="Verdana" w:cs="Arial"/>
          <w:color w:val="000000" w:themeColor="text1"/>
          <w:sz w:val="20"/>
          <w:szCs w:val="20"/>
          <w:lang w:val="es-ES_tradnl"/>
        </w:rPr>
        <w:t>iv</w:t>
      </w:r>
      <w:proofErr w:type="spellEnd"/>
      <w:r w:rsidRPr="008251D0">
        <w:rPr>
          <w:rFonts w:ascii="Verdana" w:hAnsi="Verdana" w:cs="Arial"/>
          <w:color w:val="000000" w:themeColor="text1"/>
          <w:sz w:val="20"/>
          <w:szCs w:val="20"/>
          <w:lang w:val="es-ES_tradnl"/>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8251D0">
        <w:rPr>
          <w:rFonts w:ascii="Verdana" w:hAnsi="Verdana" w:cs="Arial"/>
          <w:color w:val="000000" w:themeColor="text1"/>
          <w:sz w:val="20"/>
          <w:szCs w:val="20"/>
          <w:lang w:val="es-ES_tradnl"/>
        </w:rPr>
        <w:t>iii</w:t>
      </w:r>
      <w:proofErr w:type="spellEnd"/>
      <w:r w:rsidRPr="008251D0">
        <w:rPr>
          <w:rFonts w:ascii="Verdana" w:hAnsi="Verdana" w:cs="Arial"/>
          <w:color w:val="000000" w:themeColor="text1"/>
          <w:sz w:val="20"/>
          <w:szCs w:val="20"/>
          <w:lang w:val="es-ES_tradnl"/>
        </w:rPr>
        <w:t>); y v) el contrato no debe establecer una relación conmutativa en el cual haya una contraprestación directa a favor de la entidad, ni instrucciones precisas dadas por esta al contratista para cumplir con el objeto del contrato</w:t>
      </w:r>
      <w:r w:rsidRPr="009B46EA">
        <w:rPr>
          <w:rFonts w:ascii="Verdana" w:hAnsi="Verdana" w:cs="Arial"/>
          <w:color w:val="000000" w:themeColor="text1"/>
          <w:sz w:val="20"/>
          <w:szCs w:val="20"/>
          <w:lang w:val="es-ES_tradnl"/>
        </w:rPr>
        <w:t>.</w:t>
      </w:r>
    </w:p>
    <w:p w14:paraId="07B69FCF" w14:textId="77777777" w:rsidR="006E0020" w:rsidRDefault="006E0020" w:rsidP="006E0020">
      <w:pPr>
        <w:spacing w:after="0" w:line="240" w:lineRule="auto"/>
        <w:jc w:val="both"/>
        <w:rPr>
          <w:rFonts w:ascii="Verdana" w:hAnsi="Verdana" w:cs="Arial"/>
          <w:color w:val="000000" w:themeColor="text1"/>
          <w:sz w:val="20"/>
          <w:szCs w:val="20"/>
          <w:lang w:val="es-ES_tradnl"/>
        </w:rPr>
      </w:pPr>
    </w:p>
    <w:p w14:paraId="041D87BE" w14:textId="77777777" w:rsidR="006E0020" w:rsidRPr="00C530A2" w:rsidRDefault="006E0020" w:rsidP="006E0020">
      <w:pPr>
        <w:spacing w:after="0" w:line="240" w:lineRule="auto"/>
        <w:jc w:val="both"/>
        <w:rPr>
          <w:rFonts w:ascii="Verdana" w:eastAsia="Calibri" w:hAnsi="Verdana" w:cs="Arial"/>
          <w:b/>
          <w:lang w:val="es-MX"/>
        </w:rPr>
      </w:pPr>
      <w:r w:rsidRPr="00C530A2">
        <w:rPr>
          <w:rFonts w:ascii="Verdana" w:eastAsia="Calibri" w:hAnsi="Verdana" w:cs="Arial"/>
          <w:b/>
          <w:lang w:val="es-MX"/>
        </w:rPr>
        <w:t>LEY 1276 DE 2009 – Convenios – Adulto mayor</w:t>
      </w:r>
      <w:r>
        <w:rPr>
          <w:rFonts w:ascii="Verdana" w:eastAsia="Calibri" w:hAnsi="Verdana" w:cs="Arial"/>
          <w:b/>
          <w:lang w:val="es-MX"/>
        </w:rPr>
        <w:t xml:space="preserve"> – Régimen aplicable</w:t>
      </w:r>
    </w:p>
    <w:p w14:paraId="7BED38B2" w14:textId="77777777" w:rsidR="006E0020" w:rsidRPr="00C530A2" w:rsidRDefault="006E0020" w:rsidP="006E0020">
      <w:pPr>
        <w:spacing w:after="0" w:line="240" w:lineRule="auto"/>
        <w:jc w:val="both"/>
        <w:rPr>
          <w:rFonts w:ascii="Verdana" w:eastAsia="Calibri" w:hAnsi="Verdana" w:cs="Arial"/>
          <w:b/>
          <w:sz w:val="20"/>
          <w:szCs w:val="20"/>
          <w:lang w:val="es-MX"/>
        </w:rPr>
      </w:pPr>
    </w:p>
    <w:p w14:paraId="56A4F91A" w14:textId="77777777" w:rsidR="006E0020" w:rsidRPr="00C530A2" w:rsidRDefault="006E0020" w:rsidP="006E0020">
      <w:pPr>
        <w:tabs>
          <w:tab w:val="left" w:pos="709"/>
        </w:tabs>
        <w:spacing w:after="0" w:line="240" w:lineRule="auto"/>
        <w:jc w:val="both"/>
        <w:rPr>
          <w:rFonts w:ascii="Verdana" w:eastAsia="Calibri" w:hAnsi="Verdana" w:cs="Arial"/>
          <w:sz w:val="20"/>
          <w:szCs w:val="20"/>
        </w:rPr>
      </w:pPr>
      <w:r>
        <w:rPr>
          <w:rFonts w:ascii="Verdana" w:eastAsia="Calibri" w:hAnsi="Verdana" w:cs="Arial"/>
          <w:sz w:val="20"/>
          <w:szCs w:val="20"/>
        </w:rPr>
        <w:t xml:space="preserve">[…] </w:t>
      </w:r>
      <w:r w:rsidRPr="00C530A2">
        <w:rPr>
          <w:rFonts w:ascii="Verdana" w:eastAsia="Calibri" w:hAnsi="Verdana" w:cs="Arial"/>
          <w:sz w:val="20"/>
          <w:szCs w:val="20"/>
        </w:rPr>
        <w:t>la Agencia Nacional de Contratación Pública – Colombia Compra Eficiente ha considerado</w:t>
      </w:r>
      <w:r>
        <w:rPr>
          <w:rFonts w:ascii="Verdana" w:eastAsia="Calibri" w:hAnsi="Verdana" w:cs="Arial"/>
          <w:sz w:val="20"/>
          <w:szCs w:val="20"/>
        </w:rPr>
        <w:t xml:space="preserve"> </w:t>
      </w:r>
      <w:r w:rsidRPr="00C530A2">
        <w:rPr>
          <w:rFonts w:ascii="Verdana" w:eastAsia="Calibri" w:hAnsi="Verdana" w:cs="Arial"/>
          <w:sz w:val="20"/>
          <w:szCs w:val="20"/>
        </w:rPr>
        <w:t xml:space="preserve">que, los convenios que pueden celebrar los departamentos, distritos y municipios en los términos del artículo 8 de la Ley 1276 de 2009, modificado por el artículo 16 de la Ley 1850 de 2017, están regulados por el </w:t>
      </w:r>
      <w:r w:rsidRPr="00C530A2">
        <w:rPr>
          <w:rFonts w:ascii="Verdana" w:eastAsia="Calibri" w:hAnsi="Verdana" w:cs="Arial"/>
          <w:sz w:val="20"/>
          <w:szCs w:val="20"/>
          <w:lang w:val="es-MX"/>
        </w:rPr>
        <w:t>EGCAP</w:t>
      </w:r>
      <w:r w:rsidRPr="00C530A2">
        <w:rPr>
          <w:rFonts w:ascii="Verdana" w:eastAsia="Calibri" w:hAnsi="Verdana" w:cs="Arial"/>
          <w:sz w:val="20"/>
          <w:szCs w:val="20"/>
        </w:rPr>
        <w:t xml:space="preserve">, esto es, por la Ley 80 de 1993 y todas sus normas complementarias y reglamentarias. Eventualmente, estos convenios pueden estar regulados por las disposiciones especiales contenidas en el Decreto 092 del 2017, siempre que se den las condiciones para el efecto, esto es, que los convenios se celebren con Entidades Sin Ánimo De Lucro – en adelante ESAL – para los fines previstos en dicha norma. </w:t>
      </w:r>
    </w:p>
    <w:p w14:paraId="11F53EC7" w14:textId="77777777" w:rsidR="006E0020" w:rsidRPr="00C530A2" w:rsidRDefault="006E0020" w:rsidP="006E0020">
      <w:pPr>
        <w:tabs>
          <w:tab w:val="left" w:pos="709"/>
        </w:tabs>
        <w:spacing w:after="0" w:line="240" w:lineRule="auto"/>
        <w:jc w:val="both"/>
        <w:rPr>
          <w:rFonts w:ascii="Verdana" w:eastAsia="Calibri" w:hAnsi="Verdana" w:cs="Arial"/>
          <w:sz w:val="20"/>
          <w:szCs w:val="20"/>
        </w:rPr>
      </w:pPr>
    </w:p>
    <w:p w14:paraId="08761417" w14:textId="77777777" w:rsidR="006E0020" w:rsidRPr="00C530A2" w:rsidRDefault="006E0020" w:rsidP="006E0020">
      <w:pPr>
        <w:spacing w:after="0" w:line="240" w:lineRule="auto"/>
        <w:jc w:val="both"/>
        <w:rPr>
          <w:rFonts w:ascii="Verdana" w:eastAsia="Calibri" w:hAnsi="Verdana" w:cs="Arial"/>
          <w:sz w:val="20"/>
          <w:szCs w:val="20"/>
        </w:rPr>
      </w:pPr>
      <w:r w:rsidRPr="00C530A2">
        <w:rPr>
          <w:rFonts w:ascii="Verdana" w:eastAsia="Calibri" w:hAnsi="Verdana" w:cs="Arial"/>
          <w:sz w:val="20"/>
          <w:szCs w:val="20"/>
        </w:rPr>
        <w:t>En este punto, es necesario realizar dos (2) precisiones</w:t>
      </w:r>
      <w:r>
        <w:rPr>
          <w:rFonts w:ascii="Verdana" w:eastAsia="Calibri" w:hAnsi="Verdana" w:cs="Arial"/>
          <w:sz w:val="20"/>
          <w:szCs w:val="20"/>
        </w:rPr>
        <w:t>.</w:t>
      </w:r>
      <w:r w:rsidRPr="00C530A2">
        <w:rPr>
          <w:rFonts w:ascii="Verdana" w:eastAsia="Calibri" w:hAnsi="Verdana" w:cs="Arial"/>
          <w:sz w:val="20"/>
          <w:szCs w:val="20"/>
        </w:rPr>
        <w:t xml:space="preserve"> E</w:t>
      </w:r>
      <w:r w:rsidRPr="00C530A2">
        <w:rPr>
          <w:rFonts w:ascii="Verdana" w:eastAsia="Calibri" w:hAnsi="Verdana" w:cs="Arial"/>
          <w:i/>
          <w:iCs/>
          <w:sz w:val="20"/>
          <w:szCs w:val="20"/>
        </w:rPr>
        <w:t>n primer lugar</w:t>
      </w:r>
      <w:r w:rsidRPr="00C530A2">
        <w:rPr>
          <w:rFonts w:ascii="Verdana" w:eastAsia="Calibri" w:hAnsi="Verdana" w:cs="Arial"/>
          <w:sz w:val="20"/>
          <w:szCs w:val="20"/>
        </w:rPr>
        <w:t xml:space="preserve">, que los convenios de que trata el artículo 8 de la Ley 1276 de 2009, modificado por el artículo 16 de la Ley 1850 de 2017 no podrán regularse por las disposiciones de los regímenes exceptuados del EGCAP, pues dichos convenios son suscritos por entidades territoriales únicamente, particularmente, los departamentos, los distritos y los municipios, autoridades que se denominan “Entidades Estatales” para los fines de la contratación estatal, y cuyos procesos contractuales son regulados por el EGCAP, según los artículos 1 y 2 de la Ley 80 de 1993. </w:t>
      </w:r>
    </w:p>
    <w:p w14:paraId="34ED67E2" w14:textId="77777777" w:rsidR="006E0020" w:rsidRPr="00C530A2" w:rsidRDefault="006E0020" w:rsidP="006E0020">
      <w:pPr>
        <w:spacing w:after="0" w:line="240" w:lineRule="auto"/>
        <w:jc w:val="both"/>
        <w:rPr>
          <w:rFonts w:ascii="Verdana" w:eastAsia="Calibri" w:hAnsi="Verdana" w:cs="Arial"/>
          <w:sz w:val="20"/>
          <w:szCs w:val="20"/>
        </w:rPr>
      </w:pPr>
    </w:p>
    <w:p w14:paraId="12B7256B" w14:textId="77777777" w:rsidR="006E0020" w:rsidRDefault="006E0020" w:rsidP="006E0020">
      <w:pPr>
        <w:spacing w:after="0" w:line="240" w:lineRule="auto"/>
        <w:jc w:val="both"/>
        <w:rPr>
          <w:rFonts w:ascii="Verdana" w:hAnsi="Verdana" w:cs="Arial"/>
          <w:color w:val="000000" w:themeColor="text1"/>
          <w:sz w:val="20"/>
          <w:szCs w:val="20"/>
          <w:lang w:val="es-ES_tradnl"/>
        </w:rPr>
      </w:pPr>
      <w:r w:rsidRPr="00C530A2">
        <w:rPr>
          <w:rFonts w:ascii="Verdana" w:eastAsia="Calibri" w:hAnsi="Verdana" w:cs="Arial"/>
          <w:i/>
          <w:iCs/>
          <w:sz w:val="20"/>
          <w:szCs w:val="20"/>
          <w:lang w:val="es-ES"/>
        </w:rPr>
        <w:t>En segundo lugar</w:t>
      </w:r>
      <w:r w:rsidRPr="00C530A2">
        <w:rPr>
          <w:rFonts w:ascii="Verdana" w:eastAsia="Calibri" w:hAnsi="Verdana" w:cs="Arial"/>
          <w:sz w:val="20"/>
          <w:szCs w:val="20"/>
          <w:lang w:val="es-ES"/>
        </w:rPr>
        <w:t>,</w:t>
      </w:r>
      <w:r w:rsidRPr="00C530A2">
        <w:rPr>
          <w:rFonts w:ascii="Verdana" w:eastAsia="Calibri" w:hAnsi="Verdana" w:cs="Arial"/>
          <w:sz w:val="20"/>
          <w:szCs w:val="20"/>
          <w:lang w:val="es-MX"/>
        </w:rPr>
        <w:t xml:space="preserve"> el Decreto 092 de 2017 resulta aplicable a los convenios regulados en el parágrafo del artículo 16 de la Ley 1850 de 2017, que modificó el artículo 8 de la Ley 1276 de 2010, </w:t>
      </w:r>
      <w:r w:rsidRPr="00C530A2">
        <w:rPr>
          <w:rFonts w:ascii="Verdana" w:eastAsia="Calibri" w:hAnsi="Verdana" w:cs="Arial"/>
          <w:i/>
          <w:iCs/>
          <w:sz w:val="20"/>
          <w:szCs w:val="20"/>
          <w:lang w:val="es-MX"/>
        </w:rPr>
        <w:t>únicamente</w:t>
      </w:r>
      <w:r w:rsidRPr="00C530A2">
        <w:rPr>
          <w:rFonts w:ascii="Verdana" w:eastAsia="Calibri" w:hAnsi="Verdana" w:cs="Arial"/>
          <w:sz w:val="20"/>
          <w:szCs w:val="20"/>
          <w:lang w:val="es-MX"/>
        </w:rPr>
        <w:t xml:space="preserve"> en aquellos eventos en los que los entes territoriales “[…] contrata[n] con entidades privadas sin ánimo de lucro y de reconocida idoneidad […]”, de acuerdo con lo establecido en el artículo 1 del mencionado Decreto </w:t>
      </w:r>
      <w:r w:rsidRPr="00C530A2">
        <w:rPr>
          <w:rFonts w:ascii="Verdana" w:eastAsia="Calibri" w:hAnsi="Verdana" w:cs="Arial"/>
          <w:sz w:val="20"/>
          <w:szCs w:val="20"/>
          <w:lang w:val="es-ES_tradnl"/>
        </w:rPr>
        <w:t xml:space="preserve">y, solamente, si se cumplen los otros requisitos que se derivan de su contenido, entre ellos, que no se genere </w:t>
      </w:r>
      <w:r w:rsidRPr="00C530A2">
        <w:rPr>
          <w:rFonts w:ascii="Verdana" w:eastAsia="Calibri" w:hAnsi="Verdana" w:cs="Arial"/>
          <w:sz w:val="20"/>
          <w:szCs w:val="20"/>
          <w:lang w:val="es-MX"/>
        </w:rPr>
        <w:t>una contraprestación directa a favor de la entidad y tampoco una relación conmutativa entre esta y la ESAL.</w:t>
      </w:r>
    </w:p>
    <w:p w14:paraId="172324F5" w14:textId="77777777" w:rsidR="006E0020" w:rsidRDefault="006E0020" w:rsidP="006E0020">
      <w:pPr>
        <w:spacing w:after="0" w:line="240" w:lineRule="auto"/>
        <w:rPr>
          <w:rFonts w:ascii="Verdana" w:hAnsi="Verdana" w:cs="Arial"/>
          <w:bCs/>
          <w:sz w:val="20"/>
          <w:szCs w:val="20"/>
          <w:lang w:val="es-ES_tradnl" w:eastAsia="es-CO"/>
        </w:rPr>
      </w:pPr>
    </w:p>
    <w:p w14:paraId="662EB459" w14:textId="77777777" w:rsidR="006E0020" w:rsidRDefault="006E0020" w:rsidP="001A4A08">
      <w:pPr>
        <w:spacing w:after="0"/>
        <w:rPr>
          <w:rFonts w:ascii="Verdana" w:hAnsi="Verdana"/>
          <w:lang w:val="es-ES"/>
        </w:rPr>
      </w:pPr>
    </w:p>
    <w:p w14:paraId="0F2D7B22" w14:textId="77777777" w:rsidR="006E0020" w:rsidRDefault="006E0020" w:rsidP="001A4A08">
      <w:pPr>
        <w:spacing w:after="0"/>
        <w:rPr>
          <w:rFonts w:ascii="Verdana" w:hAnsi="Verdana"/>
          <w:lang w:val="es-ES"/>
        </w:rPr>
      </w:pPr>
    </w:p>
    <w:p w14:paraId="5B9702AA" w14:textId="77777777" w:rsidR="006E0020" w:rsidRDefault="006E0020" w:rsidP="001A4A08">
      <w:pPr>
        <w:spacing w:after="0"/>
        <w:rPr>
          <w:rFonts w:ascii="Verdana" w:hAnsi="Verdana"/>
          <w:lang w:val="es-ES"/>
        </w:rPr>
      </w:pPr>
    </w:p>
    <w:p w14:paraId="0EC25D5B" w14:textId="77777777" w:rsidR="006E0020" w:rsidRDefault="006E0020" w:rsidP="001A4A08">
      <w:pPr>
        <w:spacing w:after="0"/>
        <w:rPr>
          <w:rFonts w:ascii="Verdana" w:hAnsi="Verdana"/>
          <w:lang w:val="es-ES"/>
        </w:rPr>
      </w:pPr>
    </w:p>
    <w:p w14:paraId="586F31C3" w14:textId="77777777" w:rsidR="006E0020" w:rsidRDefault="006E0020" w:rsidP="001A4A08">
      <w:pPr>
        <w:spacing w:after="0"/>
        <w:rPr>
          <w:rFonts w:ascii="Verdana" w:hAnsi="Verdana"/>
          <w:lang w:val="es-ES"/>
        </w:rPr>
      </w:pPr>
    </w:p>
    <w:p w14:paraId="50AF4430" w14:textId="77777777" w:rsidR="006E0020" w:rsidRDefault="006E0020" w:rsidP="001A4A08">
      <w:pPr>
        <w:spacing w:after="0"/>
        <w:rPr>
          <w:rFonts w:ascii="Verdana" w:hAnsi="Verdana"/>
          <w:lang w:val="es-ES"/>
        </w:rPr>
      </w:pPr>
    </w:p>
    <w:p w14:paraId="67C601F6" w14:textId="77777777" w:rsidR="006E0020" w:rsidRDefault="006E0020" w:rsidP="001A4A08">
      <w:pPr>
        <w:spacing w:after="0"/>
        <w:rPr>
          <w:rFonts w:ascii="Verdana" w:hAnsi="Verdana"/>
          <w:lang w:val="es-ES"/>
        </w:rPr>
      </w:pPr>
    </w:p>
    <w:p w14:paraId="4736F345" w14:textId="77777777" w:rsidR="006E0020" w:rsidRDefault="006E0020" w:rsidP="001A4A08">
      <w:pPr>
        <w:spacing w:after="0"/>
        <w:rPr>
          <w:rFonts w:ascii="Verdana" w:hAnsi="Verdana"/>
          <w:lang w:val="es-ES"/>
        </w:rPr>
      </w:pPr>
    </w:p>
    <w:p w14:paraId="2A53A775" w14:textId="77777777" w:rsidR="006E0020" w:rsidRDefault="006E0020" w:rsidP="001A4A08">
      <w:pPr>
        <w:spacing w:after="0"/>
        <w:rPr>
          <w:rFonts w:ascii="Verdana" w:hAnsi="Verdana"/>
          <w:lang w:val="es-ES"/>
        </w:rPr>
      </w:pPr>
    </w:p>
    <w:p w14:paraId="0CD14FDA" w14:textId="77777777" w:rsidR="006E0020" w:rsidRDefault="006E0020" w:rsidP="001A4A08">
      <w:pPr>
        <w:spacing w:after="0"/>
        <w:rPr>
          <w:rFonts w:ascii="Verdana" w:hAnsi="Verdana"/>
          <w:lang w:val="es-ES"/>
        </w:rPr>
      </w:pPr>
    </w:p>
    <w:p w14:paraId="42BADD11" w14:textId="77777777" w:rsidR="006E0020" w:rsidRDefault="006E0020" w:rsidP="001A4A08">
      <w:pPr>
        <w:spacing w:after="0"/>
        <w:rPr>
          <w:rFonts w:ascii="Verdana" w:hAnsi="Verdana"/>
          <w:lang w:val="es-ES"/>
        </w:rPr>
      </w:pPr>
    </w:p>
    <w:p w14:paraId="73DE12D0" w14:textId="77777777" w:rsidR="006E0020" w:rsidRDefault="006E0020" w:rsidP="001A4A08">
      <w:pPr>
        <w:spacing w:after="0"/>
        <w:rPr>
          <w:rFonts w:ascii="Verdana" w:hAnsi="Verdana"/>
          <w:lang w:val="es-ES"/>
        </w:rPr>
      </w:pPr>
    </w:p>
    <w:p w14:paraId="6440A64F" w14:textId="77777777" w:rsidR="006E0020" w:rsidRDefault="006E0020" w:rsidP="001A4A08">
      <w:pPr>
        <w:spacing w:after="0"/>
        <w:rPr>
          <w:rFonts w:ascii="Verdana" w:hAnsi="Verdana"/>
          <w:lang w:val="es-ES"/>
        </w:rPr>
      </w:pPr>
    </w:p>
    <w:p w14:paraId="6B6C8491" w14:textId="77777777" w:rsidR="006E0020" w:rsidRDefault="006E0020" w:rsidP="001A4A08">
      <w:pPr>
        <w:spacing w:after="0"/>
        <w:rPr>
          <w:rFonts w:ascii="Verdana" w:hAnsi="Verdana"/>
          <w:lang w:val="es-ES"/>
        </w:rPr>
      </w:pPr>
    </w:p>
    <w:p w14:paraId="42B9166C" w14:textId="33AD4221" w:rsidR="001A4A08" w:rsidRPr="002069C6" w:rsidRDefault="001A4A08" w:rsidP="001A4A08">
      <w:pPr>
        <w:spacing w:after="0"/>
        <w:rPr>
          <w:rFonts w:ascii="Verdana" w:hAnsi="Verdana"/>
          <w:lang w:val="es-ES"/>
        </w:rPr>
      </w:pPr>
      <w:r w:rsidRPr="002069C6">
        <w:rPr>
          <w:rFonts w:ascii="Verdana" w:hAnsi="Verdana"/>
          <w:lang w:val="es-ES"/>
        </w:rPr>
        <w:lastRenderedPageBreak/>
        <w:t xml:space="preserve">Bogotá D.C., </w:t>
      </w:r>
      <w:r w:rsidR="006E0020">
        <w:rPr>
          <w:rFonts w:ascii="Verdana" w:hAnsi="Verdana"/>
          <w:lang w:val="es-ES"/>
        </w:rPr>
        <w:t>21 de noviembre de 2025</w:t>
      </w:r>
      <w:r w:rsidRPr="002069C6">
        <w:rPr>
          <w:rFonts w:ascii="Verdana" w:hAnsi="Verdana"/>
          <w:lang w:val="es-ES"/>
        </w:rPr>
        <w:tab/>
      </w:r>
    </w:p>
    <w:p w14:paraId="519E14B6" w14:textId="77777777" w:rsidR="001A4A08" w:rsidRPr="002069C6" w:rsidRDefault="001A4A08" w:rsidP="001A4A08">
      <w:pPr>
        <w:spacing w:after="0"/>
        <w:rPr>
          <w:rFonts w:ascii="Verdana" w:hAnsi="Verdana"/>
          <w:lang w:val="es-ES"/>
        </w:rPr>
      </w:pPr>
    </w:p>
    <w:p w14:paraId="388D5E0A" w14:textId="77777777" w:rsidR="001A4A08" w:rsidRDefault="001A4A08" w:rsidP="001A4A08">
      <w:pPr>
        <w:spacing w:after="0" w:line="240"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Señor</w:t>
      </w:r>
    </w:p>
    <w:p w14:paraId="225D69E5" w14:textId="6CB9FD92" w:rsidR="001A4A08" w:rsidRDefault="006E0020" w:rsidP="001A4A08">
      <w:pPr>
        <w:spacing w:after="0" w:line="240" w:lineRule="auto"/>
        <w:jc w:val="both"/>
        <w:rPr>
          <w:rFonts w:ascii="Verdana" w:eastAsia="Calibri" w:hAnsi="Verdana" w:cs="Arial"/>
          <w:b/>
          <w:bCs/>
          <w:color w:val="000000" w:themeColor="text1"/>
          <w:lang w:val="es-ES" w:eastAsia="es-ES"/>
        </w:rPr>
      </w:pPr>
      <w:r>
        <w:rPr>
          <w:rFonts w:ascii="Verdana" w:eastAsia="Calibri" w:hAnsi="Verdana" w:cs="Arial"/>
          <w:noProof/>
          <w:color w:val="000000" w:themeColor="text1"/>
          <w:lang w:eastAsia="es-ES_tradnl"/>
        </w:rPr>
        <w:drawing>
          <wp:anchor distT="0" distB="0" distL="114300" distR="114300" simplePos="0" relativeHeight="251658240" behindDoc="0" locked="0" layoutInCell="1" allowOverlap="1" wp14:anchorId="2B650046" wp14:editId="2B822335">
            <wp:simplePos x="0" y="0"/>
            <wp:positionH relativeFrom="column">
              <wp:posOffset>3519805</wp:posOffset>
            </wp:positionH>
            <wp:positionV relativeFrom="page">
              <wp:posOffset>2161540</wp:posOffset>
            </wp:positionV>
            <wp:extent cx="2022475" cy="581025"/>
            <wp:effectExtent l="0" t="0" r="0" b="3175"/>
            <wp:wrapSquare wrapText="bothSides"/>
            <wp:docPr id="11194411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441151" name="Picture 111944115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22475" cy="581025"/>
                    </a:xfrm>
                    <a:prstGeom prst="rect">
                      <a:avLst/>
                    </a:prstGeom>
                  </pic:spPr>
                </pic:pic>
              </a:graphicData>
            </a:graphic>
            <wp14:sizeRelH relativeFrom="page">
              <wp14:pctWidth>0</wp14:pctWidth>
            </wp14:sizeRelH>
            <wp14:sizeRelV relativeFrom="page">
              <wp14:pctHeight>0</wp14:pctHeight>
            </wp14:sizeRelV>
          </wp:anchor>
        </w:drawing>
      </w:r>
      <w:r w:rsidR="001A4A08">
        <w:rPr>
          <w:rFonts w:ascii="Verdana" w:eastAsia="Calibri" w:hAnsi="Verdana" w:cs="Arial"/>
          <w:b/>
          <w:bCs/>
          <w:color w:val="000000" w:themeColor="text1"/>
          <w:lang w:val="es-ES" w:eastAsia="es-ES"/>
        </w:rPr>
        <w:t>Nelson Eduardo Zafra Viasus</w:t>
      </w:r>
    </w:p>
    <w:p w14:paraId="74B43BDF" w14:textId="0B126824" w:rsidR="001A4A08" w:rsidRDefault="001A4A08" w:rsidP="001A4A08">
      <w:pPr>
        <w:spacing w:after="0" w:line="240" w:lineRule="auto"/>
        <w:rPr>
          <w:rFonts w:ascii="Verdana" w:eastAsia="Calibri" w:hAnsi="Verdana" w:cs="Arial"/>
          <w:lang w:eastAsia="es-ES_tradnl"/>
        </w:rPr>
      </w:pPr>
      <w:r>
        <w:rPr>
          <w:rFonts w:ascii="Verdana" w:eastAsia="Calibri" w:hAnsi="Verdana" w:cs="Arial"/>
          <w:lang w:eastAsia="es-ES_tradnl"/>
        </w:rPr>
        <w:t>Procuraduría Provincial de Instrucción Vélez</w:t>
      </w:r>
    </w:p>
    <w:p w14:paraId="4169D75E" w14:textId="0491E990" w:rsidR="001A4A08" w:rsidRDefault="001A4A08" w:rsidP="001A4A08">
      <w:pPr>
        <w:spacing w:after="0" w:line="240" w:lineRule="auto"/>
        <w:rPr>
          <w:rFonts w:ascii="Verdana" w:eastAsia="Calibri" w:hAnsi="Verdana" w:cs="Arial"/>
          <w:color w:val="000000" w:themeColor="text1"/>
          <w:lang w:eastAsia="es-ES_tradnl"/>
        </w:rPr>
      </w:pPr>
      <w:hyperlink r:id="rId11" w:history="1">
        <w:r w:rsidRPr="008E7EDE">
          <w:rPr>
            <w:rStyle w:val="Hipervnculo"/>
            <w:rFonts w:ascii="Verdana" w:eastAsia="Calibri" w:hAnsi="Verdana" w:cs="Arial"/>
            <w:lang w:eastAsia="es-ES_tradnl"/>
          </w:rPr>
          <w:t>nzafra@procuraduria.gov.co</w:t>
        </w:r>
      </w:hyperlink>
    </w:p>
    <w:p w14:paraId="147806A5" w14:textId="77777777" w:rsidR="001A4A08" w:rsidRPr="002069C6" w:rsidRDefault="001A4A08" w:rsidP="001A4A08">
      <w:pPr>
        <w:spacing w:after="0" w:line="240" w:lineRule="auto"/>
        <w:rPr>
          <w:rFonts w:ascii="Verdana" w:eastAsia="Calibri" w:hAnsi="Verdana" w:cs="Arial"/>
          <w:color w:val="000000" w:themeColor="text1"/>
          <w:lang w:eastAsia="es-ES_tradnl"/>
        </w:rPr>
      </w:pPr>
      <w:r>
        <w:rPr>
          <w:rFonts w:ascii="Verdana" w:eastAsia="Calibri" w:hAnsi="Verdana" w:cs="Arial"/>
          <w:color w:val="000000" w:themeColor="text1"/>
          <w:lang w:eastAsia="es-ES_tradnl"/>
        </w:rPr>
        <w:t>Bogotá D.C.</w:t>
      </w:r>
    </w:p>
    <w:p w14:paraId="5BA3A515" w14:textId="77777777" w:rsidR="001A4A08" w:rsidRPr="002069C6" w:rsidRDefault="001A4A08" w:rsidP="001A4A08">
      <w:pPr>
        <w:spacing w:after="0" w:line="240" w:lineRule="auto"/>
        <w:rPr>
          <w:rFonts w:ascii="Verdana" w:eastAsia="Calibri" w:hAnsi="Verdana" w:cs="Arial"/>
          <w:b/>
          <w:bCs/>
          <w:color w:val="000000" w:themeColor="text1"/>
          <w:lang w:val="es-ES" w:eastAsia="es-ES_tradnl"/>
        </w:rPr>
      </w:pPr>
    </w:p>
    <w:tbl>
      <w:tblPr>
        <w:tblStyle w:val="Tablaconcuadrcula"/>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1A4A08" w:rsidRPr="002069C6" w14:paraId="465AC4A7" w14:textId="77777777" w:rsidTr="0014227E">
        <w:trPr>
          <w:gridAfter w:val="1"/>
          <w:wAfter w:w="4179" w:type="dxa"/>
          <w:trHeight w:val="304"/>
        </w:trPr>
        <w:tc>
          <w:tcPr>
            <w:tcW w:w="2689" w:type="dxa"/>
          </w:tcPr>
          <w:p w14:paraId="3000F8DC" w14:textId="77777777" w:rsidR="001A4A08" w:rsidRPr="002069C6" w:rsidRDefault="001A4A08" w:rsidP="0014227E">
            <w:pPr>
              <w:jc w:val="both"/>
              <w:rPr>
                <w:rFonts w:ascii="Verdana" w:eastAsia="Calibri" w:hAnsi="Verdana" w:cs="Arial"/>
                <w:b/>
                <w:bCs/>
                <w:color w:val="000000" w:themeColor="text1"/>
                <w:lang w:val="es-ES" w:eastAsia="es-ES_tradnl"/>
              </w:rPr>
            </w:pPr>
          </w:p>
        </w:tc>
        <w:tc>
          <w:tcPr>
            <w:tcW w:w="6100" w:type="dxa"/>
          </w:tcPr>
          <w:p w14:paraId="3057EEC8" w14:textId="0084B66E" w:rsidR="001A4A08" w:rsidRPr="002069C6" w:rsidRDefault="001A4A08" w:rsidP="0014227E">
            <w:pPr>
              <w:jc w:val="both"/>
              <w:rPr>
                <w:rFonts w:ascii="Verdana" w:eastAsia="Calibri" w:hAnsi="Verdana" w:cs="Arial"/>
                <w:b/>
                <w:bCs/>
                <w:color w:val="000000" w:themeColor="text1"/>
                <w:lang w:val="es-ES" w:eastAsia="es-ES"/>
              </w:rPr>
            </w:pPr>
            <w:r w:rsidRPr="002069C6">
              <w:rPr>
                <w:rFonts w:ascii="Verdana" w:eastAsia="Calibri" w:hAnsi="Verdana" w:cs="Arial"/>
                <w:b/>
                <w:bCs/>
                <w:color w:val="000000" w:themeColor="text1"/>
                <w:lang w:val="es-ES" w:eastAsia="es-ES"/>
              </w:rPr>
              <w:t>Concepto C-</w:t>
            </w:r>
            <w:r w:rsidR="00391BB4">
              <w:rPr>
                <w:rFonts w:ascii="Verdana" w:eastAsia="Calibri" w:hAnsi="Verdana" w:cs="Arial"/>
                <w:b/>
                <w:bCs/>
                <w:color w:val="000000" w:themeColor="text1"/>
                <w:lang w:val="es-ES" w:eastAsia="es-ES"/>
              </w:rPr>
              <w:t>1468</w:t>
            </w:r>
            <w:r w:rsidRPr="002069C6">
              <w:rPr>
                <w:rFonts w:ascii="Verdana" w:eastAsia="Calibri" w:hAnsi="Verdana" w:cs="Arial"/>
                <w:b/>
                <w:bCs/>
                <w:color w:val="000000" w:themeColor="text1"/>
                <w:lang w:val="es-ES" w:eastAsia="es-ES"/>
              </w:rPr>
              <w:t xml:space="preserve"> de 2025</w:t>
            </w:r>
          </w:p>
          <w:p w14:paraId="387046D9" w14:textId="77777777" w:rsidR="001A4A08" w:rsidRPr="002069C6" w:rsidRDefault="001A4A08" w:rsidP="0014227E">
            <w:pPr>
              <w:jc w:val="both"/>
              <w:rPr>
                <w:rFonts w:ascii="Verdana" w:eastAsia="Calibri" w:hAnsi="Verdana" w:cs="Arial"/>
                <w:b/>
                <w:bCs/>
                <w:color w:val="000000" w:themeColor="text1"/>
                <w:lang w:val="es-ES" w:eastAsia="es-ES"/>
              </w:rPr>
            </w:pPr>
          </w:p>
        </w:tc>
      </w:tr>
      <w:tr w:rsidR="001A4A08" w:rsidRPr="002069C6" w14:paraId="44AC7484" w14:textId="77777777" w:rsidTr="0014227E">
        <w:trPr>
          <w:trHeight w:val="884"/>
        </w:trPr>
        <w:tc>
          <w:tcPr>
            <w:tcW w:w="2689" w:type="dxa"/>
          </w:tcPr>
          <w:p w14:paraId="233721FF" w14:textId="77777777" w:rsidR="001A4A08" w:rsidRPr="002069C6" w:rsidRDefault="001A4A08" w:rsidP="0014227E">
            <w:pPr>
              <w:jc w:val="both"/>
              <w:rPr>
                <w:rFonts w:ascii="Verdana" w:eastAsia="Calibri" w:hAnsi="Verdana" w:cs="Arial"/>
                <w:color w:val="000000" w:themeColor="text1"/>
                <w:lang w:val="es-ES" w:eastAsia="es-ES_tradnl"/>
              </w:rPr>
            </w:pPr>
            <w:r w:rsidRPr="002069C6">
              <w:rPr>
                <w:rFonts w:ascii="Verdana" w:eastAsia="Calibri" w:hAnsi="Verdana" w:cs="Arial"/>
                <w:b/>
                <w:color w:val="000000" w:themeColor="text1"/>
                <w:lang w:val="es-ES" w:eastAsia="es-ES_tradnl"/>
              </w:rPr>
              <w:t>Temas:</w:t>
            </w:r>
            <w:r w:rsidRPr="002069C6">
              <w:rPr>
                <w:rFonts w:ascii="Verdana" w:eastAsia="Calibri" w:hAnsi="Verdana" w:cs="Arial"/>
                <w:color w:val="000000" w:themeColor="text1"/>
                <w:lang w:val="es-ES" w:eastAsia="es-ES_tradnl"/>
              </w:rPr>
              <w:t xml:space="preserve">                   </w:t>
            </w:r>
          </w:p>
        </w:tc>
        <w:tc>
          <w:tcPr>
            <w:tcW w:w="6100" w:type="dxa"/>
          </w:tcPr>
          <w:p w14:paraId="151FF99F" w14:textId="77777777" w:rsidR="001A4A08" w:rsidRPr="00A11406" w:rsidRDefault="001A4A08" w:rsidP="0014227E">
            <w:pPr>
              <w:spacing w:line="276" w:lineRule="auto"/>
              <w:jc w:val="both"/>
              <w:rPr>
                <w:rFonts w:ascii="Verdana" w:eastAsia="Calibri" w:hAnsi="Verdana" w:cs="Arial"/>
                <w:lang w:val="es-ES" w:eastAsia="es-ES"/>
              </w:rPr>
            </w:pPr>
            <w:r w:rsidRPr="00C67963">
              <w:rPr>
                <w:rFonts w:ascii="Verdana" w:eastAsia="Calibri" w:hAnsi="Verdana" w:cs="Arial"/>
                <w:lang w:val="es-ES" w:eastAsia="es-ES"/>
              </w:rPr>
              <w:t>DECRETO 092 DE 2017 – Finalidad – Clases de contratos / CONTRATACIÓN CON ESAL – Contrato de colaboración – Objeto – Alcance / CONTRATACIÓN CON ESAL – Convenios de asociación – Objeto – Alcance / CONVENIOS DE ASOCIACIÓN – Multiplicidad de sujetos – Límites legales / DECRETO 092 DE 2017 – Criterios – Aplicación / DECRETO 092 DE 2017 – Normativa vigente</w:t>
            </w:r>
            <w:r>
              <w:rPr>
                <w:rFonts w:ascii="Verdana" w:eastAsia="Calibri" w:hAnsi="Verdana" w:cs="Arial"/>
                <w:lang w:val="es-ES" w:eastAsia="es-ES"/>
              </w:rPr>
              <w:t xml:space="preserve"> / </w:t>
            </w:r>
            <w:r w:rsidRPr="009F2739">
              <w:rPr>
                <w:rFonts w:ascii="Verdana" w:eastAsia="Calibri" w:hAnsi="Verdana" w:cs="Arial"/>
                <w:lang w:val="es-ES" w:eastAsia="es-ES"/>
              </w:rPr>
              <w:t>LEY 1276 DE 2009 – Convenios – Adulto mayor – Régimen aplicable</w:t>
            </w:r>
            <w:r w:rsidRPr="006F6A89">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06B81544" w14:textId="77777777" w:rsidR="001A4A08" w:rsidRPr="002069C6" w:rsidRDefault="001A4A08" w:rsidP="0014227E">
            <w:pPr>
              <w:jc w:val="both"/>
              <w:rPr>
                <w:rFonts w:ascii="Verdana" w:eastAsia="Calibri" w:hAnsi="Verdana" w:cs="Arial"/>
                <w:color w:val="000000" w:themeColor="text1"/>
                <w:lang w:val="es-ES" w:eastAsia="es-ES"/>
              </w:rPr>
            </w:pPr>
          </w:p>
        </w:tc>
        <w:tc>
          <w:tcPr>
            <w:tcW w:w="4179" w:type="dxa"/>
          </w:tcPr>
          <w:p w14:paraId="5F1496A3" w14:textId="77777777" w:rsidR="001A4A08" w:rsidRPr="002069C6" w:rsidRDefault="001A4A08" w:rsidP="0014227E">
            <w:pPr>
              <w:spacing w:line="276" w:lineRule="auto"/>
              <w:jc w:val="both"/>
              <w:rPr>
                <w:rFonts w:ascii="Verdana" w:eastAsia="Calibri" w:hAnsi="Verdana" w:cs="Arial"/>
                <w:b/>
                <w:bCs/>
                <w:color w:val="000000" w:themeColor="text1"/>
                <w:lang w:val="es-ES" w:eastAsia="es-ES"/>
              </w:rPr>
            </w:pPr>
          </w:p>
          <w:p w14:paraId="33E3C940" w14:textId="77777777" w:rsidR="001A4A08" w:rsidRPr="002069C6" w:rsidRDefault="001A4A08" w:rsidP="0014227E">
            <w:pPr>
              <w:rPr>
                <w:rFonts w:ascii="Verdana" w:hAnsi="Verdana"/>
                <w:lang w:val="es-ES"/>
              </w:rPr>
            </w:pPr>
          </w:p>
        </w:tc>
      </w:tr>
      <w:tr w:rsidR="001A4A08" w:rsidRPr="002069C6" w14:paraId="0D7FEDCB" w14:textId="77777777" w:rsidTr="0014227E">
        <w:trPr>
          <w:gridAfter w:val="1"/>
          <w:wAfter w:w="4179" w:type="dxa"/>
        </w:trPr>
        <w:tc>
          <w:tcPr>
            <w:tcW w:w="2689" w:type="dxa"/>
          </w:tcPr>
          <w:p w14:paraId="26FEC4BF" w14:textId="77777777" w:rsidR="001A4A08" w:rsidRPr="002069C6" w:rsidRDefault="001A4A08" w:rsidP="0014227E">
            <w:pPr>
              <w:jc w:val="both"/>
              <w:rPr>
                <w:rFonts w:ascii="Verdana" w:eastAsia="Calibri" w:hAnsi="Verdana" w:cs="Arial"/>
                <w:b/>
                <w:color w:val="000000" w:themeColor="text1"/>
                <w:lang w:val="es-ES" w:eastAsia="es-ES_tradnl"/>
              </w:rPr>
            </w:pPr>
            <w:r w:rsidRPr="002069C6">
              <w:rPr>
                <w:rFonts w:ascii="Verdana" w:eastAsia="Calibri" w:hAnsi="Verdana" w:cs="Arial"/>
                <w:b/>
                <w:color w:val="000000" w:themeColor="text1"/>
                <w:lang w:val="es-ES" w:eastAsia="es-ES_tradnl"/>
              </w:rPr>
              <w:t>Radicación:</w:t>
            </w:r>
            <w:r w:rsidRPr="002069C6">
              <w:rPr>
                <w:rFonts w:ascii="Verdana" w:eastAsia="Calibri" w:hAnsi="Verdana" w:cs="Arial"/>
                <w:color w:val="000000" w:themeColor="text1"/>
                <w:lang w:val="es-ES" w:eastAsia="es-ES_tradnl"/>
              </w:rPr>
              <w:t xml:space="preserve">               </w:t>
            </w:r>
          </w:p>
        </w:tc>
        <w:tc>
          <w:tcPr>
            <w:tcW w:w="6100" w:type="dxa"/>
          </w:tcPr>
          <w:p w14:paraId="62109EBA" w14:textId="116A20BC" w:rsidR="00B57559" w:rsidRPr="00B57559" w:rsidRDefault="001A4A08" w:rsidP="1661268D">
            <w:pPr>
              <w:jc w:val="both"/>
              <w:rPr>
                <w:rFonts w:ascii="Verdana" w:eastAsia="Calibri" w:hAnsi="Verdana" w:cs="Arial"/>
                <w:color w:val="000000" w:themeColor="text1"/>
                <w:lang w:eastAsia="es-ES_tradnl"/>
              </w:rPr>
            </w:pPr>
            <w:r w:rsidRPr="002069C6">
              <w:rPr>
                <w:rFonts w:ascii="Verdana" w:eastAsia="Calibri" w:hAnsi="Verdana" w:cs="Arial"/>
                <w:color w:val="000000" w:themeColor="text1"/>
                <w:lang w:val="es-ES" w:eastAsia="es-ES_tradnl"/>
              </w:rPr>
              <w:t>Respuesta a consulta</w:t>
            </w:r>
            <w:r>
              <w:rPr>
                <w:rFonts w:ascii="Verdana" w:eastAsia="Calibri" w:hAnsi="Verdana" w:cs="Arial"/>
                <w:color w:val="000000" w:themeColor="text1"/>
                <w:lang w:val="es-ES" w:eastAsia="es-ES_tradnl"/>
              </w:rPr>
              <w:t>s</w:t>
            </w:r>
            <w:r w:rsidRPr="002069C6">
              <w:rPr>
                <w:rFonts w:ascii="Verdana" w:eastAsia="Calibri" w:hAnsi="Verdana" w:cs="Arial"/>
                <w:color w:val="000000" w:themeColor="text1"/>
                <w:lang w:val="es-ES" w:eastAsia="es-ES_tradnl"/>
              </w:rPr>
              <w:t xml:space="preserve"> con radicado</w:t>
            </w:r>
            <w:r>
              <w:rPr>
                <w:rFonts w:ascii="Verdana" w:eastAsia="Calibri" w:hAnsi="Verdana" w:cs="Arial"/>
                <w:color w:val="000000" w:themeColor="text1"/>
                <w:lang w:val="es-ES" w:eastAsia="es-ES_tradnl"/>
              </w:rPr>
              <w:t>s</w:t>
            </w:r>
            <w:r w:rsidRPr="002069C6">
              <w:rPr>
                <w:rFonts w:ascii="Verdana" w:eastAsia="Calibri" w:hAnsi="Verdana" w:cs="Arial"/>
                <w:color w:val="000000" w:themeColor="text1"/>
                <w:lang w:val="es-ES" w:eastAsia="es-ES_tradnl"/>
              </w:rPr>
              <w:t xml:space="preserve"> No. </w:t>
            </w:r>
            <w:r w:rsidR="00B57559" w:rsidRPr="00B57559">
              <w:rPr>
                <w:rFonts w:ascii="Verdana" w:eastAsia="Calibri" w:hAnsi="Verdana" w:cs="Arial"/>
                <w:color w:val="000000" w:themeColor="text1"/>
                <w:lang w:eastAsia="es-ES_tradnl"/>
              </w:rPr>
              <w:t>1_2025_10_08_011247</w:t>
            </w:r>
            <w:r w:rsidR="00F6759B">
              <w:rPr>
                <w:rFonts w:ascii="Verdana" w:eastAsia="Calibri" w:hAnsi="Verdana" w:cs="Arial"/>
                <w:color w:val="000000" w:themeColor="text1"/>
                <w:lang w:eastAsia="es-ES_tradnl"/>
              </w:rPr>
              <w:t xml:space="preserve"> y </w:t>
            </w:r>
            <w:r w:rsidR="00F6759B" w:rsidRPr="00F6759B">
              <w:rPr>
                <w:rFonts w:ascii="Verdana" w:eastAsia="Calibri" w:hAnsi="Verdana" w:cs="Arial"/>
                <w:color w:val="000000" w:themeColor="text1"/>
                <w:lang w:eastAsia="es-ES_tradnl"/>
              </w:rPr>
              <w:t>1_2025_11_18_013005</w:t>
            </w:r>
            <w:r w:rsidR="00F6759B">
              <w:rPr>
                <w:rFonts w:ascii="Verdana" w:eastAsia="Calibri" w:hAnsi="Verdana" w:cs="Arial"/>
                <w:color w:val="000000" w:themeColor="text1"/>
                <w:lang w:eastAsia="es-ES_tradnl"/>
              </w:rPr>
              <w:t xml:space="preserve"> (acumulados). </w:t>
            </w:r>
          </w:p>
          <w:p w14:paraId="16CE903B" w14:textId="32A64027" w:rsidR="001A4A08" w:rsidRPr="00B57559" w:rsidRDefault="001A4A08" w:rsidP="0014227E">
            <w:pPr>
              <w:jc w:val="both"/>
              <w:rPr>
                <w:rFonts w:ascii="Verdana" w:eastAsia="Calibri" w:hAnsi="Verdana" w:cs="Arial"/>
                <w:color w:val="000000" w:themeColor="text1"/>
                <w:lang w:eastAsia="es-ES_tradnl"/>
              </w:rPr>
            </w:pPr>
          </w:p>
        </w:tc>
      </w:tr>
    </w:tbl>
    <w:p w14:paraId="15DC7D53" w14:textId="77777777" w:rsidR="001A4A08" w:rsidRPr="002069C6" w:rsidRDefault="001A4A08" w:rsidP="001A4A08">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Zafra</w:t>
      </w:r>
      <w:r w:rsidRPr="002069C6">
        <w:rPr>
          <w:rFonts w:ascii="Verdana" w:eastAsia="Calibri" w:hAnsi="Verdana" w:cs="Arial"/>
          <w:color w:val="000000" w:themeColor="text1"/>
          <w:lang w:val="es-ES" w:eastAsia="es-ES"/>
        </w:rPr>
        <w:t xml:space="preserve">: </w:t>
      </w:r>
    </w:p>
    <w:p w14:paraId="46C0A6C7" w14:textId="77777777" w:rsidR="001A4A08" w:rsidRPr="002069C6" w:rsidRDefault="001A4A08" w:rsidP="001A4A08">
      <w:pPr>
        <w:tabs>
          <w:tab w:val="left" w:pos="3768"/>
        </w:tabs>
        <w:spacing w:after="0" w:line="276"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ab/>
      </w:r>
    </w:p>
    <w:p w14:paraId="67CB0106" w14:textId="24D80F09" w:rsidR="001A4A08" w:rsidRPr="002069C6" w:rsidRDefault="001A4A08" w:rsidP="001A4A08">
      <w:pPr>
        <w:spacing w:after="0" w:line="276"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En ejercicio de la competencia otorgada por los artículos 3, numeral 5º, y 11, numeral 8º, del Decreto Ley 4170 de 2011,</w:t>
      </w:r>
      <w:r w:rsidRPr="002069C6">
        <w:rPr>
          <w:rFonts w:ascii="Verdana" w:eastAsia="Arial MT" w:hAnsi="Verdana" w:cs="Arial MT"/>
          <w:color w:val="000000" w:themeColor="text1"/>
          <w:lang w:val="es-ES" w:eastAsia="es-ES"/>
        </w:rPr>
        <w:t xml:space="preserve"> </w:t>
      </w:r>
      <w:r w:rsidRPr="002069C6">
        <w:rPr>
          <w:rFonts w:ascii="Verdana" w:hAnsi="Verdana" w:cs="Arial"/>
          <w:color w:val="000000" w:themeColor="text1"/>
          <w:lang w:val="es-ES"/>
        </w:rPr>
        <w:t xml:space="preserve">así como lo establecido en el artículo 4 de la Resolución 1707 de 2018 expedida por esta Entidad, la Agencia Nacional de Contratación Pública – Colombia Compra Eficiente– responde su solicitud </w:t>
      </w:r>
      <w:r>
        <w:rPr>
          <w:rFonts w:ascii="Verdana" w:hAnsi="Verdana" w:cs="Arial"/>
          <w:color w:val="000000" w:themeColor="text1"/>
          <w:lang w:val="es-ES"/>
        </w:rPr>
        <w:t xml:space="preserve">de concepto del 08 </w:t>
      </w:r>
      <w:r w:rsidRPr="002069C6">
        <w:rPr>
          <w:rFonts w:ascii="Verdana" w:hAnsi="Verdana" w:cs="Arial"/>
          <w:color w:val="000000" w:themeColor="text1"/>
          <w:lang w:val="es-ES"/>
        </w:rPr>
        <w:t xml:space="preserve">de </w:t>
      </w:r>
      <w:r>
        <w:rPr>
          <w:rFonts w:ascii="Verdana" w:hAnsi="Verdana" w:cs="Arial"/>
          <w:color w:val="000000" w:themeColor="text1"/>
          <w:lang w:val="es-ES"/>
        </w:rPr>
        <w:t>octubre</w:t>
      </w:r>
      <w:r w:rsidRPr="002069C6">
        <w:rPr>
          <w:rFonts w:ascii="Verdana" w:hAnsi="Verdana" w:cs="Arial"/>
          <w:color w:val="000000" w:themeColor="text1"/>
          <w:lang w:val="es-ES"/>
        </w:rPr>
        <w:t xml:space="preserve"> de 2025, </w:t>
      </w:r>
      <w:r w:rsidR="7BE41A17" w:rsidRPr="1661268D">
        <w:rPr>
          <w:rFonts w:ascii="Verdana" w:hAnsi="Verdana" w:cs="Arial"/>
          <w:color w:val="000000" w:themeColor="text1"/>
          <w:lang w:val="es-ES"/>
        </w:rPr>
        <w:t>reiterada el 31 de octubre de 2025</w:t>
      </w:r>
      <w:r w:rsidRPr="1661268D">
        <w:rPr>
          <w:rFonts w:ascii="Verdana" w:hAnsi="Verdana" w:cs="Arial"/>
          <w:color w:val="000000" w:themeColor="text1"/>
          <w:lang w:val="es-ES"/>
        </w:rPr>
        <w:t xml:space="preserve">, </w:t>
      </w:r>
      <w:r w:rsidRPr="002069C6">
        <w:rPr>
          <w:rFonts w:ascii="Verdana" w:hAnsi="Verdana" w:cs="Arial"/>
          <w:color w:val="000000" w:themeColor="text1"/>
          <w:lang w:val="es-ES"/>
        </w:rPr>
        <w:t>en la cual manifiesta lo siguiente:</w:t>
      </w:r>
      <w:r w:rsidRPr="002069C6">
        <w:rPr>
          <w:rFonts w:ascii="Verdana" w:eastAsia="Calibri" w:hAnsi="Verdana" w:cs="Arial"/>
          <w:color w:val="000000" w:themeColor="text1"/>
          <w:lang w:val="es-ES" w:eastAsia="es-ES"/>
        </w:rPr>
        <w:t xml:space="preserve"> </w:t>
      </w:r>
    </w:p>
    <w:p w14:paraId="71F3301F" w14:textId="77777777" w:rsidR="001A4A08" w:rsidRPr="002069C6" w:rsidRDefault="001A4A08" w:rsidP="001A4A08">
      <w:pPr>
        <w:spacing w:after="0" w:line="276" w:lineRule="auto"/>
        <w:jc w:val="both"/>
        <w:rPr>
          <w:rFonts w:ascii="Verdana" w:eastAsia="Calibri" w:hAnsi="Verdana" w:cs="Arial"/>
          <w:color w:val="000000" w:themeColor="text1"/>
          <w:lang w:val="es-ES" w:eastAsia="es-ES"/>
        </w:rPr>
      </w:pPr>
    </w:p>
    <w:p w14:paraId="198A1983" w14:textId="039F941C" w:rsidR="001A4A08" w:rsidRPr="00C3088F" w:rsidRDefault="001A4A08" w:rsidP="001A4A08">
      <w:pPr>
        <w:spacing w:after="0"/>
        <w:ind w:left="720" w:right="709"/>
        <w:jc w:val="both"/>
        <w:rPr>
          <w:rFonts w:ascii="Verdana" w:eastAsia="Century Gothic" w:hAnsi="Verdana" w:cs="Century Gothic"/>
          <w:color w:val="000000" w:themeColor="text1"/>
          <w:sz w:val="20"/>
          <w:szCs w:val="20"/>
          <w:lang w:val="es-ES"/>
        </w:rPr>
      </w:pPr>
      <w:r w:rsidRPr="00C3088F">
        <w:rPr>
          <w:rFonts w:ascii="Verdana" w:eastAsia="Century Gothic" w:hAnsi="Verdana" w:cs="Century Gothic"/>
          <w:color w:val="000000" w:themeColor="text1"/>
          <w:sz w:val="20"/>
          <w:szCs w:val="20"/>
          <w:lang w:val="es-ES"/>
        </w:rPr>
        <w:t>“</w:t>
      </w:r>
      <w:r w:rsidR="00F52793">
        <w:rPr>
          <w:rFonts w:ascii="Verdana" w:eastAsia="Century Gothic" w:hAnsi="Verdana" w:cs="Century Gothic"/>
          <w:color w:val="000000" w:themeColor="text1"/>
          <w:sz w:val="20"/>
          <w:szCs w:val="20"/>
          <w:lang w:val="es-ES"/>
        </w:rPr>
        <w:t xml:space="preserve">[…] </w:t>
      </w:r>
      <w:proofErr w:type="gramStart"/>
      <w:r>
        <w:rPr>
          <w:rFonts w:ascii="Verdana" w:eastAsia="Century Gothic" w:hAnsi="Verdana" w:cs="Century Gothic"/>
          <w:color w:val="000000" w:themeColor="text1"/>
          <w:sz w:val="20"/>
          <w:szCs w:val="20"/>
          <w:lang w:val="es-ES"/>
        </w:rPr>
        <w:t>1.</w:t>
      </w:r>
      <w:r w:rsidRPr="00C3088F">
        <w:rPr>
          <w:rFonts w:ascii="Verdana" w:eastAsia="Century Gothic" w:hAnsi="Verdana" w:cs="Century Gothic"/>
          <w:color w:val="000000" w:themeColor="text1"/>
          <w:sz w:val="20"/>
          <w:szCs w:val="20"/>
          <w:lang w:val="es-ES"/>
        </w:rPr>
        <w:t>[</w:t>
      </w:r>
      <w:proofErr w:type="gramEnd"/>
      <w:r w:rsidRPr="00C3088F">
        <w:rPr>
          <w:rFonts w:ascii="Verdana" w:eastAsia="Century Gothic" w:hAnsi="Verdana" w:cs="Century Gothic"/>
          <w:color w:val="000000" w:themeColor="text1"/>
          <w:sz w:val="20"/>
          <w:szCs w:val="20"/>
          <w:lang w:val="es-ES"/>
        </w:rPr>
        <w:t>…] que remita y/o conceptúa (interpretación en abstracto), sobre la contratación que realizan las entidades públicas territoriales (alcaldías) con Entidades Privadas sin Ánimo de Lucro (ESAL), en los siguientes puntos:</w:t>
      </w:r>
    </w:p>
    <w:p w14:paraId="620180FE" w14:textId="77777777" w:rsidR="001A4A08" w:rsidRPr="00C3088F" w:rsidRDefault="001A4A08" w:rsidP="001A4A08">
      <w:pPr>
        <w:spacing w:after="0"/>
        <w:ind w:left="720" w:right="709"/>
        <w:jc w:val="both"/>
        <w:rPr>
          <w:rFonts w:ascii="Verdana" w:eastAsia="Century Gothic" w:hAnsi="Verdana" w:cs="Century Gothic"/>
          <w:color w:val="000000" w:themeColor="text1"/>
          <w:sz w:val="20"/>
          <w:szCs w:val="20"/>
          <w:lang w:val="es-ES"/>
        </w:rPr>
      </w:pPr>
      <w:r w:rsidRPr="00C3088F">
        <w:rPr>
          <w:rFonts w:ascii="Verdana" w:eastAsia="Century Gothic" w:hAnsi="Verdana" w:cs="Century Gothic"/>
          <w:color w:val="000000" w:themeColor="text1"/>
          <w:sz w:val="20"/>
          <w:szCs w:val="20"/>
          <w:lang w:val="es-ES"/>
        </w:rPr>
        <w:t xml:space="preserve">2.1 Si las entidades públicas territoriales (alcaldías), deberían seguir el proceso general para la contratación con entidades sin ánimo de lucro </w:t>
      </w:r>
      <w:r w:rsidRPr="00C3088F">
        <w:rPr>
          <w:rFonts w:ascii="Verdana" w:eastAsia="Century Gothic" w:hAnsi="Verdana" w:cs="Century Gothic"/>
          <w:color w:val="000000" w:themeColor="text1"/>
          <w:sz w:val="20"/>
          <w:szCs w:val="20"/>
          <w:lang w:val="es-ES"/>
        </w:rPr>
        <w:lastRenderedPageBreak/>
        <w:t>(ESA), regulado por el Decreto 092 de 2017, para la contratación con Centros de Bienestar del anciano y Centros Vida, a fin de garantizar el bienestar de los adultos mayores.</w:t>
      </w:r>
    </w:p>
    <w:p w14:paraId="6EBE7845" w14:textId="77777777" w:rsidR="001A4A08" w:rsidRPr="00C3088F" w:rsidRDefault="001A4A08" w:rsidP="001A4A08">
      <w:pPr>
        <w:spacing w:after="0"/>
        <w:ind w:left="720" w:right="709"/>
        <w:jc w:val="both"/>
        <w:rPr>
          <w:rFonts w:ascii="Verdana" w:eastAsia="Century Gothic" w:hAnsi="Verdana" w:cs="Century Gothic"/>
          <w:color w:val="000000" w:themeColor="text1"/>
          <w:sz w:val="20"/>
          <w:szCs w:val="20"/>
          <w:lang w:val="es-ES"/>
        </w:rPr>
      </w:pPr>
      <w:r w:rsidRPr="00C3088F">
        <w:rPr>
          <w:rFonts w:ascii="Verdana" w:eastAsia="Century Gothic" w:hAnsi="Verdana" w:cs="Century Gothic"/>
          <w:color w:val="000000" w:themeColor="text1"/>
          <w:sz w:val="20"/>
          <w:szCs w:val="20"/>
          <w:lang w:val="es-ES"/>
        </w:rPr>
        <w:t>2.2. Si el Decreto 092 de 2017 establece excepciones a su aplicación</w:t>
      </w:r>
    </w:p>
    <w:p w14:paraId="1C18F3C4" w14:textId="77777777" w:rsidR="001A4A08" w:rsidRPr="00C3088F" w:rsidRDefault="001A4A08" w:rsidP="001A4A08">
      <w:pPr>
        <w:spacing w:after="0"/>
        <w:ind w:left="720" w:right="709"/>
        <w:jc w:val="both"/>
        <w:rPr>
          <w:rFonts w:ascii="Verdana" w:eastAsia="Century Gothic" w:hAnsi="Verdana" w:cs="Century Gothic"/>
          <w:color w:val="000000" w:themeColor="text1"/>
          <w:sz w:val="20"/>
          <w:szCs w:val="20"/>
          <w:lang w:val="es-ES"/>
        </w:rPr>
      </w:pPr>
      <w:r w:rsidRPr="00C3088F">
        <w:rPr>
          <w:rFonts w:ascii="Verdana" w:eastAsia="Century Gothic" w:hAnsi="Verdana" w:cs="Century Gothic"/>
          <w:color w:val="000000" w:themeColor="text1"/>
          <w:sz w:val="20"/>
          <w:szCs w:val="20"/>
          <w:lang w:val="es-ES"/>
        </w:rPr>
        <w:t>¿Cuáles son esas excepciones?</w:t>
      </w:r>
    </w:p>
    <w:p w14:paraId="044C740F" w14:textId="77777777" w:rsidR="001A4A08" w:rsidRPr="00C3088F" w:rsidRDefault="001A4A08" w:rsidP="001A4A08">
      <w:pPr>
        <w:spacing w:after="0"/>
        <w:ind w:left="720" w:right="709"/>
        <w:jc w:val="both"/>
        <w:rPr>
          <w:rFonts w:ascii="Verdana" w:eastAsia="Century Gothic" w:hAnsi="Verdana" w:cs="Century Gothic"/>
          <w:color w:val="000000" w:themeColor="text1"/>
          <w:sz w:val="20"/>
          <w:szCs w:val="20"/>
          <w:lang w:val="es-ES"/>
        </w:rPr>
      </w:pPr>
      <w:r w:rsidRPr="00C3088F">
        <w:rPr>
          <w:rFonts w:ascii="Verdana" w:eastAsia="Century Gothic" w:hAnsi="Verdana" w:cs="Century Gothic"/>
          <w:color w:val="000000" w:themeColor="text1"/>
          <w:sz w:val="20"/>
          <w:szCs w:val="20"/>
          <w:lang w:val="es-ES"/>
        </w:rPr>
        <w:t>¿Si una de ellas es cuando existe norma especial?; y</w:t>
      </w:r>
    </w:p>
    <w:p w14:paraId="040D0C5D" w14:textId="77777777" w:rsidR="001A4A08" w:rsidRPr="00C3088F" w:rsidRDefault="001A4A08" w:rsidP="001A4A08">
      <w:pPr>
        <w:spacing w:after="0"/>
        <w:ind w:left="720" w:right="709"/>
        <w:jc w:val="both"/>
        <w:rPr>
          <w:rFonts w:ascii="Verdana" w:eastAsia="Century Gothic" w:hAnsi="Verdana" w:cs="Century Gothic"/>
          <w:color w:val="000000" w:themeColor="text1"/>
          <w:sz w:val="20"/>
          <w:szCs w:val="20"/>
          <w:lang w:val="es-ES"/>
        </w:rPr>
      </w:pPr>
      <w:r w:rsidRPr="00C3088F">
        <w:rPr>
          <w:rFonts w:ascii="Verdana" w:eastAsia="Century Gothic" w:hAnsi="Verdana" w:cs="Century Gothic"/>
          <w:color w:val="000000" w:themeColor="text1"/>
          <w:sz w:val="20"/>
          <w:szCs w:val="20"/>
          <w:lang w:val="es-ES"/>
        </w:rPr>
        <w:t xml:space="preserve">¿Si la Ley 1276 de 2009, </w:t>
      </w:r>
      <w:proofErr w:type="gramStart"/>
      <w:r w:rsidRPr="00C3088F">
        <w:rPr>
          <w:rFonts w:ascii="Verdana" w:eastAsia="Century Gothic" w:hAnsi="Verdana" w:cs="Century Gothic"/>
          <w:color w:val="000000" w:themeColor="text1"/>
          <w:sz w:val="20"/>
          <w:szCs w:val="20"/>
          <w:lang w:val="es-ES"/>
        </w:rPr>
        <w:t>“  través</w:t>
      </w:r>
      <w:proofErr w:type="gramEnd"/>
      <w:r w:rsidRPr="00C3088F">
        <w:rPr>
          <w:rFonts w:ascii="Verdana" w:eastAsia="Century Gothic" w:hAnsi="Verdana" w:cs="Century Gothic"/>
          <w:color w:val="000000" w:themeColor="text1"/>
          <w:sz w:val="20"/>
          <w:szCs w:val="20"/>
          <w:lang w:val="es-ES"/>
        </w:rPr>
        <w:t xml:space="preserve"> de la cual se modifica la Ley 687 del 15 de agosto de 2001 y se establecen nuevos criterios de atención integral del adulto mayor en los centros vida”, exime a los convenios con Centros de Bienestar del Anciano y Centros Vida, de la aplicación del Decreto 092 de 2017? […]”</w:t>
      </w:r>
    </w:p>
    <w:p w14:paraId="03A00602" w14:textId="77777777" w:rsidR="001A4A08" w:rsidRPr="00265AA3" w:rsidRDefault="001A4A08" w:rsidP="001A4A08">
      <w:pPr>
        <w:spacing w:after="0"/>
        <w:ind w:left="709" w:right="709"/>
        <w:jc w:val="both"/>
        <w:rPr>
          <w:rFonts w:ascii="Verdana" w:eastAsia="Century Gothic" w:hAnsi="Verdana" w:cs="Century Gothic"/>
          <w:i/>
          <w:iCs/>
          <w:color w:val="000000" w:themeColor="text1"/>
          <w:sz w:val="20"/>
          <w:szCs w:val="20"/>
        </w:rPr>
      </w:pPr>
    </w:p>
    <w:p w14:paraId="2D133360" w14:textId="77777777" w:rsidR="001A4A08" w:rsidRPr="000B43B3" w:rsidRDefault="001A4A08" w:rsidP="001A4A08">
      <w:pPr>
        <w:spacing w:after="120" w:line="276" w:lineRule="auto"/>
        <w:ind w:firstLine="708"/>
        <w:jc w:val="both"/>
        <w:rPr>
          <w:rFonts w:ascii="Verdana" w:hAnsi="Verdana" w:cs="Arial"/>
          <w:lang w:val="es-ES"/>
        </w:rPr>
      </w:pPr>
      <w:bookmarkStart w:id="2" w:name="_Hlk135067441"/>
      <w:r w:rsidRPr="000B43B3">
        <w:rPr>
          <w:rFonts w:ascii="Verdana" w:hAnsi="Verdana" w:cs="Arial"/>
          <w:bCs/>
        </w:rPr>
        <w:t xml:space="preserve">En ejercicio de las competencias de los artículos 3.5 y 11.8 del Decreto Ley 4170 de 2011, la Agencia Nacional de Contratación Pública – Colombia Compra Eficiente resuelve consultas sobre </w:t>
      </w:r>
      <w:r w:rsidRPr="000B43B3">
        <w:rPr>
          <w:rFonts w:ascii="Verdana" w:hAnsi="Verdana" w:cs="Arial"/>
          <w:lang w:val="es-ES"/>
        </w:rPr>
        <w:t>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w:t>
      </w:r>
      <w:r w:rsidRPr="000B43B3">
        <w:rPr>
          <w:rFonts w:ascii="Verdana" w:hAnsi="Verdana" w:cs="Arial"/>
          <w:bCs/>
        </w:rPr>
        <w:t xml:space="preserve"> de todos los partícipes de la contratación estatal.</w:t>
      </w:r>
    </w:p>
    <w:p w14:paraId="54A6A9A3" w14:textId="77777777" w:rsidR="001A4A08" w:rsidRDefault="001A4A08" w:rsidP="001A4A08">
      <w:pPr>
        <w:spacing w:after="120" w:line="276" w:lineRule="auto"/>
        <w:ind w:firstLine="708"/>
        <w:jc w:val="both"/>
        <w:rPr>
          <w:rFonts w:ascii="Verdana" w:hAnsi="Verdana" w:cs="Arial"/>
          <w:lang w:val="es-ES"/>
        </w:rPr>
      </w:pPr>
      <w:r w:rsidRPr="000B43B3">
        <w:rPr>
          <w:rFonts w:ascii="Verdana" w:hAnsi="Verdana"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0B43B3">
        <w:rPr>
          <w:rFonts w:ascii="Verdana" w:hAnsi="Verdana" w:cs="Arial"/>
          <w:vertAlign w:val="superscript"/>
          <w:lang w:val="es-ES"/>
        </w:rPr>
        <w:footnoteReference w:id="2"/>
      </w:r>
      <w:r w:rsidRPr="000B43B3">
        <w:rPr>
          <w:rFonts w:ascii="Verdana" w:hAnsi="Verdana" w:cs="Arial"/>
          <w:lang w:val="es-ES"/>
        </w:rPr>
        <w:t>. Esta competencia de interpretación de normas generales, por definición, no puede extenderse a la resolución de controversias, enjuiciar la validez de la actuación de las entidades públicas o de los particulares ni, mucho menos, calificar conductas con presunta incidencia penal, fiscal o disciplinaria, especialmente, cuando existen órganos especializados para estas materias.</w:t>
      </w:r>
      <w:bookmarkEnd w:id="2"/>
    </w:p>
    <w:p w14:paraId="18C6C229" w14:textId="77777777" w:rsidR="001A4A08" w:rsidRDefault="001A4A08" w:rsidP="001A4A08">
      <w:pPr>
        <w:spacing w:after="0" w:line="276" w:lineRule="auto"/>
        <w:ind w:firstLine="709"/>
        <w:jc w:val="both"/>
        <w:rPr>
          <w:rFonts w:ascii="Verdana" w:eastAsia="Calibri" w:hAnsi="Verdana" w:cs="Arial"/>
          <w:color w:val="000000"/>
          <w:lang w:val="es-ES" w:eastAsia="es-ES"/>
        </w:rPr>
      </w:pPr>
      <w:r w:rsidRPr="00E829B8">
        <w:rPr>
          <w:rFonts w:ascii="Verdana" w:hAnsi="Verdana" w:cs="Arial"/>
          <w:bCs/>
          <w:color w:val="1A1A1A" w:themeColor="background1" w:themeShade="1A"/>
        </w:rPr>
        <w:t xml:space="preserve">Para efectos disciplinarios, el artículo 177 de la Ley 1952 de 2019 permite dictámenes periciales sólo respecto a asuntos técnicos, científicos o artísticos. </w:t>
      </w:r>
      <w:r w:rsidRPr="00E829B8">
        <w:rPr>
          <w:rFonts w:ascii="Verdana" w:hAnsi="Verdana" w:cs="Arial"/>
          <w:bCs/>
          <w:color w:val="1A1A1A" w:themeColor="background1" w:themeShade="1A"/>
        </w:rPr>
        <w:lastRenderedPageBreak/>
        <w:t>Ello es congruente con el inciso 3 del artículo 226 del Código General del Proceso, el cual establece expresamente que “No serán admisibles los dictámenes periciales que versen sobre puntos de derecho”. En este contexto, lo decidido en torno al proceso disciplinario del expediente</w:t>
      </w:r>
      <w:r>
        <w:rPr>
          <w:rFonts w:ascii="Verdana" w:hAnsi="Verdana" w:cs="Arial"/>
          <w:bCs/>
          <w:color w:val="1A1A1A" w:themeColor="background1" w:themeShade="1A"/>
        </w:rPr>
        <w:t xml:space="preserve"> </w:t>
      </w:r>
      <w:r w:rsidRPr="00E829B8">
        <w:rPr>
          <w:rFonts w:ascii="Verdana" w:hAnsi="Verdana" w:cs="Arial"/>
          <w:bCs/>
          <w:color w:val="1A1A1A" w:themeColor="background1" w:themeShade="1A"/>
        </w:rPr>
        <w:t>IUC-D-2025-4131077</w:t>
      </w:r>
      <w:r>
        <w:rPr>
          <w:rFonts w:ascii="Verdana" w:hAnsi="Verdana" w:cs="Arial"/>
          <w:bCs/>
          <w:color w:val="1A1A1A" w:themeColor="background1" w:themeShade="1A"/>
        </w:rPr>
        <w:t xml:space="preserve"> </w:t>
      </w:r>
      <w:r w:rsidRPr="00E829B8">
        <w:rPr>
          <w:rFonts w:ascii="Verdana" w:hAnsi="Verdana" w:cs="Arial"/>
          <w:bCs/>
          <w:color w:val="1A1A1A" w:themeColor="background1" w:themeShade="1A"/>
        </w:rPr>
        <w:t>es responsabilidad única y exclusiva de la</w:t>
      </w:r>
      <w:r>
        <w:rPr>
          <w:rFonts w:ascii="Verdana" w:hAnsi="Verdana" w:cs="Arial"/>
          <w:bCs/>
          <w:color w:val="1A1A1A" w:themeColor="background1" w:themeShade="1A"/>
        </w:rPr>
        <w:t xml:space="preserve"> </w:t>
      </w:r>
      <w:r w:rsidRPr="00E829B8">
        <w:rPr>
          <w:rFonts w:ascii="Verdana" w:hAnsi="Verdana" w:cs="Arial"/>
          <w:bCs/>
          <w:color w:val="1A1A1A" w:themeColor="background1" w:themeShade="1A"/>
        </w:rPr>
        <w:t>Procurad</w:t>
      </w:r>
      <w:r>
        <w:rPr>
          <w:rFonts w:ascii="Verdana" w:hAnsi="Verdana" w:cs="Arial"/>
          <w:bCs/>
          <w:color w:val="1A1A1A" w:themeColor="background1" w:themeShade="1A"/>
        </w:rPr>
        <w:t>uría</w:t>
      </w:r>
      <w:r w:rsidRPr="00E829B8">
        <w:rPr>
          <w:rFonts w:ascii="Verdana" w:hAnsi="Verdana" w:cs="Arial"/>
          <w:bCs/>
          <w:color w:val="1A1A1A" w:themeColor="background1" w:themeShade="1A"/>
        </w:rPr>
        <w:t xml:space="preserve"> Provincial de Instrucción de Vélez. Sin perjuicio de lo anterior, la Agencia –dentro de los límites de sus atribuciones, esto es, al margen de las conductas investigadas en el expediente anteriormente citado– resolverá la consulta conforme a las normas generales del sistema de compras públicas.   </w:t>
      </w:r>
      <w:r w:rsidRPr="000B43B3">
        <w:rPr>
          <w:rFonts w:ascii="Verdana" w:eastAsia="Calibri" w:hAnsi="Verdana" w:cs="Arial"/>
          <w:lang w:val="es-ES" w:eastAsia="es-ES"/>
        </w:rPr>
        <w:t xml:space="preserve"> </w:t>
      </w:r>
      <w:r w:rsidRPr="00593A5F">
        <w:rPr>
          <w:rFonts w:ascii="Verdana" w:eastAsia="Calibri" w:hAnsi="Verdana" w:cs="Arial"/>
          <w:color w:val="000000"/>
          <w:lang w:val="es-ES" w:eastAsia="es-ES"/>
        </w:rPr>
        <w:t xml:space="preserve"> </w:t>
      </w:r>
    </w:p>
    <w:p w14:paraId="1C13609C" w14:textId="77777777" w:rsidR="001A4A08" w:rsidRPr="002069C6" w:rsidRDefault="001A4A08" w:rsidP="001A4A08">
      <w:pPr>
        <w:spacing w:after="0" w:line="276" w:lineRule="auto"/>
        <w:jc w:val="both"/>
        <w:rPr>
          <w:rFonts w:ascii="Verdana" w:eastAsia="Calibri" w:hAnsi="Verdana" w:cs="Arial"/>
          <w:color w:val="000000" w:themeColor="text1"/>
          <w:lang w:val="es-ES" w:eastAsia="es-ES"/>
        </w:rPr>
      </w:pPr>
    </w:p>
    <w:p w14:paraId="2E6DFF9D" w14:textId="77777777" w:rsidR="001A4A08" w:rsidRPr="002069C6" w:rsidRDefault="001A4A08" w:rsidP="001A4A0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Problema planteado:</w:t>
      </w:r>
    </w:p>
    <w:p w14:paraId="4CF3F3B0" w14:textId="77777777" w:rsidR="001A4A08" w:rsidRPr="002069C6" w:rsidRDefault="001A4A08" w:rsidP="001A4A08">
      <w:pPr>
        <w:tabs>
          <w:tab w:val="left" w:pos="426"/>
        </w:tabs>
        <w:spacing w:after="0" w:line="276" w:lineRule="auto"/>
        <w:jc w:val="both"/>
        <w:rPr>
          <w:rFonts w:ascii="Verdana" w:eastAsia="Century Gothic" w:hAnsi="Verdana" w:cs="Century Gothic"/>
          <w:color w:val="000000" w:themeColor="text1"/>
          <w:lang w:val="es-ES"/>
        </w:rPr>
      </w:pPr>
    </w:p>
    <w:p w14:paraId="45D895FB" w14:textId="77777777" w:rsidR="001A4A08" w:rsidRPr="002069C6" w:rsidRDefault="001A4A08" w:rsidP="001A4A08">
      <w:pPr>
        <w:spacing w:after="0" w:line="276" w:lineRule="auto"/>
        <w:jc w:val="both"/>
        <w:rPr>
          <w:rFonts w:ascii="Verdana" w:eastAsia="Century Gothic" w:hAnsi="Verdana" w:cs="Century Gothic"/>
          <w:color w:val="000000" w:themeColor="text1"/>
          <w:lang w:val="es-ES"/>
        </w:rPr>
      </w:pPr>
      <w:r w:rsidRPr="002069C6">
        <w:rPr>
          <w:rFonts w:ascii="Verdana" w:eastAsia="Century Gothic" w:hAnsi="Verdana" w:cs="Century Gothic"/>
          <w:color w:val="000000" w:themeColor="text1"/>
          <w:lang w:val="es-ES"/>
        </w:rPr>
        <w:t xml:space="preserve">De acuerdo con el contenido de su solicitud, esta Agencia resolverá </w:t>
      </w:r>
      <w:r>
        <w:rPr>
          <w:rFonts w:ascii="Verdana" w:eastAsia="Century Gothic" w:hAnsi="Verdana" w:cs="Century Gothic"/>
          <w:color w:val="000000" w:themeColor="text1"/>
          <w:lang w:val="es-ES"/>
        </w:rPr>
        <w:t>el</w:t>
      </w:r>
      <w:r w:rsidRPr="002069C6">
        <w:rPr>
          <w:rFonts w:ascii="Verdana" w:eastAsia="Century Gothic" w:hAnsi="Verdana" w:cs="Century Gothic"/>
          <w:color w:val="000000" w:themeColor="text1"/>
          <w:lang w:val="es-ES"/>
        </w:rPr>
        <w:t xml:space="preserve"> siguiente problema jurídico:</w:t>
      </w:r>
      <w:r w:rsidRPr="0091761F">
        <w:rPr>
          <w:rFonts w:ascii="Verdana" w:eastAsia="Century Gothic" w:hAnsi="Verdana" w:cs="Century Gothic"/>
        </w:rPr>
        <w:t xml:space="preserve"> </w:t>
      </w:r>
      <w:r w:rsidRPr="003A59CD">
        <w:rPr>
          <w:rFonts w:ascii="Verdana" w:eastAsia="Century Gothic" w:hAnsi="Verdana" w:cs="Century Gothic"/>
        </w:rPr>
        <w:t xml:space="preserve">¿cuál es régimen </w:t>
      </w:r>
      <w:r>
        <w:rPr>
          <w:rFonts w:ascii="Verdana" w:eastAsia="Century Gothic" w:hAnsi="Verdana" w:cs="Century Gothic"/>
        </w:rPr>
        <w:t xml:space="preserve">contractual </w:t>
      </w:r>
      <w:r w:rsidRPr="003A59CD">
        <w:rPr>
          <w:rFonts w:ascii="Verdana" w:eastAsia="Century Gothic" w:hAnsi="Verdana" w:cs="Century Gothic"/>
        </w:rPr>
        <w:t xml:space="preserve">aplicable </w:t>
      </w:r>
      <w:r>
        <w:rPr>
          <w:rFonts w:ascii="Verdana" w:eastAsia="Century Gothic" w:hAnsi="Verdana" w:cs="Century Gothic"/>
        </w:rPr>
        <w:t xml:space="preserve">para la celebración de convenios </w:t>
      </w:r>
      <w:r w:rsidRPr="00FE0D78">
        <w:rPr>
          <w:rFonts w:ascii="Verdana" w:eastAsia="Century Gothic" w:hAnsi="Verdana" w:cs="Century Gothic"/>
        </w:rPr>
        <w:t xml:space="preserve">para el manejo de los Centros Vida, </w:t>
      </w:r>
      <w:proofErr w:type="gramStart"/>
      <w:r w:rsidRPr="00FE0D78">
        <w:rPr>
          <w:rFonts w:ascii="Verdana" w:eastAsia="Century Gothic" w:hAnsi="Verdana" w:cs="Century Gothic"/>
        </w:rPr>
        <w:t>Centros de Bienestar del Anciano y Granjas para adulto mayor</w:t>
      </w:r>
      <w:r>
        <w:rPr>
          <w:rFonts w:ascii="Verdana" w:eastAsia="Century Gothic" w:hAnsi="Verdana" w:cs="Century Gothic"/>
        </w:rPr>
        <w:t xml:space="preserve"> de que trata el parágrafo del artículo 5 de la Ley 687 de 2001, modificado por el artículo 8 de la Ley 1276 de 2009 y por el artículo 16 de la Ley 1850 de 2017</w:t>
      </w:r>
      <w:r w:rsidRPr="003A59CD">
        <w:rPr>
          <w:rFonts w:ascii="Verdana" w:eastAsia="Century Gothic" w:hAnsi="Verdana" w:cs="Century Gothic"/>
        </w:rPr>
        <w:t>?</w:t>
      </w:r>
      <w:proofErr w:type="gramEnd"/>
      <w:r w:rsidRPr="00593A5F">
        <w:rPr>
          <w:rFonts w:ascii="Verdana" w:eastAsia="Century Gothic" w:hAnsi="Verdana" w:cs="Century Gothic"/>
        </w:rPr>
        <w:t xml:space="preserve"> </w:t>
      </w:r>
    </w:p>
    <w:p w14:paraId="20FE9F5E" w14:textId="77777777" w:rsidR="001A4A08" w:rsidRPr="002069C6" w:rsidRDefault="001A4A08" w:rsidP="001A4A08">
      <w:pPr>
        <w:spacing w:after="0" w:line="276" w:lineRule="auto"/>
        <w:jc w:val="both"/>
        <w:rPr>
          <w:rFonts w:ascii="Verdana" w:eastAsia="Calibri" w:hAnsi="Verdana" w:cs="Arial"/>
          <w:color w:val="000000" w:themeColor="text1"/>
          <w:lang w:val="es-ES"/>
        </w:rPr>
      </w:pPr>
    </w:p>
    <w:p w14:paraId="6334A32D" w14:textId="77777777" w:rsidR="001A4A08" w:rsidRPr="002069C6" w:rsidRDefault="001A4A08" w:rsidP="001A4A0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Respuesta:</w:t>
      </w:r>
    </w:p>
    <w:p w14:paraId="7564E0DE" w14:textId="77777777" w:rsidR="001A4A08" w:rsidRPr="002069C6" w:rsidRDefault="001A4A08" w:rsidP="001A4A08">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A4A08" w:rsidRPr="002069C6" w14:paraId="0651A44E" w14:textId="77777777" w:rsidTr="0014227E">
        <w:tc>
          <w:tcPr>
            <w:tcW w:w="8828" w:type="dxa"/>
          </w:tcPr>
          <w:p w14:paraId="3A139797" w14:textId="77777777" w:rsidR="001A4A08" w:rsidRPr="00997F63" w:rsidRDefault="001A4A08" w:rsidP="0014227E">
            <w:pPr>
              <w:spacing w:before="120" w:after="120" w:line="276" w:lineRule="auto"/>
              <w:jc w:val="both"/>
              <w:rPr>
                <w:rFonts w:ascii="Verdana" w:eastAsia="Calibri" w:hAnsi="Verdana" w:cs="Arial"/>
                <w:color w:val="000000" w:themeColor="text1"/>
                <w:lang w:eastAsia="es-ES"/>
              </w:rPr>
            </w:pPr>
            <w:r w:rsidRPr="00E829B8">
              <w:rPr>
                <w:rFonts w:ascii="Verdana" w:eastAsia="Calibri" w:hAnsi="Verdana" w:cs="Arial"/>
                <w:color w:val="000000" w:themeColor="text1"/>
                <w:lang w:val="es-ES" w:eastAsia="es-ES"/>
              </w:rPr>
              <w:t>Conforme a la interpretación general de las normas del sistema de compras públicas,</w:t>
            </w:r>
            <w:r>
              <w:rPr>
                <w:rFonts w:ascii="Verdana" w:eastAsia="Calibri" w:hAnsi="Verdana" w:cs="Arial"/>
                <w:color w:val="000000" w:themeColor="text1"/>
                <w:lang w:val="es-ES" w:eastAsia="es-ES"/>
              </w:rPr>
              <w:t xml:space="preserve"> </w:t>
            </w:r>
            <w:r w:rsidRPr="00997F63">
              <w:rPr>
                <w:rFonts w:ascii="Verdana" w:eastAsia="Calibri" w:hAnsi="Verdana" w:cs="Arial"/>
                <w:color w:val="000000" w:themeColor="text1"/>
                <w:lang w:eastAsia="es-ES"/>
              </w:rPr>
              <w:t xml:space="preserve">los convenios que pueden celebrar los departamentos, distritos y municipios en los términos del artículo 8 de la Ley 1276 de 2009, modificado por el artículo 16 de la Ley 1850 de 2017, están regulados por el </w:t>
            </w:r>
            <w:r w:rsidRPr="00997F63">
              <w:rPr>
                <w:rFonts w:ascii="Verdana" w:eastAsia="Calibri" w:hAnsi="Verdana" w:cs="Arial"/>
                <w:color w:val="000000" w:themeColor="text1"/>
                <w:lang w:val="es-MX" w:eastAsia="es-ES"/>
              </w:rPr>
              <w:t>EGCAP</w:t>
            </w:r>
            <w:r w:rsidRPr="00997F63">
              <w:rPr>
                <w:rFonts w:ascii="Verdana" w:eastAsia="Calibri" w:hAnsi="Verdana" w:cs="Arial"/>
                <w:color w:val="000000" w:themeColor="text1"/>
                <w:lang w:eastAsia="es-ES"/>
              </w:rPr>
              <w:t xml:space="preserve">, esto es, por la Ley 80 de 1993 y todas sus normas complementarias y reglamentarias. Eventualmente, estos convenios pueden estar regulados por las disposiciones especiales contenidas en el Decreto 092 del 2017, siempre que se den las condiciones para el efecto, esto es, que los convenios se celebren con entidades sin ánimo de lucro para los fines previstos en dicha norma. </w:t>
            </w:r>
          </w:p>
          <w:p w14:paraId="1CAB47E9" w14:textId="77777777" w:rsidR="001A4A08" w:rsidRPr="00997F63" w:rsidRDefault="001A4A08" w:rsidP="0014227E">
            <w:pPr>
              <w:spacing w:after="120" w:line="276" w:lineRule="auto"/>
              <w:ind w:firstLine="737"/>
              <w:jc w:val="both"/>
              <w:rPr>
                <w:rFonts w:ascii="Verdana" w:eastAsia="Calibri" w:hAnsi="Verdana" w:cs="Arial"/>
                <w:color w:val="000000" w:themeColor="text1"/>
                <w:lang w:eastAsia="es-ES"/>
              </w:rPr>
            </w:pPr>
            <w:r w:rsidRPr="00997F63">
              <w:rPr>
                <w:rFonts w:ascii="Verdana" w:eastAsia="Calibri" w:hAnsi="Verdana" w:cs="Arial"/>
                <w:color w:val="000000" w:themeColor="text1"/>
                <w:lang w:eastAsia="es-ES"/>
              </w:rPr>
              <w:t>En este punto, es necesario realizar dos (2) precisiones</w:t>
            </w:r>
            <w:r>
              <w:rPr>
                <w:rFonts w:ascii="Verdana" w:eastAsia="Calibri" w:hAnsi="Verdana" w:cs="Arial"/>
                <w:color w:val="000000" w:themeColor="text1"/>
                <w:lang w:eastAsia="es-ES"/>
              </w:rPr>
              <w:t>.</w:t>
            </w:r>
            <w:r w:rsidRPr="00997F63">
              <w:rPr>
                <w:rFonts w:ascii="Verdana" w:eastAsia="Calibri" w:hAnsi="Verdana" w:cs="Arial"/>
                <w:color w:val="000000" w:themeColor="text1"/>
                <w:lang w:eastAsia="es-ES"/>
              </w:rPr>
              <w:t xml:space="preserve"> E</w:t>
            </w:r>
            <w:r w:rsidRPr="00997F63">
              <w:rPr>
                <w:rFonts w:ascii="Verdana" w:eastAsia="Calibri" w:hAnsi="Verdana" w:cs="Arial"/>
                <w:i/>
                <w:iCs/>
                <w:color w:val="000000" w:themeColor="text1"/>
                <w:lang w:eastAsia="es-ES"/>
              </w:rPr>
              <w:t>n primer lugar</w:t>
            </w:r>
            <w:r w:rsidRPr="00997F63">
              <w:rPr>
                <w:rFonts w:ascii="Verdana" w:eastAsia="Calibri" w:hAnsi="Verdana" w:cs="Arial"/>
                <w:color w:val="000000" w:themeColor="text1"/>
                <w:lang w:eastAsia="es-ES"/>
              </w:rPr>
              <w:t>, los convenios de que trata el artículo 8 de la Ley 1276 de 2009, modificado por el artículo 16 de la Ley 1850 de 2017</w:t>
            </w:r>
            <w:r>
              <w:rPr>
                <w:rFonts w:ascii="Verdana" w:eastAsia="Calibri" w:hAnsi="Verdana" w:cs="Arial"/>
                <w:color w:val="000000" w:themeColor="text1"/>
                <w:lang w:eastAsia="es-ES"/>
              </w:rPr>
              <w:t>,</w:t>
            </w:r>
            <w:r w:rsidRPr="00997F63">
              <w:rPr>
                <w:rFonts w:ascii="Verdana" w:eastAsia="Calibri" w:hAnsi="Verdana" w:cs="Arial"/>
                <w:color w:val="000000" w:themeColor="text1"/>
                <w:lang w:eastAsia="es-ES"/>
              </w:rPr>
              <w:t xml:space="preserve"> no </w:t>
            </w:r>
            <w:r>
              <w:rPr>
                <w:rFonts w:ascii="Verdana" w:eastAsia="Calibri" w:hAnsi="Verdana" w:cs="Arial"/>
                <w:color w:val="000000" w:themeColor="text1"/>
                <w:lang w:eastAsia="es-ES"/>
              </w:rPr>
              <w:t xml:space="preserve">se rigen </w:t>
            </w:r>
            <w:r w:rsidRPr="00997F63">
              <w:rPr>
                <w:rFonts w:ascii="Verdana" w:eastAsia="Calibri" w:hAnsi="Verdana" w:cs="Arial"/>
                <w:color w:val="000000" w:themeColor="text1"/>
                <w:lang w:eastAsia="es-ES"/>
              </w:rPr>
              <w:t xml:space="preserve">por las disposiciones de los regímenes exceptuados del EGCAP, pues dichos convenios </w:t>
            </w:r>
            <w:r w:rsidRPr="00997F63">
              <w:rPr>
                <w:rFonts w:ascii="Verdana" w:eastAsia="Calibri" w:hAnsi="Verdana" w:cs="Arial"/>
                <w:color w:val="000000" w:themeColor="text1"/>
                <w:lang w:eastAsia="es-ES"/>
              </w:rPr>
              <w:lastRenderedPageBreak/>
              <w:t xml:space="preserve">son suscritos </w:t>
            </w:r>
            <w:r>
              <w:rPr>
                <w:rFonts w:ascii="Verdana" w:eastAsia="Calibri" w:hAnsi="Verdana" w:cs="Arial"/>
                <w:color w:val="000000" w:themeColor="text1"/>
                <w:lang w:eastAsia="es-ES"/>
              </w:rPr>
              <w:t xml:space="preserve">únicamente </w:t>
            </w:r>
            <w:r w:rsidRPr="00997F63">
              <w:rPr>
                <w:rFonts w:ascii="Verdana" w:eastAsia="Calibri" w:hAnsi="Verdana" w:cs="Arial"/>
                <w:color w:val="000000" w:themeColor="text1"/>
                <w:lang w:eastAsia="es-ES"/>
              </w:rPr>
              <w:t>por entidades territoriales, particularmente, los departamentos, los distritos y los municipios</w:t>
            </w:r>
            <w:r>
              <w:rPr>
                <w:rFonts w:ascii="Verdana" w:eastAsia="Calibri" w:hAnsi="Verdana" w:cs="Arial"/>
                <w:color w:val="000000" w:themeColor="text1"/>
                <w:lang w:eastAsia="es-ES"/>
              </w:rPr>
              <w:t xml:space="preserve">. Estas </w:t>
            </w:r>
            <w:r w:rsidRPr="00997F63">
              <w:rPr>
                <w:rFonts w:ascii="Verdana" w:eastAsia="Calibri" w:hAnsi="Verdana" w:cs="Arial"/>
                <w:color w:val="000000" w:themeColor="text1"/>
                <w:lang w:eastAsia="es-ES"/>
              </w:rPr>
              <w:t xml:space="preserve">se denominan “Entidades Estatales” para los fines de la contratación estatal, y </w:t>
            </w:r>
            <w:r>
              <w:rPr>
                <w:rFonts w:ascii="Verdana" w:eastAsia="Calibri" w:hAnsi="Verdana" w:cs="Arial"/>
                <w:color w:val="000000" w:themeColor="text1"/>
                <w:lang w:eastAsia="es-ES"/>
              </w:rPr>
              <w:t>sus</w:t>
            </w:r>
            <w:r w:rsidRPr="00997F63">
              <w:rPr>
                <w:rFonts w:ascii="Verdana" w:eastAsia="Calibri" w:hAnsi="Verdana" w:cs="Arial"/>
                <w:color w:val="000000" w:themeColor="text1"/>
                <w:lang w:eastAsia="es-ES"/>
              </w:rPr>
              <w:t xml:space="preserve"> procesos contractuales </w:t>
            </w:r>
            <w:r>
              <w:rPr>
                <w:rFonts w:ascii="Verdana" w:eastAsia="Calibri" w:hAnsi="Verdana" w:cs="Arial"/>
                <w:color w:val="000000" w:themeColor="text1"/>
                <w:lang w:eastAsia="es-ES"/>
              </w:rPr>
              <w:t>se rigen</w:t>
            </w:r>
            <w:r w:rsidRPr="00997F63">
              <w:rPr>
                <w:rFonts w:ascii="Verdana" w:eastAsia="Calibri" w:hAnsi="Verdana" w:cs="Arial"/>
                <w:color w:val="000000" w:themeColor="text1"/>
                <w:lang w:eastAsia="es-ES"/>
              </w:rPr>
              <w:t xml:space="preserve"> por el </w:t>
            </w:r>
            <w:r>
              <w:rPr>
                <w:rFonts w:ascii="Verdana" w:eastAsia="Calibri" w:hAnsi="Verdana" w:cs="Arial"/>
                <w:color w:val="000000" w:themeColor="text1"/>
                <w:lang w:eastAsia="es-ES"/>
              </w:rPr>
              <w:t>Estatuto General de Contratación de la Administración Pública -</w:t>
            </w:r>
            <w:r w:rsidRPr="00997F63">
              <w:rPr>
                <w:rFonts w:ascii="Verdana" w:eastAsia="Calibri" w:hAnsi="Verdana" w:cs="Arial"/>
                <w:color w:val="000000" w:themeColor="text1"/>
                <w:lang w:eastAsia="es-ES"/>
              </w:rPr>
              <w:t>EGCAP</w:t>
            </w:r>
            <w:r>
              <w:rPr>
                <w:rFonts w:ascii="Verdana" w:eastAsia="Calibri" w:hAnsi="Verdana" w:cs="Arial"/>
                <w:color w:val="000000" w:themeColor="text1"/>
                <w:lang w:eastAsia="es-ES"/>
              </w:rPr>
              <w:t>-</w:t>
            </w:r>
            <w:r w:rsidRPr="00997F63">
              <w:rPr>
                <w:rFonts w:ascii="Verdana" w:eastAsia="Calibri" w:hAnsi="Verdana" w:cs="Arial"/>
                <w:color w:val="000000" w:themeColor="text1"/>
                <w:lang w:eastAsia="es-ES"/>
              </w:rPr>
              <w:t>, según lo</w:t>
            </w:r>
            <w:r>
              <w:rPr>
                <w:rFonts w:ascii="Verdana" w:eastAsia="Calibri" w:hAnsi="Verdana" w:cs="Arial"/>
                <w:color w:val="000000" w:themeColor="text1"/>
                <w:lang w:eastAsia="es-ES"/>
              </w:rPr>
              <w:t xml:space="preserve"> establecido en los</w:t>
            </w:r>
            <w:r w:rsidRPr="00997F63">
              <w:rPr>
                <w:rFonts w:ascii="Verdana" w:eastAsia="Calibri" w:hAnsi="Verdana" w:cs="Arial"/>
                <w:color w:val="000000" w:themeColor="text1"/>
                <w:lang w:eastAsia="es-ES"/>
              </w:rPr>
              <w:t xml:space="preserve"> artículos 1 y 2 de la Ley 80 de 1993. </w:t>
            </w:r>
          </w:p>
          <w:p w14:paraId="71F27721" w14:textId="77777777" w:rsidR="001A4A08" w:rsidRPr="00997F63" w:rsidRDefault="001A4A08" w:rsidP="0014227E">
            <w:pPr>
              <w:spacing w:after="120" w:line="276" w:lineRule="auto"/>
              <w:ind w:firstLine="737"/>
              <w:jc w:val="both"/>
              <w:rPr>
                <w:rFonts w:ascii="Verdana" w:eastAsia="Calibri" w:hAnsi="Verdana" w:cs="Arial"/>
                <w:color w:val="000000" w:themeColor="text1"/>
                <w:lang w:val="es-MX" w:eastAsia="es-ES"/>
              </w:rPr>
            </w:pPr>
            <w:r w:rsidRPr="00997F63">
              <w:rPr>
                <w:rFonts w:ascii="Verdana" w:eastAsia="Calibri" w:hAnsi="Verdana" w:cs="Arial"/>
                <w:i/>
                <w:iCs/>
                <w:color w:val="000000" w:themeColor="text1"/>
                <w:lang w:val="es-ES" w:eastAsia="es-ES"/>
              </w:rPr>
              <w:t>En segundo lugar</w:t>
            </w:r>
            <w:r w:rsidRPr="00997F63">
              <w:rPr>
                <w:rFonts w:ascii="Verdana" w:eastAsia="Calibri" w:hAnsi="Verdana" w:cs="Arial"/>
                <w:color w:val="000000" w:themeColor="text1"/>
                <w:lang w:val="es-ES" w:eastAsia="es-ES"/>
              </w:rPr>
              <w:t>,</w:t>
            </w:r>
            <w:r w:rsidRPr="00997F63">
              <w:rPr>
                <w:rFonts w:ascii="Verdana" w:eastAsia="Calibri" w:hAnsi="Verdana" w:cs="Arial"/>
                <w:color w:val="000000" w:themeColor="text1"/>
                <w:lang w:val="es-MX" w:eastAsia="es-ES"/>
              </w:rPr>
              <w:t xml:space="preserve"> el Decreto 092 de 2017 resulta aplicable a los convenios regulados en el parágrafo del artículo 16 de la Ley 1850 de 2017, que modificó el artículo 8 de la Ley 1276 de 2010, </w:t>
            </w:r>
            <w:r w:rsidRPr="00997F63">
              <w:rPr>
                <w:rFonts w:ascii="Verdana" w:eastAsia="Calibri" w:hAnsi="Verdana" w:cs="Arial"/>
                <w:i/>
                <w:iCs/>
                <w:color w:val="000000" w:themeColor="text1"/>
                <w:lang w:val="es-MX" w:eastAsia="es-ES"/>
              </w:rPr>
              <w:t>únicamente</w:t>
            </w:r>
            <w:r w:rsidRPr="00997F63">
              <w:rPr>
                <w:rFonts w:ascii="Verdana" w:eastAsia="Calibri" w:hAnsi="Verdana" w:cs="Arial"/>
                <w:color w:val="000000" w:themeColor="text1"/>
                <w:lang w:val="es-MX" w:eastAsia="es-ES"/>
              </w:rPr>
              <w:t xml:space="preserve"> en aquellos eventos en los que los entes territoriales “[…] contrata[n] con entidades privadas sin ánimo de lucro y de reconocida idoneidad […]”, de acuerdo con lo establecido en el artículo 1 del mencionado Decreto</w:t>
            </w:r>
            <w:r>
              <w:rPr>
                <w:rFonts w:ascii="Verdana" w:eastAsia="Calibri" w:hAnsi="Verdana" w:cs="Arial"/>
                <w:color w:val="000000" w:themeColor="text1"/>
                <w:lang w:val="es-MX" w:eastAsia="es-ES"/>
              </w:rPr>
              <w:t>,</w:t>
            </w:r>
            <w:r w:rsidRPr="00997F63">
              <w:rPr>
                <w:rFonts w:ascii="Verdana" w:eastAsia="Calibri" w:hAnsi="Verdana" w:cs="Arial"/>
                <w:color w:val="000000" w:themeColor="text1"/>
                <w:lang w:val="es-MX" w:eastAsia="es-ES"/>
              </w:rPr>
              <w:t xml:space="preserve"> </w:t>
            </w:r>
            <w:r w:rsidRPr="00997F63">
              <w:rPr>
                <w:rFonts w:ascii="Verdana" w:eastAsia="Calibri" w:hAnsi="Verdana" w:cs="Arial"/>
                <w:color w:val="000000" w:themeColor="text1"/>
                <w:lang w:val="es-ES_tradnl" w:eastAsia="es-ES"/>
              </w:rPr>
              <w:t xml:space="preserve">y solamente si se cumplen los otros requisitos que se derivan de su contenido, entre ellos, que no se genere </w:t>
            </w:r>
            <w:r w:rsidRPr="00997F63">
              <w:rPr>
                <w:rFonts w:ascii="Verdana" w:eastAsia="Calibri" w:hAnsi="Verdana" w:cs="Arial"/>
                <w:color w:val="000000" w:themeColor="text1"/>
                <w:lang w:val="es-MX" w:eastAsia="es-ES"/>
              </w:rPr>
              <w:t>una contraprestación directa a favor de la entidad y tampoco una relación conmutativa entre esta y la ESAL.</w:t>
            </w:r>
          </w:p>
          <w:p w14:paraId="7DD123BF" w14:textId="77777777" w:rsidR="001A4A08" w:rsidRPr="00997F63" w:rsidRDefault="001A4A08" w:rsidP="0014227E">
            <w:pPr>
              <w:spacing w:after="120" w:line="276" w:lineRule="auto"/>
              <w:ind w:firstLine="737"/>
              <w:jc w:val="both"/>
              <w:rPr>
                <w:rFonts w:ascii="Verdana" w:eastAsia="Calibri" w:hAnsi="Verdana" w:cs="Arial"/>
                <w:color w:val="000000" w:themeColor="text1"/>
                <w:lang w:val="es-MX" w:eastAsia="es-ES"/>
              </w:rPr>
            </w:pPr>
            <w:r w:rsidRPr="00997F63">
              <w:rPr>
                <w:rFonts w:ascii="Verdana" w:eastAsia="Calibri" w:hAnsi="Verdana" w:cs="Arial"/>
                <w:color w:val="000000" w:themeColor="text1"/>
                <w:lang w:val="es-MX" w:eastAsia="es-ES"/>
              </w:rPr>
              <w:t xml:space="preserve">En este segundo escenario, las entidades territoriales cuentan con dos (2) opciones: i) los </w:t>
            </w:r>
            <w:r w:rsidRPr="0091761F">
              <w:rPr>
                <w:rFonts w:ascii="Verdana" w:eastAsia="Calibri" w:hAnsi="Verdana" w:cs="Arial"/>
                <w:i/>
                <w:iCs/>
                <w:color w:val="000000" w:themeColor="text1"/>
                <w:lang w:val="es-MX" w:eastAsia="es-ES"/>
              </w:rPr>
              <w:t>contratos de colaboración o de interés público</w:t>
            </w:r>
            <w:r w:rsidRPr="00997F63">
              <w:rPr>
                <w:rFonts w:ascii="Verdana" w:eastAsia="Calibri" w:hAnsi="Verdana" w:cs="Arial"/>
                <w:color w:val="000000" w:themeColor="text1"/>
                <w:lang w:val="es-MX" w:eastAsia="es-ES"/>
              </w:rPr>
              <w:t xml:space="preserve"> con el fin de impulsar programas y actividades de interés público de acuerdo con el Plan Nacional o los planes seccionales de desarrollo, en los términos del artículo 355 de la Constitución Política; y ii) el artículo 96 de la Ley 489 de 1998 autoriza a las Entidades Estatales a celebrar negocios jurídicos con ESAL para cumplir sus funciones. La misma Ley define estos negocios jurídicos como </w:t>
            </w:r>
            <w:r w:rsidRPr="0091761F">
              <w:rPr>
                <w:rFonts w:ascii="Verdana" w:eastAsia="Calibri" w:hAnsi="Verdana" w:cs="Arial"/>
                <w:i/>
                <w:iCs/>
                <w:color w:val="000000" w:themeColor="text1"/>
                <w:lang w:val="es-MX" w:eastAsia="es-ES"/>
              </w:rPr>
              <w:t>convenios de asociación</w:t>
            </w:r>
            <w:r w:rsidRPr="00997F63">
              <w:rPr>
                <w:rFonts w:ascii="Verdana" w:eastAsia="Calibri" w:hAnsi="Verdana" w:cs="Arial"/>
                <w:color w:val="000000" w:themeColor="text1"/>
                <w:lang w:val="es-MX" w:eastAsia="es-ES"/>
              </w:rPr>
              <w:t xml:space="preserve"> y establece que deben celebrarse de conformidad con el artículo 355 de la Constitución Política, teniendo en cuenta los parámetros explicados en este concepto.</w:t>
            </w:r>
          </w:p>
          <w:p w14:paraId="5B5552D7" w14:textId="77777777" w:rsidR="001A4A08" w:rsidRPr="00053714" w:rsidRDefault="001A4A08" w:rsidP="0014227E">
            <w:pPr>
              <w:spacing w:after="120" w:line="276" w:lineRule="auto"/>
              <w:ind w:firstLine="737"/>
              <w:jc w:val="both"/>
              <w:rPr>
                <w:rFonts w:ascii="Verdana" w:eastAsia="Calibri" w:hAnsi="Verdana" w:cs="Arial"/>
                <w:color w:val="000000" w:themeColor="text1"/>
                <w:lang w:val="es-MX" w:eastAsia="es-ES"/>
              </w:rPr>
            </w:pPr>
            <w:r>
              <w:rPr>
                <w:rFonts w:ascii="Verdana" w:eastAsia="Calibri" w:hAnsi="Verdana" w:cs="Arial"/>
                <w:color w:val="000000" w:themeColor="text1"/>
              </w:rPr>
              <w:t xml:space="preserve">Finalmente, </w:t>
            </w:r>
            <w:r w:rsidRPr="001861FA">
              <w:rPr>
                <w:rFonts w:ascii="Verdana" w:eastAsia="Calibri" w:hAnsi="Verdana" w:cs="Arial"/>
                <w:color w:val="000000" w:themeColor="text1"/>
              </w:rPr>
              <w:t xml:space="preserve">el numeral 16.1 de la versión 1 de la Circular Externa Única disponía lo siguiente: “El Decreto 092 de 2017 no es aplicable a las contrataciones que cuentan con una norma especial que las regula. A la fecha se han identificado algunas especiales, no obstante, es posible que las Entidades Estatales en el cumplimiento de sus funciones identifiquen otras adicionales”. Sin embargo, este aparte no se reprodujo en la versión 2, aprobada el 15 de julio de 2022, ni en la versión 3, aprobada el 27 de diciembre de 2023, las cuales no se refieren a la contratación con ESAL. Dado que la versión 1 se encuentra derogada, es claro que ésta no complementa la </w:t>
            </w:r>
            <w:r w:rsidRPr="001861FA">
              <w:rPr>
                <w:rFonts w:ascii="Verdana" w:eastAsia="Calibri" w:hAnsi="Verdana" w:cs="Arial"/>
                <w:color w:val="000000" w:themeColor="text1"/>
              </w:rPr>
              <w:lastRenderedPageBreak/>
              <w:t>versión 3. Por ello, con la derogatoria de la versión 1, cesó la obligación de la Agencia de identificar las dichas “normas especiales” a través de circular.</w:t>
            </w:r>
          </w:p>
          <w:p w14:paraId="7357F711" w14:textId="77777777" w:rsidR="001A4A08" w:rsidRDefault="001A4A08" w:rsidP="0014227E">
            <w:pPr>
              <w:spacing w:line="276" w:lineRule="auto"/>
              <w:ind w:firstLine="737"/>
              <w:jc w:val="both"/>
              <w:rPr>
                <w:rFonts w:ascii="Verdana" w:hAnsi="Verdana" w:cs="Arial"/>
                <w:color w:val="000000" w:themeColor="text1"/>
              </w:rPr>
            </w:pPr>
            <w:r w:rsidRPr="00C35305">
              <w:rPr>
                <w:rFonts w:ascii="Verdana" w:hAnsi="Verdana" w:cs="Arial"/>
                <w:color w:val="000000" w:themeColor="text1"/>
              </w:rPr>
              <w:t>Al margen de la explicación precedente</w:t>
            </w:r>
            <w:r>
              <w:rPr>
                <w:rFonts w:ascii="Verdana" w:hAnsi="Verdana" w:cs="Arial"/>
                <w:color w:val="000000" w:themeColor="text1"/>
              </w:rPr>
              <w:t xml:space="preserve"> </w:t>
            </w:r>
            <w:r w:rsidRPr="00C35305">
              <w:rPr>
                <w:rFonts w:ascii="Verdana" w:hAnsi="Verdana" w:cs="Arial"/>
                <w:color w:val="000000" w:themeColor="text1"/>
              </w:rPr>
              <w:t>debe advertirse que el análisis requerido</w:t>
            </w:r>
            <w:r>
              <w:rPr>
                <w:rFonts w:ascii="Verdana" w:hAnsi="Verdana" w:cs="Arial"/>
                <w:color w:val="000000" w:themeColor="text1"/>
              </w:rPr>
              <w:t xml:space="preserve"> </w:t>
            </w:r>
            <w:r w:rsidRPr="00C35305">
              <w:rPr>
                <w:rFonts w:ascii="Verdana" w:hAnsi="Verdana" w:cs="Arial"/>
                <w:color w:val="000000" w:themeColor="text1"/>
              </w:rPr>
              <w:t>para</w:t>
            </w:r>
            <w:r>
              <w:rPr>
                <w:rFonts w:ascii="Verdana" w:hAnsi="Verdana" w:cs="Arial"/>
                <w:color w:val="000000" w:themeColor="text1"/>
              </w:rPr>
              <w:t xml:space="preserve"> calificar conductas con presunta incidencia disciplinaria </w:t>
            </w:r>
            <w:r w:rsidRPr="00C35305">
              <w:rPr>
                <w:rFonts w:ascii="Verdana" w:hAnsi="Verdana" w:cs="Arial"/>
                <w:color w:val="000000" w:themeColor="text1"/>
              </w:rPr>
              <w:t>debe ser realizado por</w:t>
            </w:r>
            <w:r>
              <w:rPr>
                <w:rFonts w:ascii="Verdana" w:hAnsi="Verdana" w:cs="Arial"/>
                <w:color w:val="000000" w:themeColor="text1"/>
              </w:rPr>
              <w:t xml:space="preserve"> </w:t>
            </w:r>
            <w:r w:rsidRPr="00C35305">
              <w:rPr>
                <w:rFonts w:ascii="Verdana" w:hAnsi="Verdana" w:cs="Arial"/>
                <w:color w:val="000000" w:themeColor="text1"/>
              </w:rPr>
              <w:t>quienes tengan interés en ello, de acuerdo con lo explicado la aclaración preliminar del presente oficio.</w:t>
            </w:r>
            <w:r>
              <w:rPr>
                <w:rFonts w:ascii="Verdana" w:hAnsi="Verdana" w:cs="Arial"/>
                <w:color w:val="000000" w:themeColor="text1"/>
              </w:rPr>
              <w:t xml:space="preserve"> </w:t>
            </w:r>
            <w:r w:rsidRPr="00C35305">
              <w:rPr>
                <w:rFonts w:ascii="Verdana" w:hAnsi="Verdana" w:cs="Arial"/>
                <w:color w:val="000000" w:themeColor="text1"/>
              </w:rPr>
              <w:t>Así, cada entidad definirá la forma de adelantar su gestión contractual, sin que sea atribución de Colombia Compra Eficiente validar sus actuaciones</w:t>
            </w:r>
            <w:r>
              <w:rPr>
                <w:rFonts w:ascii="Verdana" w:hAnsi="Verdana" w:cs="Arial"/>
                <w:color w:val="000000" w:themeColor="text1"/>
              </w:rPr>
              <w:t xml:space="preserve"> frente a las autoridades que cumplen funciones de control y vigilancia</w:t>
            </w:r>
            <w:r w:rsidRPr="00C35305">
              <w:rPr>
                <w:rFonts w:ascii="Verdana" w:hAnsi="Verdana" w:cs="Arial"/>
                <w:color w:val="000000" w:themeColor="text1"/>
              </w:rPr>
              <w:t>.</w:t>
            </w:r>
          </w:p>
          <w:p w14:paraId="10AE35C6" w14:textId="77777777" w:rsidR="001A4A08" w:rsidRPr="00C3088F" w:rsidRDefault="001A4A08" w:rsidP="0014227E">
            <w:pPr>
              <w:pStyle w:val="Textoindependiente"/>
              <w:spacing w:after="0"/>
              <w:ind w:right="49"/>
              <w:jc w:val="both"/>
              <w:rPr>
                <w:rFonts w:ascii="Verdana" w:hAnsi="Verdana" w:cs="Arial"/>
              </w:rPr>
            </w:pPr>
          </w:p>
        </w:tc>
      </w:tr>
    </w:tbl>
    <w:p w14:paraId="051900BB" w14:textId="77777777" w:rsidR="001A4A08" w:rsidRPr="002069C6" w:rsidRDefault="001A4A08" w:rsidP="001A4A08">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2B3DC8D9" w14:textId="77777777" w:rsidR="001A4A08" w:rsidRPr="002069C6" w:rsidRDefault="001A4A08" w:rsidP="001A4A0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Razones de la respuesta:</w:t>
      </w:r>
    </w:p>
    <w:p w14:paraId="7C4EE82C" w14:textId="77777777" w:rsidR="001A4A08" w:rsidRPr="002069C6" w:rsidRDefault="001A4A08" w:rsidP="001A4A08">
      <w:pPr>
        <w:spacing w:after="0" w:line="276" w:lineRule="auto"/>
        <w:jc w:val="both"/>
        <w:rPr>
          <w:rFonts w:ascii="Verdana" w:eastAsia="Calibri" w:hAnsi="Verdana" w:cs="Arial"/>
          <w:color w:val="000000" w:themeColor="text1"/>
          <w:lang w:val="es-ES"/>
        </w:rPr>
      </w:pPr>
    </w:p>
    <w:p w14:paraId="7A2DDACA" w14:textId="77777777" w:rsidR="001A4A08" w:rsidRDefault="001A4A08" w:rsidP="001A4A08">
      <w:pPr>
        <w:spacing w:after="0" w:line="276" w:lineRule="auto"/>
        <w:jc w:val="both"/>
        <w:rPr>
          <w:rFonts w:ascii="Verdana" w:eastAsia="Calibri" w:hAnsi="Verdana" w:cs="Arial"/>
          <w:color w:val="000000" w:themeColor="text1"/>
          <w:lang w:val="es-ES"/>
        </w:rPr>
      </w:pPr>
      <w:r w:rsidRPr="002069C6">
        <w:rPr>
          <w:rFonts w:ascii="Verdana" w:eastAsia="Calibri" w:hAnsi="Verdana" w:cs="Arial"/>
          <w:color w:val="000000" w:themeColor="text1"/>
          <w:lang w:val="es-ES"/>
        </w:rPr>
        <w:t xml:space="preserve">Lo anterior se sustenta en las siguientes consideraciones: </w:t>
      </w:r>
    </w:p>
    <w:p w14:paraId="4C2F6C7F" w14:textId="77777777" w:rsidR="001A4A08" w:rsidRDefault="001A4A08" w:rsidP="001A4A08">
      <w:pPr>
        <w:spacing w:after="0" w:line="276" w:lineRule="auto"/>
        <w:jc w:val="both"/>
        <w:rPr>
          <w:rFonts w:ascii="Verdana" w:eastAsia="Calibri" w:hAnsi="Verdana" w:cs="Arial"/>
          <w:color w:val="000000" w:themeColor="text1"/>
          <w:lang w:val="es-ES"/>
        </w:rPr>
      </w:pPr>
    </w:p>
    <w:p w14:paraId="52621A61" w14:textId="77777777" w:rsidR="001A4A08" w:rsidRPr="0063743B" w:rsidRDefault="001A4A08" w:rsidP="001A4A08">
      <w:pPr>
        <w:spacing w:line="276" w:lineRule="auto"/>
        <w:jc w:val="both"/>
        <w:rPr>
          <w:rFonts w:ascii="Verdana" w:eastAsia="Calibri" w:hAnsi="Verdana" w:cs="Arial"/>
          <w:bCs/>
          <w:lang w:val="es-ES_tradnl"/>
        </w:rPr>
      </w:pPr>
      <w:r>
        <w:rPr>
          <w:rFonts w:ascii="Verdana" w:eastAsia="Calibri" w:hAnsi="Verdana" w:cs="Arial"/>
          <w:bCs/>
          <w:lang w:val="es-ES_tradnl"/>
        </w:rPr>
        <w:t xml:space="preserve">i) </w:t>
      </w:r>
      <w:r w:rsidRPr="0063743B">
        <w:rPr>
          <w:rFonts w:ascii="Verdana" w:eastAsia="Calibri" w:hAnsi="Verdana" w:cs="Arial"/>
          <w:bCs/>
          <w:lang w:val="es-ES_tradnl"/>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w:t>
      </w:r>
      <w:r w:rsidRPr="0063743B">
        <w:rPr>
          <w:rStyle w:val="Refdenotaalpie"/>
          <w:rFonts w:ascii="Verdana" w:hAnsi="Verdana" w:cs="Arial"/>
        </w:rPr>
        <w:footnoteReference w:id="3"/>
      </w:r>
      <w:r w:rsidRPr="0063743B">
        <w:rPr>
          <w:rFonts w:ascii="Verdana" w:eastAsia="Calibri" w:hAnsi="Verdana" w:cs="Arial"/>
          <w:bCs/>
          <w:lang w:val="es-ES_tradnl"/>
        </w:rPr>
        <w:t>. Por otra parte, el artículo 96 de la Ley 489 de 1998 permite a las entidades públicas en general, es decir, cualquiera sea su naturaleza y orden administrativo, asociarse con personas jurídicas particulares, mediante la celebración de convenios de asociación o la creación de personas jurídicas</w:t>
      </w:r>
      <w:r w:rsidRPr="0063743B">
        <w:rPr>
          <w:rStyle w:val="Refdenotaalpie"/>
          <w:rFonts w:ascii="Verdana" w:eastAsia="Calibri" w:hAnsi="Verdana" w:cs="Arial"/>
          <w:bCs/>
          <w:lang w:val="es-ES_tradnl"/>
        </w:rPr>
        <w:footnoteReference w:id="4"/>
      </w:r>
      <w:r w:rsidRPr="0063743B">
        <w:rPr>
          <w:rFonts w:ascii="Verdana" w:eastAsia="Calibri" w:hAnsi="Verdana" w:cs="Arial"/>
          <w:bCs/>
          <w:lang w:val="es-ES_tradnl"/>
        </w:rPr>
        <w:t>. Ambas figuras tienen como fin desarrollar conjuntamente actividades relacionadas con los cometidos y funciones legales asignadas a la entidad.</w:t>
      </w:r>
      <w:r>
        <w:rPr>
          <w:rFonts w:ascii="Verdana" w:eastAsia="Calibri" w:hAnsi="Verdana" w:cs="Arial"/>
          <w:bCs/>
          <w:lang w:val="es-ES_tradnl"/>
        </w:rPr>
        <w:t xml:space="preserve"> Por lo demás, al utilizar el verbo </w:t>
      </w:r>
      <w:r>
        <w:rPr>
          <w:rFonts w:ascii="Verdana" w:eastAsia="Calibri" w:hAnsi="Verdana" w:cs="Arial"/>
          <w:bCs/>
          <w:lang w:val="es-ES_tradnl"/>
        </w:rPr>
        <w:lastRenderedPageBreak/>
        <w:t>“podrán”, el ordenamiento deja claro su naturaleza potestativa, ya que no existe norma que obligue a su celebración.</w:t>
      </w:r>
    </w:p>
    <w:p w14:paraId="189AD7B4" w14:textId="77777777" w:rsidR="001A4A08" w:rsidRPr="0063743B" w:rsidRDefault="001A4A08" w:rsidP="001A4A08">
      <w:pPr>
        <w:spacing w:before="120" w:after="120" w:line="276" w:lineRule="auto"/>
        <w:ind w:firstLine="709"/>
        <w:jc w:val="both"/>
        <w:rPr>
          <w:rFonts w:ascii="Verdana" w:eastAsia="Calibri" w:hAnsi="Verdana" w:cs="Arial"/>
          <w:lang w:val="es-ES"/>
        </w:rPr>
      </w:pPr>
      <w:bookmarkStart w:id="4" w:name="_Hlk38819155"/>
      <w:r>
        <w:rPr>
          <w:rFonts w:ascii="Verdana" w:eastAsia="Calibri" w:hAnsi="Verdana" w:cs="Arial"/>
          <w:lang w:val="es-ES"/>
        </w:rPr>
        <w:t>Cuando las entidades definan suscribirlos, e</w:t>
      </w:r>
      <w:r w:rsidRPr="0063743B">
        <w:rPr>
          <w:rFonts w:ascii="Verdana" w:eastAsia="Calibri" w:hAnsi="Verdana" w:cs="Arial"/>
          <w:lang w:val="es-ES"/>
        </w:rPr>
        <w:t xml:space="preserv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63743B">
        <w:rPr>
          <w:rFonts w:ascii="Verdana" w:eastAsia="Calibri" w:hAnsi="Verdana" w:cs="Arial"/>
          <w:lang w:val="es-ES"/>
        </w:rPr>
        <w:t>ii</w:t>
      </w:r>
      <w:proofErr w:type="spellEnd"/>
      <w:r w:rsidRPr="0063743B">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bookmarkEnd w:id="4"/>
    </w:p>
    <w:p w14:paraId="0751CD6A" w14:textId="77777777" w:rsidR="001A4A08" w:rsidRPr="0063743B" w:rsidRDefault="001A4A08" w:rsidP="001A4A08">
      <w:pPr>
        <w:spacing w:before="120" w:after="120" w:line="276" w:lineRule="auto"/>
        <w:ind w:firstLine="709"/>
        <w:jc w:val="both"/>
        <w:rPr>
          <w:rFonts w:ascii="Verdana" w:eastAsia="Calibri" w:hAnsi="Verdana" w:cs="Arial"/>
          <w:lang w:val="es-ES"/>
        </w:rPr>
      </w:pPr>
      <w:bookmarkStart w:id="5" w:name="_Hlk95756032"/>
      <w:r w:rsidRPr="0063743B">
        <w:rPr>
          <w:rFonts w:ascii="Verdana" w:eastAsia="Calibri" w:hAnsi="Verdana" w:cs="Arial"/>
          <w:lang w:val="es-ES"/>
        </w:rPr>
        <w:t xml:space="preserve">Los </w:t>
      </w:r>
      <w:r w:rsidRPr="0063743B">
        <w:rPr>
          <w:rFonts w:ascii="Verdana" w:eastAsia="Calibri" w:hAnsi="Verdana" w:cs="Arial"/>
          <w:i/>
          <w:iCs/>
          <w:lang w:val="es-ES"/>
        </w:rPr>
        <w:t>contratos del artículo 355 de la Constitución Política</w:t>
      </w:r>
      <w:r w:rsidRPr="0063743B">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w:t>
      </w:r>
      <w:proofErr w:type="spellStart"/>
      <w:r w:rsidRPr="0063743B">
        <w:rPr>
          <w:rFonts w:ascii="Verdana" w:eastAsia="Calibri" w:hAnsi="Verdana" w:cs="Arial"/>
          <w:lang w:val="es-ES"/>
        </w:rPr>
        <w:t>ii</w:t>
      </w:r>
      <w:proofErr w:type="spellEnd"/>
      <w:r w:rsidRPr="0063743B">
        <w:rPr>
          <w:rFonts w:ascii="Verdana" w:eastAsia="Calibri" w:hAnsi="Verdana" w:cs="Arial"/>
          <w:lang w:val="es-ES"/>
        </w:rPr>
        <w:t>) que no haya una contraprestación directa a favor de la entidad estatal, es decir, que el programa o actividad a desarrollar este dirigida al beneficio de la población en general, ya que cuando se adquieren bienes o servicios o se ejecutan obras en una relación conmutativa, las normas aplicables son las del Estatuto General de Contratación. Solo cuando se reúnan estas condiciones es procedente celebrar contratos del artículo 355 de la Constitución Política; de lo contrario, se aplicarán las normas del Estatuto General de Contratación de la Administración Pública.</w:t>
      </w:r>
    </w:p>
    <w:bookmarkEnd w:id="5"/>
    <w:p w14:paraId="684217BF" w14:textId="77777777" w:rsidR="001A4A08" w:rsidRPr="0063743B" w:rsidRDefault="001A4A08" w:rsidP="001A4A08">
      <w:pPr>
        <w:spacing w:before="120" w:after="120" w:line="276" w:lineRule="auto"/>
        <w:ind w:firstLine="709"/>
        <w:jc w:val="both"/>
        <w:rPr>
          <w:rFonts w:ascii="Verdana" w:eastAsia="Calibri" w:hAnsi="Verdana" w:cs="Arial"/>
          <w:bCs/>
          <w:lang w:val="es-ES_tradnl"/>
        </w:rPr>
      </w:pPr>
      <w:r w:rsidRPr="0063743B">
        <w:rPr>
          <w:rFonts w:ascii="Verdana" w:eastAsia="Calibri" w:hAnsi="Verdana" w:cs="Arial"/>
          <w:bCs/>
          <w:lang w:val="es-ES_tradnl"/>
        </w:rPr>
        <w:t xml:space="preserve">De otro lado, los </w:t>
      </w:r>
      <w:r w:rsidRPr="0063743B">
        <w:rPr>
          <w:rFonts w:ascii="Verdana" w:eastAsia="Calibri" w:hAnsi="Verdana" w:cs="Arial"/>
          <w:bCs/>
          <w:i/>
          <w:lang w:val="es-ES_tradnl"/>
        </w:rPr>
        <w:t>convenios de asociación</w:t>
      </w:r>
      <w:r w:rsidRPr="0063743B">
        <w:rPr>
          <w:rFonts w:ascii="Verdana" w:eastAsia="Calibri" w:hAnsi="Verdana" w:cs="Arial"/>
          <w:bCs/>
          <w:lang w:val="es-ES_tradnl"/>
        </w:rPr>
        <w:t xml:space="preserve"> “[t]</w:t>
      </w:r>
      <w:proofErr w:type="spellStart"/>
      <w:r w:rsidRPr="0063743B">
        <w:rPr>
          <w:rFonts w:ascii="Verdana" w:eastAsia="Calibri" w:hAnsi="Verdana" w:cs="Arial"/>
          <w:bCs/>
          <w:lang w:val="es-ES_tradnl"/>
        </w:rPr>
        <w:t>ienen</w:t>
      </w:r>
      <w:proofErr w:type="spellEnd"/>
      <w:r w:rsidRPr="0063743B">
        <w:rPr>
          <w:rFonts w:ascii="Verdana" w:eastAsia="Calibri" w:hAnsi="Verdana" w:cs="Arial"/>
          <w:bCs/>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w:t>
      </w:r>
      <w:r w:rsidRPr="0063743B">
        <w:rPr>
          <w:rFonts w:ascii="Verdana" w:eastAsia="Calibri" w:hAnsi="Verdana" w:cs="Arial"/>
          <w:bCs/>
          <w:lang w:val="es-ES_tradnl"/>
        </w:rPr>
        <w:lastRenderedPageBreak/>
        <w:t>conforme a la Constitución y a la Ley”</w:t>
      </w:r>
      <w:r w:rsidRPr="0063743B">
        <w:rPr>
          <w:rStyle w:val="Refdenotaalpie"/>
          <w:rFonts w:ascii="Verdana" w:hAnsi="Verdana" w:cs="Arial"/>
        </w:rPr>
        <w:footnoteReference w:id="5"/>
      </w:r>
      <w:r w:rsidRPr="0063743B">
        <w:rPr>
          <w:rFonts w:ascii="Verdana" w:eastAsia="Calibri" w:hAnsi="Verdana" w:cs="Arial"/>
          <w:bCs/>
          <w:lang w:val="es-ES_tradnl"/>
        </w:rPr>
        <w:t>.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w:t>
      </w:r>
      <w:r>
        <w:rPr>
          <w:rFonts w:ascii="Verdana" w:eastAsia="Calibri" w:hAnsi="Verdana" w:cs="Arial"/>
          <w:bCs/>
          <w:lang w:val="es-ES_tradnl"/>
        </w:rPr>
        <w:t xml:space="preserve"> </w:t>
      </w:r>
      <w:r w:rsidRPr="0063743B">
        <w:rPr>
          <w:rFonts w:ascii="Verdana" w:eastAsia="Calibri" w:hAnsi="Verdana" w:cs="Arial"/>
          <w:bCs/>
          <w:lang w:val="es-ES_tradnl"/>
        </w:rPr>
        <w:t>y</w:t>
      </w:r>
      <w:r>
        <w:rPr>
          <w:rFonts w:ascii="Verdana" w:eastAsia="Calibri" w:hAnsi="Verdana" w:cs="Arial"/>
          <w:bCs/>
          <w:lang w:val="es-ES_tradnl"/>
        </w:rPr>
        <w:t>,</w:t>
      </w:r>
      <w:r w:rsidRPr="0063743B">
        <w:rPr>
          <w:rFonts w:ascii="Verdana" w:eastAsia="Calibri" w:hAnsi="Verdana" w:cs="Arial"/>
          <w:bCs/>
          <w:lang w:val="es-ES_tradnl"/>
        </w:rPr>
        <w:t xml:space="preserve"> por tanto, la entidad no instruye al contratista para desarrollar los programas o actividades previstas, sino que se asocia con él para el cumplimiento de objetivos comunes</w:t>
      </w:r>
      <w:r w:rsidRPr="0063743B">
        <w:rPr>
          <w:rStyle w:val="Refdenotaalpie"/>
          <w:rFonts w:ascii="Verdana" w:hAnsi="Verdana" w:cs="Arial"/>
        </w:rPr>
        <w:footnoteReference w:id="6"/>
      </w:r>
      <w:r w:rsidRPr="0063743B">
        <w:rPr>
          <w:rFonts w:ascii="Verdana" w:eastAsia="Calibri" w:hAnsi="Verdana" w:cs="Arial"/>
          <w:bCs/>
          <w:lang w:val="es-ES_tradnl"/>
        </w:rPr>
        <w:t>.</w:t>
      </w:r>
    </w:p>
    <w:p w14:paraId="4A95FC16" w14:textId="77777777" w:rsidR="001A4A08" w:rsidRDefault="001A4A08" w:rsidP="001A4A08">
      <w:pPr>
        <w:spacing w:before="120" w:after="120" w:line="276" w:lineRule="auto"/>
        <w:ind w:firstLine="709"/>
        <w:jc w:val="both"/>
        <w:rPr>
          <w:rFonts w:ascii="Verdana" w:eastAsia="Calibri" w:hAnsi="Verdana" w:cs="Arial"/>
          <w:bCs/>
        </w:rPr>
      </w:pPr>
      <w:r w:rsidRPr="0063743B">
        <w:rPr>
          <w:rFonts w:ascii="Verdana" w:eastAsia="Calibri" w:hAnsi="Verdana" w:cs="Arial"/>
          <w:bCs/>
          <w:lang w:val="es-ES_tradnl"/>
        </w:rPr>
        <w:t>La normativa vigente no impide que varias entidades suscriban conjuntamente el convenio de asociación y tampoco que dos o más ESAL pueden hacerlo, a través de las figuras asociativas autorizadas por la ley, por ejemplo, como unión temporal o como consorcio</w:t>
      </w:r>
      <w:r w:rsidRPr="0063743B">
        <w:rPr>
          <w:rFonts w:ascii="Verdana" w:eastAsia="Calibri" w:hAnsi="Verdana" w:cs="Arial"/>
          <w:bCs/>
        </w:rPr>
        <w:t xml:space="preserve">. </w:t>
      </w:r>
      <w:r>
        <w:rPr>
          <w:rFonts w:ascii="Verdana" w:eastAsia="Calibri" w:hAnsi="Verdana" w:cs="Arial"/>
          <w:bCs/>
        </w:rPr>
        <w:t>Por un lado</w:t>
      </w:r>
      <w:r w:rsidRPr="0063743B">
        <w:rPr>
          <w:rFonts w:ascii="Verdana" w:eastAsia="Calibri" w:hAnsi="Verdana" w:cs="Arial"/>
          <w:bCs/>
        </w:rPr>
        <w:t>,</w:t>
      </w:r>
      <w:r>
        <w:rPr>
          <w:rFonts w:ascii="Verdana" w:eastAsia="Calibri" w:hAnsi="Verdana" w:cs="Arial"/>
          <w:bCs/>
        </w:rPr>
        <w:t xml:space="preserve"> al enfocarse en sujetos determinados, es necesario que todos los integrantes de la estructura plural sean entidades sin ánimo de lucro, ya que este régimen no fue diseñado para contratar con sociedades comerciales u otras entidades públicas.</w:t>
      </w:r>
      <w:r w:rsidRPr="0063743B">
        <w:rPr>
          <w:rFonts w:ascii="Verdana" w:eastAsia="Calibri" w:hAnsi="Verdana" w:cs="Arial"/>
          <w:bCs/>
        </w:rPr>
        <w:t xml:space="preserve"> </w:t>
      </w:r>
      <w:r>
        <w:rPr>
          <w:rFonts w:ascii="Verdana" w:eastAsia="Calibri" w:hAnsi="Verdana" w:cs="Arial"/>
          <w:bCs/>
        </w:rPr>
        <w:t xml:space="preserve">Por otra parte, </w:t>
      </w:r>
      <w:r w:rsidRPr="0063743B">
        <w:rPr>
          <w:rFonts w:ascii="Verdana" w:eastAsia="Calibri" w:hAnsi="Verdana" w:cs="Arial"/>
          <w:bCs/>
        </w:rPr>
        <w:t xml:space="preserve">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w:t>
      </w:r>
    </w:p>
    <w:p w14:paraId="76F4C1F0" w14:textId="77777777" w:rsidR="001A4A08" w:rsidRPr="0063743B" w:rsidRDefault="001A4A08" w:rsidP="001A4A08">
      <w:pPr>
        <w:spacing w:before="120" w:after="120" w:line="276" w:lineRule="auto"/>
        <w:ind w:firstLine="709"/>
        <w:jc w:val="both"/>
        <w:rPr>
          <w:rFonts w:ascii="Verdana" w:eastAsia="Calibri" w:hAnsi="Verdana" w:cs="Arial"/>
          <w:bCs/>
        </w:rPr>
      </w:pPr>
      <w:r w:rsidRPr="0063743B">
        <w:rPr>
          <w:rFonts w:ascii="Verdana" w:eastAsia="Calibri" w:hAnsi="Verdana" w:cs="Arial"/>
          <w:bCs/>
        </w:rPr>
        <w:t>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r>
        <w:rPr>
          <w:rFonts w:ascii="Verdana" w:eastAsia="Calibri" w:hAnsi="Verdana" w:cs="Arial"/>
          <w:bCs/>
        </w:rPr>
        <w:t xml:space="preserve"> Ello </w:t>
      </w:r>
      <w:r>
        <w:rPr>
          <w:rFonts w:ascii="Verdana" w:eastAsia="Calibri" w:hAnsi="Verdana" w:cs="Arial"/>
          <w:bCs/>
        </w:rPr>
        <w:lastRenderedPageBreak/>
        <w:t>no obsta para que puedan realizarse aportes en especie bajo la consideración de que éstos no inciden en la modalidad de selección aplicable.</w:t>
      </w:r>
    </w:p>
    <w:p w14:paraId="26C10E3F" w14:textId="77777777" w:rsidR="001A4A08" w:rsidRPr="0063743B" w:rsidRDefault="001A4A08" w:rsidP="001A4A08">
      <w:pPr>
        <w:spacing w:before="120" w:after="120" w:line="276" w:lineRule="auto"/>
        <w:ind w:firstLine="709"/>
        <w:jc w:val="both"/>
        <w:rPr>
          <w:rFonts w:ascii="Verdana" w:hAnsi="Verdana"/>
        </w:rPr>
      </w:pPr>
      <w:r w:rsidRPr="0063743B">
        <w:rPr>
          <w:rFonts w:ascii="Verdana" w:hAnsi="Verdana" w:cs="Arial"/>
          <w:color w:val="000000" w:themeColor="text1"/>
        </w:rPr>
        <w:t xml:space="preserve">La noción “seleccionar de forma objetiva”, contenida en la disposición </w:t>
      </w:r>
      <w:r w:rsidRPr="0063743B">
        <w:rPr>
          <w:rFonts w:ascii="Verdana" w:hAnsi="Verdana" w:cs="Arial"/>
          <w:i/>
          <w:iCs/>
          <w:color w:val="000000" w:themeColor="text1"/>
        </w:rPr>
        <w:t xml:space="preserve">sub examine </w:t>
      </w:r>
      <w:r w:rsidRPr="0063743B">
        <w:rPr>
          <w:rFonts w:ascii="Verdana" w:hAnsi="Verdana" w:cs="Arial"/>
          <w:color w:val="000000" w:themeColor="text1"/>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de la Administración Pública o, incluso, al trámite que regula el inciso 2 del artículo 2 del Decreto 092 de 2017.</w:t>
      </w:r>
    </w:p>
    <w:p w14:paraId="574C5CAE" w14:textId="77777777" w:rsidR="001A4A08" w:rsidRPr="0063743B" w:rsidRDefault="001A4A08" w:rsidP="001A4A08">
      <w:pPr>
        <w:pStyle w:val="Sinespaciado"/>
        <w:spacing w:line="276" w:lineRule="auto"/>
        <w:ind w:firstLine="708"/>
        <w:jc w:val="both"/>
        <w:rPr>
          <w:rFonts w:ascii="Verdana" w:hAnsi="Verdana" w:cs="Arial"/>
          <w:color w:val="000000" w:themeColor="text1"/>
          <w:sz w:val="22"/>
        </w:rPr>
      </w:pPr>
      <w:r w:rsidRPr="0063743B">
        <w:rPr>
          <w:rFonts w:ascii="Verdana" w:hAnsi="Verdana" w:cs="Arial"/>
          <w:color w:val="000000" w:themeColor="text1"/>
          <w:sz w:val="22"/>
        </w:rPr>
        <w:t xml:space="preserve">Es importante aclarar que los negocios jurídicos que regula el Decreto 092 de 2017 “[…] son esencialmente distintos a los contratos para la adquisición y aprovisionamiento de bienes, obras o servicios regulados por el estatuto de contratación </w:t>
      </w:r>
      <w:proofErr w:type="gramStart"/>
      <w:r w:rsidRPr="0063743B">
        <w:rPr>
          <w:rFonts w:ascii="Verdana" w:hAnsi="Verdana" w:cs="Arial"/>
          <w:color w:val="000000" w:themeColor="text1"/>
          <w:sz w:val="22"/>
        </w:rPr>
        <w:t>y[</w:t>
      </w:r>
      <w:proofErr w:type="gramEnd"/>
      <w:r w:rsidRPr="0063743B">
        <w:rPr>
          <w:rFonts w:ascii="Verdana" w:hAnsi="Verdana" w:cs="Arial"/>
          <w:color w:val="000000" w:themeColor="text1"/>
          <w:sz w:val="22"/>
        </w:rPr>
        <w:t>, como tal,] no hacen parte del sistema de compra pública. […] De acuerdo con lo anterior, si la entidad estatal adquiere o se abastece de un bien, obra o servicio en un contrato conmutativo en el cual el proveedor es una [ESAL], debe aplicar el régimen contenido en las Leyes 80 de 1993 y 1150 de 2007, y no el Decreto 092 de 2017”</w:t>
      </w:r>
      <w:r w:rsidRPr="0063743B">
        <w:rPr>
          <w:rStyle w:val="Refdenotaalpie"/>
          <w:rFonts w:ascii="Verdana" w:hAnsi="Verdana" w:cs="Arial"/>
          <w:color w:val="000000" w:themeColor="text1"/>
          <w:sz w:val="22"/>
        </w:rPr>
        <w:footnoteReference w:id="7"/>
      </w:r>
      <w:r w:rsidRPr="0063743B">
        <w:rPr>
          <w:rFonts w:ascii="Verdana" w:hAnsi="Verdana" w:cs="Arial"/>
          <w:color w:val="000000" w:themeColor="text1"/>
          <w:sz w:val="22"/>
        </w:rPr>
        <w:t>. Así lo consideró la Sala de Consulta y Servicio Civil del Consejo de Estado:</w:t>
      </w:r>
    </w:p>
    <w:p w14:paraId="278C583A" w14:textId="77777777" w:rsidR="001A4A08" w:rsidRPr="0063743B" w:rsidRDefault="001A4A08" w:rsidP="001A4A08">
      <w:pPr>
        <w:pStyle w:val="Sinespaciado"/>
        <w:spacing w:line="276" w:lineRule="auto"/>
        <w:jc w:val="both"/>
        <w:rPr>
          <w:rFonts w:ascii="Verdana" w:hAnsi="Verdana" w:cs="Arial"/>
          <w:color w:val="000000" w:themeColor="text1"/>
          <w:sz w:val="22"/>
        </w:rPr>
      </w:pPr>
    </w:p>
    <w:p w14:paraId="4E217AD1" w14:textId="77777777" w:rsidR="001A4A08" w:rsidRPr="001F683E" w:rsidRDefault="001A4A08" w:rsidP="001A4A08">
      <w:pPr>
        <w:spacing w:line="240" w:lineRule="auto"/>
        <w:ind w:left="709"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 xml:space="preserve">“Como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w:t>
      </w:r>
      <w:proofErr w:type="gramStart"/>
      <w:r w:rsidRPr="001F683E">
        <w:rPr>
          <w:rFonts w:ascii="Verdana" w:eastAsia="Calibri" w:hAnsi="Verdana" w:cs="Arial"/>
          <w:color w:val="000000" w:themeColor="text1"/>
          <w:sz w:val="20"/>
          <w:szCs w:val="20"/>
        </w:rPr>
        <w:t>y</w:t>
      </w:r>
      <w:proofErr w:type="gramEnd"/>
      <w:r w:rsidRPr="001F683E">
        <w:rPr>
          <w:rFonts w:ascii="Verdana" w:eastAsia="Calibri" w:hAnsi="Verdana" w:cs="Arial"/>
          <w:color w:val="000000" w:themeColor="text1"/>
          <w:sz w:val="20"/>
          <w:szCs w:val="20"/>
        </w:rPr>
        <w:t xml:space="preserve"> por lo tanto, se tipifican dentro de cualquiera de las modalidades de contratación de la ley 80 de 1.993, debiendo sujetarse a los procedimientos allí previstos, en especial los de escogencia del contratista.</w:t>
      </w:r>
    </w:p>
    <w:p w14:paraId="75718448" w14:textId="77777777" w:rsidR="001A4A08" w:rsidRPr="0063743B" w:rsidRDefault="001A4A08" w:rsidP="001A4A08">
      <w:pPr>
        <w:spacing w:after="0" w:line="240" w:lineRule="auto"/>
        <w:ind w:left="708" w:right="709"/>
        <w:jc w:val="both"/>
        <w:rPr>
          <w:rFonts w:ascii="Verdana" w:eastAsia="Calibri" w:hAnsi="Verdana" w:cs="Arial"/>
          <w:color w:val="000000" w:themeColor="text1"/>
          <w:sz w:val="21"/>
          <w:szCs w:val="21"/>
        </w:rPr>
      </w:pPr>
      <w:r w:rsidRPr="001F683E">
        <w:rPr>
          <w:rFonts w:ascii="Verdana" w:eastAsia="Calibri" w:hAnsi="Verdana" w:cs="Arial"/>
          <w:color w:val="000000" w:themeColor="text1"/>
          <w:sz w:val="20"/>
          <w:szCs w:val="20"/>
        </w:rPr>
        <w:t xml:space="preserve">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w:t>
      </w:r>
      <w:r w:rsidRPr="001F683E">
        <w:rPr>
          <w:rFonts w:ascii="Verdana" w:eastAsia="Calibri" w:hAnsi="Verdana" w:cs="Arial"/>
          <w:color w:val="000000" w:themeColor="text1"/>
          <w:sz w:val="20"/>
          <w:szCs w:val="20"/>
        </w:rPr>
        <w:lastRenderedPageBreak/>
        <w:t xml:space="preserve">las disposiciones contractuales vigentes, como </w:t>
      </w:r>
      <w:proofErr w:type="gramStart"/>
      <w:r w:rsidRPr="001F683E">
        <w:rPr>
          <w:rFonts w:ascii="Verdana" w:eastAsia="Calibri" w:hAnsi="Verdana" w:cs="Arial"/>
          <w:color w:val="000000" w:themeColor="text1"/>
          <w:sz w:val="20"/>
          <w:szCs w:val="20"/>
        </w:rPr>
        <w:t>sería</w:t>
      </w:r>
      <w:proofErr w:type="gramEnd"/>
      <w:r w:rsidRPr="001F683E">
        <w:rPr>
          <w:rFonts w:ascii="Verdana" w:eastAsia="Calibri" w:hAnsi="Verdana" w:cs="Arial"/>
          <w:color w:val="000000" w:themeColor="text1"/>
          <w:sz w:val="20"/>
          <w:szCs w:val="20"/>
        </w:rPr>
        <w:t xml:space="preserve"> por ejemplo, contratos de prestación de servicios o de obra pública”</w:t>
      </w:r>
      <w:r w:rsidRPr="001F683E">
        <w:rPr>
          <w:rStyle w:val="Refdenotaalpie"/>
          <w:rFonts w:ascii="Verdana" w:hAnsi="Verdana" w:cs="Arial"/>
          <w:color w:val="000000" w:themeColor="text1"/>
          <w:sz w:val="20"/>
          <w:szCs w:val="20"/>
        </w:rPr>
        <w:t xml:space="preserve"> </w:t>
      </w:r>
      <w:r w:rsidRPr="001F683E">
        <w:rPr>
          <w:rStyle w:val="Refdenotaalpie"/>
          <w:rFonts w:ascii="Verdana" w:hAnsi="Verdana" w:cs="Arial"/>
          <w:color w:val="000000" w:themeColor="text1"/>
          <w:sz w:val="20"/>
          <w:szCs w:val="20"/>
        </w:rPr>
        <w:footnoteReference w:id="8"/>
      </w:r>
      <w:r w:rsidRPr="001F683E">
        <w:rPr>
          <w:rFonts w:ascii="Verdana" w:eastAsia="Calibri" w:hAnsi="Verdana" w:cs="Arial"/>
          <w:color w:val="000000" w:themeColor="text1"/>
          <w:sz w:val="20"/>
          <w:szCs w:val="20"/>
        </w:rPr>
        <w:t>.</w:t>
      </w:r>
    </w:p>
    <w:p w14:paraId="1EECAEA0" w14:textId="77777777" w:rsidR="001A4A08" w:rsidRPr="0063743B" w:rsidRDefault="001A4A08" w:rsidP="001A4A08">
      <w:pPr>
        <w:spacing w:after="0" w:line="276" w:lineRule="auto"/>
        <w:ind w:firstLine="708"/>
        <w:jc w:val="both"/>
        <w:rPr>
          <w:rFonts w:ascii="Verdana" w:eastAsia="Calibri" w:hAnsi="Verdana" w:cs="Arial"/>
          <w:color w:val="000000" w:themeColor="text1"/>
        </w:rPr>
      </w:pPr>
      <w:bookmarkStart w:id="6" w:name="_Hlk95756200"/>
    </w:p>
    <w:p w14:paraId="78F3FC53" w14:textId="77777777" w:rsidR="001A4A08" w:rsidRPr="0063743B" w:rsidRDefault="001A4A08" w:rsidP="001A4A08">
      <w:pPr>
        <w:spacing w:after="0" w:line="276" w:lineRule="auto"/>
        <w:ind w:firstLine="708"/>
        <w:jc w:val="both"/>
        <w:rPr>
          <w:rFonts w:ascii="Verdana" w:eastAsia="Calibri" w:hAnsi="Verdana" w:cs="Arial"/>
          <w:color w:val="000000" w:themeColor="text1"/>
        </w:rPr>
      </w:pPr>
      <w:r w:rsidRPr="0063743B">
        <w:rPr>
          <w:rFonts w:ascii="Verdana" w:eastAsia="Calibri" w:hAnsi="Verdana" w:cs="Arial"/>
          <w:color w:val="000000" w:themeColor="text1"/>
        </w:rPr>
        <w:t xml:space="preserve">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w:t>
      </w:r>
      <w:bookmarkEnd w:id="6"/>
      <w:r w:rsidRPr="0063743B">
        <w:rPr>
          <w:rFonts w:ascii="Verdana" w:eastAsia="Calibri" w:hAnsi="Verdana" w:cs="Arial"/>
          <w:color w:val="000000" w:themeColor="text1"/>
        </w:rPr>
        <w:t>Así lo reconoció la Corte Constitucional en la sentencia C-287 del 18 de abril de 2012, en la que sostuvo lo siguiente:</w:t>
      </w:r>
    </w:p>
    <w:p w14:paraId="4323F1F1" w14:textId="77777777" w:rsidR="001A4A08" w:rsidRPr="0063743B" w:rsidRDefault="001A4A08" w:rsidP="001A4A08">
      <w:pPr>
        <w:spacing w:after="0" w:line="276" w:lineRule="auto"/>
        <w:ind w:firstLine="708"/>
        <w:jc w:val="both"/>
        <w:rPr>
          <w:rFonts w:ascii="Verdana" w:eastAsia="Calibri" w:hAnsi="Verdana" w:cs="Arial"/>
          <w:color w:val="000000" w:themeColor="text1"/>
        </w:rPr>
      </w:pPr>
    </w:p>
    <w:p w14:paraId="550572B5" w14:textId="77777777" w:rsidR="001A4A08" w:rsidRPr="001F683E" w:rsidRDefault="001A4A08" w:rsidP="001A4A08">
      <w:pPr>
        <w:spacing w:line="240" w:lineRule="auto"/>
        <w:ind w:left="709"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4D0E6085" w14:textId="77777777" w:rsidR="001A4A08" w:rsidRPr="0063743B" w:rsidRDefault="001A4A08" w:rsidP="001A4A08">
      <w:pPr>
        <w:spacing w:after="0" w:line="240" w:lineRule="auto"/>
        <w:ind w:left="709" w:right="709"/>
        <w:jc w:val="both"/>
        <w:rPr>
          <w:rFonts w:ascii="Verdana" w:eastAsia="Calibri" w:hAnsi="Verdana" w:cs="Arial"/>
          <w:color w:val="000000" w:themeColor="text1"/>
          <w:sz w:val="21"/>
          <w:szCs w:val="21"/>
        </w:rPr>
      </w:pPr>
      <w:r w:rsidRPr="001F683E">
        <w:rPr>
          <w:rFonts w:ascii="Verdana" w:eastAsia="Calibri" w:hAnsi="Verdana" w:cs="Arial"/>
          <w:i/>
          <w:iCs/>
          <w:color w:val="000000" w:themeColor="text1"/>
          <w:sz w:val="20"/>
          <w:szCs w:val="20"/>
        </w:rPr>
        <w:t xml:space="preserve">Sin embargo, el hecho que no persigan una finalidad </w:t>
      </w:r>
      <w:proofErr w:type="gramStart"/>
      <w:r w:rsidRPr="001F683E">
        <w:rPr>
          <w:rFonts w:ascii="Verdana" w:eastAsia="Calibri" w:hAnsi="Verdana" w:cs="Arial"/>
          <w:i/>
          <w:iCs/>
          <w:color w:val="000000" w:themeColor="text1"/>
          <w:sz w:val="20"/>
          <w:szCs w:val="20"/>
        </w:rPr>
        <w:t>lucrativa,</w:t>
      </w:r>
      <w:proofErr w:type="gramEnd"/>
      <w:r w:rsidRPr="001F683E">
        <w:rPr>
          <w:rFonts w:ascii="Verdana" w:eastAsia="Calibri" w:hAnsi="Verdana" w:cs="Arial"/>
          <w:i/>
          <w:iCs/>
          <w:color w:val="000000" w:themeColor="text1"/>
          <w:sz w:val="20"/>
          <w:szCs w:val="20"/>
        </w:rPr>
        <w:t xml:space="preserve"> no significa que no desarrollen actividades que generen utilidades, lo que pasa es </w:t>
      </w:r>
      <w:proofErr w:type="gramStart"/>
      <w:r w:rsidRPr="001F683E">
        <w:rPr>
          <w:rFonts w:ascii="Verdana" w:eastAsia="Calibri" w:hAnsi="Verdana" w:cs="Arial"/>
          <w:i/>
          <w:iCs/>
          <w:color w:val="000000" w:themeColor="text1"/>
          <w:sz w:val="20"/>
          <w:szCs w:val="20"/>
        </w:rPr>
        <w:t>que</w:t>
      </w:r>
      <w:proofErr w:type="gramEnd"/>
      <w:r w:rsidRPr="001F683E">
        <w:rPr>
          <w:rFonts w:ascii="Verdana" w:eastAsia="Calibri" w:hAnsi="Verdana" w:cs="Arial"/>
          <w:i/>
          <w:iCs/>
          <w:color w:val="000000" w:themeColor="text1"/>
          <w:sz w:val="20"/>
          <w:szCs w:val="20"/>
        </w:rPr>
        <w:t xml:space="preserve"> a diferencia de las sociedades, el lucro o ganancia obtenida no se reparte entre sus </w:t>
      </w:r>
      <w:proofErr w:type="gramStart"/>
      <w:r w:rsidRPr="001F683E">
        <w:rPr>
          <w:rFonts w:ascii="Verdana" w:eastAsia="Calibri" w:hAnsi="Verdana" w:cs="Arial"/>
          <w:i/>
          <w:iCs/>
          <w:color w:val="000000" w:themeColor="text1"/>
          <w:sz w:val="20"/>
          <w:szCs w:val="20"/>
        </w:rPr>
        <w:t>miembros</w:t>
      </w:r>
      <w:proofErr w:type="gramEnd"/>
      <w:r w:rsidRPr="001F683E">
        <w:rPr>
          <w:rFonts w:ascii="Verdana" w:eastAsia="Calibri" w:hAnsi="Verdana" w:cs="Arial"/>
          <w:i/>
          <w:iCs/>
          <w:color w:val="000000" w:themeColor="text1"/>
          <w:sz w:val="20"/>
          <w:szCs w:val="20"/>
        </w:rPr>
        <w:t xml:space="preserve"> sino que se integra al patrimonio de la asociación para la obtención del fin deseado</w:t>
      </w:r>
      <w:r w:rsidRPr="001F683E">
        <w:rPr>
          <w:rFonts w:ascii="Verdana" w:eastAsia="Calibri" w:hAnsi="Verdana" w:cs="Arial"/>
          <w:color w:val="000000" w:themeColor="text1"/>
          <w:sz w:val="20"/>
          <w:szCs w:val="20"/>
        </w:rPr>
        <w:t xml:space="preserve">.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w:t>
      </w:r>
      <w:proofErr w:type="gramStart"/>
      <w:r w:rsidRPr="001F683E">
        <w:rPr>
          <w:rFonts w:ascii="Verdana" w:eastAsia="Calibri" w:hAnsi="Verdana" w:cs="Arial"/>
          <w:color w:val="000000" w:themeColor="text1"/>
          <w:sz w:val="20"/>
          <w:szCs w:val="20"/>
        </w:rPr>
        <w:t>del mismo</w:t>
      </w:r>
      <w:proofErr w:type="gramEnd"/>
      <w:r w:rsidRPr="001F683E">
        <w:rPr>
          <w:rFonts w:ascii="Verdana" w:eastAsia="Calibri" w:hAnsi="Verdana" w:cs="Arial"/>
          <w:color w:val="000000" w:themeColor="text1"/>
          <w:sz w:val="20"/>
          <w:szCs w:val="20"/>
        </w:rPr>
        <w:t xml:space="preserve"> en el momento de su disolución o liquidación”. (Cursivas propias)</w:t>
      </w:r>
    </w:p>
    <w:p w14:paraId="3B99B532" w14:textId="77777777" w:rsidR="001A4A08" w:rsidRPr="0063743B" w:rsidRDefault="001A4A08" w:rsidP="001A4A08">
      <w:pPr>
        <w:spacing w:after="0" w:line="276" w:lineRule="auto"/>
        <w:ind w:firstLine="709"/>
        <w:jc w:val="both"/>
        <w:rPr>
          <w:rFonts w:ascii="Verdana" w:eastAsia="Calibri" w:hAnsi="Verdana" w:cs="Arial"/>
          <w:color w:val="000000" w:themeColor="text1"/>
        </w:rPr>
      </w:pPr>
    </w:p>
    <w:p w14:paraId="12C901B4" w14:textId="77777777" w:rsidR="001A4A08" w:rsidRDefault="001A4A08" w:rsidP="001A4A08">
      <w:pPr>
        <w:spacing w:after="0" w:line="276" w:lineRule="auto"/>
        <w:ind w:firstLine="709"/>
        <w:jc w:val="both"/>
        <w:rPr>
          <w:rFonts w:ascii="Verdana" w:eastAsia="Calibri" w:hAnsi="Verdana" w:cs="Arial"/>
          <w:color w:val="000000" w:themeColor="text1"/>
        </w:rPr>
      </w:pPr>
      <w:r w:rsidRPr="0063743B">
        <w:rPr>
          <w:rFonts w:ascii="Verdana" w:eastAsia="Calibri" w:hAnsi="Verdana" w:cs="Arial"/>
          <w:color w:val="000000" w:themeColor="text1"/>
        </w:rPr>
        <w:t xml:space="preserve">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w:t>
      </w:r>
      <w:r w:rsidRPr="0063743B">
        <w:rPr>
          <w:rFonts w:ascii="Verdana" w:eastAsia="Calibri" w:hAnsi="Verdana" w:cs="Arial"/>
          <w:color w:val="000000" w:themeColor="text1"/>
        </w:rPr>
        <w:lastRenderedPageBreak/>
        <w:t>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44531541" w14:textId="77777777" w:rsidR="001A4A08" w:rsidRDefault="001A4A08" w:rsidP="001A4A08">
      <w:pPr>
        <w:spacing w:after="0" w:line="276" w:lineRule="auto"/>
        <w:jc w:val="both"/>
        <w:rPr>
          <w:rFonts w:ascii="Verdana" w:eastAsia="Calibri" w:hAnsi="Verdana" w:cs="Arial"/>
          <w:color w:val="000000" w:themeColor="text1"/>
        </w:rPr>
      </w:pPr>
    </w:p>
    <w:p w14:paraId="426347AA" w14:textId="77777777" w:rsidR="001A4A08" w:rsidRPr="001F4636" w:rsidRDefault="001A4A08" w:rsidP="001A4A08">
      <w:pPr>
        <w:spacing w:line="276" w:lineRule="auto"/>
        <w:jc w:val="both"/>
        <w:rPr>
          <w:rFonts w:ascii="Verdana" w:eastAsia="Calibri" w:hAnsi="Verdana" w:cs="Arial"/>
          <w:color w:val="000000" w:themeColor="text1"/>
        </w:rPr>
      </w:pPr>
      <w:proofErr w:type="spellStart"/>
      <w:r w:rsidRPr="001F4636">
        <w:rPr>
          <w:rFonts w:ascii="Verdana" w:eastAsia="Calibri" w:hAnsi="Verdana" w:cs="Arial"/>
          <w:color w:val="000000" w:themeColor="text1"/>
        </w:rPr>
        <w:t>ii</w:t>
      </w:r>
      <w:proofErr w:type="spellEnd"/>
      <w:r>
        <w:rPr>
          <w:rFonts w:ascii="Verdana" w:eastAsia="Calibri" w:hAnsi="Verdana" w:cs="Arial"/>
          <w:color w:val="000000" w:themeColor="text1"/>
        </w:rPr>
        <w:t>)</w:t>
      </w:r>
      <w:r w:rsidRPr="001F4636">
        <w:rPr>
          <w:rFonts w:ascii="Verdana" w:eastAsia="Calibri" w:hAnsi="Verdana" w:cs="Arial"/>
          <w:color w:val="000000" w:themeColor="text1"/>
        </w:rPr>
        <w:t xml:space="preserve"> </w:t>
      </w:r>
      <w:r>
        <w:rPr>
          <w:rFonts w:ascii="Verdana" w:eastAsia="Calibri" w:hAnsi="Verdana" w:cs="Arial"/>
          <w:color w:val="000000" w:themeColor="text1"/>
        </w:rPr>
        <w:t>E</w:t>
      </w:r>
      <w:r w:rsidRPr="001F4636">
        <w:rPr>
          <w:rFonts w:ascii="Verdana" w:eastAsia="Calibri" w:hAnsi="Verdana" w:cs="Arial"/>
          <w:color w:val="000000" w:themeColor="text1"/>
        </w:rPr>
        <w:t xml:space="preserve">l </w:t>
      </w:r>
      <w:r>
        <w:rPr>
          <w:rFonts w:ascii="Verdana" w:eastAsia="Calibri" w:hAnsi="Verdana" w:cs="Arial"/>
          <w:color w:val="000000" w:themeColor="text1"/>
        </w:rPr>
        <w:t xml:space="preserve">Consejo de Estado </w:t>
      </w:r>
      <w:r w:rsidRPr="001F4636">
        <w:rPr>
          <w:rFonts w:ascii="Verdana" w:eastAsia="Calibri" w:hAnsi="Verdana" w:cs="Arial"/>
          <w:color w:val="000000" w:themeColor="text1"/>
        </w:rPr>
        <w:t>estudió la solicitud de suspensión provisional del inciso 2 del artículo 1, literales a y c del artículo 2, inciso 5 del artículo 2, inciso 2 del artículo 3, inciso final del artículo 4 y artículo 5 del Decreto 092 de 2017</w:t>
      </w:r>
      <w:r w:rsidRPr="001F4636">
        <w:rPr>
          <w:rStyle w:val="Refdenotaalpie"/>
          <w:rFonts w:ascii="Verdana" w:eastAsia="Calibri" w:hAnsi="Verdana" w:cs="Arial"/>
          <w:color w:val="000000" w:themeColor="text1"/>
        </w:rPr>
        <w:footnoteReference w:id="9"/>
      </w:r>
      <w:r w:rsidRPr="001F4636">
        <w:rPr>
          <w:rFonts w:ascii="Verdana" w:eastAsia="Calibri" w:hAnsi="Verdana" w:cs="Arial"/>
          <w:color w:val="000000" w:themeColor="text1"/>
        </w:rPr>
        <w:t>. Cabe precisar que las decisiones adoptadas en el auto fueron mantenidas en su mayoría en el Auto del 15 de marzo de 2022 de la Sala Plena del Consejo de Estado</w:t>
      </w:r>
      <w:r w:rsidRPr="001F4636">
        <w:rPr>
          <w:rFonts w:ascii="Verdana" w:eastAsia="Calibri" w:hAnsi="Verdana" w:cs="Arial"/>
          <w:color w:val="000000" w:themeColor="text1"/>
          <w:vertAlign w:val="superscript"/>
        </w:rPr>
        <w:footnoteReference w:id="10"/>
      </w:r>
      <w:r w:rsidRPr="001F4636">
        <w:rPr>
          <w:rFonts w:ascii="Verdana" w:eastAsia="Calibri" w:hAnsi="Verdana" w:cs="Arial"/>
          <w:color w:val="000000" w:themeColor="text1"/>
        </w:rPr>
        <w:t xml:space="preserve">, mediante el cual se resuelve el recurso de súplica frente al anterior auto que, como se explicará, suspendió provisionalmente varios apartes del Decreto 092 de 2017. En este sentido, en el último auto se levantó la suspensión provisional del inciso segundo del artículo 1 y del inciso segundo del artículo 3, manteniendo en lo demás la suspensión provisional, como se precisará a continuación. </w:t>
      </w:r>
    </w:p>
    <w:p w14:paraId="75C1118E" w14:textId="77777777" w:rsidR="001A4A08" w:rsidRPr="001F4636" w:rsidRDefault="001A4A08" w:rsidP="001A4A08">
      <w:pPr>
        <w:spacing w:before="120" w:after="0" w:line="276" w:lineRule="auto"/>
        <w:ind w:firstLine="708"/>
        <w:jc w:val="both"/>
        <w:rPr>
          <w:rFonts w:ascii="Verdana" w:eastAsia="Calibri" w:hAnsi="Verdana" w:cs="Arial"/>
          <w:color w:val="000000" w:themeColor="text1"/>
        </w:rPr>
      </w:pPr>
      <w:r w:rsidRPr="001F4636">
        <w:rPr>
          <w:rFonts w:ascii="Verdana" w:eastAsia="Calibri" w:hAnsi="Verdana" w:cs="Arial"/>
          <w:color w:val="000000" w:themeColor="text1"/>
        </w:rPr>
        <w:t xml:space="preserve">La </w:t>
      </w:r>
      <w:r w:rsidRPr="001F4636">
        <w:rPr>
          <w:rFonts w:ascii="Verdana" w:eastAsia="Calibri" w:hAnsi="Verdana" w:cs="Arial"/>
          <w:i/>
          <w:iCs/>
          <w:color w:val="000000" w:themeColor="text1"/>
        </w:rPr>
        <w:t>primera</w:t>
      </w:r>
      <w:r w:rsidRPr="001F4636">
        <w:rPr>
          <w:rFonts w:ascii="Verdana" w:eastAsia="Calibri" w:hAnsi="Verdana" w:cs="Arial"/>
          <w:color w:val="000000" w:themeColor="text1"/>
        </w:rPr>
        <w:t xml:space="preserve"> norma que estudió el Consejo de Estado en el auto del 6 de agosto de 2019 fue el inciso 2 del artículo 1 del Decreto 092 de 2017, el cual establece que la interpretación de las expresiones que se encuentran en mayúsculas en el Decreto 092 de 2017 se harían de conformidad con la guía que expida la Agencia Nacional de Contratación Pública</w:t>
      </w:r>
      <w:r w:rsidRPr="001F4636">
        <w:rPr>
          <w:rStyle w:val="Refdenotaalpie"/>
          <w:rFonts w:ascii="Verdana" w:eastAsia="Calibri" w:hAnsi="Verdana" w:cs="Arial"/>
          <w:color w:val="000000" w:themeColor="text1"/>
        </w:rPr>
        <w:footnoteReference w:id="11"/>
      </w:r>
      <w:r w:rsidRPr="001F4636">
        <w:rPr>
          <w:rFonts w:ascii="Verdana" w:eastAsia="Calibri" w:hAnsi="Verdana" w:cs="Arial"/>
          <w:color w:val="000000" w:themeColor="text1"/>
        </w:rPr>
        <w:t>. Señaló que esta disposición, así como el inciso segundo del artículo 3 del Decreto 092 de 2017</w:t>
      </w:r>
      <w:r w:rsidRPr="001F4636">
        <w:rPr>
          <w:rStyle w:val="Refdenotaalpie"/>
          <w:rFonts w:ascii="Verdana" w:eastAsia="Calibri" w:hAnsi="Verdana" w:cs="Arial"/>
          <w:color w:val="000000" w:themeColor="text1"/>
        </w:rPr>
        <w:footnoteReference w:id="12"/>
      </w:r>
      <w:r w:rsidRPr="001F4636">
        <w:rPr>
          <w:rFonts w:ascii="Verdana" w:eastAsia="Calibri" w:hAnsi="Verdana" w:cs="Arial"/>
          <w:color w:val="000000" w:themeColor="text1"/>
        </w:rPr>
        <w:t xml:space="preserve">, excedían la potestad reglamentaria, que estaba exclusivamente asignada al </w:t>
      </w:r>
      <w:r w:rsidRPr="001F4636">
        <w:rPr>
          <w:rFonts w:ascii="Verdana" w:eastAsia="Calibri" w:hAnsi="Verdana" w:cs="Arial"/>
          <w:color w:val="000000" w:themeColor="text1"/>
        </w:rPr>
        <w:lastRenderedPageBreak/>
        <w:t xml:space="preserve">Presidente de la República, toda vez que la esencia de la facultad reglamentaria es de carácter permanente, inalienable, intransferible e irrenunciable, y el Presidente no la podía delegar en una entidad como la Agencia Nacional de Contratación Pública – Colombia Compra Eficiente, para que a través de una guía reglamentara los vacíos de un Decreto. Al respecto señaló: </w:t>
      </w:r>
    </w:p>
    <w:p w14:paraId="0ACB7BC3" w14:textId="77777777" w:rsidR="001A4A08" w:rsidRPr="001F4636" w:rsidRDefault="001A4A08" w:rsidP="001A4A08">
      <w:pPr>
        <w:spacing w:after="0" w:line="276" w:lineRule="auto"/>
        <w:jc w:val="both"/>
        <w:rPr>
          <w:rFonts w:ascii="Verdana" w:eastAsia="Calibri" w:hAnsi="Verdana" w:cs="Arial"/>
          <w:color w:val="000000" w:themeColor="text1"/>
        </w:rPr>
      </w:pPr>
    </w:p>
    <w:p w14:paraId="3B578F07" w14:textId="77777777" w:rsidR="001A4A08" w:rsidRPr="001F683E" w:rsidRDefault="001A4A08" w:rsidP="001A4A08">
      <w:pPr>
        <w:tabs>
          <w:tab w:val="left" w:pos="8789"/>
        </w:tabs>
        <w:spacing w:after="0" w:line="240" w:lineRule="auto"/>
        <w:ind w:left="708"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“En efecto, dejar espacios ‘vacíos’ para que Colombia Compra Eficiente defina el alcance y la interpretación de ciertas expresiones y dicte las ‘pautas’ y ‘criterios’ para desarrollar la materia reglamentada no es otra cosa que delegar la reglamentación, pues materialmente se le encomienda a otra autoridad administrativa la labor de completar el ejercicio reglamentario que hizo el Gobierno Nacional o, cuando menos, se le encomienda la tarea de complementar una reglamentación insuficiente que hizo la autoridad competente, tarea que no puede ser asignada por el Presidente de la República a ningún otro organismo o entidad de la administración (distinto del Gobierno Nacional), puesto que, sin duda, quien estaría concurriendo materialmente en tal caso a reglamentar la norma constitucional sería la autoridad delegataria y no el competente para ello, según lo dispuesto por el constituyente”.</w:t>
      </w:r>
    </w:p>
    <w:p w14:paraId="2916D94F" w14:textId="77777777" w:rsidR="001A4A08" w:rsidRPr="001F4636" w:rsidRDefault="001A4A08" w:rsidP="001A4A08">
      <w:pPr>
        <w:tabs>
          <w:tab w:val="left" w:pos="8789"/>
        </w:tabs>
        <w:spacing w:after="0" w:line="276" w:lineRule="auto"/>
        <w:ind w:left="708" w:right="709"/>
        <w:jc w:val="both"/>
        <w:rPr>
          <w:rFonts w:ascii="Verdana" w:eastAsia="Calibri" w:hAnsi="Verdana" w:cs="Arial"/>
          <w:color w:val="000000" w:themeColor="text1"/>
        </w:rPr>
      </w:pPr>
    </w:p>
    <w:p w14:paraId="6C9B7666" w14:textId="77777777" w:rsidR="001A4A08" w:rsidRPr="001F4636" w:rsidRDefault="001A4A08" w:rsidP="001A4A08">
      <w:pPr>
        <w:spacing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En virtud de este análisis, el Consejo de Estado, en el auto del 9 de agosto de 2019</w:t>
      </w:r>
      <w:r>
        <w:rPr>
          <w:rFonts w:ascii="Verdana" w:eastAsia="Calibri" w:hAnsi="Verdana" w:cs="Arial"/>
          <w:color w:val="000000" w:themeColor="text1"/>
        </w:rPr>
        <w:t>,</w:t>
      </w:r>
      <w:r w:rsidRPr="001F4636">
        <w:rPr>
          <w:rFonts w:ascii="Verdana" w:eastAsia="Calibri" w:hAnsi="Verdana" w:cs="Arial"/>
          <w:color w:val="000000" w:themeColor="text1"/>
        </w:rPr>
        <w:t xml:space="preserve"> suspendió provisionalmente el inciso 2 del artículo primero y el inciso 2 del artículo 3, lo que significaba que los contratos celebrados con entidades sin ánimo de lucro no tenían que aplicar la “Guía para la contratación con entidades privadas sin ánimo de lucro y de reconocida idoneidad”, expedida por la Agencia Nacional de Contratación Pública–Colombia Compra Eficiente. Sin embargo, mediante el auto del 15 de marzo de 2022 de la Sala Plena del Consejo de Estado, al que se hizo referencia en inicio de este acápite, se ordenó levantar la suspensión provisional del inciso segundo del artículo 1 y del inciso segundo del artículo 3, al considerar la Alta Corporación que:</w:t>
      </w:r>
    </w:p>
    <w:p w14:paraId="231A2AEE" w14:textId="77777777" w:rsidR="001A4A08" w:rsidRPr="001F4636" w:rsidRDefault="001A4A08" w:rsidP="001A4A08">
      <w:pPr>
        <w:spacing w:after="0" w:line="276" w:lineRule="auto"/>
        <w:ind w:firstLine="709"/>
        <w:jc w:val="both"/>
        <w:rPr>
          <w:rFonts w:ascii="Verdana" w:eastAsia="Calibri" w:hAnsi="Verdana" w:cs="Arial"/>
          <w:color w:val="000000" w:themeColor="text1"/>
        </w:rPr>
      </w:pPr>
    </w:p>
    <w:p w14:paraId="3DEDBA50" w14:textId="77777777" w:rsidR="001A4A08" w:rsidRPr="001F683E" w:rsidRDefault="001A4A08" w:rsidP="001A4A08">
      <w:pPr>
        <w:spacing w:after="0" w:line="240" w:lineRule="auto"/>
        <w:ind w:left="708"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“28. Contrario a la conclusión a la que se arribó en el auto suplicado, la Sala observa que de la simple confrontación de la norma no se advierte, prima facie, que lo ordenado en el inciso segundo del artículo 1, así como en el inciso segundo del artículo 3 del Decreto 092 de 2017, conlleve, per se, la delegación de la facultad reglamentaria directa de la Constitución, atribuida al Gobierno nacional en el artículo 355 superior”.</w:t>
      </w:r>
    </w:p>
    <w:p w14:paraId="64115E56" w14:textId="77777777" w:rsidR="001A4A08" w:rsidRPr="001F4636" w:rsidRDefault="001A4A08" w:rsidP="001A4A08">
      <w:pPr>
        <w:spacing w:after="0" w:line="276" w:lineRule="auto"/>
        <w:ind w:left="708" w:right="709"/>
        <w:jc w:val="both"/>
        <w:rPr>
          <w:rFonts w:ascii="Verdana" w:eastAsia="Calibri" w:hAnsi="Verdana" w:cs="Arial"/>
          <w:color w:val="000000" w:themeColor="text1"/>
        </w:rPr>
      </w:pPr>
    </w:p>
    <w:p w14:paraId="095CE9D4" w14:textId="77777777" w:rsidR="001A4A08" w:rsidRPr="001F4636" w:rsidRDefault="001A4A08" w:rsidP="001A4A08">
      <w:pPr>
        <w:spacing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En armonía con lo anterior, en relación con el inciso segundo del artículo primero del Decreto 092 de 2017, que establece que las expresiones utilizadas </w:t>
      </w:r>
      <w:r w:rsidRPr="001F4636">
        <w:rPr>
          <w:rFonts w:ascii="Verdana" w:eastAsia="Calibri" w:hAnsi="Verdana" w:cs="Arial"/>
          <w:color w:val="000000" w:themeColor="text1"/>
        </w:rPr>
        <w:lastRenderedPageBreak/>
        <w:t xml:space="preserve">en el decreto con mayúscula inicial deben ser entendidas con el significado indicado en la guía que expida la Agencia Nacional de Contratación Pública – Colombia Compra Eficiente, el Consejo de Estado consideró procedente levantar la suspensión provisional, al considerar que: </w:t>
      </w:r>
    </w:p>
    <w:p w14:paraId="4C8322A9" w14:textId="77777777" w:rsidR="001A4A08" w:rsidRPr="001F4636" w:rsidRDefault="001A4A08" w:rsidP="001A4A08">
      <w:pPr>
        <w:spacing w:after="0" w:line="276" w:lineRule="auto"/>
        <w:ind w:firstLine="709"/>
        <w:jc w:val="both"/>
        <w:rPr>
          <w:rFonts w:ascii="Verdana" w:eastAsia="Calibri" w:hAnsi="Verdana" w:cs="Arial"/>
          <w:color w:val="000000" w:themeColor="text1"/>
        </w:rPr>
      </w:pPr>
    </w:p>
    <w:p w14:paraId="5DD59385" w14:textId="77777777" w:rsidR="001A4A08" w:rsidRPr="001F683E" w:rsidRDefault="001A4A08" w:rsidP="001A4A08">
      <w:pPr>
        <w:spacing w:after="0" w:line="240" w:lineRule="auto"/>
        <w:ind w:left="708"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“35. En esa medida determinó el Gobierno nacional que para la interpretación del decreto que nos ocupa, las expresiones utilizadas con mayúscula inicial deben ser entendidas con el significado indicado en la guía que expida la Agencia Nacional de Contratación Pública –Colombia Compra Eficiente– para su correspondiente aplicación, lo que implica una orientación tendiente a propiciar una integración normativa con definiciones que ya existen en el ordenamiento jurídico y que fundamentará la interpretación de dichas expresiones. En este orden de ideas, no existe habilitación a Colombia Compra Eficiente para crear definiciones normativas de estas expresiones, sino que de las que ya cuenta el ordenamiento jurídico realiza la guía. Por ello, no hay delegación de la competencia para crear el decreto constitucional que le compete al Gobierno nacional”.</w:t>
      </w:r>
    </w:p>
    <w:p w14:paraId="65894542" w14:textId="77777777" w:rsidR="001A4A08" w:rsidRPr="001F4636" w:rsidRDefault="001A4A08" w:rsidP="001A4A08">
      <w:pPr>
        <w:spacing w:after="0" w:line="276" w:lineRule="auto"/>
        <w:ind w:firstLine="709"/>
        <w:jc w:val="both"/>
        <w:rPr>
          <w:rFonts w:ascii="Verdana" w:eastAsia="Calibri" w:hAnsi="Verdana" w:cs="Arial"/>
          <w:color w:val="000000" w:themeColor="text1"/>
        </w:rPr>
      </w:pPr>
    </w:p>
    <w:p w14:paraId="5E32DD0D" w14:textId="77777777" w:rsidR="001A4A08" w:rsidRPr="001F4636" w:rsidRDefault="001A4A08" w:rsidP="001A4A08">
      <w:pPr>
        <w:spacing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Además, en relación con el inciso segundo del artículo 3, que establece que la entidad estatal debe definir en los documentos del proceso las características que debe acreditar la entidad sin ánimo de lucro, para lo que deberá tener en consideración los criterios establecidos en la guía que expida Colombia Compra Eficiente, el Consejo de Estado también resolvió levantar la suspensión provisional, al considerar que el análisis sobre su validez se debe reservar para el momento en que se profiera la sentencia respectiva, pues, a su juicio, no resulta evidente que se haya delegado indebidamente el ejercicio de la potestad reglamentaria</w:t>
      </w:r>
      <w:r w:rsidRPr="001F4636">
        <w:rPr>
          <w:rStyle w:val="Refdenotaalpie"/>
          <w:rFonts w:ascii="Verdana" w:eastAsia="Calibri" w:hAnsi="Verdana" w:cs="Arial"/>
          <w:color w:val="000000" w:themeColor="text1"/>
        </w:rPr>
        <w:footnoteReference w:id="13"/>
      </w:r>
      <w:r w:rsidRPr="001F4636">
        <w:rPr>
          <w:rFonts w:ascii="Verdana" w:eastAsia="Calibri" w:hAnsi="Verdana" w:cs="Arial"/>
          <w:color w:val="000000" w:themeColor="text1"/>
        </w:rPr>
        <w:t>.</w:t>
      </w:r>
    </w:p>
    <w:p w14:paraId="60572106" w14:textId="77777777" w:rsidR="001A4A08" w:rsidRPr="001F4636" w:rsidRDefault="001A4A08" w:rsidP="001A4A08">
      <w:pPr>
        <w:spacing w:before="12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lastRenderedPageBreak/>
        <w:t>Ahora bien, cabe precisar que mediante el auto del 15 de marzo de 2022 de la Sala Plena del Consejo de Estado únicamente se levantó la suspensión provisional de las normas desarrolladas hasta este lugar, por lo que, en lo demás, se confirmó la decisión de suspensión provisional de los demás apartes del Decreto 019 de 2017 dictada en el auto del 6 de agosto de 2019, como se procede a explicar.</w:t>
      </w:r>
    </w:p>
    <w:p w14:paraId="099AD333" w14:textId="77777777" w:rsidR="001A4A08" w:rsidRPr="001F4636" w:rsidRDefault="001A4A08" w:rsidP="001A4A08">
      <w:pPr>
        <w:spacing w:before="120"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La </w:t>
      </w:r>
      <w:r w:rsidRPr="001F4636">
        <w:rPr>
          <w:rFonts w:ascii="Verdana" w:eastAsia="Calibri" w:hAnsi="Verdana" w:cs="Arial"/>
          <w:i/>
          <w:iCs/>
          <w:color w:val="000000" w:themeColor="text1"/>
        </w:rPr>
        <w:t>segunda</w:t>
      </w:r>
      <w:r w:rsidRPr="001F4636">
        <w:rPr>
          <w:rFonts w:ascii="Verdana" w:eastAsia="Calibri" w:hAnsi="Verdana" w:cs="Arial"/>
          <w:color w:val="000000" w:themeColor="text1"/>
        </w:rPr>
        <w:t xml:space="preserve"> norma que analizó el Consejo de Estado en el auto del 6 de agosto de 2019, fue el literal a), del artículo 2, del Decreto 092, que establece que únicamente se podrá contratar con entidades privadas sin ánimo de lucro cuando el objeto corresponda directamente con los planes de desarrollo y busque exclusivamente promover los derechos de personas en situación de debilidad manifiesta o indefensión, los derechos de las minorías, el derecho a la educación, el derecho a la paz, las manifestaciones artísticas, culturales, deportivas y de promoción de la diversidad étnica colombiana</w:t>
      </w:r>
      <w:r w:rsidRPr="001F4636">
        <w:rPr>
          <w:rStyle w:val="Refdenotaalpie"/>
          <w:rFonts w:ascii="Verdana" w:hAnsi="Verdana" w:cs="Arial"/>
          <w:color w:val="000000" w:themeColor="text1"/>
        </w:rPr>
        <w:footnoteReference w:id="14"/>
      </w:r>
      <w:r w:rsidRPr="001F4636">
        <w:rPr>
          <w:rFonts w:ascii="Verdana" w:eastAsia="Calibri" w:hAnsi="Verdana" w:cs="Arial"/>
          <w:color w:val="000000" w:themeColor="text1"/>
        </w:rPr>
        <w:t xml:space="preserve">. </w:t>
      </w:r>
      <w:bookmarkStart w:id="7" w:name="_Hlk95756502"/>
      <w:r w:rsidRPr="001F4636">
        <w:rPr>
          <w:rFonts w:ascii="Verdana" w:eastAsia="Calibri" w:hAnsi="Verdana" w:cs="Arial"/>
          <w:color w:val="000000" w:themeColor="text1"/>
        </w:rPr>
        <w:t xml:space="preserve">En relación con esta norma, encontró que el literal a) del artículo 2 establece dos condiciones contrarias al artículo 355 de la Constitución Política: primero, que el objeto tenga que estar “directamente” en los planes de desarrollo –nacional o territorial– cuando la norma constitucional establece que el objeto debe ser “acorde” con el plan nacional o seccional de desarrollo, lo que implica que el objeto del contrato no debe estar explícitamente en el plan de desarrollo sino que se encuentre en armonía con este. </w:t>
      </w:r>
      <w:bookmarkEnd w:id="7"/>
      <w:r w:rsidRPr="001F4636">
        <w:rPr>
          <w:rFonts w:ascii="Verdana" w:eastAsia="Calibri" w:hAnsi="Verdana" w:cs="Arial"/>
          <w:color w:val="000000" w:themeColor="text1"/>
        </w:rPr>
        <w:t xml:space="preserve">En relación con lo anterior, el auto del Consejo de Estado explica que: </w:t>
      </w:r>
    </w:p>
    <w:p w14:paraId="13A51436" w14:textId="77777777" w:rsidR="001A4A08" w:rsidRPr="001F4636" w:rsidRDefault="001A4A08" w:rsidP="001A4A08">
      <w:pPr>
        <w:spacing w:after="0" w:line="276" w:lineRule="auto"/>
        <w:jc w:val="both"/>
        <w:rPr>
          <w:rFonts w:ascii="Verdana" w:eastAsia="Calibri" w:hAnsi="Verdana" w:cs="Arial"/>
          <w:color w:val="000000" w:themeColor="text1"/>
        </w:rPr>
      </w:pPr>
    </w:p>
    <w:p w14:paraId="3F051670" w14:textId="77777777" w:rsidR="001A4A08" w:rsidRPr="001F683E" w:rsidRDefault="001A4A08" w:rsidP="001A4A08">
      <w:pPr>
        <w:spacing w:after="0" w:line="240" w:lineRule="auto"/>
        <w:ind w:left="708"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 xml:space="preserve">“El aparte acusado exige que el objeto del contrato corresponda directamente a los programas contenidos en los diferentes planes de desarrollo, pero ello, así concebido, es propio de los procesos de selección a los que deben someterse los contratos ordinarios de la administración pública; al respecto, recuérdese que los contratos referidos en el mencionado artículo 355 no están sometidos a la lógica de los contratos ordinarios, pues tienen como finalidad impulsar los programas y actividades de interés público que desarrollen las entidades sin ánimo de lucro, para lo cual únicamente se exige que sean acordes con los que, a su vez, estén contemplados en los correspondientes planes de desarrollo”. </w:t>
      </w:r>
    </w:p>
    <w:p w14:paraId="413A90B8" w14:textId="77777777" w:rsidR="001A4A08" w:rsidRPr="001F4636" w:rsidRDefault="001A4A08" w:rsidP="001A4A08">
      <w:pPr>
        <w:spacing w:after="0" w:line="276" w:lineRule="auto"/>
        <w:jc w:val="both"/>
        <w:rPr>
          <w:rFonts w:ascii="Verdana" w:eastAsia="Calibri" w:hAnsi="Verdana" w:cs="Arial"/>
          <w:color w:val="000000" w:themeColor="text1"/>
        </w:rPr>
      </w:pPr>
    </w:p>
    <w:p w14:paraId="7ECEA800" w14:textId="77777777" w:rsidR="001A4A08" w:rsidRPr="001F4636" w:rsidRDefault="001A4A08" w:rsidP="001A4A08">
      <w:pPr>
        <w:spacing w:after="0" w:line="276" w:lineRule="auto"/>
        <w:ind w:firstLine="708"/>
        <w:jc w:val="both"/>
        <w:rPr>
          <w:rFonts w:ascii="Verdana" w:eastAsia="Calibri" w:hAnsi="Verdana" w:cs="Arial"/>
          <w:color w:val="000000" w:themeColor="text1"/>
        </w:rPr>
      </w:pPr>
      <w:r w:rsidRPr="001F4636">
        <w:rPr>
          <w:rFonts w:ascii="Verdana" w:eastAsia="Calibri" w:hAnsi="Verdana" w:cs="Arial"/>
          <w:color w:val="000000" w:themeColor="text1"/>
        </w:rPr>
        <w:t xml:space="preserve">Asimismo, el Consejo de Estado consideró que el literal a) del artículo 2, al establecer que los programas y actividades de interés público deben buscar la promoción de los derechos de personas en situaciones de debilidad manifiesta o de indefensión, los derechos de las minorías, el derecho a la educación, el derecho a la paz, las manifestaciones artísticas, culturales, deportivas y de promoción de la diversidad étnica colombiana, limita el ámbito de aplicación que establece el artículo 355 de la Constitución Política. Al respecto expresa: </w:t>
      </w:r>
    </w:p>
    <w:p w14:paraId="590FFAF0" w14:textId="77777777" w:rsidR="001A4A08" w:rsidRPr="001F4636" w:rsidRDefault="001A4A08" w:rsidP="001A4A08">
      <w:pPr>
        <w:spacing w:after="0" w:line="276" w:lineRule="auto"/>
        <w:jc w:val="both"/>
        <w:rPr>
          <w:rFonts w:ascii="Verdana" w:eastAsia="Calibri" w:hAnsi="Verdana" w:cs="Arial"/>
          <w:color w:val="000000" w:themeColor="text1"/>
        </w:rPr>
      </w:pPr>
    </w:p>
    <w:p w14:paraId="551ABB9A" w14:textId="77777777" w:rsidR="001A4A08" w:rsidRPr="001F683E" w:rsidRDefault="001A4A08" w:rsidP="001A4A08">
      <w:pPr>
        <w:tabs>
          <w:tab w:val="left" w:pos="8080"/>
        </w:tabs>
        <w:spacing w:after="0" w:line="240" w:lineRule="auto"/>
        <w:ind w:left="708"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 xml:space="preserve">“Una limitación del anterior calado implica, sin duda, establecer una condición no prevista en la norma constitucional reglamentada. Esta última solo establece una restricción y es que la “causa” del contrato tenga como finalidad “… impulsar programas y actividades de interés público acordes con el plan de desarrollo”, mientras que, por su parte, la norma acusada limita la celebración de tales contratos a que tengan como objeto la promoción de las actividades enunciadas anteriormente [letra a, art. 2 ibidem]. Si la norma constitucional restringe sólo la causa o la finalidad del contrato, quiere decir ello que, independientemente de su objeto, puede celebrarse en cualquier modalidad, siempre y cuando –claro está– su causa sea “acorde” con los planes de desarrollo, que es, en últimas, el propósito de la norma constitucional”. </w:t>
      </w:r>
    </w:p>
    <w:p w14:paraId="7D9BEACB" w14:textId="77777777" w:rsidR="001A4A08" w:rsidRPr="001F4636" w:rsidRDefault="001A4A08" w:rsidP="001A4A08">
      <w:pPr>
        <w:spacing w:after="0" w:line="276" w:lineRule="auto"/>
        <w:jc w:val="both"/>
        <w:rPr>
          <w:rFonts w:ascii="Verdana" w:eastAsia="Calibri" w:hAnsi="Verdana" w:cs="Arial"/>
          <w:color w:val="000000" w:themeColor="text1"/>
        </w:rPr>
      </w:pPr>
      <w:r w:rsidRPr="001F4636">
        <w:rPr>
          <w:rFonts w:ascii="Verdana" w:eastAsia="Calibri" w:hAnsi="Verdana" w:cs="Arial"/>
          <w:color w:val="000000" w:themeColor="text1"/>
        </w:rPr>
        <w:t xml:space="preserve"> </w:t>
      </w:r>
    </w:p>
    <w:p w14:paraId="618B6481" w14:textId="77777777" w:rsidR="001A4A08" w:rsidRPr="001F4636" w:rsidRDefault="001A4A08" w:rsidP="001A4A08">
      <w:pPr>
        <w:spacing w:line="276" w:lineRule="auto"/>
        <w:ind w:firstLine="709"/>
        <w:jc w:val="both"/>
        <w:rPr>
          <w:rFonts w:ascii="Verdana" w:eastAsia="Calibri" w:hAnsi="Verdana" w:cs="Arial"/>
          <w:color w:val="000000" w:themeColor="text1"/>
        </w:rPr>
      </w:pPr>
      <w:bookmarkStart w:id="8" w:name="_Hlk95756534"/>
      <w:r w:rsidRPr="001F4636">
        <w:rPr>
          <w:rFonts w:ascii="Verdana" w:eastAsia="Calibri" w:hAnsi="Verdana" w:cs="Arial"/>
          <w:color w:val="000000" w:themeColor="text1"/>
        </w:rPr>
        <w:t>Así las cosas, el Consejo de Estado suspendió provisionalmente el literal a), por lo cual el objeto de los contratos debe ser acorde con los planes nacionales o seccionales de desarrollo; y no necesariamente estar previstos directamente en ellos. Por lo demás, no solo se pueden celebrar contratos para los objetos específicos señalados en el Decreto 092 de 2017.</w:t>
      </w:r>
    </w:p>
    <w:bookmarkEnd w:id="8"/>
    <w:p w14:paraId="3B9BA552" w14:textId="77777777" w:rsidR="001A4A08" w:rsidRPr="001F4636" w:rsidRDefault="001A4A08" w:rsidP="001A4A08">
      <w:pPr>
        <w:spacing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El Consejo de Estado, en el auto del 6 de agosto de 2019, en </w:t>
      </w:r>
      <w:r w:rsidRPr="001F4636">
        <w:rPr>
          <w:rFonts w:ascii="Verdana" w:eastAsia="Calibri" w:hAnsi="Verdana" w:cs="Arial"/>
          <w:i/>
          <w:iCs/>
          <w:color w:val="000000" w:themeColor="text1"/>
        </w:rPr>
        <w:t>tercer</w:t>
      </w:r>
      <w:r w:rsidRPr="001F4636">
        <w:rPr>
          <w:rFonts w:ascii="Verdana" w:eastAsia="Calibri" w:hAnsi="Verdana" w:cs="Arial"/>
          <w:color w:val="000000" w:themeColor="text1"/>
        </w:rPr>
        <w:t xml:space="preserve"> lugar, examinó el literal c) y el inciso 5 del artículo 2 del Decreto</w:t>
      </w:r>
      <w:r w:rsidRPr="001F4636">
        <w:rPr>
          <w:rStyle w:val="Refdenotaalpie"/>
          <w:rFonts w:ascii="Verdana" w:eastAsia="Calibri" w:hAnsi="Verdana" w:cs="Arial"/>
          <w:color w:val="000000" w:themeColor="text1"/>
        </w:rPr>
        <w:footnoteReference w:id="15"/>
      </w:r>
      <w:r w:rsidRPr="001F4636">
        <w:rPr>
          <w:rFonts w:ascii="Verdana" w:eastAsia="Calibri" w:hAnsi="Verdana" w:cs="Arial"/>
          <w:color w:val="000000" w:themeColor="text1"/>
        </w:rPr>
        <w:t xml:space="preserve">, señalando que contraría la norma constitucional al condicionar que los contratos solo se pueden celebrar cuando no exista oferta en el mercado, sometiendo su celebración a que, de existir oferta, la contratación con las entidades sin ánimo de lucro represente la optimización de los recursos públicos en términos de eficiencia, </w:t>
      </w:r>
      <w:r w:rsidRPr="001F4636">
        <w:rPr>
          <w:rFonts w:ascii="Verdana" w:eastAsia="Calibri" w:hAnsi="Verdana" w:cs="Arial"/>
          <w:color w:val="000000" w:themeColor="text1"/>
        </w:rPr>
        <w:lastRenderedPageBreak/>
        <w:t xml:space="preserve">eficacia, economía y manejo del riesgo, toda vez que se desconocería la naturaleza de las entidades sin ánimo de lucro que implica que ellas no participan en el mercado de bienes y servicios de la misma forma que las demás sociedades. En este sentido, el Consejo de Estado manifestó: </w:t>
      </w:r>
    </w:p>
    <w:p w14:paraId="5D220950" w14:textId="77777777" w:rsidR="001A4A08" w:rsidRPr="001F4636" w:rsidRDefault="001A4A08" w:rsidP="001A4A08">
      <w:pPr>
        <w:spacing w:after="0" w:line="276" w:lineRule="auto"/>
        <w:jc w:val="both"/>
        <w:rPr>
          <w:rFonts w:ascii="Verdana" w:eastAsia="Calibri" w:hAnsi="Verdana" w:cs="Arial"/>
          <w:color w:val="000000" w:themeColor="text1"/>
        </w:rPr>
      </w:pPr>
    </w:p>
    <w:p w14:paraId="7DCC29AF" w14:textId="77777777" w:rsidR="001A4A08" w:rsidRPr="001F683E" w:rsidRDefault="001A4A08" w:rsidP="001A4A08">
      <w:pPr>
        <w:spacing w:after="0" w:line="240" w:lineRule="auto"/>
        <w:ind w:left="708"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“El propósito de garantizar la libre competencia en el mercado –como se advierte de la lectura del acto acusado– no se ajusta a la finalidad de la norma constitucional en cita, pues desconoce que las entidades sin ánimo de lucro no participan en el mercado de bienes y servicios como lo hacen las demás y, por la misma razón, no se les pueden aplicar las reglas de selección contenidas en el Estatuto General de la Contratación Pública. Las entidades a las cuales la norma constitucional busca apoyar son entidades que (i) no tienen ánimo de lucro y (</w:t>
      </w:r>
      <w:proofErr w:type="spellStart"/>
      <w:r w:rsidRPr="001F683E">
        <w:rPr>
          <w:rFonts w:ascii="Verdana" w:eastAsia="Calibri" w:hAnsi="Verdana" w:cs="Arial"/>
          <w:color w:val="000000" w:themeColor="text1"/>
          <w:sz w:val="20"/>
          <w:szCs w:val="20"/>
        </w:rPr>
        <w:t>ii</w:t>
      </w:r>
      <w:proofErr w:type="spellEnd"/>
      <w:r w:rsidRPr="001F683E">
        <w:rPr>
          <w:rFonts w:ascii="Verdana" w:eastAsia="Calibri" w:hAnsi="Verdana" w:cs="Arial"/>
          <w:color w:val="000000" w:themeColor="text1"/>
          <w:sz w:val="20"/>
          <w:szCs w:val="20"/>
        </w:rPr>
        <w:t>) desarrollan programas y actividades de interés público con reconocida idoneidad. No son, entonces, entidades creadas para competir en el mercado”.</w:t>
      </w:r>
    </w:p>
    <w:p w14:paraId="1C6826CC" w14:textId="77777777" w:rsidR="001A4A08" w:rsidRPr="001F4636" w:rsidRDefault="001A4A08" w:rsidP="001A4A08">
      <w:pPr>
        <w:spacing w:after="0" w:line="276" w:lineRule="auto"/>
        <w:jc w:val="both"/>
        <w:rPr>
          <w:rFonts w:ascii="Verdana" w:eastAsia="Calibri" w:hAnsi="Verdana" w:cs="Arial"/>
          <w:color w:val="000000" w:themeColor="text1"/>
        </w:rPr>
      </w:pPr>
    </w:p>
    <w:p w14:paraId="62A51C46" w14:textId="77777777" w:rsidR="001A4A08" w:rsidRPr="001F4636" w:rsidRDefault="001A4A08" w:rsidP="001A4A08">
      <w:pPr>
        <w:spacing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Por tanto, suspendió provisionalmente el literal c) y el inciso 5º del artículo 2 del Decreto 092 de 2017, razón por la cual los procesos de contratación con entidades privadas sin ánimo de lucro no quedan condicionados a la inexistencia de oferta en el mercado de bienes y servicios, ni a que la ESAL garantice la mejor oferta y la optimización de los recursos públicos. Lo anterior, en la medida que estas condiciones son propias de la contratación del Estatuto General de Contratación de la Administración Pública, no del régimen jurídico especial que establece el artículo 355 de la Constitución Política.</w:t>
      </w:r>
    </w:p>
    <w:p w14:paraId="733AA429" w14:textId="77777777" w:rsidR="001A4A08" w:rsidRPr="001F4636" w:rsidRDefault="001A4A08" w:rsidP="001A4A08">
      <w:pPr>
        <w:spacing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La </w:t>
      </w:r>
      <w:r w:rsidRPr="001F4636">
        <w:rPr>
          <w:rFonts w:ascii="Verdana" w:eastAsia="Calibri" w:hAnsi="Verdana" w:cs="Arial"/>
          <w:i/>
          <w:iCs/>
          <w:color w:val="000000" w:themeColor="text1"/>
        </w:rPr>
        <w:t>cuarta</w:t>
      </w:r>
      <w:r w:rsidRPr="001F4636">
        <w:rPr>
          <w:rFonts w:ascii="Verdana" w:eastAsia="Calibri" w:hAnsi="Verdana" w:cs="Arial"/>
          <w:color w:val="000000" w:themeColor="text1"/>
        </w:rPr>
        <w:t xml:space="preserve"> norma que estudió el Consejo de Estado en el auto del 6 de agosto de 2019 fue el inciso final del artículo 4 del Decreto 092 de 2017, el cual hace referencia a la posibilidad de contratar directamente cuando el objeto del contrato esté relacionado con actividades artísticas, culturales, deportivas y de promoción de la diversidad étnica colombiana, que únicamente pueden ejecutar determinadas personas jurídicas o naturales</w:t>
      </w:r>
      <w:r w:rsidRPr="001F4636">
        <w:rPr>
          <w:rStyle w:val="Refdenotaalpie"/>
          <w:rFonts w:ascii="Verdana" w:eastAsia="Calibri" w:hAnsi="Verdana" w:cs="Arial"/>
          <w:color w:val="000000" w:themeColor="text1"/>
        </w:rPr>
        <w:footnoteReference w:id="16"/>
      </w:r>
      <w:r w:rsidRPr="001F4636">
        <w:rPr>
          <w:rFonts w:ascii="Verdana" w:eastAsia="Calibri" w:hAnsi="Verdana" w:cs="Arial"/>
          <w:color w:val="000000" w:themeColor="text1"/>
        </w:rPr>
        <w:t xml:space="preserve">. Para la Sala, esta norma vulnera el principio de igualdad, por establecer un privilegio para determinadas personas jurídicas o naturales que ejecutaran únicamente las actividades allí previstas, contratándolas sin realizar un proceso competitivo. El Consejo de Estado se pronunció en los siguientes términos: </w:t>
      </w:r>
    </w:p>
    <w:p w14:paraId="2BB8A6F7" w14:textId="77777777" w:rsidR="001A4A08" w:rsidRPr="001F4636" w:rsidRDefault="001A4A08" w:rsidP="001A4A08">
      <w:pPr>
        <w:spacing w:after="0" w:line="276" w:lineRule="auto"/>
        <w:jc w:val="both"/>
        <w:rPr>
          <w:rFonts w:ascii="Verdana" w:eastAsia="Calibri" w:hAnsi="Verdana" w:cs="Arial"/>
          <w:color w:val="000000" w:themeColor="text1"/>
        </w:rPr>
      </w:pPr>
    </w:p>
    <w:p w14:paraId="65EA2520" w14:textId="77777777" w:rsidR="001A4A08" w:rsidRPr="001F683E" w:rsidRDefault="001A4A08" w:rsidP="001A4A08">
      <w:pPr>
        <w:spacing w:after="0" w:line="240" w:lineRule="auto"/>
        <w:ind w:left="708"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w:t>
      </w:r>
      <w:proofErr w:type="gramStart"/>
      <w:r w:rsidRPr="001F683E">
        <w:rPr>
          <w:rFonts w:ascii="Verdana" w:eastAsia="Calibri" w:hAnsi="Verdana" w:cs="Arial"/>
          <w:color w:val="000000" w:themeColor="text1"/>
          <w:sz w:val="20"/>
          <w:szCs w:val="20"/>
        </w:rPr>
        <w:t>Puestas</w:t>
      </w:r>
      <w:proofErr w:type="gramEnd"/>
      <w:r w:rsidRPr="001F683E">
        <w:rPr>
          <w:rFonts w:ascii="Verdana" w:eastAsia="Calibri" w:hAnsi="Verdana" w:cs="Arial"/>
          <w:color w:val="000000" w:themeColor="text1"/>
          <w:sz w:val="20"/>
          <w:szCs w:val="20"/>
        </w:rPr>
        <w:t xml:space="preserve"> así las cosas, el despacho no encuentra motivo alguno para que se prescinda del proceso de selección cuando se identifique que el programa o actividad de interés público es ofrecido por más de una persona –natural o jurídica– simple y llanamente porque el objeto del proceso de contratación corresponda a actividades artísticas, culturales, deportivas y de promoción de la diversidad étnica. Esta razón, por tanto, es suficiente para concluir que el Gobierno Nacional le otorgó un tratamiento privilegiado a quienes desarrollen tales actividades (artísticas, culturales, deportivas y de promoción de la diversidad étnica) lo cual resulta claramente violatorio de la igualdad que debe gobernar este tipo de procedimientos contractuales. No se entiende, entonces, cuál es la razón para que se le asigne un tratamiento distinto a la contratación con este tipo de actividades (artísticas, culturales, deportivas y de promoción a la diversidad étnica) frente a las actividades de interés público de otra naturaleza”. </w:t>
      </w:r>
    </w:p>
    <w:p w14:paraId="629F1CD5" w14:textId="77777777" w:rsidR="001A4A08" w:rsidRPr="001F4636" w:rsidRDefault="001A4A08" w:rsidP="001A4A08">
      <w:pPr>
        <w:spacing w:after="0" w:line="276" w:lineRule="auto"/>
        <w:ind w:firstLine="709"/>
        <w:jc w:val="both"/>
        <w:rPr>
          <w:rFonts w:ascii="Verdana" w:eastAsia="Calibri" w:hAnsi="Verdana" w:cs="Arial"/>
          <w:color w:val="000000" w:themeColor="text1"/>
        </w:rPr>
      </w:pPr>
      <w:bookmarkStart w:id="9" w:name="_Hlk95756891"/>
    </w:p>
    <w:p w14:paraId="0D21F9EA" w14:textId="77777777" w:rsidR="001A4A08" w:rsidRPr="001F4636" w:rsidRDefault="001A4A08" w:rsidP="001A4A08">
      <w:pPr>
        <w:spacing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Por consiguiente, se suspendió provisionalmente el inciso final del artículo 4 por violar el principio de igualdad, de manera que la contratación de actividades y programas de interés público debe realizarse a través de un proceso competitivo para escoger a la entidad sin ánimo de lucro. </w:t>
      </w:r>
      <w:bookmarkEnd w:id="9"/>
      <w:r w:rsidRPr="001F4636">
        <w:rPr>
          <w:rFonts w:ascii="Verdana" w:eastAsia="Calibri" w:hAnsi="Verdana" w:cs="Arial"/>
          <w:color w:val="000000" w:themeColor="text1"/>
        </w:rPr>
        <w:t xml:space="preserve">En estos procesos, entonces, se debe acudir a los criterios aplicables a los otros negocios jurídicos que regula el Decreto 092 de 2017, particularmente las exigencias del artículo 2 </w:t>
      </w:r>
      <w:r w:rsidRPr="001F4636">
        <w:rPr>
          <w:rFonts w:ascii="Verdana" w:eastAsia="Calibri" w:hAnsi="Verdana" w:cs="Arial"/>
          <w:i/>
          <w:iCs/>
          <w:color w:val="000000" w:themeColor="text1"/>
        </w:rPr>
        <w:t>ibidem</w:t>
      </w:r>
      <w:r w:rsidRPr="001F4636">
        <w:rPr>
          <w:rFonts w:ascii="Verdana" w:eastAsia="Calibri" w:hAnsi="Verdana" w:cs="Arial"/>
          <w:color w:val="000000" w:themeColor="text1"/>
        </w:rPr>
        <w:t xml:space="preserve">. Incluso, habría que tener en cuenta las exigencias del inciso 2 del artículo 4 </w:t>
      </w:r>
      <w:proofErr w:type="spellStart"/>
      <w:r w:rsidRPr="001F4636">
        <w:rPr>
          <w:rFonts w:ascii="Verdana" w:eastAsia="Calibri" w:hAnsi="Verdana" w:cs="Arial"/>
          <w:i/>
          <w:iCs/>
          <w:color w:val="000000" w:themeColor="text1"/>
        </w:rPr>
        <w:t>íbídem</w:t>
      </w:r>
      <w:proofErr w:type="spellEnd"/>
      <w:r w:rsidRPr="001F4636">
        <w:rPr>
          <w:rFonts w:ascii="Verdana" w:eastAsia="Calibri" w:hAnsi="Verdana" w:cs="Arial"/>
          <w:color w:val="000000" w:themeColor="text1"/>
        </w:rPr>
        <w:t>, siempre que se configuren los supuestos de aplicación de dicha normativa, esto es, siempre que exista más de una entidad sin ánimo de lucro de reconocida idoneidad.</w:t>
      </w:r>
    </w:p>
    <w:p w14:paraId="6B7D3403" w14:textId="77777777" w:rsidR="001A4A08" w:rsidRPr="001F4636" w:rsidRDefault="001A4A08" w:rsidP="001A4A08">
      <w:pPr>
        <w:spacing w:before="120" w:line="276" w:lineRule="auto"/>
        <w:ind w:firstLine="709"/>
        <w:jc w:val="both"/>
        <w:rPr>
          <w:rFonts w:ascii="Verdana" w:eastAsia="Calibri" w:hAnsi="Verdana" w:cs="Arial"/>
          <w:color w:val="000000" w:themeColor="text1"/>
        </w:rPr>
      </w:pPr>
      <w:bookmarkStart w:id="10" w:name="_Hlk95757095"/>
      <w:r w:rsidRPr="001F4636">
        <w:rPr>
          <w:rFonts w:ascii="Verdana" w:eastAsia="Calibri" w:hAnsi="Verdana" w:cs="Arial"/>
          <w:color w:val="000000" w:themeColor="text1"/>
        </w:rPr>
        <w:t xml:space="preserve">Por último, en </w:t>
      </w:r>
      <w:r w:rsidRPr="001F4636">
        <w:rPr>
          <w:rFonts w:ascii="Verdana" w:eastAsia="Calibri" w:hAnsi="Verdana" w:cs="Arial"/>
          <w:i/>
          <w:iCs/>
          <w:color w:val="000000" w:themeColor="text1"/>
        </w:rPr>
        <w:t xml:space="preserve">quinto </w:t>
      </w:r>
      <w:r w:rsidRPr="001F4636">
        <w:rPr>
          <w:rFonts w:ascii="Verdana" w:eastAsia="Calibri" w:hAnsi="Verdana" w:cs="Arial"/>
          <w:color w:val="000000" w:themeColor="text1"/>
        </w:rPr>
        <w:t xml:space="preserve">lugar, el Consejo de Estado en el auto del 6 de agosto de 2019 analizó la solicitud de suspensión del artículo 5 del Decreto 092 de 2017, que reglamenta los convenios de asociación que prevé el artículo 96 de la Ley 489 de 1998. Concluyó que el análisis de esta norma debe realizarse a profundidad para establecer si efectivamente existe una contradicción normativa que implique que se afectó la competencia del legislador. En </w:t>
      </w:r>
      <w:proofErr w:type="gramStart"/>
      <w:r w:rsidRPr="001F4636">
        <w:rPr>
          <w:rFonts w:ascii="Verdana" w:eastAsia="Calibri" w:hAnsi="Verdana" w:cs="Arial"/>
          <w:color w:val="000000" w:themeColor="text1"/>
        </w:rPr>
        <w:t>consecuencia</w:t>
      </w:r>
      <w:proofErr w:type="gramEnd"/>
      <w:r w:rsidRPr="001F4636">
        <w:rPr>
          <w:rFonts w:ascii="Verdana" w:eastAsia="Calibri" w:hAnsi="Verdana" w:cs="Arial"/>
          <w:color w:val="000000" w:themeColor="text1"/>
        </w:rPr>
        <w:t xml:space="preserve"> negó la solicitud de suspensión provisional, reservando el análisis sobre la legalidad de dicho artículo a la sentencia. </w:t>
      </w:r>
    </w:p>
    <w:p w14:paraId="3D414529" w14:textId="77777777" w:rsidR="001A4A08" w:rsidRPr="001F4636" w:rsidRDefault="001A4A08" w:rsidP="001A4A08">
      <w:pPr>
        <w:spacing w:before="120"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La Sala Plena del Consejo de Estado en Auto del 15 de marzo de 2022 estima que debe mantenerse la suspensión provisional del literal a) del artículo 2 del Decreto 092 de 2017. Lo anterior en la medida que esta restringe y </w:t>
      </w:r>
      <w:r w:rsidRPr="001F4636">
        <w:rPr>
          <w:rFonts w:ascii="Verdana" w:eastAsia="Calibri" w:hAnsi="Verdana" w:cs="Arial"/>
          <w:color w:val="000000" w:themeColor="text1"/>
        </w:rPr>
        <w:lastRenderedPageBreak/>
        <w:t>contraria la finalidad de apoyo y fomento prevista en el artículo 355 de la Constitución Política, pues –pese a que la norma superior no hizo diferenciación alguna al respecto– el decreto limita su órbita de aplicación a un catálogo de actividades y programas de interés público susceptibles de este mecanismo</w:t>
      </w:r>
      <w:r w:rsidRPr="001F4636">
        <w:rPr>
          <w:rStyle w:val="Refdenotaalpie"/>
          <w:rFonts w:ascii="Verdana" w:eastAsia="Calibri" w:hAnsi="Verdana" w:cs="Arial"/>
          <w:color w:val="000000" w:themeColor="text1"/>
        </w:rPr>
        <w:footnoteReference w:id="17"/>
      </w:r>
      <w:r w:rsidRPr="001F4636">
        <w:rPr>
          <w:rFonts w:ascii="Verdana" w:eastAsia="Calibri" w:hAnsi="Verdana" w:cs="Arial"/>
          <w:color w:val="000000" w:themeColor="text1"/>
        </w:rPr>
        <w:t xml:space="preserve">. Por lo demás, respecto al inciso final del artículo 4 </w:t>
      </w:r>
      <w:r w:rsidRPr="001F4636">
        <w:rPr>
          <w:rFonts w:ascii="Verdana" w:eastAsia="Calibri" w:hAnsi="Verdana" w:cs="Arial"/>
          <w:i/>
          <w:iCs/>
          <w:color w:val="000000" w:themeColor="text1"/>
        </w:rPr>
        <w:t>ibidem</w:t>
      </w:r>
      <w:r w:rsidRPr="001F4636">
        <w:rPr>
          <w:rFonts w:ascii="Verdana" w:eastAsia="Calibri" w:hAnsi="Verdana" w:cs="Arial"/>
          <w:color w:val="000000" w:themeColor="text1"/>
        </w:rPr>
        <w:t>, el Consejo de Estado mantiene la medida cautelar al configurarse el cargo de violación del principio de igualdad. Para estos efectos, considera que:</w:t>
      </w:r>
    </w:p>
    <w:p w14:paraId="0C07094B" w14:textId="77777777" w:rsidR="001A4A08" w:rsidRPr="001F4636" w:rsidRDefault="001A4A08" w:rsidP="001A4A08">
      <w:pPr>
        <w:spacing w:after="0" w:line="276" w:lineRule="auto"/>
        <w:ind w:firstLine="709"/>
        <w:jc w:val="both"/>
        <w:rPr>
          <w:rFonts w:ascii="Verdana" w:eastAsia="Calibri" w:hAnsi="Verdana" w:cs="Arial"/>
          <w:color w:val="000000" w:themeColor="text1"/>
        </w:rPr>
      </w:pPr>
    </w:p>
    <w:p w14:paraId="04FC3C18" w14:textId="77777777" w:rsidR="001A4A08" w:rsidRPr="001F683E" w:rsidRDefault="001A4A08" w:rsidP="001A4A08">
      <w:pPr>
        <w:spacing w:after="120" w:line="240" w:lineRule="auto"/>
        <w:ind w:left="709"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 xml:space="preserve">“73. […] la simple afirmación referida a que existe una relación inherente entre el producto del contrato y el contratista en las actividades exceptuadas del proceso competitivo de selección no permite concluir, razonablemente, que en las demás actividades de interés general aquello no se presente, o que, por ese simple hecho, merezcan un trato diferente. </w:t>
      </w:r>
    </w:p>
    <w:p w14:paraId="5B9A20E3" w14:textId="77777777" w:rsidR="001A4A08" w:rsidRPr="001F683E" w:rsidRDefault="001A4A08" w:rsidP="001A4A08">
      <w:pPr>
        <w:spacing w:after="0" w:line="240" w:lineRule="auto"/>
        <w:ind w:left="709"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74. En efecto, si en otros ámbitos de actividad de interés público que pueden adelantar entidades privadas sin ánimo de lucro se llega a presentar la situación de que sólo una de ellas esté en capacidad de realizarla, no será factible contratar directamente con ella, puesto que no hace parte de las actividades enunciadas en la norma: de índole artística, cultural, deportiva o de promoción de la diversidad étnica”</w:t>
      </w:r>
      <w:r w:rsidRPr="001F683E">
        <w:rPr>
          <w:rStyle w:val="Refdenotaalpie"/>
          <w:rFonts w:ascii="Verdana" w:eastAsia="Calibri" w:hAnsi="Verdana" w:cs="Arial"/>
          <w:color w:val="000000" w:themeColor="text1"/>
          <w:sz w:val="20"/>
          <w:szCs w:val="20"/>
        </w:rPr>
        <w:footnoteReference w:id="18"/>
      </w:r>
      <w:r w:rsidRPr="001F683E">
        <w:rPr>
          <w:rFonts w:ascii="Verdana" w:eastAsia="Calibri" w:hAnsi="Verdana" w:cs="Arial"/>
          <w:color w:val="000000" w:themeColor="text1"/>
          <w:sz w:val="20"/>
          <w:szCs w:val="20"/>
        </w:rPr>
        <w:t xml:space="preserve">.  </w:t>
      </w:r>
    </w:p>
    <w:p w14:paraId="42EC78D6" w14:textId="77777777" w:rsidR="001A4A08" w:rsidRPr="001F4636" w:rsidRDefault="001A4A08" w:rsidP="001A4A08">
      <w:pPr>
        <w:spacing w:after="0" w:line="276" w:lineRule="auto"/>
        <w:ind w:firstLine="709"/>
        <w:jc w:val="both"/>
        <w:rPr>
          <w:rFonts w:ascii="Verdana" w:eastAsia="Calibri" w:hAnsi="Verdana" w:cs="Arial"/>
          <w:color w:val="000000" w:themeColor="text1"/>
        </w:rPr>
      </w:pPr>
    </w:p>
    <w:p w14:paraId="04E47174" w14:textId="77777777" w:rsidR="001A4A08" w:rsidRPr="001F4636" w:rsidRDefault="001A4A08" w:rsidP="001A4A08">
      <w:pPr>
        <w:spacing w:line="276" w:lineRule="auto"/>
        <w:ind w:firstLine="709"/>
        <w:jc w:val="both"/>
        <w:rPr>
          <w:rFonts w:ascii="Verdana" w:eastAsia="Calibri" w:hAnsi="Verdana" w:cs="Arial"/>
          <w:color w:val="000000" w:themeColor="text1"/>
        </w:rPr>
      </w:pPr>
      <w:bookmarkStart w:id="12" w:name="_Hlk95757157"/>
      <w:bookmarkEnd w:id="10"/>
      <w:r w:rsidRPr="001F4636">
        <w:rPr>
          <w:rFonts w:ascii="Verdana" w:hAnsi="Verdana" w:cs="Arial"/>
          <w:color w:val="000000" w:themeColor="text1"/>
        </w:rPr>
        <w:t xml:space="preserve">De lo anterior se desprende que la contratación con entidades sin ánimo de lucro se sigue rigiendo por el Decreto 092 de 2017, salvo lo que fue objeto de suspensión provisional. Por lo tanto, las entidades públicas que desean celebrar contratos de interés público, en los términos del artículo 355 de la Constitución Política, deberán contratar con ESAL de reconocida idoneidad, como ya se dijo, realizando un proceso competitivo, y teniendo en cuenta lo siguiente: i) no debe condicionarse el proceso de contratación a la inexistencia de oferta en el mercado de bienes y servicios; </w:t>
      </w:r>
      <w:proofErr w:type="spellStart"/>
      <w:r w:rsidRPr="001F4636">
        <w:rPr>
          <w:rFonts w:ascii="Verdana" w:hAnsi="Verdana" w:cs="Arial"/>
          <w:color w:val="000000" w:themeColor="text1"/>
        </w:rPr>
        <w:t>ii</w:t>
      </w:r>
      <w:proofErr w:type="spellEnd"/>
      <w:r w:rsidRPr="001F4636">
        <w:rPr>
          <w:rFonts w:ascii="Verdana" w:hAnsi="Verdana" w:cs="Arial"/>
          <w:color w:val="000000" w:themeColor="text1"/>
        </w:rPr>
        <w:t xml:space="preserve">) tampoco debe condicionarse a que la contratación con las ESAL garantice la optimización de los recursos públicos en términos de eficiencia, eficacia, economía y manejo del riesgo; </w:t>
      </w:r>
      <w:proofErr w:type="spellStart"/>
      <w:r w:rsidRPr="001F4636">
        <w:rPr>
          <w:rFonts w:ascii="Verdana" w:hAnsi="Verdana" w:cs="Arial"/>
          <w:color w:val="000000" w:themeColor="text1"/>
        </w:rPr>
        <w:t>iii</w:t>
      </w:r>
      <w:proofErr w:type="spellEnd"/>
      <w:r w:rsidRPr="001F4636">
        <w:rPr>
          <w:rFonts w:ascii="Verdana" w:hAnsi="Verdana" w:cs="Arial"/>
          <w:color w:val="000000" w:themeColor="text1"/>
        </w:rPr>
        <w:t xml:space="preserve">) el objeto del contrato debe estar acorde con el plan nacional o seccional de desarrollo; </w:t>
      </w:r>
      <w:proofErr w:type="spellStart"/>
      <w:r w:rsidRPr="001F4636">
        <w:rPr>
          <w:rFonts w:ascii="Verdana" w:hAnsi="Verdana" w:cs="Arial"/>
          <w:color w:val="000000" w:themeColor="text1"/>
        </w:rPr>
        <w:t>iv</w:t>
      </w:r>
      <w:proofErr w:type="spellEnd"/>
      <w:r w:rsidRPr="001F4636">
        <w:rPr>
          <w:rFonts w:ascii="Verdana" w:hAnsi="Verdana" w:cs="Arial"/>
          <w:color w:val="000000" w:themeColor="text1"/>
        </w:rPr>
        <w:t xml:space="preserve">) no puede condicionarse únicamente a que las actividades o programas correspondan exclusivamente a promover los derechos de personas en situación </w:t>
      </w:r>
      <w:r w:rsidRPr="001F4636">
        <w:rPr>
          <w:rFonts w:ascii="Verdana" w:hAnsi="Verdana" w:cs="Arial"/>
          <w:color w:val="000000" w:themeColor="text1"/>
        </w:rPr>
        <w:lastRenderedPageBreak/>
        <w:t xml:space="preserve">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1F4636">
        <w:rPr>
          <w:rFonts w:ascii="Verdana" w:hAnsi="Verdana" w:cs="Arial"/>
          <w:color w:val="000000" w:themeColor="text1"/>
        </w:rPr>
        <w:t>iii</w:t>
      </w:r>
      <w:proofErr w:type="spellEnd"/>
      <w:r w:rsidRPr="001F4636">
        <w:rPr>
          <w:rFonts w:ascii="Verdana" w:hAnsi="Verdana" w:cs="Arial"/>
          <w:color w:val="000000" w:themeColor="text1"/>
        </w:rPr>
        <w:t>); y v) el contrato no debe establecer una relación conmutativa en el cual haya una contraprestación directa a favor de la entidad, ni instrucciones precisas dadas por esta al contratista para cumplir con el objeto del contrato.</w:t>
      </w:r>
    </w:p>
    <w:p w14:paraId="4AE11C19" w14:textId="77777777" w:rsidR="001A4A08" w:rsidRPr="001F4636" w:rsidRDefault="001A4A08" w:rsidP="001A4A08">
      <w:pPr>
        <w:spacing w:before="120"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Ahora, si se pretende realizar un </w:t>
      </w:r>
      <w:r w:rsidRPr="001F4636">
        <w:rPr>
          <w:rFonts w:ascii="Verdana" w:eastAsia="Calibri" w:hAnsi="Verdana" w:cs="Arial"/>
          <w:i/>
          <w:iCs/>
          <w:color w:val="000000" w:themeColor="text1"/>
        </w:rPr>
        <w:t>convenio de asociación</w:t>
      </w:r>
      <w:r w:rsidRPr="001F4636">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De esta manera, </w:t>
      </w:r>
      <w:bookmarkEnd w:id="12"/>
      <w:r w:rsidRPr="001F4636">
        <w:rPr>
          <w:rFonts w:ascii="Verdana" w:eastAsia="Calibri" w:hAnsi="Verdana" w:cs="Arial"/>
          <w:color w:val="000000" w:themeColor="text1"/>
        </w:rPr>
        <w:t>deben estar sujetos a competencia, salvo en aquellos casos en que una entidad sin ánimo de lucro comprometa recursos en dinero por un valor igual o superior al 30% del valor total del convenio</w:t>
      </w:r>
      <w:r w:rsidRPr="001F4636">
        <w:rPr>
          <w:rStyle w:val="Refdenotaalpie"/>
          <w:rFonts w:ascii="Verdana" w:hAnsi="Verdana" w:cs="Arial"/>
          <w:color w:val="000000" w:themeColor="text1"/>
          <w:sz w:val="20"/>
          <w:szCs w:val="20"/>
        </w:rPr>
        <w:footnoteReference w:id="19"/>
      </w:r>
      <w:r w:rsidRPr="001F4636">
        <w:rPr>
          <w:rFonts w:ascii="Verdana" w:eastAsia="Calibri" w:hAnsi="Verdana" w:cs="Arial"/>
          <w:color w:val="000000" w:themeColor="text1"/>
        </w:rPr>
        <w:t xml:space="preserve">, y siempre que la entidad estatal verifique previamente que no existe ninguna otra entidad sin ánimo de lucro que ofrezca aportes iguales o superiores al 30%. </w:t>
      </w:r>
      <w:r w:rsidRPr="001F4636">
        <w:rPr>
          <w:rFonts w:ascii="Verdana" w:eastAsia="Calibri" w:hAnsi="Verdana" w:cs="Arial"/>
          <w:color w:val="000000"/>
        </w:rPr>
        <w:t>Lo anterior sin perjuicio de las restricciones previstas en el artículo 33 de la Ley de Garantías durante el periodo preelectoral de las elecciones presidenciales para los procesos no competitivos</w:t>
      </w:r>
      <w:r w:rsidRPr="001F4636">
        <w:rPr>
          <w:rFonts w:ascii="Verdana" w:eastAsia="Calibri" w:hAnsi="Verdana" w:cs="Arial"/>
          <w:color w:val="000000" w:themeColor="text1"/>
        </w:rPr>
        <w:t>.</w:t>
      </w:r>
    </w:p>
    <w:p w14:paraId="38FFC453" w14:textId="77777777" w:rsidR="001A4A08" w:rsidRDefault="001A4A08" w:rsidP="001A4A08">
      <w:pPr>
        <w:spacing w:before="120" w:after="0" w:line="276" w:lineRule="auto"/>
        <w:ind w:firstLine="709"/>
        <w:jc w:val="both"/>
        <w:rPr>
          <w:rFonts w:ascii="Verdana" w:hAnsi="Verdana" w:cs="Arial"/>
          <w:color w:val="000000" w:themeColor="text1"/>
        </w:rPr>
      </w:pPr>
      <w:r w:rsidRPr="001F4636">
        <w:rPr>
          <w:rFonts w:ascii="Verdana" w:eastAsia="Calibri" w:hAnsi="Verdana" w:cs="Arial"/>
          <w:color w:val="000000" w:themeColor="text1"/>
        </w:rPr>
        <w:t xml:space="preserve">Independientemente de que se trate de </w:t>
      </w:r>
      <w:r w:rsidRPr="001F4636">
        <w:rPr>
          <w:rFonts w:ascii="Verdana" w:hAnsi="Verdana" w:cs="Arial"/>
          <w:color w:val="000000" w:themeColor="text1"/>
        </w:rPr>
        <w:t>contratos de interés público, en los términos del artículo 355 de la Constitución Política, o de convenios de asociación del artículo 96 de la Ley 489 de 1998, en ambos negocios jurídicos aplica el régimen de inhabilidades e incompatibilidades de las entidades sometidas al Estatuto General de Contratación Pública. Al respecto, el artículo 6 del Decreto 092 de 2017 dispone que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 Este reglamento autónomo también remite a los principios de la contratación estatal y a las normas presupuestales –art. 7–, así como de las normas generales de la contratación pública excepto en lo reglamentado en dicho decreto –art. 8–.</w:t>
      </w:r>
    </w:p>
    <w:p w14:paraId="471B6471" w14:textId="77777777" w:rsidR="001A4A08" w:rsidRDefault="001A4A08" w:rsidP="001A4A08">
      <w:pPr>
        <w:spacing w:after="0" w:line="276" w:lineRule="auto"/>
        <w:ind w:firstLine="709"/>
        <w:jc w:val="both"/>
        <w:rPr>
          <w:rFonts w:ascii="Verdana" w:hAnsi="Verdana" w:cs="Arial"/>
          <w:color w:val="000000" w:themeColor="text1"/>
        </w:rPr>
      </w:pPr>
    </w:p>
    <w:p w14:paraId="00E9170D" w14:textId="77777777" w:rsidR="001A4A08" w:rsidRPr="00323178" w:rsidRDefault="001A4A08" w:rsidP="001A4A08">
      <w:pPr>
        <w:spacing w:after="120" w:line="276" w:lineRule="auto"/>
        <w:jc w:val="both"/>
        <w:rPr>
          <w:rFonts w:ascii="Verdana" w:eastAsia="Calibri" w:hAnsi="Verdana" w:cs="Arial"/>
        </w:rPr>
      </w:pPr>
      <w:proofErr w:type="spellStart"/>
      <w:r>
        <w:rPr>
          <w:rFonts w:ascii="Verdana" w:hAnsi="Verdana" w:cs="Arial"/>
          <w:color w:val="000000" w:themeColor="text1"/>
        </w:rPr>
        <w:lastRenderedPageBreak/>
        <w:t>iii</w:t>
      </w:r>
      <w:proofErr w:type="spellEnd"/>
      <w:r>
        <w:rPr>
          <w:rFonts w:ascii="Verdana" w:hAnsi="Verdana" w:cs="Arial"/>
          <w:color w:val="000000" w:themeColor="text1"/>
        </w:rPr>
        <w:t xml:space="preserve">) </w:t>
      </w:r>
      <w:r>
        <w:rPr>
          <w:rFonts w:ascii="Verdana" w:eastAsia="Calibri" w:hAnsi="Verdana" w:cs="Arial"/>
        </w:rPr>
        <w:t>Ahora bien, e</w:t>
      </w:r>
      <w:r w:rsidRPr="00323178">
        <w:rPr>
          <w:rFonts w:ascii="Verdana" w:eastAsia="Calibri" w:hAnsi="Verdana" w:cs="Arial"/>
        </w:rPr>
        <w:t>xisten algunas disposiciones normativas que habilitan a diferentes Entidades Estatales para suscribir contratos o convenios en unos eventos en particular, como es el caso del artículo 3 de la Ley 1575 de 2012</w:t>
      </w:r>
      <w:r w:rsidRPr="00323178">
        <w:rPr>
          <w:rFonts w:ascii="Verdana" w:hAnsi="Verdana"/>
          <w:vertAlign w:val="superscript"/>
        </w:rPr>
        <w:footnoteReference w:id="20"/>
      </w:r>
      <w:r w:rsidRPr="00323178">
        <w:rPr>
          <w:rFonts w:ascii="Verdana" w:eastAsia="Calibri" w:hAnsi="Verdana" w:cs="Arial"/>
        </w:rPr>
        <w:t>, sobre contratación con cuerpos de bomberos; el artículo 6 de la Ley 1551 de 2012</w:t>
      </w:r>
      <w:r w:rsidRPr="00323178">
        <w:rPr>
          <w:rFonts w:ascii="Verdana" w:hAnsi="Verdana"/>
          <w:vertAlign w:val="superscript"/>
        </w:rPr>
        <w:footnoteReference w:id="21"/>
      </w:r>
      <w:r w:rsidRPr="00323178">
        <w:rPr>
          <w:rFonts w:ascii="Verdana" w:eastAsia="Calibri" w:hAnsi="Verdana" w:cs="Arial"/>
        </w:rPr>
        <w:t xml:space="preserve">, en materia de convenios solidarios; o el parágrafo del artículo 8 de la Ley 1276 de 2009, modificado por el artículo 16 de la Ley 1850 de 2017, que se refiere a los convenios para el manejo de los denominados </w:t>
      </w:r>
      <w:r w:rsidRPr="00323178">
        <w:rPr>
          <w:rFonts w:ascii="Verdana" w:eastAsia="Calibri" w:hAnsi="Verdana" w:cs="Arial"/>
          <w:i/>
          <w:iCs/>
        </w:rPr>
        <w:t xml:space="preserve">Centros Vida, Centros de Bienestar del Anciano y Granjas del Adulto Mayor </w:t>
      </w:r>
      <w:r w:rsidRPr="00323178">
        <w:rPr>
          <w:rFonts w:ascii="Verdana" w:eastAsia="Calibri" w:hAnsi="Verdana" w:cs="Arial"/>
        </w:rPr>
        <w:t xml:space="preserve">– a los cuales hace referencia en su consulta. </w:t>
      </w:r>
    </w:p>
    <w:p w14:paraId="0925F297" w14:textId="77777777" w:rsidR="001A4A08" w:rsidRDefault="001A4A08" w:rsidP="001A4A08">
      <w:pPr>
        <w:spacing w:after="120" w:line="276" w:lineRule="auto"/>
        <w:ind w:firstLine="709"/>
        <w:jc w:val="both"/>
        <w:rPr>
          <w:rFonts w:ascii="Verdana" w:eastAsia="Calibri" w:hAnsi="Verdana" w:cs="Arial"/>
        </w:rPr>
      </w:pPr>
      <w:r w:rsidRPr="00122993">
        <w:rPr>
          <w:rFonts w:ascii="Verdana" w:eastAsia="Calibri" w:hAnsi="Verdana" w:cs="Arial"/>
        </w:rPr>
        <w:t xml:space="preserve">Algunas de estas normas remiten directamente al estatuto aplicable, como ocurre con el artículo 6 de la Ley 1551 de 2012, cuyo numeral 16 remite al artículo 355 de la Constitución, esto es, al Decreto 092 de 2017, </w:t>
      </w:r>
      <w:r>
        <w:rPr>
          <w:rFonts w:ascii="Verdana" w:eastAsia="Calibri" w:hAnsi="Verdana" w:cs="Arial"/>
        </w:rPr>
        <w:t>dado</w:t>
      </w:r>
      <w:r w:rsidRPr="00122993">
        <w:rPr>
          <w:rFonts w:ascii="Verdana" w:eastAsia="Calibri" w:hAnsi="Verdana" w:cs="Arial"/>
        </w:rPr>
        <w:t xml:space="preserve"> que este Decreto reguló ese artículo constitucional. Sin embargo, hay otras que no se refieren ni directa ni indirectamente al régimen contractual aplicable, como es el caso del referido parágrafo del artículo 8 de la Ley 1276 de 2009 –tema objeto del presente concepto–.</w:t>
      </w:r>
    </w:p>
    <w:p w14:paraId="0FD84C6C" w14:textId="77777777" w:rsidR="001A4A08" w:rsidRPr="001861FA" w:rsidRDefault="001A4A08" w:rsidP="001A4A08">
      <w:pPr>
        <w:spacing w:before="120" w:line="276" w:lineRule="auto"/>
        <w:ind w:firstLine="709"/>
        <w:jc w:val="both"/>
        <w:rPr>
          <w:rFonts w:ascii="Verdana" w:eastAsia="Calibri" w:hAnsi="Verdana" w:cs="Arial"/>
          <w:color w:val="000000" w:themeColor="text1"/>
        </w:rPr>
      </w:pPr>
      <w:r w:rsidRPr="001861FA">
        <w:rPr>
          <w:rFonts w:ascii="Verdana" w:eastAsia="Calibri" w:hAnsi="Verdana" w:cs="Arial"/>
          <w:color w:val="000000" w:themeColor="text1"/>
        </w:rPr>
        <w:t xml:space="preserve">Anteriormente, el numeral 16.1 de la versión 1 de la Circular Externa Única disponía lo siguiente: “El Decreto 092 de 2017 no es aplicable a las contrataciones que cuentan con una norma especial que las regula. A la fecha se han identificado algunas especiales, no obstante, es posible que las Entidades Estatales en el cumplimiento de sus funciones identifiquen otras adicionales”. Sin embargo, este aparte no se reprodujo en la versión 2, aprobada el 15 de julio de 2022, ni en la versión 3, aprobada el 27 de diciembre de 2023, las cuales </w:t>
      </w:r>
      <w:r w:rsidRPr="001861FA">
        <w:rPr>
          <w:rFonts w:ascii="Verdana" w:eastAsia="Calibri" w:hAnsi="Verdana" w:cs="Arial"/>
          <w:color w:val="000000" w:themeColor="text1"/>
        </w:rPr>
        <w:lastRenderedPageBreak/>
        <w:t>no se refieren a la contratación con ESAL</w:t>
      </w:r>
      <w:r w:rsidRPr="001861FA">
        <w:rPr>
          <w:rStyle w:val="Refdenotaalpie"/>
          <w:rFonts w:ascii="Verdana" w:eastAsia="Calibri" w:hAnsi="Verdana" w:cs="Arial"/>
          <w:color w:val="000000" w:themeColor="text1"/>
        </w:rPr>
        <w:footnoteReference w:id="22"/>
      </w:r>
      <w:r w:rsidRPr="001861FA">
        <w:rPr>
          <w:rFonts w:ascii="Verdana" w:eastAsia="Calibri" w:hAnsi="Verdana" w:cs="Arial"/>
          <w:color w:val="000000" w:themeColor="text1"/>
        </w:rPr>
        <w:t>. Dado que la versión 1 se encuentra derogada, es claro que ésta no complementa la versión 3. Por ello, con la derogatoria de la versión 1, cesó la obligación de la Agencia de identificar las dichas “normas especiales” a través de circular.</w:t>
      </w:r>
      <w:r w:rsidRPr="001861FA">
        <w:rPr>
          <w:rFonts w:ascii="Verdana" w:eastAsia="Calibri" w:hAnsi="Verdana" w:cs="Arial"/>
        </w:rPr>
        <w:t xml:space="preserve"> </w:t>
      </w:r>
    </w:p>
    <w:p w14:paraId="77F887BC" w14:textId="77777777" w:rsidR="001A4A08" w:rsidRPr="00122993" w:rsidRDefault="001A4A08" w:rsidP="001A4A08">
      <w:pPr>
        <w:spacing w:after="120" w:line="276" w:lineRule="auto"/>
        <w:ind w:firstLine="709"/>
        <w:jc w:val="both"/>
        <w:rPr>
          <w:rFonts w:ascii="Verdana" w:eastAsia="Calibri" w:hAnsi="Verdana" w:cs="Arial"/>
        </w:rPr>
      </w:pPr>
      <w:r>
        <w:rPr>
          <w:rFonts w:ascii="Verdana" w:eastAsia="Calibri" w:hAnsi="Verdana" w:cs="Arial"/>
        </w:rPr>
        <w:t>No obstante</w:t>
      </w:r>
      <w:r w:rsidRPr="00122993">
        <w:rPr>
          <w:rFonts w:ascii="Verdana" w:eastAsia="Calibri" w:hAnsi="Verdana" w:cs="Arial"/>
        </w:rPr>
        <w:t xml:space="preserve">, la Agencia Nacional de Contratación Pública – Colombia Compra Eficiente ha considerado, en </w:t>
      </w:r>
      <w:r>
        <w:rPr>
          <w:rFonts w:ascii="Verdana" w:eastAsia="Calibri" w:hAnsi="Verdana" w:cs="Arial"/>
        </w:rPr>
        <w:t>C</w:t>
      </w:r>
      <w:r w:rsidRPr="00122993">
        <w:rPr>
          <w:rFonts w:ascii="Verdana" w:eastAsia="Calibri" w:hAnsi="Verdana" w:cs="Arial"/>
        </w:rPr>
        <w:t xml:space="preserve">onceptos como el C-078 del 25 de abril de 2023 y el C-203 del 21 de junio de 2023, que esas normas no contienen regímenes de contratación diferentes a los que dispuso la Constitución Política, lo que implica que los contratos o convenios a los que dichas normas se refieren tendrán que tramitarse teniendo en cuenta las disposiciones de alguno de </w:t>
      </w:r>
      <w:r>
        <w:rPr>
          <w:rFonts w:ascii="Verdana" w:eastAsia="Calibri" w:hAnsi="Verdana" w:cs="Arial"/>
        </w:rPr>
        <w:t>los siguientes</w:t>
      </w:r>
      <w:r w:rsidRPr="00122993">
        <w:rPr>
          <w:rFonts w:ascii="Verdana" w:eastAsia="Calibri" w:hAnsi="Verdana" w:cs="Arial"/>
        </w:rPr>
        <w:t xml:space="preserve"> tres (3) regímenes de contratación: el que contiene el EGCAP, el régimen exceptuado que corresponde por la naturaleza de la entidad contratante –por ejemplo las Empresas Sociales del Estado o las instituciones educativas– o el que regula el Decreto 092 de 2017. </w:t>
      </w:r>
    </w:p>
    <w:p w14:paraId="147C3E35" w14:textId="77777777" w:rsidR="001A4A08" w:rsidRPr="00223A8D" w:rsidRDefault="001A4A08" w:rsidP="001A4A08">
      <w:pPr>
        <w:spacing w:after="0" w:line="276" w:lineRule="auto"/>
        <w:ind w:firstLine="709"/>
        <w:jc w:val="both"/>
        <w:rPr>
          <w:rFonts w:ascii="Verdana" w:eastAsia="Calibri" w:hAnsi="Verdana" w:cs="Arial"/>
        </w:rPr>
      </w:pPr>
      <w:r w:rsidRPr="00223A8D">
        <w:rPr>
          <w:rFonts w:ascii="Verdana" w:eastAsia="Calibri" w:hAnsi="Verdana" w:cs="Arial"/>
        </w:rPr>
        <w:t>La aplicación de esos regímenes de contratación no es facultativa, pues en todo caso, dependerá de la remisión que hacen estas normas a un estatuto en particular –si lo hacen–, así como también de las particularidades del Proceso de Contratación y de la naturaleza jurídica de la entidad contratante o la de la persona jurídica con la que las entidades pretenden contratar.</w:t>
      </w:r>
      <w:r>
        <w:rPr>
          <w:rFonts w:ascii="Verdana" w:eastAsia="Calibri" w:hAnsi="Verdana" w:cs="Arial"/>
        </w:rPr>
        <w:t xml:space="preserve"> </w:t>
      </w:r>
      <w:r w:rsidRPr="00223A8D">
        <w:rPr>
          <w:rFonts w:ascii="Verdana" w:eastAsia="Calibri" w:hAnsi="Verdana" w:cs="Arial"/>
        </w:rPr>
        <w:t>En ese sentido, el artículo 8 de la Ley 1276 de 2009 modificado por el artículo 16 de la Ley 1850 de 2017 (vigente desde 19 de julio del año 2017) señala:</w:t>
      </w:r>
    </w:p>
    <w:p w14:paraId="7D6B3FB5" w14:textId="77777777" w:rsidR="001A4A08" w:rsidRPr="00323178" w:rsidRDefault="001A4A08" w:rsidP="001A4A08">
      <w:pPr>
        <w:spacing w:after="0" w:line="276" w:lineRule="auto"/>
        <w:ind w:firstLine="709"/>
        <w:jc w:val="both"/>
        <w:rPr>
          <w:rFonts w:ascii="Verdana" w:eastAsia="Calibri" w:hAnsi="Verdana" w:cs="Arial"/>
        </w:rPr>
      </w:pPr>
    </w:p>
    <w:p w14:paraId="1677F566" w14:textId="77777777" w:rsidR="001A4A08" w:rsidRPr="00323178" w:rsidRDefault="001A4A08" w:rsidP="001A4A08">
      <w:pPr>
        <w:spacing w:after="120" w:line="240" w:lineRule="auto"/>
        <w:ind w:left="709" w:right="709"/>
        <w:jc w:val="both"/>
        <w:rPr>
          <w:rFonts w:ascii="Verdana" w:eastAsia="Calibri" w:hAnsi="Verdana" w:cs="Arial"/>
          <w:sz w:val="20"/>
          <w:szCs w:val="20"/>
        </w:rPr>
      </w:pPr>
      <w:r w:rsidRPr="00323178">
        <w:rPr>
          <w:rFonts w:ascii="Verdana" w:eastAsia="Calibri" w:hAnsi="Verdana" w:cs="Arial"/>
          <w:sz w:val="20"/>
          <w:szCs w:val="20"/>
        </w:rPr>
        <w:t xml:space="preserve">“Artículo 16. </w:t>
      </w:r>
      <w:proofErr w:type="spellStart"/>
      <w:r w:rsidRPr="00323178">
        <w:rPr>
          <w:rFonts w:ascii="Verdana" w:eastAsia="Calibri" w:hAnsi="Verdana" w:cs="Arial"/>
          <w:sz w:val="20"/>
          <w:szCs w:val="20"/>
        </w:rPr>
        <w:t>Modifícase</w:t>
      </w:r>
      <w:proofErr w:type="spellEnd"/>
      <w:r w:rsidRPr="00323178">
        <w:rPr>
          <w:rFonts w:ascii="Verdana" w:eastAsia="Calibri" w:hAnsi="Verdana" w:cs="Arial"/>
          <w:sz w:val="20"/>
          <w:szCs w:val="20"/>
        </w:rPr>
        <w:t xml:space="preserve"> el artículo 8o de la Ley 1276 de 2009. A través del cual se modifica el artículo 5o de la Ley 687 de 2001, el cual quedará así:</w:t>
      </w:r>
    </w:p>
    <w:p w14:paraId="130DFA3D" w14:textId="77777777" w:rsidR="001A4A08" w:rsidRPr="00323178" w:rsidRDefault="001A4A08" w:rsidP="001A4A08">
      <w:pPr>
        <w:spacing w:after="120" w:line="240" w:lineRule="auto"/>
        <w:ind w:left="709" w:right="709"/>
        <w:jc w:val="both"/>
        <w:rPr>
          <w:rFonts w:ascii="Verdana" w:eastAsia="Calibri" w:hAnsi="Verdana" w:cs="Arial"/>
          <w:sz w:val="20"/>
          <w:szCs w:val="20"/>
        </w:rPr>
      </w:pPr>
      <w:r w:rsidRPr="00323178">
        <w:rPr>
          <w:rFonts w:ascii="Verdana" w:eastAsia="Calibri" w:hAnsi="Verdana" w:cs="Arial"/>
          <w:sz w:val="20"/>
          <w:szCs w:val="20"/>
        </w:rPr>
        <w:t xml:space="preserve">Artículo 8o. </w:t>
      </w:r>
      <w:proofErr w:type="spellStart"/>
      <w:r w:rsidRPr="00323178">
        <w:rPr>
          <w:rFonts w:ascii="Verdana" w:eastAsia="Calibri" w:hAnsi="Verdana" w:cs="Arial"/>
          <w:sz w:val="20"/>
          <w:szCs w:val="20"/>
        </w:rPr>
        <w:t>Modifícase</w:t>
      </w:r>
      <w:proofErr w:type="spellEnd"/>
      <w:r w:rsidRPr="00323178">
        <w:rPr>
          <w:rFonts w:ascii="Verdana" w:eastAsia="Calibri" w:hAnsi="Verdana" w:cs="Arial"/>
          <w:sz w:val="20"/>
          <w:szCs w:val="20"/>
        </w:rPr>
        <w:t xml:space="preserve"> el artículo 5o de la Ley 687 de 2001, el cual quedará así: Responsabilidad. El Gobernador o el Alcalde municipal o Distrital será el responsable de sus recursos recaudados por la estampilla en el desarrollo de los programas que se deriven de su inversión en la respectiva jurisdicción, dando cumplimiento a lo relacionado en su plan de desarrollo para el grupo poblacional al que se refiere la presente ley, y delegará en la dependencia competente, la ejecución de los proyectos que componen los Centros Vida, Centros de Bienestar del Anciano y Granjas para adulto mayor, creando todos los sistemas de información que permitan un seguimiento completo de la gestión realizada por estos.</w:t>
      </w:r>
    </w:p>
    <w:p w14:paraId="1A45A1C5" w14:textId="77777777" w:rsidR="001A4A08" w:rsidRPr="00323178" w:rsidRDefault="001A4A08" w:rsidP="001A4A08">
      <w:pPr>
        <w:spacing w:after="0" w:line="240" w:lineRule="auto"/>
        <w:ind w:left="709" w:right="709"/>
        <w:jc w:val="both"/>
        <w:rPr>
          <w:rFonts w:ascii="Verdana" w:eastAsia="Calibri" w:hAnsi="Verdana" w:cs="Arial"/>
          <w:sz w:val="20"/>
          <w:szCs w:val="20"/>
        </w:rPr>
      </w:pPr>
      <w:r w:rsidRPr="00323178">
        <w:rPr>
          <w:rFonts w:ascii="Verdana" w:eastAsia="Calibri" w:hAnsi="Verdana" w:cs="Arial"/>
          <w:sz w:val="20"/>
          <w:szCs w:val="20"/>
        </w:rPr>
        <w:lastRenderedPageBreak/>
        <w:t xml:space="preserve">Parágrafo. </w:t>
      </w:r>
      <w:r w:rsidRPr="00323178">
        <w:rPr>
          <w:rFonts w:ascii="Verdana" w:eastAsia="Calibri" w:hAnsi="Verdana" w:cs="Arial"/>
          <w:i/>
          <w:sz w:val="20"/>
          <w:szCs w:val="20"/>
        </w:rPr>
        <w:t>La ejecución de los recursos en los departamentos, distritos y municipios se podrá realizar a través de convenios con entidades reconocidas para el manejo de los Centros Vida, Centros de Bienestar del Anciano y Granjas para adulto mayor</w:t>
      </w:r>
      <w:r w:rsidRPr="00323178">
        <w:rPr>
          <w:rFonts w:ascii="Verdana" w:eastAsia="Calibri" w:hAnsi="Verdana" w:cs="Arial"/>
          <w:sz w:val="20"/>
          <w:szCs w:val="20"/>
        </w:rPr>
        <w:t>, no obstante, estos deberán prever dentro de su estructura administrativa la unidad encargada de su seguimiento y control como estrategia de una política pública orientada a mejorar las condiciones de vida de las personas de tercera edad”. [Cursivas propias]</w:t>
      </w:r>
    </w:p>
    <w:p w14:paraId="7C5BD176" w14:textId="77777777" w:rsidR="001A4A08" w:rsidRDefault="001A4A08" w:rsidP="001A4A08">
      <w:pPr>
        <w:spacing w:after="0" w:line="276" w:lineRule="auto"/>
        <w:jc w:val="both"/>
        <w:rPr>
          <w:rFonts w:ascii="Verdana" w:eastAsia="Calibri" w:hAnsi="Verdana" w:cs="Arial"/>
        </w:rPr>
      </w:pPr>
    </w:p>
    <w:p w14:paraId="697FA655" w14:textId="77777777" w:rsidR="001A4A08" w:rsidRPr="00223A8D" w:rsidRDefault="001A4A08" w:rsidP="001A4A08">
      <w:pPr>
        <w:spacing w:after="120" w:line="276" w:lineRule="auto"/>
        <w:ind w:firstLine="709"/>
        <w:jc w:val="both"/>
        <w:rPr>
          <w:rFonts w:ascii="Verdana" w:eastAsia="Calibri" w:hAnsi="Verdana" w:cs="Arial"/>
        </w:rPr>
      </w:pPr>
      <w:r w:rsidRPr="00223A8D">
        <w:rPr>
          <w:rFonts w:ascii="Verdana" w:eastAsia="Calibri" w:hAnsi="Verdana" w:cs="Arial"/>
        </w:rPr>
        <w:t>Nótese que la norma citada autoriza a las entidades territoriales a celebrar “convenios con entidades reconocidas para el manejo de los Centros Vida, Centros de Bienestar del Anciano y Granjas para adulto mayor […]”, pero no establece la regulación contractual aplicable a ese tipo de convenios. Tal regulación tampoco se deriva de ninguno de los otros artículos de la Ley 1850 de 2017, así como no lo hacían el artículo 5 de la Ley 687 de 2001 o el artículo 8 de la Ley 1276 de 2009</w:t>
      </w:r>
      <w:r w:rsidRPr="004C6AAF">
        <w:rPr>
          <w:vertAlign w:val="superscript"/>
        </w:rPr>
        <w:footnoteReference w:id="23"/>
      </w:r>
      <w:r w:rsidRPr="00223A8D">
        <w:rPr>
          <w:rFonts w:ascii="Verdana" w:eastAsia="Calibri" w:hAnsi="Verdana" w:cs="Arial"/>
        </w:rPr>
        <w:t>. De hecho, ninguna de estas tres (3) leyes reguló la materia, omisión que se explica en el hecho que dichas normas regulan la “estampilla pro-dotación y funcionamiento de los Centros de Bienestar del Anciano, instituciones y centros de vida para la tercera edad”, aspecto sustancialmente distinto de las normas que regulan la contratación con el Estado</w:t>
      </w:r>
      <w:r w:rsidRPr="00323178">
        <w:rPr>
          <w:rStyle w:val="Refdenotaalpie"/>
          <w:rFonts w:ascii="Verdana" w:eastAsia="Calibri" w:hAnsi="Verdana" w:cs="Arial"/>
        </w:rPr>
        <w:footnoteReference w:id="24"/>
      </w:r>
      <w:r w:rsidRPr="00223A8D">
        <w:rPr>
          <w:rFonts w:ascii="Verdana" w:eastAsia="Calibri" w:hAnsi="Verdana" w:cs="Arial"/>
        </w:rPr>
        <w:t>.</w:t>
      </w:r>
    </w:p>
    <w:p w14:paraId="611CFE7E" w14:textId="77777777" w:rsidR="001A4A08" w:rsidRPr="00223A8D" w:rsidRDefault="001A4A08" w:rsidP="001A4A08">
      <w:pPr>
        <w:spacing w:after="120" w:line="276" w:lineRule="auto"/>
        <w:ind w:firstLine="709"/>
        <w:jc w:val="both"/>
        <w:rPr>
          <w:rFonts w:ascii="Verdana" w:eastAsia="Calibri" w:hAnsi="Verdana" w:cs="Arial"/>
        </w:rPr>
      </w:pPr>
      <w:r w:rsidRPr="00223A8D">
        <w:rPr>
          <w:rFonts w:ascii="Verdana" w:eastAsia="Calibri" w:hAnsi="Verdana" w:cs="Arial"/>
        </w:rPr>
        <w:t xml:space="preserve">Teniendo en cuenta la ausencia de regulación en las Leyes 687 de 2001, 1276 de 2009 y 1850 de 2017, y de acuerdo a las consideraciones expuestas en párrafos precedentes, la Agencia Nacional de Contratación Pública – Colombia Compra Eficiente, en </w:t>
      </w:r>
      <w:r>
        <w:rPr>
          <w:rFonts w:ascii="Verdana" w:eastAsia="Calibri" w:hAnsi="Verdana" w:cs="Arial"/>
        </w:rPr>
        <w:t>C</w:t>
      </w:r>
      <w:r w:rsidRPr="00223A8D">
        <w:rPr>
          <w:rFonts w:ascii="Verdana" w:eastAsia="Calibri" w:hAnsi="Verdana" w:cs="Arial"/>
        </w:rPr>
        <w:t xml:space="preserve">onceptos como el C-078 del 25 de abril de 2023 y el C-203 del 21 de junio de 2023, ha señalado que los convenios a los que se refieren las tres (3) normas mencionadas anteriormente, </w:t>
      </w:r>
      <w:r w:rsidRPr="009C767F">
        <w:rPr>
          <w:rFonts w:ascii="Verdana" w:eastAsia="Calibri" w:hAnsi="Verdana" w:cs="Arial"/>
          <w:i/>
          <w:iCs/>
        </w:rPr>
        <w:t>están regulados por el EGCAP</w:t>
      </w:r>
      <w:r w:rsidRPr="00223A8D">
        <w:rPr>
          <w:rFonts w:ascii="Verdana" w:eastAsia="Calibri" w:hAnsi="Verdana" w:cs="Arial"/>
        </w:rPr>
        <w:t xml:space="preserve"> y, eventualmente, por las disposiciones especiales contenidas en el Decreto 092 del 2017. Lo anterior, siempre que el convenio sea suscrito con una ESAL y únicamente si se cumplen los otros requisitos que se derivan del contenido de dicho Decreto, entre ellos, que no se genere una contraprestación directa a favor de la Entidad Estatal y tampoco una relación conmutativa entre esta y la ESAL; así como también que el negocio jurídico tenga como objeto “impulsar programas y actividades de interés público de acuerdo con el Plan Nacional o los </w:t>
      </w:r>
      <w:r w:rsidRPr="00223A8D">
        <w:rPr>
          <w:rFonts w:ascii="Verdana" w:eastAsia="Calibri" w:hAnsi="Verdana" w:cs="Arial"/>
        </w:rPr>
        <w:lastRenderedPageBreak/>
        <w:t>planes seccionales de Desarrollo, en los términos del artículo 355 de la Constitución Política</w:t>
      </w:r>
      <w:r>
        <w:rPr>
          <w:rFonts w:ascii="Verdana" w:eastAsia="Calibri" w:hAnsi="Verdana" w:cs="Arial"/>
        </w:rPr>
        <w:t>”</w:t>
      </w:r>
      <w:r w:rsidRPr="00323178">
        <w:rPr>
          <w:rStyle w:val="Refdenotaalpie"/>
          <w:rFonts w:ascii="Verdana" w:eastAsia="Calibri" w:hAnsi="Verdana" w:cs="Arial"/>
        </w:rPr>
        <w:footnoteReference w:id="25"/>
      </w:r>
      <w:r w:rsidRPr="00223A8D">
        <w:rPr>
          <w:rFonts w:ascii="Verdana" w:eastAsia="Calibri" w:hAnsi="Verdana" w:cs="Arial"/>
        </w:rPr>
        <w:t>.</w:t>
      </w:r>
    </w:p>
    <w:p w14:paraId="305C0C07" w14:textId="77777777" w:rsidR="001A4A08" w:rsidRPr="00223A8D" w:rsidRDefault="001A4A08" w:rsidP="001A4A08">
      <w:pPr>
        <w:spacing w:after="120" w:line="276" w:lineRule="auto"/>
        <w:ind w:firstLine="709"/>
        <w:jc w:val="both"/>
        <w:rPr>
          <w:rFonts w:ascii="Verdana" w:eastAsia="Calibri" w:hAnsi="Verdana" w:cs="Arial"/>
          <w:lang w:val="es-MX"/>
        </w:rPr>
      </w:pPr>
      <w:r w:rsidRPr="00223A8D">
        <w:rPr>
          <w:rFonts w:ascii="Verdana" w:eastAsia="Calibri" w:hAnsi="Verdana" w:cs="Arial"/>
        </w:rPr>
        <w:t xml:space="preserve">Al respecto, la Agencia Nacional de Contratación Pública considera necesario hacer dos (2) precisiones: </w:t>
      </w:r>
      <w:r w:rsidRPr="00223A8D">
        <w:rPr>
          <w:rFonts w:ascii="Verdana" w:eastAsia="Calibri" w:hAnsi="Verdana" w:cs="Arial"/>
          <w:i/>
          <w:iCs/>
        </w:rPr>
        <w:t>en primer lugar</w:t>
      </w:r>
      <w:r w:rsidRPr="00223A8D">
        <w:rPr>
          <w:rFonts w:ascii="Verdana" w:eastAsia="Calibri" w:hAnsi="Verdana" w:cs="Arial"/>
        </w:rPr>
        <w:t>, que los convenios referidos en las tres normas sub-lite no podrán regularse por las disposiciones de los regímenes exceptuados del EGCAP, pues dichos convenios son suscritos por entidades territoriales únicamente, particularmente, los departamentos, los distritos y los municipios</w:t>
      </w:r>
      <w:r w:rsidRPr="00323178">
        <w:rPr>
          <w:rStyle w:val="Refdenotaalpie"/>
          <w:rFonts w:ascii="Verdana" w:eastAsia="Calibri" w:hAnsi="Verdana" w:cs="Arial"/>
        </w:rPr>
        <w:footnoteReference w:id="26"/>
      </w:r>
      <w:r w:rsidRPr="00223A8D">
        <w:rPr>
          <w:rFonts w:ascii="Verdana" w:eastAsia="Calibri" w:hAnsi="Verdana" w:cs="Arial"/>
        </w:rPr>
        <w:t>. Lo anterior debido a su competencia frente a la ejecución de los recursos de la estampilla enunciada en los párrafos precedentes, autoridades que se denominan “entidades estatales” para los fines de la contratación estatal, y cuyos procesos contractuales son regulados por el EGCAP, según los artículos 1 y 2 de la Ley 80 de 1993</w:t>
      </w:r>
      <w:r w:rsidRPr="00323178">
        <w:rPr>
          <w:rStyle w:val="Refdenotaalpie"/>
          <w:rFonts w:ascii="Verdana" w:eastAsia="Calibri" w:hAnsi="Verdana" w:cs="Arial"/>
        </w:rPr>
        <w:footnoteReference w:id="27"/>
      </w:r>
      <w:r w:rsidRPr="00223A8D">
        <w:rPr>
          <w:rFonts w:ascii="Verdana" w:eastAsia="Calibri" w:hAnsi="Verdana" w:cs="Arial"/>
        </w:rPr>
        <w:t xml:space="preserve">. </w:t>
      </w:r>
    </w:p>
    <w:p w14:paraId="564643BB" w14:textId="77777777" w:rsidR="001A4A08" w:rsidRPr="00223A8D" w:rsidRDefault="001A4A08" w:rsidP="001A4A08">
      <w:pPr>
        <w:spacing w:after="120" w:line="276" w:lineRule="auto"/>
        <w:ind w:firstLine="709"/>
        <w:jc w:val="both"/>
        <w:rPr>
          <w:rFonts w:ascii="Verdana" w:eastAsia="Calibri" w:hAnsi="Verdana" w:cs="Arial"/>
          <w:lang w:val="es-MX"/>
        </w:rPr>
      </w:pPr>
      <w:r w:rsidRPr="00223A8D">
        <w:rPr>
          <w:rFonts w:ascii="Verdana" w:eastAsia="Calibri" w:hAnsi="Verdana" w:cs="Arial"/>
          <w:i/>
          <w:iCs/>
        </w:rPr>
        <w:t>En segundo lugar</w:t>
      </w:r>
      <w:r w:rsidRPr="00223A8D">
        <w:rPr>
          <w:rFonts w:ascii="Verdana" w:eastAsia="Calibri" w:hAnsi="Verdana" w:cs="Arial"/>
        </w:rPr>
        <w:t xml:space="preserve">, el Decreto 092 de 2017 también puede aplicarse a los convenios regulados por el artículo 5 de la Ley 687 de 2001, modificado por el artículo 8 de la Ley 1276 de 2009 y, posteriormente, por el artículo 16 de la Ley 1850 de 2017. En efecto, la aplicación de aquel Decreto resulta procedente y también necesaria, en aquellos eventos en los que el convenio se celebra con una ESAL. Es de resaltar que las tres (3) normas mencionadas no contienen ninguna regulación procesal o sustantiva en materia de contratación estatal, esto es, no establecen las disposiciones que habrían de tenerse en cuenta en el trámite de contratación. </w:t>
      </w:r>
    </w:p>
    <w:p w14:paraId="60A138F2" w14:textId="77777777" w:rsidR="001A4A08" w:rsidRPr="00223A8D" w:rsidRDefault="001A4A08" w:rsidP="001A4A08">
      <w:pPr>
        <w:spacing w:after="0" w:line="276" w:lineRule="auto"/>
        <w:ind w:firstLine="708"/>
        <w:jc w:val="both"/>
        <w:rPr>
          <w:rFonts w:ascii="Verdana" w:eastAsia="Calibri" w:hAnsi="Verdana" w:cs="Arial"/>
          <w:lang w:val="es-MX"/>
        </w:rPr>
      </w:pPr>
      <w:r w:rsidRPr="00223A8D">
        <w:rPr>
          <w:rFonts w:ascii="Verdana" w:eastAsia="Calibri" w:hAnsi="Verdana" w:cs="Arial"/>
        </w:rPr>
        <w:t xml:space="preserve">Aunado a lo anterior, el Ministerio de Salud y de la Protección Social, en documento sin fecha denominado “Orientaciones a las entidades territoriales para la aplicación de la Ley 1276 de 2009 y normas complementarias sobre la </w:t>
      </w:r>
      <w:r w:rsidRPr="00223A8D">
        <w:rPr>
          <w:rFonts w:ascii="Verdana" w:eastAsia="Calibri" w:hAnsi="Verdana" w:cs="Arial"/>
        </w:rPr>
        <w:lastRenderedPageBreak/>
        <w:t>Estampilla para el Bienestar del Adulto Mayor”, refiriéndose al régimen de contratación resaltó lo siguiente:</w:t>
      </w:r>
    </w:p>
    <w:p w14:paraId="241277DA" w14:textId="77777777" w:rsidR="001A4A08" w:rsidRPr="00323178" w:rsidRDefault="001A4A08" w:rsidP="001A4A08">
      <w:pPr>
        <w:spacing w:after="0" w:line="276" w:lineRule="auto"/>
        <w:ind w:firstLine="709"/>
        <w:jc w:val="both"/>
        <w:rPr>
          <w:rFonts w:ascii="Verdana" w:eastAsia="Calibri" w:hAnsi="Verdana" w:cs="Arial"/>
        </w:rPr>
      </w:pPr>
    </w:p>
    <w:p w14:paraId="738CBB29" w14:textId="77777777" w:rsidR="001A4A08" w:rsidRPr="00323178" w:rsidRDefault="001A4A08" w:rsidP="001A4A08">
      <w:pPr>
        <w:spacing w:after="0" w:line="240" w:lineRule="auto"/>
        <w:ind w:left="709" w:right="709"/>
        <w:jc w:val="both"/>
        <w:rPr>
          <w:rFonts w:ascii="Verdana" w:eastAsia="Calibri" w:hAnsi="Verdana" w:cs="Arial"/>
          <w:sz w:val="20"/>
          <w:szCs w:val="20"/>
        </w:rPr>
      </w:pPr>
      <w:r w:rsidRPr="00323178">
        <w:rPr>
          <w:rFonts w:ascii="Verdana" w:eastAsia="Calibri" w:hAnsi="Verdana" w:cs="Arial"/>
          <w:sz w:val="20"/>
          <w:szCs w:val="20"/>
        </w:rPr>
        <w:t xml:space="preserve">“Los centros vida a que se refiere la Ley 1276 son de naturaleza pública, de creación distrital y municipal, razón por la cual la norma establece que una vez creados, la administración puede celebrar convenios para su manejo con entidades con experiencia en la materia, en cuyo caso debe efectuar el seguimiento y evaluación de los servicios prestados, a través de la instancia especialmente creada para esta función dentro de la estructura municipal (Parágrafo del art. 8º de la Ley 1276/09). </w:t>
      </w:r>
      <w:r w:rsidRPr="00323178">
        <w:rPr>
          <w:rFonts w:ascii="Verdana" w:eastAsia="Calibri" w:hAnsi="Verdana" w:cs="Arial"/>
          <w:i/>
          <w:sz w:val="20"/>
          <w:szCs w:val="20"/>
        </w:rPr>
        <w:t>Estos convenios se rigen por la normatividad contractual vigente”</w:t>
      </w:r>
      <w:r w:rsidRPr="00B42E0C">
        <w:rPr>
          <w:vertAlign w:val="superscript"/>
        </w:rPr>
        <w:t xml:space="preserve"> </w:t>
      </w:r>
      <w:r w:rsidRPr="00323178">
        <w:rPr>
          <w:vertAlign w:val="superscript"/>
        </w:rPr>
        <w:footnoteReference w:id="28"/>
      </w:r>
      <w:r w:rsidRPr="00323178">
        <w:rPr>
          <w:rFonts w:ascii="Verdana" w:eastAsia="Calibri" w:hAnsi="Verdana" w:cs="Arial"/>
          <w:i/>
          <w:sz w:val="20"/>
          <w:szCs w:val="20"/>
        </w:rPr>
        <w:t xml:space="preserve">. </w:t>
      </w:r>
      <w:r w:rsidRPr="00323178">
        <w:rPr>
          <w:rFonts w:ascii="Verdana" w:eastAsia="Calibri" w:hAnsi="Verdana" w:cs="Arial"/>
          <w:sz w:val="20"/>
          <w:szCs w:val="20"/>
        </w:rPr>
        <w:t>(Cursivas propias)</w:t>
      </w:r>
    </w:p>
    <w:p w14:paraId="78F51358" w14:textId="77777777" w:rsidR="001A4A08" w:rsidRPr="00323178" w:rsidRDefault="001A4A08" w:rsidP="001A4A08">
      <w:pPr>
        <w:spacing w:after="0" w:line="276" w:lineRule="auto"/>
        <w:ind w:firstLine="709"/>
        <w:jc w:val="both"/>
        <w:rPr>
          <w:rFonts w:ascii="Verdana" w:eastAsia="Calibri" w:hAnsi="Verdana" w:cs="Arial"/>
        </w:rPr>
      </w:pPr>
    </w:p>
    <w:p w14:paraId="6CF4161F" w14:textId="77777777" w:rsidR="001A4A08" w:rsidRPr="00223A8D" w:rsidRDefault="001A4A08" w:rsidP="001A4A08">
      <w:pPr>
        <w:spacing w:after="0" w:line="276" w:lineRule="auto"/>
        <w:ind w:firstLine="708"/>
        <w:jc w:val="both"/>
        <w:rPr>
          <w:rFonts w:ascii="Verdana" w:eastAsia="Calibri" w:hAnsi="Verdana" w:cs="Arial"/>
        </w:rPr>
      </w:pPr>
      <w:r w:rsidRPr="00223A8D">
        <w:rPr>
          <w:rFonts w:ascii="Verdana" w:eastAsia="Calibri" w:hAnsi="Verdana" w:cs="Arial"/>
        </w:rPr>
        <w:t xml:space="preserve">En ese orden de ideas, </w:t>
      </w:r>
      <w:r>
        <w:rPr>
          <w:rFonts w:ascii="Verdana" w:eastAsia="Calibri" w:hAnsi="Verdana" w:cs="Arial"/>
        </w:rPr>
        <w:t>l</w:t>
      </w:r>
      <w:r w:rsidRPr="00223A8D">
        <w:rPr>
          <w:rFonts w:ascii="Verdana" w:eastAsia="Calibri" w:hAnsi="Verdana" w:cs="Arial"/>
        </w:rPr>
        <w:t>os convenios sub examine están regulados, entonces, por el EGCAP o, eventualmente, por el Decreto 092 de 2018, siendo la aplicación del primero la regla general, mientras que la de este último la excepción, dentro de los parámetros que pasarán a explicarse a continuación:</w:t>
      </w:r>
    </w:p>
    <w:p w14:paraId="6B01868A" w14:textId="77777777" w:rsidR="001A4A08" w:rsidRPr="00B31A69" w:rsidRDefault="001A4A08" w:rsidP="001A4A08">
      <w:pPr>
        <w:pStyle w:val="Prrafodelista"/>
        <w:tabs>
          <w:tab w:val="left" w:pos="1134"/>
        </w:tabs>
        <w:spacing w:line="276" w:lineRule="auto"/>
        <w:ind w:left="1080"/>
        <w:contextualSpacing w:val="0"/>
        <w:jc w:val="both"/>
        <w:rPr>
          <w:rFonts w:ascii="Verdana" w:eastAsia="Calibri" w:hAnsi="Verdana" w:cs="Arial"/>
          <w:i/>
        </w:rPr>
      </w:pPr>
    </w:p>
    <w:p w14:paraId="34934FE6" w14:textId="77777777" w:rsidR="001A4A08" w:rsidRDefault="001A4A08" w:rsidP="001A4A08">
      <w:pPr>
        <w:tabs>
          <w:tab w:val="left" w:pos="1134"/>
        </w:tabs>
        <w:spacing w:after="0" w:line="276" w:lineRule="auto"/>
        <w:jc w:val="both"/>
        <w:rPr>
          <w:rFonts w:ascii="Verdana" w:eastAsia="Calibri" w:hAnsi="Verdana" w:cs="Arial"/>
          <w:i/>
        </w:rPr>
      </w:pPr>
      <w:r>
        <w:rPr>
          <w:rFonts w:ascii="Verdana" w:eastAsia="Calibri" w:hAnsi="Verdana" w:cs="Arial"/>
        </w:rPr>
        <w:tab/>
        <w:t xml:space="preserve">a) </w:t>
      </w:r>
      <w:r w:rsidRPr="009C767F">
        <w:rPr>
          <w:rFonts w:ascii="Verdana" w:eastAsia="Calibri" w:hAnsi="Verdana" w:cs="Arial"/>
        </w:rPr>
        <w:t xml:space="preserve">Los procedimientos contractuales mediante los cuales las entidades ejecutan recursos públicos y satisfacen el interés general deben regirse por la normativa de contratación pública –Ley 80 de 1993, Ley 1150 de 2007, Decreto 1082 de 2015 y normas complementarias–, que contiene los principios, reglas y procedimientos que rigen los contratos de las Entidades Estatales. Como se explicó, el EGCAP se aplica a las Entidades Estatales relacionadas en el artículo 2 del Decreto 092 de 2017 y demás normas que lo complementan, dentro de las cuales se encuentran mencionados los departamentos, distritos y municipios. </w:t>
      </w:r>
    </w:p>
    <w:p w14:paraId="126CF676" w14:textId="77777777" w:rsidR="001A4A08" w:rsidRDefault="001A4A08" w:rsidP="001A4A08">
      <w:pPr>
        <w:tabs>
          <w:tab w:val="left" w:pos="1134"/>
        </w:tabs>
        <w:spacing w:before="120" w:after="0" w:line="276" w:lineRule="auto"/>
        <w:jc w:val="both"/>
        <w:rPr>
          <w:rFonts w:ascii="Verdana" w:eastAsia="Calibri" w:hAnsi="Verdana" w:cs="Arial"/>
          <w:i/>
        </w:rPr>
      </w:pPr>
      <w:r>
        <w:rPr>
          <w:rFonts w:ascii="Verdana" w:eastAsia="Calibri" w:hAnsi="Verdana" w:cs="Arial"/>
        </w:rPr>
        <w:tab/>
      </w:r>
      <w:r w:rsidRPr="009C767F">
        <w:rPr>
          <w:rFonts w:ascii="Verdana" w:eastAsia="Calibri" w:hAnsi="Verdana" w:cs="Arial"/>
        </w:rPr>
        <w:t>En aplicación del EGCAP, los procedimientos de contratación se estructuran a partir de las modalidades de selección, y al hacer una revisión de las normas citadas se observa que contienen los procedimientos para adelantarlas y las reglas de cada modalidad: licitación pública, selección abreviada, concurso de méritos, contratación directa y mínima cuantía</w:t>
      </w:r>
      <w:r w:rsidRPr="00B31A69">
        <w:rPr>
          <w:vertAlign w:val="superscript"/>
        </w:rPr>
        <w:footnoteReference w:id="29"/>
      </w:r>
      <w:r w:rsidRPr="009C767F">
        <w:rPr>
          <w:rFonts w:ascii="Verdana" w:eastAsia="Calibri" w:hAnsi="Verdana" w:cs="Arial"/>
        </w:rPr>
        <w:t xml:space="preserve">. </w:t>
      </w:r>
    </w:p>
    <w:p w14:paraId="7937C06A" w14:textId="77777777" w:rsidR="001A4A08" w:rsidRDefault="001A4A08" w:rsidP="001A4A08">
      <w:pPr>
        <w:tabs>
          <w:tab w:val="left" w:pos="1134"/>
        </w:tabs>
        <w:spacing w:before="120" w:after="0" w:line="276" w:lineRule="auto"/>
        <w:jc w:val="both"/>
        <w:rPr>
          <w:rFonts w:ascii="Verdana" w:eastAsia="Calibri" w:hAnsi="Verdana" w:cs="Arial"/>
          <w:i/>
        </w:rPr>
      </w:pPr>
      <w:r>
        <w:rPr>
          <w:rFonts w:ascii="Verdana" w:eastAsia="Calibri" w:hAnsi="Verdana" w:cs="Arial"/>
          <w:i/>
        </w:rPr>
        <w:lastRenderedPageBreak/>
        <w:tab/>
      </w:r>
      <w:r w:rsidRPr="009C767F">
        <w:rPr>
          <w:rFonts w:ascii="Verdana" w:eastAsia="Calibri" w:hAnsi="Verdana" w:cs="Arial"/>
        </w:rPr>
        <w:t>Ahora bien, la determinación de la modalidad de selección del contratista para el caso de los convenios regulados en el parágrafo del artículo 16 de la Ley 1850 de 2017, que modificó el artículo 8 de la Ley 1276 de 2010, depende de las particularidades del caso, entre las que se resaltan la cuantía del contrato y el objeto del mismo, siendo una decisión que, en todo caso, le corresponde a la entidad contratante de manera autónoma, con apego a las directrices que establecen las Leyes 80 de 1993 y 1150 de 2007, así como las que contiene el Decreto 1082 de 2015, entre otras normas complementarias y reglamentarias.</w:t>
      </w:r>
    </w:p>
    <w:p w14:paraId="6ADDA182" w14:textId="77777777" w:rsidR="001A4A08" w:rsidRDefault="001A4A08" w:rsidP="001A4A08">
      <w:pPr>
        <w:tabs>
          <w:tab w:val="left" w:pos="1134"/>
        </w:tabs>
        <w:spacing w:before="120" w:after="0" w:line="276" w:lineRule="auto"/>
        <w:jc w:val="both"/>
        <w:rPr>
          <w:rFonts w:ascii="Verdana" w:eastAsia="Calibri" w:hAnsi="Verdana" w:cs="Arial"/>
          <w:i/>
        </w:rPr>
      </w:pPr>
      <w:r>
        <w:rPr>
          <w:rFonts w:ascii="Verdana" w:eastAsia="Calibri" w:hAnsi="Verdana" w:cs="Arial"/>
          <w:i/>
        </w:rPr>
        <w:tab/>
      </w:r>
      <w:r w:rsidRPr="009C767F">
        <w:rPr>
          <w:rFonts w:ascii="Verdana" w:eastAsia="Calibri" w:hAnsi="Verdana" w:cs="Arial"/>
        </w:rPr>
        <w:t>Lo anterior, claro está, cuando no se trate de un convenio interadministrativo, pues para este caso la modalidad es la contratación directa, de acuerdo con lo que establece el artículo 2.2.1.2.1.4.4 del Decreto 1082 de 2015, “Por medio del cual se expide el Decreto único reglamentario del sector administrativo de planeación nacional”</w:t>
      </w:r>
      <w:r w:rsidRPr="00B31A69">
        <w:rPr>
          <w:vertAlign w:val="superscript"/>
        </w:rPr>
        <w:footnoteReference w:id="30"/>
      </w:r>
      <w:r w:rsidRPr="009C767F">
        <w:rPr>
          <w:rFonts w:ascii="Verdana" w:eastAsia="Calibri" w:hAnsi="Verdana" w:cs="Arial"/>
        </w:rPr>
        <w:t xml:space="preserve">. </w:t>
      </w:r>
    </w:p>
    <w:p w14:paraId="5389F3EF" w14:textId="77777777" w:rsidR="001A4A08" w:rsidRDefault="001A4A08" w:rsidP="001A4A08">
      <w:pPr>
        <w:tabs>
          <w:tab w:val="left" w:pos="1134"/>
        </w:tabs>
        <w:spacing w:before="120" w:after="0" w:line="276" w:lineRule="auto"/>
        <w:jc w:val="both"/>
        <w:rPr>
          <w:rFonts w:ascii="Verdana" w:eastAsia="Calibri" w:hAnsi="Verdana" w:cs="Arial"/>
          <w:i/>
        </w:rPr>
      </w:pPr>
      <w:r>
        <w:rPr>
          <w:rFonts w:ascii="Verdana" w:eastAsia="Calibri" w:hAnsi="Verdana" w:cs="Arial"/>
          <w:i/>
        </w:rPr>
        <w:tab/>
      </w:r>
      <w:r w:rsidRPr="009C767F">
        <w:rPr>
          <w:rFonts w:ascii="Verdana" w:eastAsia="Calibri" w:hAnsi="Verdana" w:cs="Arial"/>
        </w:rPr>
        <w:t>En todo caso, hay que tener en cuenta que 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amplio</w:t>
      </w:r>
      <w:r w:rsidRPr="00B31A69">
        <w:rPr>
          <w:vertAlign w:val="superscript"/>
        </w:rPr>
        <w:footnoteReference w:id="31"/>
      </w:r>
      <w:r w:rsidRPr="009C767F">
        <w:rPr>
          <w:rFonts w:ascii="Verdana" w:eastAsia="Calibri" w:hAnsi="Verdana" w:cs="Arial"/>
        </w:rPr>
        <w:t>. Nótese que, en este caso, lo que cambia es la modalidad de selección y no la naturaleza de contrato interadministrativo.</w:t>
      </w:r>
    </w:p>
    <w:p w14:paraId="6E5FED77" w14:textId="77777777" w:rsidR="001A4A08" w:rsidRDefault="001A4A08" w:rsidP="001A4A08">
      <w:pPr>
        <w:tabs>
          <w:tab w:val="left" w:pos="1134"/>
        </w:tabs>
        <w:spacing w:before="120" w:after="0" w:line="276" w:lineRule="auto"/>
        <w:jc w:val="both"/>
        <w:rPr>
          <w:rFonts w:ascii="Verdana" w:eastAsia="Calibri" w:hAnsi="Verdana" w:cs="Arial"/>
          <w:i/>
        </w:rPr>
      </w:pPr>
      <w:r>
        <w:rPr>
          <w:rFonts w:ascii="Verdana" w:eastAsia="Calibri" w:hAnsi="Verdana" w:cs="Arial"/>
          <w:i/>
        </w:rPr>
        <w:tab/>
      </w:r>
      <w:r w:rsidRPr="009C767F">
        <w:rPr>
          <w:rFonts w:ascii="Verdana" w:eastAsia="Calibri" w:hAnsi="Verdana" w:cs="Arial"/>
        </w:rPr>
        <w:t xml:space="preserve">Si bien es cierto que los contratos o convenios interadministrativos están previstos en la Ley 80 de 1993, en la Ley 1150 de 2007 y en el Decreto </w:t>
      </w:r>
      <w:r w:rsidRPr="009C767F">
        <w:rPr>
          <w:rFonts w:ascii="Verdana" w:eastAsia="Calibri" w:hAnsi="Verdana" w:cs="Arial"/>
        </w:rPr>
        <w:lastRenderedPageBreak/>
        <w:t>1082 de 2015, también lo es que esto no quiere decir que solo puedan celebrarse entre Entidades Estatales que apliquen el régimen de contratación allí previsto. Lo anterior por cuanto una Entidad Estatal de Ley 80 de 1993 puede celebrar esta clase de convenios con una Entidad Estatal de régimen especial y no por ello dejará de ser un contrato o convenio interadministrativo, caso en el cual su ejecución estará sometida a la Ley 80 de 1993</w:t>
      </w:r>
      <w:r w:rsidRPr="00B31A69">
        <w:rPr>
          <w:vertAlign w:val="superscript"/>
        </w:rPr>
        <w:footnoteReference w:id="32"/>
      </w:r>
      <w:r w:rsidRPr="009C767F">
        <w:rPr>
          <w:rFonts w:ascii="Verdana" w:eastAsia="Calibri" w:hAnsi="Verdana" w:cs="Arial"/>
        </w:rPr>
        <w:t>.</w:t>
      </w:r>
    </w:p>
    <w:p w14:paraId="7125DFAB" w14:textId="77777777" w:rsidR="001A4A08" w:rsidRDefault="001A4A08" w:rsidP="001A4A08">
      <w:pPr>
        <w:tabs>
          <w:tab w:val="left" w:pos="1134"/>
        </w:tabs>
        <w:spacing w:before="120" w:after="0" w:line="276" w:lineRule="auto"/>
        <w:jc w:val="both"/>
        <w:rPr>
          <w:rFonts w:ascii="Verdana" w:eastAsia="Calibri" w:hAnsi="Verdana" w:cs="Arial"/>
          <w:i/>
        </w:rPr>
      </w:pPr>
      <w:r>
        <w:rPr>
          <w:rFonts w:ascii="Verdana" w:eastAsia="Calibri" w:hAnsi="Verdana" w:cs="Arial"/>
          <w:i/>
        </w:rPr>
        <w:tab/>
      </w:r>
      <w:r w:rsidRPr="009C767F">
        <w:rPr>
          <w:rFonts w:ascii="Verdana" w:eastAsia="Calibri" w:hAnsi="Verdana" w:cs="Arial"/>
        </w:rPr>
        <w:t xml:space="preserve">En ese sentido, los convenios interadministrativos se caracterizan por los sujetos que intervienen y por la modalidad de selección que la ley permite aplicar para su celebración, pues comporta un grado de excepcionalidad frente a las demás tipologías contractuales, donde los sujetos no están restringidos a una cualificación particular y aplican otras modalidades de selección. Por regla general, el EGCAP establece la contratación directa como la modalidad de selección aplicable para la celebración de los contratos interadministrativos. </w:t>
      </w:r>
    </w:p>
    <w:p w14:paraId="5502A39F" w14:textId="77777777" w:rsidR="001A4A08" w:rsidRDefault="001A4A08" w:rsidP="001A4A08">
      <w:pPr>
        <w:tabs>
          <w:tab w:val="left" w:pos="1134"/>
        </w:tabs>
        <w:spacing w:before="120" w:after="0" w:line="276" w:lineRule="auto"/>
        <w:jc w:val="both"/>
        <w:rPr>
          <w:rFonts w:ascii="Verdana" w:eastAsia="Calibri" w:hAnsi="Verdana" w:cs="Arial"/>
          <w:i/>
        </w:rPr>
      </w:pPr>
      <w:r>
        <w:rPr>
          <w:rFonts w:ascii="Verdana" w:eastAsia="Calibri" w:hAnsi="Verdana" w:cs="Arial"/>
          <w:i/>
        </w:rPr>
        <w:tab/>
      </w:r>
      <w:r>
        <w:rPr>
          <w:rFonts w:ascii="Verdana" w:eastAsia="Calibri" w:hAnsi="Verdana" w:cs="Arial"/>
        </w:rPr>
        <w:t xml:space="preserve">b) </w:t>
      </w:r>
      <w:r w:rsidRPr="009C767F">
        <w:rPr>
          <w:rFonts w:ascii="Verdana" w:eastAsia="Calibri" w:hAnsi="Verdana" w:cs="Arial"/>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w:t>
      </w:r>
      <w:r w:rsidRPr="00B31A69">
        <w:rPr>
          <w:vertAlign w:val="superscript"/>
        </w:rPr>
        <w:footnoteReference w:id="33"/>
      </w:r>
      <w:r w:rsidRPr="009C767F">
        <w:rPr>
          <w:rFonts w:ascii="Verdana" w:eastAsia="Calibri" w:hAnsi="Verdana" w:cs="Arial"/>
        </w:rPr>
        <w:t>.</w:t>
      </w:r>
    </w:p>
    <w:p w14:paraId="614BF861" w14:textId="77777777" w:rsidR="001A4A08" w:rsidRDefault="001A4A08" w:rsidP="001A4A08">
      <w:pPr>
        <w:tabs>
          <w:tab w:val="left" w:pos="1134"/>
        </w:tabs>
        <w:spacing w:before="120" w:after="0" w:line="276" w:lineRule="auto"/>
        <w:jc w:val="both"/>
        <w:rPr>
          <w:rFonts w:ascii="Verdana" w:eastAsia="Calibri" w:hAnsi="Verdana" w:cs="Arial"/>
          <w:i/>
        </w:rPr>
      </w:pPr>
      <w:r>
        <w:rPr>
          <w:rFonts w:ascii="Verdana" w:eastAsia="Calibri" w:hAnsi="Verdana" w:cs="Arial"/>
          <w:i/>
        </w:rPr>
        <w:tab/>
      </w:r>
      <w:r w:rsidRPr="009C767F">
        <w:rPr>
          <w:rFonts w:ascii="Verdana" w:eastAsia="Calibri" w:hAnsi="Verdana" w:cs="Arial"/>
        </w:rPr>
        <w:t>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w:t>
      </w:r>
      <w:r w:rsidRPr="00B31A69">
        <w:rPr>
          <w:vertAlign w:val="superscript"/>
        </w:rPr>
        <w:footnoteReference w:id="34"/>
      </w:r>
      <w:r w:rsidRPr="009C767F">
        <w:rPr>
          <w:rFonts w:ascii="Verdana" w:eastAsia="Calibri" w:hAnsi="Verdana" w:cs="Arial"/>
        </w:rPr>
        <w:t>. Ambas figuras tienen como fin desarrollar conjuntamente actividades relacionadas con los cometidos y funciones legales asignadas a la entidad.</w:t>
      </w:r>
    </w:p>
    <w:p w14:paraId="3A84977A" w14:textId="77777777" w:rsidR="001A4A08" w:rsidRDefault="001A4A08" w:rsidP="001A4A08">
      <w:pPr>
        <w:tabs>
          <w:tab w:val="left" w:pos="1134"/>
        </w:tabs>
        <w:spacing w:before="120" w:after="0" w:line="276" w:lineRule="auto"/>
        <w:jc w:val="both"/>
        <w:rPr>
          <w:rFonts w:ascii="Verdana" w:eastAsia="Calibri" w:hAnsi="Verdana" w:cs="Arial"/>
          <w:i/>
        </w:rPr>
      </w:pPr>
      <w:r>
        <w:rPr>
          <w:rFonts w:ascii="Verdana" w:eastAsia="Calibri" w:hAnsi="Verdana" w:cs="Arial"/>
          <w:i/>
        </w:rPr>
        <w:lastRenderedPageBreak/>
        <w:tab/>
      </w:r>
      <w:r w:rsidRPr="009C767F">
        <w:rPr>
          <w:rFonts w:ascii="Verdana" w:eastAsia="Calibri" w:hAnsi="Verdana" w:cs="Arial"/>
        </w:rPr>
        <w:t>Por otra parte, es importante señalar que, de conformidad con el artículo 3 de la Ley 1276 de 2009, las Asambleas Departamentales y los Concejos Distritales y Municipales se encuentran habilitados para emitir la “Estampilla para el bienestar del Adulto Mayor”, como recurso de obligatorio recaudo para contribuir a la construcción, instalación, adecuación, dotación, funcionamiento y desarrollo de programas de prevención y promoción de los Centros de Bienestar del Anciano y Centros de Vida para la Tercera Edad, en sus respectivas entidades territoriales. A su turno, sobre la destinación del producto de dichos recursos, el precitado artículo dispone lo siguiente: “[e]l producto de dichos recursos se destinará, como mínimo, en un 70% para la financiación de los Centros Vida, de acuerdo con las definiciones de la presente ley; y el 30% restante, a la dotación y funcionamiento de los Centros de Bienestar del Anciano, sin perjuicio de los recursos adicionales que puedan gestionarse a través del sector privado y la cooperación internacional".</w:t>
      </w:r>
    </w:p>
    <w:p w14:paraId="0BB3EEED" w14:textId="77777777" w:rsidR="001A4A08" w:rsidRDefault="001A4A08" w:rsidP="001A4A08">
      <w:pPr>
        <w:tabs>
          <w:tab w:val="left" w:pos="1134"/>
        </w:tabs>
        <w:spacing w:before="120" w:after="0" w:line="276" w:lineRule="auto"/>
        <w:jc w:val="both"/>
        <w:rPr>
          <w:rFonts w:ascii="Verdana" w:eastAsia="Calibri" w:hAnsi="Verdana" w:cs="Arial"/>
          <w:i/>
        </w:rPr>
      </w:pPr>
      <w:r>
        <w:rPr>
          <w:rFonts w:ascii="Verdana" w:eastAsia="Calibri" w:hAnsi="Verdana" w:cs="Arial"/>
          <w:i/>
        </w:rPr>
        <w:tab/>
      </w:r>
      <w:r w:rsidRPr="009C767F">
        <w:rPr>
          <w:rFonts w:ascii="Verdana" w:eastAsia="Calibri" w:hAnsi="Verdana" w:cs="Arial"/>
        </w:rPr>
        <w:t xml:space="preserve">De igual forma, el recaudo de la estampilla de cada Administración Departamental será distribuido en los distritos y municipios de su jurisdicción, en proporción directa al número de adulto mayores de los niveles I y II del Sisbén que se atiendan en los centros de vida y en los centros de bienestar del anciano en los entes Distritales o Municipales. </w:t>
      </w:r>
    </w:p>
    <w:p w14:paraId="10E1B824" w14:textId="77777777" w:rsidR="001A4A08" w:rsidRPr="009C767F" w:rsidRDefault="001A4A08" w:rsidP="001A4A08">
      <w:pPr>
        <w:tabs>
          <w:tab w:val="left" w:pos="1134"/>
        </w:tabs>
        <w:spacing w:before="120" w:after="0" w:line="276" w:lineRule="auto"/>
        <w:jc w:val="both"/>
        <w:rPr>
          <w:rFonts w:ascii="Verdana" w:eastAsia="Calibri" w:hAnsi="Verdana" w:cs="Arial"/>
          <w:i/>
        </w:rPr>
      </w:pPr>
      <w:r>
        <w:rPr>
          <w:rFonts w:ascii="Verdana" w:eastAsia="Calibri" w:hAnsi="Verdana" w:cs="Arial"/>
          <w:i/>
        </w:rPr>
        <w:tab/>
      </w:r>
      <w:r w:rsidRPr="009C767F">
        <w:rPr>
          <w:rFonts w:ascii="Verdana" w:eastAsia="Calibri" w:hAnsi="Verdana" w:cs="Arial"/>
        </w:rPr>
        <w:t xml:space="preserve">Finalmente, i) conforme al artículo 5 de la Ley 1276 de 2009, el recaudo de la estampilla en cuestión será aplicado, en su totalidad, a la dotación y funcionamiento de los Centros de Bienestar del Anciano y de los Centros de Vida para la Tercera Edad, en la respectiva jurisdicción, y </w:t>
      </w:r>
      <w:proofErr w:type="spellStart"/>
      <w:r w:rsidRPr="009C767F">
        <w:rPr>
          <w:rFonts w:ascii="Verdana" w:eastAsia="Calibri" w:hAnsi="Verdana" w:cs="Arial"/>
        </w:rPr>
        <w:t>ii</w:t>
      </w:r>
      <w:proofErr w:type="spellEnd"/>
      <w:r w:rsidRPr="009C767F">
        <w:rPr>
          <w:rFonts w:ascii="Verdana" w:eastAsia="Calibri" w:hAnsi="Verdana" w:cs="Arial"/>
        </w:rPr>
        <w:t xml:space="preserve">) de acuerdo con el artículo 9 </w:t>
      </w:r>
      <w:r w:rsidRPr="009C767F">
        <w:rPr>
          <w:rFonts w:ascii="Verdana" w:eastAsia="Calibri" w:hAnsi="Verdana" w:cs="Arial"/>
          <w:i/>
          <w:iCs/>
        </w:rPr>
        <w:t xml:space="preserve">ídem, </w:t>
      </w:r>
      <w:r w:rsidRPr="009C767F">
        <w:rPr>
          <w:rFonts w:ascii="Verdana" w:eastAsia="Calibri" w:hAnsi="Verdana" w:cs="Arial"/>
        </w:rPr>
        <w:t>en el Acuerdo del Concejo municipal o distrital, en donde se establezca la creación de la estampilla, se adoptarán las definiciones de Centros Vida, anteriormente contempladas, y se establecerán aquellos servicios que como mínimo, se garantizarán a la población objetivo, de acuerdo con los recursos a recaudar y el censo de beneficiarios.</w:t>
      </w:r>
    </w:p>
    <w:p w14:paraId="3E61FFD7" w14:textId="77777777" w:rsidR="001A4A08" w:rsidRPr="00323178" w:rsidRDefault="001A4A08" w:rsidP="001A4A08">
      <w:pPr>
        <w:widowControl w:val="0"/>
        <w:autoSpaceDE w:val="0"/>
        <w:autoSpaceDN w:val="0"/>
        <w:spacing w:after="0" w:line="276" w:lineRule="auto"/>
        <w:jc w:val="both"/>
        <w:rPr>
          <w:rFonts w:ascii="Verdana" w:hAnsi="Verdana" w:cs="Arial"/>
        </w:rPr>
      </w:pPr>
    </w:p>
    <w:p w14:paraId="50A0AEE0" w14:textId="77777777" w:rsidR="001A4A08" w:rsidRPr="00B31A69" w:rsidRDefault="001A4A08" w:rsidP="001A4A08">
      <w:pPr>
        <w:spacing w:after="120" w:line="276" w:lineRule="auto"/>
        <w:jc w:val="both"/>
        <w:rPr>
          <w:rFonts w:ascii="Verdana" w:eastAsia="Calibri" w:hAnsi="Verdana" w:cs="Arial"/>
          <w:color w:val="000000" w:themeColor="text1"/>
        </w:rPr>
      </w:pPr>
      <w:proofErr w:type="spellStart"/>
      <w:r>
        <w:rPr>
          <w:rFonts w:ascii="Verdana" w:eastAsia="Calibri" w:hAnsi="Verdana" w:cs="Arial"/>
          <w:color w:val="000000" w:themeColor="text1"/>
        </w:rPr>
        <w:t>iv</w:t>
      </w:r>
      <w:proofErr w:type="spellEnd"/>
      <w:r>
        <w:rPr>
          <w:rFonts w:ascii="Verdana" w:eastAsia="Calibri" w:hAnsi="Verdana" w:cs="Arial"/>
          <w:color w:val="000000" w:themeColor="text1"/>
        </w:rPr>
        <w:t xml:space="preserve">) </w:t>
      </w:r>
      <w:r w:rsidRPr="00C35305">
        <w:rPr>
          <w:rFonts w:ascii="Verdana" w:hAnsi="Verdana" w:cs="Arial"/>
          <w:color w:val="000000" w:themeColor="text1"/>
        </w:rPr>
        <w:t>Al margen de la explicación precedente debe advertirse que el análisis requerido</w:t>
      </w:r>
      <w:r>
        <w:rPr>
          <w:rFonts w:ascii="Verdana" w:hAnsi="Verdana" w:cs="Arial"/>
          <w:color w:val="000000" w:themeColor="text1"/>
        </w:rPr>
        <w:t xml:space="preserve"> </w:t>
      </w:r>
      <w:r w:rsidRPr="00C35305">
        <w:rPr>
          <w:rFonts w:ascii="Verdana" w:hAnsi="Verdana" w:cs="Arial"/>
          <w:color w:val="000000" w:themeColor="text1"/>
        </w:rPr>
        <w:t>para</w:t>
      </w:r>
      <w:r>
        <w:rPr>
          <w:rFonts w:ascii="Verdana" w:hAnsi="Verdana" w:cs="Arial"/>
          <w:color w:val="000000" w:themeColor="text1"/>
        </w:rPr>
        <w:t xml:space="preserve"> calificar conductas con presunta incidencia disciplinaria </w:t>
      </w:r>
      <w:r w:rsidRPr="00C35305">
        <w:rPr>
          <w:rFonts w:ascii="Verdana" w:hAnsi="Verdana" w:cs="Arial"/>
          <w:color w:val="000000" w:themeColor="text1"/>
        </w:rPr>
        <w:t>debe ser realizado por</w:t>
      </w:r>
      <w:r>
        <w:rPr>
          <w:rFonts w:ascii="Verdana" w:hAnsi="Verdana" w:cs="Arial"/>
          <w:color w:val="000000" w:themeColor="text1"/>
        </w:rPr>
        <w:t xml:space="preserve"> </w:t>
      </w:r>
      <w:r w:rsidRPr="00C35305">
        <w:rPr>
          <w:rFonts w:ascii="Verdana" w:hAnsi="Verdana" w:cs="Arial"/>
          <w:color w:val="000000" w:themeColor="text1"/>
        </w:rPr>
        <w:t>quienes tengan interés en ello, de acuerdo con lo explicado la aclaración preliminar del presente oficio. De esta manera, las afirmaciones aquí realizadas</w:t>
      </w:r>
      <w:r>
        <w:rPr>
          <w:rFonts w:ascii="Verdana" w:hAnsi="Verdana" w:cs="Arial"/>
          <w:color w:val="000000" w:themeColor="text1"/>
        </w:rPr>
        <w:t xml:space="preserve"> </w:t>
      </w:r>
      <w:r w:rsidRPr="00C35305">
        <w:rPr>
          <w:rFonts w:ascii="Verdana" w:hAnsi="Verdana" w:cs="Arial"/>
          <w:color w:val="000000" w:themeColor="text1"/>
        </w:rPr>
        <w:t>no</w:t>
      </w:r>
      <w:r>
        <w:rPr>
          <w:rFonts w:ascii="Verdana" w:hAnsi="Verdana" w:cs="Arial"/>
          <w:color w:val="000000" w:themeColor="text1"/>
        </w:rPr>
        <w:t xml:space="preserve"> </w:t>
      </w:r>
      <w:r w:rsidRPr="00C35305">
        <w:rPr>
          <w:rFonts w:ascii="Verdana" w:hAnsi="Verdana" w:cs="Arial"/>
          <w:color w:val="000000" w:themeColor="text1"/>
        </w:rPr>
        <w:t>pueden ser interpretadas como juicios de valor sobre circunstancias</w:t>
      </w:r>
      <w:r>
        <w:rPr>
          <w:rFonts w:ascii="Verdana" w:hAnsi="Verdana" w:cs="Arial"/>
          <w:color w:val="000000" w:themeColor="text1"/>
        </w:rPr>
        <w:t xml:space="preserve"> </w:t>
      </w:r>
      <w:r w:rsidRPr="00C35305">
        <w:rPr>
          <w:rFonts w:ascii="Verdana" w:hAnsi="Verdana" w:cs="Arial"/>
          <w:color w:val="000000" w:themeColor="text1"/>
        </w:rPr>
        <w:t>concretas</w:t>
      </w:r>
      <w:r>
        <w:rPr>
          <w:rFonts w:ascii="Verdana" w:hAnsi="Verdana" w:cs="Arial"/>
          <w:color w:val="000000" w:themeColor="text1"/>
        </w:rPr>
        <w:t xml:space="preserve"> </w:t>
      </w:r>
      <w:r w:rsidRPr="00C35305">
        <w:rPr>
          <w:rFonts w:ascii="Verdana" w:hAnsi="Verdana" w:cs="Arial"/>
          <w:color w:val="000000" w:themeColor="text1"/>
        </w:rPr>
        <w:t xml:space="preserve">relacionadas con los hechos </w:t>
      </w:r>
      <w:r>
        <w:rPr>
          <w:rFonts w:ascii="Verdana" w:hAnsi="Verdana" w:cs="Arial"/>
          <w:color w:val="000000" w:themeColor="text1"/>
        </w:rPr>
        <w:t xml:space="preserve">del expediente disciplinario </w:t>
      </w:r>
      <w:r>
        <w:rPr>
          <w:rFonts w:ascii="Verdana" w:hAnsi="Verdana" w:cs="Arial"/>
          <w:color w:val="000000" w:themeColor="text1"/>
        </w:rPr>
        <w:lastRenderedPageBreak/>
        <w:t>que</w:t>
      </w:r>
      <w:r w:rsidRPr="00C35305">
        <w:rPr>
          <w:rFonts w:ascii="Verdana" w:hAnsi="Verdana" w:cs="Arial"/>
          <w:color w:val="000000" w:themeColor="text1"/>
        </w:rPr>
        <w:t xml:space="preserve"> motivan la</w:t>
      </w:r>
      <w:r>
        <w:rPr>
          <w:rFonts w:ascii="Verdana" w:hAnsi="Verdana" w:cs="Arial"/>
          <w:color w:val="000000" w:themeColor="text1"/>
        </w:rPr>
        <w:t xml:space="preserve"> </w:t>
      </w:r>
      <w:r w:rsidRPr="00C35305">
        <w:rPr>
          <w:rFonts w:ascii="Verdana" w:hAnsi="Verdana" w:cs="Arial"/>
          <w:color w:val="000000" w:themeColor="text1"/>
        </w:rPr>
        <w:t>consulta.</w:t>
      </w:r>
      <w:r>
        <w:rPr>
          <w:rFonts w:ascii="Verdana" w:hAnsi="Verdana" w:cs="Arial"/>
          <w:color w:val="000000" w:themeColor="text1"/>
        </w:rPr>
        <w:t xml:space="preserve"> </w:t>
      </w:r>
      <w:r w:rsidRPr="00C35305">
        <w:rPr>
          <w:rFonts w:ascii="Verdana" w:hAnsi="Verdana" w:cs="Arial"/>
          <w:color w:val="000000" w:themeColor="text1"/>
        </w:rPr>
        <w:t>Por lo anterior, previo concepto de sus asesores, la solución de situaciones particulares corresponde a los interesados</w:t>
      </w:r>
      <w:r>
        <w:rPr>
          <w:rFonts w:ascii="Verdana" w:hAnsi="Verdana" w:cs="Arial"/>
          <w:color w:val="000000" w:themeColor="text1"/>
        </w:rPr>
        <w:t xml:space="preserve"> </w:t>
      </w:r>
      <w:r w:rsidRPr="00C35305">
        <w:rPr>
          <w:rFonts w:ascii="Verdana" w:hAnsi="Verdana" w:cs="Arial"/>
          <w:color w:val="000000" w:themeColor="text1"/>
        </w:rPr>
        <w:t>adoptar la decisión correspondiente y, en caso de conflicto, a las autoridades judiciales.</w:t>
      </w:r>
    </w:p>
    <w:p w14:paraId="3F61A410" w14:textId="77777777" w:rsidR="001A4A08" w:rsidRPr="003C5831" w:rsidRDefault="001A4A08" w:rsidP="001A4A08">
      <w:pPr>
        <w:spacing w:after="0" w:line="276" w:lineRule="auto"/>
        <w:ind w:firstLine="708"/>
        <w:jc w:val="both"/>
        <w:rPr>
          <w:rFonts w:ascii="Verdana" w:eastAsia="Calibri" w:hAnsi="Verdana" w:cs="Arial"/>
          <w:color w:val="000000" w:themeColor="text1"/>
          <w:lang w:eastAsia="es-ES"/>
        </w:rPr>
      </w:pPr>
      <w:r w:rsidRPr="00C35305">
        <w:rPr>
          <w:rFonts w:ascii="Verdana" w:hAnsi="Verdana" w:cs="Arial"/>
          <w:color w:val="000000" w:themeColor="text1"/>
        </w:rPr>
        <w:t xml:space="preserve">Dentro de este marco, </w:t>
      </w:r>
      <w:r>
        <w:rPr>
          <w:rFonts w:ascii="Verdana" w:hAnsi="Verdana" w:cs="Arial"/>
          <w:color w:val="000000" w:themeColor="text1"/>
        </w:rPr>
        <w:t>el órgano disciplinario</w:t>
      </w:r>
      <w:r w:rsidRPr="00C35305">
        <w:rPr>
          <w:rFonts w:ascii="Verdana" w:hAnsi="Verdana" w:cs="Arial"/>
          <w:color w:val="000000" w:themeColor="text1"/>
        </w:rPr>
        <w:t xml:space="preserve"> definirá en cada caso concreto lo</w:t>
      </w:r>
      <w:r>
        <w:rPr>
          <w:rFonts w:ascii="Verdana" w:hAnsi="Verdana" w:cs="Arial"/>
          <w:color w:val="000000" w:themeColor="text1"/>
        </w:rPr>
        <w:t xml:space="preserve"> </w:t>
      </w:r>
      <w:r w:rsidRPr="00C35305">
        <w:rPr>
          <w:rFonts w:ascii="Verdana" w:hAnsi="Verdana" w:cs="Arial"/>
          <w:color w:val="000000" w:themeColor="text1"/>
        </w:rPr>
        <w:t xml:space="preserve">relacionado con </w:t>
      </w:r>
      <w:r>
        <w:rPr>
          <w:rFonts w:ascii="Verdana" w:hAnsi="Verdana" w:cs="Arial"/>
          <w:color w:val="000000" w:themeColor="text1"/>
        </w:rPr>
        <w:t xml:space="preserve">la tipicidad de las conductas investigadas en </w:t>
      </w:r>
      <w:r>
        <w:rPr>
          <w:rFonts w:ascii="Verdana" w:eastAsia="Calibri" w:hAnsi="Verdana" w:cs="Arial"/>
          <w:lang w:val="es-ES" w:eastAsia="es-ES"/>
        </w:rPr>
        <w:t xml:space="preserve">el </w:t>
      </w:r>
      <w:r w:rsidRPr="00E829B8">
        <w:rPr>
          <w:rFonts w:ascii="Verdana" w:eastAsia="Calibri" w:hAnsi="Verdana" w:cs="Arial"/>
          <w:lang w:val="es-ES" w:eastAsia="es-ES"/>
        </w:rPr>
        <w:t>expediente IUC-D-2025-4131077</w:t>
      </w:r>
      <w:r w:rsidRPr="00C35305">
        <w:rPr>
          <w:rFonts w:ascii="Verdana" w:hAnsi="Verdana" w:cs="Arial"/>
          <w:color w:val="000000" w:themeColor="text1"/>
        </w:rPr>
        <w:t xml:space="preserve">. </w:t>
      </w:r>
      <w:r>
        <w:rPr>
          <w:rFonts w:ascii="Verdana" w:hAnsi="Verdana" w:cs="Arial"/>
          <w:color w:val="000000" w:themeColor="text1"/>
        </w:rPr>
        <w:t>Dado que sólo tiene a cargo la interpretación abstracta de las normas del sistema de compras y contratación pública, l</w:t>
      </w:r>
      <w:r w:rsidRPr="00C35305">
        <w:rPr>
          <w:rFonts w:ascii="Verdana" w:hAnsi="Verdana" w:cs="Arial"/>
          <w:color w:val="000000" w:themeColor="text1"/>
        </w:rPr>
        <w:t>a Agencia no puede definir un criterio universal y absoluto, sino que brinda elementos de carácter general para que los partícipes del sistema de compras y contratación pública adopten la decisión que corresponda, lo cual es acorde con el principio de juridicidad.</w:t>
      </w:r>
      <w:r>
        <w:rPr>
          <w:rFonts w:ascii="Verdana" w:hAnsi="Verdana" w:cs="Arial"/>
          <w:color w:val="000000" w:themeColor="text1"/>
        </w:rPr>
        <w:t xml:space="preserve"> </w:t>
      </w:r>
      <w:r w:rsidRPr="00C35305">
        <w:rPr>
          <w:rFonts w:ascii="Verdana" w:hAnsi="Verdana" w:cs="Arial"/>
          <w:color w:val="000000" w:themeColor="text1"/>
        </w:rPr>
        <w:t>Así, cada entidad definirá la forma de adelantar su gestión contractual, sin que sea atribución de Colombia Compra Eficiente validar sus actuaciones</w:t>
      </w:r>
      <w:r>
        <w:rPr>
          <w:rFonts w:ascii="Verdana" w:hAnsi="Verdana" w:cs="Arial"/>
          <w:color w:val="000000" w:themeColor="text1"/>
        </w:rPr>
        <w:t xml:space="preserve"> frente a las autoridades que cumplen funciones de control y vigilancia</w:t>
      </w:r>
      <w:r w:rsidRPr="00C35305">
        <w:rPr>
          <w:rFonts w:ascii="Verdana" w:hAnsi="Verdana" w:cs="Arial"/>
          <w:color w:val="000000" w:themeColor="text1"/>
        </w:rPr>
        <w:t>.</w:t>
      </w:r>
    </w:p>
    <w:p w14:paraId="1FDFC7BD" w14:textId="77777777" w:rsidR="001A4A08" w:rsidRPr="002069C6" w:rsidRDefault="001A4A08" w:rsidP="001A4A08">
      <w:pPr>
        <w:spacing w:after="0" w:line="276" w:lineRule="auto"/>
        <w:jc w:val="both"/>
        <w:rPr>
          <w:rFonts w:ascii="Verdana" w:eastAsia="Calibri" w:hAnsi="Verdana" w:cs="Arial"/>
          <w:lang w:val="es-ES"/>
        </w:rPr>
      </w:pPr>
    </w:p>
    <w:p w14:paraId="66FE73E7" w14:textId="77777777" w:rsidR="001A4A08" w:rsidRPr="000429FF" w:rsidRDefault="001A4A08" w:rsidP="001A4A08">
      <w:pPr>
        <w:pStyle w:val="Prrafodelista"/>
        <w:numPr>
          <w:ilvl w:val="0"/>
          <w:numId w:val="16"/>
        </w:numPr>
        <w:spacing w:line="276" w:lineRule="auto"/>
        <w:jc w:val="both"/>
        <w:rPr>
          <w:rFonts w:ascii="Verdana" w:eastAsia="Century Gothic" w:hAnsi="Verdana" w:cs="Century Gothic"/>
          <w:b/>
          <w:bCs/>
          <w:color w:val="000000" w:themeColor="text1"/>
        </w:rPr>
      </w:pPr>
      <w:r w:rsidRPr="000429FF">
        <w:rPr>
          <w:rFonts w:ascii="Verdana" w:eastAsia="Century Gothic" w:hAnsi="Verdana" w:cs="Century Gothic"/>
          <w:b/>
          <w:bCs/>
          <w:color w:val="000000" w:themeColor="text1"/>
        </w:rPr>
        <w:t>Referencias normativas, jurisprudenciales y otras fuentes:</w:t>
      </w:r>
    </w:p>
    <w:p w14:paraId="4AB14161" w14:textId="77777777" w:rsidR="001A4A08" w:rsidRPr="002069C6" w:rsidRDefault="001A4A08" w:rsidP="001A4A08">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A4A08" w:rsidRPr="002069C6" w14:paraId="2E8902BE" w14:textId="77777777" w:rsidTr="0014227E">
        <w:trPr>
          <w:trHeight w:val="870"/>
        </w:trPr>
        <w:tc>
          <w:tcPr>
            <w:tcW w:w="8647" w:type="dxa"/>
          </w:tcPr>
          <w:p w14:paraId="0D2605A0" w14:textId="77777777" w:rsidR="001A4A08" w:rsidRDefault="001A4A08" w:rsidP="0014227E">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AE0331">
              <w:rPr>
                <w:rFonts w:ascii="Verdana" w:hAnsi="Verdana" w:cs="Arial"/>
              </w:rPr>
              <w:t>Constitución Política de 1991, artículo 355.</w:t>
            </w:r>
          </w:p>
          <w:p w14:paraId="06B2875F" w14:textId="77777777" w:rsidR="001A4A08" w:rsidRPr="00AE0331" w:rsidRDefault="001A4A08" w:rsidP="0014227E">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80 de 1993, artículos 1 y 2.</w:t>
            </w:r>
          </w:p>
          <w:p w14:paraId="09FFFC7D" w14:textId="77777777" w:rsidR="001A4A08" w:rsidRDefault="001A4A08" w:rsidP="0014227E">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AE0331">
              <w:rPr>
                <w:rFonts w:ascii="Verdana" w:hAnsi="Verdana" w:cs="Arial"/>
              </w:rPr>
              <w:t>Ley 489 de 1998, artículo 96.</w:t>
            </w:r>
          </w:p>
          <w:p w14:paraId="3C860AFF" w14:textId="77777777" w:rsidR="001A4A08" w:rsidRDefault="001A4A08" w:rsidP="0014227E">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687 de 2001, artículo 5.</w:t>
            </w:r>
          </w:p>
          <w:p w14:paraId="7D60AC54" w14:textId="77777777" w:rsidR="001A4A08" w:rsidRDefault="001A4A08" w:rsidP="0014227E">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1150 de 2007, artículo 2.</w:t>
            </w:r>
          </w:p>
          <w:p w14:paraId="00C00E9A" w14:textId="77777777" w:rsidR="001A4A08" w:rsidRPr="004E2551" w:rsidRDefault="001A4A08" w:rsidP="0014227E">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1276 de 2009, artículos 3, 5, 8 y 9.</w:t>
            </w:r>
          </w:p>
          <w:p w14:paraId="62FCD5A0" w14:textId="77777777" w:rsidR="001A4A08" w:rsidRDefault="001A4A08" w:rsidP="0014227E">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1</w:t>
            </w:r>
            <w:r w:rsidRPr="004E2551">
              <w:rPr>
                <w:rFonts w:ascii="Verdana" w:hAnsi="Verdana" w:cs="Arial"/>
              </w:rPr>
              <w:t>551 de 2012</w:t>
            </w:r>
            <w:r>
              <w:rPr>
                <w:rFonts w:ascii="Verdana" w:hAnsi="Verdana" w:cs="Arial"/>
              </w:rPr>
              <w:t>, artículo 6.</w:t>
            </w:r>
          </w:p>
          <w:p w14:paraId="189C575C" w14:textId="77777777" w:rsidR="001A4A08" w:rsidRDefault="001A4A08" w:rsidP="0014227E">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4E2551">
              <w:rPr>
                <w:rFonts w:ascii="Verdana" w:hAnsi="Verdana" w:cs="Arial"/>
              </w:rPr>
              <w:t>Ley 1575 de 2012</w:t>
            </w:r>
            <w:r>
              <w:rPr>
                <w:rFonts w:ascii="Verdana" w:hAnsi="Verdana" w:cs="Arial"/>
              </w:rPr>
              <w:t>, artículo 3.</w:t>
            </w:r>
          </w:p>
          <w:p w14:paraId="40D02982" w14:textId="77777777" w:rsidR="001A4A08" w:rsidRPr="00AE0331" w:rsidRDefault="001A4A08" w:rsidP="0014227E">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1850 de 2017, artículo 16.</w:t>
            </w:r>
          </w:p>
          <w:p w14:paraId="0CD525D7" w14:textId="77777777" w:rsidR="001A4A08" w:rsidRDefault="001A4A08" w:rsidP="0014227E">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AE0331">
              <w:rPr>
                <w:rFonts w:ascii="Verdana" w:hAnsi="Verdana" w:cs="Arial"/>
              </w:rPr>
              <w:t xml:space="preserve">Decreto 092 de 2017, artículos </w:t>
            </w:r>
            <w:r>
              <w:rPr>
                <w:rFonts w:ascii="Verdana" w:hAnsi="Verdana" w:cs="Arial"/>
              </w:rPr>
              <w:t xml:space="preserve">1, </w:t>
            </w:r>
            <w:r w:rsidRPr="00AE0331">
              <w:rPr>
                <w:rFonts w:ascii="Verdana" w:hAnsi="Verdana" w:cs="Arial"/>
              </w:rPr>
              <w:t>2, 3, 4, 5, 6, 7 y 8.</w:t>
            </w:r>
          </w:p>
          <w:p w14:paraId="681952C3" w14:textId="77777777" w:rsidR="001A4A08" w:rsidRPr="007178D5" w:rsidRDefault="001A4A08" w:rsidP="0014227E">
            <w:pPr>
              <w:pStyle w:val="Prrafodelista"/>
              <w:widowControl w:val="0"/>
              <w:numPr>
                <w:ilvl w:val="0"/>
                <w:numId w:val="17"/>
              </w:numPr>
              <w:autoSpaceDE w:val="0"/>
              <w:autoSpaceDN w:val="0"/>
              <w:snapToGrid w:val="0"/>
              <w:spacing w:before="120" w:after="120" w:line="276" w:lineRule="auto"/>
              <w:contextualSpacing w:val="0"/>
              <w:jc w:val="both"/>
              <w:rPr>
                <w:rFonts w:ascii="Verdana" w:eastAsia="Calibri" w:hAnsi="Verdana" w:cs="Arial"/>
                <w:color w:val="000000" w:themeColor="text1"/>
              </w:rPr>
            </w:pPr>
            <w:r>
              <w:rPr>
                <w:rFonts w:ascii="Verdana" w:hAnsi="Verdana" w:cs="Arial"/>
              </w:rPr>
              <w:t xml:space="preserve">Decreto 1082 de 2015, artículo </w:t>
            </w:r>
            <w:r w:rsidRPr="004002C1">
              <w:rPr>
                <w:rFonts w:ascii="Verdana" w:hAnsi="Verdana" w:cs="Arial"/>
              </w:rPr>
              <w:t>2.2.1.2.1.4.4</w:t>
            </w:r>
            <w:r>
              <w:rPr>
                <w:rFonts w:ascii="Verdana" w:hAnsi="Verdana" w:cs="Arial"/>
              </w:rPr>
              <w:t>.</w:t>
            </w:r>
          </w:p>
        </w:tc>
      </w:tr>
    </w:tbl>
    <w:p w14:paraId="593B0F2F" w14:textId="77777777" w:rsidR="001A4A08" w:rsidRPr="002069C6" w:rsidRDefault="001A4A08" w:rsidP="001A4A08">
      <w:pPr>
        <w:widowControl w:val="0"/>
        <w:autoSpaceDE w:val="0"/>
        <w:autoSpaceDN w:val="0"/>
        <w:spacing w:after="0" w:line="276" w:lineRule="auto"/>
        <w:jc w:val="both"/>
        <w:rPr>
          <w:rFonts w:ascii="Verdana" w:hAnsi="Verdana" w:cs="Arial"/>
          <w:color w:val="000000" w:themeColor="text1"/>
          <w:lang w:val="es-ES"/>
        </w:rPr>
      </w:pPr>
    </w:p>
    <w:p w14:paraId="49C267F3" w14:textId="77777777" w:rsidR="001A4A08" w:rsidRPr="002069C6" w:rsidRDefault="001A4A08" w:rsidP="001A4A0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Doctrina de la Agencia Nacional de Contratación Pública:</w:t>
      </w:r>
    </w:p>
    <w:p w14:paraId="421AA201" w14:textId="77777777" w:rsidR="001A4A08" w:rsidRPr="002069C6" w:rsidRDefault="001A4A08" w:rsidP="001A4A08">
      <w:pPr>
        <w:widowControl w:val="0"/>
        <w:autoSpaceDE w:val="0"/>
        <w:autoSpaceDN w:val="0"/>
        <w:spacing w:after="0" w:line="276" w:lineRule="auto"/>
        <w:jc w:val="both"/>
        <w:rPr>
          <w:rFonts w:ascii="Verdana" w:hAnsi="Verdana" w:cs="Arial"/>
          <w:color w:val="000000" w:themeColor="text1"/>
          <w:lang w:val="es-ES"/>
        </w:rPr>
      </w:pPr>
    </w:p>
    <w:p w14:paraId="12C5DA35" w14:textId="77777777" w:rsidR="001A4A08" w:rsidRPr="00195D74" w:rsidRDefault="001A4A08" w:rsidP="001A4A08">
      <w:pPr>
        <w:jc w:val="both"/>
        <w:rPr>
          <w:rStyle w:val="normaltextrun"/>
          <w:rFonts w:ascii="Verdana" w:eastAsia="Calibri" w:hAnsi="Verdana" w:cs="Arial"/>
          <w:b/>
          <w:bCs/>
          <w:lang w:val="es-ES" w:eastAsia="es-ES"/>
        </w:rPr>
      </w:pPr>
      <w:r w:rsidRPr="002069C6">
        <w:rPr>
          <w:rStyle w:val="normaltextrun"/>
          <w:rFonts w:ascii="Verdana" w:hAnsi="Verdana" w:cs="Arial"/>
          <w:color w:val="000000" w:themeColor="text1"/>
          <w:shd w:val="clear" w:color="auto" w:fill="FFFFFF"/>
          <w:lang w:val="es-ES"/>
        </w:rPr>
        <w:lastRenderedPageBreak/>
        <w:t>La Agencia Nacional de Contratación Pública – Colombia Compra Eficiente</w:t>
      </w:r>
      <w:r>
        <w:rPr>
          <w:rStyle w:val="normaltextrun"/>
          <w:rFonts w:ascii="Verdana" w:hAnsi="Verdana" w:cs="Arial"/>
          <w:color w:val="000000" w:themeColor="text1"/>
          <w:shd w:val="clear" w:color="auto" w:fill="FFFFFF"/>
          <w:lang w:val="es-ES"/>
        </w:rPr>
        <w:t xml:space="preserve"> </w:t>
      </w:r>
      <w:r>
        <w:rPr>
          <w:rFonts w:ascii="Verdana" w:eastAsia="Calibri" w:hAnsi="Verdana" w:cs="Arial"/>
          <w:lang w:val="es-ES_tradnl" w:eastAsia="es-ES_tradnl"/>
        </w:rPr>
        <w:t>se ha pronunciado s</w:t>
      </w:r>
      <w:r w:rsidRPr="008557D1">
        <w:rPr>
          <w:rFonts w:ascii="Verdana" w:eastAsia="Calibri" w:hAnsi="Verdana" w:cs="Arial"/>
          <w:lang w:val="es-ES_tradnl" w:eastAsia="es-ES_tradnl"/>
        </w:rPr>
        <w:t>obre</w:t>
      </w:r>
      <w:r w:rsidRPr="0091761F">
        <w:rPr>
          <w:rStyle w:val="normaltextrun"/>
          <w:rFonts w:ascii="Verdana" w:hAnsi="Verdana" w:cs="Arial"/>
          <w:shd w:val="clear" w:color="auto" w:fill="FFFFFF"/>
          <w:lang w:val="es-ES"/>
        </w:rPr>
        <w:t xml:space="preserve"> </w:t>
      </w:r>
      <w:r w:rsidRPr="005A77AC">
        <w:rPr>
          <w:rStyle w:val="normaltextrun"/>
          <w:rFonts w:ascii="Verdana" w:hAnsi="Verdana" w:cs="Arial"/>
          <w:shd w:val="clear" w:color="auto" w:fill="FFFFFF"/>
          <w:lang w:val="es-ES"/>
        </w:rPr>
        <w:t xml:space="preserve">el 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C-364 de 26 de julio de 2021, C-379 de 20 de julio de 2021, C-537 del 27 de septiembre de 2021,  C-021 del 22 de febrero de 2022, C-236 del 27 de abril de 2022, C-273 del 6 de mayo de 2022, C-274 del 6 de mayo de 2022, C-291 del 18 de mayo de 2022, C-331 del 24 de mayo de 2022, C-477 del 26 de julio de 2022, C-550 del 31 de agosto de 2022, C-560 del 7 de septiembre de 2022, C-624 del 28 de septiembre de 2022, C-771 del 30 de diciembre de 2022, C-853 del 9 de diciembre de 2022, </w:t>
      </w:r>
      <w:r w:rsidRPr="000B123B">
        <w:rPr>
          <w:rStyle w:val="normaltextrun"/>
          <w:rFonts w:ascii="Verdana" w:hAnsi="Verdana" w:cs="Arial"/>
          <w:shd w:val="clear" w:color="auto" w:fill="FFFFFF"/>
          <w:lang w:val="es-ES"/>
        </w:rPr>
        <w:t>C-078 del 25 de abril de 2023</w:t>
      </w:r>
      <w:r>
        <w:rPr>
          <w:rStyle w:val="normaltextrun"/>
          <w:rFonts w:ascii="Verdana" w:hAnsi="Verdana" w:cs="Arial"/>
          <w:shd w:val="clear" w:color="auto" w:fill="FFFFFF"/>
          <w:lang w:val="es-ES"/>
        </w:rPr>
        <w:t xml:space="preserve">, </w:t>
      </w:r>
      <w:r w:rsidRPr="000B123B">
        <w:rPr>
          <w:rStyle w:val="normaltextrun"/>
          <w:rFonts w:ascii="Verdana" w:hAnsi="Verdana" w:cs="Arial"/>
          <w:shd w:val="clear" w:color="auto" w:fill="FFFFFF"/>
          <w:lang w:val="es-ES"/>
        </w:rPr>
        <w:t>C-203 del 21 de junio de 2023</w:t>
      </w:r>
      <w:r>
        <w:rPr>
          <w:rStyle w:val="normaltextrun"/>
          <w:rFonts w:ascii="Verdana" w:hAnsi="Verdana" w:cs="Arial"/>
          <w:shd w:val="clear" w:color="auto" w:fill="FFFFFF"/>
          <w:lang w:val="es-ES"/>
        </w:rPr>
        <w:t xml:space="preserve">, </w:t>
      </w:r>
      <w:r w:rsidRPr="005A77AC">
        <w:rPr>
          <w:rStyle w:val="normaltextrun"/>
          <w:rFonts w:ascii="Verdana" w:hAnsi="Verdana" w:cs="Arial"/>
          <w:shd w:val="clear" w:color="auto" w:fill="FFFFFF"/>
          <w:lang w:val="es-ES"/>
        </w:rPr>
        <w:t>C-351 del 6 de octubre de 2023, C-054 del 24 de abril de 2024, C-064 del 24 de abril de 2024, C-080 del 7 de mayo de 2024, C-281 del 29 de octubre de 2024, C-937 del 9 de diciembre de 2024, C-957 del 17 de diciembre de 2024, C-967 del 1˚ de agosto de 2025</w:t>
      </w:r>
      <w:r>
        <w:rPr>
          <w:rStyle w:val="normaltextrun"/>
          <w:rFonts w:ascii="Verdana" w:hAnsi="Verdana" w:cs="Arial"/>
          <w:shd w:val="clear" w:color="auto" w:fill="FFFFFF"/>
          <w:lang w:val="es-ES"/>
        </w:rPr>
        <w:t xml:space="preserve">, </w:t>
      </w:r>
      <w:r w:rsidRPr="005A77AC">
        <w:rPr>
          <w:rStyle w:val="normaltextrun"/>
          <w:rFonts w:ascii="Verdana" w:hAnsi="Verdana" w:cs="Arial"/>
          <w:shd w:val="clear" w:color="auto" w:fill="FFFFFF"/>
          <w:lang w:val="es-ES"/>
        </w:rPr>
        <w:t>C-1273 del 25 de septiembre de 2025</w:t>
      </w:r>
      <w:r>
        <w:rPr>
          <w:rStyle w:val="normaltextrun"/>
          <w:rFonts w:ascii="Verdana" w:hAnsi="Verdana" w:cs="Arial"/>
          <w:shd w:val="clear" w:color="auto" w:fill="FFFFFF"/>
          <w:lang w:val="es-ES"/>
        </w:rPr>
        <w:t xml:space="preserve"> y </w:t>
      </w:r>
      <w:r w:rsidRPr="0091761F">
        <w:rPr>
          <w:rStyle w:val="normaltextrun"/>
          <w:shd w:val="clear" w:color="auto" w:fill="FFFFFF"/>
        </w:rPr>
        <w:t>C–1647 del 13 de noviembre de 2025</w:t>
      </w:r>
      <w:r w:rsidRPr="0091761F">
        <w:rPr>
          <w:rStyle w:val="normaltextrun"/>
          <w:rFonts w:ascii="Verdana" w:hAnsi="Verdana" w:cs="Arial"/>
          <w:shd w:val="clear" w:color="auto" w:fill="FFFFFF"/>
          <w:lang w:val="es-ES"/>
        </w:rPr>
        <w:t>.</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sidRPr="00A1554D">
        <w:rPr>
          <w:rStyle w:val="normaltextrun"/>
          <w:rFonts w:ascii="Verdana" w:hAnsi="Verdana" w:cs="Arial"/>
          <w:shd w:val="clear" w:color="auto" w:fill="FFFFFF"/>
          <w:lang w:val="es-ES"/>
        </w:rPr>
        <w:t xml:space="preserve"> </w:t>
      </w:r>
      <w:hyperlink r:id="rId12" w:history="1">
        <w:r w:rsidRPr="00A1554D">
          <w:rPr>
            <w:rStyle w:val="Hipervnculo"/>
            <w:rFonts w:ascii="Verdana" w:hAnsi="Verdana" w:cs="Arial"/>
            <w:shd w:val="clear" w:color="auto" w:fill="FFFFFF"/>
            <w:lang w:val="es-ES"/>
          </w:rPr>
          <w:t>https://relatoria.colombiacompra.gov.co/busqueda/conceptos</w:t>
        </w:r>
      </w:hyperlink>
      <w:r w:rsidRPr="00CD3D06">
        <w:rPr>
          <w:rStyle w:val="normaltextrun"/>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p>
    <w:p w14:paraId="4B50CE90" w14:textId="77777777" w:rsidR="001A4A08" w:rsidRPr="002069C6" w:rsidRDefault="001A4A08" w:rsidP="001A4A08">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61143B3" w14:textId="77777777" w:rsidR="001A4A08" w:rsidRPr="002069C6" w:rsidRDefault="001A4A08" w:rsidP="001A4A08">
      <w:pPr>
        <w:spacing w:after="0" w:line="276" w:lineRule="auto"/>
        <w:jc w:val="both"/>
        <w:rPr>
          <w:rFonts w:ascii="Verdana" w:hAnsi="Verdana"/>
          <w:lang w:val="es-ES"/>
        </w:rPr>
      </w:pPr>
      <w:r w:rsidRPr="002069C6">
        <w:rPr>
          <w:rFonts w:ascii="Verdana" w:hAnsi="Verdana"/>
          <w:lang w:val="es-ES"/>
        </w:rPr>
        <w:t xml:space="preserve">Por último, lo invitamos a seguirnos en las redes sociales en las cuales se difunde información institucional: </w:t>
      </w:r>
    </w:p>
    <w:p w14:paraId="0F5F1E9E" w14:textId="77777777" w:rsidR="001A4A08" w:rsidRPr="002069C6" w:rsidRDefault="001A4A08" w:rsidP="001A4A08">
      <w:pPr>
        <w:spacing w:after="0" w:line="276" w:lineRule="auto"/>
        <w:jc w:val="both"/>
        <w:rPr>
          <w:rFonts w:ascii="Verdana" w:hAnsi="Verdana"/>
          <w:lang w:val="es-ES"/>
        </w:rPr>
      </w:pPr>
    </w:p>
    <w:p w14:paraId="4F265F26" w14:textId="77777777" w:rsidR="001A4A08" w:rsidRPr="002069C6" w:rsidRDefault="001A4A08" w:rsidP="001A4A08">
      <w:pPr>
        <w:spacing w:after="0" w:line="276" w:lineRule="auto"/>
        <w:jc w:val="both"/>
        <w:rPr>
          <w:rFonts w:ascii="Verdana" w:hAnsi="Verdana"/>
          <w:lang w:val="es-ES"/>
        </w:rPr>
      </w:pPr>
      <w:r w:rsidRPr="002069C6">
        <w:rPr>
          <w:rFonts w:ascii="Verdana" w:hAnsi="Verdana"/>
          <w:lang w:val="es-ES"/>
        </w:rPr>
        <w:t xml:space="preserve">Twitter: </w:t>
      </w:r>
      <w:r w:rsidRPr="002069C6">
        <w:rPr>
          <w:rStyle w:val="Hipervnculo"/>
          <w:rFonts w:ascii="Verdana" w:hAnsi="Verdana" w:cs="Arial"/>
          <w:shd w:val="clear" w:color="auto" w:fill="FFFFFF"/>
          <w:lang w:val="es-ES"/>
        </w:rPr>
        <w:t>@colombiacompra</w:t>
      </w:r>
      <w:r w:rsidRPr="002069C6">
        <w:rPr>
          <w:rFonts w:ascii="Verdana" w:hAnsi="Verdana"/>
          <w:color w:val="4472C4" w:themeColor="accent1"/>
          <w:lang w:val="es-ES"/>
        </w:rPr>
        <w:t xml:space="preserve"> </w:t>
      </w:r>
    </w:p>
    <w:p w14:paraId="0E1D2726" w14:textId="77777777" w:rsidR="001A4A08" w:rsidRPr="002069C6" w:rsidRDefault="001A4A08" w:rsidP="001A4A08">
      <w:pPr>
        <w:spacing w:after="0" w:line="276" w:lineRule="auto"/>
        <w:jc w:val="both"/>
        <w:rPr>
          <w:rFonts w:ascii="Verdana" w:hAnsi="Verdana"/>
          <w:lang w:val="es-ES"/>
        </w:rPr>
      </w:pPr>
      <w:r w:rsidRPr="002069C6">
        <w:rPr>
          <w:rFonts w:ascii="Verdana" w:hAnsi="Verdana"/>
          <w:lang w:val="es-ES"/>
        </w:rPr>
        <w:t xml:space="preserve">Facebook: </w:t>
      </w:r>
      <w:proofErr w:type="spellStart"/>
      <w:r w:rsidRPr="002069C6">
        <w:rPr>
          <w:rStyle w:val="Hipervnculo"/>
          <w:rFonts w:ascii="Verdana" w:hAnsi="Verdana" w:cs="Arial"/>
          <w:shd w:val="clear" w:color="auto" w:fill="FFFFFF"/>
          <w:lang w:val="es-ES"/>
        </w:rPr>
        <w:t>ColombiaCompraEficiente</w:t>
      </w:r>
      <w:proofErr w:type="spellEnd"/>
    </w:p>
    <w:p w14:paraId="0F739754" w14:textId="77777777" w:rsidR="001A4A08" w:rsidRPr="002069C6" w:rsidRDefault="001A4A08" w:rsidP="001A4A08">
      <w:pPr>
        <w:spacing w:after="0" w:line="276" w:lineRule="auto"/>
        <w:jc w:val="both"/>
        <w:rPr>
          <w:rFonts w:ascii="Verdana" w:hAnsi="Verdana"/>
          <w:lang w:val="es-ES"/>
        </w:rPr>
      </w:pPr>
      <w:r w:rsidRPr="002069C6">
        <w:rPr>
          <w:rFonts w:ascii="Verdana" w:hAnsi="Verdana"/>
          <w:lang w:val="es-ES"/>
        </w:rPr>
        <w:t xml:space="preserve">LinkedIn: </w:t>
      </w:r>
      <w:r w:rsidRPr="002069C6">
        <w:rPr>
          <w:rStyle w:val="Hipervnculo"/>
          <w:rFonts w:ascii="Verdana" w:hAnsi="Verdana" w:cs="Arial"/>
          <w:shd w:val="clear" w:color="auto" w:fill="FFFFFF"/>
          <w:lang w:val="es-ES"/>
        </w:rPr>
        <w:t xml:space="preserve">Agencia Nacional de Contratación Pública - Colombia Compra Eficiente </w:t>
      </w:r>
      <w:r w:rsidRPr="002069C6">
        <w:rPr>
          <w:rFonts w:ascii="Verdana" w:hAnsi="Verdana"/>
          <w:lang w:val="es-ES"/>
        </w:rPr>
        <w:t xml:space="preserve">Instagram: </w:t>
      </w:r>
      <w:r w:rsidRPr="002069C6">
        <w:rPr>
          <w:rStyle w:val="Hipervnculo"/>
          <w:rFonts w:ascii="Verdana" w:hAnsi="Verdana" w:cs="Arial"/>
          <w:shd w:val="clear" w:color="auto" w:fill="FFFFFF"/>
          <w:lang w:val="es-ES"/>
        </w:rPr>
        <w:t>@colombiacompraeficiente_cce</w:t>
      </w:r>
    </w:p>
    <w:p w14:paraId="60811FAB" w14:textId="77777777" w:rsidR="001A4A08" w:rsidRPr="002069C6" w:rsidRDefault="001A4A08" w:rsidP="001A4A08">
      <w:pPr>
        <w:widowControl w:val="0"/>
        <w:autoSpaceDE w:val="0"/>
        <w:autoSpaceDN w:val="0"/>
        <w:spacing w:after="0" w:line="276" w:lineRule="auto"/>
        <w:jc w:val="both"/>
        <w:rPr>
          <w:rFonts w:ascii="Verdana" w:hAnsi="Verdana" w:cs="Arial"/>
          <w:color w:val="000000" w:themeColor="text1"/>
          <w:lang w:val="es-ES"/>
        </w:rPr>
      </w:pPr>
    </w:p>
    <w:p w14:paraId="54A8DF20" w14:textId="77777777" w:rsidR="001A4A08" w:rsidRPr="002069C6" w:rsidRDefault="001A4A08" w:rsidP="001A4A08">
      <w:pPr>
        <w:widowControl w:val="0"/>
        <w:autoSpaceDE w:val="0"/>
        <w:autoSpaceDN w:val="0"/>
        <w:spacing w:after="0" w:line="276" w:lineRule="auto"/>
        <w:jc w:val="both"/>
        <w:rPr>
          <w:rFonts w:ascii="Verdana" w:hAnsi="Verdana" w:cs="Arial"/>
          <w:color w:val="000000" w:themeColor="text1"/>
          <w:lang w:val="es-ES"/>
        </w:rPr>
      </w:pPr>
      <w:r w:rsidRPr="002069C6">
        <w:rPr>
          <w:rFonts w:ascii="Verdana" w:hAnsi="Verdana" w:cs="Arial"/>
          <w:color w:val="000000" w:themeColor="text1"/>
          <w:lang w:val="es-ES"/>
        </w:rPr>
        <w:lastRenderedPageBreak/>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D84C010" w14:textId="77777777" w:rsidR="001A4A08" w:rsidRPr="002069C6" w:rsidRDefault="001A4A08" w:rsidP="001A4A08">
      <w:pPr>
        <w:widowControl w:val="0"/>
        <w:autoSpaceDE w:val="0"/>
        <w:autoSpaceDN w:val="0"/>
        <w:spacing w:after="0" w:line="276" w:lineRule="auto"/>
        <w:jc w:val="both"/>
        <w:rPr>
          <w:rFonts w:ascii="Verdana" w:hAnsi="Verdana" w:cs="Arial"/>
          <w:color w:val="000000" w:themeColor="text1"/>
          <w:lang w:val="es-ES"/>
        </w:rPr>
      </w:pPr>
    </w:p>
    <w:p w14:paraId="18C9262B" w14:textId="01C6323E" w:rsidR="001A4A08" w:rsidRDefault="00E40D83" w:rsidP="001A4A08">
      <w:pPr>
        <w:spacing w:after="0" w:line="276" w:lineRule="auto"/>
        <w:rPr>
          <w:rFonts w:ascii="Verdana" w:hAnsi="Verdana" w:cs="Arial"/>
          <w:color w:val="000000" w:themeColor="text1"/>
          <w:lang w:val="es-ES" w:eastAsia="es-CO"/>
        </w:rPr>
      </w:pPr>
      <w:r>
        <w:rPr>
          <w:noProof/>
        </w:rPr>
        <w:drawing>
          <wp:anchor distT="0" distB="0" distL="114300" distR="114300" simplePos="0" relativeHeight="251660288" behindDoc="0" locked="0" layoutInCell="1" allowOverlap="1" wp14:anchorId="5D40A281" wp14:editId="00108641">
            <wp:simplePos x="0" y="0"/>
            <wp:positionH relativeFrom="column">
              <wp:posOffset>1205230</wp:posOffset>
            </wp:positionH>
            <wp:positionV relativeFrom="paragraph">
              <wp:posOffset>161219</wp:posOffset>
            </wp:positionV>
            <wp:extent cx="3222625" cy="1049655"/>
            <wp:effectExtent l="0" t="0" r="3175" b="4445"/>
            <wp:wrapSquare wrapText="bothSides"/>
            <wp:docPr id="1842498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b="22597"/>
                    <a:stretch/>
                  </pic:blipFill>
                  <pic:spPr bwMode="auto">
                    <a:xfrm>
                      <a:off x="0" y="0"/>
                      <a:ext cx="3222625" cy="10496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A4A08" w:rsidRPr="002069C6">
        <w:rPr>
          <w:rFonts w:ascii="Verdana" w:eastAsia="Times New Roman" w:hAnsi="Verdana" w:cs="Arial"/>
          <w:color w:val="000000" w:themeColor="text1"/>
          <w:lang w:val="es-ES" w:eastAsia="es-CO"/>
        </w:rPr>
        <w:t>Atentamente,</w:t>
      </w:r>
      <w:r w:rsidR="001A4A08" w:rsidRPr="002069C6">
        <w:rPr>
          <w:rFonts w:ascii="Verdana" w:hAnsi="Verdana" w:cs="Arial"/>
          <w:color w:val="000000" w:themeColor="text1"/>
          <w:lang w:val="es-ES" w:eastAsia="es-CO"/>
        </w:rPr>
        <w:t xml:space="preserve"> </w:t>
      </w:r>
    </w:p>
    <w:p w14:paraId="6D946D18" w14:textId="42B701A0" w:rsidR="001A4A08" w:rsidRDefault="001A4A08" w:rsidP="001A4A08">
      <w:pPr>
        <w:spacing w:after="0" w:line="276" w:lineRule="auto"/>
      </w:pPr>
    </w:p>
    <w:p w14:paraId="1A600DAB" w14:textId="1B3F8772" w:rsidR="001A4A08" w:rsidRPr="002069C6" w:rsidRDefault="001A4A08" w:rsidP="7902FB9B">
      <w:pPr>
        <w:spacing w:after="0" w:line="276" w:lineRule="auto"/>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A4A08" w:rsidRPr="00D0638B" w14:paraId="350481AB" w14:textId="77777777" w:rsidTr="0014227E">
        <w:trPr>
          <w:trHeight w:val="315"/>
        </w:trPr>
        <w:tc>
          <w:tcPr>
            <w:tcW w:w="893" w:type="dxa"/>
            <w:vAlign w:val="center"/>
            <w:hideMark/>
          </w:tcPr>
          <w:p w14:paraId="71F923F9" w14:textId="77777777" w:rsidR="001A4A08" w:rsidRPr="00D0638B" w:rsidRDefault="001A4A08" w:rsidP="0014227E">
            <w:pPr>
              <w:contextualSpacing/>
              <w:rPr>
                <w:rFonts w:ascii="Verdana" w:hAnsi="Verdana" w:cs="Arial"/>
                <w:sz w:val="15"/>
                <w:szCs w:val="15"/>
                <w:lang w:val="es-ES" w:eastAsia="es-ES"/>
              </w:rPr>
            </w:pPr>
            <w:r w:rsidRPr="00D0638B">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7DE5F2E7" w14:textId="77777777" w:rsidR="001A4A08" w:rsidRPr="00D0638B" w:rsidRDefault="001A4A08" w:rsidP="0014227E">
            <w:pPr>
              <w:contextualSpacing/>
              <w:rPr>
                <w:rFonts w:ascii="Verdana" w:eastAsia="Arial" w:hAnsi="Verdana" w:cs="Arial"/>
                <w:color w:val="000000" w:themeColor="text1"/>
                <w:sz w:val="15"/>
                <w:szCs w:val="15"/>
                <w:lang w:val="es-ES"/>
              </w:rPr>
            </w:pPr>
            <w:r w:rsidRPr="00D0638B">
              <w:rPr>
                <w:rFonts w:ascii="Verdana" w:eastAsia="Arial" w:hAnsi="Verdana" w:cs="Arial"/>
                <w:color w:val="000000" w:themeColor="text1"/>
                <w:sz w:val="15"/>
                <w:szCs w:val="15"/>
                <w:lang w:val="es-ES"/>
              </w:rPr>
              <w:t>Anamaría Bonilla Prieto</w:t>
            </w:r>
          </w:p>
          <w:p w14:paraId="79A47409" w14:textId="77777777" w:rsidR="001A4A08" w:rsidRPr="00D0638B" w:rsidRDefault="001A4A08" w:rsidP="0014227E">
            <w:pPr>
              <w:contextualSpacing/>
              <w:rPr>
                <w:rFonts w:ascii="Verdana" w:eastAsia="Arial" w:hAnsi="Verdana" w:cs="Arial"/>
                <w:sz w:val="15"/>
                <w:szCs w:val="15"/>
                <w:lang w:val="es-ES"/>
              </w:rPr>
            </w:pPr>
            <w:r w:rsidRPr="00D0638B">
              <w:rPr>
                <w:rStyle w:val="normaltextrun"/>
                <w:rFonts w:ascii="Verdana" w:eastAsia="Arial" w:hAnsi="Verdana" w:cs="Arial"/>
                <w:color w:val="000000" w:themeColor="text1"/>
                <w:sz w:val="15"/>
                <w:szCs w:val="15"/>
                <w:lang w:val="es-ES"/>
              </w:rPr>
              <w:t xml:space="preserve">Contratista de la Subdirección </w:t>
            </w:r>
            <w:r w:rsidRPr="00D0638B">
              <w:rPr>
                <w:rStyle w:val="normaltextrun"/>
                <w:rFonts w:ascii="Verdana" w:eastAsia="Arial" w:hAnsi="Verdana" w:cs="Arial"/>
                <w:sz w:val="15"/>
                <w:szCs w:val="15"/>
                <w:lang w:val="es-ES"/>
              </w:rPr>
              <w:t>de Gestión Contractual</w:t>
            </w:r>
          </w:p>
        </w:tc>
      </w:tr>
      <w:tr w:rsidR="001A4A08" w:rsidRPr="00D0638B" w14:paraId="1CE67428" w14:textId="77777777" w:rsidTr="0014227E">
        <w:trPr>
          <w:trHeight w:val="330"/>
        </w:trPr>
        <w:tc>
          <w:tcPr>
            <w:tcW w:w="893" w:type="dxa"/>
            <w:vAlign w:val="center"/>
            <w:hideMark/>
          </w:tcPr>
          <w:p w14:paraId="08EF5577" w14:textId="77777777" w:rsidR="001A4A08" w:rsidRPr="00D0638B" w:rsidRDefault="001A4A08" w:rsidP="0014227E">
            <w:pPr>
              <w:contextualSpacing/>
              <w:rPr>
                <w:rFonts w:ascii="Verdana" w:hAnsi="Verdana" w:cs="Arial"/>
                <w:sz w:val="15"/>
                <w:szCs w:val="15"/>
                <w:lang w:val="es-ES" w:eastAsia="es-ES"/>
              </w:rPr>
            </w:pPr>
            <w:r w:rsidRPr="00D0638B">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0AE6FA0" w14:textId="77777777" w:rsidR="001A4A08" w:rsidRPr="00D0638B" w:rsidRDefault="001A4A08" w:rsidP="0014227E">
            <w:pPr>
              <w:contextualSpacing/>
              <w:rPr>
                <w:rFonts w:ascii="Verdana" w:eastAsia="Arial" w:hAnsi="Verdana" w:cs="Arial"/>
                <w:color w:val="000000" w:themeColor="text1"/>
                <w:sz w:val="15"/>
                <w:szCs w:val="15"/>
              </w:rPr>
            </w:pPr>
            <w:r w:rsidRPr="00D0638B">
              <w:rPr>
                <w:rFonts w:ascii="Verdana" w:eastAsia="Arial" w:hAnsi="Verdana" w:cs="Arial"/>
                <w:color w:val="000000" w:themeColor="text1"/>
                <w:sz w:val="15"/>
                <w:szCs w:val="15"/>
              </w:rPr>
              <w:t>Alejandro Sarmiento Cantillo</w:t>
            </w:r>
          </w:p>
          <w:p w14:paraId="1EFD2C36" w14:textId="77777777" w:rsidR="001A4A08" w:rsidRPr="00D0638B" w:rsidRDefault="001A4A08" w:rsidP="0014227E">
            <w:pPr>
              <w:pStyle w:val="paragraph"/>
              <w:spacing w:before="0" w:beforeAutospacing="0" w:after="0" w:afterAutospacing="0"/>
              <w:contextualSpacing/>
              <w:textAlignment w:val="baseline"/>
              <w:rPr>
                <w:rFonts w:ascii="Verdana" w:hAnsi="Verdana" w:cs="Segoe UI"/>
                <w:sz w:val="15"/>
                <w:szCs w:val="15"/>
                <w:lang w:val="es-ES"/>
              </w:rPr>
            </w:pPr>
            <w:r w:rsidRPr="00D0638B">
              <w:rPr>
                <w:rFonts w:ascii="Verdana" w:eastAsia="Arial" w:hAnsi="Verdana" w:cs="Arial"/>
                <w:color w:val="000000" w:themeColor="text1"/>
                <w:sz w:val="15"/>
                <w:szCs w:val="15"/>
              </w:rPr>
              <w:t>Gestor T1 – 15 de la Subdirección de Gestión Contractual</w:t>
            </w:r>
            <w:r w:rsidRPr="00D0638B">
              <w:rPr>
                <w:rFonts w:ascii="Verdana" w:hAnsi="Verdana" w:cs="Segoe UI"/>
                <w:sz w:val="15"/>
                <w:szCs w:val="15"/>
                <w:lang w:val="es-ES"/>
              </w:rPr>
              <w:t> </w:t>
            </w:r>
          </w:p>
          <w:p w14:paraId="7195DA59" w14:textId="77777777" w:rsidR="001A4A08" w:rsidRPr="00D0638B" w:rsidRDefault="001A4A08" w:rsidP="0014227E">
            <w:pPr>
              <w:pStyle w:val="paragraph"/>
              <w:spacing w:before="0" w:beforeAutospacing="0" w:after="0" w:afterAutospacing="0"/>
              <w:contextualSpacing/>
              <w:textAlignment w:val="baseline"/>
              <w:rPr>
                <w:rFonts w:ascii="Verdana" w:hAnsi="Verdana" w:cs="Segoe UI"/>
                <w:sz w:val="15"/>
                <w:szCs w:val="15"/>
                <w:lang w:val="es-ES"/>
              </w:rPr>
            </w:pPr>
          </w:p>
        </w:tc>
      </w:tr>
      <w:tr w:rsidR="001A4A08" w:rsidRPr="00D0638B" w14:paraId="1F806162" w14:textId="77777777" w:rsidTr="0014227E">
        <w:trPr>
          <w:trHeight w:val="300"/>
        </w:trPr>
        <w:tc>
          <w:tcPr>
            <w:tcW w:w="893" w:type="dxa"/>
            <w:vAlign w:val="center"/>
          </w:tcPr>
          <w:p w14:paraId="5002E4B1" w14:textId="77777777" w:rsidR="001A4A08" w:rsidRPr="00D0638B" w:rsidRDefault="001A4A08" w:rsidP="0014227E">
            <w:pPr>
              <w:contextualSpacing/>
              <w:rPr>
                <w:rFonts w:ascii="Verdana" w:hAnsi="Verdana" w:cs="Arial"/>
                <w:sz w:val="15"/>
                <w:szCs w:val="15"/>
                <w:lang w:val="es-ES" w:eastAsia="es-ES"/>
              </w:rPr>
            </w:pPr>
            <w:r w:rsidRPr="00D0638B">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A0C430E" w14:textId="77777777" w:rsidR="001A4A08" w:rsidRPr="00D0638B" w:rsidRDefault="001A4A08" w:rsidP="0014227E">
            <w:pPr>
              <w:contextualSpacing/>
              <w:rPr>
                <w:rFonts w:ascii="Verdana" w:eastAsia="Calibri" w:hAnsi="Verdana" w:cs="Arial"/>
                <w:sz w:val="15"/>
                <w:szCs w:val="15"/>
                <w:lang w:val="es-ES" w:eastAsia="es-ES"/>
              </w:rPr>
            </w:pPr>
            <w:r>
              <w:rPr>
                <w:rFonts w:ascii="Verdana" w:eastAsia="Calibri" w:hAnsi="Verdana" w:cs="Arial"/>
                <w:sz w:val="15"/>
                <w:szCs w:val="15"/>
                <w:lang w:val="es-ES" w:eastAsia="es-ES"/>
              </w:rPr>
              <w:t>Ana María Tolosa Rico</w:t>
            </w:r>
          </w:p>
          <w:p w14:paraId="63752103" w14:textId="77777777" w:rsidR="001A4A08" w:rsidRPr="00D0638B" w:rsidRDefault="001A4A08" w:rsidP="0014227E">
            <w:pPr>
              <w:contextualSpacing/>
              <w:rPr>
                <w:rFonts w:ascii="Verdana" w:eastAsia="Calibri" w:hAnsi="Verdana" w:cs="Arial"/>
                <w:sz w:val="15"/>
                <w:szCs w:val="15"/>
                <w:lang w:val="es-ES" w:eastAsia="es-ES"/>
              </w:rPr>
            </w:pPr>
            <w:r w:rsidRPr="00D0638B">
              <w:rPr>
                <w:rFonts w:ascii="Verdana" w:eastAsia="Calibri" w:hAnsi="Verdana" w:cs="Arial"/>
                <w:sz w:val="15"/>
                <w:szCs w:val="15"/>
                <w:lang w:val="es-ES" w:eastAsia="es-ES"/>
              </w:rPr>
              <w:t>Subdirectora de Gestión Contractual ANCP – CCE</w:t>
            </w:r>
            <w:r>
              <w:rPr>
                <w:rFonts w:ascii="Verdana" w:eastAsia="Calibri" w:hAnsi="Verdana" w:cs="Arial"/>
                <w:sz w:val="15"/>
                <w:szCs w:val="15"/>
                <w:lang w:val="es-ES" w:eastAsia="es-ES"/>
              </w:rPr>
              <w:t xml:space="preserve"> (E)</w:t>
            </w:r>
          </w:p>
        </w:tc>
      </w:tr>
      <w:bookmarkEnd w:id="0"/>
    </w:tbl>
    <w:p w14:paraId="1B24B8A8" w14:textId="77777777" w:rsidR="001A4A08" w:rsidRPr="002069C6" w:rsidRDefault="001A4A08" w:rsidP="001A4A08">
      <w:pPr>
        <w:spacing w:after="0"/>
        <w:rPr>
          <w:rFonts w:ascii="Verdana" w:hAnsi="Verdana"/>
          <w:lang w:val="es-ES"/>
        </w:rPr>
      </w:pPr>
    </w:p>
    <w:p w14:paraId="6ACCC684" w14:textId="77777777" w:rsidR="001A4A08" w:rsidRPr="00BB25A1" w:rsidRDefault="001A4A08" w:rsidP="001A4A08"/>
    <w:p w14:paraId="4CE8ACB7" w14:textId="77777777" w:rsidR="001A4A08" w:rsidRPr="003819D8" w:rsidRDefault="001A4A08" w:rsidP="001A4A08"/>
    <w:p w14:paraId="0F293BF4" w14:textId="4D466215" w:rsidR="00127233" w:rsidRPr="001A4A08" w:rsidRDefault="00127233" w:rsidP="001A4A08"/>
    <w:sectPr w:rsidR="00127233" w:rsidRPr="001A4A08"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C9CC0B" w14:textId="77777777" w:rsidR="00D8450A" w:rsidRDefault="00D8450A" w:rsidP="004A1847">
      <w:pPr>
        <w:spacing w:after="0" w:line="240" w:lineRule="auto"/>
      </w:pPr>
      <w:r>
        <w:separator/>
      </w:r>
    </w:p>
  </w:endnote>
  <w:endnote w:type="continuationSeparator" w:id="0">
    <w:p w14:paraId="6DCE389F" w14:textId="77777777" w:rsidR="00D8450A" w:rsidRDefault="00D8450A" w:rsidP="004A1847">
      <w:pPr>
        <w:spacing w:after="0" w:line="240" w:lineRule="auto"/>
      </w:pPr>
      <w:r>
        <w:continuationSeparator/>
      </w:r>
    </w:p>
  </w:endnote>
  <w:endnote w:type="continuationNotice" w:id="1">
    <w:p w14:paraId="283B6D20" w14:textId="77777777" w:rsidR="00D8450A" w:rsidRDefault="00D8450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CDE8B0" w14:textId="77777777" w:rsidR="00D8450A" w:rsidRDefault="00D8450A" w:rsidP="004A1847">
      <w:pPr>
        <w:spacing w:after="0" w:line="240" w:lineRule="auto"/>
      </w:pPr>
      <w:r>
        <w:separator/>
      </w:r>
    </w:p>
  </w:footnote>
  <w:footnote w:type="continuationSeparator" w:id="0">
    <w:p w14:paraId="359675A4" w14:textId="77777777" w:rsidR="00D8450A" w:rsidRDefault="00D8450A" w:rsidP="004A1847">
      <w:pPr>
        <w:spacing w:after="0" w:line="240" w:lineRule="auto"/>
      </w:pPr>
      <w:r>
        <w:continuationSeparator/>
      </w:r>
    </w:p>
  </w:footnote>
  <w:footnote w:type="continuationNotice" w:id="1">
    <w:p w14:paraId="78693069" w14:textId="77777777" w:rsidR="00D8450A" w:rsidRDefault="00D8450A">
      <w:pPr>
        <w:spacing w:after="0" w:line="240" w:lineRule="auto"/>
      </w:pPr>
    </w:p>
  </w:footnote>
  <w:footnote w:id="2">
    <w:p w14:paraId="1536BE93" w14:textId="77777777" w:rsidR="001A4A08" w:rsidRPr="001861FA" w:rsidRDefault="001A4A08" w:rsidP="001A4A08">
      <w:pPr>
        <w:pStyle w:val="Textonotapie"/>
        <w:ind w:firstLine="708"/>
        <w:jc w:val="both"/>
        <w:rPr>
          <w:rFonts w:ascii="Verdana" w:hAnsi="Verdana" w:cs="Arial"/>
          <w:sz w:val="16"/>
          <w:szCs w:val="16"/>
        </w:rPr>
      </w:pPr>
      <w:r w:rsidRPr="001861FA">
        <w:rPr>
          <w:rStyle w:val="Refdenotaalpie"/>
          <w:rFonts w:ascii="Verdana" w:hAnsi="Verdana" w:cs="Arial"/>
          <w:sz w:val="16"/>
          <w:szCs w:val="16"/>
        </w:rPr>
        <w:footnoteRef/>
      </w:r>
      <w:r w:rsidRPr="001861FA">
        <w:rPr>
          <w:rFonts w:ascii="Verdana" w:hAnsi="Verdana" w:cs="Arial"/>
          <w:sz w:val="16"/>
          <w:szCs w:val="16"/>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1861FA">
        <w:rPr>
          <w:rFonts w:ascii="Verdana" w:hAnsi="Verdana" w:cs="Arial"/>
          <w:i/>
          <w:iCs/>
          <w:sz w:val="16"/>
          <w:szCs w:val="16"/>
        </w:rPr>
        <w:t xml:space="preserve">ibidem </w:t>
      </w:r>
      <w:r w:rsidRPr="001861FA">
        <w:rPr>
          <w:rFonts w:ascii="Verdana" w:hAnsi="Verdana" w:cs="Arial"/>
          <w:sz w:val="16"/>
          <w:szCs w:val="16"/>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3">
    <w:p w14:paraId="7039DBED" w14:textId="77777777" w:rsidR="001A4A08" w:rsidRPr="001861FA" w:rsidRDefault="001A4A08" w:rsidP="001A4A08">
      <w:pPr>
        <w:pStyle w:val="Textonotapie"/>
        <w:ind w:firstLine="708"/>
        <w:jc w:val="both"/>
        <w:rPr>
          <w:rFonts w:ascii="Verdana" w:hAnsi="Verdana" w:cs="Arial"/>
          <w:sz w:val="16"/>
          <w:szCs w:val="16"/>
        </w:rPr>
      </w:pPr>
      <w:r w:rsidRPr="001861FA">
        <w:rPr>
          <w:rStyle w:val="Refdenotaalpie"/>
          <w:rFonts w:ascii="Verdana" w:hAnsi="Verdana" w:cs="Arial"/>
          <w:sz w:val="16"/>
          <w:szCs w:val="16"/>
        </w:rPr>
        <w:footnoteRef/>
      </w:r>
      <w:r w:rsidRPr="001861FA">
        <w:rPr>
          <w:rFonts w:ascii="Verdana" w:hAnsi="Verdana" w:cs="Arial"/>
          <w:sz w:val="16"/>
          <w:szCs w:val="16"/>
        </w:rPr>
        <w:t xml:space="preserve"> Sobre esta norma, consultar los conceptos del 8 de octubre de 2019, con radicado No. 2201913000007532, y del 20 de diciembre de 2019, con radicado No. 4201913000008240.</w:t>
      </w:r>
    </w:p>
  </w:footnote>
  <w:footnote w:id="4">
    <w:p w14:paraId="76B6FAB8" w14:textId="77777777" w:rsidR="001A4A08" w:rsidRPr="001861FA" w:rsidRDefault="001A4A08" w:rsidP="001A4A08">
      <w:pPr>
        <w:pStyle w:val="Textonotapie"/>
        <w:ind w:firstLine="708"/>
        <w:jc w:val="both"/>
        <w:rPr>
          <w:rFonts w:ascii="Verdana" w:hAnsi="Verdana" w:cs="Arial"/>
          <w:sz w:val="16"/>
          <w:szCs w:val="16"/>
        </w:rPr>
      </w:pPr>
      <w:r w:rsidRPr="001861FA">
        <w:rPr>
          <w:rStyle w:val="Refdenotaalpie"/>
          <w:rFonts w:ascii="Verdana" w:hAnsi="Verdana"/>
          <w:sz w:val="16"/>
          <w:szCs w:val="16"/>
        </w:rPr>
        <w:footnoteRef/>
      </w:r>
      <w:r w:rsidRPr="001861FA">
        <w:rPr>
          <w:rFonts w:ascii="Verdana" w:hAnsi="Verdana"/>
          <w:sz w:val="16"/>
          <w:szCs w:val="16"/>
        </w:rPr>
        <w:t xml:space="preserve"> </w:t>
      </w:r>
      <w:r w:rsidRPr="001861FA">
        <w:rPr>
          <w:rFonts w:ascii="Verdana" w:hAnsi="Verdana" w:cs="Arial"/>
          <w:sz w:val="16"/>
          <w:szCs w:val="16"/>
        </w:rPr>
        <w:t>Al respecto, la Ley 489 de 1998 dispone que “Art.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64BD6D23" w14:textId="77777777" w:rsidR="001A4A08" w:rsidRPr="001861FA" w:rsidRDefault="001A4A08" w:rsidP="001A4A08">
      <w:pPr>
        <w:pStyle w:val="Textonotapie"/>
        <w:ind w:firstLine="708"/>
        <w:jc w:val="both"/>
        <w:rPr>
          <w:rFonts w:ascii="Verdana" w:hAnsi="Verdana" w:cs="Arial"/>
          <w:sz w:val="16"/>
          <w:szCs w:val="16"/>
        </w:rPr>
      </w:pPr>
      <w:r w:rsidRPr="001861FA">
        <w:rPr>
          <w:rFonts w:ascii="Verdana" w:hAnsi="Verdana" w:cs="Arial"/>
          <w:sz w:val="16"/>
          <w:szCs w:val="16"/>
        </w:rPr>
        <w:t xml:space="preserve">Los convenios de asociación a que se refiere el presente artículo </w:t>
      </w:r>
      <w:bookmarkStart w:id="3" w:name="_Hlk36023315"/>
      <w:r w:rsidRPr="001861FA">
        <w:rPr>
          <w:rFonts w:ascii="Verdana" w:hAnsi="Verdana" w:cs="Arial"/>
          <w:sz w:val="16"/>
          <w:szCs w:val="16"/>
        </w:rPr>
        <w:t>se celebrarán de conformidad con lo dispuesto en el artículo 355 de la Constitución Política</w:t>
      </w:r>
      <w:bookmarkEnd w:id="3"/>
      <w:r w:rsidRPr="001861FA">
        <w:rPr>
          <w:rFonts w:ascii="Verdana" w:hAnsi="Verdana" w:cs="Arial"/>
          <w:sz w:val="16"/>
          <w:szCs w:val="16"/>
        </w:rPr>
        <w:t>, en ellos se determinará con precisión su objeto, término, obligaciones de las partes, aportes, coordinación y todos aquellos aspectos que se consideren pertinentes”.</w:t>
      </w:r>
    </w:p>
  </w:footnote>
  <w:footnote w:id="5">
    <w:p w14:paraId="5210C123" w14:textId="77777777" w:rsidR="001A4A08" w:rsidRPr="001861FA" w:rsidRDefault="001A4A08" w:rsidP="001A4A08">
      <w:pPr>
        <w:pStyle w:val="Textonotapie"/>
        <w:ind w:firstLine="708"/>
        <w:jc w:val="both"/>
        <w:rPr>
          <w:rFonts w:ascii="Verdana" w:hAnsi="Verdana" w:cs="Arial"/>
          <w:sz w:val="16"/>
          <w:szCs w:val="16"/>
        </w:rPr>
      </w:pPr>
      <w:r w:rsidRPr="001861FA">
        <w:rPr>
          <w:rStyle w:val="Refdenotaalpie"/>
          <w:rFonts w:ascii="Verdana" w:hAnsi="Verdana" w:cs="Arial"/>
          <w:sz w:val="16"/>
          <w:szCs w:val="16"/>
        </w:rPr>
        <w:footnoteRef/>
      </w:r>
      <w:r w:rsidRPr="001861FA">
        <w:rPr>
          <w:rFonts w:ascii="Verdana" w:hAnsi="Verdana" w:cs="Arial"/>
          <w:sz w:val="16"/>
          <w:szCs w:val="16"/>
        </w:rPr>
        <w:t xml:space="preserve"> Concepto del 3 de septiembre de 2019, con radicado No. 2201913000006512.</w:t>
      </w:r>
    </w:p>
  </w:footnote>
  <w:footnote w:id="6">
    <w:p w14:paraId="67CE4B5B" w14:textId="77777777" w:rsidR="001A4A08" w:rsidRPr="001861FA" w:rsidRDefault="001A4A08" w:rsidP="001A4A08">
      <w:pPr>
        <w:pStyle w:val="Textonotapie"/>
        <w:ind w:firstLine="708"/>
        <w:jc w:val="both"/>
        <w:rPr>
          <w:rFonts w:ascii="Verdana" w:hAnsi="Verdana" w:cs="Arial"/>
          <w:sz w:val="16"/>
          <w:szCs w:val="16"/>
        </w:rPr>
      </w:pPr>
      <w:r w:rsidRPr="001861FA">
        <w:rPr>
          <w:rStyle w:val="Refdenotaalpie"/>
          <w:rFonts w:ascii="Verdana" w:hAnsi="Verdana" w:cs="Arial"/>
          <w:sz w:val="16"/>
          <w:szCs w:val="16"/>
        </w:rPr>
        <w:footnoteRef/>
      </w:r>
      <w:r w:rsidRPr="001861FA">
        <w:rPr>
          <w:rFonts w:ascii="Verdana" w:hAnsi="Verdana" w:cs="Arial"/>
          <w:sz w:val="16"/>
          <w:szCs w:val="16"/>
        </w:rPr>
        <w:t xml:space="preserve"> Sobre la naturaleza de los convenios de asociación, se reitera lo expuesto en el concepto del 19 de noviembre de 2019, con radicado No. 2201913000008611.</w:t>
      </w:r>
    </w:p>
  </w:footnote>
  <w:footnote w:id="7">
    <w:p w14:paraId="702DD49F" w14:textId="77777777" w:rsidR="001A4A08" w:rsidRPr="001861FA" w:rsidRDefault="001A4A08" w:rsidP="001A4A08">
      <w:pPr>
        <w:pStyle w:val="Textonotapie"/>
        <w:ind w:firstLine="708"/>
        <w:jc w:val="both"/>
        <w:rPr>
          <w:rFonts w:ascii="Verdana" w:hAnsi="Verdana" w:cs="Arial"/>
          <w:color w:val="000000" w:themeColor="text1"/>
          <w:sz w:val="16"/>
          <w:szCs w:val="16"/>
        </w:rPr>
      </w:pPr>
      <w:r w:rsidRPr="001861FA">
        <w:rPr>
          <w:rStyle w:val="Refdenotaalpie"/>
          <w:rFonts w:ascii="Verdana" w:hAnsi="Verdana" w:cs="Arial"/>
          <w:color w:val="000000" w:themeColor="text1"/>
          <w:sz w:val="16"/>
          <w:szCs w:val="16"/>
        </w:rPr>
        <w:footnoteRef/>
      </w:r>
      <w:r w:rsidRPr="001861FA">
        <w:rPr>
          <w:rFonts w:ascii="Verdana" w:hAnsi="Verdana" w:cs="Arial"/>
          <w:color w:val="000000" w:themeColor="text1"/>
          <w:sz w:val="16"/>
          <w:szCs w:val="16"/>
        </w:rPr>
        <w:t xml:space="preserve"> Cfr. Concepto del 21 de agosto de 2019, dictado dentro del radicado No. 2201913000006047.</w:t>
      </w:r>
    </w:p>
  </w:footnote>
  <w:footnote w:id="8">
    <w:p w14:paraId="2942CD8D" w14:textId="77777777" w:rsidR="001A4A08" w:rsidRPr="001861FA" w:rsidRDefault="001A4A08" w:rsidP="001A4A08">
      <w:pPr>
        <w:pStyle w:val="Textonotapie"/>
        <w:ind w:firstLine="708"/>
        <w:jc w:val="both"/>
        <w:rPr>
          <w:rFonts w:ascii="Verdana" w:hAnsi="Verdana" w:cs="Arial"/>
          <w:color w:val="000000" w:themeColor="text1"/>
          <w:sz w:val="16"/>
          <w:szCs w:val="16"/>
          <w:lang w:val="es-ES"/>
        </w:rPr>
      </w:pPr>
      <w:r w:rsidRPr="001861FA">
        <w:rPr>
          <w:rStyle w:val="Refdenotaalpie"/>
          <w:rFonts w:ascii="Verdana" w:hAnsi="Verdana" w:cs="Arial"/>
          <w:color w:val="000000" w:themeColor="text1"/>
          <w:sz w:val="16"/>
          <w:szCs w:val="16"/>
        </w:rPr>
        <w:footnoteRef/>
      </w:r>
      <w:r w:rsidRPr="001861FA">
        <w:rPr>
          <w:rFonts w:ascii="Verdana" w:hAnsi="Verdana" w:cs="Arial"/>
          <w:color w:val="000000" w:themeColor="text1"/>
          <w:sz w:val="16"/>
          <w:szCs w:val="16"/>
        </w:rPr>
        <w:t xml:space="preserve"> Concepto del 24 de febrero de 2005, con radicado No. 1626, C.P. Dra. Gloria Duque Hernández</w:t>
      </w:r>
    </w:p>
  </w:footnote>
  <w:footnote w:id="9">
    <w:p w14:paraId="02D46262" w14:textId="77777777" w:rsidR="001A4A08" w:rsidRPr="001861FA" w:rsidRDefault="001A4A08" w:rsidP="001A4A08">
      <w:pPr>
        <w:pStyle w:val="Textonotapie"/>
        <w:ind w:firstLine="708"/>
        <w:jc w:val="both"/>
        <w:rPr>
          <w:rFonts w:ascii="Verdana" w:hAnsi="Verdana" w:cs="Arial"/>
          <w:color w:val="000000" w:themeColor="text1"/>
          <w:sz w:val="16"/>
          <w:szCs w:val="16"/>
        </w:rPr>
      </w:pPr>
      <w:r w:rsidRPr="001861FA">
        <w:rPr>
          <w:rStyle w:val="Refdenotaalpie"/>
          <w:rFonts w:ascii="Verdana" w:hAnsi="Verdana" w:cs="Arial"/>
          <w:color w:val="000000" w:themeColor="text1"/>
          <w:sz w:val="16"/>
          <w:szCs w:val="16"/>
        </w:rPr>
        <w:footnoteRef/>
      </w:r>
      <w:r w:rsidRPr="001861FA">
        <w:rPr>
          <w:rFonts w:ascii="Verdana" w:hAnsi="Verdana" w:cs="Arial"/>
          <w:color w:val="000000" w:themeColor="text1"/>
          <w:sz w:val="16"/>
          <w:szCs w:val="16"/>
        </w:rPr>
        <w:t xml:space="preserve"> </w:t>
      </w:r>
      <w:r w:rsidRPr="006A511D">
        <w:rPr>
          <w:rFonts w:ascii="Verdana" w:hAnsi="Verdana" w:cs="Arial"/>
          <w:color w:val="000000" w:themeColor="text1"/>
          <w:sz w:val="16"/>
          <w:szCs w:val="16"/>
        </w:rPr>
        <w:t xml:space="preserve">Auto del 6 de agosto de 2019 la Sección Tercera, Subsección A, radicado No. 11001-03-26-000-2018-00113-00 (62.003), Consejero Ponente Carlos Alberto Zambrano Barrera. </w:t>
      </w:r>
      <w:r w:rsidRPr="001861FA">
        <w:rPr>
          <w:rFonts w:ascii="Verdana" w:hAnsi="Verdana" w:cs="Arial"/>
          <w:color w:val="000000" w:themeColor="text1"/>
          <w:sz w:val="16"/>
          <w:szCs w:val="16"/>
        </w:rPr>
        <w:t>Se precisa que la suspensión provisional, de acuerdo con el artículo 231 de la Ley 1437 de 2011, es una medida cautelar que busca proteger y garantizar, de forma provisional, que la norma demandada no genere actos contrarios al ordenamiento jurídico, razón por la cual, para decretarla es necesario que la transgresión de las normas superiores invocadas surja de la comparación entre estas y los actos acusados o del estudio de las pruebas aportadas con la solicitud.</w:t>
      </w:r>
    </w:p>
  </w:footnote>
  <w:footnote w:id="10">
    <w:p w14:paraId="28CEFA02" w14:textId="77777777" w:rsidR="001A4A08" w:rsidRPr="001861FA" w:rsidRDefault="001A4A08" w:rsidP="001A4A08">
      <w:pPr>
        <w:pStyle w:val="Textonotapie"/>
        <w:ind w:firstLine="708"/>
        <w:rPr>
          <w:rFonts w:ascii="Verdana" w:hAnsi="Verdana" w:cs="Arial"/>
          <w:color w:val="000000" w:themeColor="text1"/>
          <w:sz w:val="16"/>
          <w:szCs w:val="16"/>
        </w:rPr>
      </w:pPr>
      <w:r w:rsidRPr="001861FA">
        <w:rPr>
          <w:rStyle w:val="Refdenotaalpie"/>
          <w:rFonts w:ascii="Verdana" w:hAnsi="Verdana"/>
          <w:sz w:val="16"/>
          <w:szCs w:val="16"/>
        </w:rPr>
        <w:footnoteRef/>
      </w:r>
      <w:r w:rsidRPr="001861FA">
        <w:rPr>
          <w:rFonts w:ascii="Verdana" w:hAnsi="Verdana"/>
          <w:sz w:val="16"/>
          <w:szCs w:val="16"/>
        </w:rPr>
        <w:t xml:space="preserve"> </w:t>
      </w:r>
      <w:r w:rsidRPr="001861FA">
        <w:rPr>
          <w:rFonts w:ascii="Verdana" w:hAnsi="Verdana" w:cs="Arial"/>
          <w:color w:val="000000" w:themeColor="text1"/>
          <w:sz w:val="16"/>
          <w:szCs w:val="16"/>
        </w:rPr>
        <w:t>CONSEJO DE ESTADO. Sala Plena. Auto del 15 de marzo de 2022. Exp. 11001-03-26-000-2018-00113-01 (62.003). C.P. Rocío Araújo Oñate.</w:t>
      </w:r>
    </w:p>
  </w:footnote>
  <w:footnote w:id="11">
    <w:p w14:paraId="2759DF3E" w14:textId="77777777" w:rsidR="001A4A08" w:rsidRPr="001861FA" w:rsidRDefault="001A4A08" w:rsidP="001A4A08">
      <w:pPr>
        <w:pStyle w:val="Textonotapie"/>
        <w:ind w:firstLine="708"/>
        <w:jc w:val="both"/>
        <w:rPr>
          <w:rFonts w:ascii="Verdana" w:eastAsia="Calibri" w:hAnsi="Verdana" w:cs="Arial"/>
          <w:color w:val="000000" w:themeColor="text1"/>
          <w:sz w:val="16"/>
          <w:szCs w:val="16"/>
        </w:rPr>
      </w:pPr>
      <w:r w:rsidRPr="001861FA">
        <w:rPr>
          <w:rStyle w:val="Refdenotaalpie"/>
          <w:rFonts w:ascii="Verdana" w:hAnsi="Verdana" w:cs="Arial"/>
          <w:color w:val="000000" w:themeColor="text1"/>
          <w:sz w:val="16"/>
          <w:szCs w:val="16"/>
        </w:rPr>
        <w:footnoteRef/>
      </w:r>
      <w:r w:rsidRPr="001861FA">
        <w:rPr>
          <w:rFonts w:ascii="Verdana" w:hAnsi="Verdana" w:cs="Arial"/>
          <w:color w:val="000000" w:themeColor="text1"/>
          <w:sz w:val="16"/>
          <w:szCs w:val="16"/>
        </w:rPr>
        <w:t xml:space="preserve"> </w:t>
      </w:r>
      <w:r w:rsidRPr="001861FA">
        <w:rPr>
          <w:rFonts w:ascii="Verdana" w:eastAsia="Calibri" w:hAnsi="Verdana" w:cs="Arial"/>
          <w:color w:val="000000" w:themeColor="text1"/>
          <w:sz w:val="16"/>
          <w:szCs w:val="16"/>
        </w:rPr>
        <w:t>Decreto 092 de 2017, artículo 1, inciso 2: “Para la interpretación del presente decreto, las expresiones aquí utilizadas con mayúscula inicial deben ser entendidas con el significado indicado en la guía que expida la Agencia Nacional de Contratación Pública –Colombia Compra Eficiente– para la aplicación del presente decreto”.</w:t>
      </w:r>
    </w:p>
  </w:footnote>
  <w:footnote w:id="12">
    <w:p w14:paraId="3DD62710" w14:textId="77777777" w:rsidR="001A4A08" w:rsidRPr="001861FA" w:rsidRDefault="001A4A08" w:rsidP="001A4A08">
      <w:pPr>
        <w:pStyle w:val="Textonotapie"/>
        <w:ind w:firstLine="708"/>
        <w:jc w:val="both"/>
        <w:rPr>
          <w:rFonts w:ascii="Verdana" w:hAnsi="Verdana" w:cs="Arial"/>
          <w:color w:val="000000" w:themeColor="text1"/>
          <w:sz w:val="16"/>
          <w:szCs w:val="16"/>
        </w:rPr>
      </w:pPr>
      <w:r w:rsidRPr="001861FA">
        <w:rPr>
          <w:rStyle w:val="Refdenotaalpie"/>
          <w:rFonts w:ascii="Verdana" w:hAnsi="Verdana" w:cs="Arial"/>
          <w:color w:val="000000" w:themeColor="text1"/>
          <w:sz w:val="16"/>
          <w:szCs w:val="16"/>
        </w:rPr>
        <w:footnoteRef/>
      </w:r>
      <w:r w:rsidRPr="001861FA">
        <w:rPr>
          <w:rFonts w:ascii="Verdana" w:hAnsi="Verdana" w:cs="Arial"/>
          <w:color w:val="000000" w:themeColor="text1"/>
          <w:sz w:val="16"/>
          <w:szCs w:val="16"/>
        </w:rPr>
        <w:t xml:space="preserve"> </w:t>
      </w:r>
      <w:r w:rsidRPr="001861FA">
        <w:rPr>
          <w:rFonts w:ascii="Verdana" w:eastAsia="Calibri" w:hAnsi="Verdana" w:cs="Arial"/>
          <w:color w:val="000000" w:themeColor="text1"/>
          <w:sz w:val="16"/>
          <w:szCs w:val="16"/>
        </w:rPr>
        <w:t>Decreto 092 de 2017, artículo 3, inciso 2: “</w:t>
      </w:r>
      <w:r w:rsidRPr="001861FA">
        <w:rPr>
          <w:rFonts w:ascii="Verdana" w:hAnsi="Verdana" w:cs="Arial"/>
          <w:color w:val="000000" w:themeColor="text1"/>
          <w:sz w:val="16"/>
          <w:szCs w:val="16"/>
        </w:rPr>
        <w:t>La Entidad Estatal debe definir en los Documentos del Proceso las características que debe acreditar la entidad sin ánimo de lucro. Para el efecto, deberá tomar en consideración las pautas y criterios establecidos en la guía que expida la Agencia Nacional de Contratación Pública –Colombia Compra Eficiente, la cual deberá tener en cuenta las normas de trasparencia y acceso a la información aplicable a las entidades privadas sin ánimo de lucro que contratan con cargo a recursos de origen público y las mejores prácticas en materia de prohibiciones, inhabilidades, incompatibilidades y conflictos de interés”.</w:t>
      </w:r>
    </w:p>
  </w:footnote>
  <w:footnote w:id="13">
    <w:p w14:paraId="5BA56CF9" w14:textId="77777777" w:rsidR="001A4A08" w:rsidRPr="001861FA" w:rsidRDefault="001A4A08" w:rsidP="001A4A08">
      <w:pPr>
        <w:spacing w:after="0" w:line="240" w:lineRule="auto"/>
        <w:ind w:firstLine="708"/>
        <w:jc w:val="both"/>
        <w:rPr>
          <w:rFonts w:ascii="Verdana" w:hAnsi="Verdana" w:cs="Arial"/>
          <w:color w:val="000000" w:themeColor="text1"/>
          <w:sz w:val="16"/>
          <w:szCs w:val="16"/>
        </w:rPr>
      </w:pPr>
      <w:r w:rsidRPr="001861FA">
        <w:rPr>
          <w:rFonts w:ascii="Verdana" w:hAnsi="Verdana" w:cs="Arial"/>
          <w:color w:val="000000" w:themeColor="text1"/>
          <w:sz w:val="16"/>
          <w:szCs w:val="16"/>
          <w:vertAlign w:val="superscript"/>
        </w:rPr>
        <w:footnoteRef/>
      </w:r>
      <w:r w:rsidRPr="001861FA">
        <w:rPr>
          <w:rFonts w:ascii="Verdana" w:hAnsi="Verdana" w:cs="Arial"/>
          <w:color w:val="000000" w:themeColor="text1"/>
          <w:sz w:val="16"/>
          <w:szCs w:val="16"/>
        </w:rPr>
        <w:t xml:space="preserve"> En el auto del 15 de marzo de 2022 se señalaron los siguientes argumentos para levantar la suspensión provisional del inciso segundo del artículo 3 del Decreto 092 de 2017: “43. En suma, lo que advierte la Sala es que para establecer si el Gobierno nacional delegó indebidamente el ejercicio de la potestad reglamentaria directa de la Constitución, es necesario realizar un estudio de fondo, que es propio de la sentencia, pues de la literalidad de las normas confrontadas no surge que la expedición de la guía, con el alcance orientador y de interpretación señalado en las disposiciones demandadas, corresponda al ejercicio incompleto y trasladado de esa potestad, como lo razona el demandante, o si se trata de la asignación de una función o tarea, dentro de la amplia esfera de configuración normativa que confieren los reglamentos constitucionales autónomos, como lo entiende el Departamento Nacional de Planeación. </w:t>
      </w:r>
    </w:p>
    <w:p w14:paraId="74527654" w14:textId="77777777" w:rsidR="001A4A08" w:rsidRPr="001861FA" w:rsidRDefault="001A4A08" w:rsidP="001A4A08">
      <w:pPr>
        <w:spacing w:after="0" w:line="240" w:lineRule="auto"/>
        <w:ind w:firstLine="708"/>
        <w:jc w:val="both"/>
        <w:rPr>
          <w:rFonts w:ascii="Verdana" w:hAnsi="Verdana" w:cs="Arial"/>
          <w:color w:val="000000" w:themeColor="text1"/>
          <w:sz w:val="16"/>
          <w:szCs w:val="16"/>
        </w:rPr>
      </w:pPr>
      <w:r w:rsidRPr="001861FA">
        <w:rPr>
          <w:rFonts w:ascii="Verdana" w:hAnsi="Verdana" w:cs="Arial"/>
          <w:color w:val="000000" w:themeColor="text1"/>
          <w:sz w:val="16"/>
          <w:szCs w:val="16"/>
        </w:rPr>
        <w:t xml:space="preserve"> 44. Así pues, al no evidenciarse ab initio la infracción constitucional aducida en los términos del artículo 231 de la Ley 1437 de 2011, no existe fundamento jurídico para suspender provisionalmente los efectos del inciso segundo del artículo 1 y del inciso segundo del artículo 3 del Decreto 092 de 2017. En consecuencia, la Sala revocará dicha medida cautelar y la negará en relación con esas disposiciones”. (CONSEJO DE ESTADO. Sala Plena. Auto del 15 de marzo de 2022. </w:t>
      </w:r>
      <w:r w:rsidRPr="001861FA">
        <w:rPr>
          <w:rFonts w:ascii="Verdana" w:hAnsi="Verdana" w:cs="Arial"/>
          <w:color w:val="000000" w:themeColor="text1"/>
          <w:sz w:val="16"/>
          <w:szCs w:val="16"/>
        </w:rPr>
        <w:t>Exp. 11001-03-26-000-2018-00113-01 (62.003). C.P. Rocío Araújo Oñate).</w:t>
      </w:r>
    </w:p>
  </w:footnote>
  <w:footnote w:id="14">
    <w:p w14:paraId="1A92679C" w14:textId="77777777" w:rsidR="001A4A08" w:rsidRPr="001861FA" w:rsidRDefault="001A4A08" w:rsidP="001A4A08">
      <w:pPr>
        <w:spacing w:after="0" w:line="240" w:lineRule="auto"/>
        <w:ind w:firstLine="708"/>
        <w:jc w:val="both"/>
        <w:rPr>
          <w:rFonts w:ascii="Verdana" w:hAnsi="Verdana" w:cs="Arial"/>
          <w:color w:val="000000" w:themeColor="text1"/>
          <w:sz w:val="16"/>
          <w:szCs w:val="16"/>
        </w:rPr>
      </w:pPr>
      <w:r w:rsidRPr="001861FA">
        <w:rPr>
          <w:rStyle w:val="Refdenotaalpie"/>
          <w:rFonts w:ascii="Verdana" w:hAnsi="Verdana" w:cs="Arial"/>
          <w:color w:val="000000" w:themeColor="text1"/>
          <w:sz w:val="16"/>
          <w:szCs w:val="16"/>
        </w:rPr>
        <w:footnoteRef/>
      </w:r>
      <w:r w:rsidRPr="001861FA">
        <w:rPr>
          <w:rFonts w:ascii="Verdana" w:hAnsi="Verdana" w:cs="Arial"/>
          <w:color w:val="000000" w:themeColor="text1"/>
          <w:sz w:val="16"/>
          <w:szCs w:val="16"/>
        </w:rPr>
        <w:t xml:space="preserve"> Decreto 092 de 2017, Artículo 2, literal a: “Que el objeto del contrato corresponda directamente a programas y actividades de interés público previsto en el Plan Nacional o Seccional de Desarrollo, de acuerdo con el nivel de la Entidad Estatal, con los cuales esta busque exclusivamente promover los derechos de personas en situaciones de debilidad manifiesta o indefensión, los derechos de las minorías, el derecho a la educación, el derecho a la paz, las manifestaciones artísticas, culturales, deportivas y de promoción de la diversidad étnica colombiana”.</w:t>
      </w:r>
    </w:p>
  </w:footnote>
  <w:footnote w:id="15">
    <w:p w14:paraId="7D9D7F25" w14:textId="77777777" w:rsidR="001A4A08" w:rsidRPr="001861FA" w:rsidRDefault="001A4A08" w:rsidP="001A4A08">
      <w:pPr>
        <w:pStyle w:val="Textonotapie"/>
        <w:ind w:firstLine="708"/>
        <w:jc w:val="both"/>
        <w:rPr>
          <w:rFonts w:ascii="Verdana" w:hAnsi="Verdana" w:cs="Arial"/>
          <w:color w:val="000000" w:themeColor="text1"/>
          <w:sz w:val="16"/>
          <w:szCs w:val="16"/>
        </w:rPr>
      </w:pPr>
      <w:r w:rsidRPr="001861FA">
        <w:rPr>
          <w:rStyle w:val="Refdenotaalpie"/>
          <w:rFonts w:ascii="Verdana" w:hAnsi="Verdana" w:cs="Arial"/>
          <w:color w:val="000000" w:themeColor="text1"/>
          <w:sz w:val="16"/>
          <w:szCs w:val="16"/>
        </w:rPr>
        <w:footnoteRef/>
      </w:r>
      <w:r w:rsidRPr="001861FA">
        <w:rPr>
          <w:rFonts w:ascii="Verdana" w:hAnsi="Verdana" w:cs="Arial"/>
          <w:color w:val="000000" w:themeColor="text1"/>
          <w:sz w:val="16"/>
          <w:szCs w:val="16"/>
        </w:rPr>
        <w:t xml:space="preserve"> Decreto 092 de 2017, Artículo 2, literal a: “Que no exista oferta en el mercado de los bienes, obras y servicios requeridos para la estrategia y política del plan de desarrollo objeto de la contratación, distinta de la oferta que hacen las entidades privadas sin ánimo de lucro; o que, si existe, la contratación con entidades privadas sin ánimo de lucro represente la optimización de los recursos públicos en términos de eficiencia, eficacia, economía y manejo del Riesgo. En los demás eventos, la Entidad Estatal deberá aplicar la Ley 80 de 1993, sus modificaciones y reglamentos”.</w:t>
      </w:r>
    </w:p>
  </w:footnote>
  <w:footnote w:id="16">
    <w:p w14:paraId="1E23A67B" w14:textId="77777777" w:rsidR="001A4A08" w:rsidRPr="001861FA" w:rsidRDefault="001A4A08" w:rsidP="001A4A08">
      <w:pPr>
        <w:pStyle w:val="Textonotapie"/>
        <w:ind w:firstLine="708"/>
        <w:jc w:val="both"/>
        <w:rPr>
          <w:rFonts w:ascii="Verdana" w:hAnsi="Verdana" w:cs="Arial"/>
          <w:color w:val="000000" w:themeColor="text1"/>
          <w:sz w:val="16"/>
          <w:szCs w:val="16"/>
          <w:lang w:val="es-ES"/>
        </w:rPr>
      </w:pPr>
      <w:r w:rsidRPr="001861FA">
        <w:rPr>
          <w:rStyle w:val="Refdenotaalpie"/>
          <w:rFonts w:ascii="Verdana" w:hAnsi="Verdana" w:cs="Arial"/>
          <w:color w:val="000000" w:themeColor="text1"/>
          <w:sz w:val="16"/>
          <w:szCs w:val="16"/>
        </w:rPr>
        <w:footnoteRef/>
      </w:r>
      <w:r w:rsidRPr="001861FA">
        <w:rPr>
          <w:rFonts w:ascii="Verdana" w:hAnsi="Verdana" w:cs="Arial"/>
          <w:color w:val="000000" w:themeColor="text1"/>
          <w:sz w:val="16"/>
          <w:szCs w:val="16"/>
        </w:rPr>
        <w:t xml:space="preserve"> Decreto 092 de 2017, artículo 4: “(…) Las Entidades Estatales no están obligadas a adelantar el proceso competitivo previsto en este artículo cuando el objeto del Proceso de Contratación corresponde a actividades artísticas, culturales, deportivas y de promoción de la diversidad étnica colombiana, que solo pueden desarrollar determinadas personas naturales o jurídicas, condición que debe justificarse en los estudios y documentos previos”.</w:t>
      </w:r>
    </w:p>
  </w:footnote>
  <w:footnote w:id="17">
    <w:p w14:paraId="58B66FDC" w14:textId="77777777" w:rsidR="001A4A08" w:rsidRPr="001861FA" w:rsidRDefault="001A4A08" w:rsidP="001A4A08">
      <w:pPr>
        <w:pStyle w:val="Textonotapie"/>
        <w:ind w:firstLine="708"/>
        <w:jc w:val="both"/>
        <w:rPr>
          <w:rFonts w:ascii="Verdana" w:hAnsi="Verdana" w:cs="Arial"/>
          <w:sz w:val="16"/>
          <w:szCs w:val="16"/>
        </w:rPr>
      </w:pPr>
      <w:r w:rsidRPr="001861FA">
        <w:rPr>
          <w:rStyle w:val="Refdenotaalpie"/>
          <w:rFonts w:ascii="Verdana" w:hAnsi="Verdana" w:cs="Arial"/>
          <w:sz w:val="16"/>
          <w:szCs w:val="16"/>
        </w:rPr>
        <w:footnoteRef/>
      </w:r>
      <w:r w:rsidRPr="001861FA">
        <w:rPr>
          <w:rFonts w:ascii="Verdana" w:hAnsi="Verdana" w:cs="Arial"/>
          <w:sz w:val="16"/>
          <w:szCs w:val="16"/>
        </w:rPr>
        <w:t xml:space="preserve"> De esta manera, agrega que “[…] cuando el reglamento exige correspondencia directa entre los objetos de los contratos y las actividades y programas contenidos específicamente en los planes de desarrollo, excluye aquellos programas y actividades de interés público que desarrollan entidades sin ánimo de lucro y de reconocida idoneidad, que aun cuando acordes con los planes de desarrollo no encajan de manera precisa en alguna de las actividades o programas particulares contemplados en dichos planes” (Cfr. Consejo de Estado. Sala Plena. </w:t>
      </w:r>
      <w:bookmarkStart w:id="11" w:name="_Hlk102655636"/>
      <w:r w:rsidRPr="001861FA">
        <w:rPr>
          <w:rFonts w:ascii="Verdana" w:hAnsi="Verdana" w:cs="Arial"/>
          <w:sz w:val="16"/>
          <w:szCs w:val="16"/>
        </w:rPr>
        <w:t>Auto del 15 de marzo de 2022</w:t>
      </w:r>
      <w:bookmarkEnd w:id="11"/>
      <w:r w:rsidRPr="001861FA">
        <w:rPr>
          <w:rFonts w:ascii="Verdana" w:hAnsi="Verdana" w:cs="Arial"/>
          <w:sz w:val="16"/>
          <w:szCs w:val="16"/>
        </w:rPr>
        <w:t>. Exp. 62.003. C.P. Rocío Araújo Oñate).</w:t>
      </w:r>
    </w:p>
  </w:footnote>
  <w:footnote w:id="18">
    <w:p w14:paraId="69EE2715" w14:textId="77777777" w:rsidR="001A4A08" w:rsidRPr="001861FA" w:rsidRDefault="001A4A08" w:rsidP="001A4A08">
      <w:pPr>
        <w:pStyle w:val="Textonotapie"/>
        <w:ind w:firstLine="708"/>
        <w:rPr>
          <w:rFonts w:ascii="Verdana" w:hAnsi="Verdana" w:cs="Arial"/>
          <w:sz w:val="16"/>
          <w:szCs w:val="16"/>
        </w:rPr>
      </w:pPr>
      <w:r w:rsidRPr="001861FA">
        <w:rPr>
          <w:rStyle w:val="Refdenotaalpie"/>
          <w:rFonts w:ascii="Verdana" w:hAnsi="Verdana" w:cs="Arial"/>
          <w:sz w:val="16"/>
          <w:szCs w:val="16"/>
        </w:rPr>
        <w:footnoteRef/>
      </w:r>
      <w:r w:rsidRPr="001861FA">
        <w:rPr>
          <w:rFonts w:ascii="Verdana" w:hAnsi="Verdana" w:cs="Arial"/>
          <w:sz w:val="16"/>
          <w:szCs w:val="16"/>
        </w:rPr>
        <w:t xml:space="preserve"> </w:t>
      </w:r>
      <w:r w:rsidRPr="001861FA">
        <w:rPr>
          <w:rFonts w:ascii="Verdana" w:hAnsi="Verdana" w:cs="Arial"/>
          <w:i/>
          <w:iCs/>
          <w:sz w:val="16"/>
          <w:szCs w:val="16"/>
        </w:rPr>
        <w:t>Ibidem</w:t>
      </w:r>
      <w:r w:rsidRPr="001861FA">
        <w:rPr>
          <w:rFonts w:ascii="Verdana" w:hAnsi="Verdana" w:cs="Arial"/>
          <w:sz w:val="16"/>
          <w:szCs w:val="16"/>
        </w:rPr>
        <w:t>.</w:t>
      </w:r>
    </w:p>
  </w:footnote>
  <w:footnote w:id="19">
    <w:p w14:paraId="705E3A80" w14:textId="77777777" w:rsidR="001A4A08" w:rsidRPr="001861FA" w:rsidRDefault="001A4A08" w:rsidP="001A4A08">
      <w:pPr>
        <w:pStyle w:val="Textonotapie"/>
        <w:ind w:firstLine="708"/>
        <w:jc w:val="both"/>
        <w:rPr>
          <w:rFonts w:ascii="Verdana" w:hAnsi="Verdana" w:cs="Arial"/>
          <w:color w:val="000000" w:themeColor="text1"/>
          <w:sz w:val="16"/>
          <w:szCs w:val="16"/>
        </w:rPr>
      </w:pPr>
      <w:r w:rsidRPr="001861FA">
        <w:rPr>
          <w:rStyle w:val="Refdenotaalpie"/>
          <w:rFonts w:ascii="Verdana" w:hAnsi="Verdana" w:cs="Arial"/>
          <w:color w:val="000000" w:themeColor="text1"/>
          <w:sz w:val="16"/>
          <w:szCs w:val="16"/>
        </w:rPr>
        <w:footnoteRef/>
      </w:r>
      <w:r w:rsidRPr="001861FA">
        <w:rPr>
          <w:rFonts w:ascii="Verdana" w:hAnsi="Verdana" w:cs="Arial"/>
          <w:color w:val="000000" w:themeColor="text1"/>
          <w:sz w:val="16"/>
          <w:szCs w:val="16"/>
        </w:rPr>
        <w:t xml:space="preserve"> Decreto 1082,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 w:id="20">
    <w:p w14:paraId="69F73396" w14:textId="77777777" w:rsidR="001A4A08" w:rsidRPr="001861FA" w:rsidRDefault="001A4A08" w:rsidP="001A4A08">
      <w:pPr>
        <w:pStyle w:val="Textonotapie"/>
        <w:ind w:firstLine="708"/>
        <w:jc w:val="both"/>
        <w:rPr>
          <w:rFonts w:ascii="Verdana" w:hAnsi="Verdana" w:cs="Arial"/>
          <w:color w:val="000000"/>
          <w:sz w:val="16"/>
          <w:szCs w:val="16"/>
        </w:rPr>
      </w:pPr>
      <w:r w:rsidRPr="001861FA">
        <w:rPr>
          <w:rStyle w:val="Refdenotaalpie"/>
          <w:rFonts w:ascii="Verdana" w:hAnsi="Verdana" w:cs="Arial"/>
          <w:color w:val="000000"/>
          <w:sz w:val="16"/>
          <w:szCs w:val="16"/>
        </w:rPr>
        <w:footnoteRef/>
      </w:r>
      <w:r w:rsidRPr="001861FA">
        <w:rPr>
          <w:rFonts w:ascii="Verdana" w:hAnsi="Verdana" w:cs="Arial"/>
          <w:color w:val="000000"/>
          <w:sz w:val="16"/>
          <w:szCs w:val="16"/>
        </w:rPr>
        <w:t xml:space="preserve"> “Artículo 3o. Competencias del nivel nacional y territorial. El servicio público esencial se prestará con fundamento en los principios de subsidiariedad, coordinación y concurrencia, en cumplimiento de lo dispuesto en el artículo 288 de la Constitución.</w:t>
      </w:r>
    </w:p>
    <w:p w14:paraId="4B8301B2" w14:textId="77777777" w:rsidR="001A4A08" w:rsidRPr="001861FA" w:rsidRDefault="001A4A08" w:rsidP="001A4A08">
      <w:pPr>
        <w:pStyle w:val="Textonotapie"/>
        <w:ind w:firstLine="708"/>
        <w:jc w:val="both"/>
        <w:rPr>
          <w:rFonts w:ascii="Verdana" w:hAnsi="Verdana" w:cs="Arial"/>
          <w:color w:val="000000"/>
          <w:sz w:val="16"/>
          <w:szCs w:val="16"/>
        </w:rPr>
      </w:pPr>
      <w:r w:rsidRPr="001861FA">
        <w:rPr>
          <w:rFonts w:ascii="Verdana" w:hAnsi="Verdana" w:cs="Arial"/>
          <w:color w:val="000000"/>
          <w:sz w:val="16"/>
          <w:szCs w:val="16"/>
        </w:rPr>
        <w:t>[…]</w:t>
      </w:r>
    </w:p>
    <w:p w14:paraId="7BE4DB55" w14:textId="77777777" w:rsidR="001A4A08" w:rsidRPr="001861FA" w:rsidRDefault="001A4A08" w:rsidP="001A4A08">
      <w:pPr>
        <w:pStyle w:val="Textonotapie"/>
        <w:ind w:firstLine="708"/>
        <w:jc w:val="both"/>
        <w:rPr>
          <w:rFonts w:ascii="Verdana" w:hAnsi="Verdana" w:cs="Arial"/>
          <w:color w:val="000000"/>
          <w:sz w:val="16"/>
          <w:szCs w:val="16"/>
        </w:rPr>
      </w:pPr>
      <w:r w:rsidRPr="001861FA">
        <w:rPr>
          <w:rFonts w:ascii="Verdana" w:hAnsi="Verdana" w:cs="Arial"/>
          <w:color w:val="000000"/>
          <w:sz w:val="16"/>
          <w:szCs w:val="16"/>
        </w:rPr>
        <w:t xml:space="preserve">Es obligación de los distritos, con asiento en su respectiva jurisdicción y de los municipios la prestación del servicio público esencial a través de los cuerpos de bomberos oficiales o </w:t>
      </w:r>
      <w:r w:rsidRPr="001861FA">
        <w:rPr>
          <w:rFonts w:ascii="Verdana" w:hAnsi="Verdana" w:cs="Arial"/>
          <w:i/>
          <w:color w:val="000000"/>
          <w:sz w:val="16"/>
          <w:szCs w:val="16"/>
        </w:rPr>
        <w:t>mediante la celebración de contratos y/o convenios con los cuerpos de bomberos voluntarios</w:t>
      </w:r>
      <w:r w:rsidRPr="001861FA">
        <w:rPr>
          <w:rFonts w:ascii="Verdana" w:hAnsi="Verdana" w:cs="Arial"/>
          <w:color w:val="000000"/>
          <w:sz w:val="16"/>
          <w:szCs w:val="16"/>
        </w:rPr>
        <w:t>. […]” [Énfasis fuera del texto].</w:t>
      </w:r>
    </w:p>
  </w:footnote>
  <w:footnote w:id="21">
    <w:p w14:paraId="15BF4BA2" w14:textId="77777777" w:rsidR="001A4A08" w:rsidRPr="001861FA" w:rsidRDefault="001A4A08" w:rsidP="001A4A08">
      <w:pPr>
        <w:pStyle w:val="Textonotapie"/>
        <w:ind w:firstLine="708"/>
        <w:jc w:val="both"/>
        <w:rPr>
          <w:rFonts w:ascii="Verdana" w:hAnsi="Verdana" w:cs="Arial"/>
          <w:color w:val="000000"/>
          <w:sz w:val="16"/>
          <w:szCs w:val="16"/>
        </w:rPr>
      </w:pPr>
      <w:r w:rsidRPr="001861FA">
        <w:rPr>
          <w:rStyle w:val="Refdenotaalpie"/>
          <w:rFonts w:ascii="Verdana" w:hAnsi="Verdana" w:cs="Arial"/>
          <w:color w:val="000000"/>
          <w:sz w:val="16"/>
          <w:szCs w:val="16"/>
        </w:rPr>
        <w:footnoteRef/>
      </w:r>
      <w:r w:rsidRPr="001861FA">
        <w:rPr>
          <w:rFonts w:ascii="Verdana" w:hAnsi="Verdana" w:cs="Arial"/>
          <w:color w:val="000000"/>
          <w:sz w:val="16"/>
          <w:szCs w:val="16"/>
        </w:rPr>
        <w:t xml:space="preserve"> “Artículo 6o. El artículo 3o de la Ley 136 de 1994 quedará así:</w:t>
      </w:r>
    </w:p>
    <w:p w14:paraId="66C55426" w14:textId="77777777" w:rsidR="001A4A08" w:rsidRPr="001861FA" w:rsidRDefault="001A4A08" w:rsidP="001A4A08">
      <w:pPr>
        <w:pStyle w:val="Textonotapie"/>
        <w:ind w:firstLine="708"/>
        <w:jc w:val="both"/>
        <w:rPr>
          <w:rFonts w:ascii="Verdana" w:hAnsi="Verdana" w:cs="Arial"/>
          <w:color w:val="000000"/>
          <w:sz w:val="16"/>
          <w:szCs w:val="16"/>
        </w:rPr>
      </w:pPr>
      <w:r w:rsidRPr="001861FA">
        <w:rPr>
          <w:rFonts w:ascii="Verdana" w:hAnsi="Verdana" w:cs="Arial"/>
          <w:color w:val="000000"/>
          <w:sz w:val="16"/>
          <w:szCs w:val="16"/>
        </w:rPr>
        <w:t>Artículo 3o. Funciones de los municipios. Corresponde al municipio:</w:t>
      </w:r>
    </w:p>
    <w:p w14:paraId="3B3A2EE4" w14:textId="77777777" w:rsidR="001A4A08" w:rsidRPr="001861FA" w:rsidRDefault="001A4A08" w:rsidP="001A4A08">
      <w:pPr>
        <w:pStyle w:val="Textonotapie"/>
        <w:ind w:firstLine="708"/>
        <w:jc w:val="both"/>
        <w:rPr>
          <w:rFonts w:ascii="Verdana" w:hAnsi="Verdana" w:cs="Arial"/>
          <w:color w:val="000000"/>
          <w:sz w:val="16"/>
          <w:szCs w:val="16"/>
        </w:rPr>
      </w:pPr>
      <w:r w:rsidRPr="001861FA">
        <w:rPr>
          <w:rFonts w:ascii="Verdana" w:hAnsi="Verdana" w:cs="Arial"/>
          <w:color w:val="000000"/>
          <w:sz w:val="16"/>
          <w:szCs w:val="16"/>
        </w:rPr>
        <w:t>[…]</w:t>
      </w:r>
    </w:p>
    <w:p w14:paraId="4225A8AF" w14:textId="77777777" w:rsidR="001A4A08" w:rsidRPr="001861FA" w:rsidRDefault="001A4A08" w:rsidP="001A4A08">
      <w:pPr>
        <w:pStyle w:val="Textonotapie"/>
        <w:ind w:firstLine="708"/>
        <w:jc w:val="both"/>
        <w:rPr>
          <w:rFonts w:ascii="Verdana" w:hAnsi="Verdana" w:cs="Arial"/>
          <w:color w:val="000000"/>
          <w:sz w:val="16"/>
          <w:szCs w:val="16"/>
        </w:rPr>
      </w:pPr>
      <w:r w:rsidRPr="001861FA">
        <w:rPr>
          <w:rFonts w:ascii="Verdana" w:hAnsi="Verdana" w:cs="Arial"/>
          <w:color w:val="000000"/>
          <w:sz w:val="16"/>
          <w:szCs w:val="16"/>
        </w:rPr>
        <w:t>16. En concordancia con lo establecido en el artículo 355 de la Constitución Política, los municipios y distritos podrán celebrar convenios solidarios con: los cabildos, las autoridades y organizaciones indígenas, los organismos de acción comunal y demás organizaciones civiles y asociaciones residentes en el territorio, para el desarrollo conjunto de programas y actividades establecidas por la Ley a los municipios y distritos, acorde con sus planes de desarrollo”.</w:t>
      </w:r>
    </w:p>
  </w:footnote>
  <w:footnote w:id="22">
    <w:p w14:paraId="39C522D5" w14:textId="77777777" w:rsidR="001A4A08" w:rsidRPr="001861FA" w:rsidRDefault="001A4A08" w:rsidP="001A4A08">
      <w:pPr>
        <w:pStyle w:val="Textonotapie"/>
        <w:ind w:firstLine="708"/>
        <w:jc w:val="both"/>
        <w:rPr>
          <w:rFonts w:ascii="Verdana" w:hAnsi="Verdana" w:cs="Arial"/>
          <w:sz w:val="16"/>
          <w:szCs w:val="16"/>
        </w:rPr>
      </w:pPr>
      <w:r w:rsidRPr="001861FA">
        <w:rPr>
          <w:rStyle w:val="Refdenotaalpie"/>
          <w:rFonts w:ascii="Verdana" w:hAnsi="Verdana" w:cs="Arial"/>
          <w:sz w:val="16"/>
          <w:szCs w:val="16"/>
        </w:rPr>
        <w:footnoteRef/>
      </w:r>
      <w:r w:rsidRPr="001861FA">
        <w:rPr>
          <w:rFonts w:ascii="Verdana" w:hAnsi="Verdana" w:cs="Arial"/>
          <w:sz w:val="16"/>
          <w:szCs w:val="16"/>
        </w:rPr>
        <w:t xml:space="preserve"> La nueva versión de la circular se encuentra en el siguiente enlace: </w:t>
      </w:r>
      <w:hyperlink r:id="rId1" w:history="1">
        <w:r w:rsidRPr="001861FA">
          <w:rPr>
            <w:rStyle w:val="Hipervnculo"/>
            <w:rFonts w:ascii="Verdana" w:hAnsi="Verdana" w:cs="Arial"/>
            <w:sz w:val="16"/>
            <w:szCs w:val="16"/>
          </w:rPr>
          <w:t>https://www.colombiacompra.gov.co/sites/cce_public/files/cce_circulares/circular_externa_unica_version_3_vf49.pdf</w:t>
        </w:r>
      </w:hyperlink>
      <w:r w:rsidRPr="001861FA">
        <w:rPr>
          <w:rFonts w:ascii="Verdana" w:hAnsi="Verdana" w:cs="Arial"/>
          <w:sz w:val="16"/>
          <w:szCs w:val="16"/>
        </w:rPr>
        <w:t xml:space="preserve">.  </w:t>
      </w:r>
    </w:p>
  </w:footnote>
  <w:footnote w:id="23">
    <w:p w14:paraId="5AD61660" w14:textId="77777777" w:rsidR="001A4A08" w:rsidRPr="001861FA" w:rsidRDefault="001A4A08" w:rsidP="001A4A08">
      <w:pPr>
        <w:pStyle w:val="Textonotapie"/>
        <w:ind w:firstLine="708"/>
        <w:jc w:val="both"/>
        <w:rPr>
          <w:rFonts w:ascii="Verdana" w:hAnsi="Verdana" w:cs="Arial"/>
          <w:color w:val="000000"/>
          <w:sz w:val="16"/>
          <w:szCs w:val="16"/>
        </w:rPr>
      </w:pPr>
      <w:r w:rsidRPr="001861FA">
        <w:rPr>
          <w:rStyle w:val="Refdenotaalpie"/>
          <w:rFonts w:ascii="Verdana" w:hAnsi="Verdana" w:cs="Arial"/>
          <w:color w:val="000000"/>
          <w:sz w:val="16"/>
          <w:szCs w:val="16"/>
        </w:rPr>
        <w:footnoteRef/>
      </w:r>
      <w:r w:rsidRPr="001861FA">
        <w:rPr>
          <w:rFonts w:ascii="Verdana" w:hAnsi="Verdana" w:cs="Arial"/>
          <w:color w:val="000000"/>
          <w:sz w:val="16"/>
          <w:szCs w:val="16"/>
        </w:rPr>
        <w:t xml:space="preserve"> Estas normas hacen parte de los antecedentes legislativos de la norma en comento, así como también la Ley 48 </w:t>
      </w:r>
      <w:r>
        <w:rPr>
          <w:rFonts w:ascii="Verdana" w:hAnsi="Verdana" w:cs="Arial"/>
          <w:color w:val="000000"/>
          <w:sz w:val="16"/>
          <w:szCs w:val="16"/>
        </w:rPr>
        <w:t xml:space="preserve">de </w:t>
      </w:r>
      <w:r w:rsidRPr="001861FA">
        <w:rPr>
          <w:rFonts w:ascii="Verdana" w:hAnsi="Verdana" w:cs="Arial"/>
          <w:color w:val="000000"/>
          <w:sz w:val="16"/>
          <w:szCs w:val="16"/>
        </w:rPr>
        <w:t>1986.</w:t>
      </w:r>
    </w:p>
  </w:footnote>
  <w:footnote w:id="24">
    <w:p w14:paraId="62254846" w14:textId="77777777" w:rsidR="001A4A08" w:rsidRPr="001861FA" w:rsidRDefault="001A4A08" w:rsidP="001A4A08">
      <w:pPr>
        <w:pStyle w:val="Textonotapie"/>
        <w:ind w:firstLine="708"/>
        <w:rPr>
          <w:rFonts w:ascii="Verdana" w:hAnsi="Verdana"/>
          <w:sz w:val="16"/>
          <w:szCs w:val="16"/>
        </w:rPr>
      </w:pPr>
      <w:r w:rsidRPr="001861FA">
        <w:rPr>
          <w:rStyle w:val="Refdenotaalpie"/>
          <w:rFonts w:ascii="Verdana" w:hAnsi="Verdana"/>
          <w:sz w:val="16"/>
          <w:szCs w:val="16"/>
        </w:rPr>
        <w:footnoteRef/>
      </w:r>
      <w:r w:rsidRPr="001861FA">
        <w:rPr>
          <w:rFonts w:ascii="Verdana" w:hAnsi="Verdana"/>
          <w:sz w:val="16"/>
          <w:szCs w:val="16"/>
        </w:rPr>
        <w:t xml:space="preserve"> Agencia Nacional de Contratación Pública – Colombia Compra Eficiente. Concepto C-078 del 25 de abril de 2023</w:t>
      </w:r>
    </w:p>
  </w:footnote>
  <w:footnote w:id="25">
    <w:p w14:paraId="4B5298BE" w14:textId="77777777" w:rsidR="001A4A08" w:rsidRPr="001861FA" w:rsidRDefault="001A4A08" w:rsidP="001A4A08">
      <w:pPr>
        <w:pStyle w:val="Textonotapie"/>
        <w:ind w:firstLine="708"/>
        <w:rPr>
          <w:rFonts w:ascii="Verdana" w:hAnsi="Verdana"/>
          <w:sz w:val="16"/>
          <w:szCs w:val="16"/>
          <w:lang w:val="es-ES"/>
        </w:rPr>
      </w:pPr>
      <w:r w:rsidRPr="001861FA">
        <w:rPr>
          <w:rStyle w:val="Refdenotaalpie"/>
          <w:rFonts w:ascii="Verdana" w:hAnsi="Verdana"/>
          <w:sz w:val="16"/>
          <w:szCs w:val="16"/>
        </w:rPr>
        <w:footnoteRef/>
      </w:r>
      <w:r w:rsidRPr="001861FA">
        <w:rPr>
          <w:rFonts w:ascii="Verdana" w:hAnsi="Verdana"/>
          <w:sz w:val="16"/>
          <w:szCs w:val="16"/>
        </w:rPr>
        <w:t xml:space="preserve"> </w:t>
      </w:r>
      <w:r w:rsidRPr="001861FA">
        <w:rPr>
          <w:rFonts w:ascii="Verdana" w:hAnsi="Verdana"/>
          <w:sz w:val="16"/>
          <w:szCs w:val="16"/>
          <w:lang w:val="es-ES"/>
        </w:rPr>
        <w:t>Artículo 1 Decreto 092 de 2017.</w:t>
      </w:r>
    </w:p>
  </w:footnote>
  <w:footnote w:id="26">
    <w:p w14:paraId="3ABA9FC5" w14:textId="77777777" w:rsidR="001A4A08" w:rsidRPr="001861FA" w:rsidRDefault="001A4A08" w:rsidP="001A4A08">
      <w:pPr>
        <w:pStyle w:val="Textonotapie"/>
        <w:ind w:firstLine="708"/>
        <w:rPr>
          <w:rFonts w:ascii="Verdana" w:hAnsi="Verdana"/>
          <w:sz w:val="16"/>
          <w:szCs w:val="16"/>
        </w:rPr>
      </w:pPr>
      <w:r w:rsidRPr="001861FA">
        <w:rPr>
          <w:rStyle w:val="Refdenotaalpie"/>
          <w:rFonts w:ascii="Verdana" w:hAnsi="Verdana"/>
          <w:sz w:val="16"/>
          <w:szCs w:val="16"/>
        </w:rPr>
        <w:footnoteRef/>
      </w:r>
      <w:r w:rsidRPr="001861FA">
        <w:rPr>
          <w:rFonts w:ascii="Verdana" w:hAnsi="Verdana"/>
          <w:sz w:val="16"/>
          <w:szCs w:val="16"/>
        </w:rPr>
        <w:t xml:space="preserve"> Agencia Nacional de Contratación Pública – Colombia Compra Eficiente. Concepto C-078 del 25 de abril de 2023.</w:t>
      </w:r>
    </w:p>
  </w:footnote>
  <w:footnote w:id="27">
    <w:p w14:paraId="24900DE1" w14:textId="77777777" w:rsidR="001A4A08" w:rsidRPr="001861FA" w:rsidRDefault="001A4A08" w:rsidP="001A4A08">
      <w:pPr>
        <w:spacing w:after="0" w:line="240" w:lineRule="auto"/>
        <w:ind w:firstLine="708"/>
        <w:jc w:val="both"/>
        <w:rPr>
          <w:rFonts w:ascii="Verdana" w:eastAsia="Calibri" w:hAnsi="Verdana" w:cs="Arial"/>
          <w:color w:val="000000"/>
          <w:sz w:val="16"/>
          <w:szCs w:val="16"/>
        </w:rPr>
      </w:pPr>
      <w:r w:rsidRPr="001861FA">
        <w:rPr>
          <w:rStyle w:val="Refdenotaalpie"/>
          <w:rFonts w:ascii="Verdana" w:hAnsi="Verdana"/>
          <w:sz w:val="16"/>
          <w:szCs w:val="16"/>
        </w:rPr>
        <w:footnoteRef/>
      </w:r>
      <w:r w:rsidRPr="001861FA">
        <w:rPr>
          <w:rFonts w:ascii="Verdana" w:hAnsi="Verdana"/>
          <w:sz w:val="16"/>
          <w:szCs w:val="16"/>
        </w:rPr>
        <w:t xml:space="preserve"> Ley 80 de 1993. “</w:t>
      </w:r>
      <w:r w:rsidRPr="001861FA">
        <w:rPr>
          <w:rFonts w:ascii="Verdana" w:eastAsia="Calibri" w:hAnsi="Verdana" w:cs="Arial"/>
          <w:color w:val="000000"/>
          <w:sz w:val="16"/>
          <w:szCs w:val="16"/>
        </w:rPr>
        <w:t xml:space="preserve">Artículo 1o. Del objeto. La presente ley tiene por objeto disponer las </w:t>
      </w:r>
      <w:r w:rsidRPr="001861FA">
        <w:rPr>
          <w:rFonts w:ascii="Verdana" w:eastAsia="Calibri" w:hAnsi="Verdana" w:cs="Arial"/>
          <w:i/>
          <w:color w:val="000000"/>
          <w:sz w:val="16"/>
          <w:szCs w:val="16"/>
        </w:rPr>
        <w:t>reglas y principios que rigen los contratos de las entidades estatales”</w:t>
      </w:r>
      <w:r w:rsidRPr="001861FA">
        <w:rPr>
          <w:rFonts w:ascii="Verdana" w:eastAsia="Calibri" w:hAnsi="Verdana" w:cs="Arial"/>
          <w:color w:val="000000"/>
          <w:sz w:val="16"/>
          <w:szCs w:val="16"/>
        </w:rPr>
        <w:t>.</w:t>
      </w:r>
    </w:p>
    <w:p w14:paraId="457124E3" w14:textId="77777777" w:rsidR="001A4A08" w:rsidRPr="001861FA" w:rsidRDefault="001A4A08" w:rsidP="001A4A08">
      <w:pPr>
        <w:spacing w:after="0" w:line="240" w:lineRule="auto"/>
        <w:ind w:firstLine="708"/>
        <w:jc w:val="both"/>
        <w:rPr>
          <w:rFonts w:ascii="Verdana" w:eastAsia="Calibri" w:hAnsi="Verdana" w:cs="Arial"/>
          <w:color w:val="000000"/>
          <w:sz w:val="16"/>
          <w:szCs w:val="16"/>
        </w:rPr>
      </w:pPr>
      <w:r w:rsidRPr="001861FA">
        <w:rPr>
          <w:rFonts w:ascii="Verdana" w:eastAsia="Calibri" w:hAnsi="Verdana" w:cs="Arial"/>
          <w:color w:val="000000"/>
          <w:sz w:val="16"/>
          <w:szCs w:val="16"/>
        </w:rPr>
        <w:t>“Artículo 2o. De la definición de Entidades, Servidores y Servicios Públicos. Para los solos efectos de esta ley:</w:t>
      </w:r>
    </w:p>
    <w:p w14:paraId="20A1027E" w14:textId="77777777" w:rsidR="001A4A08" w:rsidRPr="001861FA" w:rsidRDefault="001A4A08" w:rsidP="001A4A08">
      <w:pPr>
        <w:spacing w:after="0" w:line="240" w:lineRule="auto"/>
        <w:ind w:firstLine="708"/>
        <w:jc w:val="both"/>
        <w:rPr>
          <w:rFonts w:ascii="Verdana" w:eastAsia="Calibri" w:hAnsi="Verdana" w:cs="Arial"/>
          <w:color w:val="000000"/>
          <w:sz w:val="16"/>
          <w:szCs w:val="16"/>
        </w:rPr>
      </w:pPr>
      <w:r w:rsidRPr="001861FA">
        <w:rPr>
          <w:rFonts w:ascii="Verdana" w:eastAsia="Calibri" w:hAnsi="Verdana" w:cs="Arial"/>
          <w:color w:val="000000"/>
          <w:sz w:val="16"/>
          <w:szCs w:val="16"/>
        </w:rPr>
        <w:t xml:space="preserve">1o. </w:t>
      </w:r>
      <w:r w:rsidRPr="001861FA">
        <w:rPr>
          <w:rFonts w:ascii="Verdana" w:eastAsia="Calibri" w:hAnsi="Verdana" w:cs="Arial"/>
          <w:i/>
          <w:color w:val="000000"/>
          <w:sz w:val="16"/>
          <w:szCs w:val="16"/>
        </w:rPr>
        <w:t>Se denominan entidades estatales</w:t>
      </w:r>
      <w:r w:rsidRPr="001861FA">
        <w:rPr>
          <w:rFonts w:ascii="Verdana" w:eastAsia="Calibri" w:hAnsi="Verdana" w:cs="Arial"/>
          <w:color w:val="000000"/>
          <w:sz w:val="16"/>
          <w:szCs w:val="16"/>
        </w:rPr>
        <w:t>:</w:t>
      </w:r>
    </w:p>
    <w:p w14:paraId="5BE95012" w14:textId="77777777" w:rsidR="001A4A08" w:rsidRPr="001861FA" w:rsidRDefault="001A4A08" w:rsidP="001A4A08">
      <w:pPr>
        <w:spacing w:after="0" w:line="240" w:lineRule="auto"/>
        <w:ind w:firstLine="708"/>
        <w:jc w:val="both"/>
        <w:rPr>
          <w:rFonts w:ascii="Verdana" w:eastAsia="Calibri" w:hAnsi="Verdana" w:cs="Arial"/>
          <w:color w:val="000000"/>
          <w:sz w:val="16"/>
          <w:szCs w:val="16"/>
        </w:rPr>
      </w:pPr>
      <w:r w:rsidRPr="001861FA">
        <w:rPr>
          <w:rFonts w:ascii="Verdana" w:eastAsia="Calibri" w:hAnsi="Verdana" w:cs="Arial"/>
          <w:color w:val="000000"/>
          <w:sz w:val="16"/>
          <w:szCs w:val="16"/>
        </w:rPr>
        <w:t xml:space="preserve">a) La Nación, las regiones, </w:t>
      </w:r>
      <w:r w:rsidRPr="001861FA">
        <w:rPr>
          <w:rFonts w:ascii="Verdana" w:eastAsia="Calibri" w:hAnsi="Verdana" w:cs="Arial"/>
          <w:i/>
          <w:color w:val="000000"/>
          <w:sz w:val="16"/>
          <w:szCs w:val="16"/>
        </w:rPr>
        <w:t>los departamentos</w:t>
      </w:r>
      <w:r w:rsidRPr="001861FA">
        <w:rPr>
          <w:rFonts w:ascii="Verdana" w:eastAsia="Calibri" w:hAnsi="Verdana" w:cs="Arial"/>
          <w:color w:val="000000"/>
          <w:sz w:val="16"/>
          <w:szCs w:val="16"/>
        </w:rPr>
        <w:t xml:space="preserve">, las provincias, </w:t>
      </w:r>
      <w:r w:rsidRPr="001861FA">
        <w:rPr>
          <w:rFonts w:ascii="Verdana" w:eastAsia="Calibri" w:hAnsi="Verdana" w:cs="Arial"/>
          <w:i/>
          <w:color w:val="000000"/>
          <w:sz w:val="16"/>
          <w:szCs w:val="16"/>
        </w:rPr>
        <w:t>el distrito capital y los distritos especiales</w:t>
      </w:r>
      <w:r w:rsidRPr="001861FA">
        <w:rPr>
          <w:rFonts w:ascii="Verdana" w:eastAsia="Calibri" w:hAnsi="Verdana" w:cs="Arial"/>
          <w:color w:val="000000"/>
          <w:sz w:val="16"/>
          <w:szCs w:val="16"/>
        </w:rPr>
        <w:t xml:space="preserve">, las áreas metropolitanas, las asociaciones de municipios, los territorios indígenas y </w:t>
      </w:r>
      <w:r w:rsidRPr="001861FA">
        <w:rPr>
          <w:rFonts w:ascii="Verdana" w:eastAsia="Calibri" w:hAnsi="Verdana" w:cs="Arial"/>
          <w:i/>
          <w:color w:val="000000"/>
          <w:sz w:val="16"/>
          <w:szCs w:val="16"/>
        </w:rPr>
        <w:t>los municipios</w:t>
      </w:r>
      <w:r w:rsidRPr="001861FA">
        <w:rPr>
          <w:rFonts w:ascii="Verdana" w:eastAsia="Calibri" w:hAnsi="Verdana" w:cs="Arial"/>
          <w:color w:val="000000"/>
          <w:sz w:val="16"/>
          <w:szCs w:val="16"/>
        </w:rPr>
        <w:t>;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 (Énfasis fuera del texto).</w:t>
      </w:r>
    </w:p>
  </w:footnote>
  <w:footnote w:id="28">
    <w:p w14:paraId="20B1BA80" w14:textId="77777777" w:rsidR="001A4A08" w:rsidRPr="00B42E0C" w:rsidRDefault="001A4A08" w:rsidP="001A4A08">
      <w:pPr>
        <w:pStyle w:val="Textonotapie"/>
        <w:ind w:firstLine="708"/>
        <w:jc w:val="both"/>
        <w:rPr>
          <w:rFonts w:ascii="Verdana" w:hAnsi="Verdana" w:cs="Arial"/>
          <w:sz w:val="16"/>
          <w:szCs w:val="16"/>
        </w:rPr>
      </w:pPr>
      <w:r w:rsidRPr="001861FA">
        <w:rPr>
          <w:rStyle w:val="Refdenotaalpie"/>
          <w:rFonts w:ascii="Verdana" w:hAnsi="Verdana" w:cs="Arial"/>
          <w:sz w:val="16"/>
          <w:szCs w:val="16"/>
        </w:rPr>
        <w:footnoteRef/>
      </w:r>
      <w:r w:rsidRPr="001861FA">
        <w:rPr>
          <w:rFonts w:ascii="Verdana" w:hAnsi="Verdana" w:cs="Arial"/>
          <w:sz w:val="16"/>
          <w:szCs w:val="16"/>
        </w:rPr>
        <w:t xml:space="preserve"> Documento suscrito por la Oficina de Promoción Social del Ministerio de Salud y de la Protección Social. Documento disponible para consulta en (consultado el 13 de julio de 2020): </w:t>
      </w:r>
      <w:hyperlink r:id="rId2" w:history="1">
        <w:r w:rsidRPr="001861FA">
          <w:rPr>
            <w:rStyle w:val="Hipervnculo"/>
            <w:rFonts w:ascii="Verdana" w:hAnsi="Verdana" w:cs="Arial"/>
            <w:sz w:val="16"/>
            <w:szCs w:val="16"/>
          </w:rPr>
          <w:t>https://www.minsalud.gov.co/Documentos%20y%20Publicaciones/Alcances%20de%20la%20Ley%201276%20de%202009.pdf</w:t>
        </w:r>
      </w:hyperlink>
      <w:r w:rsidRPr="001861FA">
        <w:rPr>
          <w:rFonts w:ascii="Verdana" w:hAnsi="Verdana" w:cs="Arial"/>
          <w:sz w:val="16"/>
          <w:szCs w:val="16"/>
        </w:rPr>
        <w:t xml:space="preserve"> </w:t>
      </w:r>
    </w:p>
  </w:footnote>
  <w:footnote w:id="29">
    <w:p w14:paraId="5D4C92EB" w14:textId="77777777" w:rsidR="001A4A08" w:rsidRPr="004002C1" w:rsidRDefault="001A4A08" w:rsidP="001A4A08">
      <w:pPr>
        <w:pStyle w:val="Textonotapie"/>
        <w:ind w:firstLine="709"/>
        <w:jc w:val="both"/>
        <w:rPr>
          <w:rFonts w:ascii="Verdana" w:hAnsi="Verdana" w:cs="Arial"/>
          <w:color w:val="000000"/>
          <w:sz w:val="16"/>
          <w:szCs w:val="16"/>
        </w:rPr>
      </w:pPr>
      <w:r w:rsidRPr="001861FA">
        <w:rPr>
          <w:rStyle w:val="Refdenotaalpie"/>
          <w:rFonts w:ascii="Verdana" w:hAnsi="Verdana" w:cs="Arial"/>
          <w:color w:val="000000"/>
          <w:sz w:val="16"/>
          <w:szCs w:val="16"/>
        </w:rPr>
        <w:footnoteRef/>
      </w:r>
      <w:r w:rsidRPr="001861FA">
        <w:rPr>
          <w:rFonts w:ascii="Verdana" w:hAnsi="Verdana" w:cs="Arial"/>
          <w:color w:val="000000"/>
          <w:sz w:val="16"/>
          <w:szCs w:val="16"/>
        </w:rPr>
        <w:t xml:space="preserve"> Ley 1150 de 2007: “Artículo 2. De las modalidades de selección. La escogencia del contratista se efectuará con arreglo a las modalidades de selección de licitación pública, selección abreviada, concurso de méritos y contratación directa [...]”.</w:t>
      </w:r>
    </w:p>
  </w:footnote>
  <w:footnote w:id="30">
    <w:p w14:paraId="5DAD3A14" w14:textId="77777777" w:rsidR="001A4A08" w:rsidRPr="001861FA" w:rsidRDefault="001A4A08" w:rsidP="001A4A08">
      <w:pPr>
        <w:pStyle w:val="Textonotapie"/>
        <w:ind w:firstLine="709"/>
        <w:jc w:val="both"/>
        <w:rPr>
          <w:rFonts w:ascii="Verdana" w:hAnsi="Verdana" w:cs="Arial"/>
          <w:color w:val="000000"/>
          <w:sz w:val="16"/>
          <w:szCs w:val="16"/>
        </w:rPr>
      </w:pPr>
      <w:r w:rsidRPr="001861FA">
        <w:rPr>
          <w:rStyle w:val="Refdenotaalpie"/>
          <w:rFonts w:ascii="Verdana" w:hAnsi="Verdana" w:cs="Arial"/>
          <w:color w:val="000000"/>
          <w:sz w:val="16"/>
          <w:szCs w:val="16"/>
        </w:rPr>
        <w:footnoteRef/>
      </w:r>
      <w:r w:rsidRPr="001861FA">
        <w:rPr>
          <w:rFonts w:ascii="Verdana" w:hAnsi="Verdana" w:cs="Arial"/>
          <w:color w:val="000000"/>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599A0301" w14:textId="77777777" w:rsidR="001A4A08" w:rsidRPr="001861FA" w:rsidRDefault="001A4A08" w:rsidP="001A4A08">
      <w:pPr>
        <w:pStyle w:val="Textonotapie"/>
        <w:ind w:firstLine="709"/>
        <w:jc w:val="both"/>
        <w:rPr>
          <w:rFonts w:ascii="Verdana" w:hAnsi="Verdana" w:cs="Arial"/>
          <w:color w:val="000000"/>
          <w:sz w:val="16"/>
          <w:szCs w:val="16"/>
        </w:rPr>
      </w:pPr>
      <w:r w:rsidRPr="001861FA">
        <w:rPr>
          <w:rFonts w:ascii="Verdana" w:hAnsi="Verdana" w:cs="Arial"/>
          <w:color w:val="000000"/>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footnote>
  <w:footnote w:id="31">
    <w:p w14:paraId="0472333B" w14:textId="77777777" w:rsidR="001A4A08" w:rsidRPr="001861FA" w:rsidRDefault="001A4A08" w:rsidP="001A4A08">
      <w:pPr>
        <w:spacing w:after="0" w:line="240" w:lineRule="auto"/>
        <w:ind w:firstLine="709"/>
        <w:jc w:val="both"/>
        <w:rPr>
          <w:rFonts w:ascii="Verdana" w:hAnsi="Verdana" w:cs="Arial"/>
          <w:color w:val="000000"/>
          <w:sz w:val="16"/>
          <w:szCs w:val="16"/>
        </w:rPr>
      </w:pPr>
      <w:r w:rsidRPr="001861FA">
        <w:rPr>
          <w:rStyle w:val="Refdenotaalpie"/>
          <w:rFonts w:ascii="Verdana" w:hAnsi="Verdana" w:cs="Arial"/>
          <w:color w:val="000000"/>
          <w:sz w:val="16"/>
          <w:szCs w:val="16"/>
        </w:rPr>
        <w:footnoteRef/>
      </w:r>
      <w:r w:rsidRPr="001861FA">
        <w:rPr>
          <w:rStyle w:val="Refdenotaalpie"/>
          <w:rFonts w:ascii="Verdana" w:hAnsi="Verdana" w:cs="Arial"/>
          <w:color w:val="000000"/>
          <w:sz w:val="16"/>
          <w:szCs w:val="16"/>
        </w:rPr>
        <w:t xml:space="preserve"> </w:t>
      </w:r>
      <w:r w:rsidRPr="001861FA">
        <w:rPr>
          <w:rFonts w:ascii="Verdana" w:hAnsi="Verdana" w:cs="Arial"/>
          <w:color w:val="000000"/>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2C240732" w14:textId="77777777" w:rsidR="001A4A08" w:rsidRPr="001861FA" w:rsidRDefault="001A4A08" w:rsidP="001A4A08">
      <w:pPr>
        <w:spacing w:after="0" w:line="240" w:lineRule="auto"/>
        <w:ind w:firstLine="709"/>
        <w:jc w:val="both"/>
        <w:rPr>
          <w:rFonts w:ascii="Verdana" w:hAnsi="Verdana" w:cs="Arial"/>
          <w:color w:val="000000"/>
          <w:sz w:val="16"/>
          <w:szCs w:val="16"/>
        </w:rPr>
      </w:pPr>
    </w:p>
  </w:footnote>
  <w:footnote w:id="32">
    <w:p w14:paraId="7D34DBCE" w14:textId="77777777" w:rsidR="001A4A08" w:rsidRPr="001861FA" w:rsidRDefault="001A4A08" w:rsidP="001A4A08">
      <w:pPr>
        <w:spacing w:after="0" w:line="240" w:lineRule="auto"/>
        <w:ind w:firstLine="709"/>
        <w:jc w:val="both"/>
        <w:rPr>
          <w:rFonts w:ascii="Verdana" w:hAnsi="Verdana" w:cs="Arial"/>
          <w:color w:val="000000"/>
          <w:sz w:val="16"/>
          <w:szCs w:val="16"/>
        </w:rPr>
      </w:pPr>
      <w:r w:rsidRPr="001861FA">
        <w:rPr>
          <w:rStyle w:val="Refdenotaalpie"/>
          <w:rFonts w:ascii="Verdana" w:hAnsi="Verdana" w:cs="Arial"/>
          <w:color w:val="000000"/>
          <w:sz w:val="16"/>
          <w:szCs w:val="16"/>
        </w:rPr>
        <w:footnoteRef/>
      </w:r>
      <w:r w:rsidRPr="001861FA">
        <w:rPr>
          <w:rStyle w:val="Refdenotaalpie"/>
          <w:rFonts w:ascii="Verdana" w:hAnsi="Verdana" w:cs="Arial"/>
          <w:color w:val="000000"/>
          <w:sz w:val="16"/>
          <w:szCs w:val="16"/>
        </w:rPr>
        <w:t xml:space="preserve"> </w:t>
      </w:r>
      <w:r w:rsidRPr="001861FA">
        <w:rPr>
          <w:rFonts w:ascii="Verdana" w:hAnsi="Verdana" w:cs="Arial"/>
          <w:color w:val="000000"/>
          <w:sz w:val="16"/>
          <w:szCs w:val="16"/>
        </w:rPr>
        <w:t>Ley 1150 de 2007, artículo 2, literal 4, numeral c, modificada por el artículo 92 de la Ley 1474 de 2011.</w:t>
      </w:r>
    </w:p>
  </w:footnote>
  <w:footnote w:id="33">
    <w:p w14:paraId="6FE17B73" w14:textId="77777777" w:rsidR="001A4A08" w:rsidRPr="006C2AF4" w:rsidRDefault="001A4A08" w:rsidP="001A4A08">
      <w:pPr>
        <w:pStyle w:val="Textonotapie"/>
        <w:ind w:firstLine="708"/>
        <w:jc w:val="both"/>
        <w:rPr>
          <w:rFonts w:ascii="Verdana" w:hAnsi="Verdana" w:cs="Arial"/>
          <w:color w:val="000000"/>
          <w:sz w:val="16"/>
          <w:szCs w:val="16"/>
        </w:rPr>
      </w:pPr>
      <w:r w:rsidRPr="001861FA">
        <w:rPr>
          <w:rStyle w:val="Refdenotaalpie"/>
          <w:rFonts w:ascii="Verdana" w:hAnsi="Verdana" w:cs="Arial"/>
          <w:color w:val="000000"/>
          <w:sz w:val="16"/>
          <w:szCs w:val="16"/>
        </w:rPr>
        <w:footnoteRef/>
      </w:r>
      <w:r w:rsidRPr="001861FA">
        <w:rPr>
          <w:rFonts w:ascii="Verdana" w:hAnsi="Verdana" w:cs="Arial"/>
          <w:color w:val="000000"/>
          <w:sz w:val="16"/>
          <w:szCs w:val="16"/>
        </w:rPr>
        <w:t xml:space="preserve"> Sobre esta norma consultar los conceptos del 8 de octubre de 2019, con radicado 2201913000007532, y del 20 de diciembre de 2019, cuyo radicado es el No. 4201913000008240.</w:t>
      </w:r>
    </w:p>
  </w:footnote>
  <w:footnote w:id="34">
    <w:p w14:paraId="3849D04E" w14:textId="77777777" w:rsidR="001A4A08" w:rsidRPr="001861FA" w:rsidRDefault="001A4A08" w:rsidP="001A4A08">
      <w:pPr>
        <w:pStyle w:val="Textonotapie"/>
        <w:ind w:firstLine="708"/>
        <w:jc w:val="both"/>
        <w:rPr>
          <w:rFonts w:ascii="Verdana" w:hAnsi="Verdana" w:cs="Arial"/>
          <w:color w:val="000000"/>
          <w:sz w:val="16"/>
          <w:szCs w:val="16"/>
        </w:rPr>
      </w:pPr>
      <w:r w:rsidRPr="001861FA">
        <w:rPr>
          <w:rStyle w:val="Refdenotaalpie"/>
          <w:rFonts w:ascii="Verdana" w:hAnsi="Verdana" w:cs="Arial"/>
          <w:color w:val="000000"/>
          <w:sz w:val="16"/>
          <w:szCs w:val="16"/>
        </w:rPr>
        <w:footnoteRef/>
      </w:r>
      <w:r w:rsidRPr="001861FA">
        <w:rPr>
          <w:rFonts w:ascii="Verdana" w:hAnsi="Verdana" w:cs="Arial"/>
          <w:color w:val="000000"/>
          <w:sz w:val="16"/>
          <w:szCs w:val="16"/>
        </w:rPr>
        <w:t xml:space="preserve"> “Articulo 96. Constitución de asociaciones y fundaciones para el cumplimiento de las actividades propias de las entidades públicas con participación de particulares.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02C91EF9" w14:textId="77777777" w:rsidR="001A4A08" w:rsidRPr="001861FA" w:rsidRDefault="001A4A08" w:rsidP="001A4A08">
      <w:pPr>
        <w:pStyle w:val="Textonotapie"/>
        <w:ind w:firstLine="708"/>
        <w:jc w:val="both"/>
        <w:rPr>
          <w:rFonts w:ascii="Verdana" w:hAnsi="Verdana" w:cs="Arial"/>
          <w:color w:val="000000"/>
          <w:sz w:val="16"/>
          <w:szCs w:val="16"/>
        </w:rPr>
      </w:pPr>
      <w:r w:rsidRPr="001861FA">
        <w:rPr>
          <w:rFonts w:ascii="Verdana" w:hAnsi="Verdana" w:cs="Arial"/>
          <w:color w:val="000000"/>
          <w:sz w:val="16"/>
          <w:szCs w:val="16"/>
        </w:rPr>
        <w:t>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p w14:paraId="78B5F9BD" w14:textId="77777777" w:rsidR="001A4A08" w:rsidRPr="001861FA" w:rsidRDefault="001A4A08" w:rsidP="001A4A08">
      <w:pPr>
        <w:pStyle w:val="Textonotapie"/>
        <w:ind w:firstLine="708"/>
        <w:jc w:val="both"/>
        <w:rPr>
          <w:rFonts w:ascii="Verdana" w:hAnsi="Verdana" w:cs="Arial"/>
          <w:color w:val="000000"/>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15pt;height: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502"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1916AB3"/>
    <w:multiLevelType w:val="hybridMultilevel"/>
    <w:tmpl w:val="D61EC1E6"/>
    <w:lvl w:ilvl="0" w:tplc="73DEAA1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F016D89"/>
    <w:multiLevelType w:val="hybridMultilevel"/>
    <w:tmpl w:val="FA9CF57A"/>
    <w:lvl w:ilvl="0" w:tplc="196A4D18">
      <w:start w:val="1"/>
      <w:numFmt w:val="lowerRoman"/>
      <w:lvlText w:val="%1)"/>
      <w:lvlJc w:val="left"/>
      <w:pPr>
        <w:ind w:left="1080" w:hanging="720"/>
      </w:pPr>
      <w:rPr>
        <w:rFonts w:hint="default"/>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7"/>
  </w:num>
  <w:num w:numId="8" w16cid:durableId="152644682">
    <w:abstractNumId w:val="13"/>
  </w:num>
  <w:num w:numId="9" w16cid:durableId="1317221377">
    <w:abstractNumId w:val="9"/>
  </w:num>
  <w:num w:numId="10" w16cid:durableId="1471245386">
    <w:abstractNumId w:val="12"/>
  </w:num>
  <w:num w:numId="11" w16cid:durableId="289172385">
    <w:abstractNumId w:val="10"/>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571424827">
    <w:abstractNumId w:val="3"/>
  </w:num>
  <w:num w:numId="18" w16cid:durableId="193720178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426D"/>
    <w:rsid w:val="000C6C7A"/>
    <w:rsid w:val="000C6D57"/>
    <w:rsid w:val="000D0334"/>
    <w:rsid w:val="000D5DA7"/>
    <w:rsid w:val="000F6486"/>
    <w:rsid w:val="00116940"/>
    <w:rsid w:val="001174F7"/>
    <w:rsid w:val="00125105"/>
    <w:rsid w:val="00127233"/>
    <w:rsid w:val="00136DD7"/>
    <w:rsid w:val="0015699B"/>
    <w:rsid w:val="00177C91"/>
    <w:rsid w:val="001A33BF"/>
    <w:rsid w:val="001A4A08"/>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39A8"/>
    <w:rsid w:val="002E4FD9"/>
    <w:rsid w:val="0030657A"/>
    <w:rsid w:val="00315814"/>
    <w:rsid w:val="00322A85"/>
    <w:rsid w:val="00324168"/>
    <w:rsid w:val="00330834"/>
    <w:rsid w:val="003448F4"/>
    <w:rsid w:val="00361A0C"/>
    <w:rsid w:val="00374F5E"/>
    <w:rsid w:val="00377E3E"/>
    <w:rsid w:val="00391BB4"/>
    <w:rsid w:val="003A779E"/>
    <w:rsid w:val="003D0F4D"/>
    <w:rsid w:val="003D5B0D"/>
    <w:rsid w:val="003E0499"/>
    <w:rsid w:val="003E4F80"/>
    <w:rsid w:val="003E6439"/>
    <w:rsid w:val="003F3941"/>
    <w:rsid w:val="00403BF8"/>
    <w:rsid w:val="00406575"/>
    <w:rsid w:val="00414C74"/>
    <w:rsid w:val="0042722E"/>
    <w:rsid w:val="0044528D"/>
    <w:rsid w:val="00466E39"/>
    <w:rsid w:val="0048672E"/>
    <w:rsid w:val="004A1847"/>
    <w:rsid w:val="004A305D"/>
    <w:rsid w:val="004F21C4"/>
    <w:rsid w:val="004F685F"/>
    <w:rsid w:val="004F7AE1"/>
    <w:rsid w:val="005566E8"/>
    <w:rsid w:val="00574867"/>
    <w:rsid w:val="00583C56"/>
    <w:rsid w:val="00591460"/>
    <w:rsid w:val="005A65E0"/>
    <w:rsid w:val="005C3777"/>
    <w:rsid w:val="005C5CDC"/>
    <w:rsid w:val="005D476C"/>
    <w:rsid w:val="005D761F"/>
    <w:rsid w:val="006200BF"/>
    <w:rsid w:val="006219F8"/>
    <w:rsid w:val="006302F7"/>
    <w:rsid w:val="00646B9F"/>
    <w:rsid w:val="00665D70"/>
    <w:rsid w:val="006900D9"/>
    <w:rsid w:val="006A051D"/>
    <w:rsid w:val="006E0020"/>
    <w:rsid w:val="00706C16"/>
    <w:rsid w:val="00707A03"/>
    <w:rsid w:val="007306A4"/>
    <w:rsid w:val="007340C3"/>
    <w:rsid w:val="0074657C"/>
    <w:rsid w:val="0075235A"/>
    <w:rsid w:val="00756841"/>
    <w:rsid w:val="007603D6"/>
    <w:rsid w:val="007649AB"/>
    <w:rsid w:val="00771D0C"/>
    <w:rsid w:val="007833AC"/>
    <w:rsid w:val="007B268C"/>
    <w:rsid w:val="007B7171"/>
    <w:rsid w:val="007C0C0F"/>
    <w:rsid w:val="007C3DC2"/>
    <w:rsid w:val="007E5497"/>
    <w:rsid w:val="007F5009"/>
    <w:rsid w:val="007F54A8"/>
    <w:rsid w:val="00806F5F"/>
    <w:rsid w:val="00820249"/>
    <w:rsid w:val="00820278"/>
    <w:rsid w:val="008258C9"/>
    <w:rsid w:val="00843C50"/>
    <w:rsid w:val="00844AE9"/>
    <w:rsid w:val="00867F95"/>
    <w:rsid w:val="00882784"/>
    <w:rsid w:val="008843B6"/>
    <w:rsid w:val="00891928"/>
    <w:rsid w:val="008A446D"/>
    <w:rsid w:val="008B25F1"/>
    <w:rsid w:val="008D180B"/>
    <w:rsid w:val="008F0EA7"/>
    <w:rsid w:val="00913158"/>
    <w:rsid w:val="009142C0"/>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B2155"/>
    <w:rsid w:val="00B0029A"/>
    <w:rsid w:val="00B00C0E"/>
    <w:rsid w:val="00B01B1A"/>
    <w:rsid w:val="00B0381D"/>
    <w:rsid w:val="00B05F14"/>
    <w:rsid w:val="00B342FA"/>
    <w:rsid w:val="00B44A47"/>
    <w:rsid w:val="00B57559"/>
    <w:rsid w:val="00B702F3"/>
    <w:rsid w:val="00B72CD3"/>
    <w:rsid w:val="00B72FFF"/>
    <w:rsid w:val="00BC3D36"/>
    <w:rsid w:val="00BD54A6"/>
    <w:rsid w:val="00BD7F72"/>
    <w:rsid w:val="00BF7425"/>
    <w:rsid w:val="00C04FB3"/>
    <w:rsid w:val="00C11D8B"/>
    <w:rsid w:val="00C15139"/>
    <w:rsid w:val="00C330EB"/>
    <w:rsid w:val="00C461D6"/>
    <w:rsid w:val="00C50D69"/>
    <w:rsid w:val="00C5365C"/>
    <w:rsid w:val="00C754BE"/>
    <w:rsid w:val="00C76B1C"/>
    <w:rsid w:val="00C925AC"/>
    <w:rsid w:val="00CB6357"/>
    <w:rsid w:val="00CC1B26"/>
    <w:rsid w:val="00D361FD"/>
    <w:rsid w:val="00D40322"/>
    <w:rsid w:val="00D423A2"/>
    <w:rsid w:val="00D44E26"/>
    <w:rsid w:val="00D520D8"/>
    <w:rsid w:val="00D63AC2"/>
    <w:rsid w:val="00D7383B"/>
    <w:rsid w:val="00D7788A"/>
    <w:rsid w:val="00D82111"/>
    <w:rsid w:val="00D8450A"/>
    <w:rsid w:val="00DA231B"/>
    <w:rsid w:val="00DA6D54"/>
    <w:rsid w:val="00DC0858"/>
    <w:rsid w:val="00DC39FC"/>
    <w:rsid w:val="00DC618B"/>
    <w:rsid w:val="00DF5254"/>
    <w:rsid w:val="00E02524"/>
    <w:rsid w:val="00E04554"/>
    <w:rsid w:val="00E12A5D"/>
    <w:rsid w:val="00E16408"/>
    <w:rsid w:val="00E20894"/>
    <w:rsid w:val="00E245AB"/>
    <w:rsid w:val="00E2764C"/>
    <w:rsid w:val="00E27F2E"/>
    <w:rsid w:val="00E40D83"/>
    <w:rsid w:val="00E50AFE"/>
    <w:rsid w:val="00E75C92"/>
    <w:rsid w:val="00E771DC"/>
    <w:rsid w:val="00E8772A"/>
    <w:rsid w:val="00E90F6B"/>
    <w:rsid w:val="00E92C27"/>
    <w:rsid w:val="00EA0E3D"/>
    <w:rsid w:val="00EA2C04"/>
    <w:rsid w:val="00EA7A64"/>
    <w:rsid w:val="00EC38A7"/>
    <w:rsid w:val="00ED4112"/>
    <w:rsid w:val="00EE1AA8"/>
    <w:rsid w:val="00F23FEA"/>
    <w:rsid w:val="00F26926"/>
    <w:rsid w:val="00F27B7E"/>
    <w:rsid w:val="00F31EDC"/>
    <w:rsid w:val="00F462B3"/>
    <w:rsid w:val="00F52793"/>
    <w:rsid w:val="00F5664F"/>
    <w:rsid w:val="00F666C4"/>
    <w:rsid w:val="00F6759B"/>
    <w:rsid w:val="00F76AFC"/>
    <w:rsid w:val="00FA47C0"/>
    <w:rsid w:val="00FB5DD1"/>
    <w:rsid w:val="00FC2B5D"/>
    <w:rsid w:val="00FF1449"/>
    <w:rsid w:val="00FF7963"/>
    <w:rsid w:val="08BFA60D"/>
    <w:rsid w:val="09908A09"/>
    <w:rsid w:val="13CFC91B"/>
    <w:rsid w:val="1661268D"/>
    <w:rsid w:val="19A2EC2C"/>
    <w:rsid w:val="25858921"/>
    <w:rsid w:val="2859CA1B"/>
    <w:rsid w:val="32A4F9CF"/>
    <w:rsid w:val="356CEDFD"/>
    <w:rsid w:val="69614A15"/>
    <w:rsid w:val="72494AC0"/>
    <w:rsid w:val="7902FB9B"/>
    <w:rsid w:val="7BB183BC"/>
    <w:rsid w:val="7BE41A1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E12A5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C618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C618B"/>
    <w:rPr>
      <w:rFonts w:ascii="Geomanist Light" w:hAnsi="Geomanist Light"/>
      <w:lang w:val="es-ES"/>
    </w:rPr>
  </w:style>
  <w:style w:type="paragraph" w:styleId="Textoindependiente">
    <w:name w:val="Body Text"/>
    <w:basedOn w:val="Normal"/>
    <w:link w:val="TextoindependienteCar"/>
    <w:uiPriority w:val="99"/>
    <w:unhideWhenUsed/>
    <w:qFormat/>
    <w:rsid w:val="00DC618B"/>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DC618B"/>
    <w:rPr>
      <w:rFonts w:eastAsiaTheme="minorEastAsia"/>
      <w:lang w:eastAsia="es-CO"/>
    </w:rPr>
  </w:style>
  <w:style w:type="paragraph" w:styleId="Sinespaciado">
    <w:name w:val="No Spacing"/>
    <w:aliases w:val="No Indent"/>
    <w:uiPriority w:val="3"/>
    <w:qFormat/>
    <w:rsid w:val="00DC618B"/>
    <w:pPr>
      <w:spacing w:after="0" w:line="240" w:lineRule="auto"/>
    </w:pPr>
    <w:rPr>
      <w:sz w:val="24"/>
      <w:lang w:val="es-MX"/>
    </w:rPr>
  </w:style>
  <w:style w:type="character" w:customStyle="1" w:styleId="Ttulo1Car">
    <w:name w:val="Título 1 Car"/>
    <w:basedOn w:val="Fuentedeprrafopredeter"/>
    <w:link w:val="Ttulo1"/>
    <w:uiPriority w:val="9"/>
    <w:rsid w:val="00E12A5D"/>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zafra@procuraduria.gov.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minsalud.gov.co/Documentos%20y%20Publicaciones/Alcances%20de%20la%20Ley%201276%20de%202009.pdf" TargetMode="External"/><Relationship Id="rId1" Type="http://schemas.openxmlformats.org/officeDocument/2006/relationships/hyperlink" Target="https://www.colombiacompra.gov.co/sites/cce_public/files/cce_circulares/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D8A692F6-1F5C-4C46-95B2-DE640515DF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32</Pages>
  <Words>10554</Words>
  <Characters>58048</Characters>
  <Application>Microsoft Office Word</Application>
  <DocSecurity>0</DocSecurity>
  <Lines>483</Lines>
  <Paragraphs>136</Paragraphs>
  <ScaleCrop>false</ScaleCrop>
  <Company/>
  <LinksUpToDate>false</LinksUpToDate>
  <CharactersWithSpaces>68466</CharactersWithSpaces>
  <SharedDoc>false</SharedDoc>
  <HLinks>
    <vt:vector size="24" baseType="variant">
      <vt:variant>
        <vt:i4>7471218</vt:i4>
      </vt:variant>
      <vt:variant>
        <vt:i4>3</vt:i4>
      </vt:variant>
      <vt:variant>
        <vt:i4>0</vt:i4>
      </vt:variant>
      <vt:variant>
        <vt:i4>5</vt:i4>
      </vt:variant>
      <vt:variant>
        <vt:lpwstr>https://relatoria.colombiacompra.gov.co/busqueda/conceptos</vt:lpwstr>
      </vt:variant>
      <vt:variant>
        <vt:lpwstr/>
      </vt:variant>
      <vt:variant>
        <vt:i4>3735631</vt:i4>
      </vt:variant>
      <vt:variant>
        <vt:i4>0</vt:i4>
      </vt:variant>
      <vt:variant>
        <vt:i4>0</vt:i4>
      </vt:variant>
      <vt:variant>
        <vt:i4>5</vt:i4>
      </vt:variant>
      <vt:variant>
        <vt:lpwstr>mailto:nzafra@procuraduria.gov.co</vt:lpwstr>
      </vt:variant>
      <vt:variant>
        <vt:lpwstr/>
      </vt:variant>
      <vt:variant>
        <vt:i4>7471142</vt:i4>
      </vt:variant>
      <vt:variant>
        <vt:i4>3</vt:i4>
      </vt:variant>
      <vt:variant>
        <vt:i4>0</vt:i4>
      </vt:variant>
      <vt:variant>
        <vt:i4>5</vt:i4>
      </vt:variant>
      <vt:variant>
        <vt:lpwstr>https://www.minsalud.gov.co/Documentos y Publicaciones/Alcances de la Ley 1276 de 2009.pdf</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2025-11-25T21:41:00Z</dcterms:created>
  <dcterms:modified xsi:type="dcterms:W3CDTF">2025-11-25T21:41:00Z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