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92601" w14:textId="77777777" w:rsidR="008E55BA" w:rsidRPr="008E55BA" w:rsidRDefault="008E55BA" w:rsidP="008E55BA">
      <w:pPr>
        <w:jc w:val="both"/>
        <w:rPr>
          <w:rFonts w:ascii="Verdana" w:eastAsia="Calibri" w:hAnsi="Verdana" w:cs="Arial"/>
          <w:b/>
          <w:bCs/>
        </w:rPr>
      </w:pPr>
      <w:r w:rsidRPr="008E55BA">
        <w:rPr>
          <w:rFonts w:ascii="Verdana" w:eastAsia="Calibri" w:hAnsi="Verdana" w:cs="Arial"/>
          <w:b/>
          <w:bCs/>
        </w:rPr>
        <w:t xml:space="preserve">CÓMPUTO EXPERIENCIA PROFESIONAL – Régimen jurídico aplicable / NORMAS EXPERIENCIA PROFESIONAL – Vigencia - </w:t>
      </w:r>
      <w:r w:rsidRPr="008E55BA">
        <w:rPr>
          <w:rFonts w:ascii="Verdana" w:eastAsia="Calibri" w:hAnsi="Verdana" w:cs="Arial"/>
          <w:b/>
          <w:bCs/>
          <w:lang w:val="es-MX"/>
        </w:rPr>
        <w:t>Ley 842 de 2003 – Profesión de Ingeniería</w:t>
      </w:r>
    </w:p>
    <w:p w14:paraId="1B75C0B3" w14:textId="77777777" w:rsidR="008E55BA" w:rsidRPr="005D621F" w:rsidRDefault="008E55BA" w:rsidP="008E55BA">
      <w:pPr>
        <w:spacing w:before="120" w:after="120" w:line="276" w:lineRule="auto"/>
        <w:ind w:right="51"/>
        <w:jc w:val="both"/>
        <w:rPr>
          <w:rFonts w:ascii="Verdana" w:eastAsia="Calibri" w:hAnsi="Verdana" w:cs="Arial"/>
        </w:rPr>
      </w:pPr>
      <w:r>
        <w:rPr>
          <w:rFonts w:ascii="Verdana" w:eastAsia="Calibri" w:hAnsi="Verdana" w:cs="Arial"/>
        </w:rPr>
        <w:t>P</w:t>
      </w:r>
      <w:r w:rsidRPr="005D621F">
        <w:rPr>
          <w:rFonts w:ascii="Verdana" w:eastAsia="Calibri" w:hAnsi="Verdana" w:cs="Arial"/>
        </w:rPr>
        <w:t xml:space="preserve">ara el caso particular de la profesión de ingeniería, esta tiene como componente que, con la expedición de la Ley 842 de 2003, se </w:t>
      </w:r>
      <w:r>
        <w:rPr>
          <w:rFonts w:ascii="Verdana" w:eastAsia="Calibri" w:hAnsi="Verdana" w:cs="Arial"/>
        </w:rPr>
        <w:t>cuenta con</w:t>
      </w:r>
      <w:r w:rsidRPr="005D621F">
        <w:rPr>
          <w:rFonts w:ascii="Verdana" w:eastAsia="Calibri" w:hAnsi="Verdana" w:cs="Arial"/>
        </w:rPr>
        <w:t xml:space="preserve"> una norma de carácter especial que regula lo atinente </w:t>
      </w:r>
      <w:r w:rsidRPr="4FEDD702">
        <w:rPr>
          <w:rFonts w:ascii="Verdana" w:eastAsia="Calibri" w:hAnsi="Verdana" w:cs="Arial"/>
        </w:rPr>
        <w:t>a</w:t>
      </w:r>
      <w:r>
        <w:rPr>
          <w:rFonts w:ascii="Verdana" w:eastAsia="Calibri" w:hAnsi="Verdana" w:cs="Arial"/>
        </w:rPr>
        <w:t xml:space="preserve">l </w:t>
      </w:r>
      <w:r w:rsidRPr="005D621F">
        <w:rPr>
          <w:rFonts w:ascii="Verdana" w:eastAsia="Calibri" w:hAnsi="Verdana" w:cs="Arial"/>
        </w:rPr>
        <w:t>ejercicio</w:t>
      </w:r>
      <w:r>
        <w:rPr>
          <w:rFonts w:ascii="Verdana" w:eastAsia="Calibri" w:hAnsi="Verdana" w:cs="Arial"/>
        </w:rPr>
        <w:t xml:space="preserve"> legal de la profesión de ingeniería, </w:t>
      </w:r>
      <w:r w:rsidRPr="005D621F">
        <w:rPr>
          <w:rFonts w:ascii="Verdana" w:eastAsia="Calibri" w:hAnsi="Verdana" w:cs="Arial"/>
        </w:rPr>
        <w:t>profesiones afines y auxiliares. Dicha norma agregó un elemento que no se contemplaba en la regla general, mediante su artículo 12, el cual establece que, para el ejercicio de profesiones como la ingeniería o alguna de sus profesiones afines o auxiliares, quien las ejerza debe contar con la tarjeta o matrícula profesional correspondiente. En este orden de ideas, la experiencia profesional se debe computar, por regla especial, a partir de la fecha de expedición de la matrícula profesional o del certificado de inscripción profesional.</w:t>
      </w:r>
    </w:p>
    <w:p w14:paraId="0F6E60BB" w14:textId="77777777" w:rsidR="008E55BA" w:rsidRPr="005D621F" w:rsidRDefault="008E55BA" w:rsidP="008E55BA">
      <w:pPr>
        <w:spacing w:before="120" w:after="120" w:line="276" w:lineRule="auto"/>
        <w:ind w:right="51"/>
        <w:jc w:val="both"/>
        <w:rPr>
          <w:rFonts w:ascii="Verdana" w:eastAsia="Calibri" w:hAnsi="Verdana" w:cs="Arial"/>
        </w:rPr>
      </w:pPr>
      <w:r w:rsidRPr="005D621F">
        <w:rPr>
          <w:rFonts w:ascii="Verdana" w:eastAsia="Calibri" w:hAnsi="Verdana" w:cs="Arial"/>
        </w:rPr>
        <w:t>El mismo compendio normativo establece en el artículo 6 que, para ejercer la ingeniería y sus profesiones afines o auxiliares en el territorio nacional, es necesario estar matriculado o inscrito en el registro profesional correspondiente, el cual es expedido por el Consejo Profesional Nacional de Ingeniería (COPNIA). Este trámite requiere la presentación de la tarjeta profesional, que es el documento que acredita dicha inscripción.</w:t>
      </w:r>
    </w:p>
    <w:p w14:paraId="4CF5E9A1" w14:textId="77777777" w:rsidR="000E5FB4" w:rsidRDefault="000E5FB4" w:rsidP="005B2718">
      <w:pPr>
        <w:rPr>
          <w:rFonts w:ascii="Verdana" w:eastAsia="Calibri" w:hAnsi="Verdana" w:cs="Arial"/>
        </w:rPr>
      </w:pPr>
    </w:p>
    <w:p w14:paraId="45FC6858" w14:textId="77777777" w:rsidR="000E5FB4" w:rsidRDefault="000E5FB4" w:rsidP="005B2718">
      <w:pPr>
        <w:rPr>
          <w:rFonts w:ascii="Verdana" w:eastAsia="Calibri" w:hAnsi="Verdana" w:cs="Arial"/>
        </w:rPr>
      </w:pPr>
    </w:p>
    <w:p w14:paraId="32C4DCB4" w14:textId="77777777" w:rsidR="000E5FB4" w:rsidRDefault="000E5FB4" w:rsidP="005B2718">
      <w:pPr>
        <w:rPr>
          <w:rFonts w:ascii="Verdana" w:eastAsia="Calibri" w:hAnsi="Verdana" w:cs="Arial"/>
        </w:rPr>
      </w:pPr>
    </w:p>
    <w:p w14:paraId="36A8A574" w14:textId="77777777" w:rsidR="000E5FB4" w:rsidRDefault="000E5FB4" w:rsidP="005B2718">
      <w:pPr>
        <w:rPr>
          <w:rFonts w:ascii="Verdana" w:eastAsia="Calibri" w:hAnsi="Verdana" w:cs="Arial"/>
        </w:rPr>
      </w:pPr>
    </w:p>
    <w:p w14:paraId="7969A802" w14:textId="77777777" w:rsidR="000E5FB4" w:rsidRDefault="000E5FB4" w:rsidP="005B2718">
      <w:pPr>
        <w:rPr>
          <w:rFonts w:ascii="Verdana" w:eastAsia="Calibri" w:hAnsi="Verdana" w:cs="Arial"/>
        </w:rPr>
      </w:pPr>
    </w:p>
    <w:p w14:paraId="1322190B" w14:textId="77777777" w:rsidR="000E5FB4" w:rsidRDefault="000E5FB4" w:rsidP="005B2718">
      <w:pPr>
        <w:rPr>
          <w:rFonts w:ascii="Verdana" w:eastAsia="Calibri" w:hAnsi="Verdana" w:cs="Arial"/>
        </w:rPr>
      </w:pPr>
    </w:p>
    <w:p w14:paraId="68981735" w14:textId="77777777" w:rsidR="000E5FB4" w:rsidRDefault="000E5FB4" w:rsidP="005B2718">
      <w:pPr>
        <w:rPr>
          <w:rFonts w:ascii="Verdana" w:eastAsia="Calibri" w:hAnsi="Verdana" w:cs="Arial"/>
        </w:rPr>
      </w:pPr>
    </w:p>
    <w:p w14:paraId="1AAF06AD" w14:textId="77777777" w:rsidR="000E5FB4" w:rsidRDefault="000E5FB4" w:rsidP="005B2718">
      <w:pPr>
        <w:rPr>
          <w:rFonts w:ascii="Verdana" w:eastAsia="Calibri" w:hAnsi="Verdana" w:cs="Arial"/>
        </w:rPr>
      </w:pPr>
    </w:p>
    <w:p w14:paraId="5A4AA5D9" w14:textId="77777777" w:rsidR="000E5FB4" w:rsidRDefault="000E5FB4" w:rsidP="005B2718">
      <w:pPr>
        <w:rPr>
          <w:rFonts w:ascii="Verdana" w:eastAsia="Calibri" w:hAnsi="Verdana" w:cs="Arial"/>
        </w:rPr>
      </w:pPr>
    </w:p>
    <w:p w14:paraId="5255A768" w14:textId="77777777" w:rsidR="000E5FB4" w:rsidRDefault="000E5FB4" w:rsidP="005B2718">
      <w:pPr>
        <w:rPr>
          <w:rFonts w:ascii="Verdana" w:eastAsia="Calibri" w:hAnsi="Verdana" w:cs="Arial"/>
        </w:rPr>
      </w:pPr>
    </w:p>
    <w:p w14:paraId="26C61FB6" w14:textId="77777777" w:rsidR="000E5FB4" w:rsidRDefault="000E5FB4" w:rsidP="005B2718">
      <w:pPr>
        <w:rPr>
          <w:rFonts w:ascii="Verdana" w:eastAsia="Calibri" w:hAnsi="Verdana" w:cs="Arial"/>
        </w:rPr>
      </w:pPr>
    </w:p>
    <w:p w14:paraId="2C92E169" w14:textId="2CC83FCC" w:rsidR="005B2718" w:rsidRPr="006F44C3" w:rsidRDefault="005B2718" w:rsidP="005B2718">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w:t>
      </w:r>
      <w:r w:rsidR="000E5FB4" w:rsidRPr="00093B55">
        <w:rPr>
          <w:rFonts w:ascii="Verdana" w:eastAsia="Times New Roman" w:hAnsi="Verdana" w:cs="Arial"/>
          <w:lang w:eastAsia="es-ES_tradnl"/>
        </w:rPr>
        <w:t>, 30</w:t>
      </w:r>
      <w:r w:rsidR="000E5FB4">
        <w:rPr>
          <w:rFonts w:ascii="Verdana" w:eastAsia="Times New Roman" w:hAnsi="Verdana" w:cs="Arial"/>
          <w:lang w:eastAsia="es-ES_tradnl"/>
        </w:rPr>
        <w:t xml:space="preserve"> </w:t>
      </w:r>
      <w:r w:rsidRPr="00093B55">
        <w:rPr>
          <w:rFonts w:ascii="Verdana" w:eastAsia="Times New Roman" w:hAnsi="Verdana" w:cs="Arial"/>
          <w:lang w:eastAsia="es-ES_tradnl"/>
        </w:rPr>
        <w:t xml:space="preserve">de </w:t>
      </w:r>
      <w:r w:rsidR="000E5FB4">
        <w:rPr>
          <w:rFonts w:ascii="Verdana" w:eastAsia="Times New Roman" w:hAnsi="Verdana" w:cs="Arial"/>
          <w:lang w:eastAsia="es-ES_tradnl"/>
        </w:rPr>
        <w:t>octubre</w:t>
      </w:r>
      <w:r w:rsidRPr="00093B55">
        <w:rPr>
          <w:rFonts w:ascii="Verdana" w:eastAsia="Times New Roman" w:hAnsi="Verdana" w:cs="Arial"/>
          <w:lang w:eastAsia="es-ES_tradnl"/>
        </w:rPr>
        <w:t xml:space="preserve"> de </w:t>
      </w:r>
      <w:r w:rsidR="000E5FB4">
        <w:rPr>
          <w:rFonts w:ascii="Verdana" w:eastAsia="Times New Roman" w:hAnsi="Verdana" w:cs="Arial"/>
          <w:lang w:eastAsia="es-ES_tradnl"/>
        </w:rPr>
        <w:t>2025</w:t>
      </w:r>
    </w:p>
    <w:p w14:paraId="46DD5312" w14:textId="77777777" w:rsidR="00E26F22" w:rsidRDefault="00E26F22" w:rsidP="00E26F22">
      <w:pPr>
        <w:spacing w:after="0" w:line="240" w:lineRule="auto"/>
        <w:jc w:val="both"/>
        <w:rPr>
          <w:rFonts w:ascii="Verdana" w:eastAsia="Calibri" w:hAnsi="Verdana" w:cs="Arial"/>
          <w:color w:val="000000" w:themeColor="text1"/>
          <w:lang w:eastAsia="es-ES"/>
        </w:rPr>
      </w:pPr>
    </w:p>
    <w:p w14:paraId="0845C7E4" w14:textId="6770B3DB" w:rsidR="000E5FB4" w:rsidRPr="005B2718" w:rsidRDefault="000E5FB4" w:rsidP="000E5FB4">
      <w:pPr>
        <w:spacing w:after="0" w:line="240" w:lineRule="auto"/>
        <w:ind w:left="4956"/>
        <w:jc w:val="both"/>
        <w:rPr>
          <w:rFonts w:ascii="Verdana" w:eastAsia="Calibri" w:hAnsi="Verdana" w:cs="Arial"/>
          <w:color w:val="000000" w:themeColor="text1"/>
          <w:lang w:eastAsia="es-ES"/>
        </w:rPr>
      </w:pPr>
      <w:r w:rsidRPr="000E5FB4">
        <w:rPr>
          <w:rFonts w:ascii="Verdana" w:eastAsia="Calibri" w:hAnsi="Verdana" w:cs="Arial"/>
          <w:noProof/>
          <w:color w:val="000000" w:themeColor="text1"/>
          <w:lang w:eastAsia="es-ES"/>
        </w:rPr>
        <w:drawing>
          <wp:inline distT="0" distB="0" distL="0" distR="0" wp14:anchorId="69B0D503" wp14:editId="3FE8C8FA">
            <wp:extent cx="2905530" cy="838317"/>
            <wp:effectExtent l="0" t="0" r="0" b="0"/>
            <wp:docPr id="2212399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239970" name=""/>
                    <pic:cNvPicPr/>
                  </pic:nvPicPr>
                  <pic:blipFill>
                    <a:blip r:embed="rId11"/>
                    <a:stretch>
                      <a:fillRect/>
                    </a:stretch>
                  </pic:blipFill>
                  <pic:spPr>
                    <a:xfrm>
                      <a:off x="0" y="0"/>
                      <a:ext cx="2905530" cy="838317"/>
                    </a:xfrm>
                    <a:prstGeom prst="rect">
                      <a:avLst/>
                    </a:prstGeom>
                  </pic:spPr>
                </pic:pic>
              </a:graphicData>
            </a:graphic>
          </wp:inline>
        </w:drawing>
      </w:r>
    </w:p>
    <w:p w14:paraId="3617BC17" w14:textId="77777777" w:rsidR="00E26F22" w:rsidRPr="00E26F22" w:rsidRDefault="00E26F22" w:rsidP="00E26F22">
      <w:pPr>
        <w:spacing w:after="0" w:line="240" w:lineRule="auto"/>
        <w:jc w:val="both"/>
        <w:rPr>
          <w:rFonts w:ascii="Verdana" w:eastAsia="Calibri" w:hAnsi="Verdana" w:cs="Arial"/>
          <w:color w:val="000000" w:themeColor="text1"/>
          <w:lang w:eastAsia="es-ES"/>
        </w:rPr>
      </w:pPr>
      <w:r w:rsidRPr="00E26F22">
        <w:rPr>
          <w:rFonts w:ascii="Verdana" w:eastAsia="Calibri" w:hAnsi="Verdana" w:cs="Arial"/>
          <w:color w:val="000000" w:themeColor="text1"/>
          <w:lang w:eastAsia="es-ES"/>
        </w:rPr>
        <w:t>Señora</w:t>
      </w:r>
    </w:p>
    <w:p w14:paraId="7B4E8498" w14:textId="15D86A0B" w:rsidR="00C54099" w:rsidRPr="00123F24" w:rsidRDefault="00C54099" w:rsidP="00E26F22">
      <w:pPr>
        <w:spacing w:after="0" w:line="240" w:lineRule="auto"/>
        <w:rPr>
          <w:rFonts w:ascii="Verdana" w:eastAsia="Calibri" w:hAnsi="Verdana" w:cs="Arial"/>
          <w:b/>
          <w:color w:val="000000" w:themeColor="text1"/>
          <w:lang w:eastAsia="es-ES_tradnl"/>
        </w:rPr>
      </w:pPr>
      <w:r w:rsidRPr="00123F24">
        <w:rPr>
          <w:rFonts w:ascii="Verdana" w:eastAsia="Calibri" w:hAnsi="Verdana" w:cs="Arial"/>
          <w:b/>
          <w:color w:val="000000" w:themeColor="text1"/>
          <w:lang w:eastAsia="es-ES_tradnl"/>
        </w:rPr>
        <w:t xml:space="preserve">Jaime Javier Talero </w:t>
      </w:r>
      <w:r w:rsidR="000A5EAE" w:rsidRPr="00123F24">
        <w:rPr>
          <w:rFonts w:ascii="Verdana" w:eastAsia="Calibri" w:hAnsi="Verdana" w:cs="Arial"/>
          <w:b/>
          <w:color w:val="000000" w:themeColor="text1"/>
          <w:lang w:eastAsia="es-ES_tradnl"/>
        </w:rPr>
        <w:t>Beltrán</w:t>
      </w:r>
    </w:p>
    <w:p w14:paraId="1E999D9F" w14:textId="0BD813B6" w:rsidR="00E26F22" w:rsidRPr="00123F24" w:rsidRDefault="006A0B72" w:rsidP="00E26F22">
      <w:pPr>
        <w:spacing w:after="0" w:line="240" w:lineRule="auto"/>
        <w:rPr>
          <w:rFonts w:ascii="Verdana" w:eastAsia="Calibri" w:hAnsi="Verdana" w:cs="Arial"/>
          <w:bCs/>
          <w:color w:val="000000" w:themeColor="text1"/>
          <w:lang w:eastAsia="es-ES_tradnl"/>
        </w:rPr>
      </w:pPr>
      <w:hyperlink r:id="rId12" w:history="1">
        <w:r w:rsidR="00C54099" w:rsidRPr="00123F24">
          <w:rPr>
            <w:rStyle w:val="Hipervnculo"/>
            <w:rFonts w:ascii="Verdana" w:eastAsia="Calibri" w:hAnsi="Verdana" w:cs="Arial"/>
            <w:bCs/>
            <w:lang w:eastAsia="es-ES_tradnl"/>
          </w:rPr>
          <w:t>javiertalero@yahoo.com</w:t>
        </w:r>
      </w:hyperlink>
      <w:r w:rsidR="00C54099" w:rsidRPr="00123F24">
        <w:rPr>
          <w:rFonts w:ascii="Verdana" w:eastAsia="Calibri" w:hAnsi="Verdana" w:cs="Arial"/>
          <w:bCs/>
          <w:color w:val="000000" w:themeColor="text1"/>
          <w:lang w:eastAsia="es-ES_tradnl"/>
        </w:rPr>
        <w:t xml:space="preserve">; </w:t>
      </w:r>
      <w:r w:rsidR="00E26F22" w:rsidRPr="00123F24">
        <w:rPr>
          <w:rFonts w:ascii="Verdana" w:hAnsi="Verdana"/>
          <w:bCs/>
        </w:rPr>
        <w:t xml:space="preserve"> </w:t>
      </w:r>
    </w:p>
    <w:p w14:paraId="0640A37F" w14:textId="77777777" w:rsidR="00E26F22" w:rsidRPr="00E26F22" w:rsidRDefault="00E26F22" w:rsidP="00E26F22">
      <w:pPr>
        <w:spacing w:after="0" w:line="240" w:lineRule="auto"/>
        <w:rPr>
          <w:rFonts w:ascii="Verdana" w:eastAsia="Calibri" w:hAnsi="Verdana" w:cs="Arial"/>
          <w:b/>
          <w:bCs/>
          <w:color w:val="000000" w:themeColor="text1"/>
          <w:lang w:eastAsia="es-ES"/>
        </w:rPr>
      </w:pPr>
      <w:r w:rsidRPr="00E26F22">
        <w:rPr>
          <w:rFonts w:ascii="Verdana" w:eastAsia="Calibri" w:hAnsi="Verdana" w:cs="Arial"/>
          <w:color w:val="000000" w:themeColor="text1"/>
          <w:lang w:eastAsia="es-ES"/>
        </w:rPr>
        <w:t>Ciudad</w:t>
      </w:r>
    </w:p>
    <w:p w14:paraId="6C3623AB" w14:textId="77777777" w:rsidR="00E26F22" w:rsidRPr="00E26F22" w:rsidRDefault="00E26F22" w:rsidP="00E26F22">
      <w:pPr>
        <w:spacing w:after="0" w:line="240" w:lineRule="auto"/>
        <w:rPr>
          <w:rFonts w:ascii="Verdana" w:eastAsia="Calibri" w:hAnsi="Verdana" w:cs="Arial"/>
          <w:b/>
          <w:bCs/>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40"/>
        <w:gridCol w:w="6149"/>
      </w:tblGrid>
      <w:tr w:rsidR="00E26F22" w:rsidRPr="00115E3D" w14:paraId="22BD2829" w14:textId="77777777" w:rsidTr="4FEDD702">
        <w:trPr>
          <w:trHeight w:val="884"/>
        </w:trPr>
        <w:tc>
          <w:tcPr>
            <w:tcW w:w="2640" w:type="dxa"/>
          </w:tcPr>
          <w:p w14:paraId="7403390D" w14:textId="77777777" w:rsidR="00E26F22" w:rsidRPr="00E26F22" w:rsidRDefault="00E26F22" w:rsidP="009C6B83">
            <w:pPr>
              <w:jc w:val="both"/>
              <w:rPr>
                <w:rFonts w:ascii="Verdana" w:eastAsia="Calibri" w:hAnsi="Verdana" w:cs="Arial"/>
                <w:b/>
                <w:bCs/>
                <w:color w:val="000000" w:themeColor="text1"/>
                <w:lang w:eastAsia="es-ES_tradnl"/>
              </w:rPr>
            </w:pPr>
          </w:p>
        </w:tc>
        <w:tc>
          <w:tcPr>
            <w:tcW w:w="6149" w:type="dxa"/>
          </w:tcPr>
          <w:p w14:paraId="3AB09126" w14:textId="761775C4" w:rsidR="00E26F22" w:rsidRPr="00115E3D" w:rsidRDefault="00E26F22" w:rsidP="009C6B83">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w:t>
            </w:r>
            <w:r w:rsidR="00C54099" w:rsidRPr="00C54099">
              <w:rPr>
                <w:rFonts w:ascii="Verdana" w:eastAsia="Calibri" w:hAnsi="Verdana" w:cs="Arial"/>
                <w:b/>
                <w:bCs/>
                <w:color w:val="000000" w:themeColor="text1"/>
                <w:lang w:val="es-ES" w:eastAsia="es-ES"/>
              </w:rPr>
              <w:t>C-1469</w:t>
            </w:r>
            <w:r w:rsidRPr="00115E3D">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5</w:t>
            </w:r>
          </w:p>
        </w:tc>
      </w:tr>
      <w:tr w:rsidR="00E26F22" w:rsidRPr="00115E3D" w14:paraId="2967126B" w14:textId="77777777" w:rsidTr="4FEDD702">
        <w:trPr>
          <w:trHeight w:val="884"/>
        </w:trPr>
        <w:tc>
          <w:tcPr>
            <w:tcW w:w="2640" w:type="dxa"/>
          </w:tcPr>
          <w:p w14:paraId="4DBA8010" w14:textId="77777777" w:rsidR="00E26F22" w:rsidRPr="00E838CE" w:rsidRDefault="00E26F22" w:rsidP="009C6B83">
            <w:pPr>
              <w:jc w:val="both"/>
              <w:rPr>
                <w:rFonts w:ascii="Verdana" w:eastAsia="Calibri" w:hAnsi="Verdana" w:cs="Arial"/>
                <w:color w:val="000000" w:themeColor="text1"/>
                <w:lang w:val="es-ES_tradnl" w:eastAsia="es-ES_tradnl"/>
              </w:rPr>
            </w:pPr>
            <w:r w:rsidRPr="00E838CE">
              <w:rPr>
                <w:rFonts w:ascii="Verdana" w:eastAsia="Calibri" w:hAnsi="Verdana" w:cs="Arial"/>
                <w:b/>
                <w:color w:val="000000" w:themeColor="text1"/>
                <w:lang w:val="es-ES_tradnl" w:eastAsia="es-ES_tradnl"/>
              </w:rPr>
              <w:t>Temas:</w:t>
            </w:r>
            <w:r w:rsidRPr="00E838CE">
              <w:rPr>
                <w:rFonts w:ascii="Verdana" w:eastAsia="Calibri" w:hAnsi="Verdana" w:cs="Arial"/>
                <w:color w:val="000000" w:themeColor="text1"/>
                <w:lang w:val="es-ES_tradnl" w:eastAsia="es-ES_tradnl"/>
              </w:rPr>
              <w:t xml:space="preserve">                   </w:t>
            </w:r>
          </w:p>
        </w:tc>
        <w:tc>
          <w:tcPr>
            <w:tcW w:w="6149" w:type="dxa"/>
          </w:tcPr>
          <w:p w14:paraId="06CFD77C" w14:textId="77777777" w:rsidR="00E26F22" w:rsidRPr="00E838CE" w:rsidRDefault="00E26F22" w:rsidP="009C6B83">
            <w:pPr>
              <w:ind w:left="284"/>
              <w:jc w:val="both"/>
              <w:rPr>
                <w:rFonts w:ascii="Verdana" w:eastAsia="Calibri" w:hAnsi="Verdana" w:cs="Arial"/>
              </w:rPr>
            </w:pPr>
            <w:r w:rsidRPr="00E838CE">
              <w:rPr>
                <w:rFonts w:ascii="Verdana" w:eastAsia="Calibri" w:hAnsi="Verdana" w:cs="Arial"/>
              </w:rPr>
              <w:t xml:space="preserve">CÓMPUTO EXPERIENCIA PROFESIONAL – Régimen jurídico aplicable / NORMAS EXPERIENCIA PROFESIONAL – Vigencia - </w:t>
            </w:r>
            <w:r w:rsidRPr="00E838CE">
              <w:rPr>
                <w:rFonts w:ascii="Verdana" w:eastAsia="Calibri" w:hAnsi="Verdana" w:cs="Arial"/>
                <w:lang w:val="es-MX"/>
              </w:rPr>
              <w:t>Ley 842 de 2003 – Profesión de Ingeniería</w:t>
            </w:r>
          </w:p>
          <w:p w14:paraId="6E8A5236" w14:textId="77777777" w:rsidR="00E26F22" w:rsidRPr="00E838CE" w:rsidRDefault="00E26F22" w:rsidP="009C6B83">
            <w:pPr>
              <w:spacing w:line="276" w:lineRule="auto"/>
              <w:jc w:val="both"/>
              <w:rPr>
                <w:rFonts w:ascii="Verdana" w:eastAsia="Calibri" w:hAnsi="Verdana" w:cs="Arial"/>
                <w:color w:val="000000" w:themeColor="text1"/>
                <w:lang w:eastAsia="es-ES"/>
              </w:rPr>
            </w:pPr>
          </w:p>
          <w:p w14:paraId="4B80DB3A" w14:textId="77777777" w:rsidR="00E26F22" w:rsidRPr="00E838CE" w:rsidRDefault="00E26F22" w:rsidP="009C6B83">
            <w:pPr>
              <w:spacing w:line="276" w:lineRule="auto"/>
              <w:jc w:val="both"/>
              <w:rPr>
                <w:rFonts w:ascii="Verdana" w:eastAsia="Calibri" w:hAnsi="Verdana" w:cs="Arial"/>
                <w:color w:val="000000" w:themeColor="text1"/>
                <w:lang w:eastAsia="es-ES"/>
              </w:rPr>
            </w:pPr>
          </w:p>
        </w:tc>
      </w:tr>
      <w:tr w:rsidR="00E26F22" w:rsidRPr="00115E3D" w14:paraId="2EAA70F3" w14:textId="77777777" w:rsidTr="4FEDD702">
        <w:tc>
          <w:tcPr>
            <w:tcW w:w="2640" w:type="dxa"/>
          </w:tcPr>
          <w:p w14:paraId="723A5E3F" w14:textId="77777777" w:rsidR="00E26F22" w:rsidRPr="00115E3D" w:rsidRDefault="00E26F22" w:rsidP="009C6B83">
            <w:pPr>
              <w:jc w:val="both"/>
              <w:rPr>
                <w:rFonts w:ascii="Verdana" w:eastAsia="Calibri" w:hAnsi="Verdana" w:cs="Arial"/>
                <w:b/>
                <w:color w:val="000000" w:themeColor="text1"/>
                <w:lang w:val="es-ES_tradnl" w:eastAsia="es-ES_tradnl"/>
              </w:rPr>
            </w:pPr>
            <w:r w:rsidRPr="00115E3D">
              <w:rPr>
                <w:rFonts w:ascii="Verdana" w:eastAsia="Calibri" w:hAnsi="Verdana" w:cs="Arial"/>
                <w:b/>
                <w:color w:val="000000" w:themeColor="text1"/>
                <w:lang w:val="es-ES_tradnl" w:eastAsia="es-ES_tradnl"/>
              </w:rPr>
              <w:t>Radicación:</w:t>
            </w:r>
            <w:r w:rsidRPr="00115E3D">
              <w:rPr>
                <w:rFonts w:ascii="Verdana" w:eastAsia="Calibri" w:hAnsi="Verdana" w:cs="Arial"/>
                <w:color w:val="000000" w:themeColor="text1"/>
                <w:lang w:val="es-ES_tradnl" w:eastAsia="es-ES_tradnl"/>
              </w:rPr>
              <w:t xml:space="preserve">               </w:t>
            </w:r>
          </w:p>
        </w:tc>
        <w:tc>
          <w:tcPr>
            <w:tcW w:w="6149" w:type="dxa"/>
          </w:tcPr>
          <w:p w14:paraId="443E8CC0" w14:textId="06C6F133" w:rsidR="00E26F22" w:rsidRPr="00115E3D" w:rsidRDefault="00E26F22" w:rsidP="009C6B83">
            <w:pPr>
              <w:jc w:val="both"/>
              <w:rPr>
                <w:rFonts w:ascii="Verdana" w:eastAsia="Calibri" w:hAnsi="Verdana" w:cs="Arial"/>
                <w:color w:val="000000" w:themeColor="text1"/>
                <w:lang w:val="es-ES_tradnl" w:eastAsia="es-ES_tradnl"/>
              </w:rPr>
            </w:pPr>
            <w:r w:rsidRPr="00115E3D">
              <w:rPr>
                <w:rFonts w:ascii="Verdana" w:eastAsia="Calibri" w:hAnsi="Verdana" w:cs="Arial"/>
                <w:color w:val="000000" w:themeColor="text1"/>
                <w:lang w:val="es-ES_tradnl" w:eastAsia="es-ES_tradnl"/>
              </w:rPr>
              <w:t xml:space="preserve">Respuesta a consulta con radicado No. </w:t>
            </w:r>
            <w:r w:rsidR="00C54099" w:rsidRPr="00C54099">
              <w:rPr>
                <w:rFonts w:ascii="Verdana" w:eastAsia="Calibri" w:hAnsi="Verdana" w:cs="Arial"/>
                <w:color w:val="000000" w:themeColor="text1"/>
                <w:lang w:val="es-ES_tradnl" w:eastAsia="es-ES_tradnl"/>
              </w:rPr>
              <w:t>1_2025_10_08_011291</w:t>
            </w:r>
          </w:p>
        </w:tc>
      </w:tr>
    </w:tbl>
    <w:p w14:paraId="5BBBF3E4" w14:textId="77777777" w:rsidR="00E26F22" w:rsidRPr="00115E3D" w:rsidRDefault="00E26F22" w:rsidP="00E26F22">
      <w:pPr>
        <w:spacing w:after="0" w:line="240" w:lineRule="auto"/>
        <w:jc w:val="both"/>
        <w:rPr>
          <w:rFonts w:ascii="Verdana" w:eastAsia="Calibri" w:hAnsi="Verdana" w:cs="Arial"/>
          <w:color w:val="000000" w:themeColor="text1"/>
          <w:lang w:val="es-ES_tradnl" w:eastAsia="es-ES_tradnl"/>
        </w:rPr>
      </w:pPr>
    </w:p>
    <w:p w14:paraId="548854F5" w14:textId="77777777" w:rsidR="00E26F22" w:rsidRPr="00115E3D" w:rsidRDefault="00E26F22" w:rsidP="00E26F22">
      <w:pPr>
        <w:spacing w:after="0" w:line="240" w:lineRule="auto"/>
        <w:jc w:val="both"/>
        <w:rPr>
          <w:rFonts w:ascii="Verdana" w:eastAsia="Calibri" w:hAnsi="Verdana" w:cs="Arial"/>
          <w:color w:val="000000" w:themeColor="text1"/>
          <w:lang w:val="es-ES_tradnl" w:eastAsia="es-ES_tradnl"/>
        </w:rPr>
      </w:pPr>
    </w:p>
    <w:p w14:paraId="0D3020C3" w14:textId="7AB51D8E" w:rsidR="00E26F22" w:rsidRPr="00115E3D" w:rsidRDefault="00E26F22" w:rsidP="00E26F22">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sidR="00C54099">
        <w:rPr>
          <w:rFonts w:ascii="Verdana" w:eastAsia="Calibri" w:hAnsi="Verdana" w:cs="Arial"/>
          <w:color w:val="000000" w:themeColor="text1"/>
          <w:lang w:val="es-ES" w:eastAsia="es-ES"/>
        </w:rPr>
        <w:t>o</w:t>
      </w:r>
      <w:r>
        <w:rPr>
          <w:rFonts w:ascii="Verdana" w:eastAsia="Calibri" w:hAnsi="Verdana" w:cs="Arial"/>
          <w:color w:val="000000" w:themeColor="text1"/>
          <w:lang w:val="es-ES" w:eastAsia="es-ES"/>
        </w:rPr>
        <w:t xml:space="preserve"> señor </w:t>
      </w:r>
      <w:r w:rsidR="00C54099">
        <w:rPr>
          <w:rFonts w:ascii="Verdana" w:eastAsia="Calibri" w:hAnsi="Verdana" w:cs="Arial"/>
          <w:color w:val="000000" w:themeColor="text1"/>
          <w:lang w:val="es-ES" w:eastAsia="es-ES"/>
        </w:rPr>
        <w:t>Talero</w:t>
      </w:r>
      <w:r>
        <w:rPr>
          <w:rFonts w:ascii="Verdana" w:eastAsia="Calibri" w:hAnsi="Verdana" w:cs="Arial"/>
          <w:color w:val="000000" w:themeColor="text1"/>
          <w:lang w:val="es-ES" w:eastAsia="es-ES"/>
        </w:rPr>
        <w:t xml:space="preserve"> </w:t>
      </w:r>
      <w:r w:rsidR="00C54099">
        <w:rPr>
          <w:rFonts w:ascii="Verdana" w:eastAsia="Calibri" w:hAnsi="Verdana" w:cs="Arial"/>
          <w:color w:val="000000" w:themeColor="text1"/>
          <w:lang w:val="es-ES" w:eastAsia="es-ES"/>
        </w:rPr>
        <w:t>Beltrán</w:t>
      </w:r>
      <w:r w:rsidRPr="00115E3D">
        <w:rPr>
          <w:rFonts w:ascii="Verdana" w:eastAsia="Calibri" w:hAnsi="Verdana" w:cs="Arial"/>
          <w:color w:val="000000" w:themeColor="text1"/>
          <w:lang w:val="es-ES" w:eastAsia="es-ES"/>
        </w:rPr>
        <w:t xml:space="preserve">: </w:t>
      </w:r>
    </w:p>
    <w:p w14:paraId="0A657F95" w14:textId="77777777" w:rsidR="00E26F22" w:rsidRPr="00115E3D" w:rsidRDefault="00E26F22" w:rsidP="00E26F22">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02D43410" w14:textId="3A6DA928" w:rsidR="00E26F22" w:rsidRDefault="00E26F22" w:rsidP="00177DC8">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C54099">
        <w:rPr>
          <w:rFonts w:ascii="Verdana" w:eastAsia="Calibri" w:hAnsi="Verdana" w:cs="Arial"/>
          <w:color w:val="000000" w:themeColor="text1"/>
          <w:lang w:val="es-ES" w:eastAsia="es-ES"/>
        </w:rPr>
        <w:t>08 de octubre</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25</w:t>
      </w:r>
      <w:r w:rsidRPr="00115E3D">
        <w:rPr>
          <w:rFonts w:ascii="Verdana" w:eastAsia="Calibri" w:hAnsi="Verdana" w:cs="Arial"/>
          <w:color w:val="000000" w:themeColor="text1"/>
          <w:lang w:val="es-ES" w:eastAsia="es-ES"/>
        </w:rPr>
        <w:t xml:space="preserve">, en la cual manifiesta lo siguiente: </w:t>
      </w:r>
    </w:p>
    <w:p w14:paraId="0C492EB5" w14:textId="77777777" w:rsidR="00177DC8" w:rsidRPr="00177DC8" w:rsidRDefault="00177DC8" w:rsidP="00177DC8">
      <w:pPr>
        <w:spacing w:after="0" w:line="276" w:lineRule="auto"/>
        <w:jc w:val="both"/>
        <w:rPr>
          <w:rFonts w:ascii="Verdana" w:eastAsia="Calibri" w:hAnsi="Verdana" w:cs="Arial"/>
          <w:color w:val="000000" w:themeColor="text1"/>
          <w:lang w:val="es-ES" w:eastAsia="es-ES"/>
        </w:rPr>
      </w:pPr>
    </w:p>
    <w:p w14:paraId="060D92E2" w14:textId="15689D1B" w:rsidR="00C54099" w:rsidRPr="00C54099" w:rsidRDefault="00B47D70" w:rsidP="003E3DBA">
      <w:pPr>
        <w:spacing w:after="0" w:line="240" w:lineRule="auto"/>
        <w:ind w:left="709" w:right="709"/>
        <w:jc w:val="both"/>
        <w:rPr>
          <w:rFonts w:ascii="Verdana" w:eastAsia="Century Gothic" w:hAnsi="Verdana" w:cs="Century Gothic"/>
          <w:i/>
          <w:iCs/>
          <w:color w:val="000000" w:themeColor="text1"/>
          <w:sz w:val="20"/>
          <w:szCs w:val="20"/>
        </w:rPr>
      </w:pPr>
      <w:r w:rsidRPr="00177DC8">
        <w:rPr>
          <w:rFonts w:ascii="Verdana" w:eastAsia="Century Gothic" w:hAnsi="Verdana" w:cs="Century Gothic"/>
          <w:i/>
          <w:iCs/>
          <w:color w:val="000000" w:themeColor="text1"/>
          <w:sz w:val="20"/>
          <w:szCs w:val="20"/>
          <w:lang w:val="es-ES"/>
        </w:rPr>
        <w:t>“[</w:t>
      </w:r>
      <w:r w:rsidR="00E26F22" w:rsidRPr="00177DC8">
        <w:rPr>
          <w:rFonts w:ascii="Verdana" w:eastAsia="Century Gothic" w:hAnsi="Verdana" w:cs="Century Gothic"/>
          <w:i/>
          <w:iCs/>
          <w:color w:val="000000" w:themeColor="text1"/>
          <w:sz w:val="20"/>
          <w:szCs w:val="20"/>
          <w:lang w:val="es-ES"/>
        </w:rPr>
        <w:t>…]</w:t>
      </w:r>
      <w:r w:rsidR="00C54099" w:rsidRPr="00C54099">
        <w:rPr>
          <w:rFonts w:ascii="Verdana" w:eastAsia="Century Gothic" w:hAnsi="Verdana" w:cs="Century Gothic"/>
          <w:i/>
          <w:iCs/>
          <w:color w:val="000000" w:themeColor="text1"/>
          <w:sz w:val="20"/>
          <w:szCs w:val="20"/>
        </w:rPr>
        <w:t>Cordial saludo. La consulta versa sobre evaluación de procesos licitatorios de</w:t>
      </w:r>
      <w:r w:rsidR="00C54099">
        <w:rPr>
          <w:rFonts w:ascii="Verdana" w:eastAsia="Century Gothic" w:hAnsi="Verdana" w:cs="Century Gothic"/>
          <w:i/>
          <w:iCs/>
          <w:color w:val="000000" w:themeColor="text1"/>
          <w:sz w:val="20"/>
          <w:szCs w:val="20"/>
        </w:rPr>
        <w:t xml:space="preserve"> </w:t>
      </w:r>
      <w:r w:rsidR="00C54099" w:rsidRPr="00C54099">
        <w:rPr>
          <w:rFonts w:ascii="Verdana" w:eastAsia="Century Gothic" w:hAnsi="Verdana" w:cs="Century Gothic"/>
          <w:i/>
          <w:iCs/>
          <w:color w:val="000000" w:themeColor="text1"/>
          <w:sz w:val="20"/>
          <w:szCs w:val="20"/>
        </w:rPr>
        <w:t>entidades públicas, y es respecto de cómo se debe certificar en un proceso de</w:t>
      </w:r>
      <w:r w:rsidR="00C54099">
        <w:rPr>
          <w:rFonts w:ascii="Verdana" w:eastAsia="Century Gothic" w:hAnsi="Verdana" w:cs="Century Gothic"/>
          <w:i/>
          <w:iCs/>
          <w:color w:val="000000" w:themeColor="text1"/>
          <w:sz w:val="20"/>
          <w:szCs w:val="20"/>
        </w:rPr>
        <w:t xml:space="preserve"> </w:t>
      </w:r>
      <w:r w:rsidR="00C54099" w:rsidRPr="00C54099">
        <w:rPr>
          <w:rFonts w:ascii="Verdana" w:eastAsia="Century Gothic" w:hAnsi="Verdana" w:cs="Century Gothic"/>
          <w:i/>
          <w:iCs/>
          <w:color w:val="000000" w:themeColor="text1"/>
          <w:sz w:val="20"/>
          <w:szCs w:val="20"/>
        </w:rPr>
        <w:t>selección la experiencia general del personal mínimo evaluable en el caso de</w:t>
      </w:r>
      <w:r w:rsidR="00C54099">
        <w:rPr>
          <w:rFonts w:ascii="Verdana" w:eastAsia="Century Gothic" w:hAnsi="Verdana" w:cs="Century Gothic"/>
          <w:i/>
          <w:iCs/>
          <w:color w:val="000000" w:themeColor="text1"/>
          <w:sz w:val="20"/>
          <w:szCs w:val="20"/>
        </w:rPr>
        <w:t xml:space="preserve"> </w:t>
      </w:r>
      <w:r w:rsidR="00C54099" w:rsidRPr="00C54099">
        <w:rPr>
          <w:rFonts w:ascii="Verdana" w:eastAsia="Century Gothic" w:hAnsi="Verdana" w:cs="Century Gothic"/>
          <w:i/>
          <w:iCs/>
          <w:color w:val="000000" w:themeColor="text1"/>
          <w:sz w:val="20"/>
          <w:szCs w:val="20"/>
        </w:rPr>
        <w:t>ingeniería civil: Como usualmente se hace, los oferentes aportamos el diploma o</w:t>
      </w:r>
      <w:r w:rsidR="00C54099">
        <w:rPr>
          <w:rFonts w:ascii="Verdana" w:eastAsia="Century Gothic" w:hAnsi="Verdana" w:cs="Century Gothic"/>
          <w:i/>
          <w:iCs/>
          <w:color w:val="000000" w:themeColor="text1"/>
          <w:sz w:val="20"/>
          <w:szCs w:val="20"/>
        </w:rPr>
        <w:t xml:space="preserve"> </w:t>
      </w:r>
      <w:r w:rsidR="00C54099" w:rsidRPr="00C54099">
        <w:rPr>
          <w:rFonts w:ascii="Verdana" w:eastAsia="Century Gothic" w:hAnsi="Verdana" w:cs="Century Gothic"/>
          <w:i/>
          <w:iCs/>
          <w:color w:val="000000" w:themeColor="text1"/>
          <w:sz w:val="20"/>
          <w:szCs w:val="20"/>
        </w:rPr>
        <w:t>acta de grado, certificado de matrícula profesional del COPNIA con fecha de</w:t>
      </w:r>
      <w:r w:rsidR="00C54099">
        <w:rPr>
          <w:rFonts w:ascii="Verdana" w:eastAsia="Century Gothic" w:hAnsi="Verdana" w:cs="Century Gothic"/>
          <w:i/>
          <w:iCs/>
          <w:color w:val="000000" w:themeColor="text1"/>
          <w:sz w:val="20"/>
          <w:szCs w:val="20"/>
        </w:rPr>
        <w:t xml:space="preserve"> </w:t>
      </w:r>
      <w:r w:rsidR="00C54099" w:rsidRPr="00C54099">
        <w:rPr>
          <w:rFonts w:ascii="Verdana" w:eastAsia="Century Gothic" w:hAnsi="Verdana" w:cs="Century Gothic"/>
          <w:i/>
          <w:iCs/>
          <w:color w:val="000000" w:themeColor="text1"/>
          <w:sz w:val="20"/>
          <w:szCs w:val="20"/>
        </w:rPr>
        <w:t>expedición de la misma y antecedentes profesionales; en nuestro entendimiento de</w:t>
      </w:r>
      <w:r w:rsidR="003E3DBA">
        <w:rPr>
          <w:rFonts w:ascii="Verdana" w:eastAsia="Century Gothic" w:hAnsi="Verdana" w:cs="Century Gothic"/>
          <w:i/>
          <w:iCs/>
          <w:color w:val="000000" w:themeColor="text1"/>
          <w:sz w:val="20"/>
          <w:szCs w:val="20"/>
        </w:rPr>
        <w:t xml:space="preserve"> </w:t>
      </w:r>
      <w:r w:rsidR="00C54099" w:rsidRPr="00C54099">
        <w:rPr>
          <w:rFonts w:ascii="Verdana" w:eastAsia="Century Gothic" w:hAnsi="Verdana" w:cs="Century Gothic"/>
          <w:i/>
          <w:iCs/>
          <w:color w:val="000000" w:themeColor="text1"/>
          <w:sz w:val="20"/>
          <w:szCs w:val="20"/>
        </w:rPr>
        <w:t xml:space="preserve">la norma </w:t>
      </w:r>
      <w:r w:rsidR="00C54099" w:rsidRPr="00C54099">
        <w:rPr>
          <w:rFonts w:ascii="Verdana" w:eastAsia="Century Gothic" w:hAnsi="Verdana" w:cs="Century Gothic"/>
          <w:i/>
          <w:iCs/>
          <w:color w:val="000000" w:themeColor="text1"/>
          <w:sz w:val="20"/>
          <w:szCs w:val="20"/>
        </w:rPr>
        <w:lastRenderedPageBreak/>
        <w:t>vigente, la experiencia general se contabiliza desde la expedición de la</w:t>
      </w:r>
      <w:r w:rsidR="00C54099">
        <w:rPr>
          <w:rFonts w:ascii="Verdana" w:eastAsia="Century Gothic" w:hAnsi="Verdana" w:cs="Century Gothic"/>
          <w:i/>
          <w:iCs/>
          <w:color w:val="000000" w:themeColor="text1"/>
          <w:sz w:val="20"/>
          <w:szCs w:val="20"/>
        </w:rPr>
        <w:t xml:space="preserve"> </w:t>
      </w:r>
      <w:r w:rsidR="00C54099" w:rsidRPr="00C54099">
        <w:rPr>
          <w:rFonts w:ascii="Verdana" w:eastAsia="Century Gothic" w:hAnsi="Verdana" w:cs="Century Gothic"/>
          <w:i/>
          <w:iCs/>
          <w:color w:val="000000" w:themeColor="text1"/>
          <w:sz w:val="20"/>
          <w:szCs w:val="20"/>
        </w:rPr>
        <w:t>matrícula profesional.</w:t>
      </w:r>
    </w:p>
    <w:p w14:paraId="5C844EF8" w14:textId="06BD15A2" w:rsidR="00E26F22" w:rsidRDefault="00C54099" w:rsidP="00C54099">
      <w:pPr>
        <w:spacing w:after="0" w:line="240" w:lineRule="auto"/>
        <w:ind w:left="709" w:right="709"/>
        <w:jc w:val="both"/>
        <w:rPr>
          <w:rFonts w:ascii="Verdana" w:eastAsia="Century Gothic" w:hAnsi="Verdana" w:cs="Century Gothic"/>
          <w:i/>
          <w:iCs/>
          <w:color w:val="000000" w:themeColor="text1"/>
          <w:sz w:val="20"/>
          <w:szCs w:val="20"/>
        </w:rPr>
      </w:pPr>
      <w:r w:rsidRPr="00C54099">
        <w:rPr>
          <w:rFonts w:ascii="Verdana" w:eastAsia="Century Gothic" w:hAnsi="Verdana" w:cs="Century Gothic"/>
          <w:i/>
          <w:iCs/>
          <w:color w:val="000000" w:themeColor="text1"/>
          <w:sz w:val="20"/>
          <w:szCs w:val="20"/>
        </w:rPr>
        <w:t>Sin embargo, la entidad indica que no es suficiente esta documentación, sino que</w:t>
      </w:r>
      <w:r>
        <w:rPr>
          <w:rFonts w:ascii="Verdana" w:eastAsia="Century Gothic" w:hAnsi="Verdana" w:cs="Century Gothic"/>
          <w:i/>
          <w:iCs/>
          <w:color w:val="000000" w:themeColor="text1"/>
          <w:sz w:val="20"/>
          <w:szCs w:val="20"/>
        </w:rPr>
        <w:t xml:space="preserve"> </w:t>
      </w:r>
      <w:r w:rsidRPr="00C54099">
        <w:rPr>
          <w:rFonts w:ascii="Verdana" w:eastAsia="Century Gothic" w:hAnsi="Verdana" w:cs="Century Gothic"/>
          <w:i/>
          <w:iCs/>
          <w:color w:val="000000" w:themeColor="text1"/>
          <w:sz w:val="20"/>
          <w:szCs w:val="20"/>
        </w:rPr>
        <w:t>debe presentar certificaciones laborales o de contratos que indique el tiempo de</w:t>
      </w:r>
      <w:r>
        <w:rPr>
          <w:rFonts w:ascii="Verdana" w:eastAsia="Century Gothic" w:hAnsi="Verdana" w:cs="Century Gothic"/>
          <w:i/>
          <w:iCs/>
          <w:color w:val="000000" w:themeColor="text1"/>
          <w:sz w:val="20"/>
          <w:szCs w:val="20"/>
        </w:rPr>
        <w:t xml:space="preserve"> </w:t>
      </w:r>
      <w:r w:rsidRPr="00C54099">
        <w:rPr>
          <w:rFonts w:ascii="Verdana" w:eastAsia="Century Gothic" w:hAnsi="Verdana" w:cs="Century Gothic"/>
          <w:i/>
          <w:iCs/>
          <w:color w:val="000000" w:themeColor="text1"/>
          <w:sz w:val="20"/>
          <w:szCs w:val="20"/>
        </w:rPr>
        <w:t>ejercicio de la profesión en cualquier área o cargo para validar la experiencia general,</w:t>
      </w:r>
      <w:r>
        <w:rPr>
          <w:rFonts w:ascii="Verdana" w:eastAsia="Century Gothic" w:hAnsi="Verdana" w:cs="Century Gothic"/>
          <w:i/>
          <w:iCs/>
          <w:color w:val="000000" w:themeColor="text1"/>
          <w:sz w:val="20"/>
          <w:szCs w:val="20"/>
        </w:rPr>
        <w:t xml:space="preserve"> </w:t>
      </w:r>
      <w:r w:rsidRPr="00C54099">
        <w:rPr>
          <w:rFonts w:ascii="Verdana" w:eastAsia="Century Gothic" w:hAnsi="Verdana" w:cs="Century Gothic"/>
          <w:i/>
          <w:iCs/>
          <w:color w:val="000000" w:themeColor="text1"/>
          <w:sz w:val="20"/>
          <w:szCs w:val="20"/>
        </w:rPr>
        <w:t>y la sumatoria del tiempo de esas certificaciones arroja el tiempo de la experiencia</w:t>
      </w:r>
      <w:r>
        <w:rPr>
          <w:rFonts w:ascii="Verdana" w:eastAsia="Century Gothic" w:hAnsi="Verdana" w:cs="Century Gothic"/>
          <w:i/>
          <w:iCs/>
          <w:color w:val="000000" w:themeColor="text1"/>
          <w:sz w:val="20"/>
          <w:szCs w:val="20"/>
        </w:rPr>
        <w:t xml:space="preserve"> </w:t>
      </w:r>
      <w:r w:rsidRPr="00C54099">
        <w:rPr>
          <w:rFonts w:ascii="Verdana" w:eastAsia="Century Gothic" w:hAnsi="Verdana" w:cs="Century Gothic"/>
          <w:i/>
          <w:iCs/>
          <w:color w:val="000000" w:themeColor="text1"/>
          <w:sz w:val="20"/>
          <w:szCs w:val="20"/>
        </w:rPr>
        <w:t xml:space="preserve">general, esto es así según la ley vigente? </w:t>
      </w:r>
      <w:r w:rsidR="00E26F22" w:rsidRPr="00177DC8">
        <w:rPr>
          <w:rFonts w:ascii="Verdana" w:eastAsia="Century Gothic" w:hAnsi="Verdana" w:cs="Century Gothic"/>
          <w:i/>
          <w:iCs/>
          <w:color w:val="000000" w:themeColor="text1"/>
          <w:sz w:val="20"/>
          <w:szCs w:val="20"/>
        </w:rPr>
        <w:t>[…]”</w:t>
      </w:r>
    </w:p>
    <w:p w14:paraId="00EB8A97" w14:textId="77777777" w:rsidR="00C54099" w:rsidRPr="00C54099" w:rsidRDefault="00C54099" w:rsidP="00C54099">
      <w:pPr>
        <w:spacing w:after="0" w:line="240" w:lineRule="auto"/>
        <w:ind w:left="709" w:right="709"/>
        <w:jc w:val="both"/>
        <w:rPr>
          <w:rFonts w:ascii="Verdana" w:eastAsia="Century Gothic" w:hAnsi="Verdana" w:cs="Century Gothic"/>
          <w:i/>
          <w:iCs/>
          <w:color w:val="000000" w:themeColor="text1"/>
          <w:sz w:val="20"/>
          <w:szCs w:val="20"/>
        </w:rPr>
      </w:pPr>
    </w:p>
    <w:p w14:paraId="5AD66ACA" w14:textId="77777777" w:rsidR="00E26F22" w:rsidRPr="00115E3D" w:rsidRDefault="00E26F22" w:rsidP="00E26F22">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6ECBBA65" w14:textId="77777777" w:rsidR="00E26F22" w:rsidRPr="00115E3D" w:rsidRDefault="00E26F22" w:rsidP="00E26F22">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18BAADEE" w14:textId="77777777" w:rsidR="00E26F22" w:rsidRPr="00115E3D" w:rsidRDefault="00E26F22" w:rsidP="00E26F22">
      <w:pPr>
        <w:spacing w:after="0" w:line="276" w:lineRule="auto"/>
        <w:ind w:firstLine="709"/>
        <w:jc w:val="both"/>
        <w:rPr>
          <w:rFonts w:ascii="Verdana" w:eastAsia="Calibri" w:hAnsi="Verdana" w:cs="Arial"/>
          <w:color w:val="000000" w:themeColor="text1"/>
          <w:lang w:val="es-ES" w:eastAsia="es-ES"/>
        </w:rPr>
      </w:pPr>
    </w:p>
    <w:p w14:paraId="4CAF330A" w14:textId="77777777" w:rsidR="00E26F22" w:rsidRPr="00115E3D" w:rsidRDefault="00E26F22" w:rsidP="00E26F2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7845ED95" w14:textId="77777777" w:rsidR="00E26F22" w:rsidRPr="00115E3D" w:rsidRDefault="00E26F22" w:rsidP="00E26F22">
      <w:pPr>
        <w:tabs>
          <w:tab w:val="left" w:pos="426"/>
        </w:tabs>
        <w:spacing w:after="0" w:line="276" w:lineRule="auto"/>
        <w:jc w:val="both"/>
        <w:rPr>
          <w:rFonts w:ascii="Verdana" w:eastAsia="Century Gothic" w:hAnsi="Verdana" w:cs="Century Gothic"/>
          <w:color w:val="000000" w:themeColor="text1"/>
          <w:lang w:val="es-ES"/>
        </w:rPr>
      </w:pPr>
    </w:p>
    <w:p w14:paraId="2DB85D00" w14:textId="57F9ECE1" w:rsidR="00E26F22" w:rsidRPr="00115E3D" w:rsidRDefault="00E26F22" w:rsidP="00E26F22">
      <w:pPr>
        <w:spacing w:after="0" w:line="276" w:lineRule="auto"/>
        <w:jc w:val="both"/>
        <w:rPr>
          <w:rFonts w:ascii="Verdana" w:eastAsia="Century Gothic" w:hAnsi="Verdana" w:cs="Century Gothic"/>
          <w:color w:val="000000" w:themeColor="text1"/>
        </w:rPr>
      </w:pPr>
      <w:r w:rsidRPr="4EF9F4AA">
        <w:rPr>
          <w:rFonts w:ascii="Verdana" w:eastAsia="Century Gothic" w:hAnsi="Verdana" w:cs="Century Gothic"/>
          <w:color w:val="000000" w:themeColor="text1"/>
        </w:rPr>
        <w:t xml:space="preserve">De acuerdo con el contenido de su solicitud, esta Agencia resolverá el siguiente problema jurídico: ¿Cómo </w:t>
      </w:r>
      <w:r w:rsidR="229E779F" w:rsidRPr="4EF9F4AA">
        <w:rPr>
          <w:rFonts w:ascii="Verdana" w:eastAsia="Century Gothic" w:hAnsi="Verdana" w:cs="Century Gothic"/>
          <w:color w:val="000000" w:themeColor="text1"/>
        </w:rPr>
        <w:t xml:space="preserve">y desde que momento </w:t>
      </w:r>
      <w:r w:rsidRPr="4EF9F4AA">
        <w:rPr>
          <w:rFonts w:ascii="Verdana" w:eastAsia="Century Gothic" w:hAnsi="Verdana" w:cs="Century Gothic"/>
          <w:color w:val="000000" w:themeColor="text1"/>
        </w:rPr>
        <w:t>debe computarse la experiencia adquirida por parte de los profesionales de la ingeniería para</w:t>
      </w:r>
      <w:r w:rsidR="00C54099">
        <w:rPr>
          <w:rFonts w:ascii="Verdana" w:eastAsia="Century Gothic" w:hAnsi="Verdana" w:cs="Century Gothic"/>
          <w:color w:val="000000" w:themeColor="text1"/>
        </w:rPr>
        <w:t xml:space="preserve"> su participación dentro de los procesos de contratación</w:t>
      </w:r>
      <w:r w:rsidRPr="4EF9F4AA">
        <w:rPr>
          <w:rFonts w:ascii="Verdana" w:eastAsia="Century Gothic" w:hAnsi="Verdana" w:cs="Century Gothic"/>
          <w:color w:val="000000" w:themeColor="text1"/>
        </w:rPr>
        <w:t>?</w:t>
      </w:r>
    </w:p>
    <w:p w14:paraId="14D483D2" w14:textId="77777777" w:rsidR="00E26F22" w:rsidRPr="00115E3D" w:rsidRDefault="00E26F22" w:rsidP="00E26F22">
      <w:pPr>
        <w:spacing w:after="0" w:line="276" w:lineRule="auto"/>
        <w:jc w:val="both"/>
        <w:rPr>
          <w:rFonts w:ascii="Verdana" w:eastAsia="Calibri" w:hAnsi="Verdana" w:cs="Arial"/>
          <w:color w:val="000000" w:themeColor="text1"/>
          <w:lang w:val="es-ES"/>
        </w:rPr>
      </w:pPr>
    </w:p>
    <w:p w14:paraId="37D1D952" w14:textId="77777777" w:rsidR="00E26F22" w:rsidRPr="00115E3D" w:rsidRDefault="00E26F22" w:rsidP="00E26F2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088AE3F4" w14:textId="77777777" w:rsidR="00E26F22" w:rsidRPr="00115E3D" w:rsidRDefault="00E26F22" w:rsidP="00E26F2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26F22" w:rsidRPr="00115E3D" w14:paraId="0AF03CBB" w14:textId="77777777" w:rsidTr="0712134E">
        <w:tc>
          <w:tcPr>
            <w:tcW w:w="8828" w:type="dxa"/>
          </w:tcPr>
          <w:p w14:paraId="368CB4FF" w14:textId="64EE7671" w:rsidR="005D621F" w:rsidRPr="005D621F" w:rsidRDefault="003E3DBA" w:rsidP="005D621F">
            <w:pPr>
              <w:spacing w:before="120" w:after="120" w:line="276" w:lineRule="auto"/>
              <w:ind w:right="51"/>
              <w:jc w:val="both"/>
              <w:rPr>
                <w:rFonts w:ascii="Verdana" w:eastAsia="Calibri" w:hAnsi="Verdana" w:cs="Arial"/>
              </w:rPr>
            </w:pPr>
            <w:r>
              <w:rPr>
                <w:rFonts w:ascii="Verdana" w:eastAsia="Calibri" w:hAnsi="Verdana" w:cs="Arial"/>
              </w:rPr>
              <w:lastRenderedPageBreak/>
              <w:t>P</w:t>
            </w:r>
            <w:r w:rsidR="005D621F" w:rsidRPr="005D621F">
              <w:rPr>
                <w:rFonts w:ascii="Verdana" w:eastAsia="Calibri" w:hAnsi="Verdana" w:cs="Arial"/>
              </w:rPr>
              <w:t xml:space="preserve">ara el caso particular de la profesión de ingeniería, esta tiene como componente que, con la expedición de la Ley 842 de 2003, se </w:t>
            </w:r>
            <w:r w:rsidR="00960A77">
              <w:rPr>
                <w:rFonts w:ascii="Verdana" w:eastAsia="Calibri" w:hAnsi="Verdana" w:cs="Arial"/>
              </w:rPr>
              <w:t>cuenta con</w:t>
            </w:r>
            <w:r w:rsidR="005D621F" w:rsidRPr="005D621F">
              <w:rPr>
                <w:rFonts w:ascii="Verdana" w:eastAsia="Calibri" w:hAnsi="Verdana" w:cs="Arial"/>
              </w:rPr>
              <w:t xml:space="preserve"> una norma de carácter especial que regula lo atinente </w:t>
            </w:r>
            <w:r w:rsidR="24089B73" w:rsidRPr="4FEDD702">
              <w:rPr>
                <w:rFonts w:ascii="Verdana" w:eastAsia="Calibri" w:hAnsi="Verdana" w:cs="Arial"/>
              </w:rPr>
              <w:t>a</w:t>
            </w:r>
            <w:r w:rsidR="007E0E21">
              <w:rPr>
                <w:rFonts w:ascii="Verdana" w:eastAsia="Calibri" w:hAnsi="Verdana" w:cs="Arial"/>
              </w:rPr>
              <w:t xml:space="preserve">l </w:t>
            </w:r>
            <w:r w:rsidR="005D621F" w:rsidRPr="005D621F">
              <w:rPr>
                <w:rFonts w:ascii="Verdana" w:eastAsia="Calibri" w:hAnsi="Verdana" w:cs="Arial"/>
              </w:rPr>
              <w:t>ejercicio</w:t>
            </w:r>
            <w:r w:rsidR="007E0E21">
              <w:rPr>
                <w:rFonts w:ascii="Verdana" w:eastAsia="Calibri" w:hAnsi="Verdana" w:cs="Arial"/>
              </w:rPr>
              <w:t xml:space="preserve"> legal de la profesión de ingeniería</w:t>
            </w:r>
            <w:r>
              <w:rPr>
                <w:rFonts w:ascii="Verdana" w:eastAsia="Calibri" w:hAnsi="Verdana" w:cs="Arial"/>
              </w:rPr>
              <w:t xml:space="preserve">, </w:t>
            </w:r>
            <w:r w:rsidR="005D621F" w:rsidRPr="005D621F">
              <w:rPr>
                <w:rFonts w:ascii="Verdana" w:eastAsia="Calibri" w:hAnsi="Verdana" w:cs="Arial"/>
              </w:rPr>
              <w:t>profesiones afines y auxiliares. Dicha norma agregó un elemento que no se contemplaba en la regla general, mediante su artículo 12, el cual establece que, para el ejercicio de profesiones como la ingeniería o alguna de sus profesiones afines o auxiliares, quien las ejerza debe contar con la tarjeta o matrícula profesional correspondiente. En este orden de ideas, la experiencia profesional se debe computar, por regla especial, a partir de la fecha de expedición de la matrícula profesional o del certificado de inscripción profesional.</w:t>
            </w:r>
          </w:p>
          <w:p w14:paraId="4F087719" w14:textId="77777777" w:rsidR="005D621F" w:rsidRPr="005D621F" w:rsidRDefault="005D621F" w:rsidP="005D621F">
            <w:pPr>
              <w:spacing w:before="120" w:after="120" w:line="276" w:lineRule="auto"/>
              <w:ind w:right="51"/>
              <w:jc w:val="both"/>
              <w:rPr>
                <w:rFonts w:ascii="Verdana" w:eastAsia="Calibri" w:hAnsi="Verdana" w:cs="Arial"/>
              </w:rPr>
            </w:pPr>
            <w:r w:rsidRPr="005D621F">
              <w:rPr>
                <w:rFonts w:ascii="Verdana" w:eastAsia="Calibri" w:hAnsi="Verdana" w:cs="Arial"/>
              </w:rPr>
              <w:t>El mismo compendio normativo establece en el artículo 6 que, para ejercer la ingeniería y sus profesiones afines o auxiliares en el territorio nacional, es necesario estar matriculado o inscrito en el registro profesional correspondiente, el cual es expedido por el Consejo Profesional Nacional de Ingeniería (COPNIA). Este trámite requiere la presentación de la tarjeta profesional, que es el documento que acredita dicha inscripción.</w:t>
            </w:r>
          </w:p>
          <w:p w14:paraId="12CDD978" w14:textId="5AD7FC30" w:rsidR="005D621F" w:rsidRPr="005D621F" w:rsidRDefault="005D621F" w:rsidP="005D621F">
            <w:pPr>
              <w:spacing w:before="120" w:after="120" w:line="276" w:lineRule="auto"/>
              <w:ind w:right="51"/>
              <w:jc w:val="both"/>
              <w:rPr>
                <w:rFonts w:ascii="Verdana" w:eastAsia="Calibri" w:hAnsi="Verdana" w:cs="Arial"/>
              </w:rPr>
            </w:pPr>
            <w:r w:rsidRPr="005D621F">
              <w:rPr>
                <w:rFonts w:ascii="Verdana" w:eastAsia="Calibri" w:hAnsi="Verdana" w:cs="Arial"/>
              </w:rPr>
              <w:t xml:space="preserve">En este sentido, esta Subdirección, haciendo un juicio valorativo de la normatividad que comprende la materia y analizando los diferentes pronunciamientos expedidos, considera que, para la </w:t>
            </w:r>
            <w:r w:rsidR="003E3DBA">
              <w:rPr>
                <w:rFonts w:ascii="Verdana" w:eastAsia="Calibri" w:hAnsi="Verdana" w:cs="Arial"/>
              </w:rPr>
              <w:t xml:space="preserve">participación en los procesos de </w:t>
            </w:r>
            <w:r w:rsidR="00123F24">
              <w:rPr>
                <w:rFonts w:ascii="Verdana" w:eastAsia="Calibri" w:hAnsi="Verdana" w:cs="Arial"/>
              </w:rPr>
              <w:t>contratación</w:t>
            </w:r>
            <w:r w:rsidR="003E3DBA">
              <w:rPr>
                <w:rFonts w:ascii="Verdana" w:eastAsia="Calibri" w:hAnsi="Verdana" w:cs="Arial"/>
              </w:rPr>
              <w:t xml:space="preserve"> que tengan relación como </w:t>
            </w:r>
            <w:r w:rsidRPr="005D621F">
              <w:rPr>
                <w:rFonts w:ascii="Verdana" w:eastAsia="Calibri" w:hAnsi="Verdana" w:cs="Arial"/>
              </w:rPr>
              <w:t>objeto el ejercicio de profesiones sujetas a regulación especial, como es el caso de las profesiones relacionadas con la ingeniería, estos deberán suscribirse conforme al mandato legal, razón por la cual no son aplicables los lineamientos generales del Decreto Ley 19 de 2012.</w:t>
            </w:r>
          </w:p>
          <w:p w14:paraId="7E1C8CD5" w14:textId="77777777" w:rsidR="005D621F" w:rsidRDefault="005D621F" w:rsidP="005D621F">
            <w:pPr>
              <w:spacing w:before="120" w:after="120" w:line="276" w:lineRule="auto"/>
              <w:ind w:right="51"/>
              <w:jc w:val="both"/>
              <w:rPr>
                <w:rFonts w:ascii="Verdana" w:eastAsia="Calibri" w:hAnsi="Verdana" w:cs="Arial"/>
              </w:rPr>
            </w:pPr>
            <w:r w:rsidRPr="005D621F">
              <w:rPr>
                <w:rFonts w:ascii="Verdana" w:eastAsia="Calibri" w:hAnsi="Verdana" w:cs="Arial"/>
              </w:rPr>
              <w:t>Sin perjuicio de lo anterior, en los casos en los que el objeto del contrato requiera el ejercicio de profesiones sujetas a regulación especial, en razón de la alta responsabilidad y el riesgo social que implica su ejercicio para la sociedad (Sentencia C-296 del 18 de abril de 2012, Magistrado Ponente: Juan Carlos Henao Pérez), como es el caso de las profesiones relacionadas con la ingeniería o alguna de sus profesiones afines o auxiliares, la Entidad Estatal debe remitirse a lo establecido en la regulación específica acerca del cómputo de la experiencia (artículo 12 de la Ley 842 de 2003).</w:t>
            </w:r>
          </w:p>
          <w:p w14:paraId="1064E836" w14:textId="77777777" w:rsidR="00123F24" w:rsidRPr="00123F24" w:rsidRDefault="00123F24" w:rsidP="00123F24">
            <w:pPr>
              <w:spacing w:before="120" w:after="120" w:line="276" w:lineRule="auto"/>
              <w:ind w:right="51"/>
              <w:jc w:val="both"/>
              <w:rPr>
                <w:rFonts w:ascii="Verdana" w:eastAsia="Calibri" w:hAnsi="Verdana" w:cs="Arial"/>
              </w:rPr>
            </w:pPr>
            <w:r w:rsidRPr="00123F24">
              <w:rPr>
                <w:rFonts w:ascii="Verdana" w:eastAsia="Calibri" w:hAnsi="Verdana" w:cs="Arial"/>
              </w:rPr>
              <w:t xml:space="preserve">De conformidad con la normativa vigente en materia de contratación estatal y con las reglas aplicables a la acreditación de experiencia profesional en el </w:t>
            </w:r>
            <w:r w:rsidRPr="00123F24">
              <w:rPr>
                <w:rFonts w:ascii="Verdana" w:eastAsia="Calibri" w:hAnsi="Verdana" w:cs="Arial"/>
              </w:rPr>
              <w:lastRenderedPageBreak/>
              <w:t>campo de la ingeniería, es importante precisar que la experiencia profesional de los ingenieros se contabiliza a partir de la fecha de expedición de la matrícula profesional emitida por el Consejo Profesional Nacional de Ingeniería – COPNIA.</w:t>
            </w:r>
          </w:p>
          <w:p w14:paraId="0A2D0F6D" w14:textId="77777777" w:rsidR="00123F24" w:rsidRPr="00123F24" w:rsidRDefault="00123F24" w:rsidP="00123F24">
            <w:pPr>
              <w:spacing w:before="120" w:after="120" w:line="276" w:lineRule="auto"/>
              <w:ind w:right="51"/>
              <w:jc w:val="both"/>
              <w:rPr>
                <w:rFonts w:ascii="Verdana" w:eastAsia="Calibri" w:hAnsi="Verdana" w:cs="Arial"/>
              </w:rPr>
            </w:pPr>
            <w:r w:rsidRPr="00123F24">
              <w:rPr>
                <w:rFonts w:ascii="Verdana" w:eastAsia="Calibri" w:hAnsi="Verdana" w:cs="Arial"/>
              </w:rPr>
              <w:t>Ahora bien, en este sentido, para que dicha experiencia pueda ser debidamente acreditada dentro de un proceso de selección, resulta razonable y ajustado a la ley que la entidad estatal solicite certificaciones laborales o contractuales que respalden el ejercicio efectivo de la profesión. Esto, en tanto que la sola tenencia del diploma, acta de grado o matrícula profesional acredita la idoneidad del profesional, pero no demuestra de manera fehaciente el tiempo durante el cual ha ejercido la profesión.</w:t>
            </w:r>
          </w:p>
          <w:p w14:paraId="7DB577B9" w14:textId="77777777" w:rsidR="00123F24" w:rsidRPr="00123F24" w:rsidRDefault="00123F24" w:rsidP="00123F24">
            <w:pPr>
              <w:spacing w:before="120" w:after="120" w:line="276" w:lineRule="auto"/>
              <w:ind w:right="51"/>
              <w:jc w:val="both"/>
              <w:rPr>
                <w:rFonts w:ascii="Verdana" w:eastAsia="Calibri" w:hAnsi="Verdana" w:cs="Arial"/>
              </w:rPr>
            </w:pPr>
            <w:r w:rsidRPr="00123F24">
              <w:rPr>
                <w:rFonts w:ascii="Verdana" w:eastAsia="Calibri" w:hAnsi="Verdana" w:cs="Arial"/>
              </w:rPr>
              <w:t>Por lo anterior, la exigencia de la entidad de aportar certificaciones laborales o de contratos resulta procedente, en la medida en que permite verificar y cuantificar el tiempo real de ejercicio profesional posterior a la expedición de la matrícula profesional, con el fin de establecer la experiencia general del personal evaluable conforme a los criterios de los pliegos de condiciones y la normativa aplicable.</w:t>
            </w:r>
          </w:p>
          <w:p w14:paraId="30B0D536" w14:textId="0C974FFE" w:rsidR="00E26F22" w:rsidRPr="00B75564" w:rsidRDefault="00B75564" w:rsidP="00123F24">
            <w:pPr>
              <w:spacing w:before="120" w:after="120" w:line="276" w:lineRule="auto"/>
              <w:ind w:right="51"/>
              <w:jc w:val="both"/>
            </w:pPr>
            <w:r w:rsidRPr="00A353DC">
              <w:rPr>
                <w:rFonts w:ascii="Verdana" w:eastAsia="Calibri" w:hAnsi="Verdana" w:cs="Arial"/>
                <w:lang w:val="es-MX"/>
              </w:rPr>
              <w:t>En todo caso,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p>
        </w:tc>
      </w:tr>
    </w:tbl>
    <w:p w14:paraId="3D5689AE" w14:textId="77777777" w:rsidR="00E26F22" w:rsidRPr="00115E3D" w:rsidRDefault="00E26F22" w:rsidP="00E26F2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BECB772" w14:textId="77777777" w:rsidR="00E26F22" w:rsidRPr="00115E3D" w:rsidRDefault="00E26F22" w:rsidP="00E26F2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03466516" w14:textId="77777777" w:rsidR="00E26F22" w:rsidRPr="00115E3D" w:rsidRDefault="00E26F22" w:rsidP="00E26F22">
      <w:pPr>
        <w:spacing w:after="0" w:line="276" w:lineRule="auto"/>
        <w:jc w:val="both"/>
        <w:rPr>
          <w:rFonts w:ascii="Verdana" w:eastAsia="Calibri" w:hAnsi="Verdana" w:cs="Arial"/>
          <w:color w:val="000000" w:themeColor="text1"/>
          <w:lang w:val="es-ES"/>
        </w:rPr>
      </w:pPr>
    </w:p>
    <w:p w14:paraId="3EA0BA36" w14:textId="77777777" w:rsidR="00E26F22" w:rsidRPr="00115E3D" w:rsidRDefault="00E26F22" w:rsidP="00E26F22">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37146C75" w14:textId="77777777" w:rsidR="00E26F22" w:rsidRDefault="00E26F22" w:rsidP="00E26F22">
      <w:pPr>
        <w:spacing w:after="0" w:line="276" w:lineRule="auto"/>
        <w:jc w:val="both"/>
        <w:rPr>
          <w:rFonts w:ascii="Verdana" w:eastAsia="Calibri" w:hAnsi="Verdana" w:cs="Arial"/>
          <w:color w:val="000000" w:themeColor="text1"/>
          <w:lang w:val="es-ES"/>
        </w:rPr>
      </w:pPr>
    </w:p>
    <w:p w14:paraId="25918FE2" w14:textId="4FED0CF3" w:rsidR="00E26F22" w:rsidRPr="003C068C" w:rsidRDefault="00E26F22" w:rsidP="00E26F22">
      <w:pPr>
        <w:spacing w:after="0" w:line="276" w:lineRule="auto"/>
        <w:ind w:right="51"/>
        <w:jc w:val="both"/>
        <w:rPr>
          <w:rFonts w:ascii="Verdana" w:eastAsia="Calibri" w:hAnsi="Verdana" w:cs="Arial"/>
          <w:lang w:val="es-MX"/>
        </w:rPr>
      </w:pPr>
      <w:r w:rsidRPr="003C068C">
        <w:rPr>
          <w:rFonts w:ascii="Verdana" w:eastAsia="Calibri" w:hAnsi="Verdana" w:cs="Arial"/>
          <w:lang w:val="es-MX"/>
        </w:rPr>
        <w:t>La experiencia profesional se debe verificar</w:t>
      </w:r>
      <w:r w:rsidR="0090503B">
        <w:rPr>
          <w:rFonts w:ascii="Verdana" w:eastAsia="Calibri" w:hAnsi="Verdana" w:cs="Arial"/>
          <w:lang w:val="es-MX"/>
        </w:rPr>
        <w:t xml:space="preserve">, </w:t>
      </w:r>
      <w:r w:rsidRPr="003C068C">
        <w:rPr>
          <w:rFonts w:ascii="Verdana" w:eastAsia="Calibri" w:hAnsi="Verdana" w:cs="Arial"/>
          <w:lang w:val="es-MX"/>
        </w:rPr>
        <w:t xml:space="preserve">de acuerdo con lo regulado en el artículo 229 del Decreto 019 de 2012. En virtud de esta norma, el ejercicio de las diferentes profesiones acreditadas por el Ministerio de Educación Nacional </w:t>
      </w:r>
      <w:r w:rsidRPr="003C068C">
        <w:rPr>
          <w:rFonts w:ascii="Verdana" w:eastAsia="Calibri" w:hAnsi="Verdana" w:cs="Arial"/>
          <w:lang w:val="es-MX"/>
        </w:rPr>
        <w:lastRenderedPageBreak/>
        <w:t xml:space="preserve">se contabiliza a partir de la terminación y aprobación del pénsum académico de educación superior, salvo </w:t>
      </w:r>
      <w:r w:rsidR="003C2C34">
        <w:rPr>
          <w:rFonts w:ascii="Verdana" w:eastAsia="Calibri" w:hAnsi="Verdana" w:cs="Arial"/>
          <w:lang w:val="es-MX"/>
        </w:rPr>
        <w:t xml:space="preserve">las excepciones </w:t>
      </w:r>
      <w:r w:rsidR="00D40CD3">
        <w:rPr>
          <w:rFonts w:ascii="Verdana" w:eastAsia="Calibri" w:hAnsi="Verdana" w:cs="Arial"/>
          <w:lang w:val="es-MX"/>
        </w:rPr>
        <w:t>contempladas en la ley</w:t>
      </w:r>
      <w:r w:rsidRPr="003C068C">
        <w:rPr>
          <w:rFonts w:ascii="Verdana" w:eastAsia="Calibri" w:hAnsi="Verdana" w:cs="Arial"/>
          <w:vertAlign w:val="superscript"/>
          <w:lang w:val="es-MX"/>
        </w:rPr>
        <w:footnoteReference w:id="2"/>
      </w:r>
      <w:r w:rsidRPr="003C068C">
        <w:rPr>
          <w:rFonts w:ascii="Verdana" w:eastAsia="Calibri" w:hAnsi="Verdana" w:cs="Arial"/>
          <w:lang w:val="es-MX"/>
        </w:rPr>
        <w:t>.</w:t>
      </w:r>
    </w:p>
    <w:p w14:paraId="5C49A099" w14:textId="65985EE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 xml:space="preserve">Conforme con lo anterior, el cómputo de la experiencia profesional, por regla general, comienza con la terminación y aprobación del pénsum académico de educación superior, y siempre que el profesional acredite que trabajó. </w:t>
      </w:r>
      <w:proofErr w:type="gramStart"/>
      <w:r w:rsidRPr="003C068C">
        <w:rPr>
          <w:rFonts w:ascii="Verdana" w:eastAsia="Calibri" w:hAnsi="Verdana" w:cs="Arial"/>
          <w:lang w:val="es-MX"/>
        </w:rPr>
        <w:t>Frente</w:t>
      </w:r>
      <w:r w:rsidR="00FF3FF4">
        <w:rPr>
          <w:rFonts w:ascii="Verdana" w:eastAsia="Calibri" w:hAnsi="Verdana" w:cs="Arial"/>
          <w:lang w:val="es-MX"/>
        </w:rPr>
        <w:t xml:space="preserve"> </w:t>
      </w:r>
      <w:r w:rsidRPr="003C068C">
        <w:rPr>
          <w:rFonts w:ascii="Verdana" w:eastAsia="Calibri" w:hAnsi="Verdana" w:cs="Arial"/>
          <w:lang w:val="es-MX"/>
        </w:rPr>
        <w:t xml:space="preserve"> a</w:t>
      </w:r>
      <w:proofErr w:type="gramEnd"/>
      <w:r w:rsidRPr="003C068C">
        <w:rPr>
          <w:rFonts w:ascii="Verdana" w:eastAsia="Calibri" w:hAnsi="Verdana" w:cs="Arial"/>
          <w:lang w:val="es-MX"/>
        </w:rPr>
        <w:t xml:space="preserve"> las profesiones relacionadas con temas de salud, la experiencia profesional se cuenta desde la inscripción o registro, es decir, a partir de la expedición de la tarjeta profesional. En este sentido, las entidades no tienen la facultad de solicitar la tarjeta profesional para contar la experiencia profesional, salvo para las profesiones relacionadas con temas de salud. </w:t>
      </w:r>
    </w:p>
    <w:p w14:paraId="0FA30313" w14:textId="7777777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Por otro lado, es importante señalar que a partir de la Ley 1955 de 2019 se permite contar como experiencia profesional las prácticas laborales realizadas por estudiantes para obtener el título de grado. De acuerdo con el artículo 15 de la Ley 1780 de 2016</w:t>
      </w:r>
      <w:r w:rsidRPr="003C068C">
        <w:rPr>
          <w:rFonts w:ascii="Verdana" w:eastAsia="Calibri" w:hAnsi="Verdana" w:cs="Arial"/>
          <w:vertAlign w:val="superscript"/>
          <w:lang w:val="es-MX"/>
        </w:rPr>
        <w:footnoteReference w:id="3"/>
      </w:r>
      <w:r w:rsidRPr="003C068C">
        <w:rPr>
          <w:rFonts w:ascii="Verdana" w:eastAsia="Calibri" w:hAnsi="Verdana" w:cs="Arial"/>
          <w:lang w:val="es-MX"/>
        </w:rPr>
        <w:t>,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w:t>
      </w:r>
    </w:p>
    <w:p w14:paraId="7BB99C2F" w14:textId="7777777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El artículo 192 de la Ley 1955 de 2019</w:t>
      </w:r>
      <w:r w:rsidRPr="003C068C">
        <w:rPr>
          <w:rFonts w:ascii="Verdana" w:eastAsia="Calibri" w:hAnsi="Verdana" w:cs="Arial"/>
          <w:vertAlign w:val="superscript"/>
          <w:lang w:val="es-MX"/>
        </w:rPr>
        <w:footnoteReference w:id="4"/>
      </w:r>
      <w:r w:rsidRPr="003C068C">
        <w:rPr>
          <w:rFonts w:ascii="Verdana" w:eastAsia="Calibri" w:hAnsi="Verdana" w:cs="Arial"/>
          <w:lang w:val="es-MX"/>
        </w:rPr>
        <w:t xml:space="preserve"> establece que el tiempo de la práctica laboral que el estudiante realice para optar por su título profesional, </w:t>
      </w:r>
      <w:r w:rsidRPr="003C068C">
        <w:rPr>
          <w:rFonts w:ascii="Verdana" w:eastAsia="Calibri" w:hAnsi="Verdana" w:cs="Arial"/>
          <w:lang w:val="es-MX"/>
        </w:rPr>
        <w:lastRenderedPageBreak/>
        <w:t>tecnológico o técnico cuenta como experiencia laboral. Sin embargo, solo se computan como experiencia las prácticas laborales realizadas durante los veinticuatro (24) meses anteriores a la entrada en vigencia de dicha ley y las que se realicen con posterioridad; y, por último, exceptúa de lo dispuesto en este artículo a los estudiantes de posgrado del sector salud.</w:t>
      </w:r>
    </w:p>
    <w:p w14:paraId="1AA99E54" w14:textId="7777777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 xml:space="preserve">De conformidad con esta norma, las entidades estatales deben tener en cuenta las prácticas laborales como experiencia profesional aun cuando estas se hayan realizado antes de la terminación de materias. No obstante, solo se tendrán en cuenta i) las prácticas laborales que fueron realizadas durante los veinticuatro meses anteriores a la entrada en vigencia de dicha ley y las que se realicen con posterioridad, y </w:t>
      </w:r>
      <w:proofErr w:type="spellStart"/>
      <w:r w:rsidRPr="003C068C">
        <w:rPr>
          <w:rFonts w:ascii="Verdana" w:eastAsia="Calibri" w:hAnsi="Verdana" w:cs="Arial"/>
          <w:lang w:val="es-MX"/>
        </w:rPr>
        <w:t>ii</w:t>
      </w:r>
      <w:proofErr w:type="spellEnd"/>
      <w:r w:rsidRPr="003C068C">
        <w:rPr>
          <w:rFonts w:ascii="Verdana" w:eastAsia="Calibri" w:hAnsi="Verdana" w:cs="Arial"/>
          <w:lang w:val="es-MX"/>
        </w:rPr>
        <w:t>) las que realice cualquier estudiante que no sea de posgrado del sector salud.</w:t>
      </w:r>
    </w:p>
    <w:p w14:paraId="782BBBAD" w14:textId="7777777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En virtud de esta norma, surge la siguiente pregunta: ¿al ser la Ley 1955 de 2019 posterior al Decreto Ley 019 de 2012 se deroga lo previsto en el Decreto, o se aplican las dos normas, dependiendo de cada caso en concreto?</w:t>
      </w:r>
    </w:p>
    <w:p w14:paraId="687AC865" w14:textId="4D4460CE" w:rsidR="00E26F22" w:rsidRPr="00177DC8" w:rsidRDefault="00E26F22" w:rsidP="00177DC8">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La Corte Constitucional explica que en estos eventos procede la derogatoria de las normas y la distinción entre derogatoria expresa y tácita, en los siguientes términos:</w:t>
      </w:r>
    </w:p>
    <w:p w14:paraId="051E406A" w14:textId="45A1A490" w:rsidR="00E26F22" w:rsidRPr="00177DC8" w:rsidRDefault="00E26F22" w:rsidP="00177DC8">
      <w:pPr>
        <w:spacing w:after="0" w:line="240" w:lineRule="auto"/>
        <w:ind w:left="709" w:right="709"/>
        <w:jc w:val="both"/>
        <w:rPr>
          <w:rFonts w:ascii="Verdana" w:eastAsia="Calibri" w:hAnsi="Verdana" w:cs="Arial"/>
          <w:sz w:val="20"/>
          <w:szCs w:val="20"/>
          <w:lang w:val="es-MX"/>
        </w:rPr>
      </w:pPr>
      <w:r w:rsidRPr="008B19FD">
        <w:rPr>
          <w:rFonts w:ascii="Verdana" w:eastAsia="Calibri" w:hAnsi="Verdana" w:cs="Arial"/>
          <w:sz w:val="20"/>
          <w:szCs w:val="20"/>
          <w:lang w:val="es-MX"/>
        </w:rPr>
        <w:t>La derogatoria es aquel efecto de una ley, determinante de la pérdida de vigencia de otra ley anterior, la cual puede ser expresa o tácita. Este último evento tiene lugar al menos en dos hipótesis: (i) cuando una norma jurídica posterior resulta incompatible con una anterior, o (</w:t>
      </w:r>
      <w:proofErr w:type="spellStart"/>
      <w:r w:rsidRPr="008B19FD">
        <w:rPr>
          <w:rFonts w:ascii="Verdana" w:eastAsia="Calibri" w:hAnsi="Verdana" w:cs="Arial"/>
          <w:sz w:val="20"/>
          <w:szCs w:val="20"/>
          <w:lang w:val="es-MX"/>
        </w:rPr>
        <w:t>ii</w:t>
      </w:r>
      <w:proofErr w:type="spellEnd"/>
      <w:r w:rsidRPr="008B19FD">
        <w:rPr>
          <w:rFonts w:ascii="Verdana" w:eastAsia="Calibri" w:hAnsi="Verdana" w:cs="Arial"/>
          <w:sz w:val="20"/>
          <w:szCs w:val="20"/>
          <w:lang w:val="es-MX"/>
        </w:rPr>
        <w:t>) cuando se produce una nueva regulación integral de la materia. Así lo ha entendido la jurisprudencia de esta Corporación al señalar que la derogatoria de una ley puede ser expresa, tácita o por reglamentación integral (orgánica) de la materia, sucediendo la primera cuando la nueva ley suprime formal y específicamente la anterior; la segunda cuando la nueva ley contiene disposiciones incompatibles o contrarias a la de la antigua, y la tercera cuando una ley reglamenta toda la materia regulada por una o varias normas precedentes, aunque no haya incompatibilidad entre las disposiciones de éstas y las de la nueva ley</w:t>
      </w:r>
      <w:r w:rsidRPr="008B19FD">
        <w:rPr>
          <w:rFonts w:ascii="Verdana" w:eastAsia="Calibri" w:hAnsi="Verdana" w:cs="Arial"/>
          <w:sz w:val="20"/>
          <w:szCs w:val="20"/>
          <w:vertAlign w:val="superscript"/>
          <w:lang w:val="es-MX"/>
        </w:rPr>
        <w:footnoteReference w:id="5"/>
      </w:r>
      <w:r w:rsidRPr="008B19FD">
        <w:rPr>
          <w:rFonts w:ascii="Verdana" w:eastAsia="Calibri" w:hAnsi="Verdana" w:cs="Arial"/>
          <w:sz w:val="20"/>
          <w:szCs w:val="20"/>
          <w:lang w:val="es-MX"/>
        </w:rPr>
        <w:t>.</w:t>
      </w:r>
    </w:p>
    <w:p w14:paraId="7499D0F6" w14:textId="7777777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lastRenderedPageBreak/>
        <w:t>De conformidad con lo anterior, la derogatoria de una norma procede cuando esta pierde vigencia en el ordenamiento jurídico, ya sea, por medio de una derogatoria expresa o una derogatoria tácita. En este caso, la Ley 1955 de 2019, en el artículo 336, no derogó de forma expresa el artículo 229 del Decreto 019 de 2012, por lo que se debe analizar si el artículo 192 de la Ley 1955 de 2019 derogó tácitamente el artículo 299 del Decreto Ley 019 de 2012.</w:t>
      </w:r>
    </w:p>
    <w:p w14:paraId="4BF25EE2" w14:textId="7777777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La Corte Constitucional señala que la derogatoria tácita supone la existencia de una norma posterior que contiene disposiciones incompatibles o contrarias a la ley anterior. En este caso, en principio, se evidencia una incompatibilidad entre el artículo 192 de la Ley 1955 de 2019 y el artículo 299 del Decreto 019 de 2012, ya que la nueva ley señala que se cuenta como experiencia profesional la que realice el estudiante como práctica laboral sin importar si es antes o después de terminadas las materias, y el Decreto prevé que la experiencia profesional se cuenta a partir de la terminación de materias o el pénsum académico.</w:t>
      </w:r>
    </w:p>
    <w:p w14:paraId="2C2EE523" w14:textId="7777777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No obstante, se debe entender que el artículo 299 del Decreto 019 de 2012 es la regla general para contar el término de la experiencia profesional y, por lo tanto, el cómputo, en principio, se efectúa después de terminadas las materias; pero el caso previsto en el artículo 192 de la Ley 1955 de 2019 es la excepción a esta regla general. En efecto, si el estudiante que opta por un título realiza la práctica laboral antes de terminadas las materias, se debe contar esta experiencia como profesional a pesar de que sea una experiencia que no fue adquirida con posterioridad a la terminación de materias. En los demás casos, es decir, cuando no se realiza ninguna práctica laboral antes de finalizar el pénsum, el conteo de la experiencia inicia después de terminadas las materias.</w:t>
      </w:r>
    </w:p>
    <w:p w14:paraId="1E192BCF" w14:textId="77777777" w:rsidR="00E26F22" w:rsidRPr="003C068C" w:rsidRDefault="00E26F22" w:rsidP="00E26F22">
      <w:pPr>
        <w:spacing w:before="120" w:after="120" w:line="276" w:lineRule="auto"/>
        <w:ind w:right="51" w:firstLine="709"/>
        <w:jc w:val="both"/>
        <w:rPr>
          <w:rFonts w:ascii="Verdana" w:eastAsia="Calibri" w:hAnsi="Verdana" w:cs="Arial"/>
          <w:lang w:val="es-MX"/>
        </w:rPr>
      </w:pPr>
      <w:r w:rsidRPr="003C068C">
        <w:rPr>
          <w:rFonts w:ascii="Verdana" w:eastAsia="Calibri" w:hAnsi="Verdana" w:cs="Arial"/>
          <w:lang w:val="es-MX"/>
        </w:rPr>
        <w:t>Para mayor claridad, el artículo 192 de la Ley 1955 de 2019 únicamente aplica en los casos en los que el estudiante realiza prácticas laborales. Por lo tanto, en estos eventos rige esta Ley y se tiene por válida la experiencia profesional realizada antes o después de terminadas las materias. Ahora, si el estudiante no realiza ninguna práctica laboral para obtener un título, en los términos del artículo 15 de la Ley 1780 de 2016, se debe aplicar el Decreto Ley 019 de 2012, y, por tanto, se contabiliza la experiencia profesional a partir de la terminación de las materias.</w:t>
      </w:r>
    </w:p>
    <w:p w14:paraId="46B2719A" w14:textId="77777777" w:rsidR="00E26F22" w:rsidRPr="003C068C" w:rsidRDefault="00E26F22" w:rsidP="00E26F22">
      <w:pPr>
        <w:spacing w:before="120" w:after="120" w:line="276" w:lineRule="auto"/>
        <w:ind w:right="51" w:firstLine="709"/>
        <w:jc w:val="both"/>
        <w:rPr>
          <w:rFonts w:ascii="Verdana" w:eastAsia="Calibri" w:hAnsi="Verdana" w:cs="Arial"/>
          <w:lang w:val="es-MX"/>
        </w:rPr>
      </w:pPr>
      <w:r w:rsidRPr="003C068C">
        <w:rPr>
          <w:rFonts w:ascii="Verdana" w:eastAsia="Calibri" w:hAnsi="Verdana" w:cs="Arial"/>
          <w:lang w:val="es-MX"/>
        </w:rPr>
        <w:lastRenderedPageBreak/>
        <w:t>Ahora bien, es importante señalar que el Decreto 1082 de 2015, en el artículo 2.2.1.2.1.4.9</w:t>
      </w:r>
      <w:r w:rsidRPr="003C068C">
        <w:rPr>
          <w:rFonts w:ascii="Verdana" w:eastAsia="Calibri" w:hAnsi="Verdana" w:cs="Arial"/>
          <w:vertAlign w:val="superscript"/>
          <w:lang w:val="es-MX"/>
        </w:rPr>
        <w:footnoteReference w:id="6"/>
      </w:r>
      <w:r w:rsidRPr="003C068C">
        <w:rPr>
          <w:rFonts w:ascii="Verdana" w:eastAsia="Calibri" w:hAnsi="Verdana" w:cs="Arial"/>
          <w:lang w:val="es-MX"/>
        </w:rPr>
        <w:t xml:space="preserve">, establece que </w:t>
      </w:r>
      <w:r>
        <w:rPr>
          <w:rFonts w:ascii="Verdana" w:eastAsia="Calibri" w:hAnsi="Verdana" w:cs="Arial"/>
          <w:lang w:val="es-MX"/>
        </w:rPr>
        <w:t>“</w:t>
      </w:r>
      <w:r w:rsidRPr="003C068C">
        <w:rPr>
          <w:rFonts w:ascii="Verdana" w:eastAsia="Calibri" w:hAnsi="Verdana" w:cs="Arial"/>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w:t>
      </w:r>
      <w:r>
        <w:rPr>
          <w:rFonts w:ascii="Verdana" w:eastAsia="Calibri" w:hAnsi="Verdana" w:cs="Arial"/>
          <w:lang w:val="es-MX"/>
        </w:rPr>
        <w:t>”</w:t>
      </w:r>
      <w:r w:rsidRPr="003C068C">
        <w:rPr>
          <w:rFonts w:ascii="Verdana" w:eastAsia="Calibri" w:hAnsi="Verdana" w:cs="Arial"/>
          <w:lang w:val="es-MX"/>
        </w:rPr>
        <w:t>. Por lo tanto, la entidad estatal debe verificar la idoneidad y la experiencia requerida para ejecutar el objeto del contrato de prestación de servicios.</w:t>
      </w:r>
    </w:p>
    <w:p w14:paraId="46BCECC6" w14:textId="77777777" w:rsidR="00E26F22" w:rsidRPr="003C068C" w:rsidRDefault="00E26F22" w:rsidP="00E26F22">
      <w:pPr>
        <w:spacing w:before="120" w:after="120" w:line="276" w:lineRule="auto"/>
        <w:ind w:right="51" w:firstLine="709"/>
        <w:jc w:val="both"/>
        <w:rPr>
          <w:rFonts w:ascii="Verdana" w:eastAsia="Calibri" w:hAnsi="Verdana" w:cs="Arial"/>
          <w:lang w:val="es-MX"/>
        </w:rPr>
      </w:pPr>
      <w:r w:rsidRPr="003C068C">
        <w:rPr>
          <w:rFonts w:ascii="Verdana" w:eastAsia="Calibri" w:hAnsi="Verdana" w:cs="Arial"/>
          <w:lang w:val="es-MX"/>
        </w:rPr>
        <w:t>La Ley 190 de 1995, en el artículo 1</w:t>
      </w:r>
      <w:r w:rsidRPr="003C068C">
        <w:rPr>
          <w:rFonts w:ascii="Verdana" w:eastAsia="Calibri" w:hAnsi="Verdana" w:cs="Arial"/>
          <w:vertAlign w:val="superscript"/>
          <w:lang w:val="es-MX"/>
        </w:rPr>
        <w:footnoteReference w:id="7"/>
      </w:r>
      <w:r w:rsidRPr="003C068C">
        <w:rPr>
          <w:rFonts w:ascii="Verdana" w:eastAsia="Calibri" w:hAnsi="Verdana" w:cs="Arial"/>
          <w:lang w:val="es-MX"/>
        </w:rPr>
        <w:t>, establece que todo aspirante a celebrar un contrato de prestación de servicios debe presentar el formato único de hoja de vida, donde consigne la información completa que se solicita, como la formación académica, experiencia laboral, declarar la inexistencia de cualquier hecho o circunstancia que implique una inhabilidad o incompatibilidad.</w:t>
      </w:r>
    </w:p>
    <w:p w14:paraId="58D43AE0" w14:textId="3257F219" w:rsidR="00E26F22" w:rsidRPr="003C068C" w:rsidRDefault="00E26F22" w:rsidP="00E26F22">
      <w:pPr>
        <w:spacing w:before="120" w:after="120" w:line="276" w:lineRule="auto"/>
        <w:ind w:right="51" w:firstLine="709"/>
        <w:jc w:val="both"/>
        <w:rPr>
          <w:rFonts w:ascii="Verdana" w:eastAsia="Calibri" w:hAnsi="Verdana" w:cs="Arial"/>
          <w:lang w:val="es-MX"/>
        </w:rPr>
      </w:pPr>
      <w:r w:rsidRPr="003C068C">
        <w:rPr>
          <w:rFonts w:ascii="Verdana" w:eastAsia="Calibri" w:hAnsi="Verdana" w:cs="Arial"/>
          <w:lang w:val="es-MX"/>
        </w:rPr>
        <w:t>En relación con la exigencia</w:t>
      </w:r>
      <w:r w:rsidR="00123F24">
        <w:rPr>
          <w:rFonts w:ascii="Verdana" w:eastAsia="Calibri" w:hAnsi="Verdana" w:cs="Arial"/>
          <w:lang w:val="es-MX"/>
        </w:rPr>
        <w:t xml:space="preserve"> de certificaciones laborales y/o contractuales para participar en los procesos competitivos</w:t>
      </w:r>
      <w:r w:rsidRPr="003C068C">
        <w:rPr>
          <w:rFonts w:ascii="Verdana" w:eastAsia="Calibri" w:hAnsi="Verdana" w:cs="Arial"/>
          <w:lang w:val="es-MX"/>
        </w:rPr>
        <w:t xml:space="preserve">, el artículo 26 de la Constitución Política indica que: </w:t>
      </w:r>
      <w:r>
        <w:rPr>
          <w:rFonts w:ascii="Verdana" w:eastAsia="Calibri" w:hAnsi="Verdana" w:cs="Arial"/>
          <w:lang w:val="es-MX"/>
        </w:rPr>
        <w:t>“</w:t>
      </w:r>
      <w:r w:rsidRPr="003C068C">
        <w:rPr>
          <w:rFonts w:ascii="Verdana" w:eastAsia="Calibri" w:hAnsi="Verdana" w:cs="Arial"/>
          <w:lang w:val="es-MX"/>
        </w:rPr>
        <w:t>La Ley podrá exigir títulos de idoneidad</w:t>
      </w:r>
      <w:r>
        <w:rPr>
          <w:rFonts w:ascii="Verdana" w:eastAsia="Calibri" w:hAnsi="Verdana" w:cs="Arial"/>
          <w:lang w:val="es-MX"/>
        </w:rPr>
        <w:t>”</w:t>
      </w:r>
      <w:r w:rsidRPr="003C068C">
        <w:rPr>
          <w:rFonts w:ascii="Verdana" w:eastAsia="Calibri" w:hAnsi="Verdana" w:cs="Arial"/>
          <w:lang w:val="es-MX"/>
        </w:rPr>
        <w:t xml:space="preserve">. La Corte Constitucional explicó que la Constitución Política autorizó al legislador para </w:t>
      </w:r>
      <w:r w:rsidRPr="003C068C">
        <w:rPr>
          <w:rFonts w:ascii="Verdana" w:eastAsia="Calibri" w:hAnsi="Verdana" w:cs="Arial"/>
          <w:lang w:val="es-MX"/>
        </w:rPr>
        <w:lastRenderedPageBreak/>
        <w:t>exigir determinados títulos de idoneidad a quienes quieren desempeñar actividades que impliquen riesgo social, con el objetivo de demostrar la adecuada aptitud del aspirante</w:t>
      </w:r>
      <w:r w:rsidRPr="003C068C">
        <w:rPr>
          <w:rFonts w:ascii="Verdana" w:eastAsia="Calibri" w:hAnsi="Verdana" w:cs="Arial"/>
          <w:vertAlign w:val="superscript"/>
          <w:lang w:val="es-MX"/>
        </w:rPr>
        <w:footnoteReference w:id="8"/>
      </w:r>
      <w:r w:rsidRPr="003C068C">
        <w:rPr>
          <w:rFonts w:ascii="Verdana" w:eastAsia="Calibri" w:hAnsi="Verdana" w:cs="Arial"/>
          <w:lang w:val="es-MX"/>
        </w:rPr>
        <w:t xml:space="preserve">. En este sentido, la ley, frente a personal de la correspondiente entidad, o ante determinadas profesiones que impliquen riesgo social, puede exigir </w:t>
      </w:r>
      <w:r w:rsidR="00123F24">
        <w:rPr>
          <w:rFonts w:ascii="Verdana" w:eastAsia="Calibri" w:hAnsi="Verdana" w:cs="Arial"/>
          <w:lang w:val="es-MX"/>
        </w:rPr>
        <w:t xml:space="preserve">las debidas certificaciones al estar estas profesiones condicionadas para acreditar su experiencia a partir de la expedición de la tarjeta profesional. </w:t>
      </w:r>
    </w:p>
    <w:p w14:paraId="2CD4864B" w14:textId="031B5E36" w:rsidR="00B6649D" w:rsidRDefault="00E26F22" w:rsidP="005B2718">
      <w:pPr>
        <w:spacing w:before="120" w:after="120" w:line="276" w:lineRule="auto"/>
        <w:ind w:right="51" w:firstLine="708"/>
        <w:jc w:val="both"/>
        <w:rPr>
          <w:rFonts w:ascii="Verdana" w:eastAsia="Calibri" w:hAnsi="Verdana" w:cs="Arial"/>
          <w:lang w:val="es-MX"/>
        </w:rPr>
      </w:pPr>
      <w:bookmarkStart w:id="1" w:name="_Hlk190871650"/>
      <w:r w:rsidRPr="003C068C">
        <w:rPr>
          <w:rFonts w:ascii="Verdana" w:eastAsia="Calibri" w:hAnsi="Verdana" w:cs="Arial"/>
          <w:lang w:val="es-MX"/>
        </w:rPr>
        <w:t>A una similar conclusión se llega respecto de la Ley 842 de 2003 –normativa que regula el ejercicio de la ingeniería–, la cual establece en el artículo 6</w:t>
      </w:r>
      <w:r w:rsidRPr="003C068C">
        <w:rPr>
          <w:rFonts w:ascii="Verdana" w:eastAsia="Calibri" w:hAnsi="Verdana" w:cs="Arial"/>
          <w:vertAlign w:val="superscript"/>
          <w:lang w:val="es-MX"/>
        </w:rPr>
        <w:footnoteReference w:id="9"/>
      </w:r>
      <w:r w:rsidRPr="003C068C">
        <w:rPr>
          <w:rFonts w:ascii="Verdana" w:eastAsia="Calibri" w:hAnsi="Verdana" w:cs="Arial"/>
          <w:lang w:val="es-MX"/>
        </w:rPr>
        <w:t xml:space="preserve"> que, para ejercer la ingeniería, sus profesiones afines o sus profesiones auxiliares en el territorio nacional, se requiere estar matriculado o inscrito en el registro profesional respectivo, que seguirá llevando el </w:t>
      </w:r>
      <w:proofErr w:type="spellStart"/>
      <w:r w:rsidRPr="003C068C">
        <w:rPr>
          <w:rFonts w:ascii="Verdana" w:eastAsia="Calibri" w:hAnsi="Verdana" w:cs="Arial"/>
          <w:lang w:val="es-MX"/>
        </w:rPr>
        <w:t>Copnia</w:t>
      </w:r>
      <w:proofErr w:type="spellEnd"/>
      <w:r w:rsidRPr="003C068C">
        <w:rPr>
          <w:rFonts w:ascii="Verdana" w:eastAsia="Calibri" w:hAnsi="Verdana" w:cs="Arial"/>
          <w:lang w:val="es-MX"/>
        </w:rPr>
        <w:t>, lo cual se acredita con la presentación de la tarjeta o documento adoptado por este para tal fin. En este caso, para el ejercicio de la profesión de ingeniería se requiere estar matriculado en el registro profesional, lo cual se acredita con la presentación de la tarjeta profesional. Por lo tanto, la entidad estatal debe verificar que se aporte la tarjeta profesional para la celebración del contrato estatal.</w:t>
      </w:r>
    </w:p>
    <w:p w14:paraId="4D92365F" w14:textId="1D8940FB" w:rsidR="00E04F12" w:rsidRDefault="00B6649D" w:rsidP="00B6649D">
      <w:pPr>
        <w:spacing w:before="120" w:after="120" w:line="276" w:lineRule="auto"/>
        <w:ind w:right="51"/>
        <w:jc w:val="both"/>
        <w:rPr>
          <w:rFonts w:ascii="Verdana" w:eastAsia="Calibri" w:hAnsi="Verdana" w:cs="Arial"/>
          <w:lang w:val="es-MX"/>
        </w:rPr>
      </w:pPr>
      <w:r>
        <w:rPr>
          <w:rFonts w:ascii="Verdana" w:eastAsia="Calibri" w:hAnsi="Verdana" w:cs="Arial"/>
          <w:lang w:val="es-MX"/>
        </w:rPr>
        <w:t xml:space="preserve">Ahora bien, respecto al </w:t>
      </w:r>
      <w:proofErr w:type="spellStart"/>
      <w:r>
        <w:rPr>
          <w:rFonts w:ascii="Verdana" w:eastAsia="Calibri" w:hAnsi="Verdana" w:cs="Arial"/>
          <w:lang w:val="es-MX"/>
        </w:rPr>
        <w:t>computo</w:t>
      </w:r>
      <w:proofErr w:type="spellEnd"/>
      <w:r>
        <w:rPr>
          <w:rFonts w:ascii="Verdana" w:eastAsia="Calibri" w:hAnsi="Verdana" w:cs="Arial"/>
          <w:lang w:val="es-MX"/>
        </w:rPr>
        <w:t xml:space="preserve"> de la </w:t>
      </w:r>
      <w:r w:rsidR="0008291C">
        <w:rPr>
          <w:rFonts w:ascii="Verdana" w:eastAsia="Calibri" w:hAnsi="Verdana" w:cs="Arial"/>
          <w:lang w:val="es-MX"/>
        </w:rPr>
        <w:t>experiencia para la profesión de ingeniería</w:t>
      </w:r>
      <w:r w:rsidR="00C60078">
        <w:rPr>
          <w:rFonts w:ascii="Verdana" w:eastAsia="Calibri" w:hAnsi="Verdana" w:cs="Arial"/>
          <w:lang w:val="es-MX"/>
        </w:rPr>
        <w:t>, sus profesiones afines y/o auxiliares</w:t>
      </w:r>
      <w:r w:rsidR="00B0317A">
        <w:rPr>
          <w:rFonts w:ascii="Verdana" w:eastAsia="Calibri" w:hAnsi="Verdana" w:cs="Arial"/>
          <w:lang w:val="es-MX"/>
        </w:rPr>
        <w:t xml:space="preserve">, </w:t>
      </w:r>
      <w:r w:rsidR="00C60078">
        <w:rPr>
          <w:rFonts w:ascii="Verdana" w:eastAsia="Calibri" w:hAnsi="Verdana" w:cs="Arial"/>
          <w:lang w:val="es-MX"/>
        </w:rPr>
        <w:t>esta subdirección se ha pronunciado en</w:t>
      </w:r>
      <w:r w:rsidR="00CC1651">
        <w:rPr>
          <w:rFonts w:ascii="Verdana" w:eastAsia="Calibri" w:hAnsi="Verdana" w:cs="Arial"/>
          <w:lang w:val="es-MX"/>
        </w:rPr>
        <w:t xml:space="preserve"> diferentes</w:t>
      </w:r>
      <w:r w:rsidR="00C60078">
        <w:rPr>
          <w:rFonts w:ascii="Verdana" w:eastAsia="Calibri" w:hAnsi="Verdana" w:cs="Arial"/>
          <w:lang w:val="es-MX"/>
        </w:rPr>
        <w:t xml:space="preserve"> concept</w:t>
      </w:r>
      <w:r w:rsidR="00E04F12">
        <w:rPr>
          <w:rFonts w:ascii="Verdana" w:eastAsia="Calibri" w:hAnsi="Verdana" w:cs="Arial"/>
          <w:lang w:val="es-MX"/>
        </w:rPr>
        <w:t>os</w:t>
      </w:r>
      <w:r w:rsidR="005B03F3">
        <w:rPr>
          <w:rStyle w:val="Refdenotaalpie"/>
          <w:rFonts w:ascii="Verdana" w:eastAsia="Calibri" w:hAnsi="Verdana" w:cs="Arial"/>
          <w:lang w:val="es-MX"/>
        </w:rPr>
        <w:footnoteReference w:id="10"/>
      </w:r>
      <w:r w:rsidR="00E04F12">
        <w:rPr>
          <w:rFonts w:ascii="Verdana" w:eastAsia="Calibri" w:hAnsi="Verdana" w:cs="Arial"/>
          <w:lang w:val="es-MX"/>
        </w:rPr>
        <w:t xml:space="preserve"> al respecto bajo los siguientes argumentos: </w:t>
      </w:r>
    </w:p>
    <w:p w14:paraId="05A606E4" w14:textId="2C19CC47" w:rsidR="00E04F12" w:rsidRPr="002F4125" w:rsidRDefault="00C67A7F" w:rsidP="00150126">
      <w:pPr>
        <w:pStyle w:val="Textoindependiente"/>
        <w:ind w:left="709" w:right="709"/>
        <w:jc w:val="both"/>
        <w:rPr>
          <w:i/>
          <w:iCs/>
          <w:sz w:val="21"/>
          <w:szCs w:val="21"/>
        </w:rPr>
      </w:pPr>
      <w:r w:rsidRPr="002F4125">
        <w:rPr>
          <w:i/>
          <w:iCs/>
          <w:sz w:val="21"/>
          <w:szCs w:val="21"/>
        </w:rPr>
        <w:t xml:space="preserve">“[…] </w:t>
      </w:r>
      <w:r w:rsidR="00E04F12" w:rsidRPr="002F4125">
        <w:rPr>
          <w:i/>
          <w:iCs/>
          <w:sz w:val="21"/>
          <w:szCs w:val="21"/>
        </w:rPr>
        <w:t xml:space="preserve">Al respecto, se precisa que, </w:t>
      </w:r>
      <w:r w:rsidR="00E04F12" w:rsidRPr="002F4125">
        <w:rPr>
          <w:b/>
          <w:bCs/>
          <w:i/>
          <w:iCs/>
          <w:sz w:val="21"/>
          <w:szCs w:val="21"/>
          <w:u w:val="single"/>
        </w:rPr>
        <w:t>la experiencia profesional en la rama de la ingeniería</w:t>
      </w:r>
      <w:r w:rsidR="00E04F12" w:rsidRPr="002F4125">
        <w:rPr>
          <w:b/>
          <w:bCs/>
          <w:i/>
          <w:iCs/>
          <w:spacing w:val="-7"/>
          <w:sz w:val="21"/>
          <w:szCs w:val="21"/>
          <w:u w:val="single"/>
        </w:rPr>
        <w:t xml:space="preserve"> </w:t>
      </w:r>
      <w:r w:rsidR="00E04F12" w:rsidRPr="002F4125">
        <w:rPr>
          <w:b/>
          <w:bCs/>
          <w:i/>
          <w:iCs/>
          <w:sz w:val="21"/>
          <w:szCs w:val="21"/>
          <w:u w:val="single"/>
        </w:rPr>
        <w:t>se</w:t>
      </w:r>
      <w:r w:rsidR="00E04F12" w:rsidRPr="002F4125">
        <w:rPr>
          <w:b/>
          <w:bCs/>
          <w:i/>
          <w:iCs/>
          <w:spacing w:val="-9"/>
          <w:sz w:val="21"/>
          <w:szCs w:val="21"/>
          <w:u w:val="single"/>
        </w:rPr>
        <w:t xml:space="preserve"> </w:t>
      </w:r>
      <w:r w:rsidR="00E04F12" w:rsidRPr="002F4125">
        <w:rPr>
          <w:b/>
          <w:bCs/>
          <w:i/>
          <w:iCs/>
          <w:sz w:val="21"/>
          <w:szCs w:val="21"/>
          <w:u w:val="single"/>
        </w:rPr>
        <w:t>contará</w:t>
      </w:r>
      <w:r w:rsidR="00E04F12" w:rsidRPr="002F4125">
        <w:rPr>
          <w:b/>
          <w:bCs/>
          <w:i/>
          <w:iCs/>
          <w:spacing w:val="-8"/>
          <w:sz w:val="21"/>
          <w:szCs w:val="21"/>
          <w:u w:val="single"/>
        </w:rPr>
        <w:t xml:space="preserve"> </w:t>
      </w:r>
      <w:r w:rsidR="00E04F12" w:rsidRPr="002F4125">
        <w:rPr>
          <w:b/>
          <w:bCs/>
          <w:i/>
          <w:iCs/>
          <w:sz w:val="21"/>
          <w:szCs w:val="21"/>
          <w:u w:val="single"/>
        </w:rPr>
        <w:t>a</w:t>
      </w:r>
      <w:r w:rsidR="00E04F12" w:rsidRPr="002F4125">
        <w:rPr>
          <w:b/>
          <w:bCs/>
          <w:i/>
          <w:iCs/>
          <w:spacing w:val="-10"/>
          <w:sz w:val="21"/>
          <w:szCs w:val="21"/>
          <w:u w:val="single"/>
        </w:rPr>
        <w:t xml:space="preserve"> </w:t>
      </w:r>
      <w:r w:rsidR="00E04F12" w:rsidRPr="002F4125">
        <w:rPr>
          <w:b/>
          <w:bCs/>
          <w:i/>
          <w:iCs/>
          <w:sz w:val="21"/>
          <w:szCs w:val="21"/>
          <w:u w:val="single"/>
        </w:rPr>
        <w:t>partir</w:t>
      </w:r>
      <w:r w:rsidR="00E04F12" w:rsidRPr="002F4125">
        <w:rPr>
          <w:b/>
          <w:bCs/>
          <w:i/>
          <w:iCs/>
          <w:spacing w:val="-8"/>
          <w:sz w:val="21"/>
          <w:szCs w:val="21"/>
          <w:u w:val="single"/>
        </w:rPr>
        <w:t xml:space="preserve"> </w:t>
      </w:r>
      <w:r w:rsidR="00E04F12" w:rsidRPr="002F4125">
        <w:rPr>
          <w:b/>
          <w:bCs/>
          <w:i/>
          <w:iCs/>
          <w:sz w:val="21"/>
          <w:szCs w:val="21"/>
          <w:u w:val="single"/>
        </w:rPr>
        <w:t>de</w:t>
      </w:r>
      <w:r w:rsidR="00E04F12" w:rsidRPr="002F4125">
        <w:rPr>
          <w:b/>
          <w:bCs/>
          <w:i/>
          <w:iCs/>
          <w:spacing w:val="-9"/>
          <w:sz w:val="21"/>
          <w:szCs w:val="21"/>
          <w:u w:val="single"/>
        </w:rPr>
        <w:t xml:space="preserve"> </w:t>
      </w:r>
      <w:r w:rsidR="00E04F12" w:rsidRPr="002F4125">
        <w:rPr>
          <w:b/>
          <w:bCs/>
          <w:i/>
          <w:iCs/>
          <w:sz w:val="21"/>
          <w:szCs w:val="21"/>
          <w:u w:val="single"/>
        </w:rPr>
        <w:t>la</w:t>
      </w:r>
      <w:r w:rsidR="00E04F12" w:rsidRPr="002F4125">
        <w:rPr>
          <w:b/>
          <w:bCs/>
          <w:i/>
          <w:iCs/>
          <w:spacing w:val="-9"/>
          <w:sz w:val="21"/>
          <w:szCs w:val="21"/>
          <w:u w:val="single"/>
        </w:rPr>
        <w:t xml:space="preserve"> </w:t>
      </w:r>
      <w:r w:rsidR="00E04F12" w:rsidRPr="002F4125">
        <w:rPr>
          <w:b/>
          <w:bCs/>
          <w:i/>
          <w:iCs/>
          <w:sz w:val="21"/>
          <w:szCs w:val="21"/>
          <w:u w:val="single"/>
        </w:rPr>
        <w:t>terminación</w:t>
      </w:r>
      <w:r w:rsidR="00E04F12" w:rsidRPr="002F4125">
        <w:rPr>
          <w:b/>
          <w:bCs/>
          <w:i/>
          <w:iCs/>
          <w:spacing w:val="-6"/>
          <w:sz w:val="21"/>
          <w:szCs w:val="21"/>
          <w:u w:val="single"/>
        </w:rPr>
        <w:t xml:space="preserve"> </w:t>
      </w:r>
      <w:r w:rsidR="00E04F12" w:rsidRPr="002F4125">
        <w:rPr>
          <w:b/>
          <w:bCs/>
          <w:i/>
          <w:iCs/>
          <w:sz w:val="21"/>
          <w:szCs w:val="21"/>
          <w:u w:val="single"/>
        </w:rPr>
        <w:t>del</w:t>
      </w:r>
      <w:r w:rsidR="00E04F12" w:rsidRPr="002F4125">
        <w:rPr>
          <w:b/>
          <w:bCs/>
          <w:i/>
          <w:iCs/>
          <w:spacing w:val="-9"/>
          <w:sz w:val="21"/>
          <w:szCs w:val="21"/>
          <w:u w:val="single"/>
        </w:rPr>
        <w:t xml:space="preserve"> </w:t>
      </w:r>
      <w:r w:rsidR="00E04F12" w:rsidRPr="002F4125">
        <w:rPr>
          <w:b/>
          <w:bCs/>
          <w:i/>
          <w:iCs/>
          <w:sz w:val="21"/>
          <w:szCs w:val="21"/>
          <w:u w:val="single"/>
        </w:rPr>
        <w:lastRenderedPageBreak/>
        <w:t>pénsum,</w:t>
      </w:r>
      <w:r w:rsidR="00E04F12" w:rsidRPr="002F4125">
        <w:rPr>
          <w:b/>
          <w:bCs/>
          <w:i/>
          <w:iCs/>
          <w:spacing w:val="-7"/>
          <w:sz w:val="21"/>
          <w:szCs w:val="21"/>
          <w:u w:val="single"/>
        </w:rPr>
        <w:t xml:space="preserve"> </w:t>
      </w:r>
      <w:r w:rsidR="00E04F12" w:rsidRPr="002F4125">
        <w:rPr>
          <w:b/>
          <w:bCs/>
          <w:i/>
          <w:iCs/>
          <w:sz w:val="21"/>
          <w:szCs w:val="21"/>
          <w:u w:val="single"/>
        </w:rPr>
        <w:t>es</w:t>
      </w:r>
      <w:r w:rsidR="00E04F12" w:rsidRPr="002F4125">
        <w:rPr>
          <w:b/>
          <w:bCs/>
          <w:i/>
          <w:iCs/>
          <w:spacing w:val="-9"/>
          <w:sz w:val="21"/>
          <w:szCs w:val="21"/>
          <w:u w:val="single"/>
        </w:rPr>
        <w:t xml:space="preserve"> </w:t>
      </w:r>
      <w:r w:rsidR="00E04F12" w:rsidRPr="002F4125">
        <w:rPr>
          <w:b/>
          <w:bCs/>
          <w:i/>
          <w:iCs/>
          <w:sz w:val="21"/>
          <w:szCs w:val="21"/>
          <w:u w:val="single"/>
        </w:rPr>
        <w:t>decir,</w:t>
      </w:r>
      <w:r w:rsidR="00E04F12" w:rsidRPr="002F4125">
        <w:rPr>
          <w:b/>
          <w:bCs/>
          <w:i/>
          <w:iCs/>
          <w:spacing w:val="-8"/>
          <w:sz w:val="21"/>
          <w:szCs w:val="21"/>
          <w:u w:val="single"/>
        </w:rPr>
        <w:t xml:space="preserve"> </w:t>
      </w:r>
      <w:r w:rsidR="00E04F12" w:rsidRPr="002F4125">
        <w:rPr>
          <w:b/>
          <w:bCs/>
          <w:i/>
          <w:iCs/>
          <w:sz w:val="21"/>
          <w:szCs w:val="21"/>
          <w:u w:val="single"/>
        </w:rPr>
        <w:t>según</w:t>
      </w:r>
      <w:r w:rsidR="00E04F12" w:rsidRPr="002F4125">
        <w:rPr>
          <w:b/>
          <w:bCs/>
          <w:i/>
          <w:iCs/>
          <w:spacing w:val="-8"/>
          <w:sz w:val="21"/>
          <w:szCs w:val="21"/>
          <w:u w:val="single"/>
        </w:rPr>
        <w:t xml:space="preserve"> </w:t>
      </w:r>
      <w:r w:rsidR="00E04F12" w:rsidRPr="002F4125">
        <w:rPr>
          <w:b/>
          <w:bCs/>
          <w:i/>
          <w:iCs/>
          <w:sz w:val="21"/>
          <w:szCs w:val="21"/>
          <w:u w:val="single"/>
        </w:rPr>
        <w:t>la regla dispuesta en el artículo 229 del Decreto Ley 019 de 2012, sin dejar de lado</w:t>
      </w:r>
      <w:r w:rsidR="00E04F12" w:rsidRPr="002F4125">
        <w:rPr>
          <w:b/>
          <w:bCs/>
          <w:i/>
          <w:iCs/>
          <w:spacing w:val="-20"/>
          <w:sz w:val="21"/>
          <w:szCs w:val="21"/>
          <w:u w:val="single"/>
        </w:rPr>
        <w:t xml:space="preserve"> </w:t>
      </w:r>
      <w:r w:rsidR="00E04F12" w:rsidRPr="002F4125">
        <w:rPr>
          <w:b/>
          <w:bCs/>
          <w:i/>
          <w:iCs/>
          <w:sz w:val="21"/>
          <w:szCs w:val="21"/>
          <w:u w:val="single"/>
        </w:rPr>
        <w:t>lo</w:t>
      </w:r>
      <w:r w:rsidR="00E04F12" w:rsidRPr="002F4125">
        <w:rPr>
          <w:b/>
          <w:bCs/>
          <w:i/>
          <w:iCs/>
          <w:spacing w:val="-19"/>
          <w:sz w:val="21"/>
          <w:szCs w:val="21"/>
          <w:u w:val="single"/>
        </w:rPr>
        <w:t xml:space="preserve"> </w:t>
      </w:r>
      <w:r w:rsidR="00E04F12" w:rsidRPr="002F4125">
        <w:rPr>
          <w:b/>
          <w:bCs/>
          <w:i/>
          <w:iCs/>
          <w:sz w:val="21"/>
          <w:szCs w:val="21"/>
          <w:u w:val="single"/>
        </w:rPr>
        <w:t>regulado</w:t>
      </w:r>
      <w:r w:rsidR="00E04F12" w:rsidRPr="002F4125">
        <w:rPr>
          <w:b/>
          <w:bCs/>
          <w:i/>
          <w:iCs/>
          <w:spacing w:val="-19"/>
          <w:sz w:val="21"/>
          <w:szCs w:val="21"/>
          <w:u w:val="single"/>
        </w:rPr>
        <w:t xml:space="preserve"> </w:t>
      </w:r>
      <w:r w:rsidR="00E04F12" w:rsidRPr="002F4125">
        <w:rPr>
          <w:b/>
          <w:bCs/>
          <w:i/>
          <w:iCs/>
          <w:sz w:val="21"/>
          <w:szCs w:val="21"/>
          <w:u w:val="single"/>
        </w:rPr>
        <w:t>en</w:t>
      </w:r>
      <w:r w:rsidR="00E04F12" w:rsidRPr="002F4125">
        <w:rPr>
          <w:b/>
          <w:bCs/>
          <w:i/>
          <w:iCs/>
          <w:spacing w:val="-20"/>
          <w:sz w:val="21"/>
          <w:szCs w:val="21"/>
          <w:u w:val="single"/>
        </w:rPr>
        <w:t xml:space="preserve"> </w:t>
      </w:r>
      <w:r w:rsidR="00E04F12" w:rsidRPr="002F4125">
        <w:rPr>
          <w:b/>
          <w:bCs/>
          <w:i/>
          <w:iCs/>
          <w:sz w:val="21"/>
          <w:szCs w:val="21"/>
          <w:u w:val="single"/>
        </w:rPr>
        <w:t>las</w:t>
      </w:r>
      <w:r w:rsidR="00E04F12" w:rsidRPr="002F4125">
        <w:rPr>
          <w:b/>
          <w:bCs/>
          <w:i/>
          <w:iCs/>
          <w:spacing w:val="-19"/>
          <w:sz w:val="21"/>
          <w:szCs w:val="21"/>
          <w:u w:val="single"/>
        </w:rPr>
        <w:t xml:space="preserve"> </w:t>
      </w:r>
      <w:r w:rsidR="00E04F12" w:rsidRPr="002F4125">
        <w:rPr>
          <w:b/>
          <w:bCs/>
          <w:i/>
          <w:iCs/>
          <w:sz w:val="21"/>
          <w:szCs w:val="21"/>
          <w:u w:val="single"/>
        </w:rPr>
        <w:t>Leyes</w:t>
      </w:r>
      <w:r w:rsidR="00E04F12" w:rsidRPr="002F4125">
        <w:rPr>
          <w:b/>
          <w:bCs/>
          <w:i/>
          <w:iCs/>
          <w:spacing w:val="-20"/>
          <w:sz w:val="21"/>
          <w:szCs w:val="21"/>
          <w:u w:val="single"/>
        </w:rPr>
        <w:t xml:space="preserve"> </w:t>
      </w:r>
      <w:r w:rsidR="00E04F12" w:rsidRPr="002F4125">
        <w:rPr>
          <w:b/>
          <w:bCs/>
          <w:i/>
          <w:iCs/>
          <w:sz w:val="21"/>
          <w:szCs w:val="21"/>
          <w:u w:val="single"/>
        </w:rPr>
        <w:t>1955</w:t>
      </w:r>
      <w:r w:rsidR="00E04F12" w:rsidRPr="002F4125">
        <w:rPr>
          <w:b/>
          <w:bCs/>
          <w:i/>
          <w:iCs/>
          <w:spacing w:val="-19"/>
          <w:sz w:val="21"/>
          <w:szCs w:val="21"/>
          <w:u w:val="single"/>
        </w:rPr>
        <w:t xml:space="preserve"> </w:t>
      </w:r>
      <w:r w:rsidR="00E04F12" w:rsidRPr="002F4125">
        <w:rPr>
          <w:b/>
          <w:bCs/>
          <w:i/>
          <w:iCs/>
          <w:sz w:val="21"/>
          <w:szCs w:val="21"/>
          <w:u w:val="single"/>
        </w:rPr>
        <w:t>de</w:t>
      </w:r>
      <w:r w:rsidR="00E04F12" w:rsidRPr="002F4125">
        <w:rPr>
          <w:b/>
          <w:bCs/>
          <w:i/>
          <w:iCs/>
          <w:spacing w:val="-19"/>
          <w:sz w:val="21"/>
          <w:szCs w:val="21"/>
          <w:u w:val="single"/>
        </w:rPr>
        <w:t xml:space="preserve"> </w:t>
      </w:r>
      <w:r w:rsidR="00E04F12" w:rsidRPr="002F4125">
        <w:rPr>
          <w:b/>
          <w:bCs/>
          <w:i/>
          <w:iCs/>
          <w:sz w:val="21"/>
          <w:szCs w:val="21"/>
          <w:u w:val="single"/>
        </w:rPr>
        <w:t>2019</w:t>
      </w:r>
      <w:r w:rsidR="00E04F12" w:rsidRPr="002F4125">
        <w:rPr>
          <w:b/>
          <w:bCs/>
          <w:i/>
          <w:iCs/>
          <w:spacing w:val="-20"/>
          <w:sz w:val="21"/>
          <w:szCs w:val="21"/>
          <w:u w:val="single"/>
        </w:rPr>
        <w:t xml:space="preserve"> </w:t>
      </w:r>
      <w:r w:rsidR="00E04F12" w:rsidRPr="002F4125">
        <w:rPr>
          <w:b/>
          <w:bCs/>
          <w:i/>
          <w:iCs/>
          <w:sz w:val="21"/>
          <w:szCs w:val="21"/>
          <w:u w:val="single"/>
        </w:rPr>
        <w:t>y</w:t>
      </w:r>
      <w:r w:rsidR="00E04F12" w:rsidRPr="002F4125">
        <w:rPr>
          <w:b/>
          <w:bCs/>
          <w:i/>
          <w:iCs/>
          <w:spacing w:val="-19"/>
          <w:sz w:val="21"/>
          <w:szCs w:val="21"/>
          <w:u w:val="single"/>
        </w:rPr>
        <w:t xml:space="preserve"> </w:t>
      </w:r>
      <w:r w:rsidR="00E04F12" w:rsidRPr="002F4125">
        <w:rPr>
          <w:b/>
          <w:bCs/>
          <w:i/>
          <w:iCs/>
          <w:sz w:val="21"/>
          <w:szCs w:val="21"/>
          <w:u w:val="single"/>
        </w:rPr>
        <w:t>2043</w:t>
      </w:r>
      <w:r w:rsidR="00E04F12" w:rsidRPr="002F4125">
        <w:rPr>
          <w:b/>
          <w:bCs/>
          <w:i/>
          <w:iCs/>
          <w:spacing w:val="-19"/>
          <w:sz w:val="21"/>
          <w:szCs w:val="21"/>
          <w:u w:val="single"/>
        </w:rPr>
        <w:t xml:space="preserve"> </w:t>
      </w:r>
      <w:r w:rsidR="00E04F12" w:rsidRPr="002F4125">
        <w:rPr>
          <w:b/>
          <w:bCs/>
          <w:i/>
          <w:iCs/>
          <w:sz w:val="21"/>
          <w:szCs w:val="21"/>
          <w:u w:val="single"/>
        </w:rPr>
        <w:t>de</w:t>
      </w:r>
      <w:r w:rsidR="00E04F12" w:rsidRPr="002F4125">
        <w:rPr>
          <w:b/>
          <w:bCs/>
          <w:i/>
          <w:iCs/>
          <w:spacing w:val="-20"/>
          <w:sz w:val="21"/>
          <w:szCs w:val="21"/>
          <w:u w:val="single"/>
        </w:rPr>
        <w:t xml:space="preserve"> </w:t>
      </w:r>
      <w:r w:rsidR="00E04F12" w:rsidRPr="002F4125">
        <w:rPr>
          <w:b/>
          <w:bCs/>
          <w:i/>
          <w:iCs/>
          <w:sz w:val="21"/>
          <w:szCs w:val="21"/>
          <w:u w:val="single"/>
        </w:rPr>
        <w:t>2020.</w:t>
      </w:r>
      <w:r w:rsidR="00E04F12" w:rsidRPr="002F4125">
        <w:rPr>
          <w:b/>
          <w:bCs/>
          <w:i/>
          <w:iCs/>
          <w:spacing w:val="-19"/>
          <w:sz w:val="21"/>
          <w:szCs w:val="21"/>
          <w:u w:val="single"/>
        </w:rPr>
        <w:t xml:space="preserve"> </w:t>
      </w:r>
      <w:r w:rsidR="00E04F12" w:rsidRPr="002F4125">
        <w:rPr>
          <w:b/>
          <w:bCs/>
          <w:i/>
          <w:iCs/>
          <w:sz w:val="21"/>
          <w:szCs w:val="21"/>
          <w:u w:val="single"/>
        </w:rPr>
        <w:t>En</w:t>
      </w:r>
      <w:r w:rsidR="00E04F12" w:rsidRPr="002F4125">
        <w:rPr>
          <w:b/>
          <w:bCs/>
          <w:i/>
          <w:iCs/>
          <w:spacing w:val="-19"/>
          <w:sz w:val="21"/>
          <w:szCs w:val="21"/>
          <w:u w:val="single"/>
        </w:rPr>
        <w:t xml:space="preserve"> </w:t>
      </w:r>
      <w:r w:rsidR="00E04F12" w:rsidRPr="002F4125">
        <w:rPr>
          <w:b/>
          <w:bCs/>
          <w:i/>
          <w:iCs/>
          <w:sz w:val="21"/>
          <w:szCs w:val="21"/>
          <w:u w:val="single"/>
        </w:rPr>
        <w:t>estos</w:t>
      </w:r>
      <w:r w:rsidR="00E04F12" w:rsidRPr="002F4125">
        <w:rPr>
          <w:b/>
          <w:bCs/>
          <w:i/>
          <w:iCs/>
          <w:spacing w:val="-20"/>
          <w:sz w:val="21"/>
          <w:szCs w:val="21"/>
          <w:u w:val="single"/>
        </w:rPr>
        <w:t xml:space="preserve"> </w:t>
      </w:r>
      <w:r w:rsidR="00E04F12" w:rsidRPr="002F4125">
        <w:rPr>
          <w:b/>
          <w:bCs/>
          <w:i/>
          <w:iCs/>
          <w:sz w:val="21"/>
          <w:szCs w:val="21"/>
          <w:u w:val="single"/>
        </w:rPr>
        <w:t>términos, no puede computarse la experiencia profesional de ingeniería desde la expedición de la tarjeta o licencia profesional, sino desde la terminación de materias del pénsum académico, teniendo en cuenta también que es posible determinar las practicas académicas como experiencia profesional</w:t>
      </w:r>
      <w:r w:rsidR="00E04F12" w:rsidRPr="002F4125">
        <w:rPr>
          <w:i/>
          <w:iCs/>
          <w:sz w:val="21"/>
          <w:szCs w:val="21"/>
        </w:rPr>
        <w:t>.</w:t>
      </w:r>
    </w:p>
    <w:p w14:paraId="2ABB6DA6" w14:textId="164ED6A0" w:rsidR="00C67A7F" w:rsidRPr="002F4125" w:rsidRDefault="00E04F12" w:rsidP="00150126">
      <w:pPr>
        <w:pStyle w:val="Textoindependiente"/>
        <w:spacing w:before="120"/>
        <w:ind w:left="709" w:right="709" w:firstLine="709"/>
        <w:jc w:val="both"/>
        <w:rPr>
          <w:i/>
          <w:iCs/>
          <w:sz w:val="21"/>
          <w:szCs w:val="21"/>
        </w:rPr>
      </w:pPr>
      <w:r w:rsidRPr="002F4125">
        <w:rPr>
          <w:i/>
          <w:iCs/>
          <w:sz w:val="21"/>
          <w:szCs w:val="21"/>
        </w:rPr>
        <w:t>Este cómputo de la experiencia está sujeta a los certificados o documentos que se expidan por las diferentes entidades o empresas, donde haya</w:t>
      </w:r>
      <w:r w:rsidRPr="002F4125">
        <w:rPr>
          <w:i/>
          <w:iCs/>
          <w:spacing w:val="-2"/>
          <w:sz w:val="21"/>
          <w:szCs w:val="21"/>
        </w:rPr>
        <w:t xml:space="preserve"> </w:t>
      </w:r>
      <w:r w:rsidRPr="002F4125">
        <w:rPr>
          <w:i/>
          <w:iCs/>
          <w:sz w:val="21"/>
          <w:szCs w:val="21"/>
        </w:rPr>
        <w:t>laborado</w:t>
      </w:r>
      <w:r w:rsidRPr="002F4125">
        <w:rPr>
          <w:i/>
          <w:iCs/>
          <w:spacing w:val="-1"/>
          <w:sz w:val="21"/>
          <w:szCs w:val="21"/>
        </w:rPr>
        <w:t xml:space="preserve"> </w:t>
      </w:r>
      <w:r w:rsidRPr="002F4125">
        <w:rPr>
          <w:i/>
          <w:iCs/>
          <w:sz w:val="21"/>
          <w:szCs w:val="21"/>
        </w:rPr>
        <w:t>el</w:t>
      </w:r>
      <w:r w:rsidRPr="002F4125">
        <w:rPr>
          <w:i/>
          <w:iCs/>
          <w:spacing w:val="-3"/>
          <w:sz w:val="21"/>
          <w:szCs w:val="21"/>
        </w:rPr>
        <w:t xml:space="preserve"> </w:t>
      </w:r>
      <w:r w:rsidRPr="002F4125">
        <w:rPr>
          <w:i/>
          <w:iCs/>
          <w:sz w:val="21"/>
          <w:szCs w:val="21"/>
        </w:rPr>
        <w:t>ingeniero,</w:t>
      </w:r>
      <w:r w:rsidRPr="002F4125">
        <w:rPr>
          <w:i/>
          <w:iCs/>
          <w:spacing w:val="-1"/>
          <w:sz w:val="21"/>
          <w:szCs w:val="21"/>
        </w:rPr>
        <w:t xml:space="preserve"> </w:t>
      </w:r>
      <w:r w:rsidRPr="002F4125">
        <w:rPr>
          <w:i/>
          <w:iCs/>
          <w:sz w:val="21"/>
          <w:szCs w:val="21"/>
        </w:rPr>
        <w:t>pues</w:t>
      </w:r>
      <w:r w:rsidRPr="002F4125">
        <w:rPr>
          <w:i/>
          <w:iCs/>
          <w:spacing w:val="-3"/>
          <w:sz w:val="21"/>
          <w:szCs w:val="21"/>
        </w:rPr>
        <w:t xml:space="preserve"> </w:t>
      </w:r>
      <w:r w:rsidRPr="002F4125">
        <w:rPr>
          <w:i/>
          <w:iCs/>
          <w:sz w:val="21"/>
          <w:szCs w:val="21"/>
        </w:rPr>
        <w:t>lo</w:t>
      </w:r>
      <w:r w:rsidRPr="002F4125">
        <w:rPr>
          <w:i/>
          <w:iCs/>
          <w:spacing w:val="-3"/>
          <w:sz w:val="21"/>
          <w:szCs w:val="21"/>
        </w:rPr>
        <w:t xml:space="preserve"> </w:t>
      </w:r>
      <w:r w:rsidRPr="002F4125">
        <w:rPr>
          <w:i/>
          <w:iCs/>
          <w:sz w:val="21"/>
          <w:szCs w:val="21"/>
        </w:rPr>
        <w:t>dispuesto</w:t>
      </w:r>
      <w:r w:rsidRPr="002F4125">
        <w:rPr>
          <w:i/>
          <w:iCs/>
          <w:spacing w:val="-1"/>
          <w:sz w:val="21"/>
          <w:szCs w:val="21"/>
        </w:rPr>
        <w:t xml:space="preserve"> </w:t>
      </w:r>
      <w:r w:rsidRPr="002F4125">
        <w:rPr>
          <w:i/>
          <w:iCs/>
          <w:sz w:val="21"/>
          <w:szCs w:val="21"/>
        </w:rPr>
        <w:t>en</w:t>
      </w:r>
      <w:r w:rsidRPr="002F4125">
        <w:rPr>
          <w:i/>
          <w:iCs/>
          <w:spacing w:val="-3"/>
          <w:sz w:val="21"/>
          <w:szCs w:val="21"/>
        </w:rPr>
        <w:t xml:space="preserve"> </w:t>
      </w:r>
      <w:r w:rsidRPr="002F4125">
        <w:rPr>
          <w:i/>
          <w:iCs/>
          <w:sz w:val="21"/>
          <w:szCs w:val="21"/>
        </w:rPr>
        <w:t>las</w:t>
      </w:r>
      <w:r w:rsidRPr="002F4125">
        <w:rPr>
          <w:i/>
          <w:iCs/>
          <w:spacing w:val="-3"/>
          <w:sz w:val="21"/>
          <w:szCs w:val="21"/>
        </w:rPr>
        <w:t xml:space="preserve"> </w:t>
      </w:r>
      <w:r w:rsidRPr="002F4125">
        <w:rPr>
          <w:i/>
          <w:iCs/>
          <w:sz w:val="21"/>
          <w:szCs w:val="21"/>
        </w:rPr>
        <w:t>normas</w:t>
      </w:r>
      <w:r w:rsidRPr="002F4125">
        <w:rPr>
          <w:i/>
          <w:iCs/>
          <w:spacing w:val="-2"/>
          <w:sz w:val="21"/>
          <w:szCs w:val="21"/>
        </w:rPr>
        <w:t xml:space="preserve"> </w:t>
      </w:r>
      <w:r w:rsidRPr="002F4125">
        <w:rPr>
          <w:i/>
          <w:iCs/>
          <w:sz w:val="21"/>
          <w:szCs w:val="21"/>
        </w:rPr>
        <w:t>precitadas</w:t>
      </w:r>
      <w:r w:rsidRPr="002F4125">
        <w:rPr>
          <w:i/>
          <w:iCs/>
          <w:spacing w:val="-1"/>
          <w:sz w:val="21"/>
          <w:szCs w:val="21"/>
        </w:rPr>
        <w:t xml:space="preserve"> </w:t>
      </w:r>
      <w:r w:rsidRPr="002F4125">
        <w:rPr>
          <w:i/>
          <w:iCs/>
          <w:sz w:val="21"/>
          <w:szCs w:val="21"/>
        </w:rPr>
        <w:t>aplica en</w:t>
      </w:r>
      <w:r w:rsidRPr="002F4125">
        <w:rPr>
          <w:i/>
          <w:iCs/>
          <w:spacing w:val="38"/>
          <w:sz w:val="21"/>
          <w:szCs w:val="21"/>
        </w:rPr>
        <w:t xml:space="preserve"> </w:t>
      </w:r>
      <w:r w:rsidRPr="002F4125">
        <w:rPr>
          <w:i/>
          <w:iCs/>
          <w:sz w:val="21"/>
          <w:szCs w:val="21"/>
        </w:rPr>
        <w:t>cuanto</w:t>
      </w:r>
      <w:r w:rsidRPr="002F4125">
        <w:rPr>
          <w:i/>
          <w:iCs/>
          <w:spacing w:val="40"/>
          <w:sz w:val="21"/>
          <w:szCs w:val="21"/>
        </w:rPr>
        <w:t xml:space="preserve"> </w:t>
      </w:r>
      <w:r w:rsidRPr="002F4125">
        <w:rPr>
          <w:i/>
          <w:iCs/>
          <w:sz w:val="21"/>
          <w:szCs w:val="21"/>
        </w:rPr>
        <w:t>al</w:t>
      </w:r>
      <w:r w:rsidRPr="002F4125">
        <w:rPr>
          <w:i/>
          <w:iCs/>
          <w:spacing w:val="38"/>
          <w:sz w:val="21"/>
          <w:szCs w:val="21"/>
        </w:rPr>
        <w:t xml:space="preserve"> </w:t>
      </w:r>
      <w:r w:rsidRPr="002F4125">
        <w:rPr>
          <w:i/>
          <w:iCs/>
          <w:sz w:val="21"/>
          <w:szCs w:val="21"/>
        </w:rPr>
        <w:t>inicio</w:t>
      </w:r>
      <w:r w:rsidRPr="002F4125">
        <w:rPr>
          <w:i/>
          <w:iCs/>
          <w:spacing w:val="40"/>
          <w:sz w:val="21"/>
          <w:szCs w:val="21"/>
        </w:rPr>
        <w:t xml:space="preserve"> </w:t>
      </w:r>
      <w:r w:rsidRPr="002F4125">
        <w:rPr>
          <w:i/>
          <w:iCs/>
          <w:sz w:val="21"/>
          <w:szCs w:val="21"/>
        </w:rPr>
        <w:t>del</w:t>
      </w:r>
      <w:r w:rsidRPr="002F4125">
        <w:rPr>
          <w:i/>
          <w:iCs/>
          <w:spacing w:val="39"/>
          <w:sz w:val="21"/>
          <w:szCs w:val="21"/>
        </w:rPr>
        <w:t xml:space="preserve"> </w:t>
      </w:r>
      <w:r w:rsidRPr="002F4125">
        <w:rPr>
          <w:i/>
          <w:iCs/>
          <w:sz w:val="21"/>
          <w:szCs w:val="21"/>
        </w:rPr>
        <w:t>cómputo.</w:t>
      </w:r>
      <w:r w:rsidRPr="002F4125">
        <w:rPr>
          <w:i/>
          <w:iCs/>
          <w:spacing w:val="40"/>
          <w:sz w:val="21"/>
          <w:szCs w:val="21"/>
        </w:rPr>
        <w:t xml:space="preserve"> </w:t>
      </w:r>
      <w:r w:rsidRPr="002F4125">
        <w:rPr>
          <w:i/>
          <w:iCs/>
          <w:sz w:val="21"/>
          <w:szCs w:val="21"/>
        </w:rPr>
        <w:t>Es</w:t>
      </w:r>
      <w:r w:rsidRPr="002F4125">
        <w:rPr>
          <w:i/>
          <w:iCs/>
          <w:spacing w:val="38"/>
          <w:sz w:val="21"/>
          <w:szCs w:val="21"/>
        </w:rPr>
        <w:t xml:space="preserve"> </w:t>
      </w:r>
      <w:r w:rsidRPr="002F4125">
        <w:rPr>
          <w:i/>
          <w:iCs/>
          <w:sz w:val="21"/>
          <w:szCs w:val="21"/>
        </w:rPr>
        <w:t>decir,</w:t>
      </w:r>
      <w:r w:rsidRPr="002F4125">
        <w:rPr>
          <w:i/>
          <w:iCs/>
          <w:spacing w:val="40"/>
          <w:sz w:val="21"/>
          <w:szCs w:val="21"/>
        </w:rPr>
        <w:t xml:space="preserve"> </w:t>
      </w:r>
      <w:r w:rsidRPr="002F4125">
        <w:rPr>
          <w:i/>
          <w:iCs/>
          <w:sz w:val="21"/>
          <w:szCs w:val="21"/>
        </w:rPr>
        <w:t>esta</w:t>
      </w:r>
      <w:r w:rsidRPr="002F4125">
        <w:rPr>
          <w:i/>
          <w:iCs/>
          <w:spacing w:val="39"/>
          <w:sz w:val="21"/>
          <w:szCs w:val="21"/>
        </w:rPr>
        <w:t xml:space="preserve"> </w:t>
      </w:r>
      <w:r w:rsidRPr="002F4125">
        <w:rPr>
          <w:i/>
          <w:iCs/>
          <w:sz w:val="21"/>
          <w:szCs w:val="21"/>
        </w:rPr>
        <w:t>regla</w:t>
      </w:r>
      <w:r w:rsidRPr="002F4125">
        <w:rPr>
          <w:i/>
          <w:iCs/>
          <w:spacing w:val="39"/>
          <w:sz w:val="21"/>
          <w:szCs w:val="21"/>
        </w:rPr>
        <w:t xml:space="preserve"> </w:t>
      </w:r>
      <w:r w:rsidRPr="002F4125">
        <w:rPr>
          <w:i/>
          <w:iCs/>
          <w:sz w:val="21"/>
          <w:szCs w:val="21"/>
        </w:rPr>
        <w:t>permite</w:t>
      </w:r>
      <w:r w:rsidRPr="002F4125">
        <w:rPr>
          <w:i/>
          <w:iCs/>
          <w:spacing w:val="40"/>
          <w:sz w:val="21"/>
          <w:szCs w:val="21"/>
        </w:rPr>
        <w:t xml:space="preserve"> </w:t>
      </w:r>
      <w:r w:rsidRPr="002F4125">
        <w:rPr>
          <w:i/>
          <w:iCs/>
          <w:sz w:val="21"/>
          <w:szCs w:val="21"/>
        </w:rPr>
        <w:t>identificar</w:t>
      </w:r>
      <w:r w:rsidRPr="002F4125">
        <w:rPr>
          <w:i/>
          <w:iCs/>
          <w:spacing w:val="40"/>
          <w:sz w:val="21"/>
          <w:szCs w:val="21"/>
        </w:rPr>
        <w:t xml:space="preserve"> </w:t>
      </w:r>
      <w:r w:rsidRPr="002F4125">
        <w:rPr>
          <w:i/>
          <w:iCs/>
          <w:sz w:val="21"/>
          <w:szCs w:val="21"/>
        </w:rPr>
        <w:t>la</w:t>
      </w:r>
      <w:r w:rsidR="00C67A7F" w:rsidRPr="002F4125">
        <w:rPr>
          <w:i/>
          <w:iCs/>
          <w:sz w:val="21"/>
          <w:szCs w:val="21"/>
        </w:rPr>
        <w:t xml:space="preserve"> entidad pública a partir de cuándo puede contar el término de experiencia, teniendo en cuenta los certificados que se alleguen para determinar su idoneidad en el Proceso de Contratación. Ahora bien, la exigencia de experiencia profesional está sujeta a lo dispuesto por cada entidad, en el momento de establecer la experiencia general o específica dentro de los diversos Procesos de Contratación. Bajo este criterio, la entidad pública es la encargada de establecer dentro de los pliegos de condiciones la experiencia que</w:t>
      </w:r>
      <w:r w:rsidR="00C67A7F" w:rsidRPr="002F4125">
        <w:rPr>
          <w:i/>
          <w:iCs/>
          <w:spacing w:val="-4"/>
          <w:sz w:val="21"/>
          <w:szCs w:val="21"/>
        </w:rPr>
        <w:t xml:space="preserve"> </w:t>
      </w:r>
      <w:r w:rsidR="00C67A7F" w:rsidRPr="002F4125">
        <w:rPr>
          <w:i/>
          <w:iCs/>
          <w:sz w:val="21"/>
          <w:szCs w:val="21"/>
        </w:rPr>
        <w:t>debe</w:t>
      </w:r>
      <w:r w:rsidR="00C67A7F" w:rsidRPr="002F4125">
        <w:rPr>
          <w:i/>
          <w:iCs/>
          <w:spacing w:val="-4"/>
          <w:sz w:val="21"/>
          <w:szCs w:val="21"/>
        </w:rPr>
        <w:t xml:space="preserve"> </w:t>
      </w:r>
      <w:r w:rsidR="00C67A7F" w:rsidRPr="002F4125">
        <w:rPr>
          <w:i/>
          <w:iCs/>
          <w:sz w:val="21"/>
          <w:szCs w:val="21"/>
        </w:rPr>
        <w:t>exigirse</w:t>
      </w:r>
      <w:r w:rsidR="00C67A7F" w:rsidRPr="002F4125">
        <w:rPr>
          <w:i/>
          <w:iCs/>
          <w:spacing w:val="-2"/>
          <w:sz w:val="21"/>
          <w:szCs w:val="21"/>
        </w:rPr>
        <w:t xml:space="preserve"> </w:t>
      </w:r>
      <w:r w:rsidR="00C67A7F" w:rsidRPr="002F4125">
        <w:rPr>
          <w:i/>
          <w:iCs/>
          <w:sz w:val="21"/>
          <w:szCs w:val="21"/>
        </w:rPr>
        <w:t>dentro</w:t>
      </w:r>
      <w:r w:rsidR="00C67A7F" w:rsidRPr="002F4125">
        <w:rPr>
          <w:i/>
          <w:iCs/>
          <w:spacing w:val="-3"/>
          <w:sz w:val="21"/>
          <w:szCs w:val="21"/>
        </w:rPr>
        <w:t xml:space="preserve"> </w:t>
      </w:r>
      <w:r w:rsidR="00C67A7F" w:rsidRPr="002F4125">
        <w:rPr>
          <w:i/>
          <w:iCs/>
          <w:sz w:val="21"/>
          <w:szCs w:val="21"/>
        </w:rPr>
        <w:t>del</w:t>
      </w:r>
      <w:r w:rsidR="00C67A7F" w:rsidRPr="002F4125">
        <w:rPr>
          <w:i/>
          <w:iCs/>
          <w:spacing w:val="-4"/>
          <w:sz w:val="21"/>
          <w:szCs w:val="21"/>
        </w:rPr>
        <w:t xml:space="preserve"> </w:t>
      </w:r>
      <w:r w:rsidR="00C67A7F" w:rsidRPr="002F4125">
        <w:rPr>
          <w:i/>
          <w:iCs/>
          <w:sz w:val="21"/>
          <w:szCs w:val="21"/>
        </w:rPr>
        <w:t>proceso.</w:t>
      </w:r>
      <w:r w:rsidR="00C67A7F" w:rsidRPr="002F4125">
        <w:rPr>
          <w:i/>
          <w:iCs/>
          <w:spacing w:val="-2"/>
          <w:sz w:val="21"/>
          <w:szCs w:val="21"/>
        </w:rPr>
        <w:t xml:space="preserve"> </w:t>
      </w:r>
      <w:r w:rsidR="00C67A7F" w:rsidRPr="002F4125">
        <w:rPr>
          <w:i/>
          <w:iCs/>
          <w:sz w:val="21"/>
          <w:szCs w:val="21"/>
        </w:rPr>
        <w:t>En</w:t>
      </w:r>
      <w:r w:rsidR="00C67A7F" w:rsidRPr="002F4125">
        <w:rPr>
          <w:i/>
          <w:iCs/>
          <w:spacing w:val="-4"/>
          <w:sz w:val="21"/>
          <w:szCs w:val="21"/>
        </w:rPr>
        <w:t xml:space="preserve"> </w:t>
      </w:r>
      <w:r w:rsidR="00C67A7F" w:rsidRPr="002F4125">
        <w:rPr>
          <w:i/>
          <w:iCs/>
          <w:sz w:val="21"/>
          <w:szCs w:val="21"/>
        </w:rPr>
        <w:t>tal</w:t>
      </w:r>
      <w:r w:rsidR="00C67A7F" w:rsidRPr="002F4125">
        <w:rPr>
          <w:i/>
          <w:iCs/>
          <w:spacing w:val="-4"/>
          <w:sz w:val="21"/>
          <w:szCs w:val="21"/>
        </w:rPr>
        <w:t xml:space="preserve"> </w:t>
      </w:r>
      <w:r w:rsidR="00C67A7F" w:rsidRPr="002F4125">
        <w:rPr>
          <w:i/>
          <w:iCs/>
          <w:sz w:val="21"/>
          <w:szCs w:val="21"/>
        </w:rPr>
        <w:t>sentido,</w:t>
      </w:r>
      <w:r w:rsidR="00C67A7F" w:rsidRPr="002F4125">
        <w:rPr>
          <w:i/>
          <w:iCs/>
          <w:spacing w:val="-2"/>
          <w:sz w:val="21"/>
          <w:szCs w:val="21"/>
        </w:rPr>
        <w:t xml:space="preserve"> </w:t>
      </w:r>
      <w:r w:rsidR="00C67A7F" w:rsidRPr="002F4125">
        <w:rPr>
          <w:i/>
          <w:iCs/>
          <w:sz w:val="21"/>
          <w:szCs w:val="21"/>
        </w:rPr>
        <w:t>la</w:t>
      </w:r>
      <w:r w:rsidR="00C67A7F" w:rsidRPr="002F4125">
        <w:rPr>
          <w:i/>
          <w:iCs/>
          <w:spacing w:val="-5"/>
          <w:sz w:val="21"/>
          <w:szCs w:val="21"/>
        </w:rPr>
        <w:t xml:space="preserve"> </w:t>
      </w:r>
      <w:r w:rsidR="00C67A7F" w:rsidRPr="002F4125">
        <w:rPr>
          <w:i/>
          <w:iCs/>
          <w:sz w:val="21"/>
          <w:szCs w:val="21"/>
        </w:rPr>
        <w:t>forma</w:t>
      </w:r>
      <w:r w:rsidR="00C67A7F" w:rsidRPr="002F4125">
        <w:rPr>
          <w:i/>
          <w:iCs/>
          <w:spacing w:val="-4"/>
          <w:sz w:val="21"/>
          <w:szCs w:val="21"/>
        </w:rPr>
        <w:t xml:space="preserve"> </w:t>
      </w:r>
      <w:r w:rsidR="00C67A7F" w:rsidRPr="002F4125">
        <w:rPr>
          <w:i/>
          <w:iCs/>
          <w:sz w:val="21"/>
          <w:szCs w:val="21"/>
        </w:rPr>
        <w:t>de</w:t>
      </w:r>
      <w:r w:rsidR="00C67A7F" w:rsidRPr="002F4125">
        <w:rPr>
          <w:i/>
          <w:iCs/>
          <w:spacing w:val="-4"/>
          <w:sz w:val="21"/>
          <w:szCs w:val="21"/>
        </w:rPr>
        <w:t xml:space="preserve"> </w:t>
      </w:r>
      <w:r w:rsidR="00C67A7F" w:rsidRPr="002F4125">
        <w:rPr>
          <w:i/>
          <w:iCs/>
          <w:sz w:val="21"/>
          <w:szCs w:val="21"/>
        </w:rPr>
        <w:t>acreditación de</w:t>
      </w:r>
      <w:r w:rsidR="00C67A7F" w:rsidRPr="002F4125">
        <w:rPr>
          <w:i/>
          <w:iCs/>
          <w:spacing w:val="-3"/>
          <w:sz w:val="21"/>
          <w:szCs w:val="21"/>
        </w:rPr>
        <w:t xml:space="preserve"> </w:t>
      </w:r>
      <w:r w:rsidR="00C67A7F" w:rsidRPr="002F4125">
        <w:rPr>
          <w:i/>
          <w:iCs/>
          <w:sz w:val="21"/>
          <w:szCs w:val="21"/>
        </w:rPr>
        <w:t>la</w:t>
      </w:r>
      <w:r w:rsidR="00C67A7F" w:rsidRPr="002F4125">
        <w:rPr>
          <w:i/>
          <w:iCs/>
          <w:spacing w:val="-3"/>
          <w:sz w:val="21"/>
          <w:szCs w:val="21"/>
        </w:rPr>
        <w:t xml:space="preserve"> </w:t>
      </w:r>
      <w:r w:rsidR="00C67A7F" w:rsidRPr="002F4125">
        <w:rPr>
          <w:i/>
          <w:iCs/>
          <w:sz w:val="21"/>
          <w:szCs w:val="21"/>
        </w:rPr>
        <w:t>experiencia</w:t>
      </w:r>
      <w:r w:rsidR="00C67A7F" w:rsidRPr="002F4125">
        <w:rPr>
          <w:i/>
          <w:iCs/>
          <w:spacing w:val="-1"/>
          <w:sz w:val="21"/>
          <w:szCs w:val="21"/>
        </w:rPr>
        <w:t xml:space="preserve"> </w:t>
      </w:r>
      <w:r w:rsidR="00C67A7F" w:rsidRPr="002F4125">
        <w:rPr>
          <w:i/>
          <w:iCs/>
          <w:sz w:val="21"/>
          <w:szCs w:val="21"/>
        </w:rPr>
        <w:t>por</w:t>
      </w:r>
      <w:r w:rsidR="00C67A7F" w:rsidRPr="002F4125">
        <w:rPr>
          <w:i/>
          <w:iCs/>
          <w:spacing w:val="-3"/>
          <w:sz w:val="21"/>
          <w:szCs w:val="21"/>
        </w:rPr>
        <w:t xml:space="preserve"> </w:t>
      </w:r>
      <w:r w:rsidR="00C67A7F" w:rsidRPr="002F4125">
        <w:rPr>
          <w:i/>
          <w:iCs/>
          <w:sz w:val="21"/>
          <w:szCs w:val="21"/>
        </w:rPr>
        <w:t>parte</w:t>
      </w:r>
      <w:r w:rsidR="00C67A7F" w:rsidRPr="002F4125">
        <w:rPr>
          <w:i/>
          <w:iCs/>
          <w:spacing w:val="-2"/>
          <w:sz w:val="21"/>
          <w:szCs w:val="21"/>
        </w:rPr>
        <w:t xml:space="preserve"> </w:t>
      </w:r>
      <w:r w:rsidR="00C67A7F" w:rsidRPr="002F4125">
        <w:rPr>
          <w:i/>
          <w:iCs/>
          <w:sz w:val="21"/>
          <w:szCs w:val="21"/>
        </w:rPr>
        <w:t>de</w:t>
      </w:r>
      <w:r w:rsidR="00C67A7F" w:rsidRPr="002F4125">
        <w:rPr>
          <w:i/>
          <w:iCs/>
          <w:spacing w:val="-3"/>
          <w:sz w:val="21"/>
          <w:szCs w:val="21"/>
        </w:rPr>
        <w:t xml:space="preserve"> </w:t>
      </w:r>
      <w:r w:rsidR="00C67A7F" w:rsidRPr="002F4125">
        <w:rPr>
          <w:i/>
          <w:iCs/>
          <w:sz w:val="21"/>
          <w:szCs w:val="21"/>
        </w:rPr>
        <w:t>los</w:t>
      </w:r>
      <w:r w:rsidR="00C67A7F" w:rsidRPr="002F4125">
        <w:rPr>
          <w:i/>
          <w:iCs/>
          <w:spacing w:val="-3"/>
          <w:sz w:val="21"/>
          <w:szCs w:val="21"/>
        </w:rPr>
        <w:t xml:space="preserve"> </w:t>
      </w:r>
      <w:r w:rsidR="00C67A7F" w:rsidRPr="002F4125">
        <w:rPr>
          <w:i/>
          <w:iCs/>
          <w:sz w:val="21"/>
          <w:szCs w:val="21"/>
        </w:rPr>
        <w:t>proponentes</w:t>
      </w:r>
      <w:r w:rsidR="00C67A7F" w:rsidRPr="002F4125">
        <w:rPr>
          <w:i/>
          <w:iCs/>
          <w:spacing w:val="-2"/>
          <w:sz w:val="21"/>
          <w:szCs w:val="21"/>
        </w:rPr>
        <w:t xml:space="preserve"> </w:t>
      </w:r>
      <w:r w:rsidR="00C67A7F" w:rsidRPr="002F4125">
        <w:rPr>
          <w:i/>
          <w:iCs/>
          <w:sz w:val="21"/>
          <w:szCs w:val="21"/>
        </w:rPr>
        <w:t>se</w:t>
      </w:r>
      <w:r w:rsidR="00C67A7F" w:rsidRPr="002F4125">
        <w:rPr>
          <w:i/>
          <w:iCs/>
          <w:spacing w:val="-3"/>
          <w:sz w:val="21"/>
          <w:szCs w:val="21"/>
        </w:rPr>
        <w:t xml:space="preserve"> </w:t>
      </w:r>
      <w:r w:rsidR="00C67A7F" w:rsidRPr="002F4125">
        <w:rPr>
          <w:i/>
          <w:iCs/>
          <w:sz w:val="21"/>
          <w:szCs w:val="21"/>
        </w:rPr>
        <w:t>realizará</w:t>
      </w:r>
      <w:r w:rsidR="00C67A7F" w:rsidRPr="002F4125">
        <w:rPr>
          <w:i/>
          <w:iCs/>
          <w:spacing w:val="-2"/>
          <w:sz w:val="21"/>
          <w:szCs w:val="21"/>
        </w:rPr>
        <w:t xml:space="preserve"> </w:t>
      </w:r>
      <w:r w:rsidR="00C67A7F" w:rsidRPr="002F4125">
        <w:rPr>
          <w:i/>
          <w:iCs/>
          <w:sz w:val="21"/>
          <w:szCs w:val="21"/>
        </w:rPr>
        <w:t>en</w:t>
      </w:r>
      <w:r w:rsidR="00C67A7F" w:rsidRPr="002F4125">
        <w:rPr>
          <w:i/>
          <w:iCs/>
          <w:spacing w:val="-3"/>
          <w:sz w:val="21"/>
          <w:szCs w:val="21"/>
        </w:rPr>
        <w:t xml:space="preserve"> </w:t>
      </w:r>
      <w:r w:rsidR="00C67A7F" w:rsidRPr="002F4125">
        <w:rPr>
          <w:i/>
          <w:iCs/>
          <w:sz w:val="21"/>
          <w:szCs w:val="21"/>
        </w:rPr>
        <w:t>las</w:t>
      </w:r>
      <w:r w:rsidR="00C67A7F" w:rsidRPr="002F4125">
        <w:rPr>
          <w:i/>
          <w:iCs/>
          <w:spacing w:val="-3"/>
          <w:sz w:val="21"/>
          <w:szCs w:val="21"/>
        </w:rPr>
        <w:t xml:space="preserve"> </w:t>
      </w:r>
      <w:r w:rsidR="00C67A7F" w:rsidRPr="002F4125">
        <w:rPr>
          <w:i/>
          <w:iCs/>
          <w:sz w:val="21"/>
          <w:szCs w:val="21"/>
        </w:rPr>
        <w:t>condiciones establecidas en el respectivo pliego de condiciones, pues no hay una noción general de experiencia general y específica, sino que ello corresponderá a lo establecido en los Documentos del Proceso.</w:t>
      </w:r>
      <w:r w:rsidR="00150126" w:rsidRPr="002F4125">
        <w:rPr>
          <w:i/>
          <w:iCs/>
          <w:sz w:val="21"/>
          <w:szCs w:val="21"/>
        </w:rPr>
        <w:t xml:space="preserve"> […]”</w:t>
      </w:r>
    </w:p>
    <w:p w14:paraId="1E60E10A" w14:textId="47BFAA49" w:rsidR="00E04F12" w:rsidRDefault="00476DBF" w:rsidP="00AA7BE1">
      <w:pPr>
        <w:spacing w:before="120" w:after="120" w:line="276" w:lineRule="auto"/>
        <w:ind w:right="51" w:firstLine="708"/>
        <w:jc w:val="both"/>
        <w:rPr>
          <w:rFonts w:ascii="Verdana" w:hAnsi="Verdana" w:cs="Arial"/>
          <w:lang w:eastAsia="es-ES_tradnl"/>
        </w:rPr>
      </w:pPr>
      <w:r w:rsidRPr="00476DBF">
        <w:rPr>
          <w:rFonts w:ascii="Verdana" w:hAnsi="Verdana" w:cs="Arial"/>
          <w:lang w:eastAsia="es-ES_tradnl"/>
        </w:rPr>
        <w:t xml:space="preserve">La postura expuesta previamente por la Subdirección de Gestión Contractual, en torno al </w:t>
      </w:r>
      <w:r>
        <w:rPr>
          <w:rFonts w:ascii="Verdana" w:hAnsi="Verdana" w:cs="Arial"/>
          <w:lang w:eastAsia="es-ES_tradnl"/>
        </w:rPr>
        <w:t xml:space="preserve">desde </w:t>
      </w:r>
      <w:r w:rsidR="003E4D04">
        <w:rPr>
          <w:rFonts w:ascii="Verdana" w:hAnsi="Verdana" w:cs="Arial"/>
          <w:lang w:eastAsia="es-ES_tradnl"/>
        </w:rPr>
        <w:t>cuándo</w:t>
      </w:r>
      <w:r>
        <w:rPr>
          <w:rFonts w:ascii="Verdana" w:hAnsi="Verdana" w:cs="Arial"/>
          <w:lang w:eastAsia="es-ES_tradnl"/>
        </w:rPr>
        <w:t xml:space="preserve"> se debe realizar el </w:t>
      </w:r>
      <w:r w:rsidR="002F4125">
        <w:rPr>
          <w:rFonts w:ascii="Verdana" w:hAnsi="Verdana" w:cs="Arial"/>
          <w:lang w:eastAsia="es-ES_tradnl"/>
        </w:rPr>
        <w:t>cómputo</w:t>
      </w:r>
      <w:r>
        <w:rPr>
          <w:rFonts w:ascii="Verdana" w:hAnsi="Verdana" w:cs="Arial"/>
          <w:lang w:eastAsia="es-ES_tradnl"/>
        </w:rPr>
        <w:t xml:space="preserve"> de la experiencia profesional para la profesión de los Ingenieros y afines</w:t>
      </w:r>
      <w:r w:rsidRPr="00476DBF">
        <w:rPr>
          <w:rFonts w:ascii="Verdana" w:hAnsi="Verdana" w:cs="Arial"/>
          <w:lang w:eastAsia="es-ES_tradnl"/>
        </w:rPr>
        <w:t xml:space="preserve">, no ha sido </w:t>
      </w:r>
      <w:r w:rsidR="002F4125" w:rsidRPr="00476DBF">
        <w:rPr>
          <w:rFonts w:ascii="Verdana" w:hAnsi="Verdana" w:cs="Arial"/>
          <w:lang w:eastAsia="es-ES_tradnl"/>
        </w:rPr>
        <w:t>pacífica</w:t>
      </w:r>
      <w:r w:rsidRPr="00476DBF">
        <w:rPr>
          <w:rFonts w:ascii="Verdana" w:hAnsi="Verdana" w:cs="Arial"/>
          <w:lang w:eastAsia="es-ES_tradnl"/>
        </w:rPr>
        <w:t xml:space="preserve">. En razón a ello, resulta relevante, a efectos de atender la consulta planteada exponer </w:t>
      </w:r>
      <w:r w:rsidR="00A877A3">
        <w:rPr>
          <w:rFonts w:ascii="Verdana" w:hAnsi="Verdana" w:cs="Arial"/>
          <w:lang w:eastAsia="es-ES_tradnl"/>
        </w:rPr>
        <w:t xml:space="preserve">el análisis realizado a la Sentencia </w:t>
      </w:r>
      <w:r w:rsidR="00A877A3" w:rsidRPr="002F4125">
        <w:rPr>
          <w:rFonts w:ascii="Verdana" w:hAnsi="Verdana" w:cs="Arial"/>
          <w:lang w:eastAsia="es-ES_tradnl"/>
        </w:rPr>
        <w:t xml:space="preserve">de Constitucionalidad </w:t>
      </w:r>
      <w:r w:rsidR="00A877A3" w:rsidRPr="005D621F">
        <w:rPr>
          <w:rFonts w:ascii="Verdana" w:eastAsia="Calibri" w:hAnsi="Verdana" w:cs="Arial"/>
        </w:rPr>
        <w:t>C-296 del 18 de abril de 2012, Magistrado Ponente: Juan Carlos Henao Pérez</w:t>
      </w:r>
      <w:r w:rsidR="00A877A3">
        <w:rPr>
          <w:rFonts w:ascii="Verdana" w:eastAsia="Calibri" w:hAnsi="Verdana" w:cs="Arial"/>
        </w:rPr>
        <w:t xml:space="preserve"> en donde se estudió artículo </w:t>
      </w:r>
      <w:r w:rsidR="00A877A3" w:rsidRPr="002F4125">
        <w:rPr>
          <w:rFonts w:ascii="Verdana" w:eastAsia="Calibri" w:hAnsi="Verdana" w:cs="Arial"/>
        </w:rPr>
        <w:t>12 de la ley</w:t>
      </w:r>
      <w:r w:rsidR="00D73934" w:rsidRPr="002F4125">
        <w:rPr>
          <w:rFonts w:ascii="Verdana" w:eastAsia="Calibri" w:hAnsi="Verdana" w:cs="Arial"/>
        </w:rPr>
        <w:t xml:space="preserve"> </w:t>
      </w:r>
      <w:r w:rsidR="00D73934" w:rsidRPr="002F4125">
        <w:rPr>
          <w:rFonts w:ascii="Verdana" w:hAnsi="Verdana"/>
          <w:lang w:val="es-ES"/>
        </w:rPr>
        <w:t xml:space="preserve">842 de </w:t>
      </w:r>
      <w:r w:rsidR="002F4125" w:rsidRPr="002F4125">
        <w:rPr>
          <w:rFonts w:ascii="Verdana" w:hAnsi="Verdana"/>
          <w:lang w:val="es-ES"/>
        </w:rPr>
        <w:t>2003</w:t>
      </w:r>
      <w:r w:rsidR="002F4125" w:rsidRPr="002F4125">
        <w:rPr>
          <w:lang w:val="es-ES"/>
        </w:rPr>
        <w:t>.</w:t>
      </w:r>
      <w:r w:rsidRPr="00476DBF">
        <w:rPr>
          <w:rFonts w:ascii="Verdana" w:hAnsi="Verdana" w:cs="Arial"/>
          <w:lang w:eastAsia="es-ES_tradnl"/>
        </w:rPr>
        <w:t xml:space="preserve"> Dicha exposición se realiza con el fin de explicar las razones por las cuales esta Agencia considera necesario hacer </w:t>
      </w:r>
      <w:r w:rsidRPr="00C97A63">
        <w:rPr>
          <w:rFonts w:ascii="Verdana" w:hAnsi="Verdana" w:cs="Arial"/>
          <w:lang w:eastAsia="es-ES_tradnl"/>
        </w:rPr>
        <w:t>un cambio en su línea doctrinal sobre el tema analizado</w:t>
      </w:r>
      <w:r w:rsidR="00D73934" w:rsidRPr="00C97A63">
        <w:rPr>
          <w:rFonts w:ascii="Verdana" w:hAnsi="Verdana" w:cs="Arial"/>
          <w:lang w:eastAsia="es-ES_tradnl"/>
        </w:rPr>
        <w:t>.</w:t>
      </w:r>
    </w:p>
    <w:p w14:paraId="0800E709" w14:textId="4CD14C58" w:rsidR="00FC6340" w:rsidRDefault="001F0F62" w:rsidP="00AA7BE1">
      <w:pPr>
        <w:spacing w:before="120" w:after="120" w:line="276" w:lineRule="auto"/>
        <w:ind w:right="51" w:firstLine="708"/>
        <w:jc w:val="both"/>
        <w:rPr>
          <w:rFonts w:ascii="Verdana" w:eastAsia="Calibri" w:hAnsi="Verdana" w:cs="Arial"/>
        </w:rPr>
      </w:pPr>
      <w:r>
        <w:rPr>
          <w:rFonts w:ascii="Verdana" w:eastAsia="Calibri" w:hAnsi="Verdana" w:cs="Arial"/>
          <w:lang w:val="es-MX"/>
        </w:rPr>
        <w:t xml:space="preserve">Como primera medida se logra establecer que </w:t>
      </w:r>
      <w:r w:rsidR="005B2718">
        <w:rPr>
          <w:rFonts w:ascii="Verdana" w:eastAsia="Calibri" w:hAnsi="Verdana" w:cs="Arial"/>
        </w:rPr>
        <w:t>l</w:t>
      </w:r>
      <w:r w:rsidRPr="001F0F62">
        <w:rPr>
          <w:rFonts w:ascii="Verdana" w:eastAsia="Calibri" w:hAnsi="Verdana" w:cs="Arial"/>
        </w:rPr>
        <w:t>a principal justificación para que el cómputo de la experiencia profesional</w:t>
      </w:r>
      <w:r w:rsidR="0093365A">
        <w:rPr>
          <w:rFonts w:ascii="Verdana" w:eastAsia="Calibri" w:hAnsi="Verdana" w:cs="Arial"/>
        </w:rPr>
        <w:t xml:space="preserve"> de los ingenieros</w:t>
      </w:r>
      <w:r w:rsidRPr="001F0F62">
        <w:rPr>
          <w:rFonts w:ascii="Verdana" w:eastAsia="Calibri" w:hAnsi="Verdana" w:cs="Arial"/>
        </w:rPr>
        <w:t xml:space="preserve"> se realice desde la expedición de la matrícula profesional radica en el </w:t>
      </w:r>
      <w:r w:rsidRPr="00BB013F">
        <w:rPr>
          <w:rFonts w:ascii="Verdana" w:eastAsia="Calibri" w:hAnsi="Verdana" w:cs="Arial"/>
        </w:rPr>
        <w:t>riesgo social</w:t>
      </w:r>
      <w:r w:rsidRPr="001F0F62">
        <w:rPr>
          <w:rFonts w:ascii="Verdana" w:eastAsia="Calibri" w:hAnsi="Verdana" w:cs="Arial"/>
        </w:rPr>
        <w:t xml:space="preserve"> que implican las profesiones de ingeniería. El ejercicio de estas profesiones no solo tiene impacto en la calidad de los proyectos o servicios, sino que también afecta </w:t>
      </w:r>
      <w:r w:rsidRPr="001F0F62">
        <w:rPr>
          <w:rFonts w:ascii="Verdana" w:eastAsia="Calibri" w:hAnsi="Verdana" w:cs="Arial"/>
        </w:rPr>
        <w:lastRenderedPageBreak/>
        <w:t xml:space="preserve">directamente </w:t>
      </w:r>
      <w:r w:rsidRPr="00BB013F">
        <w:rPr>
          <w:rFonts w:ascii="Verdana" w:eastAsia="Calibri" w:hAnsi="Verdana" w:cs="Arial"/>
        </w:rPr>
        <w:t>la seguridad, la salud y la vida</w:t>
      </w:r>
      <w:r w:rsidRPr="001F0F62">
        <w:rPr>
          <w:rFonts w:ascii="Verdana" w:eastAsia="Calibri" w:hAnsi="Verdana" w:cs="Arial"/>
        </w:rPr>
        <w:t xml:space="preserve"> de la comunidad. Las decisiones tomadas por los ingenieros (como cálculos estructurales, diseño de infraestructuras o gestión de proyectos de construcción) pueden tener consecuencias graves si no se realizan correctamente. Por tanto, se considera que </w:t>
      </w:r>
      <w:r w:rsidRPr="007B17A3">
        <w:rPr>
          <w:rFonts w:ascii="Verdana" w:eastAsia="Calibri" w:hAnsi="Verdana" w:cs="Arial"/>
        </w:rPr>
        <w:t>una mayor exigencia de idoneidad es necesaria para minimizar estos riesgos</w:t>
      </w:r>
      <w:r w:rsidR="00BB013F">
        <w:rPr>
          <w:rFonts w:ascii="Verdana" w:eastAsia="Calibri" w:hAnsi="Verdana" w:cs="Arial"/>
        </w:rPr>
        <w:t>, e</w:t>
      </w:r>
      <w:r w:rsidR="00FC6340" w:rsidRPr="00FC6340">
        <w:rPr>
          <w:rFonts w:ascii="Verdana" w:eastAsia="Calibri" w:hAnsi="Verdana" w:cs="Arial"/>
        </w:rPr>
        <w:t>n este sentido, la Corte señala que la diferenciación en la exigencia de experiencia entre</w:t>
      </w:r>
      <w:r w:rsidR="00FC6340">
        <w:rPr>
          <w:rFonts w:ascii="Verdana" w:eastAsia="Calibri" w:hAnsi="Verdana" w:cs="Arial"/>
        </w:rPr>
        <w:t xml:space="preserve"> la profesión de </w:t>
      </w:r>
      <w:r w:rsidR="00FC6340" w:rsidRPr="00FC6340">
        <w:rPr>
          <w:rFonts w:ascii="Verdana" w:eastAsia="Calibri" w:hAnsi="Verdana" w:cs="Arial"/>
        </w:rPr>
        <w:t xml:space="preserve">los ingenieros y otros </w:t>
      </w:r>
      <w:r w:rsidR="00BB013F" w:rsidRPr="00FC6340">
        <w:rPr>
          <w:rFonts w:ascii="Verdana" w:eastAsia="Calibri" w:hAnsi="Verdana" w:cs="Arial"/>
        </w:rPr>
        <w:t>profesionales se</w:t>
      </w:r>
      <w:r w:rsidR="00FC6340" w:rsidRPr="00FC6340">
        <w:rPr>
          <w:rFonts w:ascii="Verdana" w:eastAsia="Calibri" w:hAnsi="Verdana" w:cs="Arial"/>
        </w:rPr>
        <w:t xml:space="preserve"> justifica porque las actividades de ingeniería están vinculadas a un mayor riesgo social y, por tanto, requieren una regulación más estricta.</w:t>
      </w:r>
    </w:p>
    <w:p w14:paraId="4C95C10A" w14:textId="0DD26E2C" w:rsidR="00F926E3" w:rsidRPr="00BB013F" w:rsidRDefault="00F926E3" w:rsidP="00BB013F">
      <w:pPr>
        <w:spacing w:before="120" w:after="120" w:line="276" w:lineRule="auto"/>
        <w:ind w:right="51" w:firstLine="708"/>
        <w:jc w:val="both"/>
        <w:rPr>
          <w:rFonts w:ascii="Verdana" w:eastAsia="Calibri" w:hAnsi="Verdana" w:cs="Arial"/>
        </w:rPr>
      </w:pPr>
      <w:r>
        <w:rPr>
          <w:rFonts w:ascii="Verdana" w:eastAsia="Calibri" w:hAnsi="Verdana" w:cs="Arial"/>
        </w:rPr>
        <w:t>Por lo anterior, del</w:t>
      </w:r>
      <w:r w:rsidRPr="00F926E3">
        <w:rPr>
          <w:rFonts w:ascii="Verdana" w:eastAsia="Calibri" w:hAnsi="Verdana" w:cs="Arial"/>
        </w:rPr>
        <w:t xml:space="preserve"> análisis de la Corte </w:t>
      </w:r>
      <w:r>
        <w:rPr>
          <w:rFonts w:ascii="Verdana" w:eastAsia="Calibri" w:hAnsi="Verdana" w:cs="Arial"/>
        </w:rPr>
        <w:t xml:space="preserve">se </w:t>
      </w:r>
      <w:r w:rsidRPr="00F926E3">
        <w:rPr>
          <w:rFonts w:ascii="Verdana" w:eastAsia="Calibri" w:hAnsi="Verdana" w:cs="Arial"/>
        </w:rPr>
        <w:t xml:space="preserve">establece que la medida </w:t>
      </w:r>
      <w:r w:rsidR="005F661F">
        <w:rPr>
          <w:rFonts w:ascii="Verdana" w:eastAsia="Calibri" w:hAnsi="Verdana" w:cs="Arial"/>
        </w:rPr>
        <w:t xml:space="preserve">contemplada por el legislador dentro del artículo 12 de la ley 842 de 2003 </w:t>
      </w:r>
      <w:r w:rsidRPr="00F926E3">
        <w:rPr>
          <w:rFonts w:ascii="Verdana" w:eastAsia="Calibri" w:hAnsi="Verdana" w:cs="Arial"/>
        </w:rPr>
        <w:t xml:space="preserve">es </w:t>
      </w:r>
      <w:r w:rsidRPr="005F661F">
        <w:rPr>
          <w:rFonts w:ascii="Verdana" w:eastAsia="Calibri" w:hAnsi="Verdana" w:cs="Arial"/>
        </w:rPr>
        <w:t>necesaria y proporcional</w:t>
      </w:r>
      <w:r w:rsidR="005F661F">
        <w:rPr>
          <w:rFonts w:ascii="Verdana" w:eastAsia="Calibri" w:hAnsi="Verdana" w:cs="Arial"/>
        </w:rPr>
        <w:t xml:space="preserve">, ya que, </w:t>
      </w:r>
      <w:r w:rsidRPr="00F926E3">
        <w:rPr>
          <w:rFonts w:ascii="Verdana" w:eastAsia="Calibri" w:hAnsi="Verdana" w:cs="Arial"/>
        </w:rPr>
        <w:t xml:space="preserve">La necesidad se justifica en la alta responsabilidad y riesgo que conlleva el ejercicio de la ingeniería, y la proporcionalidad radica en que la medida no es desproporcionada, ya que no restringe el acceso al trabajo, sino que establece un </w:t>
      </w:r>
      <w:r w:rsidRPr="005F661F">
        <w:rPr>
          <w:rFonts w:ascii="Verdana" w:eastAsia="Calibri" w:hAnsi="Verdana" w:cs="Arial"/>
        </w:rPr>
        <w:t>criterio adicional de idoneidad para proteger a la sociedad.</w:t>
      </w:r>
    </w:p>
    <w:p w14:paraId="12B7939D" w14:textId="69D4AE5F" w:rsidR="00E26F22" w:rsidRPr="005B2718" w:rsidRDefault="00DF4CE0" w:rsidP="00E26F22">
      <w:pPr>
        <w:spacing w:after="120" w:line="276" w:lineRule="auto"/>
        <w:ind w:right="51" w:firstLine="709"/>
        <w:jc w:val="both"/>
        <w:rPr>
          <w:rFonts w:ascii="Verdana" w:eastAsia="Calibri" w:hAnsi="Verdana" w:cs="Arial"/>
          <w:lang w:val="es-MX"/>
        </w:rPr>
      </w:pPr>
      <w:r>
        <w:rPr>
          <w:rFonts w:ascii="Verdana" w:eastAsia="Calibri" w:hAnsi="Verdana" w:cs="Arial"/>
          <w:lang w:val="es-MX"/>
        </w:rPr>
        <w:t>Por todo lo anterior, para esta</w:t>
      </w:r>
      <w:r w:rsidR="00E26F22" w:rsidRPr="003C068C">
        <w:rPr>
          <w:rFonts w:ascii="Verdana" w:eastAsia="Calibri" w:hAnsi="Verdana" w:cs="Arial"/>
          <w:lang w:val="es-MX"/>
        </w:rPr>
        <w:t>, para el cómputo de la experiencia de estos profesionales se requiere</w:t>
      </w:r>
      <w:r>
        <w:rPr>
          <w:rFonts w:ascii="Verdana" w:eastAsia="Calibri" w:hAnsi="Verdana" w:cs="Arial"/>
          <w:lang w:val="es-MX"/>
        </w:rPr>
        <w:t xml:space="preserve"> que dicho computo se contabilice desde la expedición de</w:t>
      </w:r>
      <w:r w:rsidR="00E26F22" w:rsidRPr="003C068C">
        <w:rPr>
          <w:rFonts w:ascii="Verdana" w:eastAsia="Calibri" w:hAnsi="Verdana" w:cs="Arial"/>
          <w:lang w:val="es-MX"/>
        </w:rPr>
        <w:t xml:space="preserve"> la presentación de la tarjeta profesional, </w:t>
      </w:r>
      <w:r>
        <w:rPr>
          <w:rFonts w:ascii="Verdana" w:eastAsia="Calibri" w:hAnsi="Verdana" w:cs="Arial"/>
          <w:lang w:val="es-MX"/>
        </w:rPr>
        <w:t xml:space="preserve">siguiendo con lo establecido en la norma </w:t>
      </w:r>
      <w:r w:rsidRPr="005B2718">
        <w:rPr>
          <w:rFonts w:ascii="Verdana" w:eastAsia="Calibri" w:hAnsi="Verdana" w:cs="Arial"/>
          <w:lang w:val="es-MX"/>
        </w:rPr>
        <w:t>especial mencionada up supra.</w:t>
      </w:r>
    </w:p>
    <w:p w14:paraId="5B8DAC40" w14:textId="1387C7C6" w:rsidR="005B2718" w:rsidRPr="005B2718" w:rsidRDefault="001B205B" w:rsidP="005B2718">
      <w:pPr>
        <w:spacing w:after="120" w:line="276" w:lineRule="auto"/>
        <w:ind w:right="51" w:firstLine="708"/>
        <w:jc w:val="both"/>
        <w:rPr>
          <w:rFonts w:ascii="Verdana" w:eastAsia="Calibri" w:hAnsi="Verdana" w:cs="Arial"/>
        </w:rPr>
      </w:pPr>
      <w:r w:rsidRPr="005B2718">
        <w:rPr>
          <w:rFonts w:ascii="Verdana" w:eastAsia="Calibri" w:hAnsi="Verdana" w:cs="Arial"/>
        </w:rPr>
        <w:t xml:space="preserve">En este contexto, esta </w:t>
      </w:r>
      <w:proofErr w:type="gramStart"/>
      <w:r w:rsidRPr="005B2718">
        <w:rPr>
          <w:rFonts w:ascii="Verdana" w:eastAsia="Calibri" w:hAnsi="Verdana" w:cs="Arial"/>
        </w:rPr>
        <w:t>Subdirección,  concluye</w:t>
      </w:r>
      <w:proofErr w:type="gramEnd"/>
      <w:r w:rsidRPr="005B2718">
        <w:rPr>
          <w:rFonts w:ascii="Verdana" w:eastAsia="Calibri" w:hAnsi="Verdana" w:cs="Arial"/>
        </w:rPr>
        <w:t xml:space="preserve"> que, para la </w:t>
      </w:r>
      <w:r w:rsidR="005B2718" w:rsidRPr="005B2718">
        <w:rPr>
          <w:rFonts w:ascii="Verdana" w:eastAsia="Calibri" w:hAnsi="Verdana" w:cs="Arial"/>
        </w:rPr>
        <w:t>acreditación de la experiencia de estos profesionales en el campo de la ingeniería, es importante precisar que la experiencia profesional se contabiliza a partir de la fecha de expedición de la matrícula profesional emitida por el Consejo Profesional Nacional de Ingeniería – COPNIA.</w:t>
      </w:r>
    </w:p>
    <w:p w14:paraId="04C5B84F" w14:textId="1CE1482E" w:rsidR="001B205B" w:rsidRPr="001B205B" w:rsidRDefault="005B2718" w:rsidP="00E70F33">
      <w:pPr>
        <w:spacing w:after="120" w:line="276" w:lineRule="auto"/>
        <w:ind w:right="51" w:firstLine="708"/>
        <w:jc w:val="both"/>
        <w:rPr>
          <w:rFonts w:ascii="Verdana" w:eastAsia="Calibri" w:hAnsi="Verdana" w:cs="Arial"/>
        </w:rPr>
      </w:pPr>
      <w:r w:rsidRPr="005B2718">
        <w:rPr>
          <w:rFonts w:ascii="Verdana" w:eastAsia="Calibri" w:hAnsi="Verdana" w:cs="Arial"/>
        </w:rPr>
        <w:t>En este sentido, la experiencia profesional de los ingenieros se cuenta a partir de la expedición de la matrícula profesional; sin embargo, para acreditarla dentro de un proceso de selección, es razonable y conforme a la ley que la entidad estatal exija certificaciones laborales o contractuales que demuestren el ejercicio efectivo de la profesión. La sola tenencia del diploma o matrícula acredita la idoneidad, pero no el tiempo de ejercicio, por lo que dichas certificaciones son necesarias para verificar y cuantificar la experiencia general real del profesional, de acuerdo con los criterios de los pliegos de condiciones y la normativa aplicable en materia de contratación pública</w:t>
      </w:r>
      <w:r w:rsidR="001B205B" w:rsidRPr="001B205B">
        <w:rPr>
          <w:rFonts w:ascii="Verdana" w:eastAsia="Calibri" w:hAnsi="Verdana" w:cs="Arial"/>
        </w:rPr>
        <w:t>.</w:t>
      </w:r>
    </w:p>
    <w:bookmarkEnd w:id="1"/>
    <w:p w14:paraId="56D2E1B8" w14:textId="77777777" w:rsidR="00E26F22" w:rsidRPr="00115E3D" w:rsidRDefault="00E26F22" w:rsidP="00E26F2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732A40C2" w14:textId="77777777" w:rsidR="00E26F22" w:rsidRPr="00115E3D" w:rsidRDefault="00E26F22" w:rsidP="00E26F22">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26F22" w:rsidRPr="00115E3D" w14:paraId="6AF328A5" w14:textId="77777777" w:rsidTr="009C6B83">
        <w:trPr>
          <w:trHeight w:val="345"/>
        </w:trPr>
        <w:tc>
          <w:tcPr>
            <w:tcW w:w="8647" w:type="dxa"/>
          </w:tcPr>
          <w:p w14:paraId="2B88AF6E" w14:textId="42B6A37A" w:rsidR="00477840" w:rsidRPr="00477840" w:rsidRDefault="00477840" w:rsidP="004120EE">
            <w:pPr>
              <w:pStyle w:val="Prrafodelista"/>
              <w:widowControl w:val="0"/>
              <w:numPr>
                <w:ilvl w:val="0"/>
                <w:numId w:val="17"/>
              </w:numPr>
              <w:autoSpaceDE w:val="0"/>
              <w:autoSpaceDN w:val="0"/>
              <w:contextualSpacing w:val="0"/>
              <w:jc w:val="both"/>
              <w:rPr>
                <w:rFonts w:ascii="Verdana" w:hAnsi="Verdana" w:cs="Arial"/>
                <w:color w:val="000000" w:themeColor="text1"/>
              </w:rPr>
            </w:pPr>
            <w:r>
              <w:rPr>
                <w:rFonts w:ascii="Verdana" w:hAnsi="Verdana" w:cs="Arial"/>
                <w:color w:val="000000" w:themeColor="text1"/>
              </w:rPr>
              <w:t>Ley 842 de 2003, Articulo 12.</w:t>
            </w:r>
          </w:p>
          <w:p w14:paraId="382E45AF" w14:textId="75ED4BFA" w:rsidR="00934499" w:rsidRPr="00934499" w:rsidRDefault="00E26F22" w:rsidP="004120EE">
            <w:pPr>
              <w:pStyle w:val="Prrafodelista"/>
              <w:widowControl w:val="0"/>
              <w:numPr>
                <w:ilvl w:val="0"/>
                <w:numId w:val="17"/>
              </w:numPr>
              <w:autoSpaceDE w:val="0"/>
              <w:autoSpaceDN w:val="0"/>
              <w:contextualSpacing w:val="0"/>
              <w:jc w:val="both"/>
              <w:rPr>
                <w:rFonts w:ascii="Verdana" w:hAnsi="Verdana" w:cs="Arial"/>
                <w:color w:val="000000" w:themeColor="text1"/>
              </w:rPr>
            </w:pPr>
            <w:r w:rsidRPr="003C068C">
              <w:rPr>
                <w:rFonts w:ascii="Verdana" w:eastAsia="Calibri" w:hAnsi="Verdana" w:cs="Arial"/>
                <w:lang w:val="es-MX"/>
              </w:rPr>
              <w:t>Decreto 019 de 2012</w:t>
            </w:r>
            <w:r>
              <w:rPr>
                <w:rFonts w:ascii="Verdana" w:eastAsia="Calibri" w:hAnsi="Verdana" w:cs="Arial"/>
                <w:lang w:val="es-MX"/>
              </w:rPr>
              <w:t xml:space="preserve">, </w:t>
            </w:r>
            <w:r w:rsidRPr="003C068C">
              <w:rPr>
                <w:rFonts w:ascii="Verdana" w:eastAsia="Calibri" w:hAnsi="Verdana" w:cs="Arial"/>
                <w:lang w:val="es-MX"/>
              </w:rPr>
              <w:t>artículo 229</w:t>
            </w:r>
            <w:r>
              <w:rPr>
                <w:rFonts w:ascii="Verdana" w:eastAsia="Calibri" w:hAnsi="Verdana" w:cs="Arial"/>
                <w:lang w:val="es-MX"/>
              </w:rPr>
              <w:t>.</w:t>
            </w:r>
          </w:p>
          <w:p w14:paraId="3703486A" w14:textId="6234094A" w:rsidR="00E26F22" w:rsidRPr="00934499" w:rsidRDefault="00934499" w:rsidP="004120EE">
            <w:pPr>
              <w:pStyle w:val="Prrafodelista"/>
              <w:widowControl w:val="0"/>
              <w:numPr>
                <w:ilvl w:val="0"/>
                <w:numId w:val="17"/>
              </w:numPr>
              <w:autoSpaceDE w:val="0"/>
              <w:autoSpaceDN w:val="0"/>
              <w:contextualSpacing w:val="0"/>
              <w:jc w:val="both"/>
              <w:rPr>
                <w:rFonts w:ascii="Verdana" w:hAnsi="Verdana" w:cs="Arial"/>
                <w:color w:val="000000" w:themeColor="text1"/>
              </w:rPr>
            </w:pPr>
            <w:r w:rsidRPr="00934499">
              <w:rPr>
                <w:rFonts w:ascii="Verdana" w:hAnsi="Verdana"/>
              </w:rPr>
              <w:t>Ley</w:t>
            </w:r>
            <w:r w:rsidRPr="00934499">
              <w:rPr>
                <w:rFonts w:ascii="Verdana" w:hAnsi="Verdana"/>
                <w:spacing w:val="-9"/>
              </w:rPr>
              <w:t xml:space="preserve"> </w:t>
            </w:r>
            <w:r w:rsidRPr="00934499">
              <w:rPr>
                <w:rFonts w:ascii="Verdana" w:hAnsi="Verdana"/>
              </w:rPr>
              <w:t>57</w:t>
            </w:r>
            <w:r w:rsidRPr="00934499">
              <w:rPr>
                <w:rFonts w:ascii="Verdana" w:hAnsi="Verdana"/>
                <w:spacing w:val="-9"/>
              </w:rPr>
              <w:t xml:space="preserve"> </w:t>
            </w:r>
            <w:r w:rsidRPr="00934499">
              <w:rPr>
                <w:rFonts w:ascii="Verdana" w:hAnsi="Verdana"/>
              </w:rPr>
              <w:t>de</w:t>
            </w:r>
            <w:r w:rsidRPr="00934499">
              <w:rPr>
                <w:rFonts w:ascii="Verdana" w:hAnsi="Verdana"/>
                <w:spacing w:val="-9"/>
              </w:rPr>
              <w:t xml:space="preserve"> </w:t>
            </w:r>
            <w:r w:rsidRPr="00934499">
              <w:rPr>
                <w:rFonts w:ascii="Verdana" w:hAnsi="Verdana"/>
              </w:rPr>
              <w:t>1887,</w:t>
            </w:r>
            <w:r w:rsidRPr="00934499">
              <w:rPr>
                <w:rFonts w:ascii="Verdana" w:hAnsi="Verdana"/>
                <w:spacing w:val="-9"/>
              </w:rPr>
              <w:t xml:space="preserve"> </w:t>
            </w:r>
            <w:r w:rsidRPr="00934499">
              <w:rPr>
                <w:rFonts w:ascii="Verdana" w:hAnsi="Verdana"/>
              </w:rPr>
              <w:t>artículo</w:t>
            </w:r>
            <w:r w:rsidRPr="00934499">
              <w:rPr>
                <w:rFonts w:ascii="Verdana" w:hAnsi="Verdana"/>
                <w:spacing w:val="-8"/>
              </w:rPr>
              <w:t xml:space="preserve"> </w:t>
            </w:r>
            <w:r w:rsidRPr="00934499">
              <w:rPr>
                <w:rFonts w:ascii="Verdana" w:hAnsi="Verdana"/>
                <w:spacing w:val="-4"/>
              </w:rPr>
              <w:t>5.1</w:t>
            </w:r>
            <w:r w:rsidR="00E26F22" w:rsidRPr="00934499">
              <w:rPr>
                <w:rFonts w:ascii="Verdana" w:eastAsia="Calibri" w:hAnsi="Verdana" w:cs="Arial"/>
                <w:lang w:val="es-MX"/>
              </w:rPr>
              <w:t xml:space="preserve"> </w:t>
            </w:r>
          </w:p>
          <w:p w14:paraId="13FDE0C1" w14:textId="77777777" w:rsidR="00E26F22" w:rsidRPr="007F6431" w:rsidRDefault="00E26F22" w:rsidP="004120EE">
            <w:pPr>
              <w:pStyle w:val="Prrafodelista"/>
              <w:widowControl w:val="0"/>
              <w:numPr>
                <w:ilvl w:val="0"/>
                <w:numId w:val="17"/>
              </w:numPr>
              <w:autoSpaceDE w:val="0"/>
              <w:autoSpaceDN w:val="0"/>
              <w:contextualSpacing w:val="0"/>
              <w:jc w:val="both"/>
              <w:rPr>
                <w:rFonts w:ascii="Verdana" w:hAnsi="Verdana" w:cs="Arial"/>
                <w:color w:val="000000" w:themeColor="text1"/>
              </w:rPr>
            </w:pPr>
            <w:r w:rsidRPr="003C068C">
              <w:rPr>
                <w:rFonts w:ascii="Verdana" w:eastAsia="Calibri" w:hAnsi="Verdana" w:cs="Arial"/>
                <w:lang w:val="es-MX"/>
              </w:rPr>
              <w:t>Ley 1955 de 2019</w:t>
            </w:r>
            <w:r>
              <w:rPr>
                <w:rFonts w:ascii="Verdana" w:eastAsia="Calibri" w:hAnsi="Verdana" w:cs="Arial"/>
                <w:lang w:val="es-MX"/>
              </w:rPr>
              <w:t xml:space="preserve">, </w:t>
            </w:r>
            <w:r w:rsidRPr="003C068C">
              <w:rPr>
                <w:rFonts w:ascii="Verdana" w:eastAsia="Calibri" w:hAnsi="Verdana" w:cs="Arial"/>
                <w:lang w:val="es-MX"/>
              </w:rPr>
              <w:t>artículo 192</w:t>
            </w:r>
            <w:r>
              <w:rPr>
                <w:rFonts w:ascii="Verdana" w:eastAsia="Calibri" w:hAnsi="Verdana" w:cs="Arial"/>
                <w:lang w:val="es-MX"/>
              </w:rPr>
              <w:t>.</w:t>
            </w:r>
          </w:p>
          <w:p w14:paraId="0DA40237" w14:textId="77777777" w:rsidR="00E26F22" w:rsidRPr="00E35B28" w:rsidRDefault="00E26F22" w:rsidP="004120EE">
            <w:pPr>
              <w:pStyle w:val="Prrafodelista"/>
              <w:widowControl w:val="0"/>
              <w:numPr>
                <w:ilvl w:val="0"/>
                <w:numId w:val="17"/>
              </w:numPr>
              <w:autoSpaceDE w:val="0"/>
              <w:autoSpaceDN w:val="0"/>
              <w:contextualSpacing w:val="0"/>
              <w:jc w:val="both"/>
              <w:rPr>
                <w:rFonts w:ascii="Verdana" w:hAnsi="Verdana" w:cs="Arial"/>
                <w:color w:val="000000" w:themeColor="text1"/>
              </w:rPr>
            </w:pPr>
            <w:r w:rsidRPr="003C068C">
              <w:rPr>
                <w:rFonts w:ascii="Verdana" w:eastAsia="Calibri" w:hAnsi="Verdana" w:cs="Arial"/>
                <w:lang w:val="es-MX"/>
              </w:rPr>
              <w:t>Ley 1780 de 2016</w:t>
            </w:r>
            <w:r>
              <w:rPr>
                <w:rFonts w:ascii="Verdana" w:eastAsia="Calibri" w:hAnsi="Verdana" w:cs="Arial"/>
                <w:lang w:val="es-MX"/>
              </w:rPr>
              <w:t xml:space="preserve">, </w:t>
            </w:r>
            <w:r w:rsidRPr="003C068C">
              <w:rPr>
                <w:rFonts w:ascii="Verdana" w:eastAsia="Calibri" w:hAnsi="Verdana" w:cs="Arial"/>
                <w:lang w:val="es-MX"/>
              </w:rPr>
              <w:t>artículo 15</w:t>
            </w:r>
            <w:r>
              <w:rPr>
                <w:rFonts w:ascii="Verdana" w:eastAsia="Calibri" w:hAnsi="Verdana" w:cs="Arial"/>
                <w:lang w:val="es-MX"/>
              </w:rPr>
              <w:t xml:space="preserve"> </w:t>
            </w:r>
          </w:p>
          <w:p w14:paraId="67F5B100" w14:textId="77777777" w:rsidR="00E26F22" w:rsidRPr="00A14884" w:rsidRDefault="00E26F22" w:rsidP="004120EE">
            <w:pPr>
              <w:pStyle w:val="Prrafodelista"/>
              <w:widowControl w:val="0"/>
              <w:numPr>
                <w:ilvl w:val="0"/>
                <w:numId w:val="17"/>
              </w:numPr>
              <w:autoSpaceDE w:val="0"/>
              <w:autoSpaceDN w:val="0"/>
              <w:contextualSpacing w:val="0"/>
              <w:jc w:val="both"/>
              <w:rPr>
                <w:rFonts w:ascii="Verdana" w:hAnsi="Verdana" w:cs="Arial"/>
                <w:color w:val="000000" w:themeColor="text1"/>
              </w:rPr>
            </w:pPr>
            <w:r w:rsidRPr="003C068C">
              <w:rPr>
                <w:rFonts w:ascii="Verdana" w:eastAsia="Calibri" w:hAnsi="Verdana" w:cs="Arial"/>
                <w:lang w:val="es-MX"/>
              </w:rPr>
              <w:t>Decreto 2106 de 2019</w:t>
            </w:r>
            <w:r>
              <w:rPr>
                <w:rFonts w:ascii="Verdana" w:eastAsia="Calibri" w:hAnsi="Verdana" w:cs="Arial"/>
                <w:lang w:val="es-MX"/>
              </w:rPr>
              <w:t xml:space="preserve">, </w:t>
            </w:r>
            <w:r w:rsidRPr="003C068C">
              <w:rPr>
                <w:rFonts w:ascii="Verdana" w:eastAsia="Calibri" w:hAnsi="Verdana" w:cs="Arial"/>
                <w:lang w:val="es-MX"/>
              </w:rPr>
              <w:t>artículo 18</w:t>
            </w:r>
            <w:r>
              <w:rPr>
                <w:rFonts w:ascii="Verdana" w:eastAsia="Calibri" w:hAnsi="Verdana" w:cs="Arial"/>
                <w:lang w:val="es-MX"/>
              </w:rPr>
              <w:t xml:space="preserve">.  </w:t>
            </w:r>
          </w:p>
          <w:p w14:paraId="5AF69480" w14:textId="77777777" w:rsidR="00475CE0" w:rsidRPr="00475CE0" w:rsidRDefault="00E26F22" w:rsidP="004120EE">
            <w:pPr>
              <w:pStyle w:val="Prrafodelista"/>
              <w:widowControl w:val="0"/>
              <w:numPr>
                <w:ilvl w:val="0"/>
                <w:numId w:val="17"/>
              </w:numPr>
              <w:autoSpaceDE w:val="0"/>
              <w:autoSpaceDN w:val="0"/>
              <w:contextualSpacing w:val="0"/>
              <w:jc w:val="both"/>
              <w:rPr>
                <w:rFonts w:ascii="Verdana" w:hAnsi="Verdana" w:cs="Arial"/>
                <w:color w:val="000000" w:themeColor="text1"/>
              </w:rPr>
            </w:pPr>
            <w:r w:rsidRPr="00392F8B">
              <w:rPr>
                <w:rFonts w:ascii="Verdana" w:hAnsi="Verdana" w:cs="Arial"/>
                <w:iCs/>
                <w:color w:val="000000" w:themeColor="text1"/>
              </w:rPr>
              <w:t>Código Civil Colombiano</w:t>
            </w:r>
            <w:r>
              <w:rPr>
                <w:rFonts w:ascii="Verdana" w:hAnsi="Verdana" w:cs="Arial"/>
                <w:iCs/>
                <w:color w:val="000000" w:themeColor="text1"/>
              </w:rPr>
              <w:t xml:space="preserve">, </w:t>
            </w:r>
            <w:r w:rsidRPr="00392F8B">
              <w:rPr>
                <w:rFonts w:ascii="Verdana" w:hAnsi="Verdana" w:cs="Arial"/>
                <w:iCs/>
                <w:color w:val="000000" w:themeColor="text1"/>
              </w:rPr>
              <w:t>artículo 11</w:t>
            </w:r>
            <w:r>
              <w:rPr>
                <w:rFonts w:ascii="Verdana" w:hAnsi="Verdana" w:cs="Arial"/>
                <w:iCs/>
                <w:color w:val="000000" w:themeColor="text1"/>
              </w:rPr>
              <w:t>.</w:t>
            </w:r>
          </w:p>
          <w:p w14:paraId="79BBA627" w14:textId="77777777" w:rsidR="00E70F33" w:rsidRPr="00E70F33" w:rsidRDefault="00E70F33" w:rsidP="00AA3D4A">
            <w:pPr>
              <w:pStyle w:val="Prrafodelista"/>
              <w:widowControl w:val="0"/>
              <w:numPr>
                <w:ilvl w:val="0"/>
                <w:numId w:val="17"/>
              </w:numPr>
              <w:autoSpaceDE w:val="0"/>
              <w:autoSpaceDN w:val="0"/>
              <w:contextualSpacing w:val="0"/>
              <w:jc w:val="both"/>
              <w:rPr>
                <w:rFonts w:ascii="Verdana" w:hAnsi="Verdana" w:cs="Arial"/>
                <w:color w:val="000000" w:themeColor="text1"/>
              </w:rPr>
            </w:pPr>
            <w:r w:rsidRPr="001B205B">
              <w:rPr>
                <w:rFonts w:ascii="Verdana" w:eastAsia="Calibri" w:hAnsi="Verdana" w:cs="Arial"/>
                <w:lang w:val="es-CO"/>
              </w:rPr>
              <w:t>Sentencia C-296 del 18 de abril de 2012, Magistrado Ponente: Juan Carlos Henao Pérez</w:t>
            </w:r>
            <w:r w:rsidRPr="00AA3D4A">
              <w:rPr>
                <w:rFonts w:ascii="Verdana" w:hAnsi="Verdana"/>
              </w:rPr>
              <w:t xml:space="preserve"> </w:t>
            </w:r>
          </w:p>
          <w:p w14:paraId="566A458A" w14:textId="4C086947" w:rsidR="004120EE" w:rsidRPr="00AA3D4A" w:rsidRDefault="004120EE" w:rsidP="00AA3D4A">
            <w:pPr>
              <w:pStyle w:val="Prrafodelista"/>
              <w:widowControl w:val="0"/>
              <w:numPr>
                <w:ilvl w:val="0"/>
                <w:numId w:val="17"/>
              </w:numPr>
              <w:autoSpaceDE w:val="0"/>
              <w:autoSpaceDN w:val="0"/>
              <w:contextualSpacing w:val="0"/>
              <w:jc w:val="both"/>
              <w:rPr>
                <w:rFonts w:ascii="Verdana" w:hAnsi="Verdana" w:cs="Arial"/>
                <w:color w:val="000000" w:themeColor="text1"/>
              </w:rPr>
            </w:pPr>
            <w:r w:rsidRPr="00AA3D4A">
              <w:rPr>
                <w:rFonts w:ascii="Verdana" w:hAnsi="Verdana"/>
              </w:rPr>
              <w:t>Corte</w:t>
            </w:r>
            <w:r w:rsidRPr="00AA3D4A">
              <w:rPr>
                <w:rFonts w:ascii="Verdana" w:hAnsi="Verdana"/>
                <w:spacing w:val="-11"/>
              </w:rPr>
              <w:t xml:space="preserve"> </w:t>
            </w:r>
            <w:r w:rsidRPr="00AA3D4A">
              <w:rPr>
                <w:rFonts w:ascii="Verdana" w:hAnsi="Verdana"/>
              </w:rPr>
              <w:t>Constitucional.</w:t>
            </w:r>
            <w:r w:rsidRPr="00AA3D4A">
              <w:rPr>
                <w:rFonts w:ascii="Verdana" w:hAnsi="Verdana"/>
                <w:spacing w:val="-8"/>
              </w:rPr>
              <w:t xml:space="preserve"> </w:t>
            </w:r>
            <w:r w:rsidRPr="00AA3D4A">
              <w:rPr>
                <w:rFonts w:ascii="Verdana" w:hAnsi="Verdana"/>
              </w:rPr>
              <w:t>Sentencia</w:t>
            </w:r>
            <w:r w:rsidRPr="00AA3D4A">
              <w:rPr>
                <w:rFonts w:ascii="Verdana" w:hAnsi="Verdana"/>
                <w:spacing w:val="-9"/>
              </w:rPr>
              <w:t xml:space="preserve"> </w:t>
            </w:r>
            <w:r w:rsidRPr="00AA3D4A">
              <w:rPr>
                <w:rFonts w:ascii="Verdana" w:hAnsi="Verdana"/>
              </w:rPr>
              <w:t>C-688</w:t>
            </w:r>
            <w:r w:rsidRPr="00AA3D4A">
              <w:rPr>
                <w:rFonts w:ascii="Verdana" w:hAnsi="Verdana"/>
                <w:spacing w:val="-11"/>
              </w:rPr>
              <w:t xml:space="preserve"> </w:t>
            </w:r>
            <w:r w:rsidRPr="00AA3D4A">
              <w:rPr>
                <w:rFonts w:ascii="Verdana" w:hAnsi="Verdana"/>
              </w:rPr>
              <w:t>del</w:t>
            </w:r>
            <w:r w:rsidRPr="00AA3D4A">
              <w:rPr>
                <w:rFonts w:ascii="Verdana" w:hAnsi="Verdana"/>
                <w:spacing w:val="-11"/>
              </w:rPr>
              <w:t xml:space="preserve"> </w:t>
            </w:r>
            <w:r w:rsidRPr="00AA3D4A">
              <w:rPr>
                <w:rFonts w:ascii="Verdana" w:hAnsi="Verdana"/>
              </w:rPr>
              <w:t>10</w:t>
            </w:r>
            <w:r w:rsidRPr="00AA3D4A">
              <w:rPr>
                <w:rFonts w:ascii="Verdana" w:hAnsi="Verdana"/>
                <w:spacing w:val="-12"/>
              </w:rPr>
              <w:t xml:space="preserve"> </w:t>
            </w:r>
            <w:r w:rsidRPr="00AA3D4A">
              <w:rPr>
                <w:rFonts w:ascii="Verdana" w:hAnsi="Verdana"/>
              </w:rPr>
              <w:t>de</w:t>
            </w:r>
            <w:r w:rsidRPr="00AA3D4A">
              <w:rPr>
                <w:rFonts w:ascii="Verdana" w:hAnsi="Verdana"/>
                <w:spacing w:val="-11"/>
              </w:rPr>
              <w:t xml:space="preserve"> </w:t>
            </w:r>
            <w:r w:rsidRPr="00AA3D4A">
              <w:rPr>
                <w:rFonts w:ascii="Verdana" w:hAnsi="Verdana"/>
              </w:rPr>
              <w:t>septiembre</w:t>
            </w:r>
            <w:r w:rsidRPr="00AA3D4A">
              <w:rPr>
                <w:rFonts w:ascii="Verdana" w:hAnsi="Verdana"/>
                <w:spacing w:val="-9"/>
              </w:rPr>
              <w:t xml:space="preserve"> </w:t>
            </w:r>
            <w:r w:rsidRPr="00AA3D4A">
              <w:rPr>
                <w:rFonts w:ascii="Verdana" w:hAnsi="Verdana"/>
              </w:rPr>
              <w:t>de</w:t>
            </w:r>
            <w:r w:rsidRPr="00AA3D4A">
              <w:rPr>
                <w:rFonts w:ascii="Verdana" w:hAnsi="Verdana"/>
                <w:spacing w:val="-12"/>
              </w:rPr>
              <w:t xml:space="preserve"> </w:t>
            </w:r>
            <w:r w:rsidRPr="00AA3D4A">
              <w:rPr>
                <w:rFonts w:ascii="Verdana" w:hAnsi="Verdana"/>
                <w:spacing w:val="-2"/>
              </w:rPr>
              <w:t>2014.</w:t>
            </w:r>
            <w:r w:rsidR="00AA3D4A" w:rsidRPr="00AA3D4A">
              <w:rPr>
                <w:rFonts w:ascii="Verdana" w:hAnsi="Verdana"/>
                <w:spacing w:val="-2"/>
              </w:rPr>
              <w:t xml:space="preserve"> </w:t>
            </w:r>
            <w:r w:rsidRPr="00AA3D4A">
              <w:rPr>
                <w:rFonts w:ascii="Verdana" w:hAnsi="Verdana"/>
              </w:rPr>
              <w:t>M.P.</w:t>
            </w:r>
            <w:r w:rsidRPr="00AA3D4A">
              <w:rPr>
                <w:rFonts w:ascii="Verdana" w:hAnsi="Verdana"/>
                <w:spacing w:val="-14"/>
              </w:rPr>
              <w:t xml:space="preserve"> </w:t>
            </w:r>
            <w:r w:rsidRPr="00AA3D4A">
              <w:rPr>
                <w:rFonts w:ascii="Verdana" w:hAnsi="Verdana"/>
              </w:rPr>
              <w:t>Luis</w:t>
            </w:r>
            <w:r w:rsidRPr="00AA3D4A">
              <w:rPr>
                <w:rFonts w:ascii="Verdana" w:hAnsi="Verdana"/>
                <w:spacing w:val="-14"/>
              </w:rPr>
              <w:t xml:space="preserve"> </w:t>
            </w:r>
            <w:r w:rsidRPr="00AA3D4A">
              <w:rPr>
                <w:rFonts w:ascii="Verdana" w:hAnsi="Verdana"/>
              </w:rPr>
              <w:t>Guillermo</w:t>
            </w:r>
            <w:r w:rsidRPr="00AA3D4A">
              <w:rPr>
                <w:rFonts w:ascii="Verdana" w:hAnsi="Verdana"/>
                <w:spacing w:val="-13"/>
              </w:rPr>
              <w:t xml:space="preserve"> </w:t>
            </w:r>
            <w:r w:rsidRPr="00AA3D4A">
              <w:rPr>
                <w:rFonts w:ascii="Verdana" w:hAnsi="Verdana"/>
              </w:rPr>
              <w:t>Guerrero</w:t>
            </w:r>
            <w:r w:rsidRPr="00AA3D4A">
              <w:rPr>
                <w:rFonts w:ascii="Verdana" w:hAnsi="Verdana"/>
                <w:spacing w:val="-14"/>
              </w:rPr>
              <w:t xml:space="preserve"> </w:t>
            </w:r>
            <w:r w:rsidRPr="00AA3D4A">
              <w:rPr>
                <w:rFonts w:ascii="Verdana" w:hAnsi="Verdana"/>
                <w:spacing w:val="-2"/>
              </w:rPr>
              <w:t>Pérez.</w:t>
            </w:r>
          </w:p>
          <w:p w14:paraId="57942F9B" w14:textId="2EE20C72" w:rsidR="00475CE0" w:rsidRPr="006A051C" w:rsidRDefault="00475CE0" w:rsidP="00E70F33">
            <w:pPr>
              <w:pStyle w:val="Prrafodelista"/>
              <w:widowControl w:val="0"/>
              <w:autoSpaceDE w:val="0"/>
              <w:autoSpaceDN w:val="0"/>
              <w:contextualSpacing w:val="0"/>
              <w:jc w:val="both"/>
              <w:rPr>
                <w:rFonts w:ascii="Verdana" w:hAnsi="Verdana" w:cs="Arial"/>
                <w:color w:val="000000" w:themeColor="text1"/>
              </w:rPr>
            </w:pPr>
          </w:p>
        </w:tc>
      </w:tr>
    </w:tbl>
    <w:p w14:paraId="0D6B2BE5" w14:textId="77777777" w:rsidR="00E26F22" w:rsidRPr="00115E3D" w:rsidRDefault="00E26F22" w:rsidP="00E26F22">
      <w:pPr>
        <w:widowControl w:val="0"/>
        <w:autoSpaceDE w:val="0"/>
        <w:autoSpaceDN w:val="0"/>
        <w:spacing w:after="0" w:line="276" w:lineRule="auto"/>
        <w:jc w:val="both"/>
        <w:rPr>
          <w:rFonts w:ascii="Verdana" w:hAnsi="Verdana" w:cs="Arial"/>
          <w:color w:val="000000" w:themeColor="text1"/>
        </w:rPr>
      </w:pPr>
    </w:p>
    <w:p w14:paraId="637F9DAC" w14:textId="77777777" w:rsidR="00E26F22" w:rsidRPr="00115E3D" w:rsidRDefault="00E26F22" w:rsidP="00E26F2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31D0B324" w14:textId="77777777" w:rsidR="00E26F22" w:rsidRPr="00115E3D" w:rsidRDefault="00E26F22" w:rsidP="00E26F22">
      <w:pPr>
        <w:widowControl w:val="0"/>
        <w:autoSpaceDE w:val="0"/>
        <w:autoSpaceDN w:val="0"/>
        <w:spacing w:after="0" w:line="276" w:lineRule="auto"/>
        <w:jc w:val="both"/>
        <w:rPr>
          <w:rFonts w:ascii="Verdana" w:hAnsi="Verdana" w:cs="Arial"/>
          <w:color w:val="000000" w:themeColor="text1"/>
        </w:rPr>
      </w:pPr>
    </w:p>
    <w:p w14:paraId="2E7535E2" w14:textId="77777777" w:rsidR="00E26F22" w:rsidRPr="00874A62" w:rsidRDefault="00E26F22" w:rsidP="00E26F22">
      <w:pPr>
        <w:widowControl w:val="0"/>
        <w:autoSpaceDE w:val="0"/>
        <w:autoSpaceDN w:val="0"/>
        <w:spacing w:after="0" w:line="276" w:lineRule="auto"/>
        <w:jc w:val="both"/>
        <w:rPr>
          <w:rStyle w:val="normaltextrun"/>
          <w:rFonts w:ascii="Verdana" w:hAnsi="Verdana"/>
        </w:rPr>
      </w:pPr>
      <w:r w:rsidRPr="007D460E">
        <w:rPr>
          <w:rFonts w:ascii="Verdana" w:eastAsia="Calibri" w:hAnsi="Verdana" w:cs="Arial"/>
          <w:lang w:val="es-ES" w:eastAsia="es-ES"/>
        </w:rPr>
        <w:t xml:space="preserve">La Subdirección de Gestión Contractual se ha pronunciado </w:t>
      </w:r>
      <w:r>
        <w:rPr>
          <w:rFonts w:ascii="Verdana" w:hAnsi="Verdana" w:cs="Arial"/>
        </w:rPr>
        <w:t xml:space="preserve">frente a la experiencia profesional y la forma de verificarse, en los conceptos </w:t>
      </w:r>
      <w:r w:rsidRPr="00F345AB">
        <w:rPr>
          <w:rFonts w:ascii="Verdana" w:hAnsi="Verdana" w:cs="Arial"/>
        </w:rPr>
        <w:t>C-231 del 13 de abril de 2020, C-212 del 14 de abril de 2020, C-317 de 10 de junio de 2020, C-337 del 26 de junio de 2020, C-355 del 4 de junio de 2020, C-353 del 30 de junio de 2020</w:t>
      </w:r>
      <w:r>
        <w:rPr>
          <w:rFonts w:ascii="Verdana" w:hAnsi="Verdana" w:cs="Arial"/>
        </w:rPr>
        <w:t>,</w:t>
      </w:r>
      <w:r w:rsidRPr="00F345AB">
        <w:rPr>
          <w:rFonts w:ascii="Verdana" w:hAnsi="Verdana" w:cs="Arial"/>
        </w:rPr>
        <w:t xml:space="preserve"> C-457 del 7 de julio de 2020</w:t>
      </w:r>
      <w:r>
        <w:rPr>
          <w:rFonts w:ascii="Verdana" w:hAnsi="Verdana" w:cs="Arial"/>
        </w:rPr>
        <w:t>, C- 357 de agosto de 2024, C-279 de agosto 09 de 2024, C-409 del 6 de septiembre de 2024, C-510 del 03 de octubre de 2024 y C-938 de 27 de diciembre de 2024.</w:t>
      </w:r>
      <w:r w:rsidRPr="002C2AF5">
        <w:rPr>
          <w:rFonts w:ascii="Verdana" w:hAnsi="Verdana" w:cs="Arial"/>
          <w:shd w:val="clear" w:color="auto" w:fill="FFFFFF"/>
        </w:rPr>
        <w:t xml:space="preserve"> </w:t>
      </w:r>
      <w:r w:rsidRPr="00874A62">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874A62">
        <w:rPr>
          <w:rFonts w:ascii="Verdana" w:hAnsi="Verdana"/>
        </w:rPr>
        <w:t>, accede a través del siguiente enlace:</w:t>
      </w:r>
      <w:r>
        <w:rPr>
          <w:rFonts w:ascii="Verdana" w:hAnsi="Verdana"/>
        </w:rPr>
        <w:t xml:space="preserve"> </w:t>
      </w:r>
      <w:hyperlink r:id="rId13" w:history="1">
        <w:r w:rsidRPr="00F1315B">
          <w:rPr>
            <w:rStyle w:val="Hipervnculo"/>
            <w:rFonts w:ascii="Verdana" w:hAnsi="Verdana" w:cs="Arial"/>
            <w:shd w:val="clear" w:color="auto" w:fill="FFFFFF"/>
            <w:lang w:val="es-ES"/>
          </w:rPr>
          <w:t>https://relatoria.colombiacompra.gov.co/busqueda/conceptos</w:t>
        </w:r>
      </w:hyperlink>
      <w:r w:rsidRPr="00874A62">
        <w:rPr>
          <w:rStyle w:val="normaltextrun"/>
          <w:rFonts w:ascii="Verdana" w:hAnsi="Verdana" w:cs="Arial"/>
          <w:shd w:val="clear" w:color="auto" w:fill="FFFFFF"/>
        </w:rPr>
        <w:t xml:space="preserve"> </w:t>
      </w:r>
    </w:p>
    <w:p w14:paraId="61A0F5B8" w14:textId="77777777" w:rsidR="00E26F22" w:rsidRPr="009B2285" w:rsidRDefault="00E26F22" w:rsidP="00E26F22">
      <w:pPr>
        <w:widowControl w:val="0"/>
        <w:autoSpaceDE w:val="0"/>
        <w:autoSpaceDN w:val="0"/>
        <w:spacing w:after="0" w:line="276" w:lineRule="auto"/>
        <w:jc w:val="both"/>
        <w:rPr>
          <w:rFonts w:ascii="Verdana" w:hAnsi="Verdana" w:cs="Arial"/>
          <w:shd w:val="clear" w:color="auto" w:fill="FFFFFF"/>
        </w:rPr>
      </w:pPr>
      <w:r>
        <w:rPr>
          <w:rFonts w:ascii="Verdana" w:hAnsi="Verdana" w:cs="Arial"/>
        </w:rPr>
        <w:t xml:space="preserve"> </w:t>
      </w:r>
    </w:p>
    <w:p w14:paraId="76FF6CC8" w14:textId="77777777" w:rsidR="00E26F22" w:rsidRDefault="00E26F22" w:rsidP="00E26F22">
      <w:pPr>
        <w:spacing w:after="0" w:line="276" w:lineRule="auto"/>
        <w:jc w:val="both"/>
        <w:rPr>
          <w:rFonts w:ascii="Verdana" w:eastAsia="Calibri" w:hAnsi="Verdana" w:cs="Times New Roman"/>
        </w:rPr>
      </w:pPr>
      <w:r w:rsidRPr="00E838CE">
        <w:rPr>
          <w:rFonts w:ascii="Verdana" w:eastAsia="Calibri" w:hAnsi="Verdana" w:cs="Times New Roman"/>
        </w:rPr>
        <w:t>Te informamos que ya se encuentra disponible la </w:t>
      </w:r>
      <w:r w:rsidRPr="00E838CE">
        <w:rPr>
          <w:rFonts w:ascii="Verdana" w:eastAsia="Calibri" w:hAnsi="Verdana" w:cs="Times New Roman"/>
          <w:b/>
          <w:bCs/>
        </w:rPr>
        <w:t>Cartilla para incentivar y fortalecer el acceso a las compras y contratación pública de los pueblos y comunidades étnicas en Colombia.</w:t>
      </w:r>
      <w:r w:rsidRPr="00E838CE">
        <w:rPr>
          <w:rFonts w:ascii="Verdana" w:eastAsia="Calibri" w:hAnsi="Verdana" w:cs="Times New Roman"/>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4" w:tgtFrame="_blank" w:tooltip="Dirección URL original: https://www.colombiacompra.gov.co/manuales-guias-y-pliegos-tipo/manuales-y-guias/cartilla-para-incentivar-y-fortalecer-el-acceso-las. Haga clic o pulse si confía en este vínculo." w:history="1">
        <w:r w:rsidRPr="00E838CE">
          <w:rPr>
            <w:rStyle w:val="Hipervnculo"/>
            <w:rFonts w:ascii="Verdana" w:eastAsia="Calibri" w:hAnsi="Verdana" w:cs="Times New Roman"/>
          </w:rPr>
          <w:t>Cartilla para incentivar y fortalecer el acceso a las compras y contratación pública de los pueblos y comunidades étnicas en Colombia | Colombia Compra Eficiente | Agencia Nacional de Contratación Pública</w:t>
        </w:r>
      </w:hyperlink>
    </w:p>
    <w:p w14:paraId="3FFD25CC" w14:textId="77777777" w:rsidR="00E26F22" w:rsidRPr="00E838CE" w:rsidRDefault="00E26F22" w:rsidP="00E26F22">
      <w:pPr>
        <w:spacing w:after="0" w:line="276" w:lineRule="auto"/>
        <w:jc w:val="both"/>
        <w:rPr>
          <w:rFonts w:ascii="Verdana" w:eastAsia="Calibri" w:hAnsi="Verdana" w:cs="Times New Roman"/>
        </w:rPr>
      </w:pPr>
    </w:p>
    <w:p w14:paraId="68A36F00" w14:textId="77777777" w:rsidR="00E26F22" w:rsidRDefault="00E26F22" w:rsidP="00E26F22">
      <w:pPr>
        <w:spacing w:after="0" w:line="254" w:lineRule="auto"/>
        <w:rPr>
          <w:rFonts w:ascii="Verdana" w:eastAsia="Calibri" w:hAnsi="Verdana" w:cs="Times New Roman"/>
        </w:rPr>
      </w:pPr>
      <w:r w:rsidRPr="00186A86">
        <w:rPr>
          <w:rFonts w:ascii="Verdana" w:eastAsia="Calibri" w:hAnsi="Verdana" w:cs="Times New Roman"/>
        </w:rPr>
        <w:t xml:space="preserve">Por último, lo invitamos a seguirnos en las redes sociales en las cuales se difunde información institucional: </w:t>
      </w:r>
    </w:p>
    <w:p w14:paraId="60E638E7" w14:textId="77777777" w:rsidR="00E26F22" w:rsidRPr="004555F6" w:rsidRDefault="00E26F22" w:rsidP="00E26F22">
      <w:pPr>
        <w:spacing w:after="0" w:line="254" w:lineRule="auto"/>
        <w:rPr>
          <w:rFonts w:ascii="Verdana" w:eastAsia="Calibri" w:hAnsi="Verdana" w:cs="Times New Roman"/>
          <w:sz w:val="20"/>
          <w:szCs w:val="20"/>
        </w:rPr>
      </w:pPr>
    </w:p>
    <w:p w14:paraId="7B21D0F4" w14:textId="77777777" w:rsidR="00E26F22" w:rsidRPr="004555F6" w:rsidRDefault="00E26F22" w:rsidP="00E26F22">
      <w:pPr>
        <w:spacing w:after="0" w:line="254" w:lineRule="auto"/>
        <w:rPr>
          <w:rFonts w:ascii="Verdana" w:eastAsia="Calibri" w:hAnsi="Verdana" w:cs="Times New Roman"/>
          <w:sz w:val="20"/>
          <w:szCs w:val="20"/>
        </w:rPr>
      </w:pPr>
      <w:r w:rsidRPr="004555F6">
        <w:rPr>
          <w:rFonts w:ascii="Verdana" w:eastAsia="Calibri" w:hAnsi="Verdana" w:cs="Times New Roman"/>
          <w:sz w:val="20"/>
          <w:szCs w:val="20"/>
        </w:rPr>
        <w:t xml:space="preserve">Twitter: </w:t>
      </w:r>
      <w:r w:rsidRPr="004555F6">
        <w:rPr>
          <w:rFonts w:ascii="Verdana" w:eastAsia="Calibri" w:hAnsi="Verdana" w:cs="Times New Roman"/>
          <w:sz w:val="20"/>
          <w:szCs w:val="20"/>
          <w:u w:val="single"/>
        </w:rPr>
        <w:t>@colombiacompra</w:t>
      </w:r>
      <w:r w:rsidRPr="004555F6">
        <w:rPr>
          <w:rFonts w:ascii="Verdana" w:eastAsia="Calibri" w:hAnsi="Verdana" w:cs="Times New Roman"/>
          <w:sz w:val="20"/>
          <w:szCs w:val="20"/>
        </w:rPr>
        <w:t xml:space="preserve"> </w:t>
      </w:r>
    </w:p>
    <w:p w14:paraId="5B5A1514" w14:textId="77777777" w:rsidR="00E26F22" w:rsidRPr="004555F6" w:rsidRDefault="00E26F22" w:rsidP="0712134E">
      <w:pPr>
        <w:spacing w:after="0" w:line="254" w:lineRule="auto"/>
        <w:rPr>
          <w:rFonts w:ascii="Verdana" w:eastAsia="Calibri" w:hAnsi="Verdana" w:cs="Times New Roman"/>
          <w:sz w:val="20"/>
          <w:szCs w:val="20"/>
        </w:rPr>
      </w:pPr>
      <w:r w:rsidRPr="004555F6">
        <w:rPr>
          <w:rFonts w:ascii="Verdana" w:eastAsia="Calibri" w:hAnsi="Verdana" w:cs="Times New Roman"/>
          <w:sz w:val="20"/>
          <w:szCs w:val="20"/>
        </w:rPr>
        <w:t xml:space="preserve">Facebook: </w:t>
      </w:r>
      <w:proofErr w:type="spellStart"/>
      <w:r w:rsidRPr="004555F6">
        <w:rPr>
          <w:rFonts w:ascii="Verdana" w:eastAsia="Calibri" w:hAnsi="Verdana" w:cs="Times New Roman"/>
          <w:sz w:val="20"/>
          <w:szCs w:val="20"/>
          <w:u w:val="single"/>
        </w:rPr>
        <w:t>ColombiaCompraEficiente</w:t>
      </w:r>
      <w:proofErr w:type="spellEnd"/>
    </w:p>
    <w:p w14:paraId="29E78499" w14:textId="77777777" w:rsidR="00E26F22" w:rsidRPr="004555F6" w:rsidRDefault="00E26F22" w:rsidP="00E26F22">
      <w:pPr>
        <w:spacing w:after="0" w:line="254" w:lineRule="auto"/>
        <w:rPr>
          <w:rFonts w:ascii="Verdana" w:eastAsia="Calibri" w:hAnsi="Verdana" w:cs="Times New Roman"/>
          <w:sz w:val="20"/>
          <w:szCs w:val="20"/>
          <w:u w:val="single"/>
        </w:rPr>
      </w:pPr>
      <w:r w:rsidRPr="004555F6">
        <w:rPr>
          <w:rFonts w:ascii="Verdana" w:eastAsia="Calibri" w:hAnsi="Verdana" w:cs="Times New Roman"/>
          <w:sz w:val="20"/>
          <w:szCs w:val="20"/>
        </w:rPr>
        <w:t xml:space="preserve">LinkedIn: </w:t>
      </w:r>
      <w:r w:rsidRPr="004555F6">
        <w:rPr>
          <w:rFonts w:ascii="Verdana" w:eastAsia="Calibri" w:hAnsi="Verdana" w:cs="Times New Roman"/>
          <w:sz w:val="20"/>
          <w:szCs w:val="20"/>
          <w:u w:val="single"/>
        </w:rPr>
        <w:t>Agencia Nacional de Contratación Pública - Colombia Compra Eficiente</w:t>
      </w:r>
      <w:r w:rsidRPr="004555F6">
        <w:rPr>
          <w:rFonts w:ascii="Verdana" w:eastAsia="Calibri" w:hAnsi="Verdana" w:cs="Times New Roman"/>
          <w:sz w:val="20"/>
          <w:szCs w:val="20"/>
        </w:rPr>
        <w:t xml:space="preserve"> Instagram: </w:t>
      </w:r>
      <w:r w:rsidRPr="004555F6">
        <w:rPr>
          <w:rFonts w:ascii="Verdana" w:eastAsia="Calibri" w:hAnsi="Verdana" w:cs="Times New Roman"/>
          <w:sz w:val="20"/>
          <w:szCs w:val="20"/>
          <w:u w:val="single"/>
        </w:rPr>
        <w:t>@colombiacompraeficiente_cce</w:t>
      </w:r>
    </w:p>
    <w:p w14:paraId="31D69D60" w14:textId="77777777" w:rsidR="00E26F22" w:rsidRPr="00186A86" w:rsidRDefault="00E26F22" w:rsidP="00E26F22">
      <w:pPr>
        <w:spacing w:after="0" w:line="254" w:lineRule="auto"/>
        <w:rPr>
          <w:rFonts w:ascii="Verdana" w:eastAsia="Calibri" w:hAnsi="Verdana" w:cs="Times New Roman"/>
          <w:b/>
          <w:bCs/>
        </w:rPr>
      </w:pPr>
    </w:p>
    <w:p w14:paraId="35149284" w14:textId="77777777" w:rsidR="00E26F22" w:rsidRPr="00115E3D" w:rsidRDefault="00E26F22" w:rsidP="00E26F22">
      <w:pPr>
        <w:widowControl w:val="0"/>
        <w:autoSpaceDE w:val="0"/>
        <w:autoSpaceDN w:val="0"/>
        <w:spacing w:after="0" w:line="276" w:lineRule="auto"/>
        <w:jc w:val="both"/>
        <w:rPr>
          <w:rFonts w:ascii="Verdana" w:hAnsi="Verdana" w:cs="Arial"/>
          <w:color w:val="000000" w:themeColor="text1"/>
        </w:rPr>
      </w:pPr>
      <w:r w:rsidRPr="00186A8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w:t>
      </w:r>
    </w:p>
    <w:p w14:paraId="7145A366" w14:textId="77777777" w:rsidR="00E26F22" w:rsidRDefault="00E26F22" w:rsidP="00E26F22">
      <w:pPr>
        <w:spacing w:after="0" w:line="240" w:lineRule="auto"/>
        <w:rPr>
          <w:rFonts w:ascii="Verdana" w:eastAsia="Times New Roman" w:hAnsi="Verdana" w:cs="Arial"/>
          <w:color w:val="000000" w:themeColor="text1"/>
          <w:lang w:eastAsia="es-CO"/>
        </w:rPr>
      </w:pPr>
    </w:p>
    <w:p w14:paraId="25B3D799" w14:textId="3FB4FDF7" w:rsidR="00E26F22" w:rsidRDefault="00E26F22" w:rsidP="00E26F22">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589B4855" w14:textId="77777777" w:rsidR="005B2718" w:rsidRDefault="005B2718" w:rsidP="00E26F22">
      <w:pPr>
        <w:spacing w:after="0" w:line="240" w:lineRule="auto"/>
        <w:rPr>
          <w:rFonts w:ascii="Verdana" w:hAnsi="Verdana" w:cs="Arial"/>
          <w:color w:val="000000" w:themeColor="text1"/>
          <w:lang w:eastAsia="es-CO"/>
        </w:rPr>
      </w:pPr>
    </w:p>
    <w:p w14:paraId="3126E3D9" w14:textId="347F1EC5" w:rsidR="005B2718" w:rsidRDefault="000E5FB4" w:rsidP="005B2718">
      <w:pPr>
        <w:spacing w:after="0" w:line="240" w:lineRule="auto"/>
        <w:jc w:val="center"/>
        <w:rPr>
          <w:rFonts w:ascii="Verdana" w:hAnsi="Verdana" w:cs="Arial"/>
          <w:color w:val="000000" w:themeColor="text1"/>
          <w:lang w:eastAsia="es-CO"/>
        </w:rPr>
      </w:pPr>
      <w:r w:rsidRPr="002C3AD6">
        <w:rPr>
          <w:rFonts w:ascii="Century Gothic" w:hAnsi="Century Gothic"/>
          <w:noProof/>
        </w:rPr>
        <w:drawing>
          <wp:inline distT="0" distB="0" distL="0" distR="0" wp14:anchorId="0BCC4C3A" wp14:editId="37950CA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663C31AF" w14:textId="77777777" w:rsidR="005B2718" w:rsidRDefault="005B2718" w:rsidP="00E26F22">
      <w:pPr>
        <w:spacing w:after="0" w:line="240" w:lineRule="auto"/>
        <w:rPr>
          <w:rFonts w:ascii="Verdana" w:hAnsi="Verdana" w:cs="Arial"/>
          <w:color w:val="000000" w:themeColor="text1"/>
          <w:lang w:eastAsia="es-CO"/>
        </w:rPr>
      </w:pPr>
    </w:p>
    <w:p w14:paraId="0E0540D7" w14:textId="77777777" w:rsidR="005B2718" w:rsidRPr="00115E3D" w:rsidRDefault="005B2718" w:rsidP="00E26F22">
      <w:pPr>
        <w:spacing w:after="0" w:line="240" w:lineRule="auto"/>
        <w:rPr>
          <w:rFonts w:ascii="Verdana" w:hAnsi="Verdana" w:cs="Arial"/>
          <w:color w:val="000000" w:themeColor="text1"/>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26F22" w:rsidRPr="000F417A" w14:paraId="2E12A366" w14:textId="77777777" w:rsidTr="009C6B83">
        <w:trPr>
          <w:trHeight w:val="315"/>
        </w:trPr>
        <w:tc>
          <w:tcPr>
            <w:tcW w:w="893" w:type="dxa"/>
            <w:vAlign w:val="center"/>
            <w:hideMark/>
          </w:tcPr>
          <w:p w14:paraId="0FDA5C83" w14:textId="77777777" w:rsidR="00E26F22" w:rsidRPr="000F417A" w:rsidRDefault="00E26F22" w:rsidP="009C6B83">
            <w:pPr>
              <w:contextualSpacing/>
              <w:rPr>
                <w:rFonts w:ascii="Verdana" w:hAnsi="Verdana" w:cs="Arial"/>
                <w:sz w:val="16"/>
                <w:szCs w:val="16"/>
                <w:lang w:val="es-ES" w:eastAsia="es-ES"/>
              </w:rPr>
            </w:pPr>
            <w:r w:rsidRPr="000F417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71BC87C" w14:textId="77777777" w:rsidR="00E26F22" w:rsidRPr="000F417A" w:rsidRDefault="00E26F22" w:rsidP="009C6B83">
            <w:pPr>
              <w:contextualSpacing/>
              <w:rPr>
                <w:rStyle w:val="normaltextrun"/>
                <w:rFonts w:ascii="Verdana" w:hAnsi="Verdana"/>
                <w:sz w:val="16"/>
                <w:szCs w:val="16"/>
              </w:rPr>
            </w:pPr>
            <w:r w:rsidRPr="000F417A">
              <w:rPr>
                <w:rStyle w:val="normaltextrun"/>
                <w:rFonts w:ascii="Verdana" w:hAnsi="Verdana"/>
                <w:sz w:val="16"/>
                <w:szCs w:val="16"/>
              </w:rPr>
              <w:t>Richard Andrés Montenegro Siefken</w:t>
            </w:r>
          </w:p>
          <w:p w14:paraId="0FE70E0C" w14:textId="77777777" w:rsidR="00E26F22" w:rsidRPr="000F417A" w:rsidRDefault="00E26F22" w:rsidP="009C6B83">
            <w:pPr>
              <w:contextualSpacing/>
              <w:rPr>
                <w:rFonts w:ascii="Verdana" w:eastAsia="Arial" w:hAnsi="Verdana" w:cs="Arial"/>
                <w:sz w:val="16"/>
                <w:szCs w:val="16"/>
              </w:rPr>
            </w:pPr>
            <w:r w:rsidRPr="000F417A">
              <w:rPr>
                <w:rStyle w:val="normaltextrun"/>
                <w:rFonts w:ascii="Verdana" w:hAnsi="Verdana"/>
                <w:sz w:val="16"/>
                <w:szCs w:val="16"/>
              </w:rPr>
              <w:t>Contratista de la Subdirección de Gestión Contractual</w:t>
            </w:r>
          </w:p>
        </w:tc>
      </w:tr>
      <w:tr w:rsidR="00E26F22" w:rsidRPr="000F417A" w14:paraId="1D420233" w14:textId="77777777" w:rsidTr="009C6B83">
        <w:trPr>
          <w:trHeight w:val="330"/>
        </w:trPr>
        <w:tc>
          <w:tcPr>
            <w:tcW w:w="893" w:type="dxa"/>
            <w:vAlign w:val="center"/>
            <w:hideMark/>
          </w:tcPr>
          <w:p w14:paraId="1C134D02" w14:textId="77777777" w:rsidR="00E26F22" w:rsidRPr="000F417A" w:rsidRDefault="00E26F22" w:rsidP="009C6B83">
            <w:pPr>
              <w:contextualSpacing/>
              <w:rPr>
                <w:rFonts w:ascii="Verdana" w:hAnsi="Verdana" w:cs="Arial"/>
                <w:sz w:val="16"/>
                <w:szCs w:val="16"/>
                <w:lang w:val="es-ES" w:eastAsia="es-ES"/>
              </w:rPr>
            </w:pPr>
            <w:r w:rsidRPr="000F417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7F9CEB9" w14:textId="77777777" w:rsidR="005B2718" w:rsidRDefault="00E26F22" w:rsidP="005B2718">
            <w:pPr>
              <w:pStyle w:val="paragraph"/>
              <w:spacing w:after="0"/>
              <w:contextualSpacing/>
              <w:textAlignment w:val="baseline"/>
              <w:rPr>
                <w:rStyle w:val="normaltextrun"/>
                <w:rFonts w:ascii="Verdana" w:hAnsi="Verdana" w:cs="Arial"/>
                <w:sz w:val="16"/>
                <w:szCs w:val="16"/>
                <w:lang w:val="es-ES"/>
              </w:rPr>
            </w:pPr>
            <w:r w:rsidRPr="000F417A">
              <w:rPr>
                <w:rStyle w:val="normaltextrun"/>
                <w:rFonts w:ascii="Verdana" w:hAnsi="Verdana" w:cs="Arial"/>
                <w:sz w:val="16"/>
                <w:szCs w:val="16"/>
                <w:lang w:val="es-ES"/>
              </w:rPr>
              <w:t xml:space="preserve">Juan Carlos González </w:t>
            </w:r>
            <w:r w:rsidR="397E8A14" w:rsidRPr="4FEDD702">
              <w:rPr>
                <w:rStyle w:val="normaltextrun"/>
                <w:rFonts w:ascii="Verdana" w:hAnsi="Verdana" w:cs="Arial"/>
                <w:sz w:val="16"/>
                <w:szCs w:val="16"/>
                <w:lang w:val="es-ES"/>
              </w:rPr>
              <w:t>Vá</w:t>
            </w:r>
            <w:r w:rsidR="67AE5D80" w:rsidRPr="4FEDD702">
              <w:rPr>
                <w:rStyle w:val="normaltextrun"/>
                <w:rFonts w:ascii="Verdana" w:hAnsi="Verdana" w:cs="Arial"/>
                <w:sz w:val="16"/>
                <w:szCs w:val="16"/>
                <w:lang w:val="es-ES"/>
              </w:rPr>
              <w:t>s</w:t>
            </w:r>
            <w:r w:rsidR="397E8A14" w:rsidRPr="4FEDD702">
              <w:rPr>
                <w:rStyle w:val="normaltextrun"/>
                <w:rFonts w:ascii="Verdana" w:hAnsi="Verdana" w:cs="Arial"/>
                <w:sz w:val="16"/>
                <w:szCs w:val="16"/>
                <w:lang w:val="es-ES"/>
              </w:rPr>
              <w:t>quez</w:t>
            </w:r>
          </w:p>
          <w:p w14:paraId="1DF00D7C" w14:textId="1BEDD837" w:rsidR="00E26F22" w:rsidRPr="005B2718" w:rsidRDefault="005B2718" w:rsidP="005B2718">
            <w:pPr>
              <w:pStyle w:val="paragraph"/>
              <w:spacing w:after="0"/>
              <w:contextualSpacing/>
              <w:textAlignment w:val="baseline"/>
              <w:rPr>
                <w:rFonts w:ascii="Verdana" w:hAnsi="Verdana" w:cs="Arial"/>
                <w:sz w:val="16"/>
                <w:szCs w:val="16"/>
                <w:lang w:val="es-ES"/>
              </w:rPr>
            </w:pPr>
            <w:r>
              <w:rPr>
                <w:rStyle w:val="normaltextrun"/>
                <w:rFonts w:ascii="Verdana" w:hAnsi="Verdana" w:cs="Arial"/>
                <w:sz w:val="16"/>
                <w:szCs w:val="16"/>
                <w:lang w:val="es-ES"/>
              </w:rPr>
              <w:t>Contratista</w:t>
            </w:r>
            <w:r w:rsidR="00E26F22" w:rsidRPr="000F417A">
              <w:rPr>
                <w:rStyle w:val="normaltextrun"/>
                <w:rFonts w:ascii="Verdana" w:hAnsi="Verdana" w:cs="Arial"/>
                <w:sz w:val="16"/>
                <w:szCs w:val="16"/>
                <w:lang w:val="es-ES"/>
              </w:rPr>
              <w:t xml:space="preserve"> de la Subdirección de Gestión Contractual</w:t>
            </w:r>
            <w:r w:rsidR="00E26F22" w:rsidRPr="000F417A">
              <w:rPr>
                <w:rStyle w:val="eop"/>
                <w:rFonts w:ascii="Verdana" w:hAnsi="Verdana" w:cs="Arial"/>
                <w:sz w:val="16"/>
                <w:szCs w:val="16"/>
              </w:rPr>
              <w:t> </w:t>
            </w:r>
          </w:p>
        </w:tc>
      </w:tr>
      <w:tr w:rsidR="00E26F22" w:rsidRPr="000F417A" w14:paraId="513C096B" w14:textId="77777777" w:rsidTr="009C6B83">
        <w:trPr>
          <w:trHeight w:val="300"/>
        </w:trPr>
        <w:tc>
          <w:tcPr>
            <w:tcW w:w="893" w:type="dxa"/>
            <w:vAlign w:val="center"/>
          </w:tcPr>
          <w:p w14:paraId="085B2231" w14:textId="77777777" w:rsidR="00E26F22" w:rsidRPr="000F417A" w:rsidRDefault="00E26F22" w:rsidP="009C6B83">
            <w:pPr>
              <w:contextualSpacing/>
              <w:rPr>
                <w:rFonts w:ascii="Verdana" w:hAnsi="Verdana" w:cs="Arial"/>
                <w:sz w:val="16"/>
                <w:szCs w:val="16"/>
                <w:lang w:val="es-ES" w:eastAsia="es-ES"/>
              </w:rPr>
            </w:pPr>
            <w:r w:rsidRPr="000F417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B3B661A" w14:textId="77777777" w:rsidR="00E26F22" w:rsidRPr="000F417A" w:rsidRDefault="00E26F22" w:rsidP="009C6B83">
            <w:pPr>
              <w:contextualSpacing/>
              <w:rPr>
                <w:rFonts w:ascii="Verdana" w:eastAsia="Calibri" w:hAnsi="Verdana" w:cs="Arial"/>
                <w:sz w:val="16"/>
                <w:szCs w:val="16"/>
                <w:lang w:val="pt-BR" w:eastAsia="es-ES"/>
              </w:rPr>
            </w:pPr>
            <w:r w:rsidRPr="000F417A">
              <w:rPr>
                <w:rFonts w:ascii="Verdana" w:eastAsia="Calibri" w:hAnsi="Verdana" w:cs="Arial"/>
                <w:sz w:val="16"/>
                <w:szCs w:val="16"/>
                <w:lang w:val="pt-BR" w:eastAsia="es-ES"/>
              </w:rPr>
              <w:t xml:space="preserve">Carolina Quintero </w:t>
            </w:r>
            <w:proofErr w:type="spellStart"/>
            <w:r w:rsidRPr="000F417A">
              <w:rPr>
                <w:rFonts w:ascii="Verdana" w:eastAsia="Calibri" w:hAnsi="Verdana" w:cs="Arial"/>
                <w:sz w:val="16"/>
                <w:szCs w:val="16"/>
                <w:lang w:val="pt-BR" w:eastAsia="es-ES"/>
              </w:rPr>
              <w:t>Gacharná</w:t>
            </w:r>
            <w:proofErr w:type="spellEnd"/>
          </w:p>
          <w:p w14:paraId="20C8C50B" w14:textId="77777777" w:rsidR="00E26F22" w:rsidRPr="000F417A" w:rsidRDefault="00E26F22" w:rsidP="009C6B83">
            <w:pPr>
              <w:contextualSpacing/>
              <w:rPr>
                <w:rFonts w:ascii="Verdana" w:eastAsia="Calibri" w:hAnsi="Verdana" w:cs="Arial"/>
                <w:sz w:val="16"/>
                <w:szCs w:val="16"/>
                <w:lang w:val="pt-BR" w:eastAsia="es-ES"/>
              </w:rPr>
            </w:pPr>
            <w:r w:rsidRPr="000F417A">
              <w:rPr>
                <w:rFonts w:ascii="Verdana" w:eastAsia="Calibri" w:hAnsi="Verdana" w:cs="Arial"/>
                <w:sz w:val="16"/>
                <w:szCs w:val="16"/>
                <w:lang w:eastAsia="es-ES"/>
              </w:rPr>
              <w:t>Subdirectora</w:t>
            </w:r>
            <w:r w:rsidRPr="000F417A">
              <w:rPr>
                <w:rFonts w:ascii="Verdana" w:eastAsia="Calibri" w:hAnsi="Verdana" w:cs="Arial"/>
                <w:sz w:val="16"/>
                <w:szCs w:val="16"/>
                <w:lang w:val="pt-BR" w:eastAsia="es-ES"/>
              </w:rPr>
              <w:t xml:space="preserve"> de </w:t>
            </w:r>
            <w:proofErr w:type="spellStart"/>
            <w:r w:rsidRPr="000F417A">
              <w:rPr>
                <w:rFonts w:ascii="Verdana" w:eastAsia="Calibri" w:hAnsi="Verdana" w:cs="Arial"/>
                <w:sz w:val="16"/>
                <w:szCs w:val="16"/>
                <w:lang w:val="pt-BR" w:eastAsia="es-ES"/>
              </w:rPr>
              <w:t>Gestión</w:t>
            </w:r>
            <w:proofErr w:type="spellEnd"/>
            <w:r w:rsidRPr="000F417A">
              <w:rPr>
                <w:rFonts w:ascii="Verdana" w:eastAsia="Calibri" w:hAnsi="Verdana" w:cs="Arial"/>
                <w:sz w:val="16"/>
                <w:szCs w:val="16"/>
                <w:lang w:val="pt-BR" w:eastAsia="es-ES"/>
              </w:rPr>
              <w:t xml:space="preserve"> </w:t>
            </w:r>
            <w:proofErr w:type="spellStart"/>
            <w:r w:rsidRPr="000F417A">
              <w:rPr>
                <w:rFonts w:ascii="Verdana" w:eastAsia="Calibri" w:hAnsi="Verdana" w:cs="Arial"/>
                <w:sz w:val="16"/>
                <w:szCs w:val="16"/>
                <w:lang w:val="pt-BR" w:eastAsia="es-ES"/>
              </w:rPr>
              <w:t>Contractual</w:t>
            </w:r>
            <w:proofErr w:type="spellEnd"/>
            <w:r w:rsidRPr="000F417A">
              <w:rPr>
                <w:rFonts w:ascii="Verdana" w:eastAsia="Calibri" w:hAnsi="Verdana" w:cs="Arial"/>
                <w:sz w:val="16"/>
                <w:szCs w:val="16"/>
                <w:lang w:val="pt-BR" w:eastAsia="es-ES"/>
              </w:rPr>
              <w:t xml:space="preserve"> ANCP – CCE</w:t>
            </w:r>
          </w:p>
        </w:tc>
      </w:tr>
    </w:tbl>
    <w:p w14:paraId="3900974D" w14:textId="77777777" w:rsidR="003D5B0D" w:rsidRPr="00D62CAD" w:rsidRDefault="003D5B0D" w:rsidP="004555F6"/>
    <w:sectPr w:rsidR="003D5B0D" w:rsidRPr="00D62CA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45290D" w14:textId="77777777" w:rsidR="00DF569B" w:rsidRDefault="00DF569B" w:rsidP="004A1847">
      <w:pPr>
        <w:spacing w:after="0" w:line="240" w:lineRule="auto"/>
      </w:pPr>
      <w:r>
        <w:separator/>
      </w:r>
    </w:p>
  </w:endnote>
  <w:endnote w:type="continuationSeparator" w:id="0">
    <w:p w14:paraId="50E4A675" w14:textId="77777777" w:rsidR="00DF569B" w:rsidRDefault="00DF569B" w:rsidP="004A1847">
      <w:pPr>
        <w:spacing w:after="0" w:line="240" w:lineRule="auto"/>
      </w:pPr>
      <w:r>
        <w:continuationSeparator/>
      </w:r>
    </w:p>
  </w:endnote>
  <w:endnote w:type="continuationNotice" w:id="1">
    <w:p w14:paraId="224882B7" w14:textId="77777777" w:rsidR="00DF569B" w:rsidRDefault="00DF56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83317A" w14:textId="77777777" w:rsidR="00DF569B" w:rsidRDefault="00DF569B" w:rsidP="004A1847">
      <w:pPr>
        <w:spacing w:after="0" w:line="240" w:lineRule="auto"/>
      </w:pPr>
      <w:r>
        <w:separator/>
      </w:r>
    </w:p>
  </w:footnote>
  <w:footnote w:type="continuationSeparator" w:id="0">
    <w:p w14:paraId="235263F3" w14:textId="77777777" w:rsidR="00DF569B" w:rsidRDefault="00DF569B" w:rsidP="004A1847">
      <w:pPr>
        <w:spacing w:after="0" w:line="240" w:lineRule="auto"/>
      </w:pPr>
      <w:r>
        <w:continuationSeparator/>
      </w:r>
    </w:p>
  </w:footnote>
  <w:footnote w:type="continuationNotice" w:id="1">
    <w:p w14:paraId="3746060A" w14:textId="77777777" w:rsidR="00DF569B" w:rsidRDefault="00DF569B">
      <w:pPr>
        <w:spacing w:after="0" w:line="240" w:lineRule="auto"/>
      </w:pPr>
    </w:p>
  </w:footnote>
  <w:footnote w:id="2">
    <w:p w14:paraId="763CD362" w14:textId="77777777" w:rsidR="00E26F22" w:rsidRPr="00285AC2" w:rsidRDefault="00E26F22" w:rsidP="00E26F22">
      <w:pPr>
        <w:ind w:right="51" w:firstLine="708"/>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Decreto 019 de 2012: “Artículo 229. Experiencia profesional. Para el ejercicio de las diferentes profesiones acreditadas por el Ministerio de Educación Nacional, la experiencia profesional se computará a partir de la terminación y aprobación del pensum académico de educación superior.</w:t>
      </w:r>
    </w:p>
    <w:p w14:paraId="16863DDB" w14:textId="77777777" w:rsidR="00E26F22" w:rsidRPr="00285AC2" w:rsidRDefault="00E26F22" w:rsidP="00E26F22">
      <w:pPr>
        <w:ind w:right="51" w:firstLine="708"/>
        <w:jc w:val="both"/>
        <w:rPr>
          <w:rFonts w:ascii="Verdana" w:eastAsia="Calibri" w:hAnsi="Verdana" w:cs="Arial"/>
          <w:color w:val="000000"/>
          <w:sz w:val="14"/>
          <w:szCs w:val="14"/>
        </w:rPr>
      </w:pPr>
      <w:r w:rsidRPr="00285AC2">
        <w:rPr>
          <w:rFonts w:ascii="Verdana" w:eastAsia="Calibri" w:hAnsi="Verdana" w:cs="Arial"/>
          <w:color w:val="000000"/>
          <w:sz w:val="14"/>
          <w:szCs w:val="14"/>
        </w:rPr>
        <w:t>“Se exceptúan de esta condición las profesiones relacionadas con el sistema de seguridad social en salud en las cuales la experiencia profesional se computará a partir de la inscripción o registro profesional”.</w:t>
      </w:r>
    </w:p>
    <w:p w14:paraId="36FFB9B9" w14:textId="77777777" w:rsidR="00E26F22" w:rsidRPr="00285AC2" w:rsidRDefault="00E26F22" w:rsidP="00E26F22">
      <w:pPr>
        <w:pStyle w:val="Textonotapie"/>
        <w:ind w:firstLine="708"/>
        <w:jc w:val="both"/>
        <w:rPr>
          <w:rFonts w:ascii="Arial" w:hAnsi="Arial" w:cs="Arial"/>
          <w:color w:val="000000"/>
          <w:sz w:val="14"/>
          <w:szCs w:val="14"/>
          <w:lang w:val="es-CO"/>
        </w:rPr>
      </w:pPr>
    </w:p>
  </w:footnote>
  <w:footnote w:id="3">
    <w:p w14:paraId="0B84CCC5" w14:textId="77777777" w:rsidR="00E26F22" w:rsidRPr="00285AC2" w:rsidRDefault="00E26F22" w:rsidP="008B19FD">
      <w:pPr>
        <w:spacing w:after="0"/>
        <w:ind w:firstLine="709"/>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Ley 1780 de 2016: “Artículo 15. Naturaleza, definición y reglamentación de la práctica laboral.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 y su tipo de formación; para el cumplimiento de un requisito para culminar sus estudios u obtener un título que lo acreditará para el desempeño laboral.</w:t>
      </w:r>
    </w:p>
    <w:p w14:paraId="090E8969" w14:textId="127111F8" w:rsidR="00E26F22" w:rsidRPr="00E268CA" w:rsidRDefault="00E26F22" w:rsidP="008B19FD">
      <w:pPr>
        <w:spacing w:after="0"/>
        <w:ind w:firstLine="709"/>
        <w:jc w:val="both"/>
        <w:rPr>
          <w:rFonts w:ascii="Verdana" w:hAnsi="Verdana" w:cs="Arial"/>
          <w:color w:val="000000"/>
          <w:sz w:val="14"/>
          <w:szCs w:val="14"/>
        </w:rPr>
      </w:pPr>
      <w:r w:rsidRPr="00285AC2">
        <w:rPr>
          <w:rFonts w:ascii="Verdana" w:eastAsia="Calibri" w:hAnsi="Verdana" w:cs="Arial"/>
          <w:color w:val="000000"/>
          <w:sz w:val="14"/>
          <w:szCs w:val="14"/>
        </w:rPr>
        <w:t>“Por tratarse de una actividad formativa, la práctica laboral no constituye relación de trabajo”.</w:t>
      </w:r>
    </w:p>
  </w:footnote>
  <w:footnote w:id="4">
    <w:p w14:paraId="0DBA409D" w14:textId="77777777" w:rsidR="00E26F22" w:rsidRPr="00E268CA" w:rsidRDefault="00E26F22" w:rsidP="008B19FD">
      <w:pPr>
        <w:pStyle w:val="NormalWeb"/>
        <w:spacing w:after="0" w:afterAutospacing="0"/>
        <w:ind w:firstLine="709"/>
        <w:jc w:val="both"/>
        <w:rPr>
          <w:rFonts w:ascii="Verdana" w:hAnsi="Verdana" w:cs="Arial"/>
          <w:color w:val="000000"/>
          <w:sz w:val="14"/>
          <w:szCs w:val="14"/>
        </w:rPr>
      </w:pPr>
      <w:r w:rsidRPr="00E268CA">
        <w:rPr>
          <w:rStyle w:val="Refdenotaalpie"/>
          <w:rFonts w:ascii="Verdana" w:hAnsi="Verdana" w:cs="Arial"/>
          <w:color w:val="000000"/>
          <w:sz w:val="14"/>
          <w:szCs w:val="14"/>
        </w:rPr>
        <w:footnoteRef/>
      </w:r>
      <w:bookmarkStart w:id="0" w:name="192"/>
      <w:r w:rsidRPr="00E268CA">
        <w:rPr>
          <w:rFonts w:ascii="Verdana" w:hAnsi="Verdana" w:cs="Arial"/>
          <w:bCs/>
          <w:color w:val="000000"/>
          <w:sz w:val="14"/>
          <w:szCs w:val="14"/>
        </w:rPr>
        <w:t xml:space="preserve"> “Artículo 192. Prácticas Laborales.</w:t>
      </w:r>
      <w:bookmarkEnd w:id="0"/>
      <w:r w:rsidRPr="00E268CA">
        <w:rPr>
          <w:rFonts w:ascii="Verdana" w:hAnsi="Verdana" w:cs="Arial"/>
          <w:color w:val="000000"/>
          <w:sz w:val="14"/>
          <w:szCs w:val="14"/>
        </w:rPr>
        <w:t> Además de lo previsto en el artículo </w:t>
      </w:r>
      <w:hyperlink r:id="rId1" w:anchor="15" w:history="1">
        <w:r w:rsidRPr="00E268CA">
          <w:rPr>
            <w:rStyle w:val="Hipervnculo"/>
            <w:rFonts w:ascii="Verdana" w:eastAsiaTheme="majorEastAsia" w:hAnsi="Verdana" w:cs="Arial"/>
            <w:color w:val="000000"/>
            <w:sz w:val="14"/>
            <w:szCs w:val="14"/>
          </w:rPr>
          <w:t>15</w:t>
        </w:r>
      </w:hyperlink>
      <w:r w:rsidRPr="00E268CA">
        <w:rPr>
          <w:rFonts w:ascii="Verdana" w:hAnsi="Verdana" w:cs="Arial"/>
          <w:color w:val="000000"/>
          <w:sz w:val="14"/>
          <w:szCs w:val="14"/>
        </w:rPr>
        <w:t xml:space="preserve"> de la Ley 1780 de 2016, las prácticas laborales podrán desarrollarse por estudiantes de educación superior de posgrado, de educación para el trabajo y desarrollo humano, de formación profesional integral del SENA, así como de toda la oferta de formación por competencias. </w:t>
      </w:r>
    </w:p>
    <w:p w14:paraId="3D4D803E" w14:textId="77777777" w:rsidR="00E26F22" w:rsidRPr="00E268CA" w:rsidRDefault="00E26F22" w:rsidP="008B19FD">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1o.</w:t>
      </w:r>
      <w:r w:rsidRPr="00E268CA">
        <w:rPr>
          <w:rFonts w:ascii="Verdana" w:hAnsi="Verdana" w:cs="Arial"/>
          <w:color w:val="000000"/>
          <w:sz w:val="14"/>
          <w:szCs w:val="14"/>
        </w:rPr>
        <w:t> El tiempo de la práctica laboral que el estudiante realice para optar a su título de profesional, tecnológico o técnico cuenta como experiencia laboral, sin perjuicio de las disposiciones vigentes en la materia.</w:t>
      </w:r>
    </w:p>
    <w:p w14:paraId="613DAB5E" w14:textId="77777777" w:rsidR="00E26F22" w:rsidRPr="00E268CA" w:rsidRDefault="00E26F22" w:rsidP="008B19FD">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2o.</w:t>
      </w:r>
      <w:r w:rsidRPr="00E268CA">
        <w:rPr>
          <w:rFonts w:ascii="Verdana" w:hAnsi="Verdana" w:cs="Arial"/>
          <w:color w:val="000000"/>
          <w:sz w:val="14"/>
          <w:szCs w:val="14"/>
        </w:rPr>
        <w:t xml:space="preserve"> Las prácticas laborales realizadas durante los veinticuatro (24) meses anteriores a la entrada en vigencia de la presente Ley, serán tenidas en cuenta al momento de contabilizar el tiempo de experiencia laboral. </w:t>
      </w:r>
    </w:p>
    <w:p w14:paraId="15E41968" w14:textId="77777777" w:rsidR="00E26F22" w:rsidRPr="00E268CA" w:rsidRDefault="00E26F22" w:rsidP="008B19FD">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3o.</w:t>
      </w:r>
      <w:r w:rsidRPr="00E268CA">
        <w:rPr>
          <w:rFonts w:ascii="Verdana" w:hAnsi="Verdana" w:cs="Arial"/>
          <w:color w:val="000000"/>
          <w:sz w:val="14"/>
          <w:szCs w:val="14"/>
        </w:rPr>
        <w:t> Se exceptúan de lo dispuesto en el presente artículo, los estudiantes de posgrado del sector salud.</w:t>
      </w:r>
    </w:p>
    <w:p w14:paraId="6AAF5F9A" w14:textId="77777777" w:rsidR="00E26F22" w:rsidRPr="00E268CA" w:rsidRDefault="00E26F22" w:rsidP="008B19FD">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4o</w:t>
      </w:r>
      <w:r w:rsidRPr="00E268CA">
        <w:rPr>
          <w:rStyle w:val="baj"/>
          <w:rFonts w:ascii="Verdana" w:hAnsi="Verdana" w:cs="Arial"/>
          <w:b/>
          <w:bCs/>
          <w:color w:val="000000"/>
          <w:sz w:val="14"/>
          <w:szCs w:val="14"/>
        </w:rPr>
        <w:t>.</w:t>
      </w:r>
      <w:r w:rsidRPr="00E268CA">
        <w:rPr>
          <w:rFonts w:ascii="Verdana" w:hAnsi="Verdana" w:cs="Arial"/>
          <w:color w:val="000000"/>
          <w:sz w:val="14"/>
          <w:szCs w:val="14"/>
        </w:rPr>
        <w:t> En el sector público se generarán oportunidades de prácticas laborales para estudiantes de administración pública”.</w:t>
      </w:r>
    </w:p>
    <w:p w14:paraId="64F39952" w14:textId="77777777" w:rsidR="00E26F22" w:rsidRPr="003C068C" w:rsidRDefault="00E26F22" w:rsidP="00E26F22">
      <w:pPr>
        <w:pStyle w:val="Textonotapie"/>
        <w:ind w:firstLine="709"/>
        <w:jc w:val="both"/>
        <w:rPr>
          <w:rFonts w:ascii="Arial" w:hAnsi="Arial" w:cs="Arial"/>
          <w:color w:val="000000"/>
          <w:sz w:val="19"/>
          <w:szCs w:val="19"/>
          <w:lang w:val="es-CO"/>
        </w:rPr>
      </w:pPr>
      <w:r w:rsidRPr="003C068C">
        <w:rPr>
          <w:rFonts w:ascii="Arial" w:hAnsi="Arial" w:cs="Arial"/>
          <w:color w:val="000000"/>
          <w:sz w:val="19"/>
          <w:szCs w:val="19"/>
        </w:rPr>
        <w:t xml:space="preserve"> </w:t>
      </w:r>
    </w:p>
  </w:footnote>
  <w:footnote w:id="5">
    <w:p w14:paraId="704DBAB9" w14:textId="77777777" w:rsidR="00E26F22" w:rsidRPr="00E268CA" w:rsidRDefault="00E26F22" w:rsidP="00E26F22">
      <w:pPr>
        <w:pStyle w:val="Textonotapie"/>
        <w:ind w:firstLine="709"/>
        <w:jc w:val="both"/>
        <w:rPr>
          <w:rFonts w:ascii="Verdana" w:hAnsi="Verdana" w:cs="Arial"/>
          <w:color w:val="000000"/>
          <w:sz w:val="14"/>
          <w:szCs w:val="14"/>
          <w:lang w:val="es-CO"/>
        </w:rPr>
      </w:pPr>
      <w:r w:rsidRPr="00E268CA">
        <w:rPr>
          <w:rStyle w:val="Refdenotaalpie"/>
          <w:rFonts w:ascii="Verdana" w:hAnsi="Verdana" w:cs="Arial"/>
          <w:color w:val="000000"/>
          <w:sz w:val="14"/>
          <w:szCs w:val="14"/>
        </w:rPr>
        <w:footnoteRef/>
      </w:r>
      <w:r w:rsidRPr="00E268CA">
        <w:rPr>
          <w:rFonts w:ascii="Verdana" w:eastAsia="Calibri" w:hAnsi="Verdana" w:cs="Arial"/>
          <w:color w:val="000000"/>
          <w:sz w:val="14"/>
          <w:szCs w:val="14"/>
        </w:rPr>
        <w:t xml:space="preserve"> Corte Constitucional. Sentencia C-688 del 10 de septiembre de 2014. M.P. Luis Guillermo Guerrero Pérez</w:t>
      </w:r>
      <w:r w:rsidRPr="00E268CA">
        <w:rPr>
          <w:rFonts w:ascii="Verdana" w:hAnsi="Verdana" w:cs="Arial"/>
          <w:color w:val="000000"/>
          <w:sz w:val="14"/>
          <w:szCs w:val="14"/>
        </w:rPr>
        <w:t xml:space="preserve"> </w:t>
      </w:r>
    </w:p>
  </w:footnote>
  <w:footnote w:id="6">
    <w:p w14:paraId="71014689" w14:textId="77777777" w:rsidR="00E26F22" w:rsidRPr="00E268CA" w:rsidRDefault="00E26F22" w:rsidP="00E26F22">
      <w:pPr>
        <w:pStyle w:val="NormalWeb"/>
        <w:shd w:val="clear" w:color="auto" w:fill="FFFFFF"/>
        <w:spacing w:after="0"/>
        <w:ind w:firstLine="708"/>
        <w:jc w:val="both"/>
        <w:rPr>
          <w:rFonts w:ascii="Verdana" w:hAnsi="Verdana" w:cs="Arial"/>
          <w:color w:val="000000"/>
          <w:sz w:val="14"/>
          <w:szCs w:val="14"/>
        </w:rPr>
      </w:pPr>
      <w:r w:rsidRPr="00E268CA">
        <w:rPr>
          <w:rStyle w:val="Refdenotaalpie"/>
          <w:rFonts w:ascii="Verdana" w:hAnsi="Verdana" w:cs="Arial"/>
          <w:color w:val="000000"/>
          <w:sz w:val="14"/>
          <w:szCs w:val="14"/>
        </w:rPr>
        <w:footnoteRef/>
      </w:r>
      <w:r w:rsidRPr="00E268CA">
        <w:rPr>
          <w:rStyle w:val="Textoennegrita"/>
          <w:rFonts w:ascii="Verdana" w:hAnsi="Verdana" w:cs="Arial"/>
          <w:color w:val="000000"/>
          <w:sz w:val="14"/>
          <w:szCs w:val="14"/>
        </w:rPr>
        <w:t xml:space="preserve"> </w:t>
      </w:r>
      <w:r>
        <w:rPr>
          <w:rStyle w:val="Textoennegrita"/>
          <w:rFonts w:ascii="Verdana" w:hAnsi="Verdana" w:cs="Arial"/>
          <w:color w:val="000000"/>
          <w:sz w:val="14"/>
          <w:szCs w:val="14"/>
        </w:rPr>
        <w:t>“</w:t>
      </w:r>
      <w:r w:rsidRPr="00E268CA">
        <w:rPr>
          <w:rStyle w:val="Textoennegrita"/>
          <w:rFonts w:ascii="Verdana" w:hAnsi="Verdana" w:cs="Arial"/>
          <w:color w:val="000000"/>
          <w:sz w:val="14"/>
          <w:szCs w:val="14"/>
        </w:rPr>
        <w:t>Artículo 2.2.1.2.1.4.9. </w:t>
      </w:r>
      <w:r w:rsidRPr="00E268CA">
        <w:rPr>
          <w:rStyle w:val="nfasis"/>
          <w:rFonts w:ascii="Verdana" w:hAnsi="Verdana" w:cs="Arial"/>
          <w:bCs/>
          <w:color w:val="000000"/>
          <w:sz w:val="14"/>
          <w:szCs w:val="14"/>
        </w:rPr>
        <w:t>Contratos de prestación de servicios profesionales y de apoyo a la gestión, o para la ejecución de trabajos artísticos que solo pueden encomendarse a determinadas personas naturales.</w:t>
      </w:r>
      <w:r w:rsidRPr="00E268CA">
        <w:rPr>
          <w:rStyle w:val="nfasis"/>
          <w:rFonts w:ascii="Verdana" w:hAnsi="Verdana" w:cs="Arial"/>
          <w:color w:val="000000"/>
          <w:sz w:val="14"/>
          <w:szCs w:val="14"/>
        </w:rPr>
        <w:t> </w:t>
      </w:r>
      <w:r w:rsidRPr="00E268CA">
        <w:rPr>
          <w:rFonts w:ascii="Verdana" w:hAnsi="Verdana" w:cs="Arial"/>
          <w:color w:val="000000"/>
          <w:sz w:val="14"/>
          <w:szCs w:val="14"/>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8FBF55F" w14:textId="77777777" w:rsidR="00E26F22" w:rsidRPr="00E268CA" w:rsidRDefault="00E26F22" w:rsidP="00E26F22">
      <w:pPr>
        <w:pStyle w:val="NormalWeb"/>
        <w:shd w:val="clear" w:color="auto" w:fill="FFFFFF"/>
        <w:spacing w:after="0"/>
        <w:ind w:firstLine="708"/>
        <w:jc w:val="both"/>
        <w:rPr>
          <w:rFonts w:ascii="Verdana" w:hAnsi="Verdana" w:cs="Arial"/>
          <w:color w:val="000000"/>
          <w:sz w:val="14"/>
          <w:szCs w:val="14"/>
        </w:rPr>
      </w:pPr>
      <w:r w:rsidRPr="00E268CA">
        <w:rPr>
          <w:rFonts w:ascii="Verdana" w:hAnsi="Verdana" w:cs="Arial"/>
          <w:color w:val="000000"/>
          <w:sz w:val="14"/>
          <w:szCs w:val="14"/>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5501243D" w14:textId="77777777" w:rsidR="00E26F22" w:rsidRPr="00E268CA" w:rsidRDefault="00E26F22" w:rsidP="00E26F22">
      <w:pPr>
        <w:pStyle w:val="NormalWeb"/>
        <w:shd w:val="clear" w:color="auto" w:fill="FFFFFF"/>
        <w:spacing w:after="0"/>
        <w:ind w:firstLine="708"/>
        <w:jc w:val="both"/>
        <w:rPr>
          <w:rFonts w:ascii="Verdana" w:hAnsi="Verdana" w:cs="Arial"/>
          <w:color w:val="000000"/>
          <w:sz w:val="14"/>
          <w:szCs w:val="14"/>
        </w:rPr>
      </w:pPr>
      <w:r w:rsidRPr="00E268CA">
        <w:rPr>
          <w:rFonts w:ascii="Verdana" w:hAnsi="Verdana" w:cs="Arial"/>
          <w:color w:val="000000"/>
          <w:sz w:val="14"/>
          <w:szCs w:val="14"/>
        </w:rPr>
        <w:t>“La Entidad Estatal, para la contratación de trabajos artísticos que solamente puedan encomendarse a determinadas personas naturales, debe justificar esta situación en los estudios y documentos previos”.</w:t>
      </w:r>
    </w:p>
    <w:p w14:paraId="27D81320" w14:textId="77777777" w:rsidR="00E26F22" w:rsidRPr="00E268CA" w:rsidRDefault="00E26F22" w:rsidP="00E26F22">
      <w:pPr>
        <w:pStyle w:val="Textonotapie"/>
        <w:ind w:firstLine="708"/>
        <w:jc w:val="both"/>
        <w:rPr>
          <w:rFonts w:ascii="Verdana" w:hAnsi="Verdana" w:cs="Arial"/>
          <w:color w:val="000000"/>
          <w:sz w:val="14"/>
          <w:szCs w:val="14"/>
          <w:lang w:val="es-CO"/>
        </w:rPr>
      </w:pPr>
      <w:r w:rsidRPr="00E268CA">
        <w:rPr>
          <w:rFonts w:ascii="Verdana" w:hAnsi="Verdana" w:cs="Arial"/>
          <w:color w:val="000000"/>
          <w:sz w:val="14"/>
          <w:szCs w:val="14"/>
        </w:rPr>
        <w:t xml:space="preserve"> </w:t>
      </w:r>
    </w:p>
  </w:footnote>
  <w:footnote w:id="7">
    <w:p w14:paraId="276279BC" w14:textId="77777777" w:rsidR="00E26F22" w:rsidRPr="00E268CA" w:rsidRDefault="00E26F22" w:rsidP="00E26F22">
      <w:pPr>
        <w:pStyle w:val="Textonotapie"/>
        <w:ind w:firstLine="708"/>
        <w:jc w:val="both"/>
        <w:rPr>
          <w:rFonts w:ascii="Verdana" w:hAnsi="Verdana" w:cs="Arial"/>
          <w:color w:val="000000"/>
          <w:sz w:val="14"/>
          <w:szCs w:val="14"/>
        </w:rPr>
      </w:pPr>
      <w:r w:rsidRPr="00E268CA">
        <w:rPr>
          <w:rStyle w:val="Refdenotaalpie"/>
          <w:rFonts w:ascii="Verdana" w:hAnsi="Verdana" w:cs="Arial"/>
          <w:color w:val="000000"/>
          <w:sz w:val="14"/>
          <w:szCs w:val="14"/>
        </w:rPr>
        <w:footnoteRef/>
      </w:r>
      <w:r w:rsidRPr="00E268CA">
        <w:rPr>
          <w:rFonts w:ascii="Verdana" w:hAnsi="Verdana" w:cs="Arial"/>
          <w:color w:val="000000"/>
          <w:sz w:val="14"/>
          <w:szCs w:val="14"/>
        </w:rPr>
        <w:t xml:space="preserve"> “Artículo 1o. Todo aspirante a ocupar un cargo o empleo público, o a celebrar un contrato de prestación de servicios con la administración deberá presentar ante la unidad de personal de la correspondiente entidad, o ante la dependencia que haga sus veces, el formato único de hoja de vida debidamente diligenciado en el cual consignará la información completa que en ella se solicita:</w:t>
      </w:r>
    </w:p>
    <w:p w14:paraId="07E4E33D" w14:textId="77777777" w:rsidR="00E26F22" w:rsidRPr="00E268CA" w:rsidRDefault="00E26F22" w:rsidP="00E26F22">
      <w:pPr>
        <w:pStyle w:val="Textonotapie"/>
        <w:ind w:firstLine="708"/>
        <w:jc w:val="both"/>
        <w:rPr>
          <w:rFonts w:ascii="Verdana" w:hAnsi="Verdana" w:cs="Arial"/>
          <w:color w:val="000000"/>
          <w:sz w:val="14"/>
          <w:szCs w:val="14"/>
        </w:rPr>
      </w:pPr>
      <w:r w:rsidRPr="00E268CA">
        <w:rPr>
          <w:rFonts w:ascii="Verdana" w:hAnsi="Verdana" w:cs="Arial"/>
          <w:color w:val="000000"/>
          <w:sz w:val="14"/>
          <w:szCs w:val="14"/>
        </w:rPr>
        <w:t>“1. Su formación académica, indicando los años de estudio cursados en los distintos niveles de educación y los títulos y certificados obtenidos.</w:t>
      </w:r>
    </w:p>
    <w:p w14:paraId="72EE48A4" w14:textId="77777777" w:rsidR="00E26F22" w:rsidRPr="00E268CA" w:rsidRDefault="00E26F22" w:rsidP="00E26F22">
      <w:pPr>
        <w:pStyle w:val="Textonotapie"/>
        <w:ind w:firstLine="708"/>
        <w:jc w:val="both"/>
        <w:rPr>
          <w:rFonts w:ascii="Verdana" w:hAnsi="Verdana" w:cs="Arial"/>
          <w:color w:val="000000"/>
          <w:sz w:val="14"/>
          <w:szCs w:val="14"/>
        </w:rPr>
      </w:pPr>
      <w:r w:rsidRPr="00E268CA">
        <w:rPr>
          <w:rFonts w:ascii="Verdana" w:hAnsi="Verdana" w:cs="Arial"/>
          <w:color w:val="000000"/>
          <w:sz w:val="14"/>
          <w:szCs w:val="14"/>
        </w:rPr>
        <w:t>“2. Su experiencia laboral, relacionando todos y cada uno de los empleos o cargos desempeñados, tanto en el sector público como en el privado, así como la dirección, el número del teléfono o el apartado postal en los que sea posible verificar la información.</w:t>
      </w:r>
    </w:p>
    <w:p w14:paraId="3A659F3C" w14:textId="77777777" w:rsidR="00E26F22" w:rsidRPr="00E268CA" w:rsidRDefault="00E26F22" w:rsidP="00E26F22">
      <w:pPr>
        <w:pStyle w:val="Textonotapie"/>
        <w:ind w:firstLine="708"/>
        <w:jc w:val="both"/>
        <w:rPr>
          <w:rFonts w:ascii="Verdana" w:hAnsi="Verdana" w:cs="Arial"/>
          <w:color w:val="000000"/>
          <w:sz w:val="14"/>
          <w:szCs w:val="14"/>
        </w:rPr>
      </w:pPr>
      <w:r w:rsidRPr="00E268CA">
        <w:rPr>
          <w:rFonts w:ascii="Verdana" w:hAnsi="Verdana" w:cs="Arial"/>
          <w:color w:val="000000"/>
          <w:sz w:val="14"/>
          <w:szCs w:val="14"/>
        </w:rPr>
        <w:t>“3. Inexistencia de cualquier hecho o circunstancia que implique una inhabilidad o incompatibilidad del orden constitucional o legal para ocupar el empleo o cargo al que se aspira o para celebrar contrato de prestación de servicios con la administración.</w:t>
      </w:r>
    </w:p>
    <w:p w14:paraId="679A8AC0" w14:textId="77777777" w:rsidR="00E26F22" w:rsidRPr="00D30502" w:rsidRDefault="00E26F22" w:rsidP="00E26F22">
      <w:pPr>
        <w:pStyle w:val="Textonotapie"/>
        <w:ind w:firstLine="708"/>
        <w:jc w:val="both"/>
        <w:rPr>
          <w:rFonts w:ascii="Verdana" w:hAnsi="Verdana" w:cs="Arial"/>
          <w:color w:val="000000"/>
          <w:sz w:val="19"/>
          <w:szCs w:val="19"/>
        </w:rPr>
      </w:pPr>
      <w:r w:rsidRPr="00E268CA">
        <w:rPr>
          <w:rFonts w:ascii="Verdana" w:hAnsi="Verdana" w:cs="Arial"/>
          <w:color w:val="000000"/>
          <w:sz w:val="14"/>
          <w:szCs w:val="14"/>
        </w:rPr>
        <w:t>“4. En caso de personas jurídicas, el correspondiente certificado que acredite la representación legal”.</w:t>
      </w:r>
    </w:p>
  </w:footnote>
  <w:footnote w:id="8">
    <w:p w14:paraId="2EC9CC4E" w14:textId="77777777" w:rsidR="00E26F22" w:rsidRPr="003C068C" w:rsidRDefault="00E26F22" w:rsidP="00E26F22">
      <w:pPr>
        <w:pStyle w:val="Textonotapie"/>
        <w:ind w:firstLine="708"/>
        <w:jc w:val="both"/>
        <w:rPr>
          <w:rFonts w:ascii="Arial" w:hAnsi="Arial" w:cs="Arial"/>
          <w:color w:val="000000"/>
          <w:sz w:val="19"/>
          <w:szCs w:val="19"/>
        </w:rPr>
      </w:pPr>
    </w:p>
    <w:p w14:paraId="0EAF9D09" w14:textId="77777777" w:rsidR="00E26F22" w:rsidRPr="00B23861" w:rsidRDefault="00E26F22" w:rsidP="00E26F22">
      <w:pPr>
        <w:pStyle w:val="Textonotapie"/>
        <w:ind w:firstLine="708"/>
        <w:jc w:val="both"/>
        <w:rPr>
          <w:rFonts w:ascii="Verdana" w:eastAsia="Calibri" w:hAnsi="Verdana" w:cs="Arial"/>
          <w:color w:val="000000"/>
          <w:sz w:val="14"/>
          <w:szCs w:val="14"/>
        </w:rPr>
      </w:pPr>
      <w:r w:rsidRPr="00B23861">
        <w:rPr>
          <w:rStyle w:val="Refdenotaalpie"/>
          <w:rFonts w:ascii="Verdana" w:hAnsi="Verdana" w:cs="Arial"/>
          <w:color w:val="000000"/>
          <w:sz w:val="14"/>
          <w:szCs w:val="14"/>
        </w:rPr>
        <w:footnoteRef/>
      </w:r>
      <w:r w:rsidRPr="00AA7746">
        <w:rPr>
          <w:rFonts w:ascii="Verdana" w:hAnsi="Verdana" w:cs="Arial"/>
          <w:color w:val="000000"/>
          <w:sz w:val="14"/>
          <w:szCs w:val="14"/>
          <w:lang w:val="pt-PT"/>
        </w:rPr>
        <w:t xml:space="preserve"> Corte Constitucional. Sentencia </w:t>
      </w:r>
      <w:r w:rsidRPr="00AA7746">
        <w:rPr>
          <w:rFonts w:ascii="Verdana" w:eastAsia="Calibri" w:hAnsi="Verdana" w:cs="Arial"/>
          <w:color w:val="000000"/>
          <w:sz w:val="14"/>
          <w:szCs w:val="14"/>
          <w:lang w:val="pt-PT"/>
        </w:rPr>
        <w:t xml:space="preserve">C-697 de 2000. </w:t>
      </w:r>
      <w:r w:rsidRPr="00B23861">
        <w:rPr>
          <w:rFonts w:ascii="Verdana" w:eastAsia="Calibri" w:hAnsi="Verdana" w:cs="Arial"/>
          <w:color w:val="000000"/>
          <w:sz w:val="14"/>
          <w:szCs w:val="14"/>
        </w:rPr>
        <w:t xml:space="preserve">M.P. Eduardo Cifuentes Muñoz:  </w:t>
      </w:r>
      <w:r>
        <w:rPr>
          <w:rFonts w:ascii="Verdana" w:eastAsia="Calibri" w:hAnsi="Verdana" w:cs="Arial"/>
          <w:color w:val="000000"/>
          <w:sz w:val="14"/>
          <w:szCs w:val="14"/>
        </w:rPr>
        <w:t>“</w:t>
      </w:r>
      <w:r w:rsidRPr="00B23861">
        <w:rPr>
          <w:rFonts w:ascii="Verdana" w:eastAsia="Calibri" w:hAnsi="Verdana" w:cs="Arial"/>
          <w:color w:val="000000"/>
          <w:sz w:val="14"/>
          <w:szCs w:val="14"/>
        </w:rPr>
        <w:t>El artículo 26 de la Carta autoriza al legislador para exigir determinados títulos de idoneidad a quienes quieran desempeñar actividades que impliquen riesgo social y también, para establecer mecanismos de inspección y vigilancia con el fin de evitar que resulten lesionados derechos 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w:t>
      </w:r>
    </w:p>
    <w:p w14:paraId="02282DCD" w14:textId="77777777" w:rsidR="00E26F22" w:rsidRPr="00B23861" w:rsidRDefault="00E26F22" w:rsidP="00E26F22">
      <w:pPr>
        <w:pStyle w:val="Textonotapie"/>
        <w:ind w:firstLine="708"/>
        <w:jc w:val="both"/>
        <w:rPr>
          <w:rFonts w:ascii="Verdana" w:eastAsia="Calibri" w:hAnsi="Verdana" w:cs="Arial"/>
          <w:color w:val="000000"/>
          <w:sz w:val="14"/>
          <w:szCs w:val="14"/>
        </w:rPr>
      </w:pPr>
      <w:r w:rsidRPr="00B23861">
        <w:rPr>
          <w:rFonts w:ascii="Verdana" w:eastAsia="Calibri" w:hAnsi="Verdana" w:cs="Arial"/>
          <w:color w:val="000000"/>
          <w:sz w:val="14"/>
          <w:szCs w:val="14"/>
        </w:rPr>
        <w:t>[…]</w:t>
      </w:r>
    </w:p>
    <w:p w14:paraId="5A71C88B" w14:textId="77777777" w:rsidR="00E26F22" w:rsidRPr="00B23861" w:rsidRDefault="00E26F22" w:rsidP="00E26F22">
      <w:pPr>
        <w:pStyle w:val="Textonotapie"/>
        <w:ind w:firstLine="708"/>
        <w:jc w:val="both"/>
        <w:rPr>
          <w:rFonts w:ascii="Verdana" w:hAnsi="Verdana" w:cs="Arial"/>
          <w:color w:val="000000"/>
          <w:sz w:val="14"/>
          <w:szCs w:val="14"/>
        </w:rPr>
      </w:pPr>
      <w:r>
        <w:rPr>
          <w:rFonts w:ascii="Verdana" w:eastAsia="Calibri" w:hAnsi="Verdana" w:cs="Arial"/>
          <w:color w:val="000000"/>
          <w:sz w:val="14"/>
          <w:szCs w:val="14"/>
        </w:rPr>
        <w:t>“</w:t>
      </w:r>
      <w:r w:rsidRPr="00B23861">
        <w:rPr>
          <w:rFonts w:ascii="Verdana" w:eastAsia="Calibri" w:hAnsi="Verdana" w:cs="Arial"/>
          <w:color w:val="000000"/>
          <w:sz w:val="14"/>
          <w:szCs w:val="14"/>
        </w:rPr>
        <w:t>La exigencia de títulos de idoneidad y tarjetas profesionales, constituye una excepción al principio de libertad e igualdad en materia laboral y, por lo tanto, es necesario demostrar que la formación intelectual y técnica requerida es un medio idóneo y proporción».</w:t>
      </w:r>
    </w:p>
    <w:p w14:paraId="5A2769BE" w14:textId="77777777" w:rsidR="00E26F22" w:rsidRPr="00B23861" w:rsidRDefault="00E26F22" w:rsidP="00E26F22">
      <w:pPr>
        <w:pStyle w:val="Textonotapie"/>
        <w:ind w:firstLine="708"/>
        <w:jc w:val="both"/>
        <w:rPr>
          <w:rFonts w:ascii="Verdana" w:hAnsi="Verdana" w:cs="Arial"/>
          <w:color w:val="000000"/>
          <w:sz w:val="14"/>
          <w:szCs w:val="14"/>
          <w:lang w:val="es-CO"/>
        </w:rPr>
      </w:pPr>
    </w:p>
  </w:footnote>
  <w:footnote w:id="9">
    <w:p w14:paraId="3510886C" w14:textId="77777777" w:rsidR="00E26F22" w:rsidRPr="00B23861" w:rsidRDefault="00E26F22" w:rsidP="00E26F22">
      <w:pPr>
        <w:pStyle w:val="Textonotapie"/>
        <w:ind w:firstLine="709"/>
        <w:jc w:val="both"/>
        <w:rPr>
          <w:rFonts w:ascii="Verdana" w:hAnsi="Verdana" w:cs="Arial"/>
          <w:color w:val="000000"/>
          <w:sz w:val="14"/>
          <w:szCs w:val="14"/>
        </w:rPr>
      </w:pPr>
      <w:r w:rsidRPr="00B23861">
        <w:rPr>
          <w:rStyle w:val="Refdenotaalpie"/>
          <w:rFonts w:ascii="Verdana" w:hAnsi="Verdana" w:cs="Arial"/>
          <w:color w:val="000000"/>
          <w:sz w:val="14"/>
          <w:szCs w:val="14"/>
        </w:rPr>
        <w:footnoteRef/>
      </w:r>
      <w:r w:rsidRPr="00B23861">
        <w:rPr>
          <w:rFonts w:ascii="Verdana" w:hAnsi="Verdana" w:cs="Arial"/>
          <w:color w:val="000000"/>
          <w:sz w:val="14"/>
          <w:szCs w:val="14"/>
        </w:rPr>
        <w:t xml:space="preserve"> Ley 842 de 2003. </w:t>
      </w:r>
      <w:r>
        <w:rPr>
          <w:rFonts w:ascii="Verdana" w:hAnsi="Verdana" w:cs="Arial"/>
          <w:color w:val="000000"/>
          <w:sz w:val="14"/>
          <w:szCs w:val="14"/>
        </w:rPr>
        <w:t>“</w:t>
      </w:r>
      <w:r w:rsidRPr="00B23861">
        <w:rPr>
          <w:rFonts w:ascii="Verdana" w:hAnsi="Verdana" w:cs="Arial"/>
          <w:color w:val="000000"/>
          <w:sz w:val="14"/>
          <w:szCs w:val="14"/>
        </w:rPr>
        <w:t>Artículo 6. Requisitos para ejercer la profesión. Para poder ejercer legalmente la Ingeniería, sus profesiones afines o sus profesiones auxiliares en el territorio nacional, en las ramas o especialidades regidas por la presente ley, se requiere estar matriculado o inscrito en el Registro Profesional respectivo, que seguirá llevando el Copnia, lo cual se acreditará con la presentación de la tarjeta o documento adoptado por este para tal fin.</w:t>
      </w:r>
    </w:p>
    <w:p w14:paraId="564E6E60" w14:textId="77777777" w:rsidR="00E26F22" w:rsidRPr="00B23861" w:rsidRDefault="00E26F22" w:rsidP="00E26F22">
      <w:pPr>
        <w:pStyle w:val="Textonotapie"/>
        <w:ind w:firstLine="709"/>
        <w:jc w:val="both"/>
        <w:rPr>
          <w:rFonts w:ascii="Verdana" w:hAnsi="Verdana" w:cs="Arial"/>
          <w:color w:val="000000"/>
          <w:sz w:val="14"/>
          <w:szCs w:val="14"/>
          <w:lang w:val="es-CO"/>
        </w:rPr>
      </w:pPr>
      <w:r>
        <w:rPr>
          <w:rFonts w:ascii="Verdana" w:hAnsi="Verdana" w:cs="Arial"/>
          <w:color w:val="000000"/>
          <w:sz w:val="14"/>
          <w:szCs w:val="14"/>
        </w:rPr>
        <w:t>“</w:t>
      </w:r>
      <w:r w:rsidRPr="00B23861">
        <w:rPr>
          <w:rFonts w:ascii="Verdana" w:hAnsi="Verdana" w:cs="Arial"/>
          <w:color w:val="000000"/>
          <w:sz w:val="14"/>
          <w:szCs w:val="14"/>
        </w:rPr>
        <w:t>Parágrafo. En los casos en que los contratantes del sector público o privado, o cualquier usuario de los servicios de ingeniería, pretendan establecer si un profesional se encuentra legalmente habilitado o no, para ejercer la profesión, podrán sin perjuicio de los requisitos establecidos en el presente artículo, requerir al Copnia la expedición del respectivo certificado de vigencia</w:t>
      </w:r>
      <w:r>
        <w:rPr>
          <w:rFonts w:ascii="Verdana" w:hAnsi="Verdana" w:cs="Arial"/>
          <w:color w:val="000000"/>
          <w:sz w:val="14"/>
          <w:szCs w:val="14"/>
        </w:rPr>
        <w:t>”</w:t>
      </w:r>
      <w:r w:rsidRPr="00B23861">
        <w:rPr>
          <w:rFonts w:ascii="Verdana" w:hAnsi="Verdana" w:cs="Arial"/>
          <w:color w:val="000000"/>
          <w:sz w:val="14"/>
          <w:szCs w:val="14"/>
        </w:rPr>
        <w:t>.</w:t>
      </w:r>
    </w:p>
  </w:footnote>
  <w:footnote w:id="10">
    <w:p w14:paraId="358E97A1" w14:textId="5EE532CB" w:rsidR="005B03F3" w:rsidRPr="00B0362C" w:rsidRDefault="005B03F3">
      <w:pPr>
        <w:pStyle w:val="Textonotapie"/>
        <w:rPr>
          <w:rFonts w:ascii="Verdana" w:hAnsi="Verdana"/>
          <w:sz w:val="14"/>
          <w:szCs w:val="14"/>
          <w:lang w:val="es-CO"/>
        </w:rPr>
      </w:pPr>
      <w:r w:rsidRPr="00B0362C">
        <w:rPr>
          <w:rStyle w:val="Refdenotaalpie"/>
          <w:rFonts w:ascii="Verdana" w:hAnsi="Verdana"/>
          <w:sz w:val="14"/>
          <w:szCs w:val="14"/>
        </w:rPr>
        <w:footnoteRef/>
      </w:r>
      <w:r w:rsidRPr="00B0362C">
        <w:rPr>
          <w:rFonts w:ascii="Verdana" w:hAnsi="Verdana"/>
          <w:sz w:val="14"/>
          <w:szCs w:val="14"/>
        </w:rPr>
        <w:t xml:space="preserve"> </w:t>
      </w:r>
      <w:r w:rsidRPr="00B0362C">
        <w:rPr>
          <w:rFonts w:ascii="Verdana" w:hAnsi="Verdana"/>
          <w:sz w:val="14"/>
          <w:szCs w:val="14"/>
          <w:lang w:val="es-CO"/>
        </w:rPr>
        <w:t>Concepto C-</w:t>
      </w:r>
      <w:r w:rsidR="00B0362C" w:rsidRPr="00B0362C">
        <w:rPr>
          <w:rFonts w:ascii="Verdana" w:hAnsi="Verdana"/>
          <w:sz w:val="14"/>
          <w:szCs w:val="14"/>
          <w:lang w:val="es-CO"/>
        </w:rPr>
        <w:t xml:space="preserve"> 372 DE 2024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50E19A0"/>
    <w:multiLevelType w:val="hybridMultilevel"/>
    <w:tmpl w:val="ABECFF36"/>
    <w:lvl w:ilvl="0" w:tplc="4DCAB2EC">
      <w:start w:val="1"/>
      <w:numFmt w:val="decimal"/>
      <w:lvlText w:val="%1."/>
      <w:lvlJc w:val="left"/>
      <w:pPr>
        <w:ind w:left="451" w:hanging="310"/>
        <w:jc w:val="left"/>
      </w:pPr>
      <w:rPr>
        <w:rFonts w:ascii="Verdana" w:eastAsia="Verdana" w:hAnsi="Verdana" w:cs="Verdana" w:hint="default"/>
        <w:b/>
        <w:bCs/>
        <w:i w:val="0"/>
        <w:iCs w:val="0"/>
        <w:spacing w:val="-1"/>
        <w:w w:val="99"/>
        <w:sz w:val="22"/>
        <w:szCs w:val="22"/>
        <w:lang w:val="es-ES" w:eastAsia="en-US" w:bidi="ar-SA"/>
      </w:rPr>
    </w:lvl>
    <w:lvl w:ilvl="1" w:tplc="9814A164">
      <w:numFmt w:val="bullet"/>
      <w:lvlText w:val=""/>
      <w:lvlJc w:val="left"/>
      <w:pPr>
        <w:ind w:left="1106" w:hanging="360"/>
      </w:pPr>
      <w:rPr>
        <w:rFonts w:ascii="Symbol" w:eastAsia="Symbol" w:hAnsi="Symbol" w:cs="Symbol" w:hint="default"/>
        <w:spacing w:val="0"/>
        <w:w w:val="99"/>
        <w:lang w:val="es-ES" w:eastAsia="en-US" w:bidi="ar-SA"/>
      </w:rPr>
    </w:lvl>
    <w:lvl w:ilvl="2" w:tplc="16A8A53E">
      <w:numFmt w:val="bullet"/>
      <w:lvlText w:val="•"/>
      <w:lvlJc w:val="left"/>
      <w:pPr>
        <w:ind w:left="1100" w:hanging="360"/>
      </w:pPr>
      <w:rPr>
        <w:rFonts w:hint="default"/>
        <w:lang w:val="es-ES" w:eastAsia="en-US" w:bidi="ar-SA"/>
      </w:rPr>
    </w:lvl>
    <w:lvl w:ilvl="3" w:tplc="C846B68C">
      <w:numFmt w:val="bullet"/>
      <w:lvlText w:val="•"/>
      <w:lvlJc w:val="left"/>
      <w:pPr>
        <w:ind w:left="2197" w:hanging="360"/>
      </w:pPr>
      <w:rPr>
        <w:rFonts w:hint="default"/>
        <w:lang w:val="es-ES" w:eastAsia="en-US" w:bidi="ar-SA"/>
      </w:rPr>
    </w:lvl>
    <w:lvl w:ilvl="4" w:tplc="9606CD96">
      <w:numFmt w:val="bullet"/>
      <w:lvlText w:val="•"/>
      <w:lvlJc w:val="left"/>
      <w:pPr>
        <w:ind w:left="3295" w:hanging="360"/>
      </w:pPr>
      <w:rPr>
        <w:rFonts w:hint="default"/>
        <w:lang w:val="es-ES" w:eastAsia="en-US" w:bidi="ar-SA"/>
      </w:rPr>
    </w:lvl>
    <w:lvl w:ilvl="5" w:tplc="70F6F508">
      <w:numFmt w:val="bullet"/>
      <w:lvlText w:val="•"/>
      <w:lvlJc w:val="left"/>
      <w:pPr>
        <w:ind w:left="4392" w:hanging="360"/>
      </w:pPr>
      <w:rPr>
        <w:rFonts w:hint="default"/>
        <w:lang w:val="es-ES" w:eastAsia="en-US" w:bidi="ar-SA"/>
      </w:rPr>
    </w:lvl>
    <w:lvl w:ilvl="6" w:tplc="D5D619D6">
      <w:numFmt w:val="bullet"/>
      <w:lvlText w:val="•"/>
      <w:lvlJc w:val="left"/>
      <w:pPr>
        <w:ind w:left="5490" w:hanging="360"/>
      </w:pPr>
      <w:rPr>
        <w:rFonts w:hint="default"/>
        <w:lang w:val="es-ES" w:eastAsia="en-US" w:bidi="ar-SA"/>
      </w:rPr>
    </w:lvl>
    <w:lvl w:ilvl="7" w:tplc="83E8EAAE">
      <w:numFmt w:val="bullet"/>
      <w:lvlText w:val="•"/>
      <w:lvlJc w:val="left"/>
      <w:pPr>
        <w:ind w:left="6587" w:hanging="360"/>
      </w:pPr>
      <w:rPr>
        <w:rFonts w:hint="default"/>
        <w:lang w:val="es-ES" w:eastAsia="en-US" w:bidi="ar-SA"/>
      </w:rPr>
    </w:lvl>
    <w:lvl w:ilvl="8" w:tplc="C8284096">
      <w:numFmt w:val="bullet"/>
      <w:lvlText w:val="•"/>
      <w:lvlJc w:val="left"/>
      <w:pPr>
        <w:ind w:left="7685" w:hanging="360"/>
      </w:pPr>
      <w:rPr>
        <w:rFonts w:hint="default"/>
        <w:lang w:val="es-ES" w:eastAsia="en-US" w:bidi="ar-SA"/>
      </w:r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5"/>
  </w:num>
  <w:num w:numId="8">
    <w:abstractNumId w:val="13"/>
  </w:num>
  <w:num w:numId="9">
    <w:abstractNumId w:val="8"/>
  </w:num>
  <w:num w:numId="10">
    <w:abstractNumId w:val="12"/>
  </w:num>
  <w:num w:numId="11">
    <w:abstractNumId w:val="9"/>
  </w:num>
  <w:num w:numId="12">
    <w:abstractNumId w:val="1"/>
  </w:num>
  <w:num w:numId="13">
    <w:abstractNumId w:val="3"/>
  </w:num>
  <w:num w:numId="14">
    <w:abstractNumId w:val="15"/>
  </w:num>
  <w:num w:numId="15">
    <w:abstractNumId w:val="11"/>
  </w:num>
  <w:num w:numId="16">
    <w:abstractNumId w:val="0"/>
  </w:num>
  <w:num w:numId="17">
    <w:abstractNumId w:val="10"/>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62D"/>
    <w:rsid w:val="00012794"/>
    <w:rsid w:val="00016F78"/>
    <w:rsid w:val="00046945"/>
    <w:rsid w:val="00060AB0"/>
    <w:rsid w:val="00061B2A"/>
    <w:rsid w:val="00063198"/>
    <w:rsid w:val="0008017D"/>
    <w:rsid w:val="00082362"/>
    <w:rsid w:val="0008291C"/>
    <w:rsid w:val="000A5EAE"/>
    <w:rsid w:val="000A683E"/>
    <w:rsid w:val="000B19B9"/>
    <w:rsid w:val="000D0334"/>
    <w:rsid w:val="000D0A3F"/>
    <w:rsid w:val="000E5FB4"/>
    <w:rsid w:val="000F417A"/>
    <w:rsid w:val="000F6486"/>
    <w:rsid w:val="0010734C"/>
    <w:rsid w:val="00121A4C"/>
    <w:rsid w:val="00123F24"/>
    <w:rsid w:val="00125105"/>
    <w:rsid w:val="00127233"/>
    <w:rsid w:val="0013115F"/>
    <w:rsid w:val="00150126"/>
    <w:rsid w:val="001511A0"/>
    <w:rsid w:val="001555A8"/>
    <w:rsid w:val="00157D8F"/>
    <w:rsid w:val="001632D2"/>
    <w:rsid w:val="00165996"/>
    <w:rsid w:val="001722AB"/>
    <w:rsid w:val="00177DC8"/>
    <w:rsid w:val="001B205B"/>
    <w:rsid w:val="001C5C32"/>
    <w:rsid w:val="001E4177"/>
    <w:rsid w:val="001F0F62"/>
    <w:rsid w:val="001F7DC6"/>
    <w:rsid w:val="00224EB8"/>
    <w:rsid w:val="002421BB"/>
    <w:rsid w:val="0025796E"/>
    <w:rsid w:val="002707A2"/>
    <w:rsid w:val="0028110F"/>
    <w:rsid w:val="002951A0"/>
    <w:rsid w:val="002962BC"/>
    <w:rsid w:val="002A093D"/>
    <w:rsid w:val="002A0DD0"/>
    <w:rsid w:val="002A49AC"/>
    <w:rsid w:val="002A64FD"/>
    <w:rsid w:val="002B362B"/>
    <w:rsid w:val="002C7A84"/>
    <w:rsid w:val="002E4FD9"/>
    <w:rsid w:val="002F4125"/>
    <w:rsid w:val="002F5DAB"/>
    <w:rsid w:val="00301677"/>
    <w:rsid w:val="00322A85"/>
    <w:rsid w:val="00324168"/>
    <w:rsid w:val="003271B1"/>
    <w:rsid w:val="00335291"/>
    <w:rsid w:val="003448F4"/>
    <w:rsid w:val="00367DBD"/>
    <w:rsid w:val="00374F5E"/>
    <w:rsid w:val="00377E3E"/>
    <w:rsid w:val="00390E00"/>
    <w:rsid w:val="003A779E"/>
    <w:rsid w:val="003C2C34"/>
    <w:rsid w:val="003D0F4D"/>
    <w:rsid w:val="003D1584"/>
    <w:rsid w:val="003D5B0D"/>
    <w:rsid w:val="003E0499"/>
    <w:rsid w:val="003E3DBA"/>
    <w:rsid w:val="003E4D04"/>
    <w:rsid w:val="003F3941"/>
    <w:rsid w:val="00400C26"/>
    <w:rsid w:val="00406575"/>
    <w:rsid w:val="004120EE"/>
    <w:rsid w:val="00414C74"/>
    <w:rsid w:val="00415C1D"/>
    <w:rsid w:val="00424E97"/>
    <w:rsid w:val="0042722E"/>
    <w:rsid w:val="0044528D"/>
    <w:rsid w:val="00450693"/>
    <w:rsid w:val="004555F6"/>
    <w:rsid w:val="00475CE0"/>
    <w:rsid w:val="00476DBF"/>
    <w:rsid w:val="00477840"/>
    <w:rsid w:val="004A1847"/>
    <w:rsid w:val="004A305D"/>
    <w:rsid w:val="004F21C4"/>
    <w:rsid w:val="004F685F"/>
    <w:rsid w:val="00544EBC"/>
    <w:rsid w:val="005566E8"/>
    <w:rsid w:val="00574867"/>
    <w:rsid w:val="005819DB"/>
    <w:rsid w:val="00591460"/>
    <w:rsid w:val="005B03F3"/>
    <w:rsid w:val="005B2718"/>
    <w:rsid w:val="005B3816"/>
    <w:rsid w:val="005C3777"/>
    <w:rsid w:val="005C5CDC"/>
    <w:rsid w:val="005D476C"/>
    <w:rsid w:val="005D55BF"/>
    <w:rsid w:val="005D621F"/>
    <w:rsid w:val="005F661F"/>
    <w:rsid w:val="006219F8"/>
    <w:rsid w:val="00665D70"/>
    <w:rsid w:val="00675D90"/>
    <w:rsid w:val="006900D9"/>
    <w:rsid w:val="00693BBB"/>
    <w:rsid w:val="006A051C"/>
    <w:rsid w:val="006A0B72"/>
    <w:rsid w:val="006D14EF"/>
    <w:rsid w:val="00706756"/>
    <w:rsid w:val="00706C16"/>
    <w:rsid w:val="007562D7"/>
    <w:rsid w:val="00756841"/>
    <w:rsid w:val="007644B2"/>
    <w:rsid w:val="007649AB"/>
    <w:rsid w:val="00771D0C"/>
    <w:rsid w:val="007833AC"/>
    <w:rsid w:val="007B17A3"/>
    <w:rsid w:val="007B268C"/>
    <w:rsid w:val="007B7171"/>
    <w:rsid w:val="007C0C0F"/>
    <w:rsid w:val="007C3DC2"/>
    <w:rsid w:val="007E0E21"/>
    <w:rsid w:val="007E5497"/>
    <w:rsid w:val="00806F5F"/>
    <w:rsid w:val="008125E9"/>
    <w:rsid w:val="00820278"/>
    <w:rsid w:val="0083088A"/>
    <w:rsid w:val="00867F95"/>
    <w:rsid w:val="008843B6"/>
    <w:rsid w:val="00891928"/>
    <w:rsid w:val="008A446D"/>
    <w:rsid w:val="008B19FD"/>
    <w:rsid w:val="008C2237"/>
    <w:rsid w:val="008D057B"/>
    <w:rsid w:val="008D180B"/>
    <w:rsid w:val="008E55BA"/>
    <w:rsid w:val="008F0EA7"/>
    <w:rsid w:val="0090503B"/>
    <w:rsid w:val="009051BF"/>
    <w:rsid w:val="00923EEF"/>
    <w:rsid w:val="0092774F"/>
    <w:rsid w:val="0093365A"/>
    <w:rsid w:val="00934499"/>
    <w:rsid w:val="009353E8"/>
    <w:rsid w:val="009419F9"/>
    <w:rsid w:val="0095685E"/>
    <w:rsid w:val="00960A77"/>
    <w:rsid w:val="00961B09"/>
    <w:rsid w:val="00965334"/>
    <w:rsid w:val="0097093E"/>
    <w:rsid w:val="009710E1"/>
    <w:rsid w:val="009868CD"/>
    <w:rsid w:val="00986AC5"/>
    <w:rsid w:val="009A0DFA"/>
    <w:rsid w:val="009A6002"/>
    <w:rsid w:val="009B2D26"/>
    <w:rsid w:val="009C1C92"/>
    <w:rsid w:val="009C6B83"/>
    <w:rsid w:val="009C71FA"/>
    <w:rsid w:val="009C72E7"/>
    <w:rsid w:val="009D15E8"/>
    <w:rsid w:val="009D3058"/>
    <w:rsid w:val="009E67D6"/>
    <w:rsid w:val="009F3A13"/>
    <w:rsid w:val="009F4773"/>
    <w:rsid w:val="00A076B6"/>
    <w:rsid w:val="00A122D3"/>
    <w:rsid w:val="00A13ECD"/>
    <w:rsid w:val="00A17F13"/>
    <w:rsid w:val="00A20739"/>
    <w:rsid w:val="00A33C78"/>
    <w:rsid w:val="00A353DC"/>
    <w:rsid w:val="00A55802"/>
    <w:rsid w:val="00A559F7"/>
    <w:rsid w:val="00A877A3"/>
    <w:rsid w:val="00AA3D4A"/>
    <w:rsid w:val="00AA7BE1"/>
    <w:rsid w:val="00AB0ADB"/>
    <w:rsid w:val="00AC4FBC"/>
    <w:rsid w:val="00B01B1A"/>
    <w:rsid w:val="00B0317A"/>
    <w:rsid w:val="00B0362C"/>
    <w:rsid w:val="00B158AF"/>
    <w:rsid w:val="00B47D70"/>
    <w:rsid w:val="00B53B5D"/>
    <w:rsid w:val="00B63DB5"/>
    <w:rsid w:val="00B66319"/>
    <w:rsid w:val="00B6649D"/>
    <w:rsid w:val="00B72CD3"/>
    <w:rsid w:val="00B72FFF"/>
    <w:rsid w:val="00B75564"/>
    <w:rsid w:val="00BB013F"/>
    <w:rsid w:val="00BB251E"/>
    <w:rsid w:val="00BC3D36"/>
    <w:rsid w:val="00BD7F72"/>
    <w:rsid w:val="00C04558"/>
    <w:rsid w:val="00C04FB3"/>
    <w:rsid w:val="00C330EB"/>
    <w:rsid w:val="00C33C81"/>
    <w:rsid w:val="00C41061"/>
    <w:rsid w:val="00C54099"/>
    <w:rsid w:val="00C60078"/>
    <w:rsid w:val="00C67A7F"/>
    <w:rsid w:val="00C754BE"/>
    <w:rsid w:val="00C76B1C"/>
    <w:rsid w:val="00C97A63"/>
    <w:rsid w:val="00CB45A8"/>
    <w:rsid w:val="00CB6357"/>
    <w:rsid w:val="00CC1651"/>
    <w:rsid w:val="00CC1B26"/>
    <w:rsid w:val="00CD4118"/>
    <w:rsid w:val="00D05967"/>
    <w:rsid w:val="00D1432E"/>
    <w:rsid w:val="00D322A2"/>
    <w:rsid w:val="00D36109"/>
    <w:rsid w:val="00D40CD3"/>
    <w:rsid w:val="00D423A2"/>
    <w:rsid w:val="00D520D8"/>
    <w:rsid w:val="00D6144C"/>
    <w:rsid w:val="00D62CAD"/>
    <w:rsid w:val="00D63AC2"/>
    <w:rsid w:val="00D7383B"/>
    <w:rsid w:val="00D73934"/>
    <w:rsid w:val="00D76310"/>
    <w:rsid w:val="00DA231B"/>
    <w:rsid w:val="00DA3F91"/>
    <w:rsid w:val="00DB10A9"/>
    <w:rsid w:val="00DC39FC"/>
    <w:rsid w:val="00DF4CE0"/>
    <w:rsid w:val="00DF5254"/>
    <w:rsid w:val="00DF569B"/>
    <w:rsid w:val="00E04F12"/>
    <w:rsid w:val="00E16408"/>
    <w:rsid w:val="00E20894"/>
    <w:rsid w:val="00E245AB"/>
    <w:rsid w:val="00E26F22"/>
    <w:rsid w:val="00E2764C"/>
    <w:rsid w:val="00E27F2E"/>
    <w:rsid w:val="00E302B2"/>
    <w:rsid w:val="00E50AFE"/>
    <w:rsid w:val="00E70F33"/>
    <w:rsid w:val="00E75C92"/>
    <w:rsid w:val="00E75D3B"/>
    <w:rsid w:val="00E771DC"/>
    <w:rsid w:val="00E8772A"/>
    <w:rsid w:val="00E90F6B"/>
    <w:rsid w:val="00E92C27"/>
    <w:rsid w:val="00EA0E3D"/>
    <w:rsid w:val="00EA1600"/>
    <w:rsid w:val="00EC38A7"/>
    <w:rsid w:val="00ED7384"/>
    <w:rsid w:val="00EE1AA8"/>
    <w:rsid w:val="00EF558B"/>
    <w:rsid w:val="00F1481C"/>
    <w:rsid w:val="00F266C2"/>
    <w:rsid w:val="00F31EDC"/>
    <w:rsid w:val="00F45495"/>
    <w:rsid w:val="00F462B3"/>
    <w:rsid w:val="00F5664F"/>
    <w:rsid w:val="00F666C4"/>
    <w:rsid w:val="00F66B14"/>
    <w:rsid w:val="00F75AAE"/>
    <w:rsid w:val="00F76AFC"/>
    <w:rsid w:val="00F926E3"/>
    <w:rsid w:val="00FA47C0"/>
    <w:rsid w:val="00FB5DD1"/>
    <w:rsid w:val="00FC2B5D"/>
    <w:rsid w:val="00FC6340"/>
    <w:rsid w:val="00FF1449"/>
    <w:rsid w:val="00FF3FF4"/>
    <w:rsid w:val="0712134E"/>
    <w:rsid w:val="0732E2B9"/>
    <w:rsid w:val="07718B11"/>
    <w:rsid w:val="09047071"/>
    <w:rsid w:val="11ADEA1C"/>
    <w:rsid w:val="1962B269"/>
    <w:rsid w:val="1B482B2C"/>
    <w:rsid w:val="203BAFE3"/>
    <w:rsid w:val="21C500C3"/>
    <w:rsid w:val="229E779F"/>
    <w:rsid w:val="22CC5A9A"/>
    <w:rsid w:val="24089B73"/>
    <w:rsid w:val="27E9EA3E"/>
    <w:rsid w:val="2DB68157"/>
    <w:rsid w:val="383389BF"/>
    <w:rsid w:val="397E8A14"/>
    <w:rsid w:val="3A11F88D"/>
    <w:rsid w:val="3CA23B58"/>
    <w:rsid w:val="43053707"/>
    <w:rsid w:val="4C2A2C13"/>
    <w:rsid w:val="4EF9F4AA"/>
    <w:rsid w:val="4FEDD702"/>
    <w:rsid w:val="51BBB2FD"/>
    <w:rsid w:val="56053F68"/>
    <w:rsid w:val="597DFC02"/>
    <w:rsid w:val="63E9CDDA"/>
    <w:rsid w:val="667F5FE6"/>
    <w:rsid w:val="67AE5D80"/>
    <w:rsid w:val="6BF1C625"/>
    <w:rsid w:val="6C9969E7"/>
    <w:rsid w:val="714D9352"/>
    <w:rsid w:val="75876694"/>
    <w:rsid w:val="780DFA64"/>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DA8F59E-E8ED-4858-8B22-A780B6768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26F2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26F22"/>
    <w:rPr>
      <w:rFonts w:ascii="Geomanist Light" w:hAnsi="Geomanist Light"/>
      <w:lang w:val="es-ES"/>
    </w:rPr>
  </w:style>
  <w:style w:type="character" w:customStyle="1" w:styleId="baj">
    <w:name w:val="b_aj"/>
    <w:basedOn w:val="Fuentedeprrafopredeter"/>
    <w:rsid w:val="00E26F22"/>
  </w:style>
  <w:style w:type="character" w:styleId="Textoennegrita">
    <w:name w:val="Strong"/>
    <w:basedOn w:val="Fuentedeprrafopredeter"/>
    <w:uiPriority w:val="22"/>
    <w:qFormat/>
    <w:rsid w:val="00E26F22"/>
    <w:rPr>
      <w:b/>
      <w:bCs/>
    </w:rPr>
  </w:style>
  <w:style w:type="character" w:styleId="nfasis">
    <w:name w:val="Emphasis"/>
    <w:basedOn w:val="Fuentedeprrafopredeter"/>
    <w:uiPriority w:val="20"/>
    <w:qFormat/>
    <w:rsid w:val="00E26F22"/>
    <w:rPr>
      <w:i/>
      <w:iC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Textoindependiente">
    <w:name w:val="Body Text"/>
    <w:basedOn w:val="Normal"/>
    <w:link w:val="TextoindependienteCar"/>
    <w:uiPriority w:val="1"/>
    <w:qFormat/>
    <w:rsid w:val="00063198"/>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063198"/>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09330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6803363">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56063587">
      <w:bodyDiv w:val="1"/>
      <w:marLeft w:val="0"/>
      <w:marRight w:val="0"/>
      <w:marTop w:val="0"/>
      <w:marBottom w:val="0"/>
      <w:divBdr>
        <w:top w:val="none" w:sz="0" w:space="0" w:color="auto"/>
        <w:left w:val="none" w:sz="0" w:space="0" w:color="auto"/>
        <w:bottom w:val="none" w:sz="0" w:space="0" w:color="auto"/>
        <w:right w:val="none" w:sz="0" w:space="0" w:color="auto"/>
      </w:divBdr>
    </w:div>
    <w:div w:id="107486243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aviertalero@yahoo.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cartilla-para-incentivar-y-fortalecer-el-acceso-las&amp;data=05%7C02%7Crichard.montenegro%40colombiacompra.gov.co%7Ceb0fd05604104aa4d3bc08dd4c4ad35e%7C7b09041e245149d08cb179d5e3d8c1be%7C0%7C0%7C638750606448503420%7CUnknown%7CTWFpbGZsb3d8eyJFbXB0eU1hcGkiOnRydWUsIlYiOiIwLjAuMDAwMCIsIlAiOiJXaW4zMiIsIkFOIjoiTWFpbCIsIldUIjoyfQ%3D%3D%7C0%7C%7C%7C&amp;sdata=34g3U1uoHQc2YRtc44RFZc7XortMF%2BCuQXOZLtJZ4FQ%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1780_2016.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B6683C-DCAF-4122-A2A6-80B11EEB9D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a6cb9e4b-f1d1-4245-83ec-6cad768d538a"/>
    <ds:schemaRef ds:uri="http://schemas.microsoft.com/office/2006/metadata/properties"/>
    <ds:schemaRef ds:uri="http://schemas.microsoft.com/office/2006/documentManagement/types"/>
    <ds:schemaRef ds:uri="http://schemas.microsoft.com/office/infopath/2007/PartnerControls"/>
    <ds:schemaRef ds:uri="9d85dbaf-23eb-4e57-a637-93dcacc8b1a1"/>
    <ds:schemaRef ds:uri="http://purl.org/dc/elements/1.1/"/>
    <ds:schemaRef ds:uri="http://purl.org/dc/dcmitype/"/>
    <ds:schemaRef ds:uri="http://schemas.openxmlformats.org/package/2006/metadata/core-properties"/>
    <ds:schemaRef ds:uri="http://www.w3.org/XML/1998/namespace"/>
    <ds:schemaRef ds:uri="http://purl.org/dc/terms/"/>
  </ds:schemaRefs>
</ds:datastoreItem>
</file>

<file path=customXml/itemProps3.xml><?xml version="1.0" encoding="utf-8"?>
<ds:datastoreItem xmlns:ds="http://schemas.openxmlformats.org/officeDocument/2006/customXml" ds:itemID="{DB303F80-A88E-48C9-AA55-649D21718D05}">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4240</Words>
  <Characters>23320</Characters>
  <Application>Microsoft Office Word</Application>
  <DocSecurity>0</DocSecurity>
  <Lines>194</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27505</CharactersWithSpaces>
  <SharedDoc>false</SharedDoc>
  <HLinks>
    <vt:vector size="36" baseType="variant">
      <vt:variant>
        <vt:i4>7012395</vt:i4>
      </vt:variant>
      <vt:variant>
        <vt:i4>12</vt:i4>
      </vt:variant>
      <vt:variant>
        <vt:i4>0</vt:i4>
      </vt:variant>
      <vt:variant>
        <vt:i4>5</vt:i4>
      </vt:variant>
      <vt:variant>
        <vt:lpwstr>https://nam02.safelinks.protection.outlook.com/?url=https%3A%2F%2Fwww.colombiacompra.gov.co%2Fmanuales-guias-y-pliegos-tipo%2Fmanuales-y-guias%2Fguia-de-contratacion-publica-sostenible-y-socialmente&amp;data=05%7C02%7Crichard.montenegro%40colombiacompra.gov.co%7Ceb0fd05604104aa4d3bc08dd4c4ad35e%7C7b09041e245149d08cb179d5e3d8c1be%7C0%7C0%7C638750606448542560%7CUnknown%7CTWFpbGZsb3d8eyJFbXB0eU1hcGkiOnRydWUsIlYiOiIwLjAuMDAwMCIsIlAiOiJXaW4zMiIsIkFOIjoiTWFpbCIsIldUIjoyfQ%3D%3D%7C0%7C%7C%7C&amp;sdata=PupjwwYMGQiHFUc19Hr6f9C9toNM85JR5cSVS9gAT2w%3D&amp;reserved=0</vt:lpwstr>
      </vt:variant>
      <vt:variant>
        <vt:lpwstr/>
      </vt:variant>
      <vt:variant>
        <vt:i4>6488171</vt:i4>
      </vt:variant>
      <vt:variant>
        <vt:i4>9</vt:i4>
      </vt:variant>
      <vt:variant>
        <vt:i4>0</vt:i4>
      </vt:variant>
      <vt:variant>
        <vt:i4>5</vt:i4>
      </vt:variant>
      <vt:variant>
        <vt:lpwstr>https://nam02.safelinks.protection.outlook.com/?url=https%3A%2F%2Fwww.colombiacompra.gov.co%2Fciudadanos%2Fcalendario&amp;data=05%7C02%7Crichard.montenegro%40colombiacompra.gov.co%7Ceb0fd05604104aa4d3bc08dd4c4ad35e%7C7b09041e245149d08cb179d5e3d8c1be%7C0%7C0%7C638750606448526086%7CUnknown%7CTWFpbGZsb3d8eyJFbXB0eU1hcGkiOnRydWUsIlYiOiIwLjAuMDAwMCIsIlAiOiJXaW4zMiIsIkFOIjoiTWFpbCIsIldUIjoyfQ%3D%3D%7C0%7C%7C%7C&amp;sdata=6yCFshe0TnsKlUdjdffn9qQEosMwoebHUQfu7V3xn%2Fs%3D&amp;reserved=0</vt:lpwstr>
      </vt:variant>
      <vt:variant>
        <vt:lpwstr/>
      </vt:variant>
      <vt:variant>
        <vt:i4>3014708</vt:i4>
      </vt:variant>
      <vt:variant>
        <vt:i4>6</vt:i4>
      </vt:variant>
      <vt:variant>
        <vt:i4>0</vt:i4>
      </vt:variant>
      <vt:variant>
        <vt:i4>5</vt:i4>
      </vt:variant>
      <vt:variant>
        <vt:lpwstr>https://nam02.safelinks.protection.outlook.com/?url=https%3A%2F%2Fwww.colombiacompra.gov.co%2Fmanuales-guias-y-pliegos-tipo%2Fmanuales-y-guias%2Fcartilla-para-incentivar-y-fortalecer-el-acceso-las&amp;data=05%7C02%7Crichard.montenegro%40colombiacompra.gov.co%7Ceb0fd05604104aa4d3bc08dd4c4ad35e%7C7b09041e245149d08cb179d5e3d8c1be%7C0%7C0%7C638750606448503420%7CUnknown%7CTWFpbGZsb3d8eyJFbXB0eU1hcGkiOnRydWUsIlYiOiIwLjAuMDAwMCIsIlAiOiJXaW4zMiIsIkFOIjoiTWFpbCIsIldUIjoyfQ%3D%3D%7C0%7C%7C%7C&amp;sdata=34g3U1uoHQc2YRtc44RFZc7XortMF%2BCuQXOZLtJZ4FQ%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5832819</vt:i4>
      </vt:variant>
      <vt:variant>
        <vt:i4>0</vt:i4>
      </vt:variant>
      <vt:variant>
        <vt:i4>0</vt:i4>
      </vt:variant>
      <vt:variant>
        <vt:i4>5</vt:i4>
      </vt:variant>
      <vt:variant>
        <vt:lpwstr>mailto:diana881221@gmail.com</vt:lpwstr>
      </vt:variant>
      <vt:variant>
        <vt:lpwstr/>
      </vt:variant>
      <vt:variant>
        <vt:i4>26</vt:i4>
      </vt:variant>
      <vt:variant>
        <vt:i4>0</vt:i4>
      </vt:variant>
      <vt:variant>
        <vt:i4>0</vt:i4>
      </vt:variant>
      <vt:variant>
        <vt:i4>5</vt:i4>
      </vt:variant>
      <vt:variant>
        <vt:lpwstr>http://www.secretariasenado.gov.co/senado/basedoc/ley_1780_2016.html</vt:lpwstr>
      </vt:variant>
      <vt:variant>
        <vt:lpwstr>15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2023-01-10T18:18:00Z</cp:lastPrinted>
  <dcterms:created xsi:type="dcterms:W3CDTF">2025-11-05T03:19:00Z</dcterms:created>
  <dcterms:modified xsi:type="dcterms:W3CDTF">2025-11-05T03:19:00Z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