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D16E5" w14:textId="77777777" w:rsidR="008140B1" w:rsidRPr="008140B1" w:rsidRDefault="008140B1" w:rsidP="008140B1">
      <w:pPr>
        <w:jc w:val="both"/>
        <w:rPr>
          <w:rFonts w:ascii="Verdana" w:hAnsi="Verdana" w:cs="Arial"/>
          <w:b/>
          <w:color w:val="000000" w:themeColor="text1"/>
          <w:lang w:val="es-ES_tradnl"/>
        </w:rPr>
      </w:pPr>
      <w:bookmarkStart w:id="0" w:name="_Hlk143780582"/>
      <w:r w:rsidRPr="008140B1">
        <w:rPr>
          <w:rFonts w:ascii="Verdana" w:hAnsi="Verdana" w:cs="Arial"/>
          <w:b/>
          <w:color w:val="000000" w:themeColor="text1"/>
          <w:lang w:val="es-ES_tradnl"/>
        </w:rPr>
        <w:t xml:space="preserve">LEY DE GARANTÍAS ELECTORALES ‒ Finalidad </w:t>
      </w:r>
    </w:p>
    <w:p w14:paraId="7AFDF6CC" w14:textId="2F02FD2E" w:rsidR="008140B1" w:rsidRDefault="008140B1" w:rsidP="008140B1">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03B8CAAC" w14:textId="05B508B2" w:rsidR="008140B1" w:rsidRPr="008140B1" w:rsidRDefault="008140B1" w:rsidP="008140B1">
      <w:pPr>
        <w:jc w:val="both"/>
        <w:rPr>
          <w:rFonts w:ascii="Verdana" w:hAnsi="Verdana" w:cs="Arial"/>
          <w:b/>
          <w:color w:val="000000" w:themeColor="text1"/>
          <w:lang w:val="es-ES_tradnl"/>
        </w:rPr>
      </w:pPr>
      <w:r w:rsidRPr="008140B1">
        <w:rPr>
          <w:rFonts w:ascii="Verdana" w:hAnsi="Verdana" w:cs="Arial"/>
          <w:b/>
          <w:color w:val="000000" w:themeColor="text1"/>
          <w:lang w:val="es-ES_tradnl"/>
        </w:rPr>
        <w:t>LEY DE GARANTÍAS ELECTORALES ‒ Tipos de restricciones – Excepciones</w:t>
      </w:r>
    </w:p>
    <w:p w14:paraId="5614E196" w14:textId="77777777" w:rsidR="008140B1" w:rsidRDefault="008140B1" w:rsidP="0051487B">
      <w:pPr>
        <w:spacing w:after="0" w:line="240" w:lineRule="auto"/>
        <w:rPr>
          <w:rFonts w:ascii="Verdana" w:hAnsi="Verdana"/>
        </w:rPr>
      </w:pPr>
    </w:p>
    <w:p w14:paraId="2D1725A1" w14:textId="4EB2736D" w:rsidR="008140B1" w:rsidRDefault="008140B1" w:rsidP="008140B1">
      <w:pPr>
        <w:spacing w:after="120" w:line="276" w:lineRule="auto"/>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Fonts w:ascii="Verdana" w:eastAsia="Times New Roman" w:hAnsi="Verdana" w:cs="Open Sans"/>
          <w:lang w:eastAsia="es-CO"/>
        </w:rPr>
        <w:t>.</w:t>
      </w:r>
    </w:p>
    <w:p w14:paraId="6C0B5958" w14:textId="77777777" w:rsidR="008140B1" w:rsidRDefault="008140B1" w:rsidP="008140B1">
      <w:pPr>
        <w:spacing w:after="120" w:line="276" w:lineRule="auto"/>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0A6F663B" w14:textId="77777777" w:rsidR="008140B1" w:rsidRDefault="008140B1" w:rsidP="008140B1">
      <w:pPr>
        <w:spacing w:after="120" w:line="276" w:lineRule="auto"/>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w:t>
      </w:r>
      <w:r w:rsidRPr="00D44FF2">
        <w:rPr>
          <w:rFonts w:ascii="Verdana" w:hAnsi="Verdana"/>
        </w:rPr>
        <w:lastRenderedPageBreak/>
        <w:t xml:space="preserve">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6EB19037" w14:textId="77777777" w:rsidR="008140B1" w:rsidRDefault="008140B1" w:rsidP="008140B1">
      <w:pPr>
        <w:spacing w:after="120" w:line="276" w:lineRule="auto"/>
        <w:jc w:val="both"/>
        <w:rPr>
          <w:rFonts w:ascii="Verdana" w:hAnsi="Verdana"/>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F2587B">
        <w:rPr>
          <w:rFonts w:ascii="Verdana" w:hAnsi="Verdana"/>
          <w:i/>
        </w:rPr>
        <w:t>los que deban realizar las entidades sanitarias y hospitalarias.</w:t>
      </w:r>
    </w:p>
    <w:p w14:paraId="14C63D1B" w14:textId="77777777" w:rsidR="008140B1" w:rsidRDefault="008140B1" w:rsidP="0051487B">
      <w:pPr>
        <w:spacing w:after="0" w:line="240" w:lineRule="auto"/>
        <w:rPr>
          <w:rFonts w:ascii="Verdana" w:hAnsi="Verdana"/>
        </w:rPr>
      </w:pPr>
    </w:p>
    <w:p w14:paraId="1BD3F792" w14:textId="77777777" w:rsidR="008140B1" w:rsidRDefault="008140B1" w:rsidP="0051487B">
      <w:pPr>
        <w:spacing w:after="0" w:line="240" w:lineRule="auto"/>
        <w:rPr>
          <w:rFonts w:ascii="Verdana" w:hAnsi="Verdana"/>
        </w:rPr>
      </w:pPr>
    </w:p>
    <w:p w14:paraId="3B6CEA3A" w14:textId="77777777" w:rsidR="008140B1" w:rsidRDefault="008140B1" w:rsidP="0051487B">
      <w:pPr>
        <w:spacing w:after="0" w:line="240" w:lineRule="auto"/>
        <w:rPr>
          <w:rFonts w:ascii="Verdana" w:hAnsi="Verdana"/>
        </w:rPr>
      </w:pPr>
    </w:p>
    <w:p w14:paraId="48663F1D" w14:textId="77777777" w:rsidR="008140B1" w:rsidRDefault="008140B1" w:rsidP="0051487B">
      <w:pPr>
        <w:spacing w:after="0" w:line="240" w:lineRule="auto"/>
        <w:rPr>
          <w:rFonts w:ascii="Verdana" w:hAnsi="Verdana"/>
        </w:rPr>
      </w:pPr>
    </w:p>
    <w:p w14:paraId="54CD0752" w14:textId="77777777" w:rsidR="008140B1" w:rsidRDefault="008140B1" w:rsidP="0051487B">
      <w:pPr>
        <w:spacing w:after="0" w:line="240" w:lineRule="auto"/>
        <w:rPr>
          <w:rFonts w:ascii="Verdana" w:hAnsi="Verdana"/>
        </w:rPr>
      </w:pPr>
    </w:p>
    <w:p w14:paraId="5B9B1CC7" w14:textId="77777777" w:rsidR="008140B1" w:rsidRDefault="008140B1" w:rsidP="0051487B">
      <w:pPr>
        <w:spacing w:after="0" w:line="240" w:lineRule="auto"/>
        <w:rPr>
          <w:rFonts w:ascii="Verdana" w:hAnsi="Verdana"/>
        </w:rPr>
      </w:pPr>
    </w:p>
    <w:p w14:paraId="26A2FE97" w14:textId="77777777" w:rsidR="008140B1" w:rsidRDefault="008140B1" w:rsidP="0051487B">
      <w:pPr>
        <w:spacing w:after="0" w:line="240" w:lineRule="auto"/>
        <w:rPr>
          <w:rFonts w:ascii="Verdana" w:hAnsi="Verdana"/>
        </w:rPr>
      </w:pPr>
    </w:p>
    <w:p w14:paraId="6616DBD2" w14:textId="77777777" w:rsidR="008140B1" w:rsidRDefault="008140B1" w:rsidP="0051487B">
      <w:pPr>
        <w:spacing w:after="0" w:line="240" w:lineRule="auto"/>
        <w:rPr>
          <w:rFonts w:ascii="Verdana" w:hAnsi="Verdana"/>
        </w:rPr>
      </w:pPr>
    </w:p>
    <w:p w14:paraId="7DBBA0D8" w14:textId="77777777" w:rsidR="008140B1" w:rsidRDefault="008140B1" w:rsidP="0051487B">
      <w:pPr>
        <w:spacing w:after="0" w:line="240" w:lineRule="auto"/>
        <w:rPr>
          <w:rFonts w:ascii="Verdana" w:hAnsi="Verdana"/>
        </w:rPr>
      </w:pPr>
    </w:p>
    <w:p w14:paraId="51827B33" w14:textId="20B7ACB9" w:rsidR="008140B1" w:rsidRDefault="008140B1" w:rsidP="0051487B">
      <w:pPr>
        <w:spacing w:after="0" w:line="240" w:lineRule="auto"/>
        <w:rPr>
          <w:rFonts w:ascii="Verdana" w:hAnsi="Verdana"/>
        </w:rPr>
      </w:pPr>
    </w:p>
    <w:p w14:paraId="4169F4F9" w14:textId="18E7BE0A" w:rsidR="008140B1" w:rsidRDefault="008140B1" w:rsidP="0051487B">
      <w:pPr>
        <w:spacing w:after="0" w:line="240" w:lineRule="auto"/>
        <w:rPr>
          <w:rFonts w:ascii="Verdana" w:hAnsi="Verdana"/>
        </w:rPr>
      </w:pPr>
    </w:p>
    <w:p w14:paraId="0D724759" w14:textId="7427E045" w:rsidR="008140B1" w:rsidRDefault="008140B1" w:rsidP="0051487B">
      <w:pPr>
        <w:spacing w:after="0" w:line="240" w:lineRule="auto"/>
        <w:rPr>
          <w:rFonts w:ascii="Verdana" w:hAnsi="Verdana"/>
        </w:rPr>
      </w:pPr>
    </w:p>
    <w:p w14:paraId="38D3A716" w14:textId="2ABDBFC0" w:rsidR="008140B1" w:rsidRDefault="008140B1" w:rsidP="0051487B">
      <w:pPr>
        <w:spacing w:after="0" w:line="240" w:lineRule="auto"/>
        <w:rPr>
          <w:rFonts w:ascii="Verdana" w:hAnsi="Verdana"/>
        </w:rPr>
      </w:pPr>
    </w:p>
    <w:p w14:paraId="4C71EA89" w14:textId="493F760A" w:rsidR="008140B1" w:rsidRDefault="008140B1" w:rsidP="0051487B">
      <w:pPr>
        <w:spacing w:after="0" w:line="240" w:lineRule="auto"/>
        <w:rPr>
          <w:rFonts w:ascii="Verdana" w:hAnsi="Verdana"/>
        </w:rPr>
      </w:pPr>
    </w:p>
    <w:p w14:paraId="22A04988" w14:textId="7A31AF75" w:rsidR="008140B1" w:rsidRDefault="008140B1" w:rsidP="0051487B">
      <w:pPr>
        <w:spacing w:after="0" w:line="240" w:lineRule="auto"/>
        <w:rPr>
          <w:rFonts w:ascii="Verdana" w:hAnsi="Verdana"/>
        </w:rPr>
      </w:pPr>
    </w:p>
    <w:p w14:paraId="5F251F87" w14:textId="2E3759FB" w:rsidR="008140B1" w:rsidRDefault="008140B1" w:rsidP="0051487B">
      <w:pPr>
        <w:spacing w:after="0" w:line="240" w:lineRule="auto"/>
        <w:rPr>
          <w:rFonts w:ascii="Verdana" w:hAnsi="Verdana"/>
        </w:rPr>
      </w:pPr>
    </w:p>
    <w:p w14:paraId="1C83C728" w14:textId="067BFC43" w:rsidR="008140B1" w:rsidRDefault="008140B1" w:rsidP="0051487B">
      <w:pPr>
        <w:spacing w:after="0" w:line="240" w:lineRule="auto"/>
        <w:rPr>
          <w:rFonts w:ascii="Verdana" w:hAnsi="Verdana"/>
        </w:rPr>
      </w:pPr>
    </w:p>
    <w:p w14:paraId="5D8948B1" w14:textId="76B68A89" w:rsidR="008140B1" w:rsidRDefault="008140B1" w:rsidP="0051487B">
      <w:pPr>
        <w:spacing w:after="0" w:line="240" w:lineRule="auto"/>
        <w:rPr>
          <w:rFonts w:ascii="Verdana" w:hAnsi="Verdana"/>
        </w:rPr>
      </w:pPr>
    </w:p>
    <w:p w14:paraId="53ED9A9C" w14:textId="77777777" w:rsidR="008140B1" w:rsidRDefault="008140B1" w:rsidP="0051487B">
      <w:pPr>
        <w:spacing w:after="0" w:line="240" w:lineRule="auto"/>
        <w:rPr>
          <w:rFonts w:ascii="Verdana" w:hAnsi="Verdana"/>
        </w:rPr>
      </w:pPr>
    </w:p>
    <w:p w14:paraId="16D8516F" w14:textId="77777777" w:rsidR="008140B1" w:rsidRDefault="008140B1" w:rsidP="0051487B">
      <w:pPr>
        <w:spacing w:after="0" w:line="240" w:lineRule="auto"/>
        <w:rPr>
          <w:rFonts w:ascii="Verdana" w:hAnsi="Verdana"/>
        </w:rPr>
      </w:pPr>
    </w:p>
    <w:p w14:paraId="1468C46D" w14:textId="15BD3649" w:rsidR="00C15139" w:rsidRPr="0024624F" w:rsidRDefault="008140B1" w:rsidP="0051487B">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4BC1D743" wp14:editId="6583B7A7">
            <wp:simplePos x="0" y="0"/>
            <wp:positionH relativeFrom="column">
              <wp:posOffset>2985184</wp:posOffset>
            </wp:positionH>
            <wp:positionV relativeFrom="paragraph">
              <wp:posOffset>2540</wp:posOffset>
            </wp:positionV>
            <wp:extent cx="2540000" cy="8001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40000" cy="8001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21 </w:t>
      </w:r>
      <w:proofErr w:type="gramStart"/>
      <w:r>
        <w:rPr>
          <w:rFonts w:ascii="Verdana" w:hAnsi="Verdana"/>
        </w:rPr>
        <w:t>Noviembre</w:t>
      </w:r>
      <w:proofErr w:type="gramEnd"/>
      <w:r>
        <w:rPr>
          <w:rFonts w:ascii="Verdana" w:hAnsi="Verdana"/>
        </w:rPr>
        <w:t xml:space="preserve"> 2025</w:t>
      </w:r>
      <w:r w:rsidR="00C15139" w:rsidRPr="000E2B93">
        <w:rPr>
          <w:rFonts w:ascii="Verdana" w:hAnsi="Verdana"/>
        </w:rPr>
        <w:tab/>
      </w:r>
    </w:p>
    <w:p w14:paraId="12443EE0" w14:textId="77777777" w:rsidR="00C15139" w:rsidRPr="0024624F" w:rsidRDefault="00C15139" w:rsidP="0051487B">
      <w:pPr>
        <w:spacing w:after="0" w:line="240" w:lineRule="auto"/>
        <w:rPr>
          <w:rFonts w:ascii="Verdana" w:hAnsi="Verdana"/>
        </w:rPr>
      </w:pPr>
    </w:p>
    <w:bookmarkEnd w:id="0"/>
    <w:p w14:paraId="5042D4EE" w14:textId="77777777" w:rsidR="00A04D82" w:rsidRPr="0051487B" w:rsidRDefault="00A04D82" w:rsidP="00A04D82">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p>
    <w:p w14:paraId="2EEF9749" w14:textId="77777777" w:rsidR="00A04D82" w:rsidRPr="0051487B" w:rsidRDefault="00A04D82" w:rsidP="00A04D82">
      <w:pPr>
        <w:spacing w:after="0" w:line="240" w:lineRule="auto"/>
        <w:rPr>
          <w:rFonts w:ascii="Verdana" w:eastAsia="Calibri" w:hAnsi="Verdana" w:cs="Arial"/>
          <w:b/>
          <w:lang w:val="de-DE" w:eastAsia="es-ES"/>
        </w:rPr>
      </w:pPr>
      <w:r w:rsidRPr="0051487B">
        <w:rPr>
          <w:rFonts w:ascii="Verdana" w:eastAsia="Calibri" w:hAnsi="Verdana" w:cs="Arial"/>
          <w:b/>
          <w:lang w:val="de-DE" w:eastAsia="es-ES"/>
        </w:rPr>
        <w:t>Michel Machuca</w:t>
      </w:r>
    </w:p>
    <w:p w14:paraId="388BA9C8" w14:textId="77777777" w:rsidR="00A04D82" w:rsidRPr="0051487B" w:rsidRDefault="00A05EC0" w:rsidP="00A04D82">
      <w:pPr>
        <w:spacing w:after="0" w:line="240" w:lineRule="auto"/>
        <w:rPr>
          <w:rFonts w:ascii="Verdana" w:hAnsi="Verdana" w:cs="ArialMT"/>
          <w:lang w:val="de-DE"/>
        </w:rPr>
      </w:pPr>
      <w:hyperlink r:id="rId11" w:history="1">
        <w:r w:rsidR="00A04D82" w:rsidRPr="0051487B">
          <w:rPr>
            <w:rStyle w:val="Hipervnculo"/>
            <w:rFonts w:ascii="Verdana" w:hAnsi="Verdana" w:cs="ArialMT"/>
            <w:lang w:val="de-DE"/>
          </w:rPr>
          <w:t>asesoriajuridica@hflleras.gov.co</w:t>
        </w:r>
      </w:hyperlink>
      <w:r w:rsidR="00A04D82" w:rsidRPr="0051487B">
        <w:rPr>
          <w:rFonts w:ascii="Verdana" w:hAnsi="Verdana" w:cs="ArialMT"/>
          <w:lang w:val="de-DE"/>
        </w:rPr>
        <w:t xml:space="preserve">   </w:t>
      </w:r>
    </w:p>
    <w:p w14:paraId="60FD2476" w14:textId="77777777" w:rsidR="00A04D82" w:rsidRPr="00C53B42" w:rsidRDefault="00A04D82" w:rsidP="00A04D82">
      <w:pPr>
        <w:spacing w:after="0" w:line="240" w:lineRule="auto"/>
        <w:rPr>
          <w:rFonts w:ascii="Verdana" w:hAnsi="Verdana" w:cs="ArialMT"/>
        </w:rPr>
      </w:pPr>
      <w:r>
        <w:rPr>
          <w:rFonts w:ascii="Verdana" w:eastAsia="Calibri" w:hAnsi="Verdana" w:cs="Arial"/>
          <w:lang w:val="es-ES" w:eastAsia="es-ES"/>
        </w:rPr>
        <w:t>Ibagué, Tolima</w:t>
      </w:r>
    </w:p>
    <w:p w14:paraId="6781D25C" w14:textId="77777777" w:rsidR="00A04D82" w:rsidRPr="00C53B42" w:rsidRDefault="00A04D82" w:rsidP="00A04D8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A04D82" w:rsidRPr="00C53B42" w14:paraId="7E0EC33E" w14:textId="77777777" w:rsidTr="00B158C3">
        <w:trPr>
          <w:trHeight w:val="218"/>
        </w:trPr>
        <w:tc>
          <w:tcPr>
            <w:tcW w:w="2175" w:type="dxa"/>
          </w:tcPr>
          <w:p w14:paraId="7A6FF593" w14:textId="77777777" w:rsidR="00A04D82" w:rsidRPr="00C53B42" w:rsidRDefault="00A04D82" w:rsidP="00B158C3">
            <w:pPr>
              <w:jc w:val="both"/>
              <w:rPr>
                <w:rFonts w:ascii="Verdana" w:eastAsia="Calibri" w:hAnsi="Verdana" w:cs="Arial"/>
                <w:b/>
                <w:bCs/>
                <w:color w:val="7030A0"/>
                <w:lang w:val="es-ES_tradnl" w:eastAsia="es-ES_tradnl"/>
              </w:rPr>
            </w:pPr>
          </w:p>
        </w:tc>
        <w:tc>
          <w:tcPr>
            <w:tcW w:w="6614" w:type="dxa"/>
            <w:hideMark/>
          </w:tcPr>
          <w:p w14:paraId="342D06A8" w14:textId="48D59300" w:rsidR="00A04D82" w:rsidRDefault="00A04D82" w:rsidP="00B158C3">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1476</w:t>
            </w:r>
            <w:r w:rsidRPr="00C53B42">
              <w:rPr>
                <w:rFonts w:ascii="Verdana" w:eastAsia="Calibri" w:hAnsi="Verdana" w:cs="Arial"/>
                <w:b/>
                <w:bCs/>
                <w:lang w:val="es-ES" w:eastAsia="es-ES"/>
              </w:rPr>
              <w:t xml:space="preserve"> de 2025</w:t>
            </w:r>
          </w:p>
          <w:p w14:paraId="447547E2" w14:textId="77777777" w:rsidR="008140B1" w:rsidRPr="00C53B42" w:rsidRDefault="008140B1" w:rsidP="00B158C3">
            <w:pPr>
              <w:jc w:val="both"/>
              <w:rPr>
                <w:rFonts w:ascii="Verdana" w:eastAsia="Calibri" w:hAnsi="Verdana" w:cs="Arial"/>
                <w:b/>
                <w:bCs/>
                <w:lang w:val="es-ES" w:eastAsia="es-ES"/>
              </w:rPr>
            </w:pPr>
          </w:p>
          <w:p w14:paraId="4C0BDC49" w14:textId="77777777" w:rsidR="00A04D82" w:rsidRPr="00C53B42" w:rsidRDefault="00A04D82" w:rsidP="00B158C3">
            <w:pPr>
              <w:jc w:val="both"/>
              <w:rPr>
                <w:rFonts w:ascii="Verdana" w:eastAsia="Calibri" w:hAnsi="Verdana" w:cs="Arial"/>
                <w:b/>
                <w:bCs/>
                <w:lang w:val="es-ES" w:eastAsia="es-ES"/>
              </w:rPr>
            </w:pPr>
          </w:p>
        </w:tc>
      </w:tr>
      <w:tr w:rsidR="00A04D82" w:rsidRPr="00C53B42" w14:paraId="58BBEC7D" w14:textId="77777777" w:rsidTr="00B158C3">
        <w:trPr>
          <w:trHeight w:val="884"/>
        </w:trPr>
        <w:tc>
          <w:tcPr>
            <w:tcW w:w="2175" w:type="dxa"/>
            <w:hideMark/>
          </w:tcPr>
          <w:p w14:paraId="176522DA" w14:textId="77777777" w:rsidR="00A04D82" w:rsidRPr="00C53B42" w:rsidRDefault="00A04D82" w:rsidP="00B158C3">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1DF6CC74" w14:textId="43180229" w:rsidR="00A04D82" w:rsidRDefault="00A04D82" w:rsidP="00B158C3">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 Tipos de restricciones </w:t>
            </w:r>
            <w:r>
              <w:rPr>
                <w:rFonts w:ascii="Verdana" w:hAnsi="Verdana" w:cs="Arial"/>
                <w:bCs/>
                <w:color w:val="000000" w:themeColor="text1"/>
                <w:lang w:val="es-ES_tradnl"/>
              </w:rPr>
              <w:t>– Excepciones</w:t>
            </w:r>
          </w:p>
          <w:p w14:paraId="0B17B78A" w14:textId="77777777" w:rsidR="008140B1" w:rsidRDefault="008140B1" w:rsidP="00B158C3">
            <w:pPr>
              <w:jc w:val="both"/>
              <w:rPr>
                <w:rFonts w:ascii="Verdana" w:hAnsi="Verdana" w:cs="Arial"/>
                <w:bCs/>
                <w:color w:val="000000" w:themeColor="text1"/>
                <w:lang w:val="es-ES_tradnl"/>
              </w:rPr>
            </w:pPr>
          </w:p>
          <w:p w14:paraId="5FD3BB0E" w14:textId="77777777" w:rsidR="00A04D82" w:rsidRPr="00C53B42" w:rsidRDefault="00A04D82" w:rsidP="00B158C3">
            <w:pPr>
              <w:jc w:val="both"/>
              <w:rPr>
                <w:rFonts w:ascii="Verdana" w:eastAsia="Calibri" w:hAnsi="Verdana" w:cs="Arial"/>
                <w:lang w:val="es-ES" w:eastAsia="es-ES"/>
              </w:rPr>
            </w:pPr>
          </w:p>
        </w:tc>
      </w:tr>
      <w:tr w:rsidR="00A04D82" w14:paraId="7DB8F9D1" w14:textId="77777777" w:rsidTr="00B158C3">
        <w:trPr>
          <w:trHeight w:val="360"/>
        </w:trPr>
        <w:tc>
          <w:tcPr>
            <w:tcW w:w="2175" w:type="dxa"/>
            <w:hideMark/>
          </w:tcPr>
          <w:p w14:paraId="3C6C6089" w14:textId="77777777" w:rsidR="00A04D82" w:rsidRPr="00C53B42" w:rsidRDefault="00A04D82" w:rsidP="00B158C3">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24C03B8B" w14:textId="77777777" w:rsidR="00A04D82" w:rsidRPr="00C53B42" w:rsidRDefault="00A04D82" w:rsidP="00B158C3">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7A5855">
              <w:rPr>
                <w:rFonts w:ascii="Verdana" w:eastAsia="Calibri" w:hAnsi="Verdana" w:cs="Arial"/>
                <w:lang w:val="es-ES_tradnl" w:eastAsia="es-ES_tradnl"/>
              </w:rPr>
              <w:t>1_2025_10_08_011301</w:t>
            </w:r>
          </w:p>
        </w:tc>
      </w:tr>
    </w:tbl>
    <w:p w14:paraId="3C54BB37" w14:textId="77777777" w:rsidR="00A04D82" w:rsidRDefault="00A04D82" w:rsidP="00A04D82">
      <w:pPr>
        <w:spacing w:after="0" w:line="240" w:lineRule="auto"/>
        <w:jc w:val="both"/>
        <w:rPr>
          <w:rFonts w:ascii="Verdana" w:eastAsia="Calibri" w:hAnsi="Verdana" w:cs="Arial"/>
          <w:color w:val="000000"/>
          <w:lang w:val="es-ES_tradnl" w:eastAsia="es-ES_tradnl"/>
        </w:rPr>
      </w:pPr>
    </w:p>
    <w:p w14:paraId="199F033A" w14:textId="77777777" w:rsidR="00A04D82" w:rsidRDefault="00A04D82" w:rsidP="00A04D82">
      <w:pPr>
        <w:spacing w:after="0" w:line="240" w:lineRule="auto"/>
        <w:jc w:val="both"/>
        <w:rPr>
          <w:rFonts w:ascii="Verdana" w:eastAsia="Calibri" w:hAnsi="Verdana" w:cs="Arial"/>
          <w:color w:val="000000"/>
          <w:lang w:val="es-ES_tradnl" w:eastAsia="es-ES_tradnl"/>
        </w:rPr>
      </w:pPr>
    </w:p>
    <w:p w14:paraId="044B7E2C" w14:textId="77777777" w:rsidR="00A04D82" w:rsidRDefault="00A04D82" w:rsidP="00A04D82">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Machuca,</w:t>
      </w:r>
    </w:p>
    <w:p w14:paraId="5F341701" w14:textId="77777777" w:rsidR="00A04D82" w:rsidRDefault="00A04D82" w:rsidP="00A04D8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C6363F7" w14:textId="7D8CB798" w:rsidR="00A04D82" w:rsidRDefault="00A04D82" w:rsidP="00A04D82">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08 de </w:t>
      </w:r>
      <w:r w:rsidR="00C375C2">
        <w:rPr>
          <w:rFonts w:ascii="Verdana" w:eastAsia="Calibri" w:hAnsi="Verdana" w:cs="Arial"/>
          <w:lang w:val="es-ES" w:eastAsia="es-ES"/>
        </w:rPr>
        <w:t>o</w:t>
      </w:r>
      <w:r>
        <w:rPr>
          <w:rFonts w:ascii="Verdana" w:eastAsia="Calibri" w:hAnsi="Verdana" w:cs="Arial"/>
          <w:lang w:val="es-ES" w:eastAsia="es-ES"/>
        </w:rPr>
        <w:t xml:space="preserve">ctubre de 2025, en la cual manifiesta lo siguiente: </w:t>
      </w:r>
    </w:p>
    <w:p w14:paraId="3BFEFC6F" w14:textId="77777777" w:rsidR="00A04D82" w:rsidRDefault="00A04D82" w:rsidP="00A04D8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026F1FC" w14:textId="3F8D9FC2" w:rsidR="00A04D82" w:rsidRDefault="00A04D82" w:rsidP="0051487B">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7A5855">
        <w:rPr>
          <w:rFonts w:ascii="Verdana" w:eastAsia="Century Gothic" w:hAnsi="Verdana" w:cs="Century Gothic"/>
          <w:sz w:val="20"/>
          <w:szCs w:val="20"/>
          <w:lang w:val="es-ES"/>
        </w:rPr>
        <w:t xml:space="preserve">Por medio de la presente en mi calidad de Jefe de la Oficina Jurídica del Hospital Federico Lleras Acosta de Ibagué E.S.E. quisiera consultar si nosotros como entidad </w:t>
      </w:r>
      <w:proofErr w:type="spellStart"/>
      <w:r w:rsidRPr="007A5855">
        <w:rPr>
          <w:rFonts w:ascii="Verdana" w:eastAsia="Century Gothic" w:hAnsi="Verdana" w:cs="Century Gothic"/>
          <w:sz w:val="20"/>
          <w:szCs w:val="20"/>
          <w:lang w:val="es-ES"/>
        </w:rPr>
        <w:t>publica</w:t>
      </w:r>
      <w:proofErr w:type="spellEnd"/>
      <w:r w:rsidRPr="007A5855">
        <w:rPr>
          <w:rFonts w:ascii="Verdana" w:eastAsia="Century Gothic" w:hAnsi="Verdana" w:cs="Century Gothic"/>
          <w:sz w:val="20"/>
          <w:szCs w:val="20"/>
          <w:lang w:val="es-ES"/>
        </w:rPr>
        <w:t xml:space="preserve"> con régimen de contratación especial, se nos aplica las restricciones de la Ley de Garantías para contratación Directa y Convenios Inter. , ello, en razón a que si bien es cierto la Ley  indica que dentro de las excepciones para esta restricción esta los contratos que requiera los Hospitales, no es claro si es solo para los contratos asistenciales o también administrativos que también son necesarios para el funcionamiento.</w:t>
      </w:r>
      <w:r>
        <w:rPr>
          <w:rFonts w:ascii="Verdana" w:eastAsia="Century Gothic" w:hAnsi="Verdana" w:cs="Century Gothic"/>
          <w:sz w:val="20"/>
          <w:szCs w:val="20"/>
          <w:lang w:val="es-ES"/>
        </w:rPr>
        <w:t>”</w:t>
      </w:r>
    </w:p>
    <w:p w14:paraId="311E2B36" w14:textId="77777777" w:rsidR="00A04D82" w:rsidRPr="00924340" w:rsidRDefault="00A04D82" w:rsidP="00A04D82">
      <w:pPr>
        <w:autoSpaceDE w:val="0"/>
        <w:autoSpaceDN w:val="0"/>
        <w:adjustRightInd w:val="0"/>
        <w:spacing w:after="0" w:line="276" w:lineRule="auto"/>
        <w:ind w:left="851" w:right="616"/>
        <w:jc w:val="both"/>
        <w:rPr>
          <w:rFonts w:ascii="Verdana" w:eastAsia="Century Gothic" w:hAnsi="Verdana" w:cs="Century Gothic"/>
          <w:b/>
        </w:rPr>
      </w:pPr>
    </w:p>
    <w:p w14:paraId="6D6C8836" w14:textId="77777777" w:rsidR="00A04D82" w:rsidRDefault="00A04D82" w:rsidP="00A04D82">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7B27866" w14:textId="76222648" w:rsidR="00A04D82" w:rsidRDefault="00A04D82" w:rsidP="00A04D82">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w:t>
      </w:r>
      <w:r w:rsidR="00E21A2B">
        <w:rPr>
          <w:rFonts w:ascii="Verdana" w:eastAsia="Calibri" w:hAnsi="Verdana" w:cs="Arial"/>
          <w:color w:val="000000"/>
          <w:lang w:val="es-ES" w:eastAsia="es-ES"/>
        </w:rPr>
        <w:t>abstracción del caso en concreto planteado, pero señalando</w:t>
      </w:r>
      <w:r>
        <w:rPr>
          <w:rFonts w:ascii="Verdana" w:eastAsia="Calibri" w:hAnsi="Verdana" w:cs="Arial"/>
          <w:color w:val="000000"/>
          <w:lang w:val="es-ES" w:eastAsia="es-ES"/>
        </w:rPr>
        <w:t xml:space="preserve"> </w:t>
      </w:r>
      <w:r w:rsidR="00E21A2B">
        <w:rPr>
          <w:rFonts w:ascii="Verdana" w:eastAsia="Calibri" w:hAnsi="Verdana" w:cs="Arial"/>
          <w:color w:val="000000"/>
          <w:lang w:val="es-ES" w:eastAsia="es-ES"/>
        </w:rPr>
        <w:t>alg</w:t>
      </w:r>
      <w:r>
        <w:rPr>
          <w:rFonts w:ascii="Verdana" w:eastAsia="Calibri" w:hAnsi="Verdana" w:cs="Arial"/>
          <w:color w:val="000000"/>
          <w:lang w:val="es-ES" w:eastAsia="es-ES"/>
        </w:rPr>
        <w:t>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14C1D9C4" w14:textId="77777777" w:rsidR="00A04D82" w:rsidRDefault="00A04D82" w:rsidP="00A04D82">
      <w:pPr>
        <w:spacing w:after="0" w:line="276" w:lineRule="auto"/>
        <w:ind w:firstLine="709"/>
        <w:jc w:val="both"/>
        <w:rPr>
          <w:rFonts w:ascii="Verdana" w:eastAsia="Calibri" w:hAnsi="Verdana" w:cs="Arial"/>
          <w:color w:val="000000"/>
          <w:lang w:val="es-ES" w:eastAsia="es-ES"/>
        </w:rPr>
      </w:pPr>
    </w:p>
    <w:p w14:paraId="6BCBFFA7" w14:textId="77777777" w:rsidR="00A04D82" w:rsidRDefault="00A04D82" w:rsidP="00A04D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0C1BA681" w14:textId="77777777" w:rsidR="00A04D82" w:rsidRDefault="00A04D82" w:rsidP="00A04D82">
      <w:pPr>
        <w:tabs>
          <w:tab w:val="left" w:pos="426"/>
        </w:tabs>
        <w:spacing w:after="0" w:line="276" w:lineRule="auto"/>
        <w:jc w:val="both"/>
        <w:rPr>
          <w:rFonts w:ascii="Verdana" w:eastAsia="Century Gothic" w:hAnsi="Verdana" w:cs="Century Gothic"/>
          <w:lang w:val="es-ES"/>
        </w:rPr>
      </w:pPr>
    </w:p>
    <w:p w14:paraId="1BCF47A8" w14:textId="36E53623" w:rsidR="00A04D82" w:rsidRDefault="00A04D82" w:rsidP="00A04D82">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l</w:t>
      </w:r>
      <w:r w:rsidR="00321518">
        <w:rPr>
          <w:rFonts w:ascii="Verdana" w:eastAsia="Century Gothic" w:hAnsi="Verdana" w:cs="Century Gothic"/>
        </w:rPr>
        <w:t>os</w:t>
      </w:r>
      <w:r>
        <w:rPr>
          <w:rFonts w:ascii="Verdana" w:eastAsia="Century Gothic" w:hAnsi="Verdana" w:cs="Century Gothic"/>
        </w:rPr>
        <w:t xml:space="preserve"> siguiente</w:t>
      </w:r>
      <w:r w:rsidR="00321518">
        <w:rPr>
          <w:rFonts w:ascii="Verdana" w:eastAsia="Century Gothic" w:hAnsi="Verdana" w:cs="Century Gothic"/>
        </w:rPr>
        <w:t>s</w:t>
      </w:r>
      <w:r>
        <w:rPr>
          <w:rFonts w:ascii="Verdana" w:eastAsia="Century Gothic" w:hAnsi="Verdana" w:cs="Century Gothic"/>
        </w:rPr>
        <w:t xml:space="preserve"> problema</w:t>
      </w:r>
      <w:r w:rsidR="00321518">
        <w:rPr>
          <w:rFonts w:ascii="Verdana" w:eastAsia="Century Gothic" w:hAnsi="Verdana" w:cs="Century Gothic"/>
        </w:rPr>
        <w:t>s</w:t>
      </w:r>
      <w:r>
        <w:rPr>
          <w:rFonts w:ascii="Verdana" w:eastAsia="Century Gothic" w:hAnsi="Verdana" w:cs="Century Gothic"/>
        </w:rPr>
        <w:t xml:space="preserve"> jurídico</w:t>
      </w:r>
      <w:r w:rsidR="00321518">
        <w:rPr>
          <w:rFonts w:ascii="Verdana" w:eastAsia="Century Gothic" w:hAnsi="Verdana" w:cs="Century Gothic"/>
        </w:rPr>
        <w:t>s</w:t>
      </w:r>
      <w:r>
        <w:rPr>
          <w:rFonts w:ascii="Verdana" w:eastAsia="Century Gothic" w:hAnsi="Verdana" w:cs="Century Gothic"/>
        </w:rPr>
        <w:t xml:space="preserve">: </w:t>
      </w:r>
      <w:r w:rsidR="00321518">
        <w:rPr>
          <w:rFonts w:ascii="Verdana" w:eastAsia="Century Gothic" w:hAnsi="Verdana" w:cs="Century Gothic"/>
        </w:rPr>
        <w:t>i)</w:t>
      </w:r>
      <w:r>
        <w:rPr>
          <w:rFonts w:ascii="Verdana" w:eastAsia="Century Gothic" w:hAnsi="Verdana" w:cs="Century Gothic"/>
        </w:rPr>
        <w:t xml:space="preserve"> </w:t>
      </w:r>
      <w:r w:rsidRPr="005649AA">
        <w:rPr>
          <w:rFonts w:ascii="Verdana" w:eastAsia="Century Gothic" w:hAnsi="Verdana" w:cs="Century Gothic"/>
        </w:rPr>
        <w:t xml:space="preserve">¿Las restricciones contenidas en la Ley de Garantías Electorales en materia de contratación </w:t>
      </w:r>
      <w:r>
        <w:rPr>
          <w:rFonts w:ascii="Verdana" w:eastAsia="Century Gothic" w:hAnsi="Verdana" w:cs="Century Gothic"/>
        </w:rPr>
        <w:t xml:space="preserve">directa </w:t>
      </w:r>
      <w:r w:rsidRPr="005649AA">
        <w:rPr>
          <w:rFonts w:ascii="Verdana" w:eastAsia="Century Gothic" w:hAnsi="Verdana" w:cs="Century Gothic"/>
        </w:rPr>
        <w:t xml:space="preserve">son aplicables a </w:t>
      </w:r>
      <w:r>
        <w:rPr>
          <w:rFonts w:ascii="Verdana" w:eastAsia="Century Gothic" w:hAnsi="Verdana" w:cs="Century Gothic"/>
        </w:rPr>
        <w:t>las Empresas Sociales del Estado</w:t>
      </w:r>
      <w:r w:rsidRPr="005649AA">
        <w:rPr>
          <w:rFonts w:ascii="Verdana" w:eastAsia="Century Gothic" w:hAnsi="Verdana" w:cs="Century Gothic"/>
        </w:rPr>
        <w:t>?</w:t>
      </w:r>
      <w:r w:rsidR="00321518">
        <w:rPr>
          <w:rFonts w:ascii="Verdana" w:eastAsia="Century Gothic" w:hAnsi="Verdana" w:cs="Century Gothic"/>
        </w:rPr>
        <w:t xml:space="preserve"> Y </w:t>
      </w:r>
      <w:proofErr w:type="spellStart"/>
      <w:r w:rsidR="00321518">
        <w:rPr>
          <w:rFonts w:ascii="Verdana" w:eastAsia="Century Gothic" w:hAnsi="Verdana" w:cs="Century Gothic"/>
        </w:rPr>
        <w:t>ii</w:t>
      </w:r>
      <w:proofErr w:type="spellEnd"/>
      <w:r w:rsidR="00321518">
        <w:rPr>
          <w:rFonts w:ascii="Verdana" w:eastAsia="Century Gothic" w:hAnsi="Verdana" w:cs="Century Gothic"/>
        </w:rPr>
        <w:t xml:space="preserve">) </w:t>
      </w:r>
      <w:r w:rsidR="00321518" w:rsidRPr="005649AA">
        <w:rPr>
          <w:rFonts w:ascii="Verdana" w:eastAsia="Century Gothic" w:hAnsi="Verdana" w:cs="Century Gothic"/>
        </w:rPr>
        <w:t>¿La restricci</w:t>
      </w:r>
      <w:r w:rsidR="00E21A2B">
        <w:rPr>
          <w:rFonts w:ascii="Verdana" w:eastAsia="Century Gothic" w:hAnsi="Verdana" w:cs="Century Gothic"/>
        </w:rPr>
        <w:t>ón</w:t>
      </w:r>
      <w:r w:rsidR="00321518" w:rsidRPr="005649AA">
        <w:rPr>
          <w:rFonts w:ascii="Verdana" w:eastAsia="Century Gothic" w:hAnsi="Verdana" w:cs="Century Gothic"/>
        </w:rPr>
        <w:t xml:space="preserve"> contenida en la Ley de Garantías Electorales </w:t>
      </w:r>
      <w:r w:rsidR="00321518">
        <w:rPr>
          <w:rFonts w:ascii="Verdana" w:eastAsia="Century Gothic" w:hAnsi="Verdana" w:cs="Century Gothic"/>
        </w:rPr>
        <w:t xml:space="preserve">en relación con la celebración de convenios </w:t>
      </w:r>
      <w:r w:rsidR="00136C50">
        <w:rPr>
          <w:rFonts w:ascii="Verdana" w:eastAsia="Century Gothic" w:hAnsi="Verdana" w:cs="Century Gothic"/>
        </w:rPr>
        <w:t>interadministrativos</w:t>
      </w:r>
      <w:r w:rsidR="00321518">
        <w:rPr>
          <w:rFonts w:ascii="Verdana" w:eastAsia="Century Gothic" w:hAnsi="Verdana" w:cs="Century Gothic"/>
        </w:rPr>
        <w:t xml:space="preserve"> </w:t>
      </w:r>
      <w:r w:rsidR="00321518" w:rsidRPr="005649AA">
        <w:rPr>
          <w:rFonts w:ascii="Verdana" w:eastAsia="Century Gothic" w:hAnsi="Verdana" w:cs="Century Gothic"/>
        </w:rPr>
        <w:t xml:space="preserve">son aplicables a </w:t>
      </w:r>
      <w:r w:rsidR="00321518">
        <w:rPr>
          <w:rFonts w:ascii="Verdana" w:eastAsia="Century Gothic" w:hAnsi="Verdana" w:cs="Century Gothic"/>
        </w:rPr>
        <w:t>las Empresas Sociales del Estado</w:t>
      </w:r>
      <w:r w:rsidR="00321518" w:rsidRPr="005649AA">
        <w:rPr>
          <w:rFonts w:ascii="Verdana" w:eastAsia="Century Gothic" w:hAnsi="Verdana" w:cs="Century Gothic"/>
        </w:rPr>
        <w:t>?</w:t>
      </w:r>
    </w:p>
    <w:p w14:paraId="79FCB29F" w14:textId="77777777" w:rsidR="00A04D82" w:rsidRDefault="00A04D82" w:rsidP="00A04D82">
      <w:pPr>
        <w:spacing w:after="0" w:line="276" w:lineRule="auto"/>
        <w:jc w:val="both"/>
        <w:rPr>
          <w:rFonts w:ascii="Verdana" w:eastAsia="Calibri" w:hAnsi="Verdana" w:cs="Arial"/>
          <w:color w:val="7030A0"/>
          <w:lang w:val="es-ES"/>
        </w:rPr>
      </w:pPr>
    </w:p>
    <w:p w14:paraId="6E5D7F9C" w14:textId="77777777" w:rsidR="00A04D82" w:rsidRDefault="00A04D82" w:rsidP="00A04D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13F57BA3" w14:textId="77777777" w:rsidR="00A04D82" w:rsidRDefault="00A04D82" w:rsidP="00A04D8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04D82" w:rsidRPr="00DE5508" w14:paraId="4B1E9165" w14:textId="77777777" w:rsidTr="00B158C3">
        <w:tc>
          <w:tcPr>
            <w:tcW w:w="8828" w:type="dxa"/>
            <w:tcBorders>
              <w:top w:val="dotted" w:sz="4" w:space="0" w:color="auto"/>
              <w:left w:val="dotted" w:sz="4" w:space="0" w:color="auto"/>
              <w:bottom w:val="dotted" w:sz="4" w:space="0" w:color="auto"/>
              <w:right w:val="dotted" w:sz="4" w:space="0" w:color="auto"/>
            </w:tcBorders>
          </w:tcPr>
          <w:p w14:paraId="4B94C859" w14:textId="17D3429C" w:rsidR="00A04D82" w:rsidRDefault="00A04D82" w:rsidP="00B158C3">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w:t>
            </w:r>
            <w:r w:rsidR="00864313" w:rsidRPr="00DE5508">
              <w:rPr>
                <w:rFonts w:ascii="Verdana" w:eastAsia="Times New Roman" w:hAnsi="Verdana" w:cs="Open Sans"/>
                <w:lang w:eastAsia="es-CO"/>
              </w:rPr>
              <w:t>Entes Estatales</w:t>
            </w:r>
            <w:r w:rsidRPr="00DE5508">
              <w:rPr>
                <w:rFonts w:ascii="Verdana" w:eastAsia="Times New Roman" w:hAnsi="Verdana" w:cs="Open Sans"/>
                <w:lang w:eastAsia="es-CO"/>
              </w:rPr>
              <w:t xml:space="preserve"> durante los cuatro </w:t>
            </w:r>
            <w:r w:rsidR="003C7DBA">
              <w:rPr>
                <w:rFonts w:ascii="Verdana" w:eastAsia="Times New Roman" w:hAnsi="Verdana" w:cs="Open Sans"/>
                <w:lang w:eastAsia="es-CO"/>
              </w:rPr>
              <w:t>(4)</w:t>
            </w:r>
            <w:r w:rsidRPr="00DE5508">
              <w:rPr>
                <w:rFonts w:ascii="Verdana" w:eastAsia="Times New Roman" w:hAnsi="Verdana" w:cs="Open Sans"/>
                <w:lang w:eastAsia="es-CO"/>
              </w:rPr>
              <w:t xml:space="preserve">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25D6D7A6" w14:textId="77777777" w:rsidR="00A04D82" w:rsidRDefault="00A04D82" w:rsidP="00F2587B">
            <w:pPr>
              <w:spacing w:after="120" w:line="276" w:lineRule="auto"/>
              <w:ind w:firstLine="709"/>
              <w:jc w:val="both"/>
              <w:rPr>
                <w:rFonts w:ascii="Verdana" w:hAnsi="Verdana"/>
              </w:rPr>
            </w:pPr>
            <w:r>
              <w:rPr>
                <w:rFonts w:ascii="Verdana" w:eastAsia="Times New Roman" w:hAnsi="Verdana" w:cs="Open Sans"/>
                <w:lang w:eastAsia="es-CO"/>
              </w:rPr>
              <w:lastRenderedPageBreak/>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E1BC290" w14:textId="549CEB59" w:rsidR="00A04D82" w:rsidRPr="0051487B" w:rsidRDefault="00A04D82" w:rsidP="00E21A2B">
            <w:pPr>
              <w:spacing w:after="120" w:line="276" w:lineRule="auto"/>
              <w:ind w:firstLine="709"/>
              <w:jc w:val="both"/>
              <w:rPr>
                <w:rFonts w:ascii="Verdana" w:hAnsi="Verdana"/>
                <w:i/>
              </w:rPr>
            </w:pPr>
            <w:r>
              <w:rPr>
                <w:rFonts w:ascii="Verdana" w:hAnsi="Verdana"/>
              </w:rPr>
              <w:t xml:space="preserve">No </w:t>
            </w:r>
            <w:proofErr w:type="gramStart"/>
            <w:r>
              <w:rPr>
                <w:rFonts w:ascii="Verdana" w:hAnsi="Verdana"/>
              </w:rPr>
              <w:t>obstante</w:t>
            </w:r>
            <w:proofErr w:type="gramEnd"/>
            <w:r>
              <w:rPr>
                <w:rFonts w:ascii="Verdana" w:hAnsi="Verdana"/>
              </w:rPr>
              <w:t xml:space="preserve"> lo anterior, </w:t>
            </w:r>
            <w:r w:rsidR="00293446">
              <w:rPr>
                <w:rFonts w:ascii="Verdana" w:hAnsi="Verdana"/>
              </w:rPr>
              <w:t>el ordenamiento jurídico contempla una serie de</w:t>
            </w:r>
            <w:r>
              <w:rPr>
                <w:rFonts w:ascii="Verdana" w:hAnsi="Verdana"/>
              </w:rPr>
              <w:t xml:space="preserve"> </w:t>
            </w:r>
            <w:r w:rsidRPr="006A640E">
              <w:rPr>
                <w:rFonts w:ascii="Verdana" w:hAnsi="Verdana"/>
              </w:rPr>
              <w:t xml:space="preserve">excepciones a la restricción prevista en </w:t>
            </w:r>
            <w:r w:rsidR="00293446">
              <w:rPr>
                <w:rFonts w:ascii="Verdana" w:hAnsi="Verdana"/>
              </w:rPr>
              <w:t>el artículo 33 de</w:t>
            </w:r>
            <w:r w:rsidRPr="006A640E">
              <w:rPr>
                <w:rFonts w:ascii="Verdana" w:hAnsi="Verdana"/>
              </w:rPr>
              <w:t xml:space="preserve"> la Ley de Garantías</w:t>
            </w:r>
            <w:r w:rsidR="00E72B6D">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sidR="003534D0">
              <w:rPr>
                <w:rFonts w:ascii="Verdana" w:hAnsi="Verdana"/>
              </w:rPr>
              <w:t xml:space="preserve">. Estas excepciones </w:t>
            </w:r>
            <w:r w:rsidRPr="006A640E">
              <w:rPr>
                <w:rFonts w:ascii="Verdana" w:hAnsi="Verdana"/>
              </w:rPr>
              <w:t xml:space="preserve">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1487B">
              <w:rPr>
                <w:rFonts w:ascii="Verdana" w:hAnsi="Verdana"/>
                <w:i/>
              </w:rPr>
              <w:t>los que deban realizar las entidades sanitarias y hospitalarias.</w:t>
            </w:r>
          </w:p>
          <w:p w14:paraId="22FDA234" w14:textId="2EAE7AB8" w:rsidR="002A24B3" w:rsidRPr="00F2587B" w:rsidRDefault="002A24B3" w:rsidP="00F2587B">
            <w:pPr>
              <w:spacing w:after="120" w:line="276" w:lineRule="auto"/>
              <w:ind w:firstLine="709"/>
              <w:jc w:val="both"/>
            </w:pPr>
            <w:r>
              <w:rPr>
                <w:rFonts w:ascii="Verdana" w:eastAsia="Calibri" w:hAnsi="Verdana" w:cs="Arial"/>
              </w:rPr>
              <w:t>E</w:t>
            </w:r>
            <w:r w:rsidRPr="004B0BDE">
              <w:rPr>
                <w:rFonts w:ascii="Verdana" w:eastAsia="Calibri" w:hAnsi="Verdana" w:cs="Arial"/>
              </w:rPr>
              <w:t xml:space="preserve">n relación con el problema jurídico planteado </w:t>
            </w:r>
            <w:r>
              <w:rPr>
                <w:rFonts w:ascii="Verdana" w:eastAsia="Calibri" w:hAnsi="Verdana" w:cs="Arial"/>
              </w:rPr>
              <w:t xml:space="preserve">es pertinente analizar la excepción contenida en el numeral quinto, relacionado con la contratación de las entidades sanitarias y hospitalarias, para determinar si la excepción a la restricción de contratación directa es aplicable a los contratos suscritos por las Empresas Sociales del Estado – </w:t>
            </w:r>
            <w:r w:rsidRPr="0060146E">
              <w:rPr>
                <w:rFonts w:ascii="Verdana" w:eastAsia="Calibri" w:hAnsi="Verdana" w:cs="Arial"/>
              </w:rPr>
              <w:t xml:space="preserve">ESE-. </w:t>
            </w:r>
            <w:r w:rsidRPr="0060146E">
              <w:rPr>
                <w:rFonts w:ascii="Verdana" w:hAnsi="Verdana"/>
              </w:rPr>
              <w:t xml:space="preserve">En este sentido, el artículo 94 de la Ley 100 de 1993 señaló que, </w:t>
            </w:r>
            <w:r>
              <w:rPr>
                <w:rFonts w:ascii="Verdana" w:hAnsi="Verdana"/>
              </w:rPr>
              <w:t>“</w:t>
            </w:r>
            <w:r w:rsidRPr="0060146E">
              <w:rPr>
                <w:rFonts w:ascii="Verdana" w:hAnsi="Verdana"/>
              </w:rPr>
              <w:t>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Pr>
                <w:rFonts w:ascii="Verdana" w:hAnsi="Verdana"/>
              </w:rPr>
              <w:t>”</w:t>
            </w:r>
            <w:r w:rsidRPr="0060146E">
              <w:rPr>
                <w:rFonts w:ascii="Verdana" w:hAnsi="Verdana"/>
              </w:rPr>
              <w:t>.</w:t>
            </w:r>
          </w:p>
          <w:p w14:paraId="11C37450" w14:textId="77777777" w:rsidR="0051487B" w:rsidRDefault="00A04D82" w:rsidP="00F2587B">
            <w:pPr>
              <w:pStyle w:val="Prrafodelista"/>
              <w:spacing w:after="120" w:line="276" w:lineRule="auto"/>
              <w:ind w:left="0" w:firstLine="709"/>
              <w:contextualSpacing w:val="0"/>
              <w:jc w:val="both"/>
              <w:rPr>
                <w:rFonts w:ascii="Verdana" w:hAnsi="Verdana"/>
              </w:rPr>
            </w:pPr>
            <w:r w:rsidRPr="0060146E">
              <w:rPr>
                <w:rFonts w:ascii="Verdana" w:hAnsi="Verdana"/>
              </w:rPr>
              <w:lastRenderedPageBreak/>
              <w:t xml:space="preserve">Así, en virtud del quinto evento mencionado como excepción en la norma, </w:t>
            </w:r>
            <w:r w:rsidRPr="24990E93">
              <w:rPr>
                <w:rFonts w:ascii="Verdana" w:hAnsi="Verdana"/>
              </w:rPr>
              <w:t xml:space="preserve">es deber de </w:t>
            </w:r>
            <w:r w:rsidRPr="0060146E">
              <w:rPr>
                <w:rFonts w:ascii="Verdana" w:hAnsi="Verdana"/>
              </w:rPr>
              <w:t xml:space="preserve">las Empresas Sociales del Estado </w:t>
            </w:r>
            <w:r w:rsidRPr="24990E93">
              <w:rPr>
                <w:rFonts w:ascii="Verdana" w:hAnsi="Verdana"/>
              </w:rPr>
              <w:t xml:space="preserve">verificar si </w:t>
            </w:r>
            <w:r w:rsidR="00CD1C90" w:rsidRPr="0060146E">
              <w:rPr>
                <w:rFonts w:ascii="Verdana" w:hAnsi="Verdana"/>
              </w:rPr>
              <w:t>pudiesen</w:t>
            </w:r>
            <w:r w:rsidRPr="0060146E">
              <w:rPr>
                <w:rFonts w:ascii="Verdana" w:hAnsi="Verdana"/>
              </w:rPr>
              <w:t xml:space="preserve"> suscribir contratos bajo la modalidad de contratación directa bajo la mencionada excepción al considerarse entidades hospitalarias y sanitarias. En todo</w:t>
            </w:r>
            <w:r>
              <w:rPr>
                <w:rFonts w:ascii="Verdana" w:hAnsi="Verdana"/>
              </w:rPr>
              <w:t xml:space="preserve"> caso, e</w:t>
            </w:r>
            <w:r w:rsidRPr="006A640E">
              <w:rPr>
                <w:rFonts w:ascii="Verdana" w:hAnsi="Verdana"/>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F4FBE1F" w14:textId="18A2EE29" w:rsidR="00724856" w:rsidRPr="00DE5508" w:rsidRDefault="00724856" w:rsidP="00F2587B">
            <w:pPr>
              <w:pStyle w:val="Prrafodelista"/>
              <w:spacing w:after="120" w:line="276" w:lineRule="auto"/>
              <w:ind w:left="0" w:firstLine="709"/>
              <w:contextualSpacing w:val="0"/>
              <w:jc w:val="both"/>
              <w:rPr>
                <w:rFonts w:ascii="Verdana" w:eastAsia="Times New Roman" w:hAnsi="Verdana" w:cs="Arial"/>
                <w:lang w:val="es-MX" w:eastAsia="es-CO"/>
              </w:rPr>
            </w:pPr>
            <w:r w:rsidRPr="00DE5508">
              <w:rPr>
                <w:rFonts w:ascii="Verdana" w:hAnsi="Verdana" w:cs="BCDHEE+Verdana"/>
                <w:color w:val="000000"/>
                <w:lang w:val="es-CO"/>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sidR="00E21A2B">
              <w:rPr>
                <w:rFonts w:ascii="Verdana" w:hAnsi="Verdana" w:cs="BCDHEE+Verdana"/>
                <w:color w:val="000000"/>
                <w:lang w:val="es-CO"/>
              </w:rPr>
              <w:t>cuatro (</w:t>
            </w:r>
            <w:r w:rsidRPr="00DE5508">
              <w:rPr>
                <w:rFonts w:ascii="Verdana" w:hAnsi="Verdana" w:cs="BCDHEE+Verdana"/>
                <w:color w:val="000000"/>
                <w:lang w:val="es-CO"/>
              </w:rPr>
              <w:t>4</w:t>
            </w:r>
            <w:r w:rsidR="00E21A2B">
              <w:rPr>
                <w:rFonts w:ascii="Verdana" w:hAnsi="Verdana" w:cs="BCDHEE+Verdana"/>
                <w:color w:val="000000"/>
                <w:lang w:val="es-CO"/>
              </w:rPr>
              <w:t>)</w:t>
            </w:r>
            <w:r w:rsidRPr="00DE5508">
              <w:rPr>
                <w:rFonts w:ascii="Verdana" w:hAnsi="Verdana" w:cs="BCDHEE+Verdana"/>
                <w:color w:val="000000"/>
                <w:lang w:val="es-CO"/>
              </w:rPr>
              <w:t xml:space="preserve">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lang w:val="es-CO"/>
              </w:rPr>
              <w:t>.</w:t>
            </w:r>
          </w:p>
          <w:p w14:paraId="4ABDB6A9" w14:textId="39EA0BF6" w:rsidR="00E21A2B" w:rsidRDefault="00E21A2B" w:rsidP="00F2587B">
            <w:pPr>
              <w:spacing w:after="120" w:line="276" w:lineRule="auto"/>
              <w:ind w:firstLine="709"/>
              <w:jc w:val="both"/>
              <w:rPr>
                <w:rFonts w:ascii="Verdana" w:eastAsia="Arial" w:hAnsi="Verdana" w:cs="Arial"/>
                <w:color w:val="000000"/>
              </w:rPr>
            </w:pPr>
            <w:r>
              <w:rPr>
                <w:rFonts w:ascii="Verdana" w:hAnsi="Verdana" w:cs="BCDHEE+Verdana"/>
                <w:color w:val="000000"/>
              </w:rPr>
              <w:t xml:space="preserve">Por otro lado, el parágrafo del artículo 38 de la Ley 996 de 2005 </w:t>
            </w:r>
            <w:r w:rsidR="00724856" w:rsidRPr="00DE5508">
              <w:rPr>
                <w:rFonts w:ascii="Verdana" w:hAnsi="Verdana" w:cs="BCDHEE+Verdana"/>
                <w:color w:val="000000"/>
              </w:rPr>
              <w:t xml:space="preserve">prohíbe a los gobernadores, alcaldes municipales o distritales, secretarios, gerentes y directores de entidades descentralizadas del orden municipal, departamental o distrital </w:t>
            </w:r>
            <w:r w:rsidR="00724856"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724856">
              <w:rPr>
                <w:rFonts w:ascii="Verdana" w:eastAsia="Arial" w:hAnsi="Verdana" w:cs="Arial"/>
                <w:color w:val="000000"/>
              </w:rPr>
              <w:t xml:space="preserve"> </w:t>
            </w:r>
          </w:p>
          <w:p w14:paraId="513D78F6" w14:textId="2DAFE67E" w:rsidR="00724856" w:rsidRPr="00F2587B" w:rsidRDefault="00E21A2B" w:rsidP="00F2587B">
            <w:pPr>
              <w:spacing w:after="120" w:line="276" w:lineRule="auto"/>
              <w:ind w:firstLine="709"/>
              <w:jc w:val="both"/>
              <w:rPr>
                <w:rFonts w:ascii="Verdana" w:eastAsia="Arial" w:hAnsi="Verdana" w:cs="Arial"/>
                <w:color w:val="000000"/>
              </w:rPr>
            </w:pPr>
            <w:r>
              <w:rPr>
                <w:rFonts w:ascii="Verdana" w:hAnsi="Verdana" w:cs="BCDHEE+Verdana"/>
                <w:color w:val="000000"/>
              </w:rPr>
              <w:t>P</w:t>
            </w:r>
            <w:r w:rsidRPr="00DE5508">
              <w:rPr>
                <w:rFonts w:ascii="Verdana" w:hAnsi="Verdana" w:cs="BCDHEE+Verdana"/>
                <w:color w:val="000000"/>
              </w:rPr>
              <w:t>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el Consejo Nacional Electoral mediante Resolución No. 2581 del 5 de marzo de 2025, de acuerdo con el artículo 38 de la Ley 996 de 2005,</w:t>
            </w:r>
            <w:r>
              <w:rPr>
                <w:rFonts w:ascii="Verdana" w:hAnsi="Verdana" w:cs="BCDHEE+Verdana"/>
                <w:color w:val="000000"/>
              </w:rPr>
              <w:t xml:space="preserve"> Por lo cual la anterior restricción </w:t>
            </w:r>
            <w:r w:rsidR="00724856" w:rsidRPr="00DE5508">
              <w:rPr>
                <w:rFonts w:ascii="Verdana" w:hAnsi="Verdana" w:cs="BCDHEE+Verdana"/>
                <w:color w:val="000000"/>
              </w:rPr>
              <w:t>inici</w:t>
            </w:r>
            <w:r w:rsidR="00CA4A36">
              <w:rPr>
                <w:rFonts w:ascii="Verdana" w:hAnsi="Verdana" w:cs="BCDHEE+Verdana"/>
                <w:color w:val="000000"/>
              </w:rPr>
              <w:t>ó</w:t>
            </w:r>
            <w:r w:rsidR="00724856" w:rsidRPr="00DE5508">
              <w:rPr>
                <w:rFonts w:ascii="Verdana" w:hAnsi="Verdana" w:cs="BCDHEE+Verdana"/>
                <w:color w:val="000000"/>
              </w:rPr>
              <w:t xml:space="preserve"> el 8 de noviembre de 2025, es decir, </w:t>
            </w:r>
            <w:r>
              <w:rPr>
                <w:rFonts w:ascii="Verdana" w:hAnsi="Verdana" w:cs="BCDHEE+Verdana"/>
                <w:color w:val="000000"/>
              </w:rPr>
              <w:t>cuatro</w:t>
            </w:r>
            <w:r w:rsidR="00724856" w:rsidRPr="00DE5508">
              <w:rPr>
                <w:rFonts w:ascii="Verdana" w:hAnsi="Verdana" w:cs="BCDHEE+Verdana"/>
                <w:color w:val="000000"/>
              </w:rPr>
              <w:t xml:space="preserve"> </w:t>
            </w:r>
            <w:r>
              <w:rPr>
                <w:rFonts w:ascii="Verdana" w:hAnsi="Verdana" w:cs="BCDHEE+Verdana"/>
                <w:color w:val="000000"/>
              </w:rPr>
              <w:t>(</w:t>
            </w:r>
            <w:r w:rsidR="00724856" w:rsidRPr="00DE5508">
              <w:rPr>
                <w:rFonts w:ascii="Verdana" w:hAnsi="Verdana" w:cs="BCDHEE+Verdana"/>
                <w:color w:val="000000"/>
              </w:rPr>
              <w:t>4</w:t>
            </w:r>
            <w:r>
              <w:rPr>
                <w:rFonts w:ascii="Verdana" w:hAnsi="Verdana" w:cs="BCDHEE+Verdana"/>
                <w:color w:val="000000"/>
              </w:rPr>
              <w:t>)</w:t>
            </w:r>
            <w:r w:rsidR="00724856" w:rsidRPr="00DE5508">
              <w:rPr>
                <w:rFonts w:ascii="Verdana" w:hAnsi="Verdana" w:cs="BCDHEE+Verdana"/>
                <w:color w:val="000000"/>
              </w:rPr>
              <w:t xml:space="preserve"> meses antes de la fecha de las elecciones</w:t>
            </w:r>
            <w:r w:rsidR="00724856">
              <w:rPr>
                <w:rFonts w:ascii="Verdana" w:hAnsi="Verdana" w:cs="BCDHEE+Verdana"/>
                <w:color w:val="000000"/>
              </w:rPr>
              <w:t>.</w:t>
            </w:r>
          </w:p>
          <w:p w14:paraId="2018459D" w14:textId="55BB250A" w:rsidR="00750FEE" w:rsidRPr="00775AB1" w:rsidRDefault="00724856" w:rsidP="00750FEE">
            <w:pPr>
              <w:spacing w:after="120" w:line="276" w:lineRule="auto"/>
              <w:ind w:firstLine="709"/>
              <w:jc w:val="both"/>
              <w:rPr>
                <w:rFonts w:ascii="Verdana" w:eastAsia="Times New Roman" w:hAnsi="Verdana" w:cs="Arial"/>
                <w:lang w:val="es-MX" w:eastAsia="es-CO"/>
              </w:rPr>
            </w:pPr>
            <w:r>
              <w:rPr>
                <w:rFonts w:ascii="Verdana" w:hAnsi="Verdana" w:cs="BCDHEE+Verdana"/>
                <w:color w:val="000000"/>
              </w:rPr>
              <w:t xml:space="preserve"> Por lo que, </w:t>
            </w:r>
            <w:proofErr w:type="spellStart"/>
            <w:r w:rsidR="00750FEE" w:rsidRPr="00E2397D">
              <w:rPr>
                <w:rFonts w:ascii="Verdana" w:eastAsia="Times New Roman" w:hAnsi="Verdana" w:cs="Arial"/>
                <w:lang w:val="es-MX" w:eastAsia="es-CO"/>
              </w:rPr>
              <w:t>si</w:t>
            </w:r>
            <w:proofErr w:type="spellEnd"/>
            <w:r w:rsidR="00750FEE" w:rsidRPr="00E2397D">
              <w:rPr>
                <w:rFonts w:ascii="Verdana" w:eastAsia="Times New Roman" w:hAnsi="Verdana" w:cs="Arial"/>
                <w:lang w:val="es-MX" w:eastAsia="es-CO"/>
              </w:rPr>
              <w:t xml:space="preserve"> una o ambas partes de la relación contractual es una entidad de aquellas descritas en el parágrafo </w:t>
            </w:r>
            <w:r w:rsidR="00750FEE" w:rsidRPr="00E2397D">
              <w:rPr>
                <w:rFonts w:ascii="Verdana" w:eastAsia="Times New Roman" w:hAnsi="Verdana" w:cs="Arial"/>
                <w:i/>
                <w:lang w:val="es-MX" w:eastAsia="es-CO"/>
              </w:rPr>
              <w:t>ibidem</w:t>
            </w:r>
            <w:r w:rsidR="00750FEE" w:rsidRPr="00E2397D">
              <w:rPr>
                <w:rFonts w:ascii="Verdana" w:eastAsia="Times New Roman" w:hAnsi="Verdana" w:cs="Arial"/>
                <w:lang w:val="es-MX" w:eastAsia="es-CO"/>
              </w:rPr>
              <w:t>,</w:t>
            </w:r>
            <w:r w:rsidR="00750FEE">
              <w:rPr>
                <w:rFonts w:ascii="Verdana" w:eastAsia="Times New Roman" w:hAnsi="Verdana" w:cs="Arial"/>
                <w:lang w:val="es-MX" w:eastAsia="es-CO"/>
              </w:rPr>
              <w:t xml:space="preserve"> </w:t>
            </w:r>
            <w:r w:rsidR="00750FEE" w:rsidRPr="00E2397D">
              <w:rPr>
                <w:rFonts w:ascii="Verdana" w:eastAsia="Times New Roman" w:hAnsi="Verdana" w:cs="Arial"/>
                <w:lang w:val="es-MX" w:eastAsia="es-CO"/>
              </w:rPr>
              <w:t xml:space="preserve">no podrá celebrar </w:t>
            </w:r>
            <w:r w:rsidR="00750FEE" w:rsidRPr="00E2397D">
              <w:rPr>
                <w:rFonts w:ascii="Verdana" w:eastAsia="Times New Roman" w:hAnsi="Verdana" w:cs="Arial"/>
                <w:i/>
                <w:iCs/>
                <w:lang w:val="es-MX" w:eastAsia="es-CO"/>
              </w:rPr>
              <w:t>convenios</w:t>
            </w:r>
            <w:r w:rsidR="00BD763F">
              <w:rPr>
                <w:rFonts w:ascii="Verdana" w:eastAsia="Times New Roman" w:hAnsi="Verdana" w:cs="Arial"/>
                <w:i/>
                <w:iCs/>
                <w:lang w:val="es-MX" w:eastAsia="es-CO"/>
              </w:rPr>
              <w:t xml:space="preserve"> </w:t>
            </w:r>
            <w:r w:rsidR="00FC1088">
              <w:rPr>
                <w:rFonts w:ascii="Verdana" w:eastAsia="Times New Roman" w:hAnsi="Verdana" w:cs="Arial"/>
                <w:i/>
                <w:iCs/>
                <w:lang w:val="es-MX" w:eastAsia="es-CO"/>
              </w:rPr>
              <w:t>i</w:t>
            </w:r>
            <w:r w:rsidR="00BD763F">
              <w:rPr>
                <w:rFonts w:ascii="Verdana" w:eastAsia="Times New Roman" w:hAnsi="Verdana" w:cs="Arial"/>
                <w:i/>
                <w:iCs/>
                <w:lang w:val="es-MX" w:eastAsia="es-CO"/>
              </w:rPr>
              <w:t>nteradministrativos</w:t>
            </w:r>
            <w:r w:rsidR="00750FEE" w:rsidRPr="00E2397D">
              <w:rPr>
                <w:rFonts w:ascii="Verdana" w:eastAsia="Times New Roman" w:hAnsi="Verdana" w:cs="Arial"/>
                <w:lang w:val="es-MX" w:eastAsia="es-CO"/>
              </w:rPr>
              <w:t xml:space="preserve"> durante la aplicación de la Ley de Garantías Electorales, toda vez que la citada disposición hace referencia a dicha tipología </w:t>
            </w:r>
            <w:r w:rsidR="00750FEE" w:rsidRPr="00E2397D">
              <w:rPr>
                <w:rFonts w:ascii="Verdana" w:eastAsia="Times New Roman" w:hAnsi="Verdana" w:cs="Arial"/>
                <w:lang w:val="es-MX" w:eastAsia="es-CO"/>
              </w:rPr>
              <w:lastRenderedPageBreak/>
              <w:t xml:space="preserve">contractual sin que el legislador hubiere contemplado un efecto extensivo a otra tipología. </w:t>
            </w:r>
          </w:p>
          <w:p w14:paraId="02CE9B0A" w14:textId="77777777" w:rsidR="00A04D82" w:rsidRPr="00DE5508" w:rsidRDefault="00A04D82" w:rsidP="0051487B">
            <w:pPr>
              <w:spacing w:line="276" w:lineRule="auto"/>
              <w:ind w:firstLine="708"/>
              <w:jc w:val="both"/>
              <w:rPr>
                <w:rFonts w:ascii="Verdana" w:hAnsi="Verdana"/>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EBCA376" w14:textId="77777777" w:rsidR="00A04D82" w:rsidRPr="00DE5508" w:rsidRDefault="00A04D82" w:rsidP="00A04D82">
      <w:pPr>
        <w:tabs>
          <w:tab w:val="left" w:pos="142"/>
          <w:tab w:val="left" w:pos="284"/>
        </w:tabs>
        <w:spacing w:after="0" w:line="276" w:lineRule="auto"/>
        <w:jc w:val="both"/>
        <w:rPr>
          <w:rFonts w:ascii="Verdana" w:eastAsia="Century Gothic" w:hAnsi="Verdana" w:cs="Century Gothic"/>
          <w:b/>
          <w:bCs/>
          <w:lang w:val="es-ES"/>
        </w:rPr>
      </w:pPr>
    </w:p>
    <w:p w14:paraId="55D7D98E" w14:textId="77777777" w:rsidR="00A04D82" w:rsidRDefault="00A04D82" w:rsidP="00A04D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54C207CF" w14:textId="77777777" w:rsidR="00A04D82" w:rsidRDefault="00A04D82" w:rsidP="00A04D82">
      <w:pPr>
        <w:spacing w:after="0" w:line="276" w:lineRule="auto"/>
        <w:jc w:val="both"/>
        <w:rPr>
          <w:rFonts w:ascii="Verdana" w:eastAsia="Calibri" w:hAnsi="Verdana" w:cs="Arial"/>
          <w:color w:val="7030A0"/>
          <w:lang w:val="es-ES"/>
        </w:rPr>
      </w:pPr>
    </w:p>
    <w:p w14:paraId="32B26744" w14:textId="77777777" w:rsidR="00A04D82" w:rsidRDefault="00A04D82" w:rsidP="00A04D82">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01307818" w14:textId="77777777" w:rsidR="00A04D82" w:rsidRDefault="00A04D82" w:rsidP="00A04D82">
      <w:pPr>
        <w:widowControl w:val="0"/>
        <w:autoSpaceDE w:val="0"/>
        <w:autoSpaceDN w:val="0"/>
        <w:spacing w:after="0" w:line="276" w:lineRule="auto"/>
        <w:ind w:right="176"/>
        <w:jc w:val="both"/>
        <w:rPr>
          <w:rFonts w:ascii="Verdana" w:eastAsia="Calibri" w:hAnsi="Verdana" w:cs="Arial"/>
          <w:lang w:val="es-ES"/>
        </w:rPr>
      </w:pPr>
    </w:p>
    <w:p w14:paraId="3B7BE2C5" w14:textId="77777777" w:rsidR="00A04D82" w:rsidRDefault="00A04D82" w:rsidP="00A04D82">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1AB7864C" w14:textId="77777777" w:rsidR="00A04D82" w:rsidRPr="006B14B5" w:rsidRDefault="00A04D82" w:rsidP="00A04D82">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DA7D1AD" w14:textId="77777777" w:rsidR="00A04D82" w:rsidRPr="00E2397D" w:rsidRDefault="00A04D82" w:rsidP="00A04D82">
      <w:pPr>
        <w:spacing w:after="0" w:line="276" w:lineRule="auto"/>
        <w:ind w:right="709"/>
        <w:contextualSpacing/>
        <w:jc w:val="both"/>
        <w:rPr>
          <w:rFonts w:ascii="Verdana" w:eastAsia="Times New Roman" w:hAnsi="Verdana" w:cs="Arial"/>
          <w:lang w:val="es-ES" w:eastAsia="es-CO"/>
        </w:rPr>
      </w:pPr>
    </w:p>
    <w:p w14:paraId="7A2398EF" w14:textId="77777777" w:rsidR="00A04D82" w:rsidRPr="00E2397D" w:rsidRDefault="00A04D82" w:rsidP="00A04D8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2AF06C7" w14:textId="77777777" w:rsidR="00A04D82" w:rsidRPr="00E2397D" w:rsidRDefault="00A04D82" w:rsidP="00A04D82">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4FA3E72B" w14:textId="77777777" w:rsidR="00A04D82" w:rsidRPr="00E2397D" w:rsidRDefault="00A04D82" w:rsidP="00A04D8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5DE84585" w14:textId="77777777" w:rsidR="00A04D82" w:rsidRPr="00E2397D" w:rsidRDefault="00A04D82" w:rsidP="00A04D82">
      <w:pPr>
        <w:spacing w:after="0" w:line="276" w:lineRule="auto"/>
        <w:ind w:firstLine="709"/>
        <w:jc w:val="both"/>
        <w:rPr>
          <w:rFonts w:ascii="Verdana" w:eastAsia="Times New Roman" w:hAnsi="Verdana" w:cs="Arial"/>
          <w:lang w:val="es-MX" w:eastAsia="es-CO"/>
        </w:rPr>
      </w:pPr>
    </w:p>
    <w:p w14:paraId="32BFE48C" w14:textId="77777777" w:rsidR="00A04D82" w:rsidRPr="00E2397D" w:rsidRDefault="00A04D82" w:rsidP="00A04D82">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6AF918D" w14:textId="77777777" w:rsidR="00A04D82" w:rsidRPr="00886C02" w:rsidRDefault="00A04D82" w:rsidP="00A04D82">
      <w:pPr>
        <w:spacing w:after="0" w:line="276" w:lineRule="auto"/>
        <w:ind w:firstLine="709"/>
        <w:jc w:val="both"/>
        <w:rPr>
          <w:rFonts w:ascii="Verdana" w:eastAsia="Times New Roman" w:hAnsi="Verdana" w:cs="Arial"/>
          <w:lang w:val="es-MX" w:eastAsia="es-CO"/>
        </w:rPr>
      </w:pPr>
    </w:p>
    <w:p w14:paraId="186F74AA" w14:textId="77777777" w:rsidR="00A04D82" w:rsidRPr="00E2397D" w:rsidRDefault="00A04D82" w:rsidP="00A04D8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6DB5835" w14:textId="77777777" w:rsidR="00A04D82" w:rsidRPr="00E2397D" w:rsidRDefault="00A04D82" w:rsidP="00A04D82">
      <w:pPr>
        <w:spacing w:after="0" w:line="240" w:lineRule="auto"/>
        <w:ind w:right="709"/>
        <w:contextualSpacing/>
        <w:jc w:val="both"/>
        <w:rPr>
          <w:rFonts w:ascii="Verdana" w:eastAsia="Times New Roman" w:hAnsi="Verdana" w:cs="Arial"/>
          <w:lang w:val="es-MX" w:eastAsia="es-CO"/>
        </w:rPr>
      </w:pPr>
    </w:p>
    <w:p w14:paraId="27D39071" w14:textId="77777777" w:rsidR="00A04D82" w:rsidRPr="00E2397D" w:rsidRDefault="00A04D82" w:rsidP="00A04D8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E2397D">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7A5918D0" w14:textId="77777777" w:rsidR="00A04D82" w:rsidRPr="00E2397D" w:rsidRDefault="00A04D82" w:rsidP="00A04D82">
      <w:pPr>
        <w:spacing w:after="0" w:line="276" w:lineRule="auto"/>
        <w:jc w:val="both"/>
        <w:rPr>
          <w:rFonts w:ascii="Verdana" w:eastAsia="Calibri" w:hAnsi="Verdana" w:cs="Arial"/>
          <w:bCs/>
          <w:lang w:val="es-ES_tradnl"/>
        </w:rPr>
      </w:pPr>
    </w:p>
    <w:p w14:paraId="4719D4A1" w14:textId="77777777" w:rsidR="00A04D82" w:rsidRPr="00B3605D" w:rsidRDefault="00A04D82" w:rsidP="00A04D82">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4FF0213" w14:textId="77777777" w:rsidR="00A04D82" w:rsidRDefault="00A04D82" w:rsidP="00A04D82">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05FF67BA" w14:textId="77777777" w:rsidR="00A04D82" w:rsidRDefault="00A04D82" w:rsidP="00A04D82">
      <w:pPr>
        <w:spacing w:after="0" w:line="276" w:lineRule="auto"/>
        <w:ind w:firstLine="709"/>
        <w:jc w:val="both"/>
        <w:rPr>
          <w:rFonts w:ascii="Verdana" w:eastAsia="Arial" w:hAnsi="Verdana" w:cs="Arial"/>
          <w:lang w:val="es-ES" w:eastAsia="es-ES" w:bidi="es-ES"/>
        </w:rPr>
      </w:pPr>
    </w:p>
    <w:p w14:paraId="323AEF5C" w14:textId="77777777" w:rsidR="00A04D82" w:rsidRPr="00F2587B" w:rsidRDefault="00A04D82" w:rsidP="00A04D82">
      <w:pPr>
        <w:pStyle w:val="Prrafodelista"/>
        <w:numPr>
          <w:ilvl w:val="0"/>
          <w:numId w:val="18"/>
        </w:numPr>
        <w:spacing w:after="0" w:line="276" w:lineRule="auto"/>
        <w:jc w:val="both"/>
        <w:rPr>
          <w:rFonts w:ascii="Verdana" w:eastAsia="Arial" w:hAnsi="Verdana" w:cs="Arial"/>
          <w:i/>
          <w:lang w:eastAsia="es-ES" w:bidi="es-ES"/>
        </w:rPr>
      </w:pPr>
      <w:r w:rsidRPr="00F2587B">
        <w:rPr>
          <w:rFonts w:ascii="Verdana" w:eastAsia="Arial" w:hAnsi="Verdana" w:cs="Arial"/>
          <w:i/>
          <w:lang w:eastAsia="es-ES" w:bidi="es-ES"/>
        </w:rPr>
        <w:t xml:space="preserve">Restricciones elecciones presidenciales </w:t>
      </w:r>
    </w:p>
    <w:p w14:paraId="19FD7D62" w14:textId="77777777" w:rsidR="00A04D82" w:rsidRPr="00A545DE" w:rsidRDefault="00A04D82" w:rsidP="00A04D82">
      <w:pPr>
        <w:pStyle w:val="Prrafodelista"/>
        <w:spacing w:after="0" w:line="276" w:lineRule="auto"/>
        <w:ind w:left="1080"/>
        <w:jc w:val="both"/>
        <w:rPr>
          <w:rFonts w:ascii="Verdana" w:eastAsia="Arial" w:hAnsi="Verdana" w:cs="Arial"/>
          <w:lang w:eastAsia="es-ES" w:bidi="es-ES"/>
        </w:rPr>
      </w:pPr>
    </w:p>
    <w:p w14:paraId="2CBFCDBA" w14:textId="77777777" w:rsidR="00A04D82" w:rsidRPr="00FC54ED" w:rsidRDefault="00A04D82" w:rsidP="00F2587B">
      <w:pPr>
        <w:spacing w:after="0" w:line="240" w:lineRule="auto"/>
        <w:ind w:left="709"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55442A17" w14:textId="77777777" w:rsidR="00A04D82" w:rsidRPr="00FC54ED" w:rsidRDefault="00A04D82" w:rsidP="00F2587B">
      <w:pPr>
        <w:spacing w:after="0" w:line="240" w:lineRule="auto"/>
        <w:ind w:left="709" w:right="703"/>
        <w:jc w:val="both"/>
        <w:rPr>
          <w:rFonts w:ascii="Verdana" w:eastAsia="Times New Roman" w:hAnsi="Verdana" w:cs="Open Sans"/>
          <w:sz w:val="20"/>
          <w:szCs w:val="20"/>
          <w:lang w:eastAsia="es-CO"/>
        </w:rPr>
      </w:pPr>
    </w:p>
    <w:p w14:paraId="330FA62C" w14:textId="77777777" w:rsidR="00A04D82" w:rsidRPr="00B3605D" w:rsidRDefault="00A04D82" w:rsidP="00F2587B">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7A66BC73" w14:textId="77777777" w:rsidR="00A04D82" w:rsidRDefault="00A04D82" w:rsidP="00A04D82">
      <w:pPr>
        <w:spacing w:after="0" w:line="276" w:lineRule="auto"/>
        <w:ind w:right="618" w:firstLine="708"/>
        <w:jc w:val="both"/>
        <w:rPr>
          <w:rFonts w:ascii="Verdana" w:eastAsia="Times New Roman" w:hAnsi="Verdana" w:cs="Open Sans"/>
          <w:lang w:eastAsia="es-CO"/>
        </w:rPr>
      </w:pPr>
    </w:p>
    <w:p w14:paraId="52587925" w14:textId="0872165A" w:rsidR="00A04D82" w:rsidRDefault="00A04D82" w:rsidP="00F2587B">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w:t>
      </w:r>
      <w:r w:rsidRPr="00B3605D">
        <w:rPr>
          <w:rFonts w:ascii="Verdana" w:eastAsia="Times New Roman" w:hAnsi="Verdana" w:cs="Open Sans"/>
          <w:lang w:eastAsia="es-CO"/>
        </w:rPr>
        <w:lastRenderedPageBreak/>
        <w:t xml:space="preserve">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7"/>
      </w:r>
      <w:r>
        <w:rPr>
          <w:rFonts w:ascii="Verdana" w:eastAsia="Times New Roman" w:hAnsi="Verdana" w:cs="Open Sans"/>
          <w:lang w:eastAsia="es-CO"/>
        </w:rPr>
        <w:t>.</w:t>
      </w:r>
    </w:p>
    <w:p w14:paraId="1BD03C2F" w14:textId="5DEB5A55" w:rsidR="00CD5FB1" w:rsidRDefault="00CD5FB1" w:rsidP="00F2587B">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272C538A" w14:textId="77777777" w:rsidR="00A04D82" w:rsidRDefault="00A04D82" w:rsidP="00F2587B">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55455D3F" w14:textId="3E551D86" w:rsidR="00A04D82" w:rsidRDefault="00CD5FB1" w:rsidP="00F2587B">
      <w:pPr>
        <w:spacing w:after="120" w:line="276" w:lineRule="auto"/>
        <w:ind w:firstLine="709"/>
        <w:jc w:val="both"/>
        <w:rPr>
          <w:rFonts w:ascii="Verdana" w:hAnsi="Verdana"/>
        </w:rPr>
      </w:pPr>
      <w:r>
        <w:rPr>
          <w:rFonts w:ascii="Verdana" w:eastAsia="Times New Roman" w:hAnsi="Verdana" w:cs="Open Sans"/>
          <w:lang w:eastAsia="es-CO"/>
        </w:rPr>
        <w:t>Ahora bien</w:t>
      </w:r>
      <w:r w:rsidR="00A04D82" w:rsidRPr="006A640E">
        <w:rPr>
          <w:rFonts w:ascii="Verdana" w:hAnsi="Verdana"/>
        </w:rPr>
        <w:t>,</w:t>
      </w:r>
      <w:r>
        <w:rPr>
          <w:rFonts w:ascii="Verdana" w:hAnsi="Verdana"/>
        </w:rPr>
        <w:t xml:space="preserve"> el ordenamiento jurídico contempla una serie de</w:t>
      </w:r>
      <w:r w:rsidR="00A04D82" w:rsidRPr="006A640E">
        <w:rPr>
          <w:rFonts w:ascii="Verdana" w:hAnsi="Verdana"/>
        </w:rPr>
        <w:t xml:space="preserve"> excepciones a la restricción </w:t>
      </w:r>
      <w:r>
        <w:rPr>
          <w:rFonts w:ascii="Verdana" w:hAnsi="Verdana"/>
        </w:rPr>
        <w:t>de contratación directa</w:t>
      </w:r>
      <w:r w:rsidR="00A04D82" w:rsidRPr="006A640E">
        <w:rPr>
          <w:rFonts w:ascii="Verdana" w:hAnsi="Verdana"/>
        </w:rPr>
        <w:t xml:space="preserve"> prevista en la Ley de Garantías</w:t>
      </w:r>
      <w:r>
        <w:rPr>
          <w:rFonts w:ascii="Verdana" w:hAnsi="Verdana"/>
        </w:rPr>
        <w:t xml:space="preserve"> Electorales</w:t>
      </w:r>
      <w:r w:rsidR="00A04D82"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00A04D82" w:rsidRPr="006A640E">
        <w:rPr>
          <w:rFonts w:ascii="Verdana" w:hAnsi="Verdana"/>
        </w:rPr>
        <w:t xml:space="preserve"> se encuentran consagradas de manera taxativa en el inciso final del citado artículo 33 de la Ley 996 de 2005 en lo referente a: i) la defensa y seguridad del Estado; </w:t>
      </w:r>
      <w:proofErr w:type="spellStart"/>
      <w:r w:rsidR="00A04D82" w:rsidRPr="006A640E">
        <w:rPr>
          <w:rFonts w:ascii="Verdana" w:hAnsi="Verdana"/>
        </w:rPr>
        <w:t>ii</w:t>
      </w:r>
      <w:proofErr w:type="spellEnd"/>
      <w:r w:rsidR="00A04D82" w:rsidRPr="006A640E">
        <w:rPr>
          <w:rFonts w:ascii="Verdana" w:hAnsi="Verdana"/>
        </w:rPr>
        <w:t xml:space="preserve">) los contratos de crédito </w:t>
      </w:r>
      <w:r w:rsidR="00A04D82" w:rsidRPr="006A640E">
        <w:rPr>
          <w:rFonts w:ascii="Verdana" w:hAnsi="Verdana"/>
        </w:rPr>
        <w:lastRenderedPageBreak/>
        <w:t xml:space="preserve">público; </w:t>
      </w:r>
      <w:proofErr w:type="spellStart"/>
      <w:r w:rsidR="00A04D82" w:rsidRPr="006A640E">
        <w:rPr>
          <w:rFonts w:ascii="Verdana" w:hAnsi="Verdana"/>
        </w:rPr>
        <w:t>iii</w:t>
      </w:r>
      <w:proofErr w:type="spellEnd"/>
      <w:r w:rsidR="00A04D82" w:rsidRPr="006A640E">
        <w:rPr>
          <w:rFonts w:ascii="Verdana" w:hAnsi="Verdana"/>
        </w:rPr>
        <w:t xml:space="preserve">) los requeridos para cubrir las emergencias educativas, sanitarias y desastres; </w:t>
      </w:r>
      <w:proofErr w:type="spellStart"/>
      <w:r w:rsidR="00A04D82" w:rsidRPr="006A640E">
        <w:rPr>
          <w:rFonts w:ascii="Verdana" w:hAnsi="Verdana"/>
        </w:rPr>
        <w:t>iv</w:t>
      </w:r>
      <w:proofErr w:type="spellEnd"/>
      <w:r w:rsidR="00A04D82"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00A04D82" w:rsidRPr="00F2587B">
        <w:rPr>
          <w:rFonts w:ascii="Verdana" w:hAnsi="Verdana"/>
          <w:i/>
        </w:rPr>
        <w:t>los que deban realizar las entidades sanitarias y hospitalarias.</w:t>
      </w:r>
    </w:p>
    <w:p w14:paraId="61170CC1" w14:textId="77777777" w:rsidR="00A04D82" w:rsidRDefault="00A04D82" w:rsidP="00F2587B">
      <w:pPr>
        <w:spacing w:after="120" w:line="276" w:lineRule="auto"/>
        <w:ind w:firstLine="709"/>
        <w:jc w:val="both"/>
        <w:rPr>
          <w:rFonts w:ascii="Verdana" w:hAnsi="Verdana"/>
        </w:rPr>
      </w:pPr>
      <w:r>
        <w:rPr>
          <w:rFonts w:ascii="Verdana" w:hAnsi="Verdana"/>
        </w:rPr>
        <w:t xml:space="preserve">En relación con las mencionadas excepciones, el Consejo de Estado ha aclarado que con ellas la Ley </w:t>
      </w:r>
      <w:r w:rsidRPr="00EC4A33">
        <w:rPr>
          <w:rFonts w:ascii="Verdana" w:hAnsi="Verdana"/>
        </w:rPr>
        <w:t>“</w:t>
      </w:r>
      <w:r w:rsidRPr="0060146E">
        <w:rPr>
          <w:rFonts w:ascii="Verdana" w:hAnsi="Verdana"/>
        </w:rPr>
        <w:t>pretende evitar la inactividad o paralización de los servicios que presta el Estado para cumplir con sus cometidos. En este punto debe destacarse que la Sala ha puntualizado que las excepciones que contiene el inciso segundo del artículo 33 son taxativas y su interpretación debe ser de carácter restrictivo.</w:t>
      </w:r>
      <w:r w:rsidRPr="00EC4A33">
        <w:rPr>
          <w:rFonts w:ascii="Verdana" w:hAnsi="Verdana"/>
        </w:rPr>
        <w:t>”</w:t>
      </w:r>
      <w:r w:rsidRPr="00EC4A33">
        <w:rPr>
          <w:rStyle w:val="Refdenotaalpie"/>
          <w:rFonts w:ascii="Verdana" w:hAnsi="Verdana"/>
        </w:rPr>
        <w:footnoteReference w:id="8"/>
      </w:r>
    </w:p>
    <w:p w14:paraId="4C514445" w14:textId="4154F5C2" w:rsidR="00A04D82" w:rsidRDefault="00A04D82" w:rsidP="00F2587B">
      <w:pPr>
        <w:spacing w:after="120" w:line="276" w:lineRule="auto"/>
        <w:ind w:firstLine="709"/>
        <w:jc w:val="both"/>
      </w:pPr>
      <w:r w:rsidRPr="004B0BDE">
        <w:rPr>
          <w:rFonts w:ascii="Verdana" w:eastAsia="Calibri" w:hAnsi="Verdana" w:cs="Arial"/>
        </w:rPr>
        <w:t xml:space="preserve">Precisado lo anterior, en relación con el problema jurídico planteado </w:t>
      </w:r>
      <w:r>
        <w:rPr>
          <w:rFonts w:ascii="Verdana" w:eastAsia="Calibri" w:hAnsi="Verdana" w:cs="Arial"/>
        </w:rPr>
        <w:t xml:space="preserve">es pertinente analizar la excepción contenida en el numeral quinto, relacionado con la contratación de las entidades sanitarias y hospitalarias, para determinar si la excepción a la restricción de contratación directa es aplicable a los contratos suscritos por las Empresas Sociales del Estado – </w:t>
      </w:r>
      <w:r w:rsidRPr="0060146E">
        <w:rPr>
          <w:rFonts w:ascii="Verdana" w:eastAsia="Calibri" w:hAnsi="Verdana" w:cs="Arial"/>
        </w:rPr>
        <w:t xml:space="preserve">ESE-. </w:t>
      </w:r>
      <w:r w:rsidRPr="0060146E">
        <w:rPr>
          <w:rFonts w:ascii="Verdana" w:hAnsi="Verdana"/>
        </w:rPr>
        <w:t xml:space="preserve">En este sentido, el artículo 94 de la Ley 100 de 1993 señaló que, </w:t>
      </w:r>
      <w:r w:rsidR="00476009">
        <w:rPr>
          <w:rFonts w:ascii="Verdana" w:hAnsi="Verdana"/>
        </w:rPr>
        <w:t>“</w:t>
      </w:r>
      <w:r w:rsidRPr="0060146E">
        <w:rPr>
          <w:rFonts w:ascii="Verdana" w:hAnsi="Verdana"/>
        </w:rPr>
        <w:t>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00476009">
        <w:rPr>
          <w:rFonts w:ascii="Verdana" w:hAnsi="Verdana"/>
        </w:rPr>
        <w:t>”</w:t>
      </w:r>
      <w:r w:rsidRPr="0060146E">
        <w:rPr>
          <w:rFonts w:ascii="Verdana" w:hAnsi="Verdana"/>
        </w:rPr>
        <w:t>.</w:t>
      </w:r>
    </w:p>
    <w:p w14:paraId="64B4E414" w14:textId="77777777" w:rsidR="00A04D82" w:rsidRPr="0060146E" w:rsidRDefault="00A04D82" w:rsidP="00F2587B">
      <w:pPr>
        <w:spacing w:after="0" w:line="276" w:lineRule="auto"/>
        <w:ind w:firstLine="709"/>
        <w:jc w:val="both"/>
        <w:rPr>
          <w:rFonts w:ascii="Verdana" w:hAnsi="Verdana"/>
        </w:rPr>
      </w:pPr>
      <w:r w:rsidRPr="0060146E">
        <w:rPr>
          <w:rFonts w:ascii="Verdana" w:hAnsi="Verdana"/>
        </w:rPr>
        <w:t>Por su parte, el Consejo de Estado</w:t>
      </w:r>
      <w:r>
        <w:rPr>
          <w:rStyle w:val="Refdenotaalpie"/>
          <w:rFonts w:ascii="Verdana" w:hAnsi="Verdana"/>
        </w:rPr>
        <w:footnoteReference w:id="9"/>
      </w:r>
      <w:r w:rsidRPr="0060146E">
        <w:rPr>
          <w:rFonts w:ascii="Verdana" w:hAnsi="Verdana"/>
        </w:rPr>
        <w:t xml:space="preserve"> sobre esta excepción ha mencionado que:</w:t>
      </w:r>
    </w:p>
    <w:p w14:paraId="09B6883E" w14:textId="77777777" w:rsidR="00476009" w:rsidRDefault="00476009" w:rsidP="00F2587B">
      <w:pPr>
        <w:spacing w:after="0" w:line="276" w:lineRule="auto"/>
        <w:ind w:left="709" w:right="758"/>
        <w:jc w:val="both"/>
        <w:rPr>
          <w:rFonts w:ascii="Verdana" w:hAnsi="Verdana"/>
          <w:sz w:val="20"/>
          <w:szCs w:val="20"/>
        </w:rPr>
      </w:pPr>
    </w:p>
    <w:p w14:paraId="0A9ECB61" w14:textId="5A090E2B" w:rsidR="00A04D82" w:rsidRPr="0060146E" w:rsidRDefault="00A04D82" w:rsidP="00476009">
      <w:pPr>
        <w:spacing w:after="0" w:line="240" w:lineRule="auto"/>
        <w:ind w:left="709" w:right="709"/>
        <w:jc w:val="both"/>
        <w:rPr>
          <w:rFonts w:ascii="Verdana" w:hAnsi="Verdana"/>
          <w:sz w:val="20"/>
          <w:szCs w:val="20"/>
        </w:rPr>
      </w:pPr>
      <w:r w:rsidRPr="0060146E">
        <w:rPr>
          <w:rFonts w:ascii="Verdana" w:hAnsi="Verdana"/>
          <w:sz w:val="20"/>
          <w:szCs w:val="20"/>
        </w:rPr>
        <w:t xml:space="preserve">En virtud a la conceptualización que contiene el anterior precepto, es indudable que las entidades que presten servicios tendientes a preservar la salud pública o humana deben ser consideradas como entidades sanitarias y en principio estarían exceptuadas de la prohibición de contratación directa. </w:t>
      </w:r>
    </w:p>
    <w:p w14:paraId="28717278" w14:textId="77777777" w:rsidR="00476009" w:rsidRPr="0060146E" w:rsidRDefault="00476009" w:rsidP="00F2587B">
      <w:pPr>
        <w:spacing w:after="0" w:line="240" w:lineRule="auto"/>
        <w:ind w:left="709" w:right="709"/>
        <w:jc w:val="both"/>
        <w:rPr>
          <w:rFonts w:ascii="Verdana" w:hAnsi="Verdana"/>
          <w:sz w:val="20"/>
          <w:szCs w:val="20"/>
        </w:rPr>
      </w:pPr>
    </w:p>
    <w:p w14:paraId="08ED023D" w14:textId="77777777" w:rsidR="00A04D82" w:rsidRPr="0060146E" w:rsidRDefault="00A04D82" w:rsidP="00F2587B">
      <w:pPr>
        <w:spacing w:after="0" w:line="240" w:lineRule="auto"/>
        <w:ind w:left="709" w:right="709"/>
        <w:jc w:val="both"/>
        <w:rPr>
          <w:rFonts w:ascii="Verdana" w:hAnsi="Verdana"/>
          <w:sz w:val="20"/>
          <w:szCs w:val="20"/>
        </w:rPr>
      </w:pPr>
      <w:r w:rsidRPr="0060146E">
        <w:rPr>
          <w:rFonts w:ascii="Verdana" w:hAnsi="Verdana"/>
          <w:sz w:val="20"/>
          <w:szCs w:val="20"/>
        </w:rPr>
        <w:lastRenderedPageBreak/>
        <w:t xml:space="preserve">No obstante, en lo que respecta a la habilitación de las entidades sanitarias y hospitalarias para celebrar contratación directa, esta Sala en el Concepto 1839 de 26 de julio de 2007 fijó la hermenéutica respecto de dicha excepción: </w:t>
      </w:r>
    </w:p>
    <w:p w14:paraId="194815B5" w14:textId="77777777" w:rsidR="00476009" w:rsidRDefault="00476009" w:rsidP="00476009">
      <w:pPr>
        <w:spacing w:after="0" w:line="240" w:lineRule="auto"/>
        <w:ind w:left="709" w:right="709"/>
        <w:jc w:val="both"/>
        <w:rPr>
          <w:rFonts w:ascii="Verdana" w:hAnsi="Verdana"/>
          <w:i/>
          <w:iCs/>
          <w:sz w:val="20"/>
          <w:szCs w:val="20"/>
        </w:rPr>
      </w:pPr>
    </w:p>
    <w:p w14:paraId="077B81E8" w14:textId="7D7570EE" w:rsidR="00A04D82" w:rsidRPr="0060146E" w:rsidRDefault="00A04D82" w:rsidP="00476009">
      <w:pPr>
        <w:spacing w:after="0" w:line="240" w:lineRule="auto"/>
        <w:ind w:left="709" w:right="709"/>
        <w:jc w:val="both"/>
        <w:rPr>
          <w:rFonts w:ascii="Verdana" w:hAnsi="Verdana"/>
          <w:sz w:val="20"/>
          <w:szCs w:val="20"/>
        </w:rPr>
      </w:pPr>
      <w:r w:rsidRPr="0060146E">
        <w:rPr>
          <w:rFonts w:ascii="Verdana" w:hAnsi="Verdana"/>
          <w:i/>
          <w:iCs/>
          <w:sz w:val="20"/>
          <w:szCs w:val="20"/>
        </w:rPr>
        <w:t xml:space="preserve">“… </w:t>
      </w:r>
      <w:r w:rsidRPr="0060146E">
        <w:rPr>
          <w:rFonts w:ascii="Verdana" w:hAnsi="Verdana"/>
          <w:i/>
          <w:iCs/>
          <w:sz w:val="20"/>
          <w:szCs w:val="20"/>
          <w:u w:val="single"/>
        </w:rPr>
        <w:t xml:space="preserve">la excepción que habilita las entidades sanitarias y hospitalarias </w:t>
      </w:r>
      <w:r w:rsidRPr="0060146E">
        <w:rPr>
          <w:rFonts w:ascii="Verdana" w:hAnsi="Verdana"/>
          <w:i/>
          <w:iCs/>
          <w:sz w:val="20"/>
          <w:szCs w:val="20"/>
        </w:rPr>
        <w:t>a vincular personal a la nómina estatal</w:t>
      </w:r>
      <w:r w:rsidRPr="0060146E">
        <w:rPr>
          <w:rFonts w:ascii="Verdana" w:hAnsi="Verdana"/>
          <w:i/>
          <w:iCs/>
          <w:sz w:val="20"/>
          <w:szCs w:val="20"/>
          <w:u w:val="single"/>
        </w:rPr>
        <w:t xml:space="preserve"> y celebrar, durante los cuatro meses anteriores a la elección, contratos directamente, debe entenderse circunscrita a la necesidad de conjurar situaciones de emergencia que puedan afectar la salubridad pública como elemento del orden público y social</w:t>
      </w:r>
      <w:r w:rsidRPr="0060146E">
        <w:rPr>
          <w:rFonts w:ascii="Verdana" w:hAnsi="Verdana"/>
          <w:i/>
          <w:iCs/>
          <w:sz w:val="20"/>
          <w:szCs w:val="20"/>
        </w:rPr>
        <w:t>, por ejemplo, “la adquisición de un insumo esencial para la prestación de un servicio (…) que mientras se adelanta el trámite de la licitación pública (…)”.3 Así lo entendió la Corte Constitucional que al estudiar la constitucionalidad de estas normas, manifestó que las excepciones de limitación protegen “diversos tipos de urgencias de defensa, salud, educación, infraestructura vial y de servicios públicos y ecológicas” y declaró inexequible la expresión “adicionalmente se exceptúan aquellos gastos inaplazables e imprescindibles que afecten el normal funcionamiento de la administración”, por ser demasiado amplia e indeterminada y permitir incluir numerosas excepciones que desdibujarían la prohibición original.”</w:t>
      </w:r>
      <w:r w:rsidRPr="0060146E">
        <w:rPr>
          <w:rFonts w:ascii="Verdana" w:hAnsi="Verdana"/>
          <w:sz w:val="20"/>
          <w:szCs w:val="20"/>
        </w:rPr>
        <w:t xml:space="preserve"> (Subrayas fuera de texto original) </w:t>
      </w:r>
    </w:p>
    <w:p w14:paraId="1D7A52CC" w14:textId="77777777" w:rsidR="00476009" w:rsidRPr="0060146E" w:rsidRDefault="00476009" w:rsidP="00F2587B">
      <w:pPr>
        <w:spacing w:after="0" w:line="240" w:lineRule="auto"/>
        <w:ind w:left="709" w:right="709"/>
        <w:jc w:val="both"/>
        <w:rPr>
          <w:rFonts w:ascii="Verdana" w:hAnsi="Verdana"/>
          <w:sz w:val="20"/>
          <w:szCs w:val="20"/>
        </w:rPr>
      </w:pPr>
    </w:p>
    <w:p w14:paraId="2833470C" w14:textId="78C72B28" w:rsidR="00A04D82" w:rsidRPr="0060146E" w:rsidRDefault="00A04D82" w:rsidP="00476009">
      <w:pPr>
        <w:spacing w:after="0" w:line="240" w:lineRule="auto"/>
        <w:ind w:left="709" w:right="709"/>
        <w:jc w:val="both"/>
        <w:rPr>
          <w:rFonts w:ascii="Verdana" w:hAnsi="Verdana"/>
          <w:sz w:val="20"/>
          <w:szCs w:val="20"/>
        </w:rPr>
      </w:pPr>
      <w:r w:rsidRPr="0060146E">
        <w:rPr>
          <w:rFonts w:ascii="Verdana" w:hAnsi="Verdana"/>
          <w:sz w:val="20"/>
          <w:szCs w:val="20"/>
        </w:rPr>
        <w:t xml:space="preserve">Así las cosas, la posibilidad de contratación directa por excepción por parte de las entidades hospitalarias de carácter público, debe ser entendida solo en aquellos eventos en que ocurran emergencias sanitarias o de salubridad que requieran la atención o prestación inmediata y oportuna de los servicios de salud; en otros términos, las excepciones a la limitación de contratación propugnan porque el Estado a través de su red hospitalaria no vea limitado su actuar en la prestación de los servicios de salud en eventos catastróficos o de urgencia que se presenten. </w:t>
      </w:r>
    </w:p>
    <w:p w14:paraId="0BCF8F93" w14:textId="77777777" w:rsidR="00476009" w:rsidRPr="0060146E" w:rsidRDefault="00476009" w:rsidP="00F2587B">
      <w:pPr>
        <w:spacing w:after="0" w:line="240" w:lineRule="auto"/>
        <w:ind w:left="709" w:right="709"/>
        <w:jc w:val="both"/>
        <w:rPr>
          <w:rFonts w:ascii="Verdana" w:hAnsi="Verdana"/>
          <w:sz w:val="20"/>
          <w:szCs w:val="20"/>
        </w:rPr>
      </w:pPr>
    </w:p>
    <w:p w14:paraId="52395FD0" w14:textId="77777777" w:rsidR="00A04D82" w:rsidRPr="0060146E" w:rsidRDefault="00A04D82" w:rsidP="00F2587B">
      <w:pPr>
        <w:spacing w:after="0" w:line="240" w:lineRule="auto"/>
        <w:ind w:left="709" w:right="709"/>
        <w:jc w:val="both"/>
        <w:rPr>
          <w:rFonts w:ascii="Verdana" w:eastAsia="Calibri" w:hAnsi="Verdana" w:cs="Arial"/>
          <w:sz w:val="20"/>
          <w:szCs w:val="20"/>
        </w:rPr>
      </w:pPr>
      <w:r w:rsidRPr="0060146E">
        <w:rPr>
          <w:rFonts w:ascii="Verdana" w:hAnsi="Verdana"/>
          <w:sz w:val="20"/>
          <w:szCs w:val="20"/>
        </w:rPr>
        <w:t>Por tanto, las anteriores salvedades no pueden extenderse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p>
    <w:p w14:paraId="7E1DA133" w14:textId="77777777" w:rsidR="00A04D82" w:rsidRDefault="00A04D82" w:rsidP="00A04D82">
      <w:pPr>
        <w:spacing w:after="0" w:line="276" w:lineRule="auto"/>
        <w:jc w:val="both"/>
        <w:rPr>
          <w:rFonts w:ascii="Verdana" w:eastAsia="Calibri" w:hAnsi="Verdana" w:cs="Arial"/>
        </w:rPr>
      </w:pPr>
    </w:p>
    <w:p w14:paraId="51BE1E48" w14:textId="77777777" w:rsidR="00A04D82" w:rsidRPr="0060146E" w:rsidRDefault="00A04D82" w:rsidP="00F2587B">
      <w:pPr>
        <w:spacing w:after="0" w:line="276" w:lineRule="auto"/>
        <w:ind w:firstLine="709"/>
        <w:jc w:val="both"/>
        <w:rPr>
          <w:rFonts w:ascii="Verdana" w:hAnsi="Verdana"/>
        </w:rPr>
      </w:pPr>
      <w:r w:rsidRPr="0060146E">
        <w:rPr>
          <w:rFonts w:ascii="Verdana" w:hAnsi="Verdana"/>
        </w:rPr>
        <w:t xml:space="preserve">Adicionalmente, el Ministerio de Salud y Protección Social como cabeza del sector salud del orden nacional, en concepto del 14 de marzo de 2006, identificado con radicación No. 38644, se pronunció sobre el alcance de la regla de excepción establecida en el inciso 2 del artículo 33 de la Ley de Garantías Electorales, frente a las entidades sanitarias y hospitalarias, así: </w:t>
      </w:r>
    </w:p>
    <w:p w14:paraId="1839BDA1" w14:textId="77777777" w:rsidR="00476009" w:rsidRDefault="00476009" w:rsidP="00A04D82">
      <w:pPr>
        <w:spacing w:after="0" w:line="276" w:lineRule="auto"/>
        <w:ind w:left="708" w:right="758"/>
        <w:jc w:val="both"/>
        <w:rPr>
          <w:rFonts w:ascii="Verdana" w:hAnsi="Verdana"/>
          <w:sz w:val="20"/>
          <w:szCs w:val="20"/>
        </w:rPr>
      </w:pPr>
    </w:p>
    <w:p w14:paraId="059C9AA2" w14:textId="7A2C8CC5" w:rsidR="00A04D82" w:rsidRPr="0060146E" w:rsidRDefault="00A04D82" w:rsidP="00F2587B">
      <w:pPr>
        <w:spacing w:after="0" w:line="240" w:lineRule="auto"/>
        <w:ind w:left="709" w:right="709"/>
        <w:jc w:val="both"/>
        <w:rPr>
          <w:rFonts w:ascii="Verdana" w:hAnsi="Verdana"/>
          <w:sz w:val="20"/>
          <w:szCs w:val="20"/>
        </w:rPr>
      </w:pPr>
      <w:r w:rsidRPr="0060146E">
        <w:rPr>
          <w:rFonts w:ascii="Verdana" w:hAnsi="Verdana"/>
          <w:sz w:val="20"/>
          <w:szCs w:val="20"/>
        </w:rPr>
        <w:lastRenderedPageBreak/>
        <w:t xml:space="preserve">[…] se encuentran cubiertos por la excepción contemplada en el inciso 2 del artículo 33 de la Ley de Garantías Electorales, las entidades hospitalarias que a la luz de las normas vigentes no son otras distintas que las Empresas Sociales del estado y todas aquellas instituciones públicas </w:t>
      </w:r>
      <w:proofErr w:type="gramStart"/>
      <w:r w:rsidRPr="0060146E">
        <w:rPr>
          <w:rFonts w:ascii="Verdana" w:hAnsi="Verdana"/>
          <w:sz w:val="20"/>
          <w:szCs w:val="20"/>
        </w:rPr>
        <w:t>que</w:t>
      </w:r>
      <w:proofErr w:type="gramEnd"/>
      <w:r w:rsidRPr="0060146E">
        <w:rPr>
          <w:rFonts w:ascii="Verdana" w:hAnsi="Verdana"/>
          <w:sz w:val="20"/>
          <w:szCs w:val="20"/>
        </w:rPr>
        <w:t xml:space="preserve"> a pesar de no haberse transformado en Empresas Sociales del Estado, prestan un servicio de salud directo sobre el usuario en su carácter general de entidad hospitalaria […]. </w:t>
      </w:r>
    </w:p>
    <w:p w14:paraId="1A21661E" w14:textId="77777777" w:rsidR="00476009" w:rsidRPr="0060146E" w:rsidRDefault="00476009" w:rsidP="00A04D82">
      <w:pPr>
        <w:spacing w:after="0" w:line="276" w:lineRule="auto"/>
        <w:ind w:left="708" w:right="758"/>
        <w:jc w:val="both"/>
        <w:rPr>
          <w:rFonts w:ascii="Verdana" w:hAnsi="Verdana"/>
          <w:sz w:val="20"/>
          <w:szCs w:val="20"/>
        </w:rPr>
      </w:pPr>
    </w:p>
    <w:p w14:paraId="63E4F099" w14:textId="77777777" w:rsidR="00A04D82" w:rsidRPr="0060146E" w:rsidRDefault="00A04D82" w:rsidP="00F2587B">
      <w:pPr>
        <w:spacing w:after="120" w:line="276" w:lineRule="auto"/>
        <w:ind w:firstLine="357"/>
        <w:jc w:val="both"/>
        <w:rPr>
          <w:rFonts w:ascii="Verdana" w:hAnsi="Verdana"/>
        </w:rPr>
      </w:pPr>
      <w:r w:rsidRPr="0060146E">
        <w:rPr>
          <w:rFonts w:ascii="Verdana" w:hAnsi="Verdana"/>
        </w:rPr>
        <w:t xml:space="preserve">Del aparte trascrito se encuentra que, para la autoridad administrativa del sector salud, las Empresas Sociales del Estado son las entidades hospitalarias de que trata la excepción a la prohibición establecida en el artículo 33 de la ley de Garantías Electorales. </w:t>
      </w:r>
    </w:p>
    <w:p w14:paraId="60EEFCD0" w14:textId="77777777" w:rsidR="00A04D82" w:rsidRDefault="00A04D82" w:rsidP="00A04D82">
      <w:pPr>
        <w:spacing w:after="0" w:line="276" w:lineRule="auto"/>
        <w:ind w:firstLine="708"/>
        <w:jc w:val="both"/>
        <w:rPr>
          <w:rFonts w:ascii="Verdana" w:hAnsi="Verdana"/>
        </w:rPr>
      </w:pPr>
      <w:r w:rsidRPr="0060146E">
        <w:rPr>
          <w:rFonts w:ascii="Verdana" w:hAnsi="Verdana"/>
        </w:rPr>
        <w:t xml:space="preserve">Por tanto, </w:t>
      </w:r>
      <w:r w:rsidRPr="24990E93">
        <w:rPr>
          <w:rFonts w:ascii="Verdana" w:hAnsi="Verdana"/>
        </w:rPr>
        <w:t xml:space="preserve">es deber de </w:t>
      </w:r>
      <w:r w:rsidRPr="0060146E">
        <w:rPr>
          <w:rFonts w:ascii="Verdana" w:hAnsi="Verdana"/>
        </w:rPr>
        <w:t xml:space="preserve">las Empresas Sociales del Estado </w:t>
      </w:r>
      <w:r w:rsidRPr="24990E93">
        <w:rPr>
          <w:rFonts w:ascii="Verdana" w:hAnsi="Verdana"/>
        </w:rPr>
        <w:t xml:space="preserve">verificar si </w:t>
      </w:r>
      <w:r w:rsidRPr="0060146E">
        <w:rPr>
          <w:rFonts w:ascii="Verdana" w:hAnsi="Verdana"/>
        </w:rPr>
        <w:t>podrían suscribir contratos bajo la modalidad de contratación directa bajo la mencionada excepción al considerarse entidades hospitalarias y sanitarias. En todo caso, es responsabilidad del respectivo ente del Estado examinar en cada</w:t>
      </w:r>
      <w:r w:rsidRPr="006A640E">
        <w:rPr>
          <w:rFonts w:ascii="Verdana" w:hAnsi="Verdana"/>
        </w:rPr>
        <w:t xml:space="preserve"> caso la naturaleza de las actividades que adelanta y determinar si las mismas se enmarcan en alguna de las mencionadas excepciones, de manera que se le permita realizar la contratación que necesite en forma directa.</w:t>
      </w:r>
    </w:p>
    <w:p w14:paraId="4B65B298" w14:textId="77777777" w:rsidR="00A04D82" w:rsidRDefault="00A04D82" w:rsidP="00A04D82">
      <w:pPr>
        <w:spacing w:after="0" w:line="276" w:lineRule="auto"/>
        <w:jc w:val="both"/>
        <w:rPr>
          <w:rFonts w:ascii="Verdana" w:hAnsi="Verdana"/>
        </w:rPr>
      </w:pPr>
    </w:p>
    <w:p w14:paraId="178154CD" w14:textId="77777777" w:rsidR="00A04D82" w:rsidRPr="00F2587B" w:rsidRDefault="00A04D82" w:rsidP="00A04D82">
      <w:pPr>
        <w:pStyle w:val="Prrafodelista"/>
        <w:numPr>
          <w:ilvl w:val="0"/>
          <w:numId w:val="1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demás elecciones </w:t>
      </w:r>
    </w:p>
    <w:p w14:paraId="579EFF4F" w14:textId="77777777" w:rsidR="00A04D82" w:rsidRDefault="00A04D82" w:rsidP="00F2587B">
      <w:pPr>
        <w:spacing w:after="0" w:line="276" w:lineRule="auto"/>
        <w:jc w:val="both"/>
        <w:rPr>
          <w:rFonts w:ascii="Verdana" w:eastAsia="Times New Roman" w:hAnsi="Verdana" w:cs="Open Sans"/>
          <w:lang w:eastAsia="es-CO"/>
        </w:rPr>
      </w:pPr>
    </w:p>
    <w:p w14:paraId="09B55471" w14:textId="77777777" w:rsidR="00A04D82" w:rsidRPr="00D61E29" w:rsidRDefault="00A04D82" w:rsidP="00F2587B">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0C752542" w14:textId="77777777" w:rsidR="00A04D82" w:rsidRDefault="00A04D82" w:rsidP="00F2587B">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0522FCEB" w14:textId="3BD8A7E0" w:rsidR="00A04D82" w:rsidRPr="00D61E29" w:rsidRDefault="00A04D82" w:rsidP="00A04D82">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F95E9A0" w14:textId="77777777" w:rsidR="002A24B3" w:rsidRPr="00D61E29" w:rsidRDefault="002A24B3" w:rsidP="00CA6EE9">
      <w:pPr>
        <w:pStyle w:val="NormalWeb"/>
        <w:spacing w:before="0" w:beforeAutospacing="0" w:after="0" w:afterAutospacing="0"/>
        <w:ind w:left="709" w:right="709"/>
        <w:jc w:val="both"/>
        <w:rPr>
          <w:rFonts w:ascii="Verdana" w:hAnsi="Verdana" w:cs="Open Sans"/>
          <w:sz w:val="20"/>
          <w:szCs w:val="20"/>
        </w:rPr>
      </w:pPr>
    </w:p>
    <w:p w14:paraId="2A4D6FBB" w14:textId="77777777" w:rsidR="00A04D82" w:rsidRPr="00D61E29" w:rsidRDefault="00A04D82" w:rsidP="00A04D82">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6DBD62FF" w14:textId="77777777" w:rsidR="002A24B3" w:rsidRDefault="002A24B3">
      <w:pPr>
        <w:pStyle w:val="NormalWeb"/>
        <w:spacing w:before="0" w:beforeAutospacing="0" w:after="0" w:afterAutospacing="0"/>
        <w:ind w:left="709" w:right="709"/>
        <w:jc w:val="both"/>
        <w:rPr>
          <w:rFonts w:ascii="Verdana" w:hAnsi="Verdana" w:cs="Open Sans"/>
          <w:sz w:val="20"/>
          <w:szCs w:val="20"/>
        </w:rPr>
      </w:pPr>
    </w:p>
    <w:p w14:paraId="77C420C9" w14:textId="45306C73" w:rsidR="00A04D82" w:rsidRPr="00D61E29" w:rsidRDefault="00A04D82" w:rsidP="00A04D82">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lastRenderedPageBreak/>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2F6D3EB7" w14:textId="77777777" w:rsidR="002A24B3" w:rsidRDefault="002A24B3">
      <w:pPr>
        <w:pStyle w:val="NormalWeb"/>
        <w:spacing w:before="0" w:beforeAutospacing="0" w:after="0" w:afterAutospacing="0"/>
        <w:ind w:left="709" w:right="709"/>
        <w:jc w:val="both"/>
        <w:rPr>
          <w:rFonts w:ascii="Verdana" w:hAnsi="Verdana" w:cs="Open Sans"/>
          <w:sz w:val="20"/>
          <w:szCs w:val="20"/>
        </w:rPr>
      </w:pPr>
    </w:p>
    <w:p w14:paraId="3A2AC6A4" w14:textId="3839CEFB" w:rsidR="00A04D82" w:rsidRPr="00D61E29" w:rsidRDefault="00A04D82" w:rsidP="00A04D82">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sidR="002A24B3">
        <w:rPr>
          <w:rFonts w:ascii="Verdana" w:hAnsi="Verdana" w:cs="Open Sans"/>
          <w:sz w:val="20"/>
          <w:szCs w:val="20"/>
        </w:rPr>
        <w:t>”</w:t>
      </w:r>
      <w:r w:rsidRPr="00D61E29">
        <w:rPr>
          <w:rFonts w:ascii="Verdana" w:hAnsi="Verdana" w:cs="Open Sans"/>
          <w:sz w:val="20"/>
          <w:szCs w:val="20"/>
        </w:rPr>
        <w:t>.</w:t>
      </w:r>
    </w:p>
    <w:p w14:paraId="161352BA" w14:textId="77777777" w:rsidR="00A04D82" w:rsidRDefault="00A04D82" w:rsidP="00A04D82">
      <w:pPr>
        <w:widowControl w:val="0"/>
        <w:autoSpaceDE w:val="0"/>
        <w:autoSpaceDN w:val="0"/>
        <w:spacing w:after="0" w:line="276" w:lineRule="auto"/>
        <w:ind w:right="113"/>
        <w:contextualSpacing/>
        <w:jc w:val="both"/>
      </w:pPr>
    </w:p>
    <w:p w14:paraId="7E59788B" w14:textId="77777777" w:rsidR="00A04D82" w:rsidRPr="00775AB1" w:rsidRDefault="00A04D82" w:rsidP="00A04D82">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49725792" w14:textId="77777777" w:rsidR="00A04D82" w:rsidRPr="00D61E29" w:rsidRDefault="00A04D82" w:rsidP="00A04D82">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4296453F" w14:textId="77777777" w:rsidR="00A04D82" w:rsidRPr="00D61E29" w:rsidRDefault="00A04D82" w:rsidP="00A04D8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9EB4720" w14:textId="77777777" w:rsidR="00A04D82" w:rsidRPr="00D61E29" w:rsidRDefault="00A04D82" w:rsidP="00A04D82">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w:t>
      </w:r>
      <w:r w:rsidRPr="00D61E29">
        <w:rPr>
          <w:rFonts w:ascii="Verdana" w:eastAsia="Arial" w:hAnsi="Verdana" w:cs="Arial"/>
          <w:sz w:val="20"/>
          <w:szCs w:val="20"/>
          <w:lang w:eastAsia="es-ES" w:bidi="es-ES"/>
        </w:rPr>
        <w:lastRenderedPageBreak/>
        <w:t>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0"/>
      </w:r>
    </w:p>
    <w:p w14:paraId="721443CE" w14:textId="77777777" w:rsidR="00A04D82" w:rsidRPr="00D61E29" w:rsidRDefault="00A04D82" w:rsidP="00F2587B">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25B8B038" w14:textId="3F58FDF5" w:rsidR="00A04D82" w:rsidRPr="00947721" w:rsidRDefault="00A04D82" w:rsidP="00F2587B">
      <w:pPr>
        <w:autoSpaceDE w:val="0"/>
        <w:autoSpaceDN w:val="0"/>
        <w:adjustRightInd w:val="0"/>
        <w:spacing w:after="120" w:line="240" w:lineRule="auto"/>
        <w:ind w:firstLine="708"/>
        <w:jc w:val="both"/>
        <w:rPr>
          <w:rFonts w:ascii="Verdana" w:hAnsi="Verdana" w:cs="BCDHEE+Verdana"/>
          <w:color w:val="000000"/>
        </w:rPr>
      </w:pPr>
      <w:r w:rsidRPr="00947721">
        <w:rPr>
          <w:rFonts w:ascii="Verdana" w:hAnsi="Verdana" w:cs="BCDHEE+Verdana"/>
          <w:color w:val="000000"/>
        </w:rPr>
        <w:t>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w:t>
      </w:r>
      <w:r w:rsidR="002A24B3">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sidR="002A24B3">
        <w:rPr>
          <w:rFonts w:ascii="Verdana" w:hAnsi="Verdana" w:cs="BCDHEE+Verdana"/>
          <w:color w:val="000000"/>
        </w:rPr>
        <w:t>ó</w:t>
      </w:r>
      <w:r w:rsidRPr="00947721">
        <w:rPr>
          <w:rFonts w:ascii="Verdana" w:hAnsi="Verdana" w:cs="BCDHEE+Verdana"/>
          <w:color w:val="000000"/>
        </w:rPr>
        <w:t xml:space="preserve"> el 8 de noviembre de 2025, es decir, </w:t>
      </w:r>
      <w:r w:rsidR="002A24B3">
        <w:rPr>
          <w:rFonts w:ascii="Verdana" w:hAnsi="Verdana" w:cs="BCDHEE+Verdana"/>
          <w:color w:val="000000"/>
        </w:rPr>
        <w:t>cuatro (</w:t>
      </w:r>
      <w:r w:rsidRPr="00947721">
        <w:rPr>
          <w:rFonts w:ascii="Verdana" w:hAnsi="Verdana" w:cs="BCDHEE+Verdana"/>
          <w:color w:val="000000"/>
        </w:rPr>
        <w:t>4</w:t>
      </w:r>
      <w:r w:rsidR="002A24B3">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394D16CE" w14:textId="26FEDB47" w:rsidR="00A04D82" w:rsidRPr="005D7599" w:rsidRDefault="00A04D82" w:rsidP="00A04D82">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sidR="002A24B3">
        <w:rPr>
          <w:rFonts w:ascii="Verdana" w:hAnsi="Verdana" w:cs="BCDHEE+Verdana"/>
          <w:color w:val="000000"/>
        </w:rPr>
        <w:t>cuatro (</w:t>
      </w:r>
      <w:r w:rsidRPr="00DE5508">
        <w:rPr>
          <w:rFonts w:ascii="Verdana" w:hAnsi="Verdana" w:cs="BCDHEE+Verdana"/>
          <w:color w:val="000000"/>
        </w:rPr>
        <w:t>4</w:t>
      </w:r>
      <w:r w:rsidR="002A24B3">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5D70BB18" w14:textId="77777777" w:rsidR="00A04D82" w:rsidRPr="00E61635" w:rsidRDefault="00A04D82" w:rsidP="00A04D82">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w:t>
      </w:r>
      <w:r w:rsidRPr="00E61635">
        <w:rPr>
          <w:rFonts w:ascii="Verdana" w:hAnsi="Verdana"/>
        </w:rPr>
        <w:lastRenderedPageBreak/>
        <w:t>atribución de Colombia Compra Eficiente validar sus actuaciones.</w:t>
      </w:r>
    </w:p>
    <w:p w14:paraId="48C674E4" w14:textId="77777777" w:rsidR="00A04D82" w:rsidRDefault="00A04D82" w:rsidP="00A04D82">
      <w:pPr>
        <w:widowControl w:val="0"/>
        <w:autoSpaceDE w:val="0"/>
        <w:autoSpaceDN w:val="0"/>
        <w:spacing w:after="0" w:line="276" w:lineRule="auto"/>
        <w:jc w:val="both"/>
        <w:rPr>
          <w:rFonts w:ascii="Verdana" w:hAnsi="Verdana" w:cs="Arial"/>
        </w:rPr>
      </w:pPr>
    </w:p>
    <w:p w14:paraId="007F1B42" w14:textId="77777777" w:rsidR="00A04D82" w:rsidRDefault="00A04D82" w:rsidP="00A04D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274570F2" w14:textId="77777777" w:rsidR="00A04D82" w:rsidRDefault="00A04D82" w:rsidP="00A04D82">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04D82" w14:paraId="0F09B74A" w14:textId="77777777" w:rsidTr="00B158C3">
        <w:trPr>
          <w:trHeight w:val="870"/>
        </w:trPr>
        <w:tc>
          <w:tcPr>
            <w:tcW w:w="8647" w:type="dxa"/>
            <w:tcBorders>
              <w:top w:val="dotted" w:sz="4" w:space="0" w:color="auto"/>
              <w:left w:val="dotted" w:sz="4" w:space="0" w:color="auto"/>
              <w:bottom w:val="dotted" w:sz="4" w:space="0" w:color="auto"/>
              <w:right w:val="dotted" w:sz="4" w:space="0" w:color="auto"/>
            </w:tcBorders>
            <w:hideMark/>
          </w:tcPr>
          <w:p w14:paraId="2E0AAFB6" w14:textId="77777777" w:rsidR="00A04D82" w:rsidRPr="00B3605D" w:rsidRDefault="00A04D82" w:rsidP="00B158C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6B039625" w14:textId="77777777" w:rsidR="00A04D82" w:rsidRPr="00274DBA" w:rsidRDefault="00A04D82" w:rsidP="00B158C3">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03A3F468" w14:textId="77777777" w:rsidR="00A04D82" w:rsidRDefault="00A04D82" w:rsidP="00B158C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43E3E551" w14:textId="77777777" w:rsidR="00A04D82" w:rsidRPr="0060146E" w:rsidRDefault="00A04D82" w:rsidP="00B158C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0146E">
              <w:rPr>
                <w:rFonts w:ascii="Verdana" w:hAnsi="Verdana"/>
                <w:lang w:val="es-ES"/>
              </w:rPr>
              <w:t xml:space="preserve">Consejo de Estado. Sala de Consulta y Servicio Civil. Concepto del 12 de junio de 2018. </w:t>
            </w:r>
            <w:proofErr w:type="spellStart"/>
            <w:r w:rsidRPr="0060146E">
              <w:rPr>
                <w:rFonts w:ascii="Verdana" w:hAnsi="Verdana"/>
                <w:lang w:val="es-ES"/>
              </w:rPr>
              <w:t>Exp</w:t>
            </w:r>
            <w:proofErr w:type="spellEnd"/>
            <w:r w:rsidRPr="0060146E">
              <w:rPr>
                <w:rFonts w:ascii="Verdana" w:hAnsi="Verdana"/>
                <w:lang w:val="es-ES"/>
              </w:rPr>
              <w:t>. 2371. C.P. Oscar Darío Amaya Navas</w:t>
            </w:r>
          </w:p>
          <w:p w14:paraId="18E11C5C" w14:textId="77777777" w:rsidR="00A04D82" w:rsidRPr="006A640E" w:rsidRDefault="00A04D82" w:rsidP="00B158C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02C93866" w14:textId="77777777" w:rsidR="00A04D82" w:rsidRDefault="00A04D82" w:rsidP="00A04D82">
      <w:pPr>
        <w:widowControl w:val="0"/>
        <w:autoSpaceDE w:val="0"/>
        <w:autoSpaceDN w:val="0"/>
        <w:spacing w:after="0" w:line="276" w:lineRule="auto"/>
        <w:jc w:val="both"/>
        <w:rPr>
          <w:rFonts w:ascii="Verdana" w:hAnsi="Verdana" w:cs="Arial"/>
        </w:rPr>
      </w:pPr>
    </w:p>
    <w:p w14:paraId="7C856277" w14:textId="77777777" w:rsidR="00A04D82" w:rsidRDefault="00A04D82" w:rsidP="00A04D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241F5F07" w14:textId="77777777" w:rsidR="00A04D82" w:rsidRDefault="00A04D82" w:rsidP="00A04D82">
      <w:pPr>
        <w:widowControl w:val="0"/>
        <w:autoSpaceDE w:val="0"/>
        <w:autoSpaceDN w:val="0"/>
        <w:spacing w:after="0" w:line="276" w:lineRule="auto"/>
        <w:jc w:val="both"/>
        <w:rPr>
          <w:rFonts w:ascii="Verdana" w:hAnsi="Verdana" w:cs="Arial"/>
        </w:rPr>
      </w:pPr>
    </w:p>
    <w:p w14:paraId="628D5A65" w14:textId="77777777" w:rsidR="00A04D82" w:rsidRPr="00FE3C84" w:rsidRDefault="00A04D82" w:rsidP="00A04D82">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1D6C31F7" w14:textId="77777777" w:rsidR="00A04D82" w:rsidRDefault="00A04D82" w:rsidP="00A04D82">
      <w:pPr>
        <w:spacing w:after="0" w:line="276" w:lineRule="auto"/>
        <w:jc w:val="both"/>
        <w:rPr>
          <w:rFonts w:ascii="Verdana" w:hAnsi="Verdana"/>
        </w:rPr>
      </w:pPr>
    </w:p>
    <w:p w14:paraId="5AC583E8" w14:textId="77777777" w:rsidR="00A04D82" w:rsidRDefault="00A04D82" w:rsidP="00A04D82">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66242F1" w14:textId="77777777" w:rsidR="00A04D82" w:rsidRDefault="00A04D82" w:rsidP="00A04D82">
      <w:pPr>
        <w:spacing w:after="0" w:line="276" w:lineRule="auto"/>
        <w:jc w:val="both"/>
        <w:rPr>
          <w:rFonts w:ascii="Verdana" w:hAnsi="Verdana"/>
        </w:rPr>
      </w:pPr>
    </w:p>
    <w:p w14:paraId="62AF1009" w14:textId="77777777" w:rsidR="00A04D82" w:rsidRDefault="00A04D82" w:rsidP="00A04D82">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7107061A" w14:textId="77777777" w:rsidR="00A04D82" w:rsidRDefault="00A04D82" w:rsidP="00A04D82">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358215AC" w14:textId="77777777" w:rsidR="00A04D82" w:rsidRDefault="00A04D82" w:rsidP="00A04D82">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5A8635A2" w14:textId="77777777" w:rsidR="00A04D82" w:rsidRDefault="00A04D82" w:rsidP="00A04D82">
      <w:pPr>
        <w:widowControl w:val="0"/>
        <w:autoSpaceDE w:val="0"/>
        <w:autoSpaceDN w:val="0"/>
        <w:spacing w:after="0" w:line="276" w:lineRule="auto"/>
        <w:jc w:val="both"/>
        <w:rPr>
          <w:rFonts w:ascii="Verdana" w:hAnsi="Verdana" w:cs="Arial"/>
        </w:rPr>
      </w:pPr>
    </w:p>
    <w:p w14:paraId="69C472FF" w14:textId="77777777" w:rsidR="00A04D82" w:rsidRDefault="00A04D82" w:rsidP="00A04D82">
      <w:pPr>
        <w:widowControl w:val="0"/>
        <w:autoSpaceDE w:val="0"/>
        <w:autoSpaceDN w:val="0"/>
        <w:spacing w:after="0" w:line="276" w:lineRule="auto"/>
        <w:jc w:val="both"/>
        <w:rPr>
          <w:rFonts w:ascii="Verdana" w:hAnsi="Verdana" w:cs="Arial"/>
          <w:lang w:val="es-ES_tradnl"/>
        </w:rPr>
      </w:pPr>
      <w:r>
        <w:rPr>
          <w:rFonts w:ascii="Verdana" w:hAnsi="Verdana" w:cs="Arial"/>
        </w:rPr>
        <w:lastRenderedPageBreak/>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307C971A" w14:textId="77777777" w:rsidR="00A04D82" w:rsidRDefault="00A04D82" w:rsidP="00A04D82">
      <w:pPr>
        <w:widowControl w:val="0"/>
        <w:autoSpaceDE w:val="0"/>
        <w:autoSpaceDN w:val="0"/>
        <w:spacing w:after="0" w:line="276" w:lineRule="auto"/>
        <w:jc w:val="both"/>
        <w:rPr>
          <w:rFonts w:ascii="Verdana" w:hAnsi="Verdana" w:cs="Arial"/>
        </w:rPr>
      </w:pPr>
    </w:p>
    <w:p w14:paraId="36BD7A97" w14:textId="77777777" w:rsidR="00A04D82" w:rsidRDefault="00A04D82" w:rsidP="00A04D82">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0C0ED00" w14:textId="2177F609" w:rsidR="00A04D82" w:rsidRDefault="008140B1" w:rsidP="008140B1">
      <w:pPr>
        <w:spacing w:after="0" w:line="276" w:lineRule="auto"/>
        <w:jc w:val="center"/>
      </w:pPr>
      <w:r>
        <w:rPr>
          <w:rFonts w:ascii="Verdana" w:hAnsi="Verdana"/>
          <w:noProof/>
        </w:rPr>
        <w:drawing>
          <wp:inline distT="0" distB="0" distL="0" distR="0" wp14:anchorId="12266BDF" wp14:editId="6705111E">
            <wp:extent cx="2603500" cy="1091602"/>
            <wp:effectExtent l="0" t="0" r="6350" b="0"/>
            <wp:docPr id="135618248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23218" cy="1099869"/>
                    </a:xfrm>
                    <a:prstGeom prst="rect">
                      <a:avLst/>
                    </a:prstGeom>
                    <a:noFill/>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04D82" w14:paraId="0DD6D92A" w14:textId="77777777" w:rsidTr="00B158C3">
        <w:trPr>
          <w:trHeight w:val="315"/>
        </w:trPr>
        <w:tc>
          <w:tcPr>
            <w:tcW w:w="893" w:type="dxa"/>
            <w:vAlign w:val="center"/>
            <w:hideMark/>
          </w:tcPr>
          <w:p w14:paraId="1EB89D71" w14:textId="77777777" w:rsidR="00A04D82" w:rsidRDefault="00A04D82" w:rsidP="00B158C3">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B7CC142" w14:textId="77777777" w:rsidR="00A04D82" w:rsidRDefault="00A04D82" w:rsidP="00B158C3">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6C0EC635" w14:textId="77777777" w:rsidR="00A04D82" w:rsidRDefault="00A04D82" w:rsidP="00B158C3">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A04D82" w14:paraId="584E756C" w14:textId="77777777" w:rsidTr="00B158C3">
        <w:trPr>
          <w:trHeight w:val="330"/>
        </w:trPr>
        <w:tc>
          <w:tcPr>
            <w:tcW w:w="893" w:type="dxa"/>
            <w:vAlign w:val="center"/>
            <w:hideMark/>
          </w:tcPr>
          <w:p w14:paraId="0655E81E" w14:textId="77777777" w:rsidR="00A04D82" w:rsidRDefault="00A04D82" w:rsidP="00B158C3">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B681CB" w14:textId="77777777" w:rsidR="00A04D82" w:rsidRDefault="00A04D82" w:rsidP="00B158C3">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7C9E19BD" w14:textId="77777777" w:rsidR="00A04D82" w:rsidRDefault="00A04D82" w:rsidP="00B158C3">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A04D82" w14:paraId="15F94AEA" w14:textId="77777777" w:rsidTr="00B158C3">
        <w:trPr>
          <w:trHeight w:val="300"/>
        </w:trPr>
        <w:tc>
          <w:tcPr>
            <w:tcW w:w="893" w:type="dxa"/>
            <w:vAlign w:val="center"/>
            <w:hideMark/>
          </w:tcPr>
          <w:p w14:paraId="54FBA38C" w14:textId="77777777" w:rsidR="00A04D82" w:rsidRDefault="00A04D82" w:rsidP="00B158C3">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4BE209A" w14:textId="77777777" w:rsidR="00A04D82" w:rsidRDefault="00A04D82" w:rsidP="00B158C3">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Ana </w:t>
            </w:r>
            <w:proofErr w:type="spellStart"/>
            <w:r>
              <w:rPr>
                <w:rFonts w:ascii="Verdana" w:eastAsia="Calibri" w:hAnsi="Verdana" w:cs="Arial"/>
                <w:sz w:val="16"/>
                <w:szCs w:val="16"/>
                <w:lang w:val="pt-BR" w:eastAsia="es-ES"/>
              </w:rPr>
              <w:t>María</w:t>
            </w:r>
            <w:proofErr w:type="spellEnd"/>
            <w:r>
              <w:rPr>
                <w:rFonts w:ascii="Verdana" w:eastAsia="Calibri" w:hAnsi="Verdana" w:cs="Arial"/>
                <w:sz w:val="16"/>
                <w:szCs w:val="16"/>
                <w:lang w:val="pt-BR" w:eastAsia="es-ES"/>
              </w:rPr>
              <w:t xml:space="preserve"> Tolosa Rico</w:t>
            </w:r>
          </w:p>
          <w:p w14:paraId="1CF59F9F" w14:textId="77777777" w:rsidR="00A04D82" w:rsidRDefault="00A04D82" w:rsidP="00B158C3">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 (E)</w:t>
            </w:r>
          </w:p>
        </w:tc>
      </w:tr>
    </w:tbl>
    <w:p w14:paraId="17BBB6AC" w14:textId="77777777" w:rsidR="00A04D82" w:rsidRPr="001249F1" w:rsidRDefault="00A04D82" w:rsidP="00A04D82"/>
    <w:p w14:paraId="175B98CA" w14:textId="77777777" w:rsidR="00A04D82" w:rsidRPr="0044528D" w:rsidRDefault="00A04D82" w:rsidP="00A04D82">
      <w:pPr>
        <w:spacing w:after="0"/>
        <w:rPr>
          <w:rFonts w:ascii="Verdana" w:eastAsia="Times New Roman" w:hAnsi="Verdana" w:cs="Segoe UI"/>
          <w:b/>
          <w:bCs/>
          <w:color w:val="46589C"/>
          <w:lang w:val="es-ES" w:eastAsia="es-CO"/>
        </w:rPr>
      </w:pPr>
    </w:p>
    <w:p w14:paraId="3001289E" w14:textId="77777777" w:rsidR="00A04D82" w:rsidRPr="00046945" w:rsidRDefault="00A04D82" w:rsidP="00A04D82">
      <w:pPr>
        <w:spacing w:after="0"/>
        <w:rPr>
          <w:rFonts w:ascii="Verdana" w:eastAsia="Times New Roman" w:hAnsi="Verdana" w:cs="Segoe UI"/>
          <w:sz w:val="18"/>
          <w:szCs w:val="18"/>
          <w:lang w:eastAsia="es-CO"/>
        </w:rPr>
      </w:pPr>
    </w:p>
    <w:p w14:paraId="378007D2" w14:textId="77777777" w:rsidR="00A04D82" w:rsidRPr="0044528D" w:rsidRDefault="00A04D82" w:rsidP="00A04D82">
      <w:pPr>
        <w:spacing w:after="0"/>
        <w:rPr>
          <w:rFonts w:ascii="Verdana" w:hAnsi="Verdana"/>
        </w:rPr>
      </w:pPr>
    </w:p>
    <w:p w14:paraId="0F293BF4" w14:textId="75A2941D" w:rsidR="00127233" w:rsidRPr="0015699B" w:rsidRDefault="00127233" w:rsidP="00A04D82">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397ED" w14:textId="77777777" w:rsidR="00A05EC0" w:rsidRDefault="00A05EC0" w:rsidP="004A1847">
      <w:pPr>
        <w:spacing w:after="0" w:line="240" w:lineRule="auto"/>
      </w:pPr>
      <w:r>
        <w:separator/>
      </w:r>
    </w:p>
  </w:endnote>
  <w:endnote w:type="continuationSeparator" w:id="0">
    <w:p w14:paraId="76BDC8BF" w14:textId="77777777" w:rsidR="00A05EC0" w:rsidRDefault="00A05EC0" w:rsidP="004A1847">
      <w:pPr>
        <w:spacing w:after="0" w:line="240" w:lineRule="auto"/>
      </w:pPr>
      <w:r>
        <w:continuationSeparator/>
      </w:r>
    </w:p>
  </w:endnote>
  <w:endnote w:type="continuationNotice" w:id="1">
    <w:p w14:paraId="33E2BBEC" w14:textId="77777777" w:rsidR="00A05EC0" w:rsidRDefault="00A05E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charset w:val="00"/>
    <w:family w:val="auto"/>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ACC9A" w14:textId="77777777" w:rsidR="00A05EC0" w:rsidRDefault="00A05EC0" w:rsidP="004A1847">
      <w:pPr>
        <w:spacing w:after="0" w:line="240" w:lineRule="auto"/>
      </w:pPr>
      <w:r>
        <w:separator/>
      </w:r>
    </w:p>
  </w:footnote>
  <w:footnote w:type="continuationSeparator" w:id="0">
    <w:p w14:paraId="78D8E9FE" w14:textId="77777777" w:rsidR="00A05EC0" w:rsidRDefault="00A05EC0" w:rsidP="004A1847">
      <w:pPr>
        <w:spacing w:after="0" w:line="240" w:lineRule="auto"/>
      </w:pPr>
      <w:r>
        <w:continuationSeparator/>
      </w:r>
    </w:p>
  </w:footnote>
  <w:footnote w:type="continuationNotice" w:id="1">
    <w:p w14:paraId="6D8844B0" w14:textId="77777777" w:rsidR="00A05EC0" w:rsidRDefault="00A05EC0">
      <w:pPr>
        <w:spacing w:after="0" w:line="240" w:lineRule="auto"/>
      </w:pPr>
    </w:p>
  </w:footnote>
  <w:footnote w:id="2">
    <w:p w14:paraId="1C592BB8" w14:textId="7C9AB52E" w:rsidR="00A04D82" w:rsidRPr="00C05384" w:rsidRDefault="00CA6EE9" w:rsidP="00F2587B">
      <w:pPr>
        <w:pStyle w:val="Textonotapie"/>
        <w:contextualSpacing/>
        <w:jc w:val="both"/>
        <w:rPr>
          <w:rFonts w:ascii="Verdana" w:hAnsi="Verdana" w:cs="Arial"/>
          <w:sz w:val="16"/>
          <w:szCs w:val="16"/>
        </w:rPr>
      </w:pPr>
      <w:r>
        <w:rPr>
          <w:rFonts w:ascii="Verdana" w:hAnsi="Verdana" w:cs="Arial"/>
          <w:sz w:val="16"/>
          <w:szCs w:val="16"/>
        </w:rPr>
        <w:tab/>
      </w:r>
      <w:r w:rsidR="00A04D82" w:rsidRPr="00C05384">
        <w:rPr>
          <w:rStyle w:val="Refdenotaalpie"/>
          <w:rFonts w:ascii="Verdana" w:hAnsi="Verdana" w:cs="Arial"/>
          <w:sz w:val="16"/>
          <w:szCs w:val="16"/>
        </w:rPr>
        <w:footnoteRef/>
      </w:r>
      <w:r w:rsidR="00A04D82" w:rsidRPr="00C05384">
        <w:rPr>
          <w:rFonts w:ascii="Verdana" w:hAnsi="Verdana" w:cs="Arial"/>
          <w:sz w:val="16"/>
          <w:szCs w:val="16"/>
        </w:rPr>
        <w:t xml:space="preserve"> Gaceta del Congreso de la República No. 71 del 2005.</w:t>
      </w:r>
    </w:p>
  </w:footnote>
  <w:footnote w:id="3">
    <w:p w14:paraId="23EF00F8" w14:textId="77777777" w:rsidR="00A04D82" w:rsidRPr="00C05384" w:rsidRDefault="00A04D82" w:rsidP="00F2587B">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4">
    <w:p w14:paraId="2304FCBE" w14:textId="77777777" w:rsidR="00A04D82" w:rsidRPr="00C05384" w:rsidRDefault="00A04D82" w:rsidP="00F2587B">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160C5EA" w14:textId="77777777" w:rsidR="00A04D82" w:rsidRPr="00C05384" w:rsidRDefault="00A04D82" w:rsidP="00F2587B">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8956106" w14:textId="77777777" w:rsidR="00A04D82" w:rsidRPr="00C05384" w:rsidRDefault="00A04D82" w:rsidP="00F2587B">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7">
    <w:p w14:paraId="25B7F3CE" w14:textId="77777777" w:rsidR="00A04D82" w:rsidRPr="00C05384" w:rsidRDefault="00A04D82" w:rsidP="00F2587B">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8">
    <w:p w14:paraId="1D10EA66" w14:textId="77777777" w:rsidR="00A04D82" w:rsidRPr="00F2587B" w:rsidRDefault="00A04D82" w:rsidP="00F2587B">
      <w:pPr>
        <w:pStyle w:val="Textonotapie"/>
        <w:ind w:firstLine="709"/>
        <w:contextualSpacing/>
        <w:jc w:val="both"/>
        <w:rPr>
          <w:rFonts w:ascii="Verdana" w:hAnsi="Verdana"/>
          <w:sz w:val="16"/>
          <w:szCs w:val="16"/>
          <w:lang w:val="es-ES"/>
        </w:rPr>
      </w:pPr>
      <w:r w:rsidRPr="00F2587B">
        <w:rPr>
          <w:rStyle w:val="Refdenotaalpie"/>
          <w:rFonts w:ascii="Verdana" w:hAnsi="Verdana"/>
          <w:sz w:val="16"/>
          <w:szCs w:val="16"/>
        </w:rPr>
        <w:footnoteRef/>
      </w:r>
      <w:r w:rsidRPr="00F2587B">
        <w:rPr>
          <w:rFonts w:ascii="Verdana" w:hAnsi="Verdana"/>
          <w:sz w:val="16"/>
          <w:szCs w:val="16"/>
        </w:rPr>
        <w:t xml:space="preserve"> Consejo de Estado. Sala de Consulta y Servicio Civil. Concepto del 12 de junio de 2018. Exp. 2371. C.P. Oscar Darío Amaya Navas</w:t>
      </w:r>
    </w:p>
  </w:footnote>
  <w:footnote w:id="9">
    <w:p w14:paraId="2CFD0640" w14:textId="77777777" w:rsidR="00A04D82" w:rsidRPr="00F2587B" w:rsidRDefault="00A04D82" w:rsidP="00F2587B">
      <w:pPr>
        <w:pStyle w:val="Textonotapie"/>
        <w:ind w:firstLine="709"/>
        <w:contextualSpacing/>
        <w:jc w:val="both"/>
        <w:rPr>
          <w:rFonts w:ascii="Verdana" w:hAnsi="Verdana"/>
          <w:sz w:val="16"/>
          <w:szCs w:val="16"/>
          <w:lang w:val="es-ES"/>
        </w:rPr>
      </w:pPr>
      <w:r w:rsidRPr="00F2587B">
        <w:rPr>
          <w:rStyle w:val="Refdenotaalpie"/>
          <w:rFonts w:ascii="Verdana" w:hAnsi="Verdana"/>
          <w:sz w:val="16"/>
          <w:szCs w:val="16"/>
        </w:rPr>
        <w:footnoteRef/>
      </w:r>
      <w:r w:rsidRPr="00F2587B">
        <w:rPr>
          <w:rFonts w:ascii="Verdana" w:hAnsi="Verdana"/>
          <w:sz w:val="16"/>
          <w:szCs w:val="16"/>
        </w:rPr>
        <w:t xml:space="preserve"> </w:t>
      </w:r>
      <w:r w:rsidRPr="00F2587B">
        <w:rPr>
          <w:rFonts w:ascii="Verdana" w:hAnsi="Verdana"/>
          <w:sz w:val="16"/>
          <w:szCs w:val="16"/>
          <w:lang w:val="es-ES"/>
        </w:rPr>
        <w:t>Consejo de Estado. Sala de Consulta y Servicio Civil. Concepto del 12 de junio de 2018. Exp. 2371. C.P. Oscar Darío Amaya Navas</w:t>
      </w:r>
    </w:p>
  </w:footnote>
  <w:footnote w:id="10">
    <w:p w14:paraId="01E58BC3" w14:textId="77777777" w:rsidR="00A04D82" w:rsidRPr="00C05384" w:rsidRDefault="00A04D82" w:rsidP="00F2587B">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6"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4F2C"/>
    <w:rsid w:val="000F6486"/>
    <w:rsid w:val="00116940"/>
    <w:rsid w:val="00125105"/>
    <w:rsid w:val="00127233"/>
    <w:rsid w:val="00136C50"/>
    <w:rsid w:val="0015699B"/>
    <w:rsid w:val="001A33BF"/>
    <w:rsid w:val="001B2385"/>
    <w:rsid w:val="001B3898"/>
    <w:rsid w:val="001E4177"/>
    <w:rsid w:val="001F0B24"/>
    <w:rsid w:val="001F7DC6"/>
    <w:rsid w:val="0022400B"/>
    <w:rsid w:val="002421BB"/>
    <w:rsid w:val="0025796E"/>
    <w:rsid w:val="002707A2"/>
    <w:rsid w:val="00293446"/>
    <w:rsid w:val="002951A0"/>
    <w:rsid w:val="002962BC"/>
    <w:rsid w:val="002A093D"/>
    <w:rsid w:val="002A0DD0"/>
    <w:rsid w:val="002A24B3"/>
    <w:rsid w:val="002A49AC"/>
    <w:rsid w:val="002A64FD"/>
    <w:rsid w:val="002C7A84"/>
    <w:rsid w:val="002E2BF8"/>
    <w:rsid w:val="002E4FD9"/>
    <w:rsid w:val="0030657A"/>
    <w:rsid w:val="00321518"/>
    <w:rsid w:val="00322A85"/>
    <w:rsid w:val="00324168"/>
    <w:rsid w:val="00330834"/>
    <w:rsid w:val="003448F4"/>
    <w:rsid w:val="003534D0"/>
    <w:rsid w:val="00374F5E"/>
    <w:rsid w:val="00377E3E"/>
    <w:rsid w:val="003A779E"/>
    <w:rsid w:val="003C7DBA"/>
    <w:rsid w:val="003D0F4D"/>
    <w:rsid w:val="003D5B0D"/>
    <w:rsid w:val="003E0499"/>
    <w:rsid w:val="003E4F80"/>
    <w:rsid w:val="003E6439"/>
    <w:rsid w:val="003F3941"/>
    <w:rsid w:val="00406575"/>
    <w:rsid w:val="00414C74"/>
    <w:rsid w:val="0042722E"/>
    <w:rsid w:val="0044528D"/>
    <w:rsid w:val="00466E39"/>
    <w:rsid w:val="00476009"/>
    <w:rsid w:val="004A1847"/>
    <w:rsid w:val="004A305D"/>
    <w:rsid w:val="004F21C4"/>
    <w:rsid w:val="004F685F"/>
    <w:rsid w:val="0051487B"/>
    <w:rsid w:val="005566E8"/>
    <w:rsid w:val="00574867"/>
    <w:rsid w:val="00591460"/>
    <w:rsid w:val="005A65E0"/>
    <w:rsid w:val="005C3777"/>
    <w:rsid w:val="005C5CDC"/>
    <w:rsid w:val="005D476C"/>
    <w:rsid w:val="006200BF"/>
    <w:rsid w:val="006219F8"/>
    <w:rsid w:val="006302F7"/>
    <w:rsid w:val="00646B9F"/>
    <w:rsid w:val="00665D70"/>
    <w:rsid w:val="006900D9"/>
    <w:rsid w:val="006D223A"/>
    <w:rsid w:val="006F4BB4"/>
    <w:rsid w:val="00706C16"/>
    <w:rsid w:val="00724856"/>
    <w:rsid w:val="007340C3"/>
    <w:rsid w:val="00750566"/>
    <w:rsid w:val="00750FEE"/>
    <w:rsid w:val="0075235A"/>
    <w:rsid w:val="00756841"/>
    <w:rsid w:val="007649AB"/>
    <w:rsid w:val="00771D0C"/>
    <w:rsid w:val="007833AC"/>
    <w:rsid w:val="0079197F"/>
    <w:rsid w:val="007B268C"/>
    <w:rsid w:val="007B7171"/>
    <w:rsid w:val="007C0C0F"/>
    <w:rsid w:val="007C3DC2"/>
    <w:rsid w:val="007E5497"/>
    <w:rsid w:val="00806F5F"/>
    <w:rsid w:val="008140B1"/>
    <w:rsid w:val="00820278"/>
    <w:rsid w:val="008258C9"/>
    <w:rsid w:val="00844AE9"/>
    <w:rsid w:val="00864313"/>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4D82"/>
    <w:rsid w:val="00A05EC0"/>
    <w:rsid w:val="00A122D3"/>
    <w:rsid w:val="00A14468"/>
    <w:rsid w:val="00A14E89"/>
    <w:rsid w:val="00A17F13"/>
    <w:rsid w:val="00A20739"/>
    <w:rsid w:val="00A23AF9"/>
    <w:rsid w:val="00A33C78"/>
    <w:rsid w:val="00AB0ADB"/>
    <w:rsid w:val="00AE07C1"/>
    <w:rsid w:val="00B00C0E"/>
    <w:rsid w:val="00B01B1A"/>
    <w:rsid w:val="00B0381D"/>
    <w:rsid w:val="00B44A47"/>
    <w:rsid w:val="00B72CD3"/>
    <w:rsid w:val="00B72FFF"/>
    <w:rsid w:val="00B96D68"/>
    <w:rsid w:val="00BA1C46"/>
    <w:rsid w:val="00BC3D36"/>
    <w:rsid w:val="00BD54A6"/>
    <w:rsid w:val="00BD763F"/>
    <w:rsid w:val="00BD7F72"/>
    <w:rsid w:val="00BF7425"/>
    <w:rsid w:val="00C04FB3"/>
    <w:rsid w:val="00C11D8B"/>
    <w:rsid w:val="00C15139"/>
    <w:rsid w:val="00C330EB"/>
    <w:rsid w:val="00C375C2"/>
    <w:rsid w:val="00C4413D"/>
    <w:rsid w:val="00C50D69"/>
    <w:rsid w:val="00C5365C"/>
    <w:rsid w:val="00C754BE"/>
    <w:rsid w:val="00C76B1C"/>
    <w:rsid w:val="00C81107"/>
    <w:rsid w:val="00C925AC"/>
    <w:rsid w:val="00CA4A36"/>
    <w:rsid w:val="00CA6EE9"/>
    <w:rsid w:val="00CB6357"/>
    <w:rsid w:val="00CC1B26"/>
    <w:rsid w:val="00CD1C90"/>
    <w:rsid w:val="00CD5FB1"/>
    <w:rsid w:val="00D361FD"/>
    <w:rsid w:val="00D40243"/>
    <w:rsid w:val="00D423A2"/>
    <w:rsid w:val="00D44E26"/>
    <w:rsid w:val="00D520D8"/>
    <w:rsid w:val="00D63AC2"/>
    <w:rsid w:val="00D7383B"/>
    <w:rsid w:val="00D7788A"/>
    <w:rsid w:val="00DA231B"/>
    <w:rsid w:val="00DC39FC"/>
    <w:rsid w:val="00DF4DFD"/>
    <w:rsid w:val="00DF5254"/>
    <w:rsid w:val="00E02524"/>
    <w:rsid w:val="00E16408"/>
    <w:rsid w:val="00E20894"/>
    <w:rsid w:val="00E21A2B"/>
    <w:rsid w:val="00E245AB"/>
    <w:rsid w:val="00E2764C"/>
    <w:rsid w:val="00E27F2E"/>
    <w:rsid w:val="00E452BC"/>
    <w:rsid w:val="00E50AFE"/>
    <w:rsid w:val="00E72B6D"/>
    <w:rsid w:val="00E75C92"/>
    <w:rsid w:val="00E771DC"/>
    <w:rsid w:val="00E8772A"/>
    <w:rsid w:val="00E90F6B"/>
    <w:rsid w:val="00E92C27"/>
    <w:rsid w:val="00EA0E3D"/>
    <w:rsid w:val="00EC38A7"/>
    <w:rsid w:val="00EE1AA8"/>
    <w:rsid w:val="00F23FEA"/>
    <w:rsid w:val="00F2587B"/>
    <w:rsid w:val="00F31EDC"/>
    <w:rsid w:val="00F462B3"/>
    <w:rsid w:val="00F5664F"/>
    <w:rsid w:val="00F666C4"/>
    <w:rsid w:val="00F76AFC"/>
    <w:rsid w:val="00FA47C0"/>
    <w:rsid w:val="00FB5DD1"/>
    <w:rsid w:val="00FC1088"/>
    <w:rsid w:val="00FC2B5D"/>
    <w:rsid w:val="00FF1449"/>
    <w:rsid w:val="00FF7963"/>
    <w:rsid w:val="09908A09"/>
    <w:rsid w:val="13CFC91B"/>
    <w:rsid w:val="19A2EC2C"/>
    <w:rsid w:val="1D63AC51"/>
    <w:rsid w:val="2859CA1B"/>
    <w:rsid w:val="32A4F9CF"/>
    <w:rsid w:val="356CEDFD"/>
    <w:rsid w:val="42D263BF"/>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04D82"/>
    <w:rPr>
      <w:rFonts w:ascii="Geomanist Light" w:hAnsi="Geomanist Light"/>
      <w:lang w:val="es-ES"/>
    </w:rPr>
  </w:style>
  <w:style w:type="paragraph" w:customStyle="1" w:styleId="Appelnotedebasde">
    <w:name w:val="Appel note de bas de..."/>
    <w:basedOn w:val="Normal"/>
    <w:link w:val="Refdenotaalpie"/>
    <w:uiPriority w:val="99"/>
    <w:rsid w:val="00A04D82"/>
    <w:pPr>
      <w:spacing w:line="240" w:lineRule="exact"/>
    </w:pPr>
    <w:rPr>
      <w:vertAlign w:val="superscript"/>
    </w:rPr>
  </w:style>
  <w:style w:type="character" w:customStyle="1" w:styleId="baj">
    <w:name w:val="b_aj"/>
    <w:basedOn w:val="Fuentedeprrafopredeter"/>
    <w:rsid w:val="00A04D82"/>
  </w:style>
  <w:style w:type="character" w:styleId="Refdecomentario">
    <w:name w:val="annotation reference"/>
    <w:basedOn w:val="Fuentedeprrafopredeter"/>
    <w:uiPriority w:val="99"/>
    <w:semiHidden/>
    <w:unhideWhenUsed/>
    <w:rsid w:val="006F4BB4"/>
    <w:rPr>
      <w:sz w:val="16"/>
      <w:szCs w:val="16"/>
    </w:rPr>
  </w:style>
  <w:style w:type="paragraph" w:styleId="Textocomentario">
    <w:name w:val="annotation text"/>
    <w:basedOn w:val="Normal"/>
    <w:link w:val="TextocomentarioCar"/>
    <w:uiPriority w:val="99"/>
    <w:unhideWhenUsed/>
    <w:rsid w:val="006F4BB4"/>
    <w:pPr>
      <w:spacing w:line="240" w:lineRule="auto"/>
    </w:pPr>
    <w:rPr>
      <w:sz w:val="20"/>
      <w:szCs w:val="20"/>
    </w:rPr>
  </w:style>
  <w:style w:type="character" w:customStyle="1" w:styleId="TextocomentarioCar">
    <w:name w:val="Texto comentario Car"/>
    <w:basedOn w:val="Fuentedeprrafopredeter"/>
    <w:link w:val="Textocomentario"/>
    <w:uiPriority w:val="99"/>
    <w:rsid w:val="006F4BB4"/>
    <w:rPr>
      <w:sz w:val="20"/>
      <w:szCs w:val="20"/>
    </w:rPr>
  </w:style>
  <w:style w:type="paragraph" w:styleId="Asuntodelcomentario">
    <w:name w:val="annotation subject"/>
    <w:basedOn w:val="Textocomentario"/>
    <w:next w:val="Textocomentario"/>
    <w:link w:val="AsuntodelcomentarioCar"/>
    <w:uiPriority w:val="99"/>
    <w:semiHidden/>
    <w:unhideWhenUsed/>
    <w:rsid w:val="006F4BB4"/>
    <w:rPr>
      <w:b/>
      <w:bCs/>
    </w:rPr>
  </w:style>
  <w:style w:type="character" w:customStyle="1" w:styleId="AsuntodelcomentarioCar">
    <w:name w:val="Asunto del comentario Car"/>
    <w:basedOn w:val="TextocomentarioCar"/>
    <w:link w:val="Asuntodelcomentario"/>
    <w:uiPriority w:val="99"/>
    <w:semiHidden/>
    <w:rsid w:val="006F4BB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esoriajuridica@hflleras.gov.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0668149E-86E5-4E1B-A987-6F7B0F7F07F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5563</Words>
  <Characters>30601</Characters>
  <Application>Microsoft Office Word</Application>
  <DocSecurity>0</DocSecurity>
  <Lines>255</Lines>
  <Paragraphs>72</Paragraphs>
  <ScaleCrop>false</ScaleCrop>
  <Company/>
  <LinksUpToDate>false</LinksUpToDate>
  <CharactersWithSpaces>36092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2025-11-21T21:20:00Z</dcterms:created>
  <dcterms:modified xsi:type="dcterms:W3CDTF">2025-11-27T22:46:00Z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