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F8B42" w14:textId="77777777" w:rsidR="00200C04" w:rsidRPr="00A16EF9" w:rsidRDefault="00200C04" w:rsidP="00200C04">
      <w:pPr>
        <w:spacing w:line="276" w:lineRule="auto"/>
        <w:jc w:val="both"/>
        <w:rPr>
          <w:rFonts w:ascii="Verdana" w:eastAsia="Calibri" w:hAnsi="Verdana" w:cs="Arial"/>
          <w:b/>
          <w:lang w:val="es-ES"/>
        </w:rPr>
      </w:pPr>
      <w:r w:rsidRPr="00A16EF9">
        <w:rPr>
          <w:rFonts w:ascii="Verdana" w:eastAsia="Calibri" w:hAnsi="Verdana" w:cs="Arial"/>
          <w:b/>
          <w:lang w:val="es-ES"/>
        </w:rPr>
        <w:t xml:space="preserve">SUBSANABILIDAD – Concepto – Límites </w:t>
      </w:r>
    </w:p>
    <w:p w14:paraId="195E30C1" w14:textId="77777777" w:rsidR="00200C04" w:rsidRPr="00EC23C5" w:rsidRDefault="00200C04" w:rsidP="00200C04">
      <w:pPr>
        <w:spacing w:after="200"/>
        <w:jc w:val="both"/>
        <w:rPr>
          <w:rFonts w:ascii="Verdana" w:eastAsia="Calibri" w:hAnsi="Verdana" w:cs="Arial"/>
          <w:bCs/>
          <w:sz w:val="20"/>
          <w:szCs w:val="20"/>
          <w:lang w:val="es-ES"/>
        </w:rPr>
      </w:pPr>
      <w:r w:rsidRPr="00EC23C5">
        <w:rPr>
          <w:rFonts w:ascii="Verdana" w:eastAsia="Calibri" w:hAnsi="Verdana" w:cs="Arial"/>
          <w:bCs/>
          <w:sz w:val="20"/>
          <w:szCs w:val="20"/>
          <w:lang w:val="es-ES"/>
        </w:rPr>
        <w:t xml:space="preserve">La </w:t>
      </w:r>
      <w:proofErr w:type="spellStart"/>
      <w:r w:rsidRPr="00EC23C5">
        <w:rPr>
          <w:rFonts w:ascii="Verdana" w:eastAsia="Calibri" w:hAnsi="Verdana" w:cs="Arial"/>
          <w:bCs/>
          <w:sz w:val="20"/>
          <w:szCs w:val="20"/>
          <w:lang w:val="es-ES"/>
        </w:rPr>
        <w:t>subsanabilidad</w:t>
      </w:r>
      <w:proofErr w:type="spellEnd"/>
      <w:r w:rsidRPr="00EC23C5">
        <w:rPr>
          <w:rFonts w:ascii="Verdana" w:eastAsia="Calibri" w:hAnsi="Verdana" w:cs="Arial"/>
          <w:bCs/>
          <w:sz w:val="20"/>
          <w:szCs w:val="20"/>
          <w:lang w:val="es-ES"/>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w:t>
      </w:r>
    </w:p>
    <w:p w14:paraId="4D81246B" w14:textId="77777777" w:rsidR="00200C04" w:rsidRPr="00EC23C5" w:rsidRDefault="00200C04" w:rsidP="00200C04">
      <w:pPr>
        <w:jc w:val="both"/>
        <w:rPr>
          <w:rFonts w:ascii="Verdana" w:eastAsia="Calibri" w:hAnsi="Verdana" w:cs="Arial"/>
          <w:bCs/>
          <w:sz w:val="20"/>
          <w:szCs w:val="20"/>
          <w:lang w:val="es-ES"/>
        </w:rPr>
      </w:pPr>
      <w:r w:rsidRPr="00EC23C5">
        <w:rPr>
          <w:rFonts w:ascii="Verdana" w:eastAsia="Calibri" w:hAnsi="Verdana" w:cs="Arial"/>
          <w:bCs/>
          <w:sz w:val="20"/>
          <w:szCs w:val="20"/>
          <w:lang w:val="es-ES"/>
        </w:rPr>
        <w:t xml:space="preserve">[…] Esta norma [Ley 1882 de 2018]: i) mantiene el criterio de la Ley 80 de 1993, relativo a que todo lo que no sea necesario para la comparación de propuestas no es título suficiente para su rechazo; </w:t>
      </w:r>
      <w:proofErr w:type="spellStart"/>
      <w:r w:rsidRPr="00EC23C5">
        <w:rPr>
          <w:rFonts w:ascii="Verdana" w:eastAsia="Calibri" w:hAnsi="Verdana" w:cs="Arial"/>
          <w:bCs/>
          <w:sz w:val="20"/>
          <w:szCs w:val="20"/>
          <w:lang w:val="es-ES"/>
        </w:rPr>
        <w:t>ii</w:t>
      </w:r>
      <w:proofErr w:type="spellEnd"/>
      <w:r w:rsidRPr="00EC23C5">
        <w:rPr>
          <w:rFonts w:ascii="Verdana" w:eastAsia="Calibri" w:hAnsi="Verdana" w:cs="Arial"/>
          <w:bCs/>
          <w:sz w:val="20"/>
          <w:szCs w:val="20"/>
          <w:lang w:val="es-ES"/>
        </w:rPr>
        <w:t xml:space="preserve">) mantiene el criterio aclaratorio de la Ley 1150 de 2007, según el cual todo lo que no afecte la asignación de puntaje puede subsanarse y, </w:t>
      </w:r>
      <w:proofErr w:type="spellStart"/>
      <w:r w:rsidRPr="00EC23C5">
        <w:rPr>
          <w:rFonts w:ascii="Verdana" w:eastAsia="Calibri" w:hAnsi="Verdana" w:cs="Arial"/>
          <w:bCs/>
          <w:sz w:val="20"/>
          <w:szCs w:val="20"/>
          <w:lang w:val="es-ES"/>
        </w:rPr>
        <w:t>iii</w:t>
      </w:r>
      <w:proofErr w:type="spellEnd"/>
      <w:r w:rsidRPr="00EC23C5">
        <w:rPr>
          <w:rFonts w:ascii="Verdana" w:eastAsia="Calibri" w:hAnsi="Verdana" w:cs="Arial"/>
          <w:bCs/>
          <w:sz w:val="20"/>
          <w:szCs w:val="20"/>
          <w:lang w:val="es-ES"/>
        </w:rPr>
        <w:t>) introduce modificaciones en relación con tres (3) aspectos que se analizarán a continuación:</w:t>
      </w:r>
    </w:p>
    <w:p w14:paraId="6E5F0192" w14:textId="77777777" w:rsidR="00200C04" w:rsidRPr="00EC23C5" w:rsidRDefault="00200C04" w:rsidP="00200C04">
      <w:pPr>
        <w:jc w:val="both"/>
        <w:rPr>
          <w:rFonts w:ascii="Verdana" w:eastAsia="Calibri" w:hAnsi="Verdana" w:cs="Arial"/>
          <w:bCs/>
          <w:sz w:val="20"/>
          <w:szCs w:val="20"/>
          <w:lang w:val="es-ES"/>
        </w:rPr>
      </w:pPr>
      <w:r w:rsidRPr="00EC23C5">
        <w:rPr>
          <w:rFonts w:ascii="Verdana" w:eastAsia="Calibri" w:hAnsi="Verdana" w:cs="Arial"/>
          <w:bCs/>
          <w:sz w:val="20"/>
          <w:szCs w:val="20"/>
          <w:lang w:val="es-ES"/>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p>
    <w:p w14:paraId="4DCC4309" w14:textId="77777777" w:rsidR="00200C04" w:rsidRPr="00EC23C5" w:rsidRDefault="00200C04" w:rsidP="00200C04">
      <w:pPr>
        <w:jc w:val="both"/>
        <w:rPr>
          <w:rFonts w:ascii="Verdana" w:eastAsia="Calibri" w:hAnsi="Verdana" w:cs="Arial"/>
          <w:bCs/>
          <w:sz w:val="20"/>
          <w:szCs w:val="20"/>
          <w:lang w:val="es-ES"/>
        </w:rPr>
      </w:pPr>
      <w:r w:rsidRPr="00EC23C5">
        <w:rPr>
          <w:rFonts w:ascii="Verdana" w:eastAsia="Calibri" w:hAnsi="Verdana" w:cs="Arial"/>
          <w:bCs/>
          <w:sz w:val="20"/>
          <w:szCs w:val="20"/>
          <w:lang w:val="es-ES"/>
        </w:rPr>
        <w:t xml:space="preserve">De otro lado, el segundo cambio importante de la Ley 1882 de 2018 es el correspondiente a la garantía de seriedad.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w:t>
      </w:r>
      <w:proofErr w:type="gramStart"/>
      <w:r w:rsidRPr="00EC23C5">
        <w:rPr>
          <w:rFonts w:ascii="Verdana" w:eastAsia="Calibri" w:hAnsi="Verdana" w:cs="Arial"/>
          <w:bCs/>
          <w:sz w:val="20"/>
          <w:szCs w:val="20"/>
          <w:lang w:val="es-ES"/>
        </w:rPr>
        <w:t>la misma</w:t>
      </w:r>
      <w:proofErr w:type="gramEnd"/>
      <w:r w:rsidRPr="00EC23C5">
        <w:rPr>
          <w:rFonts w:ascii="Verdana" w:eastAsia="Calibri" w:hAnsi="Verdana" w:cs="Arial"/>
          <w:bCs/>
          <w:sz w:val="20"/>
          <w:szCs w:val="20"/>
          <w:lang w:val="es-ES"/>
        </w:rPr>
        <w:t>».</w:t>
      </w:r>
    </w:p>
    <w:p w14:paraId="303499FF" w14:textId="77777777" w:rsidR="00200C04" w:rsidRPr="00EC23C5" w:rsidRDefault="00200C04" w:rsidP="00200C04">
      <w:pPr>
        <w:jc w:val="both"/>
        <w:rPr>
          <w:rFonts w:ascii="Verdana" w:eastAsia="Calibri" w:hAnsi="Verdana" w:cs="Arial"/>
          <w:bCs/>
          <w:sz w:val="20"/>
          <w:szCs w:val="20"/>
          <w:lang w:val="es-ES"/>
        </w:rPr>
      </w:pPr>
      <w:r w:rsidRPr="00EC23C5">
        <w:rPr>
          <w:rFonts w:ascii="Verdana" w:eastAsia="Calibri" w:hAnsi="Verdana" w:cs="Arial"/>
          <w:bCs/>
          <w:sz w:val="20"/>
          <w:szCs w:val="20"/>
          <w:lang w:val="es-ES"/>
        </w:rPr>
        <w:t xml:space="preserve">Finalmente, el último cambio importante de la Ley 1882 de 2018 fue la introducción de un criterio material, directamente relacionado con los aspectos subsanables: «los proponentes no podrán acreditar circunstancias ocurridas con posterioridad al cierre del proceso». Esta regla tiene una finalidad particular, y es que, al momento de presentar la oferta, el proponente la deberá hacerlo de forma íntegra y así evitar que a lo largo del procedimiento contractual complete o adicione su propuesta, conforme mejora su situación particular. </w:t>
      </w:r>
    </w:p>
    <w:p w14:paraId="6D048A6D" w14:textId="77777777" w:rsidR="00200C04" w:rsidRPr="00A16EF9" w:rsidRDefault="00200C04" w:rsidP="00200C04">
      <w:pPr>
        <w:spacing w:after="0" w:line="240" w:lineRule="auto"/>
        <w:jc w:val="both"/>
        <w:rPr>
          <w:rFonts w:ascii="Verdana" w:eastAsia="Aptos" w:hAnsi="Verdana" w:cs="Times New Roman"/>
        </w:rPr>
      </w:pPr>
    </w:p>
    <w:p w14:paraId="623F59AD" w14:textId="77777777" w:rsidR="00200C04" w:rsidRPr="00A16EF9" w:rsidRDefault="00200C04" w:rsidP="00200C04">
      <w:pPr>
        <w:contextualSpacing/>
        <w:jc w:val="both"/>
        <w:rPr>
          <w:rFonts w:ascii="Verdana" w:hAnsi="Verdana" w:cs="Arial"/>
          <w:b/>
          <w:bdr w:val="none" w:sz="0" w:space="0" w:color="auto" w:frame="1"/>
          <w:lang w:eastAsia="es-CO"/>
        </w:rPr>
      </w:pPr>
      <w:r w:rsidRPr="00A16EF9">
        <w:rPr>
          <w:rFonts w:ascii="Verdana" w:hAnsi="Verdana" w:cs="Arial"/>
          <w:b/>
          <w:bdr w:val="none" w:sz="0" w:space="0" w:color="auto" w:frame="1"/>
          <w:lang w:eastAsia="es-CO"/>
        </w:rPr>
        <w:t>SUBSANACIÓN – Requisitos Habilitantes – Reglas</w:t>
      </w:r>
    </w:p>
    <w:p w14:paraId="33603936" w14:textId="77777777" w:rsidR="00200C04" w:rsidRPr="00A16EF9" w:rsidRDefault="00200C04" w:rsidP="00200C04">
      <w:pPr>
        <w:spacing w:before="240"/>
        <w:contextualSpacing/>
        <w:jc w:val="both"/>
        <w:rPr>
          <w:rFonts w:ascii="Century Gothic" w:hAnsi="Century Gothic"/>
        </w:rPr>
      </w:pPr>
    </w:p>
    <w:p w14:paraId="0D7F8DA9" w14:textId="77777777" w:rsidR="00200C04" w:rsidRPr="00EC23C5" w:rsidRDefault="00200C04" w:rsidP="00200C04">
      <w:pPr>
        <w:contextualSpacing/>
        <w:jc w:val="both"/>
        <w:rPr>
          <w:rFonts w:ascii="Verdana" w:eastAsia="Calibri" w:hAnsi="Verdana" w:cs="Arial"/>
          <w:color w:val="000000" w:themeColor="text1"/>
          <w:sz w:val="20"/>
          <w:szCs w:val="20"/>
          <w:lang w:val="es-ES"/>
        </w:rPr>
      </w:pPr>
      <w:r w:rsidRPr="00EC23C5">
        <w:rPr>
          <w:rFonts w:ascii="Verdana" w:eastAsia="Calibri" w:hAnsi="Verdana" w:cs="Arial"/>
          <w:color w:val="000000" w:themeColor="text1"/>
          <w:sz w:val="20"/>
          <w:szCs w:val="20"/>
          <w:lang w:val="es-ES"/>
        </w:rPr>
        <w:t xml:space="preserve">En consecuencia, una vez verificada la ausencia de requisitos y/o documentos de la oferta, para efectos de saber si se pueden subsanar, la Entidad Estatal se debe preguntar, en primer lugar, si lo que hace falta o debe corregirse es un documento que </w:t>
      </w:r>
      <w:r w:rsidRPr="00EC23C5">
        <w:rPr>
          <w:rFonts w:ascii="Verdana" w:eastAsia="Calibri" w:hAnsi="Verdana" w:cs="Arial"/>
          <w:color w:val="000000" w:themeColor="text1"/>
          <w:sz w:val="20"/>
          <w:szCs w:val="20"/>
          <w:lang w:val="es-ES"/>
        </w:rPr>
        <w:lastRenderedPageBreak/>
        <w:t>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716A32FB" w14:textId="77777777" w:rsidR="00200C04" w:rsidRPr="00A16EF9" w:rsidRDefault="00200C04" w:rsidP="00200C04">
      <w:pPr>
        <w:spacing w:after="0" w:line="240" w:lineRule="auto"/>
        <w:jc w:val="both"/>
        <w:rPr>
          <w:rFonts w:ascii="Verdana" w:eastAsia="Aptos" w:hAnsi="Verdana" w:cs="Times New Roman"/>
        </w:rPr>
      </w:pPr>
    </w:p>
    <w:p w14:paraId="1232B5EE" w14:textId="2BBDAF80" w:rsidR="00200C04" w:rsidRPr="00A16EF9" w:rsidRDefault="00200C04" w:rsidP="00200C04">
      <w:pPr>
        <w:spacing w:after="0" w:line="240" w:lineRule="auto"/>
        <w:jc w:val="both"/>
        <w:rPr>
          <w:rFonts w:ascii="Verdana" w:eastAsia="Aptos" w:hAnsi="Verdana" w:cs="Times New Roman"/>
          <w:b/>
          <w:bCs/>
        </w:rPr>
      </w:pPr>
      <w:r w:rsidRPr="00A16EF9">
        <w:rPr>
          <w:rFonts w:ascii="Verdana" w:eastAsia="Calibri" w:hAnsi="Verdana" w:cs="Arial"/>
          <w:b/>
          <w:bCs/>
        </w:rPr>
        <w:t xml:space="preserve">Manual para determinar y verificar los requisitos habilitantes en los Procesos de Contratación – </w:t>
      </w:r>
      <w:r w:rsidR="00EC23C5">
        <w:rPr>
          <w:rFonts w:ascii="Verdana" w:eastAsia="Calibri" w:hAnsi="Verdana" w:cs="Arial"/>
          <w:b/>
          <w:bCs/>
        </w:rPr>
        <w:t>C</w:t>
      </w:r>
      <w:r w:rsidRPr="00A16EF9">
        <w:rPr>
          <w:rFonts w:ascii="Verdana" w:eastAsia="Calibri" w:hAnsi="Verdana" w:cs="Arial"/>
          <w:b/>
          <w:bCs/>
        </w:rPr>
        <w:t>onsulta</w:t>
      </w:r>
    </w:p>
    <w:p w14:paraId="3E7A30EB" w14:textId="77777777" w:rsidR="00200C04" w:rsidRPr="00A16EF9" w:rsidRDefault="00200C04" w:rsidP="00200C04">
      <w:pPr>
        <w:spacing w:after="0" w:line="240" w:lineRule="auto"/>
        <w:jc w:val="both"/>
        <w:rPr>
          <w:rFonts w:ascii="Verdana" w:eastAsia="Aptos" w:hAnsi="Verdana" w:cs="Times New Roman"/>
        </w:rPr>
      </w:pPr>
    </w:p>
    <w:p w14:paraId="70B38FD2" w14:textId="77777777" w:rsidR="00200C04" w:rsidRPr="00EC23C5" w:rsidRDefault="00200C04" w:rsidP="00200C04">
      <w:pPr>
        <w:spacing w:line="276" w:lineRule="auto"/>
        <w:jc w:val="both"/>
        <w:rPr>
          <w:rFonts w:ascii="Verdana" w:eastAsia="Calibri" w:hAnsi="Verdana" w:cs="Arial"/>
          <w:color w:val="000000" w:themeColor="text1"/>
          <w:sz w:val="20"/>
          <w:szCs w:val="20"/>
        </w:rPr>
      </w:pPr>
      <w:r w:rsidRPr="00EC23C5">
        <w:rPr>
          <w:rFonts w:ascii="Verdana" w:eastAsia="Calibri" w:hAnsi="Verdana" w:cs="Arial"/>
          <w:sz w:val="20"/>
          <w:szCs w:val="20"/>
        </w:rPr>
        <w:t>El Manual para determinar y verificar los requisitos habilitantes en los Procesos de Contratación, elaborado por Colombia Compra Eficiente,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w:t>
      </w:r>
    </w:p>
    <w:p w14:paraId="33A14D12" w14:textId="77777777" w:rsidR="00200C04" w:rsidRDefault="00200C04" w:rsidP="00200C04">
      <w:pPr>
        <w:spacing w:after="0" w:line="240" w:lineRule="auto"/>
        <w:rPr>
          <w:rFonts w:ascii="Verdana" w:hAnsi="Verdana"/>
        </w:rPr>
      </w:pPr>
    </w:p>
    <w:p w14:paraId="4E168707" w14:textId="77777777" w:rsidR="00200C04" w:rsidRDefault="00200C04" w:rsidP="00200C04">
      <w:pPr>
        <w:spacing w:after="0" w:line="240" w:lineRule="auto"/>
        <w:rPr>
          <w:rFonts w:ascii="Verdana" w:hAnsi="Verdana"/>
        </w:rPr>
      </w:pPr>
    </w:p>
    <w:p w14:paraId="5146E910" w14:textId="77777777" w:rsidR="00200C04" w:rsidRDefault="00200C04" w:rsidP="00200C04">
      <w:pPr>
        <w:spacing w:after="0" w:line="240" w:lineRule="auto"/>
        <w:rPr>
          <w:rFonts w:ascii="Verdana" w:hAnsi="Verdana"/>
        </w:rPr>
      </w:pPr>
    </w:p>
    <w:p w14:paraId="2867FCA1"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385382F5"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76D3BC01"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33E06BC0"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4392621E"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61CAE9AB"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40733DFB" w14:textId="77777777" w:rsidR="00200C04" w:rsidRDefault="00200C04" w:rsidP="00200C04">
      <w:pPr>
        <w:spacing w:after="0" w:line="240" w:lineRule="auto"/>
        <w:jc w:val="both"/>
        <w:rPr>
          <w:rFonts w:ascii="Verdana" w:eastAsia="Calibri" w:hAnsi="Verdana" w:cs="Arial"/>
          <w:color w:val="000000" w:themeColor="text1"/>
          <w:sz w:val="20"/>
          <w:szCs w:val="20"/>
          <w:lang w:val="es-ES"/>
        </w:rPr>
      </w:pPr>
    </w:p>
    <w:p w14:paraId="201D9F80" w14:textId="77777777" w:rsidR="00200C04" w:rsidRPr="00A51781" w:rsidRDefault="00200C04" w:rsidP="00200C04">
      <w:pPr>
        <w:spacing w:after="0" w:line="240" w:lineRule="auto"/>
        <w:jc w:val="both"/>
        <w:rPr>
          <w:rFonts w:ascii="Verdana" w:eastAsia="Calibri" w:hAnsi="Verdana" w:cs="Arial"/>
          <w:color w:val="000000" w:themeColor="text1"/>
          <w:sz w:val="20"/>
          <w:szCs w:val="20"/>
          <w:lang w:val="es-ES"/>
        </w:rPr>
      </w:pPr>
    </w:p>
    <w:p w14:paraId="7AB09385" w14:textId="77777777" w:rsidR="00EC23C5" w:rsidRDefault="00EC23C5" w:rsidP="00200C04">
      <w:pPr>
        <w:spacing w:after="0" w:line="240" w:lineRule="auto"/>
        <w:rPr>
          <w:rFonts w:ascii="Verdana" w:eastAsia="Geomanist Light" w:hAnsi="Verdana" w:cs="Arial"/>
        </w:rPr>
      </w:pPr>
    </w:p>
    <w:p w14:paraId="3584C466" w14:textId="77777777" w:rsidR="00EC23C5" w:rsidRDefault="00EC23C5" w:rsidP="00200C04">
      <w:pPr>
        <w:spacing w:after="0" w:line="240" w:lineRule="auto"/>
        <w:rPr>
          <w:rFonts w:ascii="Verdana" w:eastAsia="Geomanist Light" w:hAnsi="Verdana" w:cs="Arial"/>
        </w:rPr>
      </w:pPr>
    </w:p>
    <w:p w14:paraId="66DE46F1" w14:textId="77777777" w:rsidR="00EC23C5" w:rsidRDefault="00EC23C5" w:rsidP="00200C04">
      <w:pPr>
        <w:spacing w:after="0" w:line="240" w:lineRule="auto"/>
        <w:rPr>
          <w:rFonts w:ascii="Verdana" w:eastAsia="Geomanist Light" w:hAnsi="Verdana" w:cs="Arial"/>
        </w:rPr>
      </w:pPr>
    </w:p>
    <w:p w14:paraId="58F91C8B" w14:textId="77777777" w:rsidR="00EC23C5" w:rsidRDefault="00EC23C5" w:rsidP="00200C04">
      <w:pPr>
        <w:spacing w:after="0" w:line="240" w:lineRule="auto"/>
        <w:rPr>
          <w:rFonts w:ascii="Verdana" w:eastAsia="Geomanist Light" w:hAnsi="Verdana" w:cs="Arial"/>
        </w:rPr>
      </w:pPr>
    </w:p>
    <w:p w14:paraId="1F222A47" w14:textId="77777777" w:rsidR="00EC23C5" w:rsidRDefault="00EC23C5" w:rsidP="00200C04">
      <w:pPr>
        <w:spacing w:after="0" w:line="240" w:lineRule="auto"/>
        <w:rPr>
          <w:rFonts w:ascii="Verdana" w:eastAsia="Geomanist Light" w:hAnsi="Verdana" w:cs="Arial"/>
        </w:rPr>
      </w:pPr>
    </w:p>
    <w:p w14:paraId="6ECE8A01" w14:textId="77777777" w:rsidR="00EC23C5" w:rsidRDefault="00EC23C5" w:rsidP="00200C04">
      <w:pPr>
        <w:spacing w:after="0" w:line="240" w:lineRule="auto"/>
        <w:rPr>
          <w:rFonts w:ascii="Verdana" w:eastAsia="Geomanist Light" w:hAnsi="Verdana" w:cs="Arial"/>
        </w:rPr>
      </w:pPr>
    </w:p>
    <w:p w14:paraId="54BC32DF" w14:textId="77777777" w:rsidR="00EC23C5" w:rsidRDefault="00EC23C5" w:rsidP="00200C04">
      <w:pPr>
        <w:spacing w:after="0" w:line="240" w:lineRule="auto"/>
        <w:rPr>
          <w:rFonts w:ascii="Verdana" w:eastAsia="Geomanist Light" w:hAnsi="Verdana" w:cs="Arial"/>
        </w:rPr>
      </w:pPr>
    </w:p>
    <w:p w14:paraId="1F121AC2" w14:textId="77777777" w:rsidR="00EC23C5" w:rsidRDefault="00EC23C5" w:rsidP="00200C04">
      <w:pPr>
        <w:spacing w:after="0" w:line="240" w:lineRule="auto"/>
        <w:rPr>
          <w:rFonts w:ascii="Verdana" w:eastAsia="Geomanist Light" w:hAnsi="Verdana" w:cs="Arial"/>
        </w:rPr>
      </w:pPr>
    </w:p>
    <w:p w14:paraId="5820997D" w14:textId="77777777" w:rsidR="00EC23C5" w:rsidRDefault="00EC23C5" w:rsidP="00200C04">
      <w:pPr>
        <w:spacing w:after="0" w:line="240" w:lineRule="auto"/>
        <w:rPr>
          <w:rFonts w:ascii="Verdana" w:eastAsia="Geomanist Light" w:hAnsi="Verdana" w:cs="Arial"/>
        </w:rPr>
      </w:pPr>
    </w:p>
    <w:p w14:paraId="1090BB89" w14:textId="77777777" w:rsidR="00EC23C5" w:rsidRDefault="00EC23C5" w:rsidP="00200C04">
      <w:pPr>
        <w:spacing w:after="0" w:line="240" w:lineRule="auto"/>
        <w:rPr>
          <w:rFonts w:ascii="Verdana" w:eastAsia="Geomanist Light" w:hAnsi="Verdana" w:cs="Arial"/>
        </w:rPr>
      </w:pPr>
    </w:p>
    <w:p w14:paraId="2B7CB8C2" w14:textId="75AD332A" w:rsidR="00200C04" w:rsidRPr="00960F72" w:rsidRDefault="00200C04" w:rsidP="00200C04">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6AC8BA59" w14:textId="77777777" w:rsidR="00200C04" w:rsidRPr="00960F72" w:rsidRDefault="00200C04" w:rsidP="00200C04">
      <w:pPr>
        <w:spacing w:after="0" w:line="240" w:lineRule="auto"/>
        <w:jc w:val="both"/>
        <w:rPr>
          <w:rFonts w:ascii="Verdana" w:eastAsia="Calibri" w:hAnsi="Verdana" w:cs="Arial"/>
        </w:rPr>
      </w:pPr>
    </w:p>
    <w:p w14:paraId="31A1DA4D" w14:textId="526B6A83" w:rsidR="00200C04" w:rsidRDefault="009B0984" w:rsidP="00200C04">
      <w:pPr>
        <w:spacing w:after="0" w:line="240" w:lineRule="auto"/>
        <w:jc w:val="both"/>
        <w:rPr>
          <w:rFonts w:ascii="Verdana" w:eastAsia="Calibri" w:hAnsi="Verdana" w:cs="Arial"/>
          <w:lang w:eastAsia="es-ES"/>
        </w:rPr>
      </w:pPr>
      <w:r w:rsidRPr="009B0984">
        <w:rPr>
          <w:rStyle w:val="Hipervnculo"/>
          <w:rFonts w:ascii="Verdana" w:hAnsi="Verdana"/>
          <w:noProof/>
        </w:rPr>
        <w:drawing>
          <wp:anchor distT="0" distB="0" distL="114300" distR="114300" simplePos="0" relativeHeight="251659264" behindDoc="1" locked="0" layoutInCell="1" allowOverlap="1" wp14:anchorId="5C99055C" wp14:editId="7779089E">
            <wp:simplePos x="0" y="0"/>
            <wp:positionH relativeFrom="margin">
              <wp:posOffset>3771265</wp:posOffset>
            </wp:positionH>
            <wp:positionV relativeFrom="paragraph">
              <wp:posOffset>12065</wp:posOffset>
            </wp:positionV>
            <wp:extent cx="2235835" cy="708025"/>
            <wp:effectExtent l="0" t="0" r="0" b="0"/>
            <wp:wrapTight wrapText="bothSides">
              <wp:wrapPolygon edited="0">
                <wp:start x="0" y="0"/>
                <wp:lineTo x="0" y="20922"/>
                <wp:lineTo x="21348" y="20922"/>
                <wp:lineTo x="21348" y="0"/>
                <wp:lineTo x="0" y="0"/>
              </wp:wrapPolygon>
            </wp:wrapTight>
            <wp:docPr id="12304550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455002"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5835" cy="708025"/>
                    </a:xfrm>
                    <a:prstGeom prst="rect">
                      <a:avLst/>
                    </a:prstGeom>
                  </pic:spPr>
                </pic:pic>
              </a:graphicData>
            </a:graphic>
            <wp14:sizeRelH relativeFrom="page">
              <wp14:pctWidth>0</wp14:pctWidth>
            </wp14:sizeRelH>
            <wp14:sizeRelV relativeFrom="page">
              <wp14:pctHeight>0</wp14:pctHeight>
            </wp14:sizeRelV>
          </wp:anchor>
        </w:drawing>
      </w:r>
      <w:r w:rsidR="00200C04" w:rsidRPr="00A518F4">
        <w:rPr>
          <w:rFonts w:ascii="Verdana" w:eastAsia="Calibri" w:hAnsi="Verdana" w:cs="Arial"/>
          <w:lang w:eastAsia="es-ES"/>
        </w:rPr>
        <w:t>Seño</w:t>
      </w:r>
      <w:r w:rsidR="00200C04">
        <w:rPr>
          <w:rFonts w:ascii="Verdana" w:eastAsia="Calibri" w:hAnsi="Verdana" w:cs="Arial"/>
          <w:lang w:eastAsia="es-ES"/>
        </w:rPr>
        <w:t>r</w:t>
      </w:r>
    </w:p>
    <w:p w14:paraId="29407A17" w14:textId="54C3BB71" w:rsidR="00200C04" w:rsidRPr="00ED5707" w:rsidRDefault="00200C04" w:rsidP="00200C04">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Nelson Alfredo Forigua </w:t>
      </w:r>
      <w:proofErr w:type="spellStart"/>
      <w:r>
        <w:rPr>
          <w:rFonts w:ascii="Verdana" w:eastAsia="Calibri" w:hAnsi="Verdana" w:cs="Arial"/>
          <w:b/>
          <w:bCs/>
          <w:lang w:eastAsia="es-ES"/>
        </w:rPr>
        <w:t>Forigua</w:t>
      </w:r>
      <w:proofErr w:type="spellEnd"/>
    </w:p>
    <w:p w14:paraId="29988E16" w14:textId="261502D6" w:rsidR="00200C04" w:rsidRDefault="00200C04" w:rsidP="00200C04">
      <w:pPr>
        <w:spacing w:after="0" w:line="240" w:lineRule="auto"/>
        <w:rPr>
          <w:rFonts w:ascii="Verdana" w:hAnsi="Verdana"/>
        </w:rPr>
      </w:pPr>
      <w:hyperlink r:id="rId11" w:history="1">
        <w:r w:rsidRPr="000D4116">
          <w:rPr>
            <w:rStyle w:val="Hipervnculo"/>
            <w:rFonts w:ascii="Verdana" w:hAnsi="Verdana"/>
          </w:rPr>
          <w:t>nforigua@outlook.es</w:t>
        </w:r>
      </w:hyperlink>
    </w:p>
    <w:p w14:paraId="5C8FB1A4" w14:textId="12DE4636" w:rsidR="00200C04" w:rsidRPr="00A518F4" w:rsidRDefault="00200C04" w:rsidP="00200C04">
      <w:pPr>
        <w:spacing w:after="0" w:line="240" w:lineRule="auto"/>
        <w:rPr>
          <w:rFonts w:ascii="Verdana" w:eastAsia="Calibri" w:hAnsi="Verdana" w:cs="Arial"/>
          <w:b/>
          <w:bCs/>
          <w:lang w:eastAsia="es-ES"/>
        </w:rPr>
      </w:pPr>
      <w:r>
        <w:rPr>
          <w:rFonts w:ascii="Verdana" w:eastAsia="Calibri" w:hAnsi="Verdana" w:cs="Arial"/>
          <w:lang w:eastAsia="es-ES"/>
        </w:rPr>
        <w:t>Bogotá, Cundinamarca</w:t>
      </w:r>
    </w:p>
    <w:p w14:paraId="0F9EBDA4" w14:textId="46DAA8EE" w:rsidR="00200C04" w:rsidRPr="00A518F4" w:rsidRDefault="00200C04" w:rsidP="00200C04">
      <w:pPr>
        <w:spacing w:after="0" w:line="240" w:lineRule="auto"/>
        <w:rPr>
          <w:rFonts w:ascii="Verdana" w:eastAsia="Calibri" w:hAnsi="Verdana" w:cs="Arial"/>
          <w:b/>
          <w:bCs/>
          <w:lang w:eastAsia="es-ES_tradnl"/>
        </w:rPr>
      </w:pPr>
    </w:p>
    <w:p w14:paraId="57DE06FB" w14:textId="2D312BD6" w:rsidR="00200C04" w:rsidRPr="00960F72" w:rsidRDefault="00200C04" w:rsidP="00200C04">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80"/>
        <w:gridCol w:w="6209"/>
      </w:tblGrid>
      <w:tr w:rsidR="00200C04" w:rsidRPr="00960F72" w14:paraId="6D1F3AE9" w14:textId="77777777" w:rsidTr="17B5DA9D">
        <w:trPr>
          <w:trHeight w:val="190"/>
        </w:trPr>
        <w:tc>
          <w:tcPr>
            <w:tcW w:w="2580" w:type="dxa"/>
          </w:tcPr>
          <w:p w14:paraId="7BBEB32E" w14:textId="77777777" w:rsidR="00200C04" w:rsidRPr="00960F72" w:rsidRDefault="00200C04" w:rsidP="004D47DD">
            <w:pPr>
              <w:jc w:val="both"/>
              <w:rPr>
                <w:rFonts w:ascii="Verdana" w:eastAsia="Calibri" w:hAnsi="Verdana" w:cs="Arial"/>
                <w:b/>
                <w:bCs/>
                <w:lang w:eastAsia="es-ES_tradnl"/>
              </w:rPr>
            </w:pPr>
          </w:p>
        </w:tc>
        <w:tc>
          <w:tcPr>
            <w:tcW w:w="6209" w:type="dxa"/>
          </w:tcPr>
          <w:p w14:paraId="5DECF068" w14:textId="77777777" w:rsidR="00200C04" w:rsidRPr="00960F72" w:rsidRDefault="00200C04" w:rsidP="004D47DD">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478</w:t>
            </w:r>
            <w:r w:rsidRPr="00960F72">
              <w:rPr>
                <w:rFonts w:ascii="Verdana" w:eastAsia="Calibri" w:hAnsi="Verdana" w:cs="Arial"/>
                <w:b/>
                <w:bCs/>
                <w:lang w:eastAsia="es-ES"/>
              </w:rPr>
              <w:t xml:space="preserve"> de 2025</w:t>
            </w:r>
          </w:p>
          <w:p w14:paraId="65CFB9FE" w14:textId="77777777" w:rsidR="00200C04" w:rsidRPr="00960F72" w:rsidRDefault="00200C04" w:rsidP="004D47DD">
            <w:pPr>
              <w:jc w:val="both"/>
              <w:rPr>
                <w:rFonts w:ascii="Verdana" w:eastAsia="Calibri" w:hAnsi="Verdana" w:cs="Arial"/>
                <w:b/>
                <w:bCs/>
                <w:lang w:eastAsia="es-ES"/>
              </w:rPr>
            </w:pPr>
          </w:p>
        </w:tc>
      </w:tr>
      <w:tr w:rsidR="00200C04" w:rsidRPr="00960F72" w14:paraId="303A5559" w14:textId="77777777" w:rsidTr="17B5DA9D">
        <w:trPr>
          <w:trHeight w:val="884"/>
        </w:trPr>
        <w:tc>
          <w:tcPr>
            <w:tcW w:w="2580" w:type="dxa"/>
          </w:tcPr>
          <w:p w14:paraId="6223DD3A" w14:textId="77777777" w:rsidR="00200C04" w:rsidRPr="00960F72" w:rsidRDefault="00200C04" w:rsidP="004D47DD">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209" w:type="dxa"/>
          </w:tcPr>
          <w:p w14:paraId="14EAD928" w14:textId="77777777" w:rsidR="00200C04" w:rsidRPr="003A604C" w:rsidRDefault="00200C04" w:rsidP="004D47DD">
            <w:pPr>
              <w:contextualSpacing/>
              <w:jc w:val="both"/>
              <w:rPr>
                <w:rFonts w:ascii="Verdana" w:hAnsi="Verdana" w:cs="Arial"/>
                <w:b/>
                <w:bdr w:val="none" w:sz="0" w:space="0" w:color="auto" w:frame="1"/>
                <w:lang w:eastAsia="es-CO"/>
              </w:rPr>
            </w:pPr>
            <w:r w:rsidRPr="00142702">
              <w:rPr>
                <w:rFonts w:ascii="Verdana" w:eastAsia="Calibri" w:hAnsi="Verdana" w:cs="Arial"/>
                <w:bCs/>
                <w:lang w:val="es-ES"/>
              </w:rPr>
              <w:t xml:space="preserve">SUBSANABILIDAD – Concepto – Límites </w:t>
            </w:r>
            <w:r>
              <w:rPr>
                <w:rFonts w:ascii="Verdana" w:eastAsia="Calibri" w:hAnsi="Verdana" w:cs="Arial"/>
                <w:bCs/>
                <w:lang w:val="es-ES"/>
              </w:rPr>
              <w:t>-</w:t>
            </w:r>
            <w:r w:rsidRPr="00142702">
              <w:rPr>
                <w:rFonts w:ascii="Verdana" w:eastAsia="Calibri" w:hAnsi="Verdana" w:cs="Arial"/>
                <w:bCs/>
                <w:lang w:val="es-ES"/>
              </w:rPr>
              <w:t xml:space="preserve"> </w:t>
            </w:r>
            <w:r w:rsidRPr="00142702">
              <w:rPr>
                <w:rFonts w:ascii="Verdana" w:hAnsi="Verdana" w:cs="Arial"/>
                <w:bCs/>
                <w:bdr w:val="none" w:sz="0" w:space="0" w:color="auto" w:frame="1"/>
                <w:lang w:eastAsia="es-CO"/>
              </w:rPr>
              <w:t>SUBSANACIÓN – Requisitos Habilitantes – Reglas</w:t>
            </w:r>
            <w:r>
              <w:rPr>
                <w:rFonts w:ascii="Verdana" w:hAnsi="Verdana" w:cs="Arial"/>
                <w:bCs/>
                <w:bdr w:val="none" w:sz="0" w:space="0" w:color="auto" w:frame="1"/>
                <w:lang w:eastAsia="es-CO"/>
              </w:rPr>
              <w:t xml:space="preserve"> - </w:t>
            </w:r>
            <w:r w:rsidRPr="00142702">
              <w:rPr>
                <w:rFonts w:ascii="Verdana" w:hAnsi="Verdana" w:cs="Arial"/>
                <w:bCs/>
                <w:bdr w:val="none" w:sz="0" w:space="0" w:color="auto" w:frame="1"/>
                <w:lang w:eastAsia="es-CO"/>
              </w:rPr>
              <w:t>Manual para determinar y verificar los requisitos habilitantes en los Procesos de Contratación – consulta</w:t>
            </w:r>
            <w:r>
              <w:rPr>
                <w:rFonts w:ascii="Verdana" w:hAnsi="Verdana" w:cs="Arial"/>
                <w:bCs/>
                <w:bdr w:val="none" w:sz="0" w:space="0" w:color="auto" w:frame="1"/>
                <w:lang w:eastAsia="es-CO"/>
              </w:rPr>
              <w:t>.</w:t>
            </w:r>
          </w:p>
          <w:p w14:paraId="2125BB87" w14:textId="66CEB80C" w:rsidR="00200C04" w:rsidRDefault="00200C04" w:rsidP="004D47DD">
            <w:pPr>
              <w:jc w:val="both"/>
              <w:rPr>
                <w:rFonts w:ascii="Verdana" w:eastAsia="Calibri" w:hAnsi="Verdana" w:cs="Arial"/>
                <w:lang w:val="es-ES"/>
              </w:rPr>
            </w:pPr>
            <w:r w:rsidRPr="00F93094">
              <w:rPr>
                <w:rFonts w:ascii="Verdana" w:eastAsia="Calibri" w:hAnsi="Verdana" w:cs="Arial"/>
                <w:lang w:val="es-ES"/>
              </w:rPr>
              <w:t xml:space="preserve">  </w:t>
            </w:r>
          </w:p>
          <w:p w14:paraId="3F6CBFEF" w14:textId="77777777" w:rsidR="009B0984" w:rsidRPr="009B0984" w:rsidRDefault="009B0984" w:rsidP="004D47DD">
            <w:pPr>
              <w:jc w:val="both"/>
              <w:rPr>
                <w:rFonts w:ascii="Verdana" w:eastAsia="Calibri" w:hAnsi="Verdana" w:cs="Arial"/>
                <w:lang w:val="es-ES" w:eastAsia="es-ES"/>
              </w:rPr>
            </w:pPr>
          </w:p>
          <w:p w14:paraId="6FBFE829" w14:textId="77777777" w:rsidR="009B0984" w:rsidRPr="00960F72" w:rsidRDefault="009B0984" w:rsidP="004D47DD">
            <w:pPr>
              <w:jc w:val="both"/>
              <w:rPr>
                <w:rFonts w:ascii="Verdana" w:eastAsia="Calibri" w:hAnsi="Verdana" w:cs="Arial"/>
                <w:lang w:eastAsia="es-ES"/>
              </w:rPr>
            </w:pPr>
          </w:p>
        </w:tc>
      </w:tr>
      <w:tr w:rsidR="00200C04" w:rsidRPr="00960F72" w14:paraId="4B356898" w14:textId="77777777" w:rsidTr="17B5DA9D">
        <w:tc>
          <w:tcPr>
            <w:tcW w:w="2580" w:type="dxa"/>
          </w:tcPr>
          <w:p w14:paraId="48E8F2E6" w14:textId="77777777" w:rsidR="00200C04" w:rsidRPr="00960F72" w:rsidRDefault="00200C04" w:rsidP="004D47DD">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209" w:type="dxa"/>
          </w:tcPr>
          <w:p w14:paraId="2BBB4AE8" w14:textId="77777777" w:rsidR="00200C04" w:rsidRPr="00960F72" w:rsidRDefault="00200C04" w:rsidP="004D47DD">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ED5707">
              <w:rPr>
                <w:rFonts w:ascii="Verdana" w:eastAsia="Calibri" w:hAnsi="Verdana" w:cs="Arial"/>
                <w:lang w:eastAsia="es-ES_tradnl"/>
              </w:rPr>
              <w:t>1_2025_10_09_011316</w:t>
            </w:r>
          </w:p>
        </w:tc>
      </w:tr>
    </w:tbl>
    <w:p w14:paraId="5AFA5F8A" w14:textId="77777777" w:rsidR="00200C04" w:rsidRPr="00960F72" w:rsidRDefault="00200C04" w:rsidP="00200C04">
      <w:pPr>
        <w:spacing w:after="0" w:line="240" w:lineRule="auto"/>
        <w:jc w:val="both"/>
        <w:rPr>
          <w:rFonts w:ascii="Verdana" w:eastAsia="Calibri" w:hAnsi="Verdana" w:cs="Arial"/>
          <w:lang w:eastAsia="es-ES_tradnl"/>
        </w:rPr>
      </w:pPr>
    </w:p>
    <w:p w14:paraId="5230268B" w14:textId="77777777" w:rsidR="00200C04" w:rsidRPr="00960F72" w:rsidRDefault="00200C04" w:rsidP="00200C04">
      <w:pPr>
        <w:spacing w:after="0" w:line="240" w:lineRule="auto"/>
        <w:jc w:val="both"/>
        <w:rPr>
          <w:rFonts w:ascii="Verdana" w:eastAsia="Calibri" w:hAnsi="Verdana" w:cs="Arial"/>
          <w:lang w:eastAsia="es-ES_tradnl"/>
        </w:rPr>
      </w:pPr>
    </w:p>
    <w:p w14:paraId="1C43948A" w14:textId="77777777" w:rsidR="00200C04" w:rsidRPr="00960F72" w:rsidRDefault="00200C04" w:rsidP="00200C04">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o </w:t>
      </w:r>
      <w:r w:rsidRPr="00960F72">
        <w:rPr>
          <w:rFonts w:ascii="Verdana" w:eastAsia="Calibri" w:hAnsi="Verdana" w:cs="Arial"/>
          <w:lang w:eastAsia="es-ES"/>
        </w:rPr>
        <w:t>señor</w:t>
      </w:r>
      <w:r>
        <w:rPr>
          <w:rFonts w:ascii="Verdana" w:eastAsia="Calibri" w:hAnsi="Verdana" w:cs="Arial"/>
          <w:lang w:eastAsia="es-ES"/>
        </w:rPr>
        <w:t xml:space="preserve"> Forigua</w:t>
      </w:r>
      <w:r w:rsidRPr="00960F72">
        <w:rPr>
          <w:rFonts w:ascii="Verdana" w:eastAsia="Calibri" w:hAnsi="Verdana" w:cs="Arial"/>
          <w:lang w:eastAsia="es-ES"/>
        </w:rPr>
        <w:t xml:space="preserve">: </w:t>
      </w:r>
    </w:p>
    <w:p w14:paraId="67A63724" w14:textId="77777777" w:rsidR="00200C04" w:rsidRPr="00960F72" w:rsidRDefault="00200C04" w:rsidP="00200C04">
      <w:pPr>
        <w:tabs>
          <w:tab w:val="left" w:pos="3768"/>
        </w:tabs>
        <w:spacing w:after="0" w:line="276" w:lineRule="auto"/>
        <w:jc w:val="both"/>
        <w:rPr>
          <w:rFonts w:ascii="Verdana" w:eastAsia="Calibri" w:hAnsi="Verdana" w:cs="Arial"/>
          <w:lang w:eastAsia="es-ES"/>
        </w:rPr>
      </w:pPr>
    </w:p>
    <w:p w14:paraId="6E9E4514" w14:textId="77777777" w:rsidR="00200C04" w:rsidRPr="00960F72" w:rsidRDefault="00200C04" w:rsidP="00200C04">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09 </w:t>
      </w:r>
      <w:r w:rsidRPr="00960F72">
        <w:rPr>
          <w:rFonts w:ascii="Verdana" w:eastAsia="Calibri" w:hAnsi="Verdana" w:cs="Arial"/>
          <w:lang w:eastAsia="es-ES"/>
        </w:rPr>
        <w:t xml:space="preserve">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48CD0AC6" w14:textId="77777777" w:rsidR="00200C04" w:rsidRPr="00960F72" w:rsidRDefault="00200C04" w:rsidP="00200C04">
      <w:pPr>
        <w:spacing w:after="0" w:line="276" w:lineRule="auto"/>
        <w:jc w:val="both"/>
        <w:rPr>
          <w:rFonts w:ascii="Verdana" w:eastAsia="Calibri" w:hAnsi="Verdana" w:cs="Arial"/>
          <w:lang w:eastAsia="es-ES"/>
        </w:rPr>
      </w:pPr>
    </w:p>
    <w:p w14:paraId="7D23272A" w14:textId="77777777" w:rsidR="00200C04" w:rsidRPr="00A4653E" w:rsidRDefault="00200C04" w:rsidP="00200C04">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A4653E">
        <w:rPr>
          <w:rFonts w:ascii="Verdana" w:eastAsia="Calibri" w:hAnsi="Verdana" w:cs="Arial"/>
          <w:sz w:val="20"/>
          <w:szCs w:val="20"/>
          <w:lang w:eastAsia="es-ES"/>
        </w:rPr>
        <w:t>1. Es subsanable la modificación de la duración de una sociedad comercial en</w:t>
      </w:r>
      <w:r>
        <w:rPr>
          <w:rFonts w:ascii="Verdana" w:eastAsia="Calibri" w:hAnsi="Verdana" w:cs="Arial"/>
          <w:sz w:val="20"/>
          <w:szCs w:val="20"/>
          <w:lang w:eastAsia="es-ES"/>
        </w:rPr>
        <w:t xml:space="preserve"> </w:t>
      </w:r>
      <w:r w:rsidRPr="00A4653E">
        <w:rPr>
          <w:rFonts w:ascii="Verdana" w:eastAsia="Calibri" w:hAnsi="Verdana" w:cs="Arial"/>
          <w:sz w:val="20"/>
          <w:szCs w:val="20"/>
          <w:lang w:eastAsia="es-ES"/>
        </w:rPr>
        <w:t>la fecha prevista para el cierre de la oferta, siempre y cuando el acto administrativo</w:t>
      </w:r>
      <w:r>
        <w:rPr>
          <w:rFonts w:ascii="Verdana" w:eastAsia="Calibri" w:hAnsi="Verdana" w:cs="Arial"/>
          <w:sz w:val="20"/>
          <w:szCs w:val="20"/>
          <w:lang w:eastAsia="es-ES"/>
        </w:rPr>
        <w:t xml:space="preserve"> </w:t>
      </w:r>
      <w:r w:rsidRPr="00A4653E">
        <w:rPr>
          <w:rFonts w:ascii="Verdana" w:eastAsia="Calibri" w:hAnsi="Verdana" w:cs="Arial"/>
          <w:sz w:val="20"/>
          <w:szCs w:val="20"/>
          <w:lang w:eastAsia="es-ES"/>
        </w:rPr>
        <w:t>de registro, este en firme en el certificado de existencia o representación legal o:</w:t>
      </w:r>
    </w:p>
    <w:p w14:paraId="48A28346" w14:textId="77777777" w:rsidR="00200C04" w:rsidRPr="00A4653E" w:rsidRDefault="00200C04" w:rsidP="00200C04">
      <w:pPr>
        <w:spacing w:after="0" w:line="240" w:lineRule="auto"/>
        <w:ind w:left="709" w:right="709"/>
        <w:jc w:val="both"/>
        <w:rPr>
          <w:rFonts w:ascii="Verdana" w:eastAsia="Calibri" w:hAnsi="Verdana" w:cs="Arial"/>
          <w:sz w:val="20"/>
          <w:szCs w:val="20"/>
          <w:lang w:eastAsia="es-ES"/>
        </w:rPr>
      </w:pPr>
      <w:r w:rsidRPr="00A4653E">
        <w:rPr>
          <w:rFonts w:ascii="Verdana" w:eastAsia="Calibri" w:hAnsi="Verdana" w:cs="Arial"/>
          <w:sz w:val="20"/>
          <w:szCs w:val="20"/>
          <w:lang w:eastAsia="es-ES"/>
        </w:rPr>
        <w:t xml:space="preserve">a) </w:t>
      </w:r>
      <w:proofErr w:type="gramStart"/>
      <w:r w:rsidRPr="00A4653E">
        <w:rPr>
          <w:rFonts w:ascii="Verdana" w:eastAsia="Calibri" w:hAnsi="Verdana" w:cs="Arial"/>
          <w:sz w:val="20"/>
          <w:szCs w:val="20"/>
          <w:lang w:eastAsia="es-ES"/>
        </w:rPr>
        <w:t>En la fecha de la suscripción del acta (art. 189 Código de Comercio), que</w:t>
      </w:r>
      <w:r>
        <w:rPr>
          <w:rFonts w:ascii="Verdana" w:eastAsia="Calibri" w:hAnsi="Verdana" w:cs="Arial"/>
          <w:sz w:val="20"/>
          <w:szCs w:val="20"/>
          <w:lang w:eastAsia="es-ES"/>
        </w:rPr>
        <w:t xml:space="preserve"> </w:t>
      </w:r>
      <w:r w:rsidRPr="00A4653E">
        <w:rPr>
          <w:rFonts w:ascii="Verdana" w:eastAsia="Calibri" w:hAnsi="Verdana" w:cs="Arial"/>
          <w:sz w:val="20"/>
          <w:szCs w:val="20"/>
          <w:lang w:eastAsia="es-ES"/>
        </w:rPr>
        <w:t>autorice la modificación de la duración de la sociedad comercial</w:t>
      </w:r>
      <w:r>
        <w:rPr>
          <w:rFonts w:ascii="Verdana" w:eastAsia="Calibri" w:hAnsi="Verdana" w:cs="Arial"/>
          <w:sz w:val="20"/>
          <w:szCs w:val="20"/>
          <w:lang w:eastAsia="es-ES"/>
        </w:rPr>
        <w:t>?</w:t>
      </w:r>
      <w:proofErr w:type="gramEnd"/>
    </w:p>
    <w:p w14:paraId="1D92E894" w14:textId="77777777" w:rsidR="00200C04" w:rsidRPr="00A4653E" w:rsidRDefault="00200C04" w:rsidP="00200C04">
      <w:pPr>
        <w:spacing w:after="0" w:line="240" w:lineRule="auto"/>
        <w:ind w:left="709" w:right="709"/>
        <w:jc w:val="both"/>
        <w:rPr>
          <w:rFonts w:ascii="Verdana" w:eastAsia="Calibri" w:hAnsi="Verdana" w:cs="Arial"/>
          <w:sz w:val="20"/>
          <w:szCs w:val="20"/>
          <w:lang w:eastAsia="es-ES"/>
        </w:rPr>
      </w:pPr>
      <w:r w:rsidRPr="00A4653E">
        <w:rPr>
          <w:rFonts w:ascii="Verdana" w:eastAsia="Calibri" w:hAnsi="Verdana" w:cs="Arial"/>
          <w:sz w:val="20"/>
          <w:szCs w:val="20"/>
          <w:lang w:eastAsia="es-ES"/>
        </w:rPr>
        <w:t>b) En la fecha en que dicha reforma de modificación de la sociedad comercial</w:t>
      </w:r>
      <w:r>
        <w:rPr>
          <w:rFonts w:ascii="Verdana" w:eastAsia="Calibri" w:hAnsi="Verdana" w:cs="Arial"/>
          <w:sz w:val="20"/>
          <w:szCs w:val="20"/>
          <w:lang w:eastAsia="es-ES"/>
        </w:rPr>
        <w:t xml:space="preserve"> </w:t>
      </w:r>
      <w:r w:rsidRPr="00A4653E">
        <w:rPr>
          <w:rFonts w:ascii="Verdana" w:eastAsia="Calibri" w:hAnsi="Verdana" w:cs="Arial"/>
          <w:sz w:val="20"/>
          <w:szCs w:val="20"/>
          <w:lang w:eastAsia="es-ES"/>
        </w:rPr>
        <w:t>(art.158 del Código de Comercio) se reduzca a escritura pública</w:t>
      </w:r>
      <w:r>
        <w:rPr>
          <w:rFonts w:ascii="Verdana" w:eastAsia="Calibri" w:hAnsi="Verdana" w:cs="Arial"/>
          <w:sz w:val="20"/>
          <w:szCs w:val="20"/>
          <w:lang w:eastAsia="es-ES"/>
        </w:rPr>
        <w:t>?</w:t>
      </w:r>
    </w:p>
    <w:p w14:paraId="27F12892" w14:textId="77777777" w:rsidR="00200C04" w:rsidRPr="00A4653E" w:rsidRDefault="00200C04" w:rsidP="00200C04">
      <w:pPr>
        <w:spacing w:after="0" w:line="240" w:lineRule="auto"/>
        <w:ind w:left="709" w:right="709"/>
        <w:jc w:val="both"/>
        <w:rPr>
          <w:rFonts w:ascii="Verdana" w:eastAsia="Calibri" w:hAnsi="Verdana" w:cs="Arial"/>
          <w:sz w:val="20"/>
          <w:szCs w:val="20"/>
          <w:lang w:eastAsia="es-ES"/>
        </w:rPr>
      </w:pPr>
      <w:r w:rsidRPr="00A4653E">
        <w:rPr>
          <w:rFonts w:ascii="Verdana" w:eastAsia="Calibri" w:hAnsi="Verdana" w:cs="Arial"/>
          <w:sz w:val="20"/>
          <w:szCs w:val="20"/>
          <w:lang w:eastAsia="es-ES"/>
        </w:rPr>
        <w:t>c) En la fecha que se registre la escritura pública de modificación de duración,</w:t>
      </w:r>
      <w:r>
        <w:rPr>
          <w:rFonts w:ascii="Verdana" w:eastAsia="Calibri" w:hAnsi="Verdana" w:cs="Arial"/>
          <w:sz w:val="20"/>
          <w:szCs w:val="20"/>
          <w:lang w:eastAsia="es-ES"/>
        </w:rPr>
        <w:t xml:space="preserve"> </w:t>
      </w:r>
      <w:r w:rsidRPr="00A4653E">
        <w:rPr>
          <w:rFonts w:ascii="Verdana" w:eastAsia="Calibri" w:hAnsi="Verdana" w:cs="Arial"/>
          <w:sz w:val="20"/>
          <w:szCs w:val="20"/>
          <w:lang w:eastAsia="es-ES"/>
        </w:rPr>
        <w:t xml:space="preserve">en el certificado de existencia y representación </w:t>
      </w:r>
      <w:proofErr w:type="gramStart"/>
      <w:r w:rsidRPr="00A4653E">
        <w:rPr>
          <w:rFonts w:ascii="Verdana" w:eastAsia="Calibri" w:hAnsi="Verdana" w:cs="Arial"/>
          <w:sz w:val="20"/>
          <w:szCs w:val="20"/>
          <w:lang w:eastAsia="es-ES"/>
        </w:rPr>
        <w:t>legal ?</w:t>
      </w:r>
      <w:proofErr w:type="gramEnd"/>
    </w:p>
    <w:p w14:paraId="69AE225B" w14:textId="77777777" w:rsidR="00200C04" w:rsidRPr="00A4653E" w:rsidRDefault="00200C04" w:rsidP="00200C04">
      <w:pPr>
        <w:spacing w:after="0" w:line="240" w:lineRule="auto"/>
        <w:ind w:left="709" w:right="709"/>
        <w:jc w:val="both"/>
        <w:rPr>
          <w:rFonts w:ascii="Verdana" w:eastAsia="Calibri" w:hAnsi="Verdana" w:cs="Arial"/>
          <w:sz w:val="20"/>
          <w:szCs w:val="20"/>
          <w:lang w:eastAsia="es-ES"/>
        </w:rPr>
      </w:pPr>
      <w:r w:rsidRPr="00A4653E">
        <w:rPr>
          <w:rFonts w:ascii="Verdana" w:eastAsia="Calibri" w:hAnsi="Verdana" w:cs="Arial"/>
          <w:sz w:val="20"/>
          <w:szCs w:val="20"/>
          <w:lang w:eastAsia="es-ES"/>
        </w:rPr>
        <w:t>d) Cuando el acto administrativo de registro de la escritura pública de</w:t>
      </w:r>
    </w:p>
    <w:p w14:paraId="5868FB89" w14:textId="77777777" w:rsidR="00200C04" w:rsidRPr="00A4653E" w:rsidRDefault="00200C04" w:rsidP="00200C04">
      <w:pPr>
        <w:spacing w:after="0" w:line="240" w:lineRule="auto"/>
        <w:ind w:left="709" w:right="709"/>
        <w:jc w:val="both"/>
        <w:rPr>
          <w:rFonts w:ascii="Verdana" w:eastAsia="Calibri" w:hAnsi="Verdana" w:cs="Arial"/>
          <w:sz w:val="20"/>
          <w:szCs w:val="20"/>
          <w:lang w:eastAsia="es-ES"/>
        </w:rPr>
      </w:pPr>
      <w:r w:rsidRPr="00A4653E">
        <w:rPr>
          <w:rFonts w:ascii="Verdana" w:eastAsia="Calibri" w:hAnsi="Verdana" w:cs="Arial"/>
          <w:sz w:val="20"/>
          <w:szCs w:val="20"/>
          <w:lang w:eastAsia="es-ES"/>
        </w:rPr>
        <w:lastRenderedPageBreak/>
        <w:t>modificación de la duración quede en firme dentro de los diez (10) días hábiles</w:t>
      </w:r>
      <w:r>
        <w:rPr>
          <w:rFonts w:ascii="Verdana" w:eastAsia="Calibri" w:hAnsi="Verdana" w:cs="Arial"/>
          <w:sz w:val="20"/>
          <w:szCs w:val="20"/>
          <w:lang w:eastAsia="es-ES"/>
        </w:rPr>
        <w:t xml:space="preserve"> </w:t>
      </w:r>
      <w:r w:rsidRPr="00A4653E">
        <w:rPr>
          <w:rFonts w:ascii="Verdana" w:eastAsia="Calibri" w:hAnsi="Verdana" w:cs="Arial"/>
          <w:sz w:val="20"/>
          <w:szCs w:val="20"/>
          <w:lang w:eastAsia="es-ES"/>
        </w:rPr>
        <w:t>siguientes a la fecha de inscripción, siempre que no sean objeto de recursos?</w:t>
      </w:r>
      <w:r>
        <w:rPr>
          <w:rFonts w:ascii="Verdana" w:eastAsia="Calibri" w:hAnsi="Verdana" w:cs="Arial"/>
          <w:sz w:val="20"/>
          <w:szCs w:val="20"/>
          <w:lang w:eastAsia="es-ES"/>
        </w:rPr>
        <w:t>”</w:t>
      </w:r>
    </w:p>
    <w:p w14:paraId="6657258E" w14:textId="77777777" w:rsidR="009B0984" w:rsidRPr="00755387" w:rsidRDefault="009B0984" w:rsidP="009B0984">
      <w:pPr>
        <w:spacing w:after="0" w:line="276" w:lineRule="auto"/>
        <w:ind w:right="709"/>
        <w:jc w:val="both"/>
        <w:rPr>
          <w:rFonts w:ascii="Verdana" w:eastAsia="Calibri" w:hAnsi="Verdana" w:cs="Arial"/>
          <w:lang w:eastAsia="es-ES"/>
        </w:rPr>
      </w:pPr>
    </w:p>
    <w:p w14:paraId="2C74513F" w14:textId="77777777" w:rsidR="00200C04" w:rsidRPr="00960F72" w:rsidRDefault="00200C04" w:rsidP="00200C04">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055DADEA" w14:textId="77777777" w:rsidR="00200C04" w:rsidRPr="00960F72" w:rsidRDefault="00200C04" w:rsidP="00200C04">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5E59D2E" w14:textId="77777777" w:rsidR="00200C04" w:rsidRPr="00960F72" w:rsidRDefault="00200C04" w:rsidP="00200C04">
      <w:pPr>
        <w:spacing w:after="0" w:line="276" w:lineRule="auto"/>
        <w:ind w:firstLine="709"/>
        <w:jc w:val="both"/>
        <w:rPr>
          <w:rFonts w:ascii="Verdana" w:eastAsia="Calibri" w:hAnsi="Verdana" w:cs="Arial"/>
          <w:lang w:eastAsia="es-ES"/>
        </w:rPr>
      </w:pPr>
    </w:p>
    <w:p w14:paraId="04CBF03D" w14:textId="77777777" w:rsidR="00200C04" w:rsidRPr="00960F72" w:rsidRDefault="00200C04" w:rsidP="00200C0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1ECC17D3" w14:textId="77777777" w:rsidR="00200C04" w:rsidRPr="00960F72" w:rsidRDefault="00200C04" w:rsidP="00200C04">
      <w:pPr>
        <w:tabs>
          <w:tab w:val="left" w:pos="426"/>
        </w:tabs>
        <w:spacing w:after="0" w:line="276" w:lineRule="auto"/>
        <w:jc w:val="both"/>
        <w:rPr>
          <w:rFonts w:ascii="Verdana" w:eastAsia="Century Gothic" w:hAnsi="Verdana" w:cs="Century Gothic"/>
        </w:rPr>
      </w:pPr>
    </w:p>
    <w:p w14:paraId="16BAADF5" w14:textId="7863F416" w:rsidR="00200C04" w:rsidRPr="00BE7F01" w:rsidRDefault="00200C04" w:rsidP="00200C04">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A4653E">
        <w:rPr>
          <w:rFonts w:ascii="Verdana" w:eastAsia="Century Gothic" w:hAnsi="Verdana" w:cs="Century Gothic"/>
        </w:rPr>
        <w:t>¿</w:t>
      </w:r>
      <w:r w:rsidR="00FA0FAB" w:rsidRPr="00FA0FAB">
        <w:rPr>
          <w:rFonts w:ascii="Verdana" w:hAnsi="Verdana"/>
        </w:rPr>
        <w:t xml:space="preserve">Es jurídicamente procedente permitir la subsanación de requisitos habilitantes cuando la corrección se realiza en la misma fecha de cierre de la oferta, y cómo incide en dicha procedencia la distinción entre la acreditación del requisito y la prueba </w:t>
      </w:r>
      <w:proofErr w:type="gramStart"/>
      <w:r w:rsidR="00FA0FAB" w:rsidRPr="00FA0FAB">
        <w:rPr>
          <w:rFonts w:ascii="Verdana" w:hAnsi="Verdana"/>
        </w:rPr>
        <w:t>del mismo</w:t>
      </w:r>
      <w:proofErr w:type="gramEnd"/>
      <w:r w:rsidR="00FA0FAB" w:rsidRPr="00FA0FAB">
        <w:rPr>
          <w:rFonts w:ascii="Verdana" w:hAnsi="Verdana"/>
        </w:rPr>
        <w:t xml:space="preserve"> para efectos de determinar la oportunidad y validez de la subsanación?</w:t>
      </w:r>
    </w:p>
    <w:p w14:paraId="13330B48" w14:textId="77777777" w:rsidR="009B0984" w:rsidRPr="00960F72" w:rsidRDefault="009B0984" w:rsidP="00200C04">
      <w:pPr>
        <w:spacing w:after="0" w:line="276" w:lineRule="auto"/>
        <w:jc w:val="both"/>
        <w:rPr>
          <w:rFonts w:ascii="Verdana" w:eastAsia="Century Gothic" w:hAnsi="Verdana" w:cs="Century Gothic"/>
        </w:rPr>
      </w:pPr>
    </w:p>
    <w:p w14:paraId="018ED77B" w14:textId="163D7BB5" w:rsidR="00200C04" w:rsidRDefault="00200C04" w:rsidP="00200C0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1C533585" w14:textId="77777777" w:rsidR="009B0984" w:rsidRPr="009B0984" w:rsidRDefault="009B0984" w:rsidP="009B098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0C04" w:rsidRPr="00960F72" w14:paraId="5571BB2D" w14:textId="77777777" w:rsidTr="004D47DD">
        <w:tc>
          <w:tcPr>
            <w:tcW w:w="8828" w:type="dxa"/>
          </w:tcPr>
          <w:p w14:paraId="04DF15FA" w14:textId="77777777" w:rsidR="009B0984" w:rsidRDefault="00200C04" w:rsidP="004D47DD">
            <w:pPr>
              <w:spacing w:after="120" w:line="276" w:lineRule="auto"/>
              <w:jc w:val="both"/>
              <w:rPr>
                <w:rFonts w:ascii="Verdana" w:eastAsia="Calibri" w:hAnsi="Verdana" w:cs="Arial"/>
              </w:rPr>
            </w:pPr>
            <w:r w:rsidRPr="001A10D9">
              <w:rPr>
                <w:rFonts w:ascii="Verdana" w:eastAsia="Calibri" w:hAnsi="Verdana" w:cs="Arial"/>
              </w:rPr>
              <w:t xml:space="preserve">La regla de </w:t>
            </w:r>
            <w:proofErr w:type="spellStart"/>
            <w:r w:rsidRPr="001A10D9">
              <w:rPr>
                <w:rFonts w:ascii="Verdana" w:eastAsia="Calibri" w:hAnsi="Verdana" w:cs="Arial"/>
              </w:rPr>
              <w:t>subsanabilidad</w:t>
            </w:r>
            <w:proofErr w:type="spellEnd"/>
            <w:r w:rsidRPr="001A10D9">
              <w:rPr>
                <w:rFonts w:ascii="Verdana" w:eastAsia="Calibri" w:hAnsi="Verdana" w:cs="Arial"/>
              </w:rPr>
              <w:t>, prevista en el artículo 5 de la Ley 1150 de 2007,</w:t>
            </w:r>
          </w:p>
          <w:p w14:paraId="5FED2EB2" w14:textId="4FBF9C61" w:rsidR="00200C04" w:rsidRPr="001A10D9" w:rsidRDefault="00200C04" w:rsidP="004D47DD">
            <w:pPr>
              <w:spacing w:after="120" w:line="276" w:lineRule="auto"/>
              <w:jc w:val="both"/>
              <w:rPr>
                <w:rFonts w:ascii="Verdana" w:eastAsia="Calibri" w:hAnsi="Verdana" w:cs="Arial"/>
              </w:rPr>
            </w:pPr>
            <w:r w:rsidRPr="001A10D9">
              <w:rPr>
                <w:rFonts w:ascii="Verdana" w:eastAsia="Calibri" w:hAnsi="Verdana" w:cs="Arial"/>
              </w:rPr>
              <w:lastRenderedPageBreak/>
              <w:t xml:space="preserve"> es un mecanismo previsto en los procesos de contratación estatal que se regulan por el EGCAP, según la cual los proponentes</w:t>
            </w:r>
            <w:r>
              <w:rPr>
                <w:rFonts w:ascii="Verdana" w:eastAsia="Calibri" w:hAnsi="Verdana" w:cs="Arial"/>
              </w:rPr>
              <w:t xml:space="preserve"> </w:t>
            </w:r>
            <w:r w:rsidRPr="001A10D9">
              <w:rPr>
                <w:rFonts w:ascii="Verdana" w:eastAsia="Calibri" w:hAnsi="Verdana" w:cs="Arial"/>
              </w:rPr>
              <w:t xml:space="preserve">pueden enmendar, corregir o modificar los errores en los que se incurre en los documentos contentivos de la oferta. </w:t>
            </w:r>
          </w:p>
          <w:p w14:paraId="29255887" w14:textId="77777777" w:rsidR="00200C04" w:rsidRPr="00EF7F40" w:rsidRDefault="00200C04" w:rsidP="004D47DD">
            <w:pPr>
              <w:spacing w:after="120" w:line="276" w:lineRule="auto"/>
              <w:ind w:firstLine="709"/>
              <w:jc w:val="both"/>
              <w:rPr>
                <w:rFonts w:ascii="Verdana" w:eastAsia="Times New Roman" w:hAnsi="Verdana" w:cs="Arial"/>
                <w:i/>
                <w:lang w:val="es-ES" w:eastAsia="es-ES"/>
              </w:rPr>
            </w:pPr>
            <w:r w:rsidRPr="00EF7F40">
              <w:rPr>
                <w:rFonts w:ascii="Verdana" w:hAnsi="Verdana" w:cs="Arial"/>
                <w:noProof/>
                <w:lang w:val="es-ES_tradnl"/>
              </w:rPr>
              <w:t xml:space="preserve">Conforme a las reglas de subsanabilidad, los requisitos o documentos que no sean necesarios para la comparación de las ofertas pueden subsanarse y todo lo que no sea necesario para la comparación de propuestas no es título suficiente para su rechazo. </w:t>
            </w:r>
          </w:p>
          <w:p w14:paraId="18C20DA2" w14:textId="77777777" w:rsidR="00200C04" w:rsidRPr="00EF7F40" w:rsidRDefault="00200C04" w:rsidP="004D47DD">
            <w:pPr>
              <w:spacing w:after="120" w:line="276" w:lineRule="auto"/>
              <w:ind w:firstLine="709"/>
              <w:jc w:val="both"/>
              <w:rPr>
                <w:rFonts w:ascii="Verdana" w:eastAsia="Times New Roman" w:hAnsi="Verdana" w:cs="Arial"/>
                <w:lang w:val="es-ES_tradnl" w:eastAsia="es-ES_tradnl"/>
              </w:rPr>
            </w:pPr>
            <w:r w:rsidRPr="00EF7F40">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6150E549" w14:textId="77777777" w:rsidR="009B0984" w:rsidRDefault="00200C04" w:rsidP="009B0984">
            <w:pPr>
              <w:spacing w:after="120" w:line="276" w:lineRule="auto"/>
              <w:ind w:firstLine="709"/>
              <w:jc w:val="both"/>
              <w:rPr>
                <w:rFonts w:ascii="Verdana" w:eastAsia="Times New Roman" w:hAnsi="Verdana" w:cs="Arial"/>
                <w:lang w:val="es-ES" w:eastAsia="es-ES"/>
              </w:rPr>
            </w:pPr>
            <w:r w:rsidRPr="00EF7F40">
              <w:rPr>
                <w:rFonts w:ascii="Verdana" w:eastAsia="Times New Roman" w:hAnsi="Verdana" w:cs="Arial"/>
                <w:lang w:val="es-ES" w:eastAsia="es-ES"/>
              </w:rPr>
              <w:t>Visto lo anterior, con miras a dar respuesta al problema jurídico planteado, debe decirse que,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5F11A739" w14:textId="4B0D8916" w:rsidR="00200C04" w:rsidRPr="009B0984" w:rsidRDefault="00200C04" w:rsidP="009B0984">
            <w:pPr>
              <w:spacing w:after="120" w:line="276" w:lineRule="auto"/>
              <w:ind w:firstLine="709"/>
              <w:jc w:val="both"/>
              <w:rPr>
                <w:rFonts w:ascii="Verdana" w:eastAsia="Times New Roman" w:hAnsi="Verdana" w:cs="Arial"/>
                <w:lang w:val="es-ES" w:eastAsia="es-ES"/>
              </w:rPr>
            </w:pPr>
            <w:r w:rsidRPr="41A17B4F">
              <w:rPr>
                <w:rFonts w:ascii="Verdana" w:hAnsi="Verdana" w:cs="Arial"/>
                <w:lang w:val="es-ES"/>
              </w:rPr>
              <w:t xml:space="preserve">En </w:t>
            </w:r>
            <w:proofErr w:type="spellStart"/>
            <w:r w:rsidRPr="41A17B4F">
              <w:rPr>
                <w:rFonts w:ascii="Verdana" w:hAnsi="Verdana" w:cs="Arial"/>
                <w:lang w:val="es-ES"/>
              </w:rPr>
              <w:t>conclusion</w:t>
            </w:r>
            <w:proofErr w:type="spellEnd"/>
            <w:r w:rsidRPr="41A17B4F">
              <w:rPr>
                <w:rFonts w:ascii="Verdana" w:hAnsi="Verdana" w:cs="Arial"/>
                <w:lang w:val="es-ES"/>
              </w:rPr>
              <w:t xml:space="preserve">, los requisitos o documentos que no sean necesarios para la comparación de las ofertas pueden subsanarse y todo lo que no sea necesario para la comparación de propuestas no es título suficiente para su rechazo. </w:t>
            </w:r>
            <w:r w:rsidRPr="41A17B4F">
              <w:rPr>
                <w:rFonts w:ascii="Verdana" w:hAnsi="Verdana" w:cs="Arial"/>
                <w:noProof/>
                <w:lang w:val="es-ES"/>
              </w:rPr>
              <w:t>En sentido</w:t>
            </w:r>
            <w:r w:rsidR="730A9041" w:rsidRPr="41A17B4F">
              <w:rPr>
                <w:rFonts w:ascii="Verdana" w:hAnsi="Verdana" w:cs="Arial"/>
                <w:noProof/>
                <w:lang w:val="es-ES"/>
              </w:rPr>
              <w:t xml:space="preserve"> y a titulo de ejemplo</w:t>
            </w:r>
            <w:r w:rsidRPr="41A17B4F">
              <w:rPr>
                <w:rFonts w:ascii="Verdana" w:hAnsi="Verdana" w:cs="Arial"/>
                <w:lang w:val="es-ES"/>
              </w:rPr>
              <w:t xml:space="preserve">, si en un concurso de méritos se presentó a un profesional para cumplir con un perfil solicitado como requisito </w:t>
            </w:r>
            <w:r w:rsidRPr="41A17B4F">
              <w:rPr>
                <w:rFonts w:ascii="Verdana" w:hAnsi="Verdana" w:cs="Arial"/>
                <w:lang w:val="es-ES"/>
              </w:rPr>
              <w:lastRenderedPageBreak/>
              <w:t xml:space="preserve">habilitante, pero la entidad encontró alguna inconsistencia, podría subsanarse el requisito habilitante. </w:t>
            </w:r>
          </w:p>
          <w:p w14:paraId="43492E0B" w14:textId="77777777" w:rsidR="00200C04" w:rsidRDefault="00200C04" w:rsidP="004D47DD">
            <w:pPr>
              <w:spacing w:after="120" w:line="276" w:lineRule="auto"/>
              <w:ind w:firstLine="709"/>
              <w:jc w:val="both"/>
              <w:rPr>
                <w:rFonts w:ascii="Verdana" w:hAnsi="Verdana" w:cs="Arial"/>
                <w:noProof/>
                <w:lang w:val="es-ES_tradnl"/>
              </w:rPr>
            </w:pPr>
            <w:r w:rsidRPr="00EF7F40">
              <w:rPr>
                <w:rFonts w:ascii="Verdana" w:hAnsi="Verdana" w:cs="Arial"/>
                <w:noProof/>
                <w:lang w:val="es-ES_tradnl"/>
              </w:rPr>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69782AE5" w14:textId="07630F2B" w:rsidR="00200C04" w:rsidRPr="0054483F" w:rsidRDefault="00200C04" w:rsidP="004D47DD">
            <w:pPr>
              <w:spacing w:line="276" w:lineRule="auto"/>
              <w:ind w:firstLine="708"/>
              <w:jc w:val="both"/>
              <w:rPr>
                <w:rFonts w:ascii="Verdana" w:eastAsia="Calibri" w:hAnsi="Verdana" w:cs="Arial"/>
              </w:rPr>
            </w:pPr>
            <w:r w:rsidRPr="0054483F">
              <w:rPr>
                <w:rFonts w:ascii="Verdana" w:eastAsia="Calibri" w:hAnsi="Verdana" w:cs="Arial"/>
              </w:rPr>
              <w:t>En consecuencia, la modificación de la duración de la</w:t>
            </w:r>
            <w:r w:rsidR="212A1BCC" w:rsidRPr="41A17B4F">
              <w:rPr>
                <w:rFonts w:ascii="Verdana" w:eastAsia="Calibri" w:hAnsi="Verdana" w:cs="Arial"/>
              </w:rPr>
              <w:t xml:space="preserve"> vigencia de una</w:t>
            </w:r>
            <w:r w:rsidRPr="0054483F">
              <w:rPr>
                <w:rFonts w:ascii="Verdana" w:eastAsia="Calibri" w:hAnsi="Verdana" w:cs="Arial"/>
              </w:rPr>
              <w:t xml:space="preserve"> sociedad solo puede considerarse subsanable cuando constituye la simple acreditación tardía de un hecho que ya existía antes del cierre de la oferta, y no cuando implica ajustar, perfeccionar o completar la reforma estatutaria con posterioridad a ese hito. Permitir que la inscripción, perfeccionamiento o firmeza del acto registral ocurra después del cierre implicaría incorporar hechos nuevos y supondría un mejoramiento sustancial de la oferta, prohibido por el artículo 5 de la Ley 1882 de 2018. Por ello, únicamente es admisible subsanar defectos formales en la prueba documental de la modificación, siempre que la reforma estuviera materialmente cumplida antes del cierre; de lo contrario, se vulneraría la igualdad entre oferentes y los principios de transparencia y selección objetiva.</w:t>
            </w:r>
          </w:p>
          <w:p w14:paraId="4212774C" w14:textId="77777777" w:rsidR="00200C04" w:rsidRDefault="00200C04" w:rsidP="004D47DD">
            <w:pPr>
              <w:spacing w:after="120" w:line="276" w:lineRule="auto"/>
              <w:ind w:firstLine="709"/>
              <w:jc w:val="both"/>
              <w:rPr>
                <w:rFonts w:ascii="Verdana" w:eastAsia="Calibri" w:hAnsi="Verdana" w:cs="Times New Roman"/>
                <w:lang w:val="es-ES"/>
              </w:rPr>
            </w:pPr>
            <w:r w:rsidRPr="00EF7F40">
              <w:rPr>
                <w:rFonts w:ascii="Verdana" w:eastAsia="Calibri" w:hAnsi="Verdana" w:cs="Arial"/>
                <w:bCs/>
                <w:color w:val="000000" w:themeColor="text1"/>
              </w:rPr>
              <w:t>En todo caso</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3647AA">
              <w:rPr>
                <w:rFonts w:ascii="Verdana" w:hAnsi="Verdana"/>
              </w:rPr>
              <w:t xml:space="preserve"> </w:t>
            </w:r>
          </w:p>
          <w:p w14:paraId="59776BDC" w14:textId="77777777" w:rsidR="00200C04" w:rsidRPr="000521F4" w:rsidRDefault="00200C04" w:rsidP="004D47DD">
            <w:pPr>
              <w:pStyle w:val="Prrafodelista"/>
              <w:spacing w:after="120" w:line="276" w:lineRule="auto"/>
              <w:ind w:left="0" w:firstLine="709"/>
              <w:contextualSpacing w:val="0"/>
              <w:jc w:val="both"/>
              <w:rPr>
                <w:rFonts w:ascii="Verdana" w:eastAsia="Aptos" w:hAnsi="Verdana" w:cs="Arial"/>
                <w:shd w:val="clear" w:color="auto" w:fill="FFFFFF"/>
              </w:rPr>
            </w:pPr>
            <w:r>
              <w:rPr>
                <w:rFonts w:ascii="Verdana" w:eastAsia="Calibri" w:hAnsi="Verdana" w:cs="Times New Roman"/>
              </w:rPr>
              <w:t xml:space="preserve"> </w:t>
            </w:r>
            <w:r w:rsidRPr="00DB4737">
              <w:rPr>
                <w:rFonts w:ascii="Verdana" w:eastAsia="Calibri" w:hAnsi="Verdana" w:cs="Times New Roman"/>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DB4737">
              <w:rPr>
                <w:rFonts w:ascii="Verdana" w:eastAsia="Calibri" w:hAnsi="Verdana" w:cs="Times New Roman"/>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3D0447">
              <w:rPr>
                <w:rFonts w:ascii="Verdana" w:hAnsi="Verdana"/>
              </w:rPr>
              <w:t xml:space="preserve"> </w:t>
            </w:r>
          </w:p>
        </w:tc>
      </w:tr>
    </w:tbl>
    <w:p w14:paraId="0726888A" w14:textId="77777777" w:rsidR="00200C04" w:rsidRDefault="00200C04" w:rsidP="00200C04">
      <w:pPr>
        <w:tabs>
          <w:tab w:val="left" w:pos="142"/>
          <w:tab w:val="left" w:pos="284"/>
        </w:tabs>
        <w:spacing w:after="0" w:line="276" w:lineRule="auto"/>
        <w:jc w:val="both"/>
        <w:rPr>
          <w:rFonts w:ascii="Verdana" w:eastAsia="Century Gothic" w:hAnsi="Verdana" w:cs="Century Gothic"/>
          <w:b/>
          <w:bCs/>
        </w:rPr>
      </w:pPr>
    </w:p>
    <w:p w14:paraId="6C50CBC7" w14:textId="77777777" w:rsidR="00200C04" w:rsidRPr="00960F72" w:rsidRDefault="00200C04" w:rsidP="00200C04">
      <w:pPr>
        <w:tabs>
          <w:tab w:val="left" w:pos="142"/>
          <w:tab w:val="left" w:pos="284"/>
        </w:tabs>
        <w:spacing w:after="0" w:line="276" w:lineRule="auto"/>
        <w:jc w:val="both"/>
        <w:rPr>
          <w:rFonts w:ascii="Verdana" w:eastAsia="Century Gothic" w:hAnsi="Verdana" w:cs="Century Gothic"/>
          <w:b/>
          <w:bCs/>
        </w:rPr>
      </w:pPr>
    </w:p>
    <w:p w14:paraId="72A69397" w14:textId="77777777" w:rsidR="00200C04" w:rsidRDefault="00200C04" w:rsidP="00200C0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7B790342" w14:textId="77777777" w:rsidR="00200C04" w:rsidRDefault="00200C04" w:rsidP="00200C0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C7F0178" w14:textId="77777777" w:rsidR="00200C04" w:rsidRDefault="00200C04" w:rsidP="00200C04">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5F685A98" w14:textId="77777777" w:rsidR="00200C04" w:rsidRDefault="00200C04" w:rsidP="00200C04">
      <w:pPr>
        <w:spacing w:after="0" w:line="276" w:lineRule="auto"/>
        <w:jc w:val="both"/>
        <w:rPr>
          <w:rFonts w:ascii="Verdana" w:eastAsia="Calibri" w:hAnsi="Verdana" w:cs="Arial"/>
          <w:lang w:val="es-ES"/>
        </w:rPr>
      </w:pPr>
    </w:p>
    <w:p w14:paraId="416858C1" w14:textId="77777777" w:rsidR="00200C04" w:rsidRPr="00C543FB" w:rsidRDefault="00200C04" w:rsidP="00200C04">
      <w:pPr>
        <w:spacing w:line="276" w:lineRule="auto"/>
        <w:jc w:val="both"/>
        <w:rPr>
          <w:rFonts w:ascii="Verdana" w:eastAsia="Calibri" w:hAnsi="Verdana" w:cs="Arial"/>
          <w:color w:val="000000"/>
          <w:lang w:val="es-ES" w:eastAsia="es-MX"/>
        </w:rPr>
      </w:pPr>
      <w:r w:rsidRPr="00C543FB">
        <w:rPr>
          <w:rFonts w:ascii="Verdana" w:eastAsia="Calibri" w:hAnsi="Verdana" w:cs="Arial"/>
          <w:color w:val="000000"/>
          <w:lang w:val="es-ES" w:eastAsia="es-MX"/>
        </w:rPr>
        <w:t xml:space="preserve">La </w:t>
      </w:r>
      <w:proofErr w:type="spellStart"/>
      <w:r w:rsidRPr="00C543FB">
        <w:rPr>
          <w:rFonts w:ascii="Verdana" w:eastAsia="Calibri" w:hAnsi="Verdana" w:cs="Arial"/>
          <w:color w:val="000000"/>
          <w:lang w:val="es-ES" w:eastAsia="es-MX"/>
        </w:rPr>
        <w:t>subsanabilidad</w:t>
      </w:r>
      <w:proofErr w:type="spellEnd"/>
      <w:r w:rsidRPr="00C543FB">
        <w:rPr>
          <w:rFonts w:ascii="Verdana" w:eastAsia="Calibri" w:hAnsi="Verdana" w:cs="Arial"/>
          <w:color w:val="000000"/>
          <w:lang w:val="es-ES" w:eastAsia="es-MX"/>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 Además, la posibilidad de subsanar estos documentos tiene como propósito: </w:t>
      </w:r>
    </w:p>
    <w:p w14:paraId="5B21AE4A" w14:textId="77777777" w:rsidR="00200C04" w:rsidRPr="007D1D8C" w:rsidRDefault="00200C04" w:rsidP="00200C04">
      <w:pPr>
        <w:ind w:left="709" w:right="709"/>
        <w:jc w:val="both"/>
        <w:rPr>
          <w:rFonts w:ascii="Verdana" w:eastAsia="Calibri" w:hAnsi="Verdana" w:cs="Arial"/>
          <w:color w:val="000000"/>
          <w:sz w:val="20"/>
          <w:szCs w:val="20"/>
          <w:lang w:val="es-ES" w:eastAsia="es-MX"/>
        </w:rPr>
      </w:pPr>
      <w:r w:rsidRPr="007D1D8C">
        <w:rPr>
          <w:rFonts w:ascii="Verdana" w:eastAsia="Calibri" w:hAnsi="Verdana" w:cs="Arial"/>
          <w:color w:val="000000"/>
          <w:sz w:val="20"/>
          <w:szCs w:val="20"/>
          <w:lang w:val="es-ES" w:eastAsia="es-MX"/>
        </w:rPr>
        <w:t xml:space="preserve">[…] materializar un principio general de primacía de lo sustancial sobre lo formal, adoptando medidas de saneamiento del proceso de selección tendientes a que los meros defectos formales, que no afecten sustancialmente la oferta, referidos a la documentación o instrumentalización de </w:t>
      </w:r>
      <w:proofErr w:type="gramStart"/>
      <w:r w:rsidRPr="007D1D8C">
        <w:rPr>
          <w:rFonts w:ascii="Verdana" w:eastAsia="Calibri" w:hAnsi="Verdana" w:cs="Arial"/>
          <w:color w:val="000000"/>
          <w:sz w:val="20"/>
          <w:szCs w:val="20"/>
          <w:lang w:val="es-ES" w:eastAsia="es-MX"/>
        </w:rPr>
        <w:t>la misma</w:t>
      </w:r>
      <w:proofErr w:type="gramEnd"/>
      <w:r w:rsidRPr="007D1D8C">
        <w:rPr>
          <w:rFonts w:ascii="Verdana" w:eastAsia="Calibri" w:hAnsi="Verdana" w:cs="Arial"/>
          <w:color w:val="000000"/>
          <w:sz w:val="20"/>
          <w:szCs w:val="20"/>
          <w:lang w:val="es-ES" w:eastAsia="es-MX"/>
        </w:rPr>
        <w:t>, priven a la administración de considerar una oferta por causa de tales falencias</w:t>
      </w:r>
      <w:r w:rsidRPr="007D1D8C">
        <w:rPr>
          <w:rFonts w:ascii="Verdana" w:eastAsia="Calibri" w:hAnsi="Verdana" w:cs="Arial"/>
          <w:color w:val="000000"/>
          <w:sz w:val="20"/>
          <w:szCs w:val="20"/>
          <w:vertAlign w:val="superscript"/>
          <w:lang w:val="es-ES" w:eastAsia="es-MX"/>
        </w:rPr>
        <w:footnoteReference w:id="2"/>
      </w:r>
      <w:r w:rsidRPr="007D1D8C">
        <w:rPr>
          <w:rFonts w:ascii="Verdana" w:eastAsia="Calibri" w:hAnsi="Verdana" w:cs="Arial"/>
          <w:color w:val="000000"/>
          <w:sz w:val="20"/>
          <w:szCs w:val="20"/>
          <w:lang w:val="es-ES" w:eastAsia="es-MX"/>
        </w:rPr>
        <w:t>.</w:t>
      </w:r>
    </w:p>
    <w:p w14:paraId="36284658" w14:textId="77777777" w:rsidR="00200C04" w:rsidRPr="00C543FB" w:rsidRDefault="00200C04" w:rsidP="00200C04">
      <w:pPr>
        <w:spacing w:after="120" w:line="276" w:lineRule="auto"/>
        <w:ind w:firstLine="708"/>
        <w:jc w:val="both"/>
        <w:rPr>
          <w:rFonts w:ascii="Verdana" w:eastAsia="Times New Roman" w:hAnsi="Verdana" w:cs="Arial"/>
          <w:color w:val="000000"/>
          <w:lang w:val="es-ES" w:eastAsia="es-MX"/>
        </w:rPr>
      </w:pPr>
      <w:r w:rsidRPr="00C543FB">
        <w:rPr>
          <w:rFonts w:ascii="Verdana" w:eastAsia="Calibri" w:hAnsi="Verdana" w:cs="Arial"/>
          <w:color w:val="000000"/>
          <w:lang w:val="es-ES" w:eastAsia="es-MX"/>
        </w:rPr>
        <w:t xml:space="preserve">A raíz de lo anterior, no podrán rechazarse las propuestas por ausencia de requisitos o falta de documentos que verifiquen las condiciones habilitantes del proponente, y que, a su vez, estos no se constituyan como factores de comparación entre propuestas. </w:t>
      </w:r>
      <w:r w:rsidRPr="00C543FB">
        <w:rPr>
          <w:rFonts w:ascii="Verdana" w:eastAsia="Times New Roman" w:hAnsi="Verdana" w:cs="Arial"/>
          <w:color w:val="000000"/>
          <w:lang w:val="es-ES" w:eastAsia="es-MX"/>
        </w:rPr>
        <w:t xml:space="preserve">Ahora bien, la posibilidad de subsanar los documentos contentivos de la oferta es un tema que ha tenido diferentes momentos o etapas en el ordenamiento jurídico colombiano. </w:t>
      </w:r>
    </w:p>
    <w:p w14:paraId="421F624E" w14:textId="77777777" w:rsidR="00200C04" w:rsidRPr="00C543FB" w:rsidRDefault="00200C04" w:rsidP="00200C0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primer momento</w:t>
      </w:r>
      <w:r w:rsidRPr="00C543FB">
        <w:rPr>
          <w:rFonts w:ascii="Verdana" w:eastAsia="Times New Roman" w:hAnsi="Verdana" w:cs="Arial"/>
          <w:color w:val="000000"/>
          <w:lang w:val="es-ES" w:eastAsia="es-MX"/>
        </w:rPr>
        <w:t xml:space="preserve">, antes de la entrada en vigor de la Constitución Política de 1991, el régimen jurídico de la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estaba compuesto por el Decreto Ley 150 de 1976 y el Decreto Ley 222 de 1983. Bajo el imperio de estas normas, la posibilidad de subsanar errores era prácticamente inexistente, debido al excesivo formalismo procedimental que irradiaba la </w:t>
      </w:r>
      <w:r w:rsidRPr="00C543FB">
        <w:rPr>
          <w:rFonts w:ascii="Verdana" w:eastAsia="Times New Roman" w:hAnsi="Verdana" w:cs="Arial"/>
          <w:color w:val="000000"/>
          <w:lang w:val="es-ES" w:eastAsia="es-MX"/>
        </w:rPr>
        <w:lastRenderedPageBreak/>
        <w:t xml:space="preserve">actuación administrativa. En este contexto, por ejemplo, no era extraordinario que una oferta fuera rechazada por no aportar una copia de esta. </w:t>
      </w:r>
    </w:p>
    <w:p w14:paraId="490B16FD" w14:textId="77777777" w:rsidR="00200C04" w:rsidRPr="00C543FB" w:rsidRDefault="00200C04" w:rsidP="00200C04">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segundo momento</w:t>
      </w:r>
      <w:r w:rsidRPr="00C543FB">
        <w:rPr>
          <w:rFonts w:ascii="Verdana" w:eastAsia="Times New Roman" w:hAnsi="Verdana" w:cs="Arial"/>
          <w:color w:val="000000"/>
          <w:lang w:val="es-ES" w:eastAsia="es-MX"/>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sobre lo procedimental. En este nuevo escenario constitucional, el artículo 25.15 de la Ley 80 de 1993 dispuso lo siguiente: </w:t>
      </w:r>
    </w:p>
    <w:p w14:paraId="497DBAC8" w14:textId="77777777" w:rsidR="00200C04" w:rsidRPr="007D1D8C" w:rsidRDefault="00200C04" w:rsidP="00200C04">
      <w:pPr>
        <w:spacing w:after="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77736072" w14:textId="77777777" w:rsidR="00200C04" w:rsidRPr="007D1D8C" w:rsidRDefault="00200C04" w:rsidP="00200C04">
      <w:pPr>
        <w:spacing w:before="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 ausencia de requisitos o la falta de documentos referentes a la futura contratación o al proponente, no necesarios para la comparación de propuestas, no servirá de título suficiente para el rechazo de los ofrecimientos hechos. </w:t>
      </w:r>
    </w:p>
    <w:p w14:paraId="2047F4CB" w14:textId="77777777" w:rsidR="00200C04" w:rsidRPr="00C543FB" w:rsidRDefault="00200C04" w:rsidP="00200C0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Bajo el amparo de esta norma, el régimen jurídico de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sufre un cambio fundamental, pues ya no era posible rechazar las ofertas por falta de requisitos o documentos que no fueran </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necesarios para la comparación de propuestas</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0386E17F" w14:textId="77777777" w:rsidR="00200C04" w:rsidRPr="00C543FB" w:rsidRDefault="00200C04" w:rsidP="00200C0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Esta norma debía leerse en conjunto con otras de la Ley 80 de 1993, particularmente con el artículo 30.7, que ordena a la entidad señalar un plazo razonable para evaluar las propuestas y para pedir a los proponentes, de ser necesario, que aclaren o expliquen aspectos que ofrezcan dudas y resulten indispensables para llevar a cabo la evaluación</w:t>
      </w:r>
      <w:r w:rsidRPr="00C543FB">
        <w:rPr>
          <w:rFonts w:ascii="Verdana" w:eastAsia="Times New Roman" w:hAnsi="Verdana" w:cs="Arial"/>
          <w:color w:val="000000"/>
          <w:vertAlign w:val="superscript"/>
          <w:lang w:val="es-ES" w:eastAsia="es-MX"/>
        </w:rPr>
        <w:footnoteReference w:id="3"/>
      </w:r>
      <w:r w:rsidRPr="00C543FB">
        <w:rPr>
          <w:rFonts w:ascii="Verdana" w:eastAsia="Times New Roman" w:hAnsi="Verdana" w:cs="Arial"/>
          <w:color w:val="000000"/>
          <w:lang w:val="es-ES" w:eastAsia="es-MX"/>
        </w:rPr>
        <w:t xml:space="preserve">; y con el artículo 30.8, que consagró el término de 5 días hábiles para que los oferentes presenten </w:t>
      </w:r>
      <w:r w:rsidRPr="00C543FB">
        <w:rPr>
          <w:rFonts w:ascii="Verdana" w:eastAsia="Times New Roman" w:hAnsi="Verdana" w:cs="Arial"/>
          <w:color w:val="000000"/>
          <w:lang w:val="es-ES" w:eastAsia="es-MX"/>
        </w:rPr>
        <w:lastRenderedPageBreak/>
        <w:t>observaciones al informe de evaluación de las propuestas, sin que sea posible completar, adicionar, modificar o mejorar su oferta</w:t>
      </w:r>
      <w:r w:rsidRPr="00C543FB">
        <w:rPr>
          <w:rFonts w:ascii="Verdana" w:eastAsia="Times New Roman" w:hAnsi="Verdana" w:cs="Arial"/>
          <w:color w:val="000000"/>
          <w:vertAlign w:val="superscript"/>
          <w:lang w:val="es-ES" w:eastAsia="es-MX"/>
        </w:rPr>
        <w:footnoteReference w:id="4"/>
      </w:r>
      <w:r w:rsidRPr="00C543FB">
        <w:rPr>
          <w:rFonts w:ascii="Verdana" w:eastAsia="Times New Roman" w:hAnsi="Verdana" w:cs="Arial"/>
          <w:color w:val="000000"/>
          <w:lang w:val="es-ES" w:eastAsia="es-MX"/>
        </w:rPr>
        <w:t xml:space="preserve">.  </w:t>
      </w:r>
    </w:p>
    <w:p w14:paraId="68857F21" w14:textId="77777777" w:rsidR="00200C04" w:rsidRPr="00C543FB" w:rsidRDefault="00200C04" w:rsidP="00200C0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646B0574" w14:textId="77777777" w:rsidR="00200C04" w:rsidRPr="00C543FB" w:rsidRDefault="00200C04" w:rsidP="00200C04">
      <w:pPr>
        <w:spacing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tercer momento</w:t>
      </w:r>
      <w:r w:rsidRPr="00C543FB">
        <w:rPr>
          <w:rFonts w:ascii="Verdana" w:eastAsia="Times New Roman" w:hAnsi="Verdana" w:cs="Arial"/>
          <w:color w:val="000000"/>
          <w:lang w:val="es-ES" w:eastAsia="es-MX"/>
        </w:rPr>
        <w:t xml:space="preserve">, siguiendo la línea trazada por la Ley 80 de 1993, el legislador expidió la Ley 1150 de 2007, que en el parágrafo 1º del artículo 5, determinó lo siguiente: </w:t>
      </w:r>
    </w:p>
    <w:p w14:paraId="78BD25A1" w14:textId="77777777" w:rsidR="00200C04" w:rsidRPr="007D1D8C" w:rsidRDefault="00200C04" w:rsidP="00200C04">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7D1D8C">
        <w:rPr>
          <w:rFonts w:ascii="Verdana" w:eastAsia="Times New Roman" w:hAnsi="Verdana" w:cs="Arial"/>
          <w:b/>
          <w:color w:val="000000"/>
          <w:sz w:val="20"/>
          <w:szCs w:val="20"/>
          <w:lang w:val="es-ES" w:eastAsia="es-MX"/>
        </w:rPr>
        <w:t xml:space="preserve">, </w:t>
      </w:r>
      <w:r w:rsidRPr="007D1D8C">
        <w:rPr>
          <w:rFonts w:ascii="Verdana" w:eastAsia="Times New Roman" w:hAnsi="Verdana" w:cs="Arial"/>
          <w:color w:val="000000"/>
          <w:sz w:val="20"/>
          <w:szCs w:val="20"/>
          <w:lang w:val="es-ES" w:eastAsia="es-MX"/>
        </w:rPr>
        <w:t xml:space="preserve">todos aquellos requisitos de la propuesta que no afecten la asignación de </w:t>
      </w:r>
      <w:proofErr w:type="gramStart"/>
      <w:r w:rsidRPr="007D1D8C">
        <w:rPr>
          <w:rFonts w:ascii="Verdana" w:eastAsia="Times New Roman" w:hAnsi="Verdana" w:cs="Arial"/>
          <w:color w:val="000000"/>
          <w:sz w:val="20"/>
          <w:szCs w:val="20"/>
          <w:lang w:val="es-ES" w:eastAsia="es-MX"/>
        </w:rPr>
        <w:t>puntaje,</w:t>
      </w:r>
      <w:proofErr w:type="gramEnd"/>
      <w:r w:rsidRPr="007D1D8C">
        <w:rPr>
          <w:rFonts w:ascii="Verdana" w:eastAsia="Times New Roman" w:hAnsi="Verdana" w:cs="Arial"/>
          <w:color w:val="000000"/>
          <w:sz w:val="20"/>
          <w:szCs w:val="20"/>
          <w:lang w:val="es-ES" w:eastAsia="es-MX"/>
        </w:rPr>
        <w:t xml:space="preserve"> podrán ser solicitados por las entidades en cualquier momento, hasta la adjudicación. No </w:t>
      </w:r>
      <w:proofErr w:type="gramStart"/>
      <w:r w:rsidRPr="007D1D8C">
        <w:rPr>
          <w:rFonts w:ascii="Verdana" w:eastAsia="Times New Roman" w:hAnsi="Verdana" w:cs="Arial"/>
          <w:color w:val="000000"/>
          <w:sz w:val="20"/>
          <w:szCs w:val="20"/>
          <w:lang w:val="es-ES" w:eastAsia="es-MX"/>
        </w:rPr>
        <w:t>obstante</w:t>
      </w:r>
      <w:proofErr w:type="gramEnd"/>
      <w:r w:rsidRPr="007D1D8C">
        <w:rPr>
          <w:rFonts w:ascii="Verdana" w:eastAsia="Times New Roman" w:hAnsi="Verdana" w:cs="Arial"/>
          <w:color w:val="000000"/>
          <w:sz w:val="20"/>
          <w:szCs w:val="20"/>
          <w:lang w:val="es-ES" w:eastAsia="es-MX"/>
        </w:rPr>
        <w:t xml:space="preserve"> lo anterior, en aquellos procesos de selección en los que se utilice el mecanismo de subasta, deberán ser solicitados hasta el momento previo a su realización. </w:t>
      </w:r>
    </w:p>
    <w:p w14:paraId="0B598050" w14:textId="77777777" w:rsidR="00200C04" w:rsidRPr="00C543FB" w:rsidRDefault="00200C04" w:rsidP="00200C0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039C230E" w14:textId="77777777" w:rsidR="00200C04" w:rsidRPr="00C543FB" w:rsidRDefault="00200C04" w:rsidP="00200C0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17F98716" w14:textId="77777777" w:rsidR="00200C04" w:rsidRPr="00C543FB" w:rsidRDefault="00200C04" w:rsidP="00200C04">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lastRenderedPageBreak/>
        <w:t xml:space="preserve">El artículo 5 de la Ley 1150 de 2007, además de consagrar un criterio más claro, y, de paso, reducir la discrecionalidad de la Administración, fijó un ámbito temporal para la subsanación de las ofertas: «en cualquier momento, hasta la adjudicación». El Consejo de Estado concluyó que a partir del parágrafo 1º del artículo 5 de la Ley 1150, la definición de lo que es subsanable y lo que no lo es surge a partir del planteamiento de la pregunta sobre si el defecto asigna puntaje o no, en estos términos: </w:t>
      </w:r>
    </w:p>
    <w:p w14:paraId="5AC016E8" w14:textId="77777777" w:rsidR="00200C04" w:rsidRPr="007D1D8C" w:rsidRDefault="00200C04" w:rsidP="00200C04">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7D1D8C">
        <w:rPr>
          <w:rFonts w:ascii="Verdana" w:eastAsia="Times New Roman" w:hAnsi="Verdana" w:cs="Arial"/>
          <w:color w:val="000000"/>
          <w:sz w:val="20"/>
          <w:szCs w:val="20"/>
          <w:vertAlign w:val="superscript"/>
          <w:lang w:val="es-ES" w:eastAsia="es-MX"/>
        </w:rPr>
        <w:footnoteReference w:id="5"/>
      </w:r>
      <w:r w:rsidRPr="007D1D8C">
        <w:rPr>
          <w:rFonts w:ascii="Verdana" w:eastAsia="Times New Roman" w:hAnsi="Verdana" w:cs="Arial"/>
          <w:color w:val="000000"/>
          <w:sz w:val="20"/>
          <w:szCs w:val="20"/>
          <w:lang w:val="es-ES" w:eastAsia="es-MX"/>
        </w:rPr>
        <w:t>.</w:t>
      </w:r>
    </w:p>
    <w:p w14:paraId="163B99CD" w14:textId="77777777" w:rsidR="00200C04" w:rsidRPr="00C543FB" w:rsidRDefault="00200C04" w:rsidP="00200C04">
      <w:pPr>
        <w:tabs>
          <w:tab w:val="left" w:pos="284"/>
        </w:tabs>
        <w:spacing w:after="120" w:line="276" w:lineRule="auto"/>
        <w:ind w:firstLine="709"/>
        <w:jc w:val="both"/>
        <w:rPr>
          <w:rFonts w:ascii="Verdana" w:eastAsia="Calibri" w:hAnsi="Verdana" w:cs="Arial"/>
          <w:color w:val="000000"/>
          <w:lang w:val="es-ES"/>
        </w:rPr>
      </w:pPr>
      <w:r w:rsidRPr="00C543FB">
        <w:rPr>
          <w:rFonts w:ascii="Verdana" w:eastAsia="Calibri" w:hAnsi="Verdana" w:cs="Arial"/>
          <w:color w:val="000000"/>
          <w:lang w:val="es-ES"/>
        </w:rPr>
        <w:t xml:space="preserve">Esa interpretación fue compartida por la </w:t>
      </w:r>
      <w:r w:rsidRPr="00C543FB">
        <w:rPr>
          <w:rFonts w:ascii="Verdana" w:eastAsia="MS Mincho" w:hAnsi="Verdana" w:cs="Arial"/>
          <w:color w:val="000000"/>
          <w:lang w:val="es-ES" w:eastAsia="es-CO"/>
        </w:rPr>
        <w:t>Agencia Nacional de Contratación Pública – Colombia Compra Eficiente</w:t>
      </w:r>
      <w:r w:rsidRPr="00C543FB">
        <w:rPr>
          <w:rFonts w:ascii="Verdana" w:eastAsia="Calibri" w:hAnsi="Verdana" w:cs="Arial"/>
          <w:color w:val="000000"/>
          <w:lang w:val="es-ES"/>
        </w:rPr>
        <w:t xml:space="preserve">, pues en la Circular Externa Única se precisó </w:t>
      </w:r>
      <w:proofErr w:type="gramStart"/>
      <w:r w:rsidRPr="00C543FB">
        <w:rPr>
          <w:rFonts w:ascii="Verdana" w:eastAsia="Calibri" w:hAnsi="Verdana" w:cs="Arial"/>
          <w:color w:val="000000"/>
          <w:lang w:val="es-ES"/>
        </w:rPr>
        <w:t>que</w:t>
      </w:r>
      <w:proofErr w:type="gramEnd"/>
      <w:r w:rsidRPr="00C543FB">
        <w:rPr>
          <w:rFonts w:ascii="Verdana" w:eastAsia="Calibri" w:hAnsi="Verdana" w:cs="Arial"/>
          <w:color w:val="000000"/>
          <w:lang w:val="es-ES"/>
        </w:rPr>
        <w:t xml:space="preserve"> si durante un proceso de contratación hay proponentes que no acreditaron en sus ofertas requisitos que no afectan la asignación de puntaje o la comparación de </w:t>
      </w:r>
      <w:proofErr w:type="gramStart"/>
      <w:r w:rsidRPr="00C543FB">
        <w:rPr>
          <w:rFonts w:ascii="Verdana" w:eastAsia="Calibri" w:hAnsi="Verdana" w:cs="Arial"/>
          <w:color w:val="000000"/>
          <w:lang w:val="es-ES"/>
        </w:rPr>
        <w:t>las mismas</w:t>
      </w:r>
      <w:proofErr w:type="gramEnd"/>
      <w:r w:rsidRPr="00C543FB">
        <w:rPr>
          <w:rFonts w:ascii="Verdana" w:eastAsia="Calibri" w:hAnsi="Verdana" w:cs="Arial"/>
          <w:color w:val="000000"/>
          <w:lang w:val="es-ES"/>
        </w:rPr>
        <w:t>, la entidad estatal deberá indicarlo en el informe de evaluación y advertir que la correspondiente oferta no será evaluada hasta que se subsane.</w:t>
      </w:r>
    </w:p>
    <w:p w14:paraId="078806F2" w14:textId="77777777" w:rsidR="00200C04" w:rsidRPr="00C543FB" w:rsidRDefault="00200C04" w:rsidP="00200C04">
      <w:pPr>
        <w:tabs>
          <w:tab w:val="left" w:pos="284"/>
        </w:tabs>
        <w:spacing w:before="120" w:line="276" w:lineRule="auto"/>
        <w:ind w:firstLine="709"/>
        <w:jc w:val="both"/>
        <w:rPr>
          <w:rFonts w:ascii="Verdana" w:eastAsia="MS Mincho" w:hAnsi="Verdana" w:cs="Arial"/>
          <w:color w:val="000000"/>
          <w:lang w:val="es-ES"/>
        </w:rPr>
      </w:pPr>
      <w:r w:rsidRPr="00C543FB">
        <w:rPr>
          <w:rFonts w:ascii="Verdana" w:eastAsia="MS Mincho" w:hAnsi="Verdana" w:cs="Arial"/>
          <w:color w:val="000000"/>
          <w:lang w:val="es-ES" w:eastAsia="es-CO"/>
        </w:rPr>
        <w:t xml:space="preserve">En un </w:t>
      </w:r>
      <w:r w:rsidRPr="00C543FB">
        <w:rPr>
          <w:rFonts w:ascii="Verdana" w:eastAsia="MS Mincho" w:hAnsi="Verdana" w:cs="Arial"/>
          <w:i/>
          <w:iCs/>
          <w:color w:val="000000"/>
          <w:lang w:val="es-ES" w:eastAsia="es-CO"/>
        </w:rPr>
        <w:t>cuarto momento</w:t>
      </w:r>
      <w:r w:rsidRPr="00C543FB">
        <w:rPr>
          <w:rFonts w:ascii="Verdana" w:eastAsia="MS Mincho" w:hAnsi="Verdana" w:cs="Arial"/>
          <w:color w:val="000000"/>
          <w:lang w:val="es-ES" w:eastAsia="es-CO"/>
        </w:rPr>
        <w:t xml:space="preserve">, el legislador expidió la Ley 1882 de 2018, con la finalidad de introducir cambios y ajustes para fortalecer la contratación pública. El artículo 5 modificó el parágrafo 1º y adicionó algunos otros, entre ellos el 4° del artículo 5 de la Ley 1150 de 2007: </w:t>
      </w:r>
    </w:p>
    <w:p w14:paraId="087F319B" w14:textId="77777777" w:rsidR="00200C04" w:rsidRPr="00547A08" w:rsidRDefault="00200C04" w:rsidP="00200C04">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Artículo 5°. De la selección objetiva. </w:t>
      </w:r>
    </w:p>
    <w:p w14:paraId="129EC9EC" w14:textId="77777777" w:rsidR="00200C04" w:rsidRPr="00547A08" w:rsidRDefault="00200C04" w:rsidP="00200C04">
      <w:pPr>
        <w:spacing w:after="120"/>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w:t>
      </w:r>
    </w:p>
    <w:p w14:paraId="70B52891" w14:textId="77777777" w:rsidR="00200C04" w:rsidRPr="00547A08" w:rsidRDefault="00200C04" w:rsidP="00200C04">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Parágrafo 1º. La ausencia de requisitos o la falta de documentos referentes a la futura contratación o al proponente, no necesarios para la </w:t>
      </w:r>
      <w:bookmarkStart w:id="0" w:name="_Hlk71479674"/>
      <w:r w:rsidRPr="00547A08">
        <w:rPr>
          <w:rFonts w:ascii="Verdana" w:eastAsia="Times New Roman" w:hAnsi="Verdana" w:cs="Arial"/>
          <w:color w:val="000000"/>
          <w:sz w:val="20"/>
          <w:szCs w:val="20"/>
          <w:lang w:val="es-ES" w:eastAsia="es-MX"/>
        </w:rPr>
        <w:lastRenderedPageBreak/>
        <w:t>comparación de las propuestas</w:t>
      </w:r>
      <w:bookmarkEnd w:id="0"/>
      <w:r w:rsidRPr="00547A08">
        <w:rPr>
          <w:rFonts w:ascii="Verdana" w:eastAsia="Times New Roman" w:hAnsi="Verdana" w:cs="Arial"/>
          <w:color w:val="000000"/>
          <w:sz w:val="20"/>
          <w:szCs w:val="20"/>
          <w:lang w:val="es-ES" w:eastAsia="es-MX"/>
        </w:rPr>
        <w:t xml:space="preserve"> no servirán de título suficiente para el rechazo de los ofrecimientos hechos. En consecuencia, todos aquellos requisitos de la propuesta que no afecten la asignación de </w:t>
      </w:r>
      <w:proofErr w:type="gramStart"/>
      <w:r w:rsidRPr="00547A08">
        <w:rPr>
          <w:rFonts w:ascii="Verdana" w:eastAsia="Times New Roman" w:hAnsi="Verdana" w:cs="Arial"/>
          <w:color w:val="000000"/>
          <w:sz w:val="20"/>
          <w:szCs w:val="20"/>
          <w:lang w:val="es-ES" w:eastAsia="es-MX"/>
        </w:rPr>
        <w:t>puntaje,</w:t>
      </w:r>
      <w:proofErr w:type="gramEnd"/>
      <w:r w:rsidRPr="00547A08">
        <w:rPr>
          <w:rFonts w:ascii="Verdana" w:eastAsia="Times New Roman" w:hAnsi="Verdana" w:cs="Arial"/>
          <w:color w:val="000000"/>
          <w:sz w:val="20"/>
          <w:szCs w:val="20"/>
          <w:lang w:val="es-ES" w:eastAsia="es-MX"/>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70E2279A" w14:textId="77777777" w:rsidR="00200C04" w:rsidRPr="00C543FB" w:rsidRDefault="00200C04" w:rsidP="00200C0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Esta norma: i) mantiene el criterio de la Ley 80 de 1993, relativo a que todo lo que no sea necesario para la comparación de propuestas no es título suficiente para su rechazo; </w:t>
      </w:r>
      <w:proofErr w:type="spellStart"/>
      <w:r w:rsidRPr="00C543FB">
        <w:rPr>
          <w:rFonts w:ascii="Verdana" w:eastAsia="Times New Roman" w:hAnsi="Verdana" w:cs="Arial"/>
          <w:color w:val="000000"/>
          <w:lang w:val="es-ES" w:eastAsia="es-MX"/>
        </w:rPr>
        <w:t>ii</w:t>
      </w:r>
      <w:proofErr w:type="spellEnd"/>
      <w:r w:rsidRPr="00C543FB">
        <w:rPr>
          <w:rFonts w:ascii="Verdana" w:eastAsia="Times New Roman" w:hAnsi="Verdana" w:cs="Arial"/>
          <w:color w:val="000000"/>
          <w:lang w:val="es-ES" w:eastAsia="es-MX"/>
        </w:rPr>
        <w:t xml:space="preserve">) mantiene el criterio aclaratorio de la Ley 1150 de 2007, según el cual todo lo que no afecte la asignación de puntaje puede subsanarse y, </w:t>
      </w:r>
      <w:proofErr w:type="spellStart"/>
      <w:r w:rsidRPr="00C543FB">
        <w:rPr>
          <w:rFonts w:ascii="Verdana" w:eastAsia="Times New Roman" w:hAnsi="Verdana" w:cs="Arial"/>
          <w:color w:val="000000"/>
          <w:lang w:val="es-ES" w:eastAsia="es-MX"/>
        </w:rPr>
        <w:t>iii</w:t>
      </w:r>
      <w:proofErr w:type="spellEnd"/>
      <w:r w:rsidRPr="00C543FB">
        <w:rPr>
          <w:rFonts w:ascii="Verdana" w:eastAsia="Times New Roman" w:hAnsi="Verdana" w:cs="Arial"/>
          <w:color w:val="000000"/>
          <w:lang w:val="es-ES" w:eastAsia="es-MX"/>
        </w:rPr>
        <w:t>) introduce modificaciones en relación con tres (3) aspectos que se analizarán a continuación:</w:t>
      </w:r>
    </w:p>
    <w:p w14:paraId="2F163290" w14:textId="77777777" w:rsidR="00200C04" w:rsidRPr="00C543FB" w:rsidRDefault="00200C04" w:rsidP="00200C04">
      <w:pPr>
        <w:spacing w:after="120" w:line="276" w:lineRule="auto"/>
        <w:ind w:firstLine="709"/>
        <w:jc w:val="both"/>
        <w:rPr>
          <w:rFonts w:ascii="Verdana" w:eastAsia="Arial" w:hAnsi="Verdana" w:cs="Arial"/>
          <w:color w:val="000000"/>
          <w:lang w:val="es-ES" w:eastAsia="es-MX"/>
        </w:rPr>
      </w:pPr>
      <w:r w:rsidRPr="00C543FB">
        <w:rPr>
          <w:rFonts w:ascii="Verdana" w:eastAsia="Arial" w:hAnsi="Verdana" w:cs="Arial"/>
          <w:color w:val="000000"/>
          <w:lang w:val="es-ES" w:eastAsia="es-MX"/>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w:t>
      </w:r>
      <w:r>
        <w:rPr>
          <w:rFonts w:ascii="Verdana" w:eastAsia="Arial" w:hAnsi="Verdana" w:cs="Arial"/>
          <w:color w:val="000000"/>
          <w:lang w:val="es-ES" w:eastAsia="es-MX"/>
        </w:rPr>
        <w:t xml:space="preserve"> </w:t>
      </w:r>
      <w:r w:rsidRPr="00C543FB">
        <w:rPr>
          <w:rFonts w:ascii="Verdana" w:eastAsia="Arial" w:hAnsi="Verdana" w:cs="Arial"/>
          <w:color w:val="000000"/>
          <w:lang w:val="es-ES" w:eastAsia="es-MX"/>
        </w:rPr>
        <w:t>requisitos subsanables deben solicitarse, como límite final, hasta el momento previo a su realización</w:t>
      </w:r>
      <w:r w:rsidRPr="00C543FB">
        <w:rPr>
          <w:rFonts w:ascii="Verdana" w:eastAsia="Arial" w:hAnsi="Verdana" w:cs="Arial"/>
          <w:color w:val="000000"/>
          <w:vertAlign w:val="superscript"/>
          <w:lang w:val="es-ES" w:eastAsia="es-MX"/>
        </w:rPr>
        <w:footnoteReference w:id="6"/>
      </w:r>
      <w:r w:rsidRPr="00C543FB">
        <w:rPr>
          <w:rFonts w:ascii="Verdana" w:eastAsia="Arial" w:hAnsi="Verdana" w:cs="Arial"/>
          <w:color w:val="000000"/>
          <w:lang w:val="es-ES" w:eastAsia="es-MX"/>
        </w:rPr>
        <w:t>.</w:t>
      </w:r>
    </w:p>
    <w:p w14:paraId="019E7C48" w14:textId="77777777" w:rsidR="00200C04" w:rsidRPr="00C543FB" w:rsidRDefault="00200C04" w:rsidP="00200C04">
      <w:pPr>
        <w:spacing w:after="120" w:line="276" w:lineRule="auto"/>
        <w:ind w:firstLine="709"/>
        <w:jc w:val="both"/>
        <w:rPr>
          <w:rFonts w:ascii="Verdana" w:eastAsia="Arial" w:hAnsi="Verdana" w:cs="Arial"/>
          <w:color w:val="000000"/>
          <w:lang w:val="es-ES" w:eastAsia="es-MX"/>
        </w:rPr>
      </w:pPr>
      <w:r w:rsidRPr="00C543FB">
        <w:rPr>
          <w:rFonts w:ascii="Verdana" w:eastAsia="Times New Roman" w:hAnsi="Verdana" w:cs="Arial"/>
          <w:color w:val="000000"/>
          <w:shd w:val="clear" w:color="auto" w:fill="FFFFFF"/>
          <w:lang w:val="es-ES" w:eastAsia="es-MX"/>
        </w:rPr>
        <w:t>Frente a la regla general, como se explica en el Concepto CU-060 del 24 de febrero de 2020,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381291F3" w14:textId="77777777" w:rsidR="00200C04" w:rsidRPr="00C543FB" w:rsidRDefault="00200C04" w:rsidP="00200C04">
      <w:pPr>
        <w:spacing w:after="120" w:line="276" w:lineRule="auto"/>
        <w:ind w:firstLine="720"/>
        <w:jc w:val="both"/>
        <w:rPr>
          <w:rFonts w:ascii="Verdana" w:eastAsia="Calibri" w:hAnsi="Verdana" w:cs="Arial"/>
          <w:color w:val="000000"/>
          <w:lang w:val="es-ES" w:eastAsia="es-MX"/>
        </w:rPr>
      </w:pPr>
      <w:r w:rsidRPr="00C543FB">
        <w:rPr>
          <w:rFonts w:ascii="Verdana" w:eastAsia="Arial" w:hAnsi="Verdana" w:cs="Arial"/>
          <w:color w:val="000000"/>
          <w:lang w:val="es-ES" w:eastAsia="es-MX"/>
        </w:rPr>
        <w:lastRenderedPageBreak/>
        <w:t xml:space="preserve">De otro lado, el segundo cambio importante de la Ley 1882 de 2018 </w:t>
      </w:r>
      <w:r w:rsidRPr="00C543FB">
        <w:rPr>
          <w:rFonts w:ascii="Verdana" w:eastAsia="Calibri" w:hAnsi="Verdana" w:cs="Arial"/>
          <w:color w:val="000000"/>
          <w:lang w:val="es-ES" w:eastAsia="es-MX"/>
        </w:rPr>
        <w:t xml:space="preserve">es el correspondiente a la garantía de seriedad. El parágrafo 3 del artículo 5 de la Ley 1150 de 2007, adicionado por el artículo 5 de la Ley 1882 de 2018 dispone que la falta de entrega de la garantía de seriedad es insubsanable. Al respecto, la norma prescribe lo siguiente: </w:t>
      </w:r>
      <w:r>
        <w:rPr>
          <w:rFonts w:ascii="Verdana" w:eastAsia="Calibri" w:hAnsi="Verdana" w:cs="Arial"/>
          <w:color w:val="000000"/>
          <w:lang w:val="es-ES" w:eastAsia="es-MX"/>
        </w:rPr>
        <w:t>“</w:t>
      </w:r>
      <w:r w:rsidRPr="00C543FB">
        <w:rPr>
          <w:rFonts w:ascii="Verdana" w:eastAsia="Calibri" w:hAnsi="Verdana" w:cs="Arial"/>
          <w:color w:val="000000"/>
          <w:lang w:val="es-ES" w:eastAsia="es-MX"/>
        </w:rPr>
        <w:t xml:space="preserve">PARÁGRAFO 3o. La no entrega de la garantía de seriedad junto con la propuesta no será subsanable y será causal de rechazo de </w:t>
      </w:r>
      <w:proofErr w:type="gramStart"/>
      <w:r w:rsidRPr="00C543FB">
        <w:rPr>
          <w:rFonts w:ascii="Verdana" w:eastAsia="Calibri" w:hAnsi="Verdana" w:cs="Arial"/>
          <w:color w:val="000000"/>
          <w:lang w:val="es-ES" w:eastAsia="es-MX"/>
        </w:rPr>
        <w:t>la misma</w:t>
      </w:r>
      <w:proofErr w:type="gramEnd"/>
      <w:r>
        <w:rPr>
          <w:rFonts w:ascii="Verdana" w:eastAsia="Calibri" w:hAnsi="Verdana" w:cs="Arial"/>
          <w:color w:val="000000"/>
          <w:lang w:val="es-ES" w:eastAsia="es-MX"/>
        </w:rPr>
        <w:t>”</w:t>
      </w:r>
      <w:r w:rsidRPr="00C543FB">
        <w:rPr>
          <w:rFonts w:ascii="Verdana" w:eastAsia="Calibri" w:hAnsi="Verdana" w:cs="Arial"/>
          <w:color w:val="000000"/>
          <w:lang w:val="es-ES" w:eastAsia="es-MX"/>
        </w:rPr>
        <w:t>.</w:t>
      </w:r>
    </w:p>
    <w:p w14:paraId="3B75EF2C" w14:textId="77777777" w:rsidR="00200C04" w:rsidRPr="00C543FB" w:rsidRDefault="00200C04" w:rsidP="00200C04">
      <w:pPr>
        <w:spacing w:line="276" w:lineRule="auto"/>
        <w:ind w:firstLine="709"/>
        <w:jc w:val="both"/>
        <w:rPr>
          <w:rFonts w:ascii="Verdana" w:eastAsia="Times New Roman" w:hAnsi="Verdana" w:cs="Arial"/>
          <w:bdr w:val="none" w:sz="0" w:space="0" w:color="auto" w:frame="1"/>
          <w:lang w:val="es-ES" w:eastAsia="es-MX"/>
        </w:rPr>
      </w:pPr>
      <w:r>
        <w:rPr>
          <w:rFonts w:ascii="Verdana" w:eastAsia="Arial" w:hAnsi="Verdana" w:cs="Arial"/>
          <w:color w:val="000000"/>
          <w:lang w:val="es-ES" w:eastAsia="es-MX"/>
        </w:rPr>
        <w:t>E</w:t>
      </w:r>
      <w:r w:rsidRPr="00C543FB">
        <w:rPr>
          <w:rFonts w:ascii="Verdana" w:eastAsia="Arial" w:hAnsi="Verdana" w:cs="Arial"/>
          <w:color w:val="000000"/>
          <w:lang w:val="es-ES" w:eastAsia="es-MX"/>
        </w:rPr>
        <w:t xml:space="preserve">l último cambio importante de la Ley 1882 de 2018 fue la introducción de un criterio material, directamente relacionado con los aspectos subsanables: </w:t>
      </w:r>
      <w:r>
        <w:rPr>
          <w:rFonts w:ascii="Verdana" w:eastAsia="Arial" w:hAnsi="Verdana" w:cs="Arial"/>
          <w:i/>
          <w:iCs/>
          <w:color w:val="000000"/>
          <w:lang w:val="es-ES" w:eastAsia="es-MX"/>
        </w:rPr>
        <w:t>“</w:t>
      </w:r>
      <w:r w:rsidRPr="00C543FB">
        <w:rPr>
          <w:rFonts w:ascii="Verdana" w:eastAsia="Arial" w:hAnsi="Verdana" w:cs="Arial"/>
          <w:color w:val="000000"/>
          <w:lang w:val="es-ES" w:eastAsia="es-MX"/>
        </w:rPr>
        <w:t>los proponentes no podrán acreditar circunstancias ocurridas con posterioridad al cierre del proceso</w:t>
      </w:r>
      <w:r>
        <w:rPr>
          <w:rFonts w:ascii="Verdana" w:eastAsia="Arial" w:hAnsi="Verdana" w:cs="Arial"/>
          <w:color w:val="000000"/>
          <w:lang w:val="es-ES" w:eastAsia="es-MX"/>
        </w:rPr>
        <w:t>”</w:t>
      </w:r>
      <w:r w:rsidRPr="00C543FB">
        <w:rPr>
          <w:rFonts w:ascii="Verdana" w:eastAsia="Arial" w:hAnsi="Verdana" w:cs="Arial"/>
          <w:b/>
          <w:bCs/>
          <w:color w:val="000000"/>
          <w:lang w:val="es-ES" w:eastAsia="es-MX"/>
        </w:rPr>
        <w:t>.</w:t>
      </w:r>
      <w:r w:rsidRPr="00C543FB">
        <w:rPr>
          <w:rFonts w:ascii="Verdana" w:eastAsia="Times New Roman" w:hAnsi="Verdana" w:cs="Arial"/>
          <w:bdr w:val="none" w:sz="0" w:space="0" w:color="auto" w:frame="1"/>
          <w:lang w:val="es-ES" w:eastAsia="es-MX"/>
        </w:rPr>
        <w:t xml:space="preserve"> Esta regla tiene una finalidad particular, y es que, al momento de presentar la oferta, el proponente la deberá hacerlo de forma íntegra y así evitar que a lo largo del procedimiento contractual complete o adicione su propuesta, conforme mejora su situación particular. En términos del Consejo de Estado:</w:t>
      </w:r>
    </w:p>
    <w:p w14:paraId="36652C66" w14:textId="77777777" w:rsidR="00200C04" w:rsidRPr="00547A08" w:rsidRDefault="00200C04" w:rsidP="00200C04">
      <w:pPr>
        <w:tabs>
          <w:tab w:val="left" w:pos="426"/>
        </w:tabs>
        <w:ind w:left="709" w:right="709"/>
        <w:jc w:val="both"/>
        <w:rPr>
          <w:rFonts w:ascii="Verdana" w:eastAsia="Arial" w:hAnsi="Verdana" w:cs="Arial"/>
          <w:color w:val="000000"/>
          <w:sz w:val="20"/>
          <w:szCs w:val="20"/>
          <w:lang w:val="es-ES" w:eastAsia="es-MX"/>
        </w:rPr>
      </w:pPr>
      <w:r w:rsidRPr="00547A08">
        <w:rPr>
          <w:rFonts w:ascii="Verdana" w:eastAsia="Arial" w:hAnsi="Verdana" w:cs="Arial"/>
          <w:color w:val="000000"/>
          <w:sz w:val="20"/>
          <w:szCs w:val="20"/>
          <w:lang w:val="es-ES" w:eastAsia="es-MX"/>
        </w:rPr>
        <w:t>[…] no es posible que el oferente vaya mejorando, completando, adicionando, modificando o estructurando su propuesta a lo largo del proceso contractual según vaya evolucionando su situación particular en el mismo, pues como se establece en el numeral 6º del artículo 30 de la Ley 80 de 1993, “las propuestas deben referirse y sujetarse a todos y cada uno de los puntos contenidos en el pliego de condiciones”, es decir, todos los elementos del negocio jurídico exigidos en los pliegos de condiciones. Dicho de otra forma, el oferente tiene la carga de presentar su oferta en forma íntegra, esto es, respondiendo todos los puntos del pliego de condiciones y adjuntando todos los documentos de soporte o prueba de las condiciones habilitantes y de los elementos de su oferta, de manera que la entidad licitante pueda, con economía de medios, evaluarla lo más eficientemente posible, y sólo si hace falta algún requisito o un documento, la administración puede requerirlo del oferente.</w:t>
      </w:r>
      <w:r w:rsidRPr="00547A08">
        <w:rPr>
          <w:rFonts w:ascii="Verdana" w:eastAsia="Arial" w:hAnsi="Verdana" w:cs="Arial"/>
          <w:color w:val="000000"/>
          <w:sz w:val="20"/>
          <w:szCs w:val="20"/>
          <w:vertAlign w:val="superscript"/>
          <w:lang w:val="es-ES" w:eastAsia="es-MX"/>
        </w:rPr>
        <w:footnoteReference w:id="7"/>
      </w:r>
    </w:p>
    <w:p w14:paraId="62650E7C" w14:textId="4862F5A9" w:rsidR="00200C04" w:rsidRDefault="00200C04" w:rsidP="00200C04">
      <w:pPr>
        <w:spacing w:line="276" w:lineRule="auto"/>
        <w:ind w:firstLine="708"/>
        <w:jc w:val="both"/>
        <w:rPr>
          <w:rFonts w:ascii="Verdana" w:eastAsia="Calibri" w:hAnsi="Verdana" w:cs="Arial"/>
        </w:rPr>
      </w:pPr>
      <w:r w:rsidRPr="0054483F">
        <w:rPr>
          <w:rFonts w:ascii="Verdana" w:eastAsia="Calibri" w:hAnsi="Verdana" w:cs="Arial"/>
        </w:rPr>
        <w:t xml:space="preserve">En consecuencia, la modificación de la duración </w:t>
      </w:r>
      <w:proofErr w:type="spellStart"/>
      <w:r w:rsidR="63C885FA" w:rsidRPr="41A17B4F">
        <w:rPr>
          <w:rFonts w:ascii="Verdana" w:eastAsia="Calibri" w:hAnsi="Verdana" w:cs="Arial"/>
        </w:rPr>
        <w:t>y</w:t>
      </w:r>
      <w:r w:rsidR="52CFE571" w:rsidRPr="41A17B4F">
        <w:rPr>
          <w:rFonts w:ascii="Verdana" w:eastAsia="Calibri" w:hAnsi="Verdana" w:cs="Arial"/>
        </w:rPr>
        <w:t>vigencia</w:t>
      </w:r>
      <w:proofErr w:type="spellEnd"/>
      <w:r w:rsidR="52CFE571" w:rsidRPr="41A17B4F">
        <w:rPr>
          <w:rFonts w:ascii="Verdana" w:eastAsia="Calibri" w:hAnsi="Verdana" w:cs="Arial"/>
        </w:rPr>
        <w:t xml:space="preserve"> de una</w:t>
      </w:r>
      <w:r w:rsidRPr="0054483F">
        <w:rPr>
          <w:rFonts w:ascii="Verdana" w:eastAsia="Calibri" w:hAnsi="Verdana" w:cs="Arial"/>
        </w:rPr>
        <w:t xml:space="preserve"> sociedad solo puede considerarse subsanable cuando constituye la simple acreditación tardía de un hecho que ya existía antes del cierre de la oferta, y no cuando implica ajustar, perfeccionar o completar la reforma estatutaria con posterioridad a ese hito. Permitir que la inscripción, perfeccionamiento o firmeza del acto registral ocurra después del cierre implicaría incorporar hechos nuevos </w:t>
      </w:r>
      <w:r w:rsidRPr="0054483F">
        <w:rPr>
          <w:rFonts w:ascii="Verdana" w:eastAsia="Calibri" w:hAnsi="Verdana" w:cs="Arial"/>
        </w:rPr>
        <w:lastRenderedPageBreak/>
        <w:t>y supondría un mejoramiento sustancial de la oferta, prohibido por el artículo 5 de la Ley 1882 de 2018. Por ello, únicamente es admisible subsanar defectos formales en la prueba documental de la modificación, siempre que la reforma estuviera materialmente cumplida antes del cierre; de lo contrario, se vulneraría la igualdad entre oferentes y los principios de transparencia y selección objetiva.</w:t>
      </w:r>
    </w:p>
    <w:p w14:paraId="59E9852F" w14:textId="77777777" w:rsidR="00200C04" w:rsidRDefault="00200C04" w:rsidP="00200C04">
      <w:pPr>
        <w:spacing w:line="276" w:lineRule="auto"/>
        <w:ind w:firstLine="708"/>
        <w:jc w:val="both"/>
        <w:rPr>
          <w:rFonts w:ascii="Verdana" w:eastAsia="Calibri" w:hAnsi="Verdana" w:cs="Arial"/>
          <w:bCs/>
          <w:color w:val="000000" w:themeColor="text1"/>
        </w:rPr>
      </w:pPr>
      <w:r>
        <w:rPr>
          <w:rFonts w:ascii="Verdana" w:eastAsia="Calibri" w:hAnsi="Verdana" w:cs="Arial"/>
        </w:rPr>
        <w:t>Ahora bien,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8"/>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Por lo tanto, se recomienda su consulta </w:t>
      </w:r>
      <w:r>
        <w:rPr>
          <w:rFonts w:ascii="Verdana" w:eastAsia="Calibri" w:hAnsi="Verdana" w:cs="Arial"/>
        </w:rPr>
        <w:t xml:space="preserve">en el sitio web: </w:t>
      </w:r>
      <w:hyperlink r:id="rId12"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p>
    <w:p w14:paraId="6EA7499E" w14:textId="77777777" w:rsidR="00200C04" w:rsidRPr="00AE7E03" w:rsidRDefault="00200C04" w:rsidP="00200C04">
      <w:pPr>
        <w:spacing w:after="0" w:line="276" w:lineRule="auto"/>
        <w:ind w:firstLine="708"/>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para resolver problemas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D211E">
        <w:rPr>
          <w:rFonts w:ascii="Verdana" w:eastAsia="Calibri" w:hAnsi="Verdana" w:cs="Times New Roman"/>
          <w:lang w:val="es-ES"/>
        </w:rPr>
        <w:t>.</w:t>
      </w:r>
    </w:p>
    <w:p w14:paraId="22C021AB" w14:textId="77777777" w:rsidR="00200C04" w:rsidRDefault="00200C04" w:rsidP="00200C04">
      <w:pPr>
        <w:spacing w:before="120" w:after="0" w:line="276" w:lineRule="auto"/>
        <w:ind w:firstLine="708"/>
        <w:jc w:val="both"/>
        <w:rPr>
          <w:rFonts w:ascii="Verdana" w:eastAsia="Calibri" w:hAnsi="Verdana" w:cs="Times New Roman"/>
          <w:lang w:val="es-ES"/>
        </w:rPr>
      </w:pPr>
      <w:r w:rsidRPr="00AE7E0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AE7E03">
        <w:rPr>
          <w:rFonts w:ascii="Verdana" w:eastAsia="Calibri" w:hAnsi="Verdana" w:cs="Times New Roman"/>
          <w:lang w:val="es-ES"/>
        </w:rPr>
        <w:lastRenderedPageBreak/>
        <w:t>contractual, sin que sea atribución de la Agencia Nacional de Contratación Pública – Colombia Compra Eficiente, validar sus actuaciones.</w:t>
      </w:r>
    </w:p>
    <w:p w14:paraId="3FD86CEC" w14:textId="77777777" w:rsidR="00200C04" w:rsidRPr="00601CDD" w:rsidRDefault="00200C04" w:rsidP="00200C04">
      <w:pPr>
        <w:spacing w:before="120" w:after="0" w:line="276" w:lineRule="auto"/>
        <w:ind w:firstLine="708"/>
        <w:jc w:val="both"/>
        <w:rPr>
          <w:rFonts w:ascii="Verdana" w:eastAsia="Calibri" w:hAnsi="Verdana" w:cs="Arial"/>
        </w:rPr>
      </w:pPr>
    </w:p>
    <w:p w14:paraId="6CD75E5E" w14:textId="77777777" w:rsidR="00200C04" w:rsidRDefault="00200C04" w:rsidP="00200C04">
      <w:pPr>
        <w:autoSpaceDE w:val="0"/>
        <w:autoSpaceDN w:val="0"/>
        <w:adjustRightInd w:val="0"/>
        <w:spacing w:after="0" w:line="276" w:lineRule="auto"/>
        <w:ind w:firstLine="709"/>
        <w:jc w:val="both"/>
        <w:rPr>
          <w:rFonts w:ascii="Verdana" w:hAnsi="Verdana" w:cs="Arial"/>
        </w:rPr>
      </w:pPr>
    </w:p>
    <w:p w14:paraId="1D4C24AD" w14:textId="77777777" w:rsidR="00200C04" w:rsidRPr="0060676F" w:rsidRDefault="00200C04" w:rsidP="00200C04">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0D27C350" w14:textId="77777777" w:rsidR="00200C04" w:rsidRPr="00593A5F" w:rsidRDefault="00200C04" w:rsidP="00200C0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00C04" w:rsidRPr="00593A5F" w14:paraId="4796B94D" w14:textId="77777777" w:rsidTr="004D47DD">
        <w:trPr>
          <w:trHeight w:val="870"/>
        </w:trPr>
        <w:tc>
          <w:tcPr>
            <w:tcW w:w="8647" w:type="dxa"/>
          </w:tcPr>
          <w:p w14:paraId="497C8BF5" w14:textId="77777777" w:rsidR="00200C04" w:rsidRDefault="00200C04" w:rsidP="00200C04">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Pr>
                <w:rFonts w:ascii="Verdana" w:hAnsi="Verdana" w:cs="Arial"/>
              </w:rPr>
              <w:t>Ley 80 de 1993.</w:t>
            </w:r>
            <w:r w:rsidRPr="00C543FB">
              <w:rPr>
                <w:rFonts w:ascii="Verdana" w:eastAsia="Times New Roman" w:hAnsi="Verdana" w:cs="Arial"/>
                <w:color w:val="000000"/>
                <w:lang w:eastAsia="es-MX"/>
              </w:rPr>
              <w:t xml:space="preserve"> </w:t>
            </w:r>
            <w:r>
              <w:rPr>
                <w:rFonts w:ascii="Verdana" w:eastAsia="Times New Roman" w:hAnsi="Verdana" w:cs="Arial"/>
                <w:color w:val="000000"/>
                <w:lang w:eastAsia="es-MX"/>
              </w:rPr>
              <w:t xml:space="preserve">Articulo. </w:t>
            </w:r>
            <w:r w:rsidRPr="00C543FB">
              <w:rPr>
                <w:rFonts w:ascii="Verdana" w:eastAsia="Times New Roman" w:hAnsi="Verdana" w:cs="Arial"/>
                <w:color w:val="000000"/>
                <w:lang w:eastAsia="es-MX"/>
              </w:rPr>
              <w:t>25.15</w:t>
            </w:r>
          </w:p>
          <w:p w14:paraId="4A12232D" w14:textId="77777777" w:rsidR="00200C04" w:rsidRPr="004C6846" w:rsidRDefault="00200C04" w:rsidP="00200C04">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 xml:space="preserve">Ley </w:t>
            </w:r>
            <w:r w:rsidRPr="004C6846">
              <w:rPr>
                <w:rFonts w:ascii="Verdana" w:eastAsia="Calibri" w:hAnsi="Verdana" w:cs="Arial"/>
              </w:rPr>
              <w:t>1150 de 2007. Artículo 5, Párrafos 1º y 4º. Artículo 2.</w:t>
            </w:r>
          </w:p>
          <w:p w14:paraId="34DC41C7" w14:textId="77777777" w:rsidR="00200C04" w:rsidRPr="004C6846" w:rsidRDefault="00200C04" w:rsidP="00200C04">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Ley 1882 de 2018. Artículo 5.</w:t>
            </w:r>
          </w:p>
          <w:p w14:paraId="00D42D43" w14:textId="77777777" w:rsidR="00200C04" w:rsidRDefault="00200C04" w:rsidP="00200C04">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Decreto 1082 de 2015. Artículo 2.2.1.2.1.2.2</w:t>
            </w:r>
            <w:r>
              <w:rPr>
                <w:rFonts w:ascii="Verdana" w:hAnsi="Verdana" w:cs="Arial"/>
              </w:rPr>
              <w:t>.</w:t>
            </w:r>
          </w:p>
          <w:p w14:paraId="66D91F21" w14:textId="77777777" w:rsidR="00200C04" w:rsidRDefault="00200C04" w:rsidP="00200C04">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7B7547">
              <w:rPr>
                <w:rFonts w:ascii="Verdana" w:hAnsi="Verdana" w:cs="Arial"/>
              </w:rPr>
              <w:t>Consejo de Estado. Sala de Consulta y Servicio Civil. Concepto del 20 de mayo de 2010. No. de Radicado: 11001-03-06-000-2010-00034-00(1992). C.P. Enrique José Arboleda Perdomo.</w:t>
            </w:r>
          </w:p>
          <w:p w14:paraId="328C333F" w14:textId="77777777" w:rsidR="00200C04" w:rsidRPr="0054483F" w:rsidRDefault="00200C04" w:rsidP="00200C04">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E85A8F">
              <w:rPr>
                <w:rFonts w:ascii="Verdana" w:eastAsia="Calibri" w:hAnsi="Verdana" w:cs="Arial"/>
              </w:rPr>
              <w:t>Manual para determinar y verificar los requisitos habilitantes en los Procesos de Contratación</w:t>
            </w:r>
            <w:r>
              <w:rPr>
                <w:rFonts w:ascii="Verdana" w:eastAsia="Calibri" w:hAnsi="Verdana" w:cs="Arial"/>
              </w:rPr>
              <w:t>.</w:t>
            </w:r>
          </w:p>
        </w:tc>
      </w:tr>
    </w:tbl>
    <w:p w14:paraId="7C4F8866" w14:textId="77777777" w:rsidR="00200C04" w:rsidRDefault="00200C04" w:rsidP="00200C0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230B18F" w14:textId="77777777" w:rsidR="00200C04" w:rsidRDefault="00200C04" w:rsidP="00200C0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1188234" w14:textId="77777777" w:rsidR="00200C04" w:rsidRPr="00593A5F" w:rsidRDefault="00200C04" w:rsidP="00200C0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447FB20" w14:textId="77777777" w:rsidR="00200C04" w:rsidRPr="00AE7E03" w:rsidRDefault="00200C04" w:rsidP="00200C04">
      <w:pPr>
        <w:widowControl w:val="0"/>
        <w:autoSpaceDE w:val="0"/>
        <w:autoSpaceDN w:val="0"/>
        <w:spacing w:after="0" w:line="276" w:lineRule="auto"/>
        <w:jc w:val="both"/>
        <w:rPr>
          <w:rFonts w:ascii="Verdana" w:eastAsia="Arial" w:hAnsi="Verdana" w:cs="Arial"/>
          <w:lang w:val="es-MX" w:eastAsia="es-ES"/>
        </w:rPr>
      </w:pPr>
      <w:r w:rsidRPr="007B7547">
        <w:rPr>
          <w:rFonts w:ascii="Verdana" w:eastAsia="Calibri" w:hAnsi="Verdana" w:cs="Arial"/>
          <w:lang w:val="es-ES_tradnl" w:eastAsia="es-ES_tradnl"/>
        </w:rPr>
        <w:t xml:space="preserve">En cuanto a los criterios que deben ser tenidos en cuenta para la </w:t>
      </w:r>
      <w:proofErr w:type="spellStart"/>
      <w:r w:rsidRPr="007B7547">
        <w:rPr>
          <w:rFonts w:ascii="Verdana" w:eastAsia="Calibri" w:hAnsi="Verdana" w:cs="Arial"/>
          <w:lang w:val="es-ES_tradnl" w:eastAsia="es-ES_tradnl"/>
        </w:rPr>
        <w:t>subsanabilidad</w:t>
      </w:r>
      <w:proofErr w:type="spellEnd"/>
      <w:r w:rsidRPr="007B7547">
        <w:rPr>
          <w:rFonts w:ascii="Verdana" w:eastAsia="Calibri" w:hAnsi="Verdana" w:cs="Arial"/>
          <w:lang w:val="es-ES_tradnl" w:eastAsia="es-ES_tradnl"/>
        </w:rPr>
        <w:t xml:space="preserve"> de las propuestas, esta Agencia unificó su criterio mediante el concepto C-060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C-779 de 18 de enero de 2021, C-055 del 10 de marzo de 2021, C-207 del 10 de mayo de 2021, C-332 del 07 de mayo de 2021, C-311 del 10 de junio de 2021</w:t>
      </w:r>
      <w:r w:rsidRPr="0027034B">
        <w:rPr>
          <w:rFonts w:ascii="Verdana" w:eastAsia="Calibri" w:hAnsi="Verdana" w:cs="Arial"/>
          <w:lang w:val="es-ES_tradnl" w:eastAsia="es-ES_tradnl"/>
        </w:rPr>
        <w:t xml:space="preserve">, </w:t>
      </w:r>
      <w:r w:rsidRPr="004C6846">
        <w:rPr>
          <w:rFonts w:ascii="Verdana" w:hAnsi="Verdana" w:cs="Arial"/>
        </w:rPr>
        <w:t>C-233 del 12 de agosto de 2024</w:t>
      </w:r>
      <w:r>
        <w:rPr>
          <w:rFonts w:ascii="Verdana" w:hAnsi="Verdana" w:cs="Arial"/>
        </w:rPr>
        <w:t>,</w:t>
      </w:r>
      <w:r w:rsidRPr="004C6846">
        <w:rPr>
          <w:rFonts w:ascii="Verdana" w:hAnsi="Verdana" w:cs="Arial"/>
        </w:rPr>
        <w:t xml:space="preserve"> C-369 del 09 de septiembre del 2024</w:t>
      </w:r>
      <w:r>
        <w:rPr>
          <w:rFonts w:ascii="Verdana" w:hAnsi="Verdana" w:cs="Arial"/>
          <w:shd w:val="clear" w:color="auto" w:fill="FFFFFF"/>
        </w:rPr>
        <w:t xml:space="preserve">, C-834 del 21 de noviembre de 2024 y C-518 de  2025, </w:t>
      </w:r>
      <w:r w:rsidRPr="0027034B">
        <w:rPr>
          <w:rFonts w:ascii="Verdana" w:eastAsia="Calibri" w:hAnsi="Verdana" w:cs="Arial"/>
          <w:lang w:val="es-ES_tradnl" w:eastAsia="es-ES_tradnl"/>
        </w:rPr>
        <w:t>entre otros</w:t>
      </w:r>
      <w:r>
        <w:rPr>
          <w:rFonts w:ascii="Verdana" w:eastAsia="Calibri" w:hAnsi="Verdana" w:cs="Arial"/>
          <w:lang w:val="es-ES" w:eastAsia="es-ES_tradnl"/>
        </w:rPr>
        <w:t>;</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879ECBD" w14:textId="77777777" w:rsidR="00200C04" w:rsidRPr="0065720B" w:rsidRDefault="00200C04" w:rsidP="00200C04">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87C0101" w14:textId="77777777" w:rsidR="00200C04" w:rsidRPr="00505CD6" w:rsidRDefault="00200C04" w:rsidP="00200C04">
      <w:pPr>
        <w:widowControl w:val="0"/>
        <w:autoSpaceDE w:val="0"/>
        <w:autoSpaceDN w:val="0"/>
        <w:spacing w:after="0" w:line="276" w:lineRule="auto"/>
        <w:jc w:val="both"/>
        <w:rPr>
          <w:rFonts w:ascii="Verdana" w:hAnsi="Verdana" w:cs="Arial"/>
          <w:color w:val="000000" w:themeColor="text1"/>
          <w:shd w:val="clear" w:color="auto" w:fill="FFFFFF"/>
        </w:rPr>
      </w:pPr>
    </w:p>
    <w:p w14:paraId="383F3DE2" w14:textId="77777777" w:rsidR="00200C04" w:rsidRPr="00103B90" w:rsidRDefault="00200C04" w:rsidP="00200C04">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6D35DB9E" w14:textId="77777777" w:rsidR="00200C04" w:rsidRPr="00103B90" w:rsidRDefault="00200C04" w:rsidP="00200C04">
      <w:pPr>
        <w:widowControl w:val="0"/>
        <w:autoSpaceDE w:val="0"/>
        <w:autoSpaceDN w:val="0"/>
        <w:spacing w:after="0" w:line="276" w:lineRule="auto"/>
        <w:jc w:val="both"/>
        <w:rPr>
          <w:rFonts w:ascii="Verdana" w:hAnsi="Verdana"/>
        </w:rPr>
      </w:pPr>
    </w:p>
    <w:p w14:paraId="46373868" w14:textId="77777777" w:rsidR="00200C04" w:rsidRPr="00505CD6" w:rsidRDefault="00200C04" w:rsidP="00200C04">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F7BB8EF" w14:textId="77777777" w:rsidR="00200C04" w:rsidRPr="00505CD6" w:rsidRDefault="00200C04" w:rsidP="00200C04">
      <w:pPr>
        <w:widowControl w:val="0"/>
        <w:autoSpaceDE w:val="0"/>
        <w:autoSpaceDN w:val="0"/>
        <w:spacing w:after="0" w:line="276" w:lineRule="auto"/>
        <w:jc w:val="both"/>
        <w:rPr>
          <w:rFonts w:ascii="Verdana" w:hAnsi="Verdana" w:cs="Arial"/>
        </w:rPr>
      </w:pPr>
    </w:p>
    <w:p w14:paraId="587289C8" w14:textId="77777777" w:rsidR="00200C04" w:rsidRDefault="00200C04" w:rsidP="00200C04">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D1C9925" w14:textId="790BC321" w:rsidR="00200C04" w:rsidRDefault="009B0984" w:rsidP="00200C04">
      <w:pPr>
        <w:spacing w:after="0" w:line="276" w:lineRule="auto"/>
        <w:rPr>
          <w:rFonts w:ascii="Verdana" w:eastAsia="Times New Roman" w:hAnsi="Verdana" w:cs="Arial"/>
          <w:lang w:eastAsia="es-CO"/>
        </w:rPr>
      </w:pPr>
      <w:r w:rsidRPr="00E432C3">
        <w:rPr>
          <w:rFonts w:ascii="Verdana" w:hAnsi="Verdana" w:cs="Arial"/>
          <w:noProof/>
          <w:lang w:eastAsia="es-CO"/>
        </w:rPr>
        <w:drawing>
          <wp:anchor distT="0" distB="0" distL="114300" distR="114300" simplePos="0" relativeHeight="251660288" behindDoc="1" locked="0" layoutInCell="1" allowOverlap="1" wp14:anchorId="48593C23" wp14:editId="112C21CE">
            <wp:simplePos x="0" y="0"/>
            <wp:positionH relativeFrom="column">
              <wp:posOffset>945515</wp:posOffset>
            </wp:positionH>
            <wp:positionV relativeFrom="paragraph">
              <wp:posOffset>194310</wp:posOffset>
            </wp:positionV>
            <wp:extent cx="3749040" cy="1574800"/>
            <wp:effectExtent l="0" t="0" r="3810" b="6350"/>
            <wp:wrapTight wrapText="bothSides">
              <wp:wrapPolygon edited="0">
                <wp:start x="0" y="0"/>
                <wp:lineTo x="0" y="21426"/>
                <wp:lineTo x="21512" y="21426"/>
                <wp:lineTo x="21512" y="0"/>
                <wp:lineTo x="0" y="0"/>
              </wp:wrapPolygon>
            </wp:wrapTight>
            <wp:docPr id="610887136" name="Imagen 2" descr="Imagen 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n 1, Image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49040" cy="1574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BF1F8" w14:textId="4306C150" w:rsidR="00200C04" w:rsidRPr="00BC1800" w:rsidRDefault="00200C04" w:rsidP="00200C04">
      <w:pPr>
        <w:spacing w:after="0" w:line="276" w:lineRule="auto"/>
      </w:pPr>
      <w:r w:rsidRPr="00EA7EA8">
        <w:rPr>
          <w:rFonts w:ascii="Verdana" w:hAnsi="Verdana" w:cs="Arial"/>
          <w:lang w:eastAsia="es-CO"/>
        </w:rPr>
        <w:t xml:space="preserve"> </w:t>
      </w:r>
    </w:p>
    <w:p w14:paraId="69EE5C2E" w14:textId="20B91FF5" w:rsidR="00200C04" w:rsidRDefault="00200C04" w:rsidP="00200C04">
      <w:pPr>
        <w:spacing w:after="0" w:line="240" w:lineRule="auto"/>
        <w:jc w:val="center"/>
        <w:rPr>
          <w:b/>
          <w:bCs/>
          <w:sz w:val="28"/>
          <w:szCs w:val="28"/>
        </w:rPr>
      </w:pPr>
    </w:p>
    <w:p w14:paraId="78534D8A" w14:textId="77777777" w:rsidR="00200C04" w:rsidRDefault="00200C04" w:rsidP="00200C04">
      <w:pPr>
        <w:spacing w:after="0" w:line="240" w:lineRule="auto"/>
        <w:jc w:val="center"/>
        <w:rPr>
          <w:b/>
          <w:bCs/>
          <w:sz w:val="28"/>
          <w:szCs w:val="28"/>
        </w:rPr>
      </w:pPr>
    </w:p>
    <w:p w14:paraId="5B7B66EA" w14:textId="7C39D914" w:rsidR="00200C04" w:rsidRDefault="00200C04" w:rsidP="00200C04">
      <w:pPr>
        <w:spacing w:after="0" w:line="240" w:lineRule="auto"/>
        <w:jc w:val="center"/>
        <w:rPr>
          <w:sz w:val="28"/>
          <w:szCs w:val="28"/>
          <w:lang w:val="es-ES_tradnl" w:eastAsia="es-CO"/>
        </w:rPr>
      </w:pPr>
    </w:p>
    <w:p w14:paraId="28281206" w14:textId="77777777" w:rsidR="00200C04" w:rsidRDefault="00200C04" w:rsidP="00200C04">
      <w:pPr>
        <w:spacing w:line="276" w:lineRule="auto"/>
        <w:jc w:val="center"/>
        <w:rPr>
          <w:noProof/>
        </w:rPr>
      </w:pPr>
    </w:p>
    <w:p w14:paraId="2448430D" w14:textId="77777777" w:rsidR="00200C04" w:rsidRDefault="00200C04" w:rsidP="00200C04">
      <w:pPr>
        <w:spacing w:after="0" w:line="276" w:lineRule="auto"/>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0C04" w:rsidRPr="00D53651" w14:paraId="27D29978" w14:textId="77777777" w:rsidTr="004D47DD">
        <w:trPr>
          <w:trHeight w:val="315"/>
        </w:trPr>
        <w:tc>
          <w:tcPr>
            <w:tcW w:w="893" w:type="dxa"/>
            <w:vAlign w:val="center"/>
            <w:hideMark/>
          </w:tcPr>
          <w:p w14:paraId="03411F85" w14:textId="77777777" w:rsidR="00200C04" w:rsidRPr="00D53651" w:rsidRDefault="00200C04" w:rsidP="004D47DD">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462E3F7" w14:textId="77777777" w:rsidR="00200C04" w:rsidRPr="00D53651" w:rsidRDefault="00200C04" w:rsidP="004D47DD">
            <w:pPr>
              <w:spacing w:line="276" w:lineRule="auto"/>
              <w:jc w:val="both"/>
              <w:rPr>
                <w:rFonts w:ascii="Verdana" w:hAnsi="Verdana"/>
                <w:sz w:val="16"/>
                <w:szCs w:val="16"/>
              </w:rPr>
            </w:pPr>
            <w:r>
              <w:rPr>
                <w:rFonts w:ascii="Verdana" w:hAnsi="Verdana"/>
                <w:sz w:val="16"/>
                <w:szCs w:val="16"/>
              </w:rPr>
              <w:t>Gloria Elizabeth Arango Builes</w:t>
            </w:r>
            <w:r w:rsidRPr="00D53651">
              <w:rPr>
                <w:rFonts w:ascii="Verdana" w:hAnsi="Verdana"/>
                <w:sz w:val="16"/>
                <w:szCs w:val="16"/>
              </w:rPr>
              <w:t xml:space="preserve"> </w:t>
            </w:r>
          </w:p>
          <w:p w14:paraId="10D072D9" w14:textId="77777777" w:rsidR="00200C04" w:rsidRPr="00D53651" w:rsidRDefault="00200C04" w:rsidP="004D47DD">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200C04" w:rsidRPr="00D53651" w14:paraId="2DD554CE" w14:textId="77777777" w:rsidTr="004D47DD">
        <w:trPr>
          <w:trHeight w:val="330"/>
        </w:trPr>
        <w:tc>
          <w:tcPr>
            <w:tcW w:w="893" w:type="dxa"/>
            <w:vAlign w:val="center"/>
            <w:hideMark/>
          </w:tcPr>
          <w:p w14:paraId="555651A1" w14:textId="77777777" w:rsidR="00200C04" w:rsidRPr="00D53651" w:rsidRDefault="00200C04" w:rsidP="004D47DD">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6B8680CD" w14:textId="77777777" w:rsidR="00200C04" w:rsidRPr="00D53651" w:rsidRDefault="00200C04" w:rsidP="004D47DD">
            <w:pPr>
              <w:spacing w:line="276" w:lineRule="auto"/>
              <w:jc w:val="both"/>
              <w:rPr>
                <w:rFonts w:ascii="Verdana" w:hAnsi="Verdana"/>
                <w:sz w:val="16"/>
                <w:szCs w:val="16"/>
              </w:rPr>
            </w:pPr>
            <w:r>
              <w:rPr>
                <w:rFonts w:ascii="Verdana" w:hAnsi="Verdana"/>
                <w:sz w:val="16"/>
                <w:szCs w:val="16"/>
              </w:rPr>
              <w:t>Juan Carlos González Vásquez</w:t>
            </w:r>
            <w:r w:rsidRPr="00D53651">
              <w:rPr>
                <w:rFonts w:ascii="Verdana" w:hAnsi="Verdana"/>
                <w:sz w:val="16"/>
                <w:szCs w:val="16"/>
              </w:rPr>
              <w:t xml:space="preserve"> </w:t>
            </w:r>
          </w:p>
          <w:p w14:paraId="22082738" w14:textId="77777777" w:rsidR="00200C04" w:rsidRPr="00D53651" w:rsidRDefault="00200C04" w:rsidP="004D47DD">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200C04" w:rsidRPr="00D53651" w14:paraId="035F2294" w14:textId="77777777" w:rsidTr="004D47DD">
        <w:trPr>
          <w:trHeight w:val="300"/>
        </w:trPr>
        <w:tc>
          <w:tcPr>
            <w:tcW w:w="893" w:type="dxa"/>
            <w:vAlign w:val="center"/>
            <w:hideMark/>
          </w:tcPr>
          <w:p w14:paraId="6C2324EC" w14:textId="77777777" w:rsidR="00200C04" w:rsidRPr="00D53651" w:rsidRDefault="00200C04" w:rsidP="004D47DD">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1B4C5385" w14:textId="77777777" w:rsidR="00200C04" w:rsidRPr="00D53651" w:rsidRDefault="00200C04" w:rsidP="004D47DD">
            <w:pPr>
              <w:spacing w:line="276" w:lineRule="auto"/>
              <w:jc w:val="both"/>
              <w:rPr>
                <w:rFonts w:ascii="Verdana" w:hAnsi="Verdana"/>
                <w:sz w:val="16"/>
                <w:szCs w:val="16"/>
                <w:lang w:val="pt-BR"/>
              </w:rPr>
            </w:pPr>
            <w:r>
              <w:rPr>
                <w:rFonts w:ascii="Verdana" w:hAnsi="Verdana"/>
                <w:sz w:val="16"/>
                <w:szCs w:val="16"/>
                <w:lang w:val="pt-BR"/>
              </w:rPr>
              <w:t xml:space="preserve">Ana </w:t>
            </w:r>
            <w:proofErr w:type="spellStart"/>
            <w:r>
              <w:rPr>
                <w:rFonts w:ascii="Verdana" w:hAnsi="Verdana"/>
                <w:sz w:val="16"/>
                <w:szCs w:val="16"/>
                <w:lang w:val="pt-BR"/>
              </w:rPr>
              <w:t>María</w:t>
            </w:r>
            <w:proofErr w:type="spellEnd"/>
            <w:r>
              <w:rPr>
                <w:rFonts w:ascii="Verdana" w:hAnsi="Verdana"/>
                <w:sz w:val="16"/>
                <w:szCs w:val="16"/>
                <w:lang w:val="pt-BR"/>
              </w:rPr>
              <w:t xml:space="preserve"> Tolosa Rico</w:t>
            </w:r>
          </w:p>
          <w:p w14:paraId="5A2CCA70" w14:textId="06094408" w:rsidR="00200C04" w:rsidRPr="00D53651" w:rsidRDefault="00200C04" w:rsidP="004D47DD">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r>
              <w:rPr>
                <w:rFonts w:ascii="Verdana" w:hAnsi="Verdana"/>
                <w:sz w:val="16"/>
                <w:szCs w:val="16"/>
                <w:lang w:val="pt-BR"/>
              </w:rPr>
              <w:t xml:space="preserve"> (E</w:t>
            </w:r>
            <w:r w:rsidR="00EC23C5">
              <w:rPr>
                <w:rFonts w:ascii="Verdana" w:hAnsi="Verdana"/>
                <w:sz w:val="16"/>
                <w:szCs w:val="16"/>
                <w:lang w:val="pt-BR"/>
              </w:rPr>
              <w:t>)</w:t>
            </w:r>
          </w:p>
        </w:tc>
      </w:tr>
    </w:tbl>
    <w:p w14:paraId="73BE2CDA" w14:textId="77777777" w:rsidR="00200C04" w:rsidRPr="000931E9" w:rsidRDefault="00200C04" w:rsidP="00200C04"/>
    <w:p w14:paraId="61CBA406" w14:textId="77777777" w:rsidR="00200C04" w:rsidRPr="0044528D" w:rsidRDefault="00200C04" w:rsidP="00200C04">
      <w:pPr>
        <w:spacing w:after="0"/>
        <w:rPr>
          <w:rFonts w:ascii="Verdana" w:hAnsi="Verdana"/>
        </w:rPr>
      </w:pPr>
    </w:p>
    <w:p w14:paraId="5C606BB2" w14:textId="77777777" w:rsidR="00200C04" w:rsidRPr="00FA01E0" w:rsidRDefault="00200C04" w:rsidP="00200C04">
      <w:pPr>
        <w:spacing w:after="0" w:line="276" w:lineRule="auto"/>
        <w:jc w:val="both"/>
        <w:rPr>
          <w:rFonts w:ascii="Verdana" w:eastAsia="Calibri" w:hAnsi="Verdana" w:cs="Arial"/>
          <w:lang w:val="es-ES"/>
        </w:rPr>
      </w:pPr>
    </w:p>
    <w:p w14:paraId="7A106C9E" w14:textId="77777777" w:rsidR="00200C04" w:rsidRPr="004F240F" w:rsidRDefault="00200C04" w:rsidP="00200C04"/>
    <w:p w14:paraId="0F293BF4" w14:textId="3460F472" w:rsidR="00127233" w:rsidRPr="00200C04" w:rsidRDefault="00127233" w:rsidP="00200C04"/>
    <w:sectPr w:rsidR="00127233" w:rsidRPr="00200C0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C2D6D" w14:textId="77777777" w:rsidR="00A37275" w:rsidRDefault="00A37275" w:rsidP="004A1847">
      <w:pPr>
        <w:spacing w:after="0" w:line="240" w:lineRule="auto"/>
      </w:pPr>
      <w:r>
        <w:separator/>
      </w:r>
    </w:p>
  </w:endnote>
  <w:endnote w:type="continuationSeparator" w:id="0">
    <w:p w14:paraId="2680FD13" w14:textId="77777777" w:rsidR="00A37275" w:rsidRDefault="00A37275" w:rsidP="004A1847">
      <w:pPr>
        <w:spacing w:after="0" w:line="240" w:lineRule="auto"/>
      </w:pPr>
      <w:r>
        <w:continuationSeparator/>
      </w:r>
    </w:p>
  </w:endnote>
  <w:endnote w:type="continuationNotice" w:id="1">
    <w:p w14:paraId="7BF429BA" w14:textId="77777777" w:rsidR="00A37275" w:rsidRDefault="00A372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86585" w14:textId="77777777" w:rsidR="00A37275" w:rsidRDefault="00A37275" w:rsidP="004A1847">
      <w:pPr>
        <w:spacing w:after="0" w:line="240" w:lineRule="auto"/>
      </w:pPr>
      <w:r>
        <w:separator/>
      </w:r>
    </w:p>
  </w:footnote>
  <w:footnote w:type="continuationSeparator" w:id="0">
    <w:p w14:paraId="5FF03D71" w14:textId="77777777" w:rsidR="00A37275" w:rsidRDefault="00A37275" w:rsidP="004A1847">
      <w:pPr>
        <w:spacing w:after="0" w:line="240" w:lineRule="auto"/>
      </w:pPr>
      <w:r>
        <w:continuationSeparator/>
      </w:r>
    </w:p>
  </w:footnote>
  <w:footnote w:type="continuationNotice" w:id="1">
    <w:p w14:paraId="1778A58D" w14:textId="77777777" w:rsidR="00A37275" w:rsidRDefault="00A37275">
      <w:pPr>
        <w:spacing w:after="0" w:line="240" w:lineRule="auto"/>
      </w:pPr>
    </w:p>
  </w:footnote>
  <w:footnote w:id="2">
    <w:p w14:paraId="7673A240" w14:textId="77777777" w:rsidR="00200C04" w:rsidRPr="009C3C72" w:rsidRDefault="00200C04" w:rsidP="00200C04">
      <w:pPr>
        <w:pStyle w:val="Textonotapie"/>
        <w:ind w:firstLine="708"/>
        <w:rPr>
          <w:rFonts w:ascii="Verdana" w:hAnsi="Verdana" w:cstheme="minorHAnsi"/>
          <w:sz w:val="16"/>
          <w:szCs w:val="16"/>
          <w:lang w:val="es-ES"/>
        </w:rPr>
      </w:pPr>
      <w:r w:rsidRPr="009C3C72">
        <w:rPr>
          <w:rStyle w:val="Refdenotaalpie"/>
          <w:rFonts w:ascii="Verdana" w:hAnsi="Verdana" w:cstheme="minorHAnsi"/>
          <w:sz w:val="16"/>
          <w:szCs w:val="16"/>
        </w:rPr>
        <w:footnoteRef/>
      </w:r>
      <w:r w:rsidRPr="009C3C72">
        <w:rPr>
          <w:rFonts w:ascii="Verdana" w:hAnsi="Verdana" w:cstheme="minorHAnsi"/>
          <w:sz w:val="16"/>
          <w:szCs w:val="16"/>
        </w:rPr>
        <w:t xml:space="preserve"> </w:t>
      </w:r>
      <w:r w:rsidRPr="009C3C72">
        <w:rPr>
          <w:rFonts w:ascii="Verdana" w:hAnsi="Verdana" w:cstheme="minorHAnsi"/>
          <w:sz w:val="16"/>
          <w:szCs w:val="16"/>
          <w:lang w:val="es-ES"/>
        </w:rPr>
        <w:t>Consejo de Estado. Sala de Consulta y Servicio Civil. Concepto del 20 de mayo de 2010. No. de Radicado: 11001-03-06-000-2010-00034-00(1992). C.P. Enrique José Arboleda Perdomo.</w:t>
      </w:r>
    </w:p>
  </w:footnote>
  <w:footnote w:id="3">
    <w:p w14:paraId="4D2469F6" w14:textId="77777777" w:rsidR="00200C04" w:rsidRPr="009C3C72" w:rsidRDefault="00200C04" w:rsidP="00200C04">
      <w:pPr>
        <w:pStyle w:val="Textonotapie"/>
        <w:ind w:firstLine="709"/>
        <w:jc w:val="both"/>
        <w:rPr>
          <w:rFonts w:ascii="Verdana" w:hAnsi="Verdana" w:cstheme="minorHAnsi"/>
          <w:color w:val="000000"/>
          <w:sz w:val="16"/>
          <w:szCs w:val="16"/>
        </w:rPr>
      </w:pPr>
      <w:r w:rsidRPr="009C3C72">
        <w:rPr>
          <w:rStyle w:val="Refdenotaalpie"/>
          <w:rFonts w:ascii="Verdana" w:hAnsi="Verdana" w:cstheme="minorHAnsi"/>
          <w:color w:val="000000"/>
          <w:sz w:val="16"/>
          <w:szCs w:val="16"/>
        </w:rPr>
        <w:footnoteRef/>
      </w:r>
      <w:r w:rsidRPr="009C3C72">
        <w:rPr>
          <w:rFonts w:ascii="Verdana" w:hAnsi="Verdana" w:cstheme="minorHAnsi"/>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4">
    <w:p w14:paraId="0901CDD3" w14:textId="77777777" w:rsidR="00200C04" w:rsidRPr="009C3C72" w:rsidRDefault="00200C04" w:rsidP="00200C04">
      <w:pPr>
        <w:pStyle w:val="Textonotapie"/>
        <w:ind w:firstLine="709"/>
        <w:jc w:val="both"/>
        <w:rPr>
          <w:rFonts w:ascii="Verdana" w:hAnsi="Verdana" w:cstheme="minorHAnsi"/>
          <w:color w:val="000000"/>
          <w:sz w:val="16"/>
          <w:szCs w:val="16"/>
        </w:rPr>
      </w:pPr>
      <w:r w:rsidRPr="009C3C72">
        <w:rPr>
          <w:rStyle w:val="Refdenotaalpie"/>
          <w:rFonts w:ascii="Verdana" w:hAnsi="Verdana" w:cstheme="minorHAnsi"/>
          <w:color w:val="000000"/>
          <w:sz w:val="16"/>
          <w:szCs w:val="16"/>
        </w:rPr>
        <w:footnoteRef/>
      </w:r>
      <w:r w:rsidRPr="009C3C72">
        <w:rPr>
          <w:rFonts w:ascii="Verdana" w:hAnsi="Verdana" w:cstheme="minorHAnsi"/>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5">
    <w:p w14:paraId="2541C7C2" w14:textId="77777777" w:rsidR="00200C04" w:rsidRPr="009C3C72" w:rsidRDefault="00200C04" w:rsidP="00200C04">
      <w:pPr>
        <w:pStyle w:val="Textonotapie"/>
        <w:ind w:firstLine="709"/>
        <w:jc w:val="both"/>
        <w:rPr>
          <w:rFonts w:ascii="Verdana" w:hAnsi="Verdana" w:cstheme="minorHAnsi"/>
          <w:color w:val="000000"/>
          <w:sz w:val="16"/>
          <w:szCs w:val="16"/>
        </w:rPr>
      </w:pPr>
      <w:r w:rsidRPr="009C3C72">
        <w:rPr>
          <w:rStyle w:val="Refdenotaalpie"/>
          <w:rFonts w:ascii="Verdana" w:hAnsi="Verdana" w:cstheme="minorHAnsi"/>
          <w:color w:val="000000"/>
          <w:sz w:val="16"/>
          <w:szCs w:val="16"/>
        </w:rPr>
        <w:footnoteRef/>
      </w:r>
      <w:r w:rsidRPr="009C3C72">
        <w:rPr>
          <w:rFonts w:ascii="Verdana" w:hAnsi="Verdana" w:cstheme="minorHAnsi"/>
          <w:color w:val="000000"/>
          <w:sz w:val="16"/>
          <w:szCs w:val="16"/>
        </w:rPr>
        <w:t xml:space="preserve"> Consejo de Estado. Sección Tercera. Subsección C. Sentencia del 26 de febrero de 2014. Expediente: 25.804. Consejero Ponente: Enrique Gil Botero.</w:t>
      </w:r>
    </w:p>
  </w:footnote>
  <w:footnote w:id="6">
    <w:p w14:paraId="6799287A" w14:textId="77777777" w:rsidR="00200C04" w:rsidRPr="009C3C72" w:rsidRDefault="00200C04" w:rsidP="00200C04">
      <w:pPr>
        <w:pBdr>
          <w:top w:val="nil"/>
          <w:left w:val="nil"/>
          <w:bottom w:val="nil"/>
          <w:right w:val="nil"/>
          <w:between w:val="nil"/>
        </w:pBdr>
        <w:ind w:firstLine="709"/>
        <w:jc w:val="both"/>
        <w:rPr>
          <w:rFonts w:ascii="Verdana" w:eastAsia="Arial" w:hAnsi="Verdana" w:cstheme="minorHAnsi"/>
          <w:color w:val="000000"/>
          <w:sz w:val="16"/>
          <w:szCs w:val="16"/>
        </w:rPr>
      </w:pPr>
      <w:r w:rsidRPr="009C3C72">
        <w:rPr>
          <w:rFonts w:ascii="Verdana" w:hAnsi="Verdana" w:cstheme="minorHAnsi"/>
          <w:sz w:val="16"/>
          <w:szCs w:val="16"/>
          <w:vertAlign w:val="superscript"/>
        </w:rPr>
        <w:footnoteRef/>
      </w:r>
      <w:r w:rsidRPr="009C3C72">
        <w:rPr>
          <w:rFonts w:ascii="Verdana" w:eastAsia="Arial" w:hAnsi="Verdana" w:cstheme="minorHAnsi"/>
          <w:color w:val="000000"/>
          <w:sz w:val="16"/>
          <w:szCs w:val="16"/>
          <w:vertAlign w:val="superscript"/>
        </w:rPr>
        <w:t xml:space="preserve"> </w:t>
      </w:r>
      <w:r w:rsidRPr="009C3C72">
        <w:rPr>
          <w:rFonts w:ascii="Verdana" w:eastAsia="Arial" w:hAnsi="Verdana" w:cstheme="minorHAnsi"/>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79B2C9B3" w14:textId="77777777" w:rsidR="00200C04" w:rsidRPr="009C3C72" w:rsidRDefault="00200C04" w:rsidP="00200C04">
      <w:pPr>
        <w:pStyle w:val="Textonotapie"/>
        <w:ind w:firstLine="708"/>
        <w:rPr>
          <w:rFonts w:ascii="Verdana" w:hAnsi="Verdana" w:cstheme="minorHAnsi"/>
          <w:color w:val="000000"/>
          <w:sz w:val="16"/>
          <w:szCs w:val="16"/>
        </w:rPr>
      </w:pPr>
      <w:r w:rsidRPr="009C3C72">
        <w:rPr>
          <w:rFonts w:ascii="Verdana" w:eastAsia="Arial" w:hAnsi="Verdana" w:cstheme="minorHAnsi"/>
          <w:color w:val="000000"/>
          <w:sz w:val="16"/>
          <w:szCs w:val="16"/>
          <w:vertAlign w:val="superscript"/>
        </w:rPr>
        <w:footnoteRef/>
      </w:r>
      <w:r w:rsidRPr="009C3C72">
        <w:rPr>
          <w:rFonts w:ascii="Verdana" w:eastAsia="Arial" w:hAnsi="Verdana" w:cstheme="minorHAnsi"/>
          <w:color w:val="000000"/>
          <w:sz w:val="16"/>
          <w:szCs w:val="16"/>
          <w:vertAlign w:val="superscript"/>
          <w:lang w:val="es-ES"/>
        </w:rPr>
        <w:t xml:space="preserve"> </w:t>
      </w:r>
      <w:r w:rsidRPr="009C3C72">
        <w:rPr>
          <w:rFonts w:ascii="Verdana" w:eastAsia="Arial" w:hAnsi="Verdana" w:cstheme="minorHAnsi"/>
          <w:color w:val="000000"/>
          <w:sz w:val="16"/>
          <w:szCs w:val="16"/>
          <w:lang w:val="es-ES"/>
        </w:rPr>
        <w:t>Consejo de Estado. Sala de Consulta y Servicio Civil. Concepto del 20 de mayo de 2010. No. de Radicado: 11001-03-06-000-2010-00034-00(1992). C.P. Enrique José Arboleda Perdomo.</w:t>
      </w:r>
    </w:p>
  </w:footnote>
  <w:footnote w:id="8">
    <w:p w14:paraId="5AF0E21E" w14:textId="77777777" w:rsidR="00200C04" w:rsidRPr="009C3C72" w:rsidRDefault="00200C04" w:rsidP="00200C04">
      <w:pPr>
        <w:pStyle w:val="Textonotapie"/>
        <w:rPr>
          <w:rFonts w:ascii="Verdana" w:hAnsi="Verdana" w:cstheme="minorHAnsi"/>
          <w:sz w:val="16"/>
          <w:szCs w:val="16"/>
          <w:lang w:val="es-ES"/>
        </w:rPr>
      </w:pPr>
      <w:r w:rsidRPr="009C3C72">
        <w:rPr>
          <w:rStyle w:val="Refdenotaalpie"/>
          <w:rFonts w:ascii="Verdana" w:hAnsi="Verdana" w:cstheme="minorHAnsi"/>
          <w:sz w:val="16"/>
          <w:szCs w:val="16"/>
        </w:rPr>
        <w:footnoteRef/>
      </w:r>
      <w:r w:rsidRPr="009C3C72">
        <w:rPr>
          <w:rFonts w:ascii="Verdana" w:hAnsi="Verdana" w:cstheme="minorHAnsi"/>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2099983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150A"/>
    <w:rsid w:val="001A33BF"/>
    <w:rsid w:val="001D193A"/>
    <w:rsid w:val="001E4177"/>
    <w:rsid w:val="001F0B24"/>
    <w:rsid w:val="001F7DC6"/>
    <w:rsid w:val="00200C04"/>
    <w:rsid w:val="0022400B"/>
    <w:rsid w:val="002421BB"/>
    <w:rsid w:val="0025796E"/>
    <w:rsid w:val="002707A2"/>
    <w:rsid w:val="00287198"/>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5842"/>
    <w:rsid w:val="003A779E"/>
    <w:rsid w:val="003B43E8"/>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2DA9"/>
    <w:rsid w:val="007649AB"/>
    <w:rsid w:val="00771D0C"/>
    <w:rsid w:val="007833AC"/>
    <w:rsid w:val="007B268C"/>
    <w:rsid w:val="007B7171"/>
    <w:rsid w:val="007C0C0F"/>
    <w:rsid w:val="007C3DC2"/>
    <w:rsid w:val="007E5497"/>
    <w:rsid w:val="00806F5F"/>
    <w:rsid w:val="0081130C"/>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0984"/>
    <w:rsid w:val="009B2D26"/>
    <w:rsid w:val="009C71FA"/>
    <w:rsid w:val="009C72E7"/>
    <w:rsid w:val="009C7F7E"/>
    <w:rsid w:val="009D3058"/>
    <w:rsid w:val="009E2E29"/>
    <w:rsid w:val="009F3A13"/>
    <w:rsid w:val="00A122D3"/>
    <w:rsid w:val="00A14468"/>
    <w:rsid w:val="00A17F13"/>
    <w:rsid w:val="00A20739"/>
    <w:rsid w:val="00A23AF9"/>
    <w:rsid w:val="00A33C78"/>
    <w:rsid w:val="00A37275"/>
    <w:rsid w:val="00A836F5"/>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076A"/>
    <w:rsid w:val="00D361FD"/>
    <w:rsid w:val="00D423A2"/>
    <w:rsid w:val="00D44E26"/>
    <w:rsid w:val="00D520D8"/>
    <w:rsid w:val="00D63AC2"/>
    <w:rsid w:val="00D7383B"/>
    <w:rsid w:val="00D7788A"/>
    <w:rsid w:val="00DA231B"/>
    <w:rsid w:val="00DA759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23C5"/>
    <w:rsid w:val="00EC38A7"/>
    <w:rsid w:val="00EE1AA8"/>
    <w:rsid w:val="00EF71F3"/>
    <w:rsid w:val="00F23FEA"/>
    <w:rsid w:val="00F273A2"/>
    <w:rsid w:val="00F31EDC"/>
    <w:rsid w:val="00F462B3"/>
    <w:rsid w:val="00F5664F"/>
    <w:rsid w:val="00F666C4"/>
    <w:rsid w:val="00F76AFC"/>
    <w:rsid w:val="00FA0FAB"/>
    <w:rsid w:val="00FA47C0"/>
    <w:rsid w:val="00FB5DD1"/>
    <w:rsid w:val="00FC17F7"/>
    <w:rsid w:val="00FC2B5D"/>
    <w:rsid w:val="00FE18D4"/>
    <w:rsid w:val="00FF1449"/>
    <w:rsid w:val="00FF7963"/>
    <w:rsid w:val="09908A09"/>
    <w:rsid w:val="0B43B912"/>
    <w:rsid w:val="13CFC91B"/>
    <w:rsid w:val="14243ADF"/>
    <w:rsid w:val="17B5DA9D"/>
    <w:rsid w:val="19A2EC2C"/>
    <w:rsid w:val="212A1BCC"/>
    <w:rsid w:val="267FDE5A"/>
    <w:rsid w:val="2859CA1B"/>
    <w:rsid w:val="32A4F9CF"/>
    <w:rsid w:val="356CEDFD"/>
    <w:rsid w:val="41A17B4F"/>
    <w:rsid w:val="4C78CDEF"/>
    <w:rsid w:val="52CFE571"/>
    <w:rsid w:val="63C885FA"/>
    <w:rsid w:val="69614A15"/>
    <w:rsid w:val="730A9041"/>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00C0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00C04"/>
    <w:rPr>
      <w:rFonts w:ascii="Geomanist Light" w:hAnsi="Geomanist Light"/>
      <w:lang w:val="es-ES"/>
    </w:rPr>
  </w:style>
  <w:style w:type="paragraph" w:styleId="Textocomentario">
    <w:name w:val="annotation text"/>
    <w:basedOn w:val="Normal"/>
    <w:link w:val="TextocomentarioCar"/>
    <w:uiPriority w:val="99"/>
    <w:semiHidden/>
    <w:unhideWhenUsed/>
    <w:rsid w:val="00762DA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62DA9"/>
    <w:rPr>
      <w:sz w:val="20"/>
      <w:szCs w:val="20"/>
    </w:rPr>
  </w:style>
  <w:style w:type="character" w:styleId="Refdecomentario">
    <w:name w:val="annotation reference"/>
    <w:basedOn w:val="Fuentedeprrafopredeter"/>
    <w:uiPriority w:val="99"/>
    <w:semiHidden/>
    <w:unhideWhenUsed/>
    <w:rsid w:val="00762DA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forigua@outlook.e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DE4C9DD-3B62-4534-ABCF-15E9C93640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15</Pages>
  <Words>5162</Words>
  <Characters>27256</Characters>
  <Application>Microsoft Office Word</Application>
  <DocSecurity>0</DocSecurity>
  <Lines>545</Lines>
  <Paragraphs>120</Paragraphs>
  <ScaleCrop>false</ScaleCrop>
  <Company/>
  <LinksUpToDate>false</LinksUpToDate>
  <CharactersWithSpaces>32298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2025-11-23T20:03:00Z</dcterms:created>
  <dcterms:modified xsi:type="dcterms:W3CDTF">2025-11-24T13:36:00Z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