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412D57" w14:textId="2A5609A2" w:rsidR="00DB3196" w:rsidRPr="00DB3196" w:rsidRDefault="00DB3196" w:rsidP="00DB3196">
      <w:pPr>
        <w:spacing w:line="276" w:lineRule="auto"/>
        <w:jc w:val="both"/>
        <w:rPr>
          <w:rFonts w:ascii="Verdana" w:eastAsia="Calibri" w:hAnsi="Verdana" w:cs="Arial"/>
          <w:b/>
          <w:bCs/>
          <w:lang w:val="es-ES_tradnl" w:eastAsia="es-ES"/>
        </w:rPr>
      </w:pPr>
      <w:r w:rsidRPr="00DB3196">
        <w:rPr>
          <w:rFonts w:ascii="Verdana" w:eastAsia="Calibri" w:hAnsi="Verdana" w:cs="Arial"/>
          <w:b/>
          <w:bCs/>
          <w:lang w:val="es-ES_tradnl" w:eastAsia="es-ES"/>
        </w:rPr>
        <w:t xml:space="preserve">ENAJENACIÓN DE BIENES – </w:t>
      </w:r>
      <w:r w:rsidR="00EA48AE">
        <w:rPr>
          <w:rFonts w:ascii="Verdana" w:eastAsia="Calibri" w:hAnsi="Verdana" w:cs="Arial"/>
          <w:b/>
          <w:bCs/>
          <w:lang w:val="es-ES_tradnl" w:eastAsia="es-ES"/>
        </w:rPr>
        <w:t>M</w:t>
      </w:r>
      <w:r w:rsidRPr="00DB3196">
        <w:rPr>
          <w:rFonts w:ascii="Verdana" w:eastAsia="Calibri" w:hAnsi="Verdana" w:cs="Arial"/>
          <w:b/>
          <w:bCs/>
          <w:lang w:val="es-ES_tradnl" w:eastAsia="es-ES"/>
        </w:rPr>
        <w:t xml:space="preserve">odalidad de contratación </w:t>
      </w:r>
    </w:p>
    <w:p w14:paraId="31DAC7FA" w14:textId="275F53E0" w:rsidR="00DB3196" w:rsidRPr="00412F2D" w:rsidRDefault="00412F2D" w:rsidP="00412F2D">
      <w:pPr>
        <w:spacing w:after="120" w:line="240" w:lineRule="auto"/>
        <w:jc w:val="both"/>
        <w:rPr>
          <w:rFonts w:ascii="Verdana" w:eastAsia="Calibri" w:hAnsi="Verdana" w:cs="Arial"/>
          <w:b/>
          <w:bCs/>
          <w:sz w:val="20"/>
          <w:szCs w:val="20"/>
          <w:lang w:val="es-ES_tradnl" w:eastAsia="es-ES"/>
        </w:rPr>
      </w:pPr>
      <w:r>
        <w:rPr>
          <w:rFonts w:ascii="Verdana" w:hAnsi="Verdana" w:cs="Arial"/>
          <w:sz w:val="20"/>
          <w:szCs w:val="20"/>
        </w:rPr>
        <w:t>E</w:t>
      </w:r>
      <w:r w:rsidRPr="00412F2D">
        <w:rPr>
          <w:rFonts w:ascii="Verdana" w:hAnsi="Verdana" w:cs="Arial"/>
          <w:sz w:val="20"/>
          <w:szCs w:val="20"/>
        </w:rPr>
        <w:t xml:space="preserve">n relación con la modalidad de selección </w:t>
      </w:r>
      <w:r w:rsidRPr="00412F2D">
        <w:rPr>
          <w:rFonts w:ascii="Verdana" w:eastAsia="Arial" w:hAnsi="Verdana" w:cs="Arial"/>
          <w:sz w:val="20"/>
          <w:szCs w:val="20"/>
          <w:lang w:val="es-ES"/>
        </w:rPr>
        <w:t xml:space="preserve">el literal e) del numeral 2 del artículo 2 de la Ley 1150 de 2007 dispone que la enajenación de bienes del Estado, con excepción de aquellos a que se refiere la Ley 226 de 1995, se realiza a través de la modalidad de selección abreviada, para lo cual </w:t>
      </w:r>
      <w:r w:rsidRPr="00412F2D">
        <w:rPr>
          <w:rFonts w:ascii="Verdana" w:eastAsia="Arial" w:hAnsi="Verdana" w:cs="Arial"/>
          <w:sz w:val="20"/>
          <w:szCs w:val="20"/>
        </w:rPr>
        <w:t xml:space="preserve">se podrán utilizar instrumentos de subasta y en general de todos aquellos mecanismos autorizados por el derecho privado, siempre y cuando en desarrollo del proceso de enajenación se garantice la transparencia, la eficiencia y la selección objetiva. </w:t>
      </w:r>
      <w:r w:rsidRPr="00412F2D">
        <w:rPr>
          <w:rFonts w:ascii="Verdana" w:eastAsia="Arial" w:hAnsi="Verdana" w:cs="Arial"/>
          <w:sz w:val="20"/>
          <w:szCs w:val="20"/>
          <w:lang w:val="es-ES"/>
        </w:rPr>
        <w:t xml:space="preserve">Adicionalmente, establece que </w:t>
      </w:r>
      <w:r w:rsidRPr="00412F2D">
        <w:rPr>
          <w:rFonts w:ascii="Verdana" w:eastAsia="Arial" w:hAnsi="Verdana" w:cs="Arial"/>
          <w:sz w:val="20"/>
          <w:szCs w:val="20"/>
        </w:rPr>
        <w:t xml:space="preserve">para la venta de los bienes se debe tener como base el valor del avalúo comercial y ajustar dicho avalúo </w:t>
      </w:r>
      <w:proofErr w:type="gramStart"/>
      <w:r w:rsidRPr="00412F2D">
        <w:rPr>
          <w:rFonts w:ascii="Verdana" w:eastAsia="Arial" w:hAnsi="Verdana" w:cs="Arial"/>
          <w:sz w:val="20"/>
          <w:szCs w:val="20"/>
        </w:rPr>
        <w:t>de acuerdo a</w:t>
      </w:r>
      <w:proofErr w:type="gramEnd"/>
      <w:r w:rsidRPr="00412F2D">
        <w:rPr>
          <w:rFonts w:ascii="Verdana" w:eastAsia="Arial" w:hAnsi="Verdana" w:cs="Arial"/>
          <w:sz w:val="20"/>
          <w:szCs w:val="20"/>
        </w:rPr>
        <w:t xml:space="preserve"> los gastos asociados al tiempo de comercialización esperada, administración, impuestos y mantenimiento, para determinar el precio mínimo al que se debe enajenar el bien, de conformidad con la reglamentación que para el efecto expida el Gobierno Nacional</w:t>
      </w:r>
      <w:r>
        <w:rPr>
          <w:rFonts w:ascii="Verdana" w:eastAsia="Arial" w:hAnsi="Verdana" w:cs="Arial"/>
          <w:sz w:val="20"/>
          <w:szCs w:val="20"/>
        </w:rPr>
        <w:t>.</w:t>
      </w:r>
    </w:p>
    <w:p w14:paraId="5008CB8A" w14:textId="1267C41A" w:rsidR="00DB3196" w:rsidRPr="00DB3196" w:rsidRDefault="00DB3196" w:rsidP="00DB3196">
      <w:pPr>
        <w:spacing w:line="276" w:lineRule="auto"/>
        <w:jc w:val="both"/>
        <w:rPr>
          <w:rFonts w:ascii="Verdana" w:eastAsia="Calibri" w:hAnsi="Verdana" w:cs="Arial"/>
          <w:b/>
          <w:bCs/>
          <w:lang w:val="es-ES_tradnl" w:eastAsia="es-ES"/>
        </w:rPr>
      </w:pPr>
      <w:r w:rsidRPr="00DB3196">
        <w:rPr>
          <w:rFonts w:ascii="Verdana" w:eastAsia="Calibri" w:hAnsi="Verdana" w:cs="Arial"/>
          <w:b/>
          <w:bCs/>
          <w:lang w:val="es-ES_tradnl" w:eastAsia="es-ES"/>
        </w:rPr>
        <w:t xml:space="preserve">MECANISMOS DE ENAJENACIÓN – Decreto 1085 de 2015 </w:t>
      </w:r>
    </w:p>
    <w:p w14:paraId="28BF1763" w14:textId="5F1220E6" w:rsidR="00DB3196" w:rsidRDefault="00412F2D" w:rsidP="00412F2D">
      <w:pPr>
        <w:pStyle w:val="Textonotapie"/>
        <w:jc w:val="both"/>
        <w:rPr>
          <w:rFonts w:ascii="Verdana" w:hAnsi="Verdana"/>
          <w:color w:val="333333"/>
          <w:shd w:val="clear" w:color="auto" w:fill="FFFFFF"/>
        </w:rPr>
      </w:pPr>
      <w:r w:rsidRPr="00412F2D">
        <w:rPr>
          <w:rFonts w:ascii="Verdana" w:eastAsia="Arial" w:hAnsi="Verdana" w:cs="Arial"/>
          <w:lang w:val="es-ES"/>
        </w:rPr>
        <w:t xml:space="preserve">La subsección 2 de la sección 2 del capítulo II del Decreto 1082 de 2015 establece 3 mecanismos de enajenación de los bienes del Estado: i) la enajenación directa por sobre cerrado, que se llevará a cabo mediante el procedimiento allí contemplado, </w:t>
      </w:r>
      <w:proofErr w:type="spellStart"/>
      <w:r w:rsidRPr="00412F2D">
        <w:rPr>
          <w:rFonts w:ascii="Verdana" w:eastAsia="Arial" w:hAnsi="Verdana" w:cs="Arial"/>
          <w:lang w:val="es-ES"/>
        </w:rPr>
        <w:t>ii</w:t>
      </w:r>
      <w:proofErr w:type="spellEnd"/>
      <w:r w:rsidRPr="00412F2D">
        <w:rPr>
          <w:rFonts w:ascii="Verdana" w:eastAsia="Arial" w:hAnsi="Verdana" w:cs="Arial"/>
          <w:lang w:val="es-ES"/>
        </w:rPr>
        <w:t xml:space="preserve">) la enajenación directa a través de subasta pública, para lo cual la entidad deberá </w:t>
      </w:r>
      <w:r w:rsidRPr="00412F2D">
        <w:rPr>
          <w:rFonts w:ascii="Verdana" w:eastAsia="Arial" w:hAnsi="Verdana" w:cs="Arial"/>
          <w:lang w:val="es-CO"/>
        </w:rPr>
        <w:t xml:space="preserve">seguir el procedimiento establecido en el artículo 2.2.1.2.1.2.2 del Decreto 1082 de 2015 sobre subasta inversa, pero teniendo en cuenta que el bien debe ser adjudicado al oferente que haya ofrecido el mayor valor a pagar por los bienes objeto de enajenación y en consecuencia, el margen mínimo debe ser al alza, y </w:t>
      </w:r>
      <w:proofErr w:type="spellStart"/>
      <w:r w:rsidRPr="00412F2D">
        <w:rPr>
          <w:rFonts w:ascii="Verdana" w:eastAsia="Arial" w:hAnsi="Verdana" w:cs="Arial"/>
          <w:lang w:val="es-CO"/>
        </w:rPr>
        <w:t>iii</w:t>
      </w:r>
      <w:proofErr w:type="spellEnd"/>
      <w:r w:rsidRPr="00412F2D">
        <w:rPr>
          <w:rFonts w:ascii="Verdana" w:eastAsia="Arial" w:hAnsi="Verdana" w:cs="Arial"/>
          <w:lang w:val="es-CO"/>
        </w:rPr>
        <w:t xml:space="preserve">) la enajenación a través de intermediarios idóneos, en cuyo caso </w:t>
      </w:r>
      <w:r w:rsidRPr="00412F2D">
        <w:rPr>
          <w:rFonts w:ascii="Verdana" w:hAnsi="Verdana"/>
          <w:color w:val="333333"/>
          <w:shd w:val="clear" w:color="auto" w:fill="FFFFFF"/>
        </w:rPr>
        <w:t xml:space="preserve">la venta debe realizarse a través de subasta pública, o mediante el mecanismo de derecho privado que se convenga con el intermediario. </w:t>
      </w:r>
    </w:p>
    <w:p w14:paraId="0867BD08" w14:textId="77777777" w:rsidR="00412F2D" w:rsidRPr="00412F2D" w:rsidRDefault="00412F2D" w:rsidP="00412F2D">
      <w:pPr>
        <w:pStyle w:val="Textonotapie"/>
        <w:jc w:val="both"/>
        <w:rPr>
          <w:rFonts w:ascii="Verdana" w:hAnsi="Verdana"/>
          <w:color w:val="333333"/>
          <w:shd w:val="clear" w:color="auto" w:fill="FFFFFF"/>
        </w:rPr>
      </w:pPr>
    </w:p>
    <w:p w14:paraId="7C207E48" w14:textId="2DB52C40" w:rsidR="00DB3196" w:rsidRPr="00DB3196" w:rsidRDefault="00DB3196" w:rsidP="00DB3196">
      <w:pPr>
        <w:spacing w:line="276" w:lineRule="auto"/>
        <w:jc w:val="both"/>
        <w:rPr>
          <w:rFonts w:ascii="Verdana" w:eastAsia="Calibri" w:hAnsi="Verdana" w:cs="Arial"/>
          <w:b/>
          <w:bCs/>
          <w:lang w:val="es-ES_tradnl" w:eastAsia="es-ES"/>
        </w:rPr>
      </w:pPr>
      <w:r w:rsidRPr="00DB3196">
        <w:rPr>
          <w:rFonts w:ascii="Verdana" w:eastAsia="Calibri" w:hAnsi="Verdana" w:cs="Arial"/>
          <w:b/>
          <w:bCs/>
          <w:lang w:val="es-ES_tradnl" w:eastAsia="es-ES"/>
        </w:rPr>
        <w:t xml:space="preserve">BIENES INMUEBLES </w:t>
      </w:r>
    </w:p>
    <w:p w14:paraId="56B50AA2" w14:textId="77777777" w:rsidR="0071553B" w:rsidRDefault="0071553B" w:rsidP="0071553B">
      <w:pPr>
        <w:spacing w:after="0" w:line="240" w:lineRule="auto"/>
        <w:jc w:val="both"/>
        <w:rPr>
          <w:rFonts w:ascii="Verdana" w:hAnsi="Verdana"/>
          <w:color w:val="333333"/>
          <w:sz w:val="20"/>
          <w:szCs w:val="20"/>
          <w:shd w:val="clear" w:color="auto" w:fill="FFFFFF"/>
        </w:rPr>
      </w:pPr>
      <w:r w:rsidRPr="0071553B">
        <w:rPr>
          <w:rFonts w:ascii="Verdana" w:hAnsi="Verdana"/>
          <w:color w:val="333333"/>
          <w:sz w:val="20"/>
          <w:szCs w:val="20"/>
          <w:shd w:val="clear" w:color="auto" w:fill="FFFFFF"/>
          <w:lang w:val="es-MX"/>
        </w:rPr>
        <w:t>Ahora bien, las reglas que deben tener en cuenta las Entidades Estatales varían dependiendo si los bienes sobre los cuales requiere realizar la enajenación son muebles o inmuebles. De esta manera, la subsección 3</w:t>
      </w:r>
      <w:r w:rsidRPr="0071553B">
        <w:rPr>
          <w:rFonts w:ascii="Verdana" w:eastAsia="Arial" w:hAnsi="Verdana" w:cs="Arial"/>
          <w:sz w:val="20"/>
          <w:szCs w:val="20"/>
          <w:lang w:val="es-ES"/>
        </w:rPr>
        <w:t xml:space="preserve"> de la sección 2 del capítulo II del Decreto 1082 de 2015</w:t>
      </w:r>
      <w:r w:rsidRPr="0071553B">
        <w:rPr>
          <w:rFonts w:ascii="Verdana" w:hAnsi="Verdana"/>
          <w:color w:val="333333"/>
          <w:sz w:val="20"/>
          <w:szCs w:val="20"/>
          <w:shd w:val="clear" w:color="auto" w:fill="FFFFFF"/>
          <w:lang w:val="es-MX"/>
        </w:rPr>
        <w:t xml:space="preserve"> se refiere a los bienes inmuebles y establece varios aspectos que se deberán realizar en estos casos: i) avaluar el bien objeto de enajenación, el cual puede</w:t>
      </w:r>
      <w:r w:rsidRPr="0071553B">
        <w:rPr>
          <w:rFonts w:ascii="Work Sans" w:hAnsi="Work Sans"/>
          <w:color w:val="333333"/>
          <w:sz w:val="20"/>
          <w:szCs w:val="20"/>
          <w:shd w:val="clear" w:color="auto" w:fill="FFFFFF"/>
        </w:rPr>
        <w:t xml:space="preserve"> </w:t>
      </w:r>
      <w:r w:rsidRPr="0071553B">
        <w:rPr>
          <w:rFonts w:ascii="Verdana" w:hAnsi="Verdana"/>
          <w:color w:val="333333"/>
          <w:sz w:val="20"/>
          <w:szCs w:val="20"/>
          <w:shd w:val="clear" w:color="auto" w:fill="FFFFFF"/>
        </w:rPr>
        <w:t xml:space="preserve">estar a cargo del Instituto Geográfico Agustín Codazzi o de una persona especializada inscrita en el Registro Nacional de </w:t>
      </w:r>
      <w:proofErr w:type="spellStart"/>
      <w:r w:rsidRPr="0071553B">
        <w:rPr>
          <w:rFonts w:ascii="Verdana" w:hAnsi="Verdana"/>
          <w:color w:val="333333"/>
          <w:sz w:val="20"/>
          <w:szCs w:val="20"/>
          <w:shd w:val="clear" w:color="auto" w:fill="FFFFFF"/>
        </w:rPr>
        <w:t>Avaluadores</w:t>
      </w:r>
      <w:proofErr w:type="spellEnd"/>
      <w:r w:rsidRPr="0071553B">
        <w:rPr>
          <w:rFonts w:ascii="Verdana" w:hAnsi="Verdana"/>
          <w:color w:val="333333"/>
          <w:sz w:val="20"/>
          <w:szCs w:val="20"/>
          <w:shd w:val="clear" w:color="auto" w:fill="FFFFFF"/>
        </w:rPr>
        <w:t xml:space="preserve"> que lleva la Superintendencia de Industria y Comercio</w:t>
      </w:r>
      <w:r w:rsidRPr="0071553B">
        <w:rPr>
          <w:rFonts w:ascii="Verdana" w:hAnsi="Verdana"/>
          <w:color w:val="333333"/>
          <w:sz w:val="20"/>
          <w:szCs w:val="20"/>
          <w:shd w:val="clear" w:color="auto" w:fill="FFFFFF"/>
          <w:lang w:val="es-MX"/>
        </w:rPr>
        <w:t xml:space="preserve">; </w:t>
      </w:r>
      <w:proofErr w:type="spellStart"/>
      <w:r w:rsidRPr="0071553B">
        <w:rPr>
          <w:rFonts w:ascii="Verdana" w:hAnsi="Verdana"/>
          <w:color w:val="333333"/>
          <w:sz w:val="20"/>
          <w:szCs w:val="20"/>
          <w:shd w:val="clear" w:color="auto" w:fill="FFFFFF"/>
          <w:lang w:val="es-MX"/>
        </w:rPr>
        <w:t>ii</w:t>
      </w:r>
      <w:proofErr w:type="spellEnd"/>
      <w:r w:rsidRPr="0071553B">
        <w:rPr>
          <w:rFonts w:ascii="Verdana" w:hAnsi="Verdana"/>
          <w:color w:val="333333"/>
          <w:sz w:val="20"/>
          <w:szCs w:val="20"/>
          <w:shd w:val="clear" w:color="auto" w:fill="FFFFFF"/>
          <w:lang w:val="es-MX"/>
        </w:rPr>
        <w:t xml:space="preserve">) establecer el precio mínimo de venta con base en las variables señaladas en el artículo </w:t>
      </w:r>
      <w:r w:rsidRPr="0071553B">
        <w:rPr>
          <w:rFonts w:ascii="Verdana" w:hAnsi="Verdana"/>
          <w:color w:val="333333"/>
          <w:sz w:val="20"/>
          <w:szCs w:val="20"/>
          <w:shd w:val="clear" w:color="auto" w:fill="FFFFFF"/>
        </w:rPr>
        <w:t xml:space="preserve">2.2.1.2.2.3.2 del Decreto 1082 de 2015; </w:t>
      </w:r>
      <w:proofErr w:type="spellStart"/>
      <w:r w:rsidRPr="0071553B">
        <w:rPr>
          <w:rFonts w:ascii="Verdana" w:hAnsi="Verdana"/>
          <w:color w:val="333333"/>
          <w:sz w:val="20"/>
          <w:szCs w:val="20"/>
          <w:shd w:val="clear" w:color="auto" w:fill="FFFFFF"/>
        </w:rPr>
        <w:t>iii</w:t>
      </w:r>
      <w:proofErr w:type="spellEnd"/>
      <w:r w:rsidRPr="0071553B">
        <w:rPr>
          <w:rFonts w:ascii="Verdana" w:hAnsi="Verdana"/>
          <w:color w:val="333333"/>
          <w:sz w:val="20"/>
          <w:szCs w:val="20"/>
          <w:shd w:val="clear" w:color="auto" w:fill="FFFFFF"/>
        </w:rPr>
        <w:t xml:space="preserve">) la escritura pública debe otorgarse en la notaría de reparto correspondiente, dentro de los cuarenta y cinco (45) días calendario siguientes a la fecha en la cual el adjudicatario acredite el pago total del precio de venta; </w:t>
      </w:r>
      <w:proofErr w:type="spellStart"/>
      <w:r w:rsidRPr="0071553B">
        <w:rPr>
          <w:rFonts w:ascii="Verdana" w:hAnsi="Verdana"/>
          <w:color w:val="333333"/>
          <w:sz w:val="20"/>
          <w:szCs w:val="20"/>
          <w:shd w:val="clear" w:color="auto" w:fill="FFFFFF"/>
        </w:rPr>
        <w:t>iv</w:t>
      </w:r>
      <w:proofErr w:type="spellEnd"/>
      <w:r w:rsidRPr="0071553B">
        <w:rPr>
          <w:rFonts w:ascii="Verdana" w:hAnsi="Verdana"/>
          <w:color w:val="333333"/>
          <w:sz w:val="20"/>
          <w:szCs w:val="20"/>
          <w:shd w:val="clear" w:color="auto" w:fill="FFFFFF"/>
        </w:rPr>
        <w:t>) Los derechos notariales, los gastos de fotocopias, autenticaciones y los impuestos de venta y registro se liquidarán y pagarán de conformidad con las normas legales vigentes sobre la materia, y v)  se debe entregar el inmueble dentro de los treinta (30) días calendario siguientes a la fecha del registro, previa presentación del certificado de tradición y libertad en el que conste la inscripción de la escritura pública de venta del inmueble.</w:t>
      </w:r>
    </w:p>
    <w:p w14:paraId="47212EDA" w14:textId="66B8B2ED" w:rsidR="00F01E22" w:rsidRPr="0071553B" w:rsidRDefault="00F01E22" w:rsidP="0071553B">
      <w:pPr>
        <w:spacing w:after="0" w:line="240" w:lineRule="auto"/>
        <w:jc w:val="both"/>
        <w:rPr>
          <w:rFonts w:ascii="Verdana" w:hAnsi="Verdana"/>
          <w:color w:val="333333"/>
          <w:sz w:val="20"/>
          <w:szCs w:val="20"/>
          <w:shd w:val="clear" w:color="auto" w:fill="FFFFFF"/>
        </w:rPr>
      </w:pPr>
      <w:r w:rsidRPr="00C805BA">
        <w:rPr>
          <w:rFonts w:ascii="Verdana" w:eastAsia="Geomanist Light" w:hAnsi="Verdana" w:cs="Arial"/>
          <w:color w:val="000000" w:themeColor="text1"/>
          <w:lang w:val="es-MX"/>
        </w:rPr>
        <w:lastRenderedPageBreak/>
        <w:t>Bogotá D.C., </w:t>
      </w:r>
      <w:r w:rsidR="003A4984">
        <w:rPr>
          <w:rFonts w:ascii="Verdana" w:eastAsia="Geomanist Light" w:hAnsi="Verdana" w:cs="Arial"/>
          <w:color w:val="201F1E"/>
          <w:lang w:val="es-MX"/>
        </w:rPr>
        <w:t>10 de noviembre de 2025</w:t>
      </w:r>
    </w:p>
    <w:p w14:paraId="5F0F3DE1" w14:textId="77777777" w:rsidR="00F01E22" w:rsidRPr="00C805BA" w:rsidRDefault="00F01E22" w:rsidP="00F01E22">
      <w:pPr>
        <w:spacing w:after="0" w:line="240" w:lineRule="auto"/>
        <w:jc w:val="both"/>
        <w:rPr>
          <w:rFonts w:ascii="Verdana" w:eastAsia="Calibri" w:hAnsi="Verdana" w:cs="Arial"/>
          <w:color w:val="000000"/>
          <w:lang w:val="es-ES"/>
        </w:rPr>
      </w:pPr>
    </w:p>
    <w:p w14:paraId="66C5D506" w14:textId="7A58CA63" w:rsidR="00F01E22" w:rsidRPr="00C805BA" w:rsidRDefault="003A4984" w:rsidP="003A4984">
      <w:pPr>
        <w:spacing w:after="0" w:line="240" w:lineRule="auto"/>
        <w:jc w:val="right"/>
        <w:rPr>
          <w:rFonts w:ascii="Verdana" w:eastAsia="Calibri" w:hAnsi="Verdana" w:cs="Arial"/>
          <w:color w:val="000000"/>
          <w:lang w:val="es-ES"/>
        </w:rPr>
      </w:pPr>
      <w:r w:rsidRPr="003A4984">
        <w:rPr>
          <w:rFonts w:ascii="Verdana" w:eastAsia="Calibri" w:hAnsi="Verdana" w:cs="Arial"/>
          <w:noProof/>
          <w:color w:val="000000"/>
          <w:lang w:val="es-ES"/>
        </w:rPr>
        <w:drawing>
          <wp:inline distT="0" distB="0" distL="0" distR="0" wp14:anchorId="2DB2D2EC" wp14:editId="1D6CA38C">
            <wp:extent cx="2659380" cy="876300"/>
            <wp:effectExtent l="0" t="0" r="7620" b="0"/>
            <wp:docPr id="208281339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59380" cy="876300"/>
                    </a:xfrm>
                    <a:prstGeom prst="rect">
                      <a:avLst/>
                    </a:prstGeom>
                    <a:noFill/>
                    <a:ln>
                      <a:noFill/>
                    </a:ln>
                  </pic:spPr>
                </pic:pic>
              </a:graphicData>
            </a:graphic>
          </wp:inline>
        </w:drawing>
      </w:r>
    </w:p>
    <w:p w14:paraId="4E8A43C9" w14:textId="77777777" w:rsidR="00F01E22" w:rsidRPr="00C805BA" w:rsidRDefault="00F01E22" w:rsidP="00F01E22">
      <w:pPr>
        <w:spacing w:after="0" w:line="240" w:lineRule="auto"/>
        <w:jc w:val="both"/>
        <w:rPr>
          <w:rFonts w:ascii="Verdana" w:eastAsia="Calibri" w:hAnsi="Verdana" w:cs="Arial"/>
          <w:lang w:val="es-ES" w:eastAsia="es-ES"/>
        </w:rPr>
      </w:pPr>
      <w:r w:rsidRPr="00C805BA">
        <w:rPr>
          <w:rFonts w:ascii="Verdana" w:eastAsia="Calibri" w:hAnsi="Verdana" w:cs="Arial"/>
          <w:lang w:val="es-ES" w:eastAsia="es-ES"/>
        </w:rPr>
        <w:t>Señor</w:t>
      </w:r>
    </w:p>
    <w:p w14:paraId="2957527C" w14:textId="77777777" w:rsidR="00F01E22" w:rsidRPr="00C805BA" w:rsidRDefault="00F01E22" w:rsidP="00F01E22">
      <w:pPr>
        <w:spacing w:after="0" w:line="240" w:lineRule="auto"/>
        <w:jc w:val="both"/>
        <w:rPr>
          <w:rFonts w:ascii="Verdana" w:eastAsia="Calibri" w:hAnsi="Verdana" w:cs="Arial"/>
          <w:b/>
          <w:bCs/>
          <w:lang w:val="es-ES" w:eastAsia="es-ES"/>
        </w:rPr>
      </w:pPr>
      <w:r w:rsidRPr="00C805BA">
        <w:rPr>
          <w:rFonts w:ascii="Verdana" w:eastAsia="Calibri" w:hAnsi="Verdana" w:cs="Arial"/>
          <w:b/>
          <w:bCs/>
          <w:lang w:val="es-ES" w:eastAsia="es-ES"/>
        </w:rPr>
        <w:t xml:space="preserve">Iván Darío Gutiérrez Cardozo </w:t>
      </w:r>
    </w:p>
    <w:p w14:paraId="16041812" w14:textId="77777777" w:rsidR="00F01E22" w:rsidRPr="00C805BA" w:rsidRDefault="00F01E22" w:rsidP="00F01E22">
      <w:pPr>
        <w:spacing w:after="0" w:line="240" w:lineRule="auto"/>
        <w:rPr>
          <w:rFonts w:ascii="Verdana" w:hAnsi="Verdana"/>
        </w:rPr>
      </w:pPr>
      <w:hyperlink r:id="rId12" w:history="1">
        <w:r w:rsidRPr="00C805BA">
          <w:rPr>
            <w:rFonts w:ascii="Verdana" w:hAnsi="Verdana"/>
            <w:color w:val="0563C1" w:themeColor="hyperlink"/>
            <w:u w:val="single"/>
          </w:rPr>
          <w:t>ivandariog@hotmail.com</w:t>
        </w:r>
      </w:hyperlink>
      <w:r w:rsidRPr="00C805BA">
        <w:rPr>
          <w:rFonts w:ascii="Verdana" w:hAnsi="Verdana"/>
        </w:rPr>
        <w:t xml:space="preserve"> </w:t>
      </w:r>
    </w:p>
    <w:p w14:paraId="361C26C8" w14:textId="77777777" w:rsidR="00F01E22" w:rsidRPr="00C805BA" w:rsidRDefault="00F01E22" w:rsidP="00F01E22">
      <w:pPr>
        <w:spacing w:after="0" w:line="240" w:lineRule="auto"/>
        <w:rPr>
          <w:rFonts w:ascii="Verdana" w:eastAsia="Calibri" w:hAnsi="Verdana" w:cs="Arial"/>
          <w:b/>
          <w:bCs/>
          <w:color w:val="000000"/>
          <w:lang w:val="es-ES_tradnl" w:eastAsia="es-ES_tradnl"/>
        </w:rPr>
      </w:pPr>
      <w:r w:rsidRPr="00C805BA">
        <w:rPr>
          <w:rFonts w:ascii="Verdana" w:eastAsia="Calibri" w:hAnsi="Verdana" w:cs="Arial"/>
          <w:lang w:val="es-ES" w:eastAsia="es-ES"/>
        </w:rPr>
        <w:t>Neiva, Huila</w:t>
      </w:r>
    </w:p>
    <w:p w14:paraId="7108A1FE" w14:textId="77777777" w:rsidR="00F01E22" w:rsidRPr="00C805BA" w:rsidRDefault="00F01E22" w:rsidP="00F01E22">
      <w:pPr>
        <w:spacing w:after="0" w:line="240" w:lineRule="auto"/>
        <w:rPr>
          <w:rFonts w:ascii="Verdana" w:eastAsia="Calibri" w:hAnsi="Verdana" w:cs="Arial"/>
          <w:b/>
          <w:bCs/>
          <w:color w:val="000000"/>
          <w:lang w:val="es-ES_tradnl" w:eastAsia="es-ES_tradnl"/>
        </w:rPr>
      </w:pPr>
    </w:p>
    <w:p w14:paraId="733B7738" w14:textId="77777777" w:rsidR="00F01E22" w:rsidRPr="00C805BA" w:rsidRDefault="00F01E22" w:rsidP="00F01E22">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01E22" w:rsidRPr="00C805BA" w14:paraId="7972F669" w14:textId="77777777" w:rsidTr="00EA48AE">
        <w:trPr>
          <w:trHeight w:val="567"/>
        </w:trPr>
        <w:tc>
          <w:tcPr>
            <w:tcW w:w="2689" w:type="dxa"/>
          </w:tcPr>
          <w:p w14:paraId="4B59998D" w14:textId="77777777" w:rsidR="00F01E22" w:rsidRPr="00C805BA" w:rsidRDefault="00F01E22" w:rsidP="003B02A7">
            <w:pPr>
              <w:jc w:val="both"/>
              <w:rPr>
                <w:rFonts w:ascii="Verdana" w:eastAsia="Calibri" w:hAnsi="Verdana" w:cs="Arial"/>
                <w:b/>
                <w:bCs/>
                <w:color w:val="7030A0"/>
                <w:lang w:val="es-ES_tradnl" w:eastAsia="es-ES_tradnl"/>
              </w:rPr>
            </w:pPr>
          </w:p>
        </w:tc>
        <w:tc>
          <w:tcPr>
            <w:tcW w:w="6100" w:type="dxa"/>
          </w:tcPr>
          <w:p w14:paraId="476499F4" w14:textId="77777777" w:rsidR="00F01E22" w:rsidRPr="00C805BA" w:rsidRDefault="00F01E22" w:rsidP="003B02A7">
            <w:pPr>
              <w:jc w:val="both"/>
              <w:rPr>
                <w:rFonts w:ascii="Verdana" w:eastAsia="Calibri" w:hAnsi="Verdana" w:cs="Arial"/>
                <w:b/>
                <w:bCs/>
                <w:lang w:val="es-ES" w:eastAsia="es-ES"/>
              </w:rPr>
            </w:pPr>
            <w:r w:rsidRPr="00C805BA">
              <w:rPr>
                <w:rFonts w:ascii="Verdana" w:eastAsia="Calibri" w:hAnsi="Verdana" w:cs="Arial"/>
                <w:b/>
                <w:bCs/>
                <w:lang w:val="es-ES" w:eastAsia="es-ES"/>
              </w:rPr>
              <w:t>Concepto C – 1480 de 2025</w:t>
            </w:r>
          </w:p>
        </w:tc>
      </w:tr>
      <w:tr w:rsidR="00F01E22" w:rsidRPr="00C805BA" w14:paraId="0D21FD5D" w14:textId="77777777" w:rsidTr="00EA48AE">
        <w:trPr>
          <w:trHeight w:val="884"/>
        </w:trPr>
        <w:tc>
          <w:tcPr>
            <w:tcW w:w="2689" w:type="dxa"/>
          </w:tcPr>
          <w:p w14:paraId="4A641301" w14:textId="77777777" w:rsidR="00F01E22" w:rsidRPr="00C805BA" w:rsidRDefault="00F01E22" w:rsidP="003B02A7">
            <w:pPr>
              <w:jc w:val="both"/>
              <w:rPr>
                <w:rFonts w:ascii="Verdana" w:eastAsia="Calibri" w:hAnsi="Verdana" w:cs="Arial"/>
                <w:color w:val="000000"/>
                <w:lang w:val="es-ES_tradnl" w:eastAsia="es-ES_tradnl"/>
              </w:rPr>
            </w:pPr>
            <w:r w:rsidRPr="00C805BA">
              <w:rPr>
                <w:rFonts w:ascii="Verdana" w:eastAsia="Calibri" w:hAnsi="Verdana" w:cs="Arial"/>
                <w:b/>
                <w:color w:val="000000"/>
                <w:lang w:val="es-ES_tradnl" w:eastAsia="es-ES_tradnl"/>
              </w:rPr>
              <w:t>Temas:</w:t>
            </w:r>
            <w:r w:rsidRPr="00C805BA">
              <w:rPr>
                <w:rFonts w:ascii="Verdana" w:eastAsia="Calibri" w:hAnsi="Verdana" w:cs="Arial"/>
                <w:color w:val="000000"/>
                <w:lang w:val="es-ES_tradnl" w:eastAsia="es-ES_tradnl"/>
              </w:rPr>
              <w:t xml:space="preserve">                   </w:t>
            </w:r>
          </w:p>
        </w:tc>
        <w:tc>
          <w:tcPr>
            <w:tcW w:w="6100" w:type="dxa"/>
          </w:tcPr>
          <w:p w14:paraId="7C39E6C0" w14:textId="77777777" w:rsidR="00F01E22" w:rsidRPr="00C805BA" w:rsidRDefault="00F01E22" w:rsidP="003B02A7">
            <w:pPr>
              <w:spacing w:line="276" w:lineRule="auto"/>
              <w:jc w:val="both"/>
              <w:rPr>
                <w:rFonts w:ascii="Verdana" w:eastAsia="Calibri" w:hAnsi="Verdana" w:cs="Arial"/>
                <w:lang w:val="es-ES_tradnl" w:eastAsia="es-ES"/>
              </w:rPr>
            </w:pPr>
            <w:r w:rsidRPr="00C805BA">
              <w:rPr>
                <w:rFonts w:ascii="Verdana" w:eastAsia="Calibri" w:hAnsi="Verdana" w:cs="Arial"/>
                <w:lang w:val="es-ES_tradnl" w:eastAsia="es-ES"/>
              </w:rPr>
              <w:t xml:space="preserve">ENAJENACIÓN DE BIENES – modalidad de contratación / MECANISMOS DE ENAJENACIÓN – Decreto 1085 de 2015 / BIENES INMUEBLES </w:t>
            </w:r>
          </w:p>
          <w:p w14:paraId="54564856" w14:textId="77777777" w:rsidR="00F01E22" w:rsidRPr="00C805BA" w:rsidRDefault="00F01E22" w:rsidP="003B02A7">
            <w:pPr>
              <w:spacing w:line="276" w:lineRule="auto"/>
              <w:jc w:val="both"/>
              <w:rPr>
                <w:rFonts w:ascii="Verdana" w:eastAsia="Calibri" w:hAnsi="Verdana" w:cs="Arial"/>
                <w:lang w:val="es-ES" w:eastAsia="es-ES"/>
              </w:rPr>
            </w:pPr>
          </w:p>
        </w:tc>
      </w:tr>
      <w:tr w:rsidR="00F01E22" w:rsidRPr="00C805BA" w14:paraId="0BB39EC9" w14:textId="77777777" w:rsidTr="00EA48AE">
        <w:tc>
          <w:tcPr>
            <w:tcW w:w="2689" w:type="dxa"/>
          </w:tcPr>
          <w:p w14:paraId="6C017E66" w14:textId="77777777" w:rsidR="00F01E22" w:rsidRPr="00C805BA" w:rsidRDefault="00F01E22" w:rsidP="003B02A7">
            <w:pPr>
              <w:jc w:val="both"/>
              <w:rPr>
                <w:rFonts w:ascii="Verdana" w:eastAsia="Calibri" w:hAnsi="Verdana" w:cs="Arial"/>
                <w:b/>
                <w:lang w:val="es-ES_tradnl" w:eastAsia="es-ES_tradnl"/>
              </w:rPr>
            </w:pPr>
            <w:r w:rsidRPr="00C805BA">
              <w:rPr>
                <w:rFonts w:ascii="Verdana" w:eastAsia="Calibri" w:hAnsi="Verdana" w:cs="Arial"/>
                <w:b/>
                <w:lang w:val="es-ES_tradnl" w:eastAsia="es-ES_tradnl"/>
              </w:rPr>
              <w:t>Radicación:</w:t>
            </w:r>
            <w:r w:rsidRPr="00C805BA">
              <w:rPr>
                <w:rFonts w:ascii="Verdana" w:eastAsia="Calibri" w:hAnsi="Verdana" w:cs="Arial"/>
                <w:lang w:val="es-ES_tradnl" w:eastAsia="es-ES_tradnl"/>
              </w:rPr>
              <w:t xml:space="preserve">               </w:t>
            </w:r>
          </w:p>
        </w:tc>
        <w:tc>
          <w:tcPr>
            <w:tcW w:w="6100" w:type="dxa"/>
          </w:tcPr>
          <w:p w14:paraId="105AEFF1" w14:textId="77777777" w:rsidR="00F01E22" w:rsidRPr="00C805BA" w:rsidRDefault="00F01E22" w:rsidP="003B02A7">
            <w:pPr>
              <w:jc w:val="both"/>
              <w:rPr>
                <w:rFonts w:ascii="Verdana" w:eastAsia="Calibri" w:hAnsi="Verdana" w:cs="Arial"/>
                <w:lang w:eastAsia="es-ES_tradnl"/>
              </w:rPr>
            </w:pPr>
            <w:r w:rsidRPr="00C805BA">
              <w:rPr>
                <w:rFonts w:ascii="Verdana" w:eastAsia="Calibri" w:hAnsi="Verdana" w:cs="Arial"/>
                <w:lang w:val="es-ES_tradnl" w:eastAsia="es-ES_tradnl"/>
              </w:rPr>
              <w:t xml:space="preserve">Respuesta a la consulta con radicado No. </w:t>
            </w:r>
            <w:r w:rsidRPr="00C805BA">
              <w:rPr>
                <w:rFonts w:ascii="Verdana" w:hAnsi="Verdana" w:cs="Segoe UI"/>
                <w:color w:val="2B2B2B"/>
                <w:shd w:val="clear" w:color="auto" w:fill="FFFFFF"/>
              </w:rPr>
              <w:t>1_2025_10_10_011364</w:t>
            </w:r>
            <w:r w:rsidRPr="00C805BA">
              <w:rPr>
                <w:rFonts w:ascii="Verdana" w:eastAsia="Calibri" w:hAnsi="Verdana" w:cs="Arial"/>
                <w:lang w:val="es-ES_tradnl" w:eastAsia="es-ES_tradnl"/>
              </w:rPr>
              <w:t xml:space="preserve">                                 </w:t>
            </w:r>
          </w:p>
        </w:tc>
      </w:tr>
    </w:tbl>
    <w:p w14:paraId="04DF3B46" w14:textId="77777777" w:rsidR="00F01E22" w:rsidRPr="00C805BA" w:rsidRDefault="00F01E22" w:rsidP="00F01E22">
      <w:pPr>
        <w:spacing w:after="0" w:line="240" w:lineRule="auto"/>
        <w:jc w:val="both"/>
        <w:rPr>
          <w:rFonts w:ascii="Verdana" w:eastAsia="Calibri" w:hAnsi="Verdana" w:cs="Arial"/>
          <w:color w:val="000000"/>
          <w:lang w:val="es-ES_tradnl" w:eastAsia="es-ES_tradnl"/>
        </w:rPr>
      </w:pPr>
    </w:p>
    <w:p w14:paraId="02F18D07" w14:textId="77777777" w:rsidR="00F01E22" w:rsidRPr="00C805BA" w:rsidRDefault="00F01E22" w:rsidP="00F01E22">
      <w:pPr>
        <w:spacing w:after="0" w:line="240" w:lineRule="auto"/>
        <w:jc w:val="both"/>
        <w:rPr>
          <w:rFonts w:ascii="Verdana" w:eastAsia="Calibri" w:hAnsi="Verdana" w:cs="Arial"/>
          <w:color w:val="000000"/>
          <w:lang w:val="es-ES_tradnl" w:eastAsia="es-ES_tradnl"/>
        </w:rPr>
      </w:pPr>
    </w:p>
    <w:p w14:paraId="07BBF98C" w14:textId="77777777" w:rsidR="00F01E22" w:rsidRPr="00C805BA" w:rsidRDefault="00F01E22" w:rsidP="00F01E22">
      <w:pPr>
        <w:spacing w:after="0" w:line="276" w:lineRule="auto"/>
        <w:jc w:val="both"/>
        <w:rPr>
          <w:rFonts w:ascii="Verdana" w:eastAsia="Calibri" w:hAnsi="Verdana" w:cs="Arial"/>
          <w:lang w:val="es-ES" w:eastAsia="es-ES"/>
        </w:rPr>
      </w:pPr>
      <w:r w:rsidRPr="00C805BA">
        <w:rPr>
          <w:rFonts w:ascii="Verdana" w:eastAsia="Calibri" w:hAnsi="Verdana" w:cs="Arial"/>
          <w:lang w:val="es-ES" w:eastAsia="es-ES"/>
        </w:rPr>
        <w:t xml:space="preserve">Estimado señor Gutiérrez: </w:t>
      </w:r>
    </w:p>
    <w:p w14:paraId="51612596" w14:textId="77777777" w:rsidR="00F01E22" w:rsidRPr="00C805BA" w:rsidRDefault="00F01E22" w:rsidP="00F01E22">
      <w:pPr>
        <w:tabs>
          <w:tab w:val="left" w:pos="3768"/>
        </w:tabs>
        <w:spacing w:after="0" w:line="276" w:lineRule="auto"/>
        <w:jc w:val="both"/>
        <w:rPr>
          <w:rFonts w:ascii="Verdana" w:eastAsia="Calibri" w:hAnsi="Verdana" w:cs="Arial"/>
          <w:color w:val="000000" w:themeColor="text1"/>
          <w:lang w:val="es-ES" w:eastAsia="es-ES"/>
        </w:rPr>
      </w:pPr>
      <w:r w:rsidRPr="00C805BA">
        <w:rPr>
          <w:rFonts w:ascii="Verdana" w:eastAsia="Calibri" w:hAnsi="Verdana" w:cs="Arial"/>
          <w:color w:val="000000" w:themeColor="text1"/>
          <w:lang w:val="es-ES" w:eastAsia="es-ES"/>
        </w:rPr>
        <w:tab/>
      </w:r>
    </w:p>
    <w:p w14:paraId="16EBBF08" w14:textId="77777777" w:rsidR="00F01E22" w:rsidRPr="00C805BA" w:rsidRDefault="00F01E22" w:rsidP="00F01E22">
      <w:pPr>
        <w:spacing w:after="0" w:line="276" w:lineRule="auto"/>
        <w:jc w:val="both"/>
        <w:rPr>
          <w:rFonts w:ascii="Verdana" w:eastAsia="Calibri" w:hAnsi="Verdana" w:cs="Arial"/>
          <w:color w:val="7030A0"/>
          <w:lang w:val="es-ES" w:eastAsia="es-ES"/>
        </w:rPr>
      </w:pPr>
      <w:r w:rsidRPr="00C805BA">
        <w:rPr>
          <w:rFonts w:ascii="Verdana" w:eastAsia="Calibri" w:hAnsi="Verdana" w:cs="Arial"/>
          <w:color w:val="000000" w:themeColor="text1"/>
          <w:lang w:val="es-ES" w:eastAsia="es-ES"/>
        </w:rPr>
        <w:t>En ejercicio de la competencia otorgada por los artículos 3, numeral 5º, y 11, numeral 8º, del Decreto Ley 4170 de 2011,</w:t>
      </w:r>
      <w:r w:rsidRPr="00C805BA">
        <w:rPr>
          <w:rFonts w:ascii="Verdana" w:eastAsia="Arial MT" w:hAnsi="Verdana" w:cs="Arial MT"/>
          <w:lang w:val="es-ES" w:eastAsia="es-ES"/>
        </w:rPr>
        <w:t xml:space="preserve"> </w:t>
      </w:r>
      <w:r w:rsidRPr="00C805BA">
        <w:rPr>
          <w:rFonts w:ascii="Verdana" w:eastAsia="Calibri" w:hAnsi="Verdana" w:cs="Times New Roman"/>
          <w:bCs/>
        </w:rPr>
        <w:t>así como lo establecido por la Resolución 469 de 2025 expedida por esta Entidad</w:t>
      </w:r>
      <w:r w:rsidRPr="00C805BA">
        <w:rPr>
          <w:rFonts w:ascii="Verdana" w:hAnsi="Verdana" w:cs="Arial"/>
        </w:rPr>
        <w:t xml:space="preserve">, </w:t>
      </w:r>
      <w:r w:rsidRPr="00C805BA">
        <w:rPr>
          <w:rFonts w:ascii="Verdana" w:eastAsia="Calibri" w:hAnsi="Verdana" w:cs="Arial"/>
          <w:color w:val="000000" w:themeColor="text1"/>
          <w:lang w:val="es-ES" w:eastAsia="es-ES"/>
        </w:rPr>
        <w:t xml:space="preserve">la Agencia Nacional de Contratación Pública – Colombia Compra Eficiente responde su solicitud de concepto del </w:t>
      </w:r>
      <w:r w:rsidRPr="00C805BA">
        <w:rPr>
          <w:rFonts w:ascii="Verdana" w:eastAsia="Calibri" w:hAnsi="Verdana" w:cs="Arial"/>
          <w:lang w:val="es-ES" w:eastAsia="es-ES"/>
        </w:rPr>
        <w:t xml:space="preserve">10 de octubre de 2025, en la cual pregunta sobre lo siguiente: </w:t>
      </w:r>
    </w:p>
    <w:p w14:paraId="6D0C4E66" w14:textId="77777777" w:rsidR="00F01E22" w:rsidRPr="00C805BA" w:rsidRDefault="00F01E22" w:rsidP="00F01E22">
      <w:pPr>
        <w:tabs>
          <w:tab w:val="left" w:pos="142"/>
          <w:tab w:val="left" w:pos="284"/>
        </w:tabs>
        <w:spacing w:after="0" w:line="276" w:lineRule="auto"/>
        <w:contextualSpacing/>
        <w:jc w:val="both"/>
        <w:rPr>
          <w:rFonts w:ascii="Verdana" w:eastAsia="Century Gothic" w:hAnsi="Verdana" w:cs="Century Gothic"/>
          <w:b/>
          <w:bCs/>
          <w:lang w:val="es-ES"/>
        </w:rPr>
      </w:pPr>
    </w:p>
    <w:p w14:paraId="0C289D9D" w14:textId="77777777" w:rsidR="00F01E22" w:rsidRPr="00C805BA" w:rsidRDefault="00F01E22" w:rsidP="00F01E22">
      <w:pPr>
        <w:spacing w:after="0" w:line="240" w:lineRule="auto"/>
        <w:ind w:left="709" w:right="709"/>
        <w:contextualSpacing/>
        <w:jc w:val="both"/>
        <w:rPr>
          <w:rFonts w:ascii="Verdana" w:eastAsia="Century Gothic" w:hAnsi="Verdana" w:cs="Century Gothic"/>
          <w:sz w:val="20"/>
          <w:szCs w:val="20"/>
        </w:rPr>
      </w:pPr>
      <w:r w:rsidRPr="00C805BA">
        <w:rPr>
          <w:rFonts w:ascii="Verdana" w:eastAsia="Century Gothic" w:hAnsi="Verdana" w:cs="Century Gothic"/>
          <w:sz w:val="20"/>
          <w:szCs w:val="20"/>
        </w:rPr>
        <w:t>“¿CUAL ES EL PROCEDIMIENTO PARA ENAJENAR A TITULO ONEROSO, LOS BIENES INMUBLES DE PROPIEDAD DE LAS ENTIDADES PUBLICAS? ¿ES POSIBLE ENAJENAR INMUEBLES DE PROPIEDAD DEL ESTADO A TRAVES DEL SERVICIO DE MARTILLO DE LOS BANCOS O ENTIDADES FINANCIERAS?”.</w:t>
      </w:r>
    </w:p>
    <w:p w14:paraId="0D333B92" w14:textId="77777777" w:rsidR="00F01E22" w:rsidRPr="00C805BA" w:rsidRDefault="00F01E22" w:rsidP="00F01E22">
      <w:pPr>
        <w:spacing w:after="0" w:line="240" w:lineRule="auto"/>
        <w:ind w:left="709" w:right="709"/>
        <w:contextualSpacing/>
        <w:jc w:val="both"/>
        <w:rPr>
          <w:rFonts w:ascii="Verdana" w:eastAsia="Century Gothic" w:hAnsi="Verdana" w:cs="Century Gothic"/>
          <w:i/>
          <w:iCs/>
          <w:sz w:val="21"/>
          <w:szCs w:val="21"/>
        </w:rPr>
      </w:pPr>
    </w:p>
    <w:p w14:paraId="018117F9" w14:textId="77777777" w:rsidR="00F01E22" w:rsidRPr="00C805BA" w:rsidRDefault="00F01E22" w:rsidP="00F01E22">
      <w:pPr>
        <w:spacing w:after="120" w:line="276" w:lineRule="auto"/>
        <w:ind w:firstLine="709"/>
        <w:jc w:val="both"/>
        <w:rPr>
          <w:rFonts w:ascii="Verdana" w:eastAsia="Calibri" w:hAnsi="Verdana" w:cs="Arial"/>
          <w:color w:val="000000"/>
          <w:lang w:val="es-ES" w:eastAsia="es-ES"/>
        </w:rPr>
      </w:pPr>
      <w:r w:rsidRPr="00C805BA">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C805BA">
        <w:rPr>
          <w:rFonts w:ascii="Verdana" w:eastAsia="Calibri" w:hAnsi="Verdana" w:cs="Arial"/>
          <w:color w:val="000000"/>
          <w:lang w:val="es-ES" w:eastAsia="es-ES"/>
        </w:rPr>
        <w:lastRenderedPageBreak/>
        <w:t xml:space="preserve">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805BA">
        <w:rPr>
          <w:rFonts w:ascii="Verdana" w:eastAsia="Calibri" w:hAnsi="Verdana" w:cs="Arial"/>
          <w:color w:val="000000"/>
          <w:szCs w:val="24"/>
          <w:lang w:val="es-ES_tradnl" w:eastAsia="es-ES_tradnl"/>
        </w:rPr>
        <w:tab/>
      </w:r>
    </w:p>
    <w:p w14:paraId="50816D51" w14:textId="77777777" w:rsidR="00F01E22" w:rsidRPr="00C805BA" w:rsidRDefault="00F01E22" w:rsidP="00F01E22">
      <w:pPr>
        <w:spacing w:after="0" w:line="276" w:lineRule="auto"/>
        <w:ind w:firstLine="709"/>
        <w:jc w:val="both"/>
        <w:rPr>
          <w:rFonts w:ascii="Verdana" w:eastAsia="Calibri" w:hAnsi="Verdana" w:cs="Arial"/>
          <w:color w:val="000000"/>
          <w:lang w:val="es-ES" w:eastAsia="es-ES"/>
        </w:rPr>
      </w:pPr>
      <w:r w:rsidRPr="00C805BA">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el</w:t>
      </w:r>
      <w:r w:rsidRPr="00C805BA">
        <w:rPr>
          <w:rFonts w:ascii="Verdana" w:eastAsia="Calibri" w:hAnsi="Verdana" w:cs="Arial"/>
          <w:color w:val="7030A0"/>
          <w:lang w:val="es-ES" w:eastAsia="es-ES"/>
        </w:rPr>
        <w:t xml:space="preserve"> </w:t>
      </w:r>
      <w:r w:rsidRPr="00C805BA">
        <w:rPr>
          <w:rFonts w:ascii="Verdana" w:eastAsia="Calibri" w:hAnsi="Verdana" w:cs="Arial"/>
          <w:color w:val="000000"/>
          <w:lang w:val="es-ES" w:eastAsia="es-ES"/>
        </w:rPr>
        <w:t>problema</w:t>
      </w:r>
      <w:r w:rsidRPr="00C805BA">
        <w:rPr>
          <w:rFonts w:ascii="Verdana" w:eastAsia="Calibri" w:hAnsi="Verdana" w:cs="Arial"/>
          <w:color w:val="7030A0"/>
          <w:lang w:val="es-ES" w:eastAsia="es-ES"/>
        </w:rPr>
        <w:t xml:space="preserve"> </w:t>
      </w:r>
      <w:r w:rsidRPr="00C805BA">
        <w:rPr>
          <w:rFonts w:ascii="Verdana" w:eastAsia="Calibri" w:hAnsi="Verdana" w:cs="Arial"/>
          <w:color w:val="000000"/>
          <w:lang w:val="es-ES" w:eastAsia="es-ES"/>
        </w:rPr>
        <w:t>jurídico</w:t>
      </w:r>
      <w:r w:rsidRPr="00C805BA">
        <w:rPr>
          <w:rFonts w:ascii="Verdana" w:eastAsia="Calibri" w:hAnsi="Verdana" w:cs="Arial"/>
          <w:color w:val="7030A0"/>
          <w:lang w:val="es-ES" w:eastAsia="es-ES"/>
        </w:rPr>
        <w:t xml:space="preserve"> </w:t>
      </w:r>
      <w:r w:rsidRPr="00C805BA">
        <w:rPr>
          <w:rFonts w:ascii="Verdana" w:eastAsia="Calibri" w:hAnsi="Verdana" w:cs="Arial"/>
          <w:color w:val="000000"/>
          <w:lang w:val="es-ES" w:eastAsia="es-ES"/>
        </w:rPr>
        <w:t xml:space="preserve">de su consulta. </w:t>
      </w:r>
    </w:p>
    <w:p w14:paraId="104BAFAB" w14:textId="77777777" w:rsidR="00F01E22" w:rsidRPr="00C805BA" w:rsidRDefault="00F01E22" w:rsidP="00F01E22">
      <w:pPr>
        <w:spacing w:after="0" w:line="276" w:lineRule="auto"/>
        <w:ind w:firstLine="709"/>
        <w:jc w:val="both"/>
        <w:rPr>
          <w:rFonts w:ascii="Verdana" w:eastAsia="Calibri" w:hAnsi="Verdana" w:cs="Arial"/>
          <w:color w:val="000000"/>
          <w:lang w:val="es-ES" w:eastAsia="es-ES"/>
        </w:rPr>
      </w:pPr>
    </w:p>
    <w:p w14:paraId="429EFFFF" w14:textId="77777777" w:rsidR="00F01E22" w:rsidRPr="00C805BA" w:rsidRDefault="00F01E22" w:rsidP="00F01E22">
      <w:pPr>
        <w:numPr>
          <w:ilvl w:val="0"/>
          <w:numId w:val="1"/>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C805BA">
        <w:rPr>
          <w:rFonts w:ascii="Verdana" w:eastAsia="Century Gothic" w:hAnsi="Verdana" w:cs="Century Gothic"/>
          <w:b/>
          <w:bCs/>
          <w:lang w:val="es-ES"/>
        </w:rPr>
        <w:t>Problemas planteados:</w:t>
      </w:r>
    </w:p>
    <w:p w14:paraId="68CFC169" w14:textId="77777777" w:rsidR="00F01E22" w:rsidRPr="00C805BA" w:rsidRDefault="00F01E22" w:rsidP="00F01E22">
      <w:pPr>
        <w:tabs>
          <w:tab w:val="left" w:pos="426"/>
        </w:tabs>
        <w:spacing w:after="0" w:line="276" w:lineRule="auto"/>
        <w:jc w:val="both"/>
        <w:rPr>
          <w:rFonts w:ascii="Verdana" w:eastAsia="Century Gothic" w:hAnsi="Verdana" w:cs="Century Gothic"/>
          <w:lang w:val="es-ES"/>
        </w:rPr>
      </w:pPr>
    </w:p>
    <w:p w14:paraId="053BC8F1" w14:textId="77777777" w:rsidR="00F01E22" w:rsidRPr="00C805BA" w:rsidRDefault="00F01E22" w:rsidP="00F01E22">
      <w:pPr>
        <w:spacing w:after="0" w:line="276" w:lineRule="auto"/>
        <w:jc w:val="both"/>
        <w:rPr>
          <w:rFonts w:ascii="Verdana" w:eastAsia="Century Gothic" w:hAnsi="Verdana" w:cs="Century Gothic"/>
        </w:rPr>
      </w:pPr>
      <w:r w:rsidRPr="00C805BA">
        <w:rPr>
          <w:rFonts w:ascii="Verdana" w:eastAsia="Century Gothic" w:hAnsi="Verdana" w:cs="Century Gothic"/>
        </w:rPr>
        <w:t>De acuerdo con el contenido de su solicitud, esta Agencia resolverá el siguiente problema jurídico: ¿Cuáles son los mecanismos para la enajenación de bienes inmuebles de propiedad de las entidades públicas</w:t>
      </w:r>
      <w:r w:rsidRPr="00C805BA">
        <w:rPr>
          <w:rFonts w:ascii="Verdana" w:eastAsia="Century Gothic" w:hAnsi="Verdana" w:cs="Century Gothic"/>
          <w:sz w:val="21"/>
          <w:szCs w:val="21"/>
        </w:rPr>
        <w:t xml:space="preserve">? </w:t>
      </w:r>
    </w:p>
    <w:p w14:paraId="61987953" w14:textId="77777777" w:rsidR="00F01E22" w:rsidRPr="00C805BA" w:rsidRDefault="00F01E22" w:rsidP="00F01E22">
      <w:pPr>
        <w:spacing w:after="0" w:line="276" w:lineRule="auto"/>
        <w:jc w:val="both"/>
        <w:rPr>
          <w:rFonts w:ascii="Verdana" w:eastAsia="Calibri" w:hAnsi="Verdana" w:cs="Arial"/>
          <w:color w:val="7030A0"/>
        </w:rPr>
      </w:pPr>
    </w:p>
    <w:p w14:paraId="317352B3" w14:textId="77777777" w:rsidR="00F01E22" w:rsidRPr="00C805BA" w:rsidRDefault="00F01E22" w:rsidP="00F01E22">
      <w:pPr>
        <w:numPr>
          <w:ilvl w:val="0"/>
          <w:numId w:val="1"/>
        </w:numPr>
        <w:tabs>
          <w:tab w:val="left" w:pos="142"/>
          <w:tab w:val="left" w:pos="284"/>
        </w:tabs>
        <w:spacing w:after="0" w:line="276" w:lineRule="auto"/>
        <w:ind w:left="0" w:firstLine="0"/>
        <w:jc w:val="both"/>
        <w:rPr>
          <w:rFonts w:ascii="Verdana" w:eastAsia="Century Gothic" w:hAnsi="Verdana" w:cs="Century Gothic"/>
          <w:b/>
          <w:bCs/>
          <w:lang w:val="es-ES"/>
        </w:rPr>
      </w:pPr>
      <w:r w:rsidRPr="00C805BA">
        <w:rPr>
          <w:rFonts w:ascii="Verdana" w:eastAsia="Century Gothic" w:hAnsi="Verdana" w:cs="Century Gothic"/>
          <w:b/>
          <w:bCs/>
          <w:lang w:val="es-ES"/>
        </w:rPr>
        <w:t>Respuestas:</w:t>
      </w:r>
    </w:p>
    <w:p w14:paraId="303865EF" w14:textId="77777777" w:rsidR="00F01E22" w:rsidRPr="00C805BA" w:rsidRDefault="00F01E22" w:rsidP="00F01E22">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01E22" w:rsidRPr="00C805BA" w14:paraId="463BB14C" w14:textId="77777777" w:rsidTr="003B02A7">
        <w:trPr>
          <w:jc w:val="center"/>
        </w:trPr>
        <w:tc>
          <w:tcPr>
            <w:tcW w:w="8828" w:type="dxa"/>
          </w:tcPr>
          <w:p w14:paraId="7EAB518B" w14:textId="77777777" w:rsidR="00F01E22" w:rsidRPr="00C805BA" w:rsidRDefault="00F01E22" w:rsidP="003B02A7">
            <w:pPr>
              <w:spacing w:after="120" w:line="276" w:lineRule="auto"/>
              <w:ind w:right="79"/>
              <w:jc w:val="both"/>
              <w:rPr>
                <w:rFonts w:ascii="Verdana" w:hAnsi="Verdana" w:cs="Arial"/>
              </w:rPr>
            </w:pPr>
            <w:bookmarkStart w:id="0" w:name="_Hlk171694685"/>
            <w:r w:rsidRPr="00C805BA">
              <w:rPr>
                <w:rFonts w:ascii="Verdana" w:hAnsi="Verdana" w:cs="Arial"/>
              </w:rPr>
              <w:t>El literal e) del numeral 2 del artículo 2 de la Ley 1150 de 2007 dispone que la enajenación de bienes del Estado, con excepción de aquellos a que se refiere la Ley 226 de 1995, se realiza a través de la modalidad de selección abreviada.</w:t>
            </w:r>
          </w:p>
          <w:p w14:paraId="0D644BE4" w14:textId="77777777" w:rsidR="00F01E22" w:rsidRPr="00C805BA" w:rsidRDefault="00F01E22" w:rsidP="003B02A7">
            <w:pPr>
              <w:spacing w:after="120" w:line="276" w:lineRule="auto"/>
              <w:ind w:firstLine="720"/>
              <w:jc w:val="both"/>
              <w:rPr>
                <w:rFonts w:ascii="Verdana" w:hAnsi="Verdana"/>
                <w:color w:val="333333"/>
                <w:shd w:val="clear" w:color="auto" w:fill="FFFFFF"/>
                <w:lang w:val="es-MX"/>
              </w:rPr>
            </w:pPr>
            <w:r w:rsidRPr="00C805BA">
              <w:rPr>
                <w:rFonts w:ascii="Verdana" w:eastAsia="Arial" w:hAnsi="Verdana" w:cs="Arial"/>
                <w:lang w:val="es-ES"/>
              </w:rPr>
              <w:t>En virtud de lo anterior</w:t>
            </w:r>
            <w:r w:rsidRPr="00C805BA">
              <w:rPr>
                <w:rFonts w:ascii="Verdana" w:eastAsia="Arial" w:hAnsi="Verdana" w:cs="Arial"/>
                <w:sz w:val="20"/>
                <w:szCs w:val="20"/>
                <w:lang w:val="es-ES"/>
              </w:rPr>
              <w:t xml:space="preserve">, </w:t>
            </w:r>
            <w:r w:rsidRPr="00C805BA">
              <w:rPr>
                <w:rFonts w:ascii="Verdana" w:eastAsia="Arial" w:hAnsi="Verdana" w:cs="Arial"/>
                <w:lang w:val="es-ES"/>
              </w:rPr>
              <w:t xml:space="preserve">la subsección 2 de la sección 2 del capítulo II del Decreto 1082 de 2015 regula la materia y establece 3 mecanismos de enajenación de los bienes del Estado: i) la enajenación directa por sobre cerrado, que se llevará a cabo mediante el procedimiento allí contemplado, </w:t>
            </w:r>
            <w:proofErr w:type="spellStart"/>
            <w:r w:rsidRPr="00C805BA">
              <w:rPr>
                <w:rFonts w:ascii="Verdana" w:eastAsia="Arial" w:hAnsi="Verdana" w:cs="Arial"/>
                <w:lang w:val="es-ES"/>
              </w:rPr>
              <w:t>ii</w:t>
            </w:r>
            <w:proofErr w:type="spellEnd"/>
            <w:r w:rsidRPr="00C805BA">
              <w:rPr>
                <w:rFonts w:ascii="Verdana" w:eastAsia="Arial" w:hAnsi="Verdana" w:cs="Arial"/>
                <w:lang w:val="es-ES"/>
              </w:rPr>
              <w:t xml:space="preserve">) la enajenación directa a través de subasta pública, para lo cual la entidad deberá </w:t>
            </w:r>
            <w:r w:rsidRPr="00C805BA">
              <w:rPr>
                <w:rFonts w:ascii="Verdana" w:eastAsia="Arial" w:hAnsi="Verdana" w:cs="Arial"/>
              </w:rPr>
              <w:t xml:space="preserve">seguir el procedimiento establecido en el artículo 2.2.1.2.1.2.2 del Decreto 1082 de 2015 sobre subasta inversa, pero teniendo en cuenta que el </w:t>
            </w:r>
            <w:r w:rsidRPr="00C805BA">
              <w:rPr>
                <w:rFonts w:ascii="Verdana" w:eastAsia="Arial" w:hAnsi="Verdana" w:cs="Arial"/>
              </w:rPr>
              <w:lastRenderedPageBreak/>
              <w:t xml:space="preserve">bien debe ser adjudicado al oferente que haya ofrecido el mayor valor a pagar por los bienes objeto de enajenación y en consecuencia, el margen mínimo debe ser al alza, y </w:t>
            </w:r>
            <w:proofErr w:type="spellStart"/>
            <w:r w:rsidRPr="00C805BA">
              <w:rPr>
                <w:rFonts w:ascii="Verdana" w:eastAsia="Arial" w:hAnsi="Verdana" w:cs="Arial"/>
              </w:rPr>
              <w:t>iii</w:t>
            </w:r>
            <w:proofErr w:type="spellEnd"/>
            <w:r w:rsidRPr="00C805BA">
              <w:rPr>
                <w:rFonts w:ascii="Verdana" w:eastAsia="Arial" w:hAnsi="Verdana" w:cs="Arial"/>
              </w:rPr>
              <w:t xml:space="preserve">) la enajenación a través de intermediarios idóneos, en cuyo caso </w:t>
            </w:r>
            <w:r w:rsidRPr="00C805BA">
              <w:rPr>
                <w:rFonts w:ascii="Verdana" w:hAnsi="Verdana"/>
                <w:color w:val="333333"/>
                <w:shd w:val="clear" w:color="auto" w:fill="FFFFFF"/>
                <w:lang w:val="es-MX"/>
              </w:rPr>
              <w:t xml:space="preserve">la venta debe realizarse a través de subasta pública, o mediante el mecanismo de derecho privado que se convenga con el intermediario. </w:t>
            </w:r>
          </w:p>
          <w:p w14:paraId="5BC0302F" w14:textId="77777777" w:rsidR="00F01E22" w:rsidRPr="00C805BA" w:rsidRDefault="00F01E22" w:rsidP="003B02A7">
            <w:pPr>
              <w:spacing w:after="120" w:line="276" w:lineRule="auto"/>
              <w:ind w:firstLine="720"/>
              <w:jc w:val="both"/>
              <w:rPr>
                <w:rFonts w:ascii="Verdana" w:hAnsi="Verdana"/>
                <w:color w:val="333333"/>
                <w:shd w:val="clear" w:color="auto" w:fill="FFFFFF"/>
              </w:rPr>
            </w:pPr>
            <w:bookmarkStart w:id="1" w:name="_Hlk213451298"/>
            <w:r w:rsidRPr="00C805BA">
              <w:rPr>
                <w:rFonts w:ascii="Verdana" w:hAnsi="Verdana"/>
                <w:color w:val="333333"/>
                <w:shd w:val="clear" w:color="auto" w:fill="FFFFFF"/>
                <w:lang w:val="es-MX"/>
              </w:rPr>
              <w:t xml:space="preserve">En relación con la enajenación a través de intermediarios idóneos, vale la pena reiterar que </w:t>
            </w:r>
            <w:r w:rsidRPr="00C805BA">
              <w:rPr>
                <w:rFonts w:ascii="Verdana" w:hAnsi="Verdana"/>
                <w:color w:val="333333"/>
                <w:shd w:val="clear" w:color="auto" w:fill="FFFFFF"/>
              </w:rPr>
              <w:t xml:space="preserve">de acuerdo con el artículo 2.2.1.2.2.1.4. del Decreto 1082 de 2015, por intermediario idóneo se entiende a “(…) promotores, bancas de inversión, martillos, comisionistas de bolsas de bienes y productos, </w:t>
            </w:r>
            <w:r w:rsidRPr="00C805BA">
              <w:rPr>
                <w:rFonts w:ascii="Verdana" w:hAnsi="Verdana"/>
                <w:i/>
                <w:iCs/>
                <w:color w:val="333333"/>
                <w:shd w:val="clear" w:color="auto" w:fill="FFFFFF"/>
              </w:rPr>
              <w:t>o cualquier otro intermediario idóneo</w:t>
            </w:r>
            <w:r w:rsidRPr="00C805BA">
              <w:rPr>
                <w:rFonts w:ascii="Verdana" w:hAnsi="Verdana"/>
                <w:color w:val="333333"/>
                <w:shd w:val="clear" w:color="auto" w:fill="FFFFFF"/>
              </w:rPr>
              <w:t xml:space="preserve">, según corresponda al tipo de bien a enajenar”. De esta forma, si bien la norma relaciona a algunos intermediarios, también se refiere a cualquier otro idóneo, lo que evidencia que la lista señalada es de carácter enunciativo.  </w:t>
            </w:r>
          </w:p>
          <w:p w14:paraId="77056A6A" w14:textId="77777777" w:rsidR="00F01E22" w:rsidRPr="00C805BA" w:rsidRDefault="00F01E22" w:rsidP="003B02A7">
            <w:pPr>
              <w:spacing w:after="120" w:line="276" w:lineRule="auto"/>
              <w:ind w:firstLine="720"/>
              <w:jc w:val="both"/>
              <w:rPr>
                <w:rFonts w:ascii="Verdana" w:hAnsi="Verdana"/>
                <w:color w:val="333333"/>
                <w:shd w:val="clear" w:color="auto" w:fill="FFFFFF"/>
                <w:lang w:val="es-MX"/>
              </w:rPr>
            </w:pPr>
            <w:r w:rsidRPr="00C805BA">
              <w:rPr>
                <w:rFonts w:ascii="Verdana" w:hAnsi="Verdana"/>
                <w:color w:val="333333"/>
                <w:shd w:val="clear" w:color="auto" w:fill="FFFFFF"/>
              </w:rPr>
              <w:t>Sobre la forma de seleccionar al intermediario, el artículo 2.1.2.2.1.5. dispone que “La Entidad Estatal debe adelantar esta selección a través de un Proceso de Contratación en el cual utilice las reglas de la selección abreviada de menor cuantía. Si el intermediario idóneo es un comisionista de bolsa de productos, la Entidad Estatal debe utilizar el procedimiento al que se refiere el artículo 2.2.1.2.1.2.14 del presente decreto (…)”. De acuerdo con lo expuesto, la entidad como parte de sus estudios previos debe determinar cuál es el intermediario idóneo que requiere según el bien a enajenar, y con ello el procedimiento para seleccionarlo que puede ser: a) selección abreviada de menor cuantía para cualquier tipo de intermediario o b) la selección del comisionista “(</w:t>
            </w:r>
            <w:proofErr w:type="gramStart"/>
            <w:r w:rsidRPr="00C805BA">
              <w:rPr>
                <w:rFonts w:ascii="Verdana" w:hAnsi="Verdana"/>
                <w:color w:val="333333"/>
                <w:shd w:val="clear" w:color="auto" w:fill="FFFFFF"/>
              </w:rPr>
              <w:t>…)de</w:t>
            </w:r>
            <w:proofErr w:type="gramEnd"/>
            <w:r w:rsidRPr="00C805BA">
              <w:rPr>
                <w:rFonts w:ascii="Verdana" w:hAnsi="Verdana"/>
                <w:color w:val="333333"/>
                <w:shd w:val="clear" w:color="auto" w:fill="FFFFFF"/>
              </w:rPr>
              <w:t xml:space="preserve"> acuerdo con el procedimiento interno aplicable en la bolsa de productos, el cual debe ser competitivo (…)”. </w:t>
            </w:r>
          </w:p>
          <w:bookmarkEnd w:id="1"/>
          <w:p w14:paraId="25D06191" w14:textId="77777777" w:rsidR="00F01E22" w:rsidRPr="00C805BA" w:rsidRDefault="00F01E22" w:rsidP="003B02A7">
            <w:pPr>
              <w:spacing w:after="120" w:line="276" w:lineRule="auto"/>
              <w:ind w:firstLine="708"/>
              <w:jc w:val="both"/>
              <w:rPr>
                <w:rFonts w:ascii="Verdana" w:hAnsi="Verdana"/>
                <w:color w:val="333333"/>
                <w:shd w:val="clear" w:color="auto" w:fill="FFFFFF"/>
              </w:rPr>
            </w:pPr>
            <w:r w:rsidRPr="00C805BA">
              <w:rPr>
                <w:rFonts w:ascii="Verdana" w:hAnsi="Verdana"/>
                <w:color w:val="333333"/>
                <w:shd w:val="clear" w:color="auto" w:fill="FFFFFF"/>
              </w:rPr>
              <w:t xml:space="preserve">Asimismo, </w:t>
            </w:r>
            <w:r w:rsidRPr="00C805BA">
              <w:rPr>
                <w:rFonts w:ascii="Verdana" w:eastAsia="Arial" w:hAnsi="Verdana" w:cs="Arial"/>
                <w:lang w:val="es-ES"/>
              </w:rPr>
              <w:t xml:space="preserve">las subsecciones 3 y 4 de la sección 2 del capítulo II del Decreto 1082 de 2015 establece unas reglas particulares que las entidades deberán tener en cuenta para la enajenación de bienes muebles e inmuebles. </w:t>
            </w:r>
            <w:r w:rsidRPr="00C805BA">
              <w:rPr>
                <w:rFonts w:ascii="Verdana" w:hAnsi="Verdana"/>
                <w:color w:val="333333"/>
                <w:shd w:val="clear" w:color="auto" w:fill="FFFFFF"/>
              </w:rPr>
              <w:t>En tal sentido, se advierte que será la entidad estatal contratante la llamada a establecer con precisión el mecanismo idóneo para la enajenación de sus bienes, teniendo en cuenta sus necesidades específicas, los procedimientos señalados y las reglas sobre los bienes muebles e inmuebles aplicables según sea el caso.</w:t>
            </w:r>
          </w:p>
        </w:tc>
      </w:tr>
    </w:tbl>
    <w:p w14:paraId="7B0D7E3B" w14:textId="77777777" w:rsidR="00F01E22" w:rsidRPr="00C805BA" w:rsidRDefault="00F01E22" w:rsidP="00F01E22">
      <w:pPr>
        <w:tabs>
          <w:tab w:val="left" w:pos="142"/>
          <w:tab w:val="left" w:pos="284"/>
        </w:tabs>
        <w:spacing w:after="0" w:line="276" w:lineRule="auto"/>
        <w:jc w:val="both"/>
        <w:rPr>
          <w:rFonts w:ascii="Verdana" w:eastAsia="Century Gothic" w:hAnsi="Verdana" w:cs="Century Gothic"/>
          <w:b/>
          <w:bCs/>
          <w:lang w:val="es-ES"/>
        </w:rPr>
      </w:pPr>
    </w:p>
    <w:bookmarkEnd w:id="0"/>
    <w:p w14:paraId="4FB0A487" w14:textId="77777777" w:rsidR="00F01E22" w:rsidRPr="00C805BA" w:rsidRDefault="00F01E22" w:rsidP="00F01E22">
      <w:pPr>
        <w:numPr>
          <w:ilvl w:val="0"/>
          <w:numId w:val="1"/>
        </w:numPr>
        <w:tabs>
          <w:tab w:val="left" w:pos="142"/>
          <w:tab w:val="left" w:pos="284"/>
        </w:tabs>
        <w:spacing w:after="0" w:line="276" w:lineRule="auto"/>
        <w:ind w:left="0" w:firstLine="0"/>
        <w:jc w:val="both"/>
        <w:rPr>
          <w:rFonts w:ascii="Verdana" w:eastAsia="Century Gothic" w:hAnsi="Verdana" w:cs="Century Gothic"/>
          <w:b/>
          <w:bCs/>
          <w:lang w:val="es-ES"/>
        </w:rPr>
      </w:pPr>
      <w:r w:rsidRPr="00C805BA">
        <w:rPr>
          <w:rFonts w:ascii="Verdana" w:eastAsia="Century Gothic" w:hAnsi="Verdana" w:cs="Century Gothic"/>
          <w:b/>
          <w:bCs/>
          <w:lang w:val="es-ES"/>
        </w:rPr>
        <w:t>Razones de las respuestas:</w:t>
      </w:r>
    </w:p>
    <w:p w14:paraId="46A4BC10" w14:textId="77777777" w:rsidR="00F01E22" w:rsidRPr="00C805BA" w:rsidRDefault="00F01E22" w:rsidP="00F01E22">
      <w:pPr>
        <w:spacing w:after="0" w:line="276" w:lineRule="auto"/>
        <w:jc w:val="both"/>
        <w:rPr>
          <w:rFonts w:ascii="Verdana" w:eastAsia="Calibri" w:hAnsi="Verdana" w:cs="Arial"/>
          <w:color w:val="7030A0"/>
          <w:lang w:val="es-ES"/>
        </w:rPr>
      </w:pPr>
    </w:p>
    <w:p w14:paraId="38CF96AB" w14:textId="77777777" w:rsidR="00F01E22" w:rsidRPr="00C805BA" w:rsidRDefault="00F01E22" w:rsidP="00F01E22">
      <w:pPr>
        <w:spacing w:after="0" w:line="276" w:lineRule="auto"/>
        <w:jc w:val="both"/>
        <w:rPr>
          <w:rFonts w:ascii="Verdana" w:eastAsia="Calibri" w:hAnsi="Verdana" w:cs="Arial"/>
          <w:lang w:val="es-ES"/>
        </w:rPr>
      </w:pPr>
      <w:r w:rsidRPr="00C805BA">
        <w:rPr>
          <w:rFonts w:ascii="Verdana" w:eastAsia="Calibri" w:hAnsi="Verdana" w:cs="Arial"/>
          <w:lang w:val="es-ES"/>
        </w:rPr>
        <w:t>Lo anterior se sustenta en las siguientes consideraciones:</w:t>
      </w:r>
    </w:p>
    <w:p w14:paraId="0ED3E455" w14:textId="77777777" w:rsidR="00F01E22" w:rsidRPr="00C805BA" w:rsidRDefault="00F01E22" w:rsidP="00F01E22">
      <w:pPr>
        <w:spacing w:after="0" w:line="276" w:lineRule="auto"/>
        <w:jc w:val="both"/>
        <w:rPr>
          <w:rFonts w:ascii="Verdana" w:eastAsia="Calibri" w:hAnsi="Verdana" w:cs="Arial"/>
          <w:lang w:val="es-ES"/>
        </w:rPr>
      </w:pPr>
    </w:p>
    <w:p w14:paraId="71EB4BEB" w14:textId="77777777" w:rsidR="00F01E22" w:rsidRPr="00C805BA" w:rsidRDefault="00F01E22" w:rsidP="00F01E22">
      <w:pPr>
        <w:spacing w:after="120" w:line="276" w:lineRule="auto"/>
        <w:jc w:val="both"/>
        <w:rPr>
          <w:rFonts w:ascii="Verdana" w:hAnsi="Verdana" w:cs="Arial"/>
          <w:color w:val="000000" w:themeColor="text1"/>
        </w:rPr>
      </w:pPr>
      <w:r w:rsidRPr="00C805BA">
        <w:rPr>
          <w:rFonts w:ascii="Verdana" w:hAnsi="Verdana" w:cs="Arial"/>
          <w:color w:val="000000" w:themeColor="text1"/>
        </w:rPr>
        <w:t xml:space="preserve">La </w:t>
      </w:r>
      <w:r w:rsidRPr="00C805BA">
        <w:rPr>
          <w:rFonts w:ascii="Verdana" w:hAnsi="Verdana" w:cs="Arial"/>
          <w:color w:val="000000" w:themeColor="text1"/>
          <w:lang w:val="es-ES"/>
        </w:rPr>
        <w:t>enajenación</w:t>
      </w:r>
      <w:r w:rsidRPr="00C805BA">
        <w:rPr>
          <w:rFonts w:ascii="Verdana" w:hAnsi="Verdana" w:cs="Arial"/>
          <w:color w:val="000000" w:themeColor="text1"/>
        </w:rPr>
        <w:t xml:space="preserve"> se define como la transferencia del derecho real</w:t>
      </w:r>
      <w:r w:rsidRPr="00C805BA">
        <w:rPr>
          <w:rFonts w:ascii="Verdana" w:hAnsi="Verdana" w:cs="Arial"/>
          <w:color w:val="000000" w:themeColor="text1"/>
          <w:vertAlign w:val="superscript"/>
        </w:rPr>
        <w:footnoteReference w:id="2"/>
      </w:r>
      <w:r w:rsidRPr="00C805BA">
        <w:rPr>
          <w:rFonts w:ascii="Verdana" w:hAnsi="Verdana" w:cs="Arial"/>
          <w:color w:val="000000" w:themeColor="text1"/>
        </w:rPr>
        <w:t xml:space="preserve"> sobre un bien</w:t>
      </w:r>
      <w:r w:rsidRPr="00C805BA">
        <w:rPr>
          <w:rFonts w:ascii="Verdana" w:hAnsi="Verdana" w:cs="Arial"/>
          <w:color w:val="000000" w:themeColor="text1"/>
          <w:vertAlign w:val="superscript"/>
        </w:rPr>
        <w:footnoteReference w:id="3"/>
      </w:r>
      <w:r w:rsidRPr="00C805BA">
        <w:rPr>
          <w:rFonts w:ascii="Verdana" w:hAnsi="Verdana" w:cs="Arial"/>
          <w:color w:val="000000" w:themeColor="text1"/>
        </w:rPr>
        <w:t xml:space="preserve">. Como indica la doctrina, “Dar –en sentido restringido–, </w:t>
      </w:r>
      <w:proofErr w:type="spellStart"/>
      <w:r w:rsidRPr="00C805BA">
        <w:rPr>
          <w:rFonts w:ascii="Verdana" w:hAnsi="Verdana" w:cs="Arial"/>
          <w:color w:val="000000" w:themeColor="text1"/>
        </w:rPr>
        <w:t>traditar</w:t>
      </w:r>
      <w:proofErr w:type="spellEnd"/>
      <w:r w:rsidRPr="00C805BA">
        <w:rPr>
          <w:rFonts w:ascii="Verdana" w:hAnsi="Verdana" w:cs="Arial"/>
          <w:color w:val="000000" w:themeColor="text1"/>
        </w:rPr>
        <w:t xml:space="preserve">, enajenar, disponer, son conceptos sinónimos en el Código Civil. Cuando se da, se enajena. Cuando se </w:t>
      </w:r>
      <w:proofErr w:type="spellStart"/>
      <w:r w:rsidRPr="00C805BA">
        <w:rPr>
          <w:rFonts w:ascii="Verdana" w:hAnsi="Verdana" w:cs="Arial"/>
          <w:color w:val="000000" w:themeColor="text1"/>
        </w:rPr>
        <w:t>tradita</w:t>
      </w:r>
      <w:proofErr w:type="spellEnd"/>
      <w:r w:rsidRPr="00C805BA">
        <w:rPr>
          <w:rFonts w:ascii="Verdana" w:hAnsi="Verdana" w:cs="Arial"/>
          <w:color w:val="000000" w:themeColor="text1"/>
        </w:rPr>
        <w:t xml:space="preserve">, se enajena, Cuando se enajena, se da o se </w:t>
      </w:r>
      <w:proofErr w:type="spellStart"/>
      <w:r w:rsidRPr="00C805BA">
        <w:rPr>
          <w:rFonts w:ascii="Verdana" w:hAnsi="Verdana" w:cs="Arial"/>
          <w:color w:val="000000" w:themeColor="text1"/>
        </w:rPr>
        <w:t>tradita</w:t>
      </w:r>
      <w:proofErr w:type="spellEnd"/>
      <w:r w:rsidRPr="00C805BA">
        <w:rPr>
          <w:rFonts w:ascii="Verdana" w:hAnsi="Verdana" w:cs="Arial"/>
          <w:color w:val="000000" w:themeColor="text1"/>
        </w:rPr>
        <w:t>. Y, finalmente, cuando ocurre cualquiera de tales fenómenos, se dispone”</w:t>
      </w:r>
      <w:r w:rsidRPr="00C805BA">
        <w:rPr>
          <w:rFonts w:ascii="Verdana" w:hAnsi="Verdana" w:cs="Arial"/>
          <w:color w:val="000000" w:themeColor="text1"/>
          <w:vertAlign w:val="superscript"/>
        </w:rPr>
        <w:footnoteReference w:id="4"/>
      </w:r>
      <w:r w:rsidRPr="00C805BA">
        <w:rPr>
          <w:rFonts w:ascii="Verdana" w:hAnsi="Verdana" w:cs="Arial"/>
          <w:color w:val="000000" w:themeColor="text1"/>
        </w:rPr>
        <w:t>. Lo más usual es que la enajenación se lleve a cabo respecto del derecho de propiedad</w:t>
      </w:r>
      <w:r w:rsidRPr="00C805BA">
        <w:rPr>
          <w:rFonts w:ascii="Verdana" w:hAnsi="Verdana" w:cs="Arial"/>
          <w:color w:val="000000" w:themeColor="text1"/>
          <w:vertAlign w:val="superscript"/>
        </w:rPr>
        <w:footnoteReference w:id="5"/>
      </w:r>
      <w:r w:rsidRPr="00C805BA">
        <w:rPr>
          <w:rFonts w:ascii="Verdana" w:hAnsi="Verdana" w:cs="Arial"/>
          <w:color w:val="000000" w:themeColor="text1"/>
        </w:rPr>
        <w:t>; y en tal caso se efectúa a través de los modos señalados en el artículo 673 del Código Civil</w:t>
      </w:r>
      <w:r w:rsidRPr="00C805BA">
        <w:rPr>
          <w:rFonts w:ascii="Verdana" w:hAnsi="Verdana" w:cs="Arial"/>
          <w:color w:val="000000" w:themeColor="text1"/>
          <w:vertAlign w:val="superscript"/>
        </w:rPr>
        <w:footnoteReference w:id="6"/>
      </w:r>
      <w:r w:rsidRPr="00C805BA">
        <w:rPr>
          <w:rFonts w:ascii="Verdana" w:hAnsi="Verdana" w:cs="Arial"/>
          <w:color w:val="000000" w:themeColor="text1"/>
        </w:rPr>
        <w:t>, pudiendo recaer tanto sobre los bienes muebles, como inmuebles, aunque frente a estos la ley exige solemnidades especiales</w:t>
      </w:r>
      <w:r w:rsidRPr="00C805BA">
        <w:rPr>
          <w:rFonts w:ascii="Verdana" w:hAnsi="Verdana" w:cs="Arial"/>
          <w:color w:val="000000" w:themeColor="text1"/>
          <w:vertAlign w:val="superscript"/>
        </w:rPr>
        <w:footnoteReference w:id="7"/>
      </w:r>
      <w:r w:rsidRPr="00C805BA">
        <w:rPr>
          <w:rFonts w:ascii="Verdana" w:hAnsi="Verdana" w:cs="Arial"/>
          <w:color w:val="000000" w:themeColor="text1"/>
        </w:rPr>
        <w:t xml:space="preserve">. Entretanto, el artículo 1521 del Código Civil dispone que se presenta objeto ilícito en la enajenación: i) “De las cosas que no están en el comercio”, </w:t>
      </w:r>
      <w:proofErr w:type="spellStart"/>
      <w:r w:rsidRPr="00C805BA">
        <w:rPr>
          <w:rFonts w:ascii="Verdana" w:hAnsi="Verdana" w:cs="Arial"/>
          <w:color w:val="000000" w:themeColor="text1"/>
        </w:rPr>
        <w:t>ii</w:t>
      </w:r>
      <w:proofErr w:type="spellEnd"/>
      <w:r w:rsidRPr="00C805BA">
        <w:rPr>
          <w:rFonts w:ascii="Verdana" w:hAnsi="Verdana" w:cs="Arial"/>
          <w:color w:val="000000" w:themeColor="text1"/>
        </w:rPr>
        <w:t xml:space="preserve">) “De los derechos o privilegios que no pueden transferirse a otra persona” y </w:t>
      </w:r>
      <w:proofErr w:type="spellStart"/>
      <w:r w:rsidRPr="00C805BA">
        <w:rPr>
          <w:rFonts w:ascii="Verdana" w:hAnsi="Verdana" w:cs="Arial"/>
          <w:color w:val="000000" w:themeColor="text1"/>
        </w:rPr>
        <w:t>iii</w:t>
      </w:r>
      <w:proofErr w:type="spellEnd"/>
      <w:r w:rsidRPr="00C805BA">
        <w:rPr>
          <w:rFonts w:ascii="Verdana" w:hAnsi="Verdana" w:cs="Arial"/>
          <w:color w:val="000000" w:themeColor="text1"/>
        </w:rPr>
        <w:t>) “De las cosas embargadas por decreto judicial, a menos que el juez lo autorice o el acreedor consienta en ello”.</w:t>
      </w:r>
    </w:p>
    <w:p w14:paraId="6ACC7BAB" w14:textId="77777777" w:rsidR="00F01E22" w:rsidRPr="00C805BA" w:rsidRDefault="00F01E22" w:rsidP="00F01E22">
      <w:pPr>
        <w:spacing w:after="120" w:line="276" w:lineRule="auto"/>
        <w:ind w:firstLine="708"/>
        <w:jc w:val="both"/>
        <w:rPr>
          <w:rFonts w:ascii="Verdana" w:hAnsi="Verdana" w:cs="Arial"/>
          <w:color w:val="000000" w:themeColor="text1"/>
          <w:lang w:val="es-ES"/>
        </w:rPr>
      </w:pPr>
      <w:r w:rsidRPr="00C805BA">
        <w:rPr>
          <w:rFonts w:ascii="Verdana" w:hAnsi="Verdana" w:cs="Arial"/>
          <w:color w:val="000000" w:themeColor="text1"/>
        </w:rPr>
        <w:lastRenderedPageBreak/>
        <w:t>Respecto del tipo de bienes que pueden ser objeto de enajenación es importante resaltar, en primer lugar, que e</w:t>
      </w:r>
      <w:r w:rsidRPr="00C805BA">
        <w:rPr>
          <w:rFonts w:ascii="Verdana" w:hAnsi="Verdana" w:cs="Arial"/>
          <w:color w:val="000000" w:themeColor="text1"/>
          <w:lang w:val="es-ES"/>
        </w:rPr>
        <w:t xml:space="preserve">l artículo 654 del Código Civil clasifica las cosas corporales en muebles e inmuebles. El artículo 655 define los bienes muebles como los que </w:t>
      </w:r>
      <w:r w:rsidRPr="00C805BA">
        <w:rPr>
          <w:rFonts w:ascii="Verdana" w:hAnsi="Verdana" w:cs="Arial"/>
          <w:i/>
          <w:iCs/>
          <w:color w:val="000000" w:themeColor="text1"/>
          <w:lang w:val="es-ES"/>
        </w:rPr>
        <w:t>“</w:t>
      </w:r>
      <w:r w:rsidRPr="00C805BA">
        <w:rPr>
          <w:rFonts w:ascii="Verdana" w:hAnsi="Verdana" w:cs="Arial"/>
          <w:color w:val="000000" w:themeColor="text1"/>
          <w:lang w:val="es-ES"/>
        </w:rPr>
        <w:t xml:space="preserve">pueden transportarse de un lugar a otro, sea moviéndose ellas a sí mismas como los animales (que por eso se llaman semovientes), sea que sólo se muevan por una fuerza externa, como las cosas inanimadas”, mientras que el artículo 656 define los inmuebles así: “Inmuebles o fincas o bienes raíces son las cosas que no pueden transportarse de un lugar a otro; como las tierras y minas, y las que adhieren permanentemente a ellas, como los edificios, los árboles. Las casas y veredas se llaman predios o fundos”. No obstante, esta definición se refiere a los inmuebles por naturaleza, pues el Código también considera inmuebles a las cosas que en principio eran muebles, pero que por su destinación o adhesión mutan su categoría. </w:t>
      </w:r>
    </w:p>
    <w:p w14:paraId="41B12E5B" w14:textId="77777777" w:rsidR="00F01E22" w:rsidRPr="00C805BA" w:rsidRDefault="00F01E22" w:rsidP="00F01E22">
      <w:pPr>
        <w:spacing w:after="120" w:line="276" w:lineRule="auto"/>
        <w:ind w:firstLine="708"/>
        <w:jc w:val="both"/>
        <w:rPr>
          <w:rFonts w:ascii="Verdana" w:hAnsi="Verdana" w:cs="Arial"/>
          <w:i/>
          <w:iCs/>
          <w:lang w:val="es-MX"/>
        </w:rPr>
      </w:pPr>
      <w:r w:rsidRPr="00C805BA">
        <w:rPr>
          <w:rFonts w:ascii="Verdana" w:hAnsi="Verdana" w:cs="Arial"/>
          <w:lang w:val="es-ES"/>
        </w:rPr>
        <w:t>Por otro lado, e</w:t>
      </w:r>
      <w:r w:rsidRPr="00C805BA">
        <w:rPr>
          <w:rFonts w:ascii="Verdana" w:hAnsi="Verdana" w:cs="Arial"/>
          <w:lang w:val="es-MX"/>
        </w:rPr>
        <w:t xml:space="preserve">l artículo 674 del Código Civil define los bienes de dominio público como aquellos que “(…) pertenece a todos los habitantes de un Territorio, como el de calles, plazas, puentes y caminos, se llaman bienes de la Unión o de </w:t>
      </w:r>
      <w:proofErr w:type="gramStart"/>
      <w:r w:rsidRPr="00C805BA">
        <w:rPr>
          <w:rFonts w:ascii="Verdana" w:hAnsi="Verdana" w:cs="Arial"/>
          <w:lang w:val="es-MX"/>
        </w:rPr>
        <w:t>uso público o bienes públicos</w:t>
      </w:r>
      <w:proofErr w:type="gramEnd"/>
      <w:r w:rsidRPr="00C805BA">
        <w:rPr>
          <w:rFonts w:ascii="Verdana" w:hAnsi="Verdana" w:cs="Arial"/>
          <w:lang w:val="es-MX"/>
        </w:rPr>
        <w:t xml:space="preserve"> del Territorio”.</w:t>
      </w:r>
    </w:p>
    <w:p w14:paraId="454C2DCD" w14:textId="77777777" w:rsidR="00F01E22" w:rsidRPr="00C805BA" w:rsidRDefault="00F01E22" w:rsidP="00F01E22">
      <w:pPr>
        <w:spacing w:after="120" w:line="276" w:lineRule="auto"/>
        <w:ind w:firstLine="720"/>
        <w:jc w:val="both"/>
        <w:rPr>
          <w:rFonts w:ascii="Verdana" w:hAnsi="Verdana" w:cs="Arial"/>
          <w:lang w:val="es-MX"/>
        </w:rPr>
      </w:pPr>
      <w:r w:rsidRPr="00C805BA">
        <w:rPr>
          <w:rFonts w:ascii="Verdana" w:hAnsi="Verdana" w:cs="Arial"/>
          <w:lang w:val="es-MX"/>
        </w:rPr>
        <w:t>Los bienes de dominio público, de acuerdo con la sentencia C- 183 de 2003 de la Corte Constitucional, son “el conjunto de bienes que la administración afecta al uso directo de la comunidad o que lo utiliza para servir a la sociedad”. Dentro de esta categoría se encuentran los bienes fiscales y los bienes de uso público.</w:t>
      </w:r>
      <w:r w:rsidRPr="00C805BA">
        <w:rPr>
          <w:rFonts w:ascii="Verdana" w:hAnsi="Verdana" w:cs="Arial"/>
          <w:vertAlign w:val="superscript"/>
          <w:lang w:val="es-MX"/>
        </w:rPr>
        <w:footnoteReference w:id="8"/>
      </w:r>
      <w:r w:rsidRPr="00C805BA">
        <w:rPr>
          <w:rFonts w:ascii="Verdana" w:hAnsi="Verdana" w:cs="Arial"/>
          <w:lang w:val="es-MX"/>
        </w:rPr>
        <w:t xml:space="preserve"> Los bienes fiscales, de acuerdo con el Alto Tribunal Constitucional</w:t>
      </w:r>
      <w:r w:rsidRPr="00C805BA">
        <w:rPr>
          <w:rFonts w:ascii="Verdana" w:hAnsi="Verdana" w:cs="Arial"/>
          <w:vertAlign w:val="superscript"/>
          <w:lang w:val="es-MX"/>
        </w:rPr>
        <w:footnoteReference w:id="9"/>
      </w:r>
      <w:r w:rsidRPr="00C805BA">
        <w:rPr>
          <w:rFonts w:ascii="Verdana" w:hAnsi="Verdana" w:cs="Arial"/>
          <w:lang w:val="es-MX"/>
        </w:rPr>
        <w:t xml:space="preserve">, están destinados a la prestación de servicios públicos que la Administración utiliza de forma inmediata, como los edificios donde funcionan las oficinas públicas. </w:t>
      </w:r>
    </w:p>
    <w:p w14:paraId="1685FC06" w14:textId="77777777" w:rsidR="00F01E22" w:rsidRPr="00C805BA" w:rsidRDefault="00F01E22" w:rsidP="00F01E22">
      <w:pPr>
        <w:spacing w:after="120" w:line="276" w:lineRule="auto"/>
        <w:ind w:firstLine="720"/>
        <w:jc w:val="both"/>
        <w:rPr>
          <w:rFonts w:ascii="Verdana" w:hAnsi="Verdana" w:cs="Arial"/>
          <w:lang w:val="es-MX"/>
        </w:rPr>
      </w:pPr>
      <w:r w:rsidRPr="00C805BA">
        <w:rPr>
          <w:rFonts w:ascii="Verdana" w:hAnsi="Verdana" w:cs="Arial"/>
          <w:lang w:val="es-MX"/>
        </w:rPr>
        <w:t xml:space="preserve">A su vez, el Consejo de Estado, define los bienes fiscales como </w:t>
      </w:r>
      <w:r w:rsidRPr="00C805BA">
        <w:rPr>
          <w:rFonts w:ascii="Verdana" w:hAnsi="Verdana" w:cs="Arial"/>
          <w:i/>
          <w:iCs/>
          <w:lang w:val="es-MX"/>
        </w:rPr>
        <w:t>“</w:t>
      </w:r>
      <w:r w:rsidRPr="00C805BA">
        <w:rPr>
          <w:rFonts w:ascii="Verdana" w:hAnsi="Verdana" w:cs="Arial"/>
          <w:lang w:val="es-MX"/>
        </w:rPr>
        <w:t xml:space="preserve">aquellos que pertenecen  </w:t>
      </w:r>
      <w:r w:rsidRPr="00C805BA">
        <w:rPr>
          <w:rFonts w:ascii="Verdana" w:hAnsi="Verdana" w:cs="Arial"/>
          <w:color w:val="000000" w:themeColor="text1"/>
          <w:lang w:val="es-MX"/>
        </w:rPr>
        <w:t xml:space="preserve">a sujetos de derecho público de cualquier naturaleza u orden y que, por lo general, están destinados al cumplimiento de las funciones públicas o servicios públicos, tales como los terrenos, edificios, fincas, granjas, equipos, enseres, acciones, rentas y bienes del presupuesto, etc., es decir, afectos al desarrollo de su misión y utilizados para sus actividades, o pueden constituir una reserva patrimonial para fines de utilidad común. Su dominio corresponde a la </w:t>
      </w:r>
      <w:r w:rsidRPr="00C805BA">
        <w:rPr>
          <w:rFonts w:ascii="Verdana" w:hAnsi="Verdana" w:cs="Arial"/>
          <w:color w:val="000000" w:themeColor="text1"/>
          <w:lang w:val="es-MX"/>
        </w:rPr>
        <w:lastRenderedPageBreak/>
        <w:t>República, pero su uso no pertenece generalmente a los habitantes, de manera que el Estado los posee y los administra en forma similar a como lo hacen los particulares con los bienes de su</w:t>
      </w:r>
      <w:r w:rsidRPr="00C805BA">
        <w:rPr>
          <w:rFonts w:ascii="Verdana" w:hAnsi="Verdana" w:cs="Arial"/>
          <w:color w:val="000000" w:themeColor="text1"/>
          <w:spacing w:val="-27"/>
          <w:lang w:val="es-MX"/>
        </w:rPr>
        <w:t xml:space="preserve"> </w:t>
      </w:r>
      <w:r w:rsidRPr="00C805BA">
        <w:rPr>
          <w:rFonts w:ascii="Verdana" w:hAnsi="Verdana" w:cs="Arial"/>
          <w:color w:val="000000" w:themeColor="text1"/>
          <w:lang w:val="es-MX"/>
        </w:rPr>
        <w:t>propiedad”</w:t>
      </w:r>
      <w:r w:rsidRPr="00C805BA">
        <w:rPr>
          <w:rFonts w:ascii="Verdana" w:hAnsi="Verdana" w:cs="Arial"/>
          <w:vertAlign w:val="superscript"/>
          <w:lang w:val="es-MX"/>
        </w:rPr>
        <w:footnoteReference w:id="10"/>
      </w:r>
      <w:r w:rsidRPr="00C805BA">
        <w:rPr>
          <w:rFonts w:ascii="Verdana" w:hAnsi="Verdana" w:cs="Arial"/>
          <w:vertAlign w:val="superscript"/>
          <w:lang w:val="es-MX"/>
        </w:rPr>
        <w:t>.</w:t>
      </w:r>
      <w:r w:rsidRPr="00C805BA">
        <w:rPr>
          <w:rFonts w:ascii="Verdana" w:hAnsi="Verdana" w:cs="Arial"/>
          <w:color w:val="000000" w:themeColor="text1"/>
          <w:lang w:val="es-MX"/>
        </w:rPr>
        <w:t xml:space="preserve"> </w:t>
      </w:r>
      <w:r w:rsidRPr="00C805BA">
        <w:rPr>
          <w:rFonts w:ascii="Verdana" w:hAnsi="Verdana" w:cs="Arial"/>
          <w:lang w:val="es-MX"/>
        </w:rPr>
        <w:t>De esta forma, sobre los bienes fiscales, a pesar de estar destinados a la prestación de servicios públicos, las Entidades Estatales tienen la facultad de disponer de ellos a través de un acto jurídico como la compraventa, la donación, el arriendo, entre</w:t>
      </w:r>
      <w:r w:rsidRPr="00C805BA">
        <w:rPr>
          <w:rFonts w:ascii="Verdana" w:hAnsi="Verdana" w:cs="Arial"/>
          <w:spacing w:val="-3"/>
          <w:lang w:val="es-MX"/>
        </w:rPr>
        <w:t xml:space="preserve"> </w:t>
      </w:r>
      <w:r w:rsidRPr="00C805BA">
        <w:rPr>
          <w:rFonts w:ascii="Verdana" w:hAnsi="Verdana" w:cs="Arial"/>
          <w:lang w:val="es-MX"/>
        </w:rPr>
        <w:t>otros.</w:t>
      </w:r>
      <w:r w:rsidRPr="00C805BA">
        <w:rPr>
          <w:rFonts w:ascii="Verdana" w:hAnsi="Verdana" w:cs="Arial"/>
          <w:vertAlign w:val="superscript"/>
          <w:lang w:val="es-MX"/>
        </w:rPr>
        <w:t xml:space="preserve"> </w:t>
      </w:r>
    </w:p>
    <w:p w14:paraId="2D2230E5" w14:textId="77777777" w:rsidR="00F01E22" w:rsidRPr="00C805BA" w:rsidRDefault="00F01E22" w:rsidP="00F01E22">
      <w:pPr>
        <w:spacing w:after="120" w:line="276" w:lineRule="auto"/>
        <w:ind w:firstLine="720"/>
        <w:jc w:val="both"/>
        <w:rPr>
          <w:rFonts w:ascii="Verdana" w:hAnsi="Verdana" w:cs="Arial"/>
          <w:lang w:val="es-MX"/>
        </w:rPr>
      </w:pPr>
      <w:r w:rsidRPr="00C805BA">
        <w:rPr>
          <w:rFonts w:ascii="Verdana" w:hAnsi="Verdana" w:cs="Arial"/>
          <w:lang w:val="es-MX"/>
        </w:rPr>
        <w:t>Acerca de los bienes de uso público, el Consejo de Estado los define como “aquellos cuya titularidad pertenece al Estado y se hallan destinados al uso, goce y disfrute de todos los habitantes del territorio, están sometidos al régimen de derecho público y sobre ellos el Estado ejerce derechos de administración y de policía, con miras a garantizar y proteger su uso y goce común, por motivos de interés general”</w:t>
      </w:r>
      <w:r w:rsidRPr="00C805BA">
        <w:rPr>
          <w:rFonts w:ascii="Verdana" w:hAnsi="Verdana" w:cs="Arial"/>
          <w:i/>
          <w:iCs/>
          <w:vertAlign w:val="superscript"/>
          <w:lang w:val="es-MX"/>
        </w:rPr>
        <w:footnoteReference w:id="11"/>
      </w:r>
      <w:r w:rsidRPr="00C805BA">
        <w:rPr>
          <w:rFonts w:ascii="Verdana" w:hAnsi="Verdana" w:cs="Arial"/>
          <w:i/>
          <w:iCs/>
          <w:lang w:val="es-MX"/>
        </w:rPr>
        <w:t>.</w:t>
      </w:r>
      <w:r w:rsidRPr="00C805BA">
        <w:rPr>
          <w:rFonts w:ascii="Verdana" w:hAnsi="Verdana" w:cs="Arial"/>
          <w:lang w:val="es-MX"/>
        </w:rPr>
        <w:t xml:space="preserve"> Por lo tanto, como estos bienes están destinados al uso de los habitantes de un territorio, el Estado no puede disponer de ellos por encontrarse fuera del comercio</w:t>
      </w:r>
      <w:r w:rsidRPr="00C805BA">
        <w:rPr>
          <w:rFonts w:ascii="Verdana" w:hAnsi="Verdana" w:cs="Arial"/>
          <w:vertAlign w:val="superscript"/>
          <w:lang w:val="es-MX"/>
        </w:rPr>
        <w:footnoteReference w:id="12"/>
      </w:r>
      <w:r w:rsidRPr="00C805BA">
        <w:rPr>
          <w:rFonts w:ascii="Verdana" w:hAnsi="Verdana" w:cs="Arial"/>
          <w:lang w:val="es-MX"/>
        </w:rPr>
        <w:t>.</w:t>
      </w:r>
      <w:r w:rsidRPr="00C805BA">
        <w:rPr>
          <w:rFonts w:ascii="Verdana" w:hAnsi="Verdana" w:cs="Arial"/>
          <w:vertAlign w:val="superscript"/>
          <w:lang w:val="es-MX"/>
        </w:rPr>
        <w:t xml:space="preserve"> </w:t>
      </w:r>
      <w:r w:rsidRPr="00C805BA">
        <w:rPr>
          <w:rFonts w:ascii="Verdana" w:hAnsi="Verdana" w:cs="Arial"/>
          <w:lang w:val="es-MX"/>
        </w:rPr>
        <w:t>Así, los bienes sobre los cuales puede recaer el acto de enajenación son los bienes fiscales muebles o inmuebles y no los bienes de uso público.</w:t>
      </w:r>
    </w:p>
    <w:p w14:paraId="13BA9C4F" w14:textId="77777777" w:rsidR="00F01E22" w:rsidRPr="00C805BA" w:rsidRDefault="00F01E22" w:rsidP="00F01E22">
      <w:pPr>
        <w:spacing w:after="120" w:line="276" w:lineRule="auto"/>
        <w:ind w:firstLine="720"/>
        <w:jc w:val="both"/>
        <w:rPr>
          <w:rFonts w:ascii="Verdana" w:eastAsia="Arial" w:hAnsi="Verdana" w:cs="Arial"/>
        </w:rPr>
      </w:pPr>
      <w:r w:rsidRPr="00C805BA">
        <w:rPr>
          <w:rFonts w:ascii="Verdana" w:hAnsi="Verdana" w:cs="Arial"/>
          <w:lang w:val="es-MX"/>
        </w:rPr>
        <w:t xml:space="preserve">Ahora bien, </w:t>
      </w:r>
      <w:bookmarkStart w:id="2" w:name="_Hlk186536766"/>
      <w:r w:rsidRPr="00C805BA">
        <w:rPr>
          <w:rFonts w:ascii="Verdana" w:hAnsi="Verdana" w:cs="Arial"/>
          <w:lang w:val="es-MX"/>
        </w:rPr>
        <w:t xml:space="preserve">en relación con la modalidad de selección </w:t>
      </w:r>
      <w:r w:rsidRPr="00C805BA">
        <w:rPr>
          <w:rFonts w:ascii="Verdana" w:eastAsia="Arial" w:hAnsi="Verdana" w:cs="Arial"/>
          <w:lang w:val="es-ES"/>
        </w:rPr>
        <w:t xml:space="preserve">el literal e) del numeral 2 del artículo 2 de la Ley 1150 de 2007 dispone que la enajenación de bienes del Estado, con excepción de aquellos a que se refiere la Ley 226 de 1995, se realiza a través de la modalidad de selección abreviada, para lo cual </w:t>
      </w:r>
      <w:r w:rsidRPr="00C805BA">
        <w:rPr>
          <w:rFonts w:ascii="Verdana" w:eastAsia="Arial" w:hAnsi="Verdana" w:cs="Arial"/>
        </w:rPr>
        <w:t>se podrán utilizar instrumentos de subasta y en general de todos aquellos mecanismos autorizados por el derecho privado, siempre y cuando en desarrollo del proceso de enajenación se garantice la transparencia, la eficiencia y la selección objetiva</w:t>
      </w:r>
      <w:r w:rsidRPr="00C805BA">
        <w:rPr>
          <w:rFonts w:ascii="Verdana" w:eastAsia="Arial" w:hAnsi="Verdana" w:cs="Arial"/>
          <w:vertAlign w:val="superscript"/>
        </w:rPr>
        <w:footnoteReference w:id="13"/>
      </w:r>
      <w:r w:rsidRPr="00C805BA">
        <w:rPr>
          <w:rFonts w:ascii="Verdana" w:eastAsia="Arial" w:hAnsi="Verdana" w:cs="Arial"/>
        </w:rPr>
        <w:t xml:space="preserve">. </w:t>
      </w:r>
      <w:r w:rsidRPr="00C805BA">
        <w:rPr>
          <w:rFonts w:ascii="Verdana" w:eastAsia="Arial" w:hAnsi="Verdana" w:cs="Arial"/>
          <w:lang w:val="es-ES"/>
        </w:rPr>
        <w:t xml:space="preserve">Adicionalmente, establece que </w:t>
      </w:r>
      <w:r w:rsidRPr="00C805BA">
        <w:rPr>
          <w:rFonts w:ascii="Verdana" w:eastAsia="Arial" w:hAnsi="Verdana" w:cs="Arial"/>
        </w:rPr>
        <w:t xml:space="preserve">para la venta de los bienes se debe </w:t>
      </w:r>
      <w:r w:rsidRPr="00C805BA">
        <w:rPr>
          <w:rFonts w:ascii="Verdana" w:eastAsia="Arial" w:hAnsi="Verdana" w:cs="Arial"/>
        </w:rPr>
        <w:lastRenderedPageBreak/>
        <w:t xml:space="preserve">tener como base el valor del avalúo comercial y ajustar dicho avalúo </w:t>
      </w:r>
      <w:proofErr w:type="gramStart"/>
      <w:r w:rsidRPr="00C805BA">
        <w:rPr>
          <w:rFonts w:ascii="Verdana" w:eastAsia="Arial" w:hAnsi="Verdana" w:cs="Arial"/>
        </w:rPr>
        <w:t>de acuerdo a</w:t>
      </w:r>
      <w:proofErr w:type="gramEnd"/>
      <w:r w:rsidRPr="00C805BA">
        <w:rPr>
          <w:rFonts w:ascii="Verdana" w:eastAsia="Arial" w:hAnsi="Verdana" w:cs="Arial"/>
        </w:rPr>
        <w:t xml:space="preserve"> los gastos asociados al tiempo de comercialización esperada, administración, impuestos y mantenimiento, para determinar el precio mínimo al que se debe enajenar el bien, de conformidad con la reglamentación que para el efecto expida el Gobierno Nacional</w:t>
      </w:r>
      <w:bookmarkEnd w:id="2"/>
      <w:r w:rsidRPr="00C805BA">
        <w:rPr>
          <w:rFonts w:ascii="Verdana" w:eastAsia="Arial" w:hAnsi="Verdana" w:cs="Arial"/>
        </w:rPr>
        <w:t>.</w:t>
      </w:r>
    </w:p>
    <w:p w14:paraId="790B3160" w14:textId="77777777" w:rsidR="00F01E22" w:rsidRPr="00C805BA" w:rsidRDefault="00F01E22" w:rsidP="00F01E22">
      <w:pPr>
        <w:spacing w:after="120" w:line="276" w:lineRule="auto"/>
        <w:ind w:firstLine="720"/>
        <w:jc w:val="both"/>
        <w:rPr>
          <w:rFonts w:ascii="Verdana" w:eastAsia="Arial" w:hAnsi="Verdana" w:cs="Arial"/>
        </w:rPr>
      </w:pPr>
      <w:r w:rsidRPr="00C805BA">
        <w:rPr>
          <w:rFonts w:ascii="Verdana" w:eastAsia="Arial" w:hAnsi="Verdana" w:cs="Arial"/>
          <w:lang w:val="es-ES"/>
        </w:rPr>
        <w:t>En virtud de lo anterior,</w:t>
      </w:r>
      <w:bookmarkStart w:id="3" w:name="_Hlk186265498"/>
      <w:r w:rsidRPr="00C805BA">
        <w:rPr>
          <w:rFonts w:ascii="Verdana" w:eastAsia="Arial" w:hAnsi="Verdana" w:cs="Arial"/>
          <w:lang w:val="es-ES"/>
        </w:rPr>
        <w:t xml:space="preserve"> la subsección 1 de la sección 2 </w:t>
      </w:r>
      <w:bookmarkStart w:id="4" w:name="_Hlk186316048"/>
      <w:r w:rsidRPr="00C805BA">
        <w:rPr>
          <w:rFonts w:ascii="Verdana" w:eastAsia="Arial" w:hAnsi="Verdana" w:cs="Arial"/>
          <w:lang w:val="es-ES"/>
        </w:rPr>
        <w:t>del capítulo II del Decreto 1082 de 2015</w:t>
      </w:r>
      <w:bookmarkEnd w:id="4"/>
      <w:r w:rsidRPr="00C805BA">
        <w:rPr>
          <w:rFonts w:ascii="Verdana" w:eastAsia="Arial" w:hAnsi="Verdana" w:cs="Arial"/>
          <w:lang w:val="es-ES"/>
        </w:rPr>
        <w:t xml:space="preserve"> </w:t>
      </w:r>
      <w:bookmarkEnd w:id="3"/>
      <w:r w:rsidRPr="00C805BA">
        <w:rPr>
          <w:rFonts w:ascii="Verdana" w:eastAsia="Arial" w:hAnsi="Verdana" w:cs="Arial"/>
          <w:lang w:val="es-ES"/>
        </w:rPr>
        <w:t>dispuso en los artículos 2.2.1.2.2.1.1. y siguientes, las reglas generales que deben aplicar las Entidades Estatales para la enajenación de los bienes el Estado señalando que “</w:t>
      </w:r>
      <w:r w:rsidRPr="00C805BA">
        <w:rPr>
          <w:rFonts w:ascii="Verdana" w:eastAsia="Arial" w:hAnsi="Verdana" w:cs="Arial"/>
        </w:rPr>
        <w:t>La selección abreviada es la modalidad para la enajenación de bienes del Estado, la cual se rige por las disposiciones contenidas en el presente capítulo, salvo por las normas aplicables a la enajenación de los bienes a cargo del Fondo para la Reha</w:t>
      </w:r>
      <w:r w:rsidRPr="00C805BA">
        <w:rPr>
          <w:rFonts w:ascii="Verdana" w:eastAsia="Arial" w:hAnsi="Verdana" w:cs="Arial"/>
          <w:color w:val="000000" w:themeColor="text1"/>
        </w:rPr>
        <w:t>bilitación, Inversión Social y Lucha contra el Crimen Organizado y la enajenación de que tratan la Ley </w:t>
      </w:r>
      <w:hyperlink r:id="rId13" w:anchor="0" w:tooltip="vinculo" w:history="1">
        <w:r w:rsidRPr="00C805BA">
          <w:rPr>
            <w:rFonts w:ascii="Verdana" w:eastAsia="Arial" w:hAnsi="Verdana" w:cs="Arial"/>
            <w:color w:val="000000" w:themeColor="text1"/>
          </w:rPr>
          <w:t>226</w:t>
        </w:r>
      </w:hyperlink>
      <w:r w:rsidRPr="00C805BA">
        <w:rPr>
          <w:rFonts w:ascii="Verdana" w:eastAsia="Arial" w:hAnsi="Verdana" w:cs="Arial"/>
          <w:color w:val="000000" w:themeColor="text1"/>
        </w:rPr>
        <w:t> de 1995, el Decreto-Ley </w:t>
      </w:r>
      <w:hyperlink r:id="rId14" w:anchor="0" w:tooltip="vinculo" w:history="1">
        <w:r w:rsidRPr="00C805BA">
          <w:rPr>
            <w:rFonts w:ascii="Verdana" w:eastAsia="Arial" w:hAnsi="Verdana" w:cs="Arial"/>
            <w:color w:val="000000" w:themeColor="text1"/>
          </w:rPr>
          <w:t>254</w:t>
        </w:r>
      </w:hyperlink>
      <w:r w:rsidRPr="00C805BA">
        <w:rPr>
          <w:rFonts w:ascii="Verdana" w:eastAsia="Arial" w:hAnsi="Verdana" w:cs="Arial"/>
          <w:color w:val="000000" w:themeColor="text1"/>
        </w:rPr>
        <w:t> de 2000 y la Ley </w:t>
      </w:r>
      <w:hyperlink r:id="rId15" w:anchor="0" w:tooltip="vinculo" w:history="1">
        <w:r w:rsidRPr="00C805BA">
          <w:rPr>
            <w:rFonts w:ascii="Verdana" w:eastAsia="Arial" w:hAnsi="Verdana" w:cs="Arial"/>
            <w:color w:val="000000" w:themeColor="text1"/>
          </w:rPr>
          <w:t>1105</w:t>
        </w:r>
      </w:hyperlink>
      <w:r w:rsidRPr="00C805BA">
        <w:rPr>
          <w:rFonts w:ascii="Verdana" w:eastAsia="Arial" w:hAnsi="Verdana" w:cs="Arial"/>
          <w:color w:val="000000" w:themeColor="text1"/>
        </w:rPr>
        <w:t xml:space="preserve"> de 2006”. </w:t>
      </w:r>
    </w:p>
    <w:p w14:paraId="3D72364C" w14:textId="77777777" w:rsidR="00F01E22" w:rsidRPr="00C805BA" w:rsidRDefault="00F01E22" w:rsidP="00F01E22">
      <w:pPr>
        <w:spacing w:after="120" w:line="276" w:lineRule="auto"/>
        <w:ind w:firstLine="720"/>
        <w:jc w:val="both"/>
        <w:rPr>
          <w:rFonts w:ascii="Verdana" w:eastAsia="Arial" w:hAnsi="Verdana" w:cs="Arial"/>
          <w:color w:val="000000" w:themeColor="text1"/>
        </w:rPr>
      </w:pPr>
      <w:r w:rsidRPr="00C805BA">
        <w:rPr>
          <w:rFonts w:ascii="Verdana" w:eastAsia="Arial" w:hAnsi="Verdana" w:cs="Arial"/>
        </w:rPr>
        <w:lastRenderedPageBreak/>
        <w:t xml:space="preserve">Al respecto, el artículo </w:t>
      </w:r>
      <w:bookmarkStart w:id="5" w:name="_Hlk186315464"/>
      <w:r w:rsidRPr="00C805BA">
        <w:rPr>
          <w:rFonts w:ascii="Verdana" w:eastAsia="Arial" w:hAnsi="Verdana" w:cs="Arial"/>
        </w:rPr>
        <w:t>2.2.1.2.2.1.3</w:t>
      </w:r>
      <w:r w:rsidRPr="00C805BA">
        <w:rPr>
          <w:rFonts w:ascii="Verdana" w:eastAsia="Arial" w:hAnsi="Verdana" w:cs="Arial"/>
          <w:lang w:val="es-ES"/>
        </w:rPr>
        <w:t xml:space="preserve"> del Decreto 1082 de 2015 </w:t>
      </w:r>
      <w:bookmarkEnd w:id="5"/>
      <w:r w:rsidRPr="00C805BA">
        <w:rPr>
          <w:rFonts w:ascii="Verdana" w:eastAsia="Arial" w:hAnsi="Verdana" w:cs="Arial"/>
          <w:lang w:val="es-ES"/>
        </w:rPr>
        <w:t xml:space="preserve">estableció una regla particular según la cual </w:t>
      </w:r>
      <w:r w:rsidRPr="00C805BA">
        <w:rPr>
          <w:rFonts w:ascii="Verdana" w:eastAsia="Arial" w:hAnsi="Verdana" w:cs="Arial"/>
        </w:rPr>
        <w:t xml:space="preserve">la enajenación de bienes de las </w:t>
      </w:r>
      <w:r w:rsidRPr="00C805BA">
        <w:rPr>
          <w:rFonts w:ascii="Verdana" w:eastAsia="Arial" w:hAnsi="Verdana" w:cs="Arial"/>
          <w:color w:val="000000" w:themeColor="text1"/>
        </w:rPr>
        <w:t>entidades estatales del orden nacional a la Central de Inversiones CISA S. A., de que trata el artículo </w:t>
      </w:r>
      <w:hyperlink r:id="rId16" w:anchor="238" w:tooltip="vinculo" w:history="1">
        <w:r w:rsidRPr="00C805BA">
          <w:rPr>
            <w:rFonts w:ascii="Verdana" w:eastAsia="Arial" w:hAnsi="Verdana" w:cs="Arial"/>
            <w:color w:val="000000" w:themeColor="text1"/>
          </w:rPr>
          <w:t>238</w:t>
        </w:r>
      </w:hyperlink>
      <w:r w:rsidRPr="00C805BA">
        <w:rPr>
          <w:rFonts w:ascii="Verdana" w:eastAsia="Arial" w:hAnsi="Verdana" w:cs="Arial"/>
          <w:color w:val="000000" w:themeColor="text1"/>
        </w:rPr>
        <w:t> de la Ley 1450 de 2011 y el Decreto </w:t>
      </w:r>
      <w:hyperlink r:id="rId17" w:anchor="0" w:tooltip="vinculo" w:history="1">
        <w:r w:rsidRPr="00C805BA">
          <w:rPr>
            <w:rFonts w:ascii="Verdana" w:eastAsia="Arial" w:hAnsi="Verdana" w:cs="Arial"/>
            <w:color w:val="000000" w:themeColor="text1"/>
          </w:rPr>
          <w:t>047</w:t>
        </w:r>
      </w:hyperlink>
      <w:r w:rsidRPr="00C805BA">
        <w:rPr>
          <w:rFonts w:ascii="Verdana" w:eastAsia="Arial" w:hAnsi="Verdana" w:cs="Arial"/>
          <w:color w:val="000000" w:themeColor="text1"/>
        </w:rPr>
        <w:t> de 2014 y las normas que los modifiquen, adicionen o sustituyan, debe hacerse de conformidad con las reglas establecidas en tales normas.</w:t>
      </w:r>
      <w:r w:rsidRPr="00C805BA">
        <w:rPr>
          <w:rFonts w:ascii="Verdana" w:eastAsia="Arial" w:hAnsi="Verdana" w:cs="Arial"/>
          <w:color w:val="000000" w:themeColor="text1"/>
          <w:lang w:val="es-ES"/>
        </w:rPr>
        <w:t xml:space="preserve"> </w:t>
      </w:r>
      <w:bookmarkStart w:id="6" w:name="2.2.1.2.2.1.4"/>
      <w:bookmarkEnd w:id="6"/>
      <w:r w:rsidRPr="00C805BA">
        <w:rPr>
          <w:rFonts w:ascii="Verdana" w:eastAsia="Arial" w:hAnsi="Verdana" w:cs="Arial"/>
          <w:color w:val="000000" w:themeColor="text1"/>
          <w:lang w:val="es-ES"/>
        </w:rPr>
        <w:t xml:space="preserve">A su vez, </w:t>
      </w:r>
      <w:r w:rsidRPr="00C805BA">
        <w:rPr>
          <w:rFonts w:ascii="Verdana" w:eastAsia="Arial" w:hAnsi="Verdana" w:cs="Arial"/>
          <w:color w:val="000000" w:themeColor="text1"/>
        </w:rPr>
        <w:t xml:space="preserve">el artículo 2.2.1.2.2.1.4 </w:t>
      </w:r>
      <w:r w:rsidRPr="00C805BA">
        <w:rPr>
          <w:rFonts w:ascii="Verdana" w:eastAsia="Arial" w:hAnsi="Verdana" w:cs="Arial"/>
          <w:i/>
          <w:iCs/>
          <w:color w:val="000000" w:themeColor="text1"/>
        </w:rPr>
        <w:t>ibidem</w:t>
      </w:r>
      <w:r w:rsidRPr="00C805BA">
        <w:rPr>
          <w:rFonts w:ascii="Verdana" w:eastAsia="Arial" w:hAnsi="Verdana" w:cs="Arial"/>
          <w:color w:val="000000" w:themeColor="text1"/>
        </w:rPr>
        <w:t xml:space="preserve"> determinó que cuando</w:t>
      </w:r>
      <w:r w:rsidRPr="00C805BA">
        <w:rPr>
          <w:rFonts w:ascii="Work Sans" w:hAnsi="Work Sans"/>
          <w:color w:val="333333"/>
          <w:shd w:val="clear" w:color="auto" w:fill="FFFFFF"/>
        </w:rPr>
        <w:t xml:space="preserve"> </w:t>
      </w:r>
      <w:r w:rsidRPr="00C805BA">
        <w:rPr>
          <w:rFonts w:ascii="Verdana" w:eastAsia="Arial" w:hAnsi="Verdana" w:cs="Arial"/>
          <w:color w:val="000000" w:themeColor="text1"/>
        </w:rPr>
        <w:t>las Entidades Estatales no están obligadas a cumplir con la transferencia a CISA S.A. pueden realizar directamente la enajenación, o contratar para ello promotores, bancas de inversión, martillos, comisionistas de bolsas de bienes y productos, o cualquier otro intermediario idóneo, según corresponda al tipo de bien a enajenar.</w:t>
      </w:r>
      <w:r w:rsidRPr="00C805BA">
        <w:rPr>
          <w:rFonts w:ascii="Work Sans" w:hAnsi="Work Sans"/>
          <w:b/>
          <w:bCs/>
          <w:color w:val="333333"/>
          <w:sz w:val="25"/>
          <w:szCs w:val="25"/>
          <w:shd w:val="clear" w:color="auto" w:fill="FFFFFF"/>
          <w:lang w:val="es-MX"/>
        </w:rPr>
        <w:t xml:space="preserve"> </w:t>
      </w:r>
    </w:p>
    <w:p w14:paraId="6199D65A" w14:textId="77777777" w:rsidR="00F01E22" w:rsidRPr="00C805BA" w:rsidRDefault="00F01E22" w:rsidP="00F01E22">
      <w:pPr>
        <w:spacing w:after="120" w:line="276" w:lineRule="auto"/>
        <w:ind w:firstLine="720"/>
        <w:jc w:val="both"/>
        <w:rPr>
          <w:rFonts w:ascii="Verdana" w:eastAsia="Arial" w:hAnsi="Verdana" w:cs="Arial"/>
          <w:lang w:val="es-ES"/>
        </w:rPr>
      </w:pPr>
      <w:r w:rsidRPr="00C805BA">
        <w:rPr>
          <w:rFonts w:ascii="Verdana" w:eastAsia="Arial" w:hAnsi="Verdana" w:cs="Arial"/>
          <w:color w:val="000000" w:themeColor="text1"/>
        </w:rPr>
        <w:t xml:space="preserve">En este sentido, para la enajenación de los bienes del Estado las entidades del orden nacional deben realizar una revisión para determinar si les resulta aplicable el supuesto de transferencia de bienes a CISA S.A. y en caso de que no se cumpla dicho supuesto, podrán proceder con la enajenación de los bienes, ya sea de manera directa o mediante intermediario, el cual deberán escoger mediante selección abreviada conforme con lo dispone el artículo </w:t>
      </w:r>
      <w:bookmarkStart w:id="7" w:name="2.2.1.2.2.1.5"/>
      <w:bookmarkEnd w:id="7"/>
      <w:r w:rsidRPr="00C805BA">
        <w:rPr>
          <w:rFonts w:ascii="Verdana" w:hAnsi="Verdana"/>
          <w:color w:val="333333"/>
          <w:shd w:val="clear" w:color="auto" w:fill="FFFFFF"/>
          <w:lang w:val="es-MX"/>
        </w:rPr>
        <w:t xml:space="preserve">2.2.1.2.2.1.5. Vale aclarar que debido a que el </w:t>
      </w:r>
      <w:r w:rsidRPr="00C805BA">
        <w:rPr>
          <w:rFonts w:ascii="Verdana" w:eastAsia="Arial" w:hAnsi="Verdana" w:cs="Arial"/>
        </w:rPr>
        <w:t>2.2.1.2.2.1.3</w:t>
      </w:r>
      <w:r w:rsidRPr="00C805BA">
        <w:rPr>
          <w:rFonts w:ascii="Verdana" w:eastAsia="Arial" w:hAnsi="Verdana" w:cs="Arial"/>
          <w:lang w:val="es-ES"/>
        </w:rPr>
        <w:t xml:space="preserve"> del Decreto 1082 de 2015 se refiere a las entidades del orden nacional, dicho supuesto no sería aplicable tratándose de entidades territoriales. </w:t>
      </w:r>
    </w:p>
    <w:p w14:paraId="65C1253E" w14:textId="77777777" w:rsidR="00F01E22" w:rsidRPr="00C805BA" w:rsidRDefault="00F01E22" w:rsidP="00F01E22">
      <w:pPr>
        <w:spacing w:after="120" w:line="276" w:lineRule="auto"/>
        <w:ind w:firstLine="720"/>
        <w:jc w:val="both"/>
        <w:rPr>
          <w:rFonts w:ascii="Verdana" w:hAnsi="Verdana"/>
          <w:color w:val="333333"/>
          <w:shd w:val="clear" w:color="auto" w:fill="FFFFFF"/>
          <w:lang w:val="es-MX"/>
        </w:rPr>
      </w:pPr>
      <w:r w:rsidRPr="00C805BA">
        <w:rPr>
          <w:rFonts w:ascii="Verdana" w:eastAsia="Arial" w:hAnsi="Verdana" w:cs="Arial"/>
          <w:lang w:val="es-ES"/>
        </w:rPr>
        <w:t xml:space="preserve">Por su parte, </w:t>
      </w:r>
      <w:bookmarkStart w:id="8" w:name="_Hlk186536804"/>
      <w:r w:rsidRPr="00C805BA">
        <w:rPr>
          <w:rFonts w:ascii="Verdana" w:eastAsia="Arial" w:hAnsi="Verdana" w:cs="Arial"/>
          <w:lang w:val="es-ES"/>
        </w:rPr>
        <w:t xml:space="preserve">la subsección 2 </w:t>
      </w:r>
      <w:bookmarkStart w:id="9" w:name="_Hlk186385112"/>
      <w:r w:rsidRPr="00C805BA">
        <w:rPr>
          <w:rFonts w:ascii="Verdana" w:eastAsia="Arial" w:hAnsi="Verdana" w:cs="Arial"/>
          <w:lang w:val="es-ES"/>
        </w:rPr>
        <w:t>de la sección 2 del capítulo II del Decreto 1082 de 2015</w:t>
      </w:r>
      <w:bookmarkEnd w:id="9"/>
      <w:r w:rsidRPr="00C805BA">
        <w:rPr>
          <w:rFonts w:ascii="Verdana" w:eastAsia="Arial" w:hAnsi="Verdana" w:cs="Arial"/>
          <w:lang w:val="es-ES"/>
        </w:rPr>
        <w:t xml:space="preserve"> establece 3 mecanismos de enajenación de los bienes del Estado: i) la enajenación directa por sobre cerrado, que se llevará a cabo mediante el procedimiento allí contemplado, </w:t>
      </w:r>
      <w:proofErr w:type="spellStart"/>
      <w:r w:rsidRPr="00C805BA">
        <w:rPr>
          <w:rFonts w:ascii="Verdana" w:eastAsia="Arial" w:hAnsi="Verdana" w:cs="Arial"/>
          <w:lang w:val="es-ES"/>
        </w:rPr>
        <w:t>ii</w:t>
      </w:r>
      <w:proofErr w:type="spellEnd"/>
      <w:r w:rsidRPr="00C805BA">
        <w:rPr>
          <w:rFonts w:ascii="Verdana" w:eastAsia="Arial" w:hAnsi="Verdana" w:cs="Arial"/>
          <w:lang w:val="es-ES"/>
        </w:rPr>
        <w:t xml:space="preserve">) la enajenación directa a través de subasta pública, para lo cual la entidad deberá </w:t>
      </w:r>
      <w:r w:rsidRPr="00C805BA">
        <w:rPr>
          <w:rFonts w:ascii="Verdana" w:eastAsia="Arial" w:hAnsi="Verdana" w:cs="Arial"/>
        </w:rPr>
        <w:t xml:space="preserve">seguir el procedimiento establecido en el artículo 2.2.1.2.1.2.2 del Decreto 1082 de 2015 sobre subasta inversa, pero teniendo en cuenta que el bien debe ser adjudicado al oferente que haya ofrecido el mayor valor a pagar por los bienes objeto de enajenación y en consecuencia, el margen mínimo debe ser al alza, y </w:t>
      </w:r>
      <w:proofErr w:type="spellStart"/>
      <w:r w:rsidRPr="00C805BA">
        <w:rPr>
          <w:rFonts w:ascii="Verdana" w:eastAsia="Arial" w:hAnsi="Verdana" w:cs="Arial"/>
        </w:rPr>
        <w:t>iii</w:t>
      </w:r>
      <w:proofErr w:type="spellEnd"/>
      <w:r w:rsidRPr="00C805BA">
        <w:rPr>
          <w:rFonts w:ascii="Verdana" w:eastAsia="Arial" w:hAnsi="Verdana" w:cs="Arial"/>
        </w:rPr>
        <w:t xml:space="preserve">) la enajenación a través de intermediarios idóneos, en cuyo caso </w:t>
      </w:r>
      <w:r w:rsidRPr="00C805BA">
        <w:rPr>
          <w:rFonts w:ascii="Verdana" w:hAnsi="Verdana"/>
          <w:color w:val="333333"/>
          <w:shd w:val="clear" w:color="auto" w:fill="FFFFFF"/>
          <w:lang w:val="es-MX"/>
        </w:rPr>
        <w:t>la venta debe realizarse a través de subasta pública, o mediante el mecanismo de derecho privado que se convenga con el intermediario.</w:t>
      </w:r>
    </w:p>
    <w:p w14:paraId="3DBEA09A" w14:textId="77777777" w:rsidR="00F01E22" w:rsidRPr="00C805BA" w:rsidRDefault="00F01E22" w:rsidP="00F01E22">
      <w:pPr>
        <w:spacing w:after="120" w:line="276" w:lineRule="auto"/>
        <w:ind w:firstLine="720"/>
        <w:jc w:val="both"/>
        <w:rPr>
          <w:rFonts w:ascii="Verdana" w:hAnsi="Verdana"/>
          <w:color w:val="333333"/>
          <w:shd w:val="clear" w:color="auto" w:fill="FFFFFF"/>
        </w:rPr>
      </w:pPr>
      <w:r w:rsidRPr="00C805BA">
        <w:rPr>
          <w:rFonts w:ascii="Verdana" w:hAnsi="Verdana"/>
          <w:color w:val="333333"/>
          <w:shd w:val="clear" w:color="auto" w:fill="FFFFFF"/>
          <w:lang w:val="es-MX"/>
        </w:rPr>
        <w:t xml:space="preserve"> En relación con la enajenación a través de intermediarios idóneos, vale la pena reiterar que </w:t>
      </w:r>
      <w:r w:rsidRPr="00C805BA">
        <w:rPr>
          <w:rFonts w:ascii="Verdana" w:hAnsi="Verdana"/>
          <w:color w:val="333333"/>
          <w:shd w:val="clear" w:color="auto" w:fill="FFFFFF"/>
        </w:rPr>
        <w:t xml:space="preserve">de acuerdo con el artículo 2.2.1.2.2.1.4. del Decreto 1082 de 2015, por intermediario idóneo se entiende a “(…) promotores, bancas de </w:t>
      </w:r>
      <w:r w:rsidRPr="00C805BA">
        <w:rPr>
          <w:rFonts w:ascii="Verdana" w:hAnsi="Verdana"/>
          <w:color w:val="333333"/>
          <w:shd w:val="clear" w:color="auto" w:fill="FFFFFF"/>
        </w:rPr>
        <w:lastRenderedPageBreak/>
        <w:t xml:space="preserve">inversión, martillos, comisionistas de bolsas de bienes y productos, </w:t>
      </w:r>
      <w:r w:rsidRPr="00C805BA">
        <w:rPr>
          <w:rFonts w:ascii="Verdana" w:hAnsi="Verdana"/>
          <w:i/>
          <w:iCs/>
          <w:color w:val="333333"/>
          <w:shd w:val="clear" w:color="auto" w:fill="FFFFFF"/>
        </w:rPr>
        <w:t>o cualquier otro intermediario idóneo</w:t>
      </w:r>
      <w:r w:rsidRPr="00C805BA">
        <w:rPr>
          <w:rFonts w:ascii="Verdana" w:hAnsi="Verdana"/>
          <w:color w:val="333333"/>
          <w:shd w:val="clear" w:color="auto" w:fill="FFFFFF"/>
        </w:rPr>
        <w:t xml:space="preserve">, según corresponda al tipo de bien a enajenar”. De esta forma si bien la norma relaciona a algunos intermediarios, también se refiere a cualquier otro idóneo, lo que evidencia que la lista señalada es de carácter enunciativo.  </w:t>
      </w:r>
    </w:p>
    <w:p w14:paraId="55240F0F" w14:textId="77777777" w:rsidR="00F01E22" w:rsidRPr="00C805BA" w:rsidRDefault="00F01E22" w:rsidP="00F01E22">
      <w:pPr>
        <w:spacing w:after="120" w:line="276" w:lineRule="auto"/>
        <w:ind w:firstLine="720"/>
        <w:jc w:val="both"/>
        <w:rPr>
          <w:rFonts w:ascii="Verdana" w:hAnsi="Verdana"/>
          <w:color w:val="333333"/>
          <w:shd w:val="clear" w:color="auto" w:fill="FFFFFF"/>
          <w:lang w:val="es-MX"/>
        </w:rPr>
      </w:pPr>
      <w:r w:rsidRPr="00C805BA">
        <w:rPr>
          <w:rFonts w:ascii="Verdana" w:hAnsi="Verdana"/>
          <w:color w:val="333333"/>
          <w:shd w:val="clear" w:color="auto" w:fill="FFFFFF"/>
        </w:rPr>
        <w:t>Sobre la forma de selección al intermediario, el artículo 2.1.2.2.1.5. dispone que “La Entidad Estatal debe adelantar esta selección a través de un Proceso de Contratación en el cual utilice las reglas de la selección abreviada de menor cuantía. Si el intermediario idóneo es un comisionista de bolsa de productos, la Entidad Estatal debe utilizar el procedimiento al que se refiere el artículo 2.2.1.2.1.2.14 del presente decreto (…)”. De acuerdo con lo expuesto, la entidad como parte de sus estudios previos debe determinar cuál es el intermediario idóneo que requiere según el bien a enajenar, y con ello el procedimiento para seleccionarlo que puede ser: a) selección abreviada de menor cuantía para cualquier tipo de intermediario o b) la selección del comisionista “(</w:t>
      </w:r>
      <w:proofErr w:type="gramStart"/>
      <w:r w:rsidRPr="00C805BA">
        <w:rPr>
          <w:rFonts w:ascii="Verdana" w:hAnsi="Verdana"/>
          <w:color w:val="333333"/>
          <w:shd w:val="clear" w:color="auto" w:fill="FFFFFF"/>
        </w:rPr>
        <w:t>…)de</w:t>
      </w:r>
      <w:proofErr w:type="gramEnd"/>
      <w:r w:rsidRPr="00C805BA">
        <w:rPr>
          <w:rFonts w:ascii="Verdana" w:hAnsi="Verdana"/>
          <w:color w:val="333333"/>
          <w:shd w:val="clear" w:color="auto" w:fill="FFFFFF"/>
        </w:rPr>
        <w:t xml:space="preserve"> acuerdo con el procedimiento interno aplicable en la bolsa de productos, el cual debe ser competitivo (…)”. </w:t>
      </w:r>
    </w:p>
    <w:bookmarkEnd w:id="8"/>
    <w:p w14:paraId="6362877E" w14:textId="77777777" w:rsidR="00F01E22" w:rsidRPr="00C805BA" w:rsidRDefault="00F01E22" w:rsidP="00F01E22">
      <w:pPr>
        <w:spacing w:after="120" w:line="276" w:lineRule="auto"/>
        <w:ind w:firstLine="720"/>
        <w:jc w:val="both"/>
        <w:rPr>
          <w:rFonts w:ascii="Verdana" w:hAnsi="Verdana"/>
          <w:color w:val="333333"/>
          <w:shd w:val="clear" w:color="auto" w:fill="FFFFFF"/>
        </w:rPr>
      </w:pPr>
      <w:r w:rsidRPr="00C805BA">
        <w:rPr>
          <w:rFonts w:ascii="Verdana" w:hAnsi="Verdana"/>
          <w:color w:val="333333"/>
          <w:shd w:val="clear" w:color="auto" w:fill="FFFFFF"/>
          <w:lang w:val="es-MX"/>
        </w:rPr>
        <w:t>Ahora bien, las reglas que deben tener en cuenta las Entidades Estatales varían dependiendo si los bienes sobre los cuales requiere realizar la enajenación son muebles o inmuebles. De esta manera, la subsección 3</w:t>
      </w:r>
      <w:r w:rsidRPr="00C805BA">
        <w:rPr>
          <w:rFonts w:ascii="Verdana" w:eastAsia="Arial" w:hAnsi="Verdana" w:cs="Arial"/>
          <w:lang w:val="es-ES"/>
        </w:rPr>
        <w:t xml:space="preserve"> de la sección 2 del capítulo II del Decreto 1082 de 2015</w:t>
      </w:r>
      <w:r w:rsidRPr="00C805BA">
        <w:rPr>
          <w:rFonts w:ascii="Verdana" w:hAnsi="Verdana"/>
          <w:color w:val="333333"/>
          <w:shd w:val="clear" w:color="auto" w:fill="FFFFFF"/>
          <w:lang w:val="es-MX"/>
        </w:rPr>
        <w:t xml:space="preserve"> se refiere a los bienes inmuebles y establece varios aspectos que se deberán realizar en estos casos: i) avaluar el bien objeto de enajenación, el cual puede</w:t>
      </w:r>
      <w:r w:rsidRPr="00C805BA">
        <w:rPr>
          <w:rFonts w:ascii="Work Sans" w:hAnsi="Work Sans"/>
          <w:color w:val="333333"/>
          <w:sz w:val="25"/>
          <w:szCs w:val="25"/>
          <w:shd w:val="clear" w:color="auto" w:fill="FFFFFF"/>
        </w:rPr>
        <w:t xml:space="preserve"> </w:t>
      </w:r>
      <w:r w:rsidRPr="00C805BA">
        <w:rPr>
          <w:rFonts w:ascii="Verdana" w:hAnsi="Verdana"/>
          <w:color w:val="333333"/>
          <w:shd w:val="clear" w:color="auto" w:fill="FFFFFF"/>
        </w:rPr>
        <w:t xml:space="preserve">estar a cargo del Instituto Geográfico Agustín Codazzi o de una persona especializada inscrita en el Registro Nacional de </w:t>
      </w:r>
      <w:proofErr w:type="spellStart"/>
      <w:r w:rsidRPr="00C805BA">
        <w:rPr>
          <w:rFonts w:ascii="Verdana" w:hAnsi="Verdana"/>
          <w:color w:val="333333"/>
          <w:shd w:val="clear" w:color="auto" w:fill="FFFFFF"/>
        </w:rPr>
        <w:t>Avaluadores</w:t>
      </w:r>
      <w:proofErr w:type="spellEnd"/>
      <w:r w:rsidRPr="00C805BA">
        <w:rPr>
          <w:rFonts w:ascii="Verdana" w:hAnsi="Verdana"/>
          <w:color w:val="333333"/>
          <w:shd w:val="clear" w:color="auto" w:fill="FFFFFF"/>
        </w:rPr>
        <w:t xml:space="preserve"> que lleva la Superintendencia de Industria y Comercio</w:t>
      </w:r>
      <w:r w:rsidRPr="00C805BA">
        <w:rPr>
          <w:rFonts w:ascii="Verdana" w:hAnsi="Verdana"/>
          <w:color w:val="333333"/>
          <w:shd w:val="clear" w:color="auto" w:fill="FFFFFF"/>
          <w:lang w:val="es-MX"/>
        </w:rPr>
        <w:t xml:space="preserve">; </w:t>
      </w:r>
      <w:proofErr w:type="spellStart"/>
      <w:r w:rsidRPr="00C805BA">
        <w:rPr>
          <w:rFonts w:ascii="Verdana" w:hAnsi="Verdana"/>
          <w:color w:val="333333"/>
          <w:shd w:val="clear" w:color="auto" w:fill="FFFFFF"/>
          <w:lang w:val="es-MX"/>
        </w:rPr>
        <w:t>ii</w:t>
      </w:r>
      <w:proofErr w:type="spellEnd"/>
      <w:r w:rsidRPr="00C805BA">
        <w:rPr>
          <w:rFonts w:ascii="Verdana" w:hAnsi="Verdana"/>
          <w:color w:val="333333"/>
          <w:shd w:val="clear" w:color="auto" w:fill="FFFFFF"/>
          <w:lang w:val="es-MX"/>
        </w:rPr>
        <w:t xml:space="preserve">) establecer el precio mínimo de venta con base en las variables señaladas en el artículo </w:t>
      </w:r>
      <w:r w:rsidRPr="00C805BA">
        <w:rPr>
          <w:rFonts w:ascii="Verdana" w:hAnsi="Verdana"/>
          <w:color w:val="333333"/>
          <w:shd w:val="clear" w:color="auto" w:fill="FFFFFF"/>
        </w:rPr>
        <w:t xml:space="preserve">2.2.1.2.2.3.2 del Decreto 1082 de 2015; </w:t>
      </w:r>
      <w:proofErr w:type="spellStart"/>
      <w:r w:rsidRPr="00C805BA">
        <w:rPr>
          <w:rFonts w:ascii="Verdana" w:hAnsi="Verdana"/>
          <w:color w:val="333333"/>
          <w:shd w:val="clear" w:color="auto" w:fill="FFFFFF"/>
        </w:rPr>
        <w:t>iii</w:t>
      </w:r>
      <w:proofErr w:type="spellEnd"/>
      <w:r w:rsidRPr="00C805BA">
        <w:rPr>
          <w:rFonts w:ascii="Verdana" w:hAnsi="Verdana"/>
          <w:color w:val="333333"/>
          <w:shd w:val="clear" w:color="auto" w:fill="FFFFFF"/>
        </w:rPr>
        <w:t xml:space="preserve">) la escritura pública debe otorgarse en la notaría de reparto correspondiente, dentro de los cuarenta y cinco (45) días calendario siguientes a la fecha en la cual el adjudicatario acredite el pago total del precio de venta; </w:t>
      </w:r>
      <w:proofErr w:type="spellStart"/>
      <w:r w:rsidRPr="00C805BA">
        <w:rPr>
          <w:rFonts w:ascii="Verdana" w:hAnsi="Verdana"/>
          <w:color w:val="333333"/>
          <w:shd w:val="clear" w:color="auto" w:fill="FFFFFF"/>
        </w:rPr>
        <w:t>iv</w:t>
      </w:r>
      <w:proofErr w:type="spellEnd"/>
      <w:r w:rsidRPr="00C805BA">
        <w:rPr>
          <w:rFonts w:ascii="Verdana" w:hAnsi="Verdana"/>
          <w:color w:val="333333"/>
          <w:shd w:val="clear" w:color="auto" w:fill="FFFFFF"/>
        </w:rPr>
        <w:t xml:space="preserve">) Los derechos notariales, los gastos de fotocopias, autenticaciones y los impuestos de venta y registro se liquidarán y pagarán de conformidad con las normas legales vigentes sobre la materia, y v)  se debe entregar el inmueble dentro de los treinta (30) días calendario siguientes a la fecha del registro, previa presentación del certificado de tradición </w:t>
      </w:r>
      <w:r w:rsidRPr="00C805BA">
        <w:rPr>
          <w:rFonts w:ascii="Verdana" w:hAnsi="Verdana"/>
          <w:color w:val="333333"/>
          <w:shd w:val="clear" w:color="auto" w:fill="FFFFFF"/>
        </w:rPr>
        <w:lastRenderedPageBreak/>
        <w:t>y libertad en el que conste la inscripción de la escritura pública de venta del inmueble.</w:t>
      </w:r>
    </w:p>
    <w:p w14:paraId="55F4CCD5" w14:textId="77777777" w:rsidR="00F01E22" w:rsidRPr="00C805BA" w:rsidRDefault="00F01E22" w:rsidP="00F01E22">
      <w:pPr>
        <w:spacing w:after="120" w:line="276" w:lineRule="auto"/>
        <w:ind w:firstLine="720"/>
        <w:jc w:val="both"/>
        <w:rPr>
          <w:rFonts w:ascii="Verdana" w:hAnsi="Verdana"/>
          <w:color w:val="333333"/>
          <w:shd w:val="clear" w:color="auto" w:fill="FFFFFF"/>
        </w:rPr>
      </w:pPr>
      <w:r w:rsidRPr="00C805BA">
        <w:rPr>
          <w:rFonts w:ascii="Verdana" w:hAnsi="Verdana"/>
          <w:color w:val="333333"/>
          <w:shd w:val="clear" w:color="auto" w:fill="FFFFFF"/>
        </w:rPr>
        <w:t>Por otro lado, la subsección 4 establece las reglas aplicables a la enajenación de los bienes muebles que comprenden la determinación de un precio mínimo de venta de bienes sujetos a registro y lo que no se encuentra sujetos. Asimismo, señala las reglas sobre la enajenación de bienes muebles a título gratuito entre entidades estatales y la enajenación de otros bienes como cartera, cuentas por cobrar y fideicomisos de cartera.</w:t>
      </w:r>
    </w:p>
    <w:p w14:paraId="2B62DBF9" w14:textId="77777777" w:rsidR="00F01E22" w:rsidRPr="00C805BA" w:rsidRDefault="00F01E22" w:rsidP="00F01E22">
      <w:pPr>
        <w:spacing w:after="120" w:line="276" w:lineRule="auto"/>
        <w:ind w:firstLine="708"/>
        <w:jc w:val="both"/>
        <w:rPr>
          <w:rFonts w:ascii="Verdana" w:eastAsia="Arial MT" w:hAnsi="Verdana" w:cs="Arial"/>
          <w:lang w:eastAsia="es-ES" w:bidi="es-ES"/>
        </w:rPr>
      </w:pPr>
      <w:r w:rsidRPr="00C805BA">
        <w:rPr>
          <w:rFonts w:ascii="Verdana" w:hAnsi="Verdana"/>
          <w:color w:val="333333"/>
          <w:shd w:val="clear" w:color="auto" w:fill="FFFFFF"/>
        </w:rPr>
        <w:t>Así las cosas, el Decreto 1082 de 2015 reglamentó los mecanismos que pueden utilizar las entidades públicas para la enajenación de sus bienes, tanto muebles como inmuebles. En tal sentido,</w:t>
      </w:r>
      <w:r w:rsidRPr="00C805BA">
        <w:rPr>
          <w:rFonts w:ascii="Verdana" w:hAnsi="Verdana" w:cs="Arial"/>
          <w:lang w:val="es-ES_tradnl" w:eastAsia="es-ES_tradnl"/>
        </w:rPr>
        <w:t xml:space="preserve"> se advierte que</w:t>
      </w:r>
      <w:r w:rsidRPr="00C805BA">
        <w:rPr>
          <w:rFonts w:ascii="Verdana" w:eastAsia="Arial MT" w:hAnsi="Verdana" w:cs="Arial"/>
          <w:lang w:eastAsia="es-ES" w:bidi="es-ES"/>
        </w:rPr>
        <w:t xml:space="preserve"> será la entidad estatal contratante la llamada a establecer con precisión</w:t>
      </w:r>
      <w:r w:rsidRPr="00C805BA">
        <w:rPr>
          <w:rFonts w:ascii="Verdana" w:hAnsi="Verdana"/>
          <w:color w:val="333333"/>
          <w:shd w:val="clear" w:color="auto" w:fill="FFFFFF"/>
        </w:rPr>
        <w:t xml:space="preserve"> el mecanismo idóneo para la enajenación de sus bienes, teniendo en cuenta sus necesidades específicas, los procedimientos señalados y las reglas sobre los bienes muebles e inmuebles aplicables según sea el caso.</w:t>
      </w:r>
      <w:r w:rsidRPr="00C805BA">
        <w:rPr>
          <w:rFonts w:ascii="Verdana" w:hAnsi="Verdana" w:cs="Arial"/>
          <w:lang w:val="es-ES_tradnl" w:eastAsia="es-ES_tradnl"/>
        </w:rPr>
        <w:t xml:space="preserve"> </w:t>
      </w:r>
    </w:p>
    <w:p w14:paraId="0A9DBC12" w14:textId="77777777" w:rsidR="00F01E22" w:rsidRPr="00C805BA" w:rsidRDefault="00F01E22" w:rsidP="00F01E22">
      <w:pPr>
        <w:spacing w:after="120" w:line="276" w:lineRule="auto"/>
        <w:ind w:firstLine="709"/>
        <w:jc w:val="both"/>
        <w:rPr>
          <w:rFonts w:ascii="Verdana" w:eastAsia="Calibri" w:hAnsi="Verdana" w:cs="Arial"/>
          <w:lang w:val="es-ES"/>
        </w:rPr>
      </w:pPr>
      <w:r w:rsidRPr="00C805BA">
        <w:rPr>
          <w:rFonts w:ascii="Verdana" w:eastAsia="Calibri" w:hAnsi="Verdana" w:cs="Arial"/>
          <w:lang w:val="es-ES"/>
        </w:rPr>
        <w:t>Finalmente, se precisa que debido a que la enajenación de bienes de entidades estatales se realiza por medio de la modalidad de selección abreviada, en el SECOP II se deberá publicar el procedimiento en esta sección de acuerdo con el mecanismo de enajenación determinado por la entidad y según los lineamientos señados en las Guías para el uso del SECOP II expedidas por la ANCP – CCE.</w:t>
      </w:r>
    </w:p>
    <w:p w14:paraId="6044C57F" w14:textId="77777777" w:rsidR="00F01E22" w:rsidRPr="00C805BA" w:rsidRDefault="00F01E22" w:rsidP="00F01E22">
      <w:pPr>
        <w:spacing w:after="0" w:line="276" w:lineRule="auto"/>
        <w:jc w:val="both"/>
        <w:rPr>
          <w:rFonts w:ascii="Verdana" w:eastAsia="Calibri" w:hAnsi="Verdana" w:cs="Arial"/>
          <w:lang w:val="es-ES"/>
        </w:rPr>
      </w:pPr>
    </w:p>
    <w:p w14:paraId="49597380" w14:textId="77777777" w:rsidR="00F01E22" w:rsidRPr="00C805BA" w:rsidRDefault="00F01E22" w:rsidP="00F01E22">
      <w:pPr>
        <w:numPr>
          <w:ilvl w:val="0"/>
          <w:numId w:val="1"/>
        </w:numPr>
        <w:tabs>
          <w:tab w:val="left" w:pos="142"/>
          <w:tab w:val="left" w:pos="284"/>
        </w:tabs>
        <w:spacing w:after="0" w:line="276" w:lineRule="auto"/>
        <w:ind w:left="0" w:firstLine="0"/>
        <w:jc w:val="both"/>
        <w:rPr>
          <w:rFonts w:ascii="Verdana" w:eastAsia="Century Gothic" w:hAnsi="Verdana" w:cs="Century Gothic"/>
          <w:b/>
          <w:bCs/>
          <w:lang w:val="es-ES"/>
        </w:rPr>
      </w:pPr>
      <w:r w:rsidRPr="00C805BA">
        <w:rPr>
          <w:rFonts w:ascii="Verdana" w:eastAsia="Century Gothic" w:hAnsi="Verdana" w:cs="Century Gothic"/>
          <w:b/>
          <w:bCs/>
          <w:lang w:val="es-ES"/>
        </w:rPr>
        <w:t>Referencias normativas y jurisprudenciales:</w:t>
      </w:r>
    </w:p>
    <w:p w14:paraId="07B0D197" w14:textId="77777777" w:rsidR="00F01E22" w:rsidRPr="00C805BA" w:rsidRDefault="00F01E22" w:rsidP="00F01E22">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01E22" w:rsidRPr="00C805BA" w14:paraId="6009B620" w14:textId="77777777" w:rsidTr="003B02A7">
        <w:trPr>
          <w:trHeight w:val="870"/>
          <w:jc w:val="center"/>
        </w:trPr>
        <w:tc>
          <w:tcPr>
            <w:tcW w:w="8647" w:type="dxa"/>
          </w:tcPr>
          <w:p w14:paraId="25654A66" w14:textId="77777777" w:rsidR="00F01E22" w:rsidRPr="00C805BA" w:rsidRDefault="00F01E22" w:rsidP="00F01E22">
            <w:pPr>
              <w:widowControl w:val="0"/>
              <w:numPr>
                <w:ilvl w:val="0"/>
                <w:numId w:val="7"/>
              </w:numPr>
              <w:autoSpaceDE w:val="0"/>
              <w:autoSpaceDN w:val="0"/>
              <w:spacing w:line="276" w:lineRule="auto"/>
              <w:contextualSpacing/>
              <w:jc w:val="both"/>
              <w:rPr>
                <w:rFonts w:ascii="Verdana" w:hAnsi="Verdana" w:cs="Arial"/>
                <w:lang w:val="es-MX"/>
              </w:rPr>
            </w:pPr>
            <w:r w:rsidRPr="00C805BA">
              <w:rPr>
                <w:rFonts w:ascii="Verdana" w:hAnsi="Verdana" w:cs="Arial"/>
                <w:lang w:val="es-MX"/>
              </w:rPr>
              <w:t xml:space="preserve">Ley 1150 de 2007. </w:t>
            </w:r>
            <w:r w:rsidRPr="00C805BA">
              <w:rPr>
                <w:rFonts w:ascii="Verdana" w:eastAsia="Arial" w:hAnsi="Verdana" w:cs="Arial"/>
                <w:lang w:val="es-ES"/>
              </w:rPr>
              <w:t xml:space="preserve">literal e) del numeral 2 del artículo 2 </w:t>
            </w:r>
          </w:p>
          <w:p w14:paraId="39E3FBE7" w14:textId="77777777" w:rsidR="00F01E22" w:rsidRPr="00C805BA" w:rsidRDefault="00F01E22" w:rsidP="00F01E22">
            <w:pPr>
              <w:widowControl w:val="0"/>
              <w:numPr>
                <w:ilvl w:val="0"/>
                <w:numId w:val="7"/>
              </w:numPr>
              <w:autoSpaceDE w:val="0"/>
              <w:autoSpaceDN w:val="0"/>
              <w:spacing w:line="276" w:lineRule="auto"/>
              <w:contextualSpacing/>
              <w:jc w:val="both"/>
              <w:rPr>
                <w:rFonts w:ascii="Verdana" w:hAnsi="Verdana" w:cs="Arial"/>
                <w:lang w:val="es-MX"/>
              </w:rPr>
            </w:pPr>
            <w:r w:rsidRPr="00C805BA">
              <w:rPr>
                <w:rFonts w:ascii="Verdana" w:eastAsia="Arial" w:hAnsi="Verdana" w:cs="Arial"/>
                <w:lang w:val="es-ES"/>
              </w:rPr>
              <w:t xml:space="preserve">Decreto 1082 de 2015. Artículos 2.2.1.2.2.1.1 y </w:t>
            </w:r>
            <w:proofErr w:type="spellStart"/>
            <w:r w:rsidRPr="00C805BA">
              <w:rPr>
                <w:rFonts w:ascii="Verdana" w:eastAsia="Arial" w:hAnsi="Verdana" w:cs="Arial"/>
                <w:lang w:val="es-ES"/>
              </w:rPr>
              <w:t>ss</w:t>
            </w:r>
            <w:proofErr w:type="spellEnd"/>
          </w:p>
          <w:p w14:paraId="7A43A661" w14:textId="77777777" w:rsidR="00F01E22" w:rsidRPr="00C805BA" w:rsidRDefault="00F01E22" w:rsidP="00F01E22">
            <w:pPr>
              <w:widowControl w:val="0"/>
              <w:numPr>
                <w:ilvl w:val="0"/>
                <w:numId w:val="7"/>
              </w:numPr>
              <w:autoSpaceDE w:val="0"/>
              <w:autoSpaceDN w:val="0"/>
              <w:spacing w:line="276" w:lineRule="auto"/>
              <w:contextualSpacing/>
              <w:jc w:val="both"/>
              <w:rPr>
                <w:rFonts w:ascii="Verdana" w:hAnsi="Verdana" w:cs="Arial"/>
                <w:lang w:val="es-MX"/>
              </w:rPr>
            </w:pPr>
            <w:r w:rsidRPr="00C805BA">
              <w:rPr>
                <w:rFonts w:ascii="Verdana" w:hAnsi="Verdana" w:cs="Arial"/>
                <w:lang w:val="es-MX"/>
              </w:rPr>
              <w:t xml:space="preserve">Consejo de Estado. Sala de lo Contencioso Administrativo. Sección Tercera. Sentencia del 30 de abril de 2012. Expediente 21.699. C.P. Ruth Stella Correa Palacio. </w:t>
            </w:r>
          </w:p>
          <w:p w14:paraId="1052D2CC" w14:textId="77777777" w:rsidR="00F01E22" w:rsidRPr="00C805BA" w:rsidRDefault="00F01E22" w:rsidP="00F01E22">
            <w:pPr>
              <w:widowControl w:val="0"/>
              <w:numPr>
                <w:ilvl w:val="0"/>
                <w:numId w:val="7"/>
              </w:numPr>
              <w:autoSpaceDE w:val="0"/>
              <w:autoSpaceDN w:val="0"/>
              <w:spacing w:line="276" w:lineRule="auto"/>
              <w:contextualSpacing/>
              <w:jc w:val="both"/>
              <w:rPr>
                <w:rFonts w:ascii="Verdana" w:hAnsi="Verdana" w:cs="Arial"/>
                <w:lang w:val="es-MX"/>
              </w:rPr>
            </w:pPr>
            <w:r w:rsidRPr="00C805BA">
              <w:rPr>
                <w:rFonts w:ascii="Verdana" w:hAnsi="Verdana" w:cs="Arial"/>
                <w:lang w:val="es-MX"/>
              </w:rPr>
              <w:t>Consejo de Estado.  Sala de lo Contencioso Administrativo. Sección Tercera. Sentencia del 19 de julio de 2018, Expediente 36.711. C.P. Carlos Alberto Zambrano Barrera.</w:t>
            </w:r>
          </w:p>
          <w:p w14:paraId="546DA3D1" w14:textId="77777777" w:rsidR="00F01E22" w:rsidRPr="00C805BA" w:rsidRDefault="00F01E22" w:rsidP="00F01E22">
            <w:pPr>
              <w:widowControl w:val="0"/>
              <w:numPr>
                <w:ilvl w:val="0"/>
                <w:numId w:val="7"/>
              </w:numPr>
              <w:autoSpaceDE w:val="0"/>
              <w:autoSpaceDN w:val="0"/>
              <w:spacing w:line="276" w:lineRule="auto"/>
              <w:contextualSpacing/>
              <w:jc w:val="both"/>
              <w:rPr>
                <w:rFonts w:ascii="Verdana" w:hAnsi="Verdana" w:cs="Arial"/>
                <w:lang w:val="es-MX"/>
              </w:rPr>
            </w:pPr>
            <w:r w:rsidRPr="00C805BA">
              <w:rPr>
                <w:rFonts w:ascii="Verdana" w:hAnsi="Verdana" w:cs="Arial"/>
                <w:lang w:val="es-MX"/>
              </w:rPr>
              <w:t>Corte Constitucional. Sala Plena. M.P. Alfredo Beltrán Sierra. Sentencia C-183 de 2003. Expediente D-4244</w:t>
            </w:r>
          </w:p>
          <w:p w14:paraId="0D325C40" w14:textId="77777777" w:rsidR="00F01E22" w:rsidRPr="00C805BA" w:rsidRDefault="00F01E22" w:rsidP="003B02A7">
            <w:pPr>
              <w:widowControl w:val="0"/>
              <w:autoSpaceDE w:val="0"/>
              <w:autoSpaceDN w:val="0"/>
              <w:spacing w:line="276" w:lineRule="auto"/>
              <w:ind w:left="360"/>
              <w:jc w:val="both"/>
              <w:rPr>
                <w:rFonts w:ascii="Verdana" w:hAnsi="Verdana" w:cs="Arial"/>
              </w:rPr>
            </w:pPr>
          </w:p>
        </w:tc>
      </w:tr>
    </w:tbl>
    <w:p w14:paraId="6F9CD046" w14:textId="77777777" w:rsidR="00F01E22" w:rsidRPr="00C805BA" w:rsidRDefault="00F01E22" w:rsidP="00F01E22">
      <w:pPr>
        <w:widowControl w:val="0"/>
        <w:autoSpaceDE w:val="0"/>
        <w:autoSpaceDN w:val="0"/>
        <w:spacing w:after="0" w:line="276" w:lineRule="auto"/>
        <w:jc w:val="both"/>
        <w:rPr>
          <w:rFonts w:ascii="Verdana" w:hAnsi="Verdana" w:cs="Arial"/>
        </w:rPr>
      </w:pPr>
    </w:p>
    <w:p w14:paraId="6DEF07C9" w14:textId="77777777" w:rsidR="00F01E22" w:rsidRPr="00C805BA" w:rsidRDefault="00F01E22" w:rsidP="00F01E22">
      <w:pPr>
        <w:numPr>
          <w:ilvl w:val="0"/>
          <w:numId w:val="1"/>
        </w:numPr>
        <w:tabs>
          <w:tab w:val="left" w:pos="142"/>
          <w:tab w:val="left" w:pos="284"/>
        </w:tabs>
        <w:spacing w:after="0" w:line="276" w:lineRule="auto"/>
        <w:ind w:left="0" w:firstLine="0"/>
        <w:jc w:val="both"/>
        <w:rPr>
          <w:rFonts w:ascii="Verdana" w:eastAsia="Century Gothic" w:hAnsi="Verdana" w:cs="Century Gothic"/>
          <w:b/>
          <w:bCs/>
          <w:lang w:val="es-ES"/>
        </w:rPr>
      </w:pPr>
      <w:r w:rsidRPr="00C805BA">
        <w:rPr>
          <w:rFonts w:ascii="Verdana" w:eastAsia="Century Gothic" w:hAnsi="Verdana" w:cs="Century Gothic"/>
          <w:b/>
          <w:bCs/>
          <w:lang w:val="es-ES"/>
        </w:rPr>
        <w:t>Doctrina de la Agencia Nacional de Contratación Pública:</w:t>
      </w:r>
    </w:p>
    <w:p w14:paraId="060A9BB1" w14:textId="77777777" w:rsidR="00F01E22" w:rsidRPr="00C805BA" w:rsidRDefault="00F01E22" w:rsidP="00F01E22">
      <w:pPr>
        <w:widowControl w:val="0"/>
        <w:autoSpaceDE w:val="0"/>
        <w:autoSpaceDN w:val="0"/>
        <w:spacing w:after="0" w:line="276" w:lineRule="auto"/>
        <w:jc w:val="both"/>
        <w:rPr>
          <w:rFonts w:ascii="Verdana" w:hAnsi="Verdana" w:cs="Arial"/>
        </w:rPr>
      </w:pPr>
    </w:p>
    <w:p w14:paraId="6003778B" w14:textId="77777777" w:rsidR="00F01E22" w:rsidRPr="00C805BA" w:rsidRDefault="00F01E22" w:rsidP="00F01E22">
      <w:pPr>
        <w:widowControl w:val="0"/>
        <w:autoSpaceDE w:val="0"/>
        <w:autoSpaceDN w:val="0"/>
        <w:spacing w:after="0" w:line="276" w:lineRule="auto"/>
        <w:jc w:val="both"/>
        <w:rPr>
          <w:rFonts w:ascii="Verdana" w:hAnsi="Verdana" w:cs="Arial"/>
          <w:color w:val="000000" w:themeColor="text1"/>
          <w:shd w:val="clear" w:color="auto" w:fill="FFFFFF"/>
        </w:rPr>
      </w:pPr>
      <w:r w:rsidRPr="00C805BA">
        <w:rPr>
          <w:rFonts w:ascii="Verdana" w:hAnsi="Verdana"/>
        </w:rPr>
        <w:t xml:space="preserve">La Agencia Nacional de Contratación Pública – Colombia Compra Eficiente, analizó la enajenación de bienes del Estado en los siguientes conceptos: 2201913000007905 del 23 de octubre de 2019, 2201913000008259 del 6 de noviembre de 2019, C-186 del 17 de marzo de 2020, C-661 del 17 de noviembre de 2020, C-397 del 18 de julio de 2022, C-704 de 2022, </w:t>
      </w:r>
      <w:r w:rsidRPr="00C805BA">
        <w:rPr>
          <w:rFonts w:ascii="Verdana" w:eastAsia="Calibri" w:hAnsi="Verdana" w:cs="Times New Roman"/>
        </w:rPr>
        <w:t>C-985 del 30 de diciembre de 2024, C-361 del 2 de mayo de 2025, C-634 del 21 de mayo de 2025, entre otros</w:t>
      </w:r>
      <w:r w:rsidRPr="00C805BA">
        <w:rPr>
          <w:rFonts w:ascii="Verdana" w:eastAsia="Aptos" w:hAnsi="Verdana" w:cs="Arial"/>
          <w:shd w:val="clear" w:color="auto" w:fill="FFFFFF"/>
          <w:lang w:val="es-ES"/>
        </w:rPr>
        <w:t xml:space="preserve">. </w:t>
      </w:r>
      <w:r w:rsidRPr="00C805BA">
        <w:rPr>
          <w:rFonts w:ascii="Verdana" w:hAnsi="Verdana" w:cs="Arial"/>
          <w:shd w:val="clear" w:color="auto" w:fill="FFFFFF"/>
          <w:lang w:val="es-ES"/>
        </w:rPr>
        <w:t>Es</w:t>
      </w:r>
      <w:r w:rsidRPr="00C805BA">
        <w:rPr>
          <w:rFonts w:ascii="Verdana" w:hAnsi="Verdana"/>
        </w:rPr>
        <w:t>tos y otros conceptos se encuentran disponibles para consulta en el Sistema de relatoría de la Agencia, al cual se puede acceder a través del siguiente enlace:</w:t>
      </w:r>
      <w:r w:rsidRPr="00C805BA">
        <w:rPr>
          <w:rFonts w:ascii="Verdana" w:hAnsi="Verdana" w:cs="Arial"/>
          <w:shd w:val="clear" w:color="auto" w:fill="FFFFFF"/>
          <w:lang w:val="es-ES"/>
        </w:rPr>
        <w:t xml:space="preserve"> </w:t>
      </w:r>
      <w:hyperlink r:id="rId18" w:history="1">
        <w:r w:rsidRPr="00C805BA">
          <w:rPr>
            <w:rFonts w:ascii="Verdana" w:hAnsi="Verdana" w:cs="Arial"/>
            <w:color w:val="0563C1" w:themeColor="hyperlink"/>
            <w:u w:val="single"/>
            <w:shd w:val="clear" w:color="auto" w:fill="FFFFFF"/>
            <w:lang w:val="es-ES"/>
          </w:rPr>
          <w:t>https://relatoria.colombiacompra.gov.co/busqueda/conceptos</w:t>
        </w:r>
      </w:hyperlink>
      <w:r w:rsidRPr="00C805BA">
        <w:rPr>
          <w:rFonts w:ascii="Verdana" w:hAnsi="Verdana" w:cs="Arial"/>
          <w:shd w:val="clear" w:color="auto" w:fill="FFFFFF"/>
          <w:lang w:val="es-ES"/>
        </w:rPr>
        <w:t>.</w:t>
      </w:r>
      <w:r w:rsidRPr="00C805BA">
        <w:rPr>
          <w:rFonts w:ascii="Verdana" w:hAnsi="Verdana" w:cs="Arial"/>
          <w:color w:val="FF0000"/>
          <w:shd w:val="clear" w:color="auto" w:fill="FFFFFF"/>
          <w:lang w:val="es-ES"/>
        </w:rPr>
        <w:t xml:space="preserve"> </w:t>
      </w:r>
      <w:r w:rsidRPr="00C805BA">
        <w:rPr>
          <w:rFonts w:ascii="Verdana" w:hAnsi="Verdana" w:cs="Arial"/>
          <w:color w:val="000000" w:themeColor="text1"/>
          <w:shd w:val="clear" w:color="auto" w:fill="FFFFFF"/>
        </w:rPr>
        <w:t>  </w:t>
      </w:r>
    </w:p>
    <w:p w14:paraId="000DE9B7" w14:textId="77777777" w:rsidR="00F01E22" w:rsidRPr="00C805BA" w:rsidRDefault="00F01E22" w:rsidP="00F01E22">
      <w:pPr>
        <w:widowControl w:val="0"/>
        <w:autoSpaceDE w:val="0"/>
        <w:autoSpaceDN w:val="0"/>
        <w:spacing w:after="0" w:line="276" w:lineRule="auto"/>
        <w:jc w:val="both"/>
        <w:rPr>
          <w:rFonts w:ascii="Verdana" w:hAnsi="Verdana" w:cs="Arial"/>
          <w:color w:val="000000" w:themeColor="text1"/>
          <w:shd w:val="clear" w:color="auto" w:fill="FFFFFF"/>
        </w:rPr>
      </w:pPr>
    </w:p>
    <w:p w14:paraId="30CBB945" w14:textId="77777777" w:rsidR="00F01E22" w:rsidRPr="00C805BA" w:rsidRDefault="00F01E22" w:rsidP="00F01E22">
      <w:pPr>
        <w:shd w:val="clear" w:color="auto" w:fill="FFFFFF"/>
        <w:spacing w:after="0" w:line="276" w:lineRule="auto"/>
        <w:jc w:val="both"/>
        <w:rPr>
          <w:rFonts w:ascii="Verdana" w:hAnsi="Verdana" w:cs="Times New Roman"/>
          <w:color w:val="467886"/>
          <w:u w:val="single"/>
        </w:rPr>
      </w:pPr>
      <w:r w:rsidRPr="00C805BA">
        <w:rPr>
          <w:rFonts w:ascii="Verdana" w:eastAsia="Calibri" w:hAnsi="Verdana" w:cs="Times New Roman"/>
          <w:color w:val="000000"/>
        </w:rPr>
        <w:t>Te informamos que ya se encuentra disponible la </w:t>
      </w:r>
      <w:r w:rsidRPr="00C805BA">
        <w:rPr>
          <w:rFonts w:ascii="Verdana" w:eastAsia="Calibri" w:hAnsi="Verdana" w:cs="Times New Roman"/>
          <w:b/>
          <w:bCs/>
          <w:color w:val="000000"/>
        </w:rPr>
        <w:t>Guía de lineamientos de transparencia y selección objetiva para el departamento de La Guajira – Objetivo sexto constitucional de la Sentencia T-302 del 2017. </w:t>
      </w:r>
      <w:r w:rsidRPr="00C805BA">
        <w:rPr>
          <w:rFonts w:ascii="Verdana" w:eastAsia="Calibri" w:hAnsi="Verdana" w:cs="Times New Roman"/>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C805BA">
        <w:rPr>
          <w:rFonts w:ascii="Verdana" w:eastAsia="Calibri" w:hAnsi="Verdana" w:cs="Times New Roman"/>
          <w:color w:val="000000"/>
        </w:rPr>
        <w:t>Wayúu</w:t>
      </w:r>
      <w:proofErr w:type="spellEnd"/>
      <w:r w:rsidRPr="00C805BA">
        <w:rPr>
          <w:rFonts w:ascii="Verdana" w:eastAsia="Calibri" w:hAnsi="Verdana" w:cs="Times New Roman"/>
          <w:color w:val="000000"/>
        </w:rPr>
        <w:t>. Puede consultar la guía en el siguiente enlace: </w:t>
      </w:r>
      <w:hyperlink r:id="rId19" w:tgtFrame="_blank" w:tooltip="Dirección URL original: https://www.colombiacompra.gov.co/wp-content/uploads/2025/05/GUIA-DE-LINEAMIENTOS-DE-TRANSPARENCIA-Y-SELECCION-OBJETIVA-1.0.pdf. Haga clic o pulse si confía en este vínculo." w:history="1">
        <w:r w:rsidRPr="00C805BA">
          <w:rPr>
            <w:rFonts w:ascii="Verdana" w:eastAsia="Calibri" w:hAnsi="Verdana" w:cs="Times New Roman"/>
            <w:color w:val="0000FF"/>
            <w:u w:val="single"/>
          </w:rPr>
          <w:t>Guía de lineamientos de transparencia y selección objetiva para el departamento de La Guajira – Objetivo sexto constitucional de la Sentencia T-302 del 2017</w:t>
        </w:r>
      </w:hyperlink>
      <w:r w:rsidRPr="00C805BA">
        <w:rPr>
          <w:rFonts w:ascii="Verdana" w:eastAsia="Calibri" w:hAnsi="Verdana" w:cs="Times New Roman"/>
          <w:color w:val="000000"/>
          <w:u w:val="single"/>
        </w:rPr>
        <w:t>.</w:t>
      </w:r>
    </w:p>
    <w:p w14:paraId="128F50DB" w14:textId="77777777" w:rsidR="00F01E22" w:rsidRPr="00C805BA" w:rsidRDefault="00F01E22" w:rsidP="00F01E22">
      <w:pPr>
        <w:widowControl w:val="0"/>
        <w:autoSpaceDE w:val="0"/>
        <w:autoSpaceDN w:val="0"/>
        <w:spacing w:after="0" w:line="276" w:lineRule="auto"/>
        <w:jc w:val="both"/>
        <w:rPr>
          <w:rFonts w:ascii="Verdana" w:eastAsia="Calibri" w:hAnsi="Verdana" w:cs="Arial"/>
          <w:color w:val="000000" w:themeColor="text1"/>
          <w:shd w:val="clear" w:color="auto" w:fill="FFFFFF"/>
          <w:lang w:val="es-ES_tradnl"/>
        </w:rPr>
      </w:pPr>
      <w:r w:rsidRPr="00C805BA">
        <w:rPr>
          <w:rFonts w:ascii="Verdana" w:eastAsia="Calibri" w:hAnsi="Verdana" w:cs="Arial"/>
          <w:color w:val="000000" w:themeColor="text1"/>
          <w:shd w:val="clear" w:color="auto" w:fill="FFFFFF"/>
          <w:lang w:val="es-ES_tradnl"/>
        </w:rPr>
        <w:t xml:space="preserve"> </w:t>
      </w:r>
    </w:p>
    <w:p w14:paraId="1F1D98EF" w14:textId="77777777" w:rsidR="00F01E22" w:rsidRPr="00C805BA" w:rsidRDefault="00F01E22" w:rsidP="00F01E22">
      <w:pPr>
        <w:spacing w:after="0" w:line="256" w:lineRule="auto"/>
        <w:jc w:val="both"/>
        <w:rPr>
          <w:rFonts w:ascii="Verdana" w:eastAsia="Calibri" w:hAnsi="Verdana"/>
        </w:rPr>
      </w:pPr>
      <w:r w:rsidRPr="00C805BA">
        <w:rPr>
          <w:rFonts w:ascii="Verdana" w:eastAsia="Calibri" w:hAnsi="Verdana" w:cs="Times New Roman"/>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4D80C537" w14:textId="77777777" w:rsidR="00F01E22" w:rsidRPr="00C805BA" w:rsidRDefault="00F01E22" w:rsidP="00F01E22">
      <w:pPr>
        <w:spacing w:after="0" w:line="256" w:lineRule="auto"/>
        <w:jc w:val="both"/>
        <w:rPr>
          <w:rFonts w:ascii="Verdana" w:eastAsia="Calibri" w:hAnsi="Verdana" w:cs="Times New Roman"/>
        </w:rPr>
      </w:pPr>
    </w:p>
    <w:p w14:paraId="601AB841" w14:textId="77777777" w:rsidR="00F01E22" w:rsidRPr="00C805BA" w:rsidRDefault="00F01E22" w:rsidP="00F01E22">
      <w:pPr>
        <w:numPr>
          <w:ilvl w:val="0"/>
          <w:numId w:val="10"/>
        </w:numPr>
        <w:spacing w:after="0" w:line="240" w:lineRule="auto"/>
        <w:contextualSpacing/>
        <w:jc w:val="both"/>
        <w:rPr>
          <w:rFonts w:ascii="Verdana" w:eastAsia="Verdana" w:hAnsi="Verdana" w:cs="Verdana"/>
          <w:color w:val="4472C4" w:themeColor="accent1"/>
          <w:u w:val="single"/>
          <w:lang w:val="es-MX"/>
        </w:rPr>
      </w:pPr>
      <w:r w:rsidRPr="00C805BA">
        <w:rPr>
          <w:rFonts w:ascii="Verdana" w:eastAsia="Verdana" w:hAnsi="Verdana" w:cs="Verdana"/>
          <w:lang w:val="es-MX"/>
        </w:rPr>
        <w:t xml:space="preserve">Línea nacional gratuita o servicio a la ciudadanía (Mesa de servicio): </w:t>
      </w:r>
      <w:r w:rsidRPr="00C805BA">
        <w:rPr>
          <w:rFonts w:ascii="Verdana" w:eastAsia="Calibri" w:hAnsi="Verdana" w:cs="Times New Roman"/>
          <w:color w:val="0000FF"/>
          <w:u w:val="single"/>
          <w:lang w:val="es-ES"/>
        </w:rPr>
        <w:t>01800 0520808</w:t>
      </w:r>
    </w:p>
    <w:p w14:paraId="7C1B7751" w14:textId="77777777" w:rsidR="00F01E22" w:rsidRPr="00C805BA" w:rsidRDefault="00F01E22" w:rsidP="00F01E22">
      <w:pPr>
        <w:numPr>
          <w:ilvl w:val="0"/>
          <w:numId w:val="10"/>
        </w:numPr>
        <w:spacing w:after="0" w:line="256" w:lineRule="auto"/>
        <w:contextualSpacing/>
        <w:rPr>
          <w:rFonts w:ascii="Verdana" w:eastAsia="Verdana" w:hAnsi="Verdana" w:cs="Verdana"/>
          <w:color w:val="4472C4" w:themeColor="accent1"/>
          <w:u w:val="single"/>
          <w:lang w:val="es-MX"/>
        </w:rPr>
      </w:pPr>
      <w:r w:rsidRPr="00C805BA">
        <w:rPr>
          <w:rFonts w:ascii="Verdana" w:eastAsia="Verdana" w:hAnsi="Verdana" w:cs="Verdana"/>
          <w:lang w:val="es-MX"/>
        </w:rPr>
        <w:lastRenderedPageBreak/>
        <w:t>Línea en Bogotá (Mesa de servicio</w:t>
      </w:r>
      <w:proofErr w:type="gramStart"/>
      <w:r w:rsidRPr="00C805BA">
        <w:rPr>
          <w:rFonts w:ascii="Verdana" w:eastAsia="Verdana" w:hAnsi="Verdana" w:cs="Verdana"/>
          <w:lang w:val="es-MX"/>
        </w:rPr>
        <w:t>):</w:t>
      </w:r>
      <w:r w:rsidRPr="00C805BA">
        <w:rPr>
          <w:rFonts w:ascii="Verdana" w:eastAsia="Calibri" w:hAnsi="Verdana" w:cs="Times New Roman"/>
          <w:color w:val="0000FF"/>
          <w:u w:val="single"/>
          <w:lang w:val="es-ES"/>
        </w:rPr>
        <w:t>+</w:t>
      </w:r>
      <w:proofErr w:type="gramEnd"/>
      <w:r w:rsidRPr="00C805BA">
        <w:rPr>
          <w:rFonts w:ascii="Verdana" w:eastAsia="Calibri" w:hAnsi="Verdana" w:cs="Times New Roman"/>
          <w:color w:val="0000FF"/>
          <w:u w:val="single"/>
          <w:lang w:val="es-ES"/>
        </w:rPr>
        <w:t>57 601 7456788</w:t>
      </w:r>
    </w:p>
    <w:p w14:paraId="44BD593C" w14:textId="77777777" w:rsidR="00F01E22" w:rsidRPr="00C805BA" w:rsidRDefault="00F01E22" w:rsidP="00F01E22">
      <w:pPr>
        <w:numPr>
          <w:ilvl w:val="0"/>
          <w:numId w:val="10"/>
        </w:numPr>
        <w:spacing w:after="0" w:line="256" w:lineRule="auto"/>
        <w:contextualSpacing/>
        <w:rPr>
          <w:rFonts w:ascii="Verdana" w:eastAsia="Verdana" w:hAnsi="Verdana" w:cs="Verdana"/>
          <w:color w:val="0000FF"/>
          <w:u w:val="single"/>
          <w:lang w:val="es-MX"/>
        </w:rPr>
      </w:pPr>
      <w:r w:rsidRPr="00C805BA">
        <w:rPr>
          <w:rFonts w:ascii="Verdana" w:eastAsia="Verdana" w:hAnsi="Verdana" w:cs="Verdana"/>
          <w:lang w:val="es-MX"/>
        </w:rPr>
        <w:t xml:space="preserve">Correo de radicación de correspondencia: </w:t>
      </w:r>
      <w:hyperlink r:id="rId20" w:history="1">
        <w:r w:rsidRPr="00C805BA">
          <w:rPr>
            <w:rFonts w:ascii="Verdana" w:eastAsia="Verdana" w:hAnsi="Verdana" w:cs="Verdana"/>
            <w:color w:val="0000FF"/>
            <w:u w:val="single"/>
            <w:lang w:val="es-MX"/>
          </w:rPr>
          <w:t>ventanilladeradicacion@colombiacompra.gov.co</w:t>
        </w:r>
      </w:hyperlink>
    </w:p>
    <w:p w14:paraId="2F15218C" w14:textId="77777777" w:rsidR="00F01E22" w:rsidRPr="00C805BA" w:rsidRDefault="00F01E22" w:rsidP="00F01E22">
      <w:pPr>
        <w:numPr>
          <w:ilvl w:val="0"/>
          <w:numId w:val="10"/>
        </w:numPr>
        <w:spacing w:after="0" w:line="256" w:lineRule="auto"/>
        <w:contextualSpacing/>
        <w:rPr>
          <w:rFonts w:ascii="Verdana" w:eastAsia="Verdana" w:hAnsi="Verdana" w:cs="Verdana"/>
          <w:color w:val="0000FF"/>
          <w:u w:val="single"/>
          <w:lang w:val="es-MX"/>
        </w:rPr>
      </w:pPr>
      <w:r w:rsidRPr="00C805BA">
        <w:rPr>
          <w:rFonts w:ascii="Verdana" w:eastAsia="Verdana" w:hAnsi="Verdana" w:cs="Verdana"/>
          <w:lang w:val="es-ES"/>
        </w:rPr>
        <w:t xml:space="preserve">Formulario web para PQRSD: </w:t>
      </w:r>
      <w:hyperlink r:id="rId21" w:history="1">
        <w:r w:rsidRPr="00C805BA">
          <w:rPr>
            <w:rFonts w:ascii="Verdana" w:eastAsia="Verdana" w:hAnsi="Verdana" w:cs="Verdana"/>
            <w:color w:val="0000FF"/>
            <w:u w:val="single"/>
            <w:lang w:val="es-MX"/>
          </w:rPr>
          <w:t>https://www.colombiacompra.gov.co/pqrsd/informacion-importante-antes-de-formular-una-pqrsd</w:t>
        </w:r>
      </w:hyperlink>
    </w:p>
    <w:p w14:paraId="58B4CE07" w14:textId="77777777" w:rsidR="00F01E22" w:rsidRPr="00C805BA" w:rsidRDefault="00F01E22" w:rsidP="00F01E22">
      <w:pPr>
        <w:spacing w:after="0" w:line="240" w:lineRule="auto"/>
        <w:ind w:left="720"/>
        <w:jc w:val="both"/>
        <w:rPr>
          <w:rFonts w:ascii="Verdana" w:hAnsi="Verdana"/>
        </w:rPr>
      </w:pPr>
    </w:p>
    <w:p w14:paraId="2B50B80A" w14:textId="77777777" w:rsidR="00F01E22" w:rsidRPr="00C805BA" w:rsidRDefault="00F01E22" w:rsidP="00F01E22">
      <w:pPr>
        <w:spacing w:after="0" w:line="240" w:lineRule="auto"/>
        <w:rPr>
          <w:rFonts w:ascii="Verdana" w:eastAsia="Calibri" w:hAnsi="Verdana" w:cs="Times New Roman"/>
        </w:rPr>
      </w:pPr>
      <w:r w:rsidRPr="00C805BA">
        <w:rPr>
          <w:rFonts w:ascii="Verdana" w:eastAsia="Calibri" w:hAnsi="Verdana" w:cs="Times New Roman"/>
        </w:rPr>
        <w:t xml:space="preserve">Evalúa el servicio que ofrece la Agencia por el canal de atención de PQRSD en el siguiente </w:t>
      </w:r>
      <w:proofErr w:type="gramStart"/>
      <w:r w:rsidRPr="00C805BA">
        <w:rPr>
          <w:rFonts w:ascii="Verdana" w:eastAsia="Calibri" w:hAnsi="Verdana" w:cs="Times New Roman"/>
        </w:rPr>
        <w:t>enlace :</w:t>
      </w:r>
      <w:proofErr w:type="gramEnd"/>
      <w:hyperlink r:id="rId22" w:tgtFrame="_blank" w:tooltip="https://forms.office.com/r/pphywvs2sz" w:history="1">
        <w:r w:rsidRPr="00C805BA">
          <w:rPr>
            <w:rFonts w:ascii="Verdana" w:eastAsia="Calibri" w:hAnsi="Verdana" w:cs="Times New Roman"/>
            <w:color w:val="0000FF"/>
            <w:u w:val="single"/>
          </w:rPr>
          <w:t>https://forms.office.com/r/pPHyWVs2SZ</w:t>
        </w:r>
      </w:hyperlink>
      <w:r w:rsidRPr="00C805BA">
        <w:rPr>
          <w:rFonts w:ascii="Verdana" w:eastAsia="Calibri" w:hAnsi="Verdana" w:cs="Times New Roman"/>
        </w:rPr>
        <w:t xml:space="preserve"> .¡Ayúdanos a mejorar porque el compromiso es de todos!</w:t>
      </w:r>
    </w:p>
    <w:p w14:paraId="52B114C6" w14:textId="77777777" w:rsidR="00F01E22" w:rsidRPr="00C805BA" w:rsidRDefault="00F01E22" w:rsidP="00F01E22">
      <w:pPr>
        <w:spacing w:after="0" w:line="240" w:lineRule="auto"/>
        <w:rPr>
          <w:rFonts w:ascii="Verdana" w:eastAsia="Calibri" w:hAnsi="Verdana" w:cs="Times New Roman"/>
        </w:rPr>
      </w:pPr>
    </w:p>
    <w:p w14:paraId="6E76D228" w14:textId="77777777" w:rsidR="00F01E22" w:rsidRPr="00C805BA" w:rsidRDefault="00F01E22" w:rsidP="00F01E22">
      <w:pPr>
        <w:spacing w:after="0" w:line="240" w:lineRule="auto"/>
        <w:jc w:val="both"/>
        <w:rPr>
          <w:rFonts w:ascii="Verdana" w:eastAsia="Calibri" w:hAnsi="Verdana" w:cs="Times New Roman"/>
        </w:rPr>
      </w:pPr>
      <w:r w:rsidRPr="00C805BA">
        <w:rPr>
          <w:rFonts w:ascii="Verdana" w:eastAsia="Calibri" w:hAnsi="Verdana" w:cs="Times New Roman"/>
        </w:rPr>
        <w:t xml:space="preserve">Por último, lo invitamos a seguirnos en las redes sociales en las cuales se difunde información institucional: </w:t>
      </w:r>
    </w:p>
    <w:p w14:paraId="5F694DC1" w14:textId="77777777" w:rsidR="00F01E22" w:rsidRPr="00C805BA" w:rsidRDefault="00F01E22" w:rsidP="00F01E22">
      <w:pPr>
        <w:spacing w:after="0" w:line="240" w:lineRule="auto"/>
        <w:jc w:val="both"/>
        <w:rPr>
          <w:rFonts w:ascii="Verdana" w:eastAsia="Calibri" w:hAnsi="Verdana" w:cs="Times New Roman"/>
        </w:rPr>
      </w:pPr>
    </w:p>
    <w:p w14:paraId="65D8BD74" w14:textId="77777777" w:rsidR="00F01E22" w:rsidRPr="00C805BA" w:rsidRDefault="00F01E22" w:rsidP="00F01E22">
      <w:pPr>
        <w:spacing w:after="0" w:line="240" w:lineRule="auto"/>
        <w:jc w:val="both"/>
        <w:rPr>
          <w:rFonts w:ascii="Verdana" w:eastAsia="Calibri" w:hAnsi="Verdana" w:cs="Times New Roman"/>
        </w:rPr>
      </w:pPr>
      <w:r w:rsidRPr="00C805BA">
        <w:rPr>
          <w:rFonts w:ascii="Verdana" w:eastAsia="Calibri" w:hAnsi="Verdana" w:cs="Times New Roman"/>
        </w:rPr>
        <w:t xml:space="preserve">Twitter: </w:t>
      </w:r>
      <w:r w:rsidRPr="00C805BA">
        <w:rPr>
          <w:rFonts w:ascii="Verdana" w:eastAsia="Calibri" w:hAnsi="Verdana" w:cs="Times New Roman"/>
          <w:color w:val="0000FF"/>
          <w:u w:val="single"/>
        </w:rPr>
        <w:t>@colombiacompra</w:t>
      </w:r>
      <w:r w:rsidRPr="00C805BA">
        <w:rPr>
          <w:rFonts w:ascii="Verdana" w:eastAsia="Calibri" w:hAnsi="Verdana" w:cs="Times New Roman"/>
        </w:rPr>
        <w:t xml:space="preserve"> </w:t>
      </w:r>
    </w:p>
    <w:p w14:paraId="46E8EAE6" w14:textId="77777777" w:rsidR="00F01E22" w:rsidRPr="00C805BA" w:rsidRDefault="00F01E22" w:rsidP="00F01E22">
      <w:pPr>
        <w:spacing w:after="0" w:line="240" w:lineRule="auto"/>
        <w:jc w:val="both"/>
        <w:rPr>
          <w:rFonts w:ascii="Verdana" w:eastAsia="Calibri" w:hAnsi="Verdana" w:cs="Times New Roman"/>
        </w:rPr>
      </w:pPr>
      <w:r w:rsidRPr="00C805BA">
        <w:rPr>
          <w:rFonts w:ascii="Verdana" w:eastAsia="Calibri" w:hAnsi="Verdana" w:cs="Times New Roman"/>
        </w:rPr>
        <w:t xml:space="preserve">Facebook: </w:t>
      </w:r>
      <w:proofErr w:type="spellStart"/>
      <w:r w:rsidRPr="00C805BA">
        <w:rPr>
          <w:rFonts w:ascii="Verdana" w:eastAsia="Calibri" w:hAnsi="Verdana" w:cs="Times New Roman"/>
          <w:color w:val="0000FF"/>
          <w:u w:val="single"/>
        </w:rPr>
        <w:t>ColombiaCompraEficiente</w:t>
      </w:r>
      <w:proofErr w:type="spellEnd"/>
    </w:p>
    <w:p w14:paraId="708858A3" w14:textId="77777777" w:rsidR="00F01E22" w:rsidRPr="00C805BA" w:rsidRDefault="00F01E22" w:rsidP="00F01E22">
      <w:pPr>
        <w:spacing w:after="0" w:line="240" w:lineRule="auto"/>
        <w:jc w:val="both"/>
        <w:rPr>
          <w:rFonts w:ascii="Verdana" w:eastAsia="Calibri" w:hAnsi="Verdana" w:cs="Times New Roman"/>
        </w:rPr>
      </w:pPr>
      <w:r w:rsidRPr="00C805BA">
        <w:rPr>
          <w:rFonts w:ascii="Verdana" w:eastAsia="Calibri" w:hAnsi="Verdana" w:cs="Times New Roman"/>
        </w:rPr>
        <w:t xml:space="preserve">LinkedIn: </w:t>
      </w:r>
      <w:r w:rsidRPr="00C805BA">
        <w:rPr>
          <w:rFonts w:ascii="Verdana" w:eastAsia="Calibri" w:hAnsi="Verdana" w:cs="Times New Roman"/>
          <w:color w:val="0000FF"/>
          <w:u w:val="single"/>
        </w:rPr>
        <w:t>Agencia Nacional de Contratación Pública - Colombia Compra Eficiente</w:t>
      </w:r>
      <w:r w:rsidRPr="00C805BA">
        <w:rPr>
          <w:rFonts w:ascii="Verdana" w:eastAsia="Calibri" w:hAnsi="Verdana" w:cs="Times New Roman"/>
        </w:rPr>
        <w:t xml:space="preserve"> Instagram: </w:t>
      </w:r>
      <w:r w:rsidRPr="00C805BA">
        <w:rPr>
          <w:rFonts w:ascii="Verdana" w:eastAsia="Calibri" w:hAnsi="Verdana" w:cs="Times New Roman"/>
          <w:color w:val="0000FF"/>
          <w:u w:val="single"/>
        </w:rPr>
        <w:t>@colombiacompraeficiente_cce</w:t>
      </w:r>
    </w:p>
    <w:p w14:paraId="39BD5250" w14:textId="77777777" w:rsidR="00F01E22" w:rsidRPr="00C805BA" w:rsidRDefault="00F01E22" w:rsidP="00F01E22">
      <w:pPr>
        <w:widowControl w:val="0"/>
        <w:autoSpaceDE w:val="0"/>
        <w:autoSpaceDN w:val="0"/>
        <w:spacing w:after="120" w:line="276" w:lineRule="auto"/>
        <w:jc w:val="both"/>
        <w:rPr>
          <w:rFonts w:ascii="Verdana" w:eastAsia="Calibri" w:hAnsi="Verdana" w:cs="Arial"/>
          <w:color w:val="FF0000"/>
          <w:shd w:val="clear" w:color="auto" w:fill="FFFFFF"/>
          <w:lang w:val="es-ES_tradnl"/>
        </w:rPr>
      </w:pPr>
      <w:r w:rsidRPr="00C805BA">
        <w:rPr>
          <w:rFonts w:ascii="Verdana" w:eastAsia="Calibri" w:hAnsi="Verdana" w:cs="Arial"/>
          <w:color w:val="FF0000"/>
          <w:shd w:val="clear" w:color="auto" w:fill="FFFFFF"/>
          <w:lang w:val="es-ES_tradnl"/>
        </w:rPr>
        <w:t xml:space="preserve">        </w:t>
      </w:r>
    </w:p>
    <w:p w14:paraId="2F0B8C86" w14:textId="77777777" w:rsidR="00F01E22" w:rsidRPr="00C805BA" w:rsidRDefault="00F01E22" w:rsidP="00F01E22">
      <w:pPr>
        <w:widowControl w:val="0"/>
        <w:autoSpaceDE w:val="0"/>
        <w:autoSpaceDN w:val="0"/>
        <w:spacing w:after="0" w:line="276" w:lineRule="auto"/>
        <w:jc w:val="both"/>
        <w:rPr>
          <w:rFonts w:ascii="Verdana" w:eastAsia="Calibri" w:hAnsi="Verdana" w:cs="Arial"/>
          <w:lang w:val="es-ES_tradnl"/>
        </w:rPr>
      </w:pPr>
      <w:r w:rsidRPr="00C805BA">
        <w:rPr>
          <w:rFonts w:ascii="Verdana" w:eastAsia="Calibri"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691AB2C4" w14:textId="77777777" w:rsidR="00F01E22" w:rsidRPr="00C805BA" w:rsidRDefault="00F01E22" w:rsidP="00F01E22">
      <w:pPr>
        <w:widowControl w:val="0"/>
        <w:autoSpaceDE w:val="0"/>
        <w:autoSpaceDN w:val="0"/>
        <w:spacing w:after="0" w:line="276" w:lineRule="auto"/>
        <w:jc w:val="both"/>
        <w:rPr>
          <w:rFonts w:ascii="Verdana" w:eastAsia="Calibri" w:hAnsi="Verdana" w:cs="Arial"/>
          <w:lang w:val="es-ES_tradnl"/>
        </w:rPr>
      </w:pPr>
    </w:p>
    <w:p w14:paraId="4048EAFC" w14:textId="77777777" w:rsidR="00F01E22" w:rsidRPr="00C805BA" w:rsidRDefault="00F01E22" w:rsidP="00F01E22">
      <w:pPr>
        <w:spacing w:after="0" w:line="240" w:lineRule="auto"/>
        <w:rPr>
          <w:rFonts w:ascii="Verdana" w:eastAsia="Calibri" w:hAnsi="Verdana" w:cs="Arial"/>
          <w:lang w:val="es-ES_tradnl" w:eastAsia="es-CO"/>
        </w:rPr>
      </w:pPr>
      <w:r w:rsidRPr="00C805BA">
        <w:rPr>
          <w:rFonts w:ascii="Verdana" w:eastAsia="Times New Roman" w:hAnsi="Verdana" w:cs="Arial"/>
          <w:lang w:val="es-ES_tradnl" w:eastAsia="es-CO"/>
        </w:rPr>
        <w:t>Atentamente,</w:t>
      </w:r>
      <w:r w:rsidRPr="00C805BA">
        <w:rPr>
          <w:rFonts w:ascii="Verdana" w:eastAsia="Calibri" w:hAnsi="Verdana" w:cs="Arial"/>
          <w:lang w:val="es-ES_tradnl" w:eastAsia="es-CO"/>
        </w:rPr>
        <w:t xml:space="preserve"> </w:t>
      </w:r>
    </w:p>
    <w:p w14:paraId="486BA0F6" w14:textId="5B97E653" w:rsidR="00F01E22" w:rsidRPr="00C805BA" w:rsidRDefault="00772454" w:rsidP="00F01E22">
      <w:pPr>
        <w:spacing w:line="276" w:lineRule="auto"/>
        <w:jc w:val="center"/>
        <w:rPr>
          <w:rFonts w:ascii="Verdana" w:eastAsia="Calibri" w:hAnsi="Verdana" w:cs="Arial"/>
          <w:color w:val="000000"/>
          <w:lang w:val="es-ES_tradnl" w:eastAsia="es-CO"/>
        </w:rPr>
      </w:pPr>
      <w:r w:rsidRPr="002C3AD6">
        <w:rPr>
          <w:rFonts w:ascii="Century Gothic" w:hAnsi="Century Gothic"/>
          <w:noProof/>
        </w:rPr>
        <w:drawing>
          <wp:inline distT="0" distB="0" distL="0" distR="0" wp14:anchorId="6D6BE600" wp14:editId="501A763D">
            <wp:extent cx="3771900" cy="1318260"/>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3"/>
                    <a:stretch>
                      <a:fillRect/>
                    </a:stretch>
                  </pic:blipFill>
                  <pic:spPr>
                    <a:xfrm>
                      <a:off x="0" y="0"/>
                      <a:ext cx="3772426" cy="1318444"/>
                    </a:xfrm>
                    <a:prstGeom prst="rect">
                      <a:avLst/>
                    </a:prstGeom>
                  </pic:spPr>
                </pic:pic>
              </a:graphicData>
            </a:graphic>
          </wp:inline>
        </w:drawing>
      </w:r>
    </w:p>
    <w:tbl>
      <w:tblPr>
        <w:tblStyle w:val="Tablaconcuadrcula11"/>
        <w:tblW w:w="6521" w:type="dxa"/>
        <w:tblLook w:val="04A0" w:firstRow="1" w:lastRow="0" w:firstColumn="1" w:lastColumn="0" w:noHBand="0" w:noVBand="1"/>
      </w:tblPr>
      <w:tblGrid>
        <w:gridCol w:w="893"/>
        <w:gridCol w:w="5628"/>
      </w:tblGrid>
      <w:tr w:rsidR="00F01E22" w:rsidRPr="00C805BA" w14:paraId="7E63EE44" w14:textId="77777777" w:rsidTr="003B02A7">
        <w:trPr>
          <w:trHeight w:val="315"/>
        </w:trPr>
        <w:tc>
          <w:tcPr>
            <w:tcW w:w="893" w:type="dxa"/>
            <w:vAlign w:val="center"/>
            <w:hideMark/>
          </w:tcPr>
          <w:p w14:paraId="640AC7EB" w14:textId="77777777" w:rsidR="00F01E22" w:rsidRPr="00C805BA" w:rsidRDefault="00F01E22" w:rsidP="003B02A7">
            <w:pPr>
              <w:spacing w:line="256" w:lineRule="auto"/>
              <w:contextualSpacing/>
              <w:rPr>
                <w:rFonts w:ascii="Verdana" w:eastAsia="Calibri" w:hAnsi="Verdana"/>
                <w:sz w:val="16"/>
                <w:szCs w:val="16"/>
                <w:lang w:eastAsia="es-ES"/>
              </w:rPr>
            </w:pPr>
            <w:r w:rsidRPr="00C805BA">
              <w:rPr>
                <w:rFonts w:ascii="Verdana" w:eastAsia="Calibri" w:hAnsi="Verdana"/>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0CA47850" w14:textId="77777777" w:rsidR="00F01E22" w:rsidRPr="00C805BA" w:rsidRDefault="00F01E22" w:rsidP="003B02A7">
            <w:pPr>
              <w:spacing w:line="256" w:lineRule="auto"/>
              <w:contextualSpacing/>
              <w:rPr>
                <w:rFonts w:ascii="Verdana" w:eastAsia="Calibri" w:hAnsi="Verdana" w:cs="Times New Roman"/>
                <w:sz w:val="16"/>
                <w:szCs w:val="16"/>
              </w:rPr>
            </w:pPr>
            <w:r w:rsidRPr="00C805BA">
              <w:rPr>
                <w:rFonts w:ascii="Verdana" w:eastAsia="Calibri" w:hAnsi="Verdana" w:cs="Times New Roman"/>
                <w:sz w:val="16"/>
                <w:szCs w:val="16"/>
              </w:rPr>
              <w:t>Tatiana Baquero Iguarán</w:t>
            </w:r>
          </w:p>
          <w:p w14:paraId="1CA844CB" w14:textId="77777777" w:rsidR="00F01E22" w:rsidRPr="00C805BA" w:rsidRDefault="00F01E22" w:rsidP="003B02A7">
            <w:pPr>
              <w:spacing w:line="256" w:lineRule="auto"/>
              <w:contextualSpacing/>
              <w:rPr>
                <w:rFonts w:ascii="Verdana" w:hAnsi="Verdana"/>
                <w:sz w:val="16"/>
                <w:szCs w:val="16"/>
              </w:rPr>
            </w:pPr>
            <w:r w:rsidRPr="00C805BA">
              <w:rPr>
                <w:rFonts w:ascii="Verdana" w:eastAsia="Calibri" w:hAnsi="Verdana" w:cs="Times New Roman"/>
                <w:sz w:val="16"/>
                <w:szCs w:val="16"/>
              </w:rPr>
              <w:t>Contratista de la Subdirección de Gestión Contractual</w:t>
            </w:r>
          </w:p>
        </w:tc>
      </w:tr>
      <w:tr w:rsidR="00F01E22" w:rsidRPr="00C805BA" w14:paraId="1C85CD7C" w14:textId="77777777" w:rsidTr="003B02A7">
        <w:trPr>
          <w:trHeight w:val="330"/>
        </w:trPr>
        <w:tc>
          <w:tcPr>
            <w:tcW w:w="893" w:type="dxa"/>
            <w:vAlign w:val="center"/>
            <w:hideMark/>
          </w:tcPr>
          <w:p w14:paraId="5AB8B4B1" w14:textId="77777777" w:rsidR="00F01E22" w:rsidRPr="00C805BA" w:rsidRDefault="00F01E22" w:rsidP="003B02A7">
            <w:pPr>
              <w:spacing w:line="256" w:lineRule="auto"/>
              <w:contextualSpacing/>
              <w:rPr>
                <w:rFonts w:ascii="Verdana" w:eastAsia="Calibri" w:hAnsi="Verdana"/>
                <w:sz w:val="16"/>
                <w:szCs w:val="16"/>
                <w:lang w:eastAsia="es-ES"/>
              </w:rPr>
            </w:pPr>
            <w:r w:rsidRPr="00C805BA">
              <w:rPr>
                <w:rFonts w:ascii="Verdana" w:eastAsia="Calibri" w:hAnsi="Verdana"/>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AF8CC3B" w14:textId="77777777" w:rsidR="00F01E22" w:rsidRPr="00C805BA" w:rsidRDefault="00F01E22" w:rsidP="003B02A7">
            <w:pPr>
              <w:spacing w:before="100" w:beforeAutospacing="1" w:afterAutospacing="1" w:line="256" w:lineRule="auto"/>
              <w:contextualSpacing/>
              <w:textAlignment w:val="baseline"/>
              <w:rPr>
                <w:rFonts w:ascii="Verdana" w:eastAsia="Times New Roman" w:hAnsi="Verdana"/>
                <w:sz w:val="16"/>
                <w:szCs w:val="16"/>
                <w:lang w:eastAsia="es-ES_tradnl"/>
              </w:rPr>
            </w:pPr>
            <w:r w:rsidRPr="00C805BA">
              <w:rPr>
                <w:rFonts w:ascii="Verdana" w:eastAsia="Times New Roman" w:hAnsi="Verdana"/>
                <w:sz w:val="16"/>
                <w:szCs w:val="16"/>
                <w:lang w:eastAsia="es-ES_tradnl"/>
              </w:rPr>
              <w:t>Alejandro Sarmiento Cantillo</w:t>
            </w:r>
          </w:p>
          <w:p w14:paraId="35BFDCC9" w14:textId="77777777" w:rsidR="00F01E22" w:rsidRPr="00C805BA" w:rsidRDefault="00F01E22" w:rsidP="003B02A7">
            <w:pPr>
              <w:spacing w:line="256" w:lineRule="auto"/>
              <w:contextualSpacing/>
              <w:textAlignment w:val="baseline"/>
              <w:rPr>
                <w:rFonts w:ascii="Verdana" w:eastAsia="Times New Roman" w:hAnsi="Verdana" w:cs="Segoe UI"/>
                <w:sz w:val="16"/>
                <w:szCs w:val="16"/>
                <w:lang w:eastAsia="es-ES_tradnl"/>
              </w:rPr>
            </w:pPr>
            <w:r w:rsidRPr="00C805BA">
              <w:rPr>
                <w:rFonts w:ascii="Verdana" w:eastAsia="Times New Roman" w:hAnsi="Verdana"/>
                <w:sz w:val="16"/>
                <w:szCs w:val="16"/>
                <w:lang w:eastAsia="es-ES_tradnl"/>
              </w:rPr>
              <w:t>Gestor T1 ‒ 15 de la Subdirección de Gestión Contractual </w:t>
            </w:r>
          </w:p>
        </w:tc>
      </w:tr>
      <w:tr w:rsidR="00F01E22" w:rsidRPr="00C805BA" w14:paraId="5E322F2E" w14:textId="77777777" w:rsidTr="003B02A7">
        <w:trPr>
          <w:trHeight w:val="300"/>
        </w:trPr>
        <w:tc>
          <w:tcPr>
            <w:tcW w:w="893" w:type="dxa"/>
            <w:vAlign w:val="center"/>
          </w:tcPr>
          <w:p w14:paraId="5428C5F1" w14:textId="77777777" w:rsidR="00F01E22" w:rsidRPr="00C805BA" w:rsidRDefault="00F01E22" w:rsidP="003B02A7">
            <w:pPr>
              <w:spacing w:line="256" w:lineRule="auto"/>
              <w:contextualSpacing/>
              <w:rPr>
                <w:rFonts w:ascii="Verdana" w:eastAsia="Calibri" w:hAnsi="Verdana"/>
                <w:sz w:val="16"/>
                <w:szCs w:val="16"/>
                <w:lang w:eastAsia="es-ES"/>
              </w:rPr>
            </w:pPr>
            <w:r w:rsidRPr="00C805BA">
              <w:rPr>
                <w:rFonts w:ascii="Verdana" w:eastAsia="Calibri" w:hAnsi="Verdana"/>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B3E9BB9" w14:textId="77777777" w:rsidR="00F01E22" w:rsidRPr="00C805BA" w:rsidRDefault="00F01E22" w:rsidP="003B02A7">
            <w:pPr>
              <w:spacing w:line="256" w:lineRule="auto"/>
              <w:contextualSpacing/>
              <w:rPr>
                <w:rFonts w:ascii="Verdana" w:eastAsia="Calibri" w:hAnsi="Verdana"/>
                <w:sz w:val="16"/>
                <w:szCs w:val="16"/>
                <w:lang w:val="pt-BR" w:eastAsia="es-ES"/>
              </w:rPr>
            </w:pPr>
            <w:r w:rsidRPr="00C805BA">
              <w:rPr>
                <w:rFonts w:ascii="Verdana" w:eastAsia="Calibri" w:hAnsi="Verdana"/>
                <w:sz w:val="16"/>
                <w:szCs w:val="16"/>
                <w:lang w:val="pt-BR" w:eastAsia="es-ES"/>
              </w:rPr>
              <w:t xml:space="preserve">Carolina Quintero </w:t>
            </w:r>
            <w:proofErr w:type="spellStart"/>
            <w:r w:rsidRPr="00C805BA">
              <w:rPr>
                <w:rFonts w:ascii="Verdana" w:eastAsia="Calibri" w:hAnsi="Verdana"/>
                <w:sz w:val="16"/>
                <w:szCs w:val="16"/>
                <w:lang w:val="pt-BR" w:eastAsia="es-ES"/>
              </w:rPr>
              <w:t>Gacharná</w:t>
            </w:r>
            <w:proofErr w:type="spellEnd"/>
          </w:p>
          <w:p w14:paraId="6BE8D4A2" w14:textId="77777777" w:rsidR="00F01E22" w:rsidRPr="00C805BA" w:rsidRDefault="00F01E22" w:rsidP="003B02A7">
            <w:pPr>
              <w:spacing w:line="256" w:lineRule="auto"/>
              <w:contextualSpacing/>
              <w:rPr>
                <w:rFonts w:ascii="Verdana" w:eastAsia="Calibri" w:hAnsi="Verdana"/>
                <w:sz w:val="16"/>
                <w:szCs w:val="16"/>
                <w:lang w:val="pt-BR" w:eastAsia="es-ES"/>
              </w:rPr>
            </w:pPr>
            <w:r w:rsidRPr="00C805BA">
              <w:rPr>
                <w:rFonts w:ascii="Verdana" w:eastAsia="Calibri" w:hAnsi="Verdana"/>
                <w:sz w:val="16"/>
                <w:szCs w:val="16"/>
                <w:lang w:eastAsia="es-ES"/>
              </w:rPr>
              <w:t>Subdirectora</w:t>
            </w:r>
            <w:r w:rsidRPr="00C805BA">
              <w:rPr>
                <w:rFonts w:ascii="Verdana" w:eastAsia="Calibri" w:hAnsi="Verdana"/>
                <w:sz w:val="16"/>
                <w:szCs w:val="16"/>
                <w:lang w:val="pt-BR" w:eastAsia="es-ES"/>
              </w:rPr>
              <w:t xml:space="preserve"> de Gestión Contratual ANCP – CCE</w:t>
            </w:r>
          </w:p>
        </w:tc>
      </w:tr>
    </w:tbl>
    <w:p w14:paraId="62758237" w14:textId="1E914C19" w:rsidR="00244D0E" w:rsidRPr="00241376" w:rsidRDefault="00244D0E" w:rsidP="00244D0E">
      <w:pPr>
        <w:spacing w:after="0" w:line="240" w:lineRule="auto"/>
        <w:rPr>
          <w:rFonts w:ascii="Verdana" w:eastAsia="Geomanist Light" w:hAnsi="Verdana" w:cs="Arial"/>
          <w:color w:val="201F1E"/>
          <w:lang w:val="es-MX"/>
        </w:rPr>
      </w:pPr>
    </w:p>
    <w:sectPr w:rsidR="00244D0E" w:rsidRPr="00241376" w:rsidSect="00C44B4C">
      <w:headerReference w:type="default" r:id="rId24"/>
      <w:footerReference w:type="default" r:id="rId25"/>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8D0CA9" w14:textId="77777777" w:rsidR="001A7506" w:rsidRDefault="001A7506" w:rsidP="00B30448">
      <w:pPr>
        <w:spacing w:after="0" w:line="240" w:lineRule="auto"/>
      </w:pPr>
      <w:r>
        <w:separator/>
      </w:r>
    </w:p>
  </w:endnote>
  <w:endnote w:type="continuationSeparator" w:id="0">
    <w:p w14:paraId="7C92FC18" w14:textId="77777777" w:rsidR="001A7506" w:rsidRDefault="001A7506" w:rsidP="00B30448">
      <w:pPr>
        <w:spacing w:after="0" w:line="240" w:lineRule="auto"/>
      </w:pPr>
      <w:r>
        <w:continuationSeparator/>
      </w:r>
    </w:p>
  </w:endnote>
  <w:endnote w:type="continuationNotice" w:id="1">
    <w:p w14:paraId="401B4DF5" w14:textId="77777777" w:rsidR="001A7506" w:rsidRDefault="001A750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Work Sans">
    <w:charset w:val="00"/>
    <w:family w:val="auto"/>
    <w:pitch w:val="variable"/>
    <w:sig w:usb0="A00000FF" w:usb1="5000E07B" w:usb2="00000000" w:usb3="00000000" w:csb0="00000193"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9C0E4" w14:textId="77777777" w:rsidR="00A81E50" w:rsidRPr="00174B77" w:rsidRDefault="00A81E50" w:rsidP="00A81E50">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036F9C">
      <w:rPr>
        <w:rFonts w:ascii="Verdana" w:eastAsia="MS Gothic" w:hAnsi="Verdana" w:cs="Times New Roman"/>
        <w:b/>
        <w:bCs/>
        <w:sz w:val="16"/>
        <w:szCs w:val="16"/>
        <w:lang w:val="es-ES"/>
      </w:rPr>
      <w:t xml:space="preserve">pág. </w:t>
    </w:r>
    <w:r w:rsidRPr="00036F9C">
      <w:rPr>
        <w:rFonts w:ascii="Verdana" w:eastAsia="MS Mincho" w:hAnsi="Verdana"/>
        <w:b/>
        <w:bCs/>
        <w:sz w:val="16"/>
        <w:szCs w:val="16"/>
      </w:rPr>
      <w:fldChar w:fldCharType="begin"/>
    </w:r>
    <w:r w:rsidRPr="002E1330">
      <w:rPr>
        <w:rFonts w:ascii="Verdana" w:hAnsi="Verdana"/>
        <w:b/>
        <w:bCs/>
        <w:sz w:val="16"/>
        <w:szCs w:val="16"/>
      </w:rPr>
      <w:instrText>PAGE    \* MERGEFORMAT</w:instrText>
    </w:r>
    <w:r w:rsidRPr="00036F9C">
      <w:rPr>
        <w:rFonts w:ascii="Verdana" w:eastAsia="MS Mincho" w:hAnsi="Verdana"/>
        <w:b/>
        <w:bCs/>
        <w:sz w:val="16"/>
        <w:szCs w:val="16"/>
      </w:rPr>
      <w:fldChar w:fldCharType="separate"/>
    </w:r>
    <w:r w:rsidRPr="00036F9C">
      <w:rPr>
        <w:rFonts w:ascii="Verdana" w:eastAsia="MS Mincho" w:hAnsi="Verdana"/>
        <w:b/>
        <w:bCs/>
        <w:sz w:val="16"/>
        <w:szCs w:val="16"/>
      </w:rPr>
      <w:t>1</w:t>
    </w:r>
    <w:r w:rsidRPr="00036F9C">
      <w:rPr>
        <w:rFonts w:ascii="Verdana" w:eastAsia="MS Gothic" w:hAnsi="Verdana" w:cs="Times New Roman"/>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4FC9CAA9" w14:textId="77777777" w:rsidR="00A81E50" w:rsidRDefault="00A81E50" w:rsidP="00A81E50">
    <w:pPr>
      <w:spacing w:after="0"/>
      <w:jc w:val="both"/>
      <w:rPr>
        <w:rFonts w:ascii="Verdana" w:hAnsi="Verdana"/>
        <w:sz w:val="18"/>
        <w:szCs w:val="18"/>
      </w:rPr>
    </w:pPr>
    <w:r w:rsidRPr="00E41027">
      <w:rPr>
        <w:rFonts w:ascii="Verdana" w:hAnsi="Verdana"/>
        <w:sz w:val="18"/>
        <w:szCs w:val="18"/>
      </w:rPr>
      <w:t>Dirección: Carrera 7 # 26 – 20 - Bogotá, Colombia</w:t>
    </w:r>
  </w:p>
  <w:p w14:paraId="0B709B73" w14:textId="77777777" w:rsidR="00A81E50" w:rsidRPr="00E41027" w:rsidRDefault="00A81E50" w:rsidP="00A81E50">
    <w:pPr>
      <w:spacing w:after="0"/>
      <w:jc w:val="both"/>
      <w:rPr>
        <w:rFonts w:ascii="Verdana" w:hAnsi="Verdana"/>
        <w:sz w:val="18"/>
        <w:szCs w:val="18"/>
      </w:rPr>
    </w:pPr>
    <w:r w:rsidRPr="00E41027">
      <w:rPr>
        <w:rFonts w:ascii="Verdana" w:hAnsi="Verdana"/>
        <w:sz w:val="18"/>
        <w:szCs w:val="18"/>
      </w:rPr>
      <w:t>Mesa de servicio: (+57) 601 7456788</w:t>
    </w:r>
  </w:p>
  <w:p w14:paraId="224AB27F" w14:textId="77777777" w:rsidR="00DD7A2C" w:rsidRDefault="00A81E50" w:rsidP="00C00976">
    <w:pPr>
      <w:pBdr>
        <w:top w:val="nil"/>
        <w:left w:val="nil"/>
        <w:bottom w:val="nil"/>
        <w:right w:val="nil"/>
        <w:between w:val="nil"/>
      </w:pBdr>
      <w:tabs>
        <w:tab w:val="center" w:pos="4419"/>
        <w:tab w:val="right" w:pos="8838"/>
        <w:tab w:val="center" w:pos="5400"/>
      </w:tabs>
      <w:spacing w:after="0"/>
      <w:rPr>
        <w:rFonts w:ascii="Verdana" w:hAnsi="Verdana"/>
        <w:sz w:val="20"/>
        <w:szCs w:val="20"/>
      </w:rPr>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20"/>
        <w:szCs w:val="20"/>
      </w:rPr>
      <w:t xml:space="preserve">         </w:t>
    </w:r>
  </w:p>
  <w:p w14:paraId="2B8DBB2A" w14:textId="26AE77D2" w:rsidR="00A81E50" w:rsidRDefault="00A81E50" w:rsidP="00DD7A2C">
    <w:pPr>
      <w:pBdr>
        <w:top w:val="nil"/>
        <w:left w:val="nil"/>
        <w:bottom w:val="nil"/>
        <w:right w:val="nil"/>
        <w:between w:val="nil"/>
      </w:pBdr>
      <w:tabs>
        <w:tab w:val="center" w:pos="4419"/>
        <w:tab w:val="right" w:pos="8838"/>
        <w:tab w:val="center" w:pos="5400"/>
      </w:tabs>
      <w:spacing w:after="0"/>
      <w:jc w:val="right"/>
    </w:pPr>
    <w:r>
      <w:rPr>
        <w:rFonts w:ascii="Verdana" w:hAnsi="Verdana"/>
        <w:sz w:val="20"/>
        <w:szCs w:val="20"/>
      </w:rPr>
      <w:t xml:space="preserve"> </w:t>
    </w:r>
    <w:r w:rsidRPr="00A211EE">
      <w:rPr>
        <w:rFonts w:ascii="Verdana" w:eastAsia="Geo" w:hAnsi="Verdana" w:cs="Geo"/>
        <w:bCs/>
        <w:color w:val="000000"/>
        <w:sz w:val="16"/>
        <w:szCs w:val="16"/>
        <w:lang w:eastAsia="es-CO"/>
      </w:rPr>
      <w:t>Código: CCE-REC-FM-13 Versión</w:t>
    </w:r>
    <w:r w:rsidRPr="00A211EE">
      <w:rPr>
        <w:rFonts w:ascii="Verdana" w:eastAsia="Arial Nova" w:hAnsi="Verdana" w:cs="Arial Nova"/>
        <w:bCs/>
        <w:color w:val="000000"/>
        <w:sz w:val="16"/>
        <w:szCs w:val="16"/>
        <w:lang w:eastAsia="es-CO"/>
      </w:rPr>
      <w:t>:</w:t>
    </w:r>
    <w:r w:rsidRPr="00A211EE">
      <w:rPr>
        <w:rFonts w:ascii="Verdana" w:eastAsia="Arial Nova" w:hAnsi="Verdana" w:cs="Arial Nova"/>
        <w:b/>
        <w:color w:val="000000"/>
        <w:sz w:val="16"/>
        <w:szCs w:val="16"/>
        <w:lang w:eastAsia="es-CO"/>
      </w:rPr>
      <w:t xml:space="preserve"> </w:t>
    </w:r>
    <w:r w:rsidRPr="00A211EE">
      <w:rPr>
        <w:rFonts w:ascii="Verdana" w:eastAsia="Geo" w:hAnsi="Verdana" w:cs="Geo"/>
        <w:sz w:val="16"/>
        <w:szCs w:val="16"/>
        <w:lang w:eastAsia="es-CO"/>
      </w:rPr>
      <w:t>01 Fecha:15-06-2023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4EDDC3" w14:textId="77777777" w:rsidR="001A7506" w:rsidRDefault="001A7506" w:rsidP="00B30448">
      <w:pPr>
        <w:spacing w:after="0" w:line="240" w:lineRule="auto"/>
      </w:pPr>
      <w:r>
        <w:separator/>
      </w:r>
    </w:p>
  </w:footnote>
  <w:footnote w:type="continuationSeparator" w:id="0">
    <w:p w14:paraId="3E2AE22F" w14:textId="77777777" w:rsidR="001A7506" w:rsidRDefault="001A7506" w:rsidP="00B30448">
      <w:pPr>
        <w:spacing w:after="0" w:line="240" w:lineRule="auto"/>
      </w:pPr>
      <w:r>
        <w:continuationSeparator/>
      </w:r>
    </w:p>
  </w:footnote>
  <w:footnote w:type="continuationNotice" w:id="1">
    <w:p w14:paraId="7896CD68" w14:textId="77777777" w:rsidR="001A7506" w:rsidRDefault="001A7506">
      <w:pPr>
        <w:spacing w:after="0" w:line="240" w:lineRule="auto"/>
      </w:pPr>
    </w:p>
  </w:footnote>
  <w:footnote w:id="2">
    <w:p w14:paraId="64983702" w14:textId="77777777" w:rsidR="00F01E22" w:rsidRPr="00191A48" w:rsidRDefault="00F01E22" w:rsidP="00F01E22">
      <w:pPr>
        <w:pStyle w:val="Textonotapie"/>
        <w:ind w:firstLine="709"/>
        <w:jc w:val="both"/>
        <w:rPr>
          <w:rFonts w:ascii="Verdana" w:hAnsi="Verdana" w:cs="Arial"/>
          <w:color w:val="000000" w:themeColor="text1"/>
          <w:sz w:val="16"/>
          <w:szCs w:val="16"/>
        </w:rPr>
      </w:pPr>
      <w:r w:rsidRPr="00191A48">
        <w:rPr>
          <w:rStyle w:val="Refdenotaalpie"/>
          <w:rFonts w:ascii="Verdana" w:hAnsi="Verdana" w:cs="Arial"/>
          <w:color w:val="000000" w:themeColor="text1"/>
          <w:sz w:val="16"/>
          <w:szCs w:val="16"/>
        </w:rPr>
        <w:footnoteRef/>
      </w:r>
      <w:r w:rsidRPr="00191A48">
        <w:rPr>
          <w:rFonts w:ascii="Verdana" w:hAnsi="Verdana" w:cs="Arial"/>
          <w:color w:val="000000" w:themeColor="text1"/>
          <w:sz w:val="16"/>
          <w:szCs w:val="16"/>
        </w:rPr>
        <w:t xml:space="preserve"> En los términos del artículo 665 del Código Civil: </w:t>
      </w:r>
      <w:r>
        <w:rPr>
          <w:rFonts w:ascii="Verdana" w:hAnsi="Verdana" w:cs="Arial"/>
          <w:color w:val="000000" w:themeColor="text1"/>
          <w:sz w:val="16"/>
          <w:szCs w:val="16"/>
        </w:rPr>
        <w:t>“</w:t>
      </w:r>
      <w:r w:rsidRPr="00191A48">
        <w:rPr>
          <w:rFonts w:ascii="Verdana" w:hAnsi="Verdana" w:cs="Arial"/>
          <w:color w:val="000000" w:themeColor="text1"/>
          <w:sz w:val="16"/>
          <w:szCs w:val="16"/>
        </w:rPr>
        <w:t>Derecho real es el que tenemos sobre una cosa sin especto a determinada persona.</w:t>
      </w:r>
    </w:p>
    <w:p w14:paraId="3E832FF4" w14:textId="77777777" w:rsidR="00F01E22" w:rsidRPr="00191A48" w:rsidRDefault="00F01E22" w:rsidP="00F01E22">
      <w:pPr>
        <w:pStyle w:val="Textonotapie"/>
        <w:ind w:firstLine="709"/>
        <w:jc w:val="both"/>
        <w:rPr>
          <w:rFonts w:ascii="Verdana" w:hAnsi="Verdana" w:cs="Arial"/>
          <w:color w:val="000000" w:themeColor="text1"/>
          <w:sz w:val="16"/>
          <w:szCs w:val="16"/>
        </w:rPr>
      </w:pPr>
      <w:r w:rsidRPr="00191A48">
        <w:rPr>
          <w:rFonts w:ascii="Verdana" w:hAnsi="Verdana" w:cs="Arial"/>
          <w:color w:val="000000" w:themeColor="text1"/>
          <w:sz w:val="16"/>
          <w:szCs w:val="16"/>
        </w:rPr>
        <w:t>Son</w:t>
      </w:r>
      <w:r>
        <w:rPr>
          <w:rFonts w:ascii="Verdana" w:hAnsi="Verdana" w:cs="Arial"/>
          <w:color w:val="000000" w:themeColor="text1"/>
          <w:sz w:val="16"/>
          <w:szCs w:val="16"/>
        </w:rPr>
        <w:t xml:space="preserve"> </w:t>
      </w:r>
      <w:r w:rsidRPr="00191A48">
        <w:rPr>
          <w:rFonts w:ascii="Verdana" w:hAnsi="Verdana" w:cs="Arial"/>
          <w:color w:val="000000" w:themeColor="text1"/>
          <w:sz w:val="16"/>
          <w:szCs w:val="16"/>
        </w:rPr>
        <w:t>derechos reales el de dominio, el de herencia, los de usufructo, uso o habitación, los de servidumbres activas, el de prenda y el de hipoteca. De estos derechos nacen las acciones reales</w:t>
      </w:r>
      <w:r>
        <w:rPr>
          <w:rFonts w:ascii="Verdana" w:hAnsi="Verdana" w:cs="Arial"/>
          <w:color w:val="000000" w:themeColor="text1"/>
          <w:sz w:val="16"/>
          <w:szCs w:val="16"/>
        </w:rPr>
        <w:t>”</w:t>
      </w:r>
      <w:r w:rsidRPr="00191A48">
        <w:rPr>
          <w:rFonts w:ascii="Verdana" w:hAnsi="Verdana" w:cs="Arial"/>
          <w:color w:val="000000" w:themeColor="text1"/>
          <w:sz w:val="16"/>
          <w:szCs w:val="16"/>
        </w:rPr>
        <w:t>.</w:t>
      </w:r>
    </w:p>
    <w:p w14:paraId="49D37084" w14:textId="77777777" w:rsidR="00F01E22" w:rsidRPr="00191A48" w:rsidRDefault="00F01E22" w:rsidP="00F01E22">
      <w:pPr>
        <w:pStyle w:val="Textonotapie"/>
        <w:ind w:firstLine="709"/>
        <w:jc w:val="both"/>
        <w:rPr>
          <w:rFonts w:ascii="Verdana" w:hAnsi="Verdana" w:cs="Arial"/>
          <w:color w:val="000000" w:themeColor="text1"/>
          <w:sz w:val="16"/>
          <w:szCs w:val="16"/>
        </w:rPr>
      </w:pPr>
    </w:p>
  </w:footnote>
  <w:footnote w:id="3">
    <w:p w14:paraId="4F905FBA" w14:textId="77777777" w:rsidR="00F01E22" w:rsidRPr="00191A48" w:rsidRDefault="00F01E22" w:rsidP="00F01E22">
      <w:pPr>
        <w:pStyle w:val="Textonotapie"/>
        <w:ind w:firstLine="709"/>
        <w:jc w:val="both"/>
        <w:rPr>
          <w:rFonts w:ascii="Verdana" w:hAnsi="Verdana" w:cs="Arial"/>
          <w:color w:val="000000" w:themeColor="text1"/>
          <w:sz w:val="16"/>
          <w:szCs w:val="16"/>
        </w:rPr>
      </w:pPr>
      <w:r w:rsidRPr="00191A48">
        <w:rPr>
          <w:rStyle w:val="Refdenotaalpie"/>
          <w:rFonts w:ascii="Verdana" w:hAnsi="Verdana" w:cs="Arial"/>
          <w:color w:val="000000" w:themeColor="text1"/>
          <w:sz w:val="16"/>
          <w:szCs w:val="16"/>
        </w:rPr>
        <w:footnoteRef/>
      </w:r>
      <w:r w:rsidRPr="00191A48">
        <w:rPr>
          <w:rFonts w:ascii="Verdana" w:hAnsi="Verdana" w:cs="Arial"/>
          <w:color w:val="000000" w:themeColor="text1"/>
          <w:sz w:val="16"/>
          <w:szCs w:val="16"/>
        </w:rPr>
        <w:t xml:space="preserve"> Según el Diccionario del español jurídico, enajenar es </w:t>
      </w:r>
      <w:r>
        <w:rPr>
          <w:rFonts w:ascii="Verdana" w:hAnsi="Verdana" w:cs="Arial"/>
          <w:color w:val="000000" w:themeColor="text1"/>
          <w:sz w:val="16"/>
          <w:szCs w:val="16"/>
        </w:rPr>
        <w:t>“</w:t>
      </w:r>
      <w:r w:rsidRPr="00191A48">
        <w:rPr>
          <w:rFonts w:ascii="Verdana" w:hAnsi="Verdana" w:cs="Arial"/>
          <w:color w:val="000000" w:themeColor="text1"/>
          <w:sz w:val="16"/>
          <w:szCs w:val="16"/>
        </w:rPr>
        <w:t>Disponer de un bien o derecho transmitiendo su titularidad</w:t>
      </w:r>
      <w:r>
        <w:rPr>
          <w:rFonts w:ascii="Verdana" w:hAnsi="Verdana" w:cs="Arial"/>
          <w:color w:val="000000" w:themeColor="text1"/>
          <w:sz w:val="16"/>
          <w:szCs w:val="16"/>
        </w:rPr>
        <w:t>”</w:t>
      </w:r>
      <w:r w:rsidRPr="00191A48">
        <w:rPr>
          <w:rFonts w:ascii="Verdana" w:hAnsi="Verdana" w:cs="Arial"/>
          <w:color w:val="000000" w:themeColor="text1"/>
          <w:sz w:val="16"/>
          <w:szCs w:val="16"/>
        </w:rPr>
        <w:t xml:space="preserve">. En sitio web: https://dej.rae.es/lema/enajenar. Por su parte, la jurisprudencia ha definido la enajenación del siguiente modo: </w:t>
      </w:r>
      <w:r>
        <w:rPr>
          <w:rFonts w:ascii="Verdana" w:hAnsi="Verdana" w:cs="Arial"/>
          <w:color w:val="000000" w:themeColor="text1"/>
          <w:sz w:val="16"/>
          <w:szCs w:val="16"/>
        </w:rPr>
        <w:t>“</w:t>
      </w:r>
      <w:r w:rsidRPr="00191A48">
        <w:rPr>
          <w:rFonts w:ascii="Verdana" w:hAnsi="Verdana" w:cs="Arial"/>
          <w:color w:val="000000" w:themeColor="text1"/>
          <w:sz w:val="16"/>
          <w:szCs w:val="16"/>
        </w:rPr>
        <w:t>En términos jurídicos "enajenación" significa "La transmisión de la propiedad de una cosa, a cambio de otra (como en la compraventa y en la permuta) o gratuitamente (como en la donación y el préstamo sin interés).</w:t>
      </w:r>
    </w:p>
    <w:p w14:paraId="70B5525C" w14:textId="77777777" w:rsidR="00F01E22" w:rsidRPr="00191A48" w:rsidRDefault="00F01E22" w:rsidP="00F01E22">
      <w:pPr>
        <w:ind w:firstLine="709"/>
        <w:jc w:val="both"/>
        <w:rPr>
          <w:rFonts w:ascii="Verdana" w:hAnsi="Verdana" w:cs="Arial"/>
          <w:color w:val="000000" w:themeColor="text1"/>
          <w:sz w:val="16"/>
          <w:szCs w:val="16"/>
        </w:rPr>
      </w:pPr>
      <w:r w:rsidRPr="00191A48">
        <w:rPr>
          <w:rFonts w:ascii="Verdana" w:hAnsi="Verdana" w:cs="Arial"/>
          <w:color w:val="000000" w:themeColor="text1"/>
          <w:sz w:val="16"/>
          <w:szCs w:val="16"/>
        </w:rPr>
        <w:t>Igualmente, para la doctrina la palabra enajenación en su sentido natural indica la transmisión de cualquier derecho patrimonial de una cabeza a otra, por lo que constituye una adquisición derivada por acto entre vivos del contenido total o parcial de un derecho</w:t>
      </w:r>
      <w:r>
        <w:rPr>
          <w:rFonts w:ascii="Verdana" w:hAnsi="Verdana" w:cs="Arial"/>
          <w:color w:val="000000" w:themeColor="text1"/>
          <w:sz w:val="16"/>
          <w:szCs w:val="16"/>
        </w:rPr>
        <w:t>”</w:t>
      </w:r>
      <w:r w:rsidRPr="00191A48">
        <w:rPr>
          <w:rFonts w:ascii="Verdana" w:hAnsi="Verdana" w:cs="Arial"/>
          <w:color w:val="000000" w:themeColor="text1"/>
          <w:sz w:val="16"/>
          <w:szCs w:val="16"/>
        </w:rPr>
        <w:t xml:space="preserve"> (Consejo de Estado. Sección Cuarta. Sentencia del 6 de febrero de 2006. Consejera Ponente: María Inés Ortiz Barbosa. Expediente: 14.123).</w:t>
      </w:r>
    </w:p>
  </w:footnote>
  <w:footnote w:id="4">
    <w:p w14:paraId="772593EC" w14:textId="77777777" w:rsidR="00F01E22" w:rsidRPr="00191A48" w:rsidRDefault="00F01E22" w:rsidP="00F01E22">
      <w:pPr>
        <w:pStyle w:val="Textonotapie"/>
        <w:ind w:firstLine="709"/>
        <w:jc w:val="both"/>
        <w:rPr>
          <w:rFonts w:ascii="Verdana" w:hAnsi="Verdana" w:cs="Arial"/>
          <w:color w:val="000000" w:themeColor="text1"/>
          <w:sz w:val="16"/>
          <w:szCs w:val="16"/>
        </w:rPr>
      </w:pPr>
      <w:r w:rsidRPr="00191A48">
        <w:rPr>
          <w:rStyle w:val="Refdenotaalpie"/>
          <w:rFonts w:ascii="Verdana" w:hAnsi="Verdana" w:cs="Arial"/>
          <w:color w:val="000000" w:themeColor="text1"/>
          <w:sz w:val="16"/>
          <w:szCs w:val="16"/>
        </w:rPr>
        <w:footnoteRef/>
      </w:r>
      <w:r w:rsidRPr="00191A48">
        <w:rPr>
          <w:rFonts w:ascii="Verdana" w:hAnsi="Verdana" w:cs="Arial"/>
          <w:color w:val="000000" w:themeColor="text1"/>
          <w:sz w:val="16"/>
          <w:szCs w:val="16"/>
        </w:rPr>
        <w:t xml:space="preserve"> VELÁSQUEZ, Hernán Darío. Estudio sobre obligaciones. Bogotá: Temis, 2010. p. 10.</w:t>
      </w:r>
    </w:p>
    <w:p w14:paraId="77A8B25A" w14:textId="77777777" w:rsidR="00F01E22" w:rsidRPr="00191A48" w:rsidRDefault="00F01E22" w:rsidP="00F01E22">
      <w:pPr>
        <w:pStyle w:val="Textonotapie"/>
        <w:ind w:firstLine="709"/>
        <w:jc w:val="both"/>
        <w:rPr>
          <w:rFonts w:ascii="Verdana" w:hAnsi="Verdana" w:cs="Arial"/>
          <w:color w:val="000000" w:themeColor="text1"/>
          <w:sz w:val="16"/>
          <w:szCs w:val="16"/>
        </w:rPr>
      </w:pPr>
    </w:p>
  </w:footnote>
  <w:footnote w:id="5">
    <w:p w14:paraId="1DCF1D02" w14:textId="77777777" w:rsidR="00F01E22" w:rsidRPr="00191A48" w:rsidRDefault="00F01E22" w:rsidP="00F01E22">
      <w:pPr>
        <w:pStyle w:val="Textonotapie"/>
        <w:ind w:firstLine="709"/>
        <w:jc w:val="both"/>
        <w:rPr>
          <w:rFonts w:ascii="Verdana" w:hAnsi="Verdana" w:cs="Arial"/>
          <w:color w:val="000000" w:themeColor="text1"/>
          <w:sz w:val="16"/>
          <w:szCs w:val="16"/>
        </w:rPr>
      </w:pPr>
      <w:r w:rsidRPr="00191A48">
        <w:rPr>
          <w:rStyle w:val="Refdenotaalpie"/>
          <w:rFonts w:ascii="Verdana" w:hAnsi="Verdana" w:cs="Arial"/>
          <w:color w:val="000000" w:themeColor="text1"/>
          <w:sz w:val="16"/>
          <w:szCs w:val="16"/>
        </w:rPr>
        <w:footnoteRef/>
      </w:r>
      <w:r w:rsidRPr="00191A48">
        <w:rPr>
          <w:rFonts w:ascii="Verdana" w:hAnsi="Verdana" w:cs="Arial"/>
          <w:color w:val="000000" w:themeColor="text1"/>
          <w:sz w:val="16"/>
          <w:szCs w:val="16"/>
        </w:rPr>
        <w:t xml:space="preserve"> Así, para Dávila, </w:t>
      </w:r>
      <w:r>
        <w:rPr>
          <w:rFonts w:ascii="Verdana" w:hAnsi="Verdana" w:cs="Arial"/>
          <w:color w:val="000000" w:themeColor="text1"/>
          <w:sz w:val="16"/>
          <w:szCs w:val="16"/>
        </w:rPr>
        <w:t>“</w:t>
      </w:r>
      <w:r w:rsidRPr="00191A48">
        <w:rPr>
          <w:rFonts w:ascii="Verdana" w:hAnsi="Verdana" w:cs="Arial"/>
          <w:color w:val="000000" w:themeColor="text1"/>
          <w:sz w:val="16"/>
          <w:szCs w:val="16"/>
        </w:rPr>
        <w:t>enajenar es comprensivo de un acto traslaticio de dominio</w:t>
      </w:r>
      <w:r>
        <w:rPr>
          <w:rFonts w:ascii="Verdana" w:hAnsi="Verdana" w:cs="Arial"/>
          <w:color w:val="000000" w:themeColor="text1"/>
          <w:sz w:val="16"/>
          <w:szCs w:val="16"/>
        </w:rPr>
        <w:t>”</w:t>
      </w:r>
      <w:r w:rsidRPr="00191A48">
        <w:rPr>
          <w:rFonts w:ascii="Verdana" w:hAnsi="Verdana" w:cs="Arial"/>
          <w:color w:val="000000" w:themeColor="text1"/>
          <w:sz w:val="16"/>
          <w:szCs w:val="16"/>
        </w:rPr>
        <w:t xml:space="preserve"> (DÁVILA, Op.cit., p. 475).</w:t>
      </w:r>
    </w:p>
    <w:p w14:paraId="2D98A860" w14:textId="77777777" w:rsidR="00F01E22" w:rsidRPr="00191A48" w:rsidRDefault="00F01E22" w:rsidP="00F01E22">
      <w:pPr>
        <w:pStyle w:val="Textonotapie"/>
        <w:ind w:firstLine="709"/>
        <w:jc w:val="both"/>
        <w:rPr>
          <w:rFonts w:ascii="Verdana" w:hAnsi="Verdana" w:cs="Arial"/>
          <w:color w:val="000000" w:themeColor="text1"/>
          <w:sz w:val="16"/>
          <w:szCs w:val="16"/>
        </w:rPr>
      </w:pPr>
    </w:p>
  </w:footnote>
  <w:footnote w:id="6">
    <w:p w14:paraId="54802BC3" w14:textId="77777777" w:rsidR="00F01E22" w:rsidRPr="00191A48" w:rsidRDefault="00F01E22" w:rsidP="00F01E22">
      <w:pPr>
        <w:pStyle w:val="Textonotapie"/>
        <w:ind w:firstLine="709"/>
        <w:jc w:val="both"/>
        <w:rPr>
          <w:rFonts w:ascii="Verdana" w:hAnsi="Verdana" w:cs="Arial"/>
          <w:color w:val="000000" w:themeColor="text1"/>
          <w:sz w:val="16"/>
          <w:szCs w:val="16"/>
        </w:rPr>
      </w:pPr>
      <w:r w:rsidRPr="00191A48">
        <w:rPr>
          <w:rStyle w:val="Refdenotaalpie"/>
          <w:rFonts w:ascii="Verdana" w:hAnsi="Verdana" w:cs="Arial"/>
          <w:color w:val="000000" w:themeColor="text1"/>
          <w:sz w:val="16"/>
          <w:szCs w:val="16"/>
        </w:rPr>
        <w:footnoteRef/>
      </w:r>
      <w:r w:rsidRPr="00191A48">
        <w:rPr>
          <w:rFonts w:ascii="Verdana" w:hAnsi="Verdana" w:cs="Arial"/>
          <w:color w:val="000000" w:themeColor="text1"/>
          <w:sz w:val="16"/>
          <w:szCs w:val="16"/>
        </w:rPr>
        <w:t xml:space="preserve"> </w:t>
      </w:r>
      <w:r>
        <w:rPr>
          <w:rFonts w:ascii="Verdana" w:hAnsi="Verdana" w:cs="Arial"/>
          <w:color w:val="000000" w:themeColor="text1"/>
          <w:sz w:val="16"/>
          <w:szCs w:val="16"/>
        </w:rPr>
        <w:t>“</w:t>
      </w:r>
      <w:r w:rsidRPr="00191A48">
        <w:rPr>
          <w:rFonts w:ascii="Verdana" w:hAnsi="Verdana" w:cs="Arial"/>
          <w:color w:val="000000" w:themeColor="text1"/>
          <w:sz w:val="16"/>
          <w:szCs w:val="16"/>
        </w:rPr>
        <w:t>Los modos de adquirir el dominio son la ocupación, la accesión, la tradición, la sucesión por causa de muerte y la prescripción</w:t>
      </w:r>
      <w:r>
        <w:rPr>
          <w:rFonts w:ascii="Verdana" w:hAnsi="Verdana" w:cs="Arial"/>
          <w:color w:val="000000" w:themeColor="text1"/>
          <w:sz w:val="16"/>
          <w:szCs w:val="16"/>
        </w:rPr>
        <w:t>”</w:t>
      </w:r>
      <w:r w:rsidRPr="00191A48">
        <w:rPr>
          <w:rFonts w:ascii="Verdana" w:hAnsi="Verdana" w:cs="Arial"/>
          <w:color w:val="000000" w:themeColor="text1"/>
          <w:sz w:val="16"/>
          <w:szCs w:val="16"/>
        </w:rPr>
        <w:t>.</w:t>
      </w:r>
    </w:p>
    <w:p w14:paraId="541BBD38" w14:textId="77777777" w:rsidR="00F01E22" w:rsidRPr="00191A48" w:rsidRDefault="00F01E22" w:rsidP="00F01E22">
      <w:pPr>
        <w:pStyle w:val="Textonotapie"/>
        <w:ind w:firstLine="709"/>
        <w:jc w:val="both"/>
        <w:rPr>
          <w:rFonts w:ascii="Verdana" w:hAnsi="Verdana" w:cs="Arial"/>
          <w:color w:val="000000" w:themeColor="text1"/>
          <w:sz w:val="16"/>
          <w:szCs w:val="16"/>
        </w:rPr>
      </w:pPr>
    </w:p>
  </w:footnote>
  <w:footnote w:id="7">
    <w:p w14:paraId="4736DDF7" w14:textId="77777777" w:rsidR="00F01E22" w:rsidRPr="00191A48" w:rsidRDefault="00F01E22" w:rsidP="00F01E22">
      <w:pPr>
        <w:ind w:firstLine="709"/>
        <w:jc w:val="both"/>
        <w:rPr>
          <w:rFonts w:ascii="Verdana" w:hAnsi="Verdana" w:cs="Arial"/>
          <w:color w:val="000000" w:themeColor="text1"/>
          <w:sz w:val="16"/>
          <w:szCs w:val="16"/>
          <w:lang w:val="es-ES"/>
        </w:rPr>
      </w:pPr>
      <w:r w:rsidRPr="00191A48">
        <w:rPr>
          <w:rStyle w:val="Refdenotaalpie"/>
          <w:rFonts w:ascii="Verdana" w:hAnsi="Verdana" w:cs="Arial"/>
          <w:color w:val="000000" w:themeColor="text1"/>
          <w:sz w:val="16"/>
          <w:szCs w:val="16"/>
        </w:rPr>
        <w:footnoteRef/>
      </w:r>
      <w:r w:rsidRPr="00191A48">
        <w:rPr>
          <w:rFonts w:ascii="Verdana" w:hAnsi="Verdana" w:cs="Arial"/>
          <w:color w:val="000000" w:themeColor="text1"/>
          <w:sz w:val="16"/>
          <w:szCs w:val="16"/>
        </w:rPr>
        <w:t xml:space="preserve"> </w:t>
      </w:r>
      <w:r w:rsidRPr="00191A48">
        <w:rPr>
          <w:rFonts w:ascii="Verdana" w:hAnsi="Verdana" w:cs="Arial"/>
          <w:color w:val="000000" w:themeColor="text1"/>
          <w:sz w:val="16"/>
          <w:szCs w:val="16"/>
          <w:lang w:val="es-ES"/>
        </w:rPr>
        <w:t xml:space="preserve">Según el artículo 749 del Código Civil </w:t>
      </w:r>
      <w:r>
        <w:rPr>
          <w:rFonts w:ascii="Verdana" w:hAnsi="Verdana" w:cs="Arial"/>
          <w:color w:val="000000" w:themeColor="text1"/>
          <w:sz w:val="16"/>
          <w:szCs w:val="16"/>
          <w:lang w:val="es-ES"/>
        </w:rPr>
        <w:t>“</w:t>
      </w:r>
      <w:r w:rsidRPr="00191A48">
        <w:rPr>
          <w:rFonts w:ascii="Verdana" w:hAnsi="Verdana" w:cs="Arial"/>
          <w:color w:val="000000" w:themeColor="text1"/>
          <w:sz w:val="16"/>
          <w:szCs w:val="16"/>
          <w:lang w:val="es-ES"/>
        </w:rPr>
        <w:t>Si la ley exige solemnidades especiales para la enajenación, no se transfiere el dominio sin ellas</w:t>
      </w:r>
      <w:r>
        <w:rPr>
          <w:rFonts w:ascii="Verdana" w:hAnsi="Verdana" w:cs="Arial"/>
          <w:color w:val="000000" w:themeColor="text1"/>
          <w:sz w:val="16"/>
          <w:szCs w:val="16"/>
          <w:lang w:val="es-ES"/>
        </w:rPr>
        <w:t>”</w:t>
      </w:r>
      <w:r w:rsidRPr="00191A48">
        <w:rPr>
          <w:rFonts w:ascii="Verdana" w:hAnsi="Verdana" w:cs="Arial"/>
          <w:color w:val="000000" w:themeColor="text1"/>
          <w:sz w:val="16"/>
          <w:szCs w:val="16"/>
          <w:lang w:val="es-ES"/>
        </w:rPr>
        <w:t>.</w:t>
      </w:r>
    </w:p>
  </w:footnote>
  <w:footnote w:id="8">
    <w:p w14:paraId="1EEE37A8" w14:textId="77777777" w:rsidR="00F01E22" w:rsidRPr="00047341" w:rsidRDefault="00F01E22" w:rsidP="00F01E22">
      <w:pPr>
        <w:ind w:firstLine="708"/>
        <w:jc w:val="both"/>
        <w:rPr>
          <w:rFonts w:ascii="Verdana" w:hAnsi="Verdana" w:cs="Arial"/>
          <w:color w:val="000000" w:themeColor="text1"/>
          <w:sz w:val="16"/>
          <w:szCs w:val="16"/>
        </w:rPr>
      </w:pPr>
      <w:r w:rsidRPr="00191A48">
        <w:rPr>
          <w:rStyle w:val="Refdenotaalpie"/>
          <w:rFonts w:ascii="Verdana" w:hAnsi="Verdana" w:cs="Arial"/>
          <w:sz w:val="16"/>
          <w:szCs w:val="16"/>
        </w:rPr>
        <w:footnoteRef/>
      </w:r>
      <w:r w:rsidRPr="00191A48">
        <w:rPr>
          <w:rFonts w:ascii="Verdana" w:hAnsi="Verdana" w:cs="Arial"/>
          <w:sz w:val="16"/>
          <w:szCs w:val="16"/>
        </w:rPr>
        <w:t xml:space="preserve"> </w:t>
      </w:r>
      <w:r w:rsidRPr="00191A48">
        <w:rPr>
          <w:rFonts w:ascii="Verdana" w:hAnsi="Verdana" w:cs="Arial"/>
          <w:color w:val="000000" w:themeColor="text1"/>
          <w:sz w:val="16"/>
          <w:szCs w:val="16"/>
        </w:rPr>
        <w:t>Corte Constitucional. Sala Plena. M.P. Alfredo Beltrán Sierra. Sentencia C-183 de 2003. Expediente D-4244.</w:t>
      </w:r>
    </w:p>
  </w:footnote>
  <w:footnote w:id="9">
    <w:p w14:paraId="33D9E33A" w14:textId="77777777" w:rsidR="00F01E22" w:rsidRPr="00191A48" w:rsidRDefault="00F01E22" w:rsidP="00F01E22">
      <w:pPr>
        <w:pStyle w:val="Textonotapie"/>
        <w:ind w:firstLine="709"/>
        <w:jc w:val="both"/>
        <w:rPr>
          <w:rFonts w:ascii="Verdana" w:hAnsi="Verdana" w:cs="Arial"/>
          <w:sz w:val="16"/>
          <w:szCs w:val="16"/>
          <w:lang w:val="es-ES"/>
        </w:rPr>
      </w:pPr>
      <w:r w:rsidRPr="00191A48">
        <w:rPr>
          <w:rStyle w:val="Refdenotaalpie"/>
          <w:rFonts w:ascii="Verdana" w:hAnsi="Verdana" w:cs="Arial"/>
          <w:sz w:val="16"/>
          <w:szCs w:val="16"/>
        </w:rPr>
        <w:footnoteRef/>
      </w:r>
      <w:r w:rsidRPr="00191A48">
        <w:rPr>
          <w:rFonts w:ascii="Verdana" w:hAnsi="Verdana" w:cs="Arial"/>
          <w:sz w:val="16"/>
          <w:szCs w:val="16"/>
        </w:rPr>
        <w:t xml:space="preserve"> </w:t>
      </w:r>
      <w:r w:rsidRPr="00191A48">
        <w:rPr>
          <w:rFonts w:ascii="Verdana" w:hAnsi="Verdana" w:cs="Arial"/>
          <w:sz w:val="16"/>
          <w:szCs w:val="16"/>
          <w:lang w:val="es-ES"/>
        </w:rPr>
        <w:t>Ibídem</w:t>
      </w:r>
    </w:p>
  </w:footnote>
  <w:footnote w:id="10">
    <w:p w14:paraId="48EEEE94" w14:textId="77777777" w:rsidR="00F01E22" w:rsidRPr="00191A48" w:rsidRDefault="00F01E22" w:rsidP="00F01E22">
      <w:pPr>
        <w:pStyle w:val="Textonotapie"/>
        <w:jc w:val="both"/>
        <w:rPr>
          <w:rFonts w:ascii="Verdana" w:hAnsi="Verdana" w:cs="Arial"/>
          <w:color w:val="000000" w:themeColor="text1"/>
          <w:sz w:val="16"/>
          <w:szCs w:val="16"/>
        </w:rPr>
      </w:pPr>
    </w:p>
    <w:p w14:paraId="11437AB0" w14:textId="77777777" w:rsidR="00F01E22" w:rsidRPr="00191A48" w:rsidRDefault="00F01E22" w:rsidP="00F01E22">
      <w:pPr>
        <w:pStyle w:val="Textonotapie"/>
        <w:ind w:firstLine="708"/>
        <w:jc w:val="both"/>
        <w:rPr>
          <w:rFonts w:ascii="Verdana" w:hAnsi="Verdana" w:cs="Arial"/>
          <w:color w:val="000000" w:themeColor="text1"/>
          <w:sz w:val="16"/>
          <w:szCs w:val="16"/>
        </w:rPr>
      </w:pPr>
      <w:r w:rsidRPr="00191A48">
        <w:rPr>
          <w:rStyle w:val="Refdenotaalpie"/>
          <w:rFonts w:ascii="Verdana" w:hAnsi="Verdana" w:cs="Arial"/>
          <w:color w:val="000000" w:themeColor="text1"/>
          <w:sz w:val="16"/>
          <w:szCs w:val="16"/>
        </w:rPr>
        <w:footnoteRef/>
      </w:r>
      <w:r w:rsidRPr="00191A48">
        <w:rPr>
          <w:rFonts w:ascii="Verdana" w:hAnsi="Verdana" w:cs="Arial"/>
          <w:color w:val="000000" w:themeColor="text1"/>
          <w:sz w:val="16"/>
          <w:szCs w:val="16"/>
        </w:rPr>
        <w:t xml:space="preserve"> Consejo de Estado. Sala de lo Contencioso Administrativo. Sección Tercera. Sentencia del 30 de abril de 2012. Expediente 21.699. C.P. Ruth Stella Correa Palacio. </w:t>
      </w:r>
    </w:p>
  </w:footnote>
  <w:footnote w:id="11">
    <w:p w14:paraId="64C65A06" w14:textId="77777777" w:rsidR="00F01E22" w:rsidRPr="00191A48" w:rsidRDefault="00F01E22" w:rsidP="00F01E22">
      <w:pPr>
        <w:ind w:firstLine="708"/>
        <w:jc w:val="both"/>
        <w:rPr>
          <w:rFonts w:ascii="Verdana" w:hAnsi="Verdana" w:cs="Arial"/>
          <w:color w:val="000000" w:themeColor="text1"/>
          <w:sz w:val="16"/>
          <w:szCs w:val="16"/>
        </w:rPr>
      </w:pPr>
    </w:p>
    <w:p w14:paraId="287878D7" w14:textId="77777777" w:rsidR="00F01E22" w:rsidRPr="00191A48" w:rsidRDefault="00F01E22" w:rsidP="00F01E22">
      <w:pPr>
        <w:ind w:firstLine="708"/>
        <w:jc w:val="both"/>
        <w:rPr>
          <w:rFonts w:ascii="Verdana" w:hAnsi="Verdana" w:cs="Arial"/>
          <w:color w:val="000000" w:themeColor="text1"/>
          <w:sz w:val="16"/>
          <w:szCs w:val="16"/>
        </w:rPr>
      </w:pPr>
      <w:r w:rsidRPr="00191A48">
        <w:rPr>
          <w:rStyle w:val="Refdenotaalpie"/>
          <w:rFonts w:ascii="Verdana" w:hAnsi="Verdana" w:cs="Arial"/>
          <w:color w:val="000000" w:themeColor="text1"/>
          <w:sz w:val="16"/>
          <w:szCs w:val="16"/>
        </w:rPr>
        <w:footnoteRef/>
      </w:r>
      <w:r w:rsidRPr="00191A48">
        <w:rPr>
          <w:rFonts w:ascii="Verdana" w:hAnsi="Verdana" w:cs="Arial"/>
          <w:color w:val="000000" w:themeColor="text1"/>
          <w:sz w:val="16"/>
          <w:szCs w:val="16"/>
        </w:rPr>
        <w:t xml:space="preserve"> Consejo de Estado.  Sala de lo Contencioso Administrativo. Sección Tercera. Sentencia del 19 de julio de 2018, Expediente 36.711. C.P. Carlos Alberto Zambrano Barrera.</w:t>
      </w:r>
    </w:p>
  </w:footnote>
  <w:footnote w:id="12">
    <w:p w14:paraId="30C08FB9" w14:textId="77777777" w:rsidR="00F01E22" w:rsidRPr="00191A48" w:rsidRDefault="00F01E22" w:rsidP="00F01E22">
      <w:pPr>
        <w:ind w:firstLine="708"/>
        <w:jc w:val="both"/>
        <w:rPr>
          <w:rFonts w:ascii="Verdana" w:hAnsi="Verdana" w:cs="Arial"/>
          <w:sz w:val="16"/>
          <w:szCs w:val="16"/>
        </w:rPr>
      </w:pPr>
      <w:r w:rsidRPr="00191A48">
        <w:rPr>
          <w:rStyle w:val="Refdenotaalpie"/>
          <w:rFonts w:ascii="Verdana" w:hAnsi="Verdana" w:cs="Arial"/>
          <w:color w:val="000000" w:themeColor="text1"/>
          <w:sz w:val="16"/>
          <w:szCs w:val="16"/>
        </w:rPr>
        <w:footnoteRef/>
      </w:r>
      <w:r w:rsidRPr="00191A48">
        <w:rPr>
          <w:rFonts w:ascii="Verdana" w:hAnsi="Verdana" w:cs="Arial"/>
          <w:color w:val="000000" w:themeColor="text1"/>
          <w:sz w:val="16"/>
          <w:szCs w:val="16"/>
        </w:rPr>
        <w:t xml:space="preserve"> Corte Constitucional. Sala Plena. M.P. Alfredo Beltrán Sierra. Sentencia C-183 de 2003. Expediente D-4244</w:t>
      </w:r>
    </w:p>
  </w:footnote>
  <w:footnote w:id="13">
    <w:p w14:paraId="665667D9" w14:textId="77777777" w:rsidR="00F01E22" w:rsidRPr="00191A48" w:rsidRDefault="00F01E22" w:rsidP="00F01E22">
      <w:pPr>
        <w:pStyle w:val="Textonotapie"/>
        <w:ind w:firstLine="709"/>
        <w:rPr>
          <w:rFonts w:ascii="Verdana" w:hAnsi="Verdana"/>
          <w:sz w:val="16"/>
          <w:szCs w:val="16"/>
          <w:lang w:val="es-CO"/>
        </w:rPr>
      </w:pPr>
      <w:r w:rsidRPr="00191A48">
        <w:rPr>
          <w:rStyle w:val="Refdenotaalpie"/>
          <w:rFonts w:ascii="Verdana" w:hAnsi="Verdana"/>
          <w:sz w:val="16"/>
          <w:szCs w:val="16"/>
        </w:rPr>
        <w:footnoteRef/>
      </w:r>
      <w:r w:rsidRPr="00191A48">
        <w:rPr>
          <w:rFonts w:ascii="Verdana" w:hAnsi="Verdana"/>
          <w:sz w:val="16"/>
          <w:szCs w:val="16"/>
        </w:rPr>
        <w:t xml:space="preserve"> e) La enajenación de bienes del Estado, con excepción de aquellos a que se refiere la Ley 226 de 1995.</w:t>
      </w:r>
    </w:p>
    <w:p w14:paraId="1BDAE027" w14:textId="77777777" w:rsidR="00F01E22" w:rsidRPr="00191A48" w:rsidRDefault="00F01E22" w:rsidP="00F01E22">
      <w:pPr>
        <w:pStyle w:val="Textonotapie"/>
        <w:jc w:val="both"/>
        <w:rPr>
          <w:rFonts w:ascii="Verdana" w:hAnsi="Verdana"/>
          <w:sz w:val="16"/>
          <w:szCs w:val="16"/>
        </w:rPr>
      </w:pPr>
    </w:p>
    <w:p w14:paraId="36D5F65C" w14:textId="77777777" w:rsidR="00F01E22" w:rsidRPr="00191A48" w:rsidRDefault="00F01E22" w:rsidP="00F01E22">
      <w:pPr>
        <w:pStyle w:val="Textonotapie"/>
        <w:ind w:firstLine="709"/>
        <w:jc w:val="both"/>
        <w:rPr>
          <w:rFonts w:ascii="Verdana" w:hAnsi="Verdana"/>
          <w:sz w:val="16"/>
          <w:szCs w:val="16"/>
        </w:rPr>
      </w:pPr>
      <w:r w:rsidRPr="00191A48">
        <w:rPr>
          <w:rFonts w:ascii="Verdana" w:hAnsi="Verdana"/>
          <w:sz w:val="16"/>
          <w:szCs w:val="16"/>
        </w:rPr>
        <w:t>En los procesos de enajenación de los bienes del Estado se podrán utilizar instrumentos de subasta y en general de todos aquellos mecanismos autorizados por el derecho privado, siempre y cuando en desarrollo del proceso de enajenación se garantice la transparencia, la eficiencia y la selección objetiva.</w:t>
      </w:r>
    </w:p>
    <w:p w14:paraId="4958F81F" w14:textId="77777777" w:rsidR="00F01E22" w:rsidRPr="00191A48" w:rsidRDefault="00F01E22" w:rsidP="00F01E22">
      <w:pPr>
        <w:pStyle w:val="Textonotapie"/>
        <w:jc w:val="both"/>
        <w:rPr>
          <w:rFonts w:ascii="Verdana" w:hAnsi="Verdana"/>
          <w:sz w:val="16"/>
          <w:szCs w:val="16"/>
        </w:rPr>
      </w:pPr>
    </w:p>
    <w:p w14:paraId="753388C9" w14:textId="77777777" w:rsidR="00F01E22" w:rsidRPr="00191A48" w:rsidRDefault="00F01E22" w:rsidP="00F01E22">
      <w:pPr>
        <w:pStyle w:val="Textonotapie"/>
        <w:ind w:firstLine="709"/>
        <w:jc w:val="both"/>
        <w:rPr>
          <w:rFonts w:ascii="Verdana" w:hAnsi="Verdana"/>
          <w:sz w:val="16"/>
          <w:szCs w:val="16"/>
        </w:rPr>
      </w:pPr>
      <w:r w:rsidRPr="00191A48">
        <w:rPr>
          <w:rFonts w:ascii="Verdana" w:hAnsi="Verdana"/>
          <w:sz w:val="16"/>
          <w:szCs w:val="16"/>
        </w:rPr>
        <w:t>En todo caso, para la venta de los bienes se debe tener como base el valor del avalúo comercial y ajustar dicho avalúo de acuerdo a los gastos asociados al tiempo de comercialización esperada, administración, impuestos y mantenimiento, para determinar el precio mínimo al que se debe enajenar el bien, de conformidad con la reglamentación que para el efecto expida el Gobierno Nacional.</w:t>
      </w:r>
    </w:p>
    <w:p w14:paraId="55138AD1" w14:textId="77777777" w:rsidR="00F01E22" w:rsidRPr="00191A48" w:rsidRDefault="00F01E22" w:rsidP="00F01E22">
      <w:pPr>
        <w:pStyle w:val="Textonotapie"/>
        <w:jc w:val="both"/>
        <w:rPr>
          <w:rFonts w:ascii="Verdana" w:hAnsi="Verdana"/>
          <w:sz w:val="16"/>
          <w:szCs w:val="16"/>
        </w:rPr>
      </w:pPr>
    </w:p>
    <w:p w14:paraId="69C1613E" w14:textId="77777777" w:rsidR="00F01E22" w:rsidRPr="00191A48" w:rsidRDefault="00F01E22" w:rsidP="00F01E22">
      <w:pPr>
        <w:pStyle w:val="Textonotapie"/>
        <w:ind w:firstLine="709"/>
        <w:jc w:val="both"/>
        <w:rPr>
          <w:rFonts w:ascii="Verdana" w:hAnsi="Verdana"/>
          <w:sz w:val="16"/>
          <w:szCs w:val="16"/>
        </w:rPr>
      </w:pPr>
      <w:r w:rsidRPr="00191A48">
        <w:rPr>
          <w:rFonts w:ascii="Verdana" w:hAnsi="Verdana"/>
          <w:sz w:val="16"/>
          <w:szCs w:val="16"/>
        </w:rPr>
        <w:t>La enajenación de los bienes que formen parte del Fondo para la Rehabilitación, Inversión Social y Lucha contra el Crimen Organizado, Frisco, se hará por la Dirección Nacional de Estupefacientes, observando los principios del artículo 209 de la Constitución Política y la reglamentación que expida el Gobierno Nacional, teniendo en cuenta las recomendaciones que para el efecto imparta el Consejo Nacional de Estupefacientes.</w:t>
      </w:r>
    </w:p>
    <w:p w14:paraId="3ABC8840" w14:textId="77777777" w:rsidR="00F01E22" w:rsidRPr="00191A48" w:rsidRDefault="00F01E22" w:rsidP="00F01E22">
      <w:pPr>
        <w:pStyle w:val="Textonotapie"/>
        <w:jc w:val="both"/>
        <w:rPr>
          <w:rFonts w:ascii="Verdana" w:hAnsi="Verdana"/>
          <w:sz w:val="16"/>
          <w:szCs w:val="16"/>
        </w:rPr>
      </w:pPr>
    </w:p>
    <w:p w14:paraId="6DC3DB56" w14:textId="77777777" w:rsidR="00F01E22" w:rsidRPr="00191A48" w:rsidRDefault="00F01E22" w:rsidP="00F01E22">
      <w:pPr>
        <w:pStyle w:val="Textonotapie"/>
        <w:ind w:firstLine="709"/>
        <w:jc w:val="both"/>
        <w:rPr>
          <w:rFonts w:ascii="Verdana" w:hAnsi="Verdana"/>
          <w:sz w:val="16"/>
          <w:szCs w:val="16"/>
        </w:rPr>
      </w:pPr>
      <w:r w:rsidRPr="00191A48">
        <w:rPr>
          <w:rFonts w:ascii="Verdana" w:hAnsi="Verdana"/>
          <w:sz w:val="16"/>
          <w:szCs w:val="16"/>
        </w:rPr>
        <w:t>El Reglamento deberá determinar la forma de selección, a través de invitación pública de los profesionales inmobiliarios, que actuarán como promotores de las ventas, que a su vez, a efecto de avalúos de los bienes, se servirán de avaluadores debidamente inscritos en el Registro Nacional de Avaluadores y quienes responderán por sus actos solidariamente con los promotores.</w:t>
      </w:r>
    </w:p>
    <w:p w14:paraId="0DC25527" w14:textId="77777777" w:rsidR="00F01E22" w:rsidRPr="00191A48" w:rsidRDefault="00F01E22" w:rsidP="00F01E22">
      <w:pPr>
        <w:pStyle w:val="Textonotapie"/>
        <w:jc w:val="both"/>
        <w:rPr>
          <w:rFonts w:ascii="Verdana" w:hAnsi="Verdana"/>
          <w:sz w:val="16"/>
          <w:szCs w:val="16"/>
        </w:rPr>
      </w:pPr>
    </w:p>
    <w:p w14:paraId="734963A6" w14:textId="77777777" w:rsidR="00F01E22" w:rsidRPr="00191A48" w:rsidRDefault="00F01E22" w:rsidP="00F01E22">
      <w:pPr>
        <w:pStyle w:val="Textonotapie"/>
        <w:ind w:firstLine="709"/>
        <w:jc w:val="both"/>
        <w:rPr>
          <w:rFonts w:ascii="Verdana" w:hAnsi="Verdana"/>
          <w:sz w:val="16"/>
          <w:szCs w:val="16"/>
        </w:rPr>
      </w:pPr>
      <w:r w:rsidRPr="00191A48">
        <w:rPr>
          <w:rFonts w:ascii="Verdana" w:hAnsi="Verdana"/>
          <w:sz w:val="16"/>
          <w:szCs w:val="16"/>
        </w:rPr>
        <w:t>Las reglas y procedimientos que deberán atender la administración y los promotores y la publicidad del proceso deberán garantizar la libre concurrencia y oportunidad de quienes participen en el mismo.</w:t>
      </w:r>
    </w:p>
    <w:p w14:paraId="6180D721" w14:textId="77777777" w:rsidR="00F01E22" w:rsidRPr="00191A48" w:rsidRDefault="00F01E22" w:rsidP="00F01E22">
      <w:pPr>
        <w:pStyle w:val="Textonotapie"/>
        <w:jc w:val="both"/>
        <w:rPr>
          <w:rFonts w:ascii="Verdana" w:hAnsi="Verdana"/>
          <w:sz w:val="16"/>
          <w:szCs w:val="16"/>
        </w:rPr>
      </w:pPr>
    </w:p>
    <w:p w14:paraId="26CA08B2" w14:textId="77777777" w:rsidR="00F01E22" w:rsidRPr="00191A48" w:rsidRDefault="00F01E22" w:rsidP="00F01E22">
      <w:pPr>
        <w:pStyle w:val="Textonotapie"/>
        <w:ind w:firstLine="709"/>
        <w:jc w:val="both"/>
        <w:rPr>
          <w:rFonts w:ascii="Verdana" w:hAnsi="Verdana"/>
          <w:sz w:val="16"/>
          <w:szCs w:val="16"/>
        </w:rPr>
      </w:pPr>
      <w:r w:rsidRPr="00191A48">
        <w:rPr>
          <w:rFonts w:ascii="Verdana" w:hAnsi="Verdana"/>
          <w:sz w:val="16"/>
          <w:szCs w:val="16"/>
        </w:rPr>
        <w:t>Los bienes serán enajenados a través de venta directa en sobre cerrado o en pública subasta. La adjudicación para la venta directa deberá hacerse en audiencia pública, en donde se conozcan las ofertas iniciales y se efectúe un segundo ofrecimiento, frente al cual se adjudicará el bien a quien oferte el mejor precio. En la subasta pública, de acuerdo con el reglamento definido para su realización, el bien será adjudicado al mejor postor.</w:t>
      </w:r>
    </w:p>
    <w:p w14:paraId="2FBC6A3C" w14:textId="77777777" w:rsidR="00F01E22" w:rsidRPr="00191A48" w:rsidRDefault="00F01E22" w:rsidP="00F01E22">
      <w:pPr>
        <w:pStyle w:val="Textonotapie"/>
        <w:jc w:val="both"/>
        <w:rPr>
          <w:rFonts w:ascii="Verdana" w:hAnsi="Verdana"/>
          <w:sz w:val="16"/>
          <w:szCs w:val="16"/>
        </w:rPr>
      </w:pPr>
    </w:p>
    <w:p w14:paraId="6A4443E8" w14:textId="77777777" w:rsidR="00F01E22" w:rsidRPr="00191A48" w:rsidRDefault="00F01E22" w:rsidP="00F01E22">
      <w:pPr>
        <w:pStyle w:val="Textonotapie"/>
        <w:ind w:firstLine="709"/>
        <w:jc w:val="both"/>
        <w:rPr>
          <w:rFonts w:ascii="Verdana" w:hAnsi="Verdana"/>
          <w:sz w:val="16"/>
          <w:szCs w:val="16"/>
          <w:lang w:val="es-CO"/>
        </w:rPr>
      </w:pPr>
      <w:r w:rsidRPr="00191A48">
        <w:rPr>
          <w:rFonts w:ascii="Verdana" w:hAnsi="Verdana"/>
          <w:sz w:val="16"/>
          <w:szCs w:val="16"/>
        </w:rPr>
        <w:t>La venta implica la publicación previa de los bienes en un diario de amplia circulación nacional, con la determinación del precio base. El interesado en adquirir bienes deberá consignar al menos el 20% del valor base de venta para participar en la oferta;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49BFF" w14:textId="77777777" w:rsidR="00006F59" w:rsidRDefault="00006F59" w:rsidP="00006F59">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4812B632" wp14:editId="2E35C64A">
          <wp:simplePos x="0" y="0"/>
          <wp:positionH relativeFrom="margin">
            <wp:align>center</wp:align>
          </wp:positionH>
          <wp:positionV relativeFrom="paragraph">
            <wp:posOffset>-250190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8240" behindDoc="0" locked="0" layoutInCell="1" allowOverlap="1" wp14:anchorId="292DC36A" wp14:editId="6004C65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4B171C2" w14:textId="77777777" w:rsidR="00006F59" w:rsidRDefault="00006F59" w:rsidP="00006F59">
    <w:pPr>
      <w:pStyle w:val="Encabezado"/>
      <w:jc w:val="center"/>
    </w:pPr>
  </w:p>
  <w:p w14:paraId="1665FD71" w14:textId="77777777" w:rsidR="00006F59" w:rsidRDefault="00006F59" w:rsidP="00006F59">
    <w:pPr>
      <w:pStyle w:val="Encabezado"/>
    </w:pPr>
  </w:p>
  <w:p w14:paraId="61B882FC" w14:textId="77777777" w:rsidR="00006F59" w:rsidRDefault="00006F59" w:rsidP="00006F59">
    <w:pPr>
      <w:spacing w:after="0"/>
      <w:rPr>
        <w:rFonts w:ascii="Verdana" w:hAnsi="Verdana"/>
        <w:b/>
        <w:bCs/>
        <w:sz w:val="24"/>
        <w:szCs w:val="24"/>
      </w:rPr>
    </w:pPr>
  </w:p>
  <w:p w14:paraId="701A9D55" w14:textId="29EB49FC" w:rsidR="00006F59" w:rsidRPr="00A211EE" w:rsidRDefault="00006F59" w:rsidP="001918F1">
    <w:pPr>
      <w:tabs>
        <w:tab w:val="left" w:pos="6217"/>
      </w:tabs>
      <w:spacing w:after="0"/>
      <w:rPr>
        <w:rFonts w:ascii="Verdana" w:hAnsi="Verdana"/>
        <w:b/>
        <w:bCs/>
        <w:sz w:val="24"/>
        <w:szCs w:val="24"/>
      </w:rPr>
    </w:pPr>
    <w:r w:rsidRPr="00A211EE">
      <w:rPr>
        <w:rFonts w:ascii="Verdana" w:hAnsi="Verdana"/>
        <w:b/>
        <w:bCs/>
        <w:sz w:val="24"/>
        <w:szCs w:val="24"/>
      </w:rPr>
      <w:t>FORMATO PQRSD</w:t>
    </w:r>
  </w:p>
  <w:p w14:paraId="68E0C024" w14:textId="62811F13" w:rsidR="00B30448" w:rsidRPr="00006F59" w:rsidRDefault="00B30448" w:rsidP="00006F5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1" type="#_x0000_t75" style="width:14.4pt;height:14.4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5FB293F"/>
    <w:multiLevelType w:val="multilevel"/>
    <w:tmpl w:val="05644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39D63F5"/>
    <w:multiLevelType w:val="hybridMultilevel"/>
    <w:tmpl w:val="F538EEB4"/>
    <w:lvl w:ilvl="0" w:tplc="DB68C6FA">
      <w:numFmt w:val="bullet"/>
      <w:lvlText w:val="-"/>
      <w:lvlJc w:val="left"/>
      <w:pPr>
        <w:ind w:left="1069" w:hanging="360"/>
      </w:pPr>
      <w:rPr>
        <w:rFonts w:ascii="Verdana" w:eastAsia="Calibri" w:hAnsi="Verdana"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3" w15:restartNumberingAfterBreak="0">
    <w:nsid w:val="2A497730"/>
    <w:multiLevelType w:val="multilevel"/>
    <w:tmpl w:val="75581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5FAE5CC4"/>
    <w:multiLevelType w:val="hybridMultilevel"/>
    <w:tmpl w:val="4274E4EA"/>
    <w:lvl w:ilvl="0" w:tplc="779C095A">
      <w:start w:val="1"/>
      <w:numFmt w:val="lowerRoman"/>
      <w:lvlText w:val="%1)"/>
      <w:lvlJc w:val="left"/>
      <w:pPr>
        <w:ind w:left="1429" w:hanging="72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7"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8" w15:restartNumberingAfterBreak="0">
    <w:nsid w:val="77681820"/>
    <w:multiLevelType w:val="hybridMultilevel"/>
    <w:tmpl w:val="978A04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30140246">
    <w:abstractNumId w:val="0"/>
  </w:num>
  <w:num w:numId="2" w16cid:durableId="1492209491">
    <w:abstractNumId w:val="4"/>
  </w:num>
  <w:num w:numId="3" w16cid:durableId="679089576">
    <w:abstractNumId w:val="5"/>
  </w:num>
  <w:num w:numId="4" w16cid:durableId="893472101">
    <w:abstractNumId w:val="2"/>
  </w:num>
  <w:num w:numId="5" w16cid:durableId="120923485">
    <w:abstractNumId w:val="1"/>
  </w:num>
  <w:num w:numId="6" w16cid:durableId="1178350876">
    <w:abstractNumId w:val="6"/>
  </w:num>
  <w:num w:numId="7" w16cid:durableId="262541512">
    <w:abstractNumId w:val="8"/>
  </w:num>
  <w:num w:numId="8" w16cid:durableId="277570398">
    <w:abstractNumId w:val="3"/>
  </w:num>
  <w:num w:numId="9" w16cid:durableId="1982299905">
    <w:abstractNumId w:val="9"/>
  </w:num>
  <w:num w:numId="10" w16cid:durableId="90715647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2D55"/>
    <w:rsid w:val="000059AE"/>
    <w:rsid w:val="00005BB0"/>
    <w:rsid w:val="00005C08"/>
    <w:rsid w:val="000066E6"/>
    <w:rsid w:val="00006F59"/>
    <w:rsid w:val="00006F93"/>
    <w:rsid w:val="0001025F"/>
    <w:rsid w:val="0001155E"/>
    <w:rsid w:val="00011613"/>
    <w:rsid w:val="0001222D"/>
    <w:rsid w:val="00013B3F"/>
    <w:rsid w:val="00016280"/>
    <w:rsid w:val="00016F04"/>
    <w:rsid w:val="0002083C"/>
    <w:rsid w:val="000219D1"/>
    <w:rsid w:val="00021C3A"/>
    <w:rsid w:val="0002202D"/>
    <w:rsid w:val="000267DD"/>
    <w:rsid w:val="00030B3D"/>
    <w:rsid w:val="00030BFB"/>
    <w:rsid w:val="00031EAF"/>
    <w:rsid w:val="00033390"/>
    <w:rsid w:val="000361EA"/>
    <w:rsid w:val="000369C0"/>
    <w:rsid w:val="00036E27"/>
    <w:rsid w:val="00036F9C"/>
    <w:rsid w:val="00037A8B"/>
    <w:rsid w:val="000408AD"/>
    <w:rsid w:val="00041469"/>
    <w:rsid w:val="00042B71"/>
    <w:rsid w:val="00042DD7"/>
    <w:rsid w:val="000442CC"/>
    <w:rsid w:val="00044B24"/>
    <w:rsid w:val="00046DC1"/>
    <w:rsid w:val="00047341"/>
    <w:rsid w:val="00047CDF"/>
    <w:rsid w:val="00050C95"/>
    <w:rsid w:val="00050CAD"/>
    <w:rsid w:val="000526A8"/>
    <w:rsid w:val="00052C00"/>
    <w:rsid w:val="00053626"/>
    <w:rsid w:val="0005420B"/>
    <w:rsid w:val="0005620B"/>
    <w:rsid w:val="00057392"/>
    <w:rsid w:val="000577D3"/>
    <w:rsid w:val="00057963"/>
    <w:rsid w:val="000579AB"/>
    <w:rsid w:val="00060F19"/>
    <w:rsid w:val="00061C31"/>
    <w:rsid w:val="0006223F"/>
    <w:rsid w:val="000622B9"/>
    <w:rsid w:val="00063375"/>
    <w:rsid w:val="00063727"/>
    <w:rsid w:val="00064721"/>
    <w:rsid w:val="00065C6D"/>
    <w:rsid w:val="000660CD"/>
    <w:rsid w:val="00066646"/>
    <w:rsid w:val="00066A9F"/>
    <w:rsid w:val="00066C7A"/>
    <w:rsid w:val="00067108"/>
    <w:rsid w:val="000716AB"/>
    <w:rsid w:val="00071AB8"/>
    <w:rsid w:val="0007243A"/>
    <w:rsid w:val="00073024"/>
    <w:rsid w:val="00074510"/>
    <w:rsid w:val="00074CA6"/>
    <w:rsid w:val="000762C0"/>
    <w:rsid w:val="0007676F"/>
    <w:rsid w:val="00076C2B"/>
    <w:rsid w:val="00076F81"/>
    <w:rsid w:val="00080D93"/>
    <w:rsid w:val="00085A6F"/>
    <w:rsid w:val="00087073"/>
    <w:rsid w:val="000870EF"/>
    <w:rsid w:val="000878E7"/>
    <w:rsid w:val="00087B05"/>
    <w:rsid w:val="00087C01"/>
    <w:rsid w:val="0009000D"/>
    <w:rsid w:val="00090075"/>
    <w:rsid w:val="000903E4"/>
    <w:rsid w:val="00091D73"/>
    <w:rsid w:val="000933BC"/>
    <w:rsid w:val="000934C3"/>
    <w:rsid w:val="00093544"/>
    <w:rsid w:val="00094663"/>
    <w:rsid w:val="00095410"/>
    <w:rsid w:val="00096637"/>
    <w:rsid w:val="00097347"/>
    <w:rsid w:val="000975FA"/>
    <w:rsid w:val="00097CA2"/>
    <w:rsid w:val="000A1F38"/>
    <w:rsid w:val="000A2030"/>
    <w:rsid w:val="000A2251"/>
    <w:rsid w:val="000A413A"/>
    <w:rsid w:val="000A524F"/>
    <w:rsid w:val="000A5356"/>
    <w:rsid w:val="000A5EFB"/>
    <w:rsid w:val="000B1FF7"/>
    <w:rsid w:val="000B2529"/>
    <w:rsid w:val="000B2B7C"/>
    <w:rsid w:val="000B2C62"/>
    <w:rsid w:val="000B310B"/>
    <w:rsid w:val="000B381D"/>
    <w:rsid w:val="000B4024"/>
    <w:rsid w:val="000B688A"/>
    <w:rsid w:val="000C02AD"/>
    <w:rsid w:val="000C060A"/>
    <w:rsid w:val="000C09DF"/>
    <w:rsid w:val="000C0AA8"/>
    <w:rsid w:val="000C42A9"/>
    <w:rsid w:val="000C557B"/>
    <w:rsid w:val="000C5CF4"/>
    <w:rsid w:val="000C5F29"/>
    <w:rsid w:val="000C6B4C"/>
    <w:rsid w:val="000D0372"/>
    <w:rsid w:val="000D0BEA"/>
    <w:rsid w:val="000D2914"/>
    <w:rsid w:val="000D2AE8"/>
    <w:rsid w:val="000D3A1B"/>
    <w:rsid w:val="000D4455"/>
    <w:rsid w:val="000D570C"/>
    <w:rsid w:val="000D5A0F"/>
    <w:rsid w:val="000D5B1E"/>
    <w:rsid w:val="000D5E3F"/>
    <w:rsid w:val="000D6532"/>
    <w:rsid w:val="000E0622"/>
    <w:rsid w:val="000E1D6F"/>
    <w:rsid w:val="000E3381"/>
    <w:rsid w:val="000E3744"/>
    <w:rsid w:val="000E3CD9"/>
    <w:rsid w:val="000F0144"/>
    <w:rsid w:val="000F0493"/>
    <w:rsid w:val="000F0807"/>
    <w:rsid w:val="000F10B6"/>
    <w:rsid w:val="000F1AD8"/>
    <w:rsid w:val="000F2F4C"/>
    <w:rsid w:val="000F38D9"/>
    <w:rsid w:val="000F414C"/>
    <w:rsid w:val="000F64FC"/>
    <w:rsid w:val="000F6583"/>
    <w:rsid w:val="000F718E"/>
    <w:rsid w:val="00100207"/>
    <w:rsid w:val="001010D3"/>
    <w:rsid w:val="00101C11"/>
    <w:rsid w:val="00102F4F"/>
    <w:rsid w:val="00103421"/>
    <w:rsid w:val="001034DD"/>
    <w:rsid w:val="0011037E"/>
    <w:rsid w:val="00110F73"/>
    <w:rsid w:val="00111E35"/>
    <w:rsid w:val="001128B4"/>
    <w:rsid w:val="00112EBD"/>
    <w:rsid w:val="001132C2"/>
    <w:rsid w:val="00113AF2"/>
    <w:rsid w:val="001159AD"/>
    <w:rsid w:val="00116616"/>
    <w:rsid w:val="00116FC5"/>
    <w:rsid w:val="00117BBD"/>
    <w:rsid w:val="00121E9E"/>
    <w:rsid w:val="00122164"/>
    <w:rsid w:val="00123DA7"/>
    <w:rsid w:val="001248AB"/>
    <w:rsid w:val="00124B2E"/>
    <w:rsid w:val="00125D81"/>
    <w:rsid w:val="0012611D"/>
    <w:rsid w:val="0012661F"/>
    <w:rsid w:val="001269B0"/>
    <w:rsid w:val="00127D5B"/>
    <w:rsid w:val="00131A1F"/>
    <w:rsid w:val="00131A66"/>
    <w:rsid w:val="0013343F"/>
    <w:rsid w:val="001344F9"/>
    <w:rsid w:val="00135F76"/>
    <w:rsid w:val="001363C7"/>
    <w:rsid w:val="00136E87"/>
    <w:rsid w:val="00140793"/>
    <w:rsid w:val="00140C30"/>
    <w:rsid w:val="00142191"/>
    <w:rsid w:val="001422BD"/>
    <w:rsid w:val="0014286D"/>
    <w:rsid w:val="00143B8E"/>
    <w:rsid w:val="00143F21"/>
    <w:rsid w:val="0014420C"/>
    <w:rsid w:val="001446C3"/>
    <w:rsid w:val="00145630"/>
    <w:rsid w:val="00151465"/>
    <w:rsid w:val="00151AD8"/>
    <w:rsid w:val="00153287"/>
    <w:rsid w:val="00153C33"/>
    <w:rsid w:val="001548B7"/>
    <w:rsid w:val="00154CD5"/>
    <w:rsid w:val="00155EF1"/>
    <w:rsid w:val="00156192"/>
    <w:rsid w:val="00156D27"/>
    <w:rsid w:val="00156E57"/>
    <w:rsid w:val="0015710D"/>
    <w:rsid w:val="00157DEB"/>
    <w:rsid w:val="00161171"/>
    <w:rsid w:val="00161847"/>
    <w:rsid w:val="0016187E"/>
    <w:rsid w:val="00161E13"/>
    <w:rsid w:val="00162B8D"/>
    <w:rsid w:val="00164803"/>
    <w:rsid w:val="00164AE0"/>
    <w:rsid w:val="00165768"/>
    <w:rsid w:val="0016646A"/>
    <w:rsid w:val="00167C43"/>
    <w:rsid w:val="001703DE"/>
    <w:rsid w:val="0017120C"/>
    <w:rsid w:val="00172323"/>
    <w:rsid w:val="00172C96"/>
    <w:rsid w:val="00172DDC"/>
    <w:rsid w:val="00172F3A"/>
    <w:rsid w:val="00173477"/>
    <w:rsid w:val="0017414F"/>
    <w:rsid w:val="00174636"/>
    <w:rsid w:val="00174BD8"/>
    <w:rsid w:val="001752B9"/>
    <w:rsid w:val="001763D1"/>
    <w:rsid w:val="0017667E"/>
    <w:rsid w:val="00176AE8"/>
    <w:rsid w:val="00177B2B"/>
    <w:rsid w:val="00177E95"/>
    <w:rsid w:val="001811FC"/>
    <w:rsid w:val="00183F50"/>
    <w:rsid w:val="00186037"/>
    <w:rsid w:val="00186D14"/>
    <w:rsid w:val="001918F1"/>
    <w:rsid w:val="0019196E"/>
    <w:rsid w:val="00191A48"/>
    <w:rsid w:val="00191FF5"/>
    <w:rsid w:val="001926D7"/>
    <w:rsid w:val="00192CCE"/>
    <w:rsid w:val="00192FE9"/>
    <w:rsid w:val="0019385B"/>
    <w:rsid w:val="00193F1C"/>
    <w:rsid w:val="00195B81"/>
    <w:rsid w:val="00196131"/>
    <w:rsid w:val="00197205"/>
    <w:rsid w:val="001A2D8F"/>
    <w:rsid w:val="001A3D89"/>
    <w:rsid w:val="001A3F68"/>
    <w:rsid w:val="001A44DD"/>
    <w:rsid w:val="001A54DA"/>
    <w:rsid w:val="001A5789"/>
    <w:rsid w:val="001A6861"/>
    <w:rsid w:val="001A7506"/>
    <w:rsid w:val="001B143B"/>
    <w:rsid w:val="001B1777"/>
    <w:rsid w:val="001B19C5"/>
    <w:rsid w:val="001B1B6D"/>
    <w:rsid w:val="001B1C93"/>
    <w:rsid w:val="001B21CA"/>
    <w:rsid w:val="001B47A4"/>
    <w:rsid w:val="001B5A00"/>
    <w:rsid w:val="001B5F59"/>
    <w:rsid w:val="001B63A7"/>
    <w:rsid w:val="001B6EBF"/>
    <w:rsid w:val="001C0461"/>
    <w:rsid w:val="001C1074"/>
    <w:rsid w:val="001C20B3"/>
    <w:rsid w:val="001C25F5"/>
    <w:rsid w:val="001C4249"/>
    <w:rsid w:val="001C5EC0"/>
    <w:rsid w:val="001C6573"/>
    <w:rsid w:val="001C6785"/>
    <w:rsid w:val="001C7D03"/>
    <w:rsid w:val="001D0D32"/>
    <w:rsid w:val="001D17C9"/>
    <w:rsid w:val="001D1AB9"/>
    <w:rsid w:val="001D2337"/>
    <w:rsid w:val="001D2756"/>
    <w:rsid w:val="001D3795"/>
    <w:rsid w:val="001D4006"/>
    <w:rsid w:val="001D54BD"/>
    <w:rsid w:val="001D60B7"/>
    <w:rsid w:val="001D626E"/>
    <w:rsid w:val="001D733B"/>
    <w:rsid w:val="001E0902"/>
    <w:rsid w:val="001E1801"/>
    <w:rsid w:val="001E2531"/>
    <w:rsid w:val="001E3A17"/>
    <w:rsid w:val="001E3FCB"/>
    <w:rsid w:val="001E6B9E"/>
    <w:rsid w:val="001E6BCB"/>
    <w:rsid w:val="001E6EF9"/>
    <w:rsid w:val="001E7FBC"/>
    <w:rsid w:val="001F0822"/>
    <w:rsid w:val="001F15F6"/>
    <w:rsid w:val="001F179C"/>
    <w:rsid w:val="001F228B"/>
    <w:rsid w:val="001F2649"/>
    <w:rsid w:val="001F3496"/>
    <w:rsid w:val="001F3548"/>
    <w:rsid w:val="001F41CA"/>
    <w:rsid w:val="001F4355"/>
    <w:rsid w:val="001F61DE"/>
    <w:rsid w:val="002000AA"/>
    <w:rsid w:val="00200A99"/>
    <w:rsid w:val="0020302A"/>
    <w:rsid w:val="002032A0"/>
    <w:rsid w:val="00203532"/>
    <w:rsid w:val="00204106"/>
    <w:rsid w:val="00204109"/>
    <w:rsid w:val="00205335"/>
    <w:rsid w:val="002059E3"/>
    <w:rsid w:val="00212390"/>
    <w:rsid w:val="00212897"/>
    <w:rsid w:val="0021386A"/>
    <w:rsid w:val="00215516"/>
    <w:rsid w:val="00216B06"/>
    <w:rsid w:val="00216EFA"/>
    <w:rsid w:val="0021798E"/>
    <w:rsid w:val="0022180C"/>
    <w:rsid w:val="002221CD"/>
    <w:rsid w:val="002225AB"/>
    <w:rsid w:val="002250D1"/>
    <w:rsid w:val="002267D2"/>
    <w:rsid w:val="002307B6"/>
    <w:rsid w:val="00230839"/>
    <w:rsid w:val="00232178"/>
    <w:rsid w:val="00232D12"/>
    <w:rsid w:val="00232DD1"/>
    <w:rsid w:val="002353E3"/>
    <w:rsid w:val="00235F30"/>
    <w:rsid w:val="00236287"/>
    <w:rsid w:val="002407CE"/>
    <w:rsid w:val="00240C74"/>
    <w:rsid w:val="00243A38"/>
    <w:rsid w:val="00243D5E"/>
    <w:rsid w:val="0024474F"/>
    <w:rsid w:val="00244D0E"/>
    <w:rsid w:val="002450F2"/>
    <w:rsid w:val="00245B7F"/>
    <w:rsid w:val="002469C2"/>
    <w:rsid w:val="00247BDE"/>
    <w:rsid w:val="002514FA"/>
    <w:rsid w:val="002521BD"/>
    <w:rsid w:val="0025249C"/>
    <w:rsid w:val="00252503"/>
    <w:rsid w:val="00252ED7"/>
    <w:rsid w:val="00254A7A"/>
    <w:rsid w:val="00254EA4"/>
    <w:rsid w:val="002550A7"/>
    <w:rsid w:val="0025575F"/>
    <w:rsid w:val="002571E3"/>
    <w:rsid w:val="00260496"/>
    <w:rsid w:val="00260542"/>
    <w:rsid w:val="00260A38"/>
    <w:rsid w:val="00261651"/>
    <w:rsid w:val="00264C7C"/>
    <w:rsid w:val="00267C53"/>
    <w:rsid w:val="00270443"/>
    <w:rsid w:val="00270EE2"/>
    <w:rsid w:val="002718D1"/>
    <w:rsid w:val="00272A7B"/>
    <w:rsid w:val="00273527"/>
    <w:rsid w:val="002747EF"/>
    <w:rsid w:val="00274B06"/>
    <w:rsid w:val="00274F3C"/>
    <w:rsid w:val="002769AE"/>
    <w:rsid w:val="00276CE2"/>
    <w:rsid w:val="0027765A"/>
    <w:rsid w:val="00284793"/>
    <w:rsid w:val="00285237"/>
    <w:rsid w:val="00285E3F"/>
    <w:rsid w:val="00286BFE"/>
    <w:rsid w:val="00286C81"/>
    <w:rsid w:val="00286DB5"/>
    <w:rsid w:val="0028709F"/>
    <w:rsid w:val="002870F5"/>
    <w:rsid w:val="00290119"/>
    <w:rsid w:val="002908F8"/>
    <w:rsid w:val="00291EC3"/>
    <w:rsid w:val="00295002"/>
    <w:rsid w:val="002971F2"/>
    <w:rsid w:val="00297785"/>
    <w:rsid w:val="00297ECA"/>
    <w:rsid w:val="002A0444"/>
    <w:rsid w:val="002A0F8D"/>
    <w:rsid w:val="002A144A"/>
    <w:rsid w:val="002A264B"/>
    <w:rsid w:val="002A4B33"/>
    <w:rsid w:val="002A5311"/>
    <w:rsid w:val="002A59AE"/>
    <w:rsid w:val="002B05D1"/>
    <w:rsid w:val="002B0A72"/>
    <w:rsid w:val="002B1933"/>
    <w:rsid w:val="002B20BD"/>
    <w:rsid w:val="002B28EA"/>
    <w:rsid w:val="002B3A46"/>
    <w:rsid w:val="002B3F1C"/>
    <w:rsid w:val="002B4EF4"/>
    <w:rsid w:val="002B6CA2"/>
    <w:rsid w:val="002B6E44"/>
    <w:rsid w:val="002B726F"/>
    <w:rsid w:val="002B7A68"/>
    <w:rsid w:val="002C103C"/>
    <w:rsid w:val="002C10B3"/>
    <w:rsid w:val="002C12C7"/>
    <w:rsid w:val="002C30F0"/>
    <w:rsid w:val="002C3640"/>
    <w:rsid w:val="002C3E53"/>
    <w:rsid w:val="002C401A"/>
    <w:rsid w:val="002C4918"/>
    <w:rsid w:val="002C626C"/>
    <w:rsid w:val="002C67DA"/>
    <w:rsid w:val="002C6D15"/>
    <w:rsid w:val="002C72CE"/>
    <w:rsid w:val="002C7E5B"/>
    <w:rsid w:val="002D0907"/>
    <w:rsid w:val="002D0E9E"/>
    <w:rsid w:val="002D2D68"/>
    <w:rsid w:val="002D342D"/>
    <w:rsid w:val="002D38D9"/>
    <w:rsid w:val="002D4012"/>
    <w:rsid w:val="002D7417"/>
    <w:rsid w:val="002E26E8"/>
    <w:rsid w:val="002E38D8"/>
    <w:rsid w:val="002E3DD8"/>
    <w:rsid w:val="002E5A01"/>
    <w:rsid w:val="002E6727"/>
    <w:rsid w:val="002E717C"/>
    <w:rsid w:val="002E7A61"/>
    <w:rsid w:val="002F0106"/>
    <w:rsid w:val="002F03C8"/>
    <w:rsid w:val="002F188D"/>
    <w:rsid w:val="002F18A5"/>
    <w:rsid w:val="002F317F"/>
    <w:rsid w:val="002F40AF"/>
    <w:rsid w:val="002F6D2E"/>
    <w:rsid w:val="002F7AA9"/>
    <w:rsid w:val="00301C0D"/>
    <w:rsid w:val="00301CB1"/>
    <w:rsid w:val="00302A61"/>
    <w:rsid w:val="00305087"/>
    <w:rsid w:val="00311B66"/>
    <w:rsid w:val="00311D22"/>
    <w:rsid w:val="003126D5"/>
    <w:rsid w:val="00314FAF"/>
    <w:rsid w:val="003162A5"/>
    <w:rsid w:val="00316591"/>
    <w:rsid w:val="00320C6D"/>
    <w:rsid w:val="00321FFD"/>
    <w:rsid w:val="00322E18"/>
    <w:rsid w:val="00323F8A"/>
    <w:rsid w:val="00326011"/>
    <w:rsid w:val="00327069"/>
    <w:rsid w:val="00327AFB"/>
    <w:rsid w:val="00327D10"/>
    <w:rsid w:val="0033595E"/>
    <w:rsid w:val="0033601B"/>
    <w:rsid w:val="00340039"/>
    <w:rsid w:val="0034024F"/>
    <w:rsid w:val="00340DFB"/>
    <w:rsid w:val="003417FA"/>
    <w:rsid w:val="00341941"/>
    <w:rsid w:val="0034278F"/>
    <w:rsid w:val="00343B47"/>
    <w:rsid w:val="00343FC4"/>
    <w:rsid w:val="0034404F"/>
    <w:rsid w:val="00344ACC"/>
    <w:rsid w:val="00345647"/>
    <w:rsid w:val="00345F01"/>
    <w:rsid w:val="003463DA"/>
    <w:rsid w:val="0034654F"/>
    <w:rsid w:val="00347685"/>
    <w:rsid w:val="00351E21"/>
    <w:rsid w:val="0035200F"/>
    <w:rsid w:val="00352327"/>
    <w:rsid w:val="00354405"/>
    <w:rsid w:val="0035635F"/>
    <w:rsid w:val="00356BFD"/>
    <w:rsid w:val="003607EE"/>
    <w:rsid w:val="003617AE"/>
    <w:rsid w:val="003630F7"/>
    <w:rsid w:val="003651AC"/>
    <w:rsid w:val="00365E28"/>
    <w:rsid w:val="00366120"/>
    <w:rsid w:val="003661FF"/>
    <w:rsid w:val="00366A0C"/>
    <w:rsid w:val="00367462"/>
    <w:rsid w:val="00370507"/>
    <w:rsid w:val="00372A01"/>
    <w:rsid w:val="003733DF"/>
    <w:rsid w:val="003751C7"/>
    <w:rsid w:val="00375C84"/>
    <w:rsid w:val="00376524"/>
    <w:rsid w:val="00377B04"/>
    <w:rsid w:val="00380DBB"/>
    <w:rsid w:val="003819F5"/>
    <w:rsid w:val="00381D47"/>
    <w:rsid w:val="003835F0"/>
    <w:rsid w:val="003853ED"/>
    <w:rsid w:val="00386313"/>
    <w:rsid w:val="0039082A"/>
    <w:rsid w:val="0039101F"/>
    <w:rsid w:val="00392E7C"/>
    <w:rsid w:val="00393EEE"/>
    <w:rsid w:val="0039493D"/>
    <w:rsid w:val="00394E4F"/>
    <w:rsid w:val="00395752"/>
    <w:rsid w:val="00395D99"/>
    <w:rsid w:val="003968DF"/>
    <w:rsid w:val="003A3927"/>
    <w:rsid w:val="003A4984"/>
    <w:rsid w:val="003A6E29"/>
    <w:rsid w:val="003B1844"/>
    <w:rsid w:val="003B2041"/>
    <w:rsid w:val="003B211E"/>
    <w:rsid w:val="003B24EA"/>
    <w:rsid w:val="003B3FF1"/>
    <w:rsid w:val="003B4217"/>
    <w:rsid w:val="003B5716"/>
    <w:rsid w:val="003B57F9"/>
    <w:rsid w:val="003B71F4"/>
    <w:rsid w:val="003B7F07"/>
    <w:rsid w:val="003C0965"/>
    <w:rsid w:val="003C0F87"/>
    <w:rsid w:val="003C141E"/>
    <w:rsid w:val="003C1B83"/>
    <w:rsid w:val="003C21B3"/>
    <w:rsid w:val="003C3503"/>
    <w:rsid w:val="003C40DE"/>
    <w:rsid w:val="003C4851"/>
    <w:rsid w:val="003C4C96"/>
    <w:rsid w:val="003C55E0"/>
    <w:rsid w:val="003C5E39"/>
    <w:rsid w:val="003C6DF9"/>
    <w:rsid w:val="003D0079"/>
    <w:rsid w:val="003D0398"/>
    <w:rsid w:val="003D10EC"/>
    <w:rsid w:val="003D29B9"/>
    <w:rsid w:val="003D37B6"/>
    <w:rsid w:val="003D7709"/>
    <w:rsid w:val="003E0E25"/>
    <w:rsid w:val="003E1409"/>
    <w:rsid w:val="003E1F2E"/>
    <w:rsid w:val="003E2CCE"/>
    <w:rsid w:val="003E723C"/>
    <w:rsid w:val="003E73BC"/>
    <w:rsid w:val="003E7912"/>
    <w:rsid w:val="003F06B7"/>
    <w:rsid w:val="003F162C"/>
    <w:rsid w:val="003F5717"/>
    <w:rsid w:val="003F5A39"/>
    <w:rsid w:val="003F5B56"/>
    <w:rsid w:val="003F5B9F"/>
    <w:rsid w:val="003F6A6A"/>
    <w:rsid w:val="003F738D"/>
    <w:rsid w:val="00402E56"/>
    <w:rsid w:val="00403634"/>
    <w:rsid w:val="00404592"/>
    <w:rsid w:val="00404B58"/>
    <w:rsid w:val="00404B7A"/>
    <w:rsid w:val="0040544F"/>
    <w:rsid w:val="0040625C"/>
    <w:rsid w:val="004103D9"/>
    <w:rsid w:val="00411B17"/>
    <w:rsid w:val="0041222D"/>
    <w:rsid w:val="00412F2D"/>
    <w:rsid w:val="00413248"/>
    <w:rsid w:val="00413F2C"/>
    <w:rsid w:val="00417083"/>
    <w:rsid w:val="00417215"/>
    <w:rsid w:val="0042057C"/>
    <w:rsid w:val="00420787"/>
    <w:rsid w:val="00420AC0"/>
    <w:rsid w:val="00421608"/>
    <w:rsid w:val="0042261E"/>
    <w:rsid w:val="00422749"/>
    <w:rsid w:val="004233DC"/>
    <w:rsid w:val="00424B32"/>
    <w:rsid w:val="00432F78"/>
    <w:rsid w:val="004334A2"/>
    <w:rsid w:val="00434723"/>
    <w:rsid w:val="00437657"/>
    <w:rsid w:val="00437D17"/>
    <w:rsid w:val="00437D2F"/>
    <w:rsid w:val="004401B9"/>
    <w:rsid w:val="0044046D"/>
    <w:rsid w:val="004410D3"/>
    <w:rsid w:val="00441DAF"/>
    <w:rsid w:val="00443A34"/>
    <w:rsid w:val="00443D38"/>
    <w:rsid w:val="00444140"/>
    <w:rsid w:val="00444F43"/>
    <w:rsid w:val="00450054"/>
    <w:rsid w:val="00450744"/>
    <w:rsid w:val="00450BE7"/>
    <w:rsid w:val="0045230E"/>
    <w:rsid w:val="004528FA"/>
    <w:rsid w:val="00452D67"/>
    <w:rsid w:val="00452E53"/>
    <w:rsid w:val="00453739"/>
    <w:rsid w:val="00455702"/>
    <w:rsid w:val="00455B00"/>
    <w:rsid w:val="00455B97"/>
    <w:rsid w:val="00456BFD"/>
    <w:rsid w:val="004576A4"/>
    <w:rsid w:val="004607D0"/>
    <w:rsid w:val="00460CE3"/>
    <w:rsid w:val="004612A4"/>
    <w:rsid w:val="00464BF1"/>
    <w:rsid w:val="004676E4"/>
    <w:rsid w:val="00467790"/>
    <w:rsid w:val="00470C48"/>
    <w:rsid w:val="00471429"/>
    <w:rsid w:val="00473C0A"/>
    <w:rsid w:val="00474415"/>
    <w:rsid w:val="0047550D"/>
    <w:rsid w:val="004762D8"/>
    <w:rsid w:val="00477459"/>
    <w:rsid w:val="0048026E"/>
    <w:rsid w:val="004807A9"/>
    <w:rsid w:val="00481318"/>
    <w:rsid w:val="004813EE"/>
    <w:rsid w:val="00482CDC"/>
    <w:rsid w:val="00482EC2"/>
    <w:rsid w:val="004834D9"/>
    <w:rsid w:val="00483B03"/>
    <w:rsid w:val="004845C6"/>
    <w:rsid w:val="00485702"/>
    <w:rsid w:val="004867EC"/>
    <w:rsid w:val="00487662"/>
    <w:rsid w:val="004876C6"/>
    <w:rsid w:val="00487D7B"/>
    <w:rsid w:val="00490F7A"/>
    <w:rsid w:val="00490FD5"/>
    <w:rsid w:val="00491241"/>
    <w:rsid w:val="00491813"/>
    <w:rsid w:val="00492AA7"/>
    <w:rsid w:val="00492B75"/>
    <w:rsid w:val="00492CA3"/>
    <w:rsid w:val="00493278"/>
    <w:rsid w:val="004959B1"/>
    <w:rsid w:val="00497575"/>
    <w:rsid w:val="0049764B"/>
    <w:rsid w:val="004A08FB"/>
    <w:rsid w:val="004A0AD9"/>
    <w:rsid w:val="004A0B15"/>
    <w:rsid w:val="004A12C0"/>
    <w:rsid w:val="004A191A"/>
    <w:rsid w:val="004A1A70"/>
    <w:rsid w:val="004A419E"/>
    <w:rsid w:val="004A476F"/>
    <w:rsid w:val="004A6B58"/>
    <w:rsid w:val="004A7F06"/>
    <w:rsid w:val="004B06C3"/>
    <w:rsid w:val="004B0B09"/>
    <w:rsid w:val="004B140F"/>
    <w:rsid w:val="004B2ED6"/>
    <w:rsid w:val="004B53F1"/>
    <w:rsid w:val="004B5D6E"/>
    <w:rsid w:val="004B60BA"/>
    <w:rsid w:val="004C016E"/>
    <w:rsid w:val="004C11B6"/>
    <w:rsid w:val="004C1619"/>
    <w:rsid w:val="004C1B59"/>
    <w:rsid w:val="004C3E31"/>
    <w:rsid w:val="004C3E59"/>
    <w:rsid w:val="004C4188"/>
    <w:rsid w:val="004C4EA2"/>
    <w:rsid w:val="004C596B"/>
    <w:rsid w:val="004C60E7"/>
    <w:rsid w:val="004C704C"/>
    <w:rsid w:val="004D020F"/>
    <w:rsid w:val="004D03D1"/>
    <w:rsid w:val="004D11AF"/>
    <w:rsid w:val="004D40A8"/>
    <w:rsid w:val="004D502C"/>
    <w:rsid w:val="004D5B3E"/>
    <w:rsid w:val="004D60A3"/>
    <w:rsid w:val="004E016A"/>
    <w:rsid w:val="004E0461"/>
    <w:rsid w:val="004E29B1"/>
    <w:rsid w:val="004E2E2A"/>
    <w:rsid w:val="004E461B"/>
    <w:rsid w:val="004E477D"/>
    <w:rsid w:val="004E54AE"/>
    <w:rsid w:val="004E5890"/>
    <w:rsid w:val="004E7B33"/>
    <w:rsid w:val="004F01B1"/>
    <w:rsid w:val="004F0D19"/>
    <w:rsid w:val="004F121B"/>
    <w:rsid w:val="004F2811"/>
    <w:rsid w:val="004F54A3"/>
    <w:rsid w:val="004F60F4"/>
    <w:rsid w:val="004F62E8"/>
    <w:rsid w:val="004F78B1"/>
    <w:rsid w:val="004F78F8"/>
    <w:rsid w:val="005001A5"/>
    <w:rsid w:val="00500958"/>
    <w:rsid w:val="005019AA"/>
    <w:rsid w:val="00501F0D"/>
    <w:rsid w:val="0050386D"/>
    <w:rsid w:val="00503C3B"/>
    <w:rsid w:val="00503CE7"/>
    <w:rsid w:val="005042DB"/>
    <w:rsid w:val="0050458E"/>
    <w:rsid w:val="00510452"/>
    <w:rsid w:val="005108EC"/>
    <w:rsid w:val="005118F6"/>
    <w:rsid w:val="00514272"/>
    <w:rsid w:val="005147DA"/>
    <w:rsid w:val="005153C3"/>
    <w:rsid w:val="00515745"/>
    <w:rsid w:val="00515862"/>
    <w:rsid w:val="00516518"/>
    <w:rsid w:val="00516942"/>
    <w:rsid w:val="00516DC0"/>
    <w:rsid w:val="0051740E"/>
    <w:rsid w:val="005207D7"/>
    <w:rsid w:val="005233F3"/>
    <w:rsid w:val="0052365C"/>
    <w:rsid w:val="005245D2"/>
    <w:rsid w:val="00524C98"/>
    <w:rsid w:val="00524C9C"/>
    <w:rsid w:val="00524EDD"/>
    <w:rsid w:val="00525B59"/>
    <w:rsid w:val="0052647F"/>
    <w:rsid w:val="005269C4"/>
    <w:rsid w:val="00530F6D"/>
    <w:rsid w:val="00531921"/>
    <w:rsid w:val="00533193"/>
    <w:rsid w:val="00533DBF"/>
    <w:rsid w:val="00535E22"/>
    <w:rsid w:val="00536442"/>
    <w:rsid w:val="00536919"/>
    <w:rsid w:val="005415DD"/>
    <w:rsid w:val="0054236A"/>
    <w:rsid w:val="005423F3"/>
    <w:rsid w:val="005426DB"/>
    <w:rsid w:val="00542C2D"/>
    <w:rsid w:val="005432A9"/>
    <w:rsid w:val="00545857"/>
    <w:rsid w:val="00550113"/>
    <w:rsid w:val="0055082B"/>
    <w:rsid w:val="00550F00"/>
    <w:rsid w:val="00551ED7"/>
    <w:rsid w:val="0055211C"/>
    <w:rsid w:val="0055263A"/>
    <w:rsid w:val="00552B57"/>
    <w:rsid w:val="00553E34"/>
    <w:rsid w:val="005551E9"/>
    <w:rsid w:val="0055786C"/>
    <w:rsid w:val="00560995"/>
    <w:rsid w:val="00560C62"/>
    <w:rsid w:val="00562A61"/>
    <w:rsid w:val="005652D5"/>
    <w:rsid w:val="00565698"/>
    <w:rsid w:val="00565F4B"/>
    <w:rsid w:val="0056672C"/>
    <w:rsid w:val="00567494"/>
    <w:rsid w:val="00571BC2"/>
    <w:rsid w:val="00571CF1"/>
    <w:rsid w:val="00574614"/>
    <w:rsid w:val="00574A70"/>
    <w:rsid w:val="005759D1"/>
    <w:rsid w:val="00575C75"/>
    <w:rsid w:val="00576795"/>
    <w:rsid w:val="00577AC3"/>
    <w:rsid w:val="00577D57"/>
    <w:rsid w:val="00577FF1"/>
    <w:rsid w:val="005811EC"/>
    <w:rsid w:val="005815A8"/>
    <w:rsid w:val="00581E37"/>
    <w:rsid w:val="00583431"/>
    <w:rsid w:val="005846C0"/>
    <w:rsid w:val="00584D04"/>
    <w:rsid w:val="0058567E"/>
    <w:rsid w:val="0058610C"/>
    <w:rsid w:val="0058659E"/>
    <w:rsid w:val="005872DD"/>
    <w:rsid w:val="00587D3A"/>
    <w:rsid w:val="00590346"/>
    <w:rsid w:val="00590E93"/>
    <w:rsid w:val="005915E1"/>
    <w:rsid w:val="00591C75"/>
    <w:rsid w:val="00592A87"/>
    <w:rsid w:val="00592D10"/>
    <w:rsid w:val="00593A5F"/>
    <w:rsid w:val="0059404E"/>
    <w:rsid w:val="00594269"/>
    <w:rsid w:val="00594E32"/>
    <w:rsid w:val="00595539"/>
    <w:rsid w:val="005A2E02"/>
    <w:rsid w:val="005A3E82"/>
    <w:rsid w:val="005A4DB0"/>
    <w:rsid w:val="005A5597"/>
    <w:rsid w:val="005A6AC2"/>
    <w:rsid w:val="005A7A65"/>
    <w:rsid w:val="005A7B26"/>
    <w:rsid w:val="005A7B8E"/>
    <w:rsid w:val="005B012B"/>
    <w:rsid w:val="005B0C87"/>
    <w:rsid w:val="005B0D20"/>
    <w:rsid w:val="005B2195"/>
    <w:rsid w:val="005B2441"/>
    <w:rsid w:val="005B2D65"/>
    <w:rsid w:val="005B3877"/>
    <w:rsid w:val="005B3CC1"/>
    <w:rsid w:val="005B442C"/>
    <w:rsid w:val="005B45AB"/>
    <w:rsid w:val="005B4D8F"/>
    <w:rsid w:val="005B610B"/>
    <w:rsid w:val="005B6162"/>
    <w:rsid w:val="005B6551"/>
    <w:rsid w:val="005B7007"/>
    <w:rsid w:val="005B71A8"/>
    <w:rsid w:val="005C3D2C"/>
    <w:rsid w:val="005C3E9E"/>
    <w:rsid w:val="005C410C"/>
    <w:rsid w:val="005C4BF1"/>
    <w:rsid w:val="005C4BF2"/>
    <w:rsid w:val="005C5BED"/>
    <w:rsid w:val="005C5D86"/>
    <w:rsid w:val="005C6167"/>
    <w:rsid w:val="005C6EE2"/>
    <w:rsid w:val="005C7A07"/>
    <w:rsid w:val="005C7DDC"/>
    <w:rsid w:val="005D123A"/>
    <w:rsid w:val="005D2506"/>
    <w:rsid w:val="005D3A00"/>
    <w:rsid w:val="005D4923"/>
    <w:rsid w:val="005D5605"/>
    <w:rsid w:val="005D5B5E"/>
    <w:rsid w:val="005D5C85"/>
    <w:rsid w:val="005D70D3"/>
    <w:rsid w:val="005D72FC"/>
    <w:rsid w:val="005E035A"/>
    <w:rsid w:val="005E1218"/>
    <w:rsid w:val="005E1444"/>
    <w:rsid w:val="005E1B6B"/>
    <w:rsid w:val="005E1DB7"/>
    <w:rsid w:val="005E2281"/>
    <w:rsid w:val="005E347B"/>
    <w:rsid w:val="005E38A8"/>
    <w:rsid w:val="005E39F9"/>
    <w:rsid w:val="005E55BB"/>
    <w:rsid w:val="005E58E0"/>
    <w:rsid w:val="005E5D11"/>
    <w:rsid w:val="005E667C"/>
    <w:rsid w:val="005E6A1D"/>
    <w:rsid w:val="005E6CA4"/>
    <w:rsid w:val="005E6F12"/>
    <w:rsid w:val="005F077C"/>
    <w:rsid w:val="005F1627"/>
    <w:rsid w:val="005F3678"/>
    <w:rsid w:val="005F3CE8"/>
    <w:rsid w:val="005F4F41"/>
    <w:rsid w:val="005F56DB"/>
    <w:rsid w:val="005F68C3"/>
    <w:rsid w:val="00601E94"/>
    <w:rsid w:val="006021B1"/>
    <w:rsid w:val="006037C5"/>
    <w:rsid w:val="006040CE"/>
    <w:rsid w:val="0060467D"/>
    <w:rsid w:val="00605B9D"/>
    <w:rsid w:val="0060676F"/>
    <w:rsid w:val="00606B57"/>
    <w:rsid w:val="00606B85"/>
    <w:rsid w:val="00607390"/>
    <w:rsid w:val="006076D8"/>
    <w:rsid w:val="00607E6D"/>
    <w:rsid w:val="00611565"/>
    <w:rsid w:val="00612871"/>
    <w:rsid w:val="00612A8E"/>
    <w:rsid w:val="006135DA"/>
    <w:rsid w:val="006155E2"/>
    <w:rsid w:val="00615F26"/>
    <w:rsid w:val="00620579"/>
    <w:rsid w:val="00621FB4"/>
    <w:rsid w:val="00623BC7"/>
    <w:rsid w:val="006241D0"/>
    <w:rsid w:val="00625434"/>
    <w:rsid w:val="00626032"/>
    <w:rsid w:val="00626743"/>
    <w:rsid w:val="00627643"/>
    <w:rsid w:val="00627788"/>
    <w:rsid w:val="006300CD"/>
    <w:rsid w:val="0063017E"/>
    <w:rsid w:val="006306D3"/>
    <w:rsid w:val="00631D4F"/>
    <w:rsid w:val="00633496"/>
    <w:rsid w:val="006338D2"/>
    <w:rsid w:val="00635FD8"/>
    <w:rsid w:val="00636F7B"/>
    <w:rsid w:val="006378BE"/>
    <w:rsid w:val="0064019C"/>
    <w:rsid w:val="00640288"/>
    <w:rsid w:val="006403F6"/>
    <w:rsid w:val="006405AC"/>
    <w:rsid w:val="00640606"/>
    <w:rsid w:val="006413D8"/>
    <w:rsid w:val="00641C55"/>
    <w:rsid w:val="00642405"/>
    <w:rsid w:val="00642645"/>
    <w:rsid w:val="00644833"/>
    <w:rsid w:val="00644BED"/>
    <w:rsid w:val="006467F5"/>
    <w:rsid w:val="00652092"/>
    <w:rsid w:val="00652472"/>
    <w:rsid w:val="00652848"/>
    <w:rsid w:val="006556BD"/>
    <w:rsid w:val="00656385"/>
    <w:rsid w:val="0066039A"/>
    <w:rsid w:val="00660DBE"/>
    <w:rsid w:val="0066127D"/>
    <w:rsid w:val="006619B9"/>
    <w:rsid w:val="00661AEE"/>
    <w:rsid w:val="0066351C"/>
    <w:rsid w:val="00664693"/>
    <w:rsid w:val="00664DC0"/>
    <w:rsid w:val="006651CC"/>
    <w:rsid w:val="00665CA1"/>
    <w:rsid w:val="006661FC"/>
    <w:rsid w:val="006663E0"/>
    <w:rsid w:val="006666D2"/>
    <w:rsid w:val="00667A31"/>
    <w:rsid w:val="00670702"/>
    <w:rsid w:val="00670C14"/>
    <w:rsid w:val="006713F2"/>
    <w:rsid w:val="0067147C"/>
    <w:rsid w:val="00672A8A"/>
    <w:rsid w:val="00673F50"/>
    <w:rsid w:val="0067462C"/>
    <w:rsid w:val="006759B0"/>
    <w:rsid w:val="00677012"/>
    <w:rsid w:val="00680926"/>
    <w:rsid w:val="00680D0E"/>
    <w:rsid w:val="006825B4"/>
    <w:rsid w:val="006829BA"/>
    <w:rsid w:val="00682AF2"/>
    <w:rsid w:val="006837DE"/>
    <w:rsid w:val="00684040"/>
    <w:rsid w:val="00684461"/>
    <w:rsid w:val="0068537F"/>
    <w:rsid w:val="00686AB6"/>
    <w:rsid w:val="00687628"/>
    <w:rsid w:val="00687CFE"/>
    <w:rsid w:val="00690EB8"/>
    <w:rsid w:val="006915E5"/>
    <w:rsid w:val="00692401"/>
    <w:rsid w:val="0069758B"/>
    <w:rsid w:val="006A07DF"/>
    <w:rsid w:val="006A0B6C"/>
    <w:rsid w:val="006A16E1"/>
    <w:rsid w:val="006A3A9C"/>
    <w:rsid w:val="006A3C8A"/>
    <w:rsid w:val="006A3E61"/>
    <w:rsid w:val="006A5105"/>
    <w:rsid w:val="006A590B"/>
    <w:rsid w:val="006A6107"/>
    <w:rsid w:val="006A6737"/>
    <w:rsid w:val="006B0927"/>
    <w:rsid w:val="006B236C"/>
    <w:rsid w:val="006B26B1"/>
    <w:rsid w:val="006B2E45"/>
    <w:rsid w:val="006B441C"/>
    <w:rsid w:val="006B5938"/>
    <w:rsid w:val="006B5D32"/>
    <w:rsid w:val="006B758B"/>
    <w:rsid w:val="006B7BF8"/>
    <w:rsid w:val="006C01C8"/>
    <w:rsid w:val="006C0783"/>
    <w:rsid w:val="006C25D5"/>
    <w:rsid w:val="006C262B"/>
    <w:rsid w:val="006C27EB"/>
    <w:rsid w:val="006C3A2D"/>
    <w:rsid w:val="006C4666"/>
    <w:rsid w:val="006C49BF"/>
    <w:rsid w:val="006C63D7"/>
    <w:rsid w:val="006C6A61"/>
    <w:rsid w:val="006C7535"/>
    <w:rsid w:val="006D2F09"/>
    <w:rsid w:val="006D3DC0"/>
    <w:rsid w:val="006D403A"/>
    <w:rsid w:val="006D40CB"/>
    <w:rsid w:val="006D5A5F"/>
    <w:rsid w:val="006D5E84"/>
    <w:rsid w:val="006D7271"/>
    <w:rsid w:val="006D7C99"/>
    <w:rsid w:val="006E0443"/>
    <w:rsid w:val="006E0A17"/>
    <w:rsid w:val="006E0B61"/>
    <w:rsid w:val="006E0DCF"/>
    <w:rsid w:val="006E1647"/>
    <w:rsid w:val="006E310A"/>
    <w:rsid w:val="006E3C3E"/>
    <w:rsid w:val="006E429F"/>
    <w:rsid w:val="006E468B"/>
    <w:rsid w:val="006E4C93"/>
    <w:rsid w:val="006E6F30"/>
    <w:rsid w:val="006E7082"/>
    <w:rsid w:val="006F030F"/>
    <w:rsid w:val="006F084B"/>
    <w:rsid w:val="006F0A6E"/>
    <w:rsid w:val="006F193C"/>
    <w:rsid w:val="006F1B58"/>
    <w:rsid w:val="006F2B89"/>
    <w:rsid w:val="006F3B81"/>
    <w:rsid w:val="006F4D59"/>
    <w:rsid w:val="006F4F79"/>
    <w:rsid w:val="006F4F80"/>
    <w:rsid w:val="006F5532"/>
    <w:rsid w:val="006F556E"/>
    <w:rsid w:val="006F5F22"/>
    <w:rsid w:val="006F62CC"/>
    <w:rsid w:val="006F681D"/>
    <w:rsid w:val="006F69D6"/>
    <w:rsid w:val="006F7B1F"/>
    <w:rsid w:val="0070020B"/>
    <w:rsid w:val="0070235F"/>
    <w:rsid w:val="00702BC3"/>
    <w:rsid w:val="007032B5"/>
    <w:rsid w:val="00703496"/>
    <w:rsid w:val="007036FE"/>
    <w:rsid w:val="00704763"/>
    <w:rsid w:val="00705B37"/>
    <w:rsid w:val="0070658A"/>
    <w:rsid w:val="00706B65"/>
    <w:rsid w:val="00707C1A"/>
    <w:rsid w:val="0071023D"/>
    <w:rsid w:val="00710530"/>
    <w:rsid w:val="00712912"/>
    <w:rsid w:val="00712DA5"/>
    <w:rsid w:val="0071553B"/>
    <w:rsid w:val="00716395"/>
    <w:rsid w:val="007168A0"/>
    <w:rsid w:val="00716C95"/>
    <w:rsid w:val="00717762"/>
    <w:rsid w:val="00721A63"/>
    <w:rsid w:val="00721FF9"/>
    <w:rsid w:val="00725735"/>
    <w:rsid w:val="00731224"/>
    <w:rsid w:val="00734BB9"/>
    <w:rsid w:val="00736395"/>
    <w:rsid w:val="00736459"/>
    <w:rsid w:val="00737821"/>
    <w:rsid w:val="00741175"/>
    <w:rsid w:val="007419FB"/>
    <w:rsid w:val="00742606"/>
    <w:rsid w:val="00743575"/>
    <w:rsid w:val="00743D9D"/>
    <w:rsid w:val="00743FA5"/>
    <w:rsid w:val="007441FF"/>
    <w:rsid w:val="00744B0E"/>
    <w:rsid w:val="00744EE8"/>
    <w:rsid w:val="007467E4"/>
    <w:rsid w:val="00747569"/>
    <w:rsid w:val="00750238"/>
    <w:rsid w:val="0075023C"/>
    <w:rsid w:val="00752003"/>
    <w:rsid w:val="007523E7"/>
    <w:rsid w:val="00754252"/>
    <w:rsid w:val="0075482A"/>
    <w:rsid w:val="007577B1"/>
    <w:rsid w:val="00757D87"/>
    <w:rsid w:val="00760D3F"/>
    <w:rsid w:val="00760EED"/>
    <w:rsid w:val="0076109F"/>
    <w:rsid w:val="007619CE"/>
    <w:rsid w:val="00761F4F"/>
    <w:rsid w:val="007620DC"/>
    <w:rsid w:val="00762102"/>
    <w:rsid w:val="0076255D"/>
    <w:rsid w:val="007625F6"/>
    <w:rsid w:val="00762B8B"/>
    <w:rsid w:val="00763183"/>
    <w:rsid w:val="00764AF9"/>
    <w:rsid w:val="00765D18"/>
    <w:rsid w:val="00770C54"/>
    <w:rsid w:val="007721C7"/>
    <w:rsid w:val="00772454"/>
    <w:rsid w:val="00772613"/>
    <w:rsid w:val="00772B41"/>
    <w:rsid w:val="00777617"/>
    <w:rsid w:val="00777D6B"/>
    <w:rsid w:val="0078265B"/>
    <w:rsid w:val="00782E10"/>
    <w:rsid w:val="007853B2"/>
    <w:rsid w:val="00785491"/>
    <w:rsid w:val="00786448"/>
    <w:rsid w:val="00790A93"/>
    <w:rsid w:val="007911FF"/>
    <w:rsid w:val="0079134E"/>
    <w:rsid w:val="0079278E"/>
    <w:rsid w:val="00792E3C"/>
    <w:rsid w:val="007930C1"/>
    <w:rsid w:val="007960E3"/>
    <w:rsid w:val="0079677E"/>
    <w:rsid w:val="00796F7C"/>
    <w:rsid w:val="00797131"/>
    <w:rsid w:val="00797DDE"/>
    <w:rsid w:val="007A1C46"/>
    <w:rsid w:val="007A343D"/>
    <w:rsid w:val="007A37F7"/>
    <w:rsid w:val="007A5ACE"/>
    <w:rsid w:val="007A6528"/>
    <w:rsid w:val="007A7B48"/>
    <w:rsid w:val="007B0608"/>
    <w:rsid w:val="007B18C6"/>
    <w:rsid w:val="007B18D2"/>
    <w:rsid w:val="007B20C2"/>
    <w:rsid w:val="007B27E4"/>
    <w:rsid w:val="007B35F6"/>
    <w:rsid w:val="007B3F87"/>
    <w:rsid w:val="007B404F"/>
    <w:rsid w:val="007B5B15"/>
    <w:rsid w:val="007B6E28"/>
    <w:rsid w:val="007B7B52"/>
    <w:rsid w:val="007C2F60"/>
    <w:rsid w:val="007C5613"/>
    <w:rsid w:val="007C6BC6"/>
    <w:rsid w:val="007C6DAA"/>
    <w:rsid w:val="007C73B2"/>
    <w:rsid w:val="007C7FD8"/>
    <w:rsid w:val="007D0435"/>
    <w:rsid w:val="007D0643"/>
    <w:rsid w:val="007D400A"/>
    <w:rsid w:val="007D4B0E"/>
    <w:rsid w:val="007D4DD2"/>
    <w:rsid w:val="007E2419"/>
    <w:rsid w:val="007E3FF5"/>
    <w:rsid w:val="007E4219"/>
    <w:rsid w:val="007E4B3E"/>
    <w:rsid w:val="007E577E"/>
    <w:rsid w:val="007E635E"/>
    <w:rsid w:val="007E6C0C"/>
    <w:rsid w:val="007F038C"/>
    <w:rsid w:val="007F0F24"/>
    <w:rsid w:val="007F1E9D"/>
    <w:rsid w:val="007F222B"/>
    <w:rsid w:val="007F3092"/>
    <w:rsid w:val="007F39B8"/>
    <w:rsid w:val="007F43C7"/>
    <w:rsid w:val="007F4A6F"/>
    <w:rsid w:val="007F4FBC"/>
    <w:rsid w:val="007F5975"/>
    <w:rsid w:val="007F7DF2"/>
    <w:rsid w:val="00800A35"/>
    <w:rsid w:val="00801A0E"/>
    <w:rsid w:val="00804E4C"/>
    <w:rsid w:val="0080662C"/>
    <w:rsid w:val="008070B2"/>
    <w:rsid w:val="00807D79"/>
    <w:rsid w:val="00810102"/>
    <w:rsid w:val="00811079"/>
    <w:rsid w:val="008117C4"/>
    <w:rsid w:val="008123F2"/>
    <w:rsid w:val="0081344A"/>
    <w:rsid w:val="008149D8"/>
    <w:rsid w:val="00815E69"/>
    <w:rsid w:val="00817C07"/>
    <w:rsid w:val="00817CFC"/>
    <w:rsid w:val="00821D81"/>
    <w:rsid w:val="008221DC"/>
    <w:rsid w:val="00823654"/>
    <w:rsid w:val="00823A90"/>
    <w:rsid w:val="00825BB5"/>
    <w:rsid w:val="0082757E"/>
    <w:rsid w:val="00827C7D"/>
    <w:rsid w:val="00827D77"/>
    <w:rsid w:val="00830561"/>
    <w:rsid w:val="00831115"/>
    <w:rsid w:val="008325CA"/>
    <w:rsid w:val="00832D42"/>
    <w:rsid w:val="00833419"/>
    <w:rsid w:val="008335D4"/>
    <w:rsid w:val="008342A5"/>
    <w:rsid w:val="00834BE2"/>
    <w:rsid w:val="00834EA4"/>
    <w:rsid w:val="00835DCB"/>
    <w:rsid w:val="00835F55"/>
    <w:rsid w:val="00837F18"/>
    <w:rsid w:val="0084139B"/>
    <w:rsid w:val="0084143B"/>
    <w:rsid w:val="00842547"/>
    <w:rsid w:val="008427D3"/>
    <w:rsid w:val="0084324C"/>
    <w:rsid w:val="008451F8"/>
    <w:rsid w:val="008457D2"/>
    <w:rsid w:val="00846212"/>
    <w:rsid w:val="008468E0"/>
    <w:rsid w:val="00847BE7"/>
    <w:rsid w:val="00850EAB"/>
    <w:rsid w:val="00851DA2"/>
    <w:rsid w:val="008529B3"/>
    <w:rsid w:val="00852ADD"/>
    <w:rsid w:val="00853883"/>
    <w:rsid w:val="008547D5"/>
    <w:rsid w:val="0085789E"/>
    <w:rsid w:val="00860D70"/>
    <w:rsid w:val="008616A2"/>
    <w:rsid w:val="00861C6C"/>
    <w:rsid w:val="00861CAC"/>
    <w:rsid w:val="0086308A"/>
    <w:rsid w:val="008665F9"/>
    <w:rsid w:val="00873736"/>
    <w:rsid w:val="0087378E"/>
    <w:rsid w:val="00873B15"/>
    <w:rsid w:val="008755E7"/>
    <w:rsid w:val="00877822"/>
    <w:rsid w:val="00877D03"/>
    <w:rsid w:val="00877E96"/>
    <w:rsid w:val="008803CE"/>
    <w:rsid w:val="00882077"/>
    <w:rsid w:val="008834BC"/>
    <w:rsid w:val="00883613"/>
    <w:rsid w:val="00886393"/>
    <w:rsid w:val="008863A9"/>
    <w:rsid w:val="00886579"/>
    <w:rsid w:val="00886F19"/>
    <w:rsid w:val="00887865"/>
    <w:rsid w:val="00887B37"/>
    <w:rsid w:val="00890598"/>
    <w:rsid w:val="0089065A"/>
    <w:rsid w:val="00891D7A"/>
    <w:rsid w:val="00891DFC"/>
    <w:rsid w:val="008925FB"/>
    <w:rsid w:val="00892B98"/>
    <w:rsid w:val="00894EA4"/>
    <w:rsid w:val="008959FC"/>
    <w:rsid w:val="008A1D0E"/>
    <w:rsid w:val="008A31C7"/>
    <w:rsid w:val="008A3CA6"/>
    <w:rsid w:val="008A4AEC"/>
    <w:rsid w:val="008A5609"/>
    <w:rsid w:val="008A6DF0"/>
    <w:rsid w:val="008A6FA0"/>
    <w:rsid w:val="008B0634"/>
    <w:rsid w:val="008B2B19"/>
    <w:rsid w:val="008B2F40"/>
    <w:rsid w:val="008B3627"/>
    <w:rsid w:val="008B540C"/>
    <w:rsid w:val="008B5E61"/>
    <w:rsid w:val="008B7914"/>
    <w:rsid w:val="008B7FCB"/>
    <w:rsid w:val="008C127A"/>
    <w:rsid w:val="008C2C7F"/>
    <w:rsid w:val="008C2F0D"/>
    <w:rsid w:val="008C35FA"/>
    <w:rsid w:val="008C39B6"/>
    <w:rsid w:val="008C5D2A"/>
    <w:rsid w:val="008C74FB"/>
    <w:rsid w:val="008C7AF4"/>
    <w:rsid w:val="008C7DA4"/>
    <w:rsid w:val="008D0210"/>
    <w:rsid w:val="008D0851"/>
    <w:rsid w:val="008D0DEF"/>
    <w:rsid w:val="008D1074"/>
    <w:rsid w:val="008D1079"/>
    <w:rsid w:val="008D280F"/>
    <w:rsid w:val="008D318B"/>
    <w:rsid w:val="008D3994"/>
    <w:rsid w:val="008D3C3D"/>
    <w:rsid w:val="008D478E"/>
    <w:rsid w:val="008D534E"/>
    <w:rsid w:val="008D6E81"/>
    <w:rsid w:val="008D7739"/>
    <w:rsid w:val="008E1267"/>
    <w:rsid w:val="008E22F8"/>
    <w:rsid w:val="008E2C01"/>
    <w:rsid w:val="008E39D8"/>
    <w:rsid w:val="008E4703"/>
    <w:rsid w:val="008E606F"/>
    <w:rsid w:val="008E6AD9"/>
    <w:rsid w:val="008F022A"/>
    <w:rsid w:val="008F22A6"/>
    <w:rsid w:val="008F27E3"/>
    <w:rsid w:val="008F28C5"/>
    <w:rsid w:val="008F29F0"/>
    <w:rsid w:val="008F3485"/>
    <w:rsid w:val="008F3AC3"/>
    <w:rsid w:val="008F4A52"/>
    <w:rsid w:val="008F4E95"/>
    <w:rsid w:val="008F4F0F"/>
    <w:rsid w:val="008F51FF"/>
    <w:rsid w:val="008F5DEF"/>
    <w:rsid w:val="009004EC"/>
    <w:rsid w:val="009011BE"/>
    <w:rsid w:val="009011C7"/>
    <w:rsid w:val="00901459"/>
    <w:rsid w:val="009026CB"/>
    <w:rsid w:val="00903EEB"/>
    <w:rsid w:val="00904038"/>
    <w:rsid w:val="009041AF"/>
    <w:rsid w:val="009049AB"/>
    <w:rsid w:val="009050B7"/>
    <w:rsid w:val="00905130"/>
    <w:rsid w:val="009061B8"/>
    <w:rsid w:val="009105B8"/>
    <w:rsid w:val="009130CC"/>
    <w:rsid w:val="00914683"/>
    <w:rsid w:val="009147B8"/>
    <w:rsid w:val="00914861"/>
    <w:rsid w:val="009148D8"/>
    <w:rsid w:val="0091583E"/>
    <w:rsid w:val="00915CD5"/>
    <w:rsid w:val="00916093"/>
    <w:rsid w:val="009160E3"/>
    <w:rsid w:val="0091639C"/>
    <w:rsid w:val="00922BF0"/>
    <w:rsid w:val="009255FA"/>
    <w:rsid w:val="00925730"/>
    <w:rsid w:val="009262E4"/>
    <w:rsid w:val="00927D4E"/>
    <w:rsid w:val="00930D2A"/>
    <w:rsid w:val="00931B84"/>
    <w:rsid w:val="00931F90"/>
    <w:rsid w:val="009325C3"/>
    <w:rsid w:val="00932E7E"/>
    <w:rsid w:val="0093442D"/>
    <w:rsid w:val="00934CD2"/>
    <w:rsid w:val="009375E5"/>
    <w:rsid w:val="00941208"/>
    <w:rsid w:val="00941848"/>
    <w:rsid w:val="009437F2"/>
    <w:rsid w:val="009442E8"/>
    <w:rsid w:val="009444B5"/>
    <w:rsid w:val="009452E7"/>
    <w:rsid w:val="0094759C"/>
    <w:rsid w:val="00951666"/>
    <w:rsid w:val="00952524"/>
    <w:rsid w:val="009526A8"/>
    <w:rsid w:val="0095278F"/>
    <w:rsid w:val="0095290A"/>
    <w:rsid w:val="00953AD4"/>
    <w:rsid w:val="0095426C"/>
    <w:rsid w:val="009566A2"/>
    <w:rsid w:val="00956BF5"/>
    <w:rsid w:val="009571C2"/>
    <w:rsid w:val="0095770C"/>
    <w:rsid w:val="00957CC8"/>
    <w:rsid w:val="00957DD6"/>
    <w:rsid w:val="00957EE7"/>
    <w:rsid w:val="00961453"/>
    <w:rsid w:val="009616D4"/>
    <w:rsid w:val="00962510"/>
    <w:rsid w:val="00964166"/>
    <w:rsid w:val="0096429B"/>
    <w:rsid w:val="0096475C"/>
    <w:rsid w:val="0096546E"/>
    <w:rsid w:val="0096562A"/>
    <w:rsid w:val="00965644"/>
    <w:rsid w:val="00965865"/>
    <w:rsid w:val="00967730"/>
    <w:rsid w:val="00970E50"/>
    <w:rsid w:val="00971074"/>
    <w:rsid w:val="00971E8B"/>
    <w:rsid w:val="009747AA"/>
    <w:rsid w:val="00974BCB"/>
    <w:rsid w:val="0097501D"/>
    <w:rsid w:val="0097507B"/>
    <w:rsid w:val="009763E4"/>
    <w:rsid w:val="00980A22"/>
    <w:rsid w:val="009830B9"/>
    <w:rsid w:val="00983599"/>
    <w:rsid w:val="00983C94"/>
    <w:rsid w:val="00985B04"/>
    <w:rsid w:val="00986BEF"/>
    <w:rsid w:val="00990683"/>
    <w:rsid w:val="00992499"/>
    <w:rsid w:val="009927F5"/>
    <w:rsid w:val="00992986"/>
    <w:rsid w:val="00994B55"/>
    <w:rsid w:val="00995D86"/>
    <w:rsid w:val="0099621C"/>
    <w:rsid w:val="009A1C63"/>
    <w:rsid w:val="009A1F6B"/>
    <w:rsid w:val="009A2C4C"/>
    <w:rsid w:val="009A2DD8"/>
    <w:rsid w:val="009A30DE"/>
    <w:rsid w:val="009A3A0D"/>
    <w:rsid w:val="009A5453"/>
    <w:rsid w:val="009A7883"/>
    <w:rsid w:val="009B0D3A"/>
    <w:rsid w:val="009B244B"/>
    <w:rsid w:val="009B2760"/>
    <w:rsid w:val="009B308D"/>
    <w:rsid w:val="009B3B62"/>
    <w:rsid w:val="009B4FFB"/>
    <w:rsid w:val="009B7489"/>
    <w:rsid w:val="009B7B0A"/>
    <w:rsid w:val="009C07C9"/>
    <w:rsid w:val="009C08D7"/>
    <w:rsid w:val="009C24EB"/>
    <w:rsid w:val="009C255E"/>
    <w:rsid w:val="009C303B"/>
    <w:rsid w:val="009C4E0D"/>
    <w:rsid w:val="009C4F1B"/>
    <w:rsid w:val="009C503B"/>
    <w:rsid w:val="009D02FA"/>
    <w:rsid w:val="009D07C4"/>
    <w:rsid w:val="009D0C5A"/>
    <w:rsid w:val="009D3AD2"/>
    <w:rsid w:val="009D3E06"/>
    <w:rsid w:val="009D638D"/>
    <w:rsid w:val="009D654F"/>
    <w:rsid w:val="009E11AB"/>
    <w:rsid w:val="009E1CC8"/>
    <w:rsid w:val="009E30D2"/>
    <w:rsid w:val="009E4885"/>
    <w:rsid w:val="009E508B"/>
    <w:rsid w:val="009E6457"/>
    <w:rsid w:val="009E7F53"/>
    <w:rsid w:val="009F081B"/>
    <w:rsid w:val="009F0A85"/>
    <w:rsid w:val="009F1B71"/>
    <w:rsid w:val="009F220A"/>
    <w:rsid w:val="009F3519"/>
    <w:rsid w:val="009F36D6"/>
    <w:rsid w:val="009F4BFD"/>
    <w:rsid w:val="009F708E"/>
    <w:rsid w:val="00A01DF9"/>
    <w:rsid w:val="00A02FA8"/>
    <w:rsid w:val="00A03525"/>
    <w:rsid w:val="00A03F74"/>
    <w:rsid w:val="00A05C04"/>
    <w:rsid w:val="00A07DB6"/>
    <w:rsid w:val="00A10BA7"/>
    <w:rsid w:val="00A11406"/>
    <w:rsid w:val="00A132A1"/>
    <w:rsid w:val="00A1554D"/>
    <w:rsid w:val="00A158E3"/>
    <w:rsid w:val="00A172E0"/>
    <w:rsid w:val="00A221A3"/>
    <w:rsid w:val="00A223D5"/>
    <w:rsid w:val="00A233B6"/>
    <w:rsid w:val="00A23E0E"/>
    <w:rsid w:val="00A23F41"/>
    <w:rsid w:val="00A25547"/>
    <w:rsid w:val="00A30628"/>
    <w:rsid w:val="00A31E14"/>
    <w:rsid w:val="00A34466"/>
    <w:rsid w:val="00A36CEB"/>
    <w:rsid w:val="00A37B0C"/>
    <w:rsid w:val="00A37D1C"/>
    <w:rsid w:val="00A37FFE"/>
    <w:rsid w:val="00A41E90"/>
    <w:rsid w:val="00A41FEF"/>
    <w:rsid w:val="00A42476"/>
    <w:rsid w:val="00A433CA"/>
    <w:rsid w:val="00A43F3C"/>
    <w:rsid w:val="00A468FD"/>
    <w:rsid w:val="00A46921"/>
    <w:rsid w:val="00A46DD6"/>
    <w:rsid w:val="00A47249"/>
    <w:rsid w:val="00A501C7"/>
    <w:rsid w:val="00A51192"/>
    <w:rsid w:val="00A513FD"/>
    <w:rsid w:val="00A52BC1"/>
    <w:rsid w:val="00A52E3C"/>
    <w:rsid w:val="00A534A0"/>
    <w:rsid w:val="00A539AD"/>
    <w:rsid w:val="00A540B2"/>
    <w:rsid w:val="00A56819"/>
    <w:rsid w:val="00A5784A"/>
    <w:rsid w:val="00A60E9C"/>
    <w:rsid w:val="00A61879"/>
    <w:rsid w:val="00A6444F"/>
    <w:rsid w:val="00A652FF"/>
    <w:rsid w:val="00A65A0D"/>
    <w:rsid w:val="00A65C27"/>
    <w:rsid w:val="00A65F3C"/>
    <w:rsid w:val="00A714A3"/>
    <w:rsid w:val="00A71B8B"/>
    <w:rsid w:val="00A75089"/>
    <w:rsid w:val="00A75EDC"/>
    <w:rsid w:val="00A77C94"/>
    <w:rsid w:val="00A80404"/>
    <w:rsid w:val="00A817A8"/>
    <w:rsid w:val="00A81E50"/>
    <w:rsid w:val="00A82DA0"/>
    <w:rsid w:val="00A831DE"/>
    <w:rsid w:val="00A83E49"/>
    <w:rsid w:val="00A8415A"/>
    <w:rsid w:val="00A841A6"/>
    <w:rsid w:val="00A84221"/>
    <w:rsid w:val="00A84B7A"/>
    <w:rsid w:val="00A851CE"/>
    <w:rsid w:val="00A8600C"/>
    <w:rsid w:val="00A86FBC"/>
    <w:rsid w:val="00A902AD"/>
    <w:rsid w:val="00A9099E"/>
    <w:rsid w:val="00A91FB7"/>
    <w:rsid w:val="00A9298F"/>
    <w:rsid w:val="00A9301E"/>
    <w:rsid w:val="00A940B1"/>
    <w:rsid w:val="00A9456D"/>
    <w:rsid w:val="00A95186"/>
    <w:rsid w:val="00A97F67"/>
    <w:rsid w:val="00AA1224"/>
    <w:rsid w:val="00AA1298"/>
    <w:rsid w:val="00AA14F2"/>
    <w:rsid w:val="00AA180B"/>
    <w:rsid w:val="00AA1D43"/>
    <w:rsid w:val="00AA3301"/>
    <w:rsid w:val="00AA3360"/>
    <w:rsid w:val="00AA3CFA"/>
    <w:rsid w:val="00AA6B93"/>
    <w:rsid w:val="00AA7A06"/>
    <w:rsid w:val="00AB1984"/>
    <w:rsid w:val="00AB1CBB"/>
    <w:rsid w:val="00AB215B"/>
    <w:rsid w:val="00AB3302"/>
    <w:rsid w:val="00AB333E"/>
    <w:rsid w:val="00AB37DB"/>
    <w:rsid w:val="00AB3C07"/>
    <w:rsid w:val="00AB4952"/>
    <w:rsid w:val="00AB4BA0"/>
    <w:rsid w:val="00AB5F48"/>
    <w:rsid w:val="00AB716D"/>
    <w:rsid w:val="00AB7BF3"/>
    <w:rsid w:val="00AC112A"/>
    <w:rsid w:val="00AC1AA3"/>
    <w:rsid w:val="00AC1F8E"/>
    <w:rsid w:val="00AC286B"/>
    <w:rsid w:val="00AC4CB3"/>
    <w:rsid w:val="00AC4D7C"/>
    <w:rsid w:val="00AC6EF2"/>
    <w:rsid w:val="00AC71A6"/>
    <w:rsid w:val="00AC742F"/>
    <w:rsid w:val="00AC754B"/>
    <w:rsid w:val="00AC774F"/>
    <w:rsid w:val="00AC780D"/>
    <w:rsid w:val="00AC787B"/>
    <w:rsid w:val="00AC7956"/>
    <w:rsid w:val="00AC7E18"/>
    <w:rsid w:val="00AD0B5C"/>
    <w:rsid w:val="00AD1120"/>
    <w:rsid w:val="00AD1B79"/>
    <w:rsid w:val="00AD50F8"/>
    <w:rsid w:val="00AE3E11"/>
    <w:rsid w:val="00AE4BDC"/>
    <w:rsid w:val="00AE55AD"/>
    <w:rsid w:val="00AE6D49"/>
    <w:rsid w:val="00AE78ED"/>
    <w:rsid w:val="00AF1117"/>
    <w:rsid w:val="00AF1555"/>
    <w:rsid w:val="00AF18BA"/>
    <w:rsid w:val="00AF228C"/>
    <w:rsid w:val="00AF2DB9"/>
    <w:rsid w:val="00AF3B55"/>
    <w:rsid w:val="00AF3D62"/>
    <w:rsid w:val="00AF6373"/>
    <w:rsid w:val="00AF6AC5"/>
    <w:rsid w:val="00AF7809"/>
    <w:rsid w:val="00AF7F7B"/>
    <w:rsid w:val="00B0104B"/>
    <w:rsid w:val="00B0164D"/>
    <w:rsid w:val="00B01ADF"/>
    <w:rsid w:val="00B021E0"/>
    <w:rsid w:val="00B03A35"/>
    <w:rsid w:val="00B048E3"/>
    <w:rsid w:val="00B04F99"/>
    <w:rsid w:val="00B057B6"/>
    <w:rsid w:val="00B05BA2"/>
    <w:rsid w:val="00B07F41"/>
    <w:rsid w:val="00B11C80"/>
    <w:rsid w:val="00B12DCA"/>
    <w:rsid w:val="00B13ECB"/>
    <w:rsid w:val="00B1524F"/>
    <w:rsid w:val="00B15D58"/>
    <w:rsid w:val="00B20334"/>
    <w:rsid w:val="00B215D5"/>
    <w:rsid w:val="00B22870"/>
    <w:rsid w:val="00B22A22"/>
    <w:rsid w:val="00B2328E"/>
    <w:rsid w:val="00B23F4C"/>
    <w:rsid w:val="00B24BA7"/>
    <w:rsid w:val="00B25BC1"/>
    <w:rsid w:val="00B268D0"/>
    <w:rsid w:val="00B269D3"/>
    <w:rsid w:val="00B30448"/>
    <w:rsid w:val="00B30D75"/>
    <w:rsid w:val="00B31315"/>
    <w:rsid w:val="00B34D6A"/>
    <w:rsid w:val="00B35749"/>
    <w:rsid w:val="00B35EF5"/>
    <w:rsid w:val="00B3704D"/>
    <w:rsid w:val="00B40162"/>
    <w:rsid w:val="00B40FDB"/>
    <w:rsid w:val="00B411B3"/>
    <w:rsid w:val="00B430F6"/>
    <w:rsid w:val="00B45528"/>
    <w:rsid w:val="00B478FA"/>
    <w:rsid w:val="00B50156"/>
    <w:rsid w:val="00B509AE"/>
    <w:rsid w:val="00B50E13"/>
    <w:rsid w:val="00B51581"/>
    <w:rsid w:val="00B518AD"/>
    <w:rsid w:val="00B52D81"/>
    <w:rsid w:val="00B56866"/>
    <w:rsid w:val="00B604BB"/>
    <w:rsid w:val="00B60A96"/>
    <w:rsid w:val="00B60DD7"/>
    <w:rsid w:val="00B60EB6"/>
    <w:rsid w:val="00B61023"/>
    <w:rsid w:val="00B622A2"/>
    <w:rsid w:val="00B6386F"/>
    <w:rsid w:val="00B67346"/>
    <w:rsid w:val="00B6793A"/>
    <w:rsid w:val="00B71607"/>
    <w:rsid w:val="00B72361"/>
    <w:rsid w:val="00B75345"/>
    <w:rsid w:val="00B76327"/>
    <w:rsid w:val="00B76400"/>
    <w:rsid w:val="00B76C94"/>
    <w:rsid w:val="00B76D4E"/>
    <w:rsid w:val="00B76F42"/>
    <w:rsid w:val="00B771AA"/>
    <w:rsid w:val="00B772D0"/>
    <w:rsid w:val="00B83117"/>
    <w:rsid w:val="00B8319C"/>
    <w:rsid w:val="00B834A5"/>
    <w:rsid w:val="00B842E8"/>
    <w:rsid w:val="00B906F2"/>
    <w:rsid w:val="00B90D9B"/>
    <w:rsid w:val="00B91B81"/>
    <w:rsid w:val="00B91FF0"/>
    <w:rsid w:val="00B92FFF"/>
    <w:rsid w:val="00B951B8"/>
    <w:rsid w:val="00B96799"/>
    <w:rsid w:val="00B96DE5"/>
    <w:rsid w:val="00B9741B"/>
    <w:rsid w:val="00B97A76"/>
    <w:rsid w:val="00BA0166"/>
    <w:rsid w:val="00BA0584"/>
    <w:rsid w:val="00BA0A83"/>
    <w:rsid w:val="00BA1E78"/>
    <w:rsid w:val="00BA249D"/>
    <w:rsid w:val="00BA4D00"/>
    <w:rsid w:val="00BA5665"/>
    <w:rsid w:val="00BB0AB5"/>
    <w:rsid w:val="00BB33E9"/>
    <w:rsid w:val="00BB3BE4"/>
    <w:rsid w:val="00BB57D3"/>
    <w:rsid w:val="00BB58EE"/>
    <w:rsid w:val="00BB6675"/>
    <w:rsid w:val="00BB7589"/>
    <w:rsid w:val="00BC077E"/>
    <w:rsid w:val="00BC5EF6"/>
    <w:rsid w:val="00BC7632"/>
    <w:rsid w:val="00BC7C9E"/>
    <w:rsid w:val="00BD15B8"/>
    <w:rsid w:val="00BD1E79"/>
    <w:rsid w:val="00BD23A5"/>
    <w:rsid w:val="00BD2937"/>
    <w:rsid w:val="00BD2AFC"/>
    <w:rsid w:val="00BD48A9"/>
    <w:rsid w:val="00BD5712"/>
    <w:rsid w:val="00BD658C"/>
    <w:rsid w:val="00BD7EC6"/>
    <w:rsid w:val="00BE0FF2"/>
    <w:rsid w:val="00BE1345"/>
    <w:rsid w:val="00BE2147"/>
    <w:rsid w:val="00BE3C67"/>
    <w:rsid w:val="00BE73FA"/>
    <w:rsid w:val="00BE7A60"/>
    <w:rsid w:val="00BF0353"/>
    <w:rsid w:val="00BF1C5F"/>
    <w:rsid w:val="00BF2001"/>
    <w:rsid w:val="00BF2575"/>
    <w:rsid w:val="00BF3F0A"/>
    <w:rsid w:val="00BF4E35"/>
    <w:rsid w:val="00BF576E"/>
    <w:rsid w:val="00BF57FE"/>
    <w:rsid w:val="00C0083F"/>
    <w:rsid w:val="00C00976"/>
    <w:rsid w:val="00C03E74"/>
    <w:rsid w:val="00C04E51"/>
    <w:rsid w:val="00C060B0"/>
    <w:rsid w:val="00C072F0"/>
    <w:rsid w:val="00C07344"/>
    <w:rsid w:val="00C07C1F"/>
    <w:rsid w:val="00C11A79"/>
    <w:rsid w:val="00C13607"/>
    <w:rsid w:val="00C136B5"/>
    <w:rsid w:val="00C137B1"/>
    <w:rsid w:val="00C13B43"/>
    <w:rsid w:val="00C13CD0"/>
    <w:rsid w:val="00C15A01"/>
    <w:rsid w:val="00C15E81"/>
    <w:rsid w:val="00C174C9"/>
    <w:rsid w:val="00C17B6E"/>
    <w:rsid w:val="00C20754"/>
    <w:rsid w:val="00C22307"/>
    <w:rsid w:val="00C22573"/>
    <w:rsid w:val="00C228C4"/>
    <w:rsid w:val="00C22A2C"/>
    <w:rsid w:val="00C23150"/>
    <w:rsid w:val="00C24533"/>
    <w:rsid w:val="00C24908"/>
    <w:rsid w:val="00C2515F"/>
    <w:rsid w:val="00C26AEA"/>
    <w:rsid w:val="00C276EC"/>
    <w:rsid w:val="00C311F1"/>
    <w:rsid w:val="00C31AD4"/>
    <w:rsid w:val="00C31C63"/>
    <w:rsid w:val="00C32481"/>
    <w:rsid w:val="00C3394C"/>
    <w:rsid w:val="00C3516D"/>
    <w:rsid w:val="00C361A6"/>
    <w:rsid w:val="00C3670F"/>
    <w:rsid w:val="00C36E1A"/>
    <w:rsid w:val="00C371DF"/>
    <w:rsid w:val="00C37818"/>
    <w:rsid w:val="00C37EFC"/>
    <w:rsid w:val="00C37FF9"/>
    <w:rsid w:val="00C40126"/>
    <w:rsid w:val="00C40315"/>
    <w:rsid w:val="00C403B0"/>
    <w:rsid w:val="00C41425"/>
    <w:rsid w:val="00C41AB7"/>
    <w:rsid w:val="00C41B4A"/>
    <w:rsid w:val="00C42C11"/>
    <w:rsid w:val="00C43ADB"/>
    <w:rsid w:val="00C44B4C"/>
    <w:rsid w:val="00C45CCD"/>
    <w:rsid w:val="00C46734"/>
    <w:rsid w:val="00C470E1"/>
    <w:rsid w:val="00C503B5"/>
    <w:rsid w:val="00C5105D"/>
    <w:rsid w:val="00C511F0"/>
    <w:rsid w:val="00C51639"/>
    <w:rsid w:val="00C53220"/>
    <w:rsid w:val="00C533A0"/>
    <w:rsid w:val="00C53E9D"/>
    <w:rsid w:val="00C55CA3"/>
    <w:rsid w:val="00C5781B"/>
    <w:rsid w:val="00C621A7"/>
    <w:rsid w:val="00C62BF2"/>
    <w:rsid w:val="00C62D1B"/>
    <w:rsid w:val="00C638A6"/>
    <w:rsid w:val="00C64266"/>
    <w:rsid w:val="00C647DF"/>
    <w:rsid w:val="00C64B7B"/>
    <w:rsid w:val="00C66CE8"/>
    <w:rsid w:val="00C67B0C"/>
    <w:rsid w:val="00C67B80"/>
    <w:rsid w:val="00C70DF4"/>
    <w:rsid w:val="00C71252"/>
    <w:rsid w:val="00C7277F"/>
    <w:rsid w:val="00C74930"/>
    <w:rsid w:val="00C74B47"/>
    <w:rsid w:val="00C754BD"/>
    <w:rsid w:val="00C76814"/>
    <w:rsid w:val="00C769A9"/>
    <w:rsid w:val="00C80524"/>
    <w:rsid w:val="00C80987"/>
    <w:rsid w:val="00C82933"/>
    <w:rsid w:val="00C82BE2"/>
    <w:rsid w:val="00C85DEF"/>
    <w:rsid w:val="00C91106"/>
    <w:rsid w:val="00C91D19"/>
    <w:rsid w:val="00C94A14"/>
    <w:rsid w:val="00C96647"/>
    <w:rsid w:val="00CA007B"/>
    <w:rsid w:val="00CA0AA4"/>
    <w:rsid w:val="00CA1D4C"/>
    <w:rsid w:val="00CA261B"/>
    <w:rsid w:val="00CA3247"/>
    <w:rsid w:val="00CA3347"/>
    <w:rsid w:val="00CA34D4"/>
    <w:rsid w:val="00CA6FDA"/>
    <w:rsid w:val="00CA77CF"/>
    <w:rsid w:val="00CA7B58"/>
    <w:rsid w:val="00CB08EA"/>
    <w:rsid w:val="00CB2518"/>
    <w:rsid w:val="00CB3920"/>
    <w:rsid w:val="00CB4143"/>
    <w:rsid w:val="00CB4923"/>
    <w:rsid w:val="00CB6413"/>
    <w:rsid w:val="00CB696F"/>
    <w:rsid w:val="00CB6D4C"/>
    <w:rsid w:val="00CC0F1C"/>
    <w:rsid w:val="00CC2108"/>
    <w:rsid w:val="00CC299A"/>
    <w:rsid w:val="00CC3ACD"/>
    <w:rsid w:val="00CC3E43"/>
    <w:rsid w:val="00CC4F99"/>
    <w:rsid w:val="00CC6369"/>
    <w:rsid w:val="00CC67E6"/>
    <w:rsid w:val="00CC73F3"/>
    <w:rsid w:val="00CD11B5"/>
    <w:rsid w:val="00CD1B5A"/>
    <w:rsid w:val="00CD1E9C"/>
    <w:rsid w:val="00CD2A5A"/>
    <w:rsid w:val="00CD2E70"/>
    <w:rsid w:val="00CD3D06"/>
    <w:rsid w:val="00CD4A09"/>
    <w:rsid w:val="00CD4C7B"/>
    <w:rsid w:val="00CD5397"/>
    <w:rsid w:val="00CD5E93"/>
    <w:rsid w:val="00CD7051"/>
    <w:rsid w:val="00CE221C"/>
    <w:rsid w:val="00CE2BC0"/>
    <w:rsid w:val="00CE37A3"/>
    <w:rsid w:val="00CE5990"/>
    <w:rsid w:val="00CE60E6"/>
    <w:rsid w:val="00CE6855"/>
    <w:rsid w:val="00CE6B6F"/>
    <w:rsid w:val="00CE7033"/>
    <w:rsid w:val="00CE770A"/>
    <w:rsid w:val="00CF02A6"/>
    <w:rsid w:val="00CF06CF"/>
    <w:rsid w:val="00CF0A97"/>
    <w:rsid w:val="00CF2DC1"/>
    <w:rsid w:val="00CF2EE2"/>
    <w:rsid w:val="00CF3948"/>
    <w:rsid w:val="00CF3ACF"/>
    <w:rsid w:val="00CF441D"/>
    <w:rsid w:val="00CF4FCF"/>
    <w:rsid w:val="00CF4FDC"/>
    <w:rsid w:val="00CF52F8"/>
    <w:rsid w:val="00CF56AF"/>
    <w:rsid w:val="00CF5BE0"/>
    <w:rsid w:val="00CF61CB"/>
    <w:rsid w:val="00D00DBF"/>
    <w:rsid w:val="00D01084"/>
    <w:rsid w:val="00D01F5D"/>
    <w:rsid w:val="00D03934"/>
    <w:rsid w:val="00D03DBE"/>
    <w:rsid w:val="00D03EED"/>
    <w:rsid w:val="00D0530C"/>
    <w:rsid w:val="00D0597D"/>
    <w:rsid w:val="00D062E9"/>
    <w:rsid w:val="00D11949"/>
    <w:rsid w:val="00D11A69"/>
    <w:rsid w:val="00D146E9"/>
    <w:rsid w:val="00D1484F"/>
    <w:rsid w:val="00D169E0"/>
    <w:rsid w:val="00D1707A"/>
    <w:rsid w:val="00D21435"/>
    <w:rsid w:val="00D2242C"/>
    <w:rsid w:val="00D22BC4"/>
    <w:rsid w:val="00D243B4"/>
    <w:rsid w:val="00D25660"/>
    <w:rsid w:val="00D258EB"/>
    <w:rsid w:val="00D271CD"/>
    <w:rsid w:val="00D30A9A"/>
    <w:rsid w:val="00D315CC"/>
    <w:rsid w:val="00D31989"/>
    <w:rsid w:val="00D31BB1"/>
    <w:rsid w:val="00D327A3"/>
    <w:rsid w:val="00D34C82"/>
    <w:rsid w:val="00D36550"/>
    <w:rsid w:val="00D379EC"/>
    <w:rsid w:val="00D41E42"/>
    <w:rsid w:val="00D41F6B"/>
    <w:rsid w:val="00D4348D"/>
    <w:rsid w:val="00D44CEC"/>
    <w:rsid w:val="00D44E42"/>
    <w:rsid w:val="00D44FC3"/>
    <w:rsid w:val="00D50130"/>
    <w:rsid w:val="00D50961"/>
    <w:rsid w:val="00D50A02"/>
    <w:rsid w:val="00D512A1"/>
    <w:rsid w:val="00D52AB4"/>
    <w:rsid w:val="00D531F4"/>
    <w:rsid w:val="00D5357D"/>
    <w:rsid w:val="00D538D5"/>
    <w:rsid w:val="00D54258"/>
    <w:rsid w:val="00D54640"/>
    <w:rsid w:val="00D559B5"/>
    <w:rsid w:val="00D56071"/>
    <w:rsid w:val="00D56420"/>
    <w:rsid w:val="00D56C0C"/>
    <w:rsid w:val="00D57626"/>
    <w:rsid w:val="00D5798B"/>
    <w:rsid w:val="00D60736"/>
    <w:rsid w:val="00D61139"/>
    <w:rsid w:val="00D613CA"/>
    <w:rsid w:val="00D6307D"/>
    <w:rsid w:val="00D63632"/>
    <w:rsid w:val="00D64601"/>
    <w:rsid w:val="00D65893"/>
    <w:rsid w:val="00D658EC"/>
    <w:rsid w:val="00D6742A"/>
    <w:rsid w:val="00D67B9B"/>
    <w:rsid w:val="00D71733"/>
    <w:rsid w:val="00D718AC"/>
    <w:rsid w:val="00D72C13"/>
    <w:rsid w:val="00D7302F"/>
    <w:rsid w:val="00D74D14"/>
    <w:rsid w:val="00D75E82"/>
    <w:rsid w:val="00D767B6"/>
    <w:rsid w:val="00D769C5"/>
    <w:rsid w:val="00D76CEA"/>
    <w:rsid w:val="00D76E76"/>
    <w:rsid w:val="00D772CA"/>
    <w:rsid w:val="00D80631"/>
    <w:rsid w:val="00D80FB6"/>
    <w:rsid w:val="00D818EC"/>
    <w:rsid w:val="00D81A20"/>
    <w:rsid w:val="00D81F55"/>
    <w:rsid w:val="00D82669"/>
    <w:rsid w:val="00D8321A"/>
    <w:rsid w:val="00D84039"/>
    <w:rsid w:val="00D85093"/>
    <w:rsid w:val="00D867B9"/>
    <w:rsid w:val="00D86D55"/>
    <w:rsid w:val="00D8789C"/>
    <w:rsid w:val="00D87FDA"/>
    <w:rsid w:val="00D90558"/>
    <w:rsid w:val="00D914EB"/>
    <w:rsid w:val="00D94085"/>
    <w:rsid w:val="00D9642B"/>
    <w:rsid w:val="00D96D4F"/>
    <w:rsid w:val="00DA1357"/>
    <w:rsid w:val="00DA1806"/>
    <w:rsid w:val="00DA2D09"/>
    <w:rsid w:val="00DA3A76"/>
    <w:rsid w:val="00DA4AFF"/>
    <w:rsid w:val="00DA4DBC"/>
    <w:rsid w:val="00DA62D7"/>
    <w:rsid w:val="00DA6593"/>
    <w:rsid w:val="00DA73C1"/>
    <w:rsid w:val="00DA770D"/>
    <w:rsid w:val="00DB00EE"/>
    <w:rsid w:val="00DB3196"/>
    <w:rsid w:val="00DB3687"/>
    <w:rsid w:val="00DB582D"/>
    <w:rsid w:val="00DC0445"/>
    <w:rsid w:val="00DC2C48"/>
    <w:rsid w:val="00DC46B5"/>
    <w:rsid w:val="00DC525E"/>
    <w:rsid w:val="00DC535C"/>
    <w:rsid w:val="00DC5DCB"/>
    <w:rsid w:val="00DC6746"/>
    <w:rsid w:val="00DC7B1D"/>
    <w:rsid w:val="00DD074A"/>
    <w:rsid w:val="00DD0B24"/>
    <w:rsid w:val="00DD1941"/>
    <w:rsid w:val="00DD2159"/>
    <w:rsid w:val="00DD26A5"/>
    <w:rsid w:val="00DD326F"/>
    <w:rsid w:val="00DD34F2"/>
    <w:rsid w:val="00DD3C6B"/>
    <w:rsid w:val="00DD5B52"/>
    <w:rsid w:val="00DD6739"/>
    <w:rsid w:val="00DD7631"/>
    <w:rsid w:val="00DD781E"/>
    <w:rsid w:val="00DD7A2C"/>
    <w:rsid w:val="00DE1238"/>
    <w:rsid w:val="00DE1FFE"/>
    <w:rsid w:val="00DE31D7"/>
    <w:rsid w:val="00DE32E7"/>
    <w:rsid w:val="00DE3BB8"/>
    <w:rsid w:val="00DE5117"/>
    <w:rsid w:val="00DE560B"/>
    <w:rsid w:val="00DE5648"/>
    <w:rsid w:val="00DE595E"/>
    <w:rsid w:val="00DE5CD9"/>
    <w:rsid w:val="00DE70B5"/>
    <w:rsid w:val="00DE7113"/>
    <w:rsid w:val="00DF0576"/>
    <w:rsid w:val="00DF1981"/>
    <w:rsid w:val="00DF2040"/>
    <w:rsid w:val="00DF2144"/>
    <w:rsid w:val="00DF2EA5"/>
    <w:rsid w:val="00DF310B"/>
    <w:rsid w:val="00DF3E47"/>
    <w:rsid w:val="00DF56E8"/>
    <w:rsid w:val="00DF7133"/>
    <w:rsid w:val="00DF764C"/>
    <w:rsid w:val="00E01D76"/>
    <w:rsid w:val="00E02671"/>
    <w:rsid w:val="00E045C0"/>
    <w:rsid w:val="00E04ECF"/>
    <w:rsid w:val="00E067C4"/>
    <w:rsid w:val="00E06BE9"/>
    <w:rsid w:val="00E07855"/>
    <w:rsid w:val="00E103B5"/>
    <w:rsid w:val="00E126B2"/>
    <w:rsid w:val="00E127E3"/>
    <w:rsid w:val="00E14818"/>
    <w:rsid w:val="00E148E8"/>
    <w:rsid w:val="00E158A3"/>
    <w:rsid w:val="00E1610C"/>
    <w:rsid w:val="00E16660"/>
    <w:rsid w:val="00E16C78"/>
    <w:rsid w:val="00E16D73"/>
    <w:rsid w:val="00E17833"/>
    <w:rsid w:val="00E17981"/>
    <w:rsid w:val="00E17CD2"/>
    <w:rsid w:val="00E17E36"/>
    <w:rsid w:val="00E206D8"/>
    <w:rsid w:val="00E2352B"/>
    <w:rsid w:val="00E23F9B"/>
    <w:rsid w:val="00E26649"/>
    <w:rsid w:val="00E27F0A"/>
    <w:rsid w:val="00E352C3"/>
    <w:rsid w:val="00E37146"/>
    <w:rsid w:val="00E372F7"/>
    <w:rsid w:val="00E37346"/>
    <w:rsid w:val="00E37DC0"/>
    <w:rsid w:val="00E37E18"/>
    <w:rsid w:val="00E37EC6"/>
    <w:rsid w:val="00E40432"/>
    <w:rsid w:val="00E40B1F"/>
    <w:rsid w:val="00E40D52"/>
    <w:rsid w:val="00E41262"/>
    <w:rsid w:val="00E4220D"/>
    <w:rsid w:val="00E4231E"/>
    <w:rsid w:val="00E4279A"/>
    <w:rsid w:val="00E42D00"/>
    <w:rsid w:val="00E4364B"/>
    <w:rsid w:val="00E44AC7"/>
    <w:rsid w:val="00E45B2D"/>
    <w:rsid w:val="00E47A20"/>
    <w:rsid w:val="00E5084C"/>
    <w:rsid w:val="00E508C8"/>
    <w:rsid w:val="00E5384D"/>
    <w:rsid w:val="00E53F2E"/>
    <w:rsid w:val="00E54781"/>
    <w:rsid w:val="00E54BB9"/>
    <w:rsid w:val="00E54D3F"/>
    <w:rsid w:val="00E550AA"/>
    <w:rsid w:val="00E55805"/>
    <w:rsid w:val="00E55895"/>
    <w:rsid w:val="00E55F1F"/>
    <w:rsid w:val="00E56866"/>
    <w:rsid w:val="00E57DFD"/>
    <w:rsid w:val="00E60423"/>
    <w:rsid w:val="00E607E5"/>
    <w:rsid w:val="00E60A16"/>
    <w:rsid w:val="00E60F02"/>
    <w:rsid w:val="00E6125B"/>
    <w:rsid w:val="00E6170A"/>
    <w:rsid w:val="00E62ADF"/>
    <w:rsid w:val="00E637A3"/>
    <w:rsid w:val="00E660A6"/>
    <w:rsid w:val="00E66BA2"/>
    <w:rsid w:val="00E677DB"/>
    <w:rsid w:val="00E67D0E"/>
    <w:rsid w:val="00E71C2D"/>
    <w:rsid w:val="00E72BB6"/>
    <w:rsid w:val="00E73352"/>
    <w:rsid w:val="00E75156"/>
    <w:rsid w:val="00E76295"/>
    <w:rsid w:val="00E771E4"/>
    <w:rsid w:val="00E77394"/>
    <w:rsid w:val="00E778DC"/>
    <w:rsid w:val="00E80D00"/>
    <w:rsid w:val="00E815CE"/>
    <w:rsid w:val="00E81611"/>
    <w:rsid w:val="00E81800"/>
    <w:rsid w:val="00E81863"/>
    <w:rsid w:val="00E81C42"/>
    <w:rsid w:val="00E81C5C"/>
    <w:rsid w:val="00E82064"/>
    <w:rsid w:val="00E82B6E"/>
    <w:rsid w:val="00E82DC6"/>
    <w:rsid w:val="00E835C5"/>
    <w:rsid w:val="00E848F0"/>
    <w:rsid w:val="00E84D1C"/>
    <w:rsid w:val="00E8628F"/>
    <w:rsid w:val="00E876D4"/>
    <w:rsid w:val="00E87D53"/>
    <w:rsid w:val="00E94196"/>
    <w:rsid w:val="00E942B8"/>
    <w:rsid w:val="00E945AF"/>
    <w:rsid w:val="00E94A0B"/>
    <w:rsid w:val="00E94A2C"/>
    <w:rsid w:val="00E94C85"/>
    <w:rsid w:val="00E95799"/>
    <w:rsid w:val="00E9683D"/>
    <w:rsid w:val="00E970B7"/>
    <w:rsid w:val="00EA010D"/>
    <w:rsid w:val="00EA0507"/>
    <w:rsid w:val="00EA0D5C"/>
    <w:rsid w:val="00EA25EB"/>
    <w:rsid w:val="00EA2775"/>
    <w:rsid w:val="00EA2BE9"/>
    <w:rsid w:val="00EA3ECD"/>
    <w:rsid w:val="00EA48AE"/>
    <w:rsid w:val="00EA585A"/>
    <w:rsid w:val="00EA612E"/>
    <w:rsid w:val="00EA680E"/>
    <w:rsid w:val="00EA761C"/>
    <w:rsid w:val="00EA7D7F"/>
    <w:rsid w:val="00EB0B5F"/>
    <w:rsid w:val="00EB1CF7"/>
    <w:rsid w:val="00EB2B6F"/>
    <w:rsid w:val="00EB2FA2"/>
    <w:rsid w:val="00EB3272"/>
    <w:rsid w:val="00EB769A"/>
    <w:rsid w:val="00EB7892"/>
    <w:rsid w:val="00EC0481"/>
    <w:rsid w:val="00EC11E4"/>
    <w:rsid w:val="00EC14E1"/>
    <w:rsid w:val="00EC242A"/>
    <w:rsid w:val="00EC2A3F"/>
    <w:rsid w:val="00EC2B14"/>
    <w:rsid w:val="00EC2E64"/>
    <w:rsid w:val="00EC2F81"/>
    <w:rsid w:val="00EC3A35"/>
    <w:rsid w:val="00EC3E69"/>
    <w:rsid w:val="00EC4E9B"/>
    <w:rsid w:val="00EC5554"/>
    <w:rsid w:val="00EC65D5"/>
    <w:rsid w:val="00EC6C35"/>
    <w:rsid w:val="00EC75F6"/>
    <w:rsid w:val="00ED0065"/>
    <w:rsid w:val="00ED353D"/>
    <w:rsid w:val="00ED3F40"/>
    <w:rsid w:val="00ED588C"/>
    <w:rsid w:val="00ED5FDC"/>
    <w:rsid w:val="00ED654B"/>
    <w:rsid w:val="00EE0067"/>
    <w:rsid w:val="00EE04A9"/>
    <w:rsid w:val="00EE1062"/>
    <w:rsid w:val="00EE17F2"/>
    <w:rsid w:val="00EE188A"/>
    <w:rsid w:val="00EE1B01"/>
    <w:rsid w:val="00EE2746"/>
    <w:rsid w:val="00EE2ADC"/>
    <w:rsid w:val="00EE391B"/>
    <w:rsid w:val="00EE6755"/>
    <w:rsid w:val="00EF0199"/>
    <w:rsid w:val="00EF0338"/>
    <w:rsid w:val="00EF03DC"/>
    <w:rsid w:val="00EF0437"/>
    <w:rsid w:val="00EF12DE"/>
    <w:rsid w:val="00EF232D"/>
    <w:rsid w:val="00EF2AC7"/>
    <w:rsid w:val="00EF35EF"/>
    <w:rsid w:val="00EF493F"/>
    <w:rsid w:val="00EF741C"/>
    <w:rsid w:val="00F0091A"/>
    <w:rsid w:val="00F01E22"/>
    <w:rsid w:val="00F02C54"/>
    <w:rsid w:val="00F0448C"/>
    <w:rsid w:val="00F05612"/>
    <w:rsid w:val="00F1377B"/>
    <w:rsid w:val="00F150A5"/>
    <w:rsid w:val="00F1601A"/>
    <w:rsid w:val="00F1675C"/>
    <w:rsid w:val="00F17428"/>
    <w:rsid w:val="00F17C8A"/>
    <w:rsid w:val="00F20046"/>
    <w:rsid w:val="00F20D22"/>
    <w:rsid w:val="00F21A58"/>
    <w:rsid w:val="00F27F06"/>
    <w:rsid w:val="00F30A39"/>
    <w:rsid w:val="00F31199"/>
    <w:rsid w:val="00F314E8"/>
    <w:rsid w:val="00F316A2"/>
    <w:rsid w:val="00F323A2"/>
    <w:rsid w:val="00F33B57"/>
    <w:rsid w:val="00F33D5C"/>
    <w:rsid w:val="00F356D6"/>
    <w:rsid w:val="00F37D37"/>
    <w:rsid w:val="00F400E3"/>
    <w:rsid w:val="00F43048"/>
    <w:rsid w:val="00F43881"/>
    <w:rsid w:val="00F44642"/>
    <w:rsid w:val="00F454A2"/>
    <w:rsid w:val="00F45E89"/>
    <w:rsid w:val="00F47845"/>
    <w:rsid w:val="00F47B6C"/>
    <w:rsid w:val="00F50675"/>
    <w:rsid w:val="00F50BD6"/>
    <w:rsid w:val="00F50E16"/>
    <w:rsid w:val="00F51520"/>
    <w:rsid w:val="00F53151"/>
    <w:rsid w:val="00F535A9"/>
    <w:rsid w:val="00F5480F"/>
    <w:rsid w:val="00F56509"/>
    <w:rsid w:val="00F567A4"/>
    <w:rsid w:val="00F56C90"/>
    <w:rsid w:val="00F605BE"/>
    <w:rsid w:val="00F6138F"/>
    <w:rsid w:val="00F61C7A"/>
    <w:rsid w:val="00F625F7"/>
    <w:rsid w:val="00F64444"/>
    <w:rsid w:val="00F64D5A"/>
    <w:rsid w:val="00F65EC9"/>
    <w:rsid w:val="00F66CB1"/>
    <w:rsid w:val="00F70815"/>
    <w:rsid w:val="00F709F4"/>
    <w:rsid w:val="00F710A9"/>
    <w:rsid w:val="00F71AE0"/>
    <w:rsid w:val="00F7284D"/>
    <w:rsid w:val="00F72CFE"/>
    <w:rsid w:val="00F72FB0"/>
    <w:rsid w:val="00F73423"/>
    <w:rsid w:val="00F737A4"/>
    <w:rsid w:val="00F73D92"/>
    <w:rsid w:val="00F75481"/>
    <w:rsid w:val="00F76A4C"/>
    <w:rsid w:val="00F82D62"/>
    <w:rsid w:val="00F82E2E"/>
    <w:rsid w:val="00F83601"/>
    <w:rsid w:val="00F837E6"/>
    <w:rsid w:val="00F8389A"/>
    <w:rsid w:val="00F83AE9"/>
    <w:rsid w:val="00F843D4"/>
    <w:rsid w:val="00F8516E"/>
    <w:rsid w:val="00F86741"/>
    <w:rsid w:val="00F86EDD"/>
    <w:rsid w:val="00F90613"/>
    <w:rsid w:val="00F906F4"/>
    <w:rsid w:val="00F915F3"/>
    <w:rsid w:val="00F91800"/>
    <w:rsid w:val="00F91853"/>
    <w:rsid w:val="00F91987"/>
    <w:rsid w:val="00F91A59"/>
    <w:rsid w:val="00F9208E"/>
    <w:rsid w:val="00F93797"/>
    <w:rsid w:val="00F95425"/>
    <w:rsid w:val="00F95A43"/>
    <w:rsid w:val="00F95CCE"/>
    <w:rsid w:val="00F9692D"/>
    <w:rsid w:val="00F97D7B"/>
    <w:rsid w:val="00FA0F71"/>
    <w:rsid w:val="00FA220E"/>
    <w:rsid w:val="00FA2779"/>
    <w:rsid w:val="00FA3A7D"/>
    <w:rsid w:val="00FA3A97"/>
    <w:rsid w:val="00FA3AEA"/>
    <w:rsid w:val="00FA3EC2"/>
    <w:rsid w:val="00FA4219"/>
    <w:rsid w:val="00FA4245"/>
    <w:rsid w:val="00FA48C7"/>
    <w:rsid w:val="00FA50AC"/>
    <w:rsid w:val="00FA54FF"/>
    <w:rsid w:val="00FA5570"/>
    <w:rsid w:val="00FA5C0B"/>
    <w:rsid w:val="00FA70F5"/>
    <w:rsid w:val="00FB005D"/>
    <w:rsid w:val="00FB178B"/>
    <w:rsid w:val="00FB183E"/>
    <w:rsid w:val="00FB39CE"/>
    <w:rsid w:val="00FB4629"/>
    <w:rsid w:val="00FB577F"/>
    <w:rsid w:val="00FB5FC4"/>
    <w:rsid w:val="00FB6A07"/>
    <w:rsid w:val="00FB6FB1"/>
    <w:rsid w:val="00FC08C6"/>
    <w:rsid w:val="00FC57C4"/>
    <w:rsid w:val="00FC6761"/>
    <w:rsid w:val="00FC6D4E"/>
    <w:rsid w:val="00FC736F"/>
    <w:rsid w:val="00FD1D53"/>
    <w:rsid w:val="00FD39CF"/>
    <w:rsid w:val="00FE012C"/>
    <w:rsid w:val="00FE1370"/>
    <w:rsid w:val="00FE1510"/>
    <w:rsid w:val="00FE2121"/>
    <w:rsid w:val="00FE321B"/>
    <w:rsid w:val="00FE3C42"/>
    <w:rsid w:val="00FE3D07"/>
    <w:rsid w:val="00FE4B6F"/>
    <w:rsid w:val="00FE6818"/>
    <w:rsid w:val="00FF0CF5"/>
    <w:rsid w:val="00FF0D6F"/>
    <w:rsid w:val="00FF1365"/>
    <w:rsid w:val="00FF1712"/>
    <w:rsid w:val="00FF2EFA"/>
    <w:rsid w:val="00FF37DC"/>
    <w:rsid w:val="00FF37F2"/>
    <w:rsid w:val="00FF4DF7"/>
    <w:rsid w:val="00FF69C8"/>
    <w:rsid w:val="00FF6D3D"/>
    <w:rsid w:val="024D7E2C"/>
    <w:rsid w:val="0D2EB883"/>
    <w:rsid w:val="0D8163B6"/>
    <w:rsid w:val="1BB32F19"/>
    <w:rsid w:val="1F2C3AF5"/>
    <w:rsid w:val="1FF4886A"/>
    <w:rsid w:val="22D2584A"/>
    <w:rsid w:val="28751A95"/>
    <w:rsid w:val="29FA8189"/>
    <w:rsid w:val="2C00A012"/>
    <w:rsid w:val="389994B3"/>
    <w:rsid w:val="3B30A011"/>
    <w:rsid w:val="3B93C128"/>
    <w:rsid w:val="3CFBE104"/>
    <w:rsid w:val="467F9A7B"/>
    <w:rsid w:val="510454D8"/>
    <w:rsid w:val="5395A1E2"/>
    <w:rsid w:val="5D8505AD"/>
    <w:rsid w:val="6F81B597"/>
    <w:rsid w:val="71443FBB"/>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2E2A"/>
  </w:style>
  <w:style w:type="paragraph" w:styleId="Ttulo1">
    <w:name w:val="heading 1"/>
    <w:basedOn w:val="Normal"/>
    <w:link w:val="Ttulo1Car"/>
    <w:uiPriority w:val="9"/>
    <w:qFormat/>
    <w:rsid w:val="00CD2E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_tradnl"/>
    </w:rPr>
  </w:style>
  <w:style w:type="paragraph" w:styleId="Ttulo3">
    <w:name w:val="heading 3"/>
    <w:basedOn w:val="Normal"/>
    <w:next w:val="Normal"/>
    <w:link w:val="Ttulo3Car"/>
    <w:uiPriority w:val="9"/>
    <w:unhideWhenUsed/>
    <w:qFormat/>
    <w:rsid w:val="00941208"/>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E84D1C"/>
    <w:pPr>
      <w:spacing w:after="0" w:line="240" w:lineRule="auto"/>
      <w:ind w:left="720"/>
      <w:contextualSpacing/>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4D1C"/>
    <w:rPr>
      <w:sz w:val="24"/>
      <w:lang w:val="es-MX"/>
    </w:rPr>
  </w:style>
  <w:style w:type="character" w:customStyle="1" w:styleId="Ttulo1Car">
    <w:name w:val="Título 1 Car"/>
    <w:basedOn w:val="Fuentedeprrafopredeter"/>
    <w:link w:val="Ttulo1"/>
    <w:uiPriority w:val="9"/>
    <w:rsid w:val="00CD2E70"/>
    <w:rPr>
      <w:rFonts w:ascii="Times New Roman" w:eastAsia="Times New Roman" w:hAnsi="Times New Roman" w:cs="Times New Roman"/>
      <w:b/>
      <w:bCs/>
      <w:kern w:val="36"/>
      <w:sz w:val="48"/>
      <w:szCs w:val="48"/>
      <w:lang w:eastAsia="es-ES_tradnl"/>
    </w:rPr>
  </w:style>
  <w:style w:type="paragraph" w:customStyle="1" w:styleId="paragraph">
    <w:name w:val="paragraph"/>
    <w:basedOn w:val="Normal"/>
    <w:rsid w:val="00CD2E70"/>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superscript">
    <w:name w:val="superscript"/>
    <w:basedOn w:val="Fuentedeprrafopredeter"/>
    <w:rsid w:val="003651AC"/>
  </w:style>
  <w:style w:type="paragraph" w:styleId="NormalWeb">
    <w:name w:val="Normal (Web)"/>
    <w:basedOn w:val="Normal"/>
    <w:uiPriority w:val="99"/>
    <w:unhideWhenUsed/>
    <w:rsid w:val="00FB5FC4"/>
    <w:rPr>
      <w:rFonts w:ascii="Times New Roman" w:hAnsi="Times New Roman" w:cs="Times New Roman"/>
      <w:sz w:val="24"/>
      <w:szCs w:val="24"/>
    </w:rPr>
  </w:style>
  <w:style w:type="character" w:customStyle="1" w:styleId="Hipervnculo1">
    <w:name w:val="Hipervínculo1"/>
    <w:basedOn w:val="Fuentedeprrafopredeter"/>
    <w:uiPriority w:val="99"/>
    <w:unhideWhenUsed/>
    <w:rsid w:val="00FB5FC4"/>
    <w:rPr>
      <w:color w:val="F2F2F2"/>
      <w:u w:val="single"/>
    </w:rPr>
  </w:style>
  <w:style w:type="character" w:styleId="Textoennegrita">
    <w:name w:val="Strong"/>
    <w:basedOn w:val="Fuentedeprrafopredeter"/>
    <w:uiPriority w:val="22"/>
    <w:qFormat/>
    <w:rsid w:val="00FB5FC4"/>
    <w:rPr>
      <w:b/>
      <w:bCs/>
    </w:rPr>
  </w:style>
  <w:style w:type="character" w:styleId="nfasis">
    <w:name w:val="Emphasis"/>
    <w:basedOn w:val="Fuentedeprrafopredeter"/>
    <w:uiPriority w:val="20"/>
    <w:qFormat/>
    <w:rsid w:val="00FB5FC4"/>
    <w:rPr>
      <w:i/>
      <w:iCs/>
    </w:rPr>
  </w:style>
  <w:style w:type="paragraph" w:customStyle="1" w:styleId="Textoindependiente21">
    <w:name w:val="Texto independiente 21"/>
    <w:basedOn w:val="Normal"/>
    <w:rsid w:val="007A6528"/>
    <w:pPr>
      <w:overflowPunct w:val="0"/>
      <w:autoSpaceDE w:val="0"/>
      <w:autoSpaceDN w:val="0"/>
      <w:adjustRightInd w:val="0"/>
      <w:spacing w:after="0" w:line="360" w:lineRule="auto"/>
      <w:ind w:firstLine="710"/>
      <w:jc w:val="both"/>
      <w:textAlignment w:val="baseline"/>
    </w:pPr>
    <w:rPr>
      <w:rFonts w:ascii="Arial" w:eastAsia="Times New Roman" w:hAnsi="Arial" w:cs="Times New Roman"/>
      <w:sz w:val="24"/>
      <w:szCs w:val="20"/>
      <w:lang w:eastAsia="es-ES"/>
    </w:rPr>
  </w:style>
  <w:style w:type="paragraph" w:styleId="Textoindependiente">
    <w:name w:val="Body Text"/>
    <w:basedOn w:val="Normal"/>
    <w:link w:val="TextoindependienteCar"/>
    <w:uiPriority w:val="99"/>
    <w:semiHidden/>
    <w:unhideWhenUsed/>
    <w:rsid w:val="00002D5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semiHidden/>
    <w:rsid w:val="00002D55"/>
    <w:rPr>
      <w:rFonts w:ascii="Times New Roman" w:eastAsia="Times New Roman" w:hAnsi="Times New Roman" w:cs="Times New Roman"/>
      <w:sz w:val="24"/>
      <w:szCs w:val="24"/>
      <w:lang w:eastAsia="es-CO"/>
    </w:rPr>
  </w:style>
  <w:style w:type="character" w:customStyle="1" w:styleId="Ttulo3Car">
    <w:name w:val="Título 3 Car"/>
    <w:basedOn w:val="Fuentedeprrafopredeter"/>
    <w:link w:val="Ttulo3"/>
    <w:uiPriority w:val="9"/>
    <w:rsid w:val="00941208"/>
    <w:rPr>
      <w:rFonts w:asciiTheme="majorHAnsi" w:eastAsiaTheme="majorEastAsia" w:hAnsiTheme="majorHAnsi" w:cstheme="majorBidi"/>
      <w:color w:val="1F3763" w:themeColor="accent1" w:themeShade="7F"/>
      <w:sz w:val="24"/>
      <w:szCs w:val="24"/>
    </w:rPr>
  </w:style>
  <w:style w:type="table" w:customStyle="1" w:styleId="Tablaconcuadrcula11">
    <w:name w:val="Tabla con cuadrícula11"/>
    <w:basedOn w:val="Tablanormal"/>
    <w:next w:val="Tablaconcuadrcula"/>
    <w:uiPriority w:val="39"/>
    <w:qFormat/>
    <w:rsid w:val="008E2C01"/>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08447">
      <w:bodyDiv w:val="1"/>
      <w:marLeft w:val="0"/>
      <w:marRight w:val="0"/>
      <w:marTop w:val="0"/>
      <w:marBottom w:val="0"/>
      <w:divBdr>
        <w:top w:val="none" w:sz="0" w:space="0" w:color="auto"/>
        <w:left w:val="none" w:sz="0" w:space="0" w:color="auto"/>
        <w:bottom w:val="none" w:sz="0" w:space="0" w:color="auto"/>
        <w:right w:val="none" w:sz="0" w:space="0" w:color="auto"/>
      </w:divBdr>
    </w:div>
    <w:div w:id="53281144">
      <w:bodyDiv w:val="1"/>
      <w:marLeft w:val="0"/>
      <w:marRight w:val="0"/>
      <w:marTop w:val="0"/>
      <w:marBottom w:val="0"/>
      <w:divBdr>
        <w:top w:val="none" w:sz="0" w:space="0" w:color="auto"/>
        <w:left w:val="none" w:sz="0" w:space="0" w:color="auto"/>
        <w:bottom w:val="none" w:sz="0" w:space="0" w:color="auto"/>
        <w:right w:val="none" w:sz="0" w:space="0" w:color="auto"/>
      </w:divBdr>
    </w:div>
    <w:div w:id="71391705">
      <w:bodyDiv w:val="1"/>
      <w:marLeft w:val="0"/>
      <w:marRight w:val="0"/>
      <w:marTop w:val="0"/>
      <w:marBottom w:val="0"/>
      <w:divBdr>
        <w:top w:val="none" w:sz="0" w:space="0" w:color="auto"/>
        <w:left w:val="none" w:sz="0" w:space="0" w:color="auto"/>
        <w:bottom w:val="none" w:sz="0" w:space="0" w:color="auto"/>
        <w:right w:val="none" w:sz="0" w:space="0" w:color="auto"/>
      </w:divBdr>
    </w:div>
    <w:div w:id="79370202">
      <w:bodyDiv w:val="1"/>
      <w:marLeft w:val="0"/>
      <w:marRight w:val="0"/>
      <w:marTop w:val="0"/>
      <w:marBottom w:val="0"/>
      <w:divBdr>
        <w:top w:val="none" w:sz="0" w:space="0" w:color="auto"/>
        <w:left w:val="none" w:sz="0" w:space="0" w:color="auto"/>
        <w:bottom w:val="none" w:sz="0" w:space="0" w:color="auto"/>
        <w:right w:val="none" w:sz="0" w:space="0" w:color="auto"/>
      </w:divBdr>
    </w:div>
    <w:div w:id="83454939">
      <w:bodyDiv w:val="1"/>
      <w:marLeft w:val="0"/>
      <w:marRight w:val="0"/>
      <w:marTop w:val="0"/>
      <w:marBottom w:val="0"/>
      <w:divBdr>
        <w:top w:val="none" w:sz="0" w:space="0" w:color="auto"/>
        <w:left w:val="none" w:sz="0" w:space="0" w:color="auto"/>
        <w:bottom w:val="none" w:sz="0" w:space="0" w:color="auto"/>
        <w:right w:val="none" w:sz="0" w:space="0" w:color="auto"/>
      </w:divBdr>
    </w:div>
    <w:div w:id="112671991">
      <w:bodyDiv w:val="1"/>
      <w:marLeft w:val="0"/>
      <w:marRight w:val="0"/>
      <w:marTop w:val="0"/>
      <w:marBottom w:val="0"/>
      <w:divBdr>
        <w:top w:val="none" w:sz="0" w:space="0" w:color="auto"/>
        <w:left w:val="none" w:sz="0" w:space="0" w:color="auto"/>
        <w:bottom w:val="none" w:sz="0" w:space="0" w:color="auto"/>
        <w:right w:val="none" w:sz="0" w:space="0" w:color="auto"/>
      </w:divBdr>
    </w:div>
    <w:div w:id="146291302">
      <w:bodyDiv w:val="1"/>
      <w:marLeft w:val="0"/>
      <w:marRight w:val="0"/>
      <w:marTop w:val="0"/>
      <w:marBottom w:val="0"/>
      <w:divBdr>
        <w:top w:val="none" w:sz="0" w:space="0" w:color="auto"/>
        <w:left w:val="none" w:sz="0" w:space="0" w:color="auto"/>
        <w:bottom w:val="none" w:sz="0" w:space="0" w:color="auto"/>
        <w:right w:val="none" w:sz="0" w:space="0" w:color="auto"/>
      </w:divBdr>
    </w:div>
    <w:div w:id="182283863">
      <w:bodyDiv w:val="1"/>
      <w:marLeft w:val="0"/>
      <w:marRight w:val="0"/>
      <w:marTop w:val="0"/>
      <w:marBottom w:val="0"/>
      <w:divBdr>
        <w:top w:val="none" w:sz="0" w:space="0" w:color="auto"/>
        <w:left w:val="none" w:sz="0" w:space="0" w:color="auto"/>
        <w:bottom w:val="none" w:sz="0" w:space="0" w:color="auto"/>
        <w:right w:val="none" w:sz="0" w:space="0" w:color="auto"/>
      </w:divBdr>
    </w:div>
    <w:div w:id="224611609">
      <w:bodyDiv w:val="1"/>
      <w:marLeft w:val="0"/>
      <w:marRight w:val="0"/>
      <w:marTop w:val="0"/>
      <w:marBottom w:val="0"/>
      <w:divBdr>
        <w:top w:val="none" w:sz="0" w:space="0" w:color="auto"/>
        <w:left w:val="none" w:sz="0" w:space="0" w:color="auto"/>
        <w:bottom w:val="none" w:sz="0" w:space="0" w:color="auto"/>
        <w:right w:val="none" w:sz="0" w:space="0" w:color="auto"/>
      </w:divBdr>
    </w:div>
    <w:div w:id="304701363">
      <w:bodyDiv w:val="1"/>
      <w:marLeft w:val="0"/>
      <w:marRight w:val="0"/>
      <w:marTop w:val="0"/>
      <w:marBottom w:val="0"/>
      <w:divBdr>
        <w:top w:val="none" w:sz="0" w:space="0" w:color="auto"/>
        <w:left w:val="none" w:sz="0" w:space="0" w:color="auto"/>
        <w:bottom w:val="none" w:sz="0" w:space="0" w:color="auto"/>
        <w:right w:val="none" w:sz="0" w:space="0" w:color="auto"/>
      </w:divBdr>
      <w:divsChild>
        <w:div w:id="1342392508">
          <w:marLeft w:val="0"/>
          <w:marRight w:val="0"/>
          <w:marTop w:val="0"/>
          <w:marBottom w:val="160"/>
          <w:divBdr>
            <w:top w:val="none" w:sz="0" w:space="0" w:color="auto"/>
            <w:left w:val="none" w:sz="0" w:space="0" w:color="auto"/>
            <w:bottom w:val="none" w:sz="0" w:space="0" w:color="auto"/>
            <w:right w:val="none" w:sz="0" w:space="0" w:color="auto"/>
          </w:divBdr>
        </w:div>
        <w:div w:id="792361768">
          <w:marLeft w:val="0"/>
          <w:marRight w:val="0"/>
          <w:marTop w:val="0"/>
          <w:marBottom w:val="0"/>
          <w:divBdr>
            <w:top w:val="none" w:sz="0" w:space="0" w:color="auto"/>
            <w:left w:val="none" w:sz="0" w:space="0" w:color="auto"/>
            <w:bottom w:val="none" w:sz="0" w:space="0" w:color="auto"/>
            <w:right w:val="none" w:sz="0" w:space="0" w:color="auto"/>
          </w:divBdr>
        </w:div>
        <w:div w:id="1275290444">
          <w:marLeft w:val="0"/>
          <w:marRight w:val="0"/>
          <w:marTop w:val="0"/>
          <w:marBottom w:val="0"/>
          <w:divBdr>
            <w:top w:val="none" w:sz="0" w:space="0" w:color="auto"/>
            <w:left w:val="none" w:sz="0" w:space="0" w:color="auto"/>
            <w:bottom w:val="none" w:sz="0" w:space="0" w:color="auto"/>
            <w:right w:val="none" w:sz="0" w:space="0" w:color="auto"/>
          </w:divBdr>
        </w:div>
      </w:divsChild>
    </w:div>
    <w:div w:id="337804836">
      <w:bodyDiv w:val="1"/>
      <w:marLeft w:val="0"/>
      <w:marRight w:val="0"/>
      <w:marTop w:val="0"/>
      <w:marBottom w:val="0"/>
      <w:divBdr>
        <w:top w:val="none" w:sz="0" w:space="0" w:color="auto"/>
        <w:left w:val="none" w:sz="0" w:space="0" w:color="auto"/>
        <w:bottom w:val="none" w:sz="0" w:space="0" w:color="auto"/>
        <w:right w:val="none" w:sz="0" w:space="0" w:color="auto"/>
      </w:divBdr>
    </w:div>
    <w:div w:id="437457004">
      <w:bodyDiv w:val="1"/>
      <w:marLeft w:val="0"/>
      <w:marRight w:val="0"/>
      <w:marTop w:val="0"/>
      <w:marBottom w:val="0"/>
      <w:divBdr>
        <w:top w:val="none" w:sz="0" w:space="0" w:color="auto"/>
        <w:left w:val="none" w:sz="0" w:space="0" w:color="auto"/>
        <w:bottom w:val="none" w:sz="0" w:space="0" w:color="auto"/>
        <w:right w:val="none" w:sz="0" w:space="0" w:color="auto"/>
      </w:divBdr>
    </w:div>
    <w:div w:id="567230522">
      <w:bodyDiv w:val="1"/>
      <w:marLeft w:val="0"/>
      <w:marRight w:val="0"/>
      <w:marTop w:val="0"/>
      <w:marBottom w:val="0"/>
      <w:divBdr>
        <w:top w:val="none" w:sz="0" w:space="0" w:color="auto"/>
        <w:left w:val="none" w:sz="0" w:space="0" w:color="auto"/>
        <w:bottom w:val="none" w:sz="0" w:space="0" w:color="auto"/>
        <w:right w:val="none" w:sz="0" w:space="0" w:color="auto"/>
      </w:divBdr>
    </w:div>
    <w:div w:id="628560024">
      <w:bodyDiv w:val="1"/>
      <w:marLeft w:val="0"/>
      <w:marRight w:val="0"/>
      <w:marTop w:val="0"/>
      <w:marBottom w:val="0"/>
      <w:divBdr>
        <w:top w:val="none" w:sz="0" w:space="0" w:color="auto"/>
        <w:left w:val="none" w:sz="0" w:space="0" w:color="auto"/>
        <w:bottom w:val="none" w:sz="0" w:space="0" w:color="auto"/>
        <w:right w:val="none" w:sz="0" w:space="0" w:color="auto"/>
      </w:divBdr>
    </w:div>
    <w:div w:id="751506518">
      <w:bodyDiv w:val="1"/>
      <w:marLeft w:val="0"/>
      <w:marRight w:val="0"/>
      <w:marTop w:val="0"/>
      <w:marBottom w:val="0"/>
      <w:divBdr>
        <w:top w:val="none" w:sz="0" w:space="0" w:color="auto"/>
        <w:left w:val="none" w:sz="0" w:space="0" w:color="auto"/>
        <w:bottom w:val="none" w:sz="0" w:space="0" w:color="auto"/>
        <w:right w:val="none" w:sz="0" w:space="0" w:color="auto"/>
      </w:divBdr>
    </w:div>
    <w:div w:id="788938886">
      <w:bodyDiv w:val="1"/>
      <w:marLeft w:val="0"/>
      <w:marRight w:val="0"/>
      <w:marTop w:val="0"/>
      <w:marBottom w:val="0"/>
      <w:divBdr>
        <w:top w:val="none" w:sz="0" w:space="0" w:color="auto"/>
        <w:left w:val="none" w:sz="0" w:space="0" w:color="auto"/>
        <w:bottom w:val="none" w:sz="0" w:space="0" w:color="auto"/>
        <w:right w:val="none" w:sz="0" w:space="0" w:color="auto"/>
      </w:divBdr>
    </w:div>
    <w:div w:id="789475127">
      <w:bodyDiv w:val="1"/>
      <w:marLeft w:val="0"/>
      <w:marRight w:val="0"/>
      <w:marTop w:val="0"/>
      <w:marBottom w:val="0"/>
      <w:divBdr>
        <w:top w:val="none" w:sz="0" w:space="0" w:color="auto"/>
        <w:left w:val="none" w:sz="0" w:space="0" w:color="auto"/>
        <w:bottom w:val="none" w:sz="0" w:space="0" w:color="auto"/>
        <w:right w:val="none" w:sz="0" w:space="0" w:color="auto"/>
      </w:divBdr>
    </w:div>
    <w:div w:id="824780668">
      <w:bodyDiv w:val="1"/>
      <w:marLeft w:val="0"/>
      <w:marRight w:val="0"/>
      <w:marTop w:val="0"/>
      <w:marBottom w:val="0"/>
      <w:divBdr>
        <w:top w:val="none" w:sz="0" w:space="0" w:color="auto"/>
        <w:left w:val="none" w:sz="0" w:space="0" w:color="auto"/>
        <w:bottom w:val="none" w:sz="0" w:space="0" w:color="auto"/>
        <w:right w:val="none" w:sz="0" w:space="0" w:color="auto"/>
      </w:divBdr>
    </w:div>
    <w:div w:id="873225882">
      <w:bodyDiv w:val="1"/>
      <w:marLeft w:val="0"/>
      <w:marRight w:val="0"/>
      <w:marTop w:val="0"/>
      <w:marBottom w:val="0"/>
      <w:divBdr>
        <w:top w:val="none" w:sz="0" w:space="0" w:color="auto"/>
        <w:left w:val="none" w:sz="0" w:space="0" w:color="auto"/>
        <w:bottom w:val="none" w:sz="0" w:space="0" w:color="auto"/>
        <w:right w:val="none" w:sz="0" w:space="0" w:color="auto"/>
      </w:divBdr>
    </w:div>
    <w:div w:id="905454849">
      <w:bodyDiv w:val="1"/>
      <w:marLeft w:val="0"/>
      <w:marRight w:val="0"/>
      <w:marTop w:val="0"/>
      <w:marBottom w:val="0"/>
      <w:divBdr>
        <w:top w:val="none" w:sz="0" w:space="0" w:color="auto"/>
        <w:left w:val="none" w:sz="0" w:space="0" w:color="auto"/>
        <w:bottom w:val="none" w:sz="0" w:space="0" w:color="auto"/>
        <w:right w:val="none" w:sz="0" w:space="0" w:color="auto"/>
      </w:divBdr>
      <w:divsChild>
        <w:div w:id="591283175">
          <w:marLeft w:val="0"/>
          <w:marRight w:val="0"/>
          <w:marTop w:val="0"/>
          <w:marBottom w:val="160"/>
          <w:divBdr>
            <w:top w:val="none" w:sz="0" w:space="0" w:color="auto"/>
            <w:left w:val="none" w:sz="0" w:space="0" w:color="auto"/>
            <w:bottom w:val="none" w:sz="0" w:space="0" w:color="auto"/>
            <w:right w:val="none" w:sz="0" w:space="0" w:color="auto"/>
          </w:divBdr>
        </w:div>
        <w:div w:id="2145074026">
          <w:marLeft w:val="0"/>
          <w:marRight w:val="0"/>
          <w:marTop w:val="0"/>
          <w:marBottom w:val="160"/>
          <w:divBdr>
            <w:top w:val="none" w:sz="0" w:space="0" w:color="auto"/>
            <w:left w:val="none" w:sz="0" w:space="0" w:color="auto"/>
            <w:bottom w:val="none" w:sz="0" w:space="0" w:color="auto"/>
            <w:right w:val="none" w:sz="0" w:space="0" w:color="auto"/>
          </w:divBdr>
        </w:div>
        <w:div w:id="1578511561">
          <w:marLeft w:val="0"/>
          <w:marRight w:val="0"/>
          <w:marTop w:val="0"/>
          <w:marBottom w:val="160"/>
          <w:divBdr>
            <w:top w:val="none" w:sz="0" w:space="0" w:color="auto"/>
            <w:left w:val="none" w:sz="0" w:space="0" w:color="auto"/>
            <w:bottom w:val="none" w:sz="0" w:space="0" w:color="auto"/>
            <w:right w:val="none" w:sz="0" w:space="0" w:color="auto"/>
          </w:divBdr>
        </w:div>
      </w:divsChild>
    </w:div>
    <w:div w:id="995841486">
      <w:bodyDiv w:val="1"/>
      <w:marLeft w:val="0"/>
      <w:marRight w:val="0"/>
      <w:marTop w:val="0"/>
      <w:marBottom w:val="0"/>
      <w:divBdr>
        <w:top w:val="none" w:sz="0" w:space="0" w:color="auto"/>
        <w:left w:val="none" w:sz="0" w:space="0" w:color="auto"/>
        <w:bottom w:val="none" w:sz="0" w:space="0" w:color="auto"/>
        <w:right w:val="none" w:sz="0" w:space="0" w:color="auto"/>
      </w:divBdr>
    </w:div>
    <w:div w:id="1017928047">
      <w:bodyDiv w:val="1"/>
      <w:marLeft w:val="0"/>
      <w:marRight w:val="0"/>
      <w:marTop w:val="0"/>
      <w:marBottom w:val="0"/>
      <w:divBdr>
        <w:top w:val="none" w:sz="0" w:space="0" w:color="auto"/>
        <w:left w:val="none" w:sz="0" w:space="0" w:color="auto"/>
        <w:bottom w:val="none" w:sz="0" w:space="0" w:color="auto"/>
        <w:right w:val="none" w:sz="0" w:space="0" w:color="auto"/>
      </w:divBdr>
    </w:div>
    <w:div w:id="1049112728">
      <w:bodyDiv w:val="1"/>
      <w:marLeft w:val="0"/>
      <w:marRight w:val="0"/>
      <w:marTop w:val="0"/>
      <w:marBottom w:val="0"/>
      <w:divBdr>
        <w:top w:val="none" w:sz="0" w:space="0" w:color="auto"/>
        <w:left w:val="none" w:sz="0" w:space="0" w:color="auto"/>
        <w:bottom w:val="none" w:sz="0" w:space="0" w:color="auto"/>
        <w:right w:val="none" w:sz="0" w:space="0" w:color="auto"/>
      </w:divBdr>
    </w:div>
    <w:div w:id="1107583370">
      <w:bodyDiv w:val="1"/>
      <w:marLeft w:val="0"/>
      <w:marRight w:val="0"/>
      <w:marTop w:val="0"/>
      <w:marBottom w:val="0"/>
      <w:divBdr>
        <w:top w:val="none" w:sz="0" w:space="0" w:color="auto"/>
        <w:left w:val="none" w:sz="0" w:space="0" w:color="auto"/>
        <w:bottom w:val="none" w:sz="0" w:space="0" w:color="auto"/>
        <w:right w:val="none" w:sz="0" w:space="0" w:color="auto"/>
      </w:divBdr>
    </w:div>
    <w:div w:id="1153371148">
      <w:bodyDiv w:val="1"/>
      <w:marLeft w:val="0"/>
      <w:marRight w:val="0"/>
      <w:marTop w:val="0"/>
      <w:marBottom w:val="0"/>
      <w:divBdr>
        <w:top w:val="none" w:sz="0" w:space="0" w:color="auto"/>
        <w:left w:val="none" w:sz="0" w:space="0" w:color="auto"/>
        <w:bottom w:val="none" w:sz="0" w:space="0" w:color="auto"/>
        <w:right w:val="none" w:sz="0" w:space="0" w:color="auto"/>
      </w:divBdr>
      <w:divsChild>
        <w:div w:id="578834935">
          <w:marLeft w:val="0"/>
          <w:marRight w:val="0"/>
          <w:marTop w:val="0"/>
          <w:marBottom w:val="160"/>
          <w:divBdr>
            <w:top w:val="none" w:sz="0" w:space="0" w:color="auto"/>
            <w:left w:val="none" w:sz="0" w:space="0" w:color="auto"/>
            <w:bottom w:val="none" w:sz="0" w:space="0" w:color="auto"/>
            <w:right w:val="none" w:sz="0" w:space="0" w:color="auto"/>
          </w:divBdr>
        </w:div>
        <w:div w:id="86193346">
          <w:marLeft w:val="0"/>
          <w:marRight w:val="0"/>
          <w:marTop w:val="0"/>
          <w:marBottom w:val="160"/>
          <w:divBdr>
            <w:top w:val="none" w:sz="0" w:space="0" w:color="auto"/>
            <w:left w:val="none" w:sz="0" w:space="0" w:color="auto"/>
            <w:bottom w:val="none" w:sz="0" w:space="0" w:color="auto"/>
            <w:right w:val="none" w:sz="0" w:space="0" w:color="auto"/>
          </w:divBdr>
        </w:div>
        <w:div w:id="185557124">
          <w:marLeft w:val="0"/>
          <w:marRight w:val="0"/>
          <w:marTop w:val="0"/>
          <w:marBottom w:val="160"/>
          <w:divBdr>
            <w:top w:val="none" w:sz="0" w:space="0" w:color="auto"/>
            <w:left w:val="none" w:sz="0" w:space="0" w:color="auto"/>
            <w:bottom w:val="none" w:sz="0" w:space="0" w:color="auto"/>
            <w:right w:val="none" w:sz="0" w:space="0" w:color="auto"/>
          </w:divBdr>
        </w:div>
      </w:divsChild>
    </w:div>
    <w:div w:id="1153915828">
      <w:bodyDiv w:val="1"/>
      <w:marLeft w:val="0"/>
      <w:marRight w:val="0"/>
      <w:marTop w:val="0"/>
      <w:marBottom w:val="0"/>
      <w:divBdr>
        <w:top w:val="none" w:sz="0" w:space="0" w:color="auto"/>
        <w:left w:val="none" w:sz="0" w:space="0" w:color="auto"/>
        <w:bottom w:val="none" w:sz="0" w:space="0" w:color="auto"/>
        <w:right w:val="none" w:sz="0" w:space="0" w:color="auto"/>
      </w:divBdr>
      <w:divsChild>
        <w:div w:id="625045676">
          <w:marLeft w:val="0"/>
          <w:marRight w:val="0"/>
          <w:marTop w:val="0"/>
          <w:marBottom w:val="160"/>
          <w:divBdr>
            <w:top w:val="none" w:sz="0" w:space="0" w:color="auto"/>
            <w:left w:val="none" w:sz="0" w:space="0" w:color="auto"/>
            <w:bottom w:val="none" w:sz="0" w:space="0" w:color="auto"/>
            <w:right w:val="none" w:sz="0" w:space="0" w:color="auto"/>
          </w:divBdr>
        </w:div>
        <w:div w:id="1433821828">
          <w:marLeft w:val="0"/>
          <w:marRight w:val="0"/>
          <w:marTop w:val="0"/>
          <w:marBottom w:val="0"/>
          <w:divBdr>
            <w:top w:val="none" w:sz="0" w:space="0" w:color="auto"/>
            <w:left w:val="none" w:sz="0" w:space="0" w:color="auto"/>
            <w:bottom w:val="none" w:sz="0" w:space="0" w:color="auto"/>
            <w:right w:val="none" w:sz="0" w:space="0" w:color="auto"/>
          </w:divBdr>
        </w:div>
        <w:div w:id="2019118024">
          <w:marLeft w:val="0"/>
          <w:marRight w:val="0"/>
          <w:marTop w:val="0"/>
          <w:marBottom w:val="0"/>
          <w:divBdr>
            <w:top w:val="none" w:sz="0" w:space="0" w:color="auto"/>
            <w:left w:val="none" w:sz="0" w:space="0" w:color="auto"/>
            <w:bottom w:val="none" w:sz="0" w:space="0" w:color="auto"/>
            <w:right w:val="none" w:sz="0" w:space="0" w:color="auto"/>
          </w:divBdr>
        </w:div>
      </w:divsChild>
    </w:div>
    <w:div w:id="1158882792">
      <w:bodyDiv w:val="1"/>
      <w:marLeft w:val="0"/>
      <w:marRight w:val="0"/>
      <w:marTop w:val="0"/>
      <w:marBottom w:val="0"/>
      <w:divBdr>
        <w:top w:val="none" w:sz="0" w:space="0" w:color="auto"/>
        <w:left w:val="none" w:sz="0" w:space="0" w:color="auto"/>
        <w:bottom w:val="none" w:sz="0" w:space="0" w:color="auto"/>
        <w:right w:val="none" w:sz="0" w:space="0" w:color="auto"/>
      </w:divBdr>
    </w:div>
    <w:div w:id="1174763162">
      <w:bodyDiv w:val="1"/>
      <w:marLeft w:val="0"/>
      <w:marRight w:val="0"/>
      <w:marTop w:val="0"/>
      <w:marBottom w:val="0"/>
      <w:divBdr>
        <w:top w:val="none" w:sz="0" w:space="0" w:color="auto"/>
        <w:left w:val="none" w:sz="0" w:space="0" w:color="auto"/>
        <w:bottom w:val="none" w:sz="0" w:space="0" w:color="auto"/>
        <w:right w:val="none" w:sz="0" w:space="0" w:color="auto"/>
      </w:divBdr>
    </w:div>
    <w:div w:id="1199778934">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81231290">
      <w:bodyDiv w:val="1"/>
      <w:marLeft w:val="0"/>
      <w:marRight w:val="0"/>
      <w:marTop w:val="0"/>
      <w:marBottom w:val="0"/>
      <w:divBdr>
        <w:top w:val="none" w:sz="0" w:space="0" w:color="auto"/>
        <w:left w:val="none" w:sz="0" w:space="0" w:color="auto"/>
        <w:bottom w:val="none" w:sz="0" w:space="0" w:color="auto"/>
        <w:right w:val="none" w:sz="0" w:space="0" w:color="auto"/>
      </w:divBdr>
    </w:div>
    <w:div w:id="1331056652">
      <w:bodyDiv w:val="1"/>
      <w:marLeft w:val="0"/>
      <w:marRight w:val="0"/>
      <w:marTop w:val="0"/>
      <w:marBottom w:val="0"/>
      <w:divBdr>
        <w:top w:val="none" w:sz="0" w:space="0" w:color="auto"/>
        <w:left w:val="none" w:sz="0" w:space="0" w:color="auto"/>
        <w:bottom w:val="none" w:sz="0" w:space="0" w:color="auto"/>
        <w:right w:val="none" w:sz="0" w:space="0" w:color="auto"/>
      </w:divBdr>
    </w:div>
    <w:div w:id="1357925651">
      <w:bodyDiv w:val="1"/>
      <w:marLeft w:val="0"/>
      <w:marRight w:val="0"/>
      <w:marTop w:val="0"/>
      <w:marBottom w:val="0"/>
      <w:divBdr>
        <w:top w:val="none" w:sz="0" w:space="0" w:color="auto"/>
        <w:left w:val="none" w:sz="0" w:space="0" w:color="auto"/>
        <w:bottom w:val="none" w:sz="0" w:space="0" w:color="auto"/>
        <w:right w:val="none" w:sz="0" w:space="0" w:color="auto"/>
      </w:divBdr>
    </w:div>
    <w:div w:id="1433745028">
      <w:bodyDiv w:val="1"/>
      <w:marLeft w:val="0"/>
      <w:marRight w:val="0"/>
      <w:marTop w:val="0"/>
      <w:marBottom w:val="0"/>
      <w:divBdr>
        <w:top w:val="none" w:sz="0" w:space="0" w:color="auto"/>
        <w:left w:val="none" w:sz="0" w:space="0" w:color="auto"/>
        <w:bottom w:val="none" w:sz="0" w:space="0" w:color="auto"/>
        <w:right w:val="none" w:sz="0" w:space="0" w:color="auto"/>
      </w:divBdr>
    </w:div>
    <w:div w:id="1448692339">
      <w:bodyDiv w:val="1"/>
      <w:marLeft w:val="0"/>
      <w:marRight w:val="0"/>
      <w:marTop w:val="0"/>
      <w:marBottom w:val="0"/>
      <w:divBdr>
        <w:top w:val="none" w:sz="0" w:space="0" w:color="auto"/>
        <w:left w:val="none" w:sz="0" w:space="0" w:color="auto"/>
        <w:bottom w:val="none" w:sz="0" w:space="0" w:color="auto"/>
        <w:right w:val="none" w:sz="0" w:space="0" w:color="auto"/>
      </w:divBdr>
    </w:div>
    <w:div w:id="1498619727">
      <w:bodyDiv w:val="1"/>
      <w:marLeft w:val="0"/>
      <w:marRight w:val="0"/>
      <w:marTop w:val="0"/>
      <w:marBottom w:val="0"/>
      <w:divBdr>
        <w:top w:val="none" w:sz="0" w:space="0" w:color="auto"/>
        <w:left w:val="none" w:sz="0" w:space="0" w:color="auto"/>
        <w:bottom w:val="none" w:sz="0" w:space="0" w:color="auto"/>
        <w:right w:val="none" w:sz="0" w:space="0" w:color="auto"/>
      </w:divBdr>
      <w:divsChild>
        <w:div w:id="797839195">
          <w:marLeft w:val="0"/>
          <w:marRight w:val="0"/>
          <w:marTop w:val="0"/>
          <w:marBottom w:val="160"/>
          <w:divBdr>
            <w:top w:val="none" w:sz="0" w:space="0" w:color="auto"/>
            <w:left w:val="none" w:sz="0" w:space="0" w:color="auto"/>
            <w:bottom w:val="none" w:sz="0" w:space="0" w:color="auto"/>
            <w:right w:val="none" w:sz="0" w:space="0" w:color="auto"/>
          </w:divBdr>
        </w:div>
        <w:div w:id="560681091">
          <w:marLeft w:val="0"/>
          <w:marRight w:val="0"/>
          <w:marTop w:val="0"/>
          <w:marBottom w:val="160"/>
          <w:divBdr>
            <w:top w:val="none" w:sz="0" w:space="0" w:color="auto"/>
            <w:left w:val="none" w:sz="0" w:space="0" w:color="auto"/>
            <w:bottom w:val="none" w:sz="0" w:space="0" w:color="auto"/>
            <w:right w:val="none" w:sz="0" w:space="0" w:color="auto"/>
          </w:divBdr>
        </w:div>
        <w:div w:id="1153833297">
          <w:marLeft w:val="0"/>
          <w:marRight w:val="0"/>
          <w:marTop w:val="0"/>
          <w:marBottom w:val="160"/>
          <w:divBdr>
            <w:top w:val="none" w:sz="0" w:space="0" w:color="auto"/>
            <w:left w:val="none" w:sz="0" w:space="0" w:color="auto"/>
            <w:bottom w:val="none" w:sz="0" w:space="0" w:color="auto"/>
            <w:right w:val="none" w:sz="0" w:space="0" w:color="auto"/>
          </w:divBdr>
        </w:div>
      </w:divsChild>
    </w:div>
    <w:div w:id="1550414708">
      <w:bodyDiv w:val="1"/>
      <w:marLeft w:val="0"/>
      <w:marRight w:val="0"/>
      <w:marTop w:val="0"/>
      <w:marBottom w:val="0"/>
      <w:divBdr>
        <w:top w:val="none" w:sz="0" w:space="0" w:color="auto"/>
        <w:left w:val="none" w:sz="0" w:space="0" w:color="auto"/>
        <w:bottom w:val="none" w:sz="0" w:space="0" w:color="auto"/>
        <w:right w:val="none" w:sz="0" w:space="0" w:color="auto"/>
      </w:divBdr>
    </w:div>
    <w:div w:id="1568610026">
      <w:bodyDiv w:val="1"/>
      <w:marLeft w:val="0"/>
      <w:marRight w:val="0"/>
      <w:marTop w:val="0"/>
      <w:marBottom w:val="0"/>
      <w:divBdr>
        <w:top w:val="none" w:sz="0" w:space="0" w:color="auto"/>
        <w:left w:val="none" w:sz="0" w:space="0" w:color="auto"/>
        <w:bottom w:val="none" w:sz="0" w:space="0" w:color="auto"/>
        <w:right w:val="none" w:sz="0" w:space="0" w:color="auto"/>
      </w:divBdr>
    </w:div>
    <w:div w:id="1606376211">
      <w:bodyDiv w:val="1"/>
      <w:marLeft w:val="0"/>
      <w:marRight w:val="0"/>
      <w:marTop w:val="0"/>
      <w:marBottom w:val="0"/>
      <w:divBdr>
        <w:top w:val="none" w:sz="0" w:space="0" w:color="auto"/>
        <w:left w:val="none" w:sz="0" w:space="0" w:color="auto"/>
        <w:bottom w:val="none" w:sz="0" w:space="0" w:color="auto"/>
        <w:right w:val="none" w:sz="0" w:space="0" w:color="auto"/>
      </w:divBdr>
      <w:divsChild>
        <w:div w:id="729840230">
          <w:marLeft w:val="0"/>
          <w:marRight w:val="0"/>
          <w:marTop w:val="0"/>
          <w:marBottom w:val="160"/>
          <w:divBdr>
            <w:top w:val="none" w:sz="0" w:space="0" w:color="auto"/>
            <w:left w:val="none" w:sz="0" w:space="0" w:color="auto"/>
            <w:bottom w:val="none" w:sz="0" w:space="0" w:color="auto"/>
            <w:right w:val="none" w:sz="0" w:space="0" w:color="auto"/>
          </w:divBdr>
        </w:div>
        <w:div w:id="1459761652">
          <w:marLeft w:val="0"/>
          <w:marRight w:val="0"/>
          <w:marTop w:val="0"/>
          <w:marBottom w:val="160"/>
          <w:divBdr>
            <w:top w:val="none" w:sz="0" w:space="0" w:color="auto"/>
            <w:left w:val="none" w:sz="0" w:space="0" w:color="auto"/>
            <w:bottom w:val="none" w:sz="0" w:space="0" w:color="auto"/>
            <w:right w:val="none" w:sz="0" w:space="0" w:color="auto"/>
          </w:divBdr>
        </w:div>
        <w:div w:id="2021463511">
          <w:marLeft w:val="0"/>
          <w:marRight w:val="0"/>
          <w:marTop w:val="0"/>
          <w:marBottom w:val="160"/>
          <w:divBdr>
            <w:top w:val="none" w:sz="0" w:space="0" w:color="auto"/>
            <w:left w:val="none" w:sz="0" w:space="0" w:color="auto"/>
            <w:bottom w:val="none" w:sz="0" w:space="0" w:color="auto"/>
            <w:right w:val="none" w:sz="0" w:space="0" w:color="auto"/>
          </w:divBdr>
        </w:div>
      </w:divsChild>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46666864">
      <w:bodyDiv w:val="1"/>
      <w:marLeft w:val="0"/>
      <w:marRight w:val="0"/>
      <w:marTop w:val="0"/>
      <w:marBottom w:val="0"/>
      <w:divBdr>
        <w:top w:val="none" w:sz="0" w:space="0" w:color="auto"/>
        <w:left w:val="none" w:sz="0" w:space="0" w:color="auto"/>
        <w:bottom w:val="none" w:sz="0" w:space="0" w:color="auto"/>
        <w:right w:val="none" w:sz="0" w:space="0" w:color="auto"/>
      </w:divBdr>
    </w:div>
    <w:div w:id="1669096844">
      <w:bodyDiv w:val="1"/>
      <w:marLeft w:val="0"/>
      <w:marRight w:val="0"/>
      <w:marTop w:val="0"/>
      <w:marBottom w:val="0"/>
      <w:divBdr>
        <w:top w:val="none" w:sz="0" w:space="0" w:color="auto"/>
        <w:left w:val="none" w:sz="0" w:space="0" w:color="auto"/>
        <w:bottom w:val="none" w:sz="0" w:space="0" w:color="auto"/>
        <w:right w:val="none" w:sz="0" w:space="0" w:color="auto"/>
      </w:divBdr>
      <w:divsChild>
        <w:div w:id="518936356">
          <w:marLeft w:val="0"/>
          <w:marRight w:val="0"/>
          <w:marTop w:val="0"/>
          <w:marBottom w:val="160"/>
          <w:divBdr>
            <w:top w:val="none" w:sz="0" w:space="0" w:color="auto"/>
            <w:left w:val="none" w:sz="0" w:space="0" w:color="auto"/>
            <w:bottom w:val="none" w:sz="0" w:space="0" w:color="auto"/>
            <w:right w:val="none" w:sz="0" w:space="0" w:color="auto"/>
          </w:divBdr>
        </w:div>
        <w:div w:id="528104072">
          <w:marLeft w:val="0"/>
          <w:marRight w:val="0"/>
          <w:marTop w:val="0"/>
          <w:marBottom w:val="160"/>
          <w:divBdr>
            <w:top w:val="none" w:sz="0" w:space="0" w:color="auto"/>
            <w:left w:val="none" w:sz="0" w:space="0" w:color="auto"/>
            <w:bottom w:val="none" w:sz="0" w:space="0" w:color="auto"/>
            <w:right w:val="none" w:sz="0" w:space="0" w:color="auto"/>
          </w:divBdr>
        </w:div>
        <w:div w:id="273513336">
          <w:marLeft w:val="0"/>
          <w:marRight w:val="0"/>
          <w:marTop w:val="0"/>
          <w:marBottom w:val="160"/>
          <w:divBdr>
            <w:top w:val="none" w:sz="0" w:space="0" w:color="auto"/>
            <w:left w:val="none" w:sz="0" w:space="0" w:color="auto"/>
            <w:bottom w:val="none" w:sz="0" w:space="0" w:color="auto"/>
            <w:right w:val="none" w:sz="0" w:space="0" w:color="auto"/>
          </w:divBdr>
        </w:div>
      </w:divsChild>
    </w:div>
    <w:div w:id="1676493951">
      <w:bodyDiv w:val="1"/>
      <w:marLeft w:val="0"/>
      <w:marRight w:val="0"/>
      <w:marTop w:val="0"/>
      <w:marBottom w:val="0"/>
      <w:divBdr>
        <w:top w:val="none" w:sz="0" w:space="0" w:color="auto"/>
        <w:left w:val="none" w:sz="0" w:space="0" w:color="auto"/>
        <w:bottom w:val="none" w:sz="0" w:space="0" w:color="auto"/>
        <w:right w:val="none" w:sz="0" w:space="0" w:color="auto"/>
      </w:divBdr>
    </w:div>
    <w:div w:id="1695689083">
      <w:bodyDiv w:val="1"/>
      <w:marLeft w:val="0"/>
      <w:marRight w:val="0"/>
      <w:marTop w:val="0"/>
      <w:marBottom w:val="0"/>
      <w:divBdr>
        <w:top w:val="none" w:sz="0" w:space="0" w:color="auto"/>
        <w:left w:val="none" w:sz="0" w:space="0" w:color="auto"/>
        <w:bottom w:val="none" w:sz="0" w:space="0" w:color="auto"/>
        <w:right w:val="none" w:sz="0" w:space="0" w:color="auto"/>
      </w:divBdr>
    </w:div>
    <w:div w:id="1761637096">
      <w:bodyDiv w:val="1"/>
      <w:marLeft w:val="0"/>
      <w:marRight w:val="0"/>
      <w:marTop w:val="0"/>
      <w:marBottom w:val="0"/>
      <w:divBdr>
        <w:top w:val="none" w:sz="0" w:space="0" w:color="auto"/>
        <w:left w:val="none" w:sz="0" w:space="0" w:color="auto"/>
        <w:bottom w:val="none" w:sz="0" w:space="0" w:color="auto"/>
        <w:right w:val="none" w:sz="0" w:space="0" w:color="auto"/>
      </w:divBdr>
      <w:divsChild>
        <w:div w:id="423385161">
          <w:marLeft w:val="0"/>
          <w:marRight w:val="0"/>
          <w:marTop w:val="0"/>
          <w:marBottom w:val="160"/>
          <w:divBdr>
            <w:top w:val="none" w:sz="0" w:space="0" w:color="auto"/>
            <w:left w:val="none" w:sz="0" w:space="0" w:color="auto"/>
            <w:bottom w:val="none" w:sz="0" w:space="0" w:color="auto"/>
            <w:right w:val="none" w:sz="0" w:space="0" w:color="auto"/>
          </w:divBdr>
        </w:div>
        <w:div w:id="2126801678">
          <w:marLeft w:val="0"/>
          <w:marRight w:val="0"/>
          <w:marTop w:val="0"/>
          <w:marBottom w:val="160"/>
          <w:divBdr>
            <w:top w:val="none" w:sz="0" w:space="0" w:color="auto"/>
            <w:left w:val="none" w:sz="0" w:space="0" w:color="auto"/>
            <w:bottom w:val="none" w:sz="0" w:space="0" w:color="auto"/>
            <w:right w:val="none" w:sz="0" w:space="0" w:color="auto"/>
          </w:divBdr>
        </w:div>
        <w:div w:id="827133892">
          <w:marLeft w:val="0"/>
          <w:marRight w:val="0"/>
          <w:marTop w:val="0"/>
          <w:marBottom w:val="160"/>
          <w:divBdr>
            <w:top w:val="none" w:sz="0" w:space="0" w:color="auto"/>
            <w:left w:val="none" w:sz="0" w:space="0" w:color="auto"/>
            <w:bottom w:val="none" w:sz="0" w:space="0" w:color="auto"/>
            <w:right w:val="none" w:sz="0" w:space="0" w:color="auto"/>
          </w:divBdr>
        </w:div>
      </w:divsChild>
    </w:div>
    <w:div w:id="1895584965">
      <w:bodyDiv w:val="1"/>
      <w:marLeft w:val="0"/>
      <w:marRight w:val="0"/>
      <w:marTop w:val="0"/>
      <w:marBottom w:val="0"/>
      <w:divBdr>
        <w:top w:val="none" w:sz="0" w:space="0" w:color="auto"/>
        <w:left w:val="none" w:sz="0" w:space="0" w:color="auto"/>
        <w:bottom w:val="none" w:sz="0" w:space="0" w:color="auto"/>
        <w:right w:val="none" w:sz="0" w:space="0" w:color="auto"/>
      </w:divBdr>
    </w:div>
    <w:div w:id="1899512950">
      <w:bodyDiv w:val="1"/>
      <w:marLeft w:val="0"/>
      <w:marRight w:val="0"/>
      <w:marTop w:val="0"/>
      <w:marBottom w:val="0"/>
      <w:divBdr>
        <w:top w:val="none" w:sz="0" w:space="0" w:color="auto"/>
        <w:left w:val="none" w:sz="0" w:space="0" w:color="auto"/>
        <w:bottom w:val="none" w:sz="0" w:space="0" w:color="auto"/>
        <w:right w:val="none" w:sz="0" w:space="0" w:color="auto"/>
      </w:divBdr>
    </w:div>
    <w:div w:id="1996949255">
      <w:bodyDiv w:val="1"/>
      <w:marLeft w:val="0"/>
      <w:marRight w:val="0"/>
      <w:marTop w:val="0"/>
      <w:marBottom w:val="0"/>
      <w:divBdr>
        <w:top w:val="none" w:sz="0" w:space="0" w:color="auto"/>
        <w:left w:val="none" w:sz="0" w:space="0" w:color="auto"/>
        <w:bottom w:val="none" w:sz="0" w:space="0" w:color="auto"/>
        <w:right w:val="none" w:sz="0" w:space="0" w:color="auto"/>
      </w:divBdr>
    </w:div>
    <w:div w:id="210726235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funcionpublica.gov.co/eva/gestornormativo/norma.php?i=317" TargetMode="External"/><Relationship Id="rId18" Type="http://schemas.openxmlformats.org/officeDocument/2006/relationships/hyperlink" Target="https://relatoria.colombiacompra.gov.co/busqueda/conceptos"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www.colombiacompra.gov.co/pqrsd/informacion-importante-antes-de-formular-una-pqrsd" TargetMode="External"/><Relationship Id="rId7" Type="http://schemas.openxmlformats.org/officeDocument/2006/relationships/settings" Target="settings.xml"/><Relationship Id="rId12" Type="http://schemas.openxmlformats.org/officeDocument/2006/relationships/hyperlink" Target="mailto:ivandariog@hotmail.com" TargetMode="External"/><Relationship Id="rId17" Type="http://schemas.openxmlformats.org/officeDocument/2006/relationships/hyperlink" Target="https://www.funcionpublica.gov.co/eva/gestornormativo/norma.php?i=56408"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s://www.funcionpublica.gov.co/eva/gestornormativo/norma.php?i=43101" TargetMode="External"/><Relationship Id="rId20" Type="http://schemas.openxmlformats.org/officeDocument/2006/relationships/hyperlink" Target="mailto:ventanilladeradicacion@colombiacompra.gov.co"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s://www.funcionpublica.gov.co/eva/gestornormativo/norma.php?i=22431" TargetMode="External"/><Relationship Id="rId23"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funcionpublica.gov.co/eva/gestornormativo/norma.php?i=6050" TargetMode="External"/><Relationship Id="rId22" Type="http://schemas.openxmlformats.org/officeDocument/2006/relationships/hyperlink" Target="https://forms.office.com/r/pPHyWVs2SZ"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SharedWithUsers xmlns="a6cb9e4b-f1d1-4245-83ec-6cad768d538a">
      <UserInfo>
        <DisplayName>Alejandro Sarmiento</DisplayName>
        <AccountId>129</AccountId>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F632894E-1642-4AAB-AB45-2BE680AD79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4.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13</Pages>
  <Words>4412</Words>
  <Characters>23166</Characters>
  <Application>Microsoft Office Word</Application>
  <DocSecurity>0</DocSecurity>
  <Lines>445</Lines>
  <Paragraphs>99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27479</CharactersWithSpaces>
  <SharedDoc>false</SharedDoc>
  <HLinks>
    <vt:vector size="48" baseType="variant">
      <vt:variant>
        <vt:i4>5439494</vt:i4>
      </vt:variant>
      <vt:variant>
        <vt:i4>15</vt:i4>
      </vt:variant>
      <vt:variant>
        <vt:i4>0</vt:i4>
      </vt:variant>
      <vt:variant>
        <vt:i4>5</vt:i4>
      </vt:variant>
      <vt:variant>
        <vt:lpwstr>https://www.colombiacompra.gov.co/sala-de-prensa/boletin-digital</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5111895</vt:i4>
      </vt:variant>
      <vt:variant>
        <vt:i4>9</vt:i4>
      </vt:variant>
      <vt:variant>
        <vt:i4>0</vt:i4>
      </vt:variant>
      <vt:variant>
        <vt:i4>5</vt:i4>
      </vt:variant>
      <vt:variant>
        <vt:lpwstr>https://www.colombiacompra.gov.co/manuales-guias-y-pliegos-tipo/manuales-y-guias</vt:lpwstr>
      </vt:variant>
      <vt:variant>
        <vt:lpwstr/>
      </vt:variant>
      <vt:variant>
        <vt:i4>3801145</vt:i4>
      </vt:variant>
      <vt:variant>
        <vt:i4>6</vt:i4>
      </vt:variant>
      <vt:variant>
        <vt:i4>0</vt:i4>
      </vt:variant>
      <vt:variant>
        <vt:i4>5</vt:i4>
      </vt:variant>
      <vt:variant>
        <vt:lpwstr>https://relatoria.colombiacompra.gov.co/providencias-consejo-de-estado/</vt:lpwstr>
      </vt:variant>
      <vt:variant>
        <vt:lpwstr/>
      </vt:variant>
      <vt:variant>
        <vt:i4>3145787</vt:i4>
      </vt:variant>
      <vt:variant>
        <vt:i4>3</vt:i4>
      </vt:variant>
      <vt:variant>
        <vt:i4>0</vt:i4>
      </vt:variant>
      <vt:variant>
        <vt:i4>5</vt:i4>
      </vt:variant>
      <vt:variant>
        <vt:lpwstr>https://www.colombiacompra.gov.co/content/04-documentos-tipo-de-licitacion-de-obra-publica-para-proyectos-de-infraestructura-social</vt:lpwstr>
      </vt:variant>
      <vt:variant>
        <vt:lpwstr/>
      </vt:variant>
      <vt:variant>
        <vt:i4>7208987</vt:i4>
      </vt:variant>
      <vt:variant>
        <vt:i4>0</vt:i4>
      </vt:variant>
      <vt:variant>
        <vt:i4>0</vt:i4>
      </vt:variant>
      <vt:variant>
        <vt:i4>5</vt:i4>
      </vt:variant>
      <vt:variant>
        <vt:lpwstr>https://www.colombiacompra.gov.co/sites/cce_public/files/cce_circulares/circular_externa_unica_version_3_vf49.pdf</vt:lpwstr>
      </vt:variant>
      <vt:variant>
        <vt:lpwstr/>
      </vt:variant>
      <vt:variant>
        <vt:i4>6619182</vt:i4>
      </vt:variant>
      <vt:variant>
        <vt:i4>3</vt:i4>
      </vt:variant>
      <vt:variant>
        <vt:i4>0</vt:i4>
      </vt:variant>
      <vt:variant>
        <vt:i4>5</vt:i4>
      </vt:variant>
      <vt:variant>
        <vt:lpwstr>https://www.culturarecreacionydeporte.gov.co/es/bogotanitos/bogodatos/las-plazas-de-mercado-de-bogota</vt:lpwstr>
      </vt:variant>
      <vt:variant>
        <vt:lpwstr>:~:text=Muchos%20tienen%20diferentes%20conceptos%20sobre,en%20un%20sitio%20abierto%20o</vt:lpwstr>
      </vt:variant>
      <vt:variant>
        <vt:i4>2883621</vt:i4>
      </vt:variant>
      <vt:variant>
        <vt:i4>0</vt:i4>
      </vt:variant>
      <vt:variant>
        <vt:i4>0</vt:i4>
      </vt:variant>
      <vt:variant>
        <vt:i4>5</vt:i4>
      </vt:variant>
      <vt:variant>
        <vt:lpwstr>https://www.colombiacompra.gov.co/content/03-documentos-tipo-transversales-de-licitacion-de-obra-publica-de-infraestructura-social-con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Sergio Andrés Rivera Cano</cp:lastModifiedBy>
  <cp:revision>6</cp:revision>
  <dcterms:created xsi:type="dcterms:W3CDTF">2025-11-12T03:56:00Z</dcterms:created>
  <dcterms:modified xsi:type="dcterms:W3CDTF">2025-11-13T15:06:00Z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