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250838F" w14:textId="77777777" w:rsidR="00284AD4" w:rsidRPr="00B60BC4" w:rsidRDefault="00284AD4" w:rsidP="00284AD4">
      <w:pPr>
        <w:spacing w:line="276" w:lineRule="auto"/>
        <w:jc w:val="both"/>
        <w:rPr>
          <w:rFonts w:ascii="Verdana" w:eastAsia="Calibri" w:hAnsi="Verdana" w:cs="Arial"/>
          <w:b/>
          <w:bCs/>
          <w:color w:val="000000" w:themeColor="text1"/>
          <w:lang w:eastAsia="es-ES"/>
        </w:rPr>
      </w:pPr>
      <w:bookmarkStart w:id="0" w:name="_Hlk181166130"/>
      <w:bookmarkStart w:id="1" w:name="_Hlk209714638"/>
      <w:r w:rsidRPr="00B60BC4">
        <w:rPr>
          <w:rFonts w:ascii="Verdana" w:eastAsia="Calibri" w:hAnsi="Verdana" w:cs="Arial"/>
          <w:b/>
          <w:bCs/>
          <w:color w:val="000000" w:themeColor="text1"/>
          <w:lang w:eastAsia="es-ES"/>
        </w:rPr>
        <w:t xml:space="preserve">LEY 1474 DE 2011 – </w:t>
      </w:r>
      <w:r w:rsidRPr="00B60BC4">
        <w:rPr>
          <w:rFonts w:ascii="Verdana" w:eastAsia="Calibri" w:hAnsi="Verdana" w:cs="Arial"/>
          <w:b/>
          <w:bCs/>
          <w:color w:val="000000" w:themeColor="text1"/>
          <w:lang w:val="es-ES" w:eastAsia="es-ES"/>
        </w:rPr>
        <w:t>Supervisión</w:t>
      </w:r>
      <w:r w:rsidRPr="00B60BC4">
        <w:rPr>
          <w:rFonts w:ascii="Verdana" w:eastAsia="Calibri" w:hAnsi="Verdana" w:cs="Arial"/>
          <w:b/>
          <w:bCs/>
          <w:color w:val="000000" w:themeColor="text1"/>
          <w:lang w:eastAsia="es-ES"/>
        </w:rPr>
        <w:t xml:space="preserve"> </w:t>
      </w:r>
      <w:proofErr w:type="spellStart"/>
      <w:r w:rsidRPr="00B60BC4">
        <w:rPr>
          <w:rFonts w:ascii="Verdana" w:eastAsia="Calibri" w:hAnsi="Verdana" w:cs="Arial"/>
          <w:b/>
          <w:bCs/>
          <w:color w:val="000000" w:themeColor="text1"/>
          <w:lang w:eastAsia="es-ES"/>
        </w:rPr>
        <w:t>e</w:t>
      </w:r>
      <w:proofErr w:type="spellEnd"/>
      <w:r w:rsidRPr="00B60BC4">
        <w:rPr>
          <w:rFonts w:ascii="Verdana" w:eastAsia="Calibri" w:hAnsi="Verdana" w:cs="Arial"/>
          <w:b/>
          <w:bCs/>
          <w:color w:val="000000" w:themeColor="text1"/>
          <w:lang w:eastAsia="es-ES"/>
        </w:rPr>
        <w:t xml:space="preserve"> interventoría contractual</w:t>
      </w:r>
    </w:p>
    <w:p w14:paraId="15D3F532" w14:textId="77777777" w:rsidR="00284AD4" w:rsidRPr="00B60BC4" w:rsidRDefault="00284AD4" w:rsidP="00284AD4">
      <w:pPr>
        <w:spacing w:after="0" w:line="240" w:lineRule="auto"/>
        <w:jc w:val="both"/>
      </w:pPr>
      <w:r w:rsidRPr="00B60BC4">
        <w:rPr>
          <w:rFonts w:ascii="Verdana" w:eastAsia="Geomanist Light" w:hAnsi="Verdana" w:cs="Arial"/>
          <w:color w:val="000000" w:themeColor="text1"/>
          <w:sz w:val="20"/>
          <w:szCs w:val="20"/>
        </w:rPr>
        <w:t>[…] la Ley 1474 de 2011 enmarcó el seguimiento, control y vigilancia de la ejecución del contrato estatal dentro del principio de moralidad administrativa. El artículo 83 de la referida ley, establece que “con el fin de proteger la moralidad administrativa, de prevenir la ocurrencia de actos de corrupción y tutelar la transparencia de la actividad contractual, las entidades públicas están obligadas a vigilar permanentemente la correcta ejecución del objeto contratado a través de un supervisor o un interventor, según corresponda”.</w:t>
      </w:r>
      <w:r w:rsidRPr="00B60BC4">
        <w:t xml:space="preserve"> </w:t>
      </w:r>
    </w:p>
    <w:p w14:paraId="7F723688" w14:textId="77777777" w:rsidR="00284AD4" w:rsidRPr="00B60BC4" w:rsidRDefault="00284AD4" w:rsidP="00284AD4">
      <w:pPr>
        <w:spacing w:after="0" w:line="240" w:lineRule="auto"/>
        <w:jc w:val="both"/>
      </w:pPr>
    </w:p>
    <w:p w14:paraId="5BA30886" w14:textId="77777777" w:rsidR="00284AD4" w:rsidRPr="00B60BC4" w:rsidRDefault="00284AD4" w:rsidP="00284AD4">
      <w:pPr>
        <w:spacing w:after="0" w:line="240" w:lineRule="auto"/>
        <w:jc w:val="both"/>
        <w:rPr>
          <w:rFonts w:ascii="Verdana" w:eastAsia="Geomanist Light" w:hAnsi="Verdana" w:cs="Arial"/>
          <w:b/>
          <w:bCs/>
          <w:color w:val="000000" w:themeColor="text1"/>
        </w:rPr>
      </w:pPr>
      <w:r w:rsidRPr="00B60BC4">
        <w:rPr>
          <w:rFonts w:ascii="Verdana" w:eastAsia="Geomanist Light" w:hAnsi="Verdana" w:cs="Arial"/>
          <w:b/>
          <w:bCs/>
          <w:color w:val="000000" w:themeColor="text1"/>
        </w:rPr>
        <w:t xml:space="preserve">SUPERVISIÓN DEL CONTRATO </w:t>
      </w:r>
      <w:r w:rsidRPr="00B60BC4">
        <w:rPr>
          <w:rFonts w:ascii="Verdana" w:eastAsia="Calibri" w:hAnsi="Verdana" w:cs="Arial"/>
          <w:b/>
          <w:bCs/>
          <w:color w:val="000000" w:themeColor="text1"/>
          <w:lang w:val="es-ES" w:eastAsia="es-ES"/>
        </w:rPr>
        <w:t xml:space="preserve">– Características – Apoyo a la supervisión </w:t>
      </w:r>
    </w:p>
    <w:p w14:paraId="188AE61B" w14:textId="77777777" w:rsidR="00284AD4" w:rsidRPr="00B60BC4" w:rsidRDefault="00284AD4" w:rsidP="00284AD4">
      <w:pPr>
        <w:spacing w:after="0" w:line="240" w:lineRule="auto"/>
        <w:jc w:val="both"/>
        <w:rPr>
          <w:rFonts w:ascii="Verdana" w:eastAsia="Geomanist Light" w:hAnsi="Verdana" w:cs="Arial"/>
          <w:color w:val="000000" w:themeColor="text1"/>
        </w:rPr>
      </w:pPr>
      <w:r w:rsidRPr="00B60BC4">
        <w:rPr>
          <w:rFonts w:ascii="Verdana" w:eastAsia="Geomanist Light" w:hAnsi="Verdana" w:cs="Arial"/>
          <w:b/>
          <w:bCs/>
          <w:color w:val="000000" w:themeColor="text1"/>
        </w:rPr>
        <w:t> </w:t>
      </w:r>
    </w:p>
    <w:p w14:paraId="23AA6317" w14:textId="77777777" w:rsidR="00284AD4" w:rsidRPr="00B60BC4" w:rsidRDefault="00284AD4" w:rsidP="00284AD4">
      <w:pPr>
        <w:spacing w:after="0" w:line="240" w:lineRule="auto"/>
        <w:jc w:val="both"/>
        <w:rPr>
          <w:rFonts w:ascii="Verdana" w:eastAsia="Geomanist Light" w:hAnsi="Verdana" w:cs="Arial"/>
          <w:color w:val="000000" w:themeColor="text1"/>
          <w:sz w:val="20"/>
          <w:szCs w:val="20"/>
        </w:rPr>
      </w:pPr>
      <w:r w:rsidRPr="00B60BC4">
        <w:rPr>
          <w:rFonts w:ascii="Verdana" w:eastAsia="Geomanist Light" w:hAnsi="Verdana" w:cs="Arial"/>
          <w:color w:val="000000" w:themeColor="text1"/>
          <w:sz w:val="20"/>
          <w:szCs w:val="20"/>
        </w:rPr>
        <w:t xml:space="preserve">[…] de las disposiciones contenidas en los artículos 83 y 84 de la Ley 1474 de 2011, se infieren las siguientes características de la supervisión: i) la labor de supervisión siempre existirá en relación con cualquier contrato estatal, incluidos los contratos de prestación de servicios –a diferencia de la interventoría que depende del análisis de su necesidad y extensión –; </w:t>
      </w:r>
      <w:proofErr w:type="spellStart"/>
      <w:r w:rsidRPr="00B60BC4">
        <w:rPr>
          <w:rFonts w:ascii="Verdana" w:eastAsia="Geomanist Light" w:hAnsi="Verdana" w:cs="Arial"/>
          <w:color w:val="000000" w:themeColor="text1"/>
          <w:sz w:val="20"/>
          <w:szCs w:val="20"/>
        </w:rPr>
        <w:t>ii</w:t>
      </w:r>
      <w:proofErr w:type="spellEnd"/>
      <w:r w:rsidRPr="00B60BC4">
        <w:rPr>
          <w:rFonts w:ascii="Verdana" w:eastAsia="Geomanist Light" w:hAnsi="Verdana" w:cs="Arial"/>
          <w:color w:val="000000" w:themeColor="text1"/>
          <w:sz w:val="20"/>
          <w:szCs w:val="20"/>
        </w:rPr>
        <w:t xml:space="preserve">) no requiere conocimientos tan especializados como la interventoría; </w:t>
      </w:r>
      <w:proofErr w:type="spellStart"/>
      <w:r w:rsidRPr="00B60BC4">
        <w:rPr>
          <w:rFonts w:ascii="Verdana" w:eastAsia="Geomanist Light" w:hAnsi="Verdana" w:cs="Arial"/>
          <w:color w:val="000000" w:themeColor="text1"/>
          <w:sz w:val="20"/>
          <w:szCs w:val="20"/>
        </w:rPr>
        <w:t>iii</w:t>
      </w:r>
      <w:proofErr w:type="spellEnd"/>
      <w:r w:rsidRPr="00B60BC4">
        <w:rPr>
          <w:rFonts w:ascii="Verdana" w:eastAsia="Geomanist Light" w:hAnsi="Verdana" w:cs="Arial"/>
          <w:color w:val="000000" w:themeColor="text1"/>
          <w:sz w:val="20"/>
          <w:szCs w:val="20"/>
        </w:rPr>
        <w:t xml:space="preserve">) se ejerce por la Entidad Estatal por conducto de la designación de servidores públicos idóneos para cumplir la función; </w:t>
      </w:r>
      <w:proofErr w:type="spellStart"/>
      <w:r w:rsidRPr="00B60BC4">
        <w:rPr>
          <w:rFonts w:ascii="Verdana" w:eastAsia="Geomanist Light" w:hAnsi="Verdana" w:cs="Arial"/>
          <w:color w:val="000000" w:themeColor="text1"/>
          <w:sz w:val="20"/>
          <w:szCs w:val="20"/>
        </w:rPr>
        <w:t>iv</w:t>
      </w:r>
      <w:proofErr w:type="spellEnd"/>
      <w:r w:rsidRPr="00B60BC4">
        <w:rPr>
          <w:rFonts w:ascii="Verdana" w:eastAsia="Geomanist Light" w:hAnsi="Verdana" w:cs="Arial"/>
          <w:color w:val="000000" w:themeColor="text1"/>
          <w:sz w:val="20"/>
          <w:szCs w:val="20"/>
        </w:rPr>
        <w:t>) puede recibir apoyo de personal contratado para tal fin mediante contratos de prestación de servicios; y v) le es inseparable el seguimiento técnico, administrativo, financiero, contable y jurídico del contrato vigilado.</w:t>
      </w:r>
    </w:p>
    <w:p w14:paraId="5AA8358E" w14:textId="77777777" w:rsidR="00284AD4" w:rsidRPr="00B60BC4" w:rsidRDefault="00284AD4" w:rsidP="00284AD4">
      <w:pPr>
        <w:spacing w:after="0" w:line="240" w:lineRule="auto"/>
        <w:jc w:val="both"/>
      </w:pPr>
    </w:p>
    <w:p w14:paraId="021B7E61" w14:textId="77777777" w:rsidR="00284AD4" w:rsidRPr="00B60BC4" w:rsidRDefault="00284AD4" w:rsidP="00284AD4">
      <w:pPr>
        <w:spacing w:after="0" w:line="240" w:lineRule="auto"/>
        <w:jc w:val="both"/>
      </w:pPr>
      <w:r w:rsidRPr="00B60BC4">
        <w:rPr>
          <w:rFonts w:ascii="Verdana" w:eastAsia="Geomanist Light" w:hAnsi="Verdana" w:cs="Arial"/>
          <w:b/>
          <w:bCs/>
          <w:color w:val="000000" w:themeColor="text1"/>
        </w:rPr>
        <w:t>SUPERVISIÓN DEL CONTRATO – Definición</w:t>
      </w:r>
      <w:r w:rsidRPr="00B60BC4">
        <w:rPr>
          <w:rFonts w:ascii="Verdana" w:eastAsia="Calibri" w:hAnsi="Verdana" w:cs="Arial"/>
          <w:b/>
          <w:bCs/>
          <w:color w:val="000000" w:themeColor="text1"/>
          <w:lang w:val="es-ES" w:eastAsia="es-ES"/>
        </w:rPr>
        <w:t xml:space="preserve"> – Límites</w:t>
      </w:r>
    </w:p>
    <w:p w14:paraId="73CBF107" w14:textId="77777777" w:rsidR="00284AD4" w:rsidRPr="00B60BC4" w:rsidRDefault="00284AD4" w:rsidP="00284AD4">
      <w:pPr>
        <w:spacing w:after="0" w:line="240" w:lineRule="auto"/>
        <w:jc w:val="both"/>
      </w:pPr>
    </w:p>
    <w:p w14:paraId="71EA96AC" w14:textId="77777777" w:rsidR="00284AD4" w:rsidRPr="00B60BC4" w:rsidRDefault="00284AD4" w:rsidP="00284AD4">
      <w:pPr>
        <w:spacing w:after="0" w:line="240" w:lineRule="auto"/>
        <w:jc w:val="both"/>
        <w:rPr>
          <w:rFonts w:ascii="Verdana" w:eastAsia="Geomanist Light" w:hAnsi="Verdana" w:cs="Arial"/>
          <w:color w:val="000000" w:themeColor="text1"/>
          <w:sz w:val="20"/>
          <w:szCs w:val="20"/>
        </w:rPr>
      </w:pPr>
      <w:r w:rsidRPr="00B60BC4">
        <w:rPr>
          <w:rFonts w:ascii="Verdana" w:eastAsia="Geomanist Light" w:hAnsi="Verdana" w:cs="Arial"/>
          <w:color w:val="000000" w:themeColor="text1"/>
          <w:sz w:val="20"/>
          <w:szCs w:val="20"/>
        </w:rPr>
        <w:t>De acuerdo con el artículo 83 de la Ley 1474 de 2011, la supervisión es una actividad que debe realizar la entidad estatal contratante con sus servidores públicos, sin perjuicio de que pueda contratar el apoyo a esta labor mediante la celebración de contratos de prestación de servicios. En efecto, el segundo inciso de dicha norma establece:</w:t>
      </w:r>
    </w:p>
    <w:p w14:paraId="4FA34270" w14:textId="77777777" w:rsidR="00284AD4" w:rsidRPr="00B60BC4" w:rsidRDefault="00284AD4" w:rsidP="00284AD4">
      <w:pPr>
        <w:spacing w:after="0" w:line="240" w:lineRule="auto"/>
        <w:jc w:val="both"/>
        <w:rPr>
          <w:rFonts w:ascii="Verdana" w:eastAsia="Geomanist Light" w:hAnsi="Verdana" w:cs="Arial"/>
          <w:color w:val="000000" w:themeColor="text1"/>
          <w:sz w:val="20"/>
          <w:szCs w:val="20"/>
        </w:rPr>
      </w:pPr>
    </w:p>
    <w:p w14:paraId="4538A990" w14:textId="77777777" w:rsidR="00284AD4" w:rsidRPr="00B60BC4" w:rsidRDefault="00284AD4" w:rsidP="00284AD4">
      <w:pPr>
        <w:spacing w:after="0" w:line="240" w:lineRule="auto"/>
        <w:jc w:val="both"/>
        <w:rPr>
          <w:rFonts w:ascii="Verdana" w:eastAsia="Geomanist Light" w:hAnsi="Verdana" w:cs="Arial"/>
          <w:color w:val="000000" w:themeColor="text1"/>
          <w:sz w:val="20"/>
          <w:szCs w:val="20"/>
        </w:rPr>
      </w:pPr>
      <w:r w:rsidRPr="00B60BC4">
        <w:rPr>
          <w:rFonts w:ascii="Verdana" w:eastAsia="Geomanist Light" w:hAnsi="Verdana" w:cs="Arial"/>
          <w:color w:val="000000" w:themeColor="text1"/>
          <w:sz w:val="20"/>
          <w:szCs w:val="20"/>
        </w:rPr>
        <w:t xml:space="preserve">“La supervisión consistirá en el seguimiento técnico, administrativo, financiero, contable, y jurídico </w:t>
      </w:r>
      <w:proofErr w:type="gramStart"/>
      <w:r w:rsidRPr="00B60BC4">
        <w:rPr>
          <w:rFonts w:ascii="Verdana" w:eastAsia="Geomanist Light" w:hAnsi="Verdana" w:cs="Arial"/>
          <w:color w:val="000000" w:themeColor="text1"/>
          <w:sz w:val="20"/>
          <w:szCs w:val="20"/>
        </w:rPr>
        <w:t>que</w:t>
      </w:r>
      <w:proofErr w:type="gramEnd"/>
      <w:r w:rsidRPr="00B60BC4">
        <w:rPr>
          <w:rFonts w:ascii="Verdana" w:eastAsia="Geomanist Light" w:hAnsi="Verdana" w:cs="Arial"/>
          <w:color w:val="000000" w:themeColor="text1"/>
          <w:sz w:val="20"/>
          <w:szCs w:val="20"/>
        </w:rPr>
        <w:t xml:space="preserve"> sobre el cumplimiento del objeto del contrato, es ejercida por la misma entidad estatal cuando no requieren conocimientos especializados. Para la supervisión, la Entidad estatal podrá contratar personal de apoyo, a través de los contratos de prestación de servicios que sean requeridos”.</w:t>
      </w:r>
    </w:p>
    <w:p w14:paraId="29CDE237" w14:textId="77777777" w:rsidR="00284AD4" w:rsidRPr="00B60BC4" w:rsidRDefault="00284AD4" w:rsidP="00284AD4">
      <w:pPr>
        <w:spacing w:after="0" w:line="240" w:lineRule="auto"/>
        <w:jc w:val="both"/>
        <w:rPr>
          <w:rFonts w:ascii="Verdana" w:eastAsia="Geomanist Light" w:hAnsi="Verdana" w:cs="Arial"/>
          <w:color w:val="000000" w:themeColor="text1"/>
          <w:sz w:val="20"/>
          <w:szCs w:val="20"/>
        </w:rPr>
      </w:pPr>
    </w:p>
    <w:p w14:paraId="5A6C16D8" w14:textId="77777777" w:rsidR="00284AD4" w:rsidRPr="00B60BC4" w:rsidRDefault="00284AD4" w:rsidP="00284AD4">
      <w:pPr>
        <w:spacing w:after="0" w:line="240" w:lineRule="auto"/>
        <w:jc w:val="both"/>
        <w:rPr>
          <w:rFonts w:ascii="Verdana" w:eastAsia="Geomanist Light" w:hAnsi="Verdana" w:cs="Arial"/>
          <w:color w:val="000000" w:themeColor="text1"/>
          <w:sz w:val="20"/>
          <w:szCs w:val="20"/>
        </w:rPr>
      </w:pPr>
      <w:r w:rsidRPr="00B60BC4">
        <w:rPr>
          <w:rFonts w:ascii="Verdana" w:eastAsia="Geomanist Light" w:hAnsi="Verdana" w:cs="Arial"/>
          <w:color w:val="000000" w:themeColor="text1"/>
          <w:sz w:val="20"/>
          <w:szCs w:val="20"/>
        </w:rPr>
        <w:t xml:space="preserve">En ese sentido, la entidad contratante a través del ordenador del gasto es quien designa la supervisión, y puede designarla a cualquier servidor público ya que esa función es inherente a esta calidad, sin que exista límite a la designación siempre que la persona designada sea la adecuada para hacer el correcto seguimiento técnico, administrativo, financiero, contable, y jurídico del contrato, pudiendo tener personal de apoyo como lo indica la norma, en temas que no sean de su experticia; o cuando se requieran conocimientos especializados se puede recurrir a la figura de la interventoría. </w:t>
      </w:r>
      <w:proofErr w:type="gramStart"/>
      <w:r w:rsidRPr="00B60BC4">
        <w:rPr>
          <w:rFonts w:ascii="Verdana" w:eastAsia="Geomanist Light" w:hAnsi="Verdana" w:cs="Arial"/>
          <w:color w:val="000000" w:themeColor="text1"/>
          <w:sz w:val="20"/>
          <w:szCs w:val="20"/>
        </w:rPr>
        <w:t>Además</w:t>
      </w:r>
      <w:proofErr w:type="gramEnd"/>
      <w:r w:rsidRPr="00B60BC4">
        <w:rPr>
          <w:rFonts w:ascii="Verdana" w:eastAsia="Geomanist Light" w:hAnsi="Verdana" w:cs="Arial"/>
          <w:color w:val="000000" w:themeColor="text1"/>
          <w:sz w:val="20"/>
          <w:szCs w:val="20"/>
        </w:rPr>
        <w:t xml:space="preserve"> la Guía para el ejercicio de las funciones de Supervisión e Interventoría de los contratos del Estado de Colombia Compra Eficiente dispone un deber de la entidad contratante y es “realizar un análisis de la carga operativa de quien va a ser designado supervisor, </w:t>
      </w:r>
      <w:r w:rsidRPr="00B60BC4">
        <w:rPr>
          <w:rFonts w:ascii="Verdana" w:eastAsia="Geomanist Light" w:hAnsi="Verdana" w:cs="Arial"/>
          <w:color w:val="000000" w:themeColor="text1"/>
          <w:sz w:val="20"/>
          <w:szCs w:val="20"/>
        </w:rPr>
        <w:lastRenderedPageBreak/>
        <w:t>para no incurrir en los riesgos derivados de una supervisión inadecuada por falta de tiempo”.</w:t>
      </w:r>
    </w:p>
    <w:p w14:paraId="7FB54584" w14:textId="77777777" w:rsidR="00284AD4" w:rsidRPr="00B60BC4" w:rsidRDefault="00284AD4" w:rsidP="00284AD4">
      <w:pPr>
        <w:spacing w:after="0" w:line="240" w:lineRule="auto"/>
        <w:jc w:val="both"/>
        <w:rPr>
          <w:rFonts w:ascii="Verdana" w:eastAsia="Geomanist Light" w:hAnsi="Verdana" w:cs="Arial"/>
          <w:color w:val="000000" w:themeColor="text1"/>
          <w:sz w:val="20"/>
          <w:szCs w:val="20"/>
        </w:rPr>
      </w:pPr>
    </w:p>
    <w:p w14:paraId="6838CC1E" w14:textId="77777777" w:rsidR="00284AD4" w:rsidRPr="00B60BC4" w:rsidRDefault="00284AD4" w:rsidP="00284AD4">
      <w:pPr>
        <w:spacing w:after="0" w:line="240" w:lineRule="auto"/>
        <w:jc w:val="both"/>
      </w:pPr>
      <w:r w:rsidRPr="00B60BC4">
        <w:rPr>
          <w:rFonts w:ascii="Verdana" w:eastAsia="Geomanist Light" w:hAnsi="Verdana" w:cs="Arial"/>
          <w:b/>
          <w:bCs/>
          <w:color w:val="000000" w:themeColor="text1"/>
        </w:rPr>
        <w:t>SUPERVISIÓN DEL CONTRATO – Perfil</w:t>
      </w:r>
      <w:r w:rsidRPr="00B60BC4">
        <w:rPr>
          <w:rFonts w:ascii="Verdana" w:eastAsia="Calibri" w:hAnsi="Verdana" w:cs="Arial"/>
          <w:b/>
          <w:bCs/>
          <w:color w:val="000000" w:themeColor="text1"/>
          <w:lang w:val="es-ES" w:eastAsia="es-ES"/>
        </w:rPr>
        <w:t xml:space="preserve"> – Designación</w:t>
      </w:r>
    </w:p>
    <w:p w14:paraId="65FB7BC7" w14:textId="77777777" w:rsidR="00284AD4" w:rsidRPr="00B60BC4" w:rsidRDefault="00284AD4" w:rsidP="00284AD4">
      <w:pPr>
        <w:spacing w:after="0" w:line="240" w:lineRule="auto"/>
        <w:jc w:val="both"/>
        <w:rPr>
          <w:rFonts w:ascii="Verdana" w:eastAsia="Geomanist Light" w:hAnsi="Verdana" w:cs="Arial"/>
          <w:color w:val="000000" w:themeColor="text1"/>
          <w:sz w:val="20"/>
          <w:szCs w:val="20"/>
        </w:rPr>
      </w:pPr>
    </w:p>
    <w:p w14:paraId="7BC87C2C" w14:textId="77777777" w:rsidR="00284AD4" w:rsidRPr="00B60BC4" w:rsidRDefault="00284AD4" w:rsidP="00284AD4">
      <w:pPr>
        <w:spacing w:after="0" w:line="240" w:lineRule="auto"/>
        <w:jc w:val="both"/>
        <w:rPr>
          <w:rFonts w:ascii="Verdana" w:eastAsia="Geomanist Light" w:hAnsi="Verdana" w:cs="Arial"/>
          <w:color w:val="000000" w:themeColor="text1"/>
          <w:sz w:val="20"/>
          <w:szCs w:val="20"/>
        </w:rPr>
      </w:pPr>
      <w:r w:rsidRPr="00B60BC4">
        <w:rPr>
          <w:rFonts w:ascii="Verdana" w:eastAsia="Geomanist Light" w:hAnsi="Verdana" w:cs="Arial"/>
          <w:color w:val="000000" w:themeColor="text1"/>
          <w:sz w:val="20"/>
          <w:szCs w:val="20"/>
        </w:rPr>
        <w:t>De acuerdo con lo anterior, cualquier servidor público puede ser supervisor del contrato, sin que se requiera un perfil específico, pero la Guía para el ejercicio de las funciones de Supervisión e Interventoría de los contratos del Estado de Colombia Compra Eficiente señala que “El supervisor no requiere un perfil predeterminado, pero es recomendable que el supervisor pueda actuar como par del contratista supervisado”. En todo caso, al ser una decisión autónoma del ordenador del gasto se recomienda que la persona designada sea adecuada para hacer el correcto seguimiento técnico, administrativo, financiero, contable, y jurídico del contrato, lo cual debe ser determinado por la entidad contratante en su ejercicio contractual. Sobre el momento para designar al supervisor del contrato, la Guía para el ejercicio de las funciones de Supervisión e Interventoría de los contratos del Estado de Colombia Compra Eficiente dispone que “La Entidad Estatal puede designar el supervisor en cualquier momento del Proceso de Contratación una vez iniciada la etapa de planeación”.</w:t>
      </w:r>
    </w:p>
    <w:p w14:paraId="55509FFD" w14:textId="77777777" w:rsidR="00284AD4" w:rsidRDefault="00284AD4" w:rsidP="00284AD4">
      <w:pPr>
        <w:spacing w:after="0" w:line="240" w:lineRule="auto"/>
        <w:rPr>
          <w:rFonts w:ascii="Verdana" w:hAnsi="Verdana"/>
        </w:rPr>
      </w:pPr>
    </w:p>
    <w:p w14:paraId="11169E6E" w14:textId="77777777" w:rsidR="00284AD4" w:rsidRDefault="00284AD4" w:rsidP="00284AD4">
      <w:pPr>
        <w:spacing w:after="0" w:line="240" w:lineRule="auto"/>
        <w:rPr>
          <w:rFonts w:ascii="Verdana" w:hAnsi="Verdana"/>
        </w:rPr>
      </w:pPr>
    </w:p>
    <w:p w14:paraId="2BC89C8E" w14:textId="77777777" w:rsidR="00284AD4" w:rsidRDefault="00284AD4" w:rsidP="00284AD4">
      <w:pPr>
        <w:spacing w:after="0" w:line="240" w:lineRule="auto"/>
        <w:rPr>
          <w:rFonts w:ascii="Verdana" w:hAnsi="Verdana"/>
        </w:rPr>
      </w:pPr>
    </w:p>
    <w:p w14:paraId="4A2ACF13" w14:textId="77777777" w:rsidR="00284AD4" w:rsidRDefault="00284AD4" w:rsidP="00284AD4">
      <w:pPr>
        <w:spacing w:after="0" w:line="240" w:lineRule="auto"/>
        <w:rPr>
          <w:rFonts w:ascii="Verdana" w:hAnsi="Verdana"/>
        </w:rPr>
      </w:pPr>
    </w:p>
    <w:p w14:paraId="6756DD6C" w14:textId="77777777" w:rsidR="00284AD4" w:rsidRDefault="00284AD4" w:rsidP="00284AD4">
      <w:pPr>
        <w:spacing w:after="0" w:line="240" w:lineRule="auto"/>
        <w:rPr>
          <w:rFonts w:ascii="Verdana" w:hAnsi="Verdana"/>
        </w:rPr>
      </w:pPr>
    </w:p>
    <w:p w14:paraId="0A796A0E" w14:textId="77777777" w:rsidR="00284AD4" w:rsidRDefault="00284AD4" w:rsidP="00284AD4">
      <w:pPr>
        <w:spacing w:after="0" w:line="240" w:lineRule="auto"/>
        <w:rPr>
          <w:rFonts w:ascii="Verdana" w:hAnsi="Verdana"/>
        </w:rPr>
      </w:pPr>
    </w:p>
    <w:p w14:paraId="6EE64B30" w14:textId="77777777" w:rsidR="00284AD4" w:rsidRDefault="00284AD4" w:rsidP="00284AD4">
      <w:pPr>
        <w:spacing w:after="0" w:line="240" w:lineRule="auto"/>
        <w:rPr>
          <w:rFonts w:ascii="Verdana" w:hAnsi="Verdana"/>
        </w:rPr>
      </w:pPr>
    </w:p>
    <w:p w14:paraId="13DF61CF" w14:textId="77777777" w:rsidR="00284AD4" w:rsidRDefault="00284AD4" w:rsidP="00284AD4">
      <w:pPr>
        <w:spacing w:after="0" w:line="240" w:lineRule="auto"/>
        <w:rPr>
          <w:rFonts w:ascii="Verdana" w:hAnsi="Verdana"/>
        </w:rPr>
      </w:pPr>
    </w:p>
    <w:p w14:paraId="7BB7EEEE" w14:textId="77777777" w:rsidR="00284AD4" w:rsidRDefault="00284AD4" w:rsidP="00284AD4">
      <w:pPr>
        <w:spacing w:after="0" w:line="240" w:lineRule="auto"/>
        <w:rPr>
          <w:rFonts w:ascii="Verdana" w:hAnsi="Verdana"/>
        </w:rPr>
      </w:pPr>
    </w:p>
    <w:p w14:paraId="5A560B28" w14:textId="77777777" w:rsidR="00284AD4" w:rsidRDefault="00284AD4" w:rsidP="00284AD4">
      <w:pPr>
        <w:spacing w:after="0" w:line="240" w:lineRule="auto"/>
        <w:rPr>
          <w:rFonts w:ascii="Verdana" w:hAnsi="Verdana"/>
        </w:rPr>
      </w:pPr>
    </w:p>
    <w:p w14:paraId="31F6F08C" w14:textId="77777777" w:rsidR="00284AD4" w:rsidRDefault="00284AD4" w:rsidP="00284AD4">
      <w:pPr>
        <w:spacing w:after="0" w:line="240" w:lineRule="auto"/>
        <w:rPr>
          <w:rFonts w:ascii="Verdana" w:hAnsi="Verdana"/>
        </w:rPr>
      </w:pPr>
    </w:p>
    <w:p w14:paraId="6976FDBA" w14:textId="77777777" w:rsidR="00284AD4" w:rsidRDefault="00284AD4" w:rsidP="00284AD4">
      <w:pPr>
        <w:spacing w:after="0" w:line="240" w:lineRule="auto"/>
        <w:rPr>
          <w:rFonts w:ascii="Verdana" w:hAnsi="Verdana"/>
        </w:rPr>
      </w:pPr>
    </w:p>
    <w:p w14:paraId="14F0C4BB" w14:textId="77777777" w:rsidR="00284AD4" w:rsidRDefault="00284AD4" w:rsidP="00284AD4">
      <w:pPr>
        <w:spacing w:after="0" w:line="240" w:lineRule="auto"/>
        <w:rPr>
          <w:rFonts w:ascii="Verdana" w:hAnsi="Verdana"/>
        </w:rPr>
      </w:pPr>
    </w:p>
    <w:p w14:paraId="73B7EC95" w14:textId="77777777" w:rsidR="00284AD4" w:rsidRDefault="00284AD4" w:rsidP="00284AD4">
      <w:pPr>
        <w:spacing w:after="0" w:line="240" w:lineRule="auto"/>
        <w:rPr>
          <w:rFonts w:ascii="Verdana" w:hAnsi="Verdana"/>
        </w:rPr>
      </w:pPr>
    </w:p>
    <w:p w14:paraId="71FC083C" w14:textId="77777777" w:rsidR="00284AD4" w:rsidRDefault="00284AD4" w:rsidP="00284AD4">
      <w:pPr>
        <w:spacing w:after="0" w:line="240" w:lineRule="auto"/>
        <w:rPr>
          <w:rFonts w:ascii="Verdana" w:hAnsi="Verdana"/>
        </w:rPr>
      </w:pPr>
    </w:p>
    <w:p w14:paraId="6CD4EC97" w14:textId="77777777" w:rsidR="00284AD4" w:rsidRDefault="00284AD4" w:rsidP="00284AD4">
      <w:pPr>
        <w:spacing w:after="0" w:line="240" w:lineRule="auto"/>
        <w:rPr>
          <w:rFonts w:ascii="Verdana" w:hAnsi="Verdana"/>
        </w:rPr>
      </w:pPr>
    </w:p>
    <w:p w14:paraId="3F85545E" w14:textId="77777777" w:rsidR="00284AD4" w:rsidRDefault="00284AD4" w:rsidP="00284AD4">
      <w:pPr>
        <w:spacing w:after="0" w:line="240" w:lineRule="auto"/>
        <w:rPr>
          <w:rFonts w:ascii="Verdana" w:hAnsi="Verdana"/>
        </w:rPr>
      </w:pPr>
    </w:p>
    <w:p w14:paraId="79026932" w14:textId="77777777" w:rsidR="00284AD4" w:rsidRDefault="00284AD4" w:rsidP="00284AD4">
      <w:pPr>
        <w:spacing w:after="0" w:line="240" w:lineRule="auto"/>
        <w:rPr>
          <w:rFonts w:ascii="Verdana" w:hAnsi="Verdana"/>
        </w:rPr>
      </w:pPr>
    </w:p>
    <w:p w14:paraId="6C8A9534" w14:textId="77777777" w:rsidR="00284AD4" w:rsidRDefault="00284AD4" w:rsidP="00284AD4">
      <w:pPr>
        <w:spacing w:after="0" w:line="240" w:lineRule="auto"/>
        <w:rPr>
          <w:rFonts w:ascii="Verdana" w:hAnsi="Verdana"/>
        </w:rPr>
      </w:pPr>
    </w:p>
    <w:p w14:paraId="1B8AD76A" w14:textId="77777777" w:rsidR="00284AD4" w:rsidRDefault="00284AD4" w:rsidP="00284AD4">
      <w:pPr>
        <w:spacing w:after="0" w:line="240" w:lineRule="auto"/>
        <w:rPr>
          <w:rFonts w:ascii="Verdana" w:hAnsi="Verdana"/>
        </w:rPr>
      </w:pPr>
    </w:p>
    <w:p w14:paraId="3876CA29" w14:textId="77777777" w:rsidR="00284AD4" w:rsidRDefault="00284AD4" w:rsidP="00284AD4">
      <w:pPr>
        <w:spacing w:after="0" w:line="240" w:lineRule="auto"/>
        <w:rPr>
          <w:rFonts w:ascii="Verdana" w:hAnsi="Verdana"/>
        </w:rPr>
      </w:pPr>
    </w:p>
    <w:p w14:paraId="403659C4" w14:textId="77777777" w:rsidR="00284AD4" w:rsidRDefault="00284AD4" w:rsidP="00284AD4">
      <w:pPr>
        <w:spacing w:after="0" w:line="240" w:lineRule="auto"/>
        <w:rPr>
          <w:rFonts w:ascii="Verdana" w:hAnsi="Verdana"/>
        </w:rPr>
      </w:pPr>
    </w:p>
    <w:p w14:paraId="001E8A00" w14:textId="77777777" w:rsidR="00284AD4" w:rsidRDefault="00284AD4" w:rsidP="00284AD4">
      <w:pPr>
        <w:spacing w:after="0" w:line="240" w:lineRule="auto"/>
        <w:rPr>
          <w:rFonts w:ascii="Verdana" w:hAnsi="Verdana"/>
        </w:rPr>
      </w:pPr>
    </w:p>
    <w:p w14:paraId="2EA0D4A7" w14:textId="77777777" w:rsidR="00284AD4" w:rsidRDefault="00284AD4" w:rsidP="00284AD4">
      <w:pPr>
        <w:spacing w:after="0" w:line="240" w:lineRule="auto"/>
        <w:rPr>
          <w:rFonts w:ascii="Verdana" w:hAnsi="Verdana"/>
        </w:rPr>
      </w:pPr>
    </w:p>
    <w:p w14:paraId="6B0ADC6A" w14:textId="77777777" w:rsidR="00284AD4" w:rsidRDefault="00284AD4" w:rsidP="00284AD4">
      <w:pPr>
        <w:spacing w:after="0" w:line="240" w:lineRule="auto"/>
        <w:rPr>
          <w:rFonts w:ascii="Verdana" w:hAnsi="Verdana"/>
        </w:rPr>
      </w:pPr>
    </w:p>
    <w:p w14:paraId="6F872C12" w14:textId="07A3C49C" w:rsidR="00284AD4" w:rsidRDefault="00284AD4" w:rsidP="00284AD4">
      <w:pPr>
        <w:spacing w:after="0" w:line="240" w:lineRule="auto"/>
        <w:rPr>
          <w:rFonts w:ascii="Verdana" w:hAnsi="Verdana"/>
        </w:rPr>
      </w:pPr>
      <w:r>
        <w:rPr>
          <w:rFonts w:ascii="Verdana" w:hAnsi="Verdana"/>
        </w:rPr>
        <w:lastRenderedPageBreak/>
        <w:t>B</w:t>
      </w:r>
      <w:r w:rsidRPr="0044528D">
        <w:rPr>
          <w:rFonts w:ascii="Verdana" w:hAnsi="Verdana"/>
        </w:rPr>
        <w:t xml:space="preserve">ogotá D.C., </w:t>
      </w:r>
      <w:r>
        <w:rPr>
          <w:rFonts w:ascii="Verdana" w:hAnsi="Verdana"/>
        </w:rPr>
        <w:t>2</w:t>
      </w:r>
      <w:r w:rsidR="005E0016">
        <w:rPr>
          <w:rFonts w:ascii="Verdana" w:hAnsi="Verdana"/>
        </w:rPr>
        <w:t>4</w:t>
      </w:r>
      <w:r>
        <w:rPr>
          <w:rFonts w:ascii="Verdana" w:hAnsi="Verdana"/>
        </w:rPr>
        <w:t xml:space="preserve"> de noviembre de 2025.</w:t>
      </w:r>
    </w:p>
    <w:p w14:paraId="600B06E2" w14:textId="77777777" w:rsidR="00BA4018" w:rsidRDefault="00BA4018" w:rsidP="00284AD4">
      <w:pPr>
        <w:spacing w:after="0" w:line="240" w:lineRule="auto"/>
        <w:rPr>
          <w:rFonts w:ascii="Verdana" w:hAnsi="Verdana"/>
        </w:rPr>
      </w:pPr>
    </w:p>
    <w:bookmarkEnd w:id="0"/>
    <w:p w14:paraId="2FB296FE" w14:textId="6A5ADCB3" w:rsidR="00284AD4" w:rsidRDefault="00BA4018" w:rsidP="00BA4018">
      <w:pPr>
        <w:spacing w:after="0" w:line="240" w:lineRule="auto"/>
        <w:ind w:left="4956"/>
        <w:rPr>
          <w:rFonts w:ascii="Verdana" w:hAnsi="Verdana"/>
        </w:rPr>
      </w:pPr>
      <w:r>
        <w:rPr>
          <w:noProof/>
        </w:rPr>
        <w:drawing>
          <wp:inline distT="0" distB="0" distL="0" distR="0" wp14:anchorId="3AD1AD2C" wp14:editId="18ED4B47">
            <wp:extent cx="2124075" cy="590550"/>
            <wp:effectExtent l="0" t="0" r="9525" b="0"/>
            <wp:docPr id="178443307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4433071" name=""/>
                    <pic:cNvPicPr/>
                  </pic:nvPicPr>
                  <pic:blipFill>
                    <a:blip r:embed="rId10"/>
                    <a:stretch>
                      <a:fillRect/>
                    </a:stretch>
                  </pic:blipFill>
                  <pic:spPr>
                    <a:xfrm>
                      <a:off x="0" y="0"/>
                      <a:ext cx="2124075" cy="590550"/>
                    </a:xfrm>
                    <a:prstGeom prst="rect">
                      <a:avLst/>
                    </a:prstGeom>
                  </pic:spPr>
                </pic:pic>
              </a:graphicData>
            </a:graphic>
          </wp:inline>
        </w:drawing>
      </w:r>
    </w:p>
    <w:p w14:paraId="715749D7" w14:textId="77777777" w:rsidR="00284AD4" w:rsidRPr="00631045" w:rsidRDefault="00284AD4" w:rsidP="00284AD4">
      <w:pPr>
        <w:spacing w:after="0" w:line="240" w:lineRule="auto"/>
        <w:jc w:val="both"/>
        <w:rPr>
          <w:rFonts w:ascii="Verdana" w:eastAsia="Calibri" w:hAnsi="Verdana" w:cs="Arial"/>
          <w:lang w:eastAsia="es-ES"/>
        </w:rPr>
      </w:pPr>
      <w:r w:rsidRPr="00631045">
        <w:rPr>
          <w:rFonts w:ascii="Verdana" w:eastAsia="Calibri" w:hAnsi="Verdana" w:cs="Arial"/>
          <w:lang w:eastAsia="es-ES"/>
        </w:rPr>
        <w:t>Señor</w:t>
      </w:r>
      <w:r w:rsidRPr="00631045">
        <w:rPr>
          <w:rFonts w:ascii="Verdana" w:eastAsia="Calibri" w:hAnsi="Verdana" w:cs="Arial"/>
          <w:lang w:eastAsia="es-ES"/>
        </w:rPr>
        <w:tab/>
      </w:r>
    </w:p>
    <w:p w14:paraId="3CB8A675" w14:textId="0B4F8542" w:rsidR="00284AD4" w:rsidRDefault="007D6959" w:rsidP="00284AD4">
      <w:pPr>
        <w:spacing w:after="0" w:line="240" w:lineRule="auto"/>
        <w:rPr>
          <w:rFonts w:ascii="Verdana" w:eastAsia="Calibri" w:hAnsi="Verdana" w:cs="Arial"/>
          <w:b/>
          <w:bCs/>
          <w:lang w:eastAsia="es-ES"/>
        </w:rPr>
      </w:pPr>
      <w:r w:rsidRPr="003D62F0">
        <w:rPr>
          <w:rFonts w:ascii="Verdana" w:eastAsia="Calibri" w:hAnsi="Verdana" w:cs="Arial"/>
          <w:b/>
          <w:bCs/>
          <w:lang w:eastAsia="es-ES"/>
        </w:rPr>
        <w:t xml:space="preserve">Juan Carlos </w:t>
      </w:r>
      <w:bookmarkStart w:id="2" w:name="_Hlk214628290"/>
      <w:r w:rsidRPr="003D62F0">
        <w:rPr>
          <w:rFonts w:ascii="Verdana" w:eastAsia="Calibri" w:hAnsi="Verdana" w:cs="Arial"/>
          <w:b/>
          <w:bCs/>
          <w:lang w:eastAsia="es-ES"/>
        </w:rPr>
        <w:t>Salguero</w:t>
      </w:r>
      <w:bookmarkEnd w:id="2"/>
      <w:r w:rsidRPr="003D62F0">
        <w:rPr>
          <w:rFonts w:ascii="Verdana" w:eastAsia="Calibri" w:hAnsi="Verdana" w:cs="Arial"/>
          <w:b/>
          <w:bCs/>
          <w:lang w:eastAsia="es-ES"/>
        </w:rPr>
        <w:t xml:space="preserve"> </w:t>
      </w:r>
      <w:proofErr w:type="spellStart"/>
      <w:r w:rsidRPr="003D62F0">
        <w:rPr>
          <w:rFonts w:ascii="Verdana" w:eastAsia="Calibri" w:hAnsi="Verdana" w:cs="Arial"/>
          <w:b/>
          <w:bCs/>
          <w:lang w:eastAsia="es-ES"/>
        </w:rPr>
        <w:t>Martinez</w:t>
      </w:r>
      <w:proofErr w:type="spellEnd"/>
    </w:p>
    <w:p w14:paraId="12D698F8" w14:textId="77777777" w:rsidR="00284AD4" w:rsidRDefault="00000000" w:rsidP="00284AD4">
      <w:pPr>
        <w:spacing w:after="0" w:line="240" w:lineRule="auto"/>
        <w:rPr>
          <w:rFonts w:ascii="Verdana" w:hAnsi="Verdana"/>
        </w:rPr>
      </w:pPr>
      <w:hyperlink r:id="rId11" w:history="1">
        <w:r w:rsidR="00284AD4" w:rsidRPr="008A040F">
          <w:rPr>
            <w:rStyle w:val="Hipervnculo"/>
            <w:rFonts w:ascii="Verdana" w:hAnsi="Verdana"/>
          </w:rPr>
          <w:t>juanca430@gmail.com</w:t>
        </w:r>
      </w:hyperlink>
    </w:p>
    <w:p w14:paraId="4DB719FD" w14:textId="77777777" w:rsidR="00284AD4" w:rsidRPr="003D62F0" w:rsidRDefault="00284AD4" w:rsidP="00284AD4">
      <w:pPr>
        <w:spacing w:after="0" w:line="240" w:lineRule="auto"/>
        <w:rPr>
          <w:rFonts w:ascii="Verdana" w:eastAsia="Calibri" w:hAnsi="Verdana" w:cs="Arial"/>
          <w:b/>
          <w:bCs/>
          <w:lang w:eastAsia="es-ES"/>
        </w:rPr>
      </w:pPr>
      <w:r>
        <w:rPr>
          <w:rFonts w:ascii="Verdana" w:hAnsi="Verdana"/>
        </w:rPr>
        <w:t>Bogotá D.C.</w:t>
      </w:r>
      <w:r w:rsidRPr="00ED46C7">
        <w:rPr>
          <w:rFonts w:ascii="Verdana" w:hAnsi="Verdana"/>
        </w:rPr>
        <w:t xml:space="preserve"> </w:t>
      </w:r>
    </w:p>
    <w:p w14:paraId="046CEC16" w14:textId="77777777" w:rsidR="00284AD4" w:rsidRPr="00FE3DEC" w:rsidRDefault="00284AD4" w:rsidP="00284AD4">
      <w:pPr>
        <w:spacing w:after="0" w:line="240" w:lineRule="auto"/>
        <w:rPr>
          <w:rFonts w:ascii="Verdana" w:eastAsia="Calibri" w:hAnsi="Verdana" w:cs="Arial"/>
          <w:color w:val="000000"/>
          <w:lang w:val="es-ES_tradnl" w:eastAsia="es-ES_tradnl"/>
        </w:rPr>
      </w:pPr>
    </w:p>
    <w:tbl>
      <w:tblPr>
        <w:tblStyle w:val="Tablaconcuadrcula"/>
        <w:tblW w:w="87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295"/>
        <w:gridCol w:w="6162"/>
        <w:gridCol w:w="319"/>
      </w:tblGrid>
      <w:tr w:rsidR="00284AD4" w:rsidRPr="00593A5F" w14:paraId="2E7F90A6" w14:textId="77777777" w:rsidTr="00921612">
        <w:trPr>
          <w:trHeight w:val="273"/>
        </w:trPr>
        <w:tc>
          <w:tcPr>
            <w:tcW w:w="2295" w:type="dxa"/>
          </w:tcPr>
          <w:p w14:paraId="61A9AE0E" w14:textId="77777777" w:rsidR="00284AD4" w:rsidRPr="00E5644F" w:rsidRDefault="00284AD4" w:rsidP="00921612">
            <w:pPr>
              <w:jc w:val="both"/>
              <w:rPr>
                <w:rFonts w:ascii="Verdana" w:eastAsia="Calibri" w:hAnsi="Verdana" w:cs="Arial"/>
                <w:b/>
                <w:bCs/>
                <w:color w:val="7030A0"/>
                <w:lang w:val="es-ES_tradnl" w:eastAsia="es-ES_tradnl"/>
              </w:rPr>
            </w:pPr>
          </w:p>
        </w:tc>
        <w:tc>
          <w:tcPr>
            <w:tcW w:w="6481" w:type="dxa"/>
            <w:gridSpan w:val="2"/>
          </w:tcPr>
          <w:p w14:paraId="4587336A" w14:textId="77777777" w:rsidR="00284AD4" w:rsidRPr="001773DA" w:rsidRDefault="00284AD4" w:rsidP="00921612">
            <w:pPr>
              <w:jc w:val="both"/>
              <w:rPr>
                <w:rFonts w:ascii="Verdana" w:eastAsia="Calibri" w:hAnsi="Verdana" w:cs="Arial"/>
                <w:b/>
                <w:bCs/>
                <w:lang w:val="es-ES" w:eastAsia="es-ES"/>
              </w:rPr>
            </w:pPr>
            <w:r w:rsidRPr="001773DA">
              <w:rPr>
                <w:rFonts w:ascii="Verdana" w:eastAsia="Calibri" w:hAnsi="Verdana" w:cs="Arial"/>
                <w:b/>
                <w:bCs/>
                <w:lang w:val="es-ES" w:eastAsia="es-ES"/>
              </w:rPr>
              <w:t>Concepto C- 1</w:t>
            </w:r>
            <w:r>
              <w:rPr>
                <w:rFonts w:ascii="Verdana" w:eastAsia="Calibri" w:hAnsi="Verdana" w:cs="Arial"/>
                <w:b/>
                <w:bCs/>
                <w:lang w:val="es-ES" w:eastAsia="es-ES"/>
              </w:rPr>
              <w:t>484</w:t>
            </w:r>
            <w:r w:rsidRPr="001773DA">
              <w:rPr>
                <w:rFonts w:ascii="Verdana" w:eastAsia="Calibri" w:hAnsi="Verdana" w:cs="Arial"/>
                <w:b/>
                <w:bCs/>
                <w:lang w:val="es-ES" w:eastAsia="es-ES"/>
              </w:rPr>
              <w:t xml:space="preserve"> de 2025</w:t>
            </w:r>
          </w:p>
          <w:p w14:paraId="6ECC4BA9" w14:textId="77777777" w:rsidR="00284AD4" w:rsidRPr="001773DA" w:rsidRDefault="00284AD4" w:rsidP="00921612">
            <w:pPr>
              <w:jc w:val="both"/>
              <w:rPr>
                <w:rFonts w:ascii="Verdana" w:eastAsia="Calibri" w:hAnsi="Verdana" w:cs="Arial"/>
                <w:b/>
                <w:bCs/>
                <w:color w:val="7030A0"/>
                <w:lang w:val="es-ES" w:eastAsia="es-ES"/>
              </w:rPr>
            </w:pPr>
          </w:p>
        </w:tc>
      </w:tr>
      <w:tr w:rsidR="00284AD4" w:rsidRPr="00280D79" w14:paraId="390CFD38" w14:textId="77777777" w:rsidTr="00921612">
        <w:trPr>
          <w:trHeight w:val="1583"/>
        </w:trPr>
        <w:tc>
          <w:tcPr>
            <w:tcW w:w="2295" w:type="dxa"/>
          </w:tcPr>
          <w:p w14:paraId="6EDD0CB0" w14:textId="77777777" w:rsidR="00284AD4" w:rsidRPr="00593A5F" w:rsidRDefault="00284AD4" w:rsidP="00921612">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481" w:type="dxa"/>
            <w:gridSpan w:val="2"/>
          </w:tcPr>
          <w:p w14:paraId="313CBAB8" w14:textId="77777777" w:rsidR="00284AD4" w:rsidRDefault="00284AD4" w:rsidP="00921612">
            <w:pPr>
              <w:jc w:val="both"/>
              <w:rPr>
                <w:rFonts w:ascii="Verdana" w:eastAsia="Calibri" w:hAnsi="Verdana" w:cs="Arial"/>
                <w:lang w:val="es-ES" w:eastAsia="es-ES"/>
              </w:rPr>
            </w:pPr>
            <w:r w:rsidRPr="00B60BC4">
              <w:rPr>
                <w:rFonts w:ascii="Verdana" w:eastAsia="Calibri" w:hAnsi="Verdana" w:cs="Arial"/>
                <w:lang w:val="es-ES" w:eastAsia="es-ES"/>
              </w:rPr>
              <w:t>LEY 1474 DE 2011 – Supervisión e interventoría contractual / SUPERVISIÓN DEL CONTRATO – Características – Apoyo a la supervisión / SUPERVISIÓN DEL CONTRATO – Definición – Límites / SUPERVISIÓN DEL CONTRATO – Perfil – Designación</w:t>
            </w:r>
          </w:p>
          <w:p w14:paraId="01D3E536" w14:textId="77777777" w:rsidR="00284AD4" w:rsidRPr="001773DA" w:rsidRDefault="00284AD4" w:rsidP="00921612">
            <w:pPr>
              <w:jc w:val="both"/>
              <w:rPr>
                <w:rFonts w:ascii="Verdana" w:eastAsia="Calibri" w:hAnsi="Verdana" w:cs="Arial"/>
                <w:b/>
                <w:lang w:val="es-ES" w:eastAsia="es-ES"/>
              </w:rPr>
            </w:pPr>
          </w:p>
        </w:tc>
      </w:tr>
      <w:tr w:rsidR="00284AD4" w:rsidRPr="00593A5F" w14:paraId="35141369" w14:textId="77777777" w:rsidTr="00921612">
        <w:trPr>
          <w:trHeight w:val="545"/>
        </w:trPr>
        <w:tc>
          <w:tcPr>
            <w:tcW w:w="2295" w:type="dxa"/>
          </w:tcPr>
          <w:p w14:paraId="425B1474" w14:textId="77777777" w:rsidR="00284AD4" w:rsidRPr="006730E9" w:rsidRDefault="00284AD4" w:rsidP="00921612">
            <w:pPr>
              <w:jc w:val="both"/>
              <w:rPr>
                <w:rFonts w:ascii="Verdana" w:eastAsia="Calibri" w:hAnsi="Verdana" w:cs="Arial"/>
                <w:b/>
                <w:lang w:val="es-ES_tradnl" w:eastAsia="es-ES_tradnl"/>
              </w:rPr>
            </w:pPr>
            <w:r w:rsidRPr="006730E9">
              <w:rPr>
                <w:rFonts w:ascii="Verdana" w:eastAsia="Calibri" w:hAnsi="Verdana" w:cs="Arial"/>
                <w:b/>
                <w:lang w:val="es-ES_tradnl" w:eastAsia="es-ES_tradnl"/>
              </w:rPr>
              <w:t>Radicación:</w:t>
            </w:r>
            <w:r w:rsidRPr="006730E9">
              <w:rPr>
                <w:rFonts w:ascii="Verdana" w:eastAsia="Calibri" w:hAnsi="Verdana" w:cs="Arial"/>
                <w:lang w:val="es-ES_tradnl" w:eastAsia="es-ES_tradnl"/>
              </w:rPr>
              <w:t xml:space="preserve">               </w:t>
            </w:r>
          </w:p>
        </w:tc>
        <w:tc>
          <w:tcPr>
            <w:tcW w:w="6481" w:type="dxa"/>
            <w:gridSpan w:val="2"/>
          </w:tcPr>
          <w:p w14:paraId="3B2C7F15" w14:textId="77777777" w:rsidR="00284AD4" w:rsidRPr="006730E9" w:rsidRDefault="00284AD4" w:rsidP="00921612">
            <w:pPr>
              <w:jc w:val="both"/>
              <w:rPr>
                <w:rFonts w:ascii="Verdana" w:eastAsia="Calibri" w:hAnsi="Verdana" w:cs="Arial"/>
                <w:lang w:val="es-ES_tradnl" w:eastAsia="es-ES_tradnl"/>
              </w:rPr>
            </w:pPr>
            <w:r w:rsidRPr="007121A5">
              <w:rPr>
                <w:rFonts w:ascii="Verdana" w:eastAsia="Calibri" w:hAnsi="Verdana" w:cs="Arial"/>
                <w:lang w:val="es-ES_tradnl" w:eastAsia="es-ES_tradnl"/>
              </w:rPr>
              <w:t xml:space="preserve">Respuesta a consulta con radicado No. </w:t>
            </w:r>
            <w:r w:rsidRPr="003D62F0">
              <w:rPr>
                <w:rFonts w:ascii="Verdana" w:eastAsia="Calibri" w:hAnsi="Verdana" w:cs="Arial"/>
                <w:lang w:val="es-ES_tradnl" w:eastAsia="es-ES_tradnl"/>
              </w:rPr>
              <w:t>1_2025_10_10_011425</w:t>
            </w:r>
            <w:r>
              <w:rPr>
                <w:rFonts w:ascii="Verdana" w:eastAsia="Calibri" w:hAnsi="Verdana" w:cs="Arial"/>
                <w:lang w:val="es-ES_tradnl" w:eastAsia="es-ES_tradnl"/>
              </w:rPr>
              <w:t>.</w:t>
            </w:r>
          </w:p>
        </w:tc>
      </w:tr>
      <w:tr w:rsidR="00284AD4" w:rsidRPr="00DB23D2" w14:paraId="5A551111" w14:textId="77777777" w:rsidTr="00921612">
        <w:trPr>
          <w:gridAfter w:val="1"/>
          <w:wAfter w:w="319" w:type="dxa"/>
          <w:trHeight w:val="242"/>
        </w:trPr>
        <w:tc>
          <w:tcPr>
            <w:tcW w:w="8457" w:type="dxa"/>
            <w:gridSpan w:val="2"/>
          </w:tcPr>
          <w:p w14:paraId="5E396142" w14:textId="77777777" w:rsidR="00284AD4" w:rsidRPr="00DB23D2" w:rsidRDefault="00284AD4" w:rsidP="00921612">
            <w:pPr>
              <w:spacing w:line="276" w:lineRule="auto"/>
              <w:jc w:val="both"/>
              <w:rPr>
                <w:rFonts w:ascii="Verdana" w:eastAsia="Calibri" w:hAnsi="Verdana" w:cs="Arial"/>
                <w:lang w:val="es-ES_tradnl" w:eastAsia="es-ES"/>
              </w:rPr>
            </w:pPr>
          </w:p>
        </w:tc>
      </w:tr>
    </w:tbl>
    <w:p w14:paraId="0C7CAF31" w14:textId="77777777" w:rsidR="00284AD4" w:rsidRPr="006730E9" w:rsidRDefault="00284AD4" w:rsidP="00284AD4">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Estimad</w:t>
      </w:r>
      <w:r>
        <w:rPr>
          <w:rFonts w:ascii="Verdana" w:eastAsia="Calibri" w:hAnsi="Verdana" w:cs="Arial"/>
          <w:lang w:val="es-ES" w:eastAsia="es-ES"/>
        </w:rPr>
        <w:t>o señor S</w:t>
      </w:r>
      <w:r w:rsidRPr="003D62F0">
        <w:rPr>
          <w:rFonts w:ascii="Verdana" w:eastAsia="Calibri" w:hAnsi="Verdana" w:cs="Arial"/>
          <w:lang w:val="es-ES" w:eastAsia="es-ES"/>
        </w:rPr>
        <w:t>alguero</w:t>
      </w:r>
      <w:r>
        <w:rPr>
          <w:rFonts w:ascii="Verdana" w:eastAsia="Calibri" w:hAnsi="Verdana" w:cs="Arial"/>
          <w:lang w:val="es-ES" w:eastAsia="es-ES"/>
        </w:rPr>
        <w:t>;</w:t>
      </w:r>
    </w:p>
    <w:p w14:paraId="2659A180" w14:textId="77777777" w:rsidR="00284AD4" w:rsidRDefault="00284AD4" w:rsidP="00284AD4">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579575E7" w14:textId="77777777" w:rsidR="00284AD4" w:rsidRPr="006730E9" w:rsidRDefault="00284AD4" w:rsidP="00284AD4">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En ejercicio de la competencia otorgada por los artículos 3, numeral 5º, y 11, numeral 8º, del Decreto Ley 4170 de 2011,</w:t>
      </w:r>
      <w:r w:rsidRPr="006730E9">
        <w:rPr>
          <w:rFonts w:ascii="Verdana" w:eastAsia="Arial MT" w:hAnsi="Verdana" w:cs="Arial MT"/>
          <w:lang w:val="es-ES" w:eastAsia="es-ES"/>
        </w:rPr>
        <w:t xml:space="preserve"> </w:t>
      </w:r>
      <w:r w:rsidRPr="006730E9">
        <w:rPr>
          <w:rFonts w:ascii="Verdana" w:hAnsi="Verdana" w:cs="Arial"/>
        </w:rPr>
        <w:t xml:space="preserve">así como lo establecido en el artículo 4 de la Resolución 1707 de 2018 expedida por esta Entidad, </w:t>
      </w:r>
      <w:r w:rsidRPr="006730E9">
        <w:rPr>
          <w:rFonts w:ascii="Verdana" w:eastAsia="Calibri" w:hAnsi="Verdana" w:cs="Arial"/>
          <w:lang w:val="es-ES" w:eastAsia="es-ES"/>
        </w:rPr>
        <w:t>la Agencia Nacional de Contratación Pública – Colombia Compra Eficiente– responde su solicitud</w:t>
      </w:r>
      <w:r>
        <w:rPr>
          <w:rFonts w:ascii="Verdana" w:eastAsia="Calibri" w:hAnsi="Verdana" w:cs="Arial"/>
          <w:lang w:val="es-ES" w:eastAsia="es-ES"/>
        </w:rPr>
        <w:t xml:space="preserve"> radicada en esta entidad </w:t>
      </w:r>
      <w:r w:rsidRPr="00E5644F">
        <w:rPr>
          <w:rFonts w:ascii="Verdana" w:eastAsia="Calibri" w:hAnsi="Verdana" w:cs="Arial"/>
          <w:lang w:val="es-ES" w:eastAsia="es-ES"/>
        </w:rPr>
        <w:t xml:space="preserve">el </w:t>
      </w:r>
      <w:r>
        <w:rPr>
          <w:rFonts w:ascii="Verdana" w:eastAsia="Calibri" w:hAnsi="Verdana" w:cs="Arial"/>
          <w:lang w:val="es-ES" w:eastAsia="es-ES"/>
        </w:rPr>
        <w:t xml:space="preserve">10 </w:t>
      </w:r>
      <w:r w:rsidRPr="00E5644F">
        <w:rPr>
          <w:rFonts w:ascii="Verdana" w:eastAsia="Calibri" w:hAnsi="Verdana" w:cs="Arial"/>
          <w:lang w:val="es-ES" w:eastAsia="es-ES"/>
        </w:rPr>
        <w:t xml:space="preserve">de </w:t>
      </w:r>
      <w:r>
        <w:rPr>
          <w:rFonts w:ascii="Verdana" w:eastAsia="Calibri" w:hAnsi="Verdana" w:cs="Arial"/>
          <w:lang w:val="es-ES" w:eastAsia="es-ES"/>
        </w:rPr>
        <w:t>octubre</w:t>
      </w:r>
      <w:r w:rsidRPr="00E5644F">
        <w:rPr>
          <w:rFonts w:ascii="Verdana" w:eastAsia="Calibri" w:hAnsi="Verdana" w:cs="Arial"/>
          <w:lang w:val="es-ES" w:eastAsia="es-ES"/>
        </w:rPr>
        <w:t xml:space="preserve"> de</w:t>
      </w:r>
      <w:r>
        <w:rPr>
          <w:rFonts w:ascii="Verdana" w:eastAsia="Calibri" w:hAnsi="Verdana" w:cs="Arial"/>
          <w:lang w:val="es-ES" w:eastAsia="es-ES"/>
        </w:rPr>
        <w:t xml:space="preserve"> </w:t>
      </w:r>
      <w:r w:rsidRPr="00E5644F">
        <w:rPr>
          <w:rFonts w:ascii="Verdana" w:eastAsia="Calibri" w:hAnsi="Verdana" w:cs="Arial"/>
          <w:lang w:val="es-ES" w:eastAsia="es-ES"/>
        </w:rPr>
        <w:t>202</w:t>
      </w:r>
      <w:r>
        <w:rPr>
          <w:rFonts w:ascii="Verdana" w:eastAsia="Calibri" w:hAnsi="Verdana" w:cs="Arial"/>
          <w:lang w:val="es-ES" w:eastAsia="es-ES"/>
        </w:rPr>
        <w:t>5</w:t>
      </w:r>
      <w:r w:rsidRPr="00E5644F">
        <w:rPr>
          <w:rFonts w:ascii="Verdana" w:eastAsia="Calibri" w:hAnsi="Verdana" w:cs="Arial"/>
          <w:lang w:val="es-ES" w:eastAsia="es-ES"/>
        </w:rPr>
        <w:t>, en</w:t>
      </w:r>
      <w:r w:rsidRPr="006730E9">
        <w:rPr>
          <w:rFonts w:ascii="Verdana" w:eastAsia="Calibri" w:hAnsi="Verdana" w:cs="Arial"/>
          <w:lang w:val="es-ES" w:eastAsia="es-ES"/>
        </w:rPr>
        <w:t xml:space="preserve"> la cual manifiesta lo siguiente: </w:t>
      </w:r>
    </w:p>
    <w:p w14:paraId="1BD906EC" w14:textId="77777777" w:rsidR="00284AD4" w:rsidRPr="001773DA" w:rsidRDefault="00284AD4" w:rsidP="00284AD4">
      <w:pPr>
        <w:spacing w:after="0" w:line="276" w:lineRule="auto"/>
        <w:ind w:left="709" w:right="474"/>
        <w:jc w:val="both"/>
        <w:rPr>
          <w:rFonts w:ascii="Verdana" w:hAnsi="Verdana" w:cs="Arial"/>
          <w:i/>
          <w:iCs/>
          <w:sz w:val="20"/>
          <w:szCs w:val="20"/>
          <w:shd w:val="clear" w:color="auto" w:fill="FFFFFF"/>
        </w:rPr>
      </w:pPr>
      <w:bookmarkStart w:id="3" w:name="_Hlk95313578"/>
    </w:p>
    <w:bookmarkEnd w:id="3"/>
    <w:p w14:paraId="6FEB43B4" w14:textId="77777777" w:rsidR="00284AD4" w:rsidRPr="001773DA" w:rsidRDefault="00284AD4" w:rsidP="00284AD4">
      <w:pPr>
        <w:tabs>
          <w:tab w:val="left" w:pos="142"/>
          <w:tab w:val="left" w:pos="567"/>
        </w:tabs>
        <w:spacing w:after="0" w:line="240" w:lineRule="auto"/>
        <w:ind w:left="709" w:right="709"/>
        <w:jc w:val="both"/>
        <w:rPr>
          <w:rFonts w:ascii="Verdana" w:eastAsia="Century Gothic" w:hAnsi="Verdana" w:cs="Century Gothic"/>
          <w:i/>
          <w:iCs/>
          <w:sz w:val="20"/>
          <w:szCs w:val="20"/>
        </w:rPr>
      </w:pPr>
      <w:r w:rsidRPr="001773DA">
        <w:rPr>
          <w:rFonts w:ascii="Verdana" w:eastAsia="Century Gothic" w:hAnsi="Verdana" w:cs="Century Gothic"/>
          <w:i/>
          <w:iCs/>
          <w:sz w:val="20"/>
          <w:szCs w:val="20"/>
        </w:rPr>
        <w:t xml:space="preserve">“(…) </w:t>
      </w:r>
    </w:p>
    <w:p w14:paraId="2F914488" w14:textId="77777777" w:rsidR="00284AD4" w:rsidRPr="001773DA" w:rsidRDefault="00284AD4" w:rsidP="00284AD4">
      <w:pPr>
        <w:tabs>
          <w:tab w:val="left" w:pos="142"/>
          <w:tab w:val="left" w:pos="567"/>
        </w:tabs>
        <w:spacing w:after="0" w:line="240" w:lineRule="auto"/>
        <w:ind w:left="709" w:right="709"/>
        <w:jc w:val="both"/>
        <w:rPr>
          <w:rFonts w:ascii="Verdana" w:eastAsia="Century Gothic" w:hAnsi="Verdana" w:cs="Century Gothic"/>
          <w:i/>
          <w:iCs/>
          <w:sz w:val="20"/>
          <w:szCs w:val="20"/>
        </w:rPr>
      </w:pPr>
      <w:r w:rsidRPr="002316DB">
        <w:rPr>
          <w:rFonts w:ascii="Verdana" w:eastAsia="Century Gothic" w:hAnsi="Verdana" w:cs="Century Gothic"/>
          <w:i/>
          <w:iCs/>
          <w:sz w:val="20"/>
          <w:szCs w:val="20"/>
        </w:rPr>
        <w:t xml:space="preserve"> </w:t>
      </w:r>
    </w:p>
    <w:p w14:paraId="72FEDDDC" w14:textId="77777777" w:rsidR="00284AD4" w:rsidRDefault="00284AD4" w:rsidP="00284AD4">
      <w:pPr>
        <w:pStyle w:val="Prrafodelista"/>
        <w:numPr>
          <w:ilvl w:val="0"/>
          <w:numId w:val="18"/>
        </w:numPr>
        <w:tabs>
          <w:tab w:val="left" w:pos="142"/>
          <w:tab w:val="left" w:pos="567"/>
        </w:tabs>
        <w:spacing w:after="0" w:line="240" w:lineRule="auto"/>
        <w:ind w:right="709"/>
        <w:jc w:val="both"/>
        <w:rPr>
          <w:rFonts w:ascii="Verdana" w:eastAsia="Century Gothic" w:hAnsi="Verdana" w:cs="Century Gothic"/>
          <w:i/>
          <w:iCs/>
          <w:sz w:val="20"/>
          <w:szCs w:val="20"/>
        </w:rPr>
      </w:pPr>
      <w:r w:rsidRPr="003D62F0">
        <w:rPr>
          <w:rFonts w:ascii="Verdana" w:eastAsia="Century Gothic" w:hAnsi="Verdana" w:cs="Century Gothic"/>
          <w:i/>
          <w:iCs/>
          <w:sz w:val="20"/>
          <w:szCs w:val="20"/>
        </w:rPr>
        <w:t xml:space="preserve">Precisar si, conforme a las normas vigentes, toda interventoría debe </w:t>
      </w:r>
      <w:proofErr w:type="gramStart"/>
      <w:r w:rsidRPr="003D62F0">
        <w:rPr>
          <w:rFonts w:ascii="Verdana" w:eastAsia="Century Gothic" w:hAnsi="Verdana" w:cs="Century Gothic"/>
          <w:i/>
          <w:iCs/>
          <w:sz w:val="20"/>
          <w:szCs w:val="20"/>
        </w:rPr>
        <w:t xml:space="preserve">contar </w:t>
      </w:r>
      <w:r>
        <w:rPr>
          <w:rFonts w:ascii="Verdana" w:eastAsia="Century Gothic" w:hAnsi="Verdana" w:cs="Century Gothic"/>
          <w:i/>
          <w:iCs/>
          <w:sz w:val="20"/>
          <w:szCs w:val="20"/>
        </w:rPr>
        <w:t xml:space="preserve"> </w:t>
      </w:r>
      <w:r w:rsidRPr="003D62F0">
        <w:rPr>
          <w:rFonts w:ascii="Verdana" w:eastAsia="Century Gothic" w:hAnsi="Verdana" w:cs="Century Gothic"/>
          <w:i/>
          <w:iCs/>
          <w:sz w:val="20"/>
          <w:szCs w:val="20"/>
        </w:rPr>
        <w:t>con</w:t>
      </w:r>
      <w:proofErr w:type="gramEnd"/>
      <w:r w:rsidRPr="003D62F0">
        <w:rPr>
          <w:rFonts w:ascii="Verdana" w:eastAsia="Century Gothic" w:hAnsi="Verdana" w:cs="Century Gothic"/>
          <w:i/>
          <w:iCs/>
          <w:sz w:val="20"/>
          <w:szCs w:val="20"/>
        </w:rPr>
        <w:t xml:space="preserve"> un supervisor interno designado por la entidad contratante.</w:t>
      </w:r>
    </w:p>
    <w:p w14:paraId="36923390" w14:textId="77777777" w:rsidR="00284AD4" w:rsidRDefault="00284AD4" w:rsidP="00284AD4">
      <w:pPr>
        <w:pStyle w:val="Prrafodelista"/>
        <w:numPr>
          <w:ilvl w:val="0"/>
          <w:numId w:val="18"/>
        </w:numPr>
        <w:tabs>
          <w:tab w:val="left" w:pos="142"/>
          <w:tab w:val="left" w:pos="567"/>
        </w:tabs>
        <w:spacing w:after="0" w:line="240" w:lineRule="auto"/>
        <w:ind w:right="709"/>
        <w:jc w:val="both"/>
        <w:rPr>
          <w:rFonts w:ascii="Verdana" w:eastAsia="Century Gothic" w:hAnsi="Verdana" w:cs="Century Gothic"/>
          <w:i/>
          <w:iCs/>
          <w:sz w:val="20"/>
          <w:szCs w:val="20"/>
        </w:rPr>
      </w:pPr>
      <w:r w:rsidRPr="003D62F0">
        <w:rPr>
          <w:rFonts w:ascii="Verdana" w:eastAsia="Century Gothic" w:hAnsi="Verdana" w:cs="Century Gothic"/>
          <w:i/>
          <w:iCs/>
          <w:sz w:val="20"/>
          <w:szCs w:val="20"/>
        </w:rPr>
        <w:t xml:space="preserve">Determinar cuál es el alcance funcional y la responsabilidad del </w:t>
      </w:r>
      <w:proofErr w:type="gramStart"/>
      <w:r w:rsidRPr="003D62F0">
        <w:rPr>
          <w:rFonts w:ascii="Verdana" w:eastAsia="Century Gothic" w:hAnsi="Verdana" w:cs="Century Gothic"/>
          <w:i/>
          <w:iCs/>
          <w:sz w:val="20"/>
          <w:szCs w:val="20"/>
        </w:rPr>
        <w:t xml:space="preserve">servidor </w:t>
      </w:r>
      <w:r>
        <w:rPr>
          <w:rFonts w:ascii="Verdana" w:eastAsia="Century Gothic" w:hAnsi="Verdana" w:cs="Century Gothic"/>
          <w:i/>
          <w:iCs/>
          <w:sz w:val="20"/>
          <w:szCs w:val="20"/>
        </w:rPr>
        <w:t xml:space="preserve"> </w:t>
      </w:r>
      <w:r w:rsidRPr="003D62F0">
        <w:rPr>
          <w:rFonts w:ascii="Verdana" w:eastAsia="Century Gothic" w:hAnsi="Verdana" w:cs="Century Gothic"/>
          <w:i/>
          <w:iCs/>
          <w:sz w:val="20"/>
          <w:szCs w:val="20"/>
        </w:rPr>
        <w:t>público</w:t>
      </w:r>
      <w:proofErr w:type="gramEnd"/>
      <w:r w:rsidRPr="003D62F0">
        <w:rPr>
          <w:rFonts w:ascii="Verdana" w:eastAsia="Century Gothic" w:hAnsi="Verdana" w:cs="Century Gothic"/>
          <w:i/>
          <w:iCs/>
          <w:sz w:val="20"/>
          <w:szCs w:val="20"/>
        </w:rPr>
        <w:t xml:space="preserve"> que actúe como supervisor del contrato de interventoría.</w:t>
      </w:r>
    </w:p>
    <w:p w14:paraId="21D0F1DB" w14:textId="77777777" w:rsidR="00284AD4" w:rsidRPr="003D62F0" w:rsidRDefault="00284AD4" w:rsidP="00284AD4">
      <w:pPr>
        <w:pStyle w:val="Prrafodelista"/>
        <w:numPr>
          <w:ilvl w:val="0"/>
          <w:numId w:val="18"/>
        </w:numPr>
        <w:tabs>
          <w:tab w:val="left" w:pos="142"/>
          <w:tab w:val="left" w:pos="567"/>
        </w:tabs>
        <w:spacing w:after="0" w:line="240" w:lineRule="auto"/>
        <w:ind w:right="709"/>
        <w:jc w:val="both"/>
        <w:rPr>
          <w:rFonts w:ascii="Verdana" w:eastAsia="Century Gothic" w:hAnsi="Verdana" w:cs="Century Gothic"/>
          <w:i/>
          <w:iCs/>
          <w:sz w:val="20"/>
          <w:szCs w:val="20"/>
        </w:rPr>
      </w:pPr>
      <w:r w:rsidRPr="003D62F0">
        <w:rPr>
          <w:rFonts w:ascii="Verdana" w:eastAsia="Century Gothic" w:hAnsi="Verdana" w:cs="Century Gothic"/>
          <w:i/>
          <w:iCs/>
          <w:sz w:val="20"/>
          <w:szCs w:val="20"/>
        </w:rPr>
        <w:t xml:space="preserve">Indicar si dicho supervisor tiene alguna injerencia técnica sobre </w:t>
      </w:r>
      <w:proofErr w:type="gramStart"/>
      <w:r w:rsidRPr="003D62F0">
        <w:rPr>
          <w:rFonts w:ascii="Verdana" w:eastAsia="Century Gothic" w:hAnsi="Verdana" w:cs="Century Gothic"/>
          <w:i/>
          <w:iCs/>
          <w:sz w:val="20"/>
          <w:szCs w:val="20"/>
        </w:rPr>
        <w:t xml:space="preserve">la </w:t>
      </w:r>
      <w:r>
        <w:rPr>
          <w:rFonts w:ascii="Verdana" w:eastAsia="Century Gothic" w:hAnsi="Verdana" w:cs="Century Gothic"/>
          <w:i/>
          <w:iCs/>
          <w:sz w:val="20"/>
          <w:szCs w:val="20"/>
        </w:rPr>
        <w:t xml:space="preserve"> </w:t>
      </w:r>
      <w:r w:rsidRPr="003D62F0">
        <w:rPr>
          <w:rFonts w:ascii="Verdana" w:eastAsia="Century Gothic" w:hAnsi="Verdana" w:cs="Century Gothic"/>
          <w:i/>
          <w:iCs/>
          <w:sz w:val="20"/>
          <w:szCs w:val="20"/>
        </w:rPr>
        <w:t>ejecución</w:t>
      </w:r>
      <w:proofErr w:type="gramEnd"/>
      <w:r w:rsidRPr="003D62F0">
        <w:rPr>
          <w:rFonts w:ascii="Verdana" w:eastAsia="Century Gothic" w:hAnsi="Verdana" w:cs="Century Gothic"/>
          <w:i/>
          <w:iCs/>
          <w:sz w:val="20"/>
          <w:szCs w:val="20"/>
        </w:rPr>
        <w:t xml:space="preserve"> de la obra civil, o si su control se limita al seguimiento </w:t>
      </w:r>
      <w:r>
        <w:rPr>
          <w:rFonts w:ascii="Verdana" w:eastAsia="Century Gothic" w:hAnsi="Verdana" w:cs="Century Gothic"/>
          <w:i/>
          <w:iCs/>
          <w:sz w:val="20"/>
          <w:szCs w:val="20"/>
        </w:rPr>
        <w:t xml:space="preserve"> </w:t>
      </w:r>
      <w:r w:rsidRPr="003D62F0">
        <w:rPr>
          <w:rFonts w:ascii="Verdana" w:eastAsia="Century Gothic" w:hAnsi="Verdana" w:cs="Century Gothic"/>
          <w:i/>
          <w:iCs/>
          <w:sz w:val="20"/>
          <w:szCs w:val="20"/>
        </w:rPr>
        <w:t>administrativo y contractual del interventor</w:t>
      </w:r>
    </w:p>
    <w:p w14:paraId="67DB3087" w14:textId="77777777" w:rsidR="00284AD4" w:rsidRPr="00B350FE" w:rsidRDefault="00284AD4" w:rsidP="00284AD4">
      <w:pPr>
        <w:tabs>
          <w:tab w:val="left" w:pos="142"/>
          <w:tab w:val="left" w:pos="567"/>
        </w:tabs>
        <w:spacing w:after="0" w:line="240" w:lineRule="auto"/>
        <w:ind w:left="709" w:right="709"/>
        <w:jc w:val="both"/>
        <w:rPr>
          <w:rFonts w:ascii="Verdana" w:eastAsia="Century Gothic" w:hAnsi="Verdana" w:cs="Century Gothic"/>
          <w:i/>
          <w:iCs/>
          <w:sz w:val="20"/>
          <w:szCs w:val="20"/>
        </w:rPr>
      </w:pPr>
      <w:r w:rsidRPr="00B350FE">
        <w:rPr>
          <w:rFonts w:ascii="Verdana" w:eastAsia="Century Gothic" w:hAnsi="Verdana" w:cs="Century Gothic"/>
          <w:i/>
          <w:iCs/>
          <w:sz w:val="20"/>
          <w:szCs w:val="20"/>
        </w:rPr>
        <w:t xml:space="preserve">(…)”. </w:t>
      </w:r>
    </w:p>
    <w:p w14:paraId="5EE1A04E" w14:textId="77777777" w:rsidR="00284AD4" w:rsidRDefault="00284AD4" w:rsidP="00284AD4">
      <w:pPr>
        <w:spacing w:after="0" w:line="276" w:lineRule="auto"/>
        <w:ind w:firstLine="709"/>
        <w:jc w:val="both"/>
        <w:rPr>
          <w:rFonts w:ascii="Verdana" w:eastAsia="Calibri" w:hAnsi="Verdana" w:cs="Arial"/>
          <w:lang w:val="es-ES" w:eastAsia="es-ES"/>
        </w:rPr>
      </w:pPr>
    </w:p>
    <w:p w14:paraId="10CFB471" w14:textId="77777777" w:rsidR="00284AD4" w:rsidRPr="00AA3B9F" w:rsidRDefault="00284AD4" w:rsidP="00A27C22">
      <w:pPr>
        <w:spacing w:after="0" w:line="276" w:lineRule="auto"/>
        <w:ind w:firstLine="709"/>
        <w:jc w:val="both"/>
        <w:rPr>
          <w:rFonts w:ascii="Verdana" w:eastAsia="Calibri" w:hAnsi="Verdana" w:cs="Arial"/>
          <w:lang w:val="es-ES_tradnl" w:eastAsia="es-ES_tradnl"/>
        </w:rPr>
      </w:pPr>
      <w:r w:rsidRPr="00AA3B9F">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w:t>
      </w:r>
      <w:r>
        <w:rPr>
          <w:rFonts w:ascii="Verdana" w:eastAsia="Calibri" w:hAnsi="Verdana" w:cs="Arial"/>
          <w:lang w:val="es-ES" w:eastAsia="es-ES"/>
        </w:rPr>
        <w:t>la Agencia Nacional de Contratación Pública –</w:t>
      </w:r>
      <w:r w:rsidRPr="00AA3B9F">
        <w:rPr>
          <w:rFonts w:ascii="Verdana" w:eastAsia="Calibri" w:hAnsi="Verdana" w:cs="Arial"/>
          <w:lang w:val="es-ES" w:eastAsia="es-ES"/>
        </w:rPr>
        <w:t xml:space="preserve">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w:t>
      </w:r>
      <w:r>
        <w:rPr>
          <w:rFonts w:ascii="Verdana" w:eastAsia="Calibri" w:hAnsi="Verdana" w:cs="Arial"/>
          <w:lang w:val="es-ES" w:eastAsia="es-ES"/>
        </w:rPr>
        <w:t>E</w:t>
      </w:r>
      <w:r w:rsidRPr="00AA3B9F">
        <w:rPr>
          <w:rFonts w:ascii="Verdana" w:eastAsia="Calibri" w:hAnsi="Verdana" w:cs="Arial"/>
          <w:lang w:val="es-ES" w:eastAsia="es-ES"/>
        </w:rPr>
        <w:t xml:space="preserve">ntidades </w:t>
      </w:r>
      <w:r>
        <w:rPr>
          <w:rFonts w:ascii="Verdana" w:eastAsia="Calibri" w:hAnsi="Verdana" w:cs="Arial"/>
          <w:lang w:val="es-ES" w:eastAsia="es-ES"/>
        </w:rPr>
        <w:t xml:space="preserve">Estatales </w:t>
      </w:r>
      <w:r w:rsidRPr="00AA3B9F">
        <w:rPr>
          <w:rFonts w:ascii="Verdana" w:eastAsia="Calibri" w:hAnsi="Verdana" w:cs="Arial"/>
          <w:lang w:val="es-ES" w:eastAsia="es-ES"/>
        </w:rPr>
        <w:t>o de los demás participantes de la contratación pública. Esta competencia de interpretación de normas generales, por definición, no puede extenderse a la resolución de controversias, ni a brindar asesorías sobre casos puntuales.</w:t>
      </w:r>
    </w:p>
    <w:p w14:paraId="0B4A204E" w14:textId="77777777" w:rsidR="00284AD4" w:rsidRPr="00AA3B9F" w:rsidRDefault="00284AD4" w:rsidP="00284AD4">
      <w:pPr>
        <w:spacing w:after="0" w:line="276" w:lineRule="auto"/>
        <w:ind w:firstLine="709"/>
        <w:jc w:val="both"/>
        <w:rPr>
          <w:rFonts w:ascii="Verdana" w:eastAsia="Calibri" w:hAnsi="Verdana" w:cs="Arial"/>
          <w:lang w:val="es-ES" w:eastAsia="es-ES"/>
        </w:rPr>
      </w:pPr>
      <w:r w:rsidRPr="00AA3B9F">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w:t>
      </w:r>
      <w:r>
        <w:rPr>
          <w:rFonts w:ascii="Verdana" w:eastAsia="Calibri" w:hAnsi="Verdana" w:cs="Arial"/>
          <w:lang w:val="es-ES" w:eastAsia="es-ES"/>
        </w:rPr>
        <w:t>señala</w:t>
      </w:r>
      <w:r w:rsidRPr="00AA3B9F">
        <w:rPr>
          <w:rFonts w:ascii="Verdana" w:eastAsia="Calibri" w:hAnsi="Verdana" w:cs="Arial"/>
          <w:lang w:val="es-ES" w:eastAsia="es-ES"/>
        </w:rPr>
        <w:t>ndo unas consideraciones sobre las normas generales</w:t>
      </w:r>
      <w:r>
        <w:rPr>
          <w:rFonts w:ascii="Verdana" w:eastAsia="Calibri" w:hAnsi="Verdana" w:cs="Arial"/>
          <w:lang w:val="es-ES" w:eastAsia="es-ES"/>
        </w:rPr>
        <w:t xml:space="preserve"> que rigen el Sistema de Compras y Contratación Pública</w:t>
      </w:r>
      <w:r w:rsidRPr="00AA3B9F">
        <w:rPr>
          <w:rFonts w:ascii="Verdana" w:eastAsia="Calibri" w:hAnsi="Verdana" w:cs="Arial"/>
          <w:lang w:val="es-ES" w:eastAsia="es-ES"/>
        </w:rPr>
        <w:t xml:space="preserve"> relacionadas con los problemas jurídicos de su consulta.</w:t>
      </w:r>
      <w:r w:rsidRPr="00E21BD1">
        <w:t xml:space="preserve"> </w:t>
      </w:r>
    </w:p>
    <w:p w14:paraId="35C60E3A" w14:textId="77777777" w:rsidR="00284AD4" w:rsidRDefault="00284AD4" w:rsidP="00A27C22">
      <w:pPr>
        <w:pStyle w:val="Prrafodelista"/>
        <w:tabs>
          <w:tab w:val="left" w:pos="142"/>
          <w:tab w:val="left" w:pos="284"/>
        </w:tabs>
        <w:spacing w:after="0" w:line="276" w:lineRule="auto"/>
        <w:ind w:left="425" w:right="1185"/>
        <w:contextualSpacing w:val="0"/>
        <w:jc w:val="both"/>
        <w:rPr>
          <w:rFonts w:ascii="Verdana" w:eastAsia="Century Gothic" w:hAnsi="Verdana" w:cs="Century Gothic"/>
          <w:i/>
          <w:iCs/>
          <w:lang w:val="es-CO"/>
        </w:rPr>
      </w:pPr>
    </w:p>
    <w:p w14:paraId="0A1CA243" w14:textId="77777777" w:rsidR="00284AD4" w:rsidRDefault="00284AD4" w:rsidP="00A27C22">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Problema</w:t>
      </w:r>
      <w:r>
        <w:rPr>
          <w:rFonts w:ascii="Verdana" w:eastAsia="Century Gothic" w:hAnsi="Verdana" w:cs="Century Gothic"/>
          <w:b/>
          <w:bCs/>
        </w:rPr>
        <w:t xml:space="preserve"> jurídico </w:t>
      </w:r>
      <w:r w:rsidRPr="00593A5F">
        <w:rPr>
          <w:rFonts w:ascii="Verdana" w:eastAsia="Century Gothic" w:hAnsi="Verdana" w:cs="Century Gothic"/>
          <w:b/>
          <w:bCs/>
        </w:rPr>
        <w:t>planteado:</w:t>
      </w:r>
    </w:p>
    <w:p w14:paraId="078999FE" w14:textId="77777777" w:rsidR="00284AD4" w:rsidRDefault="00284AD4" w:rsidP="00A27C22">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5E96BD07" w14:textId="4EC2309A" w:rsidR="00284AD4" w:rsidRDefault="00284AD4" w:rsidP="00284AD4">
      <w:pPr>
        <w:spacing w:after="0" w:line="276" w:lineRule="auto"/>
        <w:jc w:val="both"/>
        <w:rPr>
          <w:rFonts w:ascii="Verdana" w:eastAsia="Century Gothic" w:hAnsi="Verdana" w:cs="Century Gothic"/>
        </w:rPr>
      </w:pPr>
      <w:r w:rsidRPr="00E21BD1">
        <w:rPr>
          <w:rFonts w:ascii="Verdana" w:eastAsia="Calibri" w:hAnsi="Verdana" w:cs="Arial"/>
          <w:lang w:eastAsia="es-ES"/>
        </w:rPr>
        <w:t xml:space="preserve">De acuerdo con el contenido de su solicitud, esta Agencia resolverá </w:t>
      </w:r>
      <w:r>
        <w:rPr>
          <w:rFonts w:ascii="Verdana" w:eastAsia="Calibri" w:hAnsi="Verdana" w:cs="Arial"/>
          <w:lang w:eastAsia="es-ES"/>
        </w:rPr>
        <w:t xml:space="preserve">los </w:t>
      </w:r>
      <w:r w:rsidRPr="00E21BD1">
        <w:rPr>
          <w:rFonts w:ascii="Verdana" w:eastAsia="Calibri" w:hAnsi="Verdana" w:cs="Arial"/>
          <w:lang w:eastAsia="es-ES"/>
        </w:rPr>
        <w:t>siguiente</w:t>
      </w:r>
      <w:r>
        <w:rPr>
          <w:rFonts w:ascii="Verdana" w:eastAsia="Calibri" w:hAnsi="Verdana" w:cs="Arial"/>
          <w:lang w:eastAsia="es-ES"/>
        </w:rPr>
        <w:t>s</w:t>
      </w:r>
      <w:r w:rsidRPr="00E21BD1">
        <w:rPr>
          <w:rFonts w:ascii="Verdana" w:eastAsia="Calibri" w:hAnsi="Verdana" w:cs="Arial"/>
          <w:lang w:eastAsia="es-ES"/>
        </w:rPr>
        <w:t xml:space="preserve"> problemas jurídico</w:t>
      </w:r>
      <w:r>
        <w:rPr>
          <w:rFonts w:ascii="Verdana" w:eastAsia="Calibri" w:hAnsi="Verdana" w:cs="Arial"/>
          <w:lang w:eastAsia="es-ES"/>
        </w:rPr>
        <w:t>s</w:t>
      </w:r>
      <w:r w:rsidRPr="00E21BD1">
        <w:rPr>
          <w:rFonts w:ascii="Verdana" w:eastAsia="Calibri" w:hAnsi="Verdana" w:cs="Arial"/>
          <w:lang w:eastAsia="es-ES"/>
        </w:rPr>
        <w:t>:</w:t>
      </w:r>
      <w:bookmarkStart w:id="4" w:name="_Hlk196737317"/>
      <w:r>
        <w:rPr>
          <w:rFonts w:ascii="Verdana" w:eastAsia="Century Gothic" w:hAnsi="Verdana" w:cs="Century Gothic"/>
        </w:rPr>
        <w:t xml:space="preserve"> </w:t>
      </w:r>
      <w:r w:rsidR="0080005C">
        <w:rPr>
          <w:rFonts w:ascii="Verdana" w:eastAsia="Century Gothic" w:hAnsi="Verdana" w:cs="Century Gothic"/>
        </w:rPr>
        <w:t>i)</w:t>
      </w:r>
      <w:r w:rsidR="00E47C08" w:rsidRPr="3759870A">
        <w:rPr>
          <w:rFonts w:ascii="Verdana" w:eastAsia="Century Gothic" w:hAnsi="Verdana" w:cs="Century Gothic"/>
        </w:rPr>
        <w:t xml:space="preserve"> ¿L</w:t>
      </w:r>
      <w:r w:rsidR="00E47C08">
        <w:rPr>
          <w:rFonts w:ascii="Verdana" w:eastAsia="Century Gothic" w:hAnsi="Verdana" w:cs="Century Gothic"/>
        </w:rPr>
        <w:t>os</w:t>
      </w:r>
      <w:r w:rsidR="00E47C08" w:rsidRPr="3759870A">
        <w:rPr>
          <w:rFonts w:ascii="Verdana" w:eastAsia="Century Gothic" w:hAnsi="Verdana" w:cs="Century Gothic"/>
        </w:rPr>
        <w:t xml:space="preserve"> contratos de interventoría </w:t>
      </w:r>
      <w:r w:rsidR="00E47C08">
        <w:rPr>
          <w:rFonts w:ascii="Verdana" w:eastAsia="Century Gothic" w:hAnsi="Verdana" w:cs="Century Gothic"/>
        </w:rPr>
        <w:t xml:space="preserve">deben </w:t>
      </w:r>
      <w:r w:rsidR="0080005C">
        <w:rPr>
          <w:rFonts w:ascii="Verdana" w:eastAsia="Century Gothic" w:hAnsi="Verdana" w:cs="Century Gothic"/>
        </w:rPr>
        <w:t>contar con</w:t>
      </w:r>
      <w:r w:rsidR="00E47C08">
        <w:rPr>
          <w:rFonts w:ascii="Verdana" w:eastAsia="Century Gothic" w:hAnsi="Verdana" w:cs="Century Gothic"/>
        </w:rPr>
        <w:t xml:space="preserve"> supervisión</w:t>
      </w:r>
      <w:r w:rsidR="0080005C">
        <w:rPr>
          <w:rFonts w:ascii="Verdana" w:eastAsia="Century Gothic" w:hAnsi="Verdana" w:cs="Century Gothic"/>
        </w:rPr>
        <w:t xml:space="preserve"> por parte de la Entidad Estatal</w:t>
      </w:r>
      <w:r w:rsidR="00E47C08" w:rsidRPr="3759870A">
        <w:rPr>
          <w:rFonts w:ascii="Verdana" w:eastAsia="Century Gothic" w:hAnsi="Verdana" w:cs="Century Gothic"/>
        </w:rPr>
        <w:t>?</w:t>
      </w:r>
      <w:r w:rsidR="00176A0A">
        <w:rPr>
          <w:rFonts w:ascii="Verdana" w:eastAsia="Century Gothic" w:hAnsi="Verdana" w:cs="Century Gothic"/>
        </w:rPr>
        <w:t xml:space="preserve">, en caso de ser afirmativa la pregunta señalar: </w:t>
      </w:r>
      <w:proofErr w:type="spellStart"/>
      <w:r w:rsidR="00176A0A">
        <w:rPr>
          <w:rFonts w:ascii="Verdana" w:eastAsia="Century Gothic" w:hAnsi="Verdana" w:cs="Century Gothic"/>
        </w:rPr>
        <w:t>ii</w:t>
      </w:r>
      <w:proofErr w:type="spellEnd"/>
      <w:r w:rsidR="00176A0A">
        <w:rPr>
          <w:rFonts w:ascii="Verdana" w:eastAsia="Century Gothic" w:hAnsi="Verdana" w:cs="Century Gothic"/>
        </w:rPr>
        <w:t xml:space="preserve">) ¿Cuál es la función del supervisor </w:t>
      </w:r>
      <w:r w:rsidR="00863564">
        <w:rPr>
          <w:rFonts w:ascii="Verdana" w:eastAsia="Century Gothic" w:hAnsi="Verdana" w:cs="Century Gothic"/>
        </w:rPr>
        <w:t>de un contrato de interventoría?</w:t>
      </w:r>
    </w:p>
    <w:p w14:paraId="57DE91C7" w14:textId="77777777" w:rsidR="00284AD4" w:rsidRPr="001773DA" w:rsidRDefault="00284AD4" w:rsidP="00284AD4">
      <w:pPr>
        <w:spacing w:after="0" w:line="276" w:lineRule="auto"/>
        <w:jc w:val="both"/>
        <w:rPr>
          <w:rFonts w:ascii="Verdana" w:eastAsia="Century Gothic" w:hAnsi="Verdana" w:cs="Century Gothic"/>
        </w:rPr>
      </w:pPr>
    </w:p>
    <w:bookmarkEnd w:id="4"/>
    <w:p w14:paraId="108B7023" w14:textId="77777777" w:rsidR="00284AD4" w:rsidRDefault="00284AD4" w:rsidP="00284AD4">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5059B752" w14:textId="77777777" w:rsidR="00284AD4" w:rsidRPr="00593A5F" w:rsidRDefault="00284AD4" w:rsidP="00284AD4">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284AD4" w:rsidRPr="00593A5F" w14:paraId="7B01754D" w14:textId="77777777" w:rsidTr="00921612">
        <w:tc>
          <w:tcPr>
            <w:tcW w:w="8828" w:type="dxa"/>
          </w:tcPr>
          <w:p w14:paraId="0B1707BE" w14:textId="71BFFB27" w:rsidR="00284AD4" w:rsidRPr="00A27C22" w:rsidRDefault="001C1561" w:rsidP="00A27C22">
            <w:pPr>
              <w:spacing w:after="120" w:line="276" w:lineRule="auto"/>
              <w:jc w:val="both"/>
              <w:rPr>
                <w:rFonts w:ascii="Verdana" w:eastAsia="Times New Roman" w:hAnsi="Verdana" w:cs="Arial"/>
                <w:i/>
                <w:lang w:val="es-ES" w:eastAsia="es-ES"/>
              </w:rPr>
            </w:pPr>
            <w:r w:rsidRPr="0026168D">
              <w:rPr>
                <w:rFonts w:ascii="Verdana" w:eastAsia="Calibri" w:hAnsi="Verdana" w:cs="Arial"/>
                <w:lang w:val="es-ES" w:eastAsia="es-ES"/>
              </w:rPr>
              <w:t xml:space="preserve">i) </w:t>
            </w:r>
            <w:r w:rsidR="00284AD4" w:rsidRPr="3759870A">
              <w:rPr>
                <w:rFonts w:ascii="Verdana" w:eastAsia="Calibri" w:hAnsi="Verdana" w:cs="Arial"/>
                <w:lang w:val="es-ES" w:eastAsia="es-ES"/>
              </w:rPr>
              <w:t>De acuerdo con el artículo 83 de la Ley 1474 de 2011, la supervisión es una actividad que debe realizar la misma entidad estatal, sin perjuicio de que pueda contratar el apoyo a esta labor mediante la celebración de contratos de prestación de servicios. En efecto, el segundo inciso de dicha norma establece:</w:t>
            </w:r>
            <w:r w:rsidRPr="00A27C22">
              <w:rPr>
                <w:rFonts w:ascii="Verdana" w:eastAsia="Times New Roman" w:hAnsi="Verdana" w:cs="Arial"/>
                <w:i/>
                <w:lang w:val="es-ES" w:eastAsia="es-ES"/>
              </w:rPr>
              <w:t xml:space="preserve"> </w:t>
            </w:r>
            <w:r w:rsidR="00284AD4" w:rsidRPr="00A27C22">
              <w:rPr>
                <w:rFonts w:ascii="Verdana" w:eastAsia="Times New Roman" w:hAnsi="Verdana" w:cs="Arial"/>
                <w:i/>
                <w:lang w:val="es-ES" w:eastAsia="es-ES"/>
              </w:rPr>
              <w:t xml:space="preserve">“La supervisión consistirá en el seguimiento técnico, administrativo, </w:t>
            </w:r>
            <w:r w:rsidR="00284AD4" w:rsidRPr="00A27C22">
              <w:rPr>
                <w:rFonts w:ascii="Verdana" w:eastAsia="Times New Roman" w:hAnsi="Verdana" w:cs="Arial"/>
                <w:i/>
                <w:lang w:val="es-ES" w:eastAsia="es-ES"/>
              </w:rPr>
              <w:lastRenderedPageBreak/>
              <w:t xml:space="preserve">financiero, contable, y jurídico </w:t>
            </w:r>
            <w:proofErr w:type="gramStart"/>
            <w:r w:rsidR="00284AD4" w:rsidRPr="00A27C22">
              <w:rPr>
                <w:rFonts w:ascii="Verdana" w:eastAsia="Times New Roman" w:hAnsi="Verdana" w:cs="Arial"/>
                <w:i/>
                <w:lang w:val="es-ES" w:eastAsia="es-ES"/>
              </w:rPr>
              <w:t>que</w:t>
            </w:r>
            <w:proofErr w:type="gramEnd"/>
            <w:r w:rsidR="00284AD4" w:rsidRPr="00A27C22">
              <w:rPr>
                <w:rFonts w:ascii="Verdana" w:eastAsia="Times New Roman" w:hAnsi="Verdana" w:cs="Arial"/>
                <w:i/>
                <w:lang w:val="es-ES" w:eastAsia="es-ES"/>
              </w:rPr>
              <w:t xml:space="preserve"> sobre el cumplimiento del objeto del contrato, es ejercida por la misma entidad estatal cuando no requieren conocimientos</w:t>
            </w:r>
            <w:r w:rsidR="00284AD4" w:rsidRPr="00A27C22">
              <w:rPr>
                <w:rFonts w:ascii="Verdana" w:eastAsia="Calibri" w:hAnsi="Verdana" w:cs="Arial"/>
                <w:lang w:val="es-ES" w:eastAsia="es-ES"/>
              </w:rPr>
              <w:t xml:space="preserve"> </w:t>
            </w:r>
            <w:r w:rsidR="00284AD4" w:rsidRPr="00A27C22">
              <w:rPr>
                <w:rFonts w:ascii="Verdana" w:eastAsia="Times New Roman" w:hAnsi="Verdana" w:cs="Arial"/>
                <w:i/>
                <w:lang w:val="es-ES" w:eastAsia="es-ES"/>
              </w:rPr>
              <w:t>especializados. Para la supervisión, la Entidad estatal podrá contratar personal de apoyo, a través de los contratos de prestación de servicios que sean requeridos</w:t>
            </w:r>
            <w:r w:rsidR="00284AD4" w:rsidRPr="00A27C22">
              <w:rPr>
                <w:rFonts w:ascii="Verdana" w:eastAsia="Times New Roman" w:hAnsi="Verdana" w:cs="Arial"/>
                <w:lang w:val="es-ES" w:eastAsia="es-ES"/>
              </w:rPr>
              <w:t>”</w:t>
            </w:r>
            <w:r w:rsidR="00284AD4" w:rsidRPr="00A27C22">
              <w:rPr>
                <w:rFonts w:ascii="Verdana" w:eastAsia="Times New Roman" w:hAnsi="Verdana" w:cs="Arial"/>
                <w:i/>
                <w:lang w:val="es-ES" w:eastAsia="es-ES"/>
              </w:rPr>
              <w:t>.</w:t>
            </w:r>
          </w:p>
          <w:p w14:paraId="322C3A68" w14:textId="71C1D706" w:rsidR="001C1561" w:rsidRPr="0026168D" w:rsidRDefault="00284AD4" w:rsidP="00A27C22">
            <w:pPr>
              <w:spacing w:after="120" w:line="276" w:lineRule="auto"/>
              <w:ind w:firstLine="709"/>
              <w:jc w:val="both"/>
              <w:rPr>
                <w:rFonts w:ascii="Verdana" w:eastAsia="Calibri" w:hAnsi="Verdana" w:cs="Arial"/>
                <w:lang w:val="es-ES_tradnl" w:eastAsia="es-ES"/>
              </w:rPr>
            </w:pPr>
            <w:r w:rsidRPr="3759870A">
              <w:rPr>
                <w:rFonts w:ascii="Verdana" w:eastAsia="Calibri" w:hAnsi="Verdana" w:cs="Arial"/>
                <w:lang w:eastAsia="es-ES"/>
              </w:rPr>
              <w:t xml:space="preserve">En ese sentido, corresponde a la entidad contratante, a través del ordenador del gasto, designar al supervisor del contrato. Dicha designación puede recaer en cualquier servidor público, por cuanto la función de supervisión es inherente a esta condición. </w:t>
            </w:r>
          </w:p>
          <w:p w14:paraId="03F969F1" w14:textId="53C04F37" w:rsidR="001C1561" w:rsidRPr="0026168D" w:rsidRDefault="00284AD4" w:rsidP="00A27C22">
            <w:pPr>
              <w:spacing w:line="276" w:lineRule="auto"/>
              <w:ind w:firstLine="709"/>
              <w:jc w:val="both"/>
              <w:rPr>
                <w:rFonts w:ascii="Verdana" w:eastAsia="Times New Roman" w:hAnsi="Verdana" w:cs="Arial"/>
                <w:shd w:val="clear" w:color="auto" w:fill="FFFFFF"/>
                <w:lang w:val="es-ES"/>
              </w:rPr>
            </w:pPr>
            <w:r w:rsidRPr="3759870A">
              <w:rPr>
                <w:rFonts w:ascii="Verdana" w:hAnsi="Verdana" w:cs="Arial"/>
              </w:rPr>
              <w:t xml:space="preserve">La asignación de funciones de supervisión se aplica a todos los tipos de contratos estatales (obra, suministro, prestación de servicios, interventoría, etc.) respecto de su seguimiento técnico, administrativo, financiero, contable y jurídico. </w:t>
            </w:r>
            <w:r w:rsidR="0026168D" w:rsidRPr="0026168D">
              <w:rPr>
                <w:rFonts w:ascii="Verdana" w:hAnsi="Verdana" w:cs="Arial"/>
              </w:rPr>
              <w:t>Así las cosas,</w:t>
            </w:r>
            <w:r w:rsidRPr="0026168D">
              <w:rPr>
                <w:rFonts w:ascii="Verdana" w:hAnsi="Verdana" w:cs="Arial"/>
              </w:rPr>
              <w:t xml:space="preserve"> </w:t>
            </w:r>
            <w:r w:rsidR="001C1561" w:rsidRPr="0026168D">
              <w:rPr>
                <w:rFonts w:ascii="Verdana" w:eastAsia="Times New Roman" w:hAnsi="Verdana" w:cs="Arial"/>
                <w:shd w:val="clear" w:color="auto" w:fill="FFFFFF"/>
                <w:lang w:val="es-ES"/>
              </w:rPr>
              <w:t xml:space="preserve">respecto del primer problema jurídico planteado, puede concluirse que </w:t>
            </w:r>
            <w:r w:rsidR="001C1561" w:rsidRPr="0026168D">
              <w:rPr>
                <w:rFonts w:ascii="Verdana" w:eastAsia="Times New Roman" w:hAnsi="Verdana" w:cs="Arial"/>
                <w:bCs/>
                <w:lang w:val="es-ES"/>
              </w:rPr>
              <w:t xml:space="preserve">la labor de supervisión debe realizarse frente a cualquier contrato estatal, incluido los contratos de interventoría de obra pública. </w:t>
            </w:r>
          </w:p>
          <w:p w14:paraId="1261E924" w14:textId="77777777" w:rsidR="001C1561" w:rsidRDefault="001C1561" w:rsidP="00A27C22">
            <w:pPr>
              <w:spacing w:line="276" w:lineRule="auto"/>
              <w:ind w:firstLine="709"/>
              <w:jc w:val="both"/>
              <w:rPr>
                <w:rFonts w:ascii="Verdana" w:eastAsia="Times New Roman" w:hAnsi="Verdana" w:cs="Arial"/>
                <w:shd w:val="clear" w:color="auto" w:fill="FFFFFF"/>
                <w:lang w:val="es-ES"/>
              </w:rPr>
            </w:pPr>
          </w:p>
          <w:p w14:paraId="5139D275" w14:textId="341FF81B" w:rsidR="001C1561" w:rsidRDefault="0026168D" w:rsidP="00A27C22">
            <w:pPr>
              <w:spacing w:after="120" w:line="276" w:lineRule="auto"/>
              <w:jc w:val="both"/>
              <w:rPr>
                <w:rFonts w:ascii="Verdana" w:eastAsia="Times New Roman" w:hAnsi="Verdana" w:cs="Arial"/>
                <w:shd w:val="clear" w:color="auto" w:fill="FFFFFF"/>
                <w:lang w:val="es-ES"/>
              </w:rPr>
            </w:pPr>
            <w:proofErr w:type="spellStart"/>
            <w:r>
              <w:rPr>
                <w:rFonts w:ascii="Verdana" w:eastAsia="Times New Roman" w:hAnsi="Verdana" w:cs="Arial"/>
                <w:shd w:val="clear" w:color="auto" w:fill="FFFFFF"/>
                <w:lang w:val="es-ES"/>
              </w:rPr>
              <w:t>ii</w:t>
            </w:r>
            <w:proofErr w:type="spellEnd"/>
            <w:r>
              <w:rPr>
                <w:rFonts w:ascii="Verdana" w:eastAsia="Times New Roman" w:hAnsi="Verdana" w:cs="Arial"/>
                <w:shd w:val="clear" w:color="auto" w:fill="FFFFFF"/>
                <w:lang w:val="es-ES"/>
              </w:rPr>
              <w:t xml:space="preserve">) </w:t>
            </w:r>
            <w:r w:rsidR="001C1561">
              <w:rPr>
                <w:rFonts w:ascii="Verdana" w:eastAsia="Times New Roman" w:hAnsi="Verdana" w:cs="Arial"/>
                <w:shd w:val="clear" w:color="auto" w:fill="FFFFFF"/>
                <w:lang w:val="es-ES"/>
              </w:rPr>
              <w:t xml:space="preserve">Ahora bien, en elación con el segundo problema jurídico planteado, debe precisarse que, </w:t>
            </w:r>
            <w:r w:rsidR="001C1561" w:rsidRPr="00B60BC4">
              <w:rPr>
                <w:rFonts w:ascii="Verdana" w:eastAsia="Times New Roman" w:hAnsi="Verdana" w:cs="Arial"/>
                <w:shd w:val="clear" w:color="auto" w:fill="FFFFFF"/>
                <w:lang w:val="es-ES"/>
              </w:rPr>
              <w:t xml:space="preserve">el supervisor, de acuerdo con lo </w:t>
            </w:r>
            <w:r w:rsidR="001C1561">
              <w:rPr>
                <w:rFonts w:ascii="Verdana" w:eastAsia="Times New Roman" w:hAnsi="Verdana" w:cs="Arial"/>
                <w:shd w:val="clear" w:color="auto" w:fill="FFFFFF"/>
                <w:lang w:val="es-ES"/>
              </w:rPr>
              <w:t>dispuesto</w:t>
            </w:r>
            <w:r w:rsidR="001C1561" w:rsidRPr="00B60BC4">
              <w:rPr>
                <w:rFonts w:ascii="Verdana" w:eastAsia="Times New Roman" w:hAnsi="Verdana" w:cs="Arial"/>
                <w:shd w:val="clear" w:color="auto" w:fill="FFFFFF"/>
                <w:lang w:val="es-ES"/>
              </w:rPr>
              <w:t xml:space="preserve"> en la Ley 80 de 1993, tiene la obligación de desarrollar las actividades </w:t>
            </w:r>
            <w:r w:rsidR="001C1561">
              <w:rPr>
                <w:rFonts w:ascii="Verdana" w:eastAsia="Times New Roman" w:hAnsi="Verdana" w:cs="Arial"/>
                <w:shd w:val="clear" w:color="auto" w:fill="FFFFFF"/>
                <w:lang w:val="es-ES"/>
              </w:rPr>
              <w:t>orientadas a</w:t>
            </w:r>
            <w:r w:rsidR="001C1561" w:rsidRPr="00B60BC4">
              <w:rPr>
                <w:rFonts w:ascii="Verdana" w:eastAsia="Times New Roman" w:hAnsi="Verdana" w:cs="Arial"/>
                <w:shd w:val="clear" w:color="auto" w:fill="FFFFFF"/>
                <w:lang w:val="es-ES"/>
              </w:rPr>
              <w:t xml:space="preserve"> la vigilancia y seguimiento del cumplimiento de</w:t>
            </w:r>
            <w:r w:rsidR="001C1561">
              <w:rPr>
                <w:rFonts w:ascii="Verdana" w:eastAsia="Times New Roman" w:hAnsi="Verdana" w:cs="Arial"/>
                <w:shd w:val="clear" w:color="auto" w:fill="FFFFFF"/>
                <w:lang w:val="es-ES"/>
              </w:rPr>
              <w:t>l</w:t>
            </w:r>
            <w:r w:rsidR="001C1561" w:rsidRPr="00B60BC4">
              <w:rPr>
                <w:rFonts w:ascii="Verdana" w:eastAsia="Times New Roman" w:hAnsi="Verdana" w:cs="Arial"/>
                <w:shd w:val="clear" w:color="auto" w:fill="FFFFFF"/>
                <w:lang w:val="es-ES"/>
              </w:rPr>
              <w:t xml:space="preserve"> contrato</w:t>
            </w:r>
            <w:r w:rsidR="001C1561">
              <w:rPr>
                <w:rFonts w:ascii="Verdana" w:eastAsia="Times New Roman" w:hAnsi="Verdana" w:cs="Arial"/>
                <w:shd w:val="clear" w:color="auto" w:fill="FFFFFF"/>
                <w:lang w:val="es-ES"/>
              </w:rPr>
              <w:t xml:space="preserve"> objeto de supervisión, lo cual, en el caso analizado, corresponde al contrato de interventoría. En consecuencia, el</w:t>
            </w:r>
            <w:r w:rsidR="001C1561" w:rsidRPr="00B60BC4">
              <w:rPr>
                <w:rFonts w:ascii="Verdana" w:eastAsia="Times New Roman" w:hAnsi="Verdana" w:cs="Arial"/>
                <w:shd w:val="clear" w:color="auto" w:fill="FFFFFF"/>
                <w:lang w:val="es-ES"/>
              </w:rPr>
              <w:t xml:space="preserve"> empleado público</w:t>
            </w:r>
            <w:r w:rsidR="001C1561">
              <w:rPr>
                <w:rFonts w:ascii="Verdana" w:eastAsia="Times New Roman" w:hAnsi="Verdana" w:cs="Arial"/>
                <w:shd w:val="clear" w:color="auto" w:fill="FFFFFF"/>
                <w:lang w:val="es-ES"/>
              </w:rPr>
              <w:t xml:space="preserve"> designado como supervisor deberá ejercer las labores propias en relación con el contrato de interventoría, más no frente al contrato de obra pública que constituye el objeto del contrato de interventoría</w:t>
            </w:r>
            <w:r w:rsidR="001C1561" w:rsidRPr="00B60BC4">
              <w:rPr>
                <w:rFonts w:ascii="Verdana" w:eastAsia="Times New Roman" w:hAnsi="Verdana" w:cs="Arial"/>
                <w:shd w:val="clear" w:color="auto" w:fill="FFFFFF"/>
                <w:lang w:val="es-ES"/>
              </w:rPr>
              <w:t>.</w:t>
            </w:r>
          </w:p>
          <w:p w14:paraId="19D74CDF" w14:textId="71940969" w:rsidR="00284AD4" w:rsidRPr="00C71956" w:rsidRDefault="00284AD4" w:rsidP="00A27C22">
            <w:pPr>
              <w:spacing w:after="120" w:line="276" w:lineRule="auto"/>
              <w:ind w:firstLine="709"/>
              <w:jc w:val="both"/>
              <w:rPr>
                <w:rFonts w:ascii="Verdana" w:eastAsia="Aptos" w:hAnsi="Verdana" w:cs="Arial"/>
                <w:shd w:val="clear" w:color="auto" w:fill="FFFFFF"/>
              </w:rPr>
            </w:pPr>
            <w:r>
              <w:rPr>
                <w:rFonts w:ascii="Verdana" w:eastAsia="Calibri" w:hAnsi="Verdana" w:cs="Arial"/>
                <w:lang w:eastAsia="es-ES"/>
              </w:rPr>
              <w:t>Finalmente</w:t>
            </w:r>
            <w:r>
              <w:rPr>
                <w:rFonts w:ascii="Verdana" w:eastAsia="Calibri" w:hAnsi="Verdana" w:cs="Times New Roman"/>
              </w:rPr>
              <w:t>,</w:t>
            </w:r>
            <w:r w:rsidRPr="00DB4737">
              <w:rPr>
                <w:rFonts w:ascii="Verdana" w:eastAsia="Calibri" w:hAnsi="Verdana" w:cs="Times New Roman"/>
              </w:rPr>
              <w:t xml:space="preserve"> debe advertirse que el análisis en torno </w:t>
            </w:r>
            <w:r>
              <w:rPr>
                <w:rFonts w:ascii="Verdana" w:eastAsia="Calibri" w:hAnsi="Verdana" w:cs="Times New Roman"/>
              </w:rPr>
              <w:t>a un proceso de contratación especifico debe</w:t>
            </w:r>
            <w:r w:rsidRPr="0012388D">
              <w:rPr>
                <w:rFonts w:ascii="Verdana" w:eastAsia="Calibri" w:hAnsi="Verdana" w:cs="Times New Roman"/>
              </w:rPr>
              <w:t xml:space="preserve"> ser realizado por quienes tengan interés en ello.</w:t>
            </w:r>
            <w:r w:rsidRPr="00DB4737">
              <w:rPr>
                <w:rFonts w:ascii="Verdana" w:eastAsia="Calibri" w:hAnsi="Verdana" w:cs="Times New Roman"/>
              </w:rPr>
              <w:t xml:space="preserve">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r>
              <w:t xml:space="preserve"> </w:t>
            </w:r>
          </w:p>
          <w:p w14:paraId="4771FCF1" w14:textId="3EE5BC88" w:rsidR="00284AD4" w:rsidRPr="00E529C2" w:rsidRDefault="00284AD4" w:rsidP="00A27C22">
            <w:pPr>
              <w:spacing w:line="276" w:lineRule="auto"/>
              <w:ind w:firstLine="709"/>
              <w:jc w:val="both"/>
              <w:rPr>
                <w:rFonts w:ascii="Verdana" w:eastAsia="Calibri" w:hAnsi="Verdana" w:cs="Times New Roman"/>
                <w:lang w:val="es-ES"/>
              </w:rPr>
            </w:pPr>
            <w:r w:rsidRPr="00DB4737">
              <w:rPr>
                <w:rFonts w:ascii="Verdana" w:eastAsia="Calibri" w:hAnsi="Verdana" w:cs="Times New Roman"/>
                <w:lang w:val="es-ES"/>
              </w:rPr>
              <w:lastRenderedPageBreak/>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r>
              <w:rPr>
                <w:rFonts w:ascii="Verdana" w:eastAsia="Calibri" w:hAnsi="Verdana" w:cs="Times New Roman"/>
                <w:lang w:val="es-ES"/>
              </w:rPr>
              <w:t>.</w:t>
            </w:r>
          </w:p>
        </w:tc>
      </w:tr>
    </w:tbl>
    <w:p w14:paraId="7B41C62C" w14:textId="77777777" w:rsidR="00284AD4" w:rsidRDefault="00284AD4" w:rsidP="00284AD4">
      <w:pPr>
        <w:tabs>
          <w:tab w:val="left" w:pos="142"/>
          <w:tab w:val="left" w:pos="284"/>
        </w:tabs>
        <w:spacing w:after="0" w:line="276" w:lineRule="auto"/>
        <w:jc w:val="both"/>
        <w:rPr>
          <w:rFonts w:ascii="Verdana" w:eastAsia="Century Gothic" w:hAnsi="Verdana" w:cs="Century Gothic"/>
          <w:b/>
          <w:bCs/>
          <w:lang w:val="es-ES"/>
        </w:rPr>
      </w:pPr>
    </w:p>
    <w:p w14:paraId="255C90BF" w14:textId="77777777" w:rsidR="00284AD4" w:rsidRPr="00593A5F" w:rsidRDefault="00284AD4" w:rsidP="00284AD4">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2AF66C66" w14:textId="5B8B7E72" w:rsidR="00863564" w:rsidRDefault="00863564" w:rsidP="00A27C22">
      <w:pPr>
        <w:spacing w:after="0" w:line="276" w:lineRule="auto"/>
        <w:jc w:val="both"/>
        <w:rPr>
          <w:rFonts w:ascii="Verdana" w:eastAsia="Calibri" w:hAnsi="Verdana" w:cs="Arial"/>
          <w:bCs/>
          <w:lang w:eastAsia="es-MX"/>
        </w:rPr>
      </w:pPr>
      <w:bookmarkStart w:id="5" w:name="_Hlk108519028"/>
    </w:p>
    <w:p w14:paraId="375F89B3" w14:textId="3129C850" w:rsidR="00284AD4" w:rsidRPr="00F13A99" w:rsidRDefault="00284AD4" w:rsidP="00284AD4">
      <w:pPr>
        <w:spacing w:after="120" w:line="276" w:lineRule="auto"/>
        <w:jc w:val="both"/>
        <w:rPr>
          <w:rFonts w:ascii="Verdana" w:hAnsi="Verdana" w:cs="Arial"/>
          <w:color w:val="000000" w:themeColor="text1"/>
          <w:lang w:val="es-ES_tradnl"/>
        </w:rPr>
      </w:pPr>
      <w:r w:rsidRPr="00B60BC4">
        <w:rPr>
          <w:rFonts w:ascii="Verdana" w:eastAsia="Times New Roman" w:hAnsi="Verdana" w:cs="Arial"/>
          <w:shd w:val="clear" w:color="auto" w:fill="FFFFFF"/>
          <w:lang w:val="es-ES"/>
        </w:rPr>
        <w:t>La Ley 80 de 1993 establece en sus artículos 4, 5, 12, 14 y 26, entre otros aspectos, la obligación de las Entidades Estatales de velar por el correcto y oportuno cumplimiento de las prestaciones del contrato, las especificaciones de los bienes, obras y servicios de este, las condiciones de calidad ofrecidas, etc. Esta obligación se predica, en principio, del jefe o representante legal de la entidad, por tener la responsabilidad de la dirección y manejo de la actividad contractual, pero también de los servidores públicos que intervienen en ella. En ese sentido, las Entidades Estatales deben ejercer el control de la ejecución del contrato y, de ser el caso, tomar medidas para exigir su adecuado cumplimiento.</w:t>
      </w:r>
    </w:p>
    <w:p w14:paraId="6732692C" w14:textId="77777777" w:rsidR="00284AD4" w:rsidRPr="00B60BC4" w:rsidRDefault="00284AD4" w:rsidP="00284AD4">
      <w:pPr>
        <w:spacing w:after="120" w:line="276" w:lineRule="auto"/>
        <w:ind w:firstLine="709"/>
        <w:jc w:val="both"/>
        <w:rPr>
          <w:rFonts w:ascii="Verdana" w:eastAsia="Times New Roman" w:hAnsi="Verdana" w:cs="Arial"/>
          <w:lang w:val="es-ES" w:eastAsia="es-MX"/>
        </w:rPr>
      </w:pPr>
      <w:r w:rsidRPr="00B60BC4">
        <w:rPr>
          <w:rFonts w:ascii="Verdana" w:eastAsia="Times New Roman" w:hAnsi="Verdana" w:cs="Arial"/>
          <w:lang w:val="es-ES" w:eastAsia="es-MX"/>
        </w:rPr>
        <w:t>Las Leyes 1150 de 2007 y 1474 de 2011, complementan el régimen jurídico de la obligación de vigilar la correcta ejecución de los contratos estatales. En dichas normas se impone el debido proceso como principio rector en materia sancionatoria contractual, entre otros, para la imposición de multas y la decisión de hacer efectiva la cláusula penal, principio que se debe respetar en el ejercicio del control y vigilancia de la ejecución contractual</w:t>
      </w:r>
      <w:r w:rsidRPr="00B60BC4">
        <w:rPr>
          <w:rFonts w:ascii="Verdana" w:eastAsia="Times New Roman" w:hAnsi="Verdana" w:cs="Arial"/>
          <w:vertAlign w:val="superscript"/>
          <w:lang w:val="es-ES" w:eastAsia="es-MX"/>
        </w:rPr>
        <w:footnoteReference w:id="2"/>
      </w:r>
      <w:r w:rsidRPr="00B60BC4">
        <w:rPr>
          <w:rFonts w:ascii="Verdana" w:eastAsia="Times New Roman" w:hAnsi="Verdana" w:cs="Arial"/>
          <w:lang w:val="es-ES" w:eastAsia="es-MX"/>
        </w:rPr>
        <w:t>. También se establecen los límites de la responsabilidad del representante legal ante la delegación de sus funciones en materia contractual</w:t>
      </w:r>
      <w:r w:rsidRPr="00B60BC4">
        <w:rPr>
          <w:rFonts w:ascii="Verdana" w:eastAsia="Times New Roman" w:hAnsi="Verdana" w:cs="Arial"/>
          <w:vertAlign w:val="superscript"/>
          <w:lang w:val="es-ES" w:eastAsia="es-MX"/>
        </w:rPr>
        <w:footnoteReference w:id="3"/>
      </w:r>
      <w:r w:rsidRPr="00B60BC4">
        <w:rPr>
          <w:rFonts w:ascii="Verdana" w:eastAsia="Times New Roman" w:hAnsi="Verdana" w:cs="Arial"/>
          <w:lang w:val="es-ES" w:eastAsia="es-MX"/>
        </w:rPr>
        <w:t xml:space="preserve"> y se regula la supervisión y la interventoría de los contratos estatales</w:t>
      </w:r>
      <w:r w:rsidRPr="00B60BC4">
        <w:rPr>
          <w:rFonts w:ascii="Verdana" w:eastAsia="Times New Roman" w:hAnsi="Verdana" w:cs="Arial"/>
          <w:vertAlign w:val="superscript"/>
          <w:lang w:val="es-ES" w:eastAsia="es-MX"/>
        </w:rPr>
        <w:footnoteReference w:id="4"/>
      </w:r>
      <w:r w:rsidRPr="00B60BC4">
        <w:rPr>
          <w:rFonts w:ascii="Verdana" w:eastAsia="Times New Roman" w:hAnsi="Verdana" w:cs="Arial"/>
          <w:lang w:val="es-ES" w:eastAsia="es-MX"/>
        </w:rPr>
        <w:t>.</w:t>
      </w:r>
    </w:p>
    <w:p w14:paraId="13F9B253" w14:textId="77777777" w:rsidR="00284AD4" w:rsidRPr="00B60BC4" w:rsidRDefault="00284AD4" w:rsidP="00284AD4">
      <w:pPr>
        <w:spacing w:after="0" w:line="276" w:lineRule="auto"/>
        <w:ind w:firstLine="709"/>
        <w:jc w:val="both"/>
        <w:rPr>
          <w:rFonts w:ascii="Verdana" w:eastAsia="Times New Roman" w:hAnsi="Verdana" w:cs="Arial"/>
          <w:lang w:val="es-ES" w:eastAsia="es-MX"/>
        </w:rPr>
      </w:pPr>
      <w:r w:rsidRPr="00B60BC4">
        <w:rPr>
          <w:rFonts w:ascii="Verdana" w:eastAsia="Times New Roman" w:hAnsi="Verdana" w:cs="Arial"/>
          <w:lang w:val="es-ES" w:eastAsia="es-MX"/>
        </w:rPr>
        <w:t xml:space="preserve">En consecuencia, se tiene que, la jurisprudencia contencioso-administrativa, por su parte, ha considerado que la obligación de vigilar la </w:t>
      </w:r>
      <w:r w:rsidRPr="00B60BC4">
        <w:rPr>
          <w:rFonts w:ascii="Verdana" w:eastAsia="Times New Roman" w:hAnsi="Verdana" w:cs="Arial"/>
          <w:lang w:val="es-ES" w:eastAsia="es-MX"/>
        </w:rPr>
        <w:lastRenderedPageBreak/>
        <w:t xml:space="preserve">correcta ejecución del objeto contractual es una función de la entidad contratante, en los siguientes términos: </w:t>
      </w:r>
    </w:p>
    <w:p w14:paraId="6D3ADEDC" w14:textId="77777777" w:rsidR="00284AD4" w:rsidRPr="00B60BC4" w:rsidRDefault="00284AD4" w:rsidP="00A27C22">
      <w:pPr>
        <w:spacing w:after="0" w:line="276" w:lineRule="auto"/>
        <w:ind w:left="709"/>
        <w:contextualSpacing/>
        <w:jc w:val="both"/>
        <w:rPr>
          <w:rFonts w:ascii="Verdana" w:eastAsia="Times New Roman" w:hAnsi="Verdana" w:cs="Arial"/>
          <w:lang w:val="es-ES_tradnl" w:eastAsia="es-MX"/>
        </w:rPr>
      </w:pPr>
    </w:p>
    <w:p w14:paraId="06848D6B" w14:textId="77777777" w:rsidR="00284AD4" w:rsidRPr="00F13A99" w:rsidRDefault="00284AD4" w:rsidP="00284AD4">
      <w:pPr>
        <w:spacing w:after="0" w:line="240" w:lineRule="auto"/>
        <w:ind w:left="709" w:right="709"/>
        <w:contextualSpacing/>
        <w:jc w:val="both"/>
        <w:rPr>
          <w:rFonts w:ascii="Verdana" w:eastAsia="Times New Roman" w:hAnsi="Verdana" w:cs="Arial"/>
          <w:sz w:val="20"/>
          <w:szCs w:val="20"/>
          <w:lang w:val="es-ES_tradnl" w:eastAsia="es-MX"/>
        </w:rPr>
      </w:pPr>
      <w:bookmarkStart w:id="6" w:name="_Hlk178671999"/>
      <w:r w:rsidRPr="00F13A99">
        <w:rPr>
          <w:rFonts w:ascii="Verdana" w:eastAsia="Times New Roman" w:hAnsi="Verdana" w:cs="Arial"/>
          <w:sz w:val="20"/>
          <w:szCs w:val="20"/>
          <w:lang w:val="es-ES_tradnl" w:eastAsia="es-MX"/>
        </w:rPr>
        <w:t>“La función de vigilancia y control del contrato estatal supone el cuidado y la supervisión, de forma tal que en ejercicio de esa función</w:t>
      </w:r>
      <w:bookmarkEnd w:id="6"/>
      <w:r w:rsidRPr="00F13A99">
        <w:rPr>
          <w:rFonts w:ascii="Verdana" w:eastAsia="Times New Roman" w:hAnsi="Verdana" w:cs="Arial"/>
          <w:sz w:val="20"/>
          <w:szCs w:val="20"/>
          <w:lang w:val="es-ES_tradnl" w:eastAsia="es-MX"/>
        </w:rPr>
        <w:t>, quien administra la adecuada y oportuna ejecución del contrato no sólo debe velar por que las partes den cumplimiento a las obligaciones contractuales, sino que el contrato se ejecute en el tiempo y la forma convenidos, para esta forma garantizar la satisfacción de las necesidades que la administración buscaba alcanzar con la celebración del respectivo contrato”</w:t>
      </w:r>
      <w:r w:rsidRPr="00F13A99">
        <w:rPr>
          <w:rFonts w:ascii="Verdana" w:eastAsia="Times New Roman" w:hAnsi="Verdana" w:cs="Arial"/>
          <w:sz w:val="20"/>
          <w:szCs w:val="20"/>
          <w:vertAlign w:val="superscript"/>
          <w:lang w:val="es-ES_tradnl" w:eastAsia="es-MX"/>
        </w:rPr>
        <w:footnoteReference w:id="5"/>
      </w:r>
      <w:r w:rsidRPr="00F13A99">
        <w:rPr>
          <w:rFonts w:ascii="Verdana" w:eastAsia="Times New Roman" w:hAnsi="Verdana" w:cs="Arial"/>
          <w:sz w:val="20"/>
          <w:szCs w:val="20"/>
          <w:lang w:val="es-ES_tradnl" w:eastAsia="es-MX"/>
        </w:rPr>
        <w:t>.</w:t>
      </w:r>
    </w:p>
    <w:p w14:paraId="26320023" w14:textId="77777777" w:rsidR="00284AD4" w:rsidRPr="00B60BC4" w:rsidRDefault="00284AD4" w:rsidP="00A27C22">
      <w:pPr>
        <w:snapToGrid w:val="0"/>
        <w:spacing w:after="0" w:line="276" w:lineRule="auto"/>
        <w:ind w:left="720"/>
        <w:rPr>
          <w:rFonts w:ascii="Verdana" w:eastAsia="Times New Roman" w:hAnsi="Verdana" w:cs="Arial"/>
          <w:lang w:val="es-ES_tradnl" w:eastAsia="es-MX"/>
        </w:rPr>
      </w:pPr>
    </w:p>
    <w:p w14:paraId="673C1661" w14:textId="77777777" w:rsidR="00284AD4" w:rsidRPr="00B60BC4" w:rsidRDefault="00284AD4" w:rsidP="00284AD4">
      <w:pPr>
        <w:spacing w:after="0" w:line="276" w:lineRule="auto"/>
        <w:ind w:firstLine="709"/>
        <w:jc w:val="both"/>
        <w:rPr>
          <w:rFonts w:ascii="Verdana" w:eastAsia="Times New Roman" w:hAnsi="Verdana" w:cs="Arial"/>
          <w:lang w:val="es-ES" w:eastAsia="es-MX"/>
        </w:rPr>
      </w:pPr>
      <w:r w:rsidRPr="00B60BC4">
        <w:rPr>
          <w:rFonts w:ascii="Verdana" w:eastAsia="Times New Roman" w:hAnsi="Verdana" w:cs="Arial"/>
          <w:lang w:val="es-ES" w:eastAsia="es-MX"/>
        </w:rPr>
        <w:t xml:space="preserve">De esta forma, la Ley 1474 de 2011 enmarcó el seguimiento, control y vigilancia de la ejecución del contrato estatal dentro del principio de moralidad administrativa. El artículo 83 de la referida ley, establece que “con el fin de proteger la moralidad administrativa, de prevenir la ocurrencia de actos de corrupción y tutelar la transparencia de la actividad contractual, las entidades públicas están obligadas a vigilar permanentemente la correcta ejecución del objeto contratado a través de un supervisor o un interventor, según corresponda”. El legislador además definió las nociones de supervisión e interventoría, como mecanismos que pueden usar las Entidades Estatales para vigilar el contrato, en estos términos: </w:t>
      </w:r>
    </w:p>
    <w:p w14:paraId="07337503" w14:textId="77777777" w:rsidR="00284AD4" w:rsidRPr="00B60BC4" w:rsidRDefault="00284AD4" w:rsidP="00284AD4">
      <w:pPr>
        <w:spacing w:after="0" w:line="276" w:lineRule="auto"/>
        <w:ind w:left="720"/>
        <w:contextualSpacing/>
        <w:jc w:val="both"/>
        <w:textAlignment w:val="baseline"/>
        <w:rPr>
          <w:rFonts w:ascii="Verdana" w:eastAsia="Times New Roman" w:hAnsi="Verdana" w:cs="Arial"/>
          <w:lang w:val="es-ES_tradnl" w:eastAsia="es-MX"/>
        </w:rPr>
      </w:pPr>
    </w:p>
    <w:p w14:paraId="5C1CAB89" w14:textId="77777777" w:rsidR="00284AD4" w:rsidRPr="00F13A99" w:rsidRDefault="00284AD4" w:rsidP="00284AD4">
      <w:pPr>
        <w:spacing w:after="0" w:line="240" w:lineRule="auto"/>
        <w:ind w:left="709" w:right="709"/>
        <w:jc w:val="both"/>
        <w:textAlignment w:val="baseline"/>
        <w:rPr>
          <w:rFonts w:ascii="Verdana" w:eastAsia="Times New Roman" w:hAnsi="Verdana" w:cs="Arial"/>
          <w:sz w:val="20"/>
          <w:szCs w:val="20"/>
          <w:lang w:val="es-ES" w:eastAsia="es-MX"/>
        </w:rPr>
      </w:pPr>
      <w:r w:rsidRPr="00F13A99">
        <w:rPr>
          <w:rFonts w:ascii="Verdana" w:eastAsia="Times New Roman" w:hAnsi="Verdana" w:cs="Arial"/>
          <w:sz w:val="20"/>
          <w:szCs w:val="20"/>
          <w:lang w:val="es-ES" w:eastAsia="es-MX"/>
        </w:rPr>
        <w:t xml:space="preserve">“La supervisión consistirá en el seguimiento técnico, administrativo, financiero, contable, y jurídico </w:t>
      </w:r>
      <w:proofErr w:type="gramStart"/>
      <w:r w:rsidRPr="00F13A99">
        <w:rPr>
          <w:rFonts w:ascii="Verdana" w:eastAsia="Times New Roman" w:hAnsi="Verdana" w:cs="Arial"/>
          <w:sz w:val="20"/>
          <w:szCs w:val="20"/>
          <w:lang w:val="es-ES" w:eastAsia="es-MX"/>
        </w:rPr>
        <w:t>que</w:t>
      </w:r>
      <w:proofErr w:type="gramEnd"/>
      <w:r w:rsidRPr="00F13A99">
        <w:rPr>
          <w:rFonts w:ascii="Verdana" w:eastAsia="Times New Roman" w:hAnsi="Verdana" w:cs="Arial"/>
          <w:sz w:val="20"/>
          <w:szCs w:val="20"/>
          <w:lang w:val="es-ES" w:eastAsia="es-MX"/>
        </w:rPr>
        <w:t xml:space="preserve"> sobre el cumplimiento del objeto del contrato, es ejercida por la misma entidad estatal cuando no requieran conocimientos especializadas. Para la supervisión, la entidad estatal podrá contratar personal de apoyo, a través de los contratos de prestación de servicio que sean requeridos.</w:t>
      </w:r>
    </w:p>
    <w:p w14:paraId="6309BD7F" w14:textId="77777777" w:rsidR="00303045" w:rsidRPr="00F13A99" w:rsidRDefault="00303045" w:rsidP="008D6013">
      <w:pPr>
        <w:spacing w:after="0" w:line="240" w:lineRule="auto"/>
        <w:ind w:left="709" w:right="709"/>
        <w:jc w:val="both"/>
        <w:textAlignment w:val="baseline"/>
        <w:rPr>
          <w:rFonts w:ascii="Verdana" w:eastAsia="Times New Roman" w:hAnsi="Verdana" w:cs="Arial"/>
          <w:sz w:val="20"/>
          <w:szCs w:val="20"/>
          <w:lang w:val="es-ES" w:eastAsia="es-MX"/>
        </w:rPr>
      </w:pPr>
    </w:p>
    <w:p w14:paraId="52ED907E" w14:textId="77777777" w:rsidR="00284AD4" w:rsidRPr="00F13A99" w:rsidRDefault="00284AD4" w:rsidP="00A27C22">
      <w:pPr>
        <w:spacing w:after="0" w:line="240" w:lineRule="auto"/>
        <w:ind w:left="709" w:right="709"/>
        <w:jc w:val="both"/>
        <w:textAlignment w:val="baseline"/>
        <w:rPr>
          <w:rFonts w:ascii="Verdana" w:eastAsia="Times New Roman" w:hAnsi="Verdana" w:cs="Arial"/>
          <w:sz w:val="20"/>
          <w:szCs w:val="20"/>
          <w:lang w:val="es-ES" w:eastAsia="es-MX"/>
        </w:rPr>
      </w:pPr>
      <w:r w:rsidRPr="00F13A99">
        <w:rPr>
          <w:rFonts w:ascii="Verdana" w:eastAsia="Times New Roman" w:hAnsi="Verdana" w:cs="Arial"/>
          <w:sz w:val="20"/>
          <w:szCs w:val="20"/>
          <w:lang w:val="es-ES" w:eastAsia="es-MX"/>
        </w:rPr>
        <w:t xml:space="preserve">La interventoría consistirá en el seguimiento técnico que sobre el cumplimiento del contrato realice una persona natural o jurídica contratada para tal fin por la entidad estatal, cuando el seguimiento del contrato suponga conocimiento especializado en la materia, o cuando la complejidad o la extensión del mismo lo justifiquen. No obstante, lo anterior cuando la entidad lo encuentre justificado y acorde a la naturaleza del contrato principal, podrá contratar el seguimiento administrativo, </w:t>
      </w:r>
      <w:r w:rsidRPr="00F13A99">
        <w:rPr>
          <w:rFonts w:ascii="Verdana" w:eastAsia="Times New Roman" w:hAnsi="Verdana" w:cs="Arial"/>
          <w:sz w:val="20"/>
          <w:szCs w:val="20"/>
          <w:lang w:val="es-ES" w:eastAsia="es-MX"/>
        </w:rPr>
        <w:lastRenderedPageBreak/>
        <w:t>técnico, financiero, contable, jurídico del objeto o contrato dentro de la interventoría”</w:t>
      </w:r>
      <w:r w:rsidRPr="00F13A99">
        <w:rPr>
          <w:rFonts w:ascii="Verdana" w:eastAsia="Times New Roman" w:hAnsi="Verdana" w:cs="Arial"/>
          <w:sz w:val="20"/>
          <w:szCs w:val="20"/>
          <w:vertAlign w:val="superscript"/>
          <w:lang w:val="es-ES" w:eastAsia="es-MX"/>
        </w:rPr>
        <w:footnoteReference w:id="6"/>
      </w:r>
      <w:r w:rsidRPr="00F13A99">
        <w:rPr>
          <w:rFonts w:ascii="Verdana" w:eastAsia="Times New Roman" w:hAnsi="Verdana" w:cs="Arial"/>
          <w:sz w:val="20"/>
          <w:szCs w:val="20"/>
          <w:lang w:val="es-ES" w:eastAsia="es-MX"/>
        </w:rPr>
        <w:t>.</w:t>
      </w:r>
    </w:p>
    <w:p w14:paraId="7ECD16EC" w14:textId="77777777" w:rsidR="00284AD4" w:rsidRPr="00A27C22" w:rsidRDefault="00284AD4" w:rsidP="00284AD4">
      <w:pPr>
        <w:spacing w:after="0" w:line="276" w:lineRule="auto"/>
        <w:ind w:left="720"/>
        <w:contextualSpacing/>
        <w:jc w:val="both"/>
        <w:textAlignment w:val="baseline"/>
        <w:rPr>
          <w:rFonts w:ascii="Verdana" w:eastAsia="Times New Roman" w:hAnsi="Verdana" w:cs="Arial"/>
          <w:lang w:val="es-ES" w:eastAsia="es-MX"/>
        </w:rPr>
      </w:pPr>
    </w:p>
    <w:p w14:paraId="1CF5642E" w14:textId="77777777" w:rsidR="00284AD4" w:rsidRPr="00B60BC4" w:rsidRDefault="00284AD4" w:rsidP="00284AD4">
      <w:pPr>
        <w:spacing w:after="120" w:line="276" w:lineRule="auto"/>
        <w:ind w:firstLine="709"/>
        <w:jc w:val="both"/>
        <w:rPr>
          <w:rFonts w:ascii="Verdana" w:eastAsia="Times New Roman" w:hAnsi="Verdana" w:cs="Arial"/>
          <w:shd w:val="clear" w:color="auto" w:fill="FFFFFF"/>
          <w:lang w:val="es-ES"/>
        </w:rPr>
      </w:pPr>
      <w:r w:rsidRPr="00B60BC4">
        <w:rPr>
          <w:rFonts w:ascii="Verdana" w:eastAsia="Times New Roman" w:hAnsi="Verdana" w:cs="Arial"/>
          <w:bCs/>
          <w:lang w:val="es-ES"/>
        </w:rPr>
        <w:t>Sin perjuicio de lo anterior, según lo expresado por esta Agencia en el concepto No. 4201913000008240 del 20 de diciembre de 2019 y en el concepto C-972 de 2024, de las disposiciones contenidas en los artículos 83 y 84 de la Ley 1474 de 2011, se infieren las siguientes características de la supervisión: i) la labor de supervisión siempre existirá en relación con cualquier contrato estatal, incluidos los contratos de prestación de servicios –a diferencia de la interventoría que depende del análisis de su necesidad y extensión</w:t>
      </w:r>
      <w:r w:rsidRPr="00B60BC4">
        <w:rPr>
          <w:rFonts w:ascii="Verdana" w:eastAsia="Times New Roman" w:hAnsi="Verdana" w:cs="Arial"/>
          <w:bCs/>
          <w:vertAlign w:val="superscript"/>
          <w:lang w:val="es-ES"/>
        </w:rPr>
        <w:footnoteReference w:id="7"/>
      </w:r>
      <w:r w:rsidRPr="00B60BC4">
        <w:rPr>
          <w:rFonts w:ascii="Verdana" w:eastAsia="Times New Roman" w:hAnsi="Verdana" w:cs="Arial"/>
          <w:bCs/>
          <w:lang w:val="es-ES"/>
        </w:rPr>
        <w:t xml:space="preserve">–; </w:t>
      </w:r>
      <w:proofErr w:type="spellStart"/>
      <w:r w:rsidRPr="00B60BC4">
        <w:rPr>
          <w:rFonts w:ascii="Verdana" w:eastAsia="Times New Roman" w:hAnsi="Verdana" w:cs="Arial"/>
          <w:bCs/>
          <w:lang w:val="es-ES"/>
        </w:rPr>
        <w:t>ii</w:t>
      </w:r>
      <w:proofErr w:type="spellEnd"/>
      <w:r w:rsidRPr="00B60BC4">
        <w:rPr>
          <w:rFonts w:ascii="Verdana" w:eastAsia="Times New Roman" w:hAnsi="Verdana" w:cs="Arial"/>
          <w:bCs/>
          <w:lang w:val="es-ES"/>
        </w:rPr>
        <w:t xml:space="preserve">) no requiere conocimientos tan especializados como la interventoría; </w:t>
      </w:r>
      <w:proofErr w:type="spellStart"/>
      <w:r w:rsidRPr="00B60BC4">
        <w:rPr>
          <w:rFonts w:ascii="Verdana" w:eastAsia="Times New Roman" w:hAnsi="Verdana" w:cs="Arial"/>
          <w:bCs/>
          <w:lang w:val="es-ES"/>
        </w:rPr>
        <w:t>iii</w:t>
      </w:r>
      <w:proofErr w:type="spellEnd"/>
      <w:r w:rsidRPr="00B60BC4">
        <w:rPr>
          <w:rFonts w:ascii="Verdana" w:eastAsia="Times New Roman" w:hAnsi="Verdana" w:cs="Arial"/>
          <w:bCs/>
          <w:lang w:val="es-ES"/>
        </w:rPr>
        <w:t xml:space="preserve">) se ejerce por la Entidad Estatal por conducto de la designación de servidores públicos idóneos para cumplir la función; </w:t>
      </w:r>
      <w:proofErr w:type="spellStart"/>
      <w:r w:rsidRPr="00B60BC4">
        <w:rPr>
          <w:rFonts w:ascii="Verdana" w:eastAsia="Times New Roman" w:hAnsi="Verdana" w:cs="Arial"/>
          <w:bCs/>
          <w:lang w:val="es-ES"/>
        </w:rPr>
        <w:t>iv</w:t>
      </w:r>
      <w:proofErr w:type="spellEnd"/>
      <w:r w:rsidRPr="00B60BC4">
        <w:rPr>
          <w:rFonts w:ascii="Verdana" w:eastAsia="Times New Roman" w:hAnsi="Verdana" w:cs="Arial"/>
          <w:bCs/>
          <w:lang w:val="es-ES"/>
        </w:rPr>
        <w:t>) puede recibir apoyo de personal contratado para tal fin mediante contratos de prestación de servicios; y v) le es inseparable el seguimiento técnico, administrativo, financiero, contable y jurídico del contrato vigilado.</w:t>
      </w:r>
    </w:p>
    <w:p w14:paraId="0D1109B6" w14:textId="3182D03A" w:rsidR="00284AD4" w:rsidRPr="00B60BC4" w:rsidRDefault="00284AD4" w:rsidP="00284AD4">
      <w:pPr>
        <w:spacing w:after="120" w:line="276" w:lineRule="auto"/>
        <w:ind w:firstLine="709"/>
        <w:jc w:val="both"/>
        <w:rPr>
          <w:rFonts w:ascii="Verdana" w:eastAsia="Times New Roman" w:hAnsi="Verdana" w:cs="Arial"/>
          <w:shd w:val="clear" w:color="auto" w:fill="FFFFFF"/>
          <w:lang w:val="es-ES"/>
        </w:rPr>
      </w:pPr>
      <w:r w:rsidRPr="00B60BC4">
        <w:rPr>
          <w:rFonts w:ascii="Verdana" w:eastAsia="Times New Roman" w:hAnsi="Verdana" w:cs="Arial"/>
          <w:bCs/>
          <w:lang w:val="es-ES"/>
        </w:rPr>
        <w:t>Por otro lado, es pertinente señalar que esta Agencia ha considerado que</w:t>
      </w:r>
      <w:r w:rsidR="007148B3">
        <w:rPr>
          <w:rFonts w:ascii="Verdana" w:eastAsia="Times New Roman" w:hAnsi="Verdana" w:cs="Arial"/>
          <w:bCs/>
          <w:lang w:val="es-ES"/>
        </w:rPr>
        <w:t>,</w:t>
      </w:r>
      <w:r w:rsidRPr="00B60BC4">
        <w:rPr>
          <w:rFonts w:ascii="Verdana" w:eastAsia="Times New Roman" w:hAnsi="Verdana" w:cs="Arial"/>
          <w:bCs/>
          <w:lang w:val="es-ES"/>
        </w:rPr>
        <w:t xml:space="preserve"> del texto del artículo 83 de la Ley 1474 es posible inferir que la ley dispuso que la supervisión debe ser ejercida por la misma Entidad Estatal en cumplimiento de su deber de vigilancia de la ejecución idónea y oportuna del objeto contratado y puede llevarse a cabo con el apoyo de contratistas, pero no prevé que dicha actividad sea realizada directamente por el contratista, y que sea este último el único responsable del seguimiento contractual. </w:t>
      </w:r>
    </w:p>
    <w:p w14:paraId="61AE4C27" w14:textId="117EC94D" w:rsidR="00284AD4" w:rsidRPr="00B60BC4" w:rsidRDefault="00284AD4" w:rsidP="00284AD4">
      <w:pPr>
        <w:spacing w:after="120" w:line="276" w:lineRule="auto"/>
        <w:ind w:firstLine="709"/>
        <w:jc w:val="both"/>
        <w:rPr>
          <w:rFonts w:ascii="Verdana" w:eastAsia="Times New Roman" w:hAnsi="Verdana" w:cs="Arial"/>
          <w:shd w:val="clear" w:color="auto" w:fill="FFFFFF"/>
          <w:lang w:val="es-ES"/>
        </w:rPr>
      </w:pPr>
      <w:r w:rsidRPr="00B60BC4">
        <w:rPr>
          <w:rFonts w:ascii="Verdana" w:eastAsia="Times New Roman" w:hAnsi="Verdana" w:cs="Arial"/>
          <w:bCs/>
          <w:lang w:val="es-ES"/>
        </w:rPr>
        <w:t>L</w:t>
      </w:r>
      <w:r w:rsidR="002B6869">
        <w:rPr>
          <w:rFonts w:ascii="Verdana" w:eastAsia="Times New Roman" w:hAnsi="Verdana" w:cs="Arial"/>
          <w:bCs/>
          <w:lang w:val="es-ES"/>
        </w:rPr>
        <w:t>a</w:t>
      </w:r>
      <w:r w:rsidRPr="00B60BC4">
        <w:rPr>
          <w:rFonts w:ascii="Verdana" w:eastAsia="Times New Roman" w:hAnsi="Verdana" w:cs="Arial"/>
          <w:bCs/>
          <w:lang w:val="es-ES"/>
        </w:rPr>
        <w:t xml:space="preserve"> anterior postura se soporta en el trámite del proyecto de ley que se convirtió en la Ley 1474 de 2011, que inicialmente establecía que “la supervisión de los contratos sería ejercida por un funcionario de la misma entidad estatal, o por un contratista de prestación de servicios profesionales […]”</w:t>
      </w:r>
      <w:r w:rsidRPr="00B60BC4">
        <w:rPr>
          <w:rFonts w:ascii="Verdana" w:eastAsia="Times New Roman" w:hAnsi="Verdana" w:cs="Arial"/>
          <w:vertAlign w:val="superscript"/>
          <w:lang w:val="es-ES"/>
        </w:rPr>
        <w:footnoteReference w:id="8"/>
      </w:r>
      <w:r w:rsidRPr="00B60BC4">
        <w:rPr>
          <w:rFonts w:ascii="Verdana" w:eastAsia="Times New Roman" w:hAnsi="Verdana" w:cs="Arial"/>
          <w:bCs/>
          <w:lang w:val="es-ES"/>
        </w:rPr>
        <w:t>. Sin embargo, también lo es que esa postura fue modificada para el segundo debate legislativo</w:t>
      </w:r>
      <w:r w:rsidRPr="00B60BC4">
        <w:rPr>
          <w:rFonts w:ascii="Verdana" w:eastAsia="Times New Roman" w:hAnsi="Verdana" w:cs="Arial"/>
          <w:vertAlign w:val="superscript"/>
          <w:lang w:val="es-ES"/>
        </w:rPr>
        <w:footnoteReference w:id="9"/>
      </w:r>
      <w:r w:rsidRPr="00B60BC4">
        <w:rPr>
          <w:rFonts w:ascii="Verdana" w:eastAsia="Times New Roman" w:hAnsi="Verdana" w:cs="Arial"/>
          <w:bCs/>
          <w:lang w:val="es-ES"/>
        </w:rPr>
        <w:t xml:space="preserve"> </w:t>
      </w:r>
      <w:r w:rsidRPr="00B60BC4">
        <w:rPr>
          <w:rFonts w:ascii="Verdana" w:eastAsia="Times New Roman" w:hAnsi="Verdana" w:cs="Arial"/>
          <w:bCs/>
          <w:lang w:val="es-ES"/>
        </w:rPr>
        <w:lastRenderedPageBreak/>
        <w:t>y en la ponencia registrada para tercer debate</w:t>
      </w:r>
      <w:r w:rsidRPr="00B60BC4">
        <w:rPr>
          <w:rFonts w:ascii="Verdana" w:eastAsia="Times New Roman" w:hAnsi="Verdana" w:cs="Arial"/>
          <w:vertAlign w:val="superscript"/>
          <w:lang w:val="es-ES"/>
        </w:rPr>
        <w:footnoteReference w:id="10"/>
      </w:r>
      <w:r w:rsidRPr="00B60BC4">
        <w:rPr>
          <w:rFonts w:ascii="Verdana" w:eastAsia="Times New Roman" w:hAnsi="Verdana" w:cs="Arial"/>
          <w:bCs/>
          <w:lang w:val="es-ES"/>
        </w:rPr>
        <w:t>, en donde se estableció que “la supervisión de los contratos ser[</w:t>
      </w:r>
      <w:proofErr w:type="spellStart"/>
      <w:r w:rsidRPr="00B60BC4">
        <w:rPr>
          <w:rFonts w:ascii="Verdana" w:eastAsia="Times New Roman" w:hAnsi="Verdana" w:cs="Arial"/>
          <w:bCs/>
          <w:lang w:val="es-ES"/>
        </w:rPr>
        <w:t>ía</w:t>
      </w:r>
      <w:proofErr w:type="spellEnd"/>
      <w:r w:rsidRPr="00B60BC4">
        <w:rPr>
          <w:rFonts w:ascii="Verdana" w:eastAsia="Times New Roman" w:hAnsi="Verdana" w:cs="Arial"/>
          <w:bCs/>
          <w:lang w:val="es-ES"/>
        </w:rPr>
        <w:t>] ejercida por un funcionario de la misma entidad estatal”. Incluso, la versión que finalmente se aprobó en cuarto debate</w:t>
      </w:r>
      <w:r w:rsidRPr="00B60BC4">
        <w:rPr>
          <w:rFonts w:ascii="Verdana" w:eastAsia="Times New Roman" w:hAnsi="Verdana" w:cs="Arial"/>
          <w:vertAlign w:val="superscript"/>
          <w:lang w:val="es-ES"/>
        </w:rPr>
        <w:footnoteReference w:id="11"/>
      </w:r>
      <w:r w:rsidRPr="00B60BC4">
        <w:rPr>
          <w:rFonts w:ascii="Verdana" w:eastAsia="Times New Roman" w:hAnsi="Verdana" w:cs="Arial"/>
          <w:bCs/>
          <w:lang w:val="es-ES"/>
        </w:rPr>
        <w:t>, que fue acogida por ambas cámaras legislativas</w:t>
      </w:r>
      <w:r w:rsidRPr="00B60BC4">
        <w:rPr>
          <w:rFonts w:ascii="Verdana" w:eastAsia="Times New Roman" w:hAnsi="Verdana" w:cs="Arial"/>
          <w:vertAlign w:val="superscript"/>
          <w:lang w:val="es-ES"/>
        </w:rPr>
        <w:footnoteReference w:id="12"/>
      </w:r>
      <w:r w:rsidRPr="00B60BC4">
        <w:rPr>
          <w:rFonts w:ascii="Verdana" w:eastAsia="Times New Roman" w:hAnsi="Verdana" w:cs="Arial"/>
          <w:bCs/>
          <w:lang w:val="es-ES"/>
        </w:rPr>
        <w:t xml:space="preserve"> luego del correspondiente trámite de conciliación</w:t>
      </w:r>
      <w:r w:rsidRPr="00B60BC4">
        <w:rPr>
          <w:rFonts w:ascii="Verdana" w:eastAsia="Times New Roman" w:hAnsi="Verdana" w:cs="Arial"/>
          <w:vertAlign w:val="superscript"/>
          <w:lang w:val="es-ES"/>
        </w:rPr>
        <w:footnoteReference w:id="13"/>
      </w:r>
      <w:r w:rsidRPr="00B60BC4">
        <w:rPr>
          <w:rFonts w:ascii="Verdana" w:eastAsia="Times New Roman" w:hAnsi="Verdana" w:cs="Arial"/>
          <w:bCs/>
          <w:lang w:val="es-ES"/>
        </w:rPr>
        <w:t>, era del siguiente tenor: “la supervisión consistirá en el seguimiento administrativo, técnico, financiero, contable, y jurídico que sobre el cumplimiento del objeto del contrato es ejercida por la misma entidad estatal […]”. Nótese que el legislador acogió, finalmente, la noción “entidad estatal”, sin hacer referencia a los funcionarios de la entidad o a los contratistas.</w:t>
      </w:r>
    </w:p>
    <w:p w14:paraId="76AC677B" w14:textId="77777777" w:rsidR="00284AD4" w:rsidRDefault="00284AD4" w:rsidP="0011032D">
      <w:pPr>
        <w:spacing w:after="0" w:line="276" w:lineRule="auto"/>
        <w:ind w:firstLine="709"/>
        <w:jc w:val="both"/>
        <w:rPr>
          <w:rFonts w:ascii="Verdana" w:eastAsia="Times New Roman" w:hAnsi="Verdana" w:cs="Arial"/>
          <w:lang w:val="es-ES"/>
        </w:rPr>
      </w:pPr>
      <w:r w:rsidRPr="00B60BC4">
        <w:rPr>
          <w:rFonts w:ascii="Verdana" w:eastAsia="Times New Roman" w:hAnsi="Verdana" w:cs="Arial"/>
          <w:bCs/>
          <w:lang w:val="es-ES"/>
        </w:rPr>
        <w:t>La expresión “entidad estatal” podría dar a entender que la supervisión puede ser ejercida por funcionarios y contratistas, como inicialmente se presentó en la iniciativa legislativa, en el entendido de que las entidades, por regla general, se apoyan en los unos y los otros para el cumplimiento de sus funciones. Sin embargo, la Sección Tercera del Consejo de Estado</w:t>
      </w:r>
      <w:r w:rsidRPr="00B60BC4">
        <w:rPr>
          <w:rFonts w:ascii="Verdana" w:eastAsia="Times New Roman" w:hAnsi="Verdana" w:cs="Arial"/>
          <w:bCs/>
          <w:vertAlign w:val="superscript"/>
          <w:lang w:val="es-ES"/>
        </w:rPr>
        <w:footnoteReference w:id="14"/>
      </w:r>
      <w:r w:rsidRPr="00B60BC4">
        <w:rPr>
          <w:rFonts w:ascii="Verdana" w:eastAsia="Times New Roman" w:hAnsi="Verdana" w:cs="Arial"/>
          <w:bCs/>
          <w:lang w:val="es-ES"/>
        </w:rPr>
        <w:t>, en providencia del 12 de diciembre de 2014, consideró que la calidad de supervisor la tienen los funcionarios de la entidad estatal y no los contratistas. Esto, en los siguientes términos:</w:t>
      </w:r>
    </w:p>
    <w:p w14:paraId="13DE0EF6" w14:textId="77777777" w:rsidR="0011032D" w:rsidRPr="00B60BC4" w:rsidRDefault="0011032D" w:rsidP="00A27C22">
      <w:pPr>
        <w:spacing w:after="0" w:line="276" w:lineRule="auto"/>
        <w:ind w:firstLine="709"/>
        <w:jc w:val="both"/>
        <w:rPr>
          <w:rFonts w:ascii="Verdana" w:eastAsia="Times New Roman" w:hAnsi="Verdana" w:cs="Arial"/>
          <w:shd w:val="clear" w:color="auto" w:fill="FFFFFF"/>
          <w:lang w:val="es-ES"/>
        </w:rPr>
      </w:pPr>
    </w:p>
    <w:p w14:paraId="4F0AC86D" w14:textId="77777777" w:rsidR="00284AD4" w:rsidRDefault="00284AD4" w:rsidP="00284AD4">
      <w:pPr>
        <w:spacing w:after="0" w:line="240" w:lineRule="auto"/>
        <w:ind w:left="709" w:right="709"/>
        <w:jc w:val="both"/>
        <w:textAlignment w:val="baseline"/>
        <w:rPr>
          <w:rFonts w:ascii="Verdana" w:eastAsia="Times New Roman" w:hAnsi="Verdana" w:cs="Arial"/>
          <w:sz w:val="20"/>
          <w:szCs w:val="20"/>
          <w:lang w:val="es-ES" w:eastAsia="es-MX"/>
        </w:rPr>
      </w:pPr>
      <w:r w:rsidRPr="00A27C22">
        <w:rPr>
          <w:rFonts w:ascii="Verdana" w:eastAsia="Times New Roman" w:hAnsi="Verdana" w:cs="Arial"/>
          <w:color w:val="000000"/>
          <w:sz w:val="20"/>
          <w:szCs w:val="20"/>
          <w:lang w:val="es-MX"/>
        </w:rPr>
        <w:t>“</w:t>
      </w:r>
      <w:r w:rsidRPr="00A27C22">
        <w:rPr>
          <w:rFonts w:ascii="Verdana" w:eastAsia="Times New Roman" w:hAnsi="Verdana" w:cs="Arial"/>
          <w:sz w:val="20"/>
          <w:szCs w:val="20"/>
          <w:lang w:val="es-ES" w:eastAsia="es-MX"/>
        </w:rPr>
        <w:t xml:space="preserve">De entrada, debe advertirse que la supervisión de los contratos es un deber de las entidades públicas (artículo 4 de la Ley 80 de 1993), que bien pueden realizarla a través de supervisores o interventores para que verifiquen la ejecución y cumplimiento de los trabajos y actividades del contratista de la entidad pública. Esa labor es principalmente de intermediación entre la entidad contratante y el contratista, dirigida a cumplir el control y vigilancia de la correcta ejecución de las obligaciones surgidas del contrato y no la de sustituir o reemplazar a la entidad en la toma de las decisiones, quien conserva dicha potestad y la ejerce a través de su propio representante legal, que adelanta las actuaciones que le corresponden en virtud de su posición de parte dentro de la relación negocial. </w:t>
      </w:r>
    </w:p>
    <w:p w14:paraId="146340BA" w14:textId="77777777" w:rsidR="00197E10" w:rsidRPr="00A27C22" w:rsidRDefault="00197E10" w:rsidP="00284AD4">
      <w:pPr>
        <w:spacing w:after="0" w:line="240" w:lineRule="auto"/>
        <w:ind w:left="709" w:right="709"/>
        <w:jc w:val="both"/>
        <w:textAlignment w:val="baseline"/>
        <w:rPr>
          <w:rFonts w:ascii="Verdana" w:eastAsia="Times New Roman" w:hAnsi="Verdana" w:cs="Arial"/>
          <w:sz w:val="20"/>
          <w:szCs w:val="20"/>
          <w:lang w:val="es-ES" w:eastAsia="es-MX"/>
        </w:rPr>
      </w:pPr>
    </w:p>
    <w:p w14:paraId="6BB7E96B" w14:textId="77777777" w:rsidR="00284AD4" w:rsidRPr="00A27C22" w:rsidRDefault="00284AD4" w:rsidP="00284AD4">
      <w:pPr>
        <w:spacing w:after="0" w:line="240" w:lineRule="auto"/>
        <w:ind w:left="709" w:right="709"/>
        <w:jc w:val="both"/>
        <w:textAlignment w:val="baseline"/>
        <w:rPr>
          <w:rFonts w:ascii="Verdana" w:eastAsia="Times New Roman" w:hAnsi="Verdana" w:cs="Arial"/>
          <w:sz w:val="20"/>
          <w:szCs w:val="20"/>
          <w:lang w:val="es-ES" w:eastAsia="es-MX"/>
        </w:rPr>
      </w:pPr>
      <w:r w:rsidRPr="00A27C22">
        <w:rPr>
          <w:rFonts w:ascii="Verdana" w:eastAsia="Times New Roman" w:hAnsi="Verdana" w:cs="Arial"/>
          <w:sz w:val="20"/>
          <w:szCs w:val="20"/>
          <w:lang w:val="es-ES" w:eastAsia="es-MX"/>
        </w:rPr>
        <w:lastRenderedPageBreak/>
        <w:t>[…]</w:t>
      </w:r>
    </w:p>
    <w:p w14:paraId="03B52C04" w14:textId="77777777" w:rsidR="00197E10" w:rsidRDefault="00197E10" w:rsidP="00284AD4">
      <w:pPr>
        <w:spacing w:after="0" w:line="240" w:lineRule="auto"/>
        <w:ind w:left="709" w:right="709"/>
        <w:jc w:val="both"/>
        <w:textAlignment w:val="baseline"/>
        <w:rPr>
          <w:rFonts w:ascii="Verdana" w:eastAsia="Times New Roman" w:hAnsi="Verdana" w:cs="Arial"/>
          <w:sz w:val="20"/>
          <w:szCs w:val="20"/>
          <w:lang w:val="es-ES" w:eastAsia="es-MX"/>
        </w:rPr>
      </w:pPr>
    </w:p>
    <w:p w14:paraId="09829653" w14:textId="28DB64C2" w:rsidR="00284AD4" w:rsidRPr="00A27C22" w:rsidRDefault="00284AD4" w:rsidP="00284AD4">
      <w:pPr>
        <w:spacing w:after="0" w:line="240" w:lineRule="auto"/>
        <w:ind w:left="709" w:right="709"/>
        <w:jc w:val="both"/>
        <w:textAlignment w:val="baseline"/>
        <w:rPr>
          <w:rFonts w:ascii="Verdana" w:eastAsia="Times New Roman" w:hAnsi="Verdana" w:cs="Arial"/>
          <w:sz w:val="20"/>
          <w:szCs w:val="20"/>
          <w:lang w:val="es-ES" w:eastAsia="es-MX"/>
        </w:rPr>
      </w:pPr>
      <w:r w:rsidRPr="00A27C22">
        <w:rPr>
          <w:rFonts w:ascii="Verdana" w:eastAsia="Times New Roman" w:hAnsi="Verdana" w:cs="Arial"/>
          <w:sz w:val="20"/>
          <w:szCs w:val="20"/>
          <w:lang w:val="es-ES" w:eastAsia="es-MX"/>
        </w:rPr>
        <w:t>El ordenamiento jurídico admite que este tipo de funciones puedan ser encargadas a los funcionarios públicos de la entidad demandada, sin que se enmarquen en el régimen de inhabilidades e incompatibilidades. Efectivamente, de vieja data, el artículo 120 del Decreto Ley 222 de 198312, al definir las calidades del interventor, señaló que las entidades públicas verificarían la ejecución y cumplimiento de los trabajos y actividades de sus contratistas por medio de un interventor. Este podía ser funcionario suyo o ser contratado externamente. Lo anterior significaba que en vigencia del mencionado decreto la denominación de interventor se utilizaba indistintamente de la vinculación que este tuviera con la entidad pública. Actualmente, la cuestión se mantiene en similares condiciones, sólo que se considera supervisor al funcionario de la entidad pública que desarrolle la vigilancia de los contratos de esta última, sin perjuicio de que esa labor se pueda apoyar a través de contratos de prestación de servicios, pero no para asumir la supervisión, so pena de variar de una consultoría a otra tipología diferente y, por consiguiente, de eludir procesos de selección. Por su parte, se hablará de interventor cuando se trate de una vigilancia externa o contratada</w:t>
      </w:r>
      <w:r w:rsidRPr="00A27C22">
        <w:rPr>
          <w:rFonts w:ascii="Verdana" w:eastAsia="Times New Roman" w:hAnsi="Verdana" w:cs="Arial"/>
          <w:sz w:val="20"/>
          <w:szCs w:val="20"/>
          <w:vertAlign w:val="superscript"/>
          <w:lang w:val="es-ES" w:eastAsia="es-MX"/>
        </w:rPr>
        <w:footnoteReference w:id="15"/>
      </w:r>
      <w:r w:rsidRPr="00A27C22">
        <w:rPr>
          <w:rFonts w:ascii="Verdana" w:eastAsia="Times New Roman" w:hAnsi="Verdana" w:cs="Arial"/>
          <w:sz w:val="20"/>
          <w:szCs w:val="20"/>
          <w:lang w:val="es-ES" w:eastAsia="es-MX"/>
        </w:rPr>
        <w:t>.”</w:t>
      </w:r>
    </w:p>
    <w:p w14:paraId="71CDA9B8" w14:textId="77777777" w:rsidR="00284AD4" w:rsidRPr="00A27C22" w:rsidRDefault="00284AD4" w:rsidP="00A27C22">
      <w:pPr>
        <w:spacing w:after="0" w:line="276" w:lineRule="auto"/>
        <w:ind w:left="1417" w:right="709"/>
        <w:jc w:val="both"/>
        <w:textAlignment w:val="baseline"/>
        <w:rPr>
          <w:rFonts w:ascii="Verdana" w:eastAsia="Times New Roman" w:hAnsi="Verdana" w:cs="Arial"/>
          <w:lang w:val="es-ES" w:eastAsia="es-MX"/>
        </w:rPr>
      </w:pPr>
    </w:p>
    <w:p w14:paraId="6DB9ADE4" w14:textId="77777777" w:rsidR="00237CA3" w:rsidRDefault="00284AD4" w:rsidP="00284AD4">
      <w:pPr>
        <w:spacing w:after="120" w:line="276" w:lineRule="auto"/>
        <w:ind w:firstLine="709"/>
        <w:jc w:val="both"/>
        <w:rPr>
          <w:rFonts w:ascii="Verdana" w:eastAsia="Times New Roman" w:hAnsi="Verdana" w:cs="Arial"/>
          <w:shd w:val="clear" w:color="auto" w:fill="FFFFFF"/>
          <w:lang w:val="es-ES"/>
        </w:rPr>
      </w:pPr>
      <w:r w:rsidRPr="00B60BC4">
        <w:rPr>
          <w:rFonts w:ascii="Verdana" w:eastAsia="Times New Roman" w:hAnsi="Verdana" w:cs="Arial"/>
          <w:shd w:val="clear" w:color="auto" w:fill="FFFFFF"/>
          <w:lang w:val="es-ES"/>
        </w:rPr>
        <w:t xml:space="preserve">En ese mismo sentido, como se expuso previamente, la “Guía para el ejercicio de las funciones de supervisión e interventoría de los contratos suscritos por las Entidades Estatales” de Colombia Compra Eficiente consagró que la supervisión del contrato estatal corresponde al funcionario público de la entidad. Sin embargo, dicha guía reiteró que las Entidades Estatales puedan celebrar contratos de prestación de servicios para apoyar las actividades de supervisión, consignando en ellos las actividades propias del apoyo a la supervisión. </w:t>
      </w:r>
    </w:p>
    <w:p w14:paraId="2A943740" w14:textId="1B8F29EE" w:rsidR="00B601E2" w:rsidRDefault="00284AD4" w:rsidP="00B601E2">
      <w:pPr>
        <w:spacing w:after="120" w:line="276" w:lineRule="auto"/>
        <w:ind w:firstLine="709"/>
        <w:jc w:val="both"/>
        <w:rPr>
          <w:rFonts w:ascii="Verdana" w:eastAsia="Times New Roman" w:hAnsi="Verdana" w:cs="Arial"/>
          <w:shd w:val="clear" w:color="auto" w:fill="FFFFFF"/>
          <w:lang w:val="es-ES"/>
        </w:rPr>
      </w:pPr>
      <w:r w:rsidRPr="00B60BC4">
        <w:rPr>
          <w:rFonts w:ascii="Verdana" w:eastAsia="Times New Roman" w:hAnsi="Verdana" w:cs="Arial"/>
          <w:shd w:val="clear" w:color="auto" w:fill="FFFFFF"/>
          <w:lang w:val="es-ES"/>
        </w:rPr>
        <w:lastRenderedPageBreak/>
        <w:t xml:space="preserve">Con todo, el alcance de dicho apoyo dependerá del objeto y las obligaciones determinadas en el contrato de prestación de servicios, marco dentro del cual el contratista desarrollará las actividades tendientes a soportar el seguimiento del contrato y apoyar la verificación del cumplimiento, en las condiciones establecidas en el contrato vigilado, sin que ello implique que asuma directamente la supervisión. Así, por ejemplo, el contratista de prestación de servicios podrá apoyar en la tarea de revisión de los entregables, productos, en general, los requisitos para el pago y darle su concepto al supervisor. De todos modos, quien autorizará el pago ante la Entidad Estatal será el funcionario sobre quien recae la supervisión y el respectivo ordenador del gasto de la entidad. </w:t>
      </w:r>
    </w:p>
    <w:p w14:paraId="79F4E131" w14:textId="60D01A77" w:rsidR="00284AD4" w:rsidRPr="00B60BC4" w:rsidRDefault="00284AD4" w:rsidP="00284AD4">
      <w:pPr>
        <w:spacing w:after="120" w:line="276" w:lineRule="auto"/>
        <w:ind w:firstLine="709"/>
        <w:jc w:val="both"/>
        <w:rPr>
          <w:rFonts w:ascii="Verdana" w:eastAsia="Times New Roman" w:hAnsi="Verdana" w:cs="Arial"/>
          <w:shd w:val="clear" w:color="auto" w:fill="FFFFFF"/>
          <w:lang w:val="es-ES"/>
        </w:rPr>
      </w:pPr>
      <w:r w:rsidRPr="00B60BC4">
        <w:rPr>
          <w:rFonts w:ascii="Verdana" w:eastAsia="Times New Roman" w:hAnsi="Verdana" w:cs="Arial"/>
          <w:shd w:val="clear" w:color="auto" w:fill="FFFFFF"/>
          <w:lang w:val="es-ES"/>
        </w:rPr>
        <w:t>Además, la mencionada guía señala que tanto supervisores e interventores tienen la función general de ejercer el control y vigilancia sobre la ejecución contractual de los contratos respecto de los cuales ejercen sus correspondientes obligaciones. Dicha labor debe estar dirigida a verificar el cumplimiento de las condiciones pactadas, por lo que están facultados para solicitar informes, aclaraciones y explicaciones sobre el desarrollo de la ejecución contractual, impartir instrucciones al contratista y hacer recomendaciones encaminadas a lograr la correcta ejecución del objeto contratado.</w:t>
      </w:r>
    </w:p>
    <w:p w14:paraId="426FFDA0" w14:textId="77777777" w:rsidR="00284AD4" w:rsidRPr="00B60BC4" w:rsidRDefault="00284AD4" w:rsidP="00284AD4">
      <w:pPr>
        <w:spacing w:after="120" w:line="276" w:lineRule="auto"/>
        <w:ind w:firstLine="709"/>
        <w:jc w:val="both"/>
        <w:rPr>
          <w:rFonts w:ascii="Verdana" w:eastAsia="Times New Roman" w:hAnsi="Verdana" w:cs="Arial"/>
          <w:shd w:val="clear" w:color="auto" w:fill="FFFFFF"/>
          <w:lang w:val="es-ES"/>
        </w:rPr>
      </w:pPr>
      <w:r w:rsidRPr="00B60BC4">
        <w:rPr>
          <w:rFonts w:ascii="Verdana" w:eastAsia="Times New Roman" w:hAnsi="Verdana" w:cs="Arial"/>
          <w:shd w:val="clear" w:color="auto" w:fill="FFFFFF"/>
          <w:lang w:val="es-ES"/>
        </w:rPr>
        <w:t>Por tanto, el ejercicio de la vigilancia de la ejecución del contrato estatal conlleva la tarea de velar por el cumplimiento de los plazos, calidades, cantidades y adecuada ejecución de los recursos del contrato. Debido a esto, es a los supervisores y/o interventores a quienes corresponde, en primera medida, verificar las entregas de bienes, obras o servicios realizadas por el contratista, determinando si las mismas se ajustan a las condiciones pactadas. Tales actividades propias de la custodia a la debida ejecución de los contratos estatales también implican el deber de supervisores e interventores de concurrir a la suscripción de documentos como actas parciales de avance, actas parciales de recibo y actas de recibo final.</w:t>
      </w:r>
    </w:p>
    <w:p w14:paraId="2406D889" w14:textId="0535910F" w:rsidR="002069BF" w:rsidRPr="00B60BC4" w:rsidRDefault="00284AD4" w:rsidP="002069BF">
      <w:pPr>
        <w:spacing w:after="120" w:line="276" w:lineRule="auto"/>
        <w:ind w:firstLine="709"/>
        <w:jc w:val="both"/>
        <w:rPr>
          <w:rFonts w:ascii="Verdana" w:eastAsia="Times New Roman" w:hAnsi="Verdana" w:cs="Arial"/>
          <w:shd w:val="clear" w:color="auto" w:fill="FFFFFF"/>
          <w:lang w:val="es-ES"/>
        </w:rPr>
      </w:pPr>
      <w:r w:rsidRPr="00B60BC4">
        <w:rPr>
          <w:rFonts w:ascii="Verdana" w:eastAsia="Times New Roman" w:hAnsi="Verdana" w:cs="Arial"/>
          <w:shd w:val="clear" w:color="auto" w:fill="FFFFFF"/>
          <w:lang w:val="es-ES"/>
        </w:rPr>
        <w:t xml:space="preserve">En ese sentido, </w:t>
      </w:r>
      <w:r w:rsidR="003375F8">
        <w:rPr>
          <w:rFonts w:ascii="Verdana" w:eastAsia="Times New Roman" w:hAnsi="Verdana" w:cs="Arial"/>
          <w:shd w:val="clear" w:color="auto" w:fill="FFFFFF"/>
          <w:lang w:val="es-ES"/>
        </w:rPr>
        <w:t>respecto de</w:t>
      </w:r>
      <w:r w:rsidR="002069BF">
        <w:rPr>
          <w:rFonts w:ascii="Verdana" w:eastAsia="Times New Roman" w:hAnsi="Verdana" w:cs="Arial"/>
          <w:shd w:val="clear" w:color="auto" w:fill="FFFFFF"/>
          <w:lang w:val="es-ES"/>
        </w:rPr>
        <w:t xml:space="preserve">l primer problema jurídico planteado, </w:t>
      </w:r>
      <w:r w:rsidRPr="00B60BC4">
        <w:rPr>
          <w:rFonts w:ascii="Verdana" w:eastAsia="Times New Roman" w:hAnsi="Verdana" w:cs="Arial"/>
          <w:shd w:val="clear" w:color="auto" w:fill="FFFFFF"/>
          <w:lang w:val="es-ES"/>
        </w:rPr>
        <w:t xml:space="preserve">puede </w:t>
      </w:r>
      <w:r w:rsidR="00744B82">
        <w:rPr>
          <w:rFonts w:ascii="Verdana" w:eastAsia="Times New Roman" w:hAnsi="Verdana" w:cs="Arial"/>
          <w:shd w:val="clear" w:color="auto" w:fill="FFFFFF"/>
          <w:lang w:val="es-ES"/>
        </w:rPr>
        <w:t>concluirse</w:t>
      </w:r>
      <w:r w:rsidR="00744B82" w:rsidRPr="00B60BC4">
        <w:rPr>
          <w:rFonts w:ascii="Verdana" w:eastAsia="Times New Roman" w:hAnsi="Verdana" w:cs="Arial"/>
          <w:shd w:val="clear" w:color="auto" w:fill="FFFFFF"/>
          <w:lang w:val="es-ES"/>
        </w:rPr>
        <w:t xml:space="preserve"> </w:t>
      </w:r>
      <w:r w:rsidRPr="00B60BC4">
        <w:rPr>
          <w:rFonts w:ascii="Verdana" w:eastAsia="Times New Roman" w:hAnsi="Verdana" w:cs="Arial"/>
          <w:shd w:val="clear" w:color="auto" w:fill="FFFFFF"/>
          <w:lang w:val="es-ES"/>
        </w:rPr>
        <w:t xml:space="preserve">que la supervisión </w:t>
      </w:r>
      <w:r w:rsidR="00744B82">
        <w:rPr>
          <w:rFonts w:ascii="Verdana" w:eastAsia="Times New Roman" w:hAnsi="Verdana" w:cs="Arial"/>
          <w:shd w:val="clear" w:color="auto" w:fill="FFFFFF"/>
          <w:lang w:val="es-ES"/>
        </w:rPr>
        <w:t>constituye</w:t>
      </w:r>
      <w:r w:rsidR="00744B82" w:rsidRPr="00B60BC4">
        <w:rPr>
          <w:rFonts w:ascii="Verdana" w:eastAsia="Times New Roman" w:hAnsi="Verdana" w:cs="Arial"/>
          <w:shd w:val="clear" w:color="auto" w:fill="FFFFFF"/>
          <w:lang w:val="es-ES"/>
        </w:rPr>
        <w:t xml:space="preserve"> </w:t>
      </w:r>
      <w:r w:rsidRPr="00B60BC4">
        <w:rPr>
          <w:rFonts w:ascii="Verdana" w:eastAsia="Times New Roman" w:hAnsi="Verdana" w:cs="Arial"/>
          <w:shd w:val="clear" w:color="auto" w:fill="FFFFFF"/>
          <w:lang w:val="es-ES"/>
        </w:rPr>
        <w:t xml:space="preserve">uno de los medios para que las entidades ejerzan la dirección, control y vigilancia de sus contratos, con el fin de lograr el objeto contractual. </w:t>
      </w:r>
      <w:r w:rsidR="00744B82">
        <w:rPr>
          <w:rFonts w:ascii="Verdana" w:eastAsia="Times New Roman" w:hAnsi="Verdana" w:cs="Arial"/>
          <w:shd w:val="clear" w:color="auto" w:fill="FFFFFF"/>
          <w:lang w:val="es-ES"/>
        </w:rPr>
        <w:t>Tal c</w:t>
      </w:r>
      <w:r w:rsidR="002069BF">
        <w:rPr>
          <w:rFonts w:ascii="Verdana" w:eastAsia="Times New Roman" w:hAnsi="Verdana" w:cs="Arial"/>
          <w:shd w:val="clear" w:color="auto" w:fill="FFFFFF"/>
          <w:lang w:val="es-ES"/>
        </w:rPr>
        <w:t>omo se ha señalado a lo largo del presente concepto,</w:t>
      </w:r>
      <w:r w:rsidRPr="00B60BC4">
        <w:rPr>
          <w:rFonts w:ascii="Verdana" w:eastAsia="Times New Roman" w:hAnsi="Verdana" w:cs="Arial"/>
          <w:shd w:val="clear" w:color="auto" w:fill="FFFFFF"/>
          <w:lang w:val="es-ES"/>
        </w:rPr>
        <w:t xml:space="preserve"> </w:t>
      </w:r>
      <w:r w:rsidR="002069BF" w:rsidRPr="00B60BC4">
        <w:rPr>
          <w:rFonts w:ascii="Verdana" w:eastAsia="Times New Roman" w:hAnsi="Verdana" w:cs="Arial"/>
          <w:bCs/>
          <w:lang w:val="es-ES"/>
        </w:rPr>
        <w:t xml:space="preserve">la labor de supervisión </w:t>
      </w:r>
      <w:r w:rsidR="002069BF">
        <w:rPr>
          <w:rFonts w:ascii="Verdana" w:eastAsia="Times New Roman" w:hAnsi="Verdana" w:cs="Arial"/>
          <w:bCs/>
          <w:lang w:val="es-ES"/>
        </w:rPr>
        <w:t xml:space="preserve">debe </w:t>
      </w:r>
      <w:r w:rsidR="00DA03D1">
        <w:rPr>
          <w:rFonts w:ascii="Verdana" w:eastAsia="Times New Roman" w:hAnsi="Verdana" w:cs="Arial"/>
          <w:bCs/>
          <w:lang w:val="es-ES"/>
        </w:rPr>
        <w:t>realizarse</w:t>
      </w:r>
      <w:r w:rsidR="002069BF">
        <w:rPr>
          <w:rFonts w:ascii="Verdana" w:eastAsia="Times New Roman" w:hAnsi="Verdana" w:cs="Arial"/>
          <w:bCs/>
          <w:lang w:val="es-ES"/>
        </w:rPr>
        <w:t xml:space="preserve"> frente a </w:t>
      </w:r>
      <w:r w:rsidR="002069BF" w:rsidRPr="00B60BC4">
        <w:rPr>
          <w:rFonts w:ascii="Verdana" w:eastAsia="Times New Roman" w:hAnsi="Verdana" w:cs="Arial"/>
          <w:bCs/>
          <w:lang w:val="es-ES"/>
        </w:rPr>
        <w:t>cualquier contrato estatal</w:t>
      </w:r>
      <w:r w:rsidR="002069BF">
        <w:rPr>
          <w:rFonts w:ascii="Verdana" w:eastAsia="Times New Roman" w:hAnsi="Verdana" w:cs="Arial"/>
          <w:bCs/>
          <w:lang w:val="es-ES"/>
        </w:rPr>
        <w:t xml:space="preserve">, incluido los contratos de interventoría de obra pública. </w:t>
      </w:r>
    </w:p>
    <w:p w14:paraId="318E5E4D" w14:textId="35ADC288" w:rsidR="002069BF" w:rsidRDefault="002069BF" w:rsidP="00284AD4">
      <w:pPr>
        <w:spacing w:after="120" w:line="276" w:lineRule="auto"/>
        <w:ind w:firstLine="709"/>
        <w:jc w:val="both"/>
        <w:rPr>
          <w:rFonts w:ascii="Verdana" w:eastAsia="Times New Roman" w:hAnsi="Verdana" w:cs="Arial"/>
          <w:shd w:val="clear" w:color="auto" w:fill="FFFFFF"/>
          <w:lang w:val="es-ES"/>
        </w:rPr>
      </w:pPr>
    </w:p>
    <w:p w14:paraId="5D61C175" w14:textId="5AC77360" w:rsidR="00284AD4" w:rsidRPr="00B60BC4" w:rsidRDefault="002069BF" w:rsidP="00284AD4">
      <w:pPr>
        <w:spacing w:after="120" w:line="276" w:lineRule="auto"/>
        <w:ind w:firstLine="709"/>
        <w:jc w:val="both"/>
        <w:rPr>
          <w:rFonts w:ascii="Verdana" w:eastAsia="Times New Roman" w:hAnsi="Verdana" w:cs="Arial"/>
          <w:shd w:val="clear" w:color="auto" w:fill="FFFFFF"/>
          <w:lang w:val="es-ES"/>
        </w:rPr>
      </w:pPr>
      <w:r>
        <w:rPr>
          <w:rFonts w:ascii="Verdana" w:eastAsia="Times New Roman" w:hAnsi="Verdana" w:cs="Arial"/>
          <w:shd w:val="clear" w:color="auto" w:fill="FFFFFF"/>
          <w:lang w:val="es-ES"/>
        </w:rPr>
        <w:lastRenderedPageBreak/>
        <w:t xml:space="preserve">Ahora bien, </w:t>
      </w:r>
      <w:r w:rsidR="00B03EC6">
        <w:rPr>
          <w:rFonts w:ascii="Verdana" w:eastAsia="Times New Roman" w:hAnsi="Verdana" w:cs="Arial"/>
          <w:shd w:val="clear" w:color="auto" w:fill="FFFFFF"/>
          <w:lang w:val="es-ES"/>
        </w:rPr>
        <w:t>en elación con e</w:t>
      </w:r>
      <w:r>
        <w:rPr>
          <w:rFonts w:ascii="Verdana" w:eastAsia="Times New Roman" w:hAnsi="Verdana" w:cs="Arial"/>
          <w:shd w:val="clear" w:color="auto" w:fill="FFFFFF"/>
          <w:lang w:val="es-ES"/>
        </w:rPr>
        <w:t>l segundo problema jurídico planteado, d</w:t>
      </w:r>
      <w:r w:rsidR="004D0EE7">
        <w:rPr>
          <w:rFonts w:ascii="Verdana" w:eastAsia="Times New Roman" w:hAnsi="Verdana" w:cs="Arial"/>
          <w:shd w:val="clear" w:color="auto" w:fill="FFFFFF"/>
          <w:lang w:val="es-ES"/>
        </w:rPr>
        <w:t>e</w:t>
      </w:r>
      <w:r>
        <w:rPr>
          <w:rFonts w:ascii="Verdana" w:eastAsia="Times New Roman" w:hAnsi="Verdana" w:cs="Arial"/>
          <w:shd w:val="clear" w:color="auto" w:fill="FFFFFF"/>
          <w:lang w:val="es-ES"/>
        </w:rPr>
        <w:t xml:space="preserve">be </w:t>
      </w:r>
      <w:r w:rsidR="00B03EC6">
        <w:rPr>
          <w:rFonts w:ascii="Verdana" w:eastAsia="Times New Roman" w:hAnsi="Verdana" w:cs="Arial"/>
          <w:shd w:val="clear" w:color="auto" w:fill="FFFFFF"/>
          <w:lang w:val="es-ES"/>
        </w:rPr>
        <w:t>precisarse</w:t>
      </w:r>
      <w:r>
        <w:rPr>
          <w:rFonts w:ascii="Verdana" w:eastAsia="Times New Roman" w:hAnsi="Verdana" w:cs="Arial"/>
          <w:shd w:val="clear" w:color="auto" w:fill="FFFFFF"/>
          <w:lang w:val="es-ES"/>
        </w:rPr>
        <w:t xml:space="preserve"> que, </w:t>
      </w:r>
      <w:r w:rsidR="00284AD4" w:rsidRPr="00B60BC4">
        <w:rPr>
          <w:rFonts w:ascii="Verdana" w:eastAsia="Times New Roman" w:hAnsi="Verdana" w:cs="Arial"/>
          <w:shd w:val="clear" w:color="auto" w:fill="FFFFFF"/>
          <w:lang w:val="es-ES"/>
        </w:rPr>
        <w:t xml:space="preserve">el supervisor, de acuerdo con lo </w:t>
      </w:r>
      <w:r>
        <w:rPr>
          <w:rFonts w:ascii="Verdana" w:eastAsia="Times New Roman" w:hAnsi="Verdana" w:cs="Arial"/>
          <w:shd w:val="clear" w:color="auto" w:fill="FFFFFF"/>
          <w:lang w:val="es-ES"/>
        </w:rPr>
        <w:t>dispuesto</w:t>
      </w:r>
      <w:r w:rsidRPr="00B60BC4">
        <w:rPr>
          <w:rFonts w:ascii="Verdana" w:eastAsia="Times New Roman" w:hAnsi="Verdana" w:cs="Arial"/>
          <w:shd w:val="clear" w:color="auto" w:fill="FFFFFF"/>
          <w:lang w:val="es-ES"/>
        </w:rPr>
        <w:t xml:space="preserve"> </w:t>
      </w:r>
      <w:r w:rsidR="00284AD4" w:rsidRPr="00B60BC4">
        <w:rPr>
          <w:rFonts w:ascii="Verdana" w:eastAsia="Times New Roman" w:hAnsi="Verdana" w:cs="Arial"/>
          <w:shd w:val="clear" w:color="auto" w:fill="FFFFFF"/>
          <w:lang w:val="es-ES"/>
        </w:rPr>
        <w:t xml:space="preserve">en la Ley 80 de 1993, tiene la obligación de desarrollar las actividades </w:t>
      </w:r>
      <w:r w:rsidR="00857C02">
        <w:rPr>
          <w:rFonts w:ascii="Verdana" w:eastAsia="Times New Roman" w:hAnsi="Verdana" w:cs="Arial"/>
          <w:shd w:val="clear" w:color="auto" w:fill="FFFFFF"/>
          <w:lang w:val="es-ES"/>
        </w:rPr>
        <w:t>orientadas a</w:t>
      </w:r>
      <w:r w:rsidR="00284AD4" w:rsidRPr="00B60BC4">
        <w:rPr>
          <w:rFonts w:ascii="Verdana" w:eastAsia="Times New Roman" w:hAnsi="Verdana" w:cs="Arial"/>
          <w:shd w:val="clear" w:color="auto" w:fill="FFFFFF"/>
          <w:lang w:val="es-ES"/>
        </w:rPr>
        <w:t xml:space="preserve"> la vigilancia y seguimiento del cumplimiento de</w:t>
      </w:r>
      <w:r w:rsidR="004D0EE7">
        <w:rPr>
          <w:rFonts w:ascii="Verdana" w:eastAsia="Times New Roman" w:hAnsi="Verdana" w:cs="Arial"/>
          <w:shd w:val="clear" w:color="auto" w:fill="FFFFFF"/>
          <w:lang w:val="es-ES"/>
        </w:rPr>
        <w:t>l</w:t>
      </w:r>
      <w:r w:rsidR="00284AD4" w:rsidRPr="00B60BC4">
        <w:rPr>
          <w:rFonts w:ascii="Verdana" w:eastAsia="Times New Roman" w:hAnsi="Verdana" w:cs="Arial"/>
          <w:shd w:val="clear" w:color="auto" w:fill="FFFFFF"/>
          <w:lang w:val="es-ES"/>
        </w:rPr>
        <w:t xml:space="preserve"> contrato</w:t>
      </w:r>
      <w:r w:rsidR="004D0EE7">
        <w:rPr>
          <w:rFonts w:ascii="Verdana" w:eastAsia="Times New Roman" w:hAnsi="Verdana" w:cs="Arial"/>
          <w:shd w:val="clear" w:color="auto" w:fill="FFFFFF"/>
          <w:lang w:val="es-ES"/>
        </w:rPr>
        <w:t xml:space="preserve"> objeto de supervisión, </w:t>
      </w:r>
      <w:r w:rsidR="008074EB">
        <w:rPr>
          <w:rFonts w:ascii="Verdana" w:eastAsia="Times New Roman" w:hAnsi="Verdana" w:cs="Arial"/>
          <w:shd w:val="clear" w:color="auto" w:fill="FFFFFF"/>
          <w:lang w:val="es-ES"/>
        </w:rPr>
        <w:t>lo cual</w:t>
      </w:r>
      <w:r w:rsidR="001F23C5">
        <w:rPr>
          <w:rFonts w:ascii="Verdana" w:eastAsia="Times New Roman" w:hAnsi="Verdana" w:cs="Arial"/>
          <w:shd w:val="clear" w:color="auto" w:fill="FFFFFF"/>
          <w:lang w:val="es-ES"/>
        </w:rPr>
        <w:t>,</w:t>
      </w:r>
      <w:r w:rsidR="008074EB">
        <w:rPr>
          <w:rFonts w:ascii="Verdana" w:eastAsia="Times New Roman" w:hAnsi="Verdana" w:cs="Arial"/>
          <w:shd w:val="clear" w:color="auto" w:fill="FFFFFF"/>
          <w:lang w:val="es-ES"/>
        </w:rPr>
        <w:t xml:space="preserve"> en</w:t>
      </w:r>
      <w:r w:rsidR="004D0EE7">
        <w:rPr>
          <w:rFonts w:ascii="Verdana" w:eastAsia="Times New Roman" w:hAnsi="Verdana" w:cs="Arial"/>
          <w:shd w:val="clear" w:color="auto" w:fill="FFFFFF"/>
          <w:lang w:val="es-ES"/>
        </w:rPr>
        <w:t xml:space="preserve"> el caso </w:t>
      </w:r>
      <w:r w:rsidR="008074EB">
        <w:rPr>
          <w:rFonts w:ascii="Verdana" w:eastAsia="Times New Roman" w:hAnsi="Verdana" w:cs="Arial"/>
          <w:shd w:val="clear" w:color="auto" w:fill="FFFFFF"/>
          <w:lang w:val="es-ES"/>
        </w:rPr>
        <w:t>analizado, corresponde</w:t>
      </w:r>
      <w:r w:rsidR="001F23C5">
        <w:rPr>
          <w:rFonts w:ascii="Verdana" w:eastAsia="Times New Roman" w:hAnsi="Verdana" w:cs="Arial"/>
          <w:shd w:val="clear" w:color="auto" w:fill="FFFFFF"/>
          <w:lang w:val="es-ES"/>
        </w:rPr>
        <w:t xml:space="preserve"> al</w:t>
      </w:r>
      <w:r w:rsidR="00F80114">
        <w:rPr>
          <w:rFonts w:ascii="Verdana" w:eastAsia="Times New Roman" w:hAnsi="Verdana" w:cs="Arial"/>
          <w:shd w:val="clear" w:color="auto" w:fill="FFFFFF"/>
          <w:lang w:val="es-ES"/>
        </w:rPr>
        <w:t xml:space="preserve"> contrato</w:t>
      </w:r>
      <w:r w:rsidR="004D0EE7">
        <w:rPr>
          <w:rFonts w:ascii="Verdana" w:eastAsia="Times New Roman" w:hAnsi="Verdana" w:cs="Arial"/>
          <w:shd w:val="clear" w:color="auto" w:fill="FFFFFF"/>
          <w:lang w:val="es-ES"/>
        </w:rPr>
        <w:t xml:space="preserve"> de interventoría</w:t>
      </w:r>
      <w:r w:rsidR="00F80114">
        <w:rPr>
          <w:rFonts w:ascii="Verdana" w:eastAsia="Times New Roman" w:hAnsi="Verdana" w:cs="Arial"/>
          <w:shd w:val="clear" w:color="auto" w:fill="FFFFFF"/>
          <w:lang w:val="es-ES"/>
        </w:rPr>
        <w:t xml:space="preserve">. </w:t>
      </w:r>
      <w:r w:rsidR="001F23C5">
        <w:rPr>
          <w:rFonts w:ascii="Verdana" w:eastAsia="Times New Roman" w:hAnsi="Verdana" w:cs="Arial"/>
          <w:shd w:val="clear" w:color="auto" w:fill="FFFFFF"/>
          <w:lang w:val="es-ES"/>
        </w:rPr>
        <w:t>En consecuencia</w:t>
      </w:r>
      <w:r w:rsidR="00F80114">
        <w:rPr>
          <w:rFonts w:ascii="Verdana" w:eastAsia="Times New Roman" w:hAnsi="Verdana" w:cs="Arial"/>
          <w:shd w:val="clear" w:color="auto" w:fill="FFFFFF"/>
          <w:lang w:val="es-ES"/>
        </w:rPr>
        <w:t>, el</w:t>
      </w:r>
      <w:r w:rsidR="00284AD4" w:rsidRPr="00B60BC4">
        <w:rPr>
          <w:rFonts w:ascii="Verdana" w:eastAsia="Times New Roman" w:hAnsi="Verdana" w:cs="Arial"/>
          <w:shd w:val="clear" w:color="auto" w:fill="FFFFFF"/>
          <w:lang w:val="es-ES"/>
        </w:rPr>
        <w:t xml:space="preserve"> empleado público</w:t>
      </w:r>
      <w:r w:rsidR="00F80114">
        <w:rPr>
          <w:rFonts w:ascii="Verdana" w:eastAsia="Times New Roman" w:hAnsi="Verdana" w:cs="Arial"/>
          <w:shd w:val="clear" w:color="auto" w:fill="FFFFFF"/>
          <w:lang w:val="es-ES"/>
        </w:rPr>
        <w:t xml:space="preserve"> </w:t>
      </w:r>
      <w:r w:rsidR="003B759B">
        <w:rPr>
          <w:rFonts w:ascii="Verdana" w:eastAsia="Times New Roman" w:hAnsi="Verdana" w:cs="Arial"/>
          <w:shd w:val="clear" w:color="auto" w:fill="FFFFFF"/>
          <w:lang w:val="es-ES"/>
        </w:rPr>
        <w:t>designado como supervisor</w:t>
      </w:r>
      <w:r w:rsidR="00D65F06">
        <w:rPr>
          <w:rFonts w:ascii="Verdana" w:eastAsia="Times New Roman" w:hAnsi="Verdana" w:cs="Arial"/>
          <w:shd w:val="clear" w:color="auto" w:fill="FFFFFF"/>
          <w:lang w:val="es-ES"/>
        </w:rPr>
        <w:t xml:space="preserve"> deberá ejercer las labores propias en relación con el contrato de interventoría, más no frente a</w:t>
      </w:r>
      <w:r w:rsidR="00D36D3B">
        <w:rPr>
          <w:rFonts w:ascii="Verdana" w:eastAsia="Times New Roman" w:hAnsi="Verdana" w:cs="Arial"/>
          <w:shd w:val="clear" w:color="auto" w:fill="FFFFFF"/>
          <w:lang w:val="es-ES"/>
        </w:rPr>
        <w:t xml:space="preserve">l contrato de obra pública </w:t>
      </w:r>
      <w:r w:rsidR="001D00D0">
        <w:rPr>
          <w:rFonts w:ascii="Verdana" w:eastAsia="Times New Roman" w:hAnsi="Verdana" w:cs="Arial"/>
          <w:shd w:val="clear" w:color="auto" w:fill="FFFFFF"/>
          <w:lang w:val="es-ES"/>
        </w:rPr>
        <w:t xml:space="preserve">que constituye el </w:t>
      </w:r>
      <w:r w:rsidR="00D36D3B">
        <w:rPr>
          <w:rFonts w:ascii="Verdana" w:eastAsia="Times New Roman" w:hAnsi="Verdana" w:cs="Arial"/>
          <w:shd w:val="clear" w:color="auto" w:fill="FFFFFF"/>
          <w:lang w:val="es-ES"/>
        </w:rPr>
        <w:t>objeto del contrato de interventoría</w:t>
      </w:r>
      <w:r w:rsidR="00284AD4" w:rsidRPr="00B60BC4">
        <w:rPr>
          <w:rFonts w:ascii="Verdana" w:eastAsia="Times New Roman" w:hAnsi="Verdana" w:cs="Arial"/>
          <w:shd w:val="clear" w:color="auto" w:fill="FFFFFF"/>
          <w:lang w:val="es-ES"/>
        </w:rPr>
        <w:t>.</w:t>
      </w:r>
    </w:p>
    <w:p w14:paraId="0A4799A5" w14:textId="77777777" w:rsidR="00284AD4" w:rsidRPr="00B60BC4" w:rsidRDefault="00284AD4" w:rsidP="00284AD4">
      <w:pPr>
        <w:spacing w:after="120" w:line="276" w:lineRule="auto"/>
        <w:ind w:firstLine="709"/>
        <w:jc w:val="both"/>
        <w:rPr>
          <w:rFonts w:ascii="Verdana" w:eastAsia="Times New Roman" w:hAnsi="Verdana" w:cs="Arial"/>
          <w:shd w:val="clear" w:color="auto" w:fill="FFFFFF"/>
          <w:lang w:val="es-ES"/>
        </w:rPr>
      </w:pPr>
      <w:r w:rsidRPr="00B60BC4">
        <w:rPr>
          <w:rFonts w:ascii="Verdana" w:eastAsia="Times New Roman" w:hAnsi="Verdana" w:cs="Arial"/>
          <w:color w:val="000000"/>
          <w:lang w:val="es-ES_tradnl" w:eastAsia="es-ES_tradnl"/>
        </w:rPr>
        <w:t>Adicionalmente, debe precisarse que esta Agencia en el ejercicio de sus funciones, expidió la “Guía para el ejercicio de las funciones de Supervisión e Interventoría de los contratos del Estado”, la cual constituye una herramienta pedagógica en la que se imparten lineamientos de buenas prácticas para el ejercicio de la supervisión e interventoría de los contratos estatales, que se encuentra disponible para su consulta en el siguiente enlace:</w:t>
      </w:r>
      <w:r w:rsidRPr="00B60BC4">
        <w:rPr>
          <w:rFonts w:ascii="Verdana" w:eastAsia="Times New Roman" w:hAnsi="Verdana" w:cs="Arial"/>
          <w:shd w:val="clear" w:color="auto" w:fill="FFFFFF"/>
          <w:lang w:val="es-ES"/>
        </w:rPr>
        <w:t xml:space="preserve"> </w:t>
      </w:r>
      <w:hyperlink r:id="rId12" w:history="1">
        <w:r w:rsidRPr="00B60BC4">
          <w:rPr>
            <w:rFonts w:ascii="Verdana" w:eastAsia="Times New Roman" w:hAnsi="Verdana" w:cs="Arial"/>
            <w:color w:val="0563C1" w:themeColor="hyperlink"/>
            <w:u w:val="single"/>
            <w:lang w:val="es-ES_tradnl" w:eastAsia="es-ES_tradnl"/>
          </w:rPr>
          <w:t>https://www.colombiacompra.gov.co/sites/cce_public/files/cce_documents/cce_guia_para_el_ejercicio_de_las_funciones_de_supervision_e_interventoria_de_los_contratos_del_estado.pdf</w:t>
        </w:r>
      </w:hyperlink>
      <w:r w:rsidRPr="00B60BC4">
        <w:rPr>
          <w:rFonts w:ascii="Verdana" w:eastAsia="Times New Roman" w:hAnsi="Verdana" w:cs="Arial"/>
          <w:color w:val="000000"/>
          <w:lang w:val="es-ES_tradnl" w:eastAsia="es-ES_tradnl"/>
        </w:rPr>
        <w:t xml:space="preserve"> </w:t>
      </w:r>
    </w:p>
    <w:bookmarkEnd w:id="5"/>
    <w:p w14:paraId="1E2EB098" w14:textId="77777777" w:rsidR="00284AD4" w:rsidRPr="004F7B86" w:rsidRDefault="00284AD4" w:rsidP="00284AD4">
      <w:pPr>
        <w:spacing w:after="120" w:line="276" w:lineRule="auto"/>
        <w:ind w:firstLine="708"/>
        <w:jc w:val="both"/>
        <w:rPr>
          <w:rFonts w:ascii="Verdana" w:eastAsia="Calibri" w:hAnsi="Verdana" w:cs="Arial"/>
          <w:lang w:eastAsia="es-ES_tradnl"/>
        </w:rPr>
      </w:pPr>
      <w:r w:rsidRPr="00B00396">
        <w:rPr>
          <w:rFonts w:ascii="Verdana" w:eastAsia="Calibri" w:hAnsi="Verdana" w:cs="Times New Roman"/>
          <w:lang w:val="es-ES"/>
        </w:rPr>
        <w:t xml:space="preserve">Finalmente debe advertirse, que el análisis para </w:t>
      </w:r>
      <w:r w:rsidRPr="00DB4737">
        <w:rPr>
          <w:rFonts w:ascii="Verdana" w:eastAsia="Calibri" w:hAnsi="Verdana" w:cs="Times New Roman"/>
          <w:lang w:val="es-ES"/>
        </w:rPr>
        <w:t xml:space="preserve">resolver problemas específicos en torno </w:t>
      </w:r>
      <w:r>
        <w:rPr>
          <w:rFonts w:ascii="Verdana" w:eastAsia="Calibri" w:hAnsi="Verdana" w:cs="Times New Roman"/>
          <w:lang w:val="es-ES"/>
        </w:rPr>
        <w:t>a los procesos de contratación</w:t>
      </w:r>
      <w:r w:rsidRPr="002B5057">
        <w:rPr>
          <w:rFonts w:ascii="Verdana" w:eastAsia="Calibri" w:hAnsi="Verdana" w:cs="Times New Roman"/>
          <w:lang w:val="es-ES"/>
        </w:rPr>
        <w:t xml:space="preserve"> debe ser realizado por quienes tengan interés en ello.</w:t>
      </w:r>
      <w:r w:rsidRPr="00B00396">
        <w:rPr>
          <w:rFonts w:ascii="Verdana" w:eastAsia="Calibri" w:hAnsi="Verdana" w:cs="Times New Roman"/>
          <w:lang w:val="es-ES"/>
        </w:rPr>
        <w:t xml:space="preserve"> De esta forma, las afirmaciones aquí realizadas</w:t>
      </w:r>
      <w:r w:rsidRPr="00DB4737">
        <w:rPr>
          <w:rFonts w:ascii="Verdana" w:eastAsia="Calibri" w:hAnsi="Verdana" w:cs="Times New Roman"/>
          <w:lang w:val="es-ES"/>
        </w:rPr>
        <w:t xml:space="preserve">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p>
    <w:p w14:paraId="00396F7E" w14:textId="77777777" w:rsidR="00284AD4" w:rsidRDefault="00284AD4" w:rsidP="00284AD4">
      <w:pPr>
        <w:spacing w:after="0" w:line="276" w:lineRule="auto"/>
        <w:ind w:firstLine="708"/>
        <w:jc w:val="both"/>
        <w:rPr>
          <w:rFonts w:ascii="Verdana" w:eastAsia="Calibri" w:hAnsi="Verdana" w:cs="Times New Roman"/>
          <w:lang w:val="es-ES"/>
        </w:rPr>
      </w:pPr>
      <w:r w:rsidRPr="00DB4737">
        <w:rPr>
          <w:rFonts w:ascii="Verdana" w:eastAsia="Calibri" w:hAnsi="Verdana" w:cs="Times New Roman"/>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r>
        <w:rPr>
          <w:rFonts w:ascii="Verdana" w:eastAsia="Calibri" w:hAnsi="Verdana" w:cs="Times New Roman"/>
          <w:lang w:val="es-ES"/>
        </w:rPr>
        <w:t>.</w:t>
      </w:r>
    </w:p>
    <w:p w14:paraId="3676F80F" w14:textId="77777777" w:rsidR="00284AD4" w:rsidRPr="008E2432" w:rsidRDefault="00284AD4" w:rsidP="00284AD4">
      <w:pPr>
        <w:spacing w:after="0" w:line="276" w:lineRule="auto"/>
        <w:ind w:firstLine="708"/>
        <w:jc w:val="both"/>
        <w:rPr>
          <w:rFonts w:ascii="Verdana" w:eastAsia="Calibri" w:hAnsi="Verdana" w:cs="Times New Roman"/>
          <w:lang w:val="es-ES"/>
        </w:rPr>
      </w:pPr>
    </w:p>
    <w:p w14:paraId="0D1735A4" w14:textId="77777777" w:rsidR="00284AD4" w:rsidRPr="0060676F" w:rsidRDefault="00284AD4" w:rsidP="00284AD4">
      <w:pPr>
        <w:pStyle w:val="Prrafodelista"/>
        <w:numPr>
          <w:ilvl w:val="0"/>
          <w:numId w:val="16"/>
        </w:numPr>
        <w:spacing w:after="0" w:line="276" w:lineRule="auto"/>
        <w:ind w:left="284"/>
        <w:jc w:val="both"/>
        <w:rPr>
          <w:rFonts w:ascii="Verdana" w:eastAsia="Century Gothic" w:hAnsi="Verdana" w:cs="Century Gothic"/>
          <w:b/>
          <w:bCs/>
        </w:rPr>
      </w:pPr>
      <w:r w:rsidRPr="0060676F">
        <w:rPr>
          <w:rFonts w:ascii="Verdana" w:eastAsia="Century Gothic" w:hAnsi="Verdana" w:cs="Century Gothic"/>
          <w:b/>
          <w:bCs/>
        </w:rPr>
        <w:t>Referencias normativas, jurisprudenciales y otras fuentes:</w:t>
      </w:r>
    </w:p>
    <w:p w14:paraId="4E717C70" w14:textId="77777777" w:rsidR="00284AD4" w:rsidRPr="00593A5F" w:rsidRDefault="00284AD4" w:rsidP="00284AD4">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284AD4" w:rsidRPr="00593A5F" w14:paraId="5DA88874" w14:textId="77777777" w:rsidTr="00921612">
        <w:trPr>
          <w:trHeight w:val="870"/>
        </w:trPr>
        <w:tc>
          <w:tcPr>
            <w:tcW w:w="8647" w:type="dxa"/>
          </w:tcPr>
          <w:p w14:paraId="72BFC6CD" w14:textId="3601F502" w:rsidR="00284AD4" w:rsidRPr="00B60BC4" w:rsidRDefault="00284AD4" w:rsidP="00A27C22">
            <w:pPr>
              <w:widowControl w:val="0"/>
              <w:numPr>
                <w:ilvl w:val="0"/>
                <w:numId w:val="17"/>
              </w:numPr>
              <w:autoSpaceDE w:val="0"/>
              <w:autoSpaceDN w:val="0"/>
              <w:spacing w:line="276" w:lineRule="auto"/>
              <w:ind w:left="360"/>
              <w:jc w:val="both"/>
              <w:rPr>
                <w:rFonts w:ascii="Verdana" w:hAnsi="Verdana" w:cs="Arial"/>
                <w:color w:val="000000" w:themeColor="text1"/>
              </w:rPr>
            </w:pPr>
            <w:r w:rsidRPr="00B60BC4">
              <w:rPr>
                <w:rFonts w:ascii="Verdana" w:hAnsi="Verdana" w:cs="Arial"/>
                <w:color w:val="000000" w:themeColor="text1"/>
              </w:rPr>
              <w:t>Ley 80 de 1993. Artículos 4, 5, 12, 14 y 26</w:t>
            </w:r>
            <w:r w:rsidR="00043D9E">
              <w:rPr>
                <w:rFonts w:ascii="Verdana" w:hAnsi="Verdana" w:cs="Arial"/>
                <w:color w:val="000000" w:themeColor="text1"/>
              </w:rPr>
              <w:t>.</w:t>
            </w:r>
          </w:p>
          <w:p w14:paraId="423A98D0" w14:textId="5D875364" w:rsidR="00284AD4" w:rsidRPr="00B60BC4" w:rsidRDefault="00284AD4" w:rsidP="00A27C22">
            <w:pPr>
              <w:widowControl w:val="0"/>
              <w:numPr>
                <w:ilvl w:val="0"/>
                <w:numId w:val="17"/>
              </w:numPr>
              <w:autoSpaceDE w:val="0"/>
              <w:autoSpaceDN w:val="0"/>
              <w:spacing w:line="276" w:lineRule="auto"/>
              <w:ind w:left="360"/>
              <w:jc w:val="both"/>
              <w:rPr>
                <w:rFonts w:ascii="Verdana" w:hAnsi="Verdana" w:cs="Arial"/>
                <w:color w:val="000000" w:themeColor="text1"/>
              </w:rPr>
            </w:pPr>
            <w:r w:rsidRPr="00B60BC4">
              <w:rPr>
                <w:rFonts w:ascii="Verdana" w:hAnsi="Verdana" w:cs="Arial"/>
                <w:color w:val="000000" w:themeColor="text1"/>
              </w:rPr>
              <w:t>Ley 1150 de 2007. Artículos 17 y 21</w:t>
            </w:r>
            <w:r w:rsidR="00043D9E">
              <w:rPr>
                <w:rFonts w:ascii="Verdana" w:hAnsi="Verdana" w:cs="Arial"/>
                <w:color w:val="000000" w:themeColor="text1"/>
              </w:rPr>
              <w:t>.</w:t>
            </w:r>
          </w:p>
          <w:p w14:paraId="5D054498" w14:textId="3AE68BB6" w:rsidR="00284AD4" w:rsidRPr="00B60BC4" w:rsidRDefault="00284AD4" w:rsidP="00A27C22">
            <w:pPr>
              <w:widowControl w:val="0"/>
              <w:numPr>
                <w:ilvl w:val="0"/>
                <w:numId w:val="17"/>
              </w:numPr>
              <w:autoSpaceDE w:val="0"/>
              <w:autoSpaceDN w:val="0"/>
              <w:spacing w:line="276" w:lineRule="auto"/>
              <w:ind w:left="360"/>
              <w:jc w:val="both"/>
              <w:rPr>
                <w:rFonts w:ascii="Verdana" w:hAnsi="Verdana" w:cs="Arial"/>
                <w:color w:val="000000" w:themeColor="text1"/>
              </w:rPr>
            </w:pPr>
            <w:r w:rsidRPr="00B60BC4">
              <w:rPr>
                <w:rFonts w:ascii="Verdana" w:hAnsi="Verdana" w:cs="Arial"/>
                <w:color w:val="000000" w:themeColor="text1"/>
              </w:rPr>
              <w:t>Ley 1474 de 2011. Artículos 83</w:t>
            </w:r>
            <w:r w:rsidR="00043D9E">
              <w:rPr>
                <w:rFonts w:ascii="Verdana" w:hAnsi="Verdana" w:cs="Arial"/>
                <w:color w:val="000000" w:themeColor="text1"/>
              </w:rPr>
              <w:t>.</w:t>
            </w:r>
          </w:p>
          <w:p w14:paraId="6A87833F" w14:textId="02CF3428" w:rsidR="00284AD4" w:rsidRPr="00B60BC4" w:rsidRDefault="00284AD4" w:rsidP="00A27C22">
            <w:pPr>
              <w:widowControl w:val="0"/>
              <w:numPr>
                <w:ilvl w:val="0"/>
                <w:numId w:val="17"/>
              </w:numPr>
              <w:autoSpaceDE w:val="0"/>
              <w:autoSpaceDN w:val="0"/>
              <w:spacing w:line="276" w:lineRule="auto"/>
              <w:ind w:left="360"/>
              <w:jc w:val="both"/>
              <w:rPr>
                <w:rFonts w:ascii="Verdana" w:hAnsi="Verdana" w:cs="Arial"/>
                <w:color w:val="000000" w:themeColor="text1"/>
              </w:rPr>
            </w:pPr>
            <w:r w:rsidRPr="00B60BC4">
              <w:rPr>
                <w:rFonts w:ascii="Verdana" w:hAnsi="Verdana" w:cs="Arial"/>
                <w:color w:val="000000" w:themeColor="text1"/>
              </w:rPr>
              <w:t>Consejo de Estado</w:t>
            </w:r>
            <w:r w:rsidR="00043D9E">
              <w:rPr>
                <w:rFonts w:ascii="Verdana" w:hAnsi="Verdana" w:cs="Arial"/>
                <w:color w:val="000000" w:themeColor="text1"/>
              </w:rPr>
              <w:t xml:space="preserve">. </w:t>
            </w:r>
            <w:r w:rsidRPr="00B60BC4">
              <w:rPr>
                <w:rFonts w:ascii="Verdana" w:hAnsi="Verdana" w:cs="Arial"/>
                <w:color w:val="000000" w:themeColor="text1"/>
              </w:rPr>
              <w:t>Sección Tercera, Subsección C. Sentencia de unificación jurisprudencial de 2 de diciembre de 2013. Radicado No. 41719. C.P. Jaime Orlando Santofimio Gamboa.</w:t>
            </w:r>
          </w:p>
          <w:p w14:paraId="1D865B68" w14:textId="77777777" w:rsidR="00EA5E94" w:rsidRDefault="00EA5E94" w:rsidP="00EA5E94">
            <w:pPr>
              <w:widowControl w:val="0"/>
              <w:numPr>
                <w:ilvl w:val="0"/>
                <w:numId w:val="17"/>
              </w:numPr>
              <w:autoSpaceDE w:val="0"/>
              <w:autoSpaceDN w:val="0"/>
              <w:spacing w:line="276" w:lineRule="auto"/>
              <w:ind w:left="360"/>
              <w:jc w:val="both"/>
              <w:rPr>
                <w:rFonts w:ascii="Verdana" w:hAnsi="Verdana" w:cs="Arial"/>
                <w:color w:val="000000" w:themeColor="text1"/>
              </w:rPr>
            </w:pPr>
            <w:r w:rsidRPr="00043D9E">
              <w:rPr>
                <w:rFonts w:ascii="Verdana" w:hAnsi="Verdana" w:cs="Arial"/>
                <w:color w:val="000000" w:themeColor="text1"/>
              </w:rPr>
              <w:t xml:space="preserve">Consejo de Estado. Sección 1ª. Sentencia del 31 de julio de 2014. M.P. Guillermo Vargas Ayala. Radicación número: 25000-23-41-000-2012-00338-01. </w:t>
            </w:r>
          </w:p>
          <w:p w14:paraId="6BC2FA13" w14:textId="77777777" w:rsidR="00284AD4" w:rsidRPr="00B60BC4" w:rsidRDefault="00284AD4" w:rsidP="00A27C22">
            <w:pPr>
              <w:widowControl w:val="0"/>
              <w:numPr>
                <w:ilvl w:val="0"/>
                <w:numId w:val="17"/>
              </w:numPr>
              <w:autoSpaceDE w:val="0"/>
              <w:autoSpaceDN w:val="0"/>
              <w:spacing w:line="276" w:lineRule="auto"/>
              <w:ind w:left="360"/>
              <w:jc w:val="both"/>
              <w:rPr>
                <w:rFonts w:ascii="Verdana" w:hAnsi="Verdana" w:cs="Arial"/>
                <w:color w:val="000000" w:themeColor="text1"/>
              </w:rPr>
            </w:pPr>
            <w:r w:rsidRPr="00B60BC4">
              <w:rPr>
                <w:rFonts w:ascii="Verdana" w:hAnsi="Verdana" w:cs="Arial"/>
                <w:color w:val="000000" w:themeColor="text1"/>
              </w:rPr>
              <w:t xml:space="preserve">Consejo de Estado. Sección 3ª. Sentencia del 27 de noviembre de 2017. M.P. Jaime Orlando Santofimio. </w:t>
            </w:r>
            <w:proofErr w:type="spellStart"/>
            <w:r w:rsidRPr="00B60BC4">
              <w:rPr>
                <w:rFonts w:ascii="Verdana" w:hAnsi="Verdana" w:cs="Arial"/>
                <w:color w:val="000000" w:themeColor="text1"/>
              </w:rPr>
              <w:t>Exp</w:t>
            </w:r>
            <w:proofErr w:type="spellEnd"/>
            <w:r w:rsidRPr="00B60BC4">
              <w:rPr>
                <w:rFonts w:ascii="Verdana" w:hAnsi="Verdana" w:cs="Arial"/>
                <w:color w:val="000000" w:themeColor="text1"/>
              </w:rPr>
              <w:t>. 51.802.</w:t>
            </w:r>
          </w:p>
          <w:p w14:paraId="3200A436" w14:textId="3337A6CE" w:rsidR="00284AD4" w:rsidRPr="00A27C22" w:rsidRDefault="007575A2" w:rsidP="00A27C22">
            <w:pPr>
              <w:widowControl w:val="0"/>
              <w:numPr>
                <w:ilvl w:val="0"/>
                <w:numId w:val="17"/>
              </w:numPr>
              <w:autoSpaceDE w:val="0"/>
              <w:autoSpaceDN w:val="0"/>
              <w:spacing w:line="276" w:lineRule="auto"/>
              <w:ind w:left="360"/>
              <w:jc w:val="both"/>
              <w:rPr>
                <w:rFonts w:ascii="Verdana" w:hAnsi="Verdana" w:cs="Arial"/>
                <w:color w:val="000000" w:themeColor="text1"/>
              </w:rPr>
            </w:pPr>
            <w:r>
              <w:rPr>
                <w:rFonts w:ascii="Verdana" w:hAnsi="Verdana" w:cs="Arial"/>
                <w:color w:val="000000" w:themeColor="text1"/>
              </w:rPr>
              <w:t xml:space="preserve">Agencia </w:t>
            </w:r>
            <w:r w:rsidR="00EA5E94">
              <w:rPr>
                <w:rFonts w:ascii="Verdana" w:hAnsi="Verdana" w:cs="Arial"/>
                <w:color w:val="000000" w:themeColor="text1"/>
              </w:rPr>
              <w:t xml:space="preserve">Nacional de Contratación Pública – </w:t>
            </w:r>
            <w:r w:rsidR="00043D9E" w:rsidRPr="00043D9E">
              <w:rPr>
                <w:rFonts w:ascii="Verdana" w:hAnsi="Verdana" w:cs="Arial"/>
                <w:color w:val="000000" w:themeColor="text1"/>
              </w:rPr>
              <w:t>Colombia Compra Eficiente, Guía para el ejercicio de las funciones de Supervisión e Interventoría de los contratos del Estado</w:t>
            </w:r>
            <w:r w:rsidR="00EA5E94">
              <w:rPr>
                <w:rFonts w:ascii="Verdana" w:hAnsi="Verdana" w:cs="Arial"/>
                <w:color w:val="000000" w:themeColor="text1"/>
              </w:rPr>
              <w:t>. D</w:t>
            </w:r>
            <w:r w:rsidR="00043D9E" w:rsidRPr="00043D9E">
              <w:rPr>
                <w:rFonts w:ascii="Verdana" w:hAnsi="Verdana" w:cs="Arial"/>
                <w:color w:val="000000" w:themeColor="text1"/>
              </w:rPr>
              <w:t>isponible</w:t>
            </w:r>
            <w:r w:rsidR="00EA5E94">
              <w:rPr>
                <w:rFonts w:ascii="Verdana" w:hAnsi="Verdana" w:cs="Arial"/>
                <w:color w:val="000000" w:themeColor="text1"/>
              </w:rPr>
              <w:t xml:space="preserve"> en:</w:t>
            </w:r>
            <w:r w:rsidR="00043D9E" w:rsidRPr="00043D9E">
              <w:rPr>
                <w:rFonts w:ascii="Verdana" w:hAnsi="Verdana" w:cs="Arial"/>
                <w:color w:val="000000" w:themeColor="text1"/>
              </w:rPr>
              <w:t xml:space="preserve"> </w:t>
            </w:r>
            <w:hyperlink r:id="rId13" w:history="1">
              <w:r w:rsidR="00043D9E" w:rsidRPr="00043D9E">
                <w:rPr>
                  <w:rFonts w:ascii="Verdana" w:hAnsi="Verdana" w:cs="Arial"/>
                  <w:color w:val="0563C1" w:themeColor="hyperlink"/>
                  <w:u w:val="single"/>
                </w:rPr>
                <w:t>aquí</w:t>
              </w:r>
            </w:hyperlink>
          </w:p>
        </w:tc>
      </w:tr>
    </w:tbl>
    <w:p w14:paraId="2587A601" w14:textId="77777777" w:rsidR="00284AD4" w:rsidRDefault="00284AD4" w:rsidP="00284AD4">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5FF8425D" w14:textId="77777777" w:rsidR="00284AD4" w:rsidRDefault="00284AD4" w:rsidP="00284AD4">
      <w:pPr>
        <w:pStyle w:val="Prrafodelista"/>
        <w:numPr>
          <w:ilvl w:val="0"/>
          <w:numId w:val="16"/>
        </w:numPr>
        <w:tabs>
          <w:tab w:val="left" w:pos="142"/>
          <w:tab w:val="left" w:pos="284"/>
        </w:tabs>
        <w:spacing w:after="0" w:line="276" w:lineRule="auto"/>
        <w:ind w:left="284"/>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5216C6FF" w14:textId="77777777" w:rsidR="00284AD4" w:rsidRPr="00593A5F" w:rsidRDefault="00284AD4" w:rsidP="00284AD4">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4EDCFCFA" w14:textId="77777777" w:rsidR="00284AD4" w:rsidRPr="002A22D8" w:rsidRDefault="00284AD4" w:rsidP="00284AD4">
      <w:pPr>
        <w:widowControl w:val="0"/>
        <w:autoSpaceDE w:val="0"/>
        <w:autoSpaceDN w:val="0"/>
        <w:spacing w:after="0" w:line="276" w:lineRule="auto"/>
        <w:jc w:val="both"/>
        <w:rPr>
          <w:rFonts w:ascii="Verdana" w:hAnsi="Verdana" w:cs="Arial"/>
          <w:bCs/>
          <w:shd w:val="clear" w:color="auto" w:fill="FFFFFF"/>
        </w:rPr>
      </w:pPr>
      <w:r w:rsidRPr="00B60BC4">
        <w:rPr>
          <w:rFonts w:ascii="Verdana" w:eastAsia="Calibri" w:hAnsi="Verdana" w:cs="Arial"/>
          <w:lang w:val="es-ES_tradnl" w:eastAsia="es-ES_tradnl"/>
        </w:rPr>
        <w:t>Sobre la obligación de controlar y vigilar la ejecución de los contratos estatales, esta Subdirección se ha referido en los Conceptos radicado 4201913000004799 del 30 de agosto de 2019, 4201913000008240 del 20 de diciembre de 2019, C-064 del 28 de febrero de 2020, C-071 del 4 de marzo de 2020, C–077 del 18 de marzo de 2020, C–150 del 18 de marzo de 2020, C–134 del 30 de marzo de 2020, C–180 del 13 de abril de 2020, C-344 del 26 de mayo de 2020, C-414 del 30 de junio de 2021, C-506 de 3 de agosto de 2022, C-579 del 9 de septiembre de 2022, C-577 del 15 de septiembre de 2022, C-620 del 27 de septiembre de 2022, C-650 del 27 de septiembre de 2022, C-679 de 24 de octubre de 2022, C-818 del 28 de noviembre de 2022, C-830 de 28 de noviembre de 2022, C-800 de 29 de noviembre de 2022, C-930 de 30 de diciembre de 2022, C-932 de 30 de diciembre de 2022, C-975 de 8 de marzo de 2032, C-191 de 27 de abril de 2023, C-089 de 2024 de 17 de julio de 2024, C-255 de 14 de agosto de 2024,C-600 del 7 de octubre de 2024, C-972 de 22 de enero de 2025</w:t>
      </w:r>
      <w:r>
        <w:rPr>
          <w:rFonts w:ascii="Verdana" w:eastAsia="Calibri" w:hAnsi="Verdana" w:cs="Arial"/>
          <w:lang w:val="es-ES_tradnl" w:eastAsia="es-ES_tradnl"/>
        </w:rPr>
        <w:t>,</w:t>
      </w:r>
      <w:r w:rsidRPr="00B60BC4">
        <w:rPr>
          <w:rFonts w:ascii="Verdana" w:eastAsia="Calibri" w:hAnsi="Verdana" w:cs="Arial"/>
          <w:lang w:val="es-ES_tradnl" w:eastAsia="es-ES_tradnl"/>
        </w:rPr>
        <w:t xml:space="preserve"> C-091 del 13 de febrero de 2025</w:t>
      </w:r>
      <w:r>
        <w:rPr>
          <w:rFonts w:ascii="Verdana" w:eastAsia="Calibri" w:hAnsi="Verdana" w:cs="Arial"/>
          <w:lang w:val="es-ES_tradnl" w:eastAsia="es-ES_tradnl"/>
        </w:rPr>
        <w:t xml:space="preserve"> y C-359 del 30 de abril de 2025</w:t>
      </w:r>
      <w:r w:rsidRPr="00B60BC4">
        <w:rPr>
          <w:rFonts w:ascii="Verdana" w:eastAsia="Calibri" w:hAnsi="Verdana" w:cs="Arial"/>
          <w:lang w:val="es-ES_tradnl" w:eastAsia="es-ES_tradnl"/>
        </w:rPr>
        <w:t>, entre otros</w:t>
      </w:r>
      <w:r w:rsidRPr="00024134">
        <w:rPr>
          <w:rStyle w:val="normaltextrun"/>
          <w:rFonts w:ascii="Verdana" w:hAnsi="Verdana" w:cs="Arial"/>
          <w:shd w:val="clear" w:color="auto" w:fill="FFFFFF"/>
          <w:lang w:val="es-ES"/>
        </w:rPr>
        <w:t xml:space="preserve">. </w:t>
      </w:r>
      <w:r w:rsidRPr="00024134">
        <w:rPr>
          <w:rFonts w:ascii="Verdana" w:eastAsia="Calibri" w:hAnsi="Verdana" w:cs="Times New Roman"/>
        </w:rPr>
        <w:t>Estos se encuentran</w:t>
      </w:r>
      <w:r w:rsidRPr="00185EE9">
        <w:rPr>
          <w:rFonts w:ascii="Verdana" w:eastAsia="Calibri" w:hAnsi="Verdana" w:cs="Times New Roman"/>
        </w:rPr>
        <w:t xml:space="preserve"> disponibles para consulta en el Sistema de Relatoría de la Agencia, en el cual también podrás encontrar jurisprudencia del Consejo de Estado, laudos arbitrales y la normativa de la contratación concordada con la doctrina </w:t>
      </w:r>
      <w:r w:rsidRPr="00185EE9">
        <w:rPr>
          <w:rFonts w:ascii="Verdana" w:eastAsia="Calibri" w:hAnsi="Verdana" w:cs="Times New Roman"/>
        </w:rPr>
        <w:lastRenderedPageBreak/>
        <w:t>de la Subdirección de Gestión Contractual, accede a través del siguiente enlace:</w:t>
      </w:r>
    </w:p>
    <w:p w14:paraId="0EE1E295" w14:textId="77777777" w:rsidR="00284AD4" w:rsidRPr="0065720B" w:rsidRDefault="00000000" w:rsidP="00284AD4">
      <w:pPr>
        <w:widowControl w:val="0"/>
        <w:autoSpaceDE w:val="0"/>
        <w:autoSpaceDN w:val="0"/>
        <w:spacing w:after="0" w:line="276" w:lineRule="auto"/>
        <w:jc w:val="both"/>
        <w:rPr>
          <w:rStyle w:val="normaltextrun"/>
          <w:rFonts w:ascii="Verdana" w:eastAsia="Calibri" w:hAnsi="Verdana" w:cs="Arial"/>
          <w:lang w:val="es-ES_tradnl" w:eastAsia="en-GB"/>
        </w:rPr>
      </w:pPr>
      <w:hyperlink r:id="rId14" w:history="1">
        <w:r w:rsidR="00284AD4" w:rsidRPr="00191357">
          <w:rPr>
            <w:rStyle w:val="Hipervnculo"/>
            <w:rFonts w:ascii="Verdana" w:eastAsia="Calibri" w:hAnsi="Verdana" w:cs="Times New Roman"/>
            <w:lang w:val="es-ES"/>
          </w:rPr>
          <w:t>https://relatoria.colombiacompra.gov.co/busqueda/conceptos</w:t>
        </w:r>
      </w:hyperlink>
      <w:r w:rsidR="00284AD4" w:rsidRPr="00185EE9">
        <w:rPr>
          <w:rFonts w:ascii="Verdana" w:eastAsia="Calibri" w:hAnsi="Verdana" w:cs="Times New Roman"/>
        </w:rPr>
        <w:t>.</w:t>
      </w:r>
    </w:p>
    <w:p w14:paraId="0ABE26DA" w14:textId="77777777" w:rsidR="00284AD4" w:rsidRPr="00505CD6" w:rsidRDefault="00284AD4" w:rsidP="00284AD4">
      <w:pPr>
        <w:widowControl w:val="0"/>
        <w:autoSpaceDE w:val="0"/>
        <w:autoSpaceDN w:val="0"/>
        <w:spacing w:after="0" w:line="276" w:lineRule="auto"/>
        <w:jc w:val="both"/>
        <w:rPr>
          <w:rFonts w:ascii="Verdana" w:hAnsi="Verdana" w:cs="Arial"/>
          <w:color w:val="000000" w:themeColor="text1"/>
          <w:shd w:val="clear" w:color="auto" w:fill="FFFFFF"/>
        </w:rPr>
      </w:pPr>
    </w:p>
    <w:p w14:paraId="73C3E9D1" w14:textId="77777777" w:rsidR="00284AD4" w:rsidRPr="00505CD6" w:rsidRDefault="00284AD4" w:rsidP="00284AD4">
      <w:pPr>
        <w:widowControl w:val="0"/>
        <w:autoSpaceDE w:val="0"/>
        <w:autoSpaceDN w:val="0"/>
        <w:spacing w:after="0" w:line="276" w:lineRule="auto"/>
        <w:jc w:val="both"/>
        <w:rPr>
          <w:rFonts w:ascii="Verdana" w:hAnsi="Verdana" w:cs="Arial"/>
          <w:lang w:val="es-ES_tradnl"/>
        </w:rPr>
      </w:pPr>
      <w:r w:rsidRPr="00505CD6">
        <w:rPr>
          <w:rFonts w:ascii="Verdana" w:hAnsi="Verdana" w:cs="Arial"/>
        </w:rPr>
        <w:t xml:space="preserve">Este concepto tiene el alcance previsto en el artículo 28 del Código de Procedimiento Administrativo y de lo Contencioso Administrativo </w:t>
      </w:r>
      <w:r w:rsidRPr="00505CD6">
        <w:rPr>
          <w:rFonts w:ascii="Verdana" w:hAnsi="Verdana" w:cs="Arial"/>
          <w:lang w:val="es-ES_tradnl"/>
        </w:rPr>
        <w:t>y las expresiones aquí utilizadas con mayúscula inicial deben ser entendidas con el significado que les otorga el artículo 2.2.1.1.1.3.1. del Decreto 1082 de 2015.</w:t>
      </w:r>
    </w:p>
    <w:p w14:paraId="3DEDFF12" w14:textId="77777777" w:rsidR="00284AD4" w:rsidRPr="00505CD6" w:rsidRDefault="00284AD4" w:rsidP="00284AD4">
      <w:pPr>
        <w:widowControl w:val="0"/>
        <w:autoSpaceDE w:val="0"/>
        <w:autoSpaceDN w:val="0"/>
        <w:spacing w:after="0" w:line="276" w:lineRule="auto"/>
        <w:jc w:val="both"/>
        <w:rPr>
          <w:rFonts w:ascii="Verdana" w:hAnsi="Verdana" w:cs="Arial"/>
        </w:rPr>
      </w:pPr>
    </w:p>
    <w:p w14:paraId="6E5F3106" w14:textId="77777777" w:rsidR="00284AD4" w:rsidRDefault="00284AD4" w:rsidP="00284AD4">
      <w:pPr>
        <w:spacing w:after="0" w:line="276" w:lineRule="auto"/>
        <w:jc w:val="both"/>
        <w:rPr>
          <w:noProof/>
        </w:rPr>
      </w:pPr>
      <w:r w:rsidRPr="00505CD6">
        <w:rPr>
          <w:rFonts w:ascii="Verdana" w:eastAsia="Times New Roman" w:hAnsi="Verdana" w:cs="Arial"/>
          <w:lang w:eastAsia="es-CO"/>
        </w:rPr>
        <w:t>Atentamente,</w:t>
      </w:r>
      <w:r w:rsidRPr="00505CD6">
        <w:rPr>
          <w:rFonts w:ascii="Verdana" w:hAnsi="Verdana" w:cs="Arial"/>
          <w:lang w:eastAsia="es-CO"/>
        </w:rPr>
        <w:t xml:space="preserve"> </w:t>
      </w:r>
    </w:p>
    <w:p w14:paraId="54E8AB10" w14:textId="6425B09F" w:rsidR="00284AD4" w:rsidRDefault="00BA4018" w:rsidP="00A27C22">
      <w:pPr>
        <w:spacing w:after="0" w:line="276" w:lineRule="auto"/>
        <w:jc w:val="center"/>
        <w:rPr>
          <w:noProof/>
        </w:rPr>
      </w:pPr>
      <w:r>
        <w:rPr>
          <w:noProof/>
        </w:rPr>
        <w:drawing>
          <wp:inline distT="0" distB="0" distL="0" distR="0" wp14:anchorId="14F5A9AB" wp14:editId="345EBF59">
            <wp:extent cx="4907280" cy="2109942"/>
            <wp:effectExtent l="0" t="0" r="7620" b="5080"/>
            <wp:docPr id="113754138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7541387" name="Imagen 1137541387"/>
                    <pic:cNvPicPr/>
                  </pic:nvPicPr>
                  <pic:blipFill>
                    <a:blip r:embed="rId15">
                      <a:extLst>
                        <a:ext uri="{28A0092B-C50C-407E-A947-70E740481C1C}">
                          <a14:useLocalDpi xmlns:a14="http://schemas.microsoft.com/office/drawing/2010/main" val="0"/>
                        </a:ext>
                      </a:extLst>
                    </a:blip>
                    <a:stretch>
                      <a:fillRect/>
                    </a:stretch>
                  </pic:blipFill>
                  <pic:spPr>
                    <a:xfrm>
                      <a:off x="0" y="0"/>
                      <a:ext cx="4912726" cy="2112284"/>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284AD4" w:rsidRPr="00593A5F" w14:paraId="69677F7C" w14:textId="77777777" w:rsidTr="00921612">
        <w:trPr>
          <w:trHeight w:val="315"/>
        </w:trPr>
        <w:tc>
          <w:tcPr>
            <w:tcW w:w="893" w:type="dxa"/>
            <w:vAlign w:val="center"/>
            <w:hideMark/>
          </w:tcPr>
          <w:p w14:paraId="2357CFE6" w14:textId="77777777" w:rsidR="00284AD4" w:rsidRPr="003751C7" w:rsidRDefault="00284AD4" w:rsidP="00921612">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7ACF7C13" w14:textId="77777777" w:rsidR="00284AD4" w:rsidRPr="007911EE" w:rsidRDefault="00284AD4" w:rsidP="00921612">
            <w:pPr>
              <w:contextualSpacing/>
              <w:rPr>
                <w:rFonts w:ascii="Verdana" w:hAnsi="Verdana"/>
                <w:sz w:val="16"/>
                <w:szCs w:val="16"/>
              </w:rPr>
            </w:pPr>
            <w:r>
              <w:rPr>
                <w:rFonts w:ascii="Verdana" w:hAnsi="Verdana"/>
                <w:sz w:val="16"/>
                <w:szCs w:val="16"/>
              </w:rPr>
              <w:t>Karol Andrea Gonzalez Marin</w:t>
            </w:r>
          </w:p>
          <w:p w14:paraId="04D7E48C" w14:textId="77777777" w:rsidR="00284AD4" w:rsidRPr="007911EE" w:rsidRDefault="00284AD4" w:rsidP="00921612">
            <w:pPr>
              <w:contextualSpacing/>
              <w:rPr>
                <w:rFonts w:ascii="Verdana" w:eastAsia="Arial" w:hAnsi="Verdana" w:cs="Arial"/>
                <w:sz w:val="16"/>
                <w:szCs w:val="16"/>
              </w:rPr>
            </w:pPr>
            <w:r w:rsidRPr="007911EE">
              <w:rPr>
                <w:rFonts w:ascii="Verdana" w:hAnsi="Verdana"/>
                <w:sz w:val="16"/>
                <w:szCs w:val="16"/>
              </w:rPr>
              <w:t>Contratista de la Subdirección de Gestión Contractual</w:t>
            </w:r>
          </w:p>
        </w:tc>
      </w:tr>
      <w:tr w:rsidR="00284AD4" w:rsidRPr="00593A5F" w14:paraId="5D2658E3" w14:textId="77777777" w:rsidTr="00921612">
        <w:trPr>
          <w:trHeight w:val="330"/>
        </w:trPr>
        <w:tc>
          <w:tcPr>
            <w:tcW w:w="893" w:type="dxa"/>
            <w:vAlign w:val="center"/>
            <w:hideMark/>
          </w:tcPr>
          <w:p w14:paraId="4292B3D4" w14:textId="77777777" w:rsidR="00284AD4" w:rsidRPr="003751C7" w:rsidRDefault="00284AD4" w:rsidP="00921612">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1109A88E" w14:textId="77777777" w:rsidR="00284AD4" w:rsidRDefault="00284AD4" w:rsidP="00921612">
            <w:pPr>
              <w:spacing w:line="276" w:lineRule="auto"/>
              <w:contextualSpacing/>
              <w:jc w:val="both"/>
              <w:rPr>
                <w:rFonts w:ascii="Verdana" w:hAnsi="Verdana"/>
                <w:sz w:val="16"/>
                <w:szCs w:val="16"/>
              </w:rPr>
            </w:pPr>
            <w:r w:rsidRPr="008E36B7">
              <w:rPr>
                <w:rFonts w:ascii="Verdana" w:hAnsi="Verdana"/>
                <w:sz w:val="16"/>
                <w:szCs w:val="16"/>
              </w:rPr>
              <w:t>Diana Saavedra</w:t>
            </w:r>
          </w:p>
          <w:p w14:paraId="3A940F93" w14:textId="77777777" w:rsidR="00284AD4" w:rsidRPr="007911EE" w:rsidRDefault="00284AD4" w:rsidP="00921612">
            <w:pPr>
              <w:spacing w:line="276" w:lineRule="auto"/>
              <w:contextualSpacing/>
              <w:jc w:val="both"/>
              <w:rPr>
                <w:rFonts w:ascii="Verdana" w:hAnsi="Verdana" w:cstheme="minorHAnsi"/>
                <w:sz w:val="16"/>
                <w:szCs w:val="16"/>
              </w:rPr>
            </w:pPr>
            <w:r>
              <w:rPr>
                <w:rStyle w:val="normaltextrun"/>
                <w:rFonts w:ascii="Verdana" w:eastAsia="Arial" w:hAnsi="Verdana"/>
                <w:sz w:val="16"/>
                <w:szCs w:val="16"/>
              </w:rPr>
              <w:t xml:space="preserve">Contratista </w:t>
            </w:r>
            <w:r w:rsidRPr="00CD7324">
              <w:rPr>
                <w:rStyle w:val="normaltextrun"/>
                <w:rFonts w:ascii="Verdana" w:eastAsia="Arial" w:hAnsi="Verdana"/>
                <w:sz w:val="16"/>
                <w:szCs w:val="16"/>
              </w:rPr>
              <w:t>de la</w:t>
            </w:r>
            <w:r w:rsidRPr="007911EE">
              <w:rPr>
                <w:rStyle w:val="normaltextrun"/>
                <w:rFonts w:ascii="Verdana" w:eastAsia="Arial" w:hAnsi="Verdana" w:cs="Arial"/>
                <w:sz w:val="16"/>
                <w:szCs w:val="16"/>
              </w:rPr>
              <w:t xml:space="preserve"> Subdirección de Gestión Contractual</w:t>
            </w:r>
          </w:p>
        </w:tc>
      </w:tr>
      <w:tr w:rsidR="00284AD4" w:rsidRPr="00593A5F" w14:paraId="2A383032" w14:textId="77777777" w:rsidTr="00921612">
        <w:trPr>
          <w:trHeight w:val="330"/>
        </w:trPr>
        <w:tc>
          <w:tcPr>
            <w:tcW w:w="893" w:type="dxa"/>
            <w:vAlign w:val="center"/>
          </w:tcPr>
          <w:p w14:paraId="232CD82E" w14:textId="77777777" w:rsidR="00284AD4" w:rsidRPr="003751C7" w:rsidRDefault="00284AD4" w:rsidP="00921612">
            <w:pPr>
              <w:contextualSpacing/>
              <w:rPr>
                <w:rFonts w:ascii="Verdana" w:hAnsi="Verdana" w:cs="Arial"/>
                <w:sz w:val="16"/>
                <w:szCs w:val="16"/>
                <w:lang w:val="es-ES" w:eastAsia="es-ES"/>
              </w:rPr>
            </w:pPr>
            <w:r w:rsidRPr="00EB1CF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1BC9D529" w14:textId="77777777" w:rsidR="00324FC3" w:rsidRPr="00905A2C" w:rsidRDefault="00324FC3" w:rsidP="00324FC3">
            <w:pPr>
              <w:contextualSpacing/>
              <w:rPr>
                <w:rFonts w:ascii="Verdana" w:eastAsia="Calibri" w:hAnsi="Verdana" w:cs="Arial"/>
                <w:sz w:val="16"/>
                <w:szCs w:val="16"/>
                <w:lang w:val="pt-BR" w:eastAsia="es-ES"/>
              </w:rPr>
            </w:pPr>
            <w:r w:rsidRPr="00905A2C">
              <w:rPr>
                <w:rFonts w:ascii="Verdana" w:eastAsia="Calibri" w:hAnsi="Verdana" w:cs="Arial"/>
                <w:sz w:val="16"/>
                <w:szCs w:val="16"/>
                <w:lang w:val="pt-BR" w:eastAsia="es-ES"/>
              </w:rPr>
              <w:t xml:space="preserve">Carolina Quintero </w:t>
            </w:r>
            <w:proofErr w:type="spellStart"/>
            <w:r w:rsidRPr="00905A2C">
              <w:rPr>
                <w:rFonts w:ascii="Verdana" w:eastAsia="Calibri" w:hAnsi="Verdana" w:cs="Arial"/>
                <w:sz w:val="16"/>
                <w:szCs w:val="16"/>
                <w:lang w:val="pt-BR" w:eastAsia="es-ES"/>
              </w:rPr>
              <w:t>Gacharná</w:t>
            </w:r>
            <w:proofErr w:type="spellEnd"/>
          </w:p>
          <w:p w14:paraId="3D52BD62" w14:textId="338C5342" w:rsidR="00284AD4" w:rsidRDefault="00284AD4" w:rsidP="00A27C22">
            <w:pPr>
              <w:contextualSpacing/>
              <w:rPr>
                <w:rFonts w:ascii="Verdana" w:hAnsi="Verdana"/>
                <w:sz w:val="16"/>
                <w:szCs w:val="16"/>
              </w:rPr>
            </w:pPr>
            <w:r w:rsidRPr="003222FA">
              <w:rPr>
                <w:rFonts w:ascii="Verdana" w:eastAsia="Calibri" w:hAnsi="Verdana" w:cs="Arial"/>
                <w:sz w:val="16"/>
                <w:szCs w:val="16"/>
                <w:lang w:val="pt-BR" w:eastAsia="es-ES"/>
              </w:rPr>
              <w:t xml:space="preserve">Subdiretora de Gestión Contratual ANCP – CCE </w:t>
            </w:r>
          </w:p>
        </w:tc>
      </w:tr>
      <w:bookmarkEnd w:id="1"/>
    </w:tbl>
    <w:p w14:paraId="489DAE9A" w14:textId="77777777" w:rsidR="00284AD4" w:rsidRPr="00F30C63" w:rsidRDefault="00284AD4" w:rsidP="00284AD4"/>
    <w:p w14:paraId="64402BE0" w14:textId="77777777" w:rsidR="00284AD4" w:rsidRPr="006B4EE5" w:rsidRDefault="00284AD4" w:rsidP="00284AD4"/>
    <w:p w14:paraId="0999C0B8" w14:textId="77777777" w:rsidR="004B315E" w:rsidRPr="00DE2AC7" w:rsidRDefault="004B315E" w:rsidP="004B315E">
      <w:pPr>
        <w:spacing w:after="0" w:line="240" w:lineRule="auto"/>
        <w:rPr>
          <w:rFonts w:ascii="Verdana" w:eastAsia="Calibri" w:hAnsi="Verdana" w:cs="Arial"/>
          <w:b/>
          <w:sz w:val="20"/>
          <w:szCs w:val="20"/>
          <w:lang w:val="es-ES_tradnl" w:eastAsia="es-ES_tradnl"/>
        </w:rPr>
      </w:pPr>
    </w:p>
    <w:sectPr w:rsidR="004B315E" w:rsidRPr="00DE2AC7"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50099F4" w14:textId="77777777" w:rsidR="001E1783" w:rsidRDefault="001E1783" w:rsidP="004A1847">
      <w:pPr>
        <w:spacing w:after="0" w:line="240" w:lineRule="auto"/>
      </w:pPr>
      <w:r>
        <w:separator/>
      </w:r>
    </w:p>
  </w:endnote>
  <w:endnote w:type="continuationSeparator" w:id="0">
    <w:p w14:paraId="05A97577" w14:textId="77777777" w:rsidR="001E1783" w:rsidRDefault="001E1783" w:rsidP="004A1847">
      <w:pPr>
        <w:spacing w:after="0" w:line="240" w:lineRule="auto"/>
      </w:pPr>
      <w:r>
        <w:continuationSeparator/>
      </w:r>
    </w:p>
  </w:endnote>
  <w:endnote w:type="continuationNotice" w:id="1">
    <w:p w14:paraId="560B345B" w14:textId="77777777" w:rsidR="001E1783" w:rsidRDefault="001E178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altName w:val="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Pr="004B315E" w:rsidRDefault="356CEDFD" w:rsidP="356CEDFD">
    <w:pPr>
      <w:pBdr>
        <w:top w:val="nil"/>
        <w:left w:val="nil"/>
        <w:bottom w:val="nil"/>
        <w:right w:val="nil"/>
        <w:between w:val="nil"/>
      </w:pBdr>
      <w:tabs>
        <w:tab w:val="center" w:pos="4419"/>
        <w:tab w:val="right" w:pos="8838"/>
        <w:tab w:val="center" w:pos="5400"/>
      </w:tabs>
      <w:spacing w:after="0"/>
      <w:jc w:val="right"/>
      <w:rPr>
        <w:lang w:val="pt-PT"/>
      </w:rPr>
    </w:pPr>
    <w:r w:rsidRPr="004B315E">
      <w:rPr>
        <w:rFonts w:ascii="Century Gothic" w:eastAsia="Geo" w:hAnsi="Century Gothic" w:cs="Geo"/>
        <w:b/>
        <w:bCs/>
        <w:color w:val="000000" w:themeColor="text1"/>
        <w:sz w:val="16"/>
        <w:szCs w:val="16"/>
        <w:lang w:val="pt-PT" w:eastAsia="es-CO"/>
      </w:rPr>
      <w:t xml:space="preserve">Código: </w:t>
    </w:r>
    <w:r w:rsidRPr="004B315E">
      <w:rPr>
        <w:rFonts w:ascii="Century Gothic" w:eastAsia="Geo" w:hAnsi="Century Gothic" w:cs="Geo"/>
        <w:color w:val="000000" w:themeColor="text1"/>
        <w:sz w:val="16"/>
        <w:szCs w:val="16"/>
        <w:lang w:val="pt-PT" w:eastAsia="es-CO"/>
      </w:rPr>
      <w:t xml:space="preserve">CCE-REC-FM-17 </w:t>
    </w:r>
    <w:r w:rsidRPr="004B315E">
      <w:rPr>
        <w:rFonts w:ascii="Century Gothic" w:eastAsia="Geo" w:hAnsi="Century Gothic" w:cs="Geo"/>
        <w:b/>
        <w:bCs/>
        <w:color w:val="000000" w:themeColor="text1"/>
        <w:sz w:val="16"/>
        <w:szCs w:val="16"/>
        <w:lang w:val="pt-PT" w:eastAsia="es-CO"/>
      </w:rPr>
      <w:t>V</w:t>
    </w:r>
    <w:r w:rsidRPr="004B315E">
      <w:rPr>
        <w:rFonts w:ascii="Century Gothic" w:eastAsia="Arial Nova" w:hAnsi="Century Gothic" w:cs="Arial Nova"/>
        <w:b/>
        <w:bCs/>
        <w:color w:val="000000" w:themeColor="text1"/>
        <w:sz w:val="16"/>
        <w:szCs w:val="16"/>
        <w:lang w:val="pt-PT" w:eastAsia="es-CO"/>
      </w:rPr>
      <w:t xml:space="preserve">: </w:t>
    </w:r>
    <w:r w:rsidRPr="004B315E">
      <w:rPr>
        <w:rFonts w:ascii="Century Gothic" w:eastAsia="Geo" w:hAnsi="Century Gothic" w:cs="Geo"/>
        <w:sz w:val="16"/>
        <w:szCs w:val="16"/>
        <w:lang w:val="pt-PT"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414451A" w14:textId="77777777" w:rsidR="001E1783" w:rsidRDefault="001E1783" w:rsidP="004A1847">
      <w:pPr>
        <w:spacing w:after="0" w:line="240" w:lineRule="auto"/>
      </w:pPr>
      <w:r>
        <w:separator/>
      </w:r>
    </w:p>
  </w:footnote>
  <w:footnote w:type="continuationSeparator" w:id="0">
    <w:p w14:paraId="2E23C314" w14:textId="77777777" w:rsidR="001E1783" w:rsidRDefault="001E1783" w:rsidP="004A1847">
      <w:pPr>
        <w:spacing w:after="0" w:line="240" w:lineRule="auto"/>
      </w:pPr>
      <w:r>
        <w:continuationSeparator/>
      </w:r>
    </w:p>
  </w:footnote>
  <w:footnote w:type="continuationNotice" w:id="1">
    <w:p w14:paraId="65BDE861" w14:textId="77777777" w:rsidR="001E1783" w:rsidRDefault="001E1783">
      <w:pPr>
        <w:spacing w:after="0" w:line="240" w:lineRule="auto"/>
      </w:pPr>
    </w:p>
  </w:footnote>
  <w:footnote w:id="2">
    <w:p w14:paraId="0C47B6E3" w14:textId="77777777" w:rsidR="00284AD4" w:rsidRPr="00A42A2D" w:rsidRDefault="00284AD4" w:rsidP="00284AD4">
      <w:pPr>
        <w:pStyle w:val="Textonotapie"/>
        <w:ind w:firstLine="709"/>
        <w:jc w:val="both"/>
        <w:rPr>
          <w:rFonts w:ascii="Verdana" w:hAnsi="Verdana"/>
          <w:sz w:val="16"/>
          <w:szCs w:val="16"/>
        </w:rPr>
      </w:pPr>
      <w:r w:rsidRPr="00A42A2D">
        <w:rPr>
          <w:rFonts w:ascii="Verdana" w:hAnsi="Verdana"/>
          <w:sz w:val="16"/>
          <w:szCs w:val="16"/>
          <w:vertAlign w:val="superscript"/>
        </w:rPr>
        <w:footnoteRef/>
      </w:r>
      <w:r w:rsidRPr="00A42A2D">
        <w:rPr>
          <w:rFonts w:ascii="Verdana" w:hAnsi="Verdana"/>
          <w:sz w:val="16"/>
          <w:szCs w:val="16"/>
        </w:rPr>
        <w:t xml:space="preserve"> Artículo 17 de la Ley 1150 de 2007.</w:t>
      </w:r>
    </w:p>
    <w:p w14:paraId="363FCC6D" w14:textId="77777777" w:rsidR="00284AD4" w:rsidRPr="00A42A2D" w:rsidRDefault="00284AD4" w:rsidP="00284AD4">
      <w:pPr>
        <w:pStyle w:val="Textonotapie"/>
        <w:ind w:firstLine="709"/>
        <w:jc w:val="both"/>
        <w:rPr>
          <w:rFonts w:ascii="Verdana" w:hAnsi="Verdana"/>
          <w:sz w:val="16"/>
          <w:szCs w:val="16"/>
        </w:rPr>
      </w:pPr>
    </w:p>
  </w:footnote>
  <w:footnote w:id="3">
    <w:p w14:paraId="489240A6" w14:textId="77777777" w:rsidR="00284AD4" w:rsidRPr="00A42A2D" w:rsidRDefault="00284AD4" w:rsidP="00284AD4">
      <w:pPr>
        <w:pStyle w:val="Textonotapie"/>
        <w:ind w:firstLine="709"/>
        <w:jc w:val="both"/>
        <w:rPr>
          <w:rFonts w:ascii="Verdana" w:hAnsi="Verdana"/>
          <w:sz w:val="16"/>
          <w:szCs w:val="16"/>
        </w:rPr>
      </w:pPr>
      <w:r w:rsidRPr="00A42A2D">
        <w:rPr>
          <w:rFonts w:ascii="Verdana" w:hAnsi="Verdana"/>
          <w:sz w:val="16"/>
          <w:szCs w:val="16"/>
          <w:vertAlign w:val="superscript"/>
        </w:rPr>
        <w:footnoteRef/>
      </w:r>
      <w:r w:rsidRPr="00A42A2D">
        <w:rPr>
          <w:rFonts w:ascii="Verdana" w:hAnsi="Verdana"/>
          <w:sz w:val="16"/>
          <w:szCs w:val="16"/>
        </w:rPr>
        <w:t xml:space="preserve"> Artículo 21 de la Ley 1150 de 2007.</w:t>
      </w:r>
    </w:p>
    <w:p w14:paraId="2DC6EBFC" w14:textId="77777777" w:rsidR="00284AD4" w:rsidRPr="00A42A2D" w:rsidRDefault="00284AD4" w:rsidP="00284AD4">
      <w:pPr>
        <w:pStyle w:val="Textonotapie"/>
        <w:ind w:firstLine="709"/>
        <w:jc w:val="both"/>
        <w:rPr>
          <w:rFonts w:ascii="Verdana" w:hAnsi="Verdana"/>
          <w:sz w:val="16"/>
          <w:szCs w:val="16"/>
        </w:rPr>
      </w:pPr>
    </w:p>
  </w:footnote>
  <w:footnote w:id="4">
    <w:p w14:paraId="4357E78E" w14:textId="77777777" w:rsidR="00284AD4" w:rsidRPr="00A42A2D" w:rsidRDefault="00284AD4" w:rsidP="00284AD4">
      <w:pPr>
        <w:pStyle w:val="Textonotapie"/>
        <w:ind w:firstLine="709"/>
        <w:jc w:val="both"/>
        <w:rPr>
          <w:rFonts w:ascii="Verdana" w:hAnsi="Verdana"/>
          <w:sz w:val="16"/>
          <w:szCs w:val="16"/>
        </w:rPr>
      </w:pPr>
      <w:r w:rsidRPr="00A42A2D">
        <w:rPr>
          <w:rFonts w:ascii="Verdana" w:hAnsi="Verdana"/>
          <w:sz w:val="16"/>
          <w:szCs w:val="16"/>
          <w:vertAlign w:val="superscript"/>
        </w:rPr>
        <w:footnoteRef/>
      </w:r>
      <w:r w:rsidRPr="00A42A2D">
        <w:rPr>
          <w:rFonts w:ascii="Verdana" w:hAnsi="Verdana"/>
          <w:sz w:val="16"/>
          <w:szCs w:val="16"/>
        </w:rPr>
        <w:t xml:space="preserve"> Artículos 83 a 86 de la Ley 1474 de 2011.</w:t>
      </w:r>
    </w:p>
    <w:p w14:paraId="1E5B1797" w14:textId="77777777" w:rsidR="00284AD4" w:rsidRPr="00A42A2D" w:rsidRDefault="00284AD4" w:rsidP="00284AD4">
      <w:pPr>
        <w:pStyle w:val="Textonotapie"/>
        <w:ind w:firstLine="709"/>
        <w:jc w:val="both"/>
        <w:rPr>
          <w:rFonts w:ascii="Verdana" w:hAnsi="Verdana"/>
          <w:sz w:val="16"/>
          <w:szCs w:val="16"/>
        </w:rPr>
      </w:pPr>
    </w:p>
  </w:footnote>
  <w:footnote w:id="5">
    <w:p w14:paraId="27A4D000" w14:textId="77777777" w:rsidR="00284AD4" w:rsidRDefault="00284AD4" w:rsidP="00284AD4">
      <w:pPr>
        <w:pStyle w:val="Textonotapie"/>
        <w:ind w:firstLine="709"/>
        <w:jc w:val="both"/>
        <w:rPr>
          <w:rFonts w:ascii="Verdana" w:hAnsi="Verdana"/>
          <w:sz w:val="16"/>
          <w:szCs w:val="16"/>
        </w:rPr>
      </w:pPr>
      <w:r w:rsidRPr="00A42A2D">
        <w:rPr>
          <w:rFonts w:ascii="Verdana" w:hAnsi="Verdana"/>
          <w:sz w:val="16"/>
          <w:szCs w:val="16"/>
          <w:vertAlign w:val="superscript"/>
        </w:rPr>
        <w:footnoteRef/>
      </w:r>
      <w:r w:rsidRPr="00A42A2D">
        <w:rPr>
          <w:rFonts w:ascii="Verdana" w:hAnsi="Verdana"/>
          <w:sz w:val="16"/>
          <w:szCs w:val="16"/>
        </w:rPr>
        <w:t xml:space="preserve"> Consejo de Estado. Sección 3ª. Sentencia del 27 de noviembre de 2017. M.P. Jaime Orlando Santofimio. </w:t>
      </w:r>
      <w:proofErr w:type="spellStart"/>
      <w:r w:rsidRPr="00A42A2D">
        <w:rPr>
          <w:rFonts w:ascii="Verdana" w:hAnsi="Verdana"/>
          <w:sz w:val="16"/>
          <w:szCs w:val="16"/>
        </w:rPr>
        <w:t>Exp</w:t>
      </w:r>
      <w:proofErr w:type="spellEnd"/>
      <w:r w:rsidRPr="00A42A2D">
        <w:rPr>
          <w:rFonts w:ascii="Verdana" w:hAnsi="Verdana"/>
          <w:sz w:val="16"/>
          <w:szCs w:val="16"/>
        </w:rPr>
        <w:t>. 51.802</w:t>
      </w:r>
      <w:r>
        <w:rPr>
          <w:rFonts w:ascii="Verdana" w:hAnsi="Verdana"/>
          <w:sz w:val="16"/>
          <w:szCs w:val="16"/>
        </w:rPr>
        <w:t>.</w:t>
      </w:r>
    </w:p>
    <w:p w14:paraId="78CC6929" w14:textId="77777777" w:rsidR="00284AD4" w:rsidRPr="00A42A2D" w:rsidRDefault="00284AD4" w:rsidP="00284AD4">
      <w:pPr>
        <w:pStyle w:val="Textonotapie"/>
        <w:ind w:firstLine="709"/>
        <w:jc w:val="both"/>
        <w:rPr>
          <w:rFonts w:ascii="Verdana" w:hAnsi="Verdana"/>
          <w:sz w:val="16"/>
          <w:szCs w:val="16"/>
        </w:rPr>
      </w:pPr>
    </w:p>
  </w:footnote>
  <w:footnote w:id="6">
    <w:p w14:paraId="54EB4FF1" w14:textId="77777777" w:rsidR="00284AD4" w:rsidRDefault="00284AD4" w:rsidP="00284AD4">
      <w:pPr>
        <w:pStyle w:val="Textonotapie"/>
        <w:ind w:firstLine="709"/>
        <w:jc w:val="both"/>
        <w:rPr>
          <w:rFonts w:ascii="Verdana" w:hAnsi="Verdana"/>
          <w:sz w:val="16"/>
          <w:szCs w:val="16"/>
        </w:rPr>
      </w:pPr>
      <w:r w:rsidRPr="00A42A2D">
        <w:rPr>
          <w:rFonts w:ascii="Verdana" w:hAnsi="Verdana"/>
          <w:sz w:val="16"/>
          <w:szCs w:val="16"/>
          <w:vertAlign w:val="superscript"/>
        </w:rPr>
        <w:footnoteRef/>
      </w:r>
      <w:r w:rsidRPr="00A42A2D">
        <w:rPr>
          <w:rFonts w:ascii="Verdana" w:hAnsi="Verdana"/>
          <w:sz w:val="16"/>
          <w:szCs w:val="16"/>
        </w:rPr>
        <w:t xml:space="preserve"> Artículo 83 de la Ley 1474 de 2011</w:t>
      </w:r>
      <w:r>
        <w:rPr>
          <w:rFonts w:ascii="Verdana" w:hAnsi="Verdana"/>
          <w:sz w:val="16"/>
          <w:szCs w:val="16"/>
        </w:rPr>
        <w:t>.</w:t>
      </w:r>
    </w:p>
    <w:p w14:paraId="6266A8BD" w14:textId="77777777" w:rsidR="00284AD4" w:rsidRPr="00A42A2D" w:rsidRDefault="00284AD4" w:rsidP="00284AD4">
      <w:pPr>
        <w:pStyle w:val="Textonotapie"/>
        <w:ind w:firstLine="709"/>
        <w:jc w:val="both"/>
        <w:rPr>
          <w:rFonts w:ascii="Verdana" w:hAnsi="Verdana"/>
          <w:sz w:val="16"/>
          <w:szCs w:val="16"/>
        </w:rPr>
      </w:pPr>
    </w:p>
  </w:footnote>
  <w:footnote w:id="7">
    <w:p w14:paraId="176452D9" w14:textId="77777777" w:rsidR="00284AD4" w:rsidRDefault="00284AD4" w:rsidP="00284AD4">
      <w:pPr>
        <w:pStyle w:val="Textonotapie"/>
        <w:ind w:firstLine="709"/>
        <w:jc w:val="both"/>
        <w:rPr>
          <w:rFonts w:ascii="Verdana" w:hAnsi="Verdana"/>
          <w:sz w:val="16"/>
          <w:szCs w:val="16"/>
        </w:rPr>
      </w:pPr>
      <w:r w:rsidRPr="00A42A2D">
        <w:rPr>
          <w:rFonts w:ascii="Verdana" w:hAnsi="Verdana"/>
          <w:sz w:val="16"/>
          <w:szCs w:val="16"/>
          <w:vertAlign w:val="superscript"/>
        </w:rPr>
        <w:footnoteRef/>
      </w:r>
      <w:r w:rsidRPr="00A42A2D">
        <w:rPr>
          <w:rFonts w:ascii="Verdana" w:hAnsi="Verdana"/>
          <w:sz w:val="16"/>
          <w:szCs w:val="16"/>
        </w:rPr>
        <w:t xml:space="preserve"> A excepción de la interventoría del contrato de obra adjudicado por licitación pública que es obligatoria según el numeral 1° del artículo 32 de la Ley 80 de 1993.</w:t>
      </w:r>
    </w:p>
    <w:p w14:paraId="7ECB0FCB" w14:textId="77777777" w:rsidR="00284AD4" w:rsidRPr="00A42A2D" w:rsidRDefault="00284AD4" w:rsidP="00284AD4">
      <w:pPr>
        <w:pStyle w:val="Textonotapie"/>
        <w:ind w:firstLine="709"/>
        <w:jc w:val="both"/>
        <w:rPr>
          <w:rFonts w:ascii="Verdana" w:hAnsi="Verdana"/>
          <w:sz w:val="16"/>
          <w:szCs w:val="16"/>
        </w:rPr>
      </w:pPr>
    </w:p>
  </w:footnote>
  <w:footnote w:id="8">
    <w:p w14:paraId="4F29CB18" w14:textId="77777777" w:rsidR="00284AD4" w:rsidRDefault="00284AD4" w:rsidP="00284AD4">
      <w:pPr>
        <w:pStyle w:val="Textonotapie"/>
        <w:ind w:firstLine="709"/>
        <w:jc w:val="both"/>
        <w:rPr>
          <w:rFonts w:ascii="Verdana" w:hAnsi="Verdana" w:cs="Arial"/>
          <w:color w:val="000000"/>
          <w:sz w:val="16"/>
          <w:szCs w:val="16"/>
        </w:rPr>
      </w:pPr>
      <w:r w:rsidRPr="00A42A2D">
        <w:rPr>
          <w:rFonts w:ascii="Verdana" w:hAnsi="Verdana" w:cs="Arial"/>
          <w:color w:val="000000"/>
          <w:sz w:val="16"/>
          <w:szCs w:val="16"/>
          <w:vertAlign w:val="superscript"/>
        </w:rPr>
        <w:footnoteRef/>
      </w:r>
      <w:r w:rsidRPr="00A42A2D">
        <w:rPr>
          <w:rFonts w:ascii="Verdana" w:hAnsi="Verdana" w:cs="Arial"/>
          <w:color w:val="000000"/>
          <w:sz w:val="16"/>
          <w:szCs w:val="16"/>
        </w:rPr>
        <w:t xml:space="preserve"> En las Gacetas Nos. 607 y 784 de 2010, en las páginas 12 y 24, respectivamente, se da cuenta de esto.</w:t>
      </w:r>
    </w:p>
    <w:p w14:paraId="11612460" w14:textId="77777777" w:rsidR="00284AD4" w:rsidRPr="00A42A2D" w:rsidRDefault="00284AD4" w:rsidP="00284AD4">
      <w:pPr>
        <w:pStyle w:val="Textonotapie"/>
        <w:ind w:firstLine="709"/>
        <w:jc w:val="both"/>
        <w:rPr>
          <w:rFonts w:ascii="Verdana" w:hAnsi="Verdana" w:cs="Arial"/>
          <w:color w:val="000000"/>
          <w:sz w:val="16"/>
          <w:szCs w:val="16"/>
        </w:rPr>
      </w:pPr>
    </w:p>
  </w:footnote>
  <w:footnote w:id="9">
    <w:p w14:paraId="56BD2362" w14:textId="77777777" w:rsidR="00284AD4" w:rsidRPr="00A42A2D" w:rsidRDefault="00284AD4" w:rsidP="00284AD4">
      <w:pPr>
        <w:pStyle w:val="Textonotapie"/>
        <w:ind w:firstLine="709"/>
        <w:jc w:val="both"/>
        <w:rPr>
          <w:rFonts w:ascii="Verdana" w:hAnsi="Verdana" w:cs="Arial"/>
          <w:color w:val="000000"/>
          <w:sz w:val="16"/>
          <w:szCs w:val="16"/>
        </w:rPr>
      </w:pPr>
      <w:r w:rsidRPr="00A42A2D">
        <w:rPr>
          <w:rFonts w:ascii="Verdana" w:hAnsi="Verdana" w:cs="Arial"/>
          <w:color w:val="000000"/>
          <w:sz w:val="16"/>
          <w:szCs w:val="16"/>
          <w:vertAlign w:val="superscript"/>
        </w:rPr>
        <w:footnoteRef/>
      </w:r>
      <w:r w:rsidRPr="00A42A2D">
        <w:rPr>
          <w:rFonts w:ascii="Verdana" w:hAnsi="Verdana" w:cs="Arial"/>
          <w:color w:val="000000"/>
          <w:sz w:val="16"/>
          <w:szCs w:val="16"/>
        </w:rPr>
        <w:t xml:space="preserve"> Ver las Gacetas Nos. 1002 y 1117 de 2010, en las páginas 44 y 13, respectivamente.</w:t>
      </w:r>
    </w:p>
  </w:footnote>
  <w:footnote w:id="10">
    <w:p w14:paraId="31033C65" w14:textId="77777777" w:rsidR="00284AD4" w:rsidRDefault="00284AD4" w:rsidP="00284AD4">
      <w:pPr>
        <w:pStyle w:val="Textonotapie"/>
        <w:ind w:firstLine="709"/>
        <w:jc w:val="both"/>
        <w:rPr>
          <w:rFonts w:ascii="Verdana" w:hAnsi="Verdana" w:cs="Arial"/>
          <w:color w:val="000000"/>
          <w:sz w:val="16"/>
          <w:szCs w:val="16"/>
        </w:rPr>
      </w:pPr>
    </w:p>
    <w:p w14:paraId="6430C7B4" w14:textId="77777777" w:rsidR="00284AD4" w:rsidRPr="00A42A2D" w:rsidRDefault="00284AD4" w:rsidP="00284AD4">
      <w:pPr>
        <w:pStyle w:val="Textonotapie"/>
        <w:ind w:firstLine="709"/>
        <w:jc w:val="both"/>
        <w:rPr>
          <w:rFonts w:ascii="Verdana" w:hAnsi="Verdana" w:cs="Arial"/>
          <w:color w:val="000000"/>
          <w:sz w:val="16"/>
          <w:szCs w:val="16"/>
        </w:rPr>
      </w:pPr>
      <w:r w:rsidRPr="00A42A2D">
        <w:rPr>
          <w:rFonts w:ascii="Verdana" w:hAnsi="Verdana" w:cs="Arial"/>
          <w:color w:val="000000"/>
          <w:sz w:val="16"/>
          <w:szCs w:val="16"/>
          <w:vertAlign w:val="superscript"/>
        </w:rPr>
        <w:footnoteRef/>
      </w:r>
      <w:r w:rsidRPr="00A42A2D">
        <w:rPr>
          <w:rFonts w:ascii="Verdana" w:hAnsi="Verdana" w:cs="Arial"/>
          <w:color w:val="000000"/>
          <w:sz w:val="16"/>
          <w:szCs w:val="16"/>
        </w:rPr>
        <w:t xml:space="preserve"> Ver la Gaceta No. 019 de 2011, en la página 17.</w:t>
      </w:r>
    </w:p>
  </w:footnote>
  <w:footnote w:id="11">
    <w:p w14:paraId="3E6A3C80" w14:textId="77777777" w:rsidR="00284AD4" w:rsidRDefault="00284AD4" w:rsidP="00284AD4">
      <w:pPr>
        <w:pStyle w:val="Textonotapie"/>
        <w:ind w:firstLine="709"/>
        <w:jc w:val="both"/>
        <w:rPr>
          <w:rFonts w:ascii="Verdana" w:hAnsi="Verdana" w:cs="Arial"/>
          <w:color w:val="000000"/>
          <w:sz w:val="16"/>
          <w:szCs w:val="16"/>
        </w:rPr>
      </w:pPr>
    </w:p>
    <w:p w14:paraId="0C9FDADC" w14:textId="77777777" w:rsidR="00284AD4" w:rsidRPr="00A42A2D" w:rsidRDefault="00284AD4" w:rsidP="00284AD4">
      <w:pPr>
        <w:pStyle w:val="Textonotapie"/>
        <w:ind w:firstLine="709"/>
        <w:jc w:val="both"/>
        <w:rPr>
          <w:rFonts w:ascii="Verdana" w:hAnsi="Verdana" w:cs="Arial"/>
          <w:color w:val="000000"/>
          <w:sz w:val="16"/>
          <w:szCs w:val="16"/>
        </w:rPr>
      </w:pPr>
      <w:r w:rsidRPr="00A42A2D">
        <w:rPr>
          <w:rFonts w:ascii="Verdana" w:hAnsi="Verdana" w:cs="Arial"/>
          <w:color w:val="000000"/>
          <w:sz w:val="16"/>
          <w:szCs w:val="16"/>
          <w:vertAlign w:val="superscript"/>
        </w:rPr>
        <w:footnoteRef/>
      </w:r>
      <w:r w:rsidRPr="00A42A2D">
        <w:rPr>
          <w:rFonts w:ascii="Verdana" w:hAnsi="Verdana" w:cs="Arial"/>
          <w:color w:val="000000"/>
          <w:sz w:val="16"/>
          <w:szCs w:val="16"/>
        </w:rPr>
        <w:t xml:space="preserve"> Ver la Gaceta No. 128 de 2011, en la página 20.</w:t>
      </w:r>
    </w:p>
  </w:footnote>
  <w:footnote w:id="12">
    <w:p w14:paraId="6B9BF406" w14:textId="77777777" w:rsidR="00284AD4" w:rsidRDefault="00284AD4" w:rsidP="00284AD4">
      <w:pPr>
        <w:pStyle w:val="Textonotapie"/>
        <w:ind w:firstLine="709"/>
        <w:jc w:val="both"/>
        <w:rPr>
          <w:rFonts w:ascii="Verdana" w:hAnsi="Verdana" w:cs="Arial"/>
          <w:color w:val="000000"/>
          <w:sz w:val="16"/>
          <w:szCs w:val="16"/>
        </w:rPr>
      </w:pPr>
    </w:p>
    <w:p w14:paraId="58ED7CAB" w14:textId="77777777" w:rsidR="00284AD4" w:rsidRPr="00A42A2D" w:rsidRDefault="00284AD4" w:rsidP="00284AD4">
      <w:pPr>
        <w:pStyle w:val="Textonotapie"/>
        <w:ind w:firstLine="709"/>
        <w:jc w:val="both"/>
        <w:rPr>
          <w:rFonts w:ascii="Verdana" w:hAnsi="Verdana" w:cs="Arial"/>
          <w:color w:val="000000"/>
          <w:sz w:val="16"/>
          <w:szCs w:val="16"/>
        </w:rPr>
      </w:pPr>
      <w:r w:rsidRPr="00A42A2D">
        <w:rPr>
          <w:rFonts w:ascii="Verdana" w:hAnsi="Verdana" w:cs="Arial"/>
          <w:color w:val="000000"/>
          <w:sz w:val="16"/>
          <w:szCs w:val="16"/>
          <w:vertAlign w:val="superscript"/>
        </w:rPr>
        <w:footnoteRef/>
      </w:r>
      <w:r w:rsidRPr="00A42A2D">
        <w:rPr>
          <w:rFonts w:ascii="Verdana" w:hAnsi="Verdana" w:cs="Arial"/>
          <w:color w:val="000000"/>
          <w:sz w:val="16"/>
          <w:szCs w:val="16"/>
        </w:rPr>
        <w:t xml:space="preserve"> Ver la Gaceta No. 258 de 2011, en la página 16.</w:t>
      </w:r>
    </w:p>
  </w:footnote>
  <w:footnote w:id="13">
    <w:p w14:paraId="29D49AF1" w14:textId="77777777" w:rsidR="00284AD4" w:rsidRDefault="00284AD4" w:rsidP="00284AD4">
      <w:pPr>
        <w:pStyle w:val="Textonotapie"/>
        <w:ind w:firstLine="709"/>
        <w:jc w:val="both"/>
        <w:rPr>
          <w:rFonts w:ascii="Verdana" w:hAnsi="Verdana" w:cs="Arial"/>
          <w:color w:val="000000"/>
          <w:sz w:val="16"/>
          <w:szCs w:val="16"/>
        </w:rPr>
      </w:pPr>
    </w:p>
    <w:p w14:paraId="5C48DBD4" w14:textId="77777777" w:rsidR="00284AD4" w:rsidRDefault="00284AD4" w:rsidP="00284AD4">
      <w:pPr>
        <w:pStyle w:val="Textonotapie"/>
        <w:ind w:firstLine="709"/>
        <w:jc w:val="both"/>
        <w:rPr>
          <w:rFonts w:ascii="Verdana" w:hAnsi="Verdana" w:cs="Arial"/>
          <w:color w:val="000000"/>
          <w:sz w:val="16"/>
          <w:szCs w:val="16"/>
        </w:rPr>
      </w:pPr>
      <w:r w:rsidRPr="00A42A2D">
        <w:rPr>
          <w:rFonts w:ascii="Verdana" w:hAnsi="Verdana" w:cs="Arial"/>
          <w:color w:val="000000"/>
          <w:sz w:val="16"/>
          <w:szCs w:val="16"/>
          <w:vertAlign w:val="superscript"/>
        </w:rPr>
        <w:footnoteRef/>
      </w:r>
      <w:r w:rsidRPr="00A42A2D">
        <w:rPr>
          <w:rFonts w:ascii="Verdana" w:hAnsi="Verdana" w:cs="Arial"/>
          <w:color w:val="000000"/>
          <w:sz w:val="16"/>
          <w:szCs w:val="16"/>
        </w:rPr>
        <w:t xml:space="preserve"> Ver las Gacetas Nos. 1002 y 1117 de 2010.</w:t>
      </w:r>
    </w:p>
    <w:p w14:paraId="72262A68" w14:textId="77777777" w:rsidR="00284AD4" w:rsidRPr="00A42A2D" w:rsidRDefault="00284AD4" w:rsidP="00284AD4">
      <w:pPr>
        <w:pStyle w:val="Textonotapie"/>
        <w:ind w:firstLine="709"/>
        <w:jc w:val="both"/>
        <w:rPr>
          <w:rFonts w:ascii="Verdana" w:hAnsi="Verdana" w:cs="Arial"/>
          <w:color w:val="000000"/>
          <w:sz w:val="16"/>
          <w:szCs w:val="16"/>
        </w:rPr>
      </w:pPr>
    </w:p>
  </w:footnote>
  <w:footnote w:id="14">
    <w:p w14:paraId="3D35C22E" w14:textId="77777777" w:rsidR="00284AD4" w:rsidRPr="00A42A2D" w:rsidRDefault="00284AD4" w:rsidP="00284AD4">
      <w:pPr>
        <w:pStyle w:val="Textonotapie"/>
        <w:ind w:firstLine="709"/>
        <w:jc w:val="both"/>
        <w:rPr>
          <w:rFonts w:ascii="Verdana" w:hAnsi="Verdana" w:cs="Arial"/>
          <w:color w:val="000000"/>
          <w:sz w:val="16"/>
          <w:szCs w:val="16"/>
        </w:rPr>
      </w:pPr>
      <w:r w:rsidRPr="00A42A2D">
        <w:rPr>
          <w:rFonts w:ascii="Verdana" w:hAnsi="Verdana" w:cs="Arial"/>
          <w:color w:val="000000"/>
          <w:sz w:val="16"/>
          <w:szCs w:val="16"/>
          <w:vertAlign w:val="superscript"/>
        </w:rPr>
        <w:footnoteRef/>
      </w:r>
      <w:r w:rsidRPr="00A42A2D">
        <w:rPr>
          <w:rFonts w:ascii="Verdana" w:hAnsi="Verdana" w:cs="Arial"/>
          <w:color w:val="000000"/>
          <w:sz w:val="16"/>
          <w:szCs w:val="16"/>
        </w:rPr>
        <w:t xml:space="preserve"> Consejo de Estado, Sección Tercera, Subsección A. Radicado No. 27426. C.P. Ramiro Pazos Guerrero.</w:t>
      </w:r>
    </w:p>
  </w:footnote>
  <w:footnote w:id="15">
    <w:p w14:paraId="526735DA" w14:textId="77777777" w:rsidR="00284AD4" w:rsidRPr="00A42A2D" w:rsidRDefault="00284AD4" w:rsidP="00284AD4">
      <w:pPr>
        <w:pStyle w:val="Textonotapie"/>
        <w:ind w:firstLine="709"/>
        <w:jc w:val="both"/>
        <w:rPr>
          <w:rFonts w:ascii="Verdana" w:hAnsi="Verdana" w:cs="Arial"/>
          <w:color w:val="000000"/>
          <w:sz w:val="16"/>
          <w:szCs w:val="16"/>
        </w:rPr>
      </w:pPr>
      <w:r w:rsidRPr="00A42A2D">
        <w:rPr>
          <w:rFonts w:ascii="Verdana" w:hAnsi="Verdana" w:cs="Arial"/>
          <w:color w:val="000000"/>
          <w:sz w:val="16"/>
          <w:szCs w:val="16"/>
          <w:vertAlign w:val="superscript"/>
        </w:rPr>
        <w:footnoteRef/>
      </w:r>
      <w:r w:rsidRPr="00A42A2D">
        <w:rPr>
          <w:rFonts w:ascii="Verdana" w:hAnsi="Verdana" w:cs="Arial"/>
          <w:color w:val="000000"/>
          <w:sz w:val="16"/>
          <w:szCs w:val="16"/>
        </w:rPr>
        <w:t xml:space="preserve"> Cita tomada del texto original: “Efectivamente, el artículo 83 de la Ley 1474 de 2011 prescribió: “Supervisión e interventoría contractual. Con el fin de proteger la moralidad administrativa, de prevenir la ocurrencia de actos de corrupción y de tutelar la transparencia de la actividad contractual, las entidades públicas están obligadas a vigilar permanentemente la correcta ejecución del objeto contratado a través de un supervisor o un interventor, según corresponda. // La supervisión consistirá en el seguimiento técnico, administrativo, financiero, contable, y jurídico </w:t>
      </w:r>
      <w:proofErr w:type="gramStart"/>
      <w:r w:rsidRPr="00A42A2D">
        <w:rPr>
          <w:rFonts w:ascii="Verdana" w:hAnsi="Verdana" w:cs="Arial"/>
          <w:color w:val="000000"/>
          <w:sz w:val="16"/>
          <w:szCs w:val="16"/>
        </w:rPr>
        <w:t>que</w:t>
      </w:r>
      <w:proofErr w:type="gramEnd"/>
      <w:r w:rsidRPr="00A42A2D">
        <w:rPr>
          <w:rFonts w:ascii="Verdana" w:hAnsi="Verdana" w:cs="Arial"/>
          <w:color w:val="000000"/>
          <w:sz w:val="16"/>
          <w:szCs w:val="16"/>
        </w:rPr>
        <w:t xml:space="preserve"> sobre el cumplimiento del objeto del contrato, es ejercida por la misma entidad estatal cuando no requieren conocimientos especializados. Para la supervisión, la Entidad estatal podrá contratar personal de apoyo, a través de los contratos de prestación de servicios que sean requeridos. // La interventoría consistirá en el seguimiento técnico que sobre el cumplimiento del contrato realice una persona natural o jurídica contratada para tal fin por la Entidad Estatal, cuando el seguimiento del contrato suponga conocimiento especializado en la materia, o cuando la complejidad o la extensión del mismo lo justifiquen. No obstante, lo anterior cuando la entidad lo encuentre justificado y acorde a la naturaleza del contrato principal, podrá contratar el seguimiento administrativo, técnico, financiero, contable, jurídico del objeto o contrato dentro de la interventoría. // Por regla general, no serán concurrentes en relación con un mismo contrato, las funciones de supervisión e interventoría. Sin embargo, la entidad puede dividir la vigilancia del contrato principal, caso en el </w:t>
      </w:r>
      <w:proofErr w:type="gramStart"/>
      <w:r w:rsidRPr="00A42A2D">
        <w:rPr>
          <w:rFonts w:ascii="Verdana" w:hAnsi="Verdana" w:cs="Arial"/>
          <w:color w:val="000000"/>
          <w:sz w:val="16"/>
          <w:szCs w:val="16"/>
        </w:rPr>
        <w:t>cual</w:t>
      </w:r>
      <w:proofErr w:type="gramEnd"/>
      <w:r w:rsidRPr="00A42A2D">
        <w:rPr>
          <w:rFonts w:ascii="Verdana" w:hAnsi="Verdana" w:cs="Arial"/>
          <w:color w:val="000000"/>
          <w:sz w:val="16"/>
          <w:szCs w:val="16"/>
        </w:rPr>
        <w:t xml:space="preserve"> en el contrato respectivo de interventoría, se deberán indicar las actividades técnicas a cargo del interventor y las demás quedarán a cargo de la Entidad a través del supervisor. // El contrato de Interventoría será supervisado directamente por la entidad estatal”.</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1" type="#_x0000_t75" style="width:12pt;height:12pt" o:bullet="t">
        <v:imagedata r:id="rId1" o:title="mso1B13"/>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52513F2D"/>
    <w:multiLevelType w:val="hybridMultilevel"/>
    <w:tmpl w:val="4B103DEE"/>
    <w:lvl w:ilvl="0" w:tplc="028C207A">
      <w:start w:val="1"/>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5"/>
  </w:num>
  <w:num w:numId="8" w16cid:durableId="152644682">
    <w:abstractNumId w:val="13"/>
  </w:num>
  <w:num w:numId="9" w16cid:durableId="1317221377">
    <w:abstractNumId w:val="7"/>
  </w:num>
  <w:num w:numId="10" w16cid:durableId="1471245386">
    <w:abstractNumId w:val="12"/>
  </w:num>
  <w:num w:numId="11" w16cid:durableId="289172385">
    <w:abstractNumId w:val="8"/>
  </w:num>
  <w:num w:numId="12" w16cid:durableId="1470781324">
    <w:abstractNumId w:val="1"/>
  </w:num>
  <w:num w:numId="13" w16cid:durableId="1512908409">
    <w:abstractNumId w:val="3"/>
  </w:num>
  <w:num w:numId="14" w16cid:durableId="895897244">
    <w:abstractNumId w:val="15"/>
  </w:num>
  <w:num w:numId="15" w16cid:durableId="390349800">
    <w:abstractNumId w:val="11"/>
  </w:num>
  <w:num w:numId="16" w16cid:durableId="1330140246">
    <w:abstractNumId w:val="0"/>
  </w:num>
  <w:num w:numId="17" w16cid:durableId="679089576">
    <w:abstractNumId w:val="9"/>
  </w:num>
  <w:num w:numId="18" w16cid:durableId="167287471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657D"/>
    <w:rsid w:val="00016F78"/>
    <w:rsid w:val="00043D9E"/>
    <w:rsid w:val="00046945"/>
    <w:rsid w:val="00052363"/>
    <w:rsid w:val="00061B2A"/>
    <w:rsid w:val="00082362"/>
    <w:rsid w:val="000A683E"/>
    <w:rsid w:val="000B19B9"/>
    <w:rsid w:val="000D0334"/>
    <w:rsid w:val="000D5DA7"/>
    <w:rsid w:val="000F6486"/>
    <w:rsid w:val="0011032D"/>
    <w:rsid w:val="00116940"/>
    <w:rsid w:val="00125105"/>
    <w:rsid w:val="00127233"/>
    <w:rsid w:val="00142865"/>
    <w:rsid w:val="0015699B"/>
    <w:rsid w:val="00176A0A"/>
    <w:rsid w:val="00197E10"/>
    <w:rsid w:val="001A33BF"/>
    <w:rsid w:val="001C1561"/>
    <w:rsid w:val="001D00D0"/>
    <w:rsid w:val="001E1783"/>
    <w:rsid w:val="001E4177"/>
    <w:rsid w:val="001F0B24"/>
    <w:rsid w:val="001F23C5"/>
    <w:rsid w:val="001F7DC6"/>
    <w:rsid w:val="002069BF"/>
    <w:rsid w:val="0022400B"/>
    <w:rsid w:val="00237CA3"/>
    <w:rsid w:val="002421BB"/>
    <w:rsid w:val="0025796E"/>
    <w:rsid w:val="0026168D"/>
    <w:rsid w:val="002707A2"/>
    <w:rsid w:val="00284AD4"/>
    <w:rsid w:val="002951A0"/>
    <w:rsid w:val="002962BC"/>
    <w:rsid w:val="002A093D"/>
    <w:rsid w:val="002A0DD0"/>
    <w:rsid w:val="002A49AC"/>
    <w:rsid w:val="002A64FD"/>
    <w:rsid w:val="002B6869"/>
    <w:rsid w:val="002C7A84"/>
    <w:rsid w:val="002E2BF8"/>
    <w:rsid w:val="002E4FD9"/>
    <w:rsid w:val="00303045"/>
    <w:rsid w:val="0030657A"/>
    <w:rsid w:val="00322A85"/>
    <w:rsid w:val="00324168"/>
    <w:rsid w:val="00324FC3"/>
    <w:rsid w:val="00330834"/>
    <w:rsid w:val="003375F8"/>
    <w:rsid w:val="003448F4"/>
    <w:rsid w:val="0035730F"/>
    <w:rsid w:val="00374F5E"/>
    <w:rsid w:val="00377E3E"/>
    <w:rsid w:val="003A779E"/>
    <w:rsid w:val="003B759B"/>
    <w:rsid w:val="003D0F4D"/>
    <w:rsid w:val="003D5B0D"/>
    <w:rsid w:val="003E0499"/>
    <w:rsid w:val="003E4F80"/>
    <w:rsid w:val="003E6439"/>
    <w:rsid w:val="003F3941"/>
    <w:rsid w:val="00406575"/>
    <w:rsid w:val="00414C74"/>
    <w:rsid w:val="0042722E"/>
    <w:rsid w:val="0044528D"/>
    <w:rsid w:val="00466E39"/>
    <w:rsid w:val="004A1847"/>
    <w:rsid w:val="004A305D"/>
    <w:rsid w:val="004B315E"/>
    <w:rsid w:val="004D0EE7"/>
    <w:rsid w:val="004F21C4"/>
    <w:rsid w:val="004F685F"/>
    <w:rsid w:val="005566E8"/>
    <w:rsid w:val="00574867"/>
    <w:rsid w:val="00591460"/>
    <w:rsid w:val="005A65E0"/>
    <w:rsid w:val="005C3777"/>
    <w:rsid w:val="005C5CDC"/>
    <w:rsid w:val="005D476C"/>
    <w:rsid w:val="005E0016"/>
    <w:rsid w:val="006200BF"/>
    <w:rsid w:val="006219F8"/>
    <w:rsid w:val="006302F7"/>
    <w:rsid w:val="006459CE"/>
    <w:rsid w:val="00646B9F"/>
    <w:rsid w:val="00665D70"/>
    <w:rsid w:val="006900D9"/>
    <w:rsid w:val="00706C16"/>
    <w:rsid w:val="007148B3"/>
    <w:rsid w:val="007340C3"/>
    <w:rsid w:val="00736E1D"/>
    <w:rsid w:val="00744B82"/>
    <w:rsid w:val="0075235A"/>
    <w:rsid w:val="00756841"/>
    <w:rsid w:val="007575A2"/>
    <w:rsid w:val="007649AB"/>
    <w:rsid w:val="00771D0C"/>
    <w:rsid w:val="0077316A"/>
    <w:rsid w:val="007833AC"/>
    <w:rsid w:val="007B268C"/>
    <w:rsid w:val="007B7171"/>
    <w:rsid w:val="007C0C0F"/>
    <w:rsid w:val="007C3DC2"/>
    <w:rsid w:val="007D6959"/>
    <w:rsid w:val="007E5497"/>
    <w:rsid w:val="0080005C"/>
    <w:rsid w:val="00806F5F"/>
    <w:rsid w:val="008074EB"/>
    <w:rsid w:val="00820278"/>
    <w:rsid w:val="008258C9"/>
    <w:rsid w:val="00844AE9"/>
    <w:rsid w:val="00857C02"/>
    <w:rsid w:val="00863564"/>
    <w:rsid w:val="00867F95"/>
    <w:rsid w:val="008843B6"/>
    <w:rsid w:val="00891928"/>
    <w:rsid w:val="008A446D"/>
    <w:rsid w:val="008B25F1"/>
    <w:rsid w:val="008C30FB"/>
    <w:rsid w:val="008D180B"/>
    <w:rsid w:val="008D6013"/>
    <w:rsid w:val="008E2A1C"/>
    <w:rsid w:val="008F0EA7"/>
    <w:rsid w:val="00923EEF"/>
    <w:rsid w:val="009419F9"/>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27C22"/>
    <w:rsid w:val="00A33C78"/>
    <w:rsid w:val="00AB0ADB"/>
    <w:rsid w:val="00AC48B3"/>
    <w:rsid w:val="00B00C0E"/>
    <w:rsid w:val="00B01B1A"/>
    <w:rsid w:val="00B0381D"/>
    <w:rsid w:val="00B03EC6"/>
    <w:rsid w:val="00B44A47"/>
    <w:rsid w:val="00B601E2"/>
    <w:rsid w:val="00B72CD3"/>
    <w:rsid w:val="00B72FFF"/>
    <w:rsid w:val="00BA4018"/>
    <w:rsid w:val="00BC3D36"/>
    <w:rsid w:val="00BD54A6"/>
    <w:rsid w:val="00BD7F72"/>
    <w:rsid w:val="00BF7425"/>
    <w:rsid w:val="00C04FB3"/>
    <w:rsid w:val="00C11D8B"/>
    <w:rsid w:val="00C15139"/>
    <w:rsid w:val="00C330EB"/>
    <w:rsid w:val="00C50D69"/>
    <w:rsid w:val="00C5365C"/>
    <w:rsid w:val="00C754BE"/>
    <w:rsid w:val="00C76B1C"/>
    <w:rsid w:val="00C925AC"/>
    <w:rsid w:val="00CA150C"/>
    <w:rsid w:val="00CB6357"/>
    <w:rsid w:val="00CC1B26"/>
    <w:rsid w:val="00D361FD"/>
    <w:rsid w:val="00D36D3B"/>
    <w:rsid w:val="00D423A2"/>
    <w:rsid w:val="00D44E26"/>
    <w:rsid w:val="00D520D8"/>
    <w:rsid w:val="00D63AC2"/>
    <w:rsid w:val="00D65F06"/>
    <w:rsid w:val="00D7383B"/>
    <w:rsid w:val="00D7788A"/>
    <w:rsid w:val="00DA03D1"/>
    <w:rsid w:val="00DA231B"/>
    <w:rsid w:val="00DA76D4"/>
    <w:rsid w:val="00DC39FC"/>
    <w:rsid w:val="00DD43DD"/>
    <w:rsid w:val="00DF5254"/>
    <w:rsid w:val="00E02524"/>
    <w:rsid w:val="00E16408"/>
    <w:rsid w:val="00E20894"/>
    <w:rsid w:val="00E245AB"/>
    <w:rsid w:val="00E2764C"/>
    <w:rsid w:val="00E27F2E"/>
    <w:rsid w:val="00E47C08"/>
    <w:rsid w:val="00E50AFE"/>
    <w:rsid w:val="00E65A88"/>
    <w:rsid w:val="00E75C92"/>
    <w:rsid w:val="00E771DC"/>
    <w:rsid w:val="00E8772A"/>
    <w:rsid w:val="00E90F6B"/>
    <w:rsid w:val="00E92C27"/>
    <w:rsid w:val="00EA0E3D"/>
    <w:rsid w:val="00EA5E94"/>
    <w:rsid w:val="00EC38A7"/>
    <w:rsid w:val="00EE1AA8"/>
    <w:rsid w:val="00EF035E"/>
    <w:rsid w:val="00F23FEA"/>
    <w:rsid w:val="00F31EDC"/>
    <w:rsid w:val="00F45FCA"/>
    <w:rsid w:val="00F462B3"/>
    <w:rsid w:val="00F5664F"/>
    <w:rsid w:val="00F666C4"/>
    <w:rsid w:val="00F76AFC"/>
    <w:rsid w:val="00F80114"/>
    <w:rsid w:val="00FA47C0"/>
    <w:rsid w:val="00FB5DD1"/>
    <w:rsid w:val="00FC0C87"/>
    <w:rsid w:val="00FC2B5D"/>
    <w:rsid w:val="00FF1449"/>
    <w:rsid w:val="00FF7963"/>
    <w:rsid w:val="09908A09"/>
    <w:rsid w:val="13CFC91B"/>
    <w:rsid w:val="19A2EC2C"/>
    <w:rsid w:val="2859CA1B"/>
    <w:rsid w:val="3208DEF0"/>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5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4B315E"/>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4B315E"/>
    <w:rPr>
      <w:rFonts w:ascii="Geomanist Light" w:hAnsi="Geomanist Light"/>
      <w:lang w:val="es-ES"/>
    </w:rPr>
  </w:style>
  <w:style w:type="character" w:customStyle="1" w:styleId="s15">
    <w:name w:val="s15"/>
    <w:basedOn w:val="Fuentedeprrafopredeter"/>
    <w:rsid w:val="004B315E"/>
  </w:style>
  <w:style w:type="character" w:customStyle="1" w:styleId="apple-converted-space">
    <w:name w:val="apple-converted-space"/>
    <w:basedOn w:val="Fuentedeprrafopredeter"/>
    <w:rsid w:val="004B315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colombiacompra.gov.co/sites/cce_public/files/cce_documents/cce_guia_para_el_ejercicio_de_las_funciones_de_supervision_e_interventoria_de_los_contratos_del_estado.pdf"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colombiacompra.gov.co/sites/cce_public/files/cce_documents/cce_guia_para_el_ejercicio_de_las_funciones_de_supervision_e_interventoria_de_los_contratos_del_estado.pdf"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juanca430@gmail.com" TargetMode="External"/><Relationship Id="rId5" Type="http://schemas.openxmlformats.org/officeDocument/2006/relationships/styles" Target="styles.xml"/><Relationship Id="rId15" Type="http://schemas.openxmlformats.org/officeDocument/2006/relationships/image" Target="media/image3.jpeg"/><Relationship Id="rId10" Type="http://schemas.openxmlformats.org/officeDocument/2006/relationships/image" Target="media/image2.png"/><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relatoria.colombiacompra.gov.co/busqueda/conceptos"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BC31329A-491E-4B3A-8337-9D4BCDE61361}"/>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7fd6426d-c0fc-47b5-a6b8-86becfa1e099"/>
    <ds:schemaRef ds:uri="8ae15d26-076e-464e-81a7-6f76a0fb3917"/>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4</TotalTime>
  <Pages>14</Pages>
  <Words>4427</Words>
  <Characters>24351</Characters>
  <Application>Microsoft Office Word</Application>
  <DocSecurity>0</DocSecurity>
  <Lines>202</Lines>
  <Paragraphs>57</Paragraphs>
  <ScaleCrop>false</ScaleCrop>
  <Company/>
  <LinksUpToDate>false</LinksUpToDate>
  <CharactersWithSpaces>28721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Karol Andrea Gonzalez Marin</cp:lastModifiedBy>
  <cp:revision>2</cp:revision>
  <cp:lastPrinted>2023-01-10T21:18:00Z</cp:lastPrinted>
  <dcterms:created xsi:type="dcterms:W3CDTF">2025-11-26T21:23:00Z</dcterms:created>
  <dcterms:modified xsi:type="dcterms:W3CDTF">2025-11-26T21:23:00Z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