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1C9C2" w14:textId="77777777" w:rsidR="00192B17" w:rsidRDefault="00192B17" w:rsidP="00192B17">
      <w:pPr>
        <w:spacing w:after="0" w:line="240" w:lineRule="auto"/>
        <w:jc w:val="both"/>
        <w:rPr>
          <w:rFonts w:ascii="Verdana" w:hAnsi="Verdana" w:cs="Arial"/>
          <w:b/>
          <w:bCs/>
          <w:lang w:val="es-MX" w:eastAsia="es-ES_tradnl"/>
        </w:rPr>
      </w:pPr>
      <w:bookmarkStart w:id="0" w:name="_Hlk209418979"/>
      <w:bookmarkStart w:id="1" w:name="_Hlk143780582"/>
      <w:bookmarkStart w:id="2" w:name="_Hlk202875225"/>
      <w:bookmarkStart w:id="3" w:name="_Hlk203032812"/>
      <w:bookmarkStart w:id="4" w:name="_Hlk204367265"/>
      <w:bookmarkStart w:id="5" w:name="_Hlk206116713"/>
      <w:r w:rsidRPr="00A249CD">
        <w:rPr>
          <w:rFonts w:ascii="Verdana" w:hAnsi="Verdana" w:cs="Arial"/>
          <w:b/>
          <w:bCs/>
          <w:lang w:val="es-MX" w:eastAsia="es-ES_tradnl"/>
        </w:rPr>
        <w:t>LEY DE GARANTÍAS ELECTORALES ‒ Finalidad</w:t>
      </w:r>
    </w:p>
    <w:p w14:paraId="03F6040D" w14:textId="77777777" w:rsidR="00192B17" w:rsidRDefault="00192B17" w:rsidP="00192B17">
      <w:pPr>
        <w:spacing w:after="0" w:line="240" w:lineRule="auto"/>
        <w:jc w:val="both"/>
        <w:rPr>
          <w:rFonts w:ascii="Verdana" w:hAnsi="Verdana" w:cs="Arial"/>
          <w:b/>
          <w:bCs/>
          <w:lang w:val="es-MX" w:eastAsia="es-ES_tradnl"/>
        </w:rPr>
      </w:pPr>
    </w:p>
    <w:p w14:paraId="100621C5" w14:textId="77777777" w:rsidR="00192B17" w:rsidRDefault="00192B17" w:rsidP="00192B17">
      <w:pPr>
        <w:spacing w:after="0" w:line="240" w:lineRule="auto"/>
        <w:jc w:val="both"/>
        <w:rPr>
          <w:rFonts w:ascii="Verdana" w:eastAsia="Times New Roman" w:hAnsi="Verdana" w:cs="Arial"/>
          <w:bCs/>
          <w:sz w:val="20"/>
          <w:szCs w:val="20"/>
          <w:lang w:eastAsia="es-CO"/>
        </w:rPr>
      </w:pPr>
      <w:r w:rsidRPr="00A249CD">
        <w:rPr>
          <w:rFonts w:ascii="Verdana" w:eastAsia="Times New Roman" w:hAnsi="Verdana" w:cs="Arial"/>
          <w:bCs/>
          <w:sz w:val="20"/>
          <w:szCs w:val="20"/>
          <w:lang w:eastAsia="es-CO"/>
        </w:rPr>
        <w:t>La Ley 996 de 2005, conocida como “Ley de Garantías Electorales”, tiene como propósito evitar la injerencia inadecuada de intereses particulares en el ejercicio de la función pública. Esta ley busca evitar cualquier tipo de arbitrariedad, de ventaja injustificada, de uso irregular de los recursos del Estado en las campañas o falta de garantías en la elección presidencial</w:t>
      </w:r>
      <w:r>
        <w:rPr>
          <w:rFonts w:ascii="Verdana" w:eastAsia="Times New Roman" w:hAnsi="Verdana" w:cs="Arial"/>
          <w:bCs/>
          <w:sz w:val="20"/>
          <w:szCs w:val="20"/>
          <w:lang w:eastAsia="es-CO"/>
        </w:rPr>
        <w:t>.</w:t>
      </w:r>
    </w:p>
    <w:p w14:paraId="564A3B23" w14:textId="77777777" w:rsidR="00192B17" w:rsidRDefault="00192B17" w:rsidP="00192B17">
      <w:pPr>
        <w:spacing w:after="0" w:line="240" w:lineRule="auto"/>
        <w:jc w:val="both"/>
        <w:rPr>
          <w:rFonts w:ascii="Verdana" w:eastAsia="Times New Roman" w:hAnsi="Verdana" w:cs="Arial"/>
          <w:bCs/>
          <w:sz w:val="20"/>
          <w:szCs w:val="20"/>
          <w:lang w:eastAsia="es-CO"/>
        </w:rPr>
      </w:pPr>
    </w:p>
    <w:p w14:paraId="78CB8CDF" w14:textId="77777777" w:rsidR="00192B17" w:rsidRDefault="00192B17" w:rsidP="00192B17">
      <w:pPr>
        <w:spacing w:after="0" w:line="240" w:lineRule="auto"/>
        <w:jc w:val="both"/>
        <w:rPr>
          <w:rFonts w:ascii="Verdana" w:hAnsi="Verdana" w:cs="Arial"/>
          <w:b/>
          <w:bCs/>
          <w:lang w:val="es-MX" w:eastAsia="es-ES_tradnl"/>
        </w:rPr>
      </w:pPr>
      <w:r w:rsidRPr="00735C42">
        <w:rPr>
          <w:rFonts w:ascii="Verdana" w:hAnsi="Verdana" w:cs="Arial"/>
          <w:b/>
          <w:bCs/>
          <w:lang w:val="es-MX" w:eastAsia="es-ES_tradnl"/>
        </w:rPr>
        <w:t>LEY DE GARANTÍAS ELECTORALES ‒ Prohibición - contratación directa</w:t>
      </w:r>
    </w:p>
    <w:p w14:paraId="33E83B14" w14:textId="77777777" w:rsidR="00192B17" w:rsidRDefault="00192B17" w:rsidP="00192B17">
      <w:pPr>
        <w:spacing w:after="0" w:line="240" w:lineRule="auto"/>
        <w:jc w:val="both"/>
        <w:rPr>
          <w:rFonts w:ascii="Verdana" w:hAnsi="Verdana" w:cs="Arial"/>
          <w:b/>
          <w:bCs/>
          <w:lang w:val="es-MX" w:eastAsia="es-ES_tradnl"/>
        </w:rPr>
      </w:pPr>
    </w:p>
    <w:p w14:paraId="6F2F2FAD" w14:textId="77777777" w:rsidR="00192B17" w:rsidRPr="00735C42" w:rsidRDefault="00192B17" w:rsidP="00192B17">
      <w:pPr>
        <w:spacing w:after="0" w:line="240" w:lineRule="auto"/>
        <w:jc w:val="both"/>
        <w:rPr>
          <w:rFonts w:ascii="Verdana" w:eastAsia="Calibri" w:hAnsi="Verdana" w:cs="Arial"/>
          <w:sz w:val="20"/>
          <w:szCs w:val="20"/>
        </w:rPr>
      </w:pPr>
      <w:r w:rsidRPr="00735C42">
        <w:rPr>
          <w:rFonts w:ascii="Verdana" w:eastAsia="Calibri" w:hAnsi="Verdana" w:cs="Arial"/>
          <w:sz w:val="20"/>
          <w:szCs w:val="20"/>
        </w:rPr>
        <w:t xml:space="preserve">El artículo 33 de la Ley 996 de 2005 prohíbe </w:t>
      </w:r>
      <w:r w:rsidRPr="00735C42">
        <w:rPr>
          <w:rFonts w:ascii="Verdana" w:eastAsia="Calibri" w:hAnsi="Verdana" w:cs="Arial"/>
          <w:bCs/>
          <w:sz w:val="20"/>
          <w:szCs w:val="20"/>
        </w:rPr>
        <w:t xml:space="preserve">“(…) </w:t>
      </w:r>
      <w:r w:rsidRPr="00735C42">
        <w:rPr>
          <w:rFonts w:ascii="Verdana" w:eastAsia="Calibri" w:hAnsi="Verdana" w:cs="Arial"/>
          <w:sz w:val="20"/>
          <w:szCs w:val="20"/>
        </w:rPr>
        <w:t xml:space="preserve">la contratación directa por parte de todos los entes del Estado” durante los cuatro (4) meses anteriores a las elecciones presidenciales, salvo </w:t>
      </w:r>
      <w:r w:rsidRPr="00735C42">
        <w:rPr>
          <w:rFonts w:ascii="Verdana" w:eastAsia="Calibri" w:hAnsi="Verdana" w:cs="Arial"/>
          <w:bCs/>
          <w:sz w:val="20"/>
          <w:szCs w:val="20"/>
        </w:rPr>
        <w:t>“(…) l</w:t>
      </w:r>
      <w:r w:rsidRPr="00735C42">
        <w:rPr>
          <w:rFonts w:ascii="Verdana" w:eastAsia="Calibri" w:hAnsi="Verdana" w:cs="Arial"/>
          <w:sz w:val="20"/>
          <w:szCs w:val="20"/>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044EFA5" w14:textId="77777777" w:rsidR="00192B17" w:rsidRDefault="00192B17" w:rsidP="00192B17">
      <w:pPr>
        <w:spacing w:after="0" w:line="240" w:lineRule="auto"/>
        <w:jc w:val="both"/>
        <w:rPr>
          <w:rFonts w:ascii="Verdana" w:eastAsia="Times New Roman" w:hAnsi="Verdana" w:cs="Arial"/>
          <w:sz w:val="20"/>
          <w:szCs w:val="20"/>
          <w:lang w:val="es-MX" w:eastAsia="x-none"/>
        </w:rPr>
      </w:pPr>
    </w:p>
    <w:p w14:paraId="6FAA40B7" w14:textId="77777777" w:rsidR="00192B17" w:rsidRPr="00735C42" w:rsidRDefault="00192B17" w:rsidP="00192B17">
      <w:pPr>
        <w:spacing w:after="0" w:line="240" w:lineRule="auto"/>
        <w:jc w:val="both"/>
        <w:rPr>
          <w:rFonts w:ascii="Verdana" w:hAnsi="Verdana"/>
          <w:b/>
          <w:bCs/>
          <w:sz w:val="20"/>
          <w:szCs w:val="20"/>
          <w:lang w:val="es-MX"/>
        </w:rPr>
      </w:pPr>
      <w:r w:rsidRPr="00735C42">
        <w:rPr>
          <w:rFonts w:ascii="Verdana" w:eastAsia="Times New Roman" w:hAnsi="Verdana" w:cs="Arial"/>
          <w:sz w:val="20"/>
          <w:szCs w:val="20"/>
          <w:lang w:val="es-MX" w:eastAsia="x-none"/>
        </w:rPr>
        <w:t xml:space="preserve">El ámbito material de la prohibición contenida en el artículo 33 de la Ley 996 de 2005 está delimitado por la expresión </w:t>
      </w:r>
      <w:r w:rsidRPr="00735C42">
        <w:rPr>
          <w:rFonts w:ascii="Verdana" w:eastAsia="Calibri" w:hAnsi="Verdana" w:cs="Arial"/>
          <w:i/>
          <w:sz w:val="20"/>
          <w:szCs w:val="20"/>
          <w:lang w:val="es-MX"/>
        </w:rPr>
        <w:t>“</w:t>
      </w:r>
      <w:r w:rsidRPr="00735C42">
        <w:rPr>
          <w:rFonts w:ascii="Verdana" w:eastAsia="Times New Roman" w:hAnsi="Verdana" w:cs="Arial"/>
          <w:i/>
          <w:sz w:val="20"/>
          <w:szCs w:val="20"/>
          <w:lang w:val="es-MX" w:eastAsia="x-none"/>
        </w:rPr>
        <w:t>queda prohibida la contratación directa</w:t>
      </w:r>
      <w:r w:rsidRPr="00735C42">
        <w:rPr>
          <w:rFonts w:ascii="Verdana" w:eastAsia="Calibri" w:hAnsi="Verdana" w:cs="Arial"/>
          <w:i/>
          <w:sz w:val="20"/>
          <w:szCs w:val="20"/>
          <w:lang w:val="es-MX"/>
        </w:rPr>
        <w:t>”</w:t>
      </w:r>
      <w:r w:rsidRPr="00735C42">
        <w:rPr>
          <w:rFonts w:ascii="Verdana" w:eastAsia="Times New Roman" w:hAnsi="Verdana" w:cs="Arial"/>
          <w:i/>
          <w:sz w:val="20"/>
          <w:szCs w:val="20"/>
          <w:lang w:val="es-MX" w:eastAsia="x-none"/>
        </w:rPr>
        <w:t>.</w:t>
      </w:r>
    </w:p>
    <w:p w14:paraId="71819A06" w14:textId="77777777" w:rsidR="00192B17" w:rsidRPr="00735C42" w:rsidRDefault="00192B17" w:rsidP="00192B17">
      <w:pPr>
        <w:spacing w:after="0" w:line="240" w:lineRule="auto"/>
        <w:jc w:val="both"/>
        <w:rPr>
          <w:rFonts w:ascii="Verdana" w:hAnsi="Verdana"/>
          <w:sz w:val="20"/>
          <w:szCs w:val="20"/>
        </w:rPr>
      </w:pPr>
    </w:p>
    <w:p w14:paraId="13FED5D6" w14:textId="77777777" w:rsidR="00192B17" w:rsidRPr="00735C42" w:rsidRDefault="00192B17" w:rsidP="00192B17">
      <w:pPr>
        <w:spacing w:after="0" w:line="240" w:lineRule="auto"/>
        <w:jc w:val="both"/>
        <w:rPr>
          <w:rFonts w:ascii="Verdana" w:eastAsia="Times New Roman" w:hAnsi="Verdana" w:cs="Arial"/>
          <w:sz w:val="20"/>
          <w:szCs w:val="20"/>
          <w:lang w:eastAsia="x-none"/>
        </w:rPr>
      </w:pPr>
      <w:r w:rsidRPr="00735C42">
        <w:rPr>
          <w:rFonts w:ascii="Verdana" w:hAnsi="Verdana"/>
          <w:sz w:val="20"/>
          <w:szCs w:val="20"/>
        </w:rPr>
        <w:t xml:space="preserve">[…] </w:t>
      </w:r>
      <w:r w:rsidRPr="00735C42">
        <w:rPr>
          <w:rFonts w:ascii="Verdana" w:eastAsia="Times New Roman" w:hAnsi="Verdana" w:cs="Arial"/>
          <w:sz w:val="20"/>
          <w:szCs w:val="20"/>
          <w:lang w:eastAsia="x-none"/>
        </w:rPr>
        <w:t xml:space="preserve">la prohibición del artículo 33 de la Ley de Garantías Electorales se refiere a </w:t>
      </w:r>
      <w:r w:rsidRPr="00735C42">
        <w:rPr>
          <w:rFonts w:ascii="Verdana" w:eastAsia="Times New Roman" w:hAnsi="Verdana" w:cs="Arial"/>
          <w:sz w:val="20"/>
          <w:szCs w:val="20"/>
          <w:lang w:eastAsia="en-GB"/>
        </w:rPr>
        <w:t>“</w:t>
      </w:r>
      <w:r w:rsidRPr="00735C42">
        <w:rPr>
          <w:rFonts w:ascii="Verdana" w:eastAsia="Times New Roman" w:hAnsi="Verdana" w:cs="Arial"/>
          <w:sz w:val="20"/>
          <w:szCs w:val="20"/>
          <w:lang w:eastAsia="x-none"/>
        </w:rPr>
        <w:t>cualquier sistema que no implique convocatoria pública y posibilidad de pluralidad de oferentes</w:t>
      </w:r>
      <w:r w:rsidRPr="00735C42">
        <w:rPr>
          <w:rFonts w:ascii="Verdana" w:eastAsia="Times New Roman" w:hAnsi="Verdana" w:cs="Arial"/>
          <w:sz w:val="20"/>
          <w:szCs w:val="20"/>
          <w:lang w:eastAsia="en-GB"/>
        </w:rPr>
        <w:t>”</w:t>
      </w:r>
      <w:r w:rsidRPr="00735C42">
        <w:rPr>
          <w:rFonts w:ascii="Verdana" w:eastAsia="Times New Roman"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w:t>
      </w:r>
    </w:p>
    <w:p w14:paraId="325E3DBF" w14:textId="77777777" w:rsidR="00192B17" w:rsidRDefault="00192B17" w:rsidP="00192B17">
      <w:pPr>
        <w:spacing w:after="0" w:line="240" w:lineRule="auto"/>
        <w:jc w:val="both"/>
        <w:rPr>
          <w:rFonts w:ascii="Verdana" w:eastAsia="Times New Roman" w:hAnsi="Verdana" w:cs="Arial"/>
          <w:lang w:eastAsia="x-none"/>
        </w:rPr>
      </w:pPr>
    </w:p>
    <w:p w14:paraId="64739B68" w14:textId="77777777" w:rsidR="00192B17" w:rsidRPr="00735C42" w:rsidRDefault="00192B17" w:rsidP="00192B17">
      <w:pPr>
        <w:spacing w:after="0" w:line="240" w:lineRule="auto"/>
        <w:jc w:val="both"/>
        <w:rPr>
          <w:rFonts w:ascii="Verdana" w:eastAsia="Times New Roman" w:hAnsi="Verdana" w:cs="Arial"/>
          <w:b/>
          <w:bCs/>
          <w:lang w:eastAsia="x-none"/>
        </w:rPr>
      </w:pPr>
      <w:r w:rsidRPr="00735C42">
        <w:rPr>
          <w:rFonts w:ascii="Verdana" w:eastAsia="Times New Roman" w:hAnsi="Verdana" w:cs="Arial"/>
          <w:b/>
          <w:bCs/>
          <w:lang w:eastAsia="es-ES_tradnl"/>
        </w:rPr>
        <w:t>LEY DE GARANTÍAS ELECTORALES ─ Prohibición ‒ Contratación directa ‒ Excepciones</w:t>
      </w:r>
    </w:p>
    <w:p w14:paraId="421DC883" w14:textId="77777777" w:rsidR="00192B17" w:rsidRDefault="00192B17" w:rsidP="00192B17">
      <w:pPr>
        <w:spacing w:after="0" w:line="240" w:lineRule="auto"/>
        <w:jc w:val="both"/>
        <w:rPr>
          <w:rFonts w:ascii="Verdana" w:eastAsia="Times New Roman" w:hAnsi="Verdana" w:cs="Arial"/>
          <w:lang w:eastAsia="x-none"/>
        </w:rPr>
      </w:pPr>
    </w:p>
    <w:p w14:paraId="0BA21A5E" w14:textId="77777777" w:rsidR="00192B17" w:rsidRDefault="00192B17" w:rsidP="00192B17">
      <w:pPr>
        <w:spacing w:after="0" w:line="240" w:lineRule="auto"/>
        <w:jc w:val="both"/>
        <w:rPr>
          <w:rFonts w:ascii="Verdana" w:eastAsia="Times New Roman" w:hAnsi="Verdana" w:cs="Arial"/>
          <w:sz w:val="20"/>
          <w:szCs w:val="20"/>
          <w:lang w:val="es-MX" w:eastAsia="es-CO"/>
        </w:rPr>
      </w:pPr>
      <w:r w:rsidRPr="000855C8">
        <w:rPr>
          <w:rFonts w:ascii="Verdana" w:eastAsia="Times New Roman" w:hAnsi="Verdana" w:cs="Arial"/>
          <w:sz w:val="20"/>
          <w:szCs w:val="20"/>
          <w:lang w:val="es-MX" w:eastAsia="x-none"/>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0855C8">
        <w:rPr>
          <w:rFonts w:ascii="Verdana" w:eastAsia="Times New Roman" w:hAnsi="Verdana" w:cs="Arial"/>
          <w:sz w:val="20"/>
          <w:szCs w:val="20"/>
          <w:lang w:val="es-MX" w:eastAsia="x-none"/>
        </w:rPr>
        <w:t>ii</w:t>
      </w:r>
      <w:proofErr w:type="spellEnd"/>
      <w:r w:rsidRPr="000855C8">
        <w:rPr>
          <w:rFonts w:ascii="Verdana" w:eastAsia="Times New Roman" w:hAnsi="Verdana" w:cs="Arial"/>
          <w:sz w:val="20"/>
          <w:szCs w:val="20"/>
          <w:lang w:val="es-MX" w:eastAsia="x-none"/>
        </w:rPr>
        <w:t xml:space="preserve">) los contratos de crédito público; </w:t>
      </w:r>
      <w:proofErr w:type="spellStart"/>
      <w:r w:rsidRPr="000855C8">
        <w:rPr>
          <w:rFonts w:ascii="Verdana" w:eastAsia="Times New Roman" w:hAnsi="Verdana" w:cs="Arial"/>
          <w:sz w:val="20"/>
          <w:szCs w:val="20"/>
          <w:lang w:val="es-MX" w:eastAsia="x-none"/>
        </w:rPr>
        <w:t>iii</w:t>
      </w:r>
      <w:proofErr w:type="spellEnd"/>
      <w:r w:rsidRPr="000855C8">
        <w:rPr>
          <w:rFonts w:ascii="Verdana" w:eastAsia="Times New Roman" w:hAnsi="Verdana" w:cs="Arial"/>
          <w:sz w:val="20"/>
          <w:szCs w:val="20"/>
          <w:lang w:val="es-MX" w:eastAsia="x-none"/>
        </w:rPr>
        <w:t xml:space="preserve">) los requeridos para cubrir las emergencias educativas, sanitarias y desastres; </w:t>
      </w:r>
      <w:proofErr w:type="spellStart"/>
      <w:r w:rsidRPr="000855C8">
        <w:rPr>
          <w:rFonts w:ascii="Verdana" w:eastAsia="Times New Roman" w:hAnsi="Verdana" w:cs="Arial"/>
          <w:sz w:val="20"/>
          <w:szCs w:val="20"/>
          <w:lang w:val="es-MX" w:eastAsia="x-none"/>
        </w:rPr>
        <w:t>iv</w:t>
      </w:r>
      <w:proofErr w:type="spellEnd"/>
      <w:r w:rsidRPr="000855C8">
        <w:rPr>
          <w:rFonts w:ascii="Verdana" w:eastAsia="Times New Roman" w:hAnsi="Verdana" w:cs="Arial"/>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0855C8">
        <w:rPr>
          <w:rFonts w:ascii="Verdana" w:eastAsia="Times New Roman" w:hAnsi="Verdana" w:cs="Arial"/>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4DA3447" w14:textId="77777777" w:rsidR="00192B17" w:rsidRDefault="00192B17" w:rsidP="00192B17">
      <w:pPr>
        <w:spacing w:after="0" w:line="240" w:lineRule="auto"/>
        <w:jc w:val="both"/>
        <w:rPr>
          <w:rFonts w:ascii="Verdana" w:eastAsia="Times New Roman" w:hAnsi="Verdana" w:cs="Arial"/>
          <w:sz w:val="20"/>
          <w:szCs w:val="20"/>
          <w:lang w:val="es-MX" w:eastAsia="es-CO"/>
        </w:rPr>
      </w:pPr>
    </w:p>
    <w:p w14:paraId="22148779" w14:textId="77777777" w:rsidR="00192B17" w:rsidRDefault="00192B17" w:rsidP="00192B17">
      <w:pPr>
        <w:spacing w:after="0" w:line="240" w:lineRule="auto"/>
        <w:jc w:val="both"/>
        <w:rPr>
          <w:rFonts w:ascii="Verdana" w:eastAsia="Times New Roman" w:hAnsi="Verdana" w:cs="Arial"/>
          <w:sz w:val="20"/>
          <w:szCs w:val="20"/>
          <w:lang w:val="es-MX" w:eastAsia="x-none"/>
        </w:rPr>
      </w:pPr>
      <w:r w:rsidRPr="000855C8">
        <w:rPr>
          <w:rFonts w:ascii="Verdana" w:eastAsia="Times New Roman" w:hAnsi="Verdana" w:cs="Arial"/>
          <w:sz w:val="20"/>
          <w:szCs w:val="20"/>
          <w:lang w:val="es-MX" w:eastAsia="x-none"/>
        </w:rPr>
        <w:lastRenderedPageBreak/>
        <w:t>En esta labor es importante tener en cuenta, como lo anotó la Corte Constitucional, en Sentencia C-1153 de noviembre 11 de 2005</w:t>
      </w:r>
      <w:r w:rsidRPr="000855C8">
        <w:rPr>
          <w:rFonts w:ascii="Verdana" w:eastAsia="Calibri" w:hAnsi="Verdana" w:cs="Arial"/>
          <w:sz w:val="20"/>
          <w:szCs w:val="20"/>
          <w:lang w:val="es-MX"/>
        </w:rPr>
        <w:t>,</w:t>
      </w:r>
      <w:r w:rsidRPr="000855C8">
        <w:rPr>
          <w:rFonts w:ascii="Verdana" w:eastAsia="Times New Roman" w:hAnsi="Verdana" w:cs="Arial"/>
          <w:sz w:val="20"/>
          <w:szCs w:val="20"/>
          <w:lang w:val="es-MX"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0855C8">
        <w:rPr>
          <w:rFonts w:ascii="Verdana" w:eastAsia="Times New Roman" w:hAnsi="Verdana" w:cs="Arial"/>
          <w:sz w:val="20"/>
          <w:szCs w:val="20"/>
          <w:lang w:val="es-MX" w:eastAsia="es-CO"/>
        </w:rPr>
        <w:t>candidatos</w:t>
      </w:r>
      <w:r w:rsidRPr="000855C8">
        <w:rPr>
          <w:rFonts w:ascii="Verdana" w:eastAsia="Times New Roman" w:hAnsi="Verdana" w:cs="Arial"/>
          <w:sz w:val="20"/>
          <w:szCs w:val="20"/>
          <w:lang w:val="es-MX" w:eastAsia="x-none"/>
        </w:rPr>
        <w:t xml:space="preserve"> como garantía electoral.</w:t>
      </w:r>
    </w:p>
    <w:p w14:paraId="089DF438" w14:textId="77777777" w:rsidR="00192B17" w:rsidRDefault="00192B17" w:rsidP="00192B17">
      <w:pPr>
        <w:spacing w:after="0" w:line="240" w:lineRule="auto"/>
        <w:jc w:val="both"/>
        <w:rPr>
          <w:rFonts w:ascii="Verdana" w:eastAsia="Times New Roman" w:hAnsi="Verdana" w:cs="Arial"/>
          <w:sz w:val="20"/>
          <w:szCs w:val="20"/>
          <w:lang w:val="es-MX" w:eastAsia="x-none"/>
        </w:rPr>
      </w:pPr>
    </w:p>
    <w:p w14:paraId="2EAEB1DB" w14:textId="77777777" w:rsidR="00192B17" w:rsidRPr="000855C8" w:rsidRDefault="00192B17" w:rsidP="00192B17">
      <w:pPr>
        <w:spacing w:after="0" w:line="240" w:lineRule="auto"/>
        <w:jc w:val="both"/>
        <w:rPr>
          <w:rFonts w:ascii="Verdana" w:eastAsia="Times New Roman" w:hAnsi="Verdana" w:cs="Arial"/>
          <w:b/>
          <w:bCs/>
          <w:lang w:eastAsia="es-ES_tradnl"/>
        </w:rPr>
      </w:pPr>
      <w:r w:rsidRPr="000855C8">
        <w:rPr>
          <w:rFonts w:ascii="Verdana" w:eastAsia="Times New Roman" w:hAnsi="Verdana" w:cs="Arial"/>
          <w:b/>
          <w:bCs/>
          <w:lang w:eastAsia="es-ES_tradnl"/>
        </w:rPr>
        <w:t>DECRETO 092 DE 2017 – Finalidad – Clases de contratos</w:t>
      </w:r>
    </w:p>
    <w:p w14:paraId="7EE9EA28" w14:textId="77777777" w:rsidR="00192B17" w:rsidRDefault="00192B17" w:rsidP="00192B17">
      <w:pPr>
        <w:spacing w:after="0" w:line="240" w:lineRule="auto"/>
        <w:jc w:val="both"/>
        <w:rPr>
          <w:rFonts w:ascii="Verdana" w:eastAsia="Calibri" w:hAnsi="Verdana" w:cs="Arial"/>
          <w:lang w:val="es-ES"/>
        </w:rPr>
      </w:pPr>
    </w:p>
    <w:p w14:paraId="6EC90B4C" w14:textId="77777777" w:rsidR="00192B17" w:rsidRPr="000855C8" w:rsidRDefault="00192B17" w:rsidP="00192B1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0855C8">
        <w:rPr>
          <w:rFonts w:ascii="Verdana" w:eastAsia="Calibri" w:hAnsi="Verdana" w:cs="Arial"/>
          <w:sz w:val="20"/>
          <w:szCs w:val="20"/>
          <w:lang w:val="es-ES"/>
        </w:rPr>
        <w:t>ii</w:t>
      </w:r>
      <w:proofErr w:type="spellEnd"/>
      <w:r w:rsidRPr="000855C8">
        <w:rPr>
          <w:rFonts w:ascii="Verdana" w:eastAsia="Calibri"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31C34BBC" w14:textId="77777777" w:rsidR="00192B17" w:rsidRDefault="00192B17" w:rsidP="00192B17">
      <w:pPr>
        <w:spacing w:after="0" w:line="240" w:lineRule="auto"/>
        <w:jc w:val="both"/>
        <w:rPr>
          <w:rFonts w:ascii="Verdana" w:eastAsia="Times New Roman" w:hAnsi="Verdana" w:cs="Arial"/>
          <w:b/>
          <w:bCs/>
          <w:lang w:eastAsia="es-ES_tradnl"/>
        </w:rPr>
      </w:pPr>
    </w:p>
    <w:p w14:paraId="2C3D3F25" w14:textId="77777777" w:rsidR="00192B17" w:rsidRPr="000855C8" w:rsidRDefault="00192B17" w:rsidP="00192B17">
      <w:pPr>
        <w:spacing w:after="0" w:line="240" w:lineRule="auto"/>
        <w:jc w:val="both"/>
        <w:rPr>
          <w:rFonts w:ascii="Verdana" w:eastAsia="Calibri" w:hAnsi="Verdana" w:cs="Arial"/>
          <w:b/>
          <w:bCs/>
          <w:lang w:val="es-ES"/>
        </w:rPr>
      </w:pPr>
      <w:r w:rsidRPr="000855C8">
        <w:rPr>
          <w:rFonts w:ascii="Verdana" w:eastAsia="Times New Roman" w:hAnsi="Verdana" w:cs="Arial"/>
          <w:b/>
          <w:bCs/>
          <w:lang w:eastAsia="es-ES_tradnl"/>
        </w:rPr>
        <w:t>CONTRATACIÓN CON ESAL – Contrato de colaboración – Objeto – Alcance</w:t>
      </w:r>
    </w:p>
    <w:p w14:paraId="44AC2BBC" w14:textId="77777777" w:rsidR="00192B17" w:rsidRDefault="00192B17" w:rsidP="00192B17">
      <w:pPr>
        <w:spacing w:after="0" w:line="240" w:lineRule="auto"/>
        <w:jc w:val="both"/>
        <w:rPr>
          <w:rFonts w:ascii="Verdana" w:eastAsia="Calibri" w:hAnsi="Verdana" w:cs="Arial"/>
          <w:sz w:val="20"/>
          <w:szCs w:val="20"/>
          <w:lang w:val="es-ES"/>
        </w:rPr>
      </w:pPr>
    </w:p>
    <w:p w14:paraId="1C16951B" w14:textId="77777777" w:rsidR="00192B17" w:rsidRPr="000855C8" w:rsidRDefault="00192B17" w:rsidP="00192B1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 xml:space="preserve">Los </w:t>
      </w:r>
      <w:r w:rsidRPr="000855C8">
        <w:rPr>
          <w:rFonts w:ascii="Verdana" w:eastAsia="Calibri" w:hAnsi="Verdana" w:cs="Arial"/>
          <w:i/>
          <w:iCs/>
          <w:sz w:val="20"/>
          <w:szCs w:val="20"/>
          <w:lang w:val="es-ES"/>
        </w:rPr>
        <w:t>contratos del artículo 355 de la Constitución Política</w:t>
      </w:r>
      <w:r w:rsidRPr="000855C8">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2962DD10" w14:textId="77777777" w:rsidR="00192B17" w:rsidRPr="000855C8" w:rsidRDefault="00192B17" w:rsidP="00192B17">
      <w:pPr>
        <w:spacing w:after="0" w:line="240" w:lineRule="auto"/>
        <w:jc w:val="both"/>
        <w:rPr>
          <w:rFonts w:ascii="Verdana" w:eastAsia="Times New Roman" w:hAnsi="Verdana" w:cs="Arial"/>
          <w:sz w:val="20"/>
          <w:szCs w:val="20"/>
          <w:lang w:val="es-ES" w:eastAsia="x-none"/>
        </w:rPr>
      </w:pPr>
    </w:p>
    <w:p w14:paraId="50C787C0" w14:textId="77777777" w:rsidR="00192B17" w:rsidRDefault="00192B17" w:rsidP="00192B1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Para celebrar estos contratos, según lo establece el artículo 3 del Decreto 092 de 2017, por regla general, la entidad debe adelantar un proceso competitivo para seleccionar la entidad sin ánimo de lucro contratista</w:t>
      </w:r>
      <w:r>
        <w:rPr>
          <w:rFonts w:ascii="Verdana" w:eastAsia="Calibri" w:hAnsi="Verdana" w:cs="Arial"/>
          <w:sz w:val="20"/>
          <w:szCs w:val="20"/>
          <w:lang w:val="es-ES"/>
        </w:rPr>
        <w:t>.</w:t>
      </w:r>
    </w:p>
    <w:p w14:paraId="11AFC1E5" w14:textId="77777777" w:rsidR="00192B17" w:rsidRDefault="00192B17" w:rsidP="00192B17">
      <w:pPr>
        <w:spacing w:after="0" w:line="240" w:lineRule="auto"/>
        <w:jc w:val="both"/>
        <w:rPr>
          <w:rFonts w:ascii="Verdana" w:eastAsia="Calibri" w:hAnsi="Verdana" w:cs="Arial"/>
          <w:sz w:val="20"/>
          <w:szCs w:val="20"/>
          <w:lang w:val="es-ES"/>
        </w:rPr>
      </w:pPr>
    </w:p>
    <w:p w14:paraId="1EAE2C4F" w14:textId="77777777" w:rsidR="00192B17" w:rsidRPr="001D68DC" w:rsidRDefault="00192B17" w:rsidP="00192B17">
      <w:pPr>
        <w:spacing w:after="0" w:line="240" w:lineRule="auto"/>
        <w:jc w:val="both"/>
        <w:rPr>
          <w:rFonts w:ascii="Verdana" w:eastAsia="Calibri" w:hAnsi="Verdana" w:cs="Arial"/>
          <w:sz w:val="20"/>
          <w:szCs w:val="20"/>
          <w:lang w:val="es-ES"/>
        </w:rPr>
      </w:pPr>
      <w:r w:rsidRPr="001D68DC">
        <w:rPr>
          <w:rFonts w:ascii="Verdana" w:eastAsia="Calibri" w:hAnsi="Verdana" w:cs="Arial"/>
          <w:sz w:val="20"/>
          <w:szCs w:val="20"/>
          <w:lang w:val="es-ES"/>
        </w:rPr>
        <w:t>[…] Ahora bien, por disposición del artículo 4 del Decreto 092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001D68DC">
        <w:rPr>
          <w:rFonts w:ascii="Verdana" w:eastAsia="Calibri" w:hAnsi="Verdana" w:cs="Arial"/>
          <w:sz w:val="20"/>
          <w:szCs w:val="20"/>
          <w:lang w:val="es-ES"/>
        </w:rPr>
        <w:t>ii</w:t>
      </w:r>
      <w:proofErr w:type="spellEnd"/>
      <w:r w:rsidRPr="001D68DC">
        <w:rPr>
          <w:rFonts w:ascii="Verdana" w:eastAsia="Calibri" w:hAnsi="Verdana" w:cs="Arial"/>
          <w:sz w:val="20"/>
          <w:szCs w:val="20"/>
          <w:lang w:val="es-ES"/>
        </w:rPr>
        <w:t>) definición de un plazo razonable para que las entidades privadas sin ánimo de lucro de reconocida idoneidad presenten a la Entidad Estatal sus ofertas y los documentos que acrediten su idoneidad, y (</w:t>
      </w:r>
      <w:proofErr w:type="spellStart"/>
      <w:r w:rsidRPr="001D68DC">
        <w:rPr>
          <w:rFonts w:ascii="Verdana" w:eastAsia="Calibri" w:hAnsi="Verdana" w:cs="Arial"/>
          <w:sz w:val="20"/>
          <w:szCs w:val="20"/>
          <w:lang w:val="es-ES"/>
        </w:rPr>
        <w:t>iii</w:t>
      </w:r>
      <w:proofErr w:type="spellEnd"/>
      <w:r w:rsidRPr="001D68DC">
        <w:rPr>
          <w:rFonts w:ascii="Verdana" w:eastAsia="Calibri" w:hAnsi="Verdana" w:cs="Arial"/>
          <w:sz w:val="20"/>
          <w:szCs w:val="20"/>
          <w:lang w:val="es-ES"/>
        </w:rPr>
        <w:t xml:space="preserve">) evaluación de las ofertas por parte de la Entidad Estatal teniendo en cuenta los criterios definidos para el efecto. </w:t>
      </w:r>
    </w:p>
    <w:p w14:paraId="1AE69C6E" w14:textId="77777777" w:rsidR="00192B17" w:rsidRPr="001D68DC" w:rsidRDefault="00192B17" w:rsidP="00192B17">
      <w:pPr>
        <w:spacing w:after="0" w:line="240" w:lineRule="auto"/>
        <w:jc w:val="both"/>
        <w:rPr>
          <w:rFonts w:ascii="Verdana" w:eastAsia="Calibri" w:hAnsi="Verdana" w:cs="Arial"/>
          <w:sz w:val="20"/>
          <w:szCs w:val="20"/>
          <w:lang w:val="es-ES"/>
        </w:rPr>
      </w:pPr>
      <w:r w:rsidRPr="001D68DC">
        <w:rPr>
          <w:rFonts w:ascii="Verdana" w:eastAsia="Calibri" w:hAnsi="Verdana" w:cs="Arial"/>
          <w:sz w:val="20"/>
          <w:szCs w:val="20"/>
          <w:lang w:val="es-ES"/>
        </w:rPr>
        <w:lastRenderedPageBreak/>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1C0BF79D" w14:textId="77777777" w:rsidR="00192B17" w:rsidRPr="001D68DC" w:rsidRDefault="00192B17" w:rsidP="00192B17">
      <w:pPr>
        <w:spacing w:after="0" w:line="240" w:lineRule="auto"/>
        <w:jc w:val="both"/>
        <w:rPr>
          <w:rFonts w:ascii="Verdana" w:eastAsia="Times New Roman" w:hAnsi="Verdana" w:cs="Arial"/>
          <w:sz w:val="20"/>
          <w:szCs w:val="20"/>
          <w:lang w:val="es-ES" w:eastAsia="x-none"/>
        </w:rPr>
      </w:pPr>
    </w:p>
    <w:p w14:paraId="1226F8BC" w14:textId="77777777" w:rsidR="00192B17" w:rsidRPr="000855C8" w:rsidRDefault="00192B17" w:rsidP="00192B17">
      <w:pPr>
        <w:spacing w:after="0" w:line="240" w:lineRule="auto"/>
        <w:jc w:val="both"/>
        <w:rPr>
          <w:rFonts w:ascii="Verdana" w:eastAsia="Times New Roman" w:hAnsi="Verdana" w:cs="Arial"/>
          <w:b/>
          <w:bCs/>
          <w:lang w:eastAsia="x-none"/>
        </w:rPr>
      </w:pPr>
      <w:r w:rsidRPr="000855C8">
        <w:rPr>
          <w:rFonts w:ascii="Verdana" w:eastAsia="Times New Roman" w:hAnsi="Verdana" w:cs="Arial"/>
          <w:b/>
          <w:bCs/>
          <w:lang w:eastAsia="es-ES_tradnl"/>
        </w:rPr>
        <w:t>DECRETO 092 DE 2017 – Convenios de asociación</w:t>
      </w:r>
    </w:p>
    <w:p w14:paraId="7C210EB3" w14:textId="77777777" w:rsidR="00192B17" w:rsidRDefault="00192B17" w:rsidP="00192B17">
      <w:pPr>
        <w:spacing w:after="0" w:line="240" w:lineRule="auto"/>
        <w:jc w:val="both"/>
        <w:rPr>
          <w:rFonts w:ascii="Verdana" w:eastAsia="Times New Roman" w:hAnsi="Verdana" w:cs="Arial"/>
          <w:lang w:eastAsia="x-none"/>
        </w:rPr>
      </w:pPr>
    </w:p>
    <w:p w14:paraId="1B3DD108" w14:textId="77777777" w:rsidR="00192B17" w:rsidRDefault="00192B17" w:rsidP="7A1B81A9">
      <w:pPr>
        <w:spacing w:after="0" w:line="240" w:lineRule="auto"/>
        <w:jc w:val="both"/>
        <w:rPr>
          <w:rFonts w:ascii="Verdana" w:eastAsia="Calibri" w:hAnsi="Verdana" w:cs="Arial"/>
          <w:sz w:val="20"/>
          <w:szCs w:val="20"/>
          <w:lang w:val="es-ES"/>
        </w:rPr>
      </w:pPr>
      <w:r w:rsidRPr="7A1B81A9">
        <w:rPr>
          <w:rFonts w:ascii="Verdana" w:eastAsia="Calibri" w:hAnsi="Verdana" w:cs="Arial"/>
          <w:sz w:val="20"/>
          <w:szCs w:val="20"/>
          <w:lang w:val="es-ES"/>
        </w:rPr>
        <w:t xml:space="preserve">[…] la celebración de los </w:t>
      </w:r>
      <w:r w:rsidRPr="7A1B81A9">
        <w:rPr>
          <w:rFonts w:ascii="Verdana" w:eastAsia="Calibri" w:hAnsi="Verdana" w:cs="Arial"/>
          <w:i/>
          <w:iCs/>
          <w:sz w:val="20"/>
          <w:szCs w:val="20"/>
          <w:lang w:val="es-ES"/>
        </w:rPr>
        <w:t>convenios de asociación</w:t>
      </w:r>
      <w:r w:rsidRPr="7A1B81A9">
        <w:rPr>
          <w:rFonts w:ascii="Verdana" w:eastAsia="Calibri" w:hAnsi="Verdana" w:cs="Arial"/>
          <w:sz w:val="20"/>
          <w:szCs w:val="20"/>
          <w:lang w:val="es-ES"/>
        </w:rPr>
        <w:t xml:space="preserve"> “[t]</w:t>
      </w:r>
      <w:proofErr w:type="spellStart"/>
      <w:r w:rsidRPr="7A1B81A9">
        <w:rPr>
          <w:rFonts w:ascii="Verdana" w:eastAsia="Calibri" w:hAnsi="Verdana" w:cs="Arial"/>
          <w:sz w:val="20"/>
          <w:szCs w:val="20"/>
          <w:lang w:val="es-ES"/>
        </w:rPr>
        <w:t>ienen</w:t>
      </w:r>
      <w:proofErr w:type="spellEnd"/>
      <w:r w:rsidRPr="7A1B81A9">
        <w:rPr>
          <w:rFonts w:ascii="Verdana" w:eastAsia="Calibri" w:hAnsi="Verdana" w:cs="Arial"/>
          <w:sz w:val="20"/>
          <w:szCs w:val="20"/>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w:t>
      </w:r>
      <w:proofErr w:type="gramStart"/>
      <w:r w:rsidRPr="7A1B81A9">
        <w:rPr>
          <w:rFonts w:ascii="Verdana" w:eastAsia="Calibri" w:hAnsi="Verdana" w:cs="Arial"/>
          <w:sz w:val="20"/>
          <w:szCs w:val="20"/>
          <w:lang w:val="es-ES"/>
        </w:rPr>
        <w:t>y</w:t>
      </w:r>
      <w:proofErr w:type="gramEnd"/>
      <w:r w:rsidRPr="7A1B81A9">
        <w:rPr>
          <w:rFonts w:ascii="Verdana" w:eastAsia="Calibri" w:hAnsi="Verdana" w:cs="Arial"/>
          <w:sz w:val="20"/>
          <w:szCs w:val="20"/>
          <w:lang w:val="es-ES"/>
        </w:rPr>
        <w:t xml:space="preserve"> por tanto, la entidad no instruye al contratista para desarrollar los programas o actividades previstas, sino que se asocia con él para el cumplimiento de objetivos comunes.</w:t>
      </w:r>
    </w:p>
    <w:p w14:paraId="2D88D7E1" w14:textId="77777777" w:rsidR="00192B17" w:rsidRPr="00F94E3C" w:rsidRDefault="00192B17" w:rsidP="00192B17">
      <w:pPr>
        <w:spacing w:after="0" w:line="240" w:lineRule="auto"/>
        <w:jc w:val="both"/>
        <w:rPr>
          <w:rFonts w:ascii="Verdana" w:eastAsia="Calibri" w:hAnsi="Verdana" w:cs="Arial"/>
          <w:bCs/>
          <w:sz w:val="20"/>
          <w:szCs w:val="20"/>
          <w:lang w:val="es-ES_tradnl"/>
        </w:rPr>
      </w:pPr>
    </w:p>
    <w:p w14:paraId="75CEA083" w14:textId="77777777" w:rsidR="00192B17" w:rsidRPr="00F94E3C" w:rsidRDefault="00192B17" w:rsidP="00192B17">
      <w:pPr>
        <w:spacing w:after="0" w:line="240" w:lineRule="auto"/>
        <w:jc w:val="both"/>
        <w:rPr>
          <w:rFonts w:ascii="Verdana" w:eastAsia="Calibri" w:hAnsi="Verdana" w:cs="Arial"/>
          <w:bCs/>
          <w:sz w:val="20"/>
          <w:szCs w:val="20"/>
          <w:lang w:val="es-ES_tradnl"/>
        </w:rPr>
      </w:pPr>
      <w:r w:rsidRPr="00F94E3C">
        <w:rPr>
          <w:rFonts w:ascii="Verdana" w:eastAsia="Calibri" w:hAnsi="Verdana" w:cs="Arial"/>
          <w:bCs/>
          <w:sz w:val="20"/>
          <w:szCs w:val="20"/>
          <w:lang w:val="es-ES_tradnl"/>
        </w:rPr>
        <w:t xml:space="preserve">[…] </w:t>
      </w:r>
      <w:r w:rsidRPr="00F94E3C">
        <w:rPr>
          <w:rFonts w:ascii="Verdana" w:eastAsia="Calibri" w:hAnsi="Verdana" w:cs="Arial"/>
          <w:bCs/>
          <w:sz w:val="20"/>
          <w:szCs w:val="20"/>
        </w:rPr>
        <w:t>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12F0B043" w14:textId="77777777" w:rsidR="00192B17" w:rsidRDefault="00192B17" w:rsidP="00192B17">
      <w:pPr>
        <w:spacing w:after="0" w:line="240" w:lineRule="auto"/>
        <w:jc w:val="both"/>
        <w:rPr>
          <w:rFonts w:ascii="Verdana" w:eastAsia="Calibri" w:hAnsi="Verdana" w:cs="Arial"/>
          <w:bCs/>
          <w:sz w:val="20"/>
          <w:szCs w:val="20"/>
          <w:lang w:val="es-ES_tradnl"/>
        </w:rPr>
      </w:pPr>
    </w:p>
    <w:p w14:paraId="36A6B8C2" w14:textId="1B57A613" w:rsidR="00192B17" w:rsidRDefault="00192B17" w:rsidP="00192B17">
      <w:pPr>
        <w:jc w:val="both"/>
        <w:rPr>
          <w:rFonts w:ascii="Verdana" w:eastAsia="Times New Roman" w:hAnsi="Verdana" w:cs="Arial"/>
          <w:b/>
          <w:bCs/>
          <w:lang w:eastAsia="es-ES_tradnl"/>
        </w:rPr>
      </w:pPr>
      <w:r w:rsidRPr="00F94E3C">
        <w:rPr>
          <w:rFonts w:ascii="Verdana" w:eastAsia="Times New Roman" w:hAnsi="Verdana" w:cs="Arial"/>
          <w:b/>
          <w:bCs/>
          <w:lang w:eastAsia="es-ES_tradnl"/>
        </w:rPr>
        <w:t xml:space="preserve">LEY DE GARANTÍAS </w:t>
      </w:r>
      <w:r w:rsidR="00355BB6" w:rsidRPr="00355BB6">
        <w:rPr>
          <w:rFonts w:ascii="Verdana" w:eastAsia="Times New Roman" w:hAnsi="Verdana" w:cs="Arial"/>
          <w:b/>
          <w:bCs/>
          <w:lang w:val="es-ES" w:eastAsia="es-ES_tradnl"/>
        </w:rPr>
        <w:t>–</w:t>
      </w:r>
      <w:r w:rsidRPr="00F94E3C">
        <w:rPr>
          <w:rFonts w:ascii="Verdana" w:eastAsia="Times New Roman" w:hAnsi="Verdana" w:cs="Arial"/>
          <w:b/>
          <w:bCs/>
          <w:lang w:eastAsia="es-ES_tradnl"/>
        </w:rPr>
        <w:t xml:space="preserve"> Aplicación en contratos de colaboración y convenios de asociación</w:t>
      </w:r>
    </w:p>
    <w:p w14:paraId="350AA9B8" w14:textId="77777777" w:rsidR="00192B17" w:rsidRPr="002330E2" w:rsidRDefault="00192B17" w:rsidP="00192B17">
      <w:pPr>
        <w:spacing w:after="0" w:line="240" w:lineRule="auto"/>
        <w:jc w:val="both"/>
        <w:rPr>
          <w:rFonts w:ascii="Verdana" w:eastAsia="Calibri" w:hAnsi="Verdana" w:cs="Arial"/>
          <w:color w:val="000000"/>
          <w:sz w:val="20"/>
          <w:szCs w:val="20"/>
        </w:rPr>
      </w:pPr>
      <w:r w:rsidRPr="002330E2">
        <w:rPr>
          <w:rFonts w:ascii="Verdana" w:eastAsia="Calibri" w:hAnsi="Verdana" w:cs="Arial"/>
          <w:color w:val="000000" w:themeColor="text1"/>
          <w:sz w:val="20"/>
          <w:szCs w:val="20"/>
        </w:rPr>
        <w:t xml:space="preserve">De esta manera, si se pretende realizar un </w:t>
      </w:r>
      <w:r w:rsidRPr="002330E2">
        <w:rPr>
          <w:rFonts w:ascii="Verdana" w:eastAsia="Calibri" w:hAnsi="Verdana" w:cs="Arial"/>
          <w:i/>
          <w:iCs/>
          <w:color w:val="000000" w:themeColor="text1"/>
          <w:sz w:val="20"/>
          <w:szCs w:val="20"/>
        </w:rPr>
        <w:t>convenio de asociación</w:t>
      </w:r>
      <w:r w:rsidRPr="002330E2">
        <w:rPr>
          <w:rFonts w:ascii="Verdana" w:eastAsia="Calibri" w:hAnsi="Verdana" w:cs="Arial"/>
          <w:color w:val="000000" w:themeColor="text1"/>
          <w:sz w:val="20"/>
          <w:szCs w:val="20"/>
        </w:rPr>
        <w:t xml:space="preserve"> con ESAL de reconocida idoneidad para el cumplimiento de las funciones que la ley les asigna a las entidades públicas, deberá aplicarse lo dispuesto en el artículo 5 del Decreto 092 de 2017. Por lo tanto, deben estar sujetos a competencia, salvo en aquellos casos en que una entidad sin ánimo de lucro comprometa recursos en dinero por un valor igual o superior al 30% del valor total del convenio, y siempre que la entidad estatal verifique previamente que no existe ninguna otra entidad sin ánimo de lucro que ofrezca aportes iguales o superiores al 30%. En ese orden, en vigencia de la </w:t>
      </w:r>
      <w:r w:rsidRPr="002330E2">
        <w:rPr>
          <w:rFonts w:ascii="Verdana" w:eastAsia="Calibri" w:hAnsi="Verdana" w:cs="Arial"/>
          <w:color w:val="000000"/>
          <w:sz w:val="20"/>
          <w:szCs w:val="20"/>
        </w:rPr>
        <w:t>restricción prevista en el artículo 33 de la Ley de Garantías Electorales, según el artículo 5 del Decreto 092 de 2017, solo podrán celebrarse convenios previo desarrollo de proceso competitivo.</w:t>
      </w:r>
    </w:p>
    <w:p w14:paraId="751DB701" w14:textId="77777777" w:rsidR="00192B17" w:rsidRDefault="00192B17" w:rsidP="00192B17">
      <w:pPr>
        <w:spacing w:after="0" w:line="240" w:lineRule="auto"/>
        <w:jc w:val="both"/>
        <w:rPr>
          <w:rFonts w:ascii="Verdana" w:eastAsia="Calibri" w:hAnsi="Verdana" w:cs="Arial"/>
          <w:color w:val="000000"/>
          <w:sz w:val="20"/>
          <w:szCs w:val="20"/>
        </w:rPr>
      </w:pPr>
    </w:p>
    <w:p w14:paraId="1002A64A" w14:textId="77777777" w:rsidR="00192B17" w:rsidRPr="002330E2" w:rsidRDefault="00192B17" w:rsidP="00192B17">
      <w:pPr>
        <w:spacing w:after="0" w:line="240" w:lineRule="auto"/>
        <w:jc w:val="both"/>
        <w:rPr>
          <w:rFonts w:ascii="Verdana" w:eastAsia="Calibri" w:hAnsi="Verdana" w:cs="Arial"/>
          <w:sz w:val="20"/>
          <w:szCs w:val="20"/>
          <w:lang w:val="es-ES"/>
        </w:rPr>
      </w:pPr>
      <w:r w:rsidRPr="002330E2">
        <w:rPr>
          <w:rFonts w:ascii="Verdana" w:eastAsia="Calibri" w:hAnsi="Verdana" w:cs="Arial"/>
          <w:color w:val="000000"/>
          <w:sz w:val="20"/>
          <w:szCs w:val="20"/>
        </w:rPr>
        <w:t xml:space="preserve">En otras palabras, los convenios de asociación </w:t>
      </w:r>
      <w:r w:rsidRPr="002330E2">
        <w:rPr>
          <w:rFonts w:ascii="Verdana" w:eastAsia="Calibri" w:hAnsi="Verdana" w:cs="Arial"/>
          <w:sz w:val="20"/>
          <w:szCs w:val="20"/>
          <w:lang w:val="es-ES"/>
        </w:rPr>
        <w:t xml:space="preserve">regidos por el artículo 96 de la Ley 489 de 1998, así como por el artículo 5 del Decreto 092 de 2017, por regla general, también deben celebrarse previo desarrollo de un proceso competitivo, por lo que, en principio, </w:t>
      </w:r>
      <w:r w:rsidRPr="002330E2">
        <w:rPr>
          <w:rFonts w:ascii="Verdana" w:eastAsia="Calibri" w:hAnsi="Verdana" w:cs="Arial"/>
          <w:sz w:val="20"/>
          <w:szCs w:val="20"/>
          <w:lang w:val="es-ES"/>
        </w:rPr>
        <w:lastRenderedPageBreak/>
        <w:t xml:space="preserve">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50B22159" w14:textId="77777777" w:rsidR="00192B17" w:rsidRDefault="00192B17" w:rsidP="00192B17">
      <w:pPr>
        <w:spacing w:after="0" w:line="240" w:lineRule="auto"/>
        <w:jc w:val="both"/>
        <w:rPr>
          <w:rFonts w:ascii="Verdana" w:eastAsia="Times New Roman" w:hAnsi="Verdana" w:cs="Arial"/>
          <w:sz w:val="20"/>
          <w:szCs w:val="20"/>
          <w:lang w:val="es-MX" w:eastAsia="x-none"/>
        </w:rPr>
      </w:pPr>
    </w:p>
    <w:p w14:paraId="5CB64393" w14:textId="77777777" w:rsidR="00192B17" w:rsidRPr="002330E2" w:rsidRDefault="00192B17" w:rsidP="00192B17">
      <w:pPr>
        <w:spacing w:after="0" w:line="240" w:lineRule="auto"/>
        <w:jc w:val="both"/>
        <w:rPr>
          <w:sz w:val="20"/>
          <w:szCs w:val="20"/>
        </w:rPr>
      </w:pPr>
      <w:r w:rsidRPr="002330E2">
        <w:rPr>
          <w:rFonts w:ascii="Verdana" w:eastAsia="Times New Roman" w:hAnsi="Verdana" w:cs="Arial"/>
          <w:sz w:val="20"/>
          <w:szCs w:val="20"/>
          <w:lang w:val="es-MX" w:eastAsia="x-none"/>
        </w:rPr>
        <w:t>Sin perjuicio de lo anterior, la restricción prevista en el artículo 33 de la Ley de Garantías Electorales contempla algunas excepciones, con fundamento en las cuales podrán las entidades públicas adelantar procedimientos de contratación directa en períodos previos a la contienda electoral por la Presidencia, siempre que se subsuma en los supuestos contemplados de manera taxativa en el inciso final del citado artículo 33 de la Ley 996 de 2005. Por lo tanto, será</w:t>
      </w:r>
      <w:r w:rsidRPr="002330E2">
        <w:rPr>
          <w:rFonts w:ascii="Verdana" w:eastAsia="Times New Roman" w:hAnsi="Verdana" w:cs="Arial"/>
          <w:sz w:val="20"/>
          <w:szCs w:val="20"/>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74B3BFD" w14:textId="77777777" w:rsidR="00192B17" w:rsidRDefault="00192B17" w:rsidP="00192B17">
      <w:pPr>
        <w:spacing w:after="0" w:line="240" w:lineRule="auto"/>
        <w:jc w:val="both"/>
        <w:rPr>
          <w:rFonts w:ascii="Verdana" w:eastAsia="Calibri" w:hAnsi="Verdana" w:cs="Arial"/>
          <w:color w:val="000000" w:themeColor="text1"/>
          <w:sz w:val="20"/>
          <w:szCs w:val="20"/>
        </w:rPr>
      </w:pPr>
    </w:p>
    <w:p w14:paraId="7C492DBA" w14:textId="77777777" w:rsidR="00192B17" w:rsidRDefault="00192B17" w:rsidP="00192B17">
      <w:pPr>
        <w:jc w:val="both"/>
        <w:rPr>
          <w:rFonts w:ascii="Verdana" w:eastAsia="Calibri" w:hAnsi="Verdana" w:cs="Arial"/>
          <w:color w:val="000000" w:themeColor="text1"/>
          <w:sz w:val="20"/>
          <w:szCs w:val="20"/>
        </w:rPr>
      </w:pPr>
    </w:p>
    <w:p w14:paraId="1E6C2A17" w14:textId="77777777" w:rsidR="00192B17" w:rsidRDefault="00192B17" w:rsidP="00192B17">
      <w:pPr>
        <w:jc w:val="both"/>
        <w:rPr>
          <w:rFonts w:ascii="Verdana" w:eastAsia="Calibri" w:hAnsi="Verdana" w:cs="Arial"/>
          <w:color w:val="000000" w:themeColor="text1"/>
          <w:sz w:val="20"/>
          <w:szCs w:val="20"/>
        </w:rPr>
      </w:pPr>
    </w:p>
    <w:p w14:paraId="36976F06" w14:textId="77777777" w:rsidR="00192B17" w:rsidRDefault="00192B17" w:rsidP="00192B17">
      <w:pPr>
        <w:jc w:val="both"/>
        <w:rPr>
          <w:rFonts w:ascii="Verdana" w:eastAsia="Calibri" w:hAnsi="Verdana" w:cs="Arial"/>
          <w:color w:val="000000" w:themeColor="text1"/>
          <w:sz w:val="20"/>
          <w:szCs w:val="20"/>
        </w:rPr>
      </w:pPr>
    </w:p>
    <w:p w14:paraId="6A8B1BA2" w14:textId="77777777" w:rsidR="00192B17" w:rsidRDefault="00192B17" w:rsidP="00192B17">
      <w:pPr>
        <w:jc w:val="both"/>
        <w:rPr>
          <w:rFonts w:ascii="Verdana" w:eastAsia="Calibri" w:hAnsi="Verdana" w:cs="Arial"/>
          <w:color w:val="000000" w:themeColor="text1"/>
          <w:sz w:val="20"/>
          <w:szCs w:val="20"/>
        </w:rPr>
      </w:pPr>
    </w:p>
    <w:p w14:paraId="75B0099D" w14:textId="77777777" w:rsidR="00192B17" w:rsidRDefault="00192B17" w:rsidP="00192B17">
      <w:pPr>
        <w:jc w:val="both"/>
        <w:rPr>
          <w:rFonts w:ascii="Verdana" w:eastAsia="Calibri" w:hAnsi="Verdana" w:cs="Arial"/>
          <w:color w:val="000000" w:themeColor="text1"/>
          <w:sz w:val="20"/>
          <w:szCs w:val="20"/>
        </w:rPr>
      </w:pPr>
    </w:p>
    <w:p w14:paraId="7D6DBE39" w14:textId="77777777" w:rsidR="00192B17" w:rsidRDefault="00192B17" w:rsidP="00192B17">
      <w:pPr>
        <w:jc w:val="both"/>
        <w:rPr>
          <w:rFonts w:ascii="Verdana" w:eastAsia="Calibri" w:hAnsi="Verdana" w:cs="Arial"/>
          <w:color w:val="000000" w:themeColor="text1"/>
          <w:sz w:val="20"/>
          <w:szCs w:val="20"/>
        </w:rPr>
      </w:pPr>
    </w:p>
    <w:p w14:paraId="76278A03" w14:textId="77777777" w:rsidR="00192B17" w:rsidRDefault="00192B17" w:rsidP="00192B17">
      <w:pPr>
        <w:jc w:val="both"/>
        <w:rPr>
          <w:rFonts w:ascii="Verdana" w:eastAsia="Calibri" w:hAnsi="Verdana" w:cs="Arial"/>
          <w:color w:val="000000" w:themeColor="text1"/>
          <w:sz w:val="20"/>
          <w:szCs w:val="20"/>
        </w:rPr>
      </w:pPr>
    </w:p>
    <w:p w14:paraId="65E6984A" w14:textId="77777777" w:rsidR="00192B17" w:rsidRDefault="00192B17" w:rsidP="00192B17">
      <w:pPr>
        <w:jc w:val="both"/>
        <w:rPr>
          <w:rFonts w:ascii="Verdana" w:eastAsia="Calibri" w:hAnsi="Verdana" w:cs="Arial"/>
          <w:color w:val="000000" w:themeColor="text1"/>
          <w:sz w:val="20"/>
          <w:szCs w:val="20"/>
        </w:rPr>
      </w:pPr>
    </w:p>
    <w:p w14:paraId="5A6D2AD2" w14:textId="77777777" w:rsidR="00192B17" w:rsidRDefault="00192B17" w:rsidP="00192B17">
      <w:pPr>
        <w:jc w:val="both"/>
        <w:rPr>
          <w:rFonts w:ascii="Verdana" w:eastAsia="Calibri" w:hAnsi="Verdana" w:cs="Arial"/>
          <w:color w:val="000000" w:themeColor="text1"/>
          <w:sz w:val="20"/>
          <w:szCs w:val="20"/>
        </w:rPr>
      </w:pPr>
    </w:p>
    <w:p w14:paraId="29108F42" w14:textId="77777777" w:rsidR="00192B17" w:rsidRDefault="00192B17" w:rsidP="00192B17">
      <w:pPr>
        <w:jc w:val="both"/>
        <w:rPr>
          <w:rFonts w:ascii="Verdana" w:eastAsia="Calibri" w:hAnsi="Verdana" w:cs="Arial"/>
          <w:color w:val="000000" w:themeColor="text1"/>
          <w:sz w:val="20"/>
          <w:szCs w:val="20"/>
        </w:rPr>
      </w:pPr>
    </w:p>
    <w:p w14:paraId="7B54B010" w14:textId="77777777" w:rsidR="00192B17" w:rsidRDefault="00192B17" w:rsidP="00192B17">
      <w:pPr>
        <w:jc w:val="both"/>
        <w:rPr>
          <w:rFonts w:ascii="Verdana" w:eastAsia="Calibri" w:hAnsi="Verdana" w:cs="Arial"/>
          <w:color w:val="000000" w:themeColor="text1"/>
          <w:sz w:val="20"/>
          <w:szCs w:val="20"/>
        </w:rPr>
      </w:pPr>
    </w:p>
    <w:p w14:paraId="7AF354E3" w14:textId="77777777" w:rsidR="00192B17" w:rsidRDefault="00192B17" w:rsidP="00192B17">
      <w:pPr>
        <w:jc w:val="both"/>
        <w:rPr>
          <w:rFonts w:ascii="Verdana" w:eastAsia="Calibri" w:hAnsi="Verdana" w:cs="Arial"/>
          <w:color w:val="000000" w:themeColor="text1"/>
          <w:sz w:val="20"/>
          <w:szCs w:val="20"/>
        </w:rPr>
      </w:pPr>
    </w:p>
    <w:p w14:paraId="640C8B10" w14:textId="77777777" w:rsidR="00192B17" w:rsidRDefault="00192B17" w:rsidP="00192B17">
      <w:pPr>
        <w:jc w:val="both"/>
        <w:rPr>
          <w:rFonts w:ascii="Verdana" w:eastAsia="Calibri" w:hAnsi="Verdana" w:cs="Arial"/>
          <w:color w:val="000000" w:themeColor="text1"/>
          <w:sz w:val="20"/>
          <w:szCs w:val="20"/>
        </w:rPr>
      </w:pPr>
    </w:p>
    <w:p w14:paraId="503FD5BB" w14:textId="77777777" w:rsidR="00192B17" w:rsidRDefault="00192B17" w:rsidP="00192B17">
      <w:pPr>
        <w:jc w:val="both"/>
        <w:rPr>
          <w:rFonts w:ascii="Verdana" w:eastAsia="Calibri" w:hAnsi="Verdana" w:cs="Arial"/>
          <w:color w:val="000000" w:themeColor="text1"/>
          <w:sz w:val="20"/>
          <w:szCs w:val="20"/>
        </w:rPr>
      </w:pPr>
    </w:p>
    <w:p w14:paraId="3BF73682" w14:textId="77777777" w:rsidR="00192B17" w:rsidRPr="00F94E3C" w:rsidRDefault="00192B17" w:rsidP="00192B17">
      <w:pPr>
        <w:spacing w:after="0" w:line="240" w:lineRule="auto"/>
        <w:jc w:val="both"/>
        <w:rPr>
          <w:rFonts w:ascii="Verdana" w:eastAsia="Times New Roman" w:hAnsi="Verdana" w:cs="Arial"/>
          <w:b/>
          <w:bCs/>
          <w:lang w:eastAsia="es-ES_tradnl"/>
        </w:rPr>
      </w:pPr>
    </w:p>
    <w:p w14:paraId="15F2EF52" w14:textId="77777777" w:rsidR="00192B17" w:rsidRPr="00F94E3C" w:rsidRDefault="00192B17" w:rsidP="00192B17">
      <w:pPr>
        <w:spacing w:after="0" w:line="240" w:lineRule="auto"/>
        <w:jc w:val="both"/>
        <w:rPr>
          <w:rFonts w:ascii="Verdana" w:eastAsia="Calibri" w:hAnsi="Verdana" w:cs="Arial"/>
          <w:bCs/>
          <w:sz w:val="20"/>
          <w:szCs w:val="20"/>
        </w:rPr>
      </w:pPr>
    </w:p>
    <w:p w14:paraId="23D3EB51" w14:textId="77777777" w:rsidR="00192B17" w:rsidRDefault="00192B17" w:rsidP="00192B17">
      <w:pPr>
        <w:spacing w:after="0" w:line="240" w:lineRule="auto"/>
        <w:jc w:val="both"/>
        <w:rPr>
          <w:rFonts w:ascii="Verdana" w:eastAsia="Times New Roman" w:hAnsi="Verdana" w:cs="Arial"/>
          <w:lang w:eastAsia="x-none"/>
        </w:rPr>
      </w:pPr>
    </w:p>
    <w:p w14:paraId="02E5807E" w14:textId="77777777" w:rsidR="00596DB0" w:rsidRDefault="00596DB0" w:rsidP="00596DB0">
      <w:pPr>
        <w:spacing w:after="0" w:line="240" w:lineRule="auto"/>
        <w:rPr>
          <w:rFonts w:ascii="Verdana" w:eastAsia="Geomanist Light" w:hAnsi="Verdana" w:cs="Arial"/>
          <w:color w:val="000000" w:themeColor="text1"/>
          <w:lang w:val="es-MX"/>
        </w:rPr>
      </w:pPr>
    </w:p>
    <w:p w14:paraId="58DE06C3" w14:textId="77777777" w:rsidR="00596DB0" w:rsidRDefault="00596DB0" w:rsidP="00596DB0">
      <w:pPr>
        <w:spacing w:after="0" w:line="240" w:lineRule="auto"/>
        <w:rPr>
          <w:rFonts w:ascii="Verdana" w:eastAsia="Geomanist Light" w:hAnsi="Verdana" w:cs="Arial"/>
          <w:color w:val="000000" w:themeColor="text1"/>
          <w:lang w:val="es-MX"/>
        </w:rPr>
      </w:pPr>
    </w:p>
    <w:p w14:paraId="74302655" w14:textId="409AFCE6" w:rsidR="00596DB0" w:rsidRPr="00A27102" w:rsidRDefault="00596DB0" w:rsidP="00596DB0">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t>Bogotá D.C., </w:t>
      </w:r>
      <w:r w:rsidR="000B57E6">
        <w:rPr>
          <w:rFonts w:ascii="Verdana" w:eastAsia="Geomanist Light" w:hAnsi="Verdana" w:cs="Arial"/>
          <w:color w:val="201F1E"/>
          <w:lang w:val="es-MX"/>
        </w:rPr>
        <w:t>29 de octubre de 2025</w:t>
      </w:r>
    </w:p>
    <w:p w14:paraId="763B88FB" w14:textId="77777777" w:rsidR="00596DB0" w:rsidRDefault="00596DB0" w:rsidP="00596DB0">
      <w:pPr>
        <w:spacing w:after="0" w:line="240" w:lineRule="auto"/>
        <w:jc w:val="both"/>
        <w:rPr>
          <w:rFonts w:ascii="Verdana" w:eastAsia="Calibri" w:hAnsi="Verdana" w:cs="Arial"/>
          <w:lang w:eastAsia="es-ES"/>
        </w:rPr>
      </w:pPr>
    </w:p>
    <w:p w14:paraId="6502F9FF" w14:textId="02D0695E" w:rsidR="00596DB0" w:rsidRPr="00FF007A" w:rsidRDefault="000B57E6" w:rsidP="000B57E6">
      <w:pPr>
        <w:spacing w:after="0" w:line="240" w:lineRule="auto"/>
        <w:jc w:val="right"/>
        <w:rPr>
          <w:rFonts w:ascii="Verdana" w:eastAsia="Calibri" w:hAnsi="Verdana" w:cs="Arial"/>
          <w:lang w:eastAsia="es-ES"/>
        </w:rPr>
      </w:pPr>
      <w:r w:rsidRPr="000B57E6">
        <w:rPr>
          <w:rFonts w:ascii="Verdana" w:eastAsia="Calibri" w:hAnsi="Verdana" w:cs="Arial"/>
          <w:noProof/>
          <w:lang w:eastAsia="es-ES"/>
        </w:rPr>
        <w:drawing>
          <wp:inline distT="0" distB="0" distL="0" distR="0" wp14:anchorId="34745260" wp14:editId="34E27695">
            <wp:extent cx="2819400" cy="990600"/>
            <wp:effectExtent l="0" t="0" r="0" b="0"/>
            <wp:docPr id="1245357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19400" cy="990600"/>
                    </a:xfrm>
                    <a:prstGeom prst="rect">
                      <a:avLst/>
                    </a:prstGeom>
                    <a:noFill/>
                    <a:ln>
                      <a:noFill/>
                    </a:ln>
                  </pic:spPr>
                </pic:pic>
              </a:graphicData>
            </a:graphic>
          </wp:inline>
        </w:drawing>
      </w:r>
    </w:p>
    <w:p w14:paraId="3E3D8C5F" w14:textId="77777777" w:rsidR="00596DB0" w:rsidRPr="00FF007A" w:rsidRDefault="00596DB0" w:rsidP="00596DB0">
      <w:pPr>
        <w:spacing w:after="0" w:line="240" w:lineRule="auto"/>
        <w:jc w:val="both"/>
        <w:rPr>
          <w:rFonts w:ascii="Verdana" w:eastAsia="Calibri" w:hAnsi="Verdana" w:cs="Arial"/>
          <w:lang w:eastAsia="es-ES"/>
        </w:rPr>
      </w:pPr>
      <w:r w:rsidRPr="00FF007A">
        <w:rPr>
          <w:rFonts w:ascii="Verdana" w:eastAsia="Calibri" w:hAnsi="Verdana" w:cs="Arial"/>
          <w:lang w:eastAsia="es-ES"/>
        </w:rPr>
        <w:t>Señora</w:t>
      </w:r>
      <w:r>
        <w:rPr>
          <w:rFonts w:ascii="Verdana" w:eastAsia="Calibri" w:hAnsi="Verdana" w:cs="Arial"/>
          <w:lang w:eastAsia="es-ES"/>
        </w:rPr>
        <w:t xml:space="preserve"> </w:t>
      </w:r>
    </w:p>
    <w:p w14:paraId="5A3EDF18" w14:textId="77777777" w:rsidR="00596DB0" w:rsidRDefault="00596DB0" w:rsidP="00596DB0">
      <w:pPr>
        <w:spacing w:after="0" w:line="240" w:lineRule="auto"/>
        <w:jc w:val="both"/>
        <w:rPr>
          <w:rFonts w:ascii="Verdana" w:eastAsia="Calibri" w:hAnsi="Verdana" w:cs="Arial"/>
          <w:b/>
          <w:lang w:eastAsia="es-ES_tradnl"/>
        </w:rPr>
      </w:pPr>
      <w:r>
        <w:rPr>
          <w:rFonts w:ascii="Verdana" w:eastAsia="Calibri" w:hAnsi="Verdana" w:cs="Arial"/>
          <w:b/>
          <w:lang w:eastAsia="es-ES_tradnl"/>
        </w:rPr>
        <w:t xml:space="preserve">Letty Rosmira Leal Maldonado </w:t>
      </w:r>
    </w:p>
    <w:p w14:paraId="3901799B" w14:textId="77777777" w:rsidR="00596DB0" w:rsidRDefault="00596DB0" w:rsidP="00596DB0">
      <w:pPr>
        <w:spacing w:after="0" w:line="240" w:lineRule="auto"/>
        <w:jc w:val="both"/>
        <w:rPr>
          <w:rFonts w:ascii="Verdana" w:eastAsia="Calibri" w:hAnsi="Verdana" w:cs="Arial"/>
          <w:b/>
          <w:lang w:eastAsia="es-ES_tradnl"/>
        </w:rPr>
      </w:pPr>
      <w:r>
        <w:rPr>
          <w:rFonts w:ascii="Verdana" w:eastAsia="Calibri" w:hAnsi="Verdana" w:cs="Arial"/>
          <w:b/>
          <w:lang w:eastAsia="es-ES_tradnl"/>
        </w:rPr>
        <w:t>Subdirectora General</w:t>
      </w:r>
    </w:p>
    <w:p w14:paraId="08A2F9A4" w14:textId="77777777" w:rsidR="00596DB0" w:rsidRDefault="00596DB0" w:rsidP="00596DB0">
      <w:pPr>
        <w:spacing w:after="0" w:line="240" w:lineRule="auto"/>
        <w:jc w:val="both"/>
        <w:rPr>
          <w:rFonts w:ascii="Verdana" w:eastAsia="Calibri" w:hAnsi="Verdana" w:cs="Arial"/>
          <w:b/>
          <w:lang w:eastAsia="es-ES_tradnl"/>
        </w:rPr>
      </w:pPr>
      <w:r>
        <w:rPr>
          <w:rFonts w:ascii="Verdana" w:eastAsia="Calibri" w:hAnsi="Verdana" w:cs="Arial"/>
          <w:b/>
          <w:lang w:eastAsia="es-ES_tradnl"/>
        </w:rPr>
        <w:t>Departamento Administrativo de la Presidencia de la Republica</w:t>
      </w:r>
    </w:p>
    <w:p w14:paraId="6F4FC33F" w14:textId="77777777" w:rsidR="00596DB0" w:rsidRPr="00E42616" w:rsidRDefault="00596DB0" w:rsidP="00596DB0">
      <w:pPr>
        <w:spacing w:after="0" w:line="240" w:lineRule="auto"/>
        <w:jc w:val="both"/>
        <w:rPr>
          <w:rFonts w:ascii="Verdana" w:eastAsia="Calibri" w:hAnsi="Verdana" w:cs="Arial"/>
          <w:bCs/>
          <w:lang w:eastAsia="es-ES_tradnl"/>
        </w:rPr>
      </w:pPr>
      <w:hyperlink r:id="rId11" w:history="1">
        <w:r w:rsidRPr="00E42616">
          <w:rPr>
            <w:rStyle w:val="Hipervnculo"/>
            <w:rFonts w:ascii="Verdana" w:eastAsia="Calibri" w:hAnsi="Verdana" w:cs="Arial"/>
            <w:bCs/>
            <w:lang w:eastAsia="es-ES_tradnl"/>
          </w:rPr>
          <w:t>lettyleal@presidencia.gov.co</w:t>
        </w:r>
      </w:hyperlink>
      <w:r w:rsidRPr="00E42616">
        <w:rPr>
          <w:rFonts w:ascii="Verdana" w:eastAsia="Calibri" w:hAnsi="Verdana" w:cs="Arial"/>
          <w:bCs/>
          <w:lang w:eastAsia="es-ES_tradnl"/>
        </w:rPr>
        <w:t xml:space="preserve"> </w:t>
      </w:r>
    </w:p>
    <w:p w14:paraId="62022A57" w14:textId="77777777" w:rsidR="00596DB0" w:rsidRPr="00E42616" w:rsidRDefault="00596DB0" w:rsidP="00596DB0">
      <w:pPr>
        <w:spacing w:after="0" w:line="240" w:lineRule="auto"/>
        <w:jc w:val="both"/>
        <w:rPr>
          <w:rFonts w:ascii="Verdana" w:eastAsia="Calibri" w:hAnsi="Verdana" w:cs="Arial"/>
          <w:bCs/>
          <w:lang w:eastAsia="es-ES_tradnl"/>
        </w:rPr>
      </w:pPr>
      <w:r w:rsidRPr="00E42616">
        <w:rPr>
          <w:rFonts w:ascii="Verdana" w:eastAsia="Calibri" w:hAnsi="Verdana" w:cs="Arial"/>
          <w:bCs/>
          <w:lang w:eastAsia="es-ES_tradnl"/>
        </w:rPr>
        <w:t xml:space="preserve">Ciudad </w:t>
      </w:r>
    </w:p>
    <w:p w14:paraId="081F3F86" w14:textId="77777777" w:rsidR="00596DB0" w:rsidRDefault="00596DB0" w:rsidP="00596DB0">
      <w:pPr>
        <w:spacing w:after="0" w:line="240" w:lineRule="auto"/>
        <w:jc w:val="both"/>
        <w:rPr>
          <w:rFonts w:ascii="Verdana" w:eastAsia="Calibri" w:hAnsi="Verdana" w:cs="Arial"/>
          <w:b/>
          <w:bCs/>
          <w:color w:val="000000"/>
          <w:lang w:eastAsia="es-ES_tradnl"/>
        </w:rPr>
      </w:pPr>
    </w:p>
    <w:p w14:paraId="31D4AB15" w14:textId="77777777" w:rsidR="00596DB0" w:rsidRPr="00FF007A" w:rsidRDefault="00596DB0" w:rsidP="00596DB0">
      <w:pPr>
        <w:spacing w:after="0" w:line="240" w:lineRule="auto"/>
        <w:jc w:val="both"/>
        <w:rPr>
          <w:rFonts w:ascii="Verdana" w:eastAsia="Calibri" w:hAnsi="Verdana" w:cs="Arial"/>
          <w:b/>
          <w:bCs/>
          <w:color w:val="000000"/>
          <w:lang w:eastAsia="es-ES_tradnl"/>
        </w:rPr>
      </w:pPr>
    </w:p>
    <w:tbl>
      <w:tblPr>
        <w:tblStyle w:val="Tablaconcuadrcula"/>
        <w:tblW w:w="8789" w:type="dxa"/>
        <w:tblCellMar>
          <w:left w:w="0" w:type="dxa"/>
          <w:right w:w="0" w:type="dxa"/>
        </w:tblCellMar>
        <w:tblLook w:val="04A0" w:firstRow="1" w:lastRow="0" w:firstColumn="1" w:lastColumn="0" w:noHBand="0" w:noVBand="1"/>
      </w:tblPr>
      <w:tblGrid>
        <w:gridCol w:w="3119"/>
        <w:gridCol w:w="5670"/>
      </w:tblGrid>
      <w:tr w:rsidR="00596DB0" w:rsidRPr="00FF007A" w14:paraId="12304AFD" w14:textId="77777777" w:rsidTr="003B7F6A">
        <w:trPr>
          <w:trHeight w:val="162"/>
        </w:trPr>
        <w:tc>
          <w:tcPr>
            <w:tcW w:w="3119" w:type="dxa"/>
          </w:tcPr>
          <w:p w14:paraId="46B40F55" w14:textId="77777777" w:rsidR="00596DB0" w:rsidRPr="00FF007A" w:rsidRDefault="00596DB0" w:rsidP="00BE3615">
            <w:pPr>
              <w:jc w:val="both"/>
              <w:rPr>
                <w:rFonts w:ascii="Verdana" w:eastAsia="Calibri" w:hAnsi="Verdana" w:cs="Arial"/>
                <w:b/>
                <w:bCs/>
                <w:color w:val="7030A0"/>
                <w:lang w:eastAsia="es-ES_tradnl"/>
              </w:rPr>
            </w:pPr>
          </w:p>
        </w:tc>
        <w:tc>
          <w:tcPr>
            <w:tcW w:w="5670" w:type="dxa"/>
          </w:tcPr>
          <w:p w14:paraId="04BD0D65" w14:textId="77777777" w:rsidR="00596DB0" w:rsidRPr="00FF007A" w:rsidRDefault="00596DB0" w:rsidP="00BE3615">
            <w:pPr>
              <w:jc w:val="both"/>
              <w:rPr>
                <w:rFonts w:ascii="Verdana" w:eastAsia="Calibri" w:hAnsi="Verdana" w:cs="Arial"/>
                <w:b/>
                <w:bCs/>
                <w:lang w:eastAsia="es-ES"/>
              </w:rPr>
            </w:pPr>
            <w:r w:rsidRPr="00FF007A">
              <w:rPr>
                <w:rFonts w:ascii="Verdana" w:eastAsia="Calibri" w:hAnsi="Verdana" w:cs="Arial"/>
                <w:b/>
                <w:bCs/>
                <w:lang w:eastAsia="es-ES"/>
              </w:rPr>
              <w:t>Concepto C-1</w:t>
            </w:r>
            <w:r>
              <w:rPr>
                <w:rFonts w:ascii="Verdana" w:eastAsia="Calibri" w:hAnsi="Verdana" w:cs="Arial"/>
                <w:b/>
                <w:bCs/>
                <w:lang w:eastAsia="es-ES"/>
              </w:rPr>
              <w:t>486</w:t>
            </w:r>
            <w:r w:rsidRPr="00FF007A">
              <w:rPr>
                <w:rFonts w:ascii="Verdana" w:eastAsia="Calibri" w:hAnsi="Verdana" w:cs="Arial"/>
                <w:b/>
                <w:bCs/>
                <w:lang w:eastAsia="es-ES"/>
              </w:rPr>
              <w:t xml:space="preserve"> de 2025</w:t>
            </w:r>
          </w:p>
          <w:p w14:paraId="63B7832D" w14:textId="77777777" w:rsidR="00596DB0" w:rsidRPr="00FF007A" w:rsidRDefault="00596DB0" w:rsidP="00BE3615">
            <w:pPr>
              <w:jc w:val="both"/>
              <w:rPr>
                <w:rFonts w:ascii="Verdana" w:eastAsia="Calibri" w:hAnsi="Verdana" w:cs="Arial"/>
                <w:b/>
                <w:bCs/>
                <w:color w:val="7030A0"/>
                <w:lang w:eastAsia="es-ES"/>
              </w:rPr>
            </w:pPr>
          </w:p>
        </w:tc>
      </w:tr>
      <w:tr w:rsidR="00596DB0" w:rsidRPr="00FF007A" w14:paraId="75BF42C8" w14:textId="77777777" w:rsidTr="003B7F6A">
        <w:trPr>
          <w:trHeight w:val="884"/>
        </w:trPr>
        <w:tc>
          <w:tcPr>
            <w:tcW w:w="3119" w:type="dxa"/>
          </w:tcPr>
          <w:p w14:paraId="61B98621" w14:textId="77777777" w:rsidR="00596DB0" w:rsidRPr="00FF007A" w:rsidRDefault="00596DB0" w:rsidP="00BE3615">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255B7F00" w14:textId="77777777" w:rsidR="00596DB0" w:rsidRDefault="00596DB0" w:rsidP="00BE3615">
            <w:pPr>
              <w:spacing w:line="276" w:lineRule="auto"/>
              <w:jc w:val="both"/>
              <w:rPr>
                <w:rFonts w:ascii="Verdana" w:eastAsia="Times New Roman" w:hAnsi="Verdana" w:cs="Arial"/>
                <w:lang w:eastAsia="es-ES_tradnl"/>
              </w:rPr>
            </w:pPr>
            <w:r w:rsidRPr="00284B9D">
              <w:rPr>
                <w:rFonts w:ascii="Verdana" w:hAnsi="Verdana" w:cs="Arial"/>
                <w:lang w:val="es-MX" w:eastAsia="es-ES_tradnl"/>
              </w:rPr>
              <w:t xml:space="preserve">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Finalidad / 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w:t>
            </w:r>
            <w:r>
              <w:rPr>
                <w:rFonts w:ascii="Verdana" w:hAnsi="Verdana" w:cs="Arial"/>
                <w:lang w:val="es-MX" w:eastAsia="es-ES_tradnl"/>
              </w:rPr>
              <w:t>Prohibición - Contratación directa</w:t>
            </w:r>
            <w:r w:rsidRPr="00284B9D">
              <w:rPr>
                <w:rFonts w:ascii="Verdana" w:hAnsi="Verdana" w:cs="Arial"/>
                <w:lang w:val="es-MX" w:eastAsia="es-ES_tradnl"/>
              </w:rPr>
              <w:t xml:space="preserve"> / </w:t>
            </w:r>
            <w:r w:rsidRPr="003F7B98">
              <w:rPr>
                <w:rFonts w:ascii="Verdana" w:eastAsia="Times New Roman" w:hAnsi="Verdana" w:cs="Arial"/>
                <w:lang w:eastAsia="es-ES_tradnl"/>
              </w:rPr>
              <w:t>LEY DE GARANTÍAS ELECTORALES ─ Prohibición ‒ Contratación directa ‒ Excepciones</w:t>
            </w:r>
            <w:r w:rsidRPr="00376467">
              <w:rPr>
                <w:rFonts w:ascii="Verdana" w:eastAsia="Times New Roman" w:hAnsi="Verdana" w:cs="Arial"/>
                <w:lang w:eastAsia="es-ES_tradnl"/>
              </w:rPr>
              <w:t xml:space="preserve"> </w:t>
            </w:r>
            <w:r>
              <w:rPr>
                <w:rFonts w:ascii="Verdana" w:eastAsia="Times New Roman" w:hAnsi="Verdana" w:cs="Arial"/>
                <w:lang w:eastAsia="es-ES_tradnl"/>
              </w:rPr>
              <w:t xml:space="preserve">/ </w:t>
            </w:r>
            <w:r w:rsidRPr="00376467">
              <w:rPr>
                <w:rFonts w:ascii="Verdana" w:eastAsia="Times New Roman" w:hAnsi="Verdana" w:cs="Arial"/>
                <w:lang w:eastAsia="es-ES_tradnl"/>
              </w:rPr>
              <w:t xml:space="preserve">DECRETO 092 DE 2017 – Finalidad – Clases de contratos / CONTRATACIÓN CON ESAL – Contrato de colaboración – Objeto – Alcance / </w:t>
            </w:r>
            <w:r>
              <w:rPr>
                <w:rFonts w:ascii="Verdana" w:eastAsia="Times New Roman" w:hAnsi="Verdana" w:cs="Arial"/>
                <w:lang w:eastAsia="es-ES_tradnl"/>
              </w:rPr>
              <w:t xml:space="preserve">DECRETO 092 DE 2017 – </w:t>
            </w:r>
            <w:r w:rsidRPr="00376467">
              <w:rPr>
                <w:rFonts w:ascii="Verdana" w:eastAsia="Times New Roman" w:hAnsi="Verdana" w:cs="Arial"/>
                <w:lang w:eastAsia="es-ES_tradnl"/>
              </w:rPr>
              <w:t>C</w:t>
            </w:r>
            <w:r>
              <w:rPr>
                <w:rFonts w:ascii="Verdana" w:eastAsia="Times New Roman" w:hAnsi="Verdana" w:cs="Arial"/>
                <w:lang w:eastAsia="es-ES_tradnl"/>
              </w:rPr>
              <w:t>onvenios de asociación / LEY DE GARANTÍAS - Aplicación en contratos de colaboración y convenios de asociación</w:t>
            </w:r>
          </w:p>
          <w:p w14:paraId="4223E2C4" w14:textId="77777777" w:rsidR="00596DB0" w:rsidRPr="00AA15A4" w:rsidRDefault="00596DB0" w:rsidP="00BE3615">
            <w:pPr>
              <w:spacing w:line="276" w:lineRule="auto"/>
              <w:jc w:val="both"/>
              <w:rPr>
                <w:rFonts w:ascii="Verdana" w:hAnsi="Verdana" w:cs="Arial"/>
                <w:color w:val="000000" w:themeColor="text1"/>
                <w:lang w:val="es-ES"/>
              </w:rPr>
            </w:pPr>
          </w:p>
        </w:tc>
      </w:tr>
      <w:tr w:rsidR="00596DB0" w:rsidRPr="00FF007A" w14:paraId="462E56AF" w14:textId="77777777" w:rsidTr="003B7F6A">
        <w:tc>
          <w:tcPr>
            <w:tcW w:w="3119" w:type="dxa"/>
          </w:tcPr>
          <w:p w14:paraId="4571DABB" w14:textId="77777777" w:rsidR="00596DB0" w:rsidRPr="00FF007A" w:rsidRDefault="00596DB0" w:rsidP="00BE3615">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3BE11D50" w14:textId="77777777" w:rsidR="00596DB0" w:rsidRPr="00FF007A" w:rsidRDefault="00596DB0" w:rsidP="00BE3615">
            <w:pPr>
              <w:jc w:val="both"/>
              <w:rPr>
                <w:rFonts w:ascii="Verdana" w:eastAsia="Calibri" w:hAnsi="Verdana" w:cs="Arial"/>
                <w:lang w:eastAsia="es-ES_tradnl"/>
              </w:rPr>
            </w:pPr>
            <w:r w:rsidRPr="00FF007A">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533BAE">
              <w:rPr>
                <w:rFonts w:ascii="Verdana" w:eastAsia="Calibri" w:hAnsi="Verdana" w:cs="Arial"/>
                <w:lang w:eastAsia="es-ES_tradnl"/>
              </w:rPr>
              <w:t>1_2025_10_14_011451</w:t>
            </w:r>
          </w:p>
        </w:tc>
      </w:tr>
    </w:tbl>
    <w:p w14:paraId="7AC0627E" w14:textId="77777777" w:rsidR="00596DB0" w:rsidRPr="00FF007A" w:rsidRDefault="00596DB0" w:rsidP="00596DB0">
      <w:pPr>
        <w:spacing w:after="0" w:line="276" w:lineRule="auto"/>
        <w:jc w:val="both"/>
        <w:rPr>
          <w:rFonts w:ascii="Verdana" w:eastAsia="Calibri" w:hAnsi="Verdana" w:cs="Arial"/>
          <w:lang w:eastAsia="es-ES_tradnl"/>
        </w:rPr>
      </w:pPr>
    </w:p>
    <w:p w14:paraId="418F83B2" w14:textId="77777777" w:rsidR="00596DB0" w:rsidRPr="00FF007A" w:rsidRDefault="00596DB0" w:rsidP="00596DB0">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a</w:t>
      </w:r>
      <w:r w:rsidRPr="00FF007A">
        <w:rPr>
          <w:rFonts w:ascii="Verdana" w:eastAsia="Calibri" w:hAnsi="Verdana" w:cs="Arial"/>
          <w:lang w:eastAsia="es-ES"/>
        </w:rPr>
        <w:t xml:space="preserve"> seño</w:t>
      </w:r>
      <w:r>
        <w:rPr>
          <w:rFonts w:ascii="Verdana" w:eastAsia="Calibri" w:hAnsi="Verdana" w:cs="Arial"/>
          <w:lang w:eastAsia="es-ES"/>
        </w:rPr>
        <w:t>ra</w:t>
      </w:r>
      <w:r w:rsidRPr="00FF007A">
        <w:rPr>
          <w:rFonts w:ascii="Verdana" w:eastAsia="Calibri" w:hAnsi="Verdana" w:cs="Arial"/>
          <w:lang w:eastAsia="es-ES"/>
        </w:rPr>
        <w:t xml:space="preserve"> </w:t>
      </w:r>
      <w:r>
        <w:rPr>
          <w:rFonts w:ascii="Verdana" w:eastAsia="Calibri" w:hAnsi="Verdana" w:cs="Arial"/>
          <w:lang w:eastAsia="es-ES"/>
        </w:rPr>
        <w:t>Leal:</w:t>
      </w:r>
      <w:r w:rsidRPr="00FF007A">
        <w:rPr>
          <w:rFonts w:ascii="Verdana" w:eastAsia="Calibri" w:hAnsi="Verdana" w:cs="Arial"/>
          <w:lang w:eastAsia="es-ES"/>
        </w:rPr>
        <w:t xml:space="preserve"> </w:t>
      </w:r>
    </w:p>
    <w:p w14:paraId="39BC0A52" w14:textId="77777777" w:rsidR="00596DB0" w:rsidRPr="00FF007A" w:rsidRDefault="00596DB0" w:rsidP="00596DB0">
      <w:pPr>
        <w:tabs>
          <w:tab w:val="left" w:pos="3768"/>
        </w:tabs>
        <w:spacing w:after="0" w:line="240" w:lineRule="auto"/>
        <w:jc w:val="both"/>
        <w:rPr>
          <w:rFonts w:ascii="Verdana" w:eastAsia="Calibri" w:hAnsi="Verdana" w:cs="Arial"/>
          <w:lang w:eastAsia="es-ES"/>
        </w:rPr>
      </w:pPr>
    </w:p>
    <w:p w14:paraId="7DE4D0A4" w14:textId="77777777" w:rsidR="00596DB0" w:rsidRPr="00533BAE" w:rsidRDefault="00596DB0" w:rsidP="00596DB0">
      <w:pPr>
        <w:tabs>
          <w:tab w:val="left" w:pos="3768"/>
        </w:tabs>
        <w:spacing w:after="120" w:line="276" w:lineRule="auto"/>
        <w:jc w:val="both"/>
        <w:rPr>
          <w:rFonts w:ascii="Verdana" w:hAnsi="Verdana" w:cs="Arial"/>
        </w:rPr>
      </w:pPr>
      <w:r w:rsidRPr="00FF007A">
        <w:rPr>
          <w:rFonts w:ascii="Verdana" w:eastAsia="Calibri" w:hAnsi="Verdana" w:cs="Arial"/>
          <w:lang w:eastAsia="es-ES"/>
        </w:rPr>
        <w:t>En ejercicio de la competencia otorgada por los artículos 3, numeral 5º, y 11, numeral 8º, del Decreto Ley 4170 de 2011,</w:t>
      </w:r>
      <w:r w:rsidRPr="00FF007A">
        <w:rPr>
          <w:rFonts w:ascii="Verdana" w:eastAsia="Arial MT" w:hAnsi="Verdana" w:cs="Arial MT"/>
          <w:lang w:eastAsia="es-ES"/>
        </w:rPr>
        <w:t xml:space="preserve"> </w:t>
      </w:r>
      <w:r w:rsidRPr="00FF007A">
        <w:rPr>
          <w:rFonts w:ascii="Verdana" w:hAnsi="Verdana" w:cs="Arial"/>
        </w:rPr>
        <w:t>así como lo establecido</w:t>
      </w:r>
      <w:r w:rsidRPr="000D6B62">
        <w:rPr>
          <w:rFonts w:ascii="Verdana" w:hAnsi="Verdana" w:cs="Arial"/>
          <w:color w:val="000000" w:themeColor="text1"/>
          <w:lang w:val="es-ES"/>
        </w:rPr>
        <w:t xml:space="preserve"> </w:t>
      </w:r>
      <w:r>
        <w:rPr>
          <w:rFonts w:ascii="Verdana" w:hAnsi="Verdana" w:cs="Arial"/>
          <w:color w:val="000000" w:themeColor="text1"/>
          <w:lang w:val="es-ES"/>
        </w:rPr>
        <w:t>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FF007A">
        <w:rPr>
          <w:rFonts w:ascii="Verdana" w:hAnsi="Verdana" w:cs="Arial"/>
        </w:rPr>
        <w:t xml:space="preserve">, </w:t>
      </w:r>
      <w:r w:rsidRPr="00FF007A">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14</w:t>
      </w:r>
      <w:r w:rsidRPr="00FF007A">
        <w:rPr>
          <w:rFonts w:ascii="Verdana" w:eastAsia="Calibri" w:hAnsi="Verdana" w:cs="Arial"/>
          <w:lang w:eastAsia="es-ES"/>
        </w:rPr>
        <w:t xml:space="preserve"> de </w:t>
      </w:r>
      <w:r>
        <w:rPr>
          <w:rFonts w:ascii="Verdana" w:eastAsia="Calibri" w:hAnsi="Verdana" w:cs="Arial"/>
          <w:lang w:eastAsia="es-ES"/>
        </w:rPr>
        <w:t>octubre</w:t>
      </w:r>
      <w:r w:rsidRPr="00FF007A">
        <w:rPr>
          <w:rFonts w:ascii="Verdana" w:eastAsia="Calibri" w:hAnsi="Verdana" w:cs="Arial"/>
          <w:lang w:eastAsia="es-ES"/>
        </w:rPr>
        <w:t xml:space="preserve"> de 2025, en la cual </w:t>
      </w:r>
      <w:r>
        <w:rPr>
          <w:rFonts w:ascii="Verdana" w:eastAsia="Calibri" w:hAnsi="Verdana" w:cs="Arial"/>
          <w:lang w:eastAsia="es-ES"/>
        </w:rPr>
        <w:t xml:space="preserve">respecto de los convenios </w:t>
      </w:r>
      <w:r>
        <w:rPr>
          <w:rFonts w:ascii="Verdana" w:eastAsia="Calibri" w:hAnsi="Verdana" w:cs="Arial"/>
          <w:lang w:eastAsia="es-ES"/>
        </w:rPr>
        <w:lastRenderedPageBreak/>
        <w:t xml:space="preserve">de asociación regulados por el Decreto 092 de 2017, </w:t>
      </w:r>
      <w:r w:rsidRPr="00FF007A">
        <w:rPr>
          <w:rFonts w:ascii="Verdana" w:eastAsia="Calibri" w:hAnsi="Verdana" w:cs="Arial"/>
          <w:lang w:eastAsia="es-ES"/>
        </w:rPr>
        <w:t>manifiesta lo siguiente:</w:t>
      </w:r>
      <w:r w:rsidRPr="000D6B62">
        <w:rPr>
          <w:rFonts w:ascii="Verdana" w:eastAsia="Calibri" w:hAnsi="Verdana" w:cs="Arial"/>
          <w:i/>
          <w:iCs/>
          <w:lang w:eastAsia="es-ES"/>
        </w:rPr>
        <w:t xml:space="preserve"> </w:t>
      </w:r>
      <w:r>
        <w:rPr>
          <w:rFonts w:ascii="Verdana" w:eastAsia="Calibri" w:hAnsi="Verdana" w:cs="Arial"/>
          <w:i/>
          <w:iCs/>
          <w:lang w:eastAsia="es-ES"/>
        </w:rPr>
        <w:t>“</w:t>
      </w:r>
      <w:r w:rsidRPr="000D6B62">
        <w:rPr>
          <w:rFonts w:ascii="Verdana" w:eastAsia="Calibri" w:hAnsi="Verdana" w:cs="Arial"/>
          <w:i/>
          <w:iCs/>
          <w:lang w:eastAsia="es-ES"/>
        </w:rPr>
        <w:t>¿La restricción que existe en el artículo 33 de la Ley 996 de 2025 (Ley de garantías) sobre contratación directa, opera únicamente sobre lo previsto en el numeral 4 del artículo 2 de la Ley 1150 2007, o también lo hace en los casos de contratación que no impliquen una pluralidad de oferentes?</w:t>
      </w:r>
      <w:r>
        <w:rPr>
          <w:rFonts w:ascii="Verdana" w:eastAsia="Calibri" w:hAnsi="Verdana" w:cs="Arial"/>
          <w:i/>
          <w:iCs/>
          <w:lang w:eastAsia="es-ES"/>
        </w:rPr>
        <w:t xml:space="preserve">”. </w:t>
      </w:r>
    </w:p>
    <w:p w14:paraId="4E251026" w14:textId="77777777" w:rsidR="00596DB0" w:rsidRPr="00FF007A" w:rsidRDefault="00596DB0" w:rsidP="00596DB0">
      <w:pPr>
        <w:spacing w:after="120" w:line="276" w:lineRule="auto"/>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EE96348" w14:textId="77777777" w:rsidR="00596DB0" w:rsidRPr="000D3A6E" w:rsidRDefault="00596DB0" w:rsidP="00596DB0">
      <w:pPr>
        <w:spacing w:after="12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w:t>
      </w:r>
      <w:r w:rsidRPr="000D3A6E">
        <w:rPr>
          <w:rFonts w:ascii="Verdana" w:eastAsia="Calibri" w:hAnsi="Verdana" w:cs="Arial"/>
          <w:color w:val="000000"/>
          <w:lang w:eastAsia="es-ES"/>
        </w:rPr>
        <w:t xml:space="preserve">haciendo abstracción del caso particular y concreto señalado en su petición, pero señalando algunas consideraciones sobre las normas generales relacionadas con el problema jurídico de su consulta.  </w:t>
      </w:r>
    </w:p>
    <w:p w14:paraId="5A92CD6C" w14:textId="77777777" w:rsidR="00596DB0" w:rsidRPr="000D3A6E" w:rsidRDefault="00596DB0" w:rsidP="00596DB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D3A6E">
        <w:rPr>
          <w:rFonts w:ascii="Verdana" w:eastAsia="Century Gothic" w:hAnsi="Verdana" w:cs="Century Gothic"/>
          <w:b/>
          <w:bCs/>
          <w:lang w:val="es-CO"/>
        </w:rPr>
        <w:t>Problema planteado:</w:t>
      </w:r>
    </w:p>
    <w:p w14:paraId="4CDF8346" w14:textId="77777777" w:rsidR="00596DB0" w:rsidRPr="000D3A6E" w:rsidRDefault="00596DB0" w:rsidP="00596DB0">
      <w:pPr>
        <w:spacing w:after="0" w:line="240" w:lineRule="auto"/>
        <w:jc w:val="both"/>
        <w:rPr>
          <w:rFonts w:ascii="Verdana" w:eastAsia="Calibri" w:hAnsi="Verdana" w:cs="Arial"/>
          <w:color w:val="000000"/>
          <w:lang w:eastAsia="es-ES"/>
        </w:rPr>
      </w:pPr>
    </w:p>
    <w:p w14:paraId="35BBE282" w14:textId="78109111" w:rsidR="00596DB0" w:rsidRPr="00FF007A" w:rsidRDefault="00596DB0" w:rsidP="00596DB0">
      <w:pPr>
        <w:spacing w:after="120"/>
        <w:jc w:val="both"/>
        <w:rPr>
          <w:rFonts w:ascii="Verdana" w:eastAsia="Calibri" w:hAnsi="Verdana" w:cs="Arial"/>
          <w:color w:val="000000"/>
          <w:lang w:eastAsia="es-ES"/>
        </w:rPr>
      </w:pPr>
      <w:r w:rsidRPr="000D3A6E">
        <w:rPr>
          <w:rFonts w:ascii="Verdana" w:eastAsia="Calibri" w:hAnsi="Verdana" w:cs="Arial"/>
          <w:color w:val="000000"/>
          <w:lang w:eastAsia="es-ES"/>
        </w:rPr>
        <w:t>De acuerdo con el contenido de su solicitud, esta Agencia resolverá el siguiente problema jurídico</w:t>
      </w:r>
      <w:r w:rsidR="00D26193">
        <w:rPr>
          <w:rFonts w:ascii="Verdana" w:eastAsia="Calibri" w:hAnsi="Verdana" w:cs="Arial"/>
          <w:color w:val="000000"/>
          <w:lang w:eastAsia="es-ES"/>
        </w:rPr>
        <w:t>:</w:t>
      </w:r>
      <w:r w:rsidRPr="000D3A6E">
        <w:rPr>
          <w:rFonts w:ascii="Verdana" w:eastAsia="Calibri" w:hAnsi="Verdana" w:cs="Arial"/>
          <w:color w:val="000000"/>
          <w:lang w:eastAsia="es-ES"/>
        </w:rPr>
        <w:t xml:space="preserve"> ¿La aplicación de la Ley 996 de 2005 se extiende a los </w:t>
      </w:r>
      <w:r w:rsidRPr="000D3A6E">
        <w:rPr>
          <w:rFonts w:ascii="Verdana" w:eastAsia="Century Gothic" w:hAnsi="Verdana" w:cs="Century Gothic"/>
        </w:rPr>
        <w:t xml:space="preserve">contratos definidos en el 355 de la Constitución Política y </w:t>
      </w:r>
      <w:r>
        <w:rPr>
          <w:rFonts w:ascii="Verdana" w:eastAsia="Century Gothic" w:hAnsi="Verdana" w:cs="Century Gothic"/>
        </w:rPr>
        <w:t xml:space="preserve">a </w:t>
      </w:r>
      <w:r w:rsidRPr="000D3A6E">
        <w:rPr>
          <w:rFonts w:ascii="Verdana" w:eastAsia="Century Gothic" w:hAnsi="Verdana" w:cs="Century Gothic"/>
        </w:rPr>
        <w:t>los convenios de asociación del artículo 5 del Decreto 092 de 2017?</w:t>
      </w:r>
      <w:r>
        <w:rPr>
          <w:rFonts w:ascii="Verdana" w:eastAsia="Calibri" w:hAnsi="Verdana" w:cs="Arial"/>
          <w:color w:val="000000"/>
          <w:lang w:eastAsia="es-ES"/>
        </w:rPr>
        <w:t xml:space="preserve"> </w:t>
      </w:r>
    </w:p>
    <w:p w14:paraId="03ED530C" w14:textId="77777777" w:rsidR="00596DB0" w:rsidRPr="00FF007A" w:rsidRDefault="00596DB0" w:rsidP="00596DB0">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4297A137" w14:textId="77777777" w:rsidR="00596DB0" w:rsidRPr="00FF007A" w:rsidRDefault="00596DB0" w:rsidP="00596DB0">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96DB0" w:rsidRPr="00FF007A" w14:paraId="78905172" w14:textId="77777777" w:rsidTr="00BE3615">
        <w:tc>
          <w:tcPr>
            <w:tcW w:w="8828" w:type="dxa"/>
          </w:tcPr>
          <w:p w14:paraId="4E109B1D" w14:textId="77777777" w:rsidR="00596DB0" w:rsidRDefault="00596DB0" w:rsidP="00BE3615">
            <w:pPr>
              <w:spacing w:line="276" w:lineRule="auto"/>
              <w:jc w:val="both"/>
              <w:rPr>
                <w:rFonts w:ascii="Verdana" w:eastAsia="Times New Roman" w:hAnsi="Verdana" w:cs="Arial"/>
                <w:lang w:eastAsia="x-none"/>
              </w:rPr>
            </w:pP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 xml:space="preserve"> </w:t>
            </w:r>
            <w:r w:rsidRPr="003E638E">
              <w:rPr>
                <w:rFonts w:ascii="Verdana" w:eastAsia="Times New Roman" w:hAnsi="Verdana" w:cs="Arial"/>
                <w:bCs/>
                <w:lang w:eastAsia="es-CO"/>
              </w:rPr>
              <w:t>introduce limitaciones para realizar nombramientos, postulaciones, contrataciones o cualquier otro tipo de actividad que implique destinación de recursos públicos bajo el devenir propio de las entidades estatales</w:t>
            </w:r>
            <w:r>
              <w:rPr>
                <w:rFonts w:ascii="Verdana" w:eastAsia="Times New Roman" w:hAnsi="Verdana" w:cs="Arial"/>
                <w:bCs/>
                <w:lang w:eastAsia="es-CO"/>
              </w:rPr>
              <w:t xml:space="preserve">. </w:t>
            </w:r>
            <w:r w:rsidRPr="003F4079">
              <w:rPr>
                <w:rFonts w:ascii="Verdana" w:eastAsia="Times New Roman" w:hAnsi="Verdana" w:cs="Arial"/>
                <w:lang w:val="es-MX" w:eastAsia="x-none"/>
              </w:rPr>
              <w:t xml:space="preserve">El ámbito material de la prohibición contenida en el artículo 33 de la Ley 996 de 2005 está delimitado por la expresión </w:t>
            </w:r>
            <w:r w:rsidRPr="00095A2F">
              <w:rPr>
                <w:rFonts w:ascii="Verdana" w:eastAsia="Calibri" w:hAnsi="Verdana" w:cs="Arial"/>
                <w:i/>
                <w:lang w:val="es-MX"/>
              </w:rPr>
              <w:t>“</w:t>
            </w:r>
            <w:r w:rsidRPr="00095A2F">
              <w:rPr>
                <w:rFonts w:ascii="Verdana" w:eastAsia="Times New Roman" w:hAnsi="Verdana" w:cs="Arial"/>
                <w:i/>
                <w:lang w:val="es-MX" w:eastAsia="x-none"/>
              </w:rPr>
              <w:t>queda prohibida la contratación directa</w:t>
            </w:r>
            <w:r w:rsidRPr="00095A2F">
              <w:rPr>
                <w:rFonts w:ascii="Verdana" w:eastAsia="Calibri" w:hAnsi="Verdana" w:cs="Arial"/>
                <w:i/>
                <w:lang w:val="es-MX"/>
              </w:rPr>
              <w:t>”,</w:t>
            </w:r>
            <w:r w:rsidRPr="003F4079">
              <w:rPr>
                <w:rFonts w:ascii="Verdana" w:eastAsia="Calibri" w:hAnsi="Verdana" w:cs="Arial"/>
                <w:lang w:val="es-MX"/>
              </w:rPr>
              <w:t xml:space="preserve"> </w:t>
            </w:r>
            <w:r>
              <w:rPr>
                <w:rFonts w:ascii="Verdana" w:eastAsia="Calibri" w:hAnsi="Verdana" w:cs="Arial"/>
                <w:lang w:val="es-MX"/>
              </w:rPr>
              <w:t>la cual</w:t>
            </w:r>
            <w:r w:rsidRPr="003F4079">
              <w:rPr>
                <w:rFonts w:ascii="Verdana" w:eastAsia="Calibri" w:hAnsi="Verdana" w:cs="Arial"/>
                <w:lang w:val="es-MX"/>
              </w:rPr>
              <w:t xml:space="preserve"> </w:t>
            </w:r>
            <w:r w:rsidRPr="003F4079">
              <w:rPr>
                <w:rFonts w:ascii="Verdana" w:eastAsia="Times New Roman" w:hAnsi="Verdana" w:cs="Arial"/>
                <w:lang w:eastAsia="x-none"/>
              </w:rPr>
              <w:t>se refiere a</w:t>
            </w:r>
            <w:r w:rsidRPr="00095A2F">
              <w:rPr>
                <w:rFonts w:ascii="Verdana" w:eastAsia="Times New Roman" w:hAnsi="Verdana" w:cs="Arial"/>
                <w:i/>
                <w:lang w:eastAsia="x-none"/>
              </w:rPr>
              <w:t xml:space="preserve"> </w:t>
            </w:r>
            <w:r w:rsidRPr="00095A2F">
              <w:rPr>
                <w:rFonts w:ascii="Verdana" w:eastAsia="Times New Roman" w:hAnsi="Verdana" w:cs="Arial"/>
                <w:i/>
                <w:lang w:eastAsia="en-GB"/>
              </w:rPr>
              <w:lastRenderedPageBreak/>
              <w:t>“</w:t>
            </w:r>
            <w:r w:rsidRPr="00095A2F">
              <w:rPr>
                <w:rFonts w:ascii="Verdana" w:eastAsia="Times New Roman" w:hAnsi="Verdana" w:cs="Arial"/>
                <w:i/>
                <w:lang w:eastAsia="x-none"/>
              </w:rPr>
              <w:t>cualquier sistema que no implique convocatoria pública y posibilidad de pluralidad de oferentes</w:t>
            </w:r>
            <w:r w:rsidRPr="00095A2F">
              <w:rPr>
                <w:rFonts w:ascii="Verdana" w:eastAsia="Times New Roman" w:hAnsi="Verdana" w:cs="Arial"/>
                <w:i/>
                <w:lang w:eastAsia="en-GB"/>
              </w:rPr>
              <w:t>”</w:t>
            </w:r>
            <w:r w:rsidRPr="003F4079">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p>
          <w:p w14:paraId="6E1B8318" w14:textId="77777777" w:rsidR="00596DB0" w:rsidRDefault="00596DB0" w:rsidP="00BE3615">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p>
          <w:p w14:paraId="30812E93" w14:textId="77777777" w:rsidR="00596DB0" w:rsidRDefault="00596DB0" w:rsidP="00BE3615">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66E484CF" w14:textId="77777777" w:rsidR="00596DB0" w:rsidRDefault="00596DB0" w:rsidP="00BE3615">
            <w:pPr>
              <w:spacing w:before="120" w:after="120"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67C7D702" w14:textId="77777777" w:rsidR="00596DB0" w:rsidRPr="00A17A6F" w:rsidRDefault="00596DB0" w:rsidP="00BE3615">
            <w:pPr>
              <w:spacing w:before="120" w:after="120" w:line="276" w:lineRule="auto"/>
              <w:ind w:firstLine="709"/>
              <w:jc w:val="both"/>
              <w:rPr>
                <w:rFonts w:ascii="Verdana" w:eastAsia="Calibri" w:hAnsi="Verdana" w:cs="Arial"/>
                <w:color w:val="000000"/>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lastRenderedPageBreak/>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p>
        </w:tc>
      </w:tr>
    </w:tbl>
    <w:p w14:paraId="53918DEE" w14:textId="77777777" w:rsidR="00596DB0" w:rsidRPr="00FF007A" w:rsidRDefault="00596DB0" w:rsidP="00596DB0">
      <w:pPr>
        <w:tabs>
          <w:tab w:val="left" w:pos="142"/>
          <w:tab w:val="left" w:pos="284"/>
        </w:tabs>
        <w:spacing w:after="0" w:line="276" w:lineRule="auto"/>
        <w:jc w:val="both"/>
        <w:rPr>
          <w:rFonts w:ascii="Verdana" w:eastAsia="Century Gothic" w:hAnsi="Verdana" w:cs="Century Gothic"/>
          <w:b/>
          <w:bCs/>
        </w:rPr>
      </w:pPr>
    </w:p>
    <w:p w14:paraId="11FEC5B2" w14:textId="77777777" w:rsidR="00596DB0" w:rsidRPr="00FF007A" w:rsidRDefault="00596DB0" w:rsidP="00596DB0">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75F2F628" w14:textId="77777777" w:rsidR="00596DB0" w:rsidRPr="00FF007A" w:rsidRDefault="00596DB0" w:rsidP="00596DB0">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4DA5B17" w14:textId="77777777" w:rsidR="00596DB0" w:rsidRDefault="00596DB0" w:rsidP="00596DB0">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47E52CE3" w14:textId="77777777" w:rsidR="00596DB0" w:rsidRDefault="00596DB0" w:rsidP="00596DB0">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3DF7EEC2" w14:textId="77777777" w:rsidR="00596DB0" w:rsidRDefault="00596DB0" w:rsidP="00596DB0">
      <w:pPr>
        <w:tabs>
          <w:tab w:val="left" w:pos="426"/>
        </w:tabs>
        <w:spacing w:after="120" w:line="276" w:lineRule="auto"/>
        <w:jc w:val="both"/>
        <w:rPr>
          <w:rFonts w:ascii="Verdana" w:eastAsia="Calibri" w:hAnsi="Verdana" w:cs="Arial"/>
          <w:noProof/>
          <w:lang w:val="es-ES_tradnl"/>
        </w:rPr>
      </w:pPr>
      <w:r>
        <w:rPr>
          <w:rFonts w:ascii="Verdana" w:eastAsia="Times New Roman" w:hAnsi="Verdana" w:cs="Arial"/>
          <w:bCs/>
          <w:lang w:eastAsia="es-CO"/>
        </w:rPr>
        <w:t>i. 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xml:space="preserve">, </w:t>
      </w:r>
      <w:r>
        <w:rPr>
          <w:rFonts w:ascii="Verdana" w:eastAsia="Times New Roman" w:hAnsi="Verdana" w:cs="Arial"/>
          <w:bCs/>
          <w:lang w:eastAsia="es-CO"/>
        </w:rPr>
        <w:t xml:space="preserve">tiene como propósito </w:t>
      </w:r>
      <w:r w:rsidRPr="003E638E">
        <w:rPr>
          <w:rFonts w:ascii="Verdana" w:eastAsia="Times New Roman" w:hAnsi="Verdana" w:cs="Arial"/>
          <w:bCs/>
          <w:lang w:eastAsia="es-CO"/>
        </w:rPr>
        <w:t xml:space="preserve">evitar la injerencia inadecuada de intereses particulares en el ejercicio de la función pública. Esta ley </w:t>
      </w:r>
      <w:r>
        <w:rPr>
          <w:rFonts w:ascii="Verdana" w:eastAsia="Times New Roman" w:hAnsi="Verdana" w:cs="Arial"/>
          <w:bCs/>
          <w:lang w:eastAsia="es-CO"/>
        </w:rPr>
        <w:t>busca</w:t>
      </w:r>
      <w:r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1"/>
      </w:r>
      <w:r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6B8F70B3" w14:textId="77777777" w:rsidR="00596DB0" w:rsidRPr="003E638E" w:rsidRDefault="00596DB0" w:rsidP="00596DB0">
      <w:pPr>
        <w:tabs>
          <w:tab w:val="left" w:pos="426"/>
        </w:tabs>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8E37644" w14:textId="77777777" w:rsidR="00596DB0" w:rsidRPr="00990FC7" w:rsidRDefault="00596DB0" w:rsidP="00596DB0">
      <w:pPr>
        <w:spacing w:after="0" w:line="240" w:lineRule="auto"/>
        <w:ind w:right="709"/>
        <w:rPr>
          <w:rFonts w:ascii="Arial" w:eastAsia="Times New Roman" w:hAnsi="Arial" w:cs="Arial"/>
          <w:sz w:val="21"/>
          <w:szCs w:val="21"/>
          <w:lang w:val="es-ES" w:eastAsia="es-CO"/>
        </w:rPr>
      </w:pPr>
    </w:p>
    <w:p w14:paraId="493CF6A1" w14:textId="77777777" w:rsidR="00596DB0" w:rsidRPr="003E638E" w:rsidRDefault="00596DB0" w:rsidP="00596DB0">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sz w:val="20"/>
          <w:szCs w:val="20"/>
          <w:lang w:val="es-ES" w:eastAsia="es-CO"/>
        </w:rPr>
        <w:t>“(…)</w:t>
      </w:r>
      <w:r>
        <w:rPr>
          <w:rFonts w:ascii="Verdana" w:eastAsia="Times New Roman" w:hAnsi="Verdana" w:cs="Arial"/>
          <w:bCs/>
          <w:sz w:val="20"/>
          <w:szCs w:val="20"/>
          <w:lang w:val="es-ES" w:eastAsia="es-CO"/>
        </w:rPr>
        <w:t xml:space="preserve"> </w:t>
      </w:r>
      <w:r w:rsidRPr="003E638E">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w:t>
      </w:r>
      <w:r w:rsidRPr="003E638E">
        <w:rPr>
          <w:rFonts w:ascii="Verdana" w:eastAsia="Times New Roman" w:hAnsi="Verdana" w:cs="Arial"/>
          <w:bCs/>
          <w:sz w:val="20"/>
          <w:szCs w:val="20"/>
          <w:lang w:eastAsia="es-CO"/>
        </w:rPr>
        <w:t>.</w:t>
      </w:r>
      <w:r w:rsidRPr="003E638E">
        <w:rPr>
          <w:rStyle w:val="Refdenotaalpie"/>
          <w:rFonts w:ascii="Verdana" w:hAnsi="Verdana" w:cs="Arial"/>
          <w:sz w:val="20"/>
          <w:szCs w:val="20"/>
        </w:rPr>
        <w:footnoteReference w:id="2"/>
      </w:r>
    </w:p>
    <w:p w14:paraId="42CE55EE" w14:textId="77777777" w:rsidR="00596DB0" w:rsidRPr="003E638E" w:rsidRDefault="00596DB0" w:rsidP="00596DB0">
      <w:pPr>
        <w:spacing w:after="0"/>
        <w:ind w:left="709" w:right="709"/>
        <w:jc w:val="both"/>
        <w:rPr>
          <w:rFonts w:ascii="Verdana" w:eastAsia="Times New Roman" w:hAnsi="Verdana" w:cs="Arial"/>
          <w:bCs/>
          <w:sz w:val="21"/>
          <w:szCs w:val="21"/>
          <w:lang w:eastAsia="es-CO"/>
        </w:rPr>
      </w:pPr>
    </w:p>
    <w:p w14:paraId="00C36454" w14:textId="77777777" w:rsidR="00596DB0" w:rsidRPr="003E638E" w:rsidRDefault="00596DB0" w:rsidP="00596DB0">
      <w:pPr>
        <w:spacing w:after="0" w:line="276" w:lineRule="auto"/>
        <w:ind w:firstLine="709"/>
        <w:jc w:val="both"/>
        <w:rPr>
          <w:rFonts w:ascii="Verdana" w:eastAsia="Times New Roman" w:hAnsi="Verdana" w:cs="Arial"/>
          <w:bCs/>
          <w:lang w:eastAsia="es-CO"/>
        </w:rPr>
      </w:pPr>
      <w:bookmarkStart w:id="6" w:name="_Hlk78818186"/>
      <w:r w:rsidRPr="003E638E">
        <w:rPr>
          <w:rFonts w:ascii="Verdana" w:eastAsia="Times New Roman" w:hAnsi="Verdana" w:cs="Arial"/>
          <w:bCs/>
          <w:lang w:eastAsia="es-CO"/>
        </w:rPr>
        <w:lastRenderedPageBreak/>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6"/>
      <w:r w:rsidRPr="003E638E">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62ECAE53" w14:textId="77777777" w:rsidR="00596DB0" w:rsidRPr="003E638E" w:rsidRDefault="00596DB0" w:rsidP="00596DB0">
      <w:pPr>
        <w:spacing w:after="0"/>
        <w:ind w:firstLine="709"/>
        <w:jc w:val="both"/>
        <w:rPr>
          <w:rFonts w:ascii="Verdana" w:eastAsia="Times New Roman" w:hAnsi="Verdana" w:cs="Arial"/>
          <w:bCs/>
          <w:lang w:eastAsia="es-CO"/>
        </w:rPr>
      </w:pPr>
    </w:p>
    <w:p w14:paraId="2CE88EC1" w14:textId="77777777" w:rsidR="00596DB0" w:rsidRDefault="00596DB0" w:rsidP="00596DB0">
      <w:pPr>
        <w:spacing w:after="12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0B956EE" w14:textId="77777777" w:rsidR="00596DB0" w:rsidRPr="003E638E" w:rsidRDefault="00596DB0" w:rsidP="00596DB0">
      <w:pPr>
        <w:spacing w:after="12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3"/>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w:t>
      </w:r>
    </w:p>
    <w:p w14:paraId="1148D9FB" w14:textId="77777777" w:rsidR="00596DB0" w:rsidRPr="00990FC7" w:rsidRDefault="00596DB0" w:rsidP="00596DB0">
      <w:pPr>
        <w:spacing w:after="0" w:line="240" w:lineRule="auto"/>
        <w:ind w:right="709"/>
        <w:rPr>
          <w:rFonts w:ascii="Arial" w:eastAsia="Times New Roman" w:hAnsi="Arial" w:cs="Arial"/>
          <w:bCs/>
          <w:sz w:val="21"/>
          <w:szCs w:val="21"/>
          <w:lang w:eastAsia="es-CO"/>
        </w:rPr>
      </w:pPr>
    </w:p>
    <w:p w14:paraId="32DF2CDB" w14:textId="77777777" w:rsidR="00596DB0" w:rsidRPr="003E638E" w:rsidRDefault="00596DB0" w:rsidP="00596DB0">
      <w:pPr>
        <w:spacing w:after="120" w:line="276" w:lineRule="auto"/>
        <w:jc w:val="both"/>
        <w:rPr>
          <w:rFonts w:ascii="Verdana" w:eastAsia="Arial" w:hAnsi="Verdana" w:cs="Arial"/>
          <w:lang w:val="es-ES" w:eastAsia="es-ES" w:bidi="es-ES"/>
        </w:rPr>
      </w:pPr>
      <w:r w:rsidRPr="00990FC7">
        <w:rPr>
          <w:rFonts w:ascii="Arial" w:eastAsia="Times New Roman" w:hAnsi="Arial" w:cs="Arial"/>
          <w:bCs/>
          <w:lang w:eastAsia="es-CO"/>
        </w:rPr>
        <w:lastRenderedPageBreak/>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7" w:name="_Hlk77236098"/>
      <w:r w:rsidRPr="003E638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7"/>
    </w:p>
    <w:p w14:paraId="36C889A7" w14:textId="77777777" w:rsidR="00596DB0" w:rsidRPr="003E638E" w:rsidRDefault="00596DB0" w:rsidP="00596DB0">
      <w:pPr>
        <w:spacing w:after="120" w:line="276" w:lineRule="auto"/>
        <w:ind w:firstLine="708"/>
        <w:jc w:val="both"/>
        <w:rPr>
          <w:rFonts w:ascii="Verdana" w:eastAsia="Calibri" w:hAnsi="Verdana" w:cs="Arial"/>
        </w:rPr>
      </w:pPr>
      <w:r>
        <w:rPr>
          <w:rFonts w:ascii="Verdana" w:eastAsia="Calibri" w:hAnsi="Verdana" w:cs="Arial"/>
        </w:rPr>
        <w:t xml:space="preserve">El </w:t>
      </w:r>
      <w:r w:rsidRPr="003E638E">
        <w:rPr>
          <w:rFonts w:ascii="Verdana" w:eastAsia="Calibri" w:hAnsi="Verdana" w:cs="Arial"/>
        </w:rPr>
        <w:t xml:space="preserve">artículo 33 de la Ley 996 de 2005 prohíbe </w:t>
      </w:r>
      <w:r>
        <w:rPr>
          <w:rFonts w:ascii="Verdana" w:eastAsia="Calibri" w:hAnsi="Verdana" w:cs="Arial"/>
          <w:bCs/>
        </w:rPr>
        <w:t>“(…)</w:t>
      </w:r>
      <w:r w:rsidRPr="003E638E">
        <w:rPr>
          <w:rFonts w:ascii="Verdana" w:eastAsia="Calibri" w:hAnsi="Verdana" w:cs="Arial"/>
          <w:bCs/>
        </w:rPr>
        <w:t xml:space="preserve"> </w:t>
      </w:r>
      <w:r w:rsidRPr="003E638E">
        <w:rPr>
          <w:rFonts w:ascii="Verdana" w:eastAsia="Calibri" w:hAnsi="Verdana" w:cs="Arial"/>
        </w:rPr>
        <w:t>la contratación directa por parte de todos los entes del Estado</w:t>
      </w:r>
      <w:r>
        <w:rPr>
          <w:rFonts w:ascii="Verdana" w:eastAsia="Calibri" w:hAnsi="Verdana" w:cs="Arial"/>
        </w:rPr>
        <w:t>”</w:t>
      </w:r>
      <w:r w:rsidRPr="003E638E">
        <w:rPr>
          <w:rFonts w:ascii="Verdana" w:eastAsia="Calibri" w:hAnsi="Verdana" w:cs="Arial"/>
        </w:rPr>
        <w:t xml:space="preserve"> durante los cuatro (4) meses anteriores a las elecciones presidenciales, salvo </w:t>
      </w:r>
      <w:r>
        <w:rPr>
          <w:rFonts w:ascii="Verdana" w:eastAsia="Calibri" w:hAnsi="Verdana" w:cs="Arial"/>
          <w:bCs/>
        </w:rPr>
        <w:t>“(…) l</w:t>
      </w:r>
      <w:r w:rsidRPr="003E638E">
        <w:rPr>
          <w:rFonts w:ascii="Verdana" w:eastAsia="Calibri" w:hAnsi="Verdana" w:cs="Arial"/>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rPr>
        <w:t>”</w:t>
      </w:r>
      <w:r w:rsidRPr="003E638E">
        <w:rPr>
          <w:rFonts w:ascii="Verdana" w:eastAsia="Calibri" w:hAnsi="Verdana" w:cs="Arial"/>
          <w:bCs/>
          <w:vertAlign w:val="superscript"/>
        </w:rPr>
        <w:footnoteReference w:id="6"/>
      </w:r>
      <w:r w:rsidRPr="003E638E">
        <w:rPr>
          <w:rFonts w:ascii="Verdana" w:eastAsia="Calibri" w:hAnsi="Verdana" w:cs="Arial"/>
        </w:rPr>
        <w:t>.</w:t>
      </w:r>
    </w:p>
    <w:p w14:paraId="46559912" w14:textId="77777777" w:rsidR="00596DB0" w:rsidRPr="00F02C5A" w:rsidRDefault="00596DB0" w:rsidP="00596DB0">
      <w:pPr>
        <w:spacing w:after="0" w:line="276" w:lineRule="auto"/>
        <w:ind w:firstLine="708"/>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9" w:name="_Hlk75628761"/>
      <w:r w:rsidRPr="00F02C5A">
        <w:rPr>
          <w:rFonts w:ascii="Verdana" w:eastAsia="Times New Roman" w:hAnsi="Verdana" w:cs="Arial"/>
          <w:lang w:val="es-MX" w:eastAsia="x-none"/>
        </w:rPr>
        <w:t xml:space="preserve">en el artículo 33 de la Ley 996 de 2005 </w:t>
      </w:r>
      <w:bookmarkEnd w:id="9"/>
      <w:r w:rsidRPr="00F02C5A">
        <w:rPr>
          <w:rFonts w:ascii="Verdana" w:eastAsia="Times New Roman" w:hAnsi="Verdana" w:cs="Arial"/>
          <w:lang w:val="es-MX" w:eastAsia="x-none"/>
        </w:rPr>
        <w:t xml:space="preserve">está delimitado por la expresión </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queda prohibida la contratación directa</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w:t>
      </w:r>
      <w:r w:rsidRPr="002817AD">
        <w:rPr>
          <w:rFonts w:ascii="Verdana" w:eastAsia="Times New Roman" w:hAnsi="Verdana" w:cs="Arial"/>
          <w:i/>
          <w:lang w:val="es-MX" w:eastAsia="es-CO"/>
        </w:rPr>
        <w:t xml:space="preserve"> </w:t>
      </w:r>
      <w:r w:rsidRPr="00F02C5A">
        <w:rPr>
          <w:rFonts w:ascii="Verdana" w:eastAsia="Times New Roman" w:hAnsi="Verdana" w:cs="Arial"/>
          <w:lang w:val="es-MX" w:eastAsia="es-CO"/>
        </w:rPr>
        <w:t xml:space="preserve">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5CDE135D" w14:textId="77777777" w:rsidR="00596DB0" w:rsidRPr="00F02C5A" w:rsidRDefault="00596DB0" w:rsidP="00596DB0">
      <w:pPr>
        <w:spacing w:after="0" w:line="276" w:lineRule="auto"/>
        <w:ind w:left="708" w:right="709"/>
        <w:contextualSpacing/>
        <w:jc w:val="both"/>
        <w:rPr>
          <w:rFonts w:ascii="Verdana" w:eastAsia="Calibri" w:hAnsi="Verdana" w:cs="Arial"/>
          <w:sz w:val="21"/>
          <w:szCs w:val="21"/>
          <w:lang w:val="es-MX"/>
        </w:rPr>
      </w:pPr>
    </w:p>
    <w:p w14:paraId="4E99D018" w14:textId="77777777" w:rsidR="00596DB0" w:rsidRPr="002817AD" w:rsidRDefault="00596DB0" w:rsidP="00596DB0">
      <w:pPr>
        <w:spacing w:after="0" w:line="240" w:lineRule="auto"/>
        <w:ind w:left="709"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2817AD">
        <w:rPr>
          <w:rFonts w:ascii="Verdana" w:eastAsia="Calibri" w:hAnsi="Verdana" w:cs="Arial"/>
          <w:sz w:val="20"/>
          <w:szCs w:val="20"/>
          <w:lang w:val="es-MX"/>
        </w:rPr>
        <w:lastRenderedPageBreak/>
        <w:t>2, ley 1150 de 2007), y cumpliendo siempre los principios que rigen la contratación pública</w:t>
      </w:r>
      <w:r w:rsidRPr="002817AD">
        <w:rPr>
          <w:rFonts w:ascii="Verdana" w:eastAsia="Times New Roman" w:hAnsi="Verdana" w:cs="Arial"/>
          <w:sz w:val="20"/>
          <w:szCs w:val="20"/>
          <w:vertAlign w:val="superscript"/>
          <w:lang w:eastAsia="es-CO"/>
        </w:rPr>
        <w:footnoteReference w:id="7"/>
      </w:r>
      <w:r w:rsidRPr="002817AD">
        <w:rPr>
          <w:rFonts w:ascii="Verdana" w:eastAsia="Calibri" w:hAnsi="Verdana" w:cs="Arial"/>
          <w:sz w:val="20"/>
          <w:szCs w:val="20"/>
          <w:lang w:val="es-MX"/>
        </w:rPr>
        <w:t>.</w:t>
      </w:r>
    </w:p>
    <w:p w14:paraId="7DD1057A" w14:textId="77777777" w:rsidR="00596DB0" w:rsidRPr="002817AD" w:rsidRDefault="00596DB0" w:rsidP="00596DB0">
      <w:pPr>
        <w:spacing w:after="0" w:line="240" w:lineRule="auto"/>
        <w:ind w:left="709" w:right="709"/>
        <w:contextualSpacing/>
        <w:jc w:val="both"/>
        <w:rPr>
          <w:rFonts w:ascii="Verdana" w:eastAsia="Calibri" w:hAnsi="Verdana" w:cs="Arial"/>
          <w:sz w:val="20"/>
          <w:szCs w:val="20"/>
          <w:lang w:val="es-MX"/>
        </w:rPr>
      </w:pPr>
    </w:p>
    <w:p w14:paraId="56CC1494" w14:textId="77777777" w:rsidR="00596DB0" w:rsidRPr="002817AD" w:rsidRDefault="00596DB0" w:rsidP="00596DB0">
      <w:pPr>
        <w:spacing w:after="0" w:line="240" w:lineRule="auto"/>
        <w:ind w:left="708"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Esta Sala ha entendido </w:t>
      </w:r>
      <w:proofErr w:type="gramStart"/>
      <w:r w:rsidRPr="002817AD">
        <w:rPr>
          <w:rFonts w:ascii="Verdana" w:eastAsia="Calibri" w:hAnsi="Verdana" w:cs="Arial"/>
          <w:sz w:val="20"/>
          <w:szCs w:val="20"/>
          <w:lang w:val="es-MX"/>
        </w:rPr>
        <w:t>que</w:t>
      </w:r>
      <w:proofErr w:type="gramEnd"/>
      <w:r w:rsidRPr="002817AD">
        <w:rPr>
          <w:rFonts w:ascii="Verdana" w:eastAsia="Calibri" w:hAnsi="Verdana" w:cs="Arial"/>
          <w:sz w:val="20"/>
          <w:szCs w:val="20"/>
          <w:lang w:val="es-MX"/>
        </w:rPr>
        <w:t xml:space="preserve"> para los efectos de la ley de garantías, y dada su finalidad, el enunciado ´contratación directa´ es sinónimo </w:t>
      </w:r>
      <w:bookmarkStart w:id="10" w:name="_Hlk75741738"/>
      <w:r w:rsidRPr="002817AD">
        <w:rPr>
          <w:rFonts w:ascii="Verdana" w:eastAsia="Calibri" w:hAnsi="Verdana" w:cs="Arial"/>
          <w:sz w:val="20"/>
          <w:szCs w:val="20"/>
          <w:lang w:val="es-MX"/>
        </w:rPr>
        <w:t xml:space="preserve">de cualquier sistema que no implique convocatoria pública y posibilidad de pluralidad de oferentes, </w:t>
      </w:r>
      <w:bookmarkEnd w:id="10"/>
      <w:r w:rsidRPr="002817AD">
        <w:rPr>
          <w:rFonts w:ascii="Verdana" w:eastAsia="Calibri" w:hAnsi="Verdana" w:cs="Arial"/>
          <w:sz w:val="20"/>
          <w:szCs w:val="20"/>
          <w:lang w:val="es-MX"/>
        </w:rPr>
        <w:t>y que, además, no necesariamente hace referencia al procedimiento especial regulado por la ley de contratación estatal, sino a cualquier otro que prescinda de un proceso de licitación pública o concurso</w:t>
      </w:r>
      <w:r w:rsidRPr="002817AD">
        <w:rPr>
          <w:rFonts w:ascii="Verdana" w:eastAsia="Times New Roman" w:hAnsi="Verdana" w:cs="Arial"/>
          <w:sz w:val="20"/>
          <w:szCs w:val="20"/>
          <w:vertAlign w:val="superscript"/>
          <w:lang w:val="es-MX"/>
        </w:rPr>
        <w:footnoteReference w:id="8"/>
      </w:r>
      <w:r w:rsidRPr="002817AD">
        <w:rPr>
          <w:rFonts w:ascii="Verdana" w:eastAsia="Times New Roman" w:hAnsi="Verdana" w:cs="Arial"/>
          <w:sz w:val="20"/>
          <w:szCs w:val="20"/>
          <w:vertAlign w:val="superscript"/>
          <w:lang w:val="es-MX"/>
        </w:rPr>
        <w:t>.</w:t>
      </w:r>
      <w:r w:rsidRPr="002817AD">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817AD">
        <w:rPr>
          <w:rFonts w:ascii="Verdana" w:eastAsia="Times New Roman" w:hAnsi="Verdana" w:cs="Arial"/>
          <w:sz w:val="20"/>
          <w:szCs w:val="20"/>
          <w:vertAlign w:val="superscript"/>
          <w:lang w:eastAsia="es-CO"/>
        </w:rPr>
        <w:footnoteReference w:id="9"/>
      </w:r>
      <w:r w:rsidRPr="002817AD">
        <w:rPr>
          <w:rFonts w:ascii="Verdana" w:eastAsia="Calibri" w:hAnsi="Verdana" w:cs="Arial"/>
          <w:sz w:val="20"/>
          <w:szCs w:val="20"/>
          <w:lang w:val="es-MX"/>
        </w:rPr>
        <w:t>”.</w:t>
      </w:r>
    </w:p>
    <w:p w14:paraId="6E3E43F6" w14:textId="77777777" w:rsidR="00596DB0" w:rsidRPr="00F02C5A" w:rsidRDefault="00596DB0" w:rsidP="00596DB0">
      <w:pPr>
        <w:shd w:val="clear" w:color="auto" w:fill="FFFFFF"/>
        <w:spacing w:after="0" w:line="276" w:lineRule="auto"/>
        <w:ind w:firstLine="709"/>
        <w:contextualSpacing/>
        <w:jc w:val="both"/>
        <w:rPr>
          <w:rFonts w:ascii="Verdana" w:eastAsia="Times New Roman" w:hAnsi="Verdana" w:cs="Arial"/>
          <w:lang w:eastAsia="x-none"/>
        </w:rPr>
      </w:pPr>
    </w:p>
    <w:p w14:paraId="65C2182B" w14:textId="77777777" w:rsidR="00596DB0" w:rsidRPr="00F02C5A" w:rsidRDefault="00596DB0" w:rsidP="00596DB0">
      <w:pPr>
        <w:spacing w:after="120" w:line="276" w:lineRule="auto"/>
        <w:ind w:firstLine="709"/>
        <w:jc w:val="both"/>
        <w:rPr>
          <w:rFonts w:ascii="Verdana" w:eastAsia="Times New Roman" w:hAnsi="Verdana" w:cs="Arial"/>
          <w:lang w:eastAsia="x-none"/>
        </w:rPr>
      </w:pPr>
      <w:bookmarkStart w:id="12"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2"/>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0"/>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1"/>
      </w:r>
      <w:r w:rsidRPr="00F02C5A">
        <w:rPr>
          <w:rFonts w:ascii="Verdana" w:eastAsia="Times New Roman" w:hAnsi="Verdana" w:cs="Arial"/>
          <w:lang w:eastAsia="x-none"/>
        </w:rPr>
        <w:t xml:space="preserve">. </w:t>
      </w:r>
    </w:p>
    <w:p w14:paraId="622627B9" w14:textId="77777777" w:rsidR="00596DB0" w:rsidRPr="00F02C5A" w:rsidRDefault="00596DB0" w:rsidP="00596DB0">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w:t>
      </w:r>
      <w:r w:rsidRPr="00F02C5A">
        <w:rPr>
          <w:rFonts w:ascii="Verdana" w:eastAsia="Times New Roman" w:hAnsi="Verdana" w:cs="Arial"/>
          <w:lang w:eastAsia="x-none"/>
        </w:rPr>
        <w:lastRenderedPageBreak/>
        <w:t>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2"/>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6CCED8F1" w14:textId="77777777" w:rsidR="00596DB0" w:rsidRPr="00F02C5A" w:rsidRDefault="00596DB0" w:rsidP="00596DB0">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13"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13"/>
      <w:r w:rsidRPr="00F02C5A">
        <w:rPr>
          <w:rFonts w:ascii="Verdana" w:eastAsia="Times New Roman" w:hAnsi="Verdana" w:cs="Arial"/>
          <w:vertAlign w:val="superscript"/>
          <w:lang w:eastAsia="x-none"/>
        </w:rPr>
        <w:footnoteReference w:id="13"/>
      </w:r>
      <w:r w:rsidRPr="00F02C5A">
        <w:rPr>
          <w:rFonts w:ascii="Verdana" w:eastAsia="Times New Roman" w:hAnsi="Verdana" w:cs="Arial"/>
          <w:lang w:eastAsia="x-none"/>
        </w:rPr>
        <w:t xml:space="preserve">. </w:t>
      </w:r>
    </w:p>
    <w:p w14:paraId="5665959A" w14:textId="77777777" w:rsidR="00596DB0" w:rsidRPr="00F02C5A" w:rsidRDefault="00596DB0" w:rsidP="00596DB0">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2291F1F" w14:textId="77777777" w:rsidR="00596DB0" w:rsidRPr="00F02C5A" w:rsidRDefault="00596DB0" w:rsidP="00596DB0">
      <w:pPr>
        <w:spacing w:after="120" w:line="276" w:lineRule="auto"/>
        <w:ind w:firstLine="709"/>
        <w:jc w:val="both"/>
        <w:rPr>
          <w:rFonts w:ascii="Verdana" w:eastAsia="Times New Roman" w:hAnsi="Verdana" w:cs="Arial"/>
          <w:lang w:val="es-MX" w:eastAsia="x-none"/>
        </w:rPr>
      </w:pPr>
      <w:bookmarkStart w:id="14" w:name="_Hlk78818796"/>
      <w:r w:rsidRPr="00F02C5A">
        <w:rPr>
          <w:rFonts w:ascii="Verdana" w:eastAsia="Times New Roman" w:hAnsi="Verdana" w:cs="Arial"/>
          <w:lang w:val="es-MX" w:eastAsia="x-none"/>
        </w:rPr>
        <w:t xml:space="preserve"> Así las cosas, </w:t>
      </w:r>
      <w:bookmarkStart w:id="15"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4"/>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14"/>
    <w:p w14:paraId="4E9BAA7F" w14:textId="77777777" w:rsidR="00596DB0" w:rsidRPr="00F02C5A" w:rsidRDefault="00596DB0" w:rsidP="00596DB0">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w:t>
      </w:r>
      <w:r w:rsidRPr="00F02C5A">
        <w:rPr>
          <w:rFonts w:ascii="Verdana" w:eastAsia="Times New Roman" w:hAnsi="Verdana" w:cs="Arial"/>
          <w:lang w:eastAsia="x-none"/>
        </w:rPr>
        <w:lastRenderedPageBreak/>
        <w:t>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4E8B9DB" w14:textId="77777777" w:rsidR="00596DB0" w:rsidRPr="00F02C5A" w:rsidRDefault="00596DB0" w:rsidP="00596DB0">
      <w:pPr>
        <w:spacing w:after="120" w:line="276" w:lineRule="auto"/>
        <w:ind w:firstLine="709"/>
        <w:jc w:val="both"/>
        <w:rPr>
          <w:rFonts w:ascii="Verdana" w:eastAsia="Times New Roman" w:hAnsi="Verdana" w:cs="Arial"/>
          <w:lang w:val="es-MX" w:eastAsia="x-none"/>
        </w:rPr>
      </w:pPr>
      <w:bookmarkStart w:id="16" w:name="_Hlk77237094"/>
      <w:bookmarkEnd w:id="15"/>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w:t>
      </w:r>
      <w:proofErr w:type="gramStart"/>
      <w:r w:rsidRPr="00F02C5A">
        <w:rPr>
          <w:rFonts w:ascii="Verdana" w:eastAsia="Times New Roman" w:hAnsi="Verdana" w:cs="Arial"/>
          <w:lang w:val="es-MX" w:eastAsia="es-CO"/>
        </w:rPr>
        <w:t>entrada en vigencia</w:t>
      </w:r>
      <w:proofErr w:type="gramEnd"/>
      <w:r w:rsidRPr="00F02C5A">
        <w:rPr>
          <w:rFonts w:ascii="Verdana" w:eastAsia="Times New Roman" w:hAnsi="Verdana" w:cs="Arial"/>
          <w:lang w:val="es-MX" w:eastAsia="es-CO"/>
        </w:rPr>
        <w:t xml:space="preserve">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6"/>
    </w:p>
    <w:p w14:paraId="2F2ED9BB" w14:textId="77777777" w:rsidR="00596DB0" w:rsidRPr="00F02C5A" w:rsidRDefault="00596DB0" w:rsidP="00596DB0">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7" w:name="_Hlk99577887"/>
      <w:bookmarkStart w:id="18"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7"/>
    </w:p>
    <w:bookmarkEnd w:id="18"/>
    <w:p w14:paraId="3363A63D" w14:textId="77777777" w:rsidR="00596DB0" w:rsidRPr="00D42A84" w:rsidRDefault="00596DB0" w:rsidP="00596DB0">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9" w:name="_Hlk74309042"/>
      <w:r w:rsidRPr="00F02C5A">
        <w:rPr>
          <w:rFonts w:ascii="Verdana" w:eastAsia="Times New Roman" w:hAnsi="Verdana" w:cs="Arial"/>
          <w:lang w:val="es-MX" w:eastAsia="x-none"/>
        </w:rPr>
        <w:t>que “</w:t>
      </w:r>
      <w:bookmarkEnd w:id="19"/>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20"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15"/>
      </w:r>
      <w:r w:rsidRPr="00F02C5A">
        <w:rPr>
          <w:rFonts w:ascii="Verdana" w:eastAsia="Times New Roman" w:hAnsi="Verdana" w:cs="Arial"/>
          <w:lang w:val="es-MX" w:eastAsia="x-none"/>
        </w:rPr>
        <w:t xml:space="preserve">. De ahí que la Corte haya hecho particular énfasis en que las excepciones a la restricción protegen diversos </w:t>
      </w:r>
      <w:r w:rsidRPr="00F02C5A">
        <w:rPr>
          <w:rFonts w:ascii="Verdana" w:eastAsia="Times New Roman" w:hAnsi="Verdana" w:cs="Arial"/>
          <w:lang w:val="es-MX" w:eastAsia="x-none"/>
        </w:rPr>
        <w:lastRenderedPageBreak/>
        <w:t xml:space="preserve">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20"/>
    </w:p>
    <w:p w14:paraId="10ED3AB2" w14:textId="77777777" w:rsidR="00596DB0" w:rsidRPr="00A90DCC" w:rsidRDefault="00596DB0" w:rsidP="00596DB0">
      <w:pPr>
        <w:spacing w:before="120" w:after="120" w:line="276" w:lineRule="auto"/>
        <w:jc w:val="both"/>
        <w:rPr>
          <w:rFonts w:ascii="Verdana" w:eastAsia="Calibri" w:hAnsi="Verdana" w:cs="Arial"/>
          <w:lang w:val="es-ES"/>
        </w:rPr>
      </w:pPr>
      <w:proofErr w:type="spellStart"/>
      <w:r>
        <w:rPr>
          <w:rFonts w:ascii="Verdana" w:eastAsia="Times New Roman" w:hAnsi="Verdana" w:cs="Arial"/>
          <w:bCs/>
          <w:lang w:eastAsia="es-CO"/>
        </w:rPr>
        <w:t>ii</w:t>
      </w:r>
      <w:proofErr w:type="spellEnd"/>
      <w:r>
        <w:rPr>
          <w:rFonts w:ascii="Verdana" w:eastAsia="Times New Roman" w:hAnsi="Verdana" w:cs="Arial"/>
          <w:bCs/>
          <w:lang w:eastAsia="es-CO"/>
        </w:rPr>
        <w:t xml:space="preserve">. Ahora bien, para dar respuesta al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de la Ley 996 de 2005.</w:t>
      </w:r>
      <w:r w:rsidRPr="00377ED6">
        <w:rPr>
          <w:rFonts w:ascii="Verdana" w:eastAsia="Calibri" w:hAnsi="Verdana" w:cs="Arial"/>
          <w:lang w:val="es-ES"/>
        </w:rPr>
        <w:t xml:space="preserve"> </w:t>
      </w:r>
    </w:p>
    <w:p w14:paraId="77F16B8B" w14:textId="77777777" w:rsidR="00596DB0" w:rsidRPr="00377ED6" w:rsidRDefault="00596DB0" w:rsidP="00596DB0">
      <w:pPr>
        <w:spacing w:before="120" w:after="120" w:line="276" w:lineRule="auto"/>
        <w:ind w:firstLine="709"/>
        <w:jc w:val="both"/>
        <w:rPr>
          <w:rFonts w:ascii="Verdana" w:eastAsia="Calibri" w:hAnsi="Verdana" w:cs="Arial"/>
          <w:lang w:val="es-ES"/>
        </w:rPr>
      </w:pPr>
      <w:bookmarkStart w:id="21"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21"/>
    </w:p>
    <w:p w14:paraId="03B7AC22" w14:textId="77777777" w:rsidR="00596DB0" w:rsidRDefault="00596DB0" w:rsidP="00596DB0">
      <w:pPr>
        <w:spacing w:before="120" w:after="120" w:line="276" w:lineRule="auto"/>
        <w:ind w:firstLine="709"/>
        <w:jc w:val="both"/>
        <w:rPr>
          <w:rFonts w:ascii="Verdana" w:eastAsia="Calibri" w:hAnsi="Verdana" w:cs="Arial"/>
          <w:lang w:val="es-ES"/>
        </w:rPr>
      </w:pPr>
      <w:bookmarkStart w:id="22"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385358E9" w14:textId="77777777" w:rsidR="00596DB0" w:rsidRDefault="00596DB0" w:rsidP="00596DB0">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7086C433" w14:textId="77777777" w:rsidR="00596DB0" w:rsidRDefault="00596DB0" w:rsidP="00596DB0">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lastRenderedPageBreak/>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5F8BC1B5">
        <w:rPr>
          <w:rFonts w:ascii="Verdana" w:eastAsia="Calibri" w:hAnsi="Verdana" w:cs="Arial"/>
          <w:lang w:val="es-ES"/>
        </w:rPr>
        <w:t>ii</w:t>
      </w:r>
      <w:proofErr w:type="spellEnd"/>
      <w:r w:rsidRPr="5F8BC1B5">
        <w:rPr>
          <w:rFonts w:ascii="Verdana" w:eastAsia="Calibri" w:hAnsi="Verdana" w:cs="Arial"/>
          <w:lang w:val="es-ES"/>
        </w:rPr>
        <w:t>) definición de un plazo razonable para que las entidades privadas sin ánimo de lucro de reconocida idoneidad presenten a la Entidad Estatal sus ofertas y los documentos que acrediten su idoneidad, y (</w:t>
      </w:r>
      <w:proofErr w:type="spellStart"/>
      <w:r w:rsidRPr="5F8BC1B5">
        <w:rPr>
          <w:rFonts w:ascii="Verdana" w:eastAsia="Calibri" w:hAnsi="Verdana" w:cs="Arial"/>
          <w:lang w:val="es-ES"/>
        </w:rPr>
        <w:t>iii</w:t>
      </w:r>
      <w:proofErr w:type="spellEnd"/>
      <w:r w:rsidRPr="5F8BC1B5">
        <w:rPr>
          <w:rFonts w:ascii="Verdana" w:eastAsia="Calibri" w:hAnsi="Verdana" w:cs="Arial"/>
          <w:lang w:val="es-ES"/>
        </w:rPr>
        <w:t xml:space="preserve">) evaluación de las ofertas por parte de la Entidad Estatal teniendo en cuenta los criterios definidos para el efecto. </w:t>
      </w:r>
    </w:p>
    <w:p w14:paraId="7D21C565" w14:textId="77777777" w:rsidR="00596DB0" w:rsidRDefault="00596DB0" w:rsidP="00596DB0">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22"/>
    <w:p w14:paraId="139EB10D" w14:textId="77777777" w:rsidR="00596DB0" w:rsidRPr="00377ED6" w:rsidRDefault="00596DB0" w:rsidP="00596DB0">
      <w:pPr>
        <w:spacing w:before="120"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16"/>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 xml:space="preserve">El convenio de asociación no es conmutativo, </w:t>
      </w:r>
      <w:proofErr w:type="gramStart"/>
      <w:r w:rsidRPr="00377ED6">
        <w:rPr>
          <w:rFonts w:ascii="Verdana" w:eastAsia="Calibri" w:hAnsi="Verdana" w:cs="Arial"/>
          <w:bCs/>
          <w:lang w:val="es-ES_tradnl"/>
        </w:rPr>
        <w:t>y</w:t>
      </w:r>
      <w:proofErr w:type="gramEnd"/>
      <w:r w:rsidRPr="00377ED6">
        <w:rPr>
          <w:rFonts w:ascii="Verdana" w:eastAsia="Calibri" w:hAnsi="Verdana" w:cs="Arial"/>
          <w:bCs/>
          <w:lang w:val="es-ES_tradnl"/>
        </w:rPr>
        <w:t xml:space="preserve"> por tanto, la entidad no instruye al contratista para desarrollar los programas o actividades previstas, sino que se asocia con él para el cumplimiento de objetivos comunes</w:t>
      </w:r>
      <w:r w:rsidRPr="00377ED6">
        <w:rPr>
          <w:rFonts w:ascii="Verdana" w:hAnsi="Verdana" w:cs="Arial"/>
          <w:vertAlign w:val="superscript"/>
        </w:rPr>
        <w:footnoteReference w:id="17"/>
      </w:r>
      <w:r w:rsidRPr="00377ED6">
        <w:rPr>
          <w:rFonts w:ascii="Verdana" w:eastAsia="Calibri" w:hAnsi="Verdana" w:cs="Arial"/>
          <w:bCs/>
          <w:lang w:val="es-ES_tradnl"/>
        </w:rPr>
        <w:t>.</w:t>
      </w:r>
    </w:p>
    <w:p w14:paraId="49FAEEDA" w14:textId="77777777" w:rsidR="00596DB0" w:rsidRPr="00377ED6" w:rsidRDefault="00596DB0" w:rsidP="00596DB0">
      <w:pPr>
        <w:spacing w:before="120"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xml:space="preserve">. Sin embargo, como el artículo 96 de la </w:t>
      </w:r>
      <w:r w:rsidRPr="00377ED6">
        <w:rPr>
          <w:rFonts w:ascii="Verdana" w:eastAsia="Calibri" w:hAnsi="Verdana" w:cs="Arial"/>
          <w:bCs/>
        </w:rPr>
        <w:lastRenderedPageBreak/>
        <w:t>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3AAA04B3" w14:textId="77777777" w:rsidR="00596DB0" w:rsidRPr="00377ED6" w:rsidRDefault="00596DB0" w:rsidP="00596DB0">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27832943" w14:textId="77777777" w:rsidR="00596DB0" w:rsidRPr="00377ED6" w:rsidRDefault="00596DB0" w:rsidP="00596DB0">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son esencialmente distintos a los contratos para la adquisición y 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18"/>
      </w:r>
      <w:r w:rsidRPr="00377ED6">
        <w:rPr>
          <w:rFonts w:ascii="Verdana" w:hAnsi="Verdana" w:cs="Arial"/>
          <w:color w:val="000000" w:themeColor="text1"/>
          <w:lang w:val="es-MX"/>
        </w:rPr>
        <w:t>. Así lo consideró la Sala de Consulta y Servicio Civil del Consejo de Estado:</w:t>
      </w:r>
    </w:p>
    <w:p w14:paraId="6DD2A7D5" w14:textId="77777777" w:rsidR="00596DB0" w:rsidRPr="00377ED6" w:rsidRDefault="00596DB0" w:rsidP="00596DB0">
      <w:pPr>
        <w:spacing w:after="0" w:line="276" w:lineRule="auto"/>
        <w:jc w:val="both"/>
        <w:rPr>
          <w:rFonts w:ascii="Verdana" w:hAnsi="Verdana" w:cs="Arial"/>
          <w:color w:val="000000" w:themeColor="text1"/>
          <w:lang w:val="es-MX"/>
        </w:rPr>
      </w:pPr>
    </w:p>
    <w:p w14:paraId="457D94EF" w14:textId="77777777" w:rsidR="00596DB0" w:rsidRPr="003E7CD1" w:rsidRDefault="00596DB0" w:rsidP="00596DB0">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3E7CD1">
        <w:rPr>
          <w:rFonts w:ascii="Verdana" w:eastAsia="Calibri" w:hAnsi="Verdana" w:cs="Arial"/>
          <w:color w:val="000000" w:themeColor="text1"/>
          <w:sz w:val="20"/>
          <w:szCs w:val="20"/>
        </w:rPr>
        <w:t>y</w:t>
      </w:r>
      <w:proofErr w:type="gramEnd"/>
      <w:r w:rsidRPr="003E7CD1">
        <w:rPr>
          <w:rFonts w:ascii="Verdana" w:eastAsia="Calibri" w:hAnsi="Verdana" w:cs="Arial"/>
          <w:color w:val="000000" w:themeColor="text1"/>
          <w:sz w:val="20"/>
          <w:szCs w:val="20"/>
        </w:rPr>
        <w:t xml:space="preserve"> por lo tanto, se tipifican dentro de cualquiera de las modalidades de contratación de la ley 80 de 1.993, debiendo sujetarse a los procedimientos allí previstos, en especial los de escogencia del contratista.</w:t>
      </w:r>
    </w:p>
    <w:p w14:paraId="7DC766B8" w14:textId="77777777" w:rsidR="00596DB0" w:rsidRPr="003E7CD1" w:rsidRDefault="00596DB0" w:rsidP="00596DB0">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19"/>
      </w:r>
      <w:r w:rsidRPr="003E7CD1">
        <w:rPr>
          <w:rFonts w:ascii="Verdana" w:eastAsia="Calibri" w:hAnsi="Verdana" w:cs="Arial"/>
          <w:color w:val="000000" w:themeColor="text1"/>
          <w:sz w:val="20"/>
          <w:szCs w:val="20"/>
        </w:rPr>
        <w:t>.</w:t>
      </w:r>
    </w:p>
    <w:p w14:paraId="65BC8F23" w14:textId="77777777" w:rsidR="00596DB0" w:rsidRPr="00377ED6" w:rsidRDefault="00596DB0" w:rsidP="00596DB0">
      <w:pPr>
        <w:spacing w:after="0" w:line="276" w:lineRule="auto"/>
        <w:ind w:firstLine="708"/>
        <w:jc w:val="both"/>
        <w:rPr>
          <w:rFonts w:ascii="Verdana" w:eastAsia="Calibri" w:hAnsi="Verdana" w:cs="Arial"/>
          <w:color w:val="000000" w:themeColor="text1"/>
        </w:rPr>
      </w:pPr>
      <w:bookmarkStart w:id="23" w:name="_Hlk95756200"/>
    </w:p>
    <w:p w14:paraId="0DCC19F2" w14:textId="77777777" w:rsidR="00596DB0" w:rsidRPr="00377ED6" w:rsidRDefault="00596DB0" w:rsidP="00596DB0">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23"/>
      <w:r w:rsidRPr="00377ED6">
        <w:rPr>
          <w:rFonts w:ascii="Verdana" w:eastAsia="Calibri" w:hAnsi="Verdana" w:cs="Arial"/>
          <w:color w:val="000000" w:themeColor="text1"/>
        </w:rPr>
        <w:t>Así lo reconoció la Corte Constitucional en la sentencia C-287 del 18 de abril de 2012, en la que sostuvo lo siguiente:</w:t>
      </w:r>
    </w:p>
    <w:p w14:paraId="6A0BFF6D" w14:textId="77777777" w:rsidR="00596DB0" w:rsidRPr="00377ED6" w:rsidRDefault="00596DB0" w:rsidP="00596DB0">
      <w:pPr>
        <w:spacing w:after="0" w:line="240" w:lineRule="auto"/>
        <w:ind w:firstLine="709"/>
        <w:jc w:val="both"/>
        <w:rPr>
          <w:rFonts w:ascii="Verdana" w:eastAsia="Calibri" w:hAnsi="Verdana" w:cs="Arial"/>
          <w:color w:val="000000" w:themeColor="text1"/>
        </w:rPr>
      </w:pPr>
    </w:p>
    <w:p w14:paraId="6952E05F" w14:textId="77777777" w:rsidR="00596DB0" w:rsidRPr="003E7CD1" w:rsidRDefault="00596DB0" w:rsidP="00596DB0">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2B768C4E" w14:textId="77777777" w:rsidR="00596DB0" w:rsidRPr="003E7CD1" w:rsidRDefault="00596DB0" w:rsidP="00596DB0">
      <w:pPr>
        <w:spacing w:after="0"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 xml:space="preserve">Sin embargo, el hecho que no persigan una finalidad </w:t>
      </w:r>
      <w:proofErr w:type="gramStart"/>
      <w:r w:rsidRPr="003E7CD1">
        <w:rPr>
          <w:rFonts w:ascii="Verdana" w:eastAsia="Calibri" w:hAnsi="Verdana" w:cs="Arial"/>
          <w:i/>
          <w:iCs/>
          <w:color w:val="000000" w:themeColor="text1"/>
          <w:sz w:val="20"/>
          <w:szCs w:val="20"/>
        </w:rPr>
        <w:t>lucrativa,</w:t>
      </w:r>
      <w:proofErr w:type="gramEnd"/>
      <w:r w:rsidRPr="003E7CD1">
        <w:rPr>
          <w:rFonts w:ascii="Verdana" w:eastAsia="Calibri" w:hAnsi="Verdana" w:cs="Arial"/>
          <w:i/>
          <w:iCs/>
          <w:color w:val="000000" w:themeColor="text1"/>
          <w:sz w:val="20"/>
          <w:szCs w:val="20"/>
        </w:rPr>
        <w:t xml:space="preserve"> no significa que no desarrollen actividades que generen utilidades, lo que pasa es </w:t>
      </w:r>
      <w:proofErr w:type="gramStart"/>
      <w:r w:rsidRPr="003E7CD1">
        <w:rPr>
          <w:rFonts w:ascii="Verdana" w:eastAsia="Calibri" w:hAnsi="Verdana" w:cs="Arial"/>
          <w:i/>
          <w:iCs/>
          <w:color w:val="000000" w:themeColor="text1"/>
          <w:sz w:val="20"/>
          <w:szCs w:val="20"/>
        </w:rPr>
        <w:t>que</w:t>
      </w:r>
      <w:proofErr w:type="gramEnd"/>
      <w:r w:rsidRPr="003E7CD1">
        <w:rPr>
          <w:rFonts w:ascii="Verdana" w:eastAsia="Calibri" w:hAnsi="Verdana" w:cs="Arial"/>
          <w:i/>
          <w:iCs/>
          <w:color w:val="000000" w:themeColor="text1"/>
          <w:sz w:val="20"/>
          <w:szCs w:val="20"/>
        </w:rPr>
        <w:t xml:space="preserve"> a diferencia de las sociedades, el lucro o ganancia obtenida no se reparte entre sus </w:t>
      </w:r>
      <w:proofErr w:type="gramStart"/>
      <w:r w:rsidRPr="003E7CD1">
        <w:rPr>
          <w:rFonts w:ascii="Verdana" w:eastAsia="Calibri" w:hAnsi="Verdana" w:cs="Arial"/>
          <w:i/>
          <w:iCs/>
          <w:color w:val="000000" w:themeColor="text1"/>
          <w:sz w:val="20"/>
          <w:szCs w:val="20"/>
        </w:rPr>
        <w:t>miembros</w:t>
      </w:r>
      <w:proofErr w:type="gramEnd"/>
      <w:r w:rsidRPr="003E7CD1">
        <w:rPr>
          <w:rFonts w:ascii="Verdana" w:eastAsia="Calibri" w:hAnsi="Verdana" w:cs="Arial"/>
          <w:i/>
          <w:iCs/>
          <w:color w:val="000000" w:themeColor="text1"/>
          <w:sz w:val="20"/>
          <w:szCs w:val="20"/>
        </w:rPr>
        <w:t xml:space="preserve"> sino que se integra al patrimonio de la asociación para la obtención del fin deseado</w:t>
      </w:r>
      <w:r w:rsidRPr="003E7CD1">
        <w:rPr>
          <w:rFonts w:ascii="Verdana" w:eastAsia="Calibri" w:hAnsi="Verdana" w:cs="Arial"/>
          <w:color w:val="000000" w:themeColor="text1"/>
          <w:sz w:val="20"/>
          <w:szCs w:val="20"/>
        </w:rPr>
        <w:t xml:space="preserve">. Así, el elemento característico de las corporaciones o asociaciones sin ánimo de lucro radica, precisamente, en </w:t>
      </w:r>
      <w:r w:rsidRPr="003E7CD1">
        <w:rPr>
          <w:rFonts w:ascii="Verdana" w:eastAsia="Calibri" w:hAnsi="Verdana" w:cs="Arial"/>
          <w:color w:val="000000" w:themeColor="text1"/>
          <w:sz w:val="20"/>
          <w:szCs w:val="20"/>
        </w:rPr>
        <w:lastRenderedPageBreak/>
        <w:t xml:space="preserve">la determinación de sus miembros de desarrollar una actividad de interés general sin esperar a cambio repartición de utilidades en proporción a su aporte, ni la recuperación </w:t>
      </w:r>
      <w:proofErr w:type="gramStart"/>
      <w:r w:rsidRPr="003E7CD1">
        <w:rPr>
          <w:rFonts w:ascii="Verdana" w:eastAsia="Calibri" w:hAnsi="Verdana" w:cs="Arial"/>
          <w:color w:val="000000" w:themeColor="text1"/>
          <w:sz w:val="20"/>
          <w:szCs w:val="20"/>
        </w:rPr>
        <w:t>del mismo</w:t>
      </w:r>
      <w:proofErr w:type="gramEnd"/>
      <w:r w:rsidRPr="003E7CD1">
        <w:rPr>
          <w:rFonts w:ascii="Verdana" w:eastAsia="Calibri" w:hAnsi="Verdana" w:cs="Arial"/>
          <w:color w:val="000000" w:themeColor="text1"/>
          <w:sz w:val="20"/>
          <w:szCs w:val="20"/>
        </w:rPr>
        <w:t xml:space="preserve"> en el momento de su disolución o liquidación”. (Cursivas propias)</w:t>
      </w:r>
    </w:p>
    <w:p w14:paraId="7DF16679" w14:textId="77777777" w:rsidR="00596DB0" w:rsidRPr="00377ED6" w:rsidRDefault="00596DB0" w:rsidP="00596DB0">
      <w:pPr>
        <w:spacing w:after="0" w:line="276" w:lineRule="auto"/>
        <w:ind w:firstLine="709"/>
        <w:jc w:val="both"/>
        <w:rPr>
          <w:rFonts w:ascii="Verdana" w:eastAsia="Calibri" w:hAnsi="Verdana" w:cs="Arial"/>
          <w:color w:val="000000" w:themeColor="text1"/>
        </w:rPr>
      </w:pPr>
    </w:p>
    <w:p w14:paraId="30F51D81" w14:textId="77777777" w:rsidR="00596DB0" w:rsidRPr="00377ED6" w:rsidRDefault="00596DB0" w:rsidP="00596DB0">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4679A6EB" w14:textId="77777777" w:rsidR="00596DB0" w:rsidRPr="00377ED6" w:rsidRDefault="00596DB0" w:rsidP="00596DB0">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377ED6">
        <w:rPr>
          <w:rFonts w:ascii="Verdana" w:hAnsi="Verdana" w:cs="Arial"/>
          <w:color w:val="000000" w:themeColor="text1"/>
        </w:rPr>
        <w:t>ii</w:t>
      </w:r>
      <w:proofErr w:type="spellEnd"/>
      <w:r w:rsidRPr="00377ED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el objeto del contrato debe estar acorde con el plan nacional o seccional de desarrollo; </w:t>
      </w:r>
      <w:proofErr w:type="spellStart"/>
      <w:r w:rsidRPr="00377ED6">
        <w:rPr>
          <w:rFonts w:ascii="Verdana" w:hAnsi="Verdana" w:cs="Arial"/>
          <w:color w:val="000000" w:themeColor="text1"/>
        </w:rPr>
        <w:t>iv</w:t>
      </w:r>
      <w:proofErr w:type="spellEnd"/>
      <w:r w:rsidRPr="00377ED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44056308" w14:textId="77777777" w:rsidR="00596DB0" w:rsidRDefault="00596DB0" w:rsidP="00596DB0">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rPr>
        <w:lastRenderedPageBreak/>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20"/>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1DB505B2" w14:textId="77777777" w:rsidR="00596DB0" w:rsidRDefault="00596DB0" w:rsidP="00596DB0">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w:t>
      </w:r>
    </w:p>
    <w:p w14:paraId="44A844B2" w14:textId="77777777" w:rsidR="00596DB0" w:rsidRDefault="00596DB0" w:rsidP="00596DB0">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r w:rsidRPr="697BF333">
        <w:rPr>
          <w:rFonts w:ascii="Verdana" w:eastAsia="Calibri" w:hAnsi="Verdana" w:cs="Arial"/>
          <w:lang w:val="es-ES"/>
        </w:rPr>
        <w:t xml:space="preserve"> </w:t>
      </w:r>
    </w:p>
    <w:p w14:paraId="06604200" w14:textId="77777777" w:rsidR="00596DB0" w:rsidRDefault="00596DB0" w:rsidP="00596DB0">
      <w:pPr>
        <w:spacing w:after="0" w:line="276" w:lineRule="auto"/>
        <w:ind w:firstLine="709"/>
        <w:jc w:val="both"/>
        <w:rPr>
          <w:rFonts w:ascii="Verdana" w:eastAsia="Calibri" w:hAnsi="Verdana" w:cs="Arial"/>
          <w:color w:val="000000" w:themeColor="text1"/>
        </w:rPr>
      </w:pPr>
      <w:r w:rsidRPr="005E4C47">
        <w:rPr>
          <w:rFonts w:ascii="Verdana" w:eastAsia="Calibri" w:hAnsi="Verdana" w:cs="Arial"/>
          <w:color w:val="000000" w:themeColor="text1"/>
        </w:rPr>
        <w:t xml:space="preserve">Por último, al tratarse de un análisis que debe realizarse a un asunto particular y concreto, esta Agencia no puede definir un criterio universal y </w:t>
      </w:r>
      <w:r w:rsidRPr="005E4C47">
        <w:rPr>
          <w:rFonts w:ascii="Verdana" w:eastAsia="Calibri" w:hAnsi="Verdana" w:cs="Arial"/>
          <w:color w:val="000000" w:themeColor="text1"/>
        </w:rPr>
        <w:lastRenderedPageBreak/>
        <w:t xml:space="preserve">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35D0AB9A" w14:textId="77777777" w:rsidR="00596DB0" w:rsidRPr="00D90EA6" w:rsidRDefault="00596DB0" w:rsidP="00596DB0">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2154163A" w14:textId="77777777" w:rsidR="00596DB0" w:rsidRDefault="00596DB0" w:rsidP="00596DB0">
      <w:pPr>
        <w:tabs>
          <w:tab w:val="left" w:pos="142"/>
          <w:tab w:val="left" w:pos="284"/>
        </w:tabs>
        <w:spacing w:after="0" w:line="240" w:lineRule="auto"/>
        <w:rPr>
          <w:rFonts w:ascii="Verdana" w:eastAsia="Century Gothic" w:hAnsi="Verdana" w:cs="Century Gothic"/>
          <w:b/>
          <w:bCs/>
        </w:rPr>
      </w:pPr>
      <w:bookmarkStart w:id="24" w:name="_Hlk204854194"/>
      <w:r w:rsidRPr="00FF007A">
        <w:rPr>
          <w:rFonts w:ascii="Verdana" w:eastAsia="Century Gothic" w:hAnsi="Verdana" w:cs="Century Gothic"/>
          <w:b/>
          <w:bCs/>
        </w:rPr>
        <w:t>4. Referencias normativas:</w:t>
      </w:r>
    </w:p>
    <w:p w14:paraId="31E57C66" w14:textId="77777777" w:rsidR="00596DB0" w:rsidRPr="00FF007A" w:rsidRDefault="00596DB0" w:rsidP="00596DB0">
      <w:pPr>
        <w:tabs>
          <w:tab w:val="left" w:pos="142"/>
          <w:tab w:val="left" w:pos="284"/>
        </w:tabs>
        <w:spacing w:after="0" w:line="240" w:lineRule="auto"/>
        <w:rPr>
          <w:rFonts w:ascii="Verdana" w:eastAsia="Century Gothic" w:hAnsi="Verdana" w:cs="Century Gothic"/>
          <w:b/>
          <w:bCs/>
        </w:rPr>
      </w:pPr>
    </w:p>
    <w:bookmarkEnd w:id="24"/>
    <w:p w14:paraId="4BE219EA" w14:textId="77777777" w:rsidR="00596DB0" w:rsidRPr="00FF007A" w:rsidRDefault="00596DB0" w:rsidP="00596DB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6DB0" w:rsidRPr="00FF007A" w14:paraId="5BD20E43" w14:textId="77777777" w:rsidTr="00BE3615">
        <w:trPr>
          <w:trHeight w:val="870"/>
          <w:jc w:val="center"/>
        </w:trPr>
        <w:tc>
          <w:tcPr>
            <w:tcW w:w="8647" w:type="dxa"/>
          </w:tcPr>
          <w:p w14:paraId="3C08FD13"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355. </w:t>
            </w:r>
          </w:p>
          <w:p w14:paraId="3FE19E4A"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996 de 2005. Artículo 33. </w:t>
            </w:r>
          </w:p>
          <w:p w14:paraId="4D82554C"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1C0F2B57" w14:textId="77777777" w:rsidR="00596DB0" w:rsidRPr="00CB71FC" w:rsidRDefault="00596DB0" w:rsidP="00596DB0">
            <w:pPr>
              <w:pStyle w:val="Prrafodelista"/>
              <w:numPr>
                <w:ilvl w:val="0"/>
                <w:numId w:val="17"/>
              </w:numPr>
              <w:spacing w:line="276" w:lineRule="auto"/>
              <w:jc w:val="both"/>
              <w:rPr>
                <w:rFonts w:ascii="Verdana" w:eastAsia="Arial MT" w:hAnsi="Verdana" w:cs="Arial"/>
                <w:lang w:val="es-CO" w:eastAsia="es-ES" w:bidi="es-ES"/>
              </w:rPr>
            </w:pPr>
            <w:r w:rsidRPr="5F8BC1B5">
              <w:rPr>
                <w:rFonts w:ascii="Verdana" w:eastAsia="Calibri" w:hAnsi="Verdana" w:cs="Arial"/>
              </w:rPr>
              <w:t xml:space="preserve">Decreto </w:t>
            </w:r>
            <w:r>
              <w:rPr>
                <w:rFonts w:ascii="Verdana" w:eastAsia="Calibri" w:hAnsi="Verdana" w:cs="Arial"/>
              </w:rPr>
              <w:t>0</w:t>
            </w:r>
            <w:r w:rsidRPr="5F8BC1B5">
              <w:rPr>
                <w:rFonts w:ascii="Verdana" w:eastAsia="Calibri" w:hAnsi="Verdana" w:cs="Arial"/>
              </w:rPr>
              <w:t>92 de 2017</w:t>
            </w:r>
            <w:r>
              <w:rPr>
                <w:rFonts w:ascii="Verdana" w:eastAsia="Calibri" w:hAnsi="Verdana" w:cs="Arial"/>
              </w:rPr>
              <w:t xml:space="preserve">. </w:t>
            </w:r>
          </w:p>
          <w:p w14:paraId="0CFE5D35"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Pr>
                <w:rFonts w:ascii="Verdana" w:eastAsia="Calibri" w:hAnsi="Verdana" w:cs="Arial"/>
              </w:rPr>
              <w:t xml:space="preserve">Ley 489 de 1998. Artículo 96. </w:t>
            </w:r>
          </w:p>
          <w:p w14:paraId="154A815D"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Consejo de Estado. Sala de lo Contencioso Administrativo. Sección Primera. Sentencia de 3 de marzo de 2005. Radicado: 25001-23-15-000-2004-00823-01 (PI). C.P: Camilo Arciniegas Andrade. </w:t>
            </w:r>
          </w:p>
          <w:p w14:paraId="66518EB8"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22 de enero de 2002. Radicado: 2001-0148-01</w:t>
            </w:r>
            <w:r>
              <w:rPr>
                <w:rFonts w:ascii="Verdana" w:eastAsia="Arial MT" w:hAnsi="Verdana" w:cs="Arial"/>
                <w:lang w:val="es-CO" w:eastAsia="es-ES" w:bidi="es-ES"/>
              </w:rPr>
              <w:t>.</w:t>
            </w:r>
          </w:p>
          <w:p w14:paraId="61DD230D"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20 de noviembre de 2001. Radicado: 2001-0130-01(PI).</w:t>
            </w:r>
          </w:p>
          <w:p w14:paraId="7B968D60"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Consulta y Servicio Civil de fecha 24 de julio de 2013, radicado 2166, C</w:t>
            </w:r>
            <w:r>
              <w:rPr>
                <w:rFonts w:ascii="Verdana" w:eastAsia="Arial MT" w:hAnsi="Verdana" w:cs="Arial"/>
                <w:lang w:val="es-CO" w:eastAsia="es-ES" w:bidi="es-ES"/>
              </w:rPr>
              <w:t>.P:</w:t>
            </w:r>
            <w:r w:rsidRPr="00FA68B6">
              <w:rPr>
                <w:rFonts w:ascii="Verdana" w:eastAsia="Arial MT" w:hAnsi="Verdana" w:cs="Arial"/>
                <w:lang w:val="es-CO" w:eastAsia="es-ES" w:bidi="es-ES"/>
              </w:rPr>
              <w:t xml:space="preserve"> Álvaro </w:t>
            </w:r>
            <w:proofErr w:type="spellStart"/>
            <w:r w:rsidRPr="00FA68B6">
              <w:rPr>
                <w:rFonts w:ascii="Verdana" w:eastAsia="Arial MT" w:hAnsi="Verdana" w:cs="Arial"/>
                <w:lang w:val="es-CO" w:eastAsia="es-ES" w:bidi="es-ES"/>
              </w:rPr>
              <w:t>Namén</w:t>
            </w:r>
            <w:proofErr w:type="spellEnd"/>
            <w:r w:rsidRPr="00FA68B6">
              <w:rPr>
                <w:rFonts w:ascii="Verdana" w:eastAsia="Arial MT" w:hAnsi="Verdana" w:cs="Arial"/>
                <w:lang w:val="es-CO" w:eastAsia="es-ES" w:bidi="es-ES"/>
              </w:rPr>
              <w:t xml:space="preserve"> Vargas.  </w:t>
            </w:r>
          </w:p>
          <w:p w14:paraId="59BA8C0B"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 xml:space="preserve">Consejo de Estado. Sala de Consulta y Servicio Civil. Concepto del 2 de septiembre de 2013. Radicación número: 11001-03-06-000-2013-00412-00 (2168). Consejero Ponente: Álvaro </w:t>
            </w:r>
            <w:proofErr w:type="spellStart"/>
            <w:r w:rsidRPr="00CB71FC">
              <w:rPr>
                <w:rFonts w:ascii="Verdana" w:eastAsia="Arial MT" w:hAnsi="Verdana" w:cs="Arial"/>
                <w:lang w:val="es-CO" w:eastAsia="es-ES" w:bidi="es-ES"/>
              </w:rPr>
              <w:t>Namén</w:t>
            </w:r>
            <w:proofErr w:type="spellEnd"/>
            <w:r w:rsidRPr="00CB71FC">
              <w:rPr>
                <w:rFonts w:ascii="Verdana" w:eastAsia="Arial MT" w:hAnsi="Verdana" w:cs="Arial"/>
                <w:lang w:val="es-CO" w:eastAsia="es-ES" w:bidi="es-ES"/>
              </w:rPr>
              <w:t xml:space="preserve"> Vargas.</w:t>
            </w:r>
          </w:p>
          <w:p w14:paraId="649B58B0"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 xml:space="preserve">Consejo de Estado. Sala de Consulta y Servicio Civil, Concepto de 8 de mayo de 2018. Radicación Número: 11001-03-06-000-2018-00095-00(2382). Consejero Ponente: Álvaro </w:t>
            </w:r>
            <w:proofErr w:type="spellStart"/>
            <w:r w:rsidRPr="00CB71FC">
              <w:rPr>
                <w:rFonts w:ascii="Verdana" w:eastAsia="Arial MT" w:hAnsi="Verdana" w:cs="Arial"/>
                <w:lang w:val="es-CO" w:eastAsia="es-ES" w:bidi="es-ES"/>
              </w:rPr>
              <w:t>Namén</w:t>
            </w:r>
            <w:proofErr w:type="spellEnd"/>
            <w:r w:rsidRPr="00CB71FC">
              <w:rPr>
                <w:rFonts w:ascii="Verdana" w:eastAsia="Arial MT" w:hAnsi="Verdana" w:cs="Arial"/>
                <w:lang w:val="es-CO" w:eastAsia="es-ES" w:bidi="es-ES"/>
              </w:rPr>
              <w:t xml:space="preserve"> Vargas.</w:t>
            </w:r>
          </w:p>
          <w:p w14:paraId="36A637D9" w14:textId="77777777" w:rsidR="00596DB0" w:rsidRDefault="00596DB0" w:rsidP="00596DB0">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Consejo de Estado. Sala de Consulta y Servicio Civil. </w:t>
            </w:r>
            <w:r w:rsidRPr="00CB71FC">
              <w:rPr>
                <w:rFonts w:ascii="Verdana" w:eastAsia="Arial MT" w:hAnsi="Verdana" w:cs="Arial"/>
                <w:lang w:val="es-CO" w:eastAsia="es-ES" w:bidi="es-ES"/>
              </w:rPr>
              <w:t>Concepto del 24 de febrero de 2005. Radicado:1626, C.P. Gloria Duque Hernández.</w:t>
            </w:r>
          </w:p>
          <w:p w14:paraId="21B9467E" w14:textId="77777777" w:rsidR="00596DB0" w:rsidRPr="00A877DF" w:rsidRDefault="00596DB0" w:rsidP="00596DB0">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C- 1153 de 2005, M.P. Marco Gerardo Monroy Cabra.</w:t>
            </w:r>
          </w:p>
        </w:tc>
      </w:tr>
    </w:tbl>
    <w:p w14:paraId="247A0CEA" w14:textId="77777777" w:rsidR="00596DB0" w:rsidRPr="00FF007A" w:rsidRDefault="00596DB0" w:rsidP="00596DB0">
      <w:pPr>
        <w:widowControl w:val="0"/>
        <w:autoSpaceDE w:val="0"/>
        <w:autoSpaceDN w:val="0"/>
        <w:spacing w:after="0" w:line="276" w:lineRule="auto"/>
        <w:jc w:val="both"/>
        <w:rPr>
          <w:rFonts w:ascii="Verdana" w:hAnsi="Verdana" w:cs="Arial"/>
        </w:rPr>
      </w:pPr>
    </w:p>
    <w:p w14:paraId="794E280C" w14:textId="77777777" w:rsidR="00596DB0" w:rsidRPr="00FF007A" w:rsidRDefault="00596DB0" w:rsidP="00596DB0">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466359A8" w14:textId="77777777" w:rsidR="00596DB0" w:rsidRPr="00FF007A" w:rsidRDefault="00596DB0" w:rsidP="00596DB0">
      <w:pPr>
        <w:widowControl w:val="0"/>
        <w:autoSpaceDE w:val="0"/>
        <w:autoSpaceDN w:val="0"/>
        <w:spacing w:after="0" w:line="240" w:lineRule="auto"/>
        <w:jc w:val="both"/>
        <w:rPr>
          <w:rStyle w:val="normaltextrun"/>
          <w:rFonts w:ascii="Verdana" w:hAnsi="Verdana" w:cs="Arial"/>
          <w:shd w:val="clear" w:color="auto" w:fill="FFFFFF"/>
        </w:rPr>
      </w:pPr>
    </w:p>
    <w:p w14:paraId="6C736143" w14:textId="77777777" w:rsidR="00596DB0" w:rsidRPr="00B17CB3" w:rsidRDefault="00596DB0" w:rsidP="00596DB0">
      <w:pPr>
        <w:widowControl w:val="0"/>
        <w:autoSpaceDE w:val="0"/>
        <w:autoSpaceDN w:val="0"/>
        <w:spacing w:after="120" w:line="276" w:lineRule="auto"/>
        <w:jc w:val="both"/>
        <w:rPr>
          <w:rFonts w:ascii="Verdana" w:eastAsia="Calibri" w:hAnsi="Verdana" w:cs="Arial"/>
          <w:color w:val="000000" w:themeColor="text1"/>
          <w:lang w:eastAsia="es-ES_tradnl"/>
        </w:rPr>
      </w:pPr>
      <w:r>
        <w:rPr>
          <w:rFonts w:ascii="Verdana" w:hAnsi="Verdana" w:cs="Arial"/>
          <w:shd w:val="clear" w:color="auto" w:fill="FFFFFF"/>
          <w:lang w:val="es-ES"/>
        </w:rPr>
        <w:lastRenderedPageBreak/>
        <w:t xml:space="preserve">Sobre la aplicación de la Ley de garantías en el marco de la celebración de contratos del artículo 355 de la Constitución Política y los convenios de asociación del Decreto 092 de 2017, la Subdirección se ha pronunciado en los conceptos C-584 del 24 de junio de 2025, C-986 del 23 de agosto de 2025, C-1015 del 4 de septiembre de 2025, C-1186 del 19 de septiembre de 2025, entre otros entre otros. </w:t>
      </w:r>
      <w:r w:rsidRPr="00FF007A">
        <w:rPr>
          <w:rFonts w:ascii="Verdana" w:hAnsi="Verdana" w:cs="Arial"/>
        </w:rPr>
        <w:t xml:space="preserve">Estos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2" w:history="1">
        <w:r w:rsidRPr="00FF007A">
          <w:rPr>
            <w:rFonts w:ascii="Verdana" w:hAnsi="Verdana" w:cs="Arial"/>
            <w:color w:val="0563C1" w:themeColor="hyperlink"/>
            <w:u w:val="single"/>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21674260" w14:textId="77777777" w:rsidR="00596DB0" w:rsidRPr="00FB6C33" w:rsidRDefault="00596DB0" w:rsidP="00596DB0">
      <w:pPr>
        <w:spacing w:before="120" w:after="0" w:line="276" w:lineRule="auto"/>
        <w:jc w:val="both"/>
        <w:rPr>
          <w:rFonts w:ascii="Verdana" w:hAnsi="Verdana"/>
        </w:rPr>
      </w:pPr>
      <w:bookmarkStart w:id="25" w:name="_Hlk197462763"/>
      <w:bookmarkStart w:id="26" w:name="_Hlk197529996"/>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16A1A3F" w14:textId="77777777" w:rsidR="00596DB0" w:rsidRPr="008E4F36" w:rsidRDefault="00596DB0" w:rsidP="00596DB0">
      <w:pPr>
        <w:spacing w:after="0" w:line="276" w:lineRule="auto"/>
        <w:jc w:val="both"/>
        <w:rPr>
          <w:rFonts w:ascii="Verdana" w:eastAsia="Calibri" w:hAnsi="Verdana" w:cs="Times New Roman"/>
        </w:rPr>
      </w:pPr>
    </w:p>
    <w:p w14:paraId="2E7D8D4C" w14:textId="77777777" w:rsidR="00596DB0" w:rsidRDefault="00596DB0" w:rsidP="00596DB0">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21A26F1C" w14:textId="77777777" w:rsidR="00596DB0" w:rsidRDefault="00596DB0" w:rsidP="00596DB0">
      <w:pPr>
        <w:spacing w:after="0" w:line="256" w:lineRule="auto"/>
        <w:rPr>
          <w:rFonts w:eastAsia="Times New Roman" w:cs="Arial"/>
          <w:sz w:val="24"/>
          <w:szCs w:val="24"/>
        </w:rPr>
      </w:pPr>
    </w:p>
    <w:bookmarkEnd w:id="25"/>
    <w:bookmarkEnd w:id="26"/>
    <w:p w14:paraId="6F8D381F" w14:textId="51E307F5" w:rsidR="00596DB0" w:rsidRPr="00A27102" w:rsidRDefault="005269A3" w:rsidP="00596DB0">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0DB52117" wp14:editId="78C3361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596DB0" w:rsidRPr="00A27102" w14:paraId="3C0ADE88" w14:textId="77777777" w:rsidTr="003B7F6A">
        <w:trPr>
          <w:trHeight w:val="315"/>
        </w:trPr>
        <w:tc>
          <w:tcPr>
            <w:tcW w:w="893" w:type="dxa"/>
            <w:vAlign w:val="center"/>
            <w:hideMark/>
          </w:tcPr>
          <w:p w14:paraId="17AEEAE2" w14:textId="77777777" w:rsidR="00596DB0" w:rsidRPr="00A27102" w:rsidRDefault="00596DB0" w:rsidP="00BE361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C75B00D" w14:textId="77777777" w:rsidR="00596DB0" w:rsidRPr="00A27102" w:rsidRDefault="00596DB0" w:rsidP="00BE3615">
            <w:pPr>
              <w:contextualSpacing/>
              <w:rPr>
                <w:rFonts w:ascii="Verdana" w:hAnsi="Verdana"/>
                <w:sz w:val="16"/>
                <w:szCs w:val="16"/>
              </w:rPr>
            </w:pPr>
            <w:r w:rsidRPr="00A27102">
              <w:rPr>
                <w:rFonts w:ascii="Verdana" w:hAnsi="Verdana"/>
                <w:sz w:val="16"/>
                <w:szCs w:val="16"/>
              </w:rPr>
              <w:t>Tatiana Baquero Iguarán</w:t>
            </w:r>
          </w:p>
          <w:p w14:paraId="39EFB54B" w14:textId="77777777" w:rsidR="00596DB0" w:rsidRPr="00A27102" w:rsidRDefault="00596DB0" w:rsidP="00BE361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596DB0" w:rsidRPr="00A27102" w14:paraId="59E7EC64" w14:textId="77777777" w:rsidTr="003B7F6A">
        <w:trPr>
          <w:trHeight w:val="330"/>
        </w:trPr>
        <w:tc>
          <w:tcPr>
            <w:tcW w:w="893" w:type="dxa"/>
            <w:vAlign w:val="center"/>
            <w:hideMark/>
          </w:tcPr>
          <w:p w14:paraId="0807CA8C" w14:textId="77777777" w:rsidR="00596DB0" w:rsidRPr="00A27102" w:rsidRDefault="00596DB0" w:rsidP="00BE361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DF206BF" w14:textId="77777777" w:rsidR="00596DB0" w:rsidRPr="00A27102" w:rsidRDefault="00596DB0" w:rsidP="00BE361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38F99578" w14:textId="77777777" w:rsidR="00596DB0" w:rsidRPr="00A27102" w:rsidRDefault="00596DB0" w:rsidP="00BE361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596DB0" w:rsidRPr="00A27102" w14:paraId="500A6D06" w14:textId="77777777" w:rsidTr="003B7F6A">
        <w:trPr>
          <w:trHeight w:val="300"/>
        </w:trPr>
        <w:tc>
          <w:tcPr>
            <w:tcW w:w="893" w:type="dxa"/>
            <w:vAlign w:val="center"/>
          </w:tcPr>
          <w:p w14:paraId="3164A354" w14:textId="77777777" w:rsidR="00596DB0" w:rsidRPr="00A27102" w:rsidRDefault="00596DB0" w:rsidP="00BE3615">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CDA8FAD" w14:textId="77777777" w:rsidR="00596DB0" w:rsidRPr="00A27102" w:rsidRDefault="00596DB0" w:rsidP="00BE361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67C6C898" w14:textId="77777777" w:rsidR="00596DB0" w:rsidRPr="00A27102" w:rsidRDefault="00596DB0" w:rsidP="00BE361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3B05580C" w14:textId="77777777" w:rsidR="00596DB0" w:rsidRPr="00A27102" w:rsidRDefault="00596DB0" w:rsidP="00596DB0"/>
    <w:p w14:paraId="570F882B" w14:textId="77777777" w:rsidR="00596DB0" w:rsidRPr="001414DE" w:rsidRDefault="00596DB0" w:rsidP="00596DB0"/>
    <w:p w14:paraId="09E7C23A" w14:textId="77777777" w:rsidR="00596DB0" w:rsidRPr="00C668AC" w:rsidRDefault="00596DB0" w:rsidP="00596DB0"/>
    <w:p w14:paraId="13F743B1" w14:textId="77777777" w:rsidR="00192B17" w:rsidRDefault="00192B17" w:rsidP="00192B17">
      <w:pPr>
        <w:spacing w:after="0" w:line="240" w:lineRule="auto"/>
        <w:jc w:val="both"/>
        <w:rPr>
          <w:rFonts w:ascii="Verdana" w:hAnsi="Verdana"/>
        </w:rPr>
      </w:pPr>
    </w:p>
    <w:bookmarkEnd w:id="0"/>
    <w:bookmarkEnd w:id="1"/>
    <w:bookmarkEnd w:id="2"/>
    <w:bookmarkEnd w:id="3"/>
    <w:bookmarkEnd w:id="4"/>
    <w:bookmarkEnd w:id="5"/>
    <w:p w14:paraId="7C5C666B" w14:textId="3FC40925" w:rsidR="00192B17" w:rsidRDefault="00192B17" w:rsidP="00192B17">
      <w:pPr>
        <w:spacing w:after="0" w:line="240" w:lineRule="auto"/>
        <w:jc w:val="right"/>
        <w:rPr>
          <w:rFonts w:ascii="Verdana" w:hAnsi="Verdana"/>
        </w:rPr>
      </w:pPr>
    </w:p>
    <w:sectPr w:rsidR="00192B17"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519947" w14:textId="77777777" w:rsidR="00157257" w:rsidRDefault="00157257" w:rsidP="004A1847">
      <w:pPr>
        <w:spacing w:after="0" w:line="240" w:lineRule="auto"/>
      </w:pPr>
      <w:r>
        <w:separator/>
      </w:r>
    </w:p>
  </w:endnote>
  <w:endnote w:type="continuationSeparator" w:id="0">
    <w:p w14:paraId="532E3178" w14:textId="77777777" w:rsidR="00157257" w:rsidRDefault="0015725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2113B" w14:textId="77777777" w:rsidR="00157257" w:rsidRDefault="00157257" w:rsidP="004A1847">
      <w:pPr>
        <w:spacing w:after="0" w:line="240" w:lineRule="auto"/>
      </w:pPr>
      <w:r>
        <w:separator/>
      </w:r>
    </w:p>
  </w:footnote>
  <w:footnote w:type="continuationSeparator" w:id="0">
    <w:p w14:paraId="321CE09E" w14:textId="77777777" w:rsidR="00157257" w:rsidRDefault="00157257" w:rsidP="004A1847">
      <w:pPr>
        <w:spacing w:after="0" w:line="240" w:lineRule="auto"/>
      </w:pPr>
      <w:r>
        <w:continuationSeparator/>
      </w:r>
    </w:p>
  </w:footnote>
  <w:footnote w:id="1">
    <w:p w14:paraId="07E3A4DB" w14:textId="77777777" w:rsidR="00596DB0" w:rsidRPr="00D42A84" w:rsidRDefault="00596DB0" w:rsidP="00596DB0">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Gaceta del Congreso de la República No. 71 del 2005.</w:t>
      </w:r>
    </w:p>
    <w:p w14:paraId="433807BA" w14:textId="77777777" w:rsidR="00596DB0" w:rsidRPr="00D42A84" w:rsidRDefault="00596DB0" w:rsidP="00596DB0">
      <w:pPr>
        <w:pStyle w:val="Textonotapie"/>
        <w:ind w:firstLine="709"/>
        <w:rPr>
          <w:rFonts w:ascii="Verdana" w:hAnsi="Verdana" w:cs="Arial"/>
          <w:sz w:val="16"/>
          <w:szCs w:val="16"/>
        </w:rPr>
      </w:pPr>
    </w:p>
  </w:footnote>
  <w:footnote w:id="2">
    <w:p w14:paraId="578D3DD1" w14:textId="77777777" w:rsidR="00596DB0" w:rsidRDefault="00596DB0" w:rsidP="00596DB0">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Corte Constitucional, Sentencia C- 1153 de 2005, M.P. Marco Gerardo Monroy Cabra.</w:t>
      </w:r>
    </w:p>
    <w:p w14:paraId="60894D32" w14:textId="77777777" w:rsidR="00596DB0" w:rsidRPr="002817AD" w:rsidRDefault="00596DB0" w:rsidP="00596DB0">
      <w:pPr>
        <w:pStyle w:val="Textonotapie"/>
        <w:ind w:firstLine="709"/>
        <w:rPr>
          <w:rFonts w:ascii="Verdana" w:hAnsi="Verdana" w:cs="Arial"/>
          <w:sz w:val="16"/>
          <w:szCs w:val="16"/>
        </w:rPr>
      </w:pPr>
    </w:p>
  </w:footnote>
  <w:footnote w:id="3">
    <w:p w14:paraId="0E6361F1" w14:textId="77777777" w:rsidR="00596DB0" w:rsidRPr="00D42A84" w:rsidRDefault="00596DB0" w:rsidP="00596DB0">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CO"/>
        </w:rPr>
        <w:t xml:space="preserve">Corte Constitucional. Sentencias: C-233 de 4 de abril de 2002. M.P: Álvaro Tafur Galvis; C-551 de 9 de julio de 2003. M.P: Eduardo Montealegre </w:t>
      </w:r>
      <w:proofErr w:type="spellStart"/>
      <w:r w:rsidRPr="00D42A84">
        <w:rPr>
          <w:rFonts w:ascii="Verdana" w:hAnsi="Verdana" w:cs="Arial"/>
          <w:sz w:val="16"/>
          <w:szCs w:val="16"/>
          <w:lang w:val="es-CO"/>
        </w:rPr>
        <w:t>Lynnet</w:t>
      </w:r>
      <w:proofErr w:type="spellEnd"/>
      <w:r w:rsidRPr="00D42A84">
        <w:rPr>
          <w:rFonts w:ascii="Verdana" w:hAnsi="Verdana" w:cs="Arial"/>
          <w:sz w:val="16"/>
          <w:szCs w:val="16"/>
          <w:lang w:val="es-CO"/>
        </w:rPr>
        <w:t xml:space="preserve">; C-353 de 20 de mayo de 2009. M.P: Jorge Iván Palacio </w:t>
      </w:r>
      <w:proofErr w:type="spellStart"/>
      <w:r w:rsidRPr="00D42A84">
        <w:rPr>
          <w:rFonts w:ascii="Verdana" w:hAnsi="Verdana" w:cs="Arial"/>
          <w:sz w:val="16"/>
          <w:szCs w:val="16"/>
          <w:lang w:val="es-CO"/>
        </w:rPr>
        <w:t>Palacio</w:t>
      </w:r>
      <w:proofErr w:type="spellEnd"/>
      <w:r w:rsidRPr="00D42A84">
        <w:rPr>
          <w:rFonts w:ascii="Verdana" w:hAnsi="Verdana" w:cs="Arial"/>
          <w:sz w:val="16"/>
          <w:szCs w:val="16"/>
          <w:lang w:val="es-CO"/>
        </w:rPr>
        <w:t>; C-541 de 30 de junio de 2010. M.P: Gabriel Eduardo Mendoza Martelo; entre otras.</w:t>
      </w:r>
    </w:p>
    <w:p w14:paraId="15B107CF" w14:textId="77777777" w:rsidR="00596DB0" w:rsidRPr="00D42A84" w:rsidRDefault="00596DB0" w:rsidP="00596DB0">
      <w:pPr>
        <w:pStyle w:val="Textonotapie"/>
        <w:ind w:firstLine="709"/>
        <w:jc w:val="both"/>
        <w:rPr>
          <w:rFonts w:ascii="Verdana" w:hAnsi="Verdana" w:cs="Arial"/>
          <w:sz w:val="16"/>
          <w:szCs w:val="16"/>
        </w:rPr>
      </w:pPr>
    </w:p>
  </w:footnote>
  <w:footnote w:id="4">
    <w:p w14:paraId="43855EF3" w14:textId="77777777" w:rsidR="00596DB0" w:rsidRPr="00D42A84" w:rsidRDefault="00596DB0" w:rsidP="00596DB0">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Radicado: 2001-0148-01 y, Consejo de Estado. Sala de lo Contencioso Administrativo. Sección Tercera. Sentencia de 20 de noviembre de 2001. Radicado: 2001-0130-01(PI), entre otras.</w:t>
      </w:r>
    </w:p>
    <w:p w14:paraId="6E986671" w14:textId="77777777" w:rsidR="00596DB0" w:rsidRPr="00D42A84" w:rsidRDefault="00596DB0" w:rsidP="00596DB0">
      <w:pPr>
        <w:pStyle w:val="Textonotapie"/>
        <w:ind w:firstLine="709"/>
        <w:jc w:val="both"/>
        <w:rPr>
          <w:rFonts w:ascii="Verdana" w:hAnsi="Verdana" w:cs="Arial"/>
          <w:sz w:val="16"/>
          <w:szCs w:val="16"/>
          <w:lang w:val="es-CO"/>
        </w:rPr>
      </w:pPr>
    </w:p>
  </w:footnote>
  <w:footnote w:id="5">
    <w:p w14:paraId="679EF8E8" w14:textId="77777777" w:rsidR="00596DB0" w:rsidRPr="002817AD" w:rsidRDefault="00596DB0" w:rsidP="00596DB0">
      <w:pPr>
        <w:pStyle w:val="Textonotapie"/>
        <w:ind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Consejo de Estado, Sala de Consulta y Servicio Civil de fecha 24 de julio de 2013, radicado 2166, </w:t>
      </w:r>
      <w:proofErr w:type="gramStart"/>
      <w:r w:rsidRPr="00D42A84">
        <w:rPr>
          <w:rFonts w:ascii="Verdana" w:hAnsi="Verdana" w:cs="Arial"/>
          <w:sz w:val="16"/>
          <w:szCs w:val="16"/>
        </w:rPr>
        <w:t>Consejero</w:t>
      </w:r>
      <w:proofErr w:type="gramEnd"/>
      <w:r w:rsidRPr="00D42A84">
        <w:rPr>
          <w:rFonts w:ascii="Verdana" w:hAnsi="Verdana" w:cs="Arial"/>
          <w:sz w:val="16"/>
          <w:szCs w:val="16"/>
        </w:rPr>
        <w:t xml:space="preserve"> Ponente: Álvaro </w:t>
      </w:r>
      <w:proofErr w:type="spellStart"/>
      <w:r w:rsidRPr="00D42A84">
        <w:rPr>
          <w:rFonts w:ascii="Verdana" w:hAnsi="Verdana" w:cs="Arial"/>
          <w:sz w:val="16"/>
          <w:szCs w:val="16"/>
        </w:rPr>
        <w:t>Namén</w:t>
      </w:r>
      <w:proofErr w:type="spellEnd"/>
      <w:r w:rsidRPr="00D42A84">
        <w:rPr>
          <w:rFonts w:ascii="Verdana" w:hAnsi="Verdana" w:cs="Arial"/>
          <w:sz w:val="16"/>
          <w:szCs w:val="16"/>
        </w:rPr>
        <w:t xml:space="preserve"> Vargas</w:t>
      </w:r>
      <w:r w:rsidRPr="002817AD">
        <w:rPr>
          <w:rFonts w:ascii="Verdana" w:hAnsi="Verdana" w:cs="Arial"/>
          <w:sz w:val="16"/>
          <w:szCs w:val="16"/>
        </w:rPr>
        <w:t xml:space="preserve">.  </w:t>
      </w:r>
    </w:p>
    <w:p w14:paraId="58BFBFDC" w14:textId="77777777" w:rsidR="00596DB0" w:rsidRPr="002817AD" w:rsidRDefault="00596DB0" w:rsidP="00596DB0">
      <w:pPr>
        <w:pStyle w:val="Textonotapie"/>
        <w:ind w:firstLine="709"/>
        <w:jc w:val="both"/>
        <w:rPr>
          <w:rFonts w:ascii="Verdana" w:hAnsi="Verdana" w:cs="Arial"/>
          <w:sz w:val="16"/>
          <w:szCs w:val="16"/>
        </w:rPr>
      </w:pPr>
    </w:p>
  </w:footnote>
  <w:footnote w:id="6">
    <w:p w14:paraId="4F30441F" w14:textId="77777777" w:rsidR="00596DB0" w:rsidRPr="00D42A84" w:rsidRDefault="00596DB0" w:rsidP="00596DB0">
      <w:pPr>
        <w:spacing w:after="0" w:line="240" w:lineRule="auto"/>
        <w:ind w:firstLine="709"/>
        <w:jc w:val="both"/>
        <w:rPr>
          <w:rFonts w:ascii="Verdana" w:eastAsia="Times New Roman"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8" w:name="33"/>
      <w:r w:rsidRPr="00D42A84">
        <w:rPr>
          <w:rFonts w:ascii="Verdana" w:eastAsia="Times New Roman" w:hAnsi="Verdana" w:cs="Arial"/>
          <w:sz w:val="16"/>
          <w:szCs w:val="16"/>
        </w:rPr>
        <w:t>Artículo 33. Restricciones a la contratación pública.</w:t>
      </w:r>
      <w:bookmarkEnd w:id="8"/>
      <w:r w:rsidRPr="00D42A84">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9B23401" w14:textId="77777777" w:rsidR="00596DB0" w:rsidRPr="00D42A84" w:rsidRDefault="00596DB0" w:rsidP="00596DB0">
      <w:pPr>
        <w:spacing w:after="0" w:line="240" w:lineRule="auto"/>
        <w:ind w:firstLine="709"/>
        <w:jc w:val="both"/>
        <w:rPr>
          <w:rFonts w:ascii="Verdana" w:eastAsia="Times New Roman" w:hAnsi="Verdana" w:cs="Arial"/>
          <w:sz w:val="16"/>
          <w:szCs w:val="16"/>
        </w:rPr>
      </w:pPr>
    </w:p>
    <w:p w14:paraId="1481BC91" w14:textId="77777777" w:rsidR="00596DB0" w:rsidRPr="00D42A84" w:rsidRDefault="00596DB0" w:rsidP="00596DB0">
      <w:pPr>
        <w:spacing w:after="0" w:line="240" w:lineRule="auto"/>
        <w:ind w:firstLine="709"/>
        <w:jc w:val="both"/>
        <w:rPr>
          <w:rFonts w:ascii="Verdana" w:eastAsia="Times New Roman" w:hAnsi="Verdana" w:cs="Arial"/>
          <w:sz w:val="16"/>
          <w:szCs w:val="16"/>
        </w:rPr>
      </w:pPr>
      <w:r w:rsidRPr="00D42A84">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02BD4FA" w14:textId="77777777" w:rsidR="00596DB0" w:rsidRPr="00D42A84" w:rsidRDefault="00596DB0" w:rsidP="00596DB0">
      <w:pPr>
        <w:spacing w:after="0" w:line="240" w:lineRule="auto"/>
        <w:ind w:firstLine="709"/>
        <w:jc w:val="both"/>
        <w:rPr>
          <w:rFonts w:ascii="Verdana" w:eastAsia="Times New Roman" w:hAnsi="Verdana" w:cs="Arial"/>
          <w:sz w:val="16"/>
          <w:szCs w:val="16"/>
        </w:rPr>
      </w:pPr>
    </w:p>
  </w:footnote>
  <w:footnote w:id="7">
    <w:p w14:paraId="3C964D8B" w14:textId="77777777" w:rsidR="00596DB0" w:rsidRDefault="00596DB0" w:rsidP="00596DB0">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ES"/>
        </w:rPr>
        <w:t xml:space="preserve">[25] </w:t>
      </w:r>
      <w:r w:rsidRPr="00D42A84">
        <w:rPr>
          <w:rFonts w:ascii="Verdana" w:hAnsi="Verdana" w:cs="Arial"/>
          <w:sz w:val="16"/>
          <w:szCs w:val="16"/>
        </w:rPr>
        <w:t>Cfr. Consejo de Estado. Sección Tercera. Sentencia de 3 de diciembre de 2007. Radicados: 24.715, 25.206, 25.409, 24.524, 27.834, 25.410, 26.105, 28.244, 31.447 -acumulados-”.</w:t>
      </w:r>
    </w:p>
    <w:p w14:paraId="6D29955A" w14:textId="77777777" w:rsidR="00596DB0" w:rsidRPr="00D42A84" w:rsidRDefault="00596DB0" w:rsidP="00596DB0">
      <w:pPr>
        <w:pStyle w:val="Textonotapie"/>
        <w:ind w:right="51" w:firstLine="709"/>
        <w:contextualSpacing/>
        <w:jc w:val="both"/>
        <w:rPr>
          <w:rFonts w:ascii="Verdana" w:hAnsi="Verdana" w:cs="Arial"/>
          <w:sz w:val="16"/>
          <w:szCs w:val="16"/>
        </w:rPr>
      </w:pPr>
    </w:p>
  </w:footnote>
  <w:footnote w:id="8">
    <w:p w14:paraId="6F537EF3" w14:textId="77777777" w:rsidR="00596DB0" w:rsidRPr="00D42A84" w:rsidRDefault="00596DB0" w:rsidP="00596DB0">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11" w:name="_Hlk74294506"/>
      <w:r w:rsidRPr="00D42A84">
        <w:rPr>
          <w:rFonts w:ascii="Verdana" w:hAnsi="Verdana" w:cs="Arial"/>
          <w:sz w:val="16"/>
          <w:szCs w:val="16"/>
        </w:rPr>
        <w:t>“</w:t>
      </w:r>
      <w:r>
        <w:rPr>
          <w:rFonts w:ascii="Verdana" w:hAnsi="Verdana" w:cs="Arial"/>
          <w:sz w:val="16"/>
          <w:szCs w:val="16"/>
        </w:rPr>
        <w:t>(</w:t>
      </w:r>
      <w:r w:rsidRPr="00D42A84">
        <w:rPr>
          <w:rFonts w:ascii="Verdana" w:hAnsi="Verdana" w:cs="Arial"/>
          <w:sz w:val="16"/>
          <w:szCs w:val="16"/>
          <w:lang w:val="es-ES"/>
        </w:rPr>
        <w:t>26</w:t>
      </w:r>
      <w:r>
        <w:rPr>
          <w:rFonts w:ascii="Verdana" w:hAnsi="Verdana" w:cs="Arial"/>
          <w:sz w:val="16"/>
          <w:szCs w:val="16"/>
          <w:lang w:val="es-ES"/>
        </w:rPr>
        <w:t>)</w:t>
      </w:r>
      <w:r w:rsidRPr="00D42A84">
        <w:rPr>
          <w:rFonts w:ascii="Verdana" w:hAnsi="Verdana" w:cs="Arial"/>
          <w:sz w:val="16"/>
          <w:szCs w:val="16"/>
          <w:lang w:val="es-ES"/>
        </w:rPr>
        <w:t xml:space="preserve"> </w:t>
      </w:r>
      <w:bookmarkEnd w:id="11"/>
      <w:r w:rsidRPr="00D42A84">
        <w:rPr>
          <w:rFonts w:ascii="Verdana" w:hAnsi="Verdana" w:cs="Arial"/>
          <w:sz w:val="16"/>
          <w:szCs w:val="16"/>
        </w:rPr>
        <w:t>Al respecto ver el concepto 1712 de 2 de febrero de 2006. Consejo de Estado Sala de Consulta y Servicio Civil”.</w:t>
      </w:r>
    </w:p>
    <w:p w14:paraId="713A27C9" w14:textId="77777777" w:rsidR="00596DB0" w:rsidRPr="00B93D47" w:rsidRDefault="00596DB0" w:rsidP="00596DB0">
      <w:pPr>
        <w:pStyle w:val="Textonotapie"/>
        <w:ind w:right="51" w:firstLine="709"/>
        <w:contextualSpacing/>
        <w:jc w:val="both"/>
        <w:rPr>
          <w:rFonts w:ascii="Verdana" w:hAnsi="Verdana" w:cs="Arial"/>
          <w:sz w:val="16"/>
          <w:szCs w:val="16"/>
        </w:rPr>
      </w:pPr>
    </w:p>
  </w:footnote>
  <w:footnote w:id="9">
    <w:p w14:paraId="5F153F6E" w14:textId="77777777" w:rsidR="00596DB0" w:rsidRPr="00B93D47" w:rsidRDefault="00596DB0" w:rsidP="00596DB0">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w:t>
      </w:r>
      <w:proofErr w:type="spellStart"/>
      <w:r w:rsidRPr="00B93D47">
        <w:rPr>
          <w:rFonts w:ascii="Verdana" w:hAnsi="Verdana" w:cs="Arial"/>
          <w:sz w:val="16"/>
          <w:szCs w:val="16"/>
        </w:rPr>
        <w:t>Namén</w:t>
      </w:r>
      <w:proofErr w:type="spellEnd"/>
      <w:r w:rsidRPr="00B93D47">
        <w:rPr>
          <w:rFonts w:ascii="Verdana" w:hAnsi="Verdana" w:cs="Arial"/>
          <w:sz w:val="16"/>
          <w:szCs w:val="16"/>
        </w:rPr>
        <w:t xml:space="preserve"> Vargas.</w:t>
      </w:r>
    </w:p>
    <w:p w14:paraId="4D2F5114" w14:textId="77777777" w:rsidR="00596DB0" w:rsidRPr="00B93D47" w:rsidRDefault="00596DB0" w:rsidP="00596DB0">
      <w:pPr>
        <w:pStyle w:val="Textonotapie"/>
        <w:ind w:firstLine="709"/>
        <w:contextualSpacing/>
        <w:jc w:val="both"/>
        <w:rPr>
          <w:rFonts w:ascii="Verdana" w:hAnsi="Verdana" w:cs="Arial"/>
          <w:sz w:val="16"/>
          <w:szCs w:val="16"/>
        </w:rPr>
      </w:pPr>
    </w:p>
  </w:footnote>
  <w:footnote w:id="10">
    <w:p w14:paraId="2B46383F" w14:textId="77777777" w:rsidR="00596DB0" w:rsidRPr="00B93D47" w:rsidRDefault="00596DB0" w:rsidP="00596DB0">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11">
    <w:p w14:paraId="3FE88368" w14:textId="77777777" w:rsidR="00596DB0" w:rsidRPr="00B93D47" w:rsidRDefault="00596DB0" w:rsidP="00596DB0">
      <w:pPr>
        <w:pStyle w:val="Textonotapie"/>
        <w:ind w:firstLine="709"/>
        <w:contextualSpacing/>
        <w:jc w:val="both"/>
        <w:rPr>
          <w:rFonts w:ascii="Verdana" w:hAnsi="Verdana" w:cs="Arial"/>
          <w:sz w:val="16"/>
          <w:szCs w:val="16"/>
        </w:rPr>
      </w:pPr>
    </w:p>
    <w:p w14:paraId="5606014D" w14:textId="77777777" w:rsidR="00596DB0" w:rsidRDefault="00596DB0" w:rsidP="00596DB0">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p w14:paraId="3F6CBC9E" w14:textId="77777777" w:rsidR="00596DB0" w:rsidRPr="00B93D47" w:rsidRDefault="00596DB0" w:rsidP="00596DB0">
      <w:pPr>
        <w:pStyle w:val="Textonotapie"/>
        <w:ind w:firstLine="709"/>
        <w:contextualSpacing/>
        <w:jc w:val="both"/>
        <w:rPr>
          <w:rFonts w:ascii="Verdana" w:hAnsi="Verdana" w:cs="Arial"/>
          <w:sz w:val="16"/>
          <w:szCs w:val="16"/>
          <w:lang w:val="es-ES"/>
        </w:rPr>
      </w:pPr>
    </w:p>
  </w:footnote>
  <w:footnote w:id="12">
    <w:p w14:paraId="498CC47A" w14:textId="77777777" w:rsidR="00596DB0" w:rsidRDefault="00596DB0" w:rsidP="00596DB0">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w:t>
      </w:r>
      <w:r>
        <w:rPr>
          <w:rFonts w:ascii="Verdana" w:hAnsi="Verdana" w:cs="Arial"/>
          <w:sz w:val="16"/>
          <w:szCs w:val="16"/>
          <w:lang w:val="es-ES"/>
        </w:rPr>
        <w:t xml:space="preserve">(…) </w:t>
      </w:r>
      <w:r w:rsidRPr="00B93D47">
        <w:rPr>
          <w:rFonts w:ascii="Verdana" w:hAnsi="Verdana" w:cs="Arial"/>
          <w:sz w:val="16"/>
          <w:szCs w:val="16"/>
          <w:lang w:val="es-ES"/>
        </w:rPr>
        <w:t xml:space="preserve">A este respecto, cabe recordar que el artículo 860 del Código de Comercio regula la licitación en el derecho privado”. </w:t>
      </w:r>
    </w:p>
    <w:p w14:paraId="385A564F" w14:textId="77777777" w:rsidR="00596DB0" w:rsidRPr="00B93D47" w:rsidRDefault="00596DB0" w:rsidP="00596DB0">
      <w:pPr>
        <w:pStyle w:val="Textonotapie"/>
        <w:ind w:firstLine="709"/>
        <w:contextualSpacing/>
        <w:jc w:val="both"/>
        <w:rPr>
          <w:rFonts w:ascii="Verdana" w:hAnsi="Verdana" w:cs="Arial"/>
          <w:sz w:val="16"/>
          <w:szCs w:val="16"/>
          <w:lang w:val="es-ES"/>
        </w:rPr>
      </w:pPr>
    </w:p>
  </w:footnote>
  <w:footnote w:id="13">
    <w:p w14:paraId="7CADF44E" w14:textId="77777777" w:rsidR="00596DB0" w:rsidRPr="00B93D47" w:rsidRDefault="00596DB0" w:rsidP="00596DB0">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Consejo de Estado. Sala de Consulta y Servicio Civil, Concepto de 8 de mayo de 2018. Radicación Número: 11001-03-06-000-2018-00095-00(2382). Consejero Ponente: Álvaro </w:t>
      </w:r>
      <w:proofErr w:type="spellStart"/>
      <w:r w:rsidRPr="00B93D47">
        <w:rPr>
          <w:rFonts w:ascii="Verdana" w:hAnsi="Verdana" w:cs="Arial"/>
          <w:sz w:val="16"/>
          <w:szCs w:val="16"/>
          <w:lang w:val="es-ES"/>
        </w:rPr>
        <w:t>Namén</w:t>
      </w:r>
      <w:proofErr w:type="spellEnd"/>
      <w:r w:rsidRPr="00B93D47">
        <w:rPr>
          <w:rFonts w:ascii="Verdana" w:hAnsi="Verdana" w:cs="Arial"/>
          <w:sz w:val="16"/>
          <w:szCs w:val="16"/>
          <w:lang w:val="es-ES"/>
        </w:rPr>
        <w:t xml:space="preserve"> Vargas.</w:t>
      </w:r>
    </w:p>
  </w:footnote>
  <w:footnote w:id="14">
    <w:p w14:paraId="38824BD9" w14:textId="77777777" w:rsidR="00596DB0" w:rsidRDefault="00596DB0" w:rsidP="00596DB0">
      <w:pPr>
        <w:pStyle w:val="Textonotapie"/>
        <w:contextualSpacing/>
        <w:jc w:val="both"/>
        <w:rPr>
          <w:rFonts w:ascii="Verdana" w:hAnsi="Verdana" w:cs="Arial"/>
          <w:sz w:val="16"/>
          <w:szCs w:val="16"/>
        </w:rPr>
      </w:pPr>
    </w:p>
    <w:p w14:paraId="79A492E1" w14:textId="77777777" w:rsidR="00596DB0" w:rsidRDefault="00596DB0" w:rsidP="00596DB0">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Pr>
          <w:rFonts w:ascii="Verdana" w:hAnsi="Verdana" w:cs="Arial"/>
          <w:sz w:val="16"/>
          <w:szCs w:val="16"/>
        </w:rPr>
        <w:t xml:space="preserve">Ibidem </w:t>
      </w:r>
    </w:p>
    <w:p w14:paraId="39A3B3C8" w14:textId="77777777" w:rsidR="00596DB0" w:rsidRPr="00B93D47" w:rsidRDefault="00596DB0" w:rsidP="00596DB0">
      <w:pPr>
        <w:pStyle w:val="Textonotapie"/>
        <w:ind w:firstLine="709"/>
        <w:contextualSpacing/>
        <w:jc w:val="both"/>
        <w:rPr>
          <w:rFonts w:ascii="Verdana" w:hAnsi="Verdana" w:cs="Arial"/>
          <w:sz w:val="16"/>
          <w:szCs w:val="16"/>
        </w:rPr>
      </w:pPr>
    </w:p>
  </w:footnote>
  <w:footnote w:id="15">
    <w:p w14:paraId="5834C4D0" w14:textId="77777777" w:rsidR="00596DB0" w:rsidRPr="00B93D47" w:rsidRDefault="00596DB0" w:rsidP="00596DB0">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B93D47">
        <w:rPr>
          <w:rFonts w:ascii="Verdana" w:hAnsi="Verdana" w:cs="Arial"/>
          <w:sz w:val="16"/>
          <w:szCs w:val="16"/>
        </w:rPr>
        <w:t>N°</w:t>
      </w:r>
      <w:proofErr w:type="spellEnd"/>
      <w:r w:rsidRPr="00B93D47">
        <w:rPr>
          <w:rFonts w:ascii="Verdana" w:hAnsi="Verdana" w:cs="Arial"/>
          <w:sz w:val="16"/>
          <w:szCs w:val="16"/>
        </w:rPr>
        <w:t xml:space="preserve"> 216/05 Senado, </w:t>
      </w:r>
      <w:proofErr w:type="spellStart"/>
      <w:r w:rsidRPr="00B93D47">
        <w:rPr>
          <w:rFonts w:ascii="Verdana" w:hAnsi="Verdana" w:cs="Arial"/>
          <w:sz w:val="16"/>
          <w:szCs w:val="16"/>
        </w:rPr>
        <w:t>N°</w:t>
      </w:r>
      <w:proofErr w:type="spellEnd"/>
      <w:r w:rsidRPr="00B93D47">
        <w:rPr>
          <w:rFonts w:ascii="Verdana" w:hAnsi="Verdana" w:cs="Arial"/>
          <w:sz w:val="16"/>
          <w:szCs w:val="16"/>
        </w:rPr>
        <w:t xml:space="preserve"> 235-Cámara que dio lugar a la Ley de Garantías Electorales.</w:t>
      </w:r>
    </w:p>
  </w:footnote>
  <w:footnote w:id="16">
    <w:p w14:paraId="7B6F5280" w14:textId="77777777" w:rsidR="00596DB0" w:rsidRPr="00B47839" w:rsidRDefault="00596DB0" w:rsidP="00596DB0">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Concepto del 3 de septiembre de 2019, con radicado No. 2201913000006512.</w:t>
      </w:r>
    </w:p>
    <w:p w14:paraId="78BCEAC3" w14:textId="77777777" w:rsidR="00596DB0" w:rsidRPr="00B47839" w:rsidRDefault="00596DB0" w:rsidP="00596DB0">
      <w:pPr>
        <w:pStyle w:val="Textonotapie"/>
        <w:ind w:firstLine="708"/>
        <w:jc w:val="both"/>
        <w:rPr>
          <w:rFonts w:ascii="Verdana" w:hAnsi="Verdana" w:cs="Arial"/>
          <w:sz w:val="16"/>
          <w:szCs w:val="16"/>
        </w:rPr>
      </w:pPr>
    </w:p>
  </w:footnote>
  <w:footnote w:id="17">
    <w:p w14:paraId="02873B32" w14:textId="77777777" w:rsidR="00596DB0" w:rsidRPr="00B47839" w:rsidRDefault="00596DB0" w:rsidP="00596DB0">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18">
    <w:p w14:paraId="18F6A67D" w14:textId="77777777" w:rsidR="00596DB0" w:rsidRPr="00B47839" w:rsidRDefault="00596DB0" w:rsidP="00596DB0">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Cfr. Concepto del 21 de agosto de 2019, dictado dentro del radicado No. 2201913000006047.</w:t>
      </w:r>
    </w:p>
    <w:p w14:paraId="495DBB2A" w14:textId="77777777" w:rsidR="00596DB0" w:rsidRPr="00B47839" w:rsidRDefault="00596DB0" w:rsidP="00596DB0">
      <w:pPr>
        <w:pStyle w:val="Textonotapie"/>
        <w:ind w:firstLine="708"/>
        <w:jc w:val="both"/>
        <w:rPr>
          <w:rFonts w:ascii="Verdana" w:hAnsi="Verdana" w:cs="Arial"/>
          <w:color w:val="000000" w:themeColor="text1"/>
          <w:sz w:val="16"/>
          <w:szCs w:val="16"/>
        </w:rPr>
      </w:pPr>
    </w:p>
  </w:footnote>
  <w:footnote w:id="19">
    <w:p w14:paraId="2BE21C1E" w14:textId="77777777" w:rsidR="00596DB0" w:rsidRPr="00B47839" w:rsidRDefault="00596DB0" w:rsidP="00596DB0">
      <w:pPr>
        <w:pStyle w:val="Textonotapie"/>
        <w:ind w:firstLine="708"/>
        <w:jc w:val="both"/>
        <w:rPr>
          <w:rFonts w:ascii="Verdana" w:hAnsi="Verdana" w:cs="Arial"/>
          <w:color w:val="000000" w:themeColor="text1"/>
          <w:sz w:val="16"/>
          <w:szCs w:val="16"/>
          <w:lang w:val="es-ES"/>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Concepto del 24 de febrero de 2005. Radicado:1626, C.P. Gloria Duque Hernández.</w:t>
      </w:r>
    </w:p>
  </w:footnote>
  <w:footnote w:id="20">
    <w:p w14:paraId="1C5D66EB" w14:textId="77777777" w:rsidR="00596DB0" w:rsidRPr="00B47839" w:rsidRDefault="00596DB0" w:rsidP="00596DB0">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57E6"/>
    <w:rsid w:val="000C5147"/>
    <w:rsid w:val="000D0334"/>
    <w:rsid w:val="000D1E2A"/>
    <w:rsid w:val="000D6B62"/>
    <w:rsid w:val="000E36C1"/>
    <w:rsid w:val="000F6486"/>
    <w:rsid w:val="00125105"/>
    <w:rsid w:val="00127233"/>
    <w:rsid w:val="001414DE"/>
    <w:rsid w:val="001511A0"/>
    <w:rsid w:val="00157257"/>
    <w:rsid w:val="00176C9A"/>
    <w:rsid w:val="00192B17"/>
    <w:rsid w:val="001E4177"/>
    <w:rsid w:val="001F7DC6"/>
    <w:rsid w:val="00230786"/>
    <w:rsid w:val="002421BB"/>
    <w:rsid w:val="0025796E"/>
    <w:rsid w:val="002677ED"/>
    <w:rsid w:val="002707A2"/>
    <w:rsid w:val="002951A0"/>
    <w:rsid w:val="002962BC"/>
    <w:rsid w:val="002A093D"/>
    <w:rsid w:val="002A0DD0"/>
    <w:rsid w:val="002A49AC"/>
    <w:rsid w:val="002A64FD"/>
    <w:rsid w:val="002C7A84"/>
    <w:rsid w:val="002E4FD9"/>
    <w:rsid w:val="00322A85"/>
    <w:rsid w:val="00324168"/>
    <w:rsid w:val="003448F4"/>
    <w:rsid w:val="00351C33"/>
    <w:rsid w:val="00355BB6"/>
    <w:rsid w:val="00362281"/>
    <w:rsid w:val="00362AEC"/>
    <w:rsid w:val="00374F5E"/>
    <w:rsid w:val="00377E3E"/>
    <w:rsid w:val="003A655B"/>
    <w:rsid w:val="003A779E"/>
    <w:rsid w:val="003B7F6A"/>
    <w:rsid w:val="003C24D6"/>
    <w:rsid w:val="003D0F4D"/>
    <w:rsid w:val="003D5B0D"/>
    <w:rsid w:val="003E0499"/>
    <w:rsid w:val="003F3941"/>
    <w:rsid w:val="003F4941"/>
    <w:rsid w:val="00406575"/>
    <w:rsid w:val="00414C74"/>
    <w:rsid w:val="00426263"/>
    <w:rsid w:val="0042722E"/>
    <w:rsid w:val="0044528D"/>
    <w:rsid w:val="004A1847"/>
    <w:rsid w:val="004A305D"/>
    <w:rsid w:val="004D437A"/>
    <w:rsid w:val="004F21C4"/>
    <w:rsid w:val="004F685F"/>
    <w:rsid w:val="00524A91"/>
    <w:rsid w:val="005269A3"/>
    <w:rsid w:val="00533BAE"/>
    <w:rsid w:val="005566E8"/>
    <w:rsid w:val="00574867"/>
    <w:rsid w:val="00575E6A"/>
    <w:rsid w:val="00591460"/>
    <w:rsid w:val="00596DB0"/>
    <w:rsid w:val="005B3816"/>
    <w:rsid w:val="005C0493"/>
    <w:rsid w:val="005C2080"/>
    <w:rsid w:val="005C3777"/>
    <w:rsid w:val="005C5CDC"/>
    <w:rsid w:val="005D476C"/>
    <w:rsid w:val="005E53B6"/>
    <w:rsid w:val="005F6552"/>
    <w:rsid w:val="006162CB"/>
    <w:rsid w:val="006219F8"/>
    <w:rsid w:val="00665D70"/>
    <w:rsid w:val="006900D9"/>
    <w:rsid w:val="007025F5"/>
    <w:rsid w:val="00706C16"/>
    <w:rsid w:val="0071408C"/>
    <w:rsid w:val="00756841"/>
    <w:rsid w:val="007649AB"/>
    <w:rsid w:val="007654C4"/>
    <w:rsid w:val="00771D0C"/>
    <w:rsid w:val="007833AC"/>
    <w:rsid w:val="00794F56"/>
    <w:rsid w:val="007B268C"/>
    <w:rsid w:val="007B7171"/>
    <w:rsid w:val="007C0C0F"/>
    <w:rsid w:val="007C3DC2"/>
    <w:rsid w:val="007C6E0B"/>
    <w:rsid w:val="007D308F"/>
    <w:rsid w:val="007D437E"/>
    <w:rsid w:val="007E5497"/>
    <w:rsid w:val="00806F5F"/>
    <w:rsid w:val="00820278"/>
    <w:rsid w:val="00853465"/>
    <w:rsid w:val="0086265D"/>
    <w:rsid w:val="008629F8"/>
    <w:rsid w:val="00867F95"/>
    <w:rsid w:val="008843B6"/>
    <w:rsid w:val="00891928"/>
    <w:rsid w:val="008A446D"/>
    <w:rsid w:val="008A6A02"/>
    <w:rsid w:val="008B2EA6"/>
    <w:rsid w:val="008D180B"/>
    <w:rsid w:val="008F0EA7"/>
    <w:rsid w:val="00903287"/>
    <w:rsid w:val="00922436"/>
    <w:rsid w:val="00923EEF"/>
    <w:rsid w:val="009419F9"/>
    <w:rsid w:val="00945042"/>
    <w:rsid w:val="0095685E"/>
    <w:rsid w:val="00961B09"/>
    <w:rsid w:val="00965334"/>
    <w:rsid w:val="0097093E"/>
    <w:rsid w:val="00986AC5"/>
    <w:rsid w:val="0099160B"/>
    <w:rsid w:val="009A0DFA"/>
    <w:rsid w:val="009B2D26"/>
    <w:rsid w:val="009C2423"/>
    <w:rsid w:val="009C71FA"/>
    <w:rsid w:val="009C72E7"/>
    <w:rsid w:val="009D3058"/>
    <w:rsid w:val="009F3A13"/>
    <w:rsid w:val="00A06AC9"/>
    <w:rsid w:val="00A122D3"/>
    <w:rsid w:val="00A14228"/>
    <w:rsid w:val="00A17F13"/>
    <w:rsid w:val="00A20739"/>
    <w:rsid w:val="00A33C78"/>
    <w:rsid w:val="00A877DF"/>
    <w:rsid w:val="00AA1F71"/>
    <w:rsid w:val="00AB0ADB"/>
    <w:rsid w:val="00B01B1A"/>
    <w:rsid w:val="00B32993"/>
    <w:rsid w:val="00B34DAD"/>
    <w:rsid w:val="00B3694F"/>
    <w:rsid w:val="00B66319"/>
    <w:rsid w:val="00B72CD3"/>
    <w:rsid w:val="00B72FFF"/>
    <w:rsid w:val="00BC3D36"/>
    <w:rsid w:val="00BD7F72"/>
    <w:rsid w:val="00BF0E13"/>
    <w:rsid w:val="00C04FB3"/>
    <w:rsid w:val="00C330EB"/>
    <w:rsid w:val="00C36721"/>
    <w:rsid w:val="00C41061"/>
    <w:rsid w:val="00C44695"/>
    <w:rsid w:val="00C754BE"/>
    <w:rsid w:val="00C76B1C"/>
    <w:rsid w:val="00C84105"/>
    <w:rsid w:val="00C85E88"/>
    <w:rsid w:val="00CB6357"/>
    <w:rsid w:val="00CC1B26"/>
    <w:rsid w:val="00CC769A"/>
    <w:rsid w:val="00CC7FF6"/>
    <w:rsid w:val="00CD3737"/>
    <w:rsid w:val="00CE169D"/>
    <w:rsid w:val="00CF5D12"/>
    <w:rsid w:val="00D26193"/>
    <w:rsid w:val="00D423A2"/>
    <w:rsid w:val="00D520D8"/>
    <w:rsid w:val="00D63AC2"/>
    <w:rsid w:val="00D7383B"/>
    <w:rsid w:val="00D84633"/>
    <w:rsid w:val="00D84AE4"/>
    <w:rsid w:val="00D93BC5"/>
    <w:rsid w:val="00DA231B"/>
    <w:rsid w:val="00DC39FC"/>
    <w:rsid w:val="00DF5254"/>
    <w:rsid w:val="00E07DF6"/>
    <w:rsid w:val="00E16408"/>
    <w:rsid w:val="00E20894"/>
    <w:rsid w:val="00E245AB"/>
    <w:rsid w:val="00E2764C"/>
    <w:rsid w:val="00E27F2E"/>
    <w:rsid w:val="00E42616"/>
    <w:rsid w:val="00E50AFE"/>
    <w:rsid w:val="00E75C92"/>
    <w:rsid w:val="00E771DC"/>
    <w:rsid w:val="00E8772A"/>
    <w:rsid w:val="00E90F6B"/>
    <w:rsid w:val="00E92C27"/>
    <w:rsid w:val="00EA0E3D"/>
    <w:rsid w:val="00EC38A7"/>
    <w:rsid w:val="00ED0174"/>
    <w:rsid w:val="00ED4718"/>
    <w:rsid w:val="00ED7384"/>
    <w:rsid w:val="00EE1AA8"/>
    <w:rsid w:val="00EF214F"/>
    <w:rsid w:val="00F1190E"/>
    <w:rsid w:val="00F31EDC"/>
    <w:rsid w:val="00F462B3"/>
    <w:rsid w:val="00F5664F"/>
    <w:rsid w:val="00F666C4"/>
    <w:rsid w:val="00F71D28"/>
    <w:rsid w:val="00F76AFC"/>
    <w:rsid w:val="00F923E5"/>
    <w:rsid w:val="00F92B48"/>
    <w:rsid w:val="00F96773"/>
    <w:rsid w:val="00FA47C0"/>
    <w:rsid w:val="00FB24A7"/>
    <w:rsid w:val="00FB3568"/>
    <w:rsid w:val="00FB5DD1"/>
    <w:rsid w:val="00FC2B5D"/>
    <w:rsid w:val="00FF1449"/>
    <w:rsid w:val="08C51FD1"/>
    <w:rsid w:val="165E9519"/>
    <w:rsid w:val="382536D9"/>
    <w:rsid w:val="4BBFEA33"/>
    <w:rsid w:val="637A5736"/>
    <w:rsid w:val="6EFDAB80"/>
    <w:rsid w:val="7A1B81A9"/>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F5D1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5D12"/>
    <w:rPr>
      <w:rFonts w:ascii="Geomanist Light" w:hAnsi="Geomanist Light"/>
      <w:lang w:val="es-ES"/>
    </w:rPr>
  </w:style>
  <w:style w:type="character" w:customStyle="1" w:styleId="NormalWebCar">
    <w:name w:val="Normal (Web) Car"/>
    <w:link w:val="NormalWeb"/>
    <w:uiPriority w:val="99"/>
    <w:locked/>
    <w:rsid w:val="00CF5D12"/>
    <w:rPr>
      <w:rFonts w:ascii="Times New Roman" w:eastAsia="Times New Roman" w:hAnsi="Times New Roman" w:cs="Times New Roman"/>
      <w:sz w:val="24"/>
      <w:szCs w:val="24"/>
      <w:lang w:eastAsia="es-CO"/>
    </w:rPr>
  </w:style>
  <w:style w:type="character" w:customStyle="1" w:styleId="baj">
    <w:name w:val="b_aj"/>
    <w:basedOn w:val="Fuentedeprrafopredeter"/>
    <w:rsid w:val="00CF5D12"/>
  </w:style>
  <w:style w:type="paragraph" w:styleId="Textoindependiente">
    <w:name w:val="Body Text"/>
    <w:basedOn w:val="Normal"/>
    <w:link w:val="TextoindependienteCar"/>
    <w:uiPriority w:val="1"/>
    <w:qFormat/>
    <w:rsid w:val="00CF5D12"/>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F5D12"/>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ettyleal@presidencia.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302DB9C-8323-4206-949A-25C1F67DCD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infopath/2007/PartnerControls"/>
    <ds:schemaRef ds:uri="http://purl.org/dc/elements/1.1/"/>
    <ds:schemaRef ds:uri="http://schemas.microsoft.com/office/2006/metadata/properties"/>
    <ds:schemaRef ds:uri="http://purl.org/dc/terms/"/>
    <ds:schemaRef ds:uri="9d85dbaf-23eb-4e57-a637-93dcacc8b1a1"/>
    <ds:schemaRef ds:uri="http://schemas.microsoft.com/office/2006/documentManagement/types"/>
    <ds:schemaRef ds:uri="http://schemas.openxmlformats.org/package/2006/metadata/core-properties"/>
    <ds:schemaRef ds:uri="a6cb9e4b-f1d1-4245-83ec-6cad768d538a"/>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21</Pages>
  <Words>7694</Words>
  <Characters>40550</Characters>
  <Application>Microsoft Office Word</Application>
  <DocSecurity>0</DocSecurity>
  <Lines>765</Lines>
  <Paragraphs>139</Paragraphs>
  <ScaleCrop>false</ScaleCrop>
  <Company/>
  <LinksUpToDate>false</LinksUpToDate>
  <CharactersWithSpaces>48105</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6488091</vt:i4>
      </vt:variant>
      <vt:variant>
        <vt:i4>0</vt:i4>
      </vt:variant>
      <vt:variant>
        <vt:i4>0</vt:i4>
      </vt:variant>
      <vt:variant>
        <vt:i4>5</vt:i4>
      </vt:variant>
      <vt:variant>
        <vt:lpwstr>mailto:lettyleal@presidencia.gov.co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2025-11-04T15:16:00Z</dcterms:created>
  <dcterms:modified xsi:type="dcterms:W3CDTF">2025-11-04T15:16:00Z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