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8E97E" w14:textId="77777777" w:rsidR="008A217A" w:rsidRPr="00025914" w:rsidRDefault="008A217A" w:rsidP="008A217A">
      <w:pPr>
        <w:jc w:val="both"/>
        <w:rPr>
          <w:rFonts w:ascii="Verdana" w:eastAsia="Calibri" w:hAnsi="Verdana" w:cs="Arial"/>
          <w:b/>
          <w:bCs/>
          <w:color w:val="000000" w:themeColor="text1"/>
        </w:rPr>
      </w:pPr>
      <w:bookmarkStart w:id="0" w:name="_Hlk181166130"/>
      <w:bookmarkStart w:id="1" w:name="_Hlk209714638"/>
      <w:r w:rsidRPr="00025914">
        <w:rPr>
          <w:rFonts w:ascii="Verdana" w:eastAsia="Calibri" w:hAnsi="Verdana" w:cs="Arial"/>
          <w:b/>
          <w:bCs/>
          <w:color w:val="000000" w:themeColor="text1"/>
        </w:rPr>
        <w:t>SELECCIÓN OBJETIVA ― Noción y factores de escogencia</w:t>
      </w:r>
    </w:p>
    <w:p w14:paraId="25B24C02" w14:textId="77777777"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 los factores de escogencia y calificación que establezcan las entidades en los pliegos de condiciones o sus equivalentes deberán tener en cuenta, entre otras cuestiones, los criterios establecidos en los numerales 1 a 4 del mencionado artículo 5, así como los 5 parágrafos de dicha norma. </w:t>
      </w:r>
    </w:p>
    <w:p w14:paraId="441ABC46" w14:textId="77777777" w:rsidR="008A217A" w:rsidRPr="00025914" w:rsidRDefault="008A217A" w:rsidP="008A217A">
      <w:pPr>
        <w:spacing w:before="120"/>
        <w:jc w:val="both"/>
        <w:rPr>
          <w:rFonts w:ascii="Verdana" w:hAnsi="Verdana" w:cs="Arial"/>
          <w:color w:val="000000" w:themeColor="text1"/>
          <w:sz w:val="20"/>
          <w:szCs w:val="20"/>
        </w:rPr>
      </w:pPr>
      <w:r w:rsidRPr="00025914">
        <w:rPr>
          <w:rFonts w:ascii="Verdana" w:eastAsia="Calibri" w:hAnsi="Verdana" w:cs="Arial"/>
          <w:color w:val="000000" w:themeColor="text1"/>
          <w:sz w:val="20"/>
          <w:szCs w:val="20"/>
          <w:lang w:val="es-ES"/>
        </w:rPr>
        <w:t xml:space="preserve">Específicamente, el numeral 1º de la disposición referida establece que en los procesos de selección de contratistas serán objeto de verificación, como requisitos habilitantes, los siguientes: i) la capacidad jurídica; </w:t>
      </w:r>
      <w:proofErr w:type="spellStart"/>
      <w:r w:rsidRPr="00025914">
        <w:rPr>
          <w:rFonts w:ascii="Verdana" w:eastAsia="Calibri" w:hAnsi="Verdana" w:cs="Arial"/>
          <w:color w:val="000000" w:themeColor="text1"/>
          <w:sz w:val="20"/>
          <w:szCs w:val="20"/>
          <w:lang w:val="es-ES"/>
        </w:rPr>
        <w:t>ii</w:t>
      </w:r>
      <w:proofErr w:type="spellEnd"/>
      <w:r w:rsidRPr="00025914">
        <w:rPr>
          <w:rFonts w:ascii="Verdana" w:eastAsia="Calibri" w:hAnsi="Verdana" w:cs="Arial"/>
          <w:color w:val="000000" w:themeColor="text1"/>
          <w:sz w:val="20"/>
          <w:szCs w:val="20"/>
          <w:lang w:val="es-ES"/>
        </w:rPr>
        <w:t xml:space="preserve">) la experiencia; </w:t>
      </w:r>
      <w:proofErr w:type="spellStart"/>
      <w:r w:rsidRPr="00025914">
        <w:rPr>
          <w:rFonts w:ascii="Verdana" w:eastAsia="Calibri" w:hAnsi="Verdana" w:cs="Arial"/>
          <w:color w:val="000000" w:themeColor="text1"/>
          <w:sz w:val="20"/>
          <w:szCs w:val="20"/>
          <w:lang w:val="es-ES"/>
        </w:rPr>
        <w:t>iii</w:t>
      </w:r>
      <w:proofErr w:type="spellEnd"/>
      <w:r w:rsidRPr="00025914">
        <w:rPr>
          <w:rFonts w:ascii="Verdana" w:eastAsia="Calibri" w:hAnsi="Verdana" w:cs="Arial"/>
          <w:color w:val="000000" w:themeColor="text1"/>
          <w:sz w:val="20"/>
          <w:szCs w:val="20"/>
          <w:lang w:val="es-ES"/>
        </w:rPr>
        <w:t xml:space="preserve">) la capacidad financiera y </w:t>
      </w:r>
      <w:proofErr w:type="spellStart"/>
      <w:r w:rsidRPr="00025914">
        <w:rPr>
          <w:rFonts w:ascii="Verdana" w:eastAsia="Calibri" w:hAnsi="Verdana" w:cs="Arial"/>
          <w:color w:val="000000" w:themeColor="text1"/>
          <w:sz w:val="20"/>
          <w:szCs w:val="20"/>
          <w:lang w:val="es-ES"/>
        </w:rPr>
        <w:t>iv</w:t>
      </w:r>
      <w:proofErr w:type="spellEnd"/>
      <w:r w:rsidRPr="00025914">
        <w:rPr>
          <w:rFonts w:ascii="Verdana" w:eastAsia="Calibri" w:hAnsi="Verdana" w:cs="Arial"/>
          <w:color w:val="000000" w:themeColor="text1"/>
          <w:sz w:val="20"/>
          <w:szCs w:val="20"/>
          <w:lang w:val="es-ES"/>
        </w:rPr>
        <w:t>) la capacidad de organización.</w:t>
      </w:r>
    </w:p>
    <w:p w14:paraId="50B59136" w14:textId="77777777" w:rsidR="008A217A" w:rsidRPr="00025914" w:rsidRDefault="008A217A" w:rsidP="008A217A">
      <w:pPr>
        <w:jc w:val="both"/>
        <w:rPr>
          <w:rFonts w:ascii="Verdana" w:eastAsia="Calibri" w:hAnsi="Verdana" w:cs="Arial"/>
          <w:b/>
          <w:bCs/>
          <w:color w:val="000000" w:themeColor="text1"/>
        </w:rPr>
      </w:pPr>
    </w:p>
    <w:p w14:paraId="60909EE7" w14:textId="77777777" w:rsidR="008A217A" w:rsidRPr="00025914" w:rsidRDefault="008A217A" w:rsidP="008A217A">
      <w:pPr>
        <w:jc w:val="both"/>
        <w:rPr>
          <w:rFonts w:ascii="Verdana" w:eastAsia="Calibri" w:hAnsi="Verdana" w:cs="Arial"/>
          <w:b/>
          <w:bCs/>
          <w:color w:val="000000" w:themeColor="text1"/>
        </w:rPr>
      </w:pPr>
      <w:r w:rsidRPr="00025914">
        <w:rPr>
          <w:rFonts w:ascii="Verdana" w:eastAsia="Calibri" w:hAnsi="Verdana" w:cs="Arial"/>
          <w:b/>
          <w:bCs/>
          <w:color w:val="000000" w:themeColor="text1"/>
        </w:rPr>
        <w:t>REQUISITOS HABILITANTES DE LA LEY 1150 DE 2007 ― Carácter enunciativo</w:t>
      </w:r>
    </w:p>
    <w:p w14:paraId="272CFF67" w14:textId="77777777"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t>[…] en este punto vale la pena preguntarse si los cuatro requisitos habilitantes establecidos en el artículo 5, numeral 1, de la Ley 1150 de 2007, cuyo alcance fue explicado previamente, son taxativos, esto es, si son los únicos requisitos habilitantes que puede exigirle una entidad a los proponentes. Esta pregunta tiene, al menos, dos respuestas razonables. Por un lado, que sí lo son, habida cuenta que la norma no hace referencia a otros diferentes y, por el otro, que no lo son, pues esta no contiene una expresión como «únicamente» o «solo» al referirse a los requisitos habilitantes y, además, debido a que la lectura íntegra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 norma que establece que «para poder participar en los procesos de selección de los contratos de obra, la capacidad residual del proponente o K de contratación deberá ser igual o superior al que la entidad haya establecido para el efecto en los pliegos de condiciones». Esta segunda respuesta contiene la interpretación legal que comparte la Agencia Nacional de Contratación Pública.</w:t>
      </w:r>
    </w:p>
    <w:p w14:paraId="5F049D1A" w14:textId="77777777" w:rsidR="008A217A" w:rsidRPr="00025914" w:rsidRDefault="008A217A" w:rsidP="008A217A">
      <w:pPr>
        <w:rPr>
          <w:rFonts w:ascii="Verdana" w:eastAsia="Calibri" w:hAnsi="Verdana" w:cs="Arial"/>
          <w:b/>
          <w:bCs/>
          <w:color w:val="000000" w:themeColor="text1"/>
        </w:rPr>
      </w:pPr>
      <w:r w:rsidRPr="00025914">
        <w:rPr>
          <w:rFonts w:ascii="Verdana" w:eastAsia="Calibri" w:hAnsi="Verdana" w:cs="Arial"/>
          <w:b/>
          <w:bCs/>
          <w:color w:val="000000" w:themeColor="text1"/>
        </w:rPr>
        <w:t>CERTIFICACIONES DE SISTEMAS DE GESTIÓN DE CALIDAD – No se pueden exigir como requisito habilitante o puntuable</w:t>
      </w:r>
    </w:p>
    <w:p w14:paraId="4F0BCB6E" w14:textId="656BBDED"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rPr>
        <w:t xml:space="preserve">[…] </w:t>
      </w:r>
      <w:r w:rsidRPr="00025914">
        <w:rPr>
          <w:rFonts w:ascii="Verdana" w:eastAsia="Calibri" w:hAnsi="Verdana" w:cs="Arial"/>
          <w:color w:val="000000" w:themeColor="text1"/>
          <w:sz w:val="20"/>
          <w:szCs w:val="20"/>
          <w:lang w:val="es-ES"/>
        </w:rPr>
        <w:t xml:space="preserve">en el caso de los requisitos habilitantes, el artículo 5, parágrafo 2, de la Ley 1150 de 2007 establece que las </w:t>
      </w:r>
      <w:r>
        <w:rPr>
          <w:rFonts w:ascii="Verdana" w:eastAsia="Calibri" w:hAnsi="Verdana" w:cs="Arial"/>
          <w:color w:val="000000" w:themeColor="text1"/>
          <w:sz w:val="20"/>
          <w:szCs w:val="20"/>
          <w:lang w:val="es-ES"/>
        </w:rPr>
        <w:t>“</w:t>
      </w:r>
      <w:r w:rsidRPr="00025914">
        <w:rPr>
          <w:rFonts w:ascii="Verdana" w:eastAsia="Calibri" w:hAnsi="Verdana" w:cs="Arial"/>
          <w:color w:val="000000" w:themeColor="text1"/>
          <w:sz w:val="20"/>
          <w:szCs w:val="20"/>
          <w:lang w:val="es-ES"/>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sz w:val="20"/>
          <w:szCs w:val="20"/>
          <w:lang w:val="es-ES"/>
        </w:rPr>
        <w:t>”</w:t>
      </w:r>
      <w:r w:rsidRPr="00025914">
        <w:rPr>
          <w:rFonts w:ascii="Verdana" w:eastAsia="Calibri" w:hAnsi="Verdana" w:cs="Arial"/>
          <w:color w:val="000000" w:themeColor="text1"/>
          <w:sz w:val="20"/>
          <w:szCs w:val="20"/>
          <w:lang w:val="es-ES"/>
        </w:rPr>
        <w:t>. Es del caso precisar que esta prohibición comprende los requisitos habilitantes y, además, los requisitos puntuables, pues la norma prohíbe expresamente que dichas certificaciones sean objeto de calificación. […]</w:t>
      </w:r>
    </w:p>
    <w:p w14:paraId="128824C3" w14:textId="77777777" w:rsidR="008A217A" w:rsidRPr="00025914" w:rsidRDefault="008A217A" w:rsidP="008A217A">
      <w:pPr>
        <w:spacing w:before="120"/>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lastRenderedPageBreak/>
        <w:t>Ese es el criterio actual en el Consejo de Estado. En efecto, en concepto del 20 de mayo del 2010, la Sala de Consulta y Servicio Civil de dicha Corporación aclaró que «[…] Los certificados de gestión de calidad no se pueden solicitar a los proponentes, ni como requisito habilitante para participar en los procesos de selección, ni para otorgar puntaje».</w:t>
      </w:r>
    </w:p>
    <w:p w14:paraId="3383DF2F"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14A84B19" w14:textId="77777777" w:rsidR="00867581" w:rsidRDefault="00867581" w:rsidP="00867581">
      <w:pPr>
        <w:spacing w:after="0" w:line="240" w:lineRule="auto"/>
        <w:jc w:val="both"/>
        <w:rPr>
          <w:rFonts w:ascii="Verdana" w:eastAsia="Calibri" w:hAnsi="Verdana" w:cs="Arial"/>
          <w:color w:val="000000" w:themeColor="text1"/>
          <w:sz w:val="20"/>
          <w:szCs w:val="20"/>
          <w:lang w:val="es-ES"/>
        </w:rPr>
      </w:pPr>
    </w:p>
    <w:p w14:paraId="5DCFBBE3"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A477A7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6146F02"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21DC3B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BAEA1D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C844E1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376C2F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269EDA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7E9755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E09BC0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1DB11A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26F0E0B"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18AA53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E6D93B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EA1EAF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12AE8D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1695418A"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4D1E41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68D721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84FC324"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055FF3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432AE66"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CD336EA"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DFCF8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80E14F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938EBE4"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B142A8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7E60106"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2C797B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ED4D28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DC40F3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6BAC7E8"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99B945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F2CDB4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4CC97C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2EA1868"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66BA2FD" w14:textId="77777777" w:rsidR="008A217A" w:rsidRPr="006F60F9" w:rsidRDefault="008A217A" w:rsidP="00867581">
      <w:pPr>
        <w:spacing w:after="0" w:line="240" w:lineRule="auto"/>
        <w:jc w:val="both"/>
        <w:rPr>
          <w:rFonts w:ascii="Verdana" w:eastAsia="Calibri" w:hAnsi="Verdana" w:cs="Arial"/>
          <w:color w:val="000000" w:themeColor="text1"/>
          <w:sz w:val="20"/>
          <w:szCs w:val="20"/>
          <w:lang w:val="es-ES"/>
        </w:rPr>
      </w:pPr>
    </w:p>
    <w:p w14:paraId="1755AB6B"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4C9DD73A"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5E569E1E"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3BFCBAC4"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734BF481" w14:textId="5B1AA839"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687D47">
        <w:rPr>
          <w:rFonts w:ascii="Verdana" w:hAnsi="Verdana"/>
        </w:rPr>
        <w:t>21</w:t>
      </w:r>
      <w:r w:rsidR="00324E0B">
        <w:rPr>
          <w:rFonts w:ascii="Verdana" w:hAnsi="Verdana"/>
        </w:rPr>
        <w:t xml:space="preserve"> </w:t>
      </w:r>
      <w:r w:rsidR="00763E4A">
        <w:rPr>
          <w:rFonts w:ascii="Verdana" w:hAnsi="Verdana"/>
        </w:rPr>
        <w:t xml:space="preserve">de </w:t>
      </w:r>
      <w:r w:rsidR="00687D47">
        <w:rPr>
          <w:rFonts w:ascii="Verdana" w:hAnsi="Verdana"/>
        </w:rPr>
        <w:t>noviembre</w:t>
      </w:r>
      <w:r w:rsidR="00763E4A">
        <w:rPr>
          <w:rFonts w:ascii="Verdana" w:hAnsi="Verdana"/>
        </w:rPr>
        <w:t xml:space="preserve"> de </w:t>
      </w:r>
      <w:r w:rsidR="00687D47">
        <w:rPr>
          <w:rFonts w:ascii="Verdana" w:hAnsi="Verdana"/>
        </w:rPr>
        <w:t>2025</w:t>
      </w:r>
      <w:r w:rsidR="00324E0B">
        <w:rPr>
          <w:rFonts w:ascii="Verdana" w:hAnsi="Verdana"/>
        </w:rPr>
        <w:t xml:space="preserve"> </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68F08A63" w14:textId="26D94371" w:rsidR="00A64017" w:rsidRDefault="00687D47" w:rsidP="00687D47">
      <w:pPr>
        <w:spacing w:after="0" w:line="240" w:lineRule="auto"/>
        <w:jc w:val="right"/>
        <w:rPr>
          <w:rFonts w:ascii="Verdana" w:hAnsi="Verdana"/>
        </w:rPr>
      </w:pPr>
      <w:r>
        <w:rPr>
          <w:rFonts w:ascii="Verdana" w:hAnsi="Verdana"/>
          <w:noProof/>
        </w:rPr>
        <w:drawing>
          <wp:inline distT="0" distB="0" distL="0" distR="0" wp14:anchorId="4C1A5DB0" wp14:editId="73DAAAD9">
            <wp:extent cx="2505075" cy="762000"/>
            <wp:effectExtent l="0" t="0" r="9525" b="0"/>
            <wp:docPr id="7515026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5075" cy="762000"/>
                    </a:xfrm>
                    <a:prstGeom prst="rect">
                      <a:avLst/>
                    </a:prstGeom>
                    <a:noFill/>
                    <a:ln>
                      <a:noFill/>
                    </a:ln>
                  </pic:spPr>
                </pic:pic>
              </a:graphicData>
            </a:graphic>
          </wp:inline>
        </w:drawing>
      </w:r>
    </w:p>
    <w:p w14:paraId="0C02CE3A" w14:textId="77777777" w:rsidR="00687D47" w:rsidRDefault="00687D47" w:rsidP="00103B90">
      <w:pPr>
        <w:spacing w:after="0" w:line="240" w:lineRule="auto"/>
        <w:rPr>
          <w:rFonts w:ascii="Verdana" w:hAnsi="Verdana"/>
        </w:rPr>
      </w:pPr>
    </w:p>
    <w:p w14:paraId="53EB9D4B" w14:textId="77777777" w:rsidR="00687D47" w:rsidRDefault="00687D47" w:rsidP="00103B90">
      <w:pPr>
        <w:spacing w:after="0" w:line="240" w:lineRule="auto"/>
        <w:rPr>
          <w:rFonts w:ascii="Verdana" w:hAnsi="Verdana"/>
        </w:rPr>
      </w:pPr>
    </w:p>
    <w:p w14:paraId="6EF9D4E0" w14:textId="383CBA78" w:rsidR="00A64017"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AB6255F" w14:textId="77777777" w:rsidR="008323CA" w:rsidRPr="008323CA" w:rsidRDefault="008323CA" w:rsidP="00A64017">
      <w:pPr>
        <w:spacing w:after="0" w:line="240" w:lineRule="auto"/>
        <w:rPr>
          <w:rFonts w:ascii="Verdana" w:eastAsia="Calibri" w:hAnsi="Verdana" w:cs="Arial"/>
          <w:sz w:val="24"/>
          <w:szCs w:val="24"/>
          <w:lang w:eastAsia="es-ES"/>
        </w:rPr>
      </w:pPr>
      <w:hyperlink r:id="rId12" w:history="1">
        <w:r w:rsidRPr="008323CA">
          <w:rPr>
            <w:rStyle w:val="Hipervnculo"/>
            <w:rFonts w:ascii="Verdana" w:eastAsia="Calibri" w:hAnsi="Verdana" w:cs="Arial"/>
            <w:sz w:val="24"/>
            <w:szCs w:val="24"/>
            <w:lang w:eastAsia="es-ES"/>
          </w:rPr>
          <w:t>andyortecnologias@gmail.com</w:t>
        </w:r>
      </w:hyperlink>
      <w:r w:rsidRPr="008323CA">
        <w:rPr>
          <w:rFonts w:ascii="Verdana" w:eastAsia="Calibri" w:hAnsi="Verdana" w:cs="Arial"/>
          <w:sz w:val="24"/>
          <w:szCs w:val="24"/>
          <w:lang w:eastAsia="es-ES"/>
        </w:rPr>
        <w:t xml:space="preserve"> </w:t>
      </w:r>
    </w:p>
    <w:p w14:paraId="6E2CC3AD" w14:textId="77777777" w:rsidR="00CB7B40" w:rsidRPr="00FE3DEC"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4E2216F1"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CB7B40">
              <w:rPr>
                <w:rFonts w:ascii="Verdana" w:eastAsia="Calibri" w:hAnsi="Verdana" w:cs="Arial"/>
                <w:b/>
                <w:bCs/>
                <w:lang w:val="es-ES" w:eastAsia="es-ES"/>
              </w:rPr>
              <w:t>1</w:t>
            </w:r>
            <w:r w:rsidR="00F05362">
              <w:rPr>
                <w:rFonts w:ascii="Verdana" w:eastAsia="Calibri" w:hAnsi="Verdana" w:cs="Arial"/>
                <w:b/>
                <w:bCs/>
                <w:lang w:val="es-ES" w:eastAsia="es-ES"/>
              </w:rPr>
              <w:t>4</w:t>
            </w:r>
            <w:r w:rsidR="008323CA">
              <w:rPr>
                <w:rFonts w:ascii="Verdana" w:eastAsia="Calibri" w:hAnsi="Verdana" w:cs="Arial"/>
                <w:b/>
                <w:bCs/>
                <w:lang w:val="es-ES" w:eastAsia="es-ES"/>
              </w:rPr>
              <w:t>90</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7D97A7A4" w:rsidR="00867581" w:rsidRPr="00280D79" w:rsidRDefault="008A217A" w:rsidP="00C14BFF">
            <w:pPr>
              <w:jc w:val="both"/>
              <w:rPr>
                <w:rFonts w:ascii="Verdana" w:eastAsia="Calibri" w:hAnsi="Verdana" w:cs="Arial"/>
                <w:b/>
                <w:highlight w:val="yellow"/>
                <w:lang w:val="es-ES" w:eastAsia="es-ES"/>
              </w:rPr>
            </w:pPr>
            <w:r w:rsidRPr="00025914">
              <w:rPr>
                <w:rFonts w:ascii="Verdana" w:eastAsia="Calibri" w:hAnsi="Verdana" w:cs="Arial"/>
                <w:color w:val="000000" w:themeColor="text1"/>
              </w:rPr>
              <w:t>SELECCIÓN OBJETIVA ― Noción y factores de escogencia / REQUISITOS HABILITANTES DE LA LEY 1150 DE 2007 ― Carácter enunciativo / CERTIFICACIONES DE SISTEMAS DE GESTIÓN DE CALIDAD – No se pueden exigir como requisito habilitante o puntuable</w:t>
            </w:r>
            <w:r>
              <w:rPr>
                <w:rFonts w:ascii="Verdana" w:eastAsia="Calibri" w:hAnsi="Verdana" w:cs="Arial"/>
                <w:color w:val="000000" w:themeColor="text1"/>
              </w:rPr>
              <w:t>.</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0BD21565"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8323CA" w:rsidRPr="008323CA">
              <w:rPr>
                <w:rFonts w:ascii="Verdana" w:eastAsia="Calibri" w:hAnsi="Verdana" w:cs="Arial"/>
                <w:lang w:val="es-ES_tradnl" w:eastAsia="es-ES_tradnl"/>
              </w:rPr>
              <w:t>1_2025_10_11_011441</w:t>
            </w:r>
            <w:r w:rsidR="002D4A66">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38C496DD"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D36635">
        <w:rPr>
          <w:rFonts w:ascii="Verdana" w:eastAsia="Calibri" w:hAnsi="Verdana" w:cs="Arial"/>
          <w:lang w:val="es-ES" w:eastAsia="es-ES"/>
        </w:rPr>
        <w:t xml:space="preserve">o </w:t>
      </w:r>
      <w:r w:rsidRPr="006730E9">
        <w:rPr>
          <w:rFonts w:ascii="Verdana" w:eastAsia="Calibri" w:hAnsi="Verdana" w:cs="Arial"/>
          <w:lang w:val="es-ES" w:eastAsia="es-ES"/>
        </w:rPr>
        <w:t>señor</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4A31DE1D"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8323CA">
        <w:rPr>
          <w:rFonts w:ascii="Verdana" w:eastAsia="Calibri" w:hAnsi="Verdana" w:cs="Arial"/>
          <w:lang w:val="es-ES" w:eastAsia="es-ES"/>
        </w:rPr>
        <w:t>15</w:t>
      </w:r>
      <w:r w:rsidR="00E445EC">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F05362">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4F15BAFA" w14:textId="77777777" w:rsidR="005B4680" w:rsidRDefault="00CB7B40" w:rsidP="005B468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4D50EF0E" w14:textId="48CEB2D0" w:rsidR="00E445EC" w:rsidRPr="008323CA" w:rsidRDefault="008323CA" w:rsidP="00604DCE">
      <w:pPr>
        <w:numPr>
          <w:ilvl w:val="0"/>
          <w:numId w:val="36"/>
        </w:numPr>
        <w:tabs>
          <w:tab w:val="left" w:pos="142"/>
          <w:tab w:val="left" w:pos="567"/>
        </w:tabs>
        <w:spacing w:after="0" w:line="240" w:lineRule="auto"/>
        <w:ind w:left="709" w:right="709"/>
        <w:jc w:val="both"/>
        <w:rPr>
          <w:rFonts w:ascii="Verdana" w:eastAsia="Century Gothic" w:hAnsi="Verdana" w:cs="Century Gothic"/>
          <w:i/>
          <w:iCs/>
          <w:sz w:val="20"/>
          <w:szCs w:val="20"/>
        </w:rPr>
      </w:pPr>
      <w:r w:rsidRPr="008323CA">
        <w:rPr>
          <w:rFonts w:ascii="Verdana" w:eastAsia="Century Gothic" w:hAnsi="Verdana" w:cs="Century Gothic"/>
          <w:i/>
          <w:iCs/>
          <w:sz w:val="20"/>
          <w:szCs w:val="20"/>
        </w:rPr>
        <w:t>¿En un proceso de contratación en la modalidad de mínima cuantía una entidad puede exigir como requisito habilitante que los oferentes cuenten con la norma ISO 20000-1?</w:t>
      </w:r>
      <w:r w:rsidR="00E445EC" w:rsidRPr="008323CA">
        <w:rPr>
          <w:rFonts w:ascii="Verdana" w:eastAsia="Century Gothic" w:hAnsi="Verdana" w:cs="Century Gothic"/>
          <w:i/>
          <w:iCs/>
          <w:sz w:val="20"/>
          <w:szCs w:val="20"/>
        </w:rPr>
        <w:t xml:space="preserve"> </w:t>
      </w:r>
    </w:p>
    <w:p w14:paraId="2CDDC996" w14:textId="1108CDFB" w:rsidR="00A64017" w:rsidRPr="00EA70F7" w:rsidRDefault="00A64017"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AA3B9F">
        <w:rPr>
          <w:rFonts w:ascii="Verdana" w:eastAsia="Calibri" w:hAnsi="Verdana" w:cs="Arial"/>
          <w:lang w:val="es-ES" w:eastAsia="es-ES"/>
        </w:rPr>
        <w:lastRenderedPageBreak/>
        <w:t xml:space="preserve">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10DF1A14" w14:textId="4F90BA38" w:rsidR="003971DC" w:rsidRPr="009015F2" w:rsidRDefault="00A64017" w:rsidP="003971DC">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976F8">
        <w:rPr>
          <w:rFonts w:ascii="Verdana" w:eastAsia="Calibri" w:hAnsi="Verdana" w:cs="Arial"/>
          <w:lang w:eastAsia="es-ES"/>
        </w:rPr>
        <w:t>el</w:t>
      </w:r>
      <w:r w:rsidR="00D237B8">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sidR="009015F2">
        <w:rPr>
          <w:rFonts w:ascii="Verdana" w:eastAsia="Century Gothic" w:hAnsi="Verdana" w:cs="Century Gothic"/>
        </w:rPr>
        <w:t xml:space="preserve"> </w:t>
      </w:r>
      <w:r w:rsidR="009015F2" w:rsidRPr="00025914">
        <w:rPr>
          <w:rFonts w:ascii="Verdana" w:hAnsi="Verdana"/>
        </w:rPr>
        <w:t>¿</w:t>
      </w:r>
      <w:r w:rsidR="009015F2" w:rsidRPr="00025914">
        <w:rPr>
          <w:rFonts w:ascii="Verdana" w:eastAsia="Century Gothic" w:hAnsi="Verdana" w:cs="Century Gothic"/>
        </w:rPr>
        <w:t>Las certificaciones de sistemas de gestión de calidad son objeto de calificación, y podrán establecerse como documento habilitante para participar en procesos de selección</w:t>
      </w:r>
      <w:r w:rsidR="009015F2" w:rsidRPr="00025914">
        <w:rPr>
          <w:rFonts w:ascii="Verdana" w:hAnsi="Verdana" w:cs="Arial"/>
          <w:bCs/>
          <w:lang w:val="es-ES_tradnl"/>
        </w:rPr>
        <w:t>?</w:t>
      </w:r>
      <w:r w:rsidR="008303DD" w:rsidRPr="008303DD">
        <w:rPr>
          <w:rFonts w:ascii="Verdana" w:eastAsia="Calibri" w:hAnsi="Verdana" w:cs="Arial"/>
          <w:lang w:eastAsia="es-ES"/>
        </w:rPr>
        <w:t xml:space="preserve"> </w:t>
      </w:r>
    </w:p>
    <w:p w14:paraId="168ABEE7" w14:textId="77777777" w:rsidR="006420DB" w:rsidRDefault="006420DB" w:rsidP="001B319A">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36C3538E" w14:textId="1E7C4DC5" w:rsidR="00933CFF" w:rsidRDefault="00933CFF" w:rsidP="00933CFF">
            <w:pPr>
              <w:spacing w:before="120" w:line="276" w:lineRule="auto"/>
              <w:jc w:val="both"/>
              <w:rPr>
                <w:rFonts w:ascii="Verdana" w:eastAsia="Calibri" w:hAnsi="Verdana" w:cs="Arial"/>
                <w:color w:val="000000" w:themeColor="text1"/>
              </w:rPr>
            </w:pPr>
            <w:r>
              <w:rPr>
                <w:rFonts w:ascii="Verdana" w:hAnsi="Verdana"/>
                <w:bCs/>
                <w:lang w:val="es-MX" w:eastAsia="es-CO"/>
              </w:rPr>
              <w:t xml:space="preserve">           </w:t>
            </w:r>
            <w:r w:rsidRPr="00025914">
              <w:rPr>
                <w:rFonts w:ascii="Verdana" w:hAnsi="Verdana" w:cs="Arial"/>
              </w:rPr>
              <w:t>E</w:t>
            </w:r>
            <w:r w:rsidRPr="00025914">
              <w:rPr>
                <w:rFonts w:ascii="Verdana" w:eastAsia="Calibri" w:hAnsi="Verdana" w:cs="Arial"/>
                <w:color w:val="000000" w:themeColor="text1"/>
              </w:rPr>
              <w:t xml:space="preserv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rPr>
              <w:t>”</w:t>
            </w:r>
            <w:r w:rsidRPr="00025914">
              <w:rPr>
                <w:rFonts w:ascii="Verdana" w:eastAsia="Calibri" w:hAnsi="Verdana" w:cs="Arial"/>
                <w:color w:val="000000" w:themeColor="text1"/>
              </w:rPr>
              <w:t xml:space="preserve">.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025914">
              <w:rPr>
                <w:rFonts w:ascii="Verdana" w:eastAsia="Calibri" w:hAnsi="Verdana" w:cs="Arial"/>
                <w:i/>
                <w:iCs/>
                <w:color w:val="000000" w:themeColor="text1"/>
              </w:rPr>
              <w:t>sub examine</w:t>
            </w:r>
            <w:r w:rsidRPr="00025914">
              <w:rPr>
                <w:rFonts w:ascii="Verdana" w:eastAsia="Calibri" w:hAnsi="Verdana" w:cs="Arial"/>
                <w:color w:val="000000" w:themeColor="text1"/>
              </w:rPr>
              <w:t xml:space="preserve">, pues, aceptar una lectura exegética del parágrafo, implicaría asumir que una entidad está </w:t>
            </w:r>
            <w:r w:rsidRPr="00025914">
              <w:rPr>
                <w:rFonts w:ascii="Verdana" w:eastAsia="Calibri" w:hAnsi="Verdana" w:cs="Arial"/>
                <w:color w:val="000000" w:themeColor="text1"/>
              </w:rPr>
              <w:lastRenderedPageBreak/>
              <w:t>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607B0CF0" w14:textId="77777777" w:rsidR="00933CFF" w:rsidRDefault="00933CFF" w:rsidP="00933CFF">
            <w:pPr>
              <w:spacing w:line="276" w:lineRule="auto"/>
              <w:ind w:firstLine="709"/>
              <w:jc w:val="both"/>
              <w:rPr>
                <w:rFonts w:ascii="Verdana" w:eastAsia="Calibri" w:hAnsi="Verdana" w:cs="Arial"/>
                <w:color w:val="000000" w:themeColor="text1"/>
              </w:rPr>
            </w:pPr>
          </w:p>
          <w:p w14:paraId="7E694307" w14:textId="592E4E34"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Ese es el criterio actual en el Consejo de Estado. En efecto, en concepto del 20 de mayo del 2010, la Sala de Consulta y Servicio Civil de dicha Corporación aclaró que </w:t>
            </w:r>
            <w:r>
              <w:rPr>
                <w:rFonts w:ascii="Verdana" w:eastAsia="Calibri" w:hAnsi="Verdana" w:cs="Arial"/>
                <w:color w:val="000000" w:themeColor="text1"/>
              </w:rPr>
              <w:t>“</w:t>
            </w:r>
            <w:r w:rsidRPr="00025914">
              <w:rPr>
                <w:rFonts w:ascii="Verdana" w:hAnsi="Verdana"/>
              </w:rPr>
              <w:t xml:space="preserve">[…] </w:t>
            </w:r>
            <w:r w:rsidRPr="00025914">
              <w:rPr>
                <w:rFonts w:ascii="Verdana" w:eastAsia="Calibri" w:hAnsi="Verdana" w:cs="Arial"/>
                <w:color w:val="000000" w:themeColor="text1"/>
              </w:rPr>
              <w:t>Los certificados de gestión de calidad no se pueden solicitar a los proponentes, ni como requisito habilitante para participar en los procesos de selección, ni para otorgar puntaje</w:t>
            </w:r>
            <w:r>
              <w:rPr>
                <w:rFonts w:ascii="Verdana" w:eastAsia="Calibri" w:hAnsi="Verdana" w:cs="Arial"/>
                <w:color w:val="000000" w:themeColor="text1"/>
              </w:rPr>
              <w:t>”</w:t>
            </w:r>
            <w:r w:rsidRPr="00025914">
              <w:rPr>
                <w:rStyle w:val="Refdenotaalpie"/>
                <w:rFonts w:ascii="Verdana" w:eastAsia="Calibri" w:hAnsi="Verdana" w:cs="Arial"/>
                <w:color w:val="000000" w:themeColor="text1"/>
              </w:rPr>
              <w:footnoteReference w:id="1"/>
            </w:r>
            <w:r w:rsidRPr="00025914">
              <w:rPr>
                <w:rFonts w:ascii="Verdana" w:eastAsia="Calibri" w:hAnsi="Verdana" w:cs="Arial"/>
                <w:color w:val="000000" w:themeColor="text1"/>
              </w:rPr>
              <w:t>.</w:t>
            </w:r>
          </w:p>
          <w:p w14:paraId="273D5895" w14:textId="1DE0EE9A"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Pr>
                <w:rFonts w:ascii="Verdana" w:eastAsia="Calibri" w:hAnsi="Verdana" w:cs="Arial"/>
                <w:color w:val="000000" w:themeColor="text1"/>
              </w:rPr>
              <w:t>”</w:t>
            </w:r>
            <w:r w:rsidRPr="00025914">
              <w:rPr>
                <w:rFonts w:ascii="Verdana" w:eastAsia="Calibri" w:hAnsi="Verdana" w:cs="Arial"/>
                <w:color w:val="000000" w:themeColor="text1"/>
              </w:rPr>
              <w:t>, reglamentados por medio de la Resolución 0312 del 13 de febrero de 2019, expedida por el Ministerio del Trabajo. En efecto, los artículos 3, 9, 16 y 20 de esa resolución establecen exigencias mínimas que deberán cumplir las empresas, empleadores y contratantes a los que se refiere el artículo 2 de dicho acto administrativo.</w:t>
            </w:r>
          </w:p>
          <w:p w14:paraId="60883179" w14:textId="77777777" w:rsidR="00933CFF" w:rsidRDefault="00933CFF" w:rsidP="006420DB">
            <w:pPr>
              <w:spacing w:line="276" w:lineRule="auto"/>
              <w:contextualSpacing/>
              <w:jc w:val="both"/>
              <w:rPr>
                <w:rFonts w:ascii="Verdana" w:eastAsia="Calibri" w:hAnsi="Verdana" w:cs="Arial"/>
                <w:bCs/>
                <w:color w:val="000000" w:themeColor="text1"/>
              </w:rPr>
            </w:pPr>
          </w:p>
          <w:p w14:paraId="05BF1378" w14:textId="6CD91F07" w:rsidR="006420DB" w:rsidRPr="00DB4737" w:rsidRDefault="009C3C72" w:rsidP="006420DB">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sidR="006420DB">
              <w:rPr>
                <w:rFonts w:ascii="Verdana" w:eastAsia="Calibri" w:hAnsi="Verdana" w:cs="Arial"/>
                <w:bCs/>
                <w:color w:val="000000" w:themeColor="text1"/>
              </w:rPr>
              <w:t>Finalmente</w:t>
            </w:r>
            <w:r w:rsidR="006420DB">
              <w:rPr>
                <w:rFonts w:ascii="Verdana" w:eastAsia="Calibri" w:hAnsi="Verdana" w:cs="Times New Roman"/>
                <w:lang w:val="es-ES"/>
              </w:rPr>
              <w:t>,</w:t>
            </w:r>
            <w:r w:rsidR="006420DB" w:rsidRPr="00DB4737">
              <w:rPr>
                <w:rFonts w:ascii="Verdana" w:eastAsia="Calibri" w:hAnsi="Verdana" w:cs="Times New Roman"/>
                <w:lang w:val="es-ES"/>
              </w:rPr>
              <w:t xml:space="preserve"> debe advertirse que el análisis en torno </w:t>
            </w:r>
            <w:r w:rsidR="006420DB">
              <w:rPr>
                <w:rFonts w:ascii="Verdana" w:eastAsia="Calibri" w:hAnsi="Verdana" w:cs="Times New Roman"/>
                <w:lang w:val="es-ES"/>
              </w:rPr>
              <w:t>a un proceso de contratación especifico debe</w:t>
            </w:r>
            <w:r w:rsidR="006420DB" w:rsidRPr="0012388D">
              <w:rPr>
                <w:rFonts w:ascii="Verdana" w:eastAsia="Calibri" w:hAnsi="Verdana" w:cs="Times New Roman"/>
                <w:lang w:val="es-ES"/>
              </w:rPr>
              <w:t xml:space="preserve"> ser realizado por quienes tengan interés en ello.</w:t>
            </w:r>
            <w:r w:rsidR="006420DB"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6420DB">
              <w:t xml:space="preserve"> </w:t>
            </w:r>
          </w:p>
          <w:p w14:paraId="0E5A9819" w14:textId="77777777" w:rsidR="006420DB" w:rsidRDefault="006420DB" w:rsidP="006420DB">
            <w:pPr>
              <w:spacing w:line="276" w:lineRule="auto"/>
              <w:contextualSpacing/>
              <w:jc w:val="both"/>
              <w:rPr>
                <w:rFonts w:ascii="Verdana" w:eastAsia="Calibri" w:hAnsi="Verdana" w:cs="Times New Roman"/>
                <w:lang w:val="es-ES"/>
              </w:rPr>
            </w:pPr>
          </w:p>
          <w:p w14:paraId="5EA94571" w14:textId="21834752" w:rsidR="00A51CB5" w:rsidRPr="00E529C2" w:rsidRDefault="009C3C72" w:rsidP="006420DB">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6420DB"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006420DB" w:rsidRPr="00DB4737">
              <w:rPr>
                <w:rFonts w:ascii="Verdana" w:eastAsia="Calibri" w:hAnsi="Verdana" w:cs="Times New Roman"/>
                <w:lang w:val="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6627C4" w14:textId="77777777" w:rsidR="00C31B11" w:rsidRDefault="00C31B11" w:rsidP="00C31B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396A7F7" w14:textId="5FB58A00" w:rsidR="00933CFF" w:rsidRPr="00025914" w:rsidRDefault="00070BF0" w:rsidP="00933CFF">
      <w:pPr>
        <w:spacing w:line="276" w:lineRule="auto"/>
        <w:jc w:val="both"/>
        <w:rPr>
          <w:rFonts w:ascii="Verdana" w:eastAsia="Calibri" w:hAnsi="Verdana" w:cs="Arial"/>
          <w:color w:val="000000" w:themeColor="text1"/>
        </w:rPr>
      </w:pPr>
      <w:r>
        <w:rPr>
          <w:rFonts w:ascii="Verdana" w:eastAsia="Calibri" w:hAnsi="Verdana" w:cs="Arial"/>
          <w:bCs/>
        </w:rPr>
        <w:tab/>
        <w:t xml:space="preserve">   </w:t>
      </w:r>
      <w:r w:rsidR="00933CFF" w:rsidRPr="00025914">
        <w:rPr>
          <w:rFonts w:ascii="Verdana" w:eastAsia="Calibri" w:hAnsi="Verdana" w:cs="Arial"/>
          <w:color w:val="000000" w:themeColor="text1"/>
        </w:rPr>
        <w:t xml:space="preserve">El artículo 5 de la Ley 1150 de 2007 establece que se considera </w:t>
      </w:r>
      <w:r w:rsidR="00933CFF">
        <w:rPr>
          <w:rFonts w:ascii="Verdana" w:eastAsia="Calibri" w:hAnsi="Verdana" w:cs="Arial"/>
          <w:color w:val="000000" w:themeColor="text1"/>
        </w:rPr>
        <w:t>“</w:t>
      </w:r>
      <w:r w:rsidR="00933CFF" w:rsidRPr="00025914">
        <w:rPr>
          <w:rFonts w:ascii="Verdana" w:eastAsia="Calibri" w:hAnsi="Verdana" w:cs="Arial"/>
          <w:color w:val="000000" w:themeColor="text1"/>
        </w:rPr>
        <w:t>objetiva la selección en la cual la escogencia se haga al ofrecimiento más favorable a la entidad y a los fines que ella busca, sin tener en consideración factores de afecto o de interés y, en general, cualquier clase de motivación subjetiva</w:t>
      </w:r>
      <w:r w:rsidR="00AC032B">
        <w:rPr>
          <w:rFonts w:ascii="Verdana" w:eastAsia="Calibri" w:hAnsi="Verdana" w:cs="Arial"/>
          <w:color w:val="000000" w:themeColor="text1"/>
        </w:rPr>
        <w:t>”</w:t>
      </w:r>
      <w:r w:rsidR="00933CFF" w:rsidRPr="00025914">
        <w:rPr>
          <w:rFonts w:ascii="Verdana" w:eastAsia="Calibri" w:hAnsi="Verdana" w:cs="Arial"/>
          <w:color w:val="000000" w:themeColor="text1"/>
        </w:rPr>
        <w:t xml:space="preserve">. En ese contexto, los factores de escogencia y calificación que establezcan las entidades en los pliegos de condiciones o sus </w:t>
      </w:r>
      <w:r w:rsidR="00AC032B" w:rsidRPr="00025914">
        <w:rPr>
          <w:rFonts w:ascii="Verdana" w:eastAsia="Calibri" w:hAnsi="Verdana" w:cs="Arial"/>
          <w:color w:val="000000" w:themeColor="text1"/>
        </w:rPr>
        <w:t>equivalentes</w:t>
      </w:r>
      <w:r w:rsidR="00933CFF" w:rsidRPr="00025914">
        <w:rPr>
          <w:rFonts w:ascii="Verdana" w:eastAsia="Calibri" w:hAnsi="Verdana" w:cs="Arial"/>
          <w:color w:val="000000" w:themeColor="text1"/>
        </w:rPr>
        <w:t xml:space="preserve"> deberán tener en cuenta, entre otras cuestiones, los criterios establecidos en los numerales 1 a 4 del mencionado artículo 5, así como los 5 parágrafos de dicha norma. </w:t>
      </w:r>
    </w:p>
    <w:p w14:paraId="65B675D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Específicamente, el numeral 1º de la disposición referida establece que en los procesos de selección de contratistas serán objeto de verificación, como requisitos habilitantes, los siguientes: i) la capacidad jurídica; </w:t>
      </w:r>
      <w:proofErr w:type="spellStart"/>
      <w:r w:rsidRPr="00025914">
        <w:rPr>
          <w:rFonts w:ascii="Verdana" w:eastAsia="Calibri" w:hAnsi="Verdana" w:cs="Arial"/>
          <w:color w:val="000000" w:themeColor="text1"/>
        </w:rPr>
        <w:t>ii</w:t>
      </w:r>
      <w:proofErr w:type="spellEnd"/>
      <w:r w:rsidRPr="00025914">
        <w:rPr>
          <w:rFonts w:ascii="Verdana" w:eastAsia="Calibri" w:hAnsi="Verdana" w:cs="Arial"/>
          <w:color w:val="000000" w:themeColor="text1"/>
        </w:rPr>
        <w:t xml:space="preserve">) la experiencia; </w:t>
      </w:r>
      <w:proofErr w:type="spellStart"/>
      <w:r w:rsidRPr="00025914">
        <w:rPr>
          <w:rFonts w:ascii="Verdana" w:eastAsia="Calibri" w:hAnsi="Verdana" w:cs="Arial"/>
          <w:color w:val="000000" w:themeColor="text1"/>
        </w:rPr>
        <w:t>iii</w:t>
      </w:r>
      <w:proofErr w:type="spellEnd"/>
      <w:r w:rsidRPr="00025914">
        <w:rPr>
          <w:rFonts w:ascii="Verdana" w:eastAsia="Calibri" w:hAnsi="Verdana" w:cs="Arial"/>
          <w:color w:val="000000" w:themeColor="text1"/>
        </w:rPr>
        <w:t xml:space="preserve">) la capacidad financiera y </w:t>
      </w:r>
      <w:proofErr w:type="spellStart"/>
      <w:r w:rsidRPr="00025914">
        <w:rPr>
          <w:rFonts w:ascii="Verdana" w:eastAsia="Calibri" w:hAnsi="Verdana" w:cs="Arial"/>
          <w:color w:val="000000" w:themeColor="text1"/>
        </w:rPr>
        <w:t>iv</w:t>
      </w:r>
      <w:proofErr w:type="spellEnd"/>
      <w:r w:rsidRPr="00025914">
        <w:rPr>
          <w:rFonts w:ascii="Verdana" w:eastAsia="Calibri" w:hAnsi="Verdana" w:cs="Arial"/>
          <w:color w:val="000000" w:themeColor="text1"/>
        </w:rPr>
        <w:t xml:space="preserve">) la capacidad de organización. En efecto, la normativa </w:t>
      </w:r>
      <w:r w:rsidRPr="00025914">
        <w:rPr>
          <w:rFonts w:ascii="Verdana" w:eastAsia="Calibri" w:hAnsi="Verdana" w:cs="Arial"/>
          <w:i/>
          <w:iCs/>
          <w:color w:val="000000" w:themeColor="text1"/>
        </w:rPr>
        <w:t>sub lite</w:t>
      </w:r>
      <w:r w:rsidRPr="00025914">
        <w:rPr>
          <w:rFonts w:ascii="Verdana" w:eastAsia="Calibri" w:hAnsi="Verdana" w:cs="Arial"/>
          <w:color w:val="000000" w:themeColor="text1"/>
        </w:rPr>
        <w:t xml:space="preserve"> dispone: </w:t>
      </w:r>
    </w:p>
    <w:p w14:paraId="23D37B0B"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 xml:space="preserve">Artículo 5. De la Selección Objetiva. </w:t>
      </w:r>
    </w:p>
    <w:p w14:paraId="032428D8"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w:t>
      </w:r>
    </w:p>
    <w:p w14:paraId="1D3FA3C3"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2D7A39A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A continuación, se explicará el alcance de los requisitos habilitantes previamente referidos. </w:t>
      </w:r>
    </w:p>
    <w:p w14:paraId="45025C90" w14:textId="77777777" w:rsidR="00933CFF" w:rsidRPr="00025914" w:rsidRDefault="00933CFF" w:rsidP="00933CFF">
      <w:pPr>
        <w:spacing w:before="120" w:after="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lastRenderedPageBreak/>
        <w:t xml:space="preserve">La </w:t>
      </w:r>
      <w:r w:rsidRPr="00025914">
        <w:rPr>
          <w:rFonts w:ascii="Verdana" w:eastAsia="Calibri" w:hAnsi="Verdana" w:cs="Arial"/>
          <w:bCs/>
          <w:i/>
          <w:iCs/>
          <w:color w:val="000000" w:themeColor="text1"/>
        </w:rPr>
        <w:t>capacidad jurídica</w:t>
      </w:r>
      <w:r w:rsidRPr="00025914">
        <w:rPr>
          <w:rFonts w:ascii="Verdana" w:eastAsia="Calibri" w:hAnsi="Verdana" w:cs="Arial"/>
          <w:color w:val="000000" w:themeColor="text1"/>
        </w:rPr>
        <w:t xml:space="preserve"> es la aptitud que recae en los sujetos activos o pasivos de las relaciones jurídicas</w:t>
      </w:r>
      <w:r w:rsidRPr="00025914">
        <w:rPr>
          <w:rStyle w:val="Refdenotaalpie"/>
          <w:rFonts w:ascii="Verdana" w:eastAsia="Calibri" w:hAnsi="Verdana" w:cs="Arial"/>
          <w:color w:val="000000" w:themeColor="text1"/>
        </w:rPr>
        <w:footnoteReference w:id="2"/>
      </w:r>
      <w:r w:rsidRPr="00025914">
        <w:rPr>
          <w:rFonts w:ascii="Verdana" w:eastAsia="Calibri" w:hAnsi="Verdana" w:cs="Arial"/>
          <w:color w:val="000000" w:themeColor="text1"/>
        </w:rPr>
        <w:t>. Para efectos de la contratación estatal, es la facultad que tiene una persona natural o jurídica o una forma asociativa sin personería jurídica para celebrar contratos con una entidad pública. En ese ámbito, la capacidad jurídica tiene doble proyección: de un lado, en la facultad que alguien tiene para obligarse a cumplir el objeto del contrato estatal y, por el otro, en la prohibición de que esa persona esté incursa en inhabilidades</w:t>
      </w:r>
      <w:r w:rsidRPr="00025914">
        <w:rPr>
          <w:rStyle w:val="Refdenotaalpie"/>
          <w:rFonts w:ascii="Verdana" w:eastAsia="Calibri" w:hAnsi="Verdana" w:cs="Arial"/>
          <w:color w:val="000000" w:themeColor="text1"/>
        </w:rPr>
        <w:footnoteReference w:id="3"/>
      </w:r>
      <w:r w:rsidRPr="00025914">
        <w:rPr>
          <w:rFonts w:ascii="Verdana" w:eastAsia="Calibri" w:hAnsi="Verdana" w:cs="Arial"/>
          <w:color w:val="000000" w:themeColor="text1"/>
        </w:rPr>
        <w:t xml:space="preserve"> o incompatibilidades, que le impidan la celebración del contrato. </w:t>
      </w:r>
    </w:p>
    <w:p w14:paraId="06A5D031" w14:textId="77777777" w:rsidR="00933CFF" w:rsidRPr="00025914" w:rsidRDefault="00933CFF" w:rsidP="00933CFF">
      <w:pPr>
        <w:spacing w:line="276" w:lineRule="auto"/>
        <w:ind w:firstLine="708"/>
        <w:jc w:val="both"/>
        <w:rPr>
          <w:rFonts w:ascii="Verdana" w:eastAsia="Calibri" w:hAnsi="Verdana" w:cs="Arial"/>
          <w:color w:val="000000" w:themeColor="text1"/>
        </w:rPr>
      </w:pPr>
      <w:r w:rsidRPr="00025914">
        <w:rPr>
          <w:rFonts w:ascii="Verdana" w:eastAsia="Calibri" w:hAnsi="Verdana" w:cs="Arial"/>
          <w:color w:val="000000" w:themeColor="text1"/>
        </w:rPr>
        <w:t>Para efectos del Estatuto General de Contratación de la Administración Pública, la capacidad para contratar la tienen las personas consideradas legalmente capaces, según lo que establece el artículo 6 de la Ley 80 de 1993</w:t>
      </w:r>
      <w:r w:rsidRPr="00025914">
        <w:rPr>
          <w:rStyle w:val="Refdenotaalpie"/>
          <w:rFonts w:ascii="Verdana" w:eastAsia="Calibri" w:hAnsi="Verdana" w:cs="Arial"/>
          <w:color w:val="000000" w:themeColor="text1"/>
        </w:rPr>
        <w:footnoteReference w:id="4"/>
      </w:r>
      <w:r w:rsidRPr="00025914">
        <w:rPr>
          <w:rFonts w:ascii="Verdana" w:eastAsia="Calibri" w:hAnsi="Verdana" w:cs="Arial"/>
          <w:color w:val="000000" w:themeColor="text1"/>
        </w:rPr>
        <w:t xml:space="preserve">. Por un lado, las personas naturales tienen capacidad jurídica cuando alcanzan la mayoría de edad, claro está, siempre que su capacidad no haya sido limitada –ej. interdicción judicial–, y siempre que no estén incursas en inhabilidades, incompatibilidades o prohibiciones para contratar. Por otro lado, la capacidad de las personas jurídicas se traduce en la posibilidad que tienen estas para adelantar actividades en el marco de su objeto social, en las facultades que le han sido otorgadas al representante legal y en la ausencia de inhabilidades, incompatibilidades o prohibiciones para contratar, bien sea de los socios individualmente considerados o de la empresa como tal. </w:t>
      </w:r>
    </w:p>
    <w:p w14:paraId="22308D0B"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En el marco de los procesos de selección de contratistas, las entidades deben solicitar a los proponentes toda la información necesaria para conocer su idoneidad en relación con el contrato a celebrar y ejecutar, así como verificar su honestidad e integridad en relación con el manejo de los recursos públicos. El </w:t>
      </w:r>
      <w:r w:rsidRPr="00025914">
        <w:rPr>
          <w:rFonts w:ascii="Verdana" w:eastAsia="Calibri" w:hAnsi="Verdana" w:cs="Arial"/>
          <w:color w:val="000000" w:themeColor="text1"/>
        </w:rPr>
        <w:lastRenderedPageBreak/>
        <w:t>Consejo de Estado ha exhortado a las entidades estatales para conocer la calidad en la que actúa el proponente, en estos términos</w:t>
      </w:r>
      <w:r w:rsidRPr="00025914">
        <w:rPr>
          <w:rStyle w:val="Refdenotaalpie"/>
          <w:rFonts w:ascii="Verdana" w:eastAsia="Calibri" w:hAnsi="Verdana" w:cs="Arial"/>
          <w:color w:val="000000" w:themeColor="text1"/>
        </w:rPr>
        <w:footnoteReference w:id="5"/>
      </w:r>
      <w:r w:rsidRPr="00025914">
        <w:rPr>
          <w:rFonts w:ascii="Verdana" w:eastAsia="Calibri" w:hAnsi="Verdana" w:cs="Arial"/>
          <w:color w:val="000000" w:themeColor="text1"/>
        </w:rPr>
        <w:t xml:space="preserve">: </w:t>
      </w:r>
    </w:p>
    <w:p w14:paraId="3B9F9D0A" w14:textId="77777777" w:rsidR="00933CFF" w:rsidRPr="00025914" w:rsidRDefault="00933CFF" w:rsidP="00933CFF">
      <w:pPr>
        <w:jc w:val="both"/>
        <w:rPr>
          <w:rFonts w:ascii="Verdana" w:eastAsia="Calibri" w:hAnsi="Verdana" w:cs="Arial"/>
          <w:color w:val="000000" w:themeColor="text1"/>
        </w:rPr>
      </w:pPr>
    </w:p>
    <w:p w14:paraId="75584B64" w14:textId="77777777" w:rsidR="00933CFF" w:rsidRPr="00AC032B" w:rsidRDefault="00933CFF" w:rsidP="00933CFF">
      <w:pPr>
        <w:ind w:left="709" w:right="760"/>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No duda la Sala en afirmar que la anterior disposición conlleva un deber calificado para las entidades estatales, cuyo presupuesto es la buena fe […], consistente en una carga de conocimiento que las obliga a determinar la calidad con la que actúa el proponente o contratista, esto es, persona natural o jurídica, o sucursal de una sociedad extranjera, si pertenece o no a un grupo empresarial, si se trata de una filial o subsidiaria, la composición de su capital, si cotiza o no en bolsa, si es una empresa familiar, la idoneidad personal y profesional de sus representantes legales, entre otros aspectos, así como el origen lícito de los fondos que empleará en la ejecución del objeto contratado, los cuales, por supuesto, no pueden provenir de actividades delictivas en general, o ser el producto de actos de corrupción, en particular.</w:t>
      </w:r>
      <w:r w:rsidRPr="00AC032B">
        <w:rPr>
          <w:rStyle w:val="Refdenotaalpie"/>
          <w:rFonts w:ascii="Verdana" w:eastAsia="Calibri" w:hAnsi="Verdana" w:cs="Arial"/>
          <w:color w:val="000000" w:themeColor="text1"/>
          <w:sz w:val="20"/>
          <w:szCs w:val="20"/>
        </w:rPr>
        <w:t xml:space="preserve"> </w:t>
      </w:r>
    </w:p>
    <w:p w14:paraId="617CCCB4" w14:textId="7777777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Los límites a la capacidad jurídica de las personas naturales y jurídicas que deseen contratar con el Estado, particularmente los que establece el régimen de inhabilidades e incompatibilidades previsto en la Ley 80 de 1993, se sustenta en valores como el de la prevalencia de los intereses estatales e igualdad y en los principios de moralidad, ética, corrección, probidad, transparencia e imparcialidad, entre otros de similares proyecciones.</w:t>
      </w:r>
    </w:p>
    <w:p w14:paraId="0BC5F142" w14:textId="7777777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La </w:t>
      </w:r>
      <w:r w:rsidRPr="00025914">
        <w:rPr>
          <w:rFonts w:ascii="Verdana" w:eastAsia="Calibri" w:hAnsi="Verdana" w:cs="Arial"/>
          <w:bCs/>
          <w:i/>
          <w:iCs/>
          <w:color w:val="000000" w:themeColor="text1"/>
        </w:rPr>
        <w:t>experiencia</w:t>
      </w:r>
      <w:r w:rsidRPr="00025914">
        <w:rPr>
          <w:rFonts w:ascii="Verdana" w:eastAsia="Calibri" w:hAnsi="Verdana" w:cs="Arial"/>
          <w:i/>
          <w:iCs/>
          <w:color w:val="000000" w:themeColor="text1"/>
        </w:rPr>
        <w:t xml:space="preserve"> </w:t>
      </w:r>
      <w:r w:rsidRPr="00025914">
        <w:rPr>
          <w:rFonts w:ascii="Verdana" w:eastAsia="Calibri" w:hAnsi="Verdana" w:cs="Arial"/>
          <w:color w:val="000000" w:themeColor="text1"/>
        </w:rPr>
        <w:t xml:space="preserve">como requisito habilitante, según las consideraciones expuestas en el concepto C-002 del 12 de febrero de 2020 –radicado No. 2202013000000921–, tiene como propósito que </w:t>
      </w:r>
      <w:r w:rsidRPr="00025914">
        <w:rPr>
          <w:rStyle w:val="normaltextrun"/>
          <w:rFonts w:ascii="Verdana" w:hAnsi="Verdana" w:cs="Arial"/>
          <w:color w:val="000000" w:themeColor="text1"/>
        </w:rPr>
        <w:t>las entidades fijen unos requisitos mínimos que deben acreditar los proponentes, para que estas puedan verificar su aptitud para participar en el proceso de selección y, eventualmente, ejecutar el contrato estatal</w:t>
      </w:r>
      <w:r w:rsidRPr="00025914">
        <w:rPr>
          <w:rStyle w:val="Refdenotaalpie"/>
          <w:rFonts w:ascii="Verdana" w:hAnsi="Verdana" w:cs="Arial"/>
          <w:color w:val="000000" w:themeColor="text1"/>
        </w:rPr>
        <w:footnoteReference w:id="6"/>
      </w:r>
      <w:r w:rsidRPr="00025914">
        <w:rPr>
          <w:rStyle w:val="normaltextrun"/>
          <w:rFonts w:ascii="Verdana" w:hAnsi="Verdana" w:cs="Arial"/>
          <w:color w:val="000000" w:themeColor="text1"/>
        </w:rPr>
        <w:t xml:space="preserve">. La entidad, como responsable de la estructuración </w:t>
      </w:r>
      <w:r w:rsidRPr="00025914">
        <w:rPr>
          <w:rStyle w:val="normaltextrun"/>
          <w:rFonts w:ascii="Verdana" w:hAnsi="Verdana" w:cs="Arial"/>
          <w:color w:val="000000" w:themeColor="text1"/>
        </w:rPr>
        <w:lastRenderedPageBreak/>
        <w:t>del proceso de contratación, es autónoma para requerir la experiencia necesaria para el objeto contractual, para lo cual, de acuerdo con el artículo 2.2.1.1.1.6.2. del Decreto 1082 de 2015, debe tener en cuenta el estudio del sector y sus diferentes componentes, tales como la identificación de riesgos, el mercado y el precio del bien, obra o servicio a contratar</w:t>
      </w:r>
      <w:r w:rsidRPr="00025914">
        <w:rPr>
          <w:rStyle w:val="Refdenotaalpie"/>
          <w:rFonts w:ascii="Verdana" w:hAnsi="Verdana" w:cs="Arial"/>
          <w:color w:val="000000" w:themeColor="text1"/>
        </w:rPr>
        <w:footnoteReference w:id="7"/>
      </w:r>
      <w:r w:rsidRPr="00025914">
        <w:rPr>
          <w:rStyle w:val="normaltextrun"/>
          <w:rFonts w:ascii="Verdana" w:hAnsi="Verdana" w:cs="Arial"/>
          <w:color w:val="000000" w:themeColor="text1"/>
        </w:rPr>
        <w:t>.</w:t>
      </w:r>
    </w:p>
    <w:p w14:paraId="43C5189D" w14:textId="40E44121"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La experiencia que se deriva de la ejecución de los contratos que el proponente ha celebrado y ejecutado con diferentes contratantes, sin importar la naturaleza de estos últimos, se verifica con el Registro Único de Proponentes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RUP</w:t>
      </w:r>
      <w:r w:rsidR="00AC032B">
        <w:rPr>
          <w:rStyle w:val="normaltextrun"/>
          <w:rFonts w:ascii="Verdana" w:hAnsi="Verdana" w:cs="Arial"/>
          <w:color w:val="000000" w:themeColor="text1"/>
          <w:sz w:val="22"/>
          <w:szCs w:val="22"/>
        </w:rPr>
        <w:t>”</w:t>
      </w:r>
      <w:r w:rsidRPr="00025914">
        <w:rPr>
          <w:rStyle w:val="Refdenotaalpie"/>
          <w:rFonts w:ascii="Verdana" w:hAnsi="Verdana" w:cs="Arial"/>
          <w:color w:val="000000" w:themeColor="text1"/>
          <w:sz w:val="22"/>
          <w:szCs w:val="22"/>
        </w:rPr>
        <w:footnoteReference w:id="8"/>
      </w:r>
      <w:r w:rsidRPr="00025914">
        <w:rPr>
          <w:rStyle w:val="normaltextrun"/>
          <w:rFonts w:ascii="Verdana" w:hAnsi="Verdana" w:cs="Arial"/>
          <w:color w:val="000000" w:themeColor="text1"/>
          <w:sz w:val="22"/>
          <w:szCs w:val="22"/>
        </w:rPr>
        <w:t>, claro está, cuando este certificado sea exigible. Allí constan únicamente los requisitos habilitantes que se evalúan con este documento, de los cuales el mismo es plena prueba, sin que le sea posible a la entidad o al proponente solicitar o aportar otra documentación distinta</w:t>
      </w:r>
      <w:r w:rsidRPr="00025914">
        <w:rPr>
          <w:rStyle w:val="Refdenotaalpie"/>
          <w:rFonts w:ascii="Verdana" w:hAnsi="Verdana" w:cs="Arial"/>
          <w:color w:val="000000" w:themeColor="text1"/>
          <w:sz w:val="22"/>
          <w:szCs w:val="22"/>
        </w:rPr>
        <w:footnoteReference w:id="9"/>
      </w:r>
      <w:r w:rsidRPr="00025914">
        <w:rPr>
          <w:rStyle w:val="normaltextrun"/>
          <w:rFonts w:ascii="Verdana" w:hAnsi="Verdana" w:cs="Arial"/>
          <w:color w:val="000000" w:themeColor="text1"/>
          <w:sz w:val="22"/>
          <w:szCs w:val="22"/>
        </w:rPr>
        <w:t xml:space="preserve">, sin perjuicio de lo establecido en el numeral 3.5.5. del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Documento Base</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 xml:space="preserve"> en los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Pliegos Tipo</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 xml:space="preserve">, el cual se relaciona con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los documentos válidos para acreditar la experiencia requerida</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w:t>
      </w:r>
    </w:p>
    <w:p w14:paraId="7B4E1C3E" w14:textId="77777777" w:rsidR="00933CFF" w:rsidRPr="00025914" w:rsidRDefault="00933CFF" w:rsidP="00933CFF">
      <w:pPr>
        <w:pStyle w:val="paragraph"/>
        <w:spacing w:before="120" w:beforeAutospacing="0" w:after="0" w:afterAutospacing="0" w:line="276" w:lineRule="auto"/>
        <w:ind w:firstLine="703"/>
        <w:jc w:val="both"/>
        <w:textAlignment w:val="baseline"/>
        <w:rPr>
          <w:rStyle w:val="normaltextrun"/>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La experiencia debe inscribirse, renovarse o actualizarse en el RUP con copia de los contratos o con certificados de los contratos celebrados por el proponente con diferentes contratantes, quienes los expiden dando cuenta del contrato ejecutado y de que recibieron los bienes, obras o servicios de parte del </w:t>
      </w:r>
      <w:r w:rsidRPr="00025914">
        <w:rPr>
          <w:rStyle w:val="normaltextrun"/>
          <w:rFonts w:ascii="Verdana" w:hAnsi="Verdana" w:cs="Arial"/>
          <w:color w:val="000000" w:themeColor="text1"/>
          <w:sz w:val="22"/>
          <w:szCs w:val="22"/>
        </w:rPr>
        <w:lastRenderedPageBreak/>
        <w:t>proponente. Estos documentos deben codificarse de acuerdo con el clasificador de bienes y servicios en el tercer nivel</w:t>
      </w:r>
      <w:r w:rsidRPr="00025914">
        <w:rPr>
          <w:rStyle w:val="Refdenotaalpie"/>
          <w:rFonts w:ascii="Verdana" w:hAnsi="Verdana" w:cs="Arial"/>
          <w:color w:val="000000" w:themeColor="text1"/>
          <w:sz w:val="22"/>
          <w:szCs w:val="22"/>
        </w:rPr>
        <w:footnoteReference w:id="10"/>
      </w:r>
      <w:r w:rsidRPr="00025914">
        <w:rPr>
          <w:rStyle w:val="normaltextrun"/>
          <w:rFonts w:ascii="Verdana" w:hAnsi="Verdana" w:cs="Arial"/>
          <w:color w:val="000000" w:themeColor="text1"/>
          <w:sz w:val="22"/>
          <w:szCs w:val="22"/>
        </w:rPr>
        <w:t xml:space="preserve">.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totalmente idéntico. </w:t>
      </w:r>
    </w:p>
    <w:p w14:paraId="7E9E7539"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según estos parámetros.</w:t>
      </w:r>
      <w:r w:rsidRPr="00025914">
        <w:rPr>
          <w:rStyle w:val="eop"/>
          <w:rFonts w:ascii="Verdana" w:hAnsi="Verdana" w:cs="Arial"/>
          <w:color w:val="000000" w:themeColor="text1"/>
          <w:sz w:val="22"/>
          <w:szCs w:val="22"/>
        </w:rPr>
        <w:t> </w:t>
      </w:r>
    </w:p>
    <w:p w14:paraId="200411E8"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Colombia Compra Eficiente considera que no es posible tener experiencia si en la práctica no se ha ejercido o ejecutado lo que se ofrece a otros contratantes. Precisamente de esa experiencia es que se deriva el conocimiento que tiene el proponente, el cual es importante para la contratación pública, en la medida en que garantiza que no existirá improvisación o mayores costos por errores o dificultades originadas en realizar una actividad por primera vez. Adicionalmente, se entiende que la experiencia puede ser obtenida directamente o por participar asociado con otra persona, como es el caso de proponentes plurales como consorcios o uniones temporales, caso en el cual, aunque la experiencia no deja de ser personal, es compartida por tratarse de esquemas asociativos. Por otra parte, la Agencia recomienda que la experiencia que se solicite sea proporcional y no igual al objeto que se va a contratar, ya que esto puede limitar la participación de los proveedores por no haber ejecutado un </w:t>
      </w:r>
      <w:r w:rsidRPr="00025914">
        <w:rPr>
          <w:rStyle w:val="normaltextrun"/>
          <w:rFonts w:ascii="Verdana" w:hAnsi="Verdana" w:cs="Arial"/>
          <w:color w:val="000000" w:themeColor="text1"/>
          <w:sz w:val="22"/>
          <w:szCs w:val="22"/>
        </w:rPr>
        <w:lastRenderedPageBreak/>
        <w:t>objeto igual, aunque sí hubieran ejecutado uno similar, afectando con eso la pluralidad de oferentes. Igualmente, es importante resaltar que:</w:t>
      </w:r>
    </w:p>
    <w:p w14:paraId="572FB10B"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i) La experiencia es personal, esto es, se adquiere participando, directa o indirectamente, sin que sea posible no participar y tener una experiencia que no es propia.</w:t>
      </w:r>
    </w:p>
    <w:p w14:paraId="5BA7E2F0"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proofErr w:type="spellStart"/>
      <w:r w:rsidRPr="00025914">
        <w:rPr>
          <w:rStyle w:val="spellingerror"/>
          <w:rFonts w:ascii="Verdana" w:hAnsi="Verdana" w:cs="Arial"/>
          <w:color w:val="000000" w:themeColor="text1"/>
          <w:sz w:val="22"/>
          <w:szCs w:val="22"/>
        </w:rPr>
        <w:t>ii</w:t>
      </w:r>
      <w:proofErr w:type="spellEnd"/>
      <w:r w:rsidRPr="00025914">
        <w:rPr>
          <w:rStyle w:val="normaltextrun"/>
          <w:rFonts w:ascii="Verdana" w:hAnsi="Verdana" w:cs="Arial"/>
          <w:color w:val="000000" w:themeColor="text1"/>
          <w:sz w:val="22"/>
          <w:szCs w:val="22"/>
        </w:rPr>
        <w:t>) La experiencia se puede compartir,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el de las figuras asociativas –consorcios y uniones temporales–, evento en el que se verificará en el correspondiente documento privado de constitución.</w:t>
      </w:r>
    </w:p>
    <w:p w14:paraId="52B9F943"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proofErr w:type="spellStart"/>
      <w:r w:rsidRPr="00025914">
        <w:rPr>
          <w:rStyle w:val="spellingerror"/>
          <w:rFonts w:ascii="Verdana" w:hAnsi="Verdana" w:cs="Arial"/>
          <w:color w:val="000000" w:themeColor="text1"/>
          <w:sz w:val="22"/>
          <w:szCs w:val="22"/>
        </w:rPr>
        <w:t>iii</w:t>
      </w:r>
      <w:proofErr w:type="spellEnd"/>
      <w:r w:rsidRPr="00025914">
        <w:rPr>
          <w:rStyle w:val="normaltextrun"/>
          <w:rFonts w:ascii="Verdana" w:hAnsi="Verdana" w:cs="Arial"/>
          <w:color w:val="000000" w:themeColor="text1"/>
          <w:sz w:val="22"/>
          <w:szCs w:val="22"/>
        </w:rPr>
        <w:t>) La experiencia se puede transferir y esto es diferente a compartirla, puesto que implica que la experiencia de una persona se traslada a otra, y esta última acredita esa experiencia como propia.</w:t>
      </w:r>
      <w:r w:rsidRPr="00025914">
        <w:rPr>
          <w:rStyle w:val="eop"/>
          <w:rFonts w:ascii="Verdana" w:hAnsi="Verdana" w:cs="Arial"/>
          <w:color w:val="000000" w:themeColor="text1"/>
          <w:sz w:val="22"/>
          <w:szCs w:val="22"/>
        </w:rPr>
        <w:t> </w:t>
      </w:r>
    </w:p>
    <w:p w14:paraId="439C64A5"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proofErr w:type="spellStart"/>
      <w:r w:rsidRPr="00025914">
        <w:rPr>
          <w:rStyle w:val="spellingerror"/>
          <w:rFonts w:ascii="Verdana" w:hAnsi="Verdana" w:cs="Arial"/>
          <w:color w:val="000000" w:themeColor="text1"/>
          <w:sz w:val="22"/>
          <w:szCs w:val="22"/>
        </w:rPr>
        <w:t>iv</w:t>
      </w:r>
      <w:proofErr w:type="spellEnd"/>
      <w:r w:rsidRPr="00025914">
        <w:rPr>
          <w:rStyle w:val="normaltextrun"/>
          <w:rFonts w:ascii="Verdana" w:hAnsi="Verdana" w:cs="Arial"/>
          <w:color w:val="000000" w:themeColor="text1"/>
          <w:sz w:val="22"/>
          <w:szCs w:val="22"/>
        </w:rPr>
        <w:t>) Cuando la persona que adquirió la experiencia desaparece o se liquida, no es posible que comparta o transfiera su experiencia, porque al ser personal sigue la suerte de quien la adquirió.</w:t>
      </w:r>
    </w:p>
    <w:p w14:paraId="61CDD798" w14:textId="110ACDDD" w:rsidR="00933CFF" w:rsidRPr="00025914" w:rsidRDefault="00933CFF" w:rsidP="00933CFF">
      <w:pPr>
        <w:spacing w:before="120" w:line="276" w:lineRule="auto"/>
        <w:jc w:val="both"/>
        <w:rPr>
          <w:rFonts w:ascii="Verdana" w:eastAsia="Calibri" w:hAnsi="Verdana" w:cs="Arial"/>
          <w:color w:val="000000" w:themeColor="text1"/>
        </w:rPr>
      </w:pPr>
      <w:r w:rsidRPr="00025914">
        <w:rPr>
          <w:rFonts w:ascii="Verdana" w:eastAsia="Calibri" w:hAnsi="Verdana" w:cs="Arial"/>
          <w:color w:val="000000" w:themeColor="text1"/>
        </w:rPr>
        <w:tab/>
        <w:t xml:space="preserve">La </w:t>
      </w:r>
      <w:r w:rsidRPr="00025914">
        <w:rPr>
          <w:rFonts w:ascii="Verdana" w:eastAsia="Calibri" w:hAnsi="Verdana" w:cs="Arial"/>
          <w:bCs/>
          <w:i/>
          <w:iCs/>
          <w:color w:val="000000" w:themeColor="text1"/>
        </w:rPr>
        <w:t>capacidad financiera</w:t>
      </w:r>
      <w:r w:rsidRPr="00025914">
        <w:rPr>
          <w:rFonts w:ascii="Verdana" w:eastAsia="Calibri" w:hAnsi="Verdana" w:cs="Arial"/>
          <w:i/>
          <w:iCs/>
          <w:color w:val="000000" w:themeColor="text1"/>
        </w:rPr>
        <w:t xml:space="preserve"> </w:t>
      </w:r>
      <w:r w:rsidRPr="00025914">
        <w:rPr>
          <w:rFonts w:ascii="Verdana" w:eastAsia="Calibri" w:hAnsi="Verdana" w:cs="Arial"/>
          <w:color w:val="000000" w:themeColor="text1"/>
        </w:rPr>
        <w:t xml:space="preserve">se determina a través de la liquidez y el endeudamiento de los proponentes. Busca establecer condiciones mínimas en relación con la </w:t>
      </w:r>
      <w:r>
        <w:rPr>
          <w:rFonts w:ascii="Verdana" w:eastAsia="Calibri" w:hAnsi="Verdana" w:cs="Arial"/>
          <w:color w:val="000000" w:themeColor="text1"/>
        </w:rPr>
        <w:t>“</w:t>
      </w:r>
      <w:r w:rsidRPr="00025914">
        <w:rPr>
          <w:rFonts w:ascii="Verdana" w:eastAsia="Calibri" w:hAnsi="Verdana" w:cs="Arial"/>
          <w:color w:val="000000" w:themeColor="text1"/>
        </w:rPr>
        <w:t>salud financiera</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w:t>
      </w:r>
      <w:r>
        <w:rPr>
          <w:rFonts w:ascii="Verdana" w:eastAsia="Calibri" w:hAnsi="Verdana" w:cs="Arial"/>
          <w:color w:val="000000" w:themeColor="text1"/>
        </w:rPr>
        <w:t>“</w:t>
      </w:r>
      <w:r w:rsidRPr="00025914">
        <w:rPr>
          <w:rFonts w:ascii="Verdana" w:eastAsia="Calibri" w:hAnsi="Verdana" w:cs="Arial"/>
          <w:color w:val="000000" w:themeColor="text1"/>
        </w:rPr>
        <w:t>Guía para la Elaboración de Estudios de Sector</w:t>
      </w:r>
      <w:r w:rsidR="00AC032B">
        <w:rPr>
          <w:rFonts w:ascii="Verdana" w:eastAsia="Calibri" w:hAnsi="Verdana" w:cs="Arial"/>
          <w:color w:val="000000" w:themeColor="text1"/>
        </w:rPr>
        <w:t>”</w:t>
      </w:r>
      <w:r w:rsidRPr="00025914">
        <w:rPr>
          <w:rFonts w:ascii="Verdana" w:eastAsia="Calibri" w:hAnsi="Verdana" w:cs="Arial"/>
          <w:color w:val="000000" w:themeColor="text1"/>
        </w:rPr>
        <w:t>, de esta Agencia.</w:t>
      </w:r>
    </w:p>
    <w:p w14:paraId="30D4D144"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En atención a la naturaleza del contrato a suscribir y su valor, plazo y forma de pago, la entidad debe hacer uso de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00025914">
        <w:rPr>
          <w:rFonts w:ascii="Verdana" w:eastAsia="Calibri" w:hAnsi="Verdana" w:cs="Arial"/>
          <w:i/>
          <w:iCs/>
          <w:color w:val="000000" w:themeColor="text1"/>
        </w:rPr>
        <w:t>Índice de Liquidez</w:t>
      </w:r>
      <w:r w:rsidRPr="00025914">
        <w:rPr>
          <w:rFonts w:ascii="Verdana" w:eastAsia="Calibri" w:hAnsi="Verdana" w:cs="Arial"/>
          <w:color w:val="000000" w:themeColor="text1"/>
        </w:rPr>
        <w:t xml:space="preserve">, que corresponde a la división entre el activo corriente y el pasivo corriente, y que determina la capacidad que tiene el proponente para cumplir con sus obligaciones de corto plazo; </w:t>
      </w:r>
      <w:proofErr w:type="spellStart"/>
      <w:r w:rsidRPr="00025914">
        <w:rPr>
          <w:rFonts w:ascii="Verdana" w:eastAsia="Calibri" w:hAnsi="Verdana" w:cs="Arial"/>
          <w:color w:val="000000" w:themeColor="text1"/>
        </w:rPr>
        <w:t>ii</w:t>
      </w:r>
      <w:proofErr w:type="spellEnd"/>
      <w:r w:rsidRPr="00025914">
        <w:rPr>
          <w:rFonts w:ascii="Verdana" w:eastAsia="Calibri" w:hAnsi="Verdana" w:cs="Arial"/>
          <w:color w:val="000000" w:themeColor="text1"/>
        </w:rPr>
        <w:t xml:space="preserve">) el </w:t>
      </w:r>
      <w:r w:rsidRPr="00025914">
        <w:rPr>
          <w:rFonts w:ascii="Verdana" w:eastAsia="Calibri" w:hAnsi="Verdana" w:cs="Arial"/>
          <w:i/>
          <w:iCs/>
          <w:color w:val="000000" w:themeColor="text1"/>
        </w:rPr>
        <w:t xml:space="preserve">Índice </w:t>
      </w:r>
      <w:r w:rsidRPr="00025914">
        <w:rPr>
          <w:rFonts w:ascii="Verdana" w:eastAsia="Calibri" w:hAnsi="Verdana" w:cs="Arial"/>
          <w:i/>
          <w:iCs/>
          <w:color w:val="000000" w:themeColor="text1"/>
        </w:rPr>
        <w:lastRenderedPageBreak/>
        <w:t>de Endeudamiento</w:t>
      </w:r>
      <w:r w:rsidRPr="00025914">
        <w:rPr>
          <w:rFonts w:ascii="Verdana" w:eastAsia="Calibri" w:hAnsi="Verdana" w:cs="Arial"/>
          <w:color w:val="000000" w:themeColor="text1"/>
        </w:rPr>
        <w:t xml:space="preserve">, que se calcula dividiendo el pasivo total por el activo total, el cual determina el grado de endeudamiento en la estructura de financiación del proponente; y </w:t>
      </w:r>
      <w:proofErr w:type="spellStart"/>
      <w:r w:rsidRPr="00025914">
        <w:rPr>
          <w:rFonts w:ascii="Verdana" w:eastAsia="Calibri" w:hAnsi="Verdana" w:cs="Arial"/>
          <w:color w:val="000000" w:themeColor="text1"/>
        </w:rPr>
        <w:t>iii</w:t>
      </w:r>
      <w:proofErr w:type="spellEnd"/>
      <w:r w:rsidRPr="00025914">
        <w:rPr>
          <w:rFonts w:ascii="Verdana" w:eastAsia="Calibri" w:hAnsi="Verdana" w:cs="Arial"/>
          <w:color w:val="000000" w:themeColor="text1"/>
        </w:rPr>
        <w:t xml:space="preserve">) la </w:t>
      </w:r>
      <w:r w:rsidRPr="00025914">
        <w:rPr>
          <w:rFonts w:ascii="Verdana" w:eastAsia="Calibri" w:hAnsi="Verdana" w:cs="Arial"/>
          <w:i/>
          <w:iCs/>
          <w:color w:val="000000" w:themeColor="text1"/>
        </w:rPr>
        <w:t>Razón de Cobertura de Intereses</w:t>
      </w:r>
      <w:r w:rsidRPr="00025914">
        <w:rPr>
          <w:rFonts w:ascii="Verdana" w:eastAsia="Calibri" w:hAnsi="Verdana" w:cs="Arial"/>
          <w:color w:val="000000" w:themeColor="text1"/>
        </w:rPr>
        <w:t xml:space="preserve">, que es igual a la utilidad operacional, sobre los gastos de intereses, y que refleja la capacidad del proponente de cumplir con sus obligaciones financieras. Adicionalmente, Colombia Compra Eficiente recomienda valorar otro tipo de indicadores como el </w:t>
      </w:r>
      <w:r w:rsidRPr="00025914">
        <w:rPr>
          <w:rFonts w:ascii="Verdana" w:eastAsia="Calibri" w:hAnsi="Verdana" w:cs="Arial"/>
          <w:i/>
          <w:iCs/>
          <w:color w:val="000000" w:themeColor="text1"/>
        </w:rPr>
        <w:t>capital de trabajo</w:t>
      </w:r>
      <w:r w:rsidRPr="00025914">
        <w:rPr>
          <w:rFonts w:ascii="Verdana" w:eastAsia="Calibri" w:hAnsi="Verdana" w:cs="Arial"/>
          <w:color w:val="000000" w:themeColor="text1"/>
        </w:rPr>
        <w:t xml:space="preserve">, la </w:t>
      </w:r>
      <w:r w:rsidRPr="00025914">
        <w:rPr>
          <w:rFonts w:ascii="Verdana" w:eastAsia="Calibri" w:hAnsi="Verdana" w:cs="Arial"/>
          <w:i/>
          <w:iCs/>
          <w:color w:val="000000" w:themeColor="text1"/>
        </w:rPr>
        <w:t>razón de efectivo</w:t>
      </w:r>
      <w:r w:rsidRPr="00025914">
        <w:rPr>
          <w:rFonts w:ascii="Verdana" w:eastAsia="Calibri" w:hAnsi="Verdana" w:cs="Arial"/>
          <w:color w:val="000000" w:themeColor="text1"/>
        </w:rPr>
        <w:t xml:space="preserve">, la denominada </w:t>
      </w:r>
      <w:r w:rsidRPr="00025914">
        <w:rPr>
          <w:rFonts w:ascii="Verdana" w:eastAsia="Calibri" w:hAnsi="Verdana" w:cs="Arial"/>
          <w:i/>
          <w:iCs/>
          <w:color w:val="000000" w:themeColor="text1"/>
        </w:rPr>
        <w:t>prueba ácida</w:t>
      </w:r>
      <w:r w:rsidRPr="00025914">
        <w:rPr>
          <w:rStyle w:val="Refdenotaalpie"/>
          <w:rFonts w:ascii="Verdana" w:eastAsia="Calibri" w:hAnsi="Verdana" w:cs="Arial"/>
          <w:color w:val="000000" w:themeColor="text1"/>
        </w:rPr>
        <w:footnoteReference w:id="11"/>
      </w:r>
      <w:r w:rsidRPr="00025914">
        <w:rPr>
          <w:rFonts w:ascii="Verdana" w:eastAsia="Calibri" w:hAnsi="Verdana" w:cs="Arial"/>
          <w:color w:val="000000" w:themeColor="text1"/>
        </w:rPr>
        <w:t xml:space="preserve">, la </w:t>
      </w:r>
      <w:r w:rsidRPr="00025914">
        <w:rPr>
          <w:rFonts w:ascii="Verdana" w:eastAsia="Calibri" w:hAnsi="Verdana" w:cs="Arial"/>
          <w:i/>
          <w:iCs/>
          <w:color w:val="000000" w:themeColor="text1"/>
        </w:rPr>
        <w:t xml:space="preserve">concentración de endeudamiento a corto </w:t>
      </w:r>
      <w:r w:rsidRPr="00025914">
        <w:rPr>
          <w:rFonts w:ascii="Verdana" w:eastAsia="Calibri" w:hAnsi="Verdana" w:cs="Arial"/>
          <w:color w:val="000000" w:themeColor="text1"/>
        </w:rPr>
        <w:t>y</w:t>
      </w:r>
      <w:r w:rsidRPr="00025914">
        <w:rPr>
          <w:rFonts w:ascii="Verdana" w:eastAsia="Calibri" w:hAnsi="Verdana" w:cs="Arial"/>
          <w:i/>
          <w:iCs/>
          <w:color w:val="000000" w:themeColor="text1"/>
        </w:rPr>
        <w:t xml:space="preserve"> a largo plazo</w:t>
      </w:r>
      <w:r w:rsidRPr="00025914">
        <w:rPr>
          <w:rFonts w:ascii="Verdana" w:eastAsia="Calibri" w:hAnsi="Verdana" w:cs="Arial"/>
          <w:color w:val="000000" w:themeColor="text1"/>
        </w:rPr>
        <w:t xml:space="preserve"> y el </w:t>
      </w:r>
      <w:r w:rsidRPr="00025914">
        <w:rPr>
          <w:rFonts w:ascii="Verdana" w:eastAsia="Calibri" w:hAnsi="Verdana" w:cs="Arial"/>
          <w:i/>
          <w:iCs/>
          <w:color w:val="000000" w:themeColor="text1"/>
        </w:rPr>
        <w:t>patrimonio</w:t>
      </w:r>
      <w:r w:rsidRPr="00025914">
        <w:rPr>
          <w:rFonts w:ascii="Verdana" w:eastAsia="Calibri" w:hAnsi="Verdana" w:cs="Arial"/>
          <w:color w:val="000000" w:themeColor="text1"/>
        </w:rPr>
        <w:t>.</w:t>
      </w:r>
    </w:p>
    <w:p w14:paraId="6F6CD885" w14:textId="0D343058"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hAnsi="Verdana" w:cs="Arial"/>
          <w:color w:val="000000" w:themeColor="text1"/>
        </w:rPr>
        <w:t>L</w:t>
      </w:r>
      <w:r w:rsidRPr="00025914">
        <w:rPr>
          <w:rFonts w:ascii="Verdana" w:eastAsia="Calibri" w:hAnsi="Verdana" w:cs="Arial"/>
          <w:color w:val="000000" w:themeColor="text1"/>
        </w:rPr>
        <w:t xml:space="preserve">a </w:t>
      </w:r>
      <w:r w:rsidRPr="00025914">
        <w:rPr>
          <w:rFonts w:ascii="Verdana" w:eastAsia="Calibri" w:hAnsi="Verdana" w:cs="Arial"/>
          <w:bCs/>
          <w:i/>
          <w:iCs/>
          <w:color w:val="000000" w:themeColor="text1"/>
        </w:rPr>
        <w:t>capacidad de organización</w:t>
      </w:r>
      <w:r w:rsidRPr="00025914">
        <w:rPr>
          <w:rFonts w:ascii="Verdana" w:eastAsia="Calibri" w:hAnsi="Verdana" w:cs="Arial"/>
          <w:color w:val="000000" w:themeColor="text1"/>
        </w:rPr>
        <w:t>, s</w:t>
      </w:r>
      <w:r w:rsidRPr="00025914">
        <w:rPr>
          <w:rFonts w:ascii="Verdana" w:hAnsi="Verdana" w:cs="Arial"/>
          <w:color w:val="000000" w:themeColor="text1"/>
        </w:rPr>
        <w:t xml:space="preserve">egún el </w:t>
      </w:r>
      <w:r>
        <w:rPr>
          <w:rFonts w:ascii="Verdana" w:hAnsi="Verdana" w:cs="Arial"/>
          <w:color w:val="000000" w:themeColor="text1"/>
        </w:rPr>
        <w:t>“</w:t>
      </w:r>
      <w:r w:rsidRPr="00025914">
        <w:rPr>
          <w:rFonts w:ascii="Verdana" w:hAnsi="Verdana" w:cs="Arial"/>
          <w:color w:val="000000" w:themeColor="text1"/>
        </w:rPr>
        <w:t>Manual para determinar y verificar los requisitos habilitantes en los Procesos de Contratación</w:t>
      </w:r>
      <w:r w:rsidR="00AC032B">
        <w:rPr>
          <w:rFonts w:ascii="Verdana" w:hAnsi="Verdana" w:cs="Arial"/>
          <w:color w:val="000000" w:themeColor="text1"/>
        </w:rPr>
        <w:t>”</w:t>
      </w:r>
      <w:r w:rsidRPr="00025914">
        <w:rPr>
          <w:rFonts w:ascii="Verdana" w:hAnsi="Verdana" w:cs="Arial"/>
          <w:color w:val="000000" w:themeColor="text1"/>
        </w:rPr>
        <w:t xml:space="preserve">, elaborado por la Agencia Nacional de Contratación Pública, </w:t>
      </w:r>
      <w:r w:rsidRPr="00025914">
        <w:rPr>
          <w:rFonts w:ascii="Verdana" w:eastAsia="Calibri" w:hAnsi="Verdana" w:cs="Arial"/>
          <w:color w:val="000000" w:themeColor="text1"/>
        </w:rPr>
        <w:t xml:space="preserve">es </w:t>
      </w:r>
      <w:r>
        <w:rPr>
          <w:rFonts w:ascii="Verdana" w:eastAsia="Calibri" w:hAnsi="Verdana" w:cs="Arial"/>
          <w:color w:val="000000" w:themeColor="text1"/>
        </w:rPr>
        <w:t>“</w:t>
      </w:r>
      <w:r w:rsidRPr="00025914">
        <w:rPr>
          <w:rFonts w:ascii="Verdana" w:eastAsia="Calibri" w:hAnsi="Verdana" w:cs="Arial"/>
          <w:color w:val="000000" w:themeColor="text1"/>
        </w:rPr>
        <w:t>la aptitud de un proponente para cumplir oportuna y cabalmente el objeto del contrato en función de su organización interna</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Según el artículo 2.2.1.1.1.5.3., numeral 4, del Decreto 1082 de 2015, los indicadores para medir la capacidad organizacional de un proponente son: por un lado, la </w:t>
      </w:r>
      <w:r w:rsidRPr="00025914">
        <w:rPr>
          <w:rFonts w:ascii="Verdana" w:eastAsia="Calibri" w:hAnsi="Verdana" w:cs="Arial"/>
          <w:i/>
          <w:iCs/>
          <w:color w:val="000000" w:themeColor="text1"/>
        </w:rPr>
        <w:t>rentabilidad del patrimonio</w:t>
      </w:r>
      <w:r w:rsidRPr="00025914">
        <w:rPr>
          <w:rFonts w:ascii="Verdana" w:eastAsia="Calibri" w:hAnsi="Verdana" w:cs="Arial"/>
          <w:color w:val="000000" w:themeColor="text1"/>
        </w:rPr>
        <w:t xml:space="preserve">, que corresponde a la utilidad operacional dividida por el patrimonio, y que determina la rentabilidad del patrimonio del proponente, es decir, la capacidad de generación de utilidad operacional por cada peso invertido en el patrimonio, del tal forma que, a mayor rentabilidad sobre el patrimonio, mayor es la rentabilidad de los accionistas y mejor la capacidad organizacional del proponente. Por el otro, la </w:t>
      </w:r>
      <w:r w:rsidRPr="00025914">
        <w:rPr>
          <w:rFonts w:ascii="Verdana" w:eastAsia="Calibri" w:hAnsi="Verdana" w:cs="Arial"/>
          <w:i/>
          <w:iCs/>
          <w:color w:val="000000" w:themeColor="text1"/>
        </w:rPr>
        <w:t>rentabilidad del activo</w:t>
      </w:r>
      <w:r w:rsidRPr="00025914">
        <w:rPr>
          <w:rFonts w:ascii="Verdana" w:eastAsia="Calibri" w:hAnsi="Verdana" w:cs="Arial"/>
          <w:color w:val="000000" w:themeColor="text1"/>
        </w:rPr>
        <w:t>, que se calcula al dividir la utilidad operacional por el activo total, y que mide la rentabilidad de los activos del proponente, esto es, la capacidad de generación de utilidad operacional por cada peso invertido en el activo, de tal manera que, a mayor rentabilidad sobre activos, mayor es la rentabilidad del negocio y mejor la capacidad organizacional del proponente. Este último indicador debe ser, en todo caso, menor o igual que el referido indicador de rentabilidad sobre patrimonio.</w:t>
      </w:r>
    </w:p>
    <w:p w14:paraId="3DBB56B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A juicio de esta Agencia, también son relevantes los siguientes indicadores</w:t>
      </w:r>
      <w:r w:rsidRPr="00025914">
        <w:rPr>
          <w:rFonts w:ascii="Verdana" w:hAnsi="Verdana" w:cs="Arial"/>
          <w:color w:val="000000" w:themeColor="text1"/>
        </w:rPr>
        <w:t xml:space="preserve">, pero únicamente </w:t>
      </w:r>
      <w:r w:rsidRPr="00025914">
        <w:rPr>
          <w:rFonts w:ascii="Verdana" w:eastAsia="Calibri" w:hAnsi="Verdana" w:cs="Arial"/>
          <w:color w:val="000000" w:themeColor="text1"/>
        </w:rPr>
        <w:t xml:space="preserve">en aquellos casos en los que, por las características del objeto a contratar, la naturaleza o complejidad del proceso de contratación, se requiera, a saber: i) margen bruto; </w:t>
      </w:r>
      <w:proofErr w:type="spellStart"/>
      <w:r w:rsidRPr="00025914">
        <w:rPr>
          <w:rFonts w:ascii="Verdana" w:eastAsia="Calibri" w:hAnsi="Verdana" w:cs="Arial"/>
          <w:color w:val="000000" w:themeColor="text1"/>
        </w:rPr>
        <w:t>ii</w:t>
      </w:r>
      <w:proofErr w:type="spellEnd"/>
      <w:r w:rsidRPr="00025914">
        <w:rPr>
          <w:rFonts w:ascii="Verdana" w:eastAsia="Calibri" w:hAnsi="Verdana" w:cs="Arial"/>
          <w:color w:val="000000" w:themeColor="text1"/>
        </w:rPr>
        <w:t xml:space="preserve">) margen operacional; </w:t>
      </w:r>
      <w:proofErr w:type="spellStart"/>
      <w:r w:rsidRPr="00025914">
        <w:rPr>
          <w:rFonts w:ascii="Verdana" w:eastAsia="Calibri" w:hAnsi="Verdana" w:cs="Arial"/>
          <w:color w:val="000000" w:themeColor="text1"/>
        </w:rPr>
        <w:t>iii</w:t>
      </w:r>
      <w:proofErr w:type="spellEnd"/>
      <w:r w:rsidRPr="00025914">
        <w:rPr>
          <w:rFonts w:ascii="Verdana" w:eastAsia="Calibri" w:hAnsi="Verdana" w:cs="Arial"/>
          <w:color w:val="000000" w:themeColor="text1"/>
        </w:rPr>
        <w:t xml:space="preserve">) margen neto; </w:t>
      </w:r>
      <w:proofErr w:type="spellStart"/>
      <w:r w:rsidRPr="00025914">
        <w:rPr>
          <w:rFonts w:ascii="Verdana" w:eastAsia="Calibri" w:hAnsi="Verdana" w:cs="Arial"/>
          <w:color w:val="000000" w:themeColor="text1"/>
        </w:rPr>
        <w:t>iv</w:t>
      </w:r>
      <w:proofErr w:type="spellEnd"/>
      <w:r w:rsidRPr="00025914">
        <w:rPr>
          <w:rFonts w:ascii="Verdana" w:eastAsia="Calibri" w:hAnsi="Verdana" w:cs="Arial"/>
          <w:color w:val="000000" w:themeColor="text1"/>
        </w:rPr>
        <w:t xml:space="preserve">) retorno sobre capital invertido; v) rotación de activos totales; vi) rotación de activos fijos; y </w:t>
      </w:r>
      <w:proofErr w:type="spellStart"/>
      <w:r w:rsidRPr="00025914">
        <w:rPr>
          <w:rFonts w:ascii="Verdana" w:eastAsia="Calibri" w:hAnsi="Verdana" w:cs="Arial"/>
          <w:color w:val="000000" w:themeColor="text1"/>
        </w:rPr>
        <w:t>vii</w:t>
      </w:r>
      <w:proofErr w:type="spellEnd"/>
      <w:r w:rsidRPr="00025914">
        <w:rPr>
          <w:rFonts w:ascii="Verdana" w:eastAsia="Calibri" w:hAnsi="Verdana" w:cs="Arial"/>
          <w:color w:val="000000" w:themeColor="text1"/>
        </w:rPr>
        <w:t>) rotación de inventarios.</w:t>
      </w:r>
    </w:p>
    <w:p w14:paraId="56FA4946" w14:textId="4543A541"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lastRenderedPageBreak/>
        <w:t xml:space="preserve">Ahora bien, en este punto vale la pena preguntarse si los cuatro requisitos habilitantes establecidos en el artículo 5, numeral 1, de la Ley 1150 de 2007, cuyo alcance fue explicado previamente, son taxativos, esto es, si son los únicos requisitos habilitantes que puede exigirle una entidad a los proponentes. Esta pregunta tiene, al menos, dos respuestas razonables. Por un lado, que sí lo son, habida cuenta que la norma no hace referencia a otros diferentes y, por el otro, que no lo son, pues esta no contiene una expresión como </w:t>
      </w:r>
      <w:r>
        <w:rPr>
          <w:rFonts w:ascii="Verdana" w:hAnsi="Verdana" w:cs="Arial"/>
          <w:color w:val="000000" w:themeColor="text1"/>
        </w:rPr>
        <w:t>“</w:t>
      </w:r>
      <w:r w:rsidRPr="00025914">
        <w:rPr>
          <w:rFonts w:ascii="Verdana" w:hAnsi="Verdana" w:cs="Arial"/>
          <w:color w:val="000000" w:themeColor="text1"/>
        </w:rPr>
        <w:t>únicamente</w:t>
      </w:r>
      <w:r w:rsidR="00AC032B">
        <w:rPr>
          <w:rFonts w:ascii="Verdana" w:hAnsi="Verdana" w:cs="Arial"/>
          <w:color w:val="000000" w:themeColor="text1"/>
        </w:rPr>
        <w:t>”</w:t>
      </w:r>
      <w:r w:rsidRPr="00025914">
        <w:rPr>
          <w:rFonts w:ascii="Verdana" w:hAnsi="Verdana" w:cs="Arial"/>
          <w:color w:val="000000" w:themeColor="text1"/>
        </w:rPr>
        <w:t xml:space="preserve"> o </w:t>
      </w:r>
      <w:r>
        <w:rPr>
          <w:rFonts w:ascii="Verdana" w:hAnsi="Verdana" w:cs="Arial"/>
          <w:color w:val="000000" w:themeColor="text1"/>
        </w:rPr>
        <w:t>“</w:t>
      </w:r>
      <w:r w:rsidRPr="00025914">
        <w:rPr>
          <w:rFonts w:ascii="Verdana" w:hAnsi="Verdana" w:cs="Arial"/>
          <w:color w:val="000000" w:themeColor="text1"/>
        </w:rPr>
        <w:t>solo</w:t>
      </w:r>
      <w:r w:rsidR="00AC032B">
        <w:rPr>
          <w:rFonts w:ascii="Verdana" w:hAnsi="Verdana" w:cs="Arial"/>
          <w:color w:val="000000" w:themeColor="text1"/>
        </w:rPr>
        <w:t>”</w:t>
      </w:r>
      <w:r w:rsidRPr="00025914">
        <w:rPr>
          <w:rFonts w:ascii="Verdana" w:hAnsi="Verdana" w:cs="Arial"/>
          <w:color w:val="000000" w:themeColor="text1"/>
        </w:rPr>
        <w:t xml:space="preserve"> al referirse a los requisitos habilitantes y, además, debido a que la lectura íntegra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 norma que establece que </w:t>
      </w:r>
      <w:r>
        <w:rPr>
          <w:rFonts w:ascii="Verdana" w:hAnsi="Verdana" w:cs="Arial"/>
          <w:color w:val="000000" w:themeColor="text1"/>
        </w:rPr>
        <w:t>“</w:t>
      </w:r>
      <w:r w:rsidRPr="00025914">
        <w:rPr>
          <w:rFonts w:ascii="Verdana" w:hAnsi="Verdana" w:cs="Arial"/>
          <w:color w:val="000000" w:themeColor="text1"/>
        </w:rPr>
        <w:t>para poder participar en los procesos de selección de los contratos de obra, la capacidad residual del proponente o K de contratación deberá ser igual o superior al que la entidad haya establecido para el efecto en los pliegos de condiciones</w:t>
      </w:r>
      <w:r w:rsidR="00AC032B">
        <w:rPr>
          <w:rFonts w:ascii="Verdana" w:hAnsi="Verdana" w:cs="Arial"/>
          <w:color w:val="000000" w:themeColor="text1"/>
        </w:rPr>
        <w:t>”</w:t>
      </w:r>
      <w:r w:rsidRPr="00025914">
        <w:rPr>
          <w:rFonts w:ascii="Verdana" w:hAnsi="Verdana" w:cs="Arial"/>
          <w:color w:val="000000" w:themeColor="text1"/>
        </w:rPr>
        <w:t xml:space="preserve">. Esta segunda respuesta contiene la interpretación legal que comparte la Agencia Nacional de Contratación Pública. </w:t>
      </w:r>
    </w:p>
    <w:p w14:paraId="5AD9F55E" w14:textId="171F34D6"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Hay otros argumentos que sustentan tal elección interpretativa. Tal y como lo han considerado la Corte Constitucional</w:t>
      </w:r>
      <w:r w:rsidRPr="00025914">
        <w:rPr>
          <w:rStyle w:val="Refdenotaalpie"/>
          <w:rFonts w:ascii="Verdana" w:hAnsi="Verdana" w:cs="Arial"/>
          <w:color w:val="000000" w:themeColor="text1"/>
        </w:rPr>
        <w:footnoteReference w:id="12"/>
      </w:r>
      <w:r w:rsidRPr="00025914">
        <w:rPr>
          <w:rFonts w:ascii="Verdana" w:hAnsi="Verdana" w:cs="Arial"/>
          <w:color w:val="000000" w:themeColor="text1"/>
        </w:rPr>
        <w:t xml:space="preserve"> y el Consejo de Estado</w:t>
      </w:r>
      <w:r w:rsidRPr="00025914">
        <w:rPr>
          <w:rStyle w:val="Refdenotaalpie"/>
          <w:rFonts w:ascii="Verdana" w:hAnsi="Verdana" w:cs="Arial"/>
          <w:color w:val="000000" w:themeColor="text1"/>
        </w:rPr>
        <w:footnoteReference w:id="13"/>
      </w:r>
      <w:r w:rsidRPr="00025914">
        <w:rPr>
          <w:rFonts w:ascii="Verdana" w:hAnsi="Verdana" w:cs="Arial"/>
          <w:color w:val="000000" w:themeColor="text1"/>
        </w:rPr>
        <w:t xml:space="preserve">, en virtud del </w:t>
      </w:r>
      <w:r>
        <w:rPr>
          <w:rFonts w:ascii="Verdana" w:hAnsi="Verdana" w:cs="Arial"/>
          <w:color w:val="000000" w:themeColor="text1"/>
        </w:rPr>
        <w:t>“</w:t>
      </w:r>
      <w:r w:rsidRPr="00025914">
        <w:rPr>
          <w:rFonts w:ascii="Verdana" w:hAnsi="Verdana" w:cs="Arial"/>
          <w:color w:val="000000" w:themeColor="text1"/>
        </w:rPr>
        <w:t>principio del efecto útil</w:t>
      </w:r>
      <w:r w:rsidR="00AC032B">
        <w:rPr>
          <w:rFonts w:ascii="Verdana" w:hAnsi="Verdana" w:cs="Arial"/>
          <w:color w:val="000000" w:themeColor="text1"/>
        </w:rPr>
        <w:t>”</w:t>
      </w:r>
      <w:r w:rsidRPr="00025914">
        <w:rPr>
          <w:rFonts w:ascii="Verdana" w:hAnsi="Verdana" w:cs="Arial"/>
          <w:color w:val="000000" w:themeColor="text1"/>
        </w:rPr>
        <w:t xml:space="preserve">, el texto de una norma debe ser interpretado de manera que todo cuanto ella prescribe produzca consecuencias jurídicas. En ese contexto, surge la inquietud en relación con los efectos del parágrafo 2 del mismo artículo 5 de la Ley 1150 de 2007, pues si la intención del legislador era que solo fueran requisitos habilitantes los cuatro que contiene el numeral 1 de dicha disposición, ¿cómo se explica que el referido parágrafo aclare que </w:t>
      </w:r>
      <w:r>
        <w:rPr>
          <w:rFonts w:ascii="Verdana" w:hAnsi="Verdana" w:cs="Arial"/>
          <w:color w:val="000000" w:themeColor="text1"/>
        </w:rPr>
        <w:t>“</w:t>
      </w:r>
      <w:r w:rsidRPr="00025914">
        <w:rPr>
          <w:rFonts w:ascii="Verdana" w:hAnsi="Verdana" w:cs="Arial"/>
          <w:color w:val="000000" w:themeColor="text1"/>
        </w:rPr>
        <w:t>las certificaciones de sistemas de gestión de calidad no serán objeto de calificación, ni podrán establecerse como documento habilitante para participar en licitaciones o concursos</w:t>
      </w:r>
      <w:r w:rsidR="00AC032B">
        <w:rPr>
          <w:rFonts w:ascii="Verdana" w:hAnsi="Verdana" w:cs="Arial"/>
          <w:color w:val="000000" w:themeColor="text1"/>
        </w:rPr>
        <w:t>”</w:t>
      </w:r>
      <w:r w:rsidRPr="00025914">
        <w:rPr>
          <w:rFonts w:ascii="Verdana" w:hAnsi="Verdana" w:cs="Arial"/>
          <w:color w:val="000000" w:themeColor="text1"/>
        </w:rPr>
        <w:t xml:space="preserve">? Si se interpreta que solo son cuatro los requisitos habilitantes, el parágrafo 2 carecería de efectos jurídicos y, por ende, no tendría ninguna consecuencia normativa que en el mismo artículo se aclare que una exigencia no puede ser considera como requisito habilitante. </w:t>
      </w:r>
    </w:p>
    <w:p w14:paraId="76A70969"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La intención del legislador, de la cual dan cuenta los antecedentes legislativos de la norma </w:t>
      </w:r>
      <w:r w:rsidRPr="00025914">
        <w:rPr>
          <w:rFonts w:ascii="Verdana" w:hAnsi="Verdana" w:cs="Arial"/>
          <w:i/>
          <w:iCs/>
          <w:color w:val="000000" w:themeColor="text1"/>
        </w:rPr>
        <w:t>sub examine</w:t>
      </w:r>
      <w:r w:rsidRPr="00025914">
        <w:rPr>
          <w:rFonts w:ascii="Verdana" w:hAnsi="Verdana" w:cs="Arial"/>
          <w:color w:val="000000" w:themeColor="text1"/>
        </w:rPr>
        <w:t xml:space="preserve">, también justifica la interpretación </w:t>
      </w:r>
      <w:r w:rsidRPr="00025914">
        <w:rPr>
          <w:rFonts w:ascii="Verdana" w:hAnsi="Verdana" w:cs="Arial"/>
          <w:color w:val="000000" w:themeColor="text1"/>
        </w:rPr>
        <w:lastRenderedPageBreak/>
        <w:t>propuesta por esta Agencia, ya que fue hasta el cuarto debate parlamentario en donde se incluyó el parágrafo comentando anteriormente</w:t>
      </w:r>
      <w:r w:rsidRPr="00025914">
        <w:rPr>
          <w:rStyle w:val="Refdenotaalpie"/>
          <w:rFonts w:ascii="Verdana" w:hAnsi="Verdana" w:cs="Arial"/>
          <w:color w:val="000000" w:themeColor="text1"/>
        </w:rPr>
        <w:footnoteReference w:id="14"/>
      </w:r>
      <w:r w:rsidRPr="00025914">
        <w:rPr>
          <w:rFonts w:ascii="Verdana" w:hAnsi="Verdana" w:cs="Arial"/>
          <w:color w:val="000000" w:themeColor="text1"/>
        </w:rPr>
        <w:t>, lo que deja ver la necesidad que tenía el Congreso de aclarar que unos documentos no podrían ser tenidos como requisitos habilitantes, lo que da cuenta, a su vez, de su reconocimiento tácito de la existencia de otros requisitos habilitantes, distintos a los cuatro que establece el artículo 5, parágrafo 1, de la Ley 1150 de 2007.</w:t>
      </w:r>
    </w:p>
    <w:p w14:paraId="0121016D" w14:textId="114DBD63"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Por otro lado, en el referido </w:t>
      </w:r>
      <w:r>
        <w:rPr>
          <w:rFonts w:ascii="Verdana" w:hAnsi="Verdana" w:cs="Arial"/>
          <w:color w:val="000000" w:themeColor="text1"/>
        </w:rPr>
        <w:t>“</w:t>
      </w:r>
      <w:r w:rsidRPr="00025914">
        <w:rPr>
          <w:rFonts w:ascii="Verdana" w:hAnsi="Verdana" w:cs="Arial"/>
          <w:color w:val="000000" w:themeColor="text1"/>
        </w:rPr>
        <w:t>Manual para determinar y verificar los requisitos habilitantes en los Procesos de Contratación</w:t>
      </w:r>
      <w:r w:rsidR="00AC032B">
        <w:rPr>
          <w:rFonts w:ascii="Verdana" w:hAnsi="Verdana" w:cs="Arial"/>
          <w:color w:val="000000" w:themeColor="text1"/>
        </w:rPr>
        <w:t>”</w:t>
      </w:r>
      <w:r w:rsidRPr="00025914">
        <w:rPr>
          <w:rFonts w:ascii="Verdana" w:hAnsi="Verdana" w:cs="Arial"/>
          <w:color w:val="000000" w:themeColor="text1"/>
        </w:rPr>
        <w:t xml:space="preserve"> se determinaron los parámetros para </w:t>
      </w:r>
      <w:r w:rsidRPr="00025914">
        <w:rPr>
          <w:rFonts w:ascii="Verdana" w:hAnsi="Verdana" w:cs="Arial"/>
          <w:i/>
          <w:iCs/>
          <w:color w:val="000000" w:themeColor="text1"/>
        </w:rPr>
        <w:t>establecer</w:t>
      </w:r>
      <w:r w:rsidRPr="00025914">
        <w:rPr>
          <w:rFonts w:ascii="Verdana" w:hAnsi="Verdana" w:cs="Arial"/>
          <w:color w:val="000000" w:themeColor="text1"/>
        </w:rPr>
        <w:t xml:space="preserve">, </w:t>
      </w:r>
      <w:r w:rsidRPr="00025914">
        <w:rPr>
          <w:rFonts w:ascii="Verdana" w:hAnsi="Verdana" w:cs="Arial"/>
          <w:i/>
          <w:iCs/>
          <w:color w:val="000000" w:themeColor="text1"/>
        </w:rPr>
        <w:t>acreditar</w:t>
      </w:r>
      <w:r w:rsidRPr="00025914">
        <w:rPr>
          <w:rFonts w:ascii="Verdana" w:hAnsi="Verdana" w:cs="Arial"/>
          <w:color w:val="000000" w:themeColor="text1"/>
        </w:rPr>
        <w:t xml:space="preserve"> y </w:t>
      </w:r>
      <w:r w:rsidRPr="00025914">
        <w:rPr>
          <w:rFonts w:ascii="Verdana" w:hAnsi="Verdana" w:cs="Arial"/>
          <w:i/>
          <w:iCs/>
          <w:color w:val="000000" w:themeColor="text1"/>
        </w:rPr>
        <w:t>subsanar</w:t>
      </w:r>
      <w:r w:rsidRPr="00025914">
        <w:rPr>
          <w:rFonts w:ascii="Verdana" w:hAnsi="Verdana" w:cs="Arial"/>
          <w:color w:val="000000" w:themeColor="text1"/>
        </w:rPr>
        <w:t xml:space="preserve"> los requisitos habilitantes estudiados en los párrafos precedentes. Allí también se precisó que los requisitos habilitantes tienen como fin primordial medir </w:t>
      </w:r>
      <w:r>
        <w:rPr>
          <w:rFonts w:ascii="Verdana" w:hAnsi="Verdana" w:cs="Arial"/>
          <w:color w:val="000000" w:themeColor="text1"/>
        </w:rPr>
        <w:t>“</w:t>
      </w:r>
      <w:r w:rsidRPr="00025914">
        <w:rPr>
          <w:rFonts w:ascii="Verdana" w:hAnsi="Verdana" w:cs="Arial"/>
          <w:color w:val="000000" w:themeColor="text1"/>
        </w:rPr>
        <w:t>la aptitud del proponente para participar en un Proceso de Contratación como oferente y están referidos a su capacidad jurídica, financiera, organizacional y su experiencia</w:t>
      </w:r>
      <w:r w:rsidR="00AC032B">
        <w:rPr>
          <w:rFonts w:ascii="Verdana" w:hAnsi="Verdana" w:cs="Arial"/>
          <w:color w:val="000000" w:themeColor="text1"/>
        </w:rPr>
        <w:t>”</w:t>
      </w:r>
      <w:r w:rsidRPr="00025914">
        <w:rPr>
          <w:rFonts w:ascii="Verdana" w:hAnsi="Verdana" w:cs="Arial"/>
          <w:color w:val="000000" w:themeColor="text1"/>
        </w:rPr>
        <w:t xml:space="preserve">. Su propósito es, según el Manual, </w:t>
      </w:r>
      <w:r>
        <w:rPr>
          <w:rFonts w:ascii="Verdana" w:hAnsi="Verdana" w:cs="Arial"/>
          <w:color w:val="000000" w:themeColor="text1"/>
        </w:rPr>
        <w:t>“</w:t>
      </w:r>
      <w:r w:rsidRPr="00025914">
        <w:rPr>
          <w:rFonts w:ascii="Verdana" w:hAnsi="Verdana" w:cs="Arial"/>
          <w:color w:val="000000" w:themeColor="text1"/>
        </w:rPr>
        <w:t>establecer unas condiciones mínimas para los proponentes de tal manera que la Entidad Estatal sólo evalúe las ofertas de aquellos que están en condiciones de cumplir con el objeto del Proceso de Contratación</w:t>
      </w:r>
      <w:r w:rsidR="00AC032B">
        <w:rPr>
          <w:rFonts w:ascii="Verdana" w:hAnsi="Verdana" w:cs="Arial"/>
          <w:color w:val="000000" w:themeColor="text1"/>
        </w:rPr>
        <w:t>”</w:t>
      </w:r>
      <w:r w:rsidRPr="00025914">
        <w:rPr>
          <w:rFonts w:ascii="Verdana" w:hAnsi="Verdana" w:cs="Arial"/>
          <w:color w:val="000000" w:themeColor="text1"/>
        </w:rPr>
        <w:t>.</w:t>
      </w:r>
    </w:p>
    <w:p w14:paraId="6A4064DF" w14:textId="77777777" w:rsidR="00933CFF" w:rsidRPr="00025914" w:rsidRDefault="00933CFF" w:rsidP="00933CFF">
      <w:pPr>
        <w:spacing w:before="120" w:line="276" w:lineRule="auto"/>
        <w:ind w:firstLine="709"/>
        <w:jc w:val="both"/>
        <w:rPr>
          <w:rFonts w:ascii="Verdana" w:hAnsi="Verdana" w:cs="Arial"/>
          <w:color w:val="000000" w:themeColor="text1"/>
        </w:rPr>
      </w:pPr>
      <w:bookmarkStart w:id="4" w:name="_Hlk34917473"/>
      <w:r w:rsidRPr="00025914">
        <w:rPr>
          <w:rFonts w:ascii="Verdana" w:hAnsi="Verdana" w:cs="Arial"/>
          <w:color w:val="000000" w:themeColor="text1"/>
        </w:rPr>
        <w:t xml:space="preserve">Corresponde a las entidades estatales, durante la etapa de planeación del contrato estatal, estudiar y </w:t>
      </w:r>
      <w:r w:rsidRPr="00025914">
        <w:rPr>
          <w:rFonts w:ascii="Verdana" w:hAnsi="Verdana" w:cs="Arial"/>
          <w:bCs/>
          <w:iCs/>
          <w:color w:val="000000" w:themeColor="text1"/>
        </w:rPr>
        <w:t>determinar</w:t>
      </w:r>
      <w:r w:rsidRPr="00025914">
        <w:rPr>
          <w:rFonts w:ascii="Verdana" w:hAnsi="Verdana" w:cs="Arial"/>
          <w:color w:val="000000" w:themeColor="text1"/>
        </w:rPr>
        <w:t xml:space="preserve"> los requisitos habilitantes que establecerán en los pliegos de condiciones, los cuales deben fijarse de forma adecuada y proporcional. Esto último, según se deriva de la lectura del artículo 2.2.1.1.1.6.2 del Decreto 1082 de 2015, debe hacerse de acuerdo con la naturaleza, el valor del contrato, la forma de pago, los </w:t>
      </w:r>
      <w:r w:rsidRPr="00025914">
        <w:rPr>
          <w:rFonts w:ascii="Verdana" w:hAnsi="Verdana" w:cs="Arial"/>
          <w:i/>
          <w:iCs/>
          <w:color w:val="000000" w:themeColor="text1"/>
        </w:rPr>
        <w:t>riesgos</w:t>
      </w:r>
      <w:r w:rsidRPr="00025914">
        <w:rPr>
          <w:rFonts w:ascii="Verdana" w:hAnsi="Verdana" w:cs="Arial"/>
          <w:color w:val="000000" w:themeColor="text1"/>
        </w:rPr>
        <w:t xml:space="preserve"> </w:t>
      </w:r>
      <w:r w:rsidRPr="00025914">
        <w:rPr>
          <w:rFonts w:ascii="Verdana" w:hAnsi="Verdana" w:cs="Arial"/>
          <w:i/>
          <w:iCs/>
          <w:color w:val="000000" w:themeColor="text1"/>
        </w:rPr>
        <w:t>asociados al contrato</w:t>
      </w:r>
      <w:r w:rsidRPr="00025914">
        <w:rPr>
          <w:rFonts w:ascii="Verdana" w:hAnsi="Verdana" w:cs="Arial"/>
          <w:color w:val="000000" w:themeColor="text1"/>
        </w:rPr>
        <w:t xml:space="preserve">, el plazo y la complejidad de ejecución del objeto. Todo porque el ejercicio de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por ejemplo, como el que estable el artículo 5, parágrafo 2, de la Ley 1150 de 2007, </w:t>
      </w:r>
      <w:r w:rsidRPr="00025914">
        <w:rPr>
          <w:rFonts w:ascii="Verdana" w:hAnsi="Verdana" w:cs="Arial"/>
          <w:color w:val="000000" w:themeColor="text1"/>
          <w:lang w:val="es-ES"/>
        </w:rPr>
        <w:t>relacionado con la prohibición de exigir certificaciones de sistemas de gestión de calidad como requisito habilitante</w:t>
      </w:r>
      <w:r w:rsidRPr="00025914">
        <w:rPr>
          <w:rFonts w:ascii="Verdana" w:hAnsi="Verdana" w:cs="Arial"/>
          <w:color w:val="000000" w:themeColor="text1"/>
        </w:rPr>
        <w:t xml:space="preserve">. </w:t>
      </w:r>
    </w:p>
    <w:bookmarkEnd w:id="4"/>
    <w:p w14:paraId="436ABAA5" w14:textId="06BF3978"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Al respecto, en la sentencia C-004 de 2017, la Corte Constitucional señaló que </w:t>
      </w:r>
      <w:r>
        <w:rPr>
          <w:rFonts w:ascii="Verdana" w:hAnsi="Verdana" w:cs="Arial"/>
          <w:color w:val="000000" w:themeColor="text1"/>
        </w:rPr>
        <w:t>“</w:t>
      </w:r>
      <w:r w:rsidRPr="00025914">
        <w:rPr>
          <w:rFonts w:ascii="Verdana" w:hAnsi="Verdana" w:cs="Arial"/>
          <w:color w:val="000000" w:themeColor="text1"/>
        </w:rPr>
        <w:t xml:space="preserve">[l]a determinación de dichas condiciones habilitantes para participar, es </w:t>
      </w:r>
      <w:r w:rsidRPr="00025914">
        <w:rPr>
          <w:rFonts w:ascii="Verdana" w:hAnsi="Verdana" w:cs="Arial"/>
          <w:color w:val="000000" w:themeColor="text1"/>
        </w:rPr>
        <w:lastRenderedPageBreak/>
        <w:t>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r w:rsidR="00AC032B">
        <w:rPr>
          <w:rFonts w:ascii="Verdana" w:hAnsi="Verdana" w:cs="Arial"/>
          <w:color w:val="000000" w:themeColor="text1"/>
        </w:rPr>
        <w:t>”</w:t>
      </w:r>
    </w:p>
    <w:p w14:paraId="70872601"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De todos modos, como se dijo antes, para la configuración de los requisitos habilitantes, la entidad no está limitada a los cuatro que enuncia el artículo 5, numeral 1, de la Ley 1150 de 2007, pues, se insiste, estos son solo enunciativos y no taxativos.</w:t>
      </w:r>
    </w:p>
    <w:p w14:paraId="0BC9DAF2" w14:textId="04C0C8B2"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Por el objeto de la consulta, es importante resaltar que Colombia Compra Eficiente elaboró el </w:t>
      </w:r>
      <w:r>
        <w:rPr>
          <w:rFonts w:ascii="Verdana" w:hAnsi="Verdana" w:cs="Arial"/>
          <w:color w:val="000000" w:themeColor="text1"/>
        </w:rPr>
        <w:t>“</w:t>
      </w:r>
      <w:r w:rsidRPr="00025914">
        <w:rPr>
          <w:rFonts w:ascii="Verdana" w:hAnsi="Verdana" w:cs="Arial"/>
          <w:color w:val="000000" w:themeColor="text1"/>
        </w:rPr>
        <w:t>Manual para la Identificación y Cobertura del Riesgo en los Procesos de Contratación</w:t>
      </w:r>
      <w:r w:rsidR="00AC032B">
        <w:rPr>
          <w:rFonts w:ascii="Verdana" w:hAnsi="Verdana" w:cs="Arial"/>
          <w:color w:val="000000" w:themeColor="text1"/>
        </w:rPr>
        <w:t>”</w:t>
      </w:r>
      <w:r w:rsidRPr="00025914">
        <w:rPr>
          <w:rFonts w:ascii="Verdana" w:hAnsi="Verdana" w:cs="Arial"/>
          <w:color w:val="000000" w:themeColor="text1"/>
        </w:rPr>
        <w:t xml:space="preserve">. Este documento invita a las entidades públicas a identificar los riesgos del proceso de contratación, de acuerdo con la siguiente clasificación: i) por su clase, en donde existen riesgos generales y específicos; </w:t>
      </w:r>
      <w:proofErr w:type="spellStart"/>
      <w:r w:rsidRPr="00025914">
        <w:rPr>
          <w:rFonts w:ascii="Verdana" w:hAnsi="Verdana" w:cs="Arial"/>
          <w:color w:val="000000" w:themeColor="text1"/>
        </w:rPr>
        <w:t>ii</w:t>
      </w:r>
      <w:proofErr w:type="spellEnd"/>
      <w:r w:rsidRPr="00025914">
        <w:rPr>
          <w:rFonts w:ascii="Verdana" w:hAnsi="Verdana" w:cs="Arial"/>
          <w:color w:val="000000" w:themeColor="text1"/>
        </w:rPr>
        <w:t xml:space="preserve">) por su fuente, siendo riesgos internos y externos; </w:t>
      </w:r>
      <w:proofErr w:type="spellStart"/>
      <w:r w:rsidRPr="00025914">
        <w:rPr>
          <w:rFonts w:ascii="Verdana" w:hAnsi="Verdana" w:cs="Arial"/>
          <w:color w:val="000000" w:themeColor="text1"/>
        </w:rPr>
        <w:t>iii</w:t>
      </w:r>
      <w:proofErr w:type="spellEnd"/>
      <w:r w:rsidRPr="00025914">
        <w:rPr>
          <w:rFonts w:ascii="Verdana" w:hAnsi="Verdana" w:cs="Arial"/>
          <w:color w:val="000000" w:themeColor="text1"/>
        </w:rPr>
        <w:t xml:space="preserve">) por la etapa en el que se encuentra, en donde los riesgos pueden ser en la planeación, selección, contratación o en la ejecución; y </w:t>
      </w:r>
      <w:proofErr w:type="spellStart"/>
      <w:r w:rsidRPr="00025914">
        <w:rPr>
          <w:rFonts w:ascii="Verdana" w:hAnsi="Verdana" w:cs="Arial"/>
          <w:color w:val="000000" w:themeColor="text1"/>
        </w:rPr>
        <w:t>iv</w:t>
      </w:r>
      <w:proofErr w:type="spellEnd"/>
      <w:r w:rsidRPr="00025914">
        <w:rPr>
          <w:rFonts w:ascii="Verdana" w:hAnsi="Verdana" w:cs="Arial"/>
          <w:color w:val="000000" w:themeColor="text1"/>
        </w:rPr>
        <w:t>) por el tipo, estos son:</w:t>
      </w:r>
    </w:p>
    <w:p w14:paraId="2C1508FD"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Económicos: son los derivados del comportamiento del mercado, tales como la fluctuación de los precios de los insumos, desabastecimiento y especulación de los mismos, entre otros.</w:t>
      </w:r>
    </w:p>
    <w:p w14:paraId="3E068EFA"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Sociales o Políticos: son los derivados de los cambios de las políticas gubernamentales y de cambios en las condiciones sociales que tengan impacto en la ejecución del contrato.</w:t>
      </w:r>
    </w:p>
    <w:p w14:paraId="1CA7E816" w14:textId="77777777" w:rsidR="00933CFF" w:rsidRPr="00AC032B" w:rsidRDefault="00933CFF" w:rsidP="00933CFF">
      <w:pPr>
        <w:ind w:left="709" w:right="760"/>
        <w:jc w:val="both"/>
        <w:rPr>
          <w:rFonts w:ascii="Verdana" w:hAnsi="Verdana" w:cs="Arial"/>
          <w:i/>
          <w:iCs/>
          <w:color w:val="000000" w:themeColor="text1"/>
          <w:sz w:val="20"/>
          <w:szCs w:val="20"/>
        </w:rPr>
      </w:pPr>
      <w:r w:rsidRPr="00AC032B">
        <w:rPr>
          <w:rFonts w:ascii="Verdana" w:hAnsi="Verdana" w:cs="Arial"/>
          <w:i/>
          <w:iCs/>
          <w:color w:val="000000" w:themeColor="text1"/>
          <w:sz w:val="20"/>
          <w:szCs w:val="20"/>
        </w:rPr>
        <w:t>Riesgos Operacionales: son los asociados a la operatividad del contrato, tales como la suficiencia del presupuesto oficial, del plazo o los derivados de procesos, procedimientos, parámetros, sistemas de información y tecnológicos, equipos humanos o técnicos inadecuados o insuficientes.</w:t>
      </w:r>
    </w:p>
    <w:p w14:paraId="707F509B"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Financieros: son (i) el riesgo de consecución de financiación o riesgo de liquidez para obtener recursos para cumplir con el objeto del contrato, y (</w:t>
      </w:r>
      <w:proofErr w:type="spellStart"/>
      <w:r w:rsidRPr="00AC032B">
        <w:rPr>
          <w:rFonts w:ascii="Verdana" w:hAnsi="Verdana" w:cs="Arial"/>
          <w:color w:val="000000" w:themeColor="text1"/>
          <w:sz w:val="20"/>
          <w:szCs w:val="20"/>
        </w:rPr>
        <w:t>ii</w:t>
      </w:r>
      <w:proofErr w:type="spellEnd"/>
      <w:r w:rsidRPr="00AC032B">
        <w:rPr>
          <w:rFonts w:ascii="Verdana" w:hAnsi="Verdana" w:cs="Arial"/>
          <w:color w:val="000000" w:themeColor="text1"/>
          <w:sz w:val="20"/>
          <w:szCs w:val="20"/>
        </w:rPr>
        <w:t>) el riesgo de las condiciones financieras establecidas para la obtención de los recursos, tales como plazos, tasas, garantías, contragarantías, y refinanciaciones, entre otros.</w:t>
      </w:r>
    </w:p>
    <w:p w14:paraId="5F44487C"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Regulatorios: derivados de cambios regulatorios o reglamentarios que afecten la ecuación económica del contrato.</w:t>
      </w:r>
    </w:p>
    <w:p w14:paraId="599DB8C1"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de la Naturaleza: son los eventos naturales previsibles en los cuales no hay intervención humana que puedan tener impacto en la ejecución del contrato, por ejemplo los temblores, inundaciones, lluvias, sequías, entre otros.</w:t>
      </w:r>
    </w:p>
    <w:p w14:paraId="12C599AF"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lastRenderedPageBreak/>
        <w:t>Riesgos Ambientales: son los derivados de las obligaciones legales o reglamentarias de carácter ambiental, así como de las licencias, planes de manejo o de permisos y autorizaciones ambientales, incluyendo tasas retributivas y compensatorias, obligaciones de mitigación, tareas de monitoreo y control, entre otras.</w:t>
      </w:r>
    </w:p>
    <w:p w14:paraId="41A592AF"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Tecnológicos: son los derivados de fallas en los sistemas de comunicación de voz y de datos, suspensión de servicios públicos, nuevos desarrollos tecnológicos o estándares que deben ser tenidos en cuenta para la ejecución del contrato, obsolescencia tecnológica. [Cursivas propias]</w:t>
      </w:r>
    </w:p>
    <w:p w14:paraId="7B8E15CE" w14:textId="77777777" w:rsidR="00933CFF" w:rsidRPr="00025914" w:rsidRDefault="00933CFF" w:rsidP="00933CFF">
      <w:pPr>
        <w:spacing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Los riesgos asociados al contrato estatal, entonces, pueden estar coligados con los riesgos de las personas que van a ejecutar el contrato estatal como </w:t>
      </w:r>
      <w:r w:rsidRPr="00025914">
        <w:rPr>
          <w:rFonts w:ascii="Verdana" w:hAnsi="Verdana" w:cs="Arial"/>
          <w:i/>
          <w:iCs/>
          <w:color w:val="000000" w:themeColor="text1"/>
        </w:rPr>
        <w:t>riesgos operacionales</w:t>
      </w:r>
      <w:r w:rsidRPr="00025914">
        <w:rPr>
          <w:rFonts w:ascii="Verdana" w:hAnsi="Verdana" w:cs="Arial"/>
          <w:color w:val="000000" w:themeColor="text1"/>
        </w:rPr>
        <w:t>, a pesar de que son regulador por disposiciones de seguridad laboral. Muestra de la relación que tienen estos con los contratos estatales es que, en aplicación de lo dispuesto por el artículo 2.2.1.2.3.1.7. del Decreto 1082 de 2015, la entidad puede exigirle al contratista una póliza que ampare los riesgos asociados con prestaciones sociales e indemnizaciones laborales. También lo es la obligación de la entidad de verificar los pagos que hace el contratista, a título de aportes de sus contratistas</w:t>
      </w:r>
      <w:r w:rsidRPr="00025914">
        <w:rPr>
          <w:rStyle w:val="Refdenotaalpie"/>
          <w:rFonts w:ascii="Verdana" w:hAnsi="Verdana" w:cs="Arial"/>
          <w:color w:val="000000" w:themeColor="text1"/>
        </w:rPr>
        <w:footnoteReference w:id="15"/>
      </w:r>
      <w:r w:rsidRPr="00025914">
        <w:rPr>
          <w:rFonts w:ascii="Verdana" w:hAnsi="Verdana" w:cs="Arial"/>
          <w:color w:val="000000" w:themeColor="text1"/>
        </w:rPr>
        <w:t>.</w:t>
      </w:r>
    </w:p>
    <w:p w14:paraId="14E77ADF"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Una vez los requisitos de habilitación son fijados por la entidad estatal, quienes presenten ofertas deben </w:t>
      </w:r>
      <w:r w:rsidRPr="00025914">
        <w:rPr>
          <w:rFonts w:ascii="Verdana" w:hAnsi="Verdana" w:cs="Arial"/>
          <w:bCs/>
          <w:i/>
          <w:iCs/>
          <w:color w:val="000000" w:themeColor="text1"/>
        </w:rPr>
        <w:t>acreditar</w:t>
      </w:r>
      <w:r w:rsidRPr="00025914">
        <w:rPr>
          <w:rFonts w:ascii="Verdana" w:hAnsi="Verdana" w:cs="Arial"/>
          <w:color w:val="000000" w:themeColor="text1"/>
        </w:rPr>
        <w:t xml:space="preserve"> que cumplen con los mismos, pues, en el evento contrario, las propuestas deberán ser rechazadas. Lo anterior, sin perjuicio de la posibilidad de </w:t>
      </w:r>
      <w:r w:rsidRPr="00025914">
        <w:rPr>
          <w:rFonts w:ascii="Verdana" w:hAnsi="Verdana" w:cs="Arial"/>
          <w:bCs/>
          <w:i/>
          <w:iCs/>
          <w:color w:val="000000" w:themeColor="text1"/>
        </w:rPr>
        <w:t>subsanar</w:t>
      </w:r>
      <w:r w:rsidRPr="00025914">
        <w:rPr>
          <w:rFonts w:ascii="Verdana" w:hAnsi="Verdana" w:cs="Arial"/>
          <w:color w:val="000000" w:themeColor="text1"/>
        </w:rPr>
        <w:t>, la cual desarrolla el artículo 5 de la Ley 1882 de 2018, que modificó el parágrafo 1º del artículo 5 de la Ley 1150 de 2007, en los siguientes términos:</w:t>
      </w:r>
    </w:p>
    <w:p w14:paraId="29A0AC03"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Artículo 5°. De la selección objetiva. </w:t>
      </w:r>
    </w:p>
    <w:p w14:paraId="13F3C197"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 ] </w:t>
      </w:r>
    </w:p>
    <w:p w14:paraId="095670CF"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w:t>
      </w:r>
      <w:r w:rsidRPr="00AC032B">
        <w:rPr>
          <w:rFonts w:ascii="Verdana" w:hAnsi="Verdana" w:cs="Arial"/>
          <w:color w:val="000000" w:themeColor="text1"/>
          <w:sz w:val="20"/>
          <w:szCs w:val="20"/>
        </w:rPr>
        <w:lastRenderedPageBreak/>
        <w:t xml:space="preserve">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FDD6461" w14:textId="2C1B8E9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hAnsi="Verdana" w:cs="Arial"/>
          <w:color w:val="000000" w:themeColor="text1"/>
        </w:rPr>
        <w:t xml:space="preserve">Esta norma, por un lado, mantiene el criterio de la Ley 80 de 1993, relativo a que todo lo que no sea necesario para la comparación de propuestas no es título suficiente para su rechazo y, por el otro, mantiene el criterio aclaratorio de la Ley 1150 de 2007, según el cual todo lo que no afecte la asignación de puntaje puede subsanarse. También introduce modificaciones en relación con: i) el ámbito temporal para ejercer la facultad de subsanar la oferta; </w:t>
      </w:r>
      <w:proofErr w:type="spellStart"/>
      <w:r w:rsidRPr="00025914">
        <w:rPr>
          <w:rFonts w:ascii="Verdana" w:hAnsi="Verdana" w:cs="Arial"/>
          <w:color w:val="000000" w:themeColor="text1"/>
        </w:rPr>
        <w:t>ii</w:t>
      </w:r>
      <w:proofErr w:type="spellEnd"/>
      <w:r w:rsidRPr="00025914">
        <w:rPr>
          <w:rFonts w:ascii="Verdana" w:hAnsi="Verdana" w:cs="Arial"/>
          <w:color w:val="000000" w:themeColor="text1"/>
        </w:rPr>
        <w:t xml:space="preserve">) </w:t>
      </w:r>
      <w:r w:rsidRPr="00025914">
        <w:rPr>
          <w:rFonts w:ascii="Verdana" w:eastAsia="Calibri" w:hAnsi="Verdana" w:cs="Arial"/>
          <w:color w:val="000000" w:themeColor="text1"/>
        </w:rPr>
        <w:t xml:space="preserve">la introducción de un criterio material, directamente relacionado con los aspectos subsanables: </w:t>
      </w:r>
      <w:r>
        <w:rPr>
          <w:rFonts w:ascii="Verdana" w:eastAsia="Calibri" w:hAnsi="Verdana" w:cs="Arial"/>
          <w:color w:val="000000" w:themeColor="text1"/>
        </w:rPr>
        <w:t>“</w:t>
      </w:r>
      <w:r w:rsidRPr="00025914">
        <w:rPr>
          <w:rFonts w:ascii="Verdana" w:hAnsi="Verdana" w:cs="Arial"/>
          <w:i/>
          <w:color w:val="000000" w:themeColor="text1"/>
        </w:rPr>
        <w:t>los proponentes no podrán acreditar circunstancias ocurridas con posterioridad al cierre del proceso</w:t>
      </w:r>
      <w:r w:rsidR="00AC032B">
        <w:rPr>
          <w:rFonts w:ascii="Verdana" w:hAnsi="Verdana" w:cs="Arial"/>
          <w:color w:val="000000" w:themeColor="text1"/>
        </w:rPr>
        <w:t>”</w:t>
      </w:r>
      <w:r w:rsidRPr="00025914">
        <w:rPr>
          <w:rFonts w:ascii="Verdana" w:hAnsi="Verdana" w:cs="Arial"/>
          <w:color w:val="000000" w:themeColor="text1"/>
        </w:rPr>
        <w:t xml:space="preserve">; y </w:t>
      </w:r>
      <w:proofErr w:type="spellStart"/>
      <w:r w:rsidRPr="00025914">
        <w:rPr>
          <w:rFonts w:ascii="Verdana" w:hAnsi="Verdana" w:cs="Arial"/>
          <w:color w:val="000000" w:themeColor="text1"/>
        </w:rPr>
        <w:t>iii</w:t>
      </w:r>
      <w:proofErr w:type="spellEnd"/>
      <w:r w:rsidRPr="00025914">
        <w:rPr>
          <w:rFonts w:ascii="Verdana" w:hAnsi="Verdana" w:cs="Arial"/>
          <w:color w:val="000000" w:themeColor="text1"/>
        </w:rPr>
        <w:t xml:space="preserve">) la determinación </w:t>
      </w:r>
      <w:r w:rsidRPr="00025914">
        <w:rPr>
          <w:rFonts w:ascii="Verdana" w:eastAsia="Calibri" w:hAnsi="Verdana" w:cs="Arial"/>
          <w:color w:val="000000" w:themeColor="text1"/>
        </w:rPr>
        <w:t xml:space="preserve">expresa de que </w:t>
      </w:r>
      <w:r>
        <w:rPr>
          <w:rFonts w:ascii="Verdana" w:eastAsia="Calibri" w:hAnsi="Verdana" w:cs="Arial"/>
          <w:color w:val="000000" w:themeColor="text1"/>
        </w:rPr>
        <w:t>“</w:t>
      </w:r>
      <w:r w:rsidRPr="00025914">
        <w:rPr>
          <w:rFonts w:ascii="Verdana" w:eastAsia="Calibri" w:hAnsi="Verdana" w:cs="Arial"/>
          <w:color w:val="000000" w:themeColor="text1"/>
        </w:rPr>
        <w:t>la no entrega de la garantía de seriedad junto con la propuesta no será subsanable y será causal de rechazo de la misma</w:t>
      </w:r>
      <w:r w:rsidR="00AC032B">
        <w:rPr>
          <w:rFonts w:ascii="Verdana" w:eastAsia="Calibri" w:hAnsi="Verdana" w:cs="Arial"/>
          <w:color w:val="000000" w:themeColor="text1"/>
        </w:rPr>
        <w:t>”</w:t>
      </w:r>
      <w:r w:rsidRPr="00025914">
        <w:rPr>
          <w:rFonts w:ascii="Verdana" w:eastAsia="Calibri" w:hAnsi="Verdana" w:cs="Arial"/>
          <w:color w:val="000000" w:themeColor="text1"/>
        </w:rPr>
        <w:t>, dejando claro que se trata de un documento de obligatoria presentación junto con la propuesta y que materializa los principios de seriedad e irrevocabilidad de la oferta.</w:t>
      </w:r>
    </w:p>
    <w:p w14:paraId="5B60A8D7"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Como conclusión de lo anterior, puede decirse que aunque la Ley 1150 de 2007 estableció unos requisitos habilitantes para los proponentes: la capacidad jurídica, las condiciones de experiencia, la capacidad financiera y la capacidad de organización, lo cierto es que los mismos no son taxativos; que los requisitos habilitantes deben ser establecidos por la entidad en cada proceso contractual de acuerdo con los parámetros fijados en el Decreto 1082 de 2015; y que una vez los requisitos de habilitación son fijados, quienes presenten ofertas deben acreditar que cumplen con ellos, so pena de que sus propuestas sean rechazadas, claro está, sin perjuicio de la posibilidad de subsanarlas. Todo, dentro de los parámetros explicados en las consideraciones anteriores.</w:t>
      </w:r>
    </w:p>
    <w:p w14:paraId="263A2483" w14:textId="249425E0"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claro está, sin perjuicio de las prohibiciones legales. Por ejemplo, 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 xml:space="preserve">certificaciones de sistemas de gestión de calidad no serán objeto de calificación, ni podrán establecerse como documento habilitante </w:t>
      </w:r>
      <w:r w:rsidRPr="00025914">
        <w:rPr>
          <w:rFonts w:ascii="Verdana" w:eastAsia="Calibri" w:hAnsi="Verdana" w:cs="Arial"/>
          <w:color w:val="000000" w:themeColor="text1"/>
        </w:rPr>
        <w:lastRenderedPageBreak/>
        <w:t>para participar en licitaciones o concursos</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025914">
        <w:rPr>
          <w:rFonts w:ascii="Verdana" w:eastAsia="Calibri" w:hAnsi="Verdana" w:cs="Arial"/>
          <w:i/>
          <w:iCs/>
          <w:color w:val="000000" w:themeColor="text1"/>
        </w:rPr>
        <w:t>sub examine</w:t>
      </w:r>
      <w:r w:rsidRPr="00025914">
        <w:rPr>
          <w:rFonts w:ascii="Verdana" w:eastAsia="Calibri" w:hAnsi="Verdana" w:cs="Arial"/>
          <w:color w:val="000000" w:themeColor="text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1F97785A" w14:textId="0ECF9A2D"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sidR="00AC032B">
        <w:rPr>
          <w:rFonts w:ascii="Verdana" w:eastAsia="Calibri" w:hAnsi="Verdana" w:cs="Arial"/>
          <w:color w:val="000000" w:themeColor="text1"/>
        </w:rPr>
        <w:t>”</w:t>
      </w:r>
      <w:r w:rsidRPr="00025914">
        <w:rPr>
          <w:rFonts w:ascii="Verdana" w:eastAsia="Calibri" w:hAnsi="Verdana" w:cs="Arial"/>
          <w:color w:val="000000" w:themeColor="text1"/>
        </w:rPr>
        <w:t>, reglamentados por medio de la Resolución 0312 del 13 de febrero de 2019, expedida por el Ministerio del Trabajo. En efecto, los artículos 3, 9, 16 y 20 de esa resolución establecen exigencias mínimas que deberán cumplir las empresas, empleadores y contratantes a los que se refiere el artículo 2 de dicho acto administrativo.</w:t>
      </w:r>
    </w:p>
    <w:p w14:paraId="52615192" w14:textId="41D15108" w:rsidR="00E41707" w:rsidRDefault="00E41707" w:rsidP="00E41707">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18102CB6" w14:textId="77777777" w:rsidR="00E41707" w:rsidRDefault="00E41707" w:rsidP="00E41707">
      <w:pPr>
        <w:spacing w:after="120" w:line="276" w:lineRule="auto"/>
        <w:jc w:val="both"/>
        <w:rPr>
          <w:rFonts w:ascii="Verdana" w:hAnsi="Verdana" w:cs="Arial"/>
          <w:color w:val="000000" w:themeColor="text1"/>
          <w:lang w:val="es-ES_tradnl"/>
        </w:rPr>
      </w:pPr>
    </w:p>
    <w:p w14:paraId="3C1B09FA" w14:textId="57710401" w:rsidR="00A64017" w:rsidRPr="0060676F" w:rsidRDefault="00A64017" w:rsidP="00E41707">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2A57F92F" w14:textId="32E45D94" w:rsidR="00B13ACF" w:rsidRPr="00025914" w:rsidRDefault="00B13ACF" w:rsidP="00B13ACF">
            <w:pPr>
              <w:pStyle w:val="Prrafodelista"/>
              <w:numPr>
                <w:ilvl w:val="0"/>
                <w:numId w:val="38"/>
              </w:numPr>
              <w:spacing w:after="120" w:line="276" w:lineRule="auto"/>
              <w:ind w:right="709"/>
              <w:jc w:val="both"/>
              <w:rPr>
                <w:rFonts w:ascii="Verdana" w:hAnsi="Verdana" w:cs="Arial"/>
                <w:noProof/>
                <w:lang w:val="es-ES_tradnl"/>
              </w:rPr>
            </w:pPr>
            <w:r w:rsidRPr="00025914">
              <w:rPr>
                <w:rFonts w:ascii="Verdana" w:eastAsia="Calibri" w:hAnsi="Verdana" w:cs="Arial"/>
                <w:bCs/>
                <w:lang w:val="es-MX"/>
              </w:rPr>
              <w:lastRenderedPageBreak/>
              <w:t xml:space="preserve">Artículo 5 de la </w:t>
            </w:r>
            <w:r w:rsidRPr="00025914">
              <w:rPr>
                <w:rFonts w:ascii="Verdana" w:eastAsia="Calibri" w:hAnsi="Verdana" w:cs="Arial"/>
                <w:color w:val="000000"/>
                <w:lang w:val="es-ES_tradnl"/>
              </w:rPr>
              <w:t xml:space="preserve">Ley 1150 de 2007 </w:t>
            </w:r>
          </w:p>
          <w:p w14:paraId="0BFF428A" w14:textId="26214838" w:rsidR="00B13ACF" w:rsidRPr="00025914" w:rsidRDefault="00B13ACF" w:rsidP="00B13ACF">
            <w:pPr>
              <w:pStyle w:val="Prrafodelista"/>
              <w:numPr>
                <w:ilvl w:val="0"/>
                <w:numId w:val="38"/>
              </w:numPr>
              <w:spacing w:before="120" w:line="276" w:lineRule="auto"/>
              <w:ind w:right="113"/>
              <w:jc w:val="both"/>
              <w:rPr>
                <w:rFonts w:ascii="Verdana" w:hAnsi="Verdana" w:cs="Arial"/>
                <w:lang w:eastAsia="es-CO"/>
              </w:rPr>
            </w:pPr>
            <w:r w:rsidRPr="00025914">
              <w:rPr>
                <w:rFonts w:ascii="Verdana" w:hAnsi="Verdana" w:cs="Arial"/>
                <w:bCs/>
                <w:lang w:eastAsia="es-MX"/>
              </w:rPr>
              <w:t xml:space="preserve">Artículo </w:t>
            </w:r>
            <w:r w:rsidRPr="00025914">
              <w:rPr>
                <w:rStyle w:val="normaltextrun"/>
                <w:rFonts w:ascii="Verdana" w:hAnsi="Verdana" w:cs="Arial"/>
                <w:color w:val="000000" w:themeColor="text1"/>
              </w:rPr>
              <w:t xml:space="preserve">2.2.1.1.1.6.2. </w:t>
            </w:r>
            <w:r w:rsidRPr="00025914">
              <w:rPr>
                <w:rFonts w:ascii="Verdana" w:hAnsi="Verdana" w:cs="Arial"/>
                <w:lang w:eastAsia="es-CO"/>
              </w:rPr>
              <w:t xml:space="preserve">del Decreto 1082 de 2015. </w:t>
            </w:r>
          </w:p>
          <w:p w14:paraId="5AA86007" w14:textId="33BF934E" w:rsidR="00B13ACF" w:rsidRPr="00025914" w:rsidRDefault="00B13ACF" w:rsidP="00B13ACF">
            <w:pPr>
              <w:pStyle w:val="Prrafodelista"/>
              <w:numPr>
                <w:ilvl w:val="0"/>
                <w:numId w:val="38"/>
              </w:numPr>
              <w:spacing w:after="120" w:line="276" w:lineRule="auto"/>
              <w:ind w:right="709"/>
              <w:jc w:val="both"/>
              <w:rPr>
                <w:rFonts w:ascii="Verdana" w:eastAsia="Calibri" w:hAnsi="Verdana" w:cs="Arial"/>
                <w:bCs/>
                <w:color w:val="000000" w:themeColor="text1"/>
                <w:lang w:val="es-ES_tradnl"/>
              </w:rPr>
            </w:pPr>
            <w:r w:rsidRPr="00025914">
              <w:rPr>
                <w:rFonts w:ascii="Verdana" w:hAnsi="Verdana" w:cs="Arial"/>
                <w:color w:val="000000" w:themeColor="text1"/>
              </w:rPr>
              <w:t>Manual para determinar y verificar los requisitos habilitantes en los Procesos de Contratación</w:t>
            </w:r>
            <w:r w:rsidRPr="00025914">
              <w:rPr>
                <w:rFonts w:ascii="Verdana" w:hAnsi="Verdana" w:cs="Arial"/>
                <w:noProof/>
                <w:lang w:val="es-ES_tradnl"/>
              </w:rPr>
              <w:t xml:space="preserve">, disponible en: </w:t>
            </w:r>
            <w:hyperlink r:id="rId13" w:history="1">
              <w:r w:rsidRPr="00F20009">
                <w:rPr>
                  <w:rStyle w:val="Hipervnculo"/>
                  <w:rFonts w:ascii="Verdana" w:hAnsi="Verdana" w:cs="Arial"/>
                  <w:noProof/>
                  <w:lang w:val="es-ES_tradnl"/>
                </w:rPr>
                <w:t>https://www.colombiacompra.gov.co/sites/cce_public/files/cce_documents/cce-eicp-ma-04._manual_requisitos_habilitantes_v3_29-09-2023.pdf</w:t>
              </w:r>
            </w:hyperlink>
            <w:r>
              <w:rPr>
                <w:rFonts w:ascii="Verdana" w:hAnsi="Verdana" w:cs="Arial"/>
                <w:noProof/>
                <w:lang w:val="es-ES_tradnl"/>
              </w:rPr>
              <w:t xml:space="preserve"> </w:t>
            </w:r>
          </w:p>
          <w:p w14:paraId="2F09E9B8" w14:textId="0878D9B8" w:rsidR="00B13ACF" w:rsidRPr="0003480F" w:rsidRDefault="00B13ACF" w:rsidP="00B13ACF">
            <w:pPr>
              <w:widowControl w:val="0"/>
              <w:numPr>
                <w:ilvl w:val="0"/>
                <w:numId w:val="38"/>
              </w:numPr>
              <w:autoSpaceDE w:val="0"/>
              <w:autoSpaceDN w:val="0"/>
              <w:spacing w:line="276" w:lineRule="auto"/>
              <w:jc w:val="both"/>
              <w:rPr>
                <w:rFonts w:ascii="Verdana" w:hAnsi="Verdana" w:cs="Arial"/>
                <w:color w:val="000000" w:themeColor="text1"/>
              </w:rPr>
            </w:pPr>
            <w:r w:rsidRPr="00025914">
              <w:rPr>
                <w:rFonts w:ascii="Verdana" w:hAnsi="Verdana" w:cs="Arial"/>
              </w:rPr>
              <w:t>Jurisprudencia del Consejo de Estado, Sala de Consulta y Servicio Civil. Concepto del 20 de mayo de 2010. Expediente. C.P. Enrique José Arboleda Perdomo.</w:t>
            </w:r>
            <w:r w:rsidRPr="00025914">
              <w:rPr>
                <w:rFonts w:ascii="Verdana" w:hAnsi="Verdana" w:cs="Arial"/>
                <w:noProof/>
                <w:lang w:val="es-ES_tradnl"/>
              </w:rPr>
              <w:t xml:space="preserve">, disponible </w:t>
            </w:r>
            <w:r w:rsidRPr="00025914">
              <w:rPr>
                <w:rFonts w:ascii="Verdana" w:hAnsi="Verdana" w:cs="Arial"/>
              </w:rPr>
              <w:t xml:space="preserve">en: </w:t>
            </w:r>
            <w:r w:rsidRPr="00025914">
              <w:rPr>
                <w:rFonts w:ascii="Verdana" w:hAnsi="Verdana" w:cs="Arial"/>
                <w:noProof/>
                <w:lang w:val="es-ES_tradnl"/>
              </w:rPr>
              <w:t xml:space="preserve"> </w:t>
            </w:r>
            <w:hyperlink r:id="rId14" w:history="1">
              <w:r w:rsidRPr="00025914">
                <w:rPr>
                  <w:rStyle w:val="Hipervnculo"/>
                  <w:rFonts w:ascii="Verdana" w:hAnsi="Verdana" w:cs="Arial"/>
                  <w:noProof/>
                  <w:lang w:val="es-ES_tradnl"/>
                </w:rPr>
                <w:t>https://relatoria.colombiacompra.gov.co/providencias-consejo-de-estado/</w:t>
              </w:r>
            </w:hyperlink>
          </w:p>
          <w:p w14:paraId="60CC6EC9" w14:textId="424A66DA" w:rsidR="00CC5B4B" w:rsidRPr="0003480F" w:rsidRDefault="00CC5B4B" w:rsidP="00943E42">
            <w:pPr>
              <w:widowControl w:val="0"/>
              <w:autoSpaceDE w:val="0"/>
              <w:autoSpaceDN w:val="0"/>
              <w:spacing w:after="120" w:line="276" w:lineRule="auto"/>
              <w:ind w:left="720"/>
              <w:jc w:val="both"/>
              <w:rPr>
                <w:rFonts w:ascii="Verdana" w:hAnsi="Verdana" w:cs="Arial"/>
                <w:color w:val="000000" w:themeColor="text1"/>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EF2F7F" w14:textId="77777777" w:rsidR="008A217A" w:rsidRPr="00FA4CEE" w:rsidRDefault="008A217A" w:rsidP="008A217A">
      <w:pPr>
        <w:widowControl w:val="0"/>
        <w:autoSpaceDE w:val="0"/>
        <w:autoSpaceDN w:val="0"/>
        <w:spacing w:after="120" w:line="276" w:lineRule="auto"/>
        <w:jc w:val="both"/>
        <w:rPr>
          <w:rFonts w:ascii="Verdana" w:eastAsia="Calibri" w:hAnsi="Verdana" w:cs="Arial"/>
          <w:lang w:val="es-ES" w:eastAsia="es-ES_tradnl"/>
        </w:rPr>
      </w:pPr>
      <w:r w:rsidRPr="00FA4CEE">
        <w:rPr>
          <w:rFonts w:ascii="Verdana" w:hAnsi="Verdana" w:cs="Arial"/>
          <w:bCs/>
          <w:shd w:val="clear" w:color="auto" w:fill="FFFFFF"/>
        </w:rPr>
        <w:t xml:space="preserve">La Agencia Nacional de Contratación Pública – Colombia Compra Eficiente ha expedido </w:t>
      </w:r>
      <w:r w:rsidRPr="00FA4CEE">
        <w:rPr>
          <w:rFonts w:ascii="Verdana" w:eastAsia="Calibri" w:hAnsi="Verdana" w:cs="Arial"/>
          <w:lang w:val="es-ES_tradnl"/>
        </w:rPr>
        <w:t>conceptos sobre requisitos habilitantes y los códigos CIIU, tales como: C-296 del 26 de marzo de 2025, C- 187 del 25 de marzo de 2025, C-662 del 29 de enero de 2025, C- 337 del 18 de agosto de 2023, C-397 del 7 de mayo de 2025, C-926 del 18 de agosto de 2025</w:t>
      </w:r>
      <w:r>
        <w:rPr>
          <w:rFonts w:ascii="Verdana" w:eastAsia="Calibri" w:hAnsi="Verdana" w:cs="Arial"/>
          <w:lang w:val="es-ES_tradnl"/>
        </w:rPr>
        <w:t>, C-1014 del 1 de septiembre de 2025,</w:t>
      </w:r>
      <w:r w:rsidRPr="00FA4CEE">
        <w:rPr>
          <w:rFonts w:ascii="Verdana" w:eastAsia="Calibri" w:hAnsi="Verdana" w:cs="Arial"/>
          <w:lang w:val="es-ES_tradnl"/>
        </w:rPr>
        <w:t xml:space="preserve"> entre otros</w:t>
      </w:r>
      <w:r w:rsidRPr="00FA4CEE">
        <w:rPr>
          <w:rFonts w:ascii="Verdana" w:eastAsia="Calibri" w:hAnsi="Verdana" w:cs="Arial"/>
          <w:lang w:val="es-ES" w:eastAsia="es-ES_tradnl"/>
        </w:rPr>
        <w:t xml:space="preserve">. </w:t>
      </w:r>
      <w:r w:rsidRPr="00FA4CEE">
        <w:rPr>
          <w:rFonts w:ascii="Verdana" w:hAnsi="Verdana" w:cs="Arial"/>
          <w:shd w:val="clear" w:color="auto" w:fill="FFFFFF"/>
        </w:rPr>
        <w:t>Es</w:t>
      </w:r>
      <w:r w:rsidRPr="00FA4CEE">
        <w:rPr>
          <w:rFonts w:ascii="Verdana" w:hAnsi="Verdana"/>
        </w:rPr>
        <w:t>tos conceptos se encuentran disponibles para consulta en el Sistema de relatoría de la Agencia, al cual se puede acceder a través del siguiente enlace:</w:t>
      </w:r>
      <w:r w:rsidRPr="00FA4CEE">
        <w:rPr>
          <w:rFonts w:ascii="Verdana" w:hAnsi="Verdana" w:cs="Arial"/>
          <w:shd w:val="clear" w:color="auto" w:fill="FFFFFF"/>
        </w:rPr>
        <w:t xml:space="preserve"> </w:t>
      </w:r>
      <w:hyperlink r:id="rId15" w:history="1">
        <w:r w:rsidRPr="00FA4CEE">
          <w:rPr>
            <w:rFonts w:ascii="Verdana" w:hAnsi="Verdana" w:cs="Arial"/>
            <w:color w:val="0000FF"/>
            <w:u w:val="single"/>
            <w:shd w:val="clear" w:color="auto" w:fill="FFFFFF"/>
          </w:rPr>
          <w:t>https://relatoria.colombiacompra.gov.co/</w:t>
        </w:r>
      </w:hyperlink>
      <w:r w:rsidRPr="00FA4CEE">
        <w:rPr>
          <w:rFonts w:ascii="Verdana" w:hAnsi="Verdana" w:cs="Arial"/>
          <w:shd w:val="clear" w:color="auto" w:fill="FFFFFF"/>
        </w:rPr>
        <w:t xml:space="preserve"> </w:t>
      </w:r>
    </w:p>
    <w:p w14:paraId="27A467DD" w14:textId="5782F1D9" w:rsidR="00A64017" w:rsidRPr="00AE7E03" w:rsidRDefault="00943E42" w:rsidP="00A64017">
      <w:pPr>
        <w:widowControl w:val="0"/>
        <w:autoSpaceDE w:val="0"/>
        <w:autoSpaceDN w:val="0"/>
        <w:spacing w:after="0" w:line="276" w:lineRule="auto"/>
        <w:jc w:val="both"/>
        <w:rPr>
          <w:rFonts w:ascii="Verdana" w:eastAsia="Arial" w:hAnsi="Verdana" w:cs="Arial"/>
          <w:lang w:val="es-MX" w:eastAsia="es-ES"/>
        </w:rPr>
      </w:pP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sidR="008F7110">
        <w:rPr>
          <w:rFonts w:ascii="Verdana" w:eastAsia="Calibri" w:hAnsi="Verdana" w:cs="Arial"/>
          <w:lang w:val="es-ES" w:eastAsia="es-ES_tradnl"/>
        </w:rPr>
        <w:t>;</w:t>
      </w:r>
      <w:r w:rsidR="009A5D6C">
        <w:rPr>
          <w:rFonts w:ascii="Verdana" w:hAnsi="Verdana" w:cs="Arial"/>
          <w:shd w:val="clear" w:color="auto" w:fill="FFFFFF"/>
        </w:rPr>
        <w:t xml:space="preserve">. </w:t>
      </w:r>
      <w:r w:rsidR="00A64017" w:rsidRPr="009A5D6C">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28B469B3" w:rsidR="0073141C" w:rsidRDefault="0073141C" w:rsidP="00A64017">
      <w:pPr>
        <w:spacing w:line="276" w:lineRule="auto"/>
        <w:jc w:val="center"/>
        <w:rPr>
          <w:noProof/>
        </w:rPr>
      </w:pPr>
    </w:p>
    <w:p w14:paraId="59A16AF3" w14:textId="34BA6ECF" w:rsidR="00687D47" w:rsidRDefault="00E41AFF" w:rsidP="00A64017">
      <w:pPr>
        <w:spacing w:line="276" w:lineRule="auto"/>
        <w:jc w:val="center"/>
        <w:rPr>
          <w:noProof/>
        </w:rPr>
      </w:pPr>
      <w:r w:rsidRPr="002F244C">
        <w:rPr>
          <w:rFonts w:ascii="Verdana" w:hAnsi="Verdana"/>
          <w:noProof/>
        </w:rPr>
        <w:drawing>
          <wp:inline distT="0" distB="0" distL="0" distR="0" wp14:anchorId="6F39C4A0" wp14:editId="16392EA1">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4E09DF4F" w:rsidR="00CC5B4B" w:rsidRDefault="00D51274" w:rsidP="00A15B1F">
            <w:pPr>
              <w:spacing w:line="276" w:lineRule="auto"/>
              <w:contextualSpacing/>
              <w:jc w:val="both"/>
              <w:rPr>
                <w:rFonts w:ascii="Verdana" w:hAnsi="Verdana"/>
                <w:sz w:val="16"/>
                <w:szCs w:val="16"/>
              </w:rPr>
            </w:pPr>
            <w:r>
              <w:rPr>
                <w:rFonts w:ascii="Verdana" w:hAnsi="Verdana"/>
                <w:sz w:val="16"/>
                <w:szCs w:val="16"/>
              </w:rPr>
              <w:t>Diana Lucia Saavedra</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5E359DF4" w:rsidR="00A64017" w:rsidRDefault="00E41AFF" w:rsidP="00A15B1F">
            <w:pPr>
              <w:spacing w:line="276" w:lineRule="auto"/>
              <w:contextualSpacing/>
              <w:jc w:val="both"/>
              <w:rPr>
                <w:rFonts w:ascii="Verdana" w:hAnsi="Verdana"/>
                <w:sz w:val="16"/>
                <w:szCs w:val="16"/>
              </w:rPr>
            </w:pPr>
            <w:r>
              <w:rPr>
                <w:rFonts w:ascii="Verdana" w:hAnsi="Verdana"/>
                <w:sz w:val="16"/>
                <w:szCs w:val="16"/>
              </w:rPr>
              <w:t xml:space="preserve">Ana </w:t>
            </w:r>
            <w:r w:rsidR="005B0C20">
              <w:rPr>
                <w:rFonts w:ascii="Verdana" w:hAnsi="Verdana"/>
                <w:sz w:val="16"/>
                <w:szCs w:val="16"/>
              </w:rPr>
              <w:t>María</w:t>
            </w:r>
            <w:r>
              <w:rPr>
                <w:rFonts w:ascii="Verdana" w:hAnsi="Verdana"/>
                <w:sz w:val="16"/>
                <w:szCs w:val="16"/>
              </w:rPr>
              <w:t xml:space="preserve"> Tolosa Rico</w:t>
            </w:r>
            <w:r w:rsidR="00A64017">
              <w:rPr>
                <w:rFonts w:ascii="Verdana" w:hAnsi="Verdana"/>
                <w:sz w:val="16"/>
                <w:szCs w:val="16"/>
              </w:rPr>
              <w:t xml:space="preserve"> </w:t>
            </w:r>
          </w:p>
          <w:p w14:paraId="0B1F87FE" w14:textId="11099AD0"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r w:rsidR="00E41AFF">
              <w:rPr>
                <w:rFonts w:ascii="Verdana" w:eastAsia="Calibri" w:hAnsi="Verdana" w:cs="Arial"/>
                <w:sz w:val="16"/>
                <w:szCs w:val="16"/>
                <w:lang w:val="pt-BR" w:eastAsia="es-ES"/>
              </w:rPr>
              <w:t xml:space="preserve"> (E)</w:t>
            </w:r>
          </w:p>
        </w:tc>
      </w:tr>
      <w:bookmarkEnd w:id="1"/>
    </w:tbl>
    <w:p w14:paraId="4C6F1CF3" w14:textId="644B0C8E" w:rsidR="00F30C63" w:rsidRPr="00F30C63" w:rsidRDefault="00F30C63" w:rsidP="00A51CB5"/>
    <w:sectPr w:rsidR="00F30C63" w:rsidRPr="00F30C6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C02D2" w14:textId="77777777" w:rsidR="006731CE" w:rsidRDefault="006731CE" w:rsidP="004A1847">
      <w:pPr>
        <w:spacing w:after="0" w:line="240" w:lineRule="auto"/>
      </w:pPr>
      <w:r>
        <w:separator/>
      </w:r>
    </w:p>
  </w:endnote>
  <w:endnote w:type="continuationSeparator" w:id="0">
    <w:p w14:paraId="7D678F82" w14:textId="77777777" w:rsidR="006731CE" w:rsidRDefault="006731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F26C4" w14:textId="77777777" w:rsidR="006731CE" w:rsidRDefault="006731CE" w:rsidP="004A1847">
      <w:pPr>
        <w:spacing w:after="0" w:line="240" w:lineRule="auto"/>
      </w:pPr>
      <w:r>
        <w:separator/>
      </w:r>
    </w:p>
  </w:footnote>
  <w:footnote w:type="continuationSeparator" w:id="0">
    <w:p w14:paraId="3F3A0915" w14:textId="77777777" w:rsidR="006731CE" w:rsidRDefault="006731CE" w:rsidP="004A1847">
      <w:pPr>
        <w:spacing w:after="0" w:line="240" w:lineRule="auto"/>
      </w:pPr>
      <w:r>
        <w:continuationSeparator/>
      </w:r>
    </w:p>
  </w:footnote>
  <w:footnote w:id="1">
    <w:p w14:paraId="6F36FEDE" w14:textId="77777777" w:rsidR="00933CFF" w:rsidRPr="00025914" w:rsidRDefault="00933CFF" w:rsidP="00933CFF">
      <w:pPr>
        <w:pStyle w:val="Textonotapie"/>
        <w:ind w:firstLine="708"/>
        <w:jc w:val="both"/>
        <w:rPr>
          <w:rFonts w:ascii="Verdana" w:hAnsi="Verdana" w:cs="Arial"/>
          <w:sz w:val="16"/>
          <w:szCs w:val="16"/>
          <w:lang w:val="es-ES"/>
        </w:rPr>
      </w:pPr>
      <w:r w:rsidRPr="00025914">
        <w:rPr>
          <w:rStyle w:val="Refdenotaalpie"/>
          <w:rFonts w:ascii="Verdana" w:hAnsi="Verdana" w:cs="Arial"/>
          <w:sz w:val="16"/>
          <w:szCs w:val="16"/>
        </w:rPr>
        <w:footnoteRef/>
      </w:r>
      <w:r w:rsidRPr="00025914">
        <w:rPr>
          <w:rFonts w:ascii="Verdana" w:hAnsi="Verdana" w:cs="Arial"/>
          <w:sz w:val="16"/>
          <w:szCs w:val="16"/>
        </w:rPr>
        <w:t xml:space="preserve"> Consejo de Estado, Sala de Consulta y Servicio Civil. Concepto del 20 de mayo de 2010. Expediente. C.P. Enrique José Arboleda Perdomo.</w:t>
      </w:r>
    </w:p>
  </w:footnote>
  <w:footnote w:id="2">
    <w:p w14:paraId="0512F9EC"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Corte Constitucional. Sentencia C 178 de 1996. M. P. Antonio Barrera Carbonell.</w:t>
      </w:r>
      <w:r w:rsidRPr="00025914">
        <w:rPr>
          <w:rFonts w:ascii="Verdana" w:hAnsi="Verdana" w:cs="Arial"/>
          <w:color w:val="000000" w:themeColor="text1"/>
          <w:sz w:val="16"/>
          <w:szCs w:val="16"/>
        </w:rPr>
        <w:t xml:space="preserve"> </w:t>
      </w:r>
    </w:p>
    <w:p w14:paraId="440A7A4C"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3">
    <w:p w14:paraId="61028BDA"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Frente a la naturaleza de las inhabilidades, la Corte Constitucional ha manifestado que son circunstancias previstas en la Constitución Política, o en la ley, que le impiden a una persona ser elegida o designada para desempeñar cargos públicos. Esas circunstancias también pueden tener consecuencias respecto de otras personas que quieran celebrar o hayan celebrados contratos con el Estado. Existen dos tipos de inhabilidades, en primer lugar las que se derivan de la imposición de una condena o de una sanción disciplinaria. Estás inhabilidades son en efecto una sanción como consecuencia de la persona. En segundo lugar, se encuentran las inhabilidades que se desprenden de la posición funcional o desempeño de empleados públicos, en este caso, la inhabilidad no es una sanción sino una medida de protección del interés general en razón a la articulación o afinidad entre las funciones” o actividades a desempeñar en una determinada actividad. Cfr. Corte Constitucional. Sentencia C-353 de 2019. M.P. Jorge Iván Palacio Palacio.</w:t>
      </w:r>
    </w:p>
    <w:p w14:paraId="39BC06A8"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4">
    <w:p w14:paraId="7D583A69" w14:textId="1A7E5F8C"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Pr>
          <w:rFonts w:ascii="Verdana" w:eastAsia="Calibri" w:hAnsi="Verdana" w:cs="Arial"/>
          <w:color w:val="000000" w:themeColor="text1"/>
          <w:sz w:val="16"/>
          <w:szCs w:val="16"/>
        </w:rPr>
        <w:t>“</w:t>
      </w:r>
      <w:r w:rsidRPr="00025914">
        <w:rPr>
          <w:rFonts w:ascii="Verdana" w:eastAsia="Calibri" w:hAnsi="Verdana" w:cs="Arial"/>
          <w:color w:val="000000" w:themeColor="text1"/>
          <w:sz w:val="16"/>
          <w:szCs w:val="16"/>
        </w:rPr>
        <w:t>Artículo 6o. De la capacidad para contratar. Pueden celebrar contratos con las entidades estatales las personas consideradas legalmente capaces en las disposiciones vigentes».</w:t>
      </w:r>
    </w:p>
    <w:p w14:paraId="3CC5D71D"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5">
    <w:p w14:paraId="0CDA4EE0"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 xml:space="preserve">Consejo de Estado. Sala de Consulta y Servicio Civil. Concepto del 10 de agosto de 2015. Expediente: 11001-03-06-000-2015-00118-00 (2.260). C. P. Álvaro Namén Vargas. </w:t>
      </w:r>
    </w:p>
    <w:p w14:paraId="2E10AAF6"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6">
    <w:p w14:paraId="507B7310" w14:textId="73E3DB1D"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 xml:space="preserve">Consejo de Estado. Sección Tercera. Subsección B. Providencia del 5 de diciembre de 2016. Expediente: 05001-23-31-000-2003-03663-01 (41.333). C. P. Ramiro Pazos Guerrero. Allí se dijo que </w:t>
      </w:r>
      <w:r>
        <w:rPr>
          <w:rFonts w:ascii="Verdana" w:eastAsia="Calibri" w:hAnsi="Verdana" w:cs="Arial"/>
          <w:color w:val="000000" w:themeColor="text1"/>
          <w:sz w:val="16"/>
          <w:szCs w:val="16"/>
        </w:rPr>
        <w:t>“</w:t>
      </w:r>
      <w:r w:rsidRPr="00025914">
        <w:rPr>
          <w:rFonts w:ascii="Verdana" w:eastAsia="Calibri" w:hAnsi="Verdana" w:cs="Arial"/>
          <w:color w:val="000000" w:themeColor="text1"/>
          <w:sz w:val="16"/>
          <w:szCs w:val="16"/>
        </w:rPr>
        <w:t>es deber de los servidores evitar que prevalezca el interés particular sobre el general, de manera que para garantizar tal propósito el legislador ha establecido toda una reglamentación para propender por la transparencia en la adopción de decisiones, la cual no solo está contenida en la Ley 80 de 1993 o en los régimen especiales de contratación estatal, sino en otro tipo de normas, verbigracia en los ordenamientos disciplinarios , los que regulan el funcionamiento de los entes territoriales  o la actividad de la administración, etc.</w:t>
      </w:r>
    </w:p>
    <w:p w14:paraId="2AFA0288" w14:textId="77777777" w:rsidR="00933CFF" w:rsidRPr="00025914" w:rsidRDefault="00933CFF" w:rsidP="00933CFF">
      <w:pPr>
        <w:pStyle w:val="Textonotapie"/>
        <w:tabs>
          <w:tab w:val="left" w:pos="1892"/>
        </w:tabs>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ab/>
      </w:r>
    </w:p>
    <w:p w14:paraId="543FED74"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»27.6. No sobra decir que con toda razón, el Consejo de Estado ha considerado que el régimen de inhabilidades e incompatibilidades se justifica en la prevalencia de los intereses estatales y en los principios y valores de igualdad, moralidad, ética, corrección, probidad, trasparencia e imparcialidad».</w:t>
      </w:r>
    </w:p>
    <w:p w14:paraId="33855102"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 xml:space="preserve"> </w:t>
      </w:r>
    </w:p>
  </w:footnote>
  <w:footnote w:id="7">
    <w:p w14:paraId="1C8199B6" w14:textId="1DC31EEE"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8">
    <w:p w14:paraId="32F2A8BE"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224061C2" w14:textId="77423BD9"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2.2.1.1.1.5.3. Requisitos habilitantes contenidos en el RUP. Las cámaras de comercio, con base en la información a la que hace referencia el artículo anterior, deben verificar y certificar los siguientes requisitos habilitantes:</w:t>
      </w:r>
    </w:p>
    <w:p w14:paraId="1AF31610"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 […]».</w:t>
      </w:r>
    </w:p>
  </w:footnote>
  <w:footnote w:id="9">
    <w:p w14:paraId="7AA21B55"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37FF7C92" w14:textId="47EDC593"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Ley 1150 de 2007: </w:t>
      </w:r>
      <w:r>
        <w:rPr>
          <w:rFonts w:ascii="Verdana" w:hAnsi="Verdana" w:cs="Arial"/>
          <w:color w:val="000000" w:themeColor="text1"/>
          <w:sz w:val="16"/>
          <w:szCs w:val="16"/>
        </w:rPr>
        <w:t>“</w:t>
      </w:r>
      <w:r w:rsidRPr="00025914">
        <w:rPr>
          <w:rFonts w:ascii="Verdana" w:hAnsi="Verdana" w:cs="Arial"/>
          <w:color w:val="000000" w:themeColor="text1"/>
          <w:sz w:val="16"/>
          <w:szCs w:val="16"/>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F5ACE12"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Fonts w:ascii="Verdana" w:hAnsi="Verdana" w:cs="Arial"/>
          <w:color w:val="000000" w:themeColor="text1"/>
          <w:sz w:val="16"/>
          <w:szCs w:val="16"/>
        </w:rPr>
        <w:t>[...]</w:t>
      </w:r>
    </w:p>
    <w:p w14:paraId="39A06AFF"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Fonts w:ascii="Verdana" w:hAnsi="Verdana" w:cs="Arial"/>
          <w:color w:val="000000" w:themeColor="text1"/>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A358609"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0">
    <w:p w14:paraId="5263F976"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6065F6D0" w14:textId="220F344B"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2BA6653"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    Si es una persona natural:</w:t>
      </w:r>
    </w:p>
    <w:p w14:paraId="03F4530D"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»1.1. Bienes, obras y servicios que ofrecerá a las Entidades Estatales, identificados con el Clasificador de Bienes y Servicios en el tercer nivel.</w:t>
      </w:r>
    </w:p>
    <w:p w14:paraId="4F22C57B"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03FEDC86" w14:textId="77777777" w:rsidR="00933CFF" w:rsidRPr="00025914" w:rsidRDefault="00933CFF" w:rsidP="00933CFF">
      <w:pPr>
        <w:pStyle w:val="Textonotapie"/>
        <w:jc w:val="both"/>
        <w:rPr>
          <w:rFonts w:ascii="Verdana" w:hAnsi="Verdana" w:cs="Arial"/>
          <w:color w:val="000000" w:themeColor="text1"/>
          <w:sz w:val="16"/>
          <w:szCs w:val="16"/>
        </w:rPr>
      </w:pPr>
    </w:p>
    <w:p w14:paraId="635EB62D"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 xml:space="preserve"> </w:t>
      </w:r>
    </w:p>
  </w:footnote>
  <w:footnote w:id="11">
    <w:p w14:paraId="437FD0B6"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footnote>
  <w:footnote w:id="12">
    <w:p w14:paraId="1976B355"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Cfr. Consejo de Estado. Sección Tercera. Providencias del 11 de diciembre de 2002, dictada dentro del expediente AG-1683, y del 18 de octubre de 2001, proferida dentro del plenario AG-021.</w:t>
      </w:r>
    </w:p>
    <w:p w14:paraId="79CA75DA"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13">
    <w:p w14:paraId="67183251"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Cfr. Corte Constitucional. Sentencia C-569 de 2004. M.P. Rodrigo Uprimny Yepes.</w:t>
      </w:r>
    </w:p>
    <w:p w14:paraId="264F2CA9"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14">
    <w:p w14:paraId="46712410" w14:textId="47D0C0B6"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Gaceta 096 de 2007. Pág. 9. Allí se lee: </w:t>
      </w:r>
      <w:r>
        <w:rPr>
          <w:rFonts w:ascii="Verdana" w:hAnsi="Verdana" w:cs="Arial"/>
          <w:color w:val="000000" w:themeColor="text1"/>
          <w:sz w:val="16"/>
          <w:szCs w:val="16"/>
        </w:rPr>
        <w:t>“</w:t>
      </w:r>
      <w:r w:rsidRPr="00025914">
        <w:rPr>
          <w:rFonts w:ascii="Verdana" w:hAnsi="Verdana" w:cs="Arial"/>
          <w:color w:val="000000" w:themeColor="text1"/>
          <w:sz w:val="16"/>
          <w:szCs w:val="16"/>
        </w:rPr>
        <w:t xml:space="preserve">Parágrafo 2°. Nuevo. Se adiciona un parágrafo nuevo para </w:t>
      </w:r>
      <w:r w:rsidRPr="00025914">
        <w:rPr>
          <w:rFonts w:ascii="Verdana" w:hAnsi="Verdana" w:cs="Arial"/>
          <w:i/>
          <w:iCs/>
          <w:color w:val="000000" w:themeColor="text1"/>
          <w:sz w:val="16"/>
          <w:szCs w:val="16"/>
        </w:rPr>
        <w:t>establecer de manera concreta</w:t>
      </w:r>
      <w:r w:rsidRPr="00025914">
        <w:rPr>
          <w:rFonts w:ascii="Verdana" w:hAnsi="Verdana" w:cs="Arial"/>
          <w:color w:val="000000" w:themeColor="text1"/>
          <w:sz w:val="16"/>
          <w:szCs w:val="16"/>
        </w:rPr>
        <w:t xml:space="preserve">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15">
    <w:p w14:paraId="7D815D64" w14:textId="2BF1C39A"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En el concepto C-071 del 4 de marzo de 2020 –radicado No. 2202013000001597–, esta Subdirección consideró: </w:t>
      </w:r>
      <w:r>
        <w:rPr>
          <w:rFonts w:ascii="Verdana" w:hAnsi="Verdana" w:cs="Arial"/>
          <w:color w:val="000000" w:themeColor="text1"/>
          <w:sz w:val="16"/>
          <w:szCs w:val="16"/>
        </w:rPr>
        <w:t>“</w:t>
      </w:r>
      <w:r w:rsidRPr="00025914">
        <w:rPr>
          <w:rFonts w:ascii="Verdana" w:hAnsi="Verdana" w:cs="Arial"/>
          <w:color w:val="000000" w:themeColor="text1"/>
          <w:sz w:val="16"/>
          <w:szCs w:val="16"/>
        </w:rPr>
        <w:t>[…] es necesario distinguir si la persona jurídica suscribió contratos de trabajo o de prestación de servicios para cumplir con el objeto para el cual fue contratada, pues, si es lo primero, le corresponde asumir una parte de los aportes como empleador; pero, si es lo segundo, no le asiste dicho deber. Lo procedente, pues, es que demuestre el pago de los aportes de los empleados dependientes y verificar el pago de los aportes de las demás personas que contrató. A la entidad, por su parte, le corresponde vigilar que el contratista acredite dichos pagos, mediante certificación expedida por el revisor fiscal o el representante legal, dependiendo del caso, en cumplimiento de lo dispuesto en el artículo 23 de la Ley 1150 de 2007». En similar sentido ver, entre otros, conceptos C-118 y C-131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3"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48779781">
    <w:abstractNumId w:val="13"/>
  </w:num>
  <w:num w:numId="2" w16cid:durableId="19822139">
    <w:abstractNumId w:val="2"/>
  </w:num>
  <w:num w:numId="3" w16cid:durableId="876742304">
    <w:abstractNumId w:val="9"/>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0"/>
  </w:num>
  <w:num w:numId="7" w16cid:durableId="1946422806">
    <w:abstractNumId w:val="11"/>
  </w:num>
  <w:num w:numId="8" w16cid:durableId="152644682">
    <w:abstractNumId w:val="29"/>
  </w:num>
  <w:num w:numId="9" w16cid:durableId="1317221377">
    <w:abstractNumId w:val="15"/>
  </w:num>
  <w:num w:numId="10" w16cid:durableId="1471245386">
    <w:abstractNumId w:val="28"/>
  </w:num>
  <w:num w:numId="11" w16cid:durableId="289172385">
    <w:abstractNumId w:val="17"/>
  </w:num>
  <w:num w:numId="12" w16cid:durableId="1470781324">
    <w:abstractNumId w:val="1"/>
  </w:num>
  <w:num w:numId="13" w16cid:durableId="1512908409">
    <w:abstractNumId w:val="8"/>
  </w:num>
  <w:num w:numId="14" w16cid:durableId="895897244">
    <w:abstractNumId w:val="31"/>
  </w:num>
  <w:num w:numId="15" w16cid:durableId="390349800">
    <w:abstractNumId w:val="26"/>
  </w:num>
  <w:num w:numId="16" w16cid:durableId="1380713882">
    <w:abstractNumId w:val="0"/>
  </w:num>
  <w:num w:numId="17" w16cid:durableId="691802391">
    <w:abstractNumId w:val="18"/>
  </w:num>
  <w:num w:numId="18" w16cid:durableId="1290623316">
    <w:abstractNumId w:val="4"/>
  </w:num>
  <w:num w:numId="19" w16cid:durableId="562327327">
    <w:abstractNumId w:val="14"/>
  </w:num>
  <w:num w:numId="20" w16cid:durableId="135807285">
    <w:abstractNumId w:val="16"/>
  </w:num>
  <w:num w:numId="21" w16cid:durableId="1816873601">
    <w:abstractNumId w:val="10"/>
  </w:num>
  <w:num w:numId="22" w16cid:durableId="1012342571">
    <w:abstractNumId w:val="27"/>
  </w:num>
  <w:num w:numId="23" w16cid:durableId="13794342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5"/>
  </w:num>
  <w:num w:numId="25" w16cid:durableId="1553424327">
    <w:abstractNumId w:val="24"/>
  </w:num>
  <w:num w:numId="26" w16cid:durableId="1611006927">
    <w:abstractNumId w:val="19"/>
  </w:num>
  <w:num w:numId="27" w16cid:durableId="142738409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9418375">
    <w:abstractNumId w:val="3"/>
  </w:num>
  <w:num w:numId="29" w16cid:durableId="222720132">
    <w:abstractNumId w:val="12"/>
  </w:num>
  <w:num w:numId="30" w16cid:durableId="2072921521">
    <w:abstractNumId w:val="35"/>
  </w:num>
  <w:num w:numId="31" w16cid:durableId="676464647">
    <w:abstractNumId w:val="22"/>
  </w:num>
  <w:num w:numId="32" w16cid:durableId="1218249738">
    <w:abstractNumId w:val="25"/>
  </w:num>
  <w:num w:numId="33" w16cid:durableId="1294098688">
    <w:abstractNumId w:val="34"/>
  </w:num>
  <w:num w:numId="34" w16cid:durableId="752504844">
    <w:abstractNumId w:val="7"/>
  </w:num>
  <w:num w:numId="35" w16cid:durableId="405495661">
    <w:abstractNumId w:val="36"/>
  </w:num>
  <w:num w:numId="36" w16cid:durableId="653417341">
    <w:abstractNumId w:val="23"/>
  </w:num>
  <w:num w:numId="37" w16cid:durableId="780296754">
    <w:abstractNumId w:val="6"/>
  </w:num>
  <w:num w:numId="38" w16cid:durableId="153255849">
    <w:abstractNumId w:val="21"/>
  </w:num>
  <w:num w:numId="39" w16cid:durableId="78403917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62CB"/>
    <w:rsid w:val="00070BF0"/>
    <w:rsid w:val="00082362"/>
    <w:rsid w:val="000907FF"/>
    <w:rsid w:val="00091A32"/>
    <w:rsid w:val="000A683E"/>
    <w:rsid w:val="000B19B9"/>
    <w:rsid w:val="000B4FA5"/>
    <w:rsid w:val="000C762A"/>
    <w:rsid w:val="000D0334"/>
    <w:rsid w:val="000D2FED"/>
    <w:rsid w:val="000D556B"/>
    <w:rsid w:val="000E1C46"/>
    <w:rsid w:val="000E7AA1"/>
    <w:rsid w:val="000F07EB"/>
    <w:rsid w:val="000F2222"/>
    <w:rsid w:val="000F4BEE"/>
    <w:rsid w:val="000F6486"/>
    <w:rsid w:val="00103B90"/>
    <w:rsid w:val="00125105"/>
    <w:rsid w:val="00127233"/>
    <w:rsid w:val="0013630D"/>
    <w:rsid w:val="001511A0"/>
    <w:rsid w:val="0015444C"/>
    <w:rsid w:val="00156F3F"/>
    <w:rsid w:val="00183336"/>
    <w:rsid w:val="001939CB"/>
    <w:rsid w:val="00194937"/>
    <w:rsid w:val="001A6583"/>
    <w:rsid w:val="001B319A"/>
    <w:rsid w:val="001B6B96"/>
    <w:rsid w:val="001C174F"/>
    <w:rsid w:val="001D1756"/>
    <w:rsid w:val="001E4177"/>
    <w:rsid w:val="001F663F"/>
    <w:rsid w:val="001F7DC6"/>
    <w:rsid w:val="002009FB"/>
    <w:rsid w:val="00203E0B"/>
    <w:rsid w:val="00205479"/>
    <w:rsid w:val="00212642"/>
    <w:rsid w:val="00215206"/>
    <w:rsid w:val="00222AE3"/>
    <w:rsid w:val="002421BB"/>
    <w:rsid w:val="002423EE"/>
    <w:rsid w:val="00242FED"/>
    <w:rsid w:val="00245A1E"/>
    <w:rsid w:val="0025796E"/>
    <w:rsid w:val="002707A2"/>
    <w:rsid w:val="0028106D"/>
    <w:rsid w:val="00282E11"/>
    <w:rsid w:val="00286F68"/>
    <w:rsid w:val="002951A0"/>
    <w:rsid w:val="002962BC"/>
    <w:rsid w:val="002A093D"/>
    <w:rsid w:val="002A0DD0"/>
    <w:rsid w:val="002A49AC"/>
    <w:rsid w:val="002A64FD"/>
    <w:rsid w:val="002A7DD8"/>
    <w:rsid w:val="002C0393"/>
    <w:rsid w:val="002C7A84"/>
    <w:rsid w:val="002D4A66"/>
    <w:rsid w:val="002E4FD9"/>
    <w:rsid w:val="002F2B7D"/>
    <w:rsid w:val="003007B5"/>
    <w:rsid w:val="00302C65"/>
    <w:rsid w:val="003037F8"/>
    <w:rsid w:val="00310DA4"/>
    <w:rsid w:val="003210BD"/>
    <w:rsid w:val="00322A85"/>
    <w:rsid w:val="00323054"/>
    <w:rsid w:val="0032344D"/>
    <w:rsid w:val="00324168"/>
    <w:rsid w:val="00324E0B"/>
    <w:rsid w:val="003448F4"/>
    <w:rsid w:val="00346217"/>
    <w:rsid w:val="00356999"/>
    <w:rsid w:val="003639A5"/>
    <w:rsid w:val="00374F5E"/>
    <w:rsid w:val="00375A69"/>
    <w:rsid w:val="00377E3E"/>
    <w:rsid w:val="00380918"/>
    <w:rsid w:val="003971DC"/>
    <w:rsid w:val="003A2E2D"/>
    <w:rsid w:val="003A779E"/>
    <w:rsid w:val="003B1736"/>
    <w:rsid w:val="003D0F4D"/>
    <w:rsid w:val="003D2678"/>
    <w:rsid w:val="003D5B0D"/>
    <w:rsid w:val="003E0499"/>
    <w:rsid w:val="003E2F6B"/>
    <w:rsid w:val="003F3941"/>
    <w:rsid w:val="00406575"/>
    <w:rsid w:val="00407E88"/>
    <w:rsid w:val="004138FA"/>
    <w:rsid w:val="00414C74"/>
    <w:rsid w:val="0041525F"/>
    <w:rsid w:val="00415D34"/>
    <w:rsid w:val="00426213"/>
    <w:rsid w:val="0042722E"/>
    <w:rsid w:val="004423E3"/>
    <w:rsid w:val="0044528D"/>
    <w:rsid w:val="0045001C"/>
    <w:rsid w:val="00473696"/>
    <w:rsid w:val="00475AA4"/>
    <w:rsid w:val="00480E56"/>
    <w:rsid w:val="00487F18"/>
    <w:rsid w:val="0049089A"/>
    <w:rsid w:val="00493AF3"/>
    <w:rsid w:val="004A1847"/>
    <w:rsid w:val="004A305D"/>
    <w:rsid w:val="004B36AC"/>
    <w:rsid w:val="004B50C2"/>
    <w:rsid w:val="004B682E"/>
    <w:rsid w:val="004B6A47"/>
    <w:rsid w:val="004C63BA"/>
    <w:rsid w:val="004C7829"/>
    <w:rsid w:val="004F06EF"/>
    <w:rsid w:val="004F21C4"/>
    <w:rsid w:val="004F462A"/>
    <w:rsid w:val="004F685F"/>
    <w:rsid w:val="0050790C"/>
    <w:rsid w:val="0053223E"/>
    <w:rsid w:val="005359FF"/>
    <w:rsid w:val="00537729"/>
    <w:rsid w:val="005566E8"/>
    <w:rsid w:val="0056164A"/>
    <w:rsid w:val="00567040"/>
    <w:rsid w:val="00574867"/>
    <w:rsid w:val="00574F32"/>
    <w:rsid w:val="005760D5"/>
    <w:rsid w:val="005764F6"/>
    <w:rsid w:val="005806A6"/>
    <w:rsid w:val="00591460"/>
    <w:rsid w:val="005948AC"/>
    <w:rsid w:val="005B0C20"/>
    <w:rsid w:val="005B3816"/>
    <w:rsid w:val="005B4680"/>
    <w:rsid w:val="005B65F1"/>
    <w:rsid w:val="005C3777"/>
    <w:rsid w:val="005C4991"/>
    <w:rsid w:val="005C5CDC"/>
    <w:rsid w:val="005C7DAB"/>
    <w:rsid w:val="005D476C"/>
    <w:rsid w:val="005D6FC4"/>
    <w:rsid w:val="005E69AD"/>
    <w:rsid w:val="00602354"/>
    <w:rsid w:val="0061329B"/>
    <w:rsid w:val="006219F8"/>
    <w:rsid w:val="00631045"/>
    <w:rsid w:val="00637BBF"/>
    <w:rsid w:val="006420DB"/>
    <w:rsid w:val="006437E3"/>
    <w:rsid w:val="00656A22"/>
    <w:rsid w:val="00665D70"/>
    <w:rsid w:val="006731CE"/>
    <w:rsid w:val="00675FED"/>
    <w:rsid w:val="00685502"/>
    <w:rsid w:val="006874D3"/>
    <w:rsid w:val="00687D47"/>
    <w:rsid w:val="006900D9"/>
    <w:rsid w:val="006A0288"/>
    <w:rsid w:val="006A7425"/>
    <w:rsid w:val="006B2C02"/>
    <w:rsid w:val="006C1039"/>
    <w:rsid w:val="006D7121"/>
    <w:rsid w:val="006F60F9"/>
    <w:rsid w:val="00706C16"/>
    <w:rsid w:val="007108E5"/>
    <w:rsid w:val="00720F20"/>
    <w:rsid w:val="0072552A"/>
    <w:rsid w:val="0073141C"/>
    <w:rsid w:val="00747A2A"/>
    <w:rsid w:val="00756841"/>
    <w:rsid w:val="00763E4A"/>
    <w:rsid w:val="007649AB"/>
    <w:rsid w:val="00771D0C"/>
    <w:rsid w:val="00773148"/>
    <w:rsid w:val="007733E9"/>
    <w:rsid w:val="007833AC"/>
    <w:rsid w:val="00794CF0"/>
    <w:rsid w:val="007A08A9"/>
    <w:rsid w:val="007A16C2"/>
    <w:rsid w:val="007B268C"/>
    <w:rsid w:val="007B7171"/>
    <w:rsid w:val="007C0C0F"/>
    <w:rsid w:val="007C3DC2"/>
    <w:rsid w:val="007E5497"/>
    <w:rsid w:val="00806F5F"/>
    <w:rsid w:val="00810CF4"/>
    <w:rsid w:val="00820278"/>
    <w:rsid w:val="00826A46"/>
    <w:rsid w:val="008303DD"/>
    <w:rsid w:val="008323CA"/>
    <w:rsid w:val="008336AA"/>
    <w:rsid w:val="00854443"/>
    <w:rsid w:val="00867581"/>
    <w:rsid w:val="00867F95"/>
    <w:rsid w:val="008843B6"/>
    <w:rsid w:val="00885EDB"/>
    <w:rsid w:val="00891928"/>
    <w:rsid w:val="00894D4F"/>
    <w:rsid w:val="008A217A"/>
    <w:rsid w:val="008A30DF"/>
    <w:rsid w:val="008A446D"/>
    <w:rsid w:val="008A5CDB"/>
    <w:rsid w:val="008A65FF"/>
    <w:rsid w:val="008B22D4"/>
    <w:rsid w:val="008B5BD4"/>
    <w:rsid w:val="008B6069"/>
    <w:rsid w:val="008D180B"/>
    <w:rsid w:val="008E2432"/>
    <w:rsid w:val="008F0EA7"/>
    <w:rsid w:val="008F7110"/>
    <w:rsid w:val="009015F2"/>
    <w:rsid w:val="0090373B"/>
    <w:rsid w:val="009144A7"/>
    <w:rsid w:val="009144FE"/>
    <w:rsid w:val="00916515"/>
    <w:rsid w:val="00923EEF"/>
    <w:rsid w:val="00926872"/>
    <w:rsid w:val="00933CFF"/>
    <w:rsid w:val="009419F9"/>
    <w:rsid w:val="00942F2E"/>
    <w:rsid w:val="00943E42"/>
    <w:rsid w:val="00951BE3"/>
    <w:rsid w:val="009552F8"/>
    <w:rsid w:val="0095685E"/>
    <w:rsid w:val="00961B09"/>
    <w:rsid w:val="00965334"/>
    <w:rsid w:val="0097093E"/>
    <w:rsid w:val="00972BE4"/>
    <w:rsid w:val="009763D2"/>
    <w:rsid w:val="00980385"/>
    <w:rsid w:val="00986AC5"/>
    <w:rsid w:val="009A0DFA"/>
    <w:rsid w:val="009A2609"/>
    <w:rsid w:val="009A5D6C"/>
    <w:rsid w:val="009B2D26"/>
    <w:rsid w:val="009C3C72"/>
    <w:rsid w:val="009C71FA"/>
    <w:rsid w:val="009C72E7"/>
    <w:rsid w:val="009D0270"/>
    <w:rsid w:val="009D3058"/>
    <w:rsid w:val="009E066B"/>
    <w:rsid w:val="009E7558"/>
    <w:rsid w:val="009F3A13"/>
    <w:rsid w:val="009F52CB"/>
    <w:rsid w:val="00A01384"/>
    <w:rsid w:val="00A10BE8"/>
    <w:rsid w:val="00A122D3"/>
    <w:rsid w:val="00A17F13"/>
    <w:rsid w:val="00A20739"/>
    <w:rsid w:val="00A2105A"/>
    <w:rsid w:val="00A24C35"/>
    <w:rsid w:val="00A33C78"/>
    <w:rsid w:val="00A46BDF"/>
    <w:rsid w:val="00A51CB5"/>
    <w:rsid w:val="00A52834"/>
    <w:rsid w:val="00A54961"/>
    <w:rsid w:val="00A64017"/>
    <w:rsid w:val="00A67421"/>
    <w:rsid w:val="00A800B4"/>
    <w:rsid w:val="00AA1AB8"/>
    <w:rsid w:val="00AB0ADB"/>
    <w:rsid w:val="00AC032B"/>
    <w:rsid w:val="00AC19F6"/>
    <w:rsid w:val="00AD1D1F"/>
    <w:rsid w:val="00AF5AD6"/>
    <w:rsid w:val="00AF6E4E"/>
    <w:rsid w:val="00B01B1A"/>
    <w:rsid w:val="00B023E1"/>
    <w:rsid w:val="00B0362B"/>
    <w:rsid w:val="00B0429C"/>
    <w:rsid w:val="00B10334"/>
    <w:rsid w:val="00B13ACF"/>
    <w:rsid w:val="00B13F9B"/>
    <w:rsid w:val="00B23BA1"/>
    <w:rsid w:val="00B2560E"/>
    <w:rsid w:val="00B31D93"/>
    <w:rsid w:val="00B403F3"/>
    <w:rsid w:val="00B41E30"/>
    <w:rsid w:val="00B45CE8"/>
    <w:rsid w:val="00B460A5"/>
    <w:rsid w:val="00B54B1C"/>
    <w:rsid w:val="00B66319"/>
    <w:rsid w:val="00B72CD3"/>
    <w:rsid w:val="00B72F80"/>
    <w:rsid w:val="00B72FFF"/>
    <w:rsid w:val="00B74C13"/>
    <w:rsid w:val="00B97F61"/>
    <w:rsid w:val="00BA29CE"/>
    <w:rsid w:val="00BA7AA4"/>
    <w:rsid w:val="00BB5A06"/>
    <w:rsid w:val="00BB6CF9"/>
    <w:rsid w:val="00BB7180"/>
    <w:rsid w:val="00BB7335"/>
    <w:rsid w:val="00BB7ECF"/>
    <w:rsid w:val="00BC3D36"/>
    <w:rsid w:val="00BD7F72"/>
    <w:rsid w:val="00BE36F8"/>
    <w:rsid w:val="00C04FB3"/>
    <w:rsid w:val="00C14BFF"/>
    <w:rsid w:val="00C17C49"/>
    <w:rsid w:val="00C203C3"/>
    <w:rsid w:val="00C21F3A"/>
    <w:rsid w:val="00C22001"/>
    <w:rsid w:val="00C31B11"/>
    <w:rsid w:val="00C330EB"/>
    <w:rsid w:val="00C41061"/>
    <w:rsid w:val="00C47954"/>
    <w:rsid w:val="00C47F96"/>
    <w:rsid w:val="00C63058"/>
    <w:rsid w:val="00C721CD"/>
    <w:rsid w:val="00C754BE"/>
    <w:rsid w:val="00C76B1C"/>
    <w:rsid w:val="00C84124"/>
    <w:rsid w:val="00C8467B"/>
    <w:rsid w:val="00C846DC"/>
    <w:rsid w:val="00C90C14"/>
    <w:rsid w:val="00C91AF4"/>
    <w:rsid w:val="00C9219A"/>
    <w:rsid w:val="00CA01D8"/>
    <w:rsid w:val="00CA184F"/>
    <w:rsid w:val="00CA6159"/>
    <w:rsid w:val="00CB6357"/>
    <w:rsid w:val="00CB7B40"/>
    <w:rsid w:val="00CC1B26"/>
    <w:rsid w:val="00CC4186"/>
    <w:rsid w:val="00CC5B4B"/>
    <w:rsid w:val="00CD0A5B"/>
    <w:rsid w:val="00CE4121"/>
    <w:rsid w:val="00CE429E"/>
    <w:rsid w:val="00CE66CC"/>
    <w:rsid w:val="00CE685E"/>
    <w:rsid w:val="00D10C3B"/>
    <w:rsid w:val="00D10FFF"/>
    <w:rsid w:val="00D237B8"/>
    <w:rsid w:val="00D32BBA"/>
    <w:rsid w:val="00D36635"/>
    <w:rsid w:val="00D423A2"/>
    <w:rsid w:val="00D431A3"/>
    <w:rsid w:val="00D44DAC"/>
    <w:rsid w:val="00D51274"/>
    <w:rsid w:val="00D520D8"/>
    <w:rsid w:val="00D52AEA"/>
    <w:rsid w:val="00D63AC2"/>
    <w:rsid w:val="00D7383B"/>
    <w:rsid w:val="00D73921"/>
    <w:rsid w:val="00D75DA2"/>
    <w:rsid w:val="00D807CA"/>
    <w:rsid w:val="00D80C98"/>
    <w:rsid w:val="00DA231B"/>
    <w:rsid w:val="00DB1CDB"/>
    <w:rsid w:val="00DC366F"/>
    <w:rsid w:val="00DC39FC"/>
    <w:rsid w:val="00DF5254"/>
    <w:rsid w:val="00E10F5E"/>
    <w:rsid w:val="00E16408"/>
    <w:rsid w:val="00E1659F"/>
    <w:rsid w:val="00E20894"/>
    <w:rsid w:val="00E245AB"/>
    <w:rsid w:val="00E25A6A"/>
    <w:rsid w:val="00E2764C"/>
    <w:rsid w:val="00E27F2E"/>
    <w:rsid w:val="00E41707"/>
    <w:rsid w:val="00E41AFF"/>
    <w:rsid w:val="00E445EC"/>
    <w:rsid w:val="00E50AFE"/>
    <w:rsid w:val="00E53417"/>
    <w:rsid w:val="00E75C92"/>
    <w:rsid w:val="00E771DC"/>
    <w:rsid w:val="00E8182D"/>
    <w:rsid w:val="00E8772A"/>
    <w:rsid w:val="00E90F6B"/>
    <w:rsid w:val="00E92C27"/>
    <w:rsid w:val="00E96AE3"/>
    <w:rsid w:val="00E976F8"/>
    <w:rsid w:val="00EA0E3D"/>
    <w:rsid w:val="00EA3856"/>
    <w:rsid w:val="00EA70F7"/>
    <w:rsid w:val="00EB76B6"/>
    <w:rsid w:val="00EC197C"/>
    <w:rsid w:val="00EC38A7"/>
    <w:rsid w:val="00ED706A"/>
    <w:rsid w:val="00ED7384"/>
    <w:rsid w:val="00EE1AA8"/>
    <w:rsid w:val="00EF204B"/>
    <w:rsid w:val="00EF736C"/>
    <w:rsid w:val="00F04945"/>
    <w:rsid w:val="00F05362"/>
    <w:rsid w:val="00F124F7"/>
    <w:rsid w:val="00F16E96"/>
    <w:rsid w:val="00F2696E"/>
    <w:rsid w:val="00F2789C"/>
    <w:rsid w:val="00F30C63"/>
    <w:rsid w:val="00F31EDC"/>
    <w:rsid w:val="00F33245"/>
    <w:rsid w:val="00F416A1"/>
    <w:rsid w:val="00F418EF"/>
    <w:rsid w:val="00F462B3"/>
    <w:rsid w:val="00F47338"/>
    <w:rsid w:val="00F5664F"/>
    <w:rsid w:val="00F666C4"/>
    <w:rsid w:val="00F76AFC"/>
    <w:rsid w:val="00F90546"/>
    <w:rsid w:val="00F9591F"/>
    <w:rsid w:val="00F95D89"/>
    <w:rsid w:val="00FA0C2E"/>
    <w:rsid w:val="00FA3CFE"/>
    <w:rsid w:val="00FA47C0"/>
    <w:rsid w:val="00FB5DD1"/>
    <w:rsid w:val="00FC13EB"/>
    <w:rsid w:val="00FC2B5D"/>
    <w:rsid w:val="00FC6FA1"/>
    <w:rsid w:val="00FF1449"/>
    <w:rsid w:val="00FF395A"/>
    <w:rsid w:val="00FF49D7"/>
    <w:rsid w:val="00FF5A9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 w:type="paragraph" w:customStyle="1" w:styleId="TableParagraph">
    <w:name w:val="Table Paragraph"/>
    <w:basedOn w:val="Normal"/>
    <w:uiPriority w:val="1"/>
    <w:qFormat/>
    <w:rsid w:val="00C31B11"/>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31B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uperscript">
    <w:name w:val="superscript"/>
    <w:basedOn w:val="Fuentedeprrafopredeter"/>
    <w:rsid w:val="00A54961"/>
  </w:style>
  <w:style w:type="character" w:customStyle="1" w:styleId="spellingerror">
    <w:name w:val="spellingerror"/>
    <w:basedOn w:val="Fuentedeprrafopredeter"/>
    <w:rsid w:val="00933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yortecnologias@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providencias-consejo-de-estad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7F2820A-E9F2-4AC7-8049-706074E481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1932</TotalTime>
  <Pages>20</Pages>
  <Words>6498</Words>
  <Characters>35742</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113</cp:revision>
  <cp:lastPrinted>2023-01-10T21:18:00Z</cp:lastPrinted>
  <dcterms:created xsi:type="dcterms:W3CDTF">2025-08-19T14:54:00Z</dcterms:created>
  <dcterms:modified xsi:type="dcterms:W3CDTF">2025-11-30T01:33:00Z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