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8E97E" w14:textId="77777777" w:rsidR="008A217A" w:rsidRPr="00025914" w:rsidRDefault="008A217A" w:rsidP="008A217A">
      <w:pPr>
        <w:jc w:val="both"/>
        <w:rPr>
          <w:rFonts w:ascii="Verdana" w:eastAsia="Calibri" w:hAnsi="Verdana" w:cs="Arial"/>
          <w:b/>
          <w:bCs/>
          <w:color w:val="000000" w:themeColor="text1"/>
        </w:rPr>
      </w:pPr>
      <w:bookmarkStart w:id="0" w:name="_Hlk181166130"/>
      <w:bookmarkStart w:id="1" w:name="_Hlk209714638"/>
      <w:r w:rsidRPr="00025914">
        <w:rPr>
          <w:rFonts w:ascii="Verdana" w:eastAsia="Calibri" w:hAnsi="Verdana" w:cs="Arial"/>
          <w:b/>
          <w:bCs/>
          <w:color w:val="000000" w:themeColor="text1"/>
        </w:rPr>
        <w:t>SELECCIÓN OBJETIVA ― Noción y factores de escogencia</w:t>
      </w:r>
    </w:p>
    <w:p w14:paraId="25B24C02" w14:textId="77777777" w:rsidR="008A217A" w:rsidRPr="00025914" w:rsidRDefault="008A217A" w:rsidP="008A217A">
      <w:pPr>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lang w:val="es-ES"/>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 los factores de escogencia y calificación que establezcan las entidades en los pliegos de condiciones o sus equivalentes deberán tener en cuenta, entre otras cuestiones, los criterios establecidos en los numerales 1 a 4 del mencionado artículo 5, así como los 5 parágrafos de dicha norma. </w:t>
      </w:r>
    </w:p>
    <w:p w14:paraId="441ABC46" w14:textId="77777777" w:rsidR="008A217A" w:rsidRPr="00025914" w:rsidRDefault="008A217A" w:rsidP="008A217A">
      <w:pPr>
        <w:spacing w:before="120"/>
        <w:jc w:val="both"/>
        <w:rPr>
          <w:rFonts w:ascii="Verdana" w:hAnsi="Verdana" w:cs="Arial"/>
          <w:color w:val="000000" w:themeColor="text1"/>
          <w:sz w:val="20"/>
          <w:szCs w:val="20"/>
        </w:rPr>
      </w:pPr>
      <w:r w:rsidRPr="00025914">
        <w:rPr>
          <w:rFonts w:ascii="Verdana" w:eastAsia="Calibri" w:hAnsi="Verdana" w:cs="Arial"/>
          <w:color w:val="000000" w:themeColor="text1"/>
          <w:sz w:val="20"/>
          <w:szCs w:val="20"/>
          <w:lang w:val="es-ES"/>
        </w:rPr>
        <w:t>Específicamente, el numeral 1º de la disposición referida establece que en los procesos de selección de contratistas serán objeto de verificación, como requisitos habilitantes, los siguientes: i) la capacidad jurídica; ii) la experiencia; iii) la capacidad financiera y iv) la capacidad de organización.</w:t>
      </w:r>
    </w:p>
    <w:p w14:paraId="50B59136" w14:textId="77777777" w:rsidR="008A217A" w:rsidRPr="00025914" w:rsidRDefault="008A217A" w:rsidP="008A217A">
      <w:pPr>
        <w:jc w:val="both"/>
        <w:rPr>
          <w:rFonts w:ascii="Verdana" w:eastAsia="Calibri" w:hAnsi="Verdana" w:cs="Arial"/>
          <w:b/>
          <w:bCs/>
          <w:color w:val="000000" w:themeColor="text1"/>
        </w:rPr>
      </w:pPr>
    </w:p>
    <w:p w14:paraId="60909EE7" w14:textId="77777777" w:rsidR="008A217A" w:rsidRPr="00025914" w:rsidRDefault="008A217A" w:rsidP="008A217A">
      <w:pPr>
        <w:jc w:val="both"/>
        <w:rPr>
          <w:rFonts w:ascii="Verdana" w:eastAsia="Calibri" w:hAnsi="Verdana" w:cs="Arial"/>
          <w:b/>
          <w:bCs/>
          <w:color w:val="000000" w:themeColor="text1"/>
        </w:rPr>
      </w:pPr>
      <w:r w:rsidRPr="00025914">
        <w:rPr>
          <w:rFonts w:ascii="Verdana" w:eastAsia="Calibri" w:hAnsi="Verdana" w:cs="Arial"/>
          <w:b/>
          <w:bCs/>
          <w:color w:val="000000" w:themeColor="text1"/>
        </w:rPr>
        <w:t>REQUISITOS HABILITANTES DE LA LEY 1150 DE 2007 ― Carácter enunciativo</w:t>
      </w:r>
    </w:p>
    <w:p w14:paraId="272CFF67" w14:textId="77777777" w:rsidR="008A217A" w:rsidRPr="00025914" w:rsidRDefault="008A217A" w:rsidP="008A217A">
      <w:pPr>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lang w:val="es-ES"/>
        </w:rPr>
        <w:t>[…] en este punto vale la pena preguntarse si los cuatro requisitos habilitantes establecidos en el artículo 5, numeral 1, de la Ley 1150 de 2007, cuyo alcance fue explicado previamente, son taxativos, esto es, si son los únicos requisitos habilitantes que puede exigirle una entidad a los proponentes. Esta pregunta tiene, al menos, dos respuestas razonables. Por un lado, que sí lo son, habida cuenta que la norma no hace referencia a otros diferentes y, por el otro, que no lo son, pues esta no contiene una expresión como «únicamente» o «solo» al referirse a los requisitos habilitantes y, además, debido a que la lectura íntegra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 norma que establece que «para poder participar en los procesos de selección de los contratos de obra, la capacidad residual del proponente o K de contratación deberá ser igual o superior al que la entidad haya establecido para el efecto en los pliegos de condiciones». Esta segunda respuesta contiene la interpretación legal que comparte la Agencia Nacional de Contratación Pública.</w:t>
      </w:r>
    </w:p>
    <w:p w14:paraId="5F049D1A" w14:textId="77777777" w:rsidR="008A217A" w:rsidRPr="00025914" w:rsidRDefault="008A217A" w:rsidP="008A217A">
      <w:pPr>
        <w:rPr>
          <w:rFonts w:ascii="Verdana" w:eastAsia="Calibri" w:hAnsi="Verdana" w:cs="Arial"/>
          <w:b/>
          <w:bCs/>
          <w:color w:val="000000" w:themeColor="text1"/>
        </w:rPr>
      </w:pPr>
      <w:r w:rsidRPr="00025914">
        <w:rPr>
          <w:rFonts w:ascii="Verdana" w:eastAsia="Calibri" w:hAnsi="Verdana" w:cs="Arial"/>
          <w:b/>
          <w:bCs/>
          <w:color w:val="000000" w:themeColor="text1"/>
        </w:rPr>
        <w:t>CERTIFICACIONES DE SISTEMAS DE GESTIÓN DE CALIDAD – No se pueden exigir como requisito habilitante o puntuable</w:t>
      </w:r>
    </w:p>
    <w:p w14:paraId="4F0BCB6E" w14:textId="656BBDED" w:rsidR="008A217A" w:rsidRPr="00025914" w:rsidRDefault="008A217A" w:rsidP="008A217A">
      <w:pPr>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rPr>
        <w:t xml:space="preserve">[…] </w:t>
      </w:r>
      <w:r w:rsidRPr="00025914">
        <w:rPr>
          <w:rFonts w:ascii="Verdana" w:eastAsia="Calibri" w:hAnsi="Verdana" w:cs="Arial"/>
          <w:color w:val="000000" w:themeColor="text1"/>
          <w:sz w:val="20"/>
          <w:szCs w:val="20"/>
          <w:lang w:val="es-ES"/>
        </w:rPr>
        <w:t xml:space="preserve">en el caso de los requisitos habilitantes, el artículo 5, parágrafo 2, de la Ley 1150 de 2007 establece que las </w:t>
      </w:r>
      <w:r>
        <w:rPr>
          <w:rFonts w:ascii="Verdana" w:eastAsia="Calibri" w:hAnsi="Verdana" w:cs="Arial"/>
          <w:color w:val="000000" w:themeColor="text1"/>
          <w:sz w:val="20"/>
          <w:szCs w:val="20"/>
          <w:lang w:val="es-ES"/>
        </w:rPr>
        <w:t>“</w:t>
      </w:r>
      <w:r w:rsidRPr="00025914">
        <w:rPr>
          <w:rFonts w:ascii="Verdana" w:eastAsia="Calibri" w:hAnsi="Verdana" w:cs="Arial"/>
          <w:color w:val="000000" w:themeColor="text1"/>
          <w:sz w:val="20"/>
          <w:szCs w:val="20"/>
          <w:lang w:val="es-ES"/>
        </w:rPr>
        <w:t>certificaciones de sistemas de gestión de calidad no serán objeto de calificación, ni podrán establecerse como documento habilitante para participar en licitaciones o concursos</w:t>
      </w:r>
      <w:r>
        <w:rPr>
          <w:rFonts w:ascii="Verdana" w:eastAsia="Calibri" w:hAnsi="Verdana" w:cs="Arial"/>
          <w:color w:val="000000" w:themeColor="text1"/>
          <w:sz w:val="20"/>
          <w:szCs w:val="20"/>
          <w:lang w:val="es-ES"/>
        </w:rPr>
        <w:t>”</w:t>
      </w:r>
      <w:r w:rsidRPr="00025914">
        <w:rPr>
          <w:rFonts w:ascii="Verdana" w:eastAsia="Calibri" w:hAnsi="Verdana" w:cs="Arial"/>
          <w:color w:val="000000" w:themeColor="text1"/>
          <w:sz w:val="20"/>
          <w:szCs w:val="20"/>
          <w:lang w:val="es-ES"/>
        </w:rPr>
        <w:t>. Es del caso precisar que esta prohibición comprende los requisitos habilitantes y, además, los requisitos puntuables, pues la norma prohíbe expresamente que dichas certificaciones sean objeto de calificación. […]</w:t>
      </w:r>
    </w:p>
    <w:p w14:paraId="128824C3" w14:textId="77777777" w:rsidR="008A217A" w:rsidRPr="00025914" w:rsidRDefault="008A217A" w:rsidP="008A217A">
      <w:pPr>
        <w:spacing w:before="120"/>
        <w:jc w:val="both"/>
        <w:rPr>
          <w:rFonts w:ascii="Verdana" w:eastAsia="Calibri" w:hAnsi="Verdana" w:cs="Arial"/>
          <w:color w:val="000000" w:themeColor="text1"/>
          <w:sz w:val="20"/>
          <w:szCs w:val="20"/>
          <w:lang w:val="es-ES"/>
        </w:rPr>
      </w:pPr>
      <w:r w:rsidRPr="00025914">
        <w:rPr>
          <w:rFonts w:ascii="Verdana" w:eastAsia="Calibri" w:hAnsi="Verdana" w:cs="Arial"/>
          <w:color w:val="000000" w:themeColor="text1"/>
          <w:sz w:val="20"/>
          <w:szCs w:val="20"/>
          <w:lang w:val="es-ES"/>
        </w:rPr>
        <w:lastRenderedPageBreak/>
        <w:t>Ese es el criterio actual en el Consejo de Estado. En efecto, en concepto del 20 de mayo del 2010, la Sala de Consulta y Servicio Civil de dicha Corporación aclaró que «[…] Los certificados de gestión de calidad no se pueden solicitar a los proponentes, ni como requisito habilitante para participar en los procesos de selección, ni para otorgar puntaje».</w:t>
      </w:r>
    </w:p>
    <w:p w14:paraId="3383DF2F"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14A84B19" w14:textId="77777777" w:rsidR="00867581" w:rsidRDefault="00867581" w:rsidP="00867581">
      <w:pPr>
        <w:spacing w:after="0" w:line="240" w:lineRule="auto"/>
        <w:jc w:val="both"/>
        <w:rPr>
          <w:rFonts w:ascii="Verdana" w:eastAsia="Calibri" w:hAnsi="Verdana" w:cs="Arial"/>
          <w:color w:val="000000" w:themeColor="text1"/>
          <w:sz w:val="20"/>
          <w:szCs w:val="20"/>
          <w:lang w:val="es-ES"/>
        </w:rPr>
      </w:pPr>
    </w:p>
    <w:p w14:paraId="5DCFBBE3"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A477A7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6146F02"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21DC3B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BAEA1DF"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C844E1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376C2F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3269EDA0"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7E9755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3E09BC0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1DB11A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26F0E0B"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18AA53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E6D93B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EA1EAFF"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12AE8D7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1695418A"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4D1E41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68D721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84FC324"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055FF30"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432AE66"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CD336EA"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DFCF87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80E14FF"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938EBE4"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B142A8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7E60106"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32C797B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6ED4D280"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DC40F3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6BAC7E8"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99B945D"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5F2CDB4C"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4CC97C71"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72EA1868"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266BA2FD" w14:textId="77777777" w:rsidR="008A217A" w:rsidRPr="006F60F9" w:rsidRDefault="008A217A" w:rsidP="00867581">
      <w:pPr>
        <w:spacing w:after="0" w:line="240" w:lineRule="auto"/>
        <w:jc w:val="both"/>
        <w:rPr>
          <w:rFonts w:ascii="Verdana" w:eastAsia="Calibri" w:hAnsi="Verdana" w:cs="Arial"/>
          <w:color w:val="000000" w:themeColor="text1"/>
          <w:sz w:val="20"/>
          <w:szCs w:val="20"/>
          <w:lang w:val="es-ES"/>
        </w:rPr>
      </w:pPr>
    </w:p>
    <w:p w14:paraId="1755AB6B"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4C9DD73A"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5E569E1E"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3BFCBAC4" w14:textId="77777777" w:rsidR="00867581" w:rsidRPr="006F60F9" w:rsidRDefault="00867581" w:rsidP="00867581">
      <w:pPr>
        <w:spacing w:after="0" w:line="240" w:lineRule="auto"/>
        <w:jc w:val="both"/>
        <w:rPr>
          <w:rFonts w:ascii="Verdana" w:eastAsia="Calibri" w:hAnsi="Verdana" w:cs="Arial"/>
          <w:color w:val="000000" w:themeColor="text1"/>
          <w:sz w:val="20"/>
          <w:szCs w:val="20"/>
          <w:lang w:val="es-ES"/>
        </w:rPr>
      </w:pPr>
    </w:p>
    <w:p w14:paraId="734BF481" w14:textId="5B1AA839"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687D47">
        <w:rPr>
          <w:rFonts w:ascii="Verdana" w:hAnsi="Verdana"/>
        </w:rPr>
        <w:t>21</w:t>
      </w:r>
      <w:r w:rsidR="00324E0B">
        <w:rPr>
          <w:rFonts w:ascii="Verdana" w:hAnsi="Verdana"/>
        </w:rPr>
        <w:t xml:space="preserve"> </w:t>
      </w:r>
      <w:r w:rsidR="00763E4A">
        <w:rPr>
          <w:rFonts w:ascii="Verdana" w:hAnsi="Verdana"/>
        </w:rPr>
        <w:t xml:space="preserve">de </w:t>
      </w:r>
      <w:r w:rsidR="00687D47">
        <w:rPr>
          <w:rFonts w:ascii="Verdana" w:hAnsi="Verdana"/>
        </w:rPr>
        <w:t>noviembre</w:t>
      </w:r>
      <w:r w:rsidR="00763E4A">
        <w:rPr>
          <w:rFonts w:ascii="Verdana" w:hAnsi="Verdana"/>
        </w:rPr>
        <w:t xml:space="preserve"> de </w:t>
      </w:r>
      <w:r w:rsidR="00687D47">
        <w:rPr>
          <w:rFonts w:ascii="Verdana" w:hAnsi="Verdana"/>
        </w:rPr>
        <w:t>2025</w:t>
      </w:r>
      <w:r w:rsidR="00324E0B">
        <w:rPr>
          <w:rFonts w:ascii="Verdana" w:hAnsi="Verdana"/>
        </w:rPr>
        <w:t xml:space="preserve"> </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68F08A63" w14:textId="26D94371" w:rsidR="00A64017" w:rsidRDefault="00687D47" w:rsidP="00687D47">
      <w:pPr>
        <w:spacing w:after="0" w:line="240" w:lineRule="auto"/>
        <w:jc w:val="right"/>
        <w:rPr>
          <w:rFonts w:ascii="Verdana" w:hAnsi="Verdana"/>
        </w:rPr>
      </w:pPr>
      <w:r>
        <w:rPr>
          <w:rFonts w:ascii="Verdana" w:hAnsi="Verdana"/>
          <w:noProof/>
        </w:rPr>
        <w:drawing>
          <wp:inline distT="0" distB="0" distL="0" distR="0" wp14:anchorId="4C1A5DB0" wp14:editId="73DAAAD9">
            <wp:extent cx="2505075" cy="762000"/>
            <wp:effectExtent l="0" t="0" r="9525" b="0"/>
            <wp:docPr id="7515026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5075" cy="762000"/>
                    </a:xfrm>
                    <a:prstGeom prst="rect">
                      <a:avLst/>
                    </a:prstGeom>
                    <a:noFill/>
                    <a:ln>
                      <a:noFill/>
                    </a:ln>
                  </pic:spPr>
                </pic:pic>
              </a:graphicData>
            </a:graphic>
          </wp:inline>
        </w:drawing>
      </w:r>
    </w:p>
    <w:p w14:paraId="0C02CE3A" w14:textId="77777777" w:rsidR="00687D47" w:rsidRDefault="00687D47" w:rsidP="00103B90">
      <w:pPr>
        <w:spacing w:after="0" w:line="240" w:lineRule="auto"/>
        <w:rPr>
          <w:rFonts w:ascii="Verdana" w:hAnsi="Verdana"/>
        </w:rPr>
      </w:pPr>
    </w:p>
    <w:p w14:paraId="53EB9D4B" w14:textId="77777777" w:rsidR="00687D47" w:rsidRDefault="00687D47" w:rsidP="00103B90">
      <w:pPr>
        <w:spacing w:after="0" w:line="240" w:lineRule="auto"/>
        <w:rPr>
          <w:rFonts w:ascii="Verdana" w:hAnsi="Verdana"/>
        </w:rPr>
      </w:pPr>
    </w:p>
    <w:p w14:paraId="6EF9D4E0" w14:textId="383CBA78" w:rsidR="00A64017"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AB6255F" w14:textId="77777777" w:rsidR="008323CA" w:rsidRPr="008323CA" w:rsidRDefault="008323CA" w:rsidP="00A64017">
      <w:pPr>
        <w:spacing w:after="0" w:line="240" w:lineRule="auto"/>
        <w:rPr>
          <w:rFonts w:ascii="Verdana" w:eastAsia="Calibri" w:hAnsi="Verdana" w:cs="Arial"/>
          <w:sz w:val="24"/>
          <w:szCs w:val="24"/>
          <w:lang w:eastAsia="es-ES"/>
        </w:rPr>
      </w:pPr>
      <w:hyperlink r:id="rId12" w:history="1">
        <w:r w:rsidRPr="008323CA">
          <w:rPr>
            <w:rStyle w:val="Hipervnculo"/>
            <w:rFonts w:ascii="Verdana" w:eastAsia="Calibri" w:hAnsi="Verdana" w:cs="Arial"/>
            <w:sz w:val="24"/>
            <w:szCs w:val="24"/>
            <w:lang w:eastAsia="es-ES"/>
          </w:rPr>
          <w:t>andyortecnologias@gmail.com</w:t>
        </w:r>
      </w:hyperlink>
      <w:r w:rsidRPr="008323CA">
        <w:rPr>
          <w:rFonts w:ascii="Verdana" w:eastAsia="Calibri" w:hAnsi="Verdana" w:cs="Arial"/>
          <w:sz w:val="24"/>
          <w:szCs w:val="24"/>
          <w:lang w:eastAsia="es-ES"/>
        </w:rPr>
        <w:t xml:space="preserve"> </w:t>
      </w:r>
    </w:p>
    <w:p w14:paraId="6E2CC3AD" w14:textId="77777777" w:rsidR="00CB7B40" w:rsidRPr="00FE3DEC"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4E2216F1"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CB7B40">
              <w:rPr>
                <w:rFonts w:ascii="Verdana" w:eastAsia="Calibri" w:hAnsi="Verdana" w:cs="Arial"/>
                <w:b/>
                <w:bCs/>
                <w:lang w:val="es-ES" w:eastAsia="es-ES"/>
              </w:rPr>
              <w:t>1</w:t>
            </w:r>
            <w:r w:rsidR="00F05362">
              <w:rPr>
                <w:rFonts w:ascii="Verdana" w:eastAsia="Calibri" w:hAnsi="Verdana" w:cs="Arial"/>
                <w:b/>
                <w:bCs/>
                <w:lang w:val="es-ES" w:eastAsia="es-ES"/>
              </w:rPr>
              <w:t>4</w:t>
            </w:r>
            <w:r w:rsidR="008323CA">
              <w:rPr>
                <w:rFonts w:ascii="Verdana" w:eastAsia="Calibri" w:hAnsi="Verdana" w:cs="Arial"/>
                <w:b/>
                <w:bCs/>
                <w:lang w:val="es-ES" w:eastAsia="es-ES"/>
              </w:rPr>
              <w:t>90</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049EB1" w14:textId="7D97A7A4" w:rsidR="00867581" w:rsidRPr="00280D79" w:rsidRDefault="008A217A" w:rsidP="00C14BFF">
            <w:pPr>
              <w:jc w:val="both"/>
              <w:rPr>
                <w:rFonts w:ascii="Verdana" w:eastAsia="Calibri" w:hAnsi="Verdana" w:cs="Arial"/>
                <w:b/>
                <w:highlight w:val="yellow"/>
                <w:lang w:val="es-ES" w:eastAsia="es-ES"/>
              </w:rPr>
            </w:pPr>
            <w:r w:rsidRPr="00025914">
              <w:rPr>
                <w:rFonts w:ascii="Verdana" w:eastAsia="Calibri" w:hAnsi="Verdana" w:cs="Arial"/>
                <w:color w:val="000000" w:themeColor="text1"/>
              </w:rPr>
              <w:t>SELECCIÓN OBJETIVA ― Noción y factores de escogencia / REQUISITOS HABILITANTES DE LA LEY 1150 DE 2007 ― Carácter enunciativo / CERTIFICACIONES DE SISTEMAS DE GESTIÓN DE CALIDAD – No se pueden exigir como requisito habilitante o puntuable</w:t>
            </w:r>
            <w:r>
              <w:rPr>
                <w:rFonts w:ascii="Verdana" w:eastAsia="Calibri" w:hAnsi="Verdana" w:cs="Arial"/>
                <w:color w:val="000000" w:themeColor="text1"/>
              </w:rPr>
              <w:t>.</w:t>
            </w: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0BD21565"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8323CA" w:rsidRPr="008323CA">
              <w:rPr>
                <w:rFonts w:ascii="Verdana" w:eastAsia="Calibri" w:hAnsi="Verdana" w:cs="Arial"/>
                <w:lang w:val="es-ES_tradnl" w:eastAsia="es-ES_tradnl"/>
              </w:rPr>
              <w:t>1_2025_10_11_011441</w:t>
            </w:r>
            <w:r w:rsidR="002D4A66">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38C496DD"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D36635">
        <w:rPr>
          <w:rFonts w:ascii="Verdana" w:eastAsia="Calibri" w:hAnsi="Verdana" w:cs="Arial"/>
          <w:lang w:val="es-ES" w:eastAsia="es-ES"/>
        </w:rPr>
        <w:t xml:space="preserve">o </w:t>
      </w:r>
      <w:r w:rsidRPr="006730E9">
        <w:rPr>
          <w:rFonts w:ascii="Verdana" w:eastAsia="Calibri" w:hAnsi="Verdana" w:cs="Arial"/>
          <w:lang w:val="es-ES" w:eastAsia="es-ES"/>
        </w:rPr>
        <w:t>señor</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4A31DE1D"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8323CA">
        <w:rPr>
          <w:rFonts w:ascii="Verdana" w:eastAsia="Calibri" w:hAnsi="Verdana" w:cs="Arial"/>
          <w:lang w:val="es-ES" w:eastAsia="es-ES"/>
        </w:rPr>
        <w:t>15</w:t>
      </w:r>
      <w:r w:rsidR="00E445EC">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F05362">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4F15BAFA" w14:textId="77777777" w:rsidR="005B4680" w:rsidRDefault="00CB7B40" w:rsidP="005B468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4D50EF0E" w14:textId="48CEB2D0" w:rsidR="00E445EC" w:rsidRPr="008323CA" w:rsidRDefault="008323CA" w:rsidP="00604DCE">
      <w:pPr>
        <w:numPr>
          <w:ilvl w:val="0"/>
          <w:numId w:val="36"/>
        </w:numPr>
        <w:tabs>
          <w:tab w:val="left" w:pos="142"/>
          <w:tab w:val="left" w:pos="567"/>
        </w:tabs>
        <w:spacing w:after="0" w:line="240" w:lineRule="auto"/>
        <w:ind w:left="709" w:right="709"/>
        <w:jc w:val="both"/>
        <w:rPr>
          <w:rFonts w:ascii="Verdana" w:eastAsia="Century Gothic" w:hAnsi="Verdana" w:cs="Century Gothic"/>
          <w:i/>
          <w:iCs/>
          <w:sz w:val="20"/>
          <w:szCs w:val="20"/>
        </w:rPr>
      </w:pPr>
      <w:r w:rsidRPr="008323CA">
        <w:rPr>
          <w:rFonts w:ascii="Verdana" w:eastAsia="Century Gothic" w:hAnsi="Verdana" w:cs="Century Gothic"/>
          <w:i/>
          <w:iCs/>
          <w:sz w:val="20"/>
          <w:szCs w:val="20"/>
        </w:rPr>
        <w:t>¿En un proceso de contratación en la modalidad de mínima cuantía una entidad puede exigir como requisito habilitante que los oferentes cuenten con la norma ISO 20000-1?</w:t>
      </w:r>
      <w:r w:rsidR="00E445EC" w:rsidRPr="008323CA">
        <w:rPr>
          <w:rFonts w:ascii="Verdana" w:eastAsia="Century Gothic" w:hAnsi="Verdana" w:cs="Century Gothic"/>
          <w:i/>
          <w:iCs/>
          <w:sz w:val="20"/>
          <w:szCs w:val="20"/>
        </w:rPr>
        <w:t xml:space="preserve"> </w:t>
      </w:r>
    </w:p>
    <w:p w14:paraId="2CDDC996" w14:textId="1108CDFB" w:rsidR="00A64017" w:rsidRPr="00EA70F7" w:rsidRDefault="00A64017" w:rsidP="00D36635">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AA3B9F">
        <w:rPr>
          <w:rFonts w:ascii="Verdana" w:eastAsia="Calibri" w:hAnsi="Verdana" w:cs="Arial"/>
          <w:lang w:val="es-ES" w:eastAsia="es-ES"/>
        </w:rPr>
        <w:lastRenderedPageBreak/>
        <w:t xml:space="preserve">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10DF1A14" w14:textId="39530421" w:rsidR="003971DC" w:rsidRPr="009015F2" w:rsidRDefault="00A64017" w:rsidP="003971DC">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976F8">
        <w:rPr>
          <w:rFonts w:ascii="Verdana" w:eastAsia="Calibri" w:hAnsi="Verdana" w:cs="Arial"/>
          <w:lang w:eastAsia="es-ES"/>
        </w:rPr>
        <w:t>el</w:t>
      </w:r>
      <w:r w:rsidR="00D237B8">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sidR="009015F2">
        <w:rPr>
          <w:rFonts w:ascii="Verdana" w:eastAsia="Century Gothic" w:hAnsi="Verdana" w:cs="Century Gothic"/>
        </w:rPr>
        <w:t xml:space="preserve"> </w:t>
      </w:r>
      <w:r w:rsidR="008E2259" w:rsidRPr="008E2259">
        <w:rPr>
          <w:rFonts w:ascii="Verdana" w:hAnsi="Verdana"/>
        </w:rPr>
        <w:t>¿ Las certificaciones de sistemas de gestión de calidad pueden establecerse como documento habilitante para participar en procesos de selección de mínima cuantía?</w:t>
      </w:r>
    </w:p>
    <w:p w14:paraId="168ABEE7" w14:textId="77777777" w:rsidR="006420DB" w:rsidRDefault="006420DB" w:rsidP="001B319A">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522E0F93" w14:textId="4EF52334" w:rsidR="004C28B2" w:rsidRDefault="00933CFF" w:rsidP="00933CFF">
            <w:pPr>
              <w:spacing w:before="120" w:line="276" w:lineRule="auto"/>
              <w:jc w:val="both"/>
              <w:rPr>
                <w:rFonts w:ascii="Verdana" w:eastAsia="Calibri" w:hAnsi="Verdana" w:cs="Arial"/>
                <w:color w:val="000000" w:themeColor="text1"/>
              </w:rPr>
            </w:pPr>
            <w:r>
              <w:rPr>
                <w:rFonts w:ascii="Verdana" w:hAnsi="Verdana"/>
                <w:bCs/>
                <w:lang w:val="es-MX" w:eastAsia="es-CO"/>
              </w:rPr>
              <w:t xml:space="preserve">           </w:t>
            </w:r>
            <w:r w:rsidRPr="00025914">
              <w:rPr>
                <w:rFonts w:ascii="Verdana" w:hAnsi="Verdana" w:cs="Arial"/>
              </w:rPr>
              <w:t>E</w:t>
            </w:r>
            <w:r w:rsidRPr="00025914">
              <w:rPr>
                <w:rFonts w:ascii="Verdana" w:eastAsia="Calibri" w:hAnsi="Verdana" w:cs="Arial"/>
                <w:color w:val="000000" w:themeColor="text1"/>
              </w:rPr>
              <w:t xml:space="preserve">n el caso de los requisitos habilitantes, el artículo 5, parágrafo 2, de la Ley 1150 de 2007 establece que las </w:t>
            </w:r>
            <w:r>
              <w:rPr>
                <w:rFonts w:ascii="Verdana" w:eastAsia="Calibri" w:hAnsi="Verdana" w:cs="Arial"/>
                <w:color w:val="000000" w:themeColor="text1"/>
              </w:rPr>
              <w:t>“</w:t>
            </w:r>
            <w:r w:rsidRPr="00025914">
              <w:rPr>
                <w:rFonts w:ascii="Verdana" w:eastAsia="Calibri" w:hAnsi="Verdana" w:cs="Arial"/>
                <w:color w:val="000000" w:themeColor="text1"/>
              </w:rPr>
              <w:t>certificaciones de sistemas de gestión de calidad no serán objeto de calificación, ni podrán establecerse como documento habilitante para participar en licitaciones o concursos</w:t>
            </w:r>
            <w:r>
              <w:rPr>
                <w:rFonts w:ascii="Verdana" w:eastAsia="Calibri" w:hAnsi="Verdana" w:cs="Arial"/>
                <w:color w:val="000000" w:themeColor="text1"/>
              </w:rPr>
              <w:t>”</w:t>
            </w:r>
            <w:r w:rsidRPr="00025914">
              <w:rPr>
                <w:rFonts w:ascii="Verdana" w:eastAsia="Calibri" w:hAnsi="Verdana" w:cs="Arial"/>
                <w:color w:val="000000" w:themeColor="text1"/>
              </w:rPr>
              <w:t>.</w:t>
            </w:r>
            <w:r w:rsidR="008E2259">
              <w:rPr>
                <w:rFonts w:ascii="Verdana" w:eastAsia="Calibri" w:hAnsi="Verdana" w:cs="Arial"/>
                <w:color w:val="000000" w:themeColor="text1"/>
              </w:rPr>
              <w:t xml:space="preserve"> </w:t>
            </w:r>
            <w:r w:rsidR="008E2259" w:rsidRPr="008E2259">
              <w:rPr>
                <w:rFonts w:ascii="Verdana" w:eastAsia="Calibri" w:hAnsi="Verdana" w:cs="Arial"/>
                <w:color w:val="000000" w:themeColor="text1"/>
              </w:rPr>
              <w:t>Es necesario precisar que</w:t>
            </w:r>
            <w:r w:rsidRPr="00025914">
              <w:rPr>
                <w:rFonts w:ascii="Verdana" w:eastAsia="Calibri" w:hAnsi="Verdana" w:cs="Arial"/>
                <w:color w:val="000000" w:themeColor="text1"/>
              </w:rPr>
              <w:t xml:space="preserv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w:t>
            </w:r>
          </w:p>
          <w:p w14:paraId="36C3538E" w14:textId="00F41E01" w:rsidR="00933CFF" w:rsidRDefault="004C28B2" w:rsidP="00933CFF">
            <w:pPr>
              <w:spacing w:before="120" w:line="276" w:lineRule="auto"/>
              <w:jc w:val="both"/>
              <w:rPr>
                <w:rFonts w:ascii="Verdana" w:eastAsia="Calibri" w:hAnsi="Verdana" w:cs="Arial"/>
                <w:color w:val="000000" w:themeColor="text1"/>
              </w:rPr>
            </w:pPr>
            <w:r>
              <w:rPr>
                <w:rFonts w:ascii="Verdana" w:eastAsia="Calibri" w:hAnsi="Verdana" w:cs="Arial"/>
                <w:color w:val="000000" w:themeColor="text1"/>
              </w:rPr>
              <w:lastRenderedPageBreak/>
              <w:t xml:space="preserve">         </w:t>
            </w:r>
            <w:r w:rsidR="00933CFF" w:rsidRPr="00025914">
              <w:rPr>
                <w:rFonts w:ascii="Verdana" w:eastAsia="Calibri" w:hAnsi="Verdana" w:cs="Arial"/>
                <w:color w:val="000000" w:themeColor="text1"/>
              </w:rPr>
              <w:t xml:space="preserve">Ese es el efecto útil de la norma </w:t>
            </w:r>
            <w:r w:rsidR="00933CFF" w:rsidRPr="00025914">
              <w:rPr>
                <w:rFonts w:ascii="Verdana" w:eastAsia="Calibri" w:hAnsi="Verdana" w:cs="Arial"/>
                <w:i/>
                <w:iCs/>
                <w:color w:val="000000" w:themeColor="text1"/>
              </w:rPr>
              <w:t>sub examine</w:t>
            </w:r>
            <w:r w:rsidR="00933CFF" w:rsidRPr="00025914">
              <w:rPr>
                <w:rFonts w:ascii="Verdana" w:eastAsia="Calibri" w:hAnsi="Verdana" w:cs="Arial"/>
                <w:color w:val="000000" w:themeColor="text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607B0CF0" w14:textId="77777777" w:rsidR="00933CFF" w:rsidRDefault="00933CFF" w:rsidP="00933CFF">
            <w:pPr>
              <w:spacing w:line="276" w:lineRule="auto"/>
              <w:ind w:firstLine="709"/>
              <w:jc w:val="both"/>
              <w:rPr>
                <w:rFonts w:ascii="Verdana" w:eastAsia="Calibri" w:hAnsi="Verdana" w:cs="Arial"/>
                <w:color w:val="000000" w:themeColor="text1"/>
              </w:rPr>
            </w:pPr>
          </w:p>
          <w:p w14:paraId="7E694307" w14:textId="592E4E34"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Ese es el criterio actual en el Consejo de Estado. En efecto, en concepto del 20 de mayo del 2010, la Sala de Consulta y Servicio Civil de dicha Corporación aclaró que </w:t>
            </w:r>
            <w:r>
              <w:rPr>
                <w:rFonts w:ascii="Verdana" w:eastAsia="Calibri" w:hAnsi="Verdana" w:cs="Arial"/>
                <w:color w:val="000000" w:themeColor="text1"/>
              </w:rPr>
              <w:t>“</w:t>
            </w:r>
            <w:r w:rsidRPr="00025914">
              <w:rPr>
                <w:rFonts w:ascii="Verdana" w:hAnsi="Verdana"/>
              </w:rPr>
              <w:t xml:space="preserve">[…] </w:t>
            </w:r>
            <w:r w:rsidRPr="00025914">
              <w:rPr>
                <w:rFonts w:ascii="Verdana" w:eastAsia="Calibri" w:hAnsi="Verdana" w:cs="Arial"/>
                <w:color w:val="000000" w:themeColor="text1"/>
              </w:rPr>
              <w:t>Los certificados de gestión de calidad no se pueden solicitar a los proponentes, ni como requisito habilitante para participar en los procesos de selección, ni para otorgar puntaje</w:t>
            </w:r>
            <w:r>
              <w:rPr>
                <w:rFonts w:ascii="Verdana" w:eastAsia="Calibri" w:hAnsi="Verdana" w:cs="Arial"/>
                <w:color w:val="000000" w:themeColor="text1"/>
              </w:rPr>
              <w:t>”</w:t>
            </w:r>
            <w:r w:rsidRPr="00025914">
              <w:rPr>
                <w:rStyle w:val="Refdenotaalpie"/>
                <w:rFonts w:ascii="Verdana" w:eastAsia="Calibri" w:hAnsi="Verdana" w:cs="Arial"/>
                <w:color w:val="000000" w:themeColor="text1"/>
              </w:rPr>
              <w:footnoteReference w:id="1"/>
            </w:r>
            <w:r w:rsidRPr="00025914">
              <w:rPr>
                <w:rFonts w:ascii="Verdana" w:eastAsia="Calibri" w:hAnsi="Verdana" w:cs="Arial"/>
                <w:color w:val="000000" w:themeColor="text1"/>
              </w:rPr>
              <w:t>.</w:t>
            </w:r>
          </w:p>
          <w:p w14:paraId="273D5895" w14:textId="2F38858C"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w:t>
            </w:r>
            <w:r w:rsidR="004C28B2">
              <w:rPr>
                <w:rFonts w:ascii="Verdana" w:eastAsia="Calibri" w:hAnsi="Verdana" w:cs="Arial"/>
                <w:color w:val="000000" w:themeColor="text1"/>
              </w:rPr>
              <w:t>anterior</w:t>
            </w:r>
            <w:r w:rsidRPr="00025914">
              <w:rPr>
                <w:rFonts w:ascii="Verdana" w:eastAsia="Calibri" w:hAnsi="Verdana" w:cs="Arial"/>
                <w:color w:val="000000" w:themeColor="text1"/>
              </w:rPr>
              <w:t xml:space="preserve"> no quiere decir que, durante la ejecución del contrato estatal, la entidad no pueda y deba supervisar el cumplimiento de unos estándares mínimos de calidad que exige la ley en algunos eventos específicos y determinados, como es el caso de los estándares mínimos del Sistema de Gestión de la Seguridad y Salud en el Trabajo </w:t>
            </w:r>
            <w:r>
              <w:rPr>
                <w:rFonts w:ascii="Verdana" w:eastAsia="Calibri" w:hAnsi="Verdana" w:cs="Arial"/>
                <w:color w:val="000000" w:themeColor="text1"/>
              </w:rPr>
              <w:t>“</w:t>
            </w:r>
            <w:r w:rsidRPr="00025914">
              <w:rPr>
                <w:rFonts w:ascii="Verdana" w:eastAsia="Calibri" w:hAnsi="Verdana" w:cs="Arial"/>
                <w:color w:val="000000" w:themeColor="text1"/>
              </w:rPr>
              <w:t>SG-SST</w:t>
            </w:r>
            <w:r>
              <w:rPr>
                <w:rFonts w:ascii="Verdana" w:eastAsia="Calibri" w:hAnsi="Verdana" w:cs="Arial"/>
                <w:color w:val="000000" w:themeColor="text1"/>
              </w:rPr>
              <w:t>”</w:t>
            </w:r>
            <w:r w:rsidRPr="00025914">
              <w:rPr>
                <w:rFonts w:ascii="Verdana" w:eastAsia="Calibri" w:hAnsi="Verdana" w:cs="Arial"/>
                <w:color w:val="000000" w:themeColor="text1"/>
              </w:rPr>
              <w:t>, reglamentados por medio de la Resolución 0312 del 13 de febrero de 2019, expedida por el Ministerio del Trabajo. En efecto, los artículos 3, 9, 16 y 20 de esa resolución establecen exigencias mínimas que deberán cumplir las empresas, empleadores y contratantes a los que se refiere el artículo 2 de dicho acto administrativo.</w:t>
            </w:r>
          </w:p>
          <w:p w14:paraId="60883179" w14:textId="77777777" w:rsidR="00933CFF" w:rsidRDefault="00933CFF" w:rsidP="006420DB">
            <w:pPr>
              <w:spacing w:line="276" w:lineRule="auto"/>
              <w:contextualSpacing/>
              <w:jc w:val="both"/>
              <w:rPr>
                <w:rFonts w:ascii="Verdana" w:eastAsia="Calibri" w:hAnsi="Verdana" w:cs="Arial"/>
                <w:bCs/>
                <w:color w:val="000000" w:themeColor="text1"/>
              </w:rPr>
            </w:pPr>
          </w:p>
          <w:p w14:paraId="05BF1378" w14:textId="6CD91F07" w:rsidR="006420DB" w:rsidRPr="00DB4737" w:rsidRDefault="009C3C72" w:rsidP="006420DB">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sidR="006420DB">
              <w:rPr>
                <w:rFonts w:ascii="Verdana" w:eastAsia="Calibri" w:hAnsi="Verdana" w:cs="Arial"/>
                <w:bCs/>
                <w:color w:val="000000" w:themeColor="text1"/>
              </w:rPr>
              <w:t>Finalmente</w:t>
            </w:r>
            <w:r w:rsidR="006420DB">
              <w:rPr>
                <w:rFonts w:ascii="Verdana" w:eastAsia="Calibri" w:hAnsi="Verdana" w:cs="Times New Roman"/>
                <w:lang w:val="es-ES"/>
              </w:rPr>
              <w:t>,</w:t>
            </w:r>
            <w:r w:rsidR="006420DB" w:rsidRPr="00DB4737">
              <w:rPr>
                <w:rFonts w:ascii="Verdana" w:eastAsia="Calibri" w:hAnsi="Verdana" w:cs="Times New Roman"/>
                <w:lang w:val="es-ES"/>
              </w:rPr>
              <w:t xml:space="preserve"> debe advertirse que el análisis en torno </w:t>
            </w:r>
            <w:r w:rsidR="006420DB">
              <w:rPr>
                <w:rFonts w:ascii="Verdana" w:eastAsia="Calibri" w:hAnsi="Verdana" w:cs="Times New Roman"/>
                <w:lang w:val="es-ES"/>
              </w:rPr>
              <w:t>a un proceso de contratación especifico debe</w:t>
            </w:r>
            <w:r w:rsidR="006420DB" w:rsidRPr="0012388D">
              <w:rPr>
                <w:rFonts w:ascii="Verdana" w:eastAsia="Calibri" w:hAnsi="Verdana" w:cs="Times New Roman"/>
                <w:lang w:val="es-ES"/>
              </w:rPr>
              <w:t xml:space="preserve"> ser realizado por quienes tengan interés en ello.</w:t>
            </w:r>
            <w:r w:rsidR="006420DB"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6420DB">
              <w:t xml:space="preserve"> </w:t>
            </w:r>
          </w:p>
          <w:p w14:paraId="0E5A9819" w14:textId="77777777" w:rsidR="006420DB" w:rsidRDefault="006420DB" w:rsidP="006420DB">
            <w:pPr>
              <w:spacing w:line="276" w:lineRule="auto"/>
              <w:contextualSpacing/>
              <w:jc w:val="both"/>
              <w:rPr>
                <w:rFonts w:ascii="Verdana" w:eastAsia="Calibri" w:hAnsi="Verdana" w:cs="Times New Roman"/>
                <w:lang w:val="es-ES"/>
              </w:rPr>
            </w:pPr>
          </w:p>
          <w:p w14:paraId="5EA94571" w14:textId="21834752" w:rsidR="00A51CB5" w:rsidRPr="00E529C2" w:rsidRDefault="009C3C72" w:rsidP="006420DB">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006420DB"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A6627C4" w14:textId="77777777" w:rsidR="00C31B11" w:rsidRDefault="00C31B11" w:rsidP="00C31B1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396A7F7" w14:textId="5FB58A00" w:rsidR="00933CFF" w:rsidRPr="00025914" w:rsidRDefault="00070BF0" w:rsidP="00933CFF">
      <w:pPr>
        <w:spacing w:line="276" w:lineRule="auto"/>
        <w:jc w:val="both"/>
        <w:rPr>
          <w:rFonts w:ascii="Verdana" w:eastAsia="Calibri" w:hAnsi="Verdana" w:cs="Arial"/>
          <w:color w:val="000000" w:themeColor="text1"/>
        </w:rPr>
      </w:pPr>
      <w:r>
        <w:rPr>
          <w:rFonts w:ascii="Verdana" w:eastAsia="Calibri" w:hAnsi="Verdana" w:cs="Arial"/>
          <w:bCs/>
        </w:rPr>
        <w:tab/>
        <w:t xml:space="preserve">   </w:t>
      </w:r>
      <w:r w:rsidR="00933CFF" w:rsidRPr="00025914">
        <w:rPr>
          <w:rFonts w:ascii="Verdana" w:eastAsia="Calibri" w:hAnsi="Verdana" w:cs="Arial"/>
          <w:color w:val="000000" w:themeColor="text1"/>
        </w:rPr>
        <w:t xml:space="preserve">El artículo 5 de la Ley 1150 de 2007 establece que se considera </w:t>
      </w:r>
      <w:r w:rsidR="00933CFF">
        <w:rPr>
          <w:rFonts w:ascii="Verdana" w:eastAsia="Calibri" w:hAnsi="Verdana" w:cs="Arial"/>
          <w:color w:val="000000" w:themeColor="text1"/>
        </w:rPr>
        <w:t>“</w:t>
      </w:r>
      <w:r w:rsidR="00933CFF" w:rsidRPr="00025914">
        <w:rPr>
          <w:rFonts w:ascii="Verdana" w:eastAsia="Calibri" w:hAnsi="Verdana" w:cs="Arial"/>
          <w:color w:val="000000" w:themeColor="text1"/>
        </w:rPr>
        <w:t>objetiva la selección en la cual la escogencia se haga al ofrecimiento más favorable a la entidad y a los fines que ella busca, sin tener en consideración factores de afecto o de interés y, en general, cualquier clase de motivación subjetiva</w:t>
      </w:r>
      <w:r w:rsidR="00AC032B">
        <w:rPr>
          <w:rFonts w:ascii="Verdana" w:eastAsia="Calibri" w:hAnsi="Verdana" w:cs="Arial"/>
          <w:color w:val="000000" w:themeColor="text1"/>
        </w:rPr>
        <w:t>”</w:t>
      </w:r>
      <w:r w:rsidR="00933CFF" w:rsidRPr="00025914">
        <w:rPr>
          <w:rFonts w:ascii="Verdana" w:eastAsia="Calibri" w:hAnsi="Verdana" w:cs="Arial"/>
          <w:color w:val="000000" w:themeColor="text1"/>
        </w:rPr>
        <w:t xml:space="preserve">. En ese contexto, los factores de escogencia y calificación que establezcan las entidades en los pliegos de condiciones o sus </w:t>
      </w:r>
      <w:r w:rsidR="00AC032B" w:rsidRPr="00025914">
        <w:rPr>
          <w:rFonts w:ascii="Verdana" w:eastAsia="Calibri" w:hAnsi="Verdana" w:cs="Arial"/>
          <w:color w:val="000000" w:themeColor="text1"/>
        </w:rPr>
        <w:t>equivalentes</w:t>
      </w:r>
      <w:r w:rsidR="00933CFF" w:rsidRPr="00025914">
        <w:rPr>
          <w:rFonts w:ascii="Verdana" w:eastAsia="Calibri" w:hAnsi="Verdana" w:cs="Arial"/>
          <w:color w:val="000000" w:themeColor="text1"/>
        </w:rPr>
        <w:t xml:space="preserve"> deberán tener en cuenta, entre otras cuestiones, los criterios establecidos en los numerales 1 a 4 del mencionado artículo 5, así como los 5 parágrafos de dicha norma. </w:t>
      </w:r>
    </w:p>
    <w:p w14:paraId="65B675D6"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Específicamente, el numeral 1º de la disposición referida establece que en los procesos de selección de contratistas serán objeto de verificación, como requisitos habilitantes, los siguientes: i) la capacidad jurídica; ii) la experiencia; iii) la capacidad financiera y iv) la capacidad de organización. En efecto, la normativa </w:t>
      </w:r>
      <w:r w:rsidRPr="00025914">
        <w:rPr>
          <w:rFonts w:ascii="Verdana" w:eastAsia="Calibri" w:hAnsi="Verdana" w:cs="Arial"/>
          <w:i/>
          <w:iCs/>
          <w:color w:val="000000" w:themeColor="text1"/>
        </w:rPr>
        <w:t>sub lite</w:t>
      </w:r>
      <w:r w:rsidRPr="00025914">
        <w:rPr>
          <w:rFonts w:ascii="Verdana" w:eastAsia="Calibri" w:hAnsi="Verdana" w:cs="Arial"/>
          <w:color w:val="000000" w:themeColor="text1"/>
        </w:rPr>
        <w:t xml:space="preserve"> dispone: </w:t>
      </w:r>
    </w:p>
    <w:p w14:paraId="23D37B0B" w14:textId="77777777" w:rsidR="00933CFF" w:rsidRPr="00AC032B" w:rsidRDefault="00933CFF" w:rsidP="00933CFF">
      <w:pPr>
        <w:ind w:left="709" w:right="709"/>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 xml:space="preserve">Artículo 5. De la Selección Objetiva. </w:t>
      </w:r>
    </w:p>
    <w:p w14:paraId="032428D8" w14:textId="77777777" w:rsidR="00933CFF" w:rsidRPr="00AC032B" w:rsidRDefault="00933CFF" w:rsidP="00933CFF">
      <w:pPr>
        <w:ind w:left="709" w:right="709"/>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w:t>
      </w:r>
    </w:p>
    <w:p w14:paraId="1D3FA3C3" w14:textId="77777777" w:rsidR="00933CFF" w:rsidRPr="00AC032B" w:rsidRDefault="00933CFF" w:rsidP="00933CFF">
      <w:pPr>
        <w:ind w:left="709" w:right="709"/>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2D7A39A6"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lastRenderedPageBreak/>
        <w:t xml:space="preserve">A continuación, se explicará el alcance de los requisitos habilitantes previamente referidos. </w:t>
      </w:r>
    </w:p>
    <w:p w14:paraId="45025C90" w14:textId="77777777" w:rsidR="00933CFF" w:rsidRPr="00025914" w:rsidRDefault="00933CFF" w:rsidP="00933CFF">
      <w:pPr>
        <w:spacing w:before="120" w:after="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La </w:t>
      </w:r>
      <w:r w:rsidRPr="00025914">
        <w:rPr>
          <w:rFonts w:ascii="Verdana" w:eastAsia="Calibri" w:hAnsi="Verdana" w:cs="Arial"/>
          <w:bCs/>
          <w:i/>
          <w:iCs/>
          <w:color w:val="000000" w:themeColor="text1"/>
        </w:rPr>
        <w:t>capacidad jurídica</w:t>
      </w:r>
      <w:r w:rsidRPr="00025914">
        <w:rPr>
          <w:rFonts w:ascii="Verdana" w:eastAsia="Calibri" w:hAnsi="Verdana" w:cs="Arial"/>
          <w:color w:val="000000" w:themeColor="text1"/>
        </w:rPr>
        <w:t xml:space="preserve"> es la aptitud que recae en los sujetos activos o pasivos de las relaciones jurídicas</w:t>
      </w:r>
      <w:r w:rsidRPr="00025914">
        <w:rPr>
          <w:rStyle w:val="Refdenotaalpie"/>
          <w:rFonts w:ascii="Verdana" w:eastAsia="Calibri" w:hAnsi="Verdana" w:cs="Arial"/>
          <w:color w:val="000000" w:themeColor="text1"/>
        </w:rPr>
        <w:footnoteReference w:id="2"/>
      </w:r>
      <w:r w:rsidRPr="00025914">
        <w:rPr>
          <w:rFonts w:ascii="Verdana" w:eastAsia="Calibri" w:hAnsi="Verdana" w:cs="Arial"/>
          <w:color w:val="000000" w:themeColor="text1"/>
        </w:rPr>
        <w:t>. Para efectos de la contratación estatal, es la facultad que tiene una persona natural o jurídica o una forma asociativa sin personería jurídica para celebrar contratos con una entidad pública. En ese ámbito, la capacidad jurídica tiene doble proyección: de un lado, en la facultad que alguien tiene para obligarse a cumplir el objeto del contrato estatal y, por el otro, en la prohibición de que esa persona esté incursa en inhabilidades</w:t>
      </w:r>
      <w:r w:rsidRPr="00025914">
        <w:rPr>
          <w:rStyle w:val="Refdenotaalpie"/>
          <w:rFonts w:ascii="Verdana" w:eastAsia="Calibri" w:hAnsi="Verdana" w:cs="Arial"/>
          <w:color w:val="000000" w:themeColor="text1"/>
        </w:rPr>
        <w:footnoteReference w:id="3"/>
      </w:r>
      <w:r w:rsidRPr="00025914">
        <w:rPr>
          <w:rFonts w:ascii="Verdana" w:eastAsia="Calibri" w:hAnsi="Verdana" w:cs="Arial"/>
          <w:color w:val="000000" w:themeColor="text1"/>
        </w:rPr>
        <w:t xml:space="preserve"> o incompatibilidades, que le impidan la celebración del contrato. </w:t>
      </w:r>
    </w:p>
    <w:p w14:paraId="06A5D031" w14:textId="77777777" w:rsidR="00933CFF" w:rsidRPr="00025914" w:rsidRDefault="00933CFF" w:rsidP="00933CFF">
      <w:pPr>
        <w:spacing w:line="276" w:lineRule="auto"/>
        <w:ind w:firstLine="708"/>
        <w:jc w:val="both"/>
        <w:rPr>
          <w:rFonts w:ascii="Verdana" w:eastAsia="Calibri" w:hAnsi="Verdana" w:cs="Arial"/>
          <w:color w:val="000000" w:themeColor="text1"/>
        </w:rPr>
      </w:pPr>
      <w:r w:rsidRPr="00025914">
        <w:rPr>
          <w:rFonts w:ascii="Verdana" w:eastAsia="Calibri" w:hAnsi="Verdana" w:cs="Arial"/>
          <w:color w:val="000000" w:themeColor="text1"/>
        </w:rPr>
        <w:t>Para efectos del Estatuto General de Contratación de la Administración Pública, la capacidad para contratar la tienen las personas consideradas legalmente capaces, según lo que establece el artículo 6 de la Ley 80 de 1993</w:t>
      </w:r>
      <w:r w:rsidRPr="00025914">
        <w:rPr>
          <w:rStyle w:val="Refdenotaalpie"/>
          <w:rFonts w:ascii="Verdana" w:eastAsia="Calibri" w:hAnsi="Verdana" w:cs="Arial"/>
          <w:color w:val="000000" w:themeColor="text1"/>
        </w:rPr>
        <w:footnoteReference w:id="4"/>
      </w:r>
      <w:r w:rsidRPr="00025914">
        <w:rPr>
          <w:rFonts w:ascii="Verdana" w:eastAsia="Calibri" w:hAnsi="Verdana" w:cs="Arial"/>
          <w:color w:val="000000" w:themeColor="text1"/>
        </w:rPr>
        <w:t xml:space="preserve">. Por un lado, las personas naturales tienen capacidad jurídica cuando alcanzan la mayoría de edad, claro está, siempre que su capacidad no haya sido limitada –ej. interdicción judicial–, y siempre que no estén incursas en inhabilidades, incompatibilidades o prohibiciones para contratar. Por otro lado, la capacidad de las personas jurídicas se traduce en la posibilidad que tienen estas para adelantar actividades en el marco de su objeto social, en las facultades que le han sido otorgadas al representante legal y en la ausencia de inhabilidades, incompatibilidades o prohibiciones para contratar, bien sea de los socios individualmente considerados o de la empresa como tal. </w:t>
      </w:r>
    </w:p>
    <w:p w14:paraId="22308D0B"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En el marco de los procesos de selección de contratistas, las entidades deben solicitar a los proponentes toda la información necesaria para conocer su idoneidad en relación con el contrato a celebrar y ejecutar, así como verificar su honestidad e integridad en relación con el manejo de los recursos públicos. El </w:t>
      </w:r>
      <w:r w:rsidRPr="00025914">
        <w:rPr>
          <w:rFonts w:ascii="Verdana" w:eastAsia="Calibri" w:hAnsi="Verdana" w:cs="Arial"/>
          <w:color w:val="000000" w:themeColor="text1"/>
        </w:rPr>
        <w:lastRenderedPageBreak/>
        <w:t>Consejo de Estado ha exhortado a las entidades estatales para conocer la calidad en la que actúa el proponente, en estos términos</w:t>
      </w:r>
      <w:r w:rsidRPr="00025914">
        <w:rPr>
          <w:rStyle w:val="Refdenotaalpie"/>
          <w:rFonts w:ascii="Verdana" w:eastAsia="Calibri" w:hAnsi="Verdana" w:cs="Arial"/>
          <w:color w:val="000000" w:themeColor="text1"/>
        </w:rPr>
        <w:footnoteReference w:id="5"/>
      </w:r>
      <w:r w:rsidRPr="00025914">
        <w:rPr>
          <w:rFonts w:ascii="Verdana" w:eastAsia="Calibri" w:hAnsi="Verdana" w:cs="Arial"/>
          <w:color w:val="000000" w:themeColor="text1"/>
        </w:rPr>
        <w:t xml:space="preserve">: </w:t>
      </w:r>
    </w:p>
    <w:p w14:paraId="3B9F9D0A" w14:textId="77777777" w:rsidR="00933CFF" w:rsidRPr="00025914" w:rsidRDefault="00933CFF" w:rsidP="00933CFF">
      <w:pPr>
        <w:jc w:val="both"/>
        <w:rPr>
          <w:rFonts w:ascii="Verdana" w:eastAsia="Calibri" w:hAnsi="Verdana" w:cs="Arial"/>
          <w:color w:val="000000" w:themeColor="text1"/>
        </w:rPr>
      </w:pPr>
    </w:p>
    <w:p w14:paraId="75584B64" w14:textId="77777777" w:rsidR="00933CFF" w:rsidRPr="00AC032B" w:rsidRDefault="00933CFF" w:rsidP="00933CFF">
      <w:pPr>
        <w:ind w:left="709" w:right="760"/>
        <w:jc w:val="both"/>
        <w:rPr>
          <w:rFonts w:ascii="Verdana" w:eastAsia="Calibri" w:hAnsi="Verdana" w:cs="Arial"/>
          <w:color w:val="000000" w:themeColor="text1"/>
          <w:sz w:val="20"/>
          <w:szCs w:val="20"/>
        </w:rPr>
      </w:pPr>
      <w:r w:rsidRPr="00AC032B">
        <w:rPr>
          <w:rFonts w:ascii="Verdana" w:eastAsia="Calibri" w:hAnsi="Verdana" w:cs="Arial"/>
          <w:color w:val="000000" w:themeColor="text1"/>
          <w:sz w:val="20"/>
          <w:szCs w:val="20"/>
        </w:rPr>
        <w:t>No duda la Sala en afirmar que la anterior disposición conlleva un deber calificado para las entidades estatales, cuyo presupuesto es la buena fe […], consistente en una carga de conocimiento que las obliga a determinar la calidad con la que actúa el proponente o contratista, esto es, persona natural o jurídica, o sucursal de una sociedad extranjera, si pertenece o no a un grupo empresarial, si se trata de una filial o subsidiaria, la composición de su capital, si cotiza o no en bolsa, si es una empresa familiar, la idoneidad personal y profesional de sus representantes legales, entre otros aspectos, así como el origen lícito de los fondos que empleará en la ejecución del objeto contratado, los cuales, por supuesto, no pueden provenir de actividades delictivas en general, o ser el producto de actos de corrupción, en particular.</w:t>
      </w:r>
      <w:r w:rsidRPr="00AC032B">
        <w:rPr>
          <w:rStyle w:val="Refdenotaalpie"/>
          <w:rFonts w:ascii="Verdana" w:eastAsia="Calibri" w:hAnsi="Verdana" w:cs="Arial"/>
          <w:color w:val="000000" w:themeColor="text1"/>
          <w:sz w:val="20"/>
          <w:szCs w:val="20"/>
        </w:rPr>
        <w:t xml:space="preserve"> </w:t>
      </w:r>
    </w:p>
    <w:p w14:paraId="617CCCB4" w14:textId="77777777"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Los límites a la capacidad jurídica de las personas naturales y jurídicas que deseen contratar con el Estado, particularmente los que establece el régimen de inhabilidades e incompatibilidades previsto en la Ley 80 de 1993, se sustenta en valores como el de la prevalencia de los intereses estatales e igualdad y en los principios de moralidad, ética, corrección, probidad, transparencia e imparcialidad, entre otros de similares proyecciones.</w:t>
      </w:r>
    </w:p>
    <w:p w14:paraId="0BC5F142" w14:textId="77777777"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La </w:t>
      </w:r>
      <w:r w:rsidRPr="00025914">
        <w:rPr>
          <w:rFonts w:ascii="Verdana" w:eastAsia="Calibri" w:hAnsi="Verdana" w:cs="Arial"/>
          <w:bCs/>
          <w:i/>
          <w:iCs/>
          <w:color w:val="000000" w:themeColor="text1"/>
        </w:rPr>
        <w:t>experiencia</w:t>
      </w:r>
      <w:r w:rsidRPr="00025914">
        <w:rPr>
          <w:rFonts w:ascii="Verdana" w:eastAsia="Calibri" w:hAnsi="Verdana" w:cs="Arial"/>
          <w:i/>
          <w:iCs/>
          <w:color w:val="000000" w:themeColor="text1"/>
        </w:rPr>
        <w:t xml:space="preserve"> </w:t>
      </w:r>
      <w:r w:rsidRPr="00025914">
        <w:rPr>
          <w:rFonts w:ascii="Verdana" w:eastAsia="Calibri" w:hAnsi="Verdana" w:cs="Arial"/>
          <w:color w:val="000000" w:themeColor="text1"/>
        </w:rPr>
        <w:t xml:space="preserve">como requisito habilitante, según las consideraciones expuestas en el concepto C-002 del 12 de febrero de 2020 –radicado No. 2202013000000921–, tiene como propósito que </w:t>
      </w:r>
      <w:r w:rsidRPr="00025914">
        <w:rPr>
          <w:rStyle w:val="normaltextrun"/>
          <w:rFonts w:ascii="Verdana" w:hAnsi="Verdana" w:cs="Arial"/>
          <w:color w:val="000000" w:themeColor="text1"/>
        </w:rPr>
        <w:t>las entidades fijen unos requisitos mínimos que deben acreditar los proponentes, para que estas puedan verificar su aptitud para participar en el proceso de selección y, eventualmente, ejecutar el contrato estatal</w:t>
      </w:r>
      <w:r w:rsidRPr="00025914">
        <w:rPr>
          <w:rStyle w:val="Refdenotaalpie"/>
          <w:rFonts w:ascii="Verdana" w:hAnsi="Verdana" w:cs="Arial"/>
          <w:color w:val="000000" w:themeColor="text1"/>
        </w:rPr>
        <w:footnoteReference w:id="6"/>
      </w:r>
      <w:r w:rsidRPr="00025914">
        <w:rPr>
          <w:rStyle w:val="normaltextrun"/>
          <w:rFonts w:ascii="Verdana" w:hAnsi="Verdana" w:cs="Arial"/>
          <w:color w:val="000000" w:themeColor="text1"/>
        </w:rPr>
        <w:t xml:space="preserve">. La entidad, como responsable de la estructuración </w:t>
      </w:r>
      <w:r w:rsidRPr="00025914">
        <w:rPr>
          <w:rStyle w:val="normaltextrun"/>
          <w:rFonts w:ascii="Verdana" w:hAnsi="Verdana" w:cs="Arial"/>
          <w:color w:val="000000" w:themeColor="text1"/>
        </w:rPr>
        <w:lastRenderedPageBreak/>
        <w:t>del proceso de contratación, es autónoma para requerir la experiencia necesaria para el objeto contractual, para lo cual, de acuerdo con el artículo 2.2.1.1.1.6.2. del Decreto 1082 de 2015, debe tener en cuenta el estudio del sector y sus diferentes componentes, tales como la identificación de riesgos, el mercado y el precio del bien, obra o servicio a contratar</w:t>
      </w:r>
      <w:r w:rsidRPr="00025914">
        <w:rPr>
          <w:rStyle w:val="Refdenotaalpie"/>
          <w:rFonts w:ascii="Verdana" w:hAnsi="Verdana" w:cs="Arial"/>
          <w:color w:val="000000" w:themeColor="text1"/>
        </w:rPr>
        <w:footnoteReference w:id="7"/>
      </w:r>
      <w:r w:rsidRPr="00025914">
        <w:rPr>
          <w:rStyle w:val="normaltextrun"/>
          <w:rFonts w:ascii="Verdana" w:hAnsi="Verdana" w:cs="Arial"/>
          <w:color w:val="000000" w:themeColor="text1"/>
        </w:rPr>
        <w:t>.</w:t>
      </w:r>
    </w:p>
    <w:p w14:paraId="43C5189D" w14:textId="40E44121"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 xml:space="preserve">La experiencia que se deriva de la ejecución de los contratos que el proponente ha celebrado y ejecutado con diferentes contratantes, sin importar la naturaleza de estos últimos, se verifica con el Registro Único de Proponentes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RUP</w:t>
      </w:r>
      <w:r w:rsidR="00AC032B">
        <w:rPr>
          <w:rStyle w:val="normaltextrun"/>
          <w:rFonts w:ascii="Verdana" w:hAnsi="Verdana" w:cs="Arial"/>
          <w:color w:val="000000" w:themeColor="text1"/>
          <w:sz w:val="22"/>
          <w:szCs w:val="22"/>
        </w:rPr>
        <w:t>”</w:t>
      </w:r>
      <w:r w:rsidRPr="00025914">
        <w:rPr>
          <w:rStyle w:val="Refdenotaalpie"/>
          <w:rFonts w:ascii="Verdana" w:hAnsi="Verdana" w:cs="Arial"/>
          <w:color w:val="000000" w:themeColor="text1"/>
          <w:sz w:val="22"/>
          <w:szCs w:val="22"/>
        </w:rPr>
        <w:footnoteReference w:id="8"/>
      </w:r>
      <w:r w:rsidRPr="00025914">
        <w:rPr>
          <w:rStyle w:val="normaltextrun"/>
          <w:rFonts w:ascii="Verdana" w:hAnsi="Verdana" w:cs="Arial"/>
          <w:color w:val="000000" w:themeColor="text1"/>
          <w:sz w:val="22"/>
          <w:szCs w:val="22"/>
        </w:rPr>
        <w:t>, claro está, cuando este certificado sea exigible. Allí constan únicamente los requisitos habilitantes que se evalúan con este documento, de los cuales el mismo es plena prueba, sin que le sea posible a la entidad o al proponente solicitar o aportar otra documentación distinta</w:t>
      </w:r>
      <w:r w:rsidRPr="00025914">
        <w:rPr>
          <w:rStyle w:val="Refdenotaalpie"/>
          <w:rFonts w:ascii="Verdana" w:hAnsi="Verdana" w:cs="Arial"/>
          <w:color w:val="000000" w:themeColor="text1"/>
          <w:sz w:val="22"/>
          <w:szCs w:val="22"/>
        </w:rPr>
        <w:footnoteReference w:id="9"/>
      </w:r>
      <w:r w:rsidRPr="00025914">
        <w:rPr>
          <w:rStyle w:val="normaltextrun"/>
          <w:rFonts w:ascii="Verdana" w:hAnsi="Verdana" w:cs="Arial"/>
          <w:color w:val="000000" w:themeColor="text1"/>
          <w:sz w:val="22"/>
          <w:szCs w:val="22"/>
        </w:rPr>
        <w:t xml:space="preserve">, sin perjuicio de lo establecido en el numeral 3.5.5. del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Documento Base</w:t>
      </w:r>
      <w:r w:rsidR="00AC032B">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 xml:space="preserve"> en los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Pliegos Tipo</w:t>
      </w:r>
      <w:r w:rsidR="00AC032B">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 xml:space="preserve">, el cual se relaciona con </w:t>
      </w:r>
      <w:r>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los documentos válidos para acreditar la experiencia requerida</w:t>
      </w:r>
      <w:r w:rsidR="00AC032B">
        <w:rPr>
          <w:rStyle w:val="normaltextrun"/>
          <w:rFonts w:ascii="Verdana" w:hAnsi="Verdana" w:cs="Arial"/>
          <w:color w:val="000000" w:themeColor="text1"/>
          <w:sz w:val="22"/>
          <w:szCs w:val="22"/>
        </w:rPr>
        <w:t>”</w:t>
      </w:r>
      <w:r w:rsidRPr="00025914">
        <w:rPr>
          <w:rStyle w:val="normaltextrun"/>
          <w:rFonts w:ascii="Verdana" w:hAnsi="Verdana" w:cs="Arial"/>
          <w:color w:val="000000" w:themeColor="text1"/>
          <w:sz w:val="22"/>
          <w:szCs w:val="22"/>
        </w:rPr>
        <w:t>.</w:t>
      </w:r>
    </w:p>
    <w:p w14:paraId="7B4E1C3E" w14:textId="77777777" w:rsidR="00933CFF" w:rsidRPr="00025914" w:rsidRDefault="00933CFF" w:rsidP="00933CFF">
      <w:pPr>
        <w:pStyle w:val="paragraph"/>
        <w:spacing w:before="120" w:beforeAutospacing="0" w:after="0" w:afterAutospacing="0" w:line="276" w:lineRule="auto"/>
        <w:ind w:firstLine="703"/>
        <w:jc w:val="both"/>
        <w:textAlignment w:val="baseline"/>
        <w:rPr>
          <w:rStyle w:val="normaltextrun"/>
          <w:rFonts w:ascii="Verdana" w:hAnsi="Verdana" w:cs="Arial"/>
          <w:color w:val="000000" w:themeColor="text1"/>
          <w:sz w:val="22"/>
          <w:szCs w:val="22"/>
        </w:rPr>
      </w:pPr>
      <w:r w:rsidRPr="00025914">
        <w:rPr>
          <w:rStyle w:val="normaltextrun"/>
          <w:rFonts w:ascii="Verdana" w:hAnsi="Verdana" w:cs="Arial"/>
          <w:color w:val="000000" w:themeColor="text1"/>
          <w:sz w:val="22"/>
          <w:szCs w:val="22"/>
        </w:rPr>
        <w:t xml:space="preserve">La experiencia debe inscribirse, renovarse o actualizarse en el RUP con copia de los contratos o con certificados de los contratos celebrados por el proponente con diferentes contratantes, quienes los expiden dando cuenta del contrato ejecutado y de que recibieron los bienes, obras o servicios de parte del </w:t>
      </w:r>
      <w:r w:rsidRPr="00025914">
        <w:rPr>
          <w:rStyle w:val="normaltextrun"/>
          <w:rFonts w:ascii="Verdana" w:hAnsi="Verdana" w:cs="Arial"/>
          <w:color w:val="000000" w:themeColor="text1"/>
          <w:sz w:val="22"/>
          <w:szCs w:val="22"/>
        </w:rPr>
        <w:lastRenderedPageBreak/>
        <w:t>proponente. Estos documentos deben codificarse de acuerdo con el clasificador de bienes y servicios en el tercer nivel</w:t>
      </w:r>
      <w:r w:rsidRPr="00025914">
        <w:rPr>
          <w:rStyle w:val="Refdenotaalpie"/>
          <w:rFonts w:ascii="Verdana" w:hAnsi="Verdana" w:cs="Arial"/>
          <w:color w:val="000000" w:themeColor="text1"/>
          <w:sz w:val="22"/>
          <w:szCs w:val="22"/>
        </w:rPr>
        <w:footnoteReference w:id="10"/>
      </w:r>
      <w:r w:rsidRPr="00025914">
        <w:rPr>
          <w:rStyle w:val="normaltextrun"/>
          <w:rFonts w:ascii="Verdana" w:hAnsi="Verdana" w:cs="Arial"/>
          <w:color w:val="000000" w:themeColor="text1"/>
          <w:sz w:val="22"/>
          <w:szCs w:val="22"/>
        </w:rPr>
        <w:t xml:space="preserve">. De esta manera, lo que se verifica con el RUP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totalmente idéntico. </w:t>
      </w:r>
    </w:p>
    <w:p w14:paraId="7E9E7539"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según estos parámetros.</w:t>
      </w:r>
      <w:r w:rsidRPr="00025914">
        <w:rPr>
          <w:rStyle w:val="eop"/>
          <w:rFonts w:ascii="Verdana" w:hAnsi="Verdana" w:cs="Arial"/>
          <w:color w:val="000000" w:themeColor="text1"/>
          <w:sz w:val="22"/>
          <w:szCs w:val="22"/>
        </w:rPr>
        <w:t> </w:t>
      </w:r>
    </w:p>
    <w:p w14:paraId="200411E8"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 xml:space="preserve">Colombia Compra Eficiente considera que no es posible tener experiencia si en la práctica no se ha ejercido o ejecutado lo que se ofrece a otros contratantes. Precisamente de esa experiencia es que se deriva el conocimiento que tiene el proponente, el cual es importante para la contratación pública, en la medida en que garantiza que no existirá improvisación o mayores costos por errores o dificultades originadas en realizar una actividad por primera vez. Adicionalmente, se entiende que la experiencia puede ser obtenida directamente o por participar asociado con otra persona, como es el caso de proponentes plurales como consorcios o uniones temporales, caso en el cual, aunque la experiencia no deja de ser personal, es compartida por tratarse de esquemas asociativos. Por otra parte, la Agencia recomienda que la experiencia que se solicite sea proporcional y no igual al objeto que se va a contratar, ya que esto puede limitar la participación de los proveedores por no haber ejecutado un </w:t>
      </w:r>
      <w:r w:rsidRPr="00025914">
        <w:rPr>
          <w:rStyle w:val="normaltextrun"/>
          <w:rFonts w:ascii="Verdana" w:hAnsi="Verdana" w:cs="Arial"/>
          <w:color w:val="000000" w:themeColor="text1"/>
          <w:sz w:val="22"/>
          <w:szCs w:val="22"/>
        </w:rPr>
        <w:lastRenderedPageBreak/>
        <w:t>objeto igual, aunque sí hubieran ejecutado uno similar, afectando con eso la pluralidad de oferentes. Igualmente, es importante resaltar que:</w:t>
      </w:r>
    </w:p>
    <w:p w14:paraId="572FB10B"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normaltextrun"/>
          <w:rFonts w:ascii="Verdana" w:hAnsi="Verdana" w:cs="Arial"/>
          <w:color w:val="000000" w:themeColor="text1"/>
          <w:sz w:val="22"/>
          <w:szCs w:val="22"/>
        </w:rPr>
        <w:t>i) La experiencia es personal, esto es, se adquiere participando, directa o indirectamente, sin que sea posible no participar y tener una experiencia que no es propia.</w:t>
      </w:r>
    </w:p>
    <w:p w14:paraId="5BA7E2F0"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spellingerror"/>
          <w:rFonts w:ascii="Verdana" w:hAnsi="Verdana" w:cs="Arial"/>
          <w:color w:val="000000" w:themeColor="text1"/>
          <w:sz w:val="22"/>
          <w:szCs w:val="22"/>
        </w:rPr>
        <w:t>ii</w:t>
      </w:r>
      <w:r w:rsidRPr="00025914">
        <w:rPr>
          <w:rStyle w:val="normaltextrun"/>
          <w:rFonts w:ascii="Verdana" w:hAnsi="Verdana" w:cs="Arial"/>
          <w:color w:val="000000" w:themeColor="text1"/>
          <w:sz w:val="22"/>
          <w:szCs w:val="22"/>
        </w:rPr>
        <w:t>) La experiencia se puede compartir, sin que implique que la que le hayan compartido a una persona se entienda suya, ya que dentro del procedimiento contractual se reflejará que esa persona tiene la experiencia de otra, como es el caso de la que le aportan los socios a las sociedades con menos de 3 años de constitución, lo cual constará en el RUP; o el de las figuras asociativas –consorcios y uniones temporales–, evento en el que se verificará en el correspondiente documento privado de constitución.</w:t>
      </w:r>
    </w:p>
    <w:p w14:paraId="52B9F943"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spellingerror"/>
          <w:rFonts w:ascii="Verdana" w:hAnsi="Verdana" w:cs="Arial"/>
          <w:color w:val="000000" w:themeColor="text1"/>
          <w:sz w:val="22"/>
          <w:szCs w:val="22"/>
        </w:rPr>
        <w:t>iii</w:t>
      </w:r>
      <w:r w:rsidRPr="00025914">
        <w:rPr>
          <w:rStyle w:val="normaltextrun"/>
          <w:rFonts w:ascii="Verdana" w:hAnsi="Verdana" w:cs="Arial"/>
          <w:color w:val="000000" w:themeColor="text1"/>
          <w:sz w:val="22"/>
          <w:szCs w:val="22"/>
        </w:rPr>
        <w:t>) La experiencia se puede transferir y esto es diferente a compartirla, puesto que implica que la experiencia de una persona se traslada a otra, y esta última acredita esa experiencia como propia.</w:t>
      </w:r>
      <w:r w:rsidRPr="00025914">
        <w:rPr>
          <w:rStyle w:val="eop"/>
          <w:rFonts w:ascii="Verdana" w:hAnsi="Verdana" w:cs="Arial"/>
          <w:color w:val="000000" w:themeColor="text1"/>
          <w:sz w:val="22"/>
          <w:szCs w:val="22"/>
        </w:rPr>
        <w:t> </w:t>
      </w:r>
    </w:p>
    <w:p w14:paraId="439C64A5" w14:textId="77777777" w:rsidR="00933CFF" w:rsidRPr="00025914" w:rsidRDefault="00933CFF" w:rsidP="00933CFF">
      <w:pPr>
        <w:pStyle w:val="paragraph"/>
        <w:spacing w:before="120" w:beforeAutospacing="0" w:after="0" w:afterAutospacing="0" w:line="276" w:lineRule="auto"/>
        <w:ind w:firstLine="703"/>
        <w:jc w:val="both"/>
        <w:textAlignment w:val="baseline"/>
        <w:rPr>
          <w:rFonts w:ascii="Verdana" w:hAnsi="Verdana" w:cs="Arial"/>
          <w:color w:val="000000" w:themeColor="text1"/>
          <w:sz w:val="22"/>
          <w:szCs w:val="22"/>
        </w:rPr>
      </w:pPr>
      <w:r w:rsidRPr="00025914">
        <w:rPr>
          <w:rStyle w:val="spellingerror"/>
          <w:rFonts w:ascii="Verdana" w:hAnsi="Verdana" w:cs="Arial"/>
          <w:color w:val="000000" w:themeColor="text1"/>
          <w:sz w:val="22"/>
          <w:szCs w:val="22"/>
        </w:rPr>
        <w:t>iv</w:t>
      </w:r>
      <w:r w:rsidRPr="00025914">
        <w:rPr>
          <w:rStyle w:val="normaltextrun"/>
          <w:rFonts w:ascii="Verdana" w:hAnsi="Verdana" w:cs="Arial"/>
          <w:color w:val="000000" w:themeColor="text1"/>
          <w:sz w:val="22"/>
          <w:szCs w:val="22"/>
        </w:rPr>
        <w:t>) Cuando la persona que adquirió la experiencia desaparece o se liquida, no es posible que comparta o transfiera su experiencia, porque al ser personal sigue la suerte de quien la adquirió.</w:t>
      </w:r>
    </w:p>
    <w:p w14:paraId="61CDD798" w14:textId="110ACDDD" w:rsidR="00933CFF" w:rsidRPr="00025914" w:rsidRDefault="00933CFF" w:rsidP="00933CFF">
      <w:pPr>
        <w:spacing w:before="120" w:line="276" w:lineRule="auto"/>
        <w:jc w:val="both"/>
        <w:rPr>
          <w:rFonts w:ascii="Verdana" w:eastAsia="Calibri" w:hAnsi="Verdana" w:cs="Arial"/>
          <w:color w:val="000000" w:themeColor="text1"/>
        </w:rPr>
      </w:pPr>
      <w:r w:rsidRPr="00025914">
        <w:rPr>
          <w:rFonts w:ascii="Verdana" w:eastAsia="Calibri" w:hAnsi="Verdana" w:cs="Arial"/>
          <w:color w:val="000000" w:themeColor="text1"/>
        </w:rPr>
        <w:tab/>
        <w:t xml:space="preserve">La </w:t>
      </w:r>
      <w:r w:rsidRPr="00025914">
        <w:rPr>
          <w:rFonts w:ascii="Verdana" w:eastAsia="Calibri" w:hAnsi="Verdana" w:cs="Arial"/>
          <w:bCs/>
          <w:i/>
          <w:iCs/>
          <w:color w:val="000000" w:themeColor="text1"/>
        </w:rPr>
        <w:t>capacidad financiera</w:t>
      </w:r>
      <w:r w:rsidRPr="00025914">
        <w:rPr>
          <w:rFonts w:ascii="Verdana" w:eastAsia="Calibri" w:hAnsi="Verdana" w:cs="Arial"/>
          <w:i/>
          <w:iCs/>
          <w:color w:val="000000" w:themeColor="text1"/>
        </w:rPr>
        <w:t xml:space="preserve"> </w:t>
      </w:r>
      <w:r w:rsidRPr="00025914">
        <w:rPr>
          <w:rFonts w:ascii="Verdana" w:eastAsia="Calibri" w:hAnsi="Verdana" w:cs="Arial"/>
          <w:color w:val="000000" w:themeColor="text1"/>
        </w:rPr>
        <w:t xml:space="preserve">se determina a través de la liquidez y el endeudamiento de los proponentes. Busca establecer condiciones mínimas en relación con la </w:t>
      </w:r>
      <w:r>
        <w:rPr>
          <w:rFonts w:ascii="Verdana" w:eastAsia="Calibri" w:hAnsi="Verdana" w:cs="Arial"/>
          <w:color w:val="000000" w:themeColor="text1"/>
        </w:rPr>
        <w:t>“</w:t>
      </w:r>
      <w:r w:rsidRPr="00025914">
        <w:rPr>
          <w:rFonts w:ascii="Verdana" w:eastAsia="Calibri" w:hAnsi="Verdana" w:cs="Arial"/>
          <w:color w:val="000000" w:themeColor="text1"/>
        </w:rPr>
        <w:t>salud financiera</w:t>
      </w:r>
      <w:r w:rsidR="00AC032B">
        <w:rPr>
          <w:rFonts w:ascii="Verdana" w:eastAsia="Calibri" w:hAnsi="Verdana" w:cs="Arial"/>
          <w:color w:val="000000" w:themeColor="text1"/>
        </w:rPr>
        <w:t>”</w:t>
      </w:r>
      <w:r w:rsidRPr="00025914">
        <w:rPr>
          <w:rFonts w:ascii="Verdana" w:eastAsia="Calibri" w:hAnsi="Verdana" w:cs="Arial"/>
          <w:color w:val="000000" w:themeColor="text1"/>
        </w:rPr>
        <w:t xml:space="preserve"> de estos últimos, particularmente demostrar su aptitud para cumplir oportuna y cabalmente el objeto del contrato. En ese sentido, la capacidad financiera que la entidad requiera para un proceso de contratación, debe ser adecuada y proporcional a la naturaleza y al valor del contrato. Además, los requisitos de capacidad financiera deben ser establecidos con fundamento en los Estudios del Sector, los cuales pueden ser elaborados según la </w:t>
      </w:r>
      <w:r>
        <w:rPr>
          <w:rFonts w:ascii="Verdana" w:eastAsia="Calibri" w:hAnsi="Verdana" w:cs="Arial"/>
          <w:color w:val="000000" w:themeColor="text1"/>
        </w:rPr>
        <w:t>“</w:t>
      </w:r>
      <w:r w:rsidRPr="00025914">
        <w:rPr>
          <w:rFonts w:ascii="Verdana" w:eastAsia="Calibri" w:hAnsi="Verdana" w:cs="Arial"/>
          <w:color w:val="000000" w:themeColor="text1"/>
        </w:rPr>
        <w:t>Guía para la Elaboración de Estudios de Sector</w:t>
      </w:r>
      <w:r w:rsidR="00AC032B">
        <w:rPr>
          <w:rFonts w:ascii="Verdana" w:eastAsia="Calibri" w:hAnsi="Verdana" w:cs="Arial"/>
          <w:color w:val="000000" w:themeColor="text1"/>
        </w:rPr>
        <w:t>”</w:t>
      </w:r>
      <w:r w:rsidRPr="00025914">
        <w:rPr>
          <w:rFonts w:ascii="Verdana" w:eastAsia="Calibri" w:hAnsi="Verdana" w:cs="Arial"/>
          <w:color w:val="000000" w:themeColor="text1"/>
        </w:rPr>
        <w:t>, de esta Agencia.</w:t>
      </w:r>
    </w:p>
    <w:p w14:paraId="30D4D144"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En atención a la naturaleza del contrato a suscribir y su valor, plazo y forma de pago, la entidad debe hacer uso de los indicadores que considere adecuados respecto del objeto del proceso de contratación, para lo cual no es suficiente la aplicación mecánica de fórmulas financieras, pues deben conocer cada indicador, sus fórmulas de cálculo y su interpretación. Según el artículo 2.2.1.1.1.5.3. del Decreto 1082 de 2015, son indicadores de la capacidad financiera los siguientes: i) el </w:t>
      </w:r>
      <w:r w:rsidRPr="00025914">
        <w:rPr>
          <w:rFonts w:ascii="Verdana" w:eastAsia="Calibri" w:hAnsi="Verdana" w:cs="Arial"/>
          <w:i/>
          <w:iCs/>
          <w:color w:val="000000" w:themeColor="text1"/>
        </w:rPr>
        <w:t>Índice de Liquidez</w:t>
      </w:r>
      <w:r w:rsidRPr="00025914">
        <w:rPr>
          <w:rFonts w:ascii="Verdana" w:eastAsia="Calibri" w:hAnsi="Verdana" w:cs="Arial"/>
          <w:color w:val="000000" w:themeColor="text1"/>
        </w:rPr>
        <w:t xml:space="preserve">, que corresponde a la división entre el activo corriente y el pasivo corriente, y que determina la capacidad que tiene el proponente para cumplir con sus obligaciones de corto plazo; ii) el </w:t>
      </w:r>
      <w:r w:rsidRPr="00025914">
        <w:rPr>
          <w:rFonts w:ascii="Verdana" w:eastAsia="Calibri" w:hAnsi="Verdana" w:cs="Arial"/>
          <w:i/>
          <w:iCs/>
          <w:color w:val="000000" w:themeColor="text1"/>
        </w:rPr>
        <w:t xml:space="preserve">Índice </w:t>
      </w:r>
      <w:r w:rsidRPr="00025914">
        <w:rPr>
          <w:rFonts w:ascii="Verdana" w:eastAsia="Calibri" w:hAnsi="Verdana" w:cs="Arial"/>
          <w:i/>
          <w:iCs/>
          <w:color w:val="000000" w:themeColor="text1"/>
        </w:rPr>
        <w:lastRenderedPageBreak/>
        <w:t>de Endeudamiento</w:t>
      </w:r>
      <w:r w:rsidRPr="00025914">
        <w:rPr>
          <w:rFonts w:ascii="Verdana" w:eastAsia="Calibri" w:hAnsi="Verdana" w:cs="Arial"/>
          <w:color w:val="000000" w:themeColor="text1"/>
        </w:rPr>
        <w:t xml:space="preserve">, que se calcula dividiendo el pasivo total por el activo total, el cual determina el grado de endeudamiento en la estructura de financiación del proponente; y iii) la </w:t>
      </w:r>
      <w:r w:rsidRPr="00025914">
        <w:rPr>
          <w:rFonts w:ascii="Verdana" w:eastAsia="Calibri" w:hAnsi="Verdana" w:cs="Arial"/>
          <w:i/>
          <w:iCs/>
          <w:color w:val="000000" w:themeColor="text1"/>
        </w:rPr>
        <w:t>Razón de Cobertura de Intereses</w:t>
      </w:r>
      <w:r w:rsidRPr="00025914">
        <w:rPr>
          <w:rFonts w:ascii="Verdana" w:eastAsia="Calibri" w:hAnsi="Verdana" w:cs="Arial"/>
          <w:color w:val="000000" w:themeColor="text1"/>
        </w:rPr>
        <w:t xml:space="preserve">, que es igual a la utilidad operacional, sobre los gastos de intereses, y que refleja la capacidad del proponente de cumplir con sus obligaciones financieras. Adicionalmente, Colombia Compra Eficiente recomienda valorar otro tipo de indicadores como el </w:t>
      </w:r>
      <w:r w:rsidRPr="00025914">
        <w:rPr>
          <w:rFonts w:ascii="Verdana" w:eastAsia="Calibri" w:hAnsi="Verdana" w:cs="Arial"/>
          <w:i/>
          <w:iCs/>
          <w:color w:val="000000" w:themeColor="text1"/>
        </w:rPr>
        <w:t>capital de trabajo</w:t>
      </w:r>
      <w:r w:rsidRPr="00025914">
        <w:rPr>
          <w:rFonts w:ascii="Verdana" w:eastAsia="Calibri" w:hAnsi="Verdana" w:cs="Arial"/>
          <w:color w:val="000000" w:themeColor="text1"/>
        </w:rPr>
        <w:t xml:space="preserve">, la </w:t>
      </w:r>
      <w:r w:rsidRPr="00025914">
        <w:rPr>
          <w:rFonts w:ascii="Verdana" w:eastAsia="Calibri" w:hAnsi="Verdana" w:cs="Arial"/>
          <w:i/>
          <w:iCs/>
          <w:color w:val="000000" w:themeColor="text1"/>
        </w:rPr>
        <w:t>razón de efectivo</w:t>
      </w:r>
      <w:r w:rsidRPr="00025914">
        <w:rPr>
          <w:rFonts w:ascii="Verdana" w:eastAsia="Calibri" w:hAnsi="Verdana" w:cs="Arial"/>
          <w:color w:val="000000" w:themeColor="text1"/>
        </w:rPr>
        <w:t xml:space="preserve">, la denominada </w:t>
      </w:r>
      <w:r w:rsidRPr="00025914">
        <w:rPr>
          <w:rFonts w:ascii="Verdana" w:eastAsia="Calibri" w:hAnsi="Verdana" w:cs="Arial"/>
          <w:i/>
          <w:iCs/>
          <w:color w:val="000000" w:themeColor="text1"/>
        </w:rPr>
        <w:t>prueba ácida</w:t>
      </w:r>
      <w:r w:rsidRPr="00025914">
        <w:rPr>
          <w:rStyle w:val="Refdenotaalpie"/>
          <w:rFonts w:ascii="Verdana" w:eastAsia="Calibri" w:hAnsi="Verdana" w:cs="Arial"/>
          <w:color w:val="000000" w:themeColor="text1"/>
        </w:rPr>
        <w:footnoteReference w:id="11"/>
      </w:r>
      <w:r w:rsidRPr="00025914">
        <w:rPr>
          <w:rFonts w:ascii="Verdana" w:eastAsia="Calibri" w:hAnsi="Verdana" w:cs="Arial"/>
          <w:color w:val="000000" w:themeColor="text1"/>
        </w:rPr>
        <w:t xml:space="preserve">, la </w:t>
      </w:r>
      <w:r w:rsidRPr="00025914">
        <w:rPr>
          <w:rFonts w:ascii="Verdana" w:eastAsia="Calibri" w:hAnsi="Verdana" w:cs="Arial"/>
          <w:i/>
          <w:iCs/>
          <w:color w:val="000000" w:themeColor="text1"/>
        </w:rPr>
        <w:t xml:space="preserve">concentración de endeudamiento a corto </w:t>
      </w:r>
      <w:r w:rsidRPr="00025914">
        <w:rPr>
          <w:rFonts w:ascii="Verdana" w:eastAsia="Calibri" w:hAnsi="Verdana" w:cs="Arial"/>
          <w:color w:val="000000" w:themeColor="text1"/>
        </w:rPr>
        <w:t>y</w:t>
      </w:r>
      <w:r w:rsidRPr="00025914">
        <w:rPr>
          <w:rFonts w:ascii="Verdana" w:eastAsia="Calibri" w:hAnsi="Verdana" w:cs="Arial"/>
          <w:i/>
          <w:iCs/>
          <w:color w:val="000000" w:themeColor="text1"/>
        </w:rPr>
        <w:t xml:space="preserve"> a largo plazo</w:t>
      </w:r>
      <w:r w:rsidRPr="00025914">
        <w:rPr>
          <w:rFonts w:ascii="Verdana" w:eastAsia="Calibri" w:hAnsi="Verdana" w:cs="Arial"/>
          <w:color w:val="000000" w:themeColor="text1"/>
        </w:rPr>
        <w:t xml:space="preserve"> y el </w:t>
      </w:r>
      <w:r w:rsidRPr="00025914">
        <w:rPr>
          <w:rFonts w:ascii="Verdana" w:eastAsia="Calibri" w:hAnsi="Verdana" w:cs="Arial"/>
          <w:i/>
          <w:iCs/>
          <w:color w:val="000000" w:themeColor="text1"/>
        </w:rPr>
        <w:t>patrimonio</w:t>
      </w:r>
      <w:r w:rsidRPr="00025914">
        <w:rPr>
          <w:rFonts w:ascii="Verdana" w:eastAsia="Calibri" w:hAnsi="Verdana" w:cs="Arial"/>
          <w:color w:val="000000" w:themeColor="text1"/>
        </w:rPr>
        <w:t>.</w:t>
      </w:r>
    </w:p>
    <w:p w14:paraId="6F6CD885" w14:textId="0D343058"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hAnsi="Verdana" w:cs="Arial"/>
          <w:color w:val="000000" w:themeColor="text1"/>
        </w:rPr>
        <w:t>L</w:t>
      </w:r>
      <w:r w:rsidRPr="00025914">
        <w:rPr>
          <w:rFonts w:ascii="Verdana" w:eastAsia="Calibri" w:hAnsi="Verdana" w:cs="Arial"/>
          <w:color w:val="000000" w:themeColor="text1"/>
        </w:rPr>
        <w:t xml:space="preserve">a </w:t>
      </w:r>
      <w:r w:rsidRPr="00025914">
        <w:rPr>
          <w:rFonts w:ascii="Verdana" w:eastAsia="Calibri" w:hAnsi="Verdana" w:cs="Arial"/>
          <w:bCs/>
          <w:i/>
          <w:iCs/>
          <w:color w:val="000000" w:themeColor="text1"/>
        </w:rPr>
        <w:t>capacidad de organización</w:t>
      </w:r>
      <w:r w:rsidRPr="00025914">
        <w:rPr>
          <w:rFonts w:ascii="Verdana" w:eastAsia="Calibri" w:hAnsi="Verdana" w:cs="Arial"/>
          <w:color w:val="000000" w:themeColor="text1"/>
        </w:rPr>
        <w:t>, s</w:t>
      </w:r>
      <w:r w:rsidRPr="00025914">
        <w:rPr>
          <w:rFonts w:ascii="Verdana" w:hAnsi="Verdana" w:cs="Arial"/>
          <w:color w:val="000000" w:themeColor="text1"/>
        </w:rPr>
        <w:t xml:space="preserve">egún el </w:t>
      </w:r>
      <w:r>
        <w:rPr>
          <w:rFonts w:ascii="Verdana" w:hAnsi="Verdana" w:cs="Arial"/>
          <w:color w:val="000000" w:themeColor="text1"/>
        </w:rPr>
        <w:t>“</w:t>
      </w:r>
      <w:r w:rsidRPr="00025914">
        <w:rPr>
          <w:rFonts w:ascii="Verdana" w:hAnsi="Verdana" w:cs="Arial"/>
          <w:color w:val="000000" w:themeColor="text1"/>
        </w:rPr>
        <w:t>Manual para determinar y verificar los requisitos habilitantes en los Procesos de Contratación</w:t>
      </w:r>
      <w:r w:rsidR="00AC032B">
        <w:rPr>
          <w:rFonts w:ascii="Verdana" w:hAnsi="Verdana" w:cs="Arial"/>
          <w:color w:val="000000" w:themeColor="text1"/>
        </w:rPr>
        <w:t>”</w:t>
      </w:r>
      <w:r w:rsidRPr="00025914">
        <w:rPr>
          <w:rFonts w:ascii="Verdana" w:hAnsi="Verdana" w:cs="Arial"/>
          <w:color w:val="000000" w:themeColor="text1"/>
        </w:rPr>
        <w:t xml:space="preserve">, elaborado por la Agencia Nacional de Contratación Pública, </w:t>
      </w:r>
      <w:r w:rsidRPr="00025914">
        <w:rPr>
          <w:rFonts w:ascii="Verdana" w:eastAsia="Calibri" w:hAnsi="Verdana" w:cs="Arial"/>
          <w:color w:val="000000" w:themeColor="text1"/>
        </w:rPr>
        <w:t xml:space="preserve">es </w:t>
      </w:r>
      <w:r>
        <w:rPr>
          <w:rFonts w:ascii="Verdana" w:eastAsia="Calibri" w:hAnsi="Verdana" w:cs="Arial"/>
          <w:color w:val="000000" w:themeColor="text1"/>
        </w:rPr>
        <w:t>“</w:t>
      </w:r>
      <w:r w:rsidRPr="00025914">
        <w:rPr>
          <w:rFonts w:ascii="Verdana" w:eastAsia="Calibri" w:hAnsi="Verdana" w:cs="Arial"/>
          <w:color w:val="000000" w:themeColor="text1"/>
        </w:rPr>
        <w:t>la aptitud de un proponente para cumplir oportuna y cabalmente el objeto del contrato en función de su organización interna</w:t>
      </w:r>
      <w:r w:rsidR="00AC032B">
        <w:rPr>
          <w:rFonts w:ascii="Verdana" w:eastAsia="Calibri" w:hAnsi="Verdana" w:cs="Arial"/>
          <w:color w:val="000000" w:themeColor="text1"/>
        </w:rPr>
        <w:t>”</w:t>
      </w:r>
      <w:r w:rsidRPr="00025914">
        <w:rPr>
          <w:rFonts w:ascii="Verdana" w:eastAsia="Calibri" w:hAnsi="Verdana" w:cs="Arial"/>
          <w:color w:val="000000" w:themeColor="text1"/>
        </w:rPr>
        <w:t xml:space="preserve">. Según el artículo 2.2.1.1.1.5.3., numeral 4, del Decreto 1082 de 2015, los indicadores para medir la capacidad organizacional de un proponente son: por un lado, la </w:t>
      </w:r>
      <w:r w:rsidRPr="00025914">
        <w:rPr>
          <w:rFonts w:ascii="Verdana" w:eastAsia="Calibri" w:hAnsi="Verdana" w:cs="Arial"/>
          <w:i/>
          <w:iCs/>
          <w:color w:val="000000" w:themeColor="text1"/>
        </w:rPr>
        <w:t>rentabilidad del patrimonio</w:t>
      </w:r>
      <w:r w:rsidRPr="00025914">
        <w:rPr>
          <w:rFonts w:ascii="Verdana" w:eastAsia="Calibri" w:hAnsi="Verdana" w:cs="Arial"/>
          <w:color w:val="000000" w:themeColor="text1"/>
        </w:rPr>
        <w:t xml:space="preserve">, que corresponde a la utilidad operacional dividida por el patrimonio, y que determina la rentabilidad del patrimonio del proponente, es decir, la capacidad de generación de utilidad operacional por cada peso invertido en el patrimonio, del tal forma que, a mayor rentabilidad sobre el patrimonio, mayor es la rentabilidad de los accionistas y mejor la capacidad organizacional del proponente. Por el otro, la </w:t>
      </w:r>
      <w:r w:rsidRPr="00025914">
        <w:rPr>
          <w:rFonts w:ascii="Verdana" w:eastAsia="Calibri" w:hAnsi="Verdana" w:cs="Arial"/>
          <w:i/>
          <w:iCs/>
          <w:color w:val="000000" w:themeColor="text1"/>
        </w:rPr>
        <w:t>rentabilidad del activo</w:t>
      </w:r>
      <w:r w:rsidRPr="00025914">
        <w:rPr>
          <w:rFonts w:ascii="Verdana" w:eastAsia="Calibri" w:hAnsi="Verdana" w:cs="Arial"/>
          <w:color w:val="000000" w:themeColor="text1"/>
        </w:rPr>
        <w:t>, que se calcula al dividir la utilidad operacional por el activo total, y que mide la rentabilidad de los activos del proponente, esto es, la capacidad de generación de utilidad operacional por cada peso invertido en el activo, de tal manera que, a mayor rentabilidad sobre activos, mayor es la rentabilidad del negocio y mejor la capacidad organizacional del proponente. Este último indicador debe ser, en todo caso, menor o igual que el referido indicador de rentabilidad sobre patrimonio.</w:t>
      </w:r>
    </w:p>
    <w:p w14:paraId="3DBB56B6"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A juicio de esta Agencia, también son relevantes los siguientes indicadores</w:t>
      </w:r>
      <w:r w:rsidRPr="00025914">
        <w:rPr>
          <w:rFonts w:ascii="Verdana" w:hAnsi="Verdana" w:cs="Arial"/>
          <w:color w:val="000000" w:themeColor="text1"/>
        </w:rPr>
        <w:t xml:space="preserve">, pero únicamente </w:t>
      </w:r>
      <w:r w:rsidRPr="00025914">
        <w:rPr>
          <w:rFonts w:ascii="Verdana" w:eastAsia="Calibri" w:hAnsi="Verdana" w:cs="Arial"/>
          <w:color w:val="000000" w:themeColor="text1"/>
        </w:rPr>
        <w:t>en aquellos casos en los que, por las características del objeto a contratar, la naturaleza o complejidad del proceso de contratación, se requiera, a saber: i) margen bruto; ii) margen operacional; iii) margen neto; iv) retorno sobre capital invertido; v) rotación de activos totales; vi) rotación de activos fijos; y vii) rotación de inventarios.</w:t>
      </w:r>
    </w:p>
    <w:p w14:paraId="56FA4946" w14:textId="4543A541"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lastRenderedPageBreak/>
        <w:t xml:space="preserve">Ahora bien, en este punto vale la pena preguntarse si los cuatro requisitos habilitantes establecidos en el artículo 5, numeral 1, de la Ley 1150 de 2007, cuyo alcance fue explicado previamente, son taxativos, esto es, si son los únicos requisitos habilitantes que puede exigirle una entidad a los proponentes. Esta pregunta tiene, al menos, dos respuestas razonables. Por un lado, que sí lo son, habida cuenta que la norma no hace referencia a otros diferentes y, por el otro, que no lo son, pues esta no contiene una expresión como </w:t>
      </w:r>
      <w:r>
        <w:rPr>
          <w:rFonts w:ascii="Verdana" w:hAnsi="Verdana" w:cs="Arial"/>
          <w:color w:val="000000" w:themeColor="text1"/>
        </w:rPr>
        <w:t>“</w:t>
      </w:r>
      <w:r w:rsidRPr="00025914">
        <w:rPr>
          <w:rFonts w:ascii="Verdana" w:hAnsi="Verdana" w:cs="Arial"/>
          <w:color w:val="000000" w:themeColor="text1"/>
        </w:rPr>
        <w:t>únicamente</w:t>
      </w:r>
      <w:r w:rsidR="00AC032B">
        <w:rPr>
          <w:rFonts w:ascii="Verdana" w:hAnsi="Verdana" w:cs="Arial"/>
          <w:color w:val="000000" w:themeColor="text1"/>
        </w:rPr>
        <w:t>”</w:t>
      </w:r>
      <w:r w:rsidRPr="00025914">
        <w:rPr>
          <w:rFonts w:ascii="Verdana" w:hAnsi="Verdana" w:cs="Arial"/>
          <w:color w:val="000000" w:themeColor="text1"/>
        </w:rPr>
        <w:t xml:space="preserve"> o </w:t>
      </w:r>
      <w:r>
        <w:rPr>
          <w:rFonts w:ascii="Verdana" w:hAnsi="Verdana" w:cs="Arial"/>
          <w:color w:val="000000" w:themeColor="text1"/>
        </w:rPr>
        <w:t>“</w:t>
      </w:r>
      <w:r w:rsidRPr="00025914">
        <w:rPr>
          <w:rFonts w:ascii="Verdana" w:hAnsi="Verdana" w:cs="Arial"/>
          <w:color w:val="000000" w:themeColor="text1"/>
        </w:rPr>
        <w:t>solo</w:t>
      </w:r>
      <w:r w:rsidR="00AC032B">
        <w:rPr>
          <w:rFonts w:ascii="Verdana" w:hAnsi="Verdana" w:cs="Arial"/>
          <w:color w:val="000000" w:themeColor="text1"/>
        </w:rPr>
        <w:t>”</w:t>
      </w:r>
      <w:r w:rsidRPr="00025914">
        <w:rPr>
          <w:rFonts w:ascii="Verdana" w:hAnsi="Verdana" w:cs="Arial"/>
          <w:color w:val="000000" w:themeColor="text1"/>
        </w:rPr>
        <w:t xml:space="preserve"> al referirse a los requisitos habilitantes y, además, debido a que la lectura íntegra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 norma que establece que </w:t>
      </w:r>
      <w:r>
        <w:rPr>
          <w:rFonts w:ascii="Verdana" w:hAnsi="Verdana" w:cs="Arial"/>
          <w:color w:val="000000" w:themeColor="text1"/>
        </w:rPr>
        <w:t>“</w:t>
      </w:r>
      <w:r w:rsidRPr="00025914">
        <w:rPr>
          <w:rFonts w:ascii="Verdana" w:hAnsi="Verdana" w:cs="Arial"/>
          <w:color w:val="000000" w:themeColor="text1"/>
        </w:rPr>
        <w:t>para poder participar en los procesos de selección de los contratos de obra, la capacidad residual del proponente o K de contratación deberá ser igual o superior al que la entidad haya establecido para el efecto en los pliegos de condiciones</w:t>
      </w:r>
      <w:r w:rsidR="00AC032B">
        <w:rPr>
          <w:rFonts w:ascii="Verdana" w:hAnsi="Verdana" w:cs="Arial"/>
          <w:color w:val="000000" w:themeColor="text1"/>
        </w:rPr>
        <w:t>”</w:t>
      </w:r>
      <w:r w:rsidRPr="00025914">
        <w:rPr>
          <w:rFonts w:ascii="Verdana" w:hAnsi="Verdana" w:cs="Arial"/>
          <w:color w:val="000000" w:themeColor="text1"/>
        </w:rPr>
        <w:t xml:space="preserve">. Esta segunda respuesta contiene la interpretación legal que comparte la Agencia Nacional de Contratación Pública. </w:t>
      </w:r>
    </w:p>
    <w:p w14:paraId="5AD9F55E" w14:textId="171F34D6"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Hay otros argumentos que sustentan tal elección interpretativa. Tal y como lo han considerado la Corte Constitucional</w:t>
      </w:r>
      <w:r w:rsidRPr="00025914">
        <w:rPr>
          <w:rStyle w:val="Refdenotaalpie"/>
          <w:rFonts w:ascii="Verdana" w:hAnsi="Verdana" w:cs="Arial"/>
          <w:color w:val="000000" w:themeColor="text1"/>
        </w:rPr>
        <w:footnoteReference w:id="12"/>
      </w:r>
      <w:r w:rsidRPr="00025914">
        <w:rPr>
          <w:rFonts w:ascii="Verdana" w:hAnsi="Verdana" w:cs="Arial"/>
          <w:color w:val="000000" w:themeColor="text1"/>
        </w:rPr>
        <w:t xml:space="preserve"> y el Consejo de Estado</w:t>
      </w:r>
      <w:r w:rsidRPr="00025914">
        <w:rPr>
          <w:rStyle w:val="Refdenotaalpie"/>
          <w:rFonts w:ascii="Verdana" w:hAnsi="Verdana" w:cs="Arial"/>
          <w:color w:val="000000" w:themeColor="text1"/>
        </w:rPr>
        <w:footnoteReference w:id="13"/>
      </w:r>
      <w:r w:rsidRPr="00025914">
        <w:rPr>
          <w:rFonts w:ascii="Verdana" w:hAnsi="Verdana" w:cs="Arial"/>
          <w:color w:val="000000" w:themeColor="text1"/>
        </w:rPr>
        <w:t xml:space="preserve">, en virtud del </w:t>
      </w:r>
      <w:r>
        <w:rPr>
          <w:rFonts w:ascii="Verdana" w:hAnsi="Verdana" w:cs="Arial"/>
          <w:color w:val="000000" w:themeColor="text1"/>
        </w:rPr>
        <w:t>“</w:t>
      </w:r>
      <w:r w:rsidRPr="00025914">
        <w:rPr>
          <w:rFonts w:ascii="Verdana" w:hAnsi="Verdana" w:cs="Arial"/>
          <w:color w:val="000000" w:themeColor="text1"/>
        </w:rPr>
        <w:t>principio del efecto útil</w:t>
      </w:r>
      <w:r w:rsidR="00AC032B">
        <w:rPr>
          <w:rFonts w:ascii="Verdana" w:hAnsi="Verdana" w:cs="Arial"/>
          <w:color w:val="000000" w:themeColor="text1"/>
        </w:rPr>
        <w:t>”</w:t>
      </w:r>
      <w:r w:rsidRPr="00025914">
        <w:rPr>
          <w:rFonts w:ascii="Verdana" w:hAnsi="Verdana" w:cs="Arial"/>
          <w:color w:val="000000" w:themeColor="text1"/>
        </w:rPr>
        <w:t xml:space="preserve">, el texto de una norma debe ser interpretado de manera que todo cuanto ella prescribe produzca consecuencias jurídicas. En ese contexto, surge la inquietud en relación con los efectos del parágrafo 2 del mismo artículo 5 de la Ley 1150 de 2007, pues si la intención del legislador era que solo fueran requisitos habilitantes los cuatro que contiene el numeral 1 de dicha disposición, ¿cómo se explica que el referido parágrafo aclare que </w:t>
      </w:r>
      <w:r>
        <w:rPr>
          <w:rFonts w:ascii="Verdana" w:hAnsi="Verdana" w:cs="Arial"/>
          <w:color w:val="000000" w:themeColor="text1"/>
        </w:rPr>
        <w:t>“</w:t>
      </w:r>
      <w:r w:rsidRPr="00025914">
        <w:rPr>
          <w:rFonts w:ascii="Verdana" w:hAnsi="Verdana" w:cs="Arial"/>
          <w:color w:val="000000" w:themeColor="text1"/>
        </w:rPr>
        <w:t>las certificaciones de sistemas de gestión de calidad no serán objeto de calificación, ni podrán establecerse como documento habilitante para participar en licitaciones o concursos</w:t>
      </w:r>
      <w:r w:rsidR="00AC032B">
        <w:rPr>
          <w:rFonts w:ascii="Verdana" w:hAnsi="Verdana" w:cs="Arial"/>
          <w:color w:val="000000" w:themeColor="text1"/>
        </w:rPr>
        <w:t>”</w:t>
      </w:r>
      <w:r w:rsidRPr="00025914">
        <w:rPr>
          <w:rFonts w:ascii="Verdana" w:hAnsi="Verdana" w:cs="Arial"/>
          <w:color w:val="000000" w:themeColor="text1"/>
        </w:rPr>
        <w:t xml:space="preserve">? Si se interpreta que solo son cuatro los requisitos habilitantes, el parágrafo 2 carecería de efectos jurídicos y, por ende, no tendría ninguna consecuencia normativa que en el mismo artículo se aclare que una exigencia no puede ser considera como requisito habilitante. </w:t>
      </w:r>
    </w:p>
    <w:p w14:paraId="76A70969" w14:textId="77777777"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La intención del legislador, de la cual dan cuenta los antecedentes legislativos de la norma </w:t>
      </w:r>
      <w:r w:rsidRPr="00025914">
        <w:rPr>
          <w:rFonts w:ascii="Verdana" w:hAnsi="Verdana" w:cs="Arial"/>
          <w:i/>
          <w:iCs/>
          <w:color w:val="000000" w:themeColor="text1"/>
        </w:rPr>
        <w:t>sub examine</w:t>
      </w:r>
      <w:r w:rsidRPr="00025914">
        <w:rPr>
          <w:rFonts w:ascii="Verdana" w:hAnsi="Verdana" w:cs="Arial"/>
          <w:color w:val="000000" w:themeColor="text1"/>
        </w:rPr>
        <w:t xml:space="preserve">, también justifica la interpretación </w:t>
      </w:r>
      <w:r w:rsidRPr="00025914">
        <w:rPr>
          <w:rFonts w:ascii="Verdana" w:hAnsi="Verdana" w:cs="Arial"/>
          <w:color w:val="000000" w:themeColor="text1"/>
        </w:rPr>
        <w:lastRenderedPageBreak/>
        <w:t>propuesta por esta Agencia, ya que fue hasta el cuarto debate parlamentario en donde se incluyó el parágrafo comentando anteriormente</w:t>
      </w:r>
      <w:r w:rsidRPr="00025914">
        <w:rPr>
          <w:rStyle w:val="Refdenotaalpie"/>
          <w:rFonts w:ascii="Verdana" w:hAnsi="Verdana" w:cs="Arial"/>
          <w:color w:val="000000" w:themeColor="text1"/>
        </w:rPr>
        <w:footnoteReference w:id="14"/>
      </w:r>
      <w:r w:rsidRPr="00025914">
        <w:rPr>
          <w:rFonts w:ascii="Verdana" w:hAnsi="Verdana" w:cs="Arial"/>
          <w:color w:val="000000" w:themeColor="text1"/>
        </w:rPr>
        <w:t>, lo que deja ver la necesidad que tenía el Congreso de aclarar que unos documentos no podrían ser tenidos como requisitos habilitantes, lo que da cuenta, a su vez, de su reconocimiento tácito de la existencia de otros requisitos habilitantes, distintos a los cuatro que establece el artículo 5, parágrafo 1, de la Ley 1150 de 2007.</w:t>
      </w:r>
    </w:p>
    <w:p w14:paraId="0121016D" w14:textId="114DBD63"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Por otro lado, en el referido </w:t>
      </w:r>
      <w:r>
        <w:rPr>
          <w:rFonts w:ascii="Verdana" w:hAnsi="Verdana" w:cs="Arial"/>
          <w:color w:val="000000" w:themeColor="text1"/>
        </w:rPr>
        <w:t>“</w:t>
      </w:r>
      <w:r w:rsidRPr="00025914">
        <w:rPr>
          <w:rFonts w:ascii="Verdana" w:hAnsi="Verdana" w:cs="Arial"/>
          <w:color w:val="000000" w:themeColor="text1"/>
        </w:rPr>
        <w:t>Manual para determinar y verificar los requisitos habilitantes en los Procesos de Contratación</w:t>
      </w:r>
      <w:r w:rsidR="00AC032B">
        <w:rPr>
          <w:rFonts w:ascii="Verdana" w:hAnsi="Verdana" w:cs="Arial"/>
          <w:color w:val="000000" w:themeColor="text1"/>
        </w:rPr>
        <w:t>”</w:t>
      </w:r>
      <w:r w:rsidRPr="00025914">
        <w:rPr>
          <w:rFonts w:ascii="Verdana" w:hAnsi="Verdana" w:cs="Arial"/>
          <w:color w:val="000000" w:themeColor="text1"/>
        </w:rPr>
        <w:t xml:space="preserve"> se determinaron los parámetros para </w:t>
      </w:r>
      <w:r w:rsidRPr="00025914">
        <w:rPr>
          <w:rFonts w:ascii="Verdana" w:hAnsi="Verdana" w:cs="Arial"/>
          <w:i/>
          <w:iCs/>
          <w:color w:val="000000" w:themeColor="text1"/>
        </w:rPr>
        <w:t>establecer</w:t>
      </w:r>
      <w:r w:rsidRPr="00025914">
        <w:rPr>
          <w:rFonts w:ascii="Verdana" w:hAnsi="Verdana" w:cs="Arial"/>
          <w:color w:val="000000" w:themeColor="text1"/>
        </w:rPr>
        <w:t xml:space="preserve">, </w:t>
      </w:r>
      <w:r w:rsidRPr="00025914">
        <w:rPr>
          <w:rFonts w:ascii="Verdana" w:hAnsi="Verdana" w:cs="Arial"/>
          <w:i/>
          <w:iCs/>
          <w:color w:val="000000" w:themeColor="text1"/>
        </w:rPr>
        <w:t>acreditar</w:t>
      </w:r>
      <w:r w:rsidRPr="00025914">
        <w:rPr>
          <w:rFonts w:ascii="Verdana" w:hAnsi="Verdana" w:cs="Arial"/>
          <w:color w:val="000000" w:themeColor="text1"/>
        </w:rPr>
        <w:t xml:space="preserve"> y </w:t>
      </w:r>
      <w:r w:rsidRPr="00025914">
        <w:rPr>
          <w:rFonts w:ascii="Verdana" w:hAnsi="Verdana" w:cs="Arial"/>
          <w:i/>
          <w:iCs/>
          <w:color w:val="000000" w:themeColor="text1"/>
        </w:rPr>
        <w:t>subsanar</w:t>
      </w:r>
      <w:r w:rsidRPr="00025914">
        <w:rPr>
          <w:rFonts w:ascii="Verdana" w:hAnsi="Verdana" w:cs="Arial"/>
          <w:color w:val="000000" w:themeColor="text1"/>
        </w:rPr>
        <w:t xml:space="preserve"> los requisitos habilitantes estudiados en los párrafos precedentes. Allí también se precisó que los requisitos habilitantes tienen como fin primordial medir </w:t>
      </w:r>
      <w:r>
        <w:rPr>
          <w:rFonts w:ascii="Verdana" w:hAnsi="Verdana" w:cs="Arial"/>
          <w:color w:val="000000" w:themeColor="text1"/>
        </w:rPr>
        <w:t>“</w:t>
      </w:r>
      <w:r w:rsidRPr="00025914">
        <w:rPr>
          <w:rFonts w:ascii="Verdana" w:hAnsi="Verdana" w:cs="Arial"/>
          <w:color w:val="000000" w:themeColor="text1"/>
        </w:rPr>
        <w:t>la aptitud del proponente para participar en un Proceso de Contratación como oferente y están referidos a su capacidad jurídica, financiera, organizacional y su experiencia</w:t>
      </w:r>
      <w:r w:rsidR="00AC032B">
        <w:rPr>
          <w:rFonts w:ascii="Verdana" w:hAnsi="Verdana" w:cs="Arial"/>
          <w:color w:val="000000" w:themeColor="text1"/>
        </w:rPr>
        <w:t>”</w:t>
      </w:r>
      <w:r w:rsidRPr="00025914">
        <w:rPr>
          <w:rFonts w:ascii="Verdana" w:hAnsi="Verdana" w:cs="Arial"/>
          <w:color w:val="000000" w:themeColor="text1"/>
        </w:rPr>
        <w:t xml:space="preserve">. Su propósito es, según el Manual, </w:t>
      </w:r>
      <w:r>
        <w:rPr>
          <w:rFonts w:ascii="Verdana" w:hAnsi="Verdana" w:cs="Arial"/>
          <w:color w:val="000000" w:themeColor="text1"/>
        </w:rPr>
        <w:t>“</w:t>
      </w:r>
      <w:r w:rsidRPr="00025914">
        <w:rPr>
          <w:rFonts w:ascii="Verdana" w:hAnsi="Verdana" w:cs="Arial"/>
          <w:color w:val="000000" w:themeColor="text1"/>
        </w:rPr>
        <w:t>establecer unas condiciones mínimas para los proponentes de tal manera que la Entidad Estatal sólo evalúe las ofertas de aquellos que están en condiciones de cumplir con el objeto del Proceso de Contratación</w:t>
      </w:r>
      <w:r w:rsidR="00AC032B">
        <w:rPr>
          <w:rFonts w:ascii="Verdana" w:hAnsi="Verdana" w:cs="Arial"/>
          <w:color w:val="000000" w:themeColor="text1"/>
        </w:rPr>
        <w:t>”</w:t>
      </w:r>
      <w:r w:rsidRPr="00025914">
        <w:rPr>
          <w:rFonts w:ascii="Verdana" w:hAnsi="Verdana" w:cs="Arial"/>
          <w:color w:val="000000" w:themeColor="text1"/>
        </w:rPr>
        <w:t>.</w:t>
      </w:r>
    </w:p>
    <w:p w14:paraId="6A4064DF" w14:textId="77777777" w:rsidR="00933CFF" w:rsidRPr="00025914" w:rsidRDefault="00933CFF" w:rsidP="00933CFF">
      <w:pPr>
        <w:spacing w:before="120" w:line="276" w:lineRule="auto"/>
        <w:ind w:firstLine="709"/>
        <w:jc w:val="both"/>
        <w:rPr>
          <w:rFonts w:ascii="Verdana" w:hAnsi="Verdana" w:cs="Arial"/>
          <w:color w:val="000000" w:themeColor="text1"/>
        </w:rPr>
      </w:pPr>
      <w:bookmarkStart w:id="4" w:name="_Hlk34917473"/>
      <w:r w:rsidRPr="00025914">
        <w:rPr>
          <w:rFonts w:ascii="Verdana" w:hAnsi="Verdana" w:cs="Arial"/>
          <w:color w:val="000000" w:themeColor="text1"/>
        </w:rPr>
        <w:t xml:space="preserve">Corresponde a las entidades estatales, durante la etapa de planeación del contrato estatal, estudiar y </w:t>
      </w:r>
      <w:r w:rsidRPr="00025914">
        <w:rPr>
          <w:rFonts w:ascii="Verdana" w:hAnsi="Verdana" w:cs="Arial"/>
          <w:bCs/>
          <w:iCs/>
          <w:color w:val="000000" w:themeColor="text1"/>
        </w:rPr>
        <w:t>determinar</w:t>
      </w:r>
      <w:r w:rsidRPr="00025914">
        <w:rPr>
          <w:rFonts w:ascii="Verdana" w:hAnsi="Verdana" w:cs="Arial"/>
          <w:color w:val="000000" w:themeColor="text1"/>
        </w:rPr>
        <w:t xml:space="preserve"> los requisitos habilitantes que establecerán en los pliegos de condiciones, los cuales deben fijarse de forma adecuada y proporcional. Esto último, según se deriva de la lectura del artículo 2.2.1.1.1.6.2 del Decreto 1082 de 2015, debe hacerse de acuerdo con la naturaleza, el valor del contrato, la forma de pago, los </w:t>
      </w:r>
      <w:r w:rsidRPr="00025914">
        <w:rPr>
          <w:rFonts w:ascii="Verdana" w:hAnsi="Verdana" w:cs="Arial"/>
          <w:i/>
          <w:iCs/>
          <w:color w:val="000000" w:themeColor="text1"/>
        </w:rPr>
        <w:t>riesgos</w:t>
      </w:r>
      <w:r w:rsidRPr="00025914">
        <w:rPr>
          <w:rFonts w:ascii="Verdana" w:hAnsi="Verdana" w:cs="Arial"/>
          <w:color w:val="000000" w:themeColor="text1"/>
        </w:rPr>
        <w:t xml:space="preserve"> </w:t>
      </w:r>
      <w:r w:rsidRPr="00025914">
        <w:rPr>
          <w:rFonts w:ascii="Verdana" w:hAnsi="Verdana" w:cs="Arial"/>
          <w:i/>
          <w:iCs/>
          <w:color w:val="000000" w:themeColor="text1"/>
        </w:rPr>
        <w:t>asociados al contrato</w:t>
      </w:r>
      <w:r w:rsidRPr="00025914">
        <w:rPr>
          <w:rFonts w:ascii="Verdana" w:hAnsi="Verdana" w:cs="Arial"/>
          <w:color w:val="000000" w:themeColor="text1"/>
        </w:rPr>
        <w:t xml:space="preserve">, el plazo y la complejidad de ejecución del objeto. Todo porque el ejercicio de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 por ejemplo, como el que estable el artículo 5, parágrafo 2, de la Ley 1150 de 2007, </w:t>
      </w:r>
      <w:r w:rsidRPr="00025914">
        <w:rPr>
          <w:rFonts w:ascii="Verdana" w:hAnsi="Verdana" w:cs="Arial"/>
          <w:color w:val="000000" w:themeColor="text1"/>
          <w:lang w:val="es-ES"/>
        </w:rPr>
        <w:t>relacionado con la prohibición de exigir certificaciones de sistemas de gestión de calidad como requisito habilitante</w:t>
      </w:r>
      <w:r w:rsidRPr="00025914">
        <w:rPr>
          <w:rFonts w:ascii="Verdana" w:hAnsi="Verdana" w:cs="Arial"/>
          <w:color w:val="000000" w:themeColor="text1"/>
        </w:rPr>
        <w:t xml:space="preserve">. </w:t>
      </w:r>
    </w:p>
    <w:bookmarkEnd w:id="4"/>
    <w:p w14:paraId="436ABAA5" w14:textId="06BF3978"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Al respecto, en la sentencia C-004 de 2017, la Corte Constitucional señaló que </w:t>
      </w:r>
      <w:r>
        <w:rPr>
          <w:rFonts w:ascii="Verdana" w:hAnsi="Verdana" w:cs="Arial"/>
          <w:color w:val="000000" w:themeColor="text1"/>
        </w:rPr>
        <w:t>“</w:t>
      </w:r>
      <w:r w:rsidRPr="00025914">
        <w:rPr>
          <w:rFonts w:ascii="Verdana" w:hAnsi="Verdana" w:cs="Arial"/>
          <w:color w:val="000000" w:themeColor="text1"/>
        </w:rPr>
        <w:t xml:space="preserve">[l]a determinación de dichas condiciones habilitantes para participar, es </w:t>
      </w:r>
      <w:r w:rsidRPr="00025914">
        <w:rPr>
          <w:rFonts w:ascii="Verdana" w:hAnsi="Verdana" w:cs="Arial"/>
          <w:color w:val="000000" w:themeColor="text1"/>
        </w:rPr>
        <w:lastRenderedPageBreak/>
        <w:t>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r w:rsidR="00AC032B">
        <w:rPr>
          <w:rFonts w:ascii="Verdana" w:hAnsi="Verdana" w:cs="Arial"/>
          <w:color w:val="000000" w:themeColor="text1"/>
        </w:rPr>
        <w:t>”</w:t>
      </w:r>
    </w:p>
    <w:p w14:paraId="70872601" w14:textId="77777777"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De todos modos, como se dijo antes, para la configuración de los requisitos habilitantes, la entidad no está limitada a los cuatro que enuncia el artículo 5, numeral 1, de la Ley 1150 de 2007, pues, se insiste, estos son solo enunciativos y no taxativos.</w:t>
      </w:r>
    </w:p>
    <w:p w14:paraId="0BC9DAF2" w14:textId="04C0C8B2"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Por el objeto de la consulta, es importante resaltar que Colombia Compra Eficiente elaboró el </w:t>
      </w:r>
      <w:r>
        <w:rPr>
          <w:rFonts w:ascii="Verdana" w:hAnsi="Verdana" w:cs="Arial"/>
          <w:color w:val="000000" w:themeColor="text1"/>
        </w:rPr>
        <w:t>“</w:t>
      </w:r>
      <w:r w:rsidRPr="00025914">
        <w:rPr>
          <w:rFonts w:ascii="Verdana" w:hAnsi="Verdana" w:cs="Arial"/>
          <w:color w:val="000000" w:themeColor="text1"/>
        </w:rPr>
        <w:t>Manual para la Identificación y Cobertura del Riesgo en los Procesos de Contratación</w:t>
      </w:r>
      <w:r w:rsidR="00AC032B">
        <w:rPr>
          <w:rFonts w:ascii="Verdana" w:hAnsi="Verdana" w:cs="Arial"/>
          <w:color w:val="000000" w:themeColor="text1"/>
        </w:rPr>
        <w:t>”</w:t>
      </w:r>
      <w:r w:rsidRPr="00025914">
        <w:rPr>
          <w:rFonts w:ascii="Verdana" w:hAnsi="Verdana" w:cs="Arial"/>
          <w:color w:val="000000" w:themeColor="text1"/>
        </w:rPr>
        <w:t>. Este documento invita a las entidades públicas a identificar los riesgos del proceso de contratación, de acuerdo con la siguiente clasificación: i) por su clase, en donde existen riesgos generales y específicos; ii) por su fuente, siendo riesgos internos y externos; iii) por la etapa en el que se encuentra, en donde los riesgos pueden ser en la planeación, selección, contratación o en la ejecución; y iv) por el tipo, estos son:</w:t>
      </w:r>
    </w:p>
    <w:p w14:paraId="2C1508FD"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Económicos: son los derivados del comportamiento del mercado, tales como la fluctuación de los precios de los insumos, desabastecimiento y especulación de los mismos, entre otros.</w:t>
      </w:r>
    </w:p>
    <w:p w14:paraId="3E068EFA"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Sociales o Políticos: son los derivados de los cambios de las políticas gubernamentales y de cambios en las condiciones sociales que tengan impacto en la ejecución del contrato.</w:t>
      </w:r>
    </w:p>
    <w:p w14:paraId="1CA7E816" w14:textId="77777777" w:rsidR="00933CFF" w:rsidRPr="00AC032B" w:rsidRDefault="00933CFF" w:rsidP="00933CFF">
      <w:pPr>
        <w:ind w:left="709" w:right="760"/>
        <w:jc w:val="both"/>
        <w:rPr>
          <w:rFonts w:ascii="Verdana" w:hAnsi="Verdana" w:cs="Arial"/>
          <w:i/>
          <w:iCs/>
          <w:color w:val="000000" w:themeColor="text1"/>
          <w:sz w:val="20"/>
          <w:szCs w:val="20"/>
        </w:rPr>
      </w:pPr>
      <w:r w:rsidRPr="00AC032B">
        <w:rPr>
          <w:rFonts w:ascii="Verdana" w:hAnsi="Verdana" w:cs="Arial"/>
          <w:i/>
          <w:iCs/>
          <w:color w:val="000000" w:themeColor="text1"/>
          <w:sz w:val="20"/>
          <w:szCs w:val="20"/>
        </w:rPr>
        <w:t>Riesgos Operacionales: son los asociados a la operatividad del contrato, tales como la suficiencia del presupuesto oficial, del plazo o los derivados de procesos, procedimientos, parámetros, sistemas de información y tecnológicos, equipos humanos o técnicos inadecuados o insuficientes.</w:t>
      </w:r>
    </w:p>
    <w:p w14:paraId="707F509B"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Financieros: son (i) el riesgo de consecución de financiación o riesgo de liquidez para obtener recursos para cumplir con el objeto del contrato, y (ii) el riesgo de las condiciones financieras establecidas para la obtención de los recursos, tales como plazos, tasas, garantías, contragarantías, y refinanciaciones, entre otros.</w:t>
      </w:r>
    </w:p>
    <w:p w14:paraId="5F44487C"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Regulatorios: derivados de cambios regulatorios o reglamentarios que afecten la ecuación económica del contrato.</w:t>
      </w:r>
    </w:p>
    <w:p w14:paraId="599DB8C1"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de la Naturaleza: son los eventos naturales previsibles en los cuales no hay intervención humana que puedan tener impacto en la ejecución del contrato, por ejemplo los temblores, inundaciones, lluvias, sequías, entre otros.</w:t>
      </w:r>
    </w:p>
    <w:p w14:paraId="12C599AF"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lastRenderedPageBreak/>
        <w:t>Riesgos Ambientales: son los derivados de las obligaciones legales o reglamentarias de carácter ambiental, así como de las licencias, planes de manejo o de permisos y autorizaciones ambientales, incluyendo tasas retributivas y compensatorias, obligaciones de mitigación, tareas de monitoreo y control, entre otras.</w:t>
      </w:r>
    </w:p>
    <w:p w14:paraId="41A592AF" w14:textId="77777777" w:rsidR="00933CFF" w:rsidRPr="00AC032B" w:rsidRDefault="00933CFF" w:rsidP="00933CFF">
      <w:pPr>
        <w:ind w:left="709" w:right="760"/>
        <w:jc w:val="both"/>
        <w:rPr>
          <w:rFonts w:ascii="Verdana" w:hAnsi="Verdana" w:cs="Arial"/>
          <w:color w:val="000000" w:themeColor="text1"/>
          <w:sz w:val="20"/>
          <w:szCs w:val="20"/>
        </w:rPr>
      </w:pPr>
      <w:r w:rsidRPr="00AC032B">
        <w:rPr>
          <w:rFonts w:ascii="Verdana" w:hAnsi="Verdana" w:cs="Arial"/>
          <w:color w:val="000000" w:themeColor="text1"/>
          <w:sz w:val="20"/>
          <w:szCs w:val="20"/>
        </w:rPr>
        <w:t>Riesgos Tecnológicos: son los derivados de fallas en los sistemas de comunicación de voz y de datos, suspensión de servicios públicos, nuevos desarrollos tecnológicos o estándares que deben ser tenidos en cuenta para la ejecución del contrato, obsolescencia tecnológica. [Cursivas propias]</w:t>
      </w:r>
    </w:p>
    <w:p w14:paraId="7B8E15CE" w14:textId="77777777" w:rsidR="00933CFF" w:rsidRPr="00025914" w:rsidRDefault="00933CFF" w:rsidP="00933CFF">
      <w:pPr>
        <w:spacing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Los riesgos asociados al contrato estatal, entonces, pueden estar coligados con los riesgos de las personas que van a ejecutar el contrato estatal como </w:t>
      </w:r>
      <w:r w:rsidRPr="00025914">
        <w:rPr>
          <w:rFonts w:ascii="Verdana" w:hAnsi="Verdana" w:cs="Arial"/>
          <w:i/>
          <w:iCs/>
          <w:color w:val="000000" w:themeColor="text1"/>
        </w:rPr>
        <w:t>riesgos operacionales</w:t>
      </w:r>
      <w:r w:rsidRPr="00025914">
        <w:rPr>
          <w:rFonts w:ascii="Verdana" w:hAnsi="Verdana" w:cs="Arial"/>
          <w:color w:val="000000" w:themeColor="text1"/>
        </w:rPr>
        <w:t>, a pesar de que son regulador por disposiciones de seguridad laboral. Muestra de la relación que tienen estos con los contratos estatales es que, en aplicación de lo dispuesto por el artículo 2.2.1.2.3.1.7. del Decreto 1082 de 2015, la entidad puede exigirle al contratista una póliza que ampare los riesgos asociados con prestaciones sociales e indemnizaciones laborales. También lo es la obligación de la entidad de verificar los pagos que hace el contratista, a título de aportes de sus contratistas</w:t>
      </w:r>
      <w:r w:rsidRPr="00025914">
        <w:rPr>
          <w:rStyle w:val="Refdenotaalpie"/>
          <w:rFonts w:ascii="Verdana" w:hAnsi="Verdana" w:cs="Arial"/>
          <w:color w:val="000000" w:themeColor="text1"/>
        </w:rPr>
        <w:footnoteReference w:id="15"/>
      </w:r>
      <w:r w:rsidRPr="00025914">
        <w:rPr>
          <w:rFonts w:ascii="Verdana" w:hAnsi="Verdana" w:cs="Arial"/>
          <w:color w:val="000000" w:themeColor="text1"/>
        </w:rPr>
        <w:t>.</w:t>
      </w:r>
    </w:p>
    <w:p w14:paraId="14E77ADF" w14:textId="77777777" w:rsidR="00933CFF" w:rsidRPr="00025914" w:rsidRDefault="00933CFF" w:rsidP="00933CFF">
      <w:pPr>
        <w:spacing w:before="120" w:line="276" w:lineRule="auto"/>
        <w:ind w:firstLine="709"/>
        <w:jc w:val="both"/>
        <w:rPr>
          <w:rFonts w:ascii="Verdana" w:hAnsi="Verdana" w:cs="Arial"/>
          <w:color w:val="000000" w:themeColor="text1"/>
        </w:rPr>
      </w:pPr>
      <w:r w:rsidRPr="00025914">
        <w:rPr>
          <w:rFonts w:ascii="Verdana" w:hAnsi="Verdana" w:cs="Arial"/>
          <w:color w:val="000000" w:themeColor="text1"/>
        </w:rPr>
        <w:t xml:space="preserve">Una vez los requisitos de habilitación son fijados por la entidad estatal, quienes presenten ofertas deben </w:t>
      </w:r>
      <w:r w:rsidRPr="00025914">
        <w:rPr>
          <w:rFonts w:ascii="Verdana" w:hAnsi="Verdana" w:cs="Arial"/>
          <w:bCs/>
          <w:i/>
          <w:iCs/>
          <w:color w:val="000000" w:themeColor="text1"/>
        </w:rPr>
        <w:t>acreditar</w:t>
      </w:r>
      <w:r w:rsidRPr="00025914">
        <w:rPr>
          <w:rFonts w:ascii="Verdana" w:hAnsi="Verdana" w:cs="Arial"/>
          <w:color w:val="000000" w:themeColor="text1"/>
        </w:rPr>
        <w:t xml:space="preserve"> que cumplen con los mismos, pues, en el evento contrario, las propuestas deberán ser rechazadas. Lo anterior, sin perjuicio de la posibilidad de </w:t>
      </w:r>
      <w:r w:rsidRPr="00025914">
        <w:rPr>
          <w:rFonts w:ascii="Verdana" w:hAnsi="Verdana" w:cs="Arial"/>
          <w:bCs/>
          <w:i/>
          <w:iCs/>
          <w:color w:val="000000" w:themeColor="text1"/>
        </w:rPr>
        <w:t>subsanar</w:t>
      </w:r>
      <w:r w:rsidRPr="00025914">
        <w:rPr>
          <w:rFonts w:ascii="Verdana" w:hAnsi="Verdana" w:cs="Arial"/>
          <w:color w:val="000000" w:themeColor="text1"/>
        </w:rPr>
        <w:t>, la cual desarrolla el artículo 5 de la Ley 1882 de 2018, que modificó el parágrafo 1º del artículo 5 de la Ley 1150 de 2007, en los siguientes términos:</w:t>
      </w:r>
    </w:p>
    <w:p w14:paraId="29A0AC03" w14:textId="77777777" w:rsidR="00933CFF" w:rsidRPr="00AC032B" w:rsidRDefault="00933CFF" w:rsidP="00933CFF">
      <w:pPr>
        <w:ind w:left="703" w:right="760"/>
        <w:jc w:val="both"/>
        <w:rPr>
          <w:rFonts w:ascii="Verdana" w:hAnsi="Verdana" w:cs="Arial"/>
          <w:color w:val="000000" w:themeColor="text1"/>
          <w:sz w:val="20"/>
          <w:szCs w:val="20"/>
        </w:rPr>
      </w:pPr>
      <w:r w:rsidRPr="00AC032B">
        <w:rPr>
          <w:rFonts w:ascii="Verdana" w:hAnsi="Verdana" w:cs="Arial"/>
          <w:color w:val="000000" w:themeColor="text1"/>
          <w:sz w:val="20"/>
          <w:szCs w:val="20"/>
        </w:rPr>
        <w:t xml:space="preserve">Artículo 5°. De la selección objetiva. </w:t>
      </w:r>
    </w:p>
    <w:p w14:paraId="13F3C197" w14:textId="77777777" w:rsidR="00933CFF" w:rsidRPr="00AC032B" w:rsidRDefault="00933CFF" w:rsidP="00933CFF">
      <w:pPr>
        <w:ind w:left="703" w:right="760"/>
        <w:jc w:val="both"/>
        <w:rPr>
          <w:rFonts w:ascii="Verdana" w:hAnsi="Verdana" w:cs="Arial"/>
          <w:color w:val="000000" w:themeColor="text1"/>
          <w:sz w:val="20"/>
          <w:szCs w:val="20"/>
        </w:rPr>
      </w:pPr>
      <w:r w:rsidRPr="00AC032B">
        <w:rPr>
          <w:rFonts w:ascii="Verdana" w:hAnsi="Verdana" w:cs="Arial"/>
          <w:color w:val="000000" w:themeColor="text1"/>
          <w:sz w:val="20"/>
          <w:szCs w:val="20"/>
        </w:rPr>
        <w:t xml:space="preserve">[... ] </w:t>
      </w:r>
    </w:p>
    <w:p w14:paraId="095670CF" w14:textId="77777777" w:rsidR="00933CFF" w:rsidRPr="00AC032B" w:rsidRDefault="00933CFF" w:rsidP="00933CFF">
      <w:pPr>
        <w:ind w:left="703" w:right="760"/>
        <w:jc w:val="both"/>
        <w:rPr>
          <w:rFonts w:ascii="Verdana" w:hAnsi="Verdana" w:cs="Arial"/>
          <w:color w:val="000000" w:themeColor="text1"/>
          <w:sz w:val="20"/>
          <w:szCs w:val="20"/>
        </w:rPr>
      </w:pPr>
      <w:r w:rsidRPr="00AC032B">
        <w:rPr>
          <w:rFonts w:ascii="Verdana" w:hAnsi="Verdana" w:cs="Arial"/>
          <w:color w:val="000000" w:themeColor="text1"/>
          <w:sz w:val="20"/>
          <w:szCs w:val="20"/>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w:t>
      </w:r>
      <w:r w:rsidRPr="00AC032B">
        <w:rPr>
          <w:rFonts w:ascii="Verdana" w:hAnsi="Verdana" w:cs="Arial"/>
          <w:color w:val="000000" w:themeColor="text1"/>
          <w:sz w:val="20"/>
          <w:szCs w:val="20"/>
        </w:rPr>
        <w:lastRenderedPageBreak/>
        <w:t xml:space="preserve">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FDD6461" w14:textId="2C1B8E97" w:rsidR="00933CFF" w:rsidRPr="00025914" w:rsidRDefault="00933CFF" w:rsidP="00933CFF">
      <w:pPr>
        <w:spacing w:line="276" w:lineRule="auto"/>
        <w:ind w:firstLine="709"/>
        <w:jc w:val="both"/>
        <w:rPr>
          <w:rFonts w:ascii="Verdana" w:eastAsia="Calibri" w:hAnsi="Verdana" w:cs="Arial"/>
          <w:color w:val="000000" w:themeColor="text1"/>
        </w:rPr>
      </w:pPr>
      <w:r w:rsidRPr="00025914">
        <w:rPr>
          <w:rFonts w:ascii="Verdana" w:hAnsi="Verdana" w:cs="Arial"/>
          <w:color w:val="000000" w:themeColor="text1"/>
        </w:rPr>
        <w:t xml:space="preserve">Esta norma, por un lado, mantiene el criterio de la Ley 80 de 1993, relativo a que todo lo que no sea necesario para la comparación de propuestas no es título suficiente para su rechazo y, por el otro, mantiene el criterio aclaratorio de la Ley 1150 de 2007, según el cual todo lo que no afecte la asignación de puntaje puede subsanarse. También introduce modificaciones en relación con: i) el ámbito temporal para ejercer la facultad de subsanar la oferta; ii) </w:t>
      </w:r>
      <w:r w:rsidRPr="00025914">
        <w:rPr>
          <w:rFonts w:ascii="Verdana" w:eastAsia="Calibri" w:hAnsi="Verdana" w:cs="Arial"/>
          <w:color w:val="000000" w:themeColor="text1"/>
        </w:rPr>
        <w:t xml:space="preserve">la introducción de un criterio material, directamente relacionado con los aspectos subsanables: </w:t>
      </w:r>
      <w:r>
        <w:rPr>
          <w:rFonts w:ascii="Verdana" w:eastAsia="Calibri" w:hAnsi="Verdana" w:cs="Arial"/>
          <w:color w:val="000000" w:themeColor="text1"/>
        </w:rPr>
        <w:t>“</w:t>
      </w:r>
      <w:r w:rsidRPr="00025914">
        <w:rPr>
          <w:rFonts w:ascii="Verdana" w:hAnsi="Verdana" w:cs="Arial"/>
          <w:i/>
          <w:color w:val="000000" w:themeColor="text1"/>
        </w:rPr>
        <w:t>los proponentes no podrán acreditar circunstancias ocurridas con posterioridad al cierre del proceso</w:t>
      </w:r>
      <w:r w:rsidR="00AC032B">
        <w:rPr>
          <w:rFonts w:ascii="Verdana" w:hAnsi="Verdana" w:cs="Arial"/>
          <w:color w:val="000000" w:themeColor="text1"/>
        </w:rPr>
        <w:t>”</w:t>
      </w:r>
      <w:r w:rsidRPr="00025914">
        <w:rPr>
          <w:rFonts w:ascii="Verdana" w:hAnsi="Verdana" w:cs="Arial"/>
          <w:color w:val="000000" w:themeColor="text1"/>
        </w:rPr>
        <w:t xml:space="preserve">; y iii) la determinación </w:t>
      </w:r>
      <w:r w:rsidRPr="00025914">
        <w:rPr>
          <w:rFonts w:ascii="Verdana" w:eastAsia="Calibri" w:hAnsi="Verdana" w:cs="Arial"/>
          <w:color w:val="000000" w:themeColor="text1"/>
        </w:rPr>
        <w:t xml:space="preserve">expresa de que </w:t>
      </w:r>
      <w:r>
        <w:rPr>
          <w:rFonts w:ascii="Verdana" w:eastAsia="Calibri" w:hAnsi="Verdana" w:cs="Arial"/>
          <w:color w:val="000000" w:themeColor="text1"/>
        </w:rPr>
        <w:t>“</w:t>
      </w:r>
      <w:r w:rsidRPr="00025914">
        <w:rPr>
          <w:rFonts w:ascii="Verdana" w:eastAsia="Calibri" w:hAnsi="Verdana" w:cs="Arial"/>
          <w:color w:val="000000" w:themeColor="text1"/>
        </w:rPr>
        <w:t>la no entrega de la garantía de seriedad junto con la propuesta no será subsanable y será causal de rechazo de la misma</w:t>
      </w:r>
      <w:r w:rsidR="00AC032B">
        <w:rPr>
          <w:rFonts w:ascii="Verdana" w:eastAsia="Calibri" w:hAnsi="Verdana" w:cs="Arial"/>
          <w:color w:val="000000" w:themeColor="text1"/>
        </w:rPr>
        <w:t>”</w:t>
      </w:r>
      <w:r w:rsidRPr="00025914">
        <w:rPr>
          <w:rFonts w:ascii="Verdana" w:eastAsia="Calibri" w:hAnsi="Verdana" w:cs="Arial"/>
          <w:color w:val="000000" w:themeColor="text1"/>
        </w:rPr>
        <w:t>, dejando claro que se trata de un documento de obligatoria presentación junto con la propuesta y que materializa los principios de seriedad e irrevocabilidad de la oferta.</w:t>
      </w:r>
    </w:p>
    <w:p w14:paraId="5B60A8D7" w14:textId="77777777"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Como conclusión de lo anterior, puede decirse que aunque la Ley 1150 de 2007 estableció unos requisitos habilitantes para los proponentes: la capacidad jurídica, las condiciones de experiencia, la capacidad financiera y la capacidad de organización, lo cierto es que los mismos no son taxativos; que los requisitos habilitantes deben ser establecidos por la entidad en cada proceso contractual de acuerdo con los parámetros fijados en el Decreto 1082 de 2015; y que una vez los requisitos de habilitación son fijados, quienes presenten ofertas deben acreditar que cumplen con ellos, so pena de que sus propuestas sean rechazadas, claro está, sin perjuicio de la posibilidad de subsanarlas. Todo, dentro de los parámetros explicados en las consideraciones anteriores.</w:t>
      </w:r>
    </w:p>
    <w:p w14:paraId="263A2483" w14:textId="249425E0"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dicho, claro está, sin perjuicio de las prohibiciones legales. Por ejemplo, en el caso de los requisitos habilitantes, el artículo 5, parágrafo 2, de la Ley 1150 de 2007 establece que las </w:t>
      </w:r>
      <w:r>
        <w:rPr>
          <w:rFonts w:ascii="Verdana" w:eastAsia="Calibri" w:hAnsi="Verdana" w:cs="Arial"/>
          <w:color w:val="000000" w:themeColor="text1"/>
        </w:rPr>
        <w:t>“</w:t>
      </w:r>
      <w:r w:rsidRPr="00025914">
        <w:rPr>
          <w:rFonts w:ascii="Verdana" w:eastAsia="Calibri" w:hAnsi="Verdana" w:cs="Arial"/>
          <w:color w:val="000000" w:themeColor="text1"/>
        </w:rPr>
        <w:t xml:space="preserve">certificaciones de sistemas de gestión de calidad no serán objeto de calificación, ni podrán establecerse como documento habilitante </w:t>
      </w:r>
      <w:r w:rsidRPr="00025914">
        <w:rPr>
          <w:rFonts w:ascii="Verdana" w:eastAsia="Calibri" w:hAnsi="Verdana" w:cs="Arial"/>
          <w:color w:val="000000" w:themeColor="text1"/>
        </w:rPr>
        <w:lastRenderedPageBreak/>
        <w:t>para participar en licitaciones o concursos</w:t>
      </w:r>
      <w:r w:rsidR="00AC032B">
        <w:rPr>
          <w:rFonts w:ascii="Verdana" w:eastAsia="Calibri" w:hAnsi="Verdana" w:cs="Arial"/>
          <w:color w:val="000000" w:themeColor="text1"/>
        </w:rPr>
        <w:t>”</w:t>
      </w:r>
      <w:r w:rsidRPr="00025914">
        <w:rPr>
          <w:rFonts w:ascii="Verdana" w:eastAsia="Calibri" w:hAnsi="Verdana" w:cs="Arial"/>
          <w:color w:val="000000" w:themeColor="text1"/>
        </w:rPr>
        <w:t xml:space="preserve">. Es del caso 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025914">
        <w:rPr>
          <w:rFonts w:ascii="Verdana" w:eastAsia="Calibri" w:hAnsi="Verdana" w:cs="Arial"/>
          <w:i/>
          <w:iCs/>
          <w:color w:val="000000" w:themeColor="text1"/>
        </w:rPr>
        <w:t>sub examine</w:t>
      </w:r>
      <w:r w:rsidRPr="00025914">
        <w:rPr>
          <w:rFonts w:ascii="Verdana" w:eastAsia="Calibri" w:hAnsi="Verdana" w:cs="Arial"/>
          <w:color w:val="000000" w:themeColor="text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1F97785A" w14:textId="0ECF9A2D" w:rsidR="00933CFF" w:rsidRPr="00025914" w:rsidRDefault="00933CFF" w:rsidP="00933CF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Sistema de Gestión de la Seguridad y Salud en el Trabajo </w:t>
      </w:r>
      <w:r>
        <w:rPr>
          <w:rFonts w:ascii="Verdana" w:eastAsia="Calibri" w:hAnsi="Verdana" w:cs="Arial"/>
          <w:color w:val="000000" w:themeColor="text1"/>
        </w:rPr>
        <w:t>“</w:t>
      </w:r>
      <w:r w:rsidRPr="00025914">
        <w:rPr>
          <w:rFonts w:ascii="Verdana" w:eastAsia="Calibri" w:hAnsi="Verdana" w:cs="Arial"/>
          <w:color w:val="000000" w:themeColor="text1"/>
        </w:rPr>
        <w:t>SG-SST</w:t>
      </w:r>
      <w:r w:rsidR="00AC032B">
        <w:rPr>
          <w:rFonts w:ascii="Verdana" w:eastAsia="Calibri" w:hAnsi="Verdana" w:cs="Arial"/>
          <w:color w:val="000000" w:themeColor="text1"/>
        </w:rPr>
        <w:t>”</w:t>
      </w:r>
      <w:r w:rsidRPr="00025914">
        <w:rPr>
          <w:rFonts w:ascii="Verdana" w:eastAsia="Calibri" w:hAnsi="Verdana" w:cs="Arial"/>
          <w:color w:val="000000" w:themeColor="text1"/>
        </w:rPr>
        <w:t>, reglamentados por medio de la Resolución 0312 del 13 de febrero de 2019, expedida por el Ministerio del Trabajo. En efecto, los artículos 3, 9, 16 y 20 de esa resolución establecen exigencias mínimas que deberán cumplir las empresas, empleadores y contratantes a los que se refiere el artículo 2 de dicho acto administrativo.</w:t>
      </w:r>
    </w:p>
    <w:p w14:paraId="52615192" w14:textId="41D15108" w:rsidR="00E41707" w:rsidRDefault="00E41707" w:rsidP="00E41707">
      <w:pPr>
        <w:spacing w:after="12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18102CB6" w14:textId="77777777" w:rsidR="00E41707" w:rsidRDefault="00E41707" w:rsidP="00E41707">
      <w:pPr>
        <w:spacing w:after="120" w:line="276" w:lineRule="auto"/>
        <w:jc w:val="both"/>
        <w:rPr>
          <w:rFonts w:ascii="Verdana" w:hAnsi="Verdana" w:cs="Arial"/>
          <w:color w:val="000000" w:themeColor="text1"/>
          <w:lang w:val="es-ES_tradnl"/>
        </w:rPr>
      </w:pPr>
    </w:p>
    <w:p w14:paraId="3C1B09FA" w14:textId="57710401" w:rsidR="00A64017" w:rsidRPr="0060676F" w:rsidRDefault="00A64017" w:rsidP="00E41707">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2A57F92F" w14:textId="32E45D94" w:rsidR="00B13ACF" w:rsidRPr="00025914" w:rsidRDefault="00B13ACF" w:rsidP="00B13ACF">
            <w:pPr>
              <w:pStyle w:val="Prrafodelista"/>
              <w:numPr>
                <w:ilvl w:val="0"/>
                <w:numId w:val="38"/>
              </w:numPr>
              <w:spacing w:after="120" w:line="276" w:lineRule="auto"/>
              <w:ind w:right="709"/>
              <w:jc w:val="both"/>
              <w:rPr>
                <w:rFonts w:ascii="Verdana" w:hAnsi="Verdana" w:cs="Arial"/>
                <w:noProof/>
                <w:lang w:val="es-ES_tradnl"/>
              </w:rPr>
            </w:pPr>
            <w:r w:rsidRPr="00025914">
              <w:rPr>
                <w:rFonts w:ascii="Verdana" w:eastAsia="Calibri" w:hAnsi="Verdana" w:cs="Arial"/>
                <w:bCs/>
                <w:lang w:val="es-MX"/>
              </w:rPr>
              <w:lastRenderedPageBreak/>
              <w:t xml:space="preserve">Artículo 5 de la </w:t>
            </w:r>
            <w:r w:rsidRPr="00025914">
              <w:rPr>
                <w:rFonts w:ascii="Verdana" w:eastAsia="Calibri" w:hAnsi="Verdana" w:cs="Arial"/>
                <w:color w:val="000000"/>
                <w:lang w:val="es-ES_tradnl"/>
              </w:rPr>
              <w:t xml:space="preserve">Ley 1150 de 2007 </w:t>
            </w:r>
          </w:p>
          <w:p w14:paraId="0BFF428A" w14:textId="26214838" w:rsidR="00B13ACF" w:rsidRPr="00025914" w:rsidRDefault="00B13ACF" w:rsidP="00B13ACF">
            <w:pPr>
              <w:pStyle w:val="Prrafodelista"/>
              <w:numPr>
                <w:ilvl w:val="0"/>
                <w:numId w:val="38"/>
              </w:numPr>
              <w:spacing w:before="120" w:line="276" w:lineRule="auto"/>
              <w:ind w:right="113"/>
              <w:jc w:val="both"/>
              <w:rPr>
                <w:rFonts w:ascii="Verdana" w:hAnsi="Verdana" w:cs="Arial"/>
                <w:lang w:eastAsia="es-CO"/>
              </w:rPr>
            </w:pPr>
            <w:r w:rsidRPr="00025914">
              <w:rPr>
                <w:rFonts w:ascii="Verdana" w:hAnsi="Verdana" w:cs="Arial"/>
                <w:bCs/>
                <w:lang w:eastAsia="es-MX"/>
              </w:rPr>
              <w:t xml:space="preserve">Artículo </w:t>
            </w:r>
            <w:r w:rsidRPr="00025914">
              <w:rPr>
                <w:rStyle w:val="normaltextrun"/>
                <w:rFonts w:ascii="Verdana" w:hAnsi="Verdana" w:cs="Arial"/>
                <w:color w:val="000000" w:themeColor="text1"/>
              </w:rPr>
              <w:t xml:space="preserve">2.2.1.1.1.6.2. </w:t>
            </w:r>
            <w:r w:rsidRPr="00025914">
              <w:rPr>
                <w:rFonts w:ascii="Verdana" w:hAnsi="Verdana" w:cs="Arial"/>
                <w:lang w:eastAsia="es-CO"/>
              </w:rPr>
              <w:t xml:space="preserve">del Decreto 1082 de 2015. </w:t>
            </w:r>
          </w:p>
          <w:p w14:paraId="5AA86007" w14:textId="33BF934E" w:rsidR="00B13ACF" w:rsidRPr="00025914" w:rsidRDefault="00B13ACF" w:rsidP="00B13ACF">
            <w:pPr>
              <w:pStyle w:val="Prrafodelista"/>
              <w:numPr>
                <w:ilvl w:val="0"/>
                <w:numId w:val="38"/>
              </w:numPr>
              <w:spacing w:after="120" w:line="276" w:lineRule="auto"/>
              <w:ind w:right="709"/>
              <w:jc w:val="both"/>
              <w:rPr>
                <w:rFonts w:ascii="Verdana" w:eastAsia="Calibri" w:hAnsi="Verdana" w:cs="Arial"/>
                <w:bCs/>
                <w:color w:val="000000" w:themeColor="text1"/>
                <w:lang w:val="es-ES_tradnl"/>
              </w:rPr>
            </w:pPr>
            <w:r w:rsidRPr="00025914">
              <w:rPr>
                <w:rFonts w:ascii="Verdana" w:hAnsi="Verdana" w:cs="Arial"/>
                <w:color w:val="000000" w:themeColor="text1"/>
              </w:rPr>
              <w:t>Manual para determinar y verificar los requisitos habilitantes en los Procesos de Contratación</w:t>
            </w:r>
            <w:r w:rsidRPr="00025914">
              <w:rPr>
                <w:rFonts w:ascii="Verdana" w:hAnsi="Verdana" w:cs="Arial"/>
                <w:noProof/>
                <w:lang w:val="es-ES_tradnl"/>
              </w:rPr>
              <w:t xml:space="preserve">, disponible en: </w:t>
            </w:r>
            <w:hyperlink r:id="rId13" w:history="1">
              <w:r w:rsidRPr="00F20009">
                <w:rPr>
                  <w:rStyle w:val="Hipervnculo"/>
                  <w:rFonts w:ascii="Verdana" w:hAnsi="Verdana" w:cs="Arial"/>
                  <w:noProof/>
                  <w:lang w:val="es-ES_tradnl"/>
                </w:rPr>
                <w:t>https://www.colombiacompra.gov.co/sites/cce_public/files/cce_documents/cce-eicp-ma-04._manual_requisitos_habilitantes_v3_29-09-2023.pdf</w:t>
              </w:r>
            </w:hyperlink>
            <w:r>
              <w:rPr>
                <w:rFonts w:ascii="Verdana" w:hAnsi="Verdana" w:cs="Arial"/>
                <w:noProof/>
                <w:lang w:val="es-ES_tradnl"/>
              </w:rPr>
              <w:t xml:space="preserve"> </w:t>
            </w:r>
          </w:p>
          <w:p w14:paraId="2F09E9B8" w14:textId="0878D9B8" w:rsidR="00B13ACF" w:rsidRPr="0003480F" w:rsidRDefault="00B13ACF" w:rsidP="00B13ACF">
            <w:pPr>
              <w:widowControl w:val="0"/>
              <w:numPr>
                <w:ilvl w:val="0"/>
                <w:numId w:val="38"/>
              </w:numPr>
              <w:autoSpaceDE w:val="0"/>
              <w:autoSpaceDN w:val="0"/>
              <w:spacing w:line="276" w:lineRule="auto"/>
              <w:jc w:val="both"/>
              <w:rPr>
                <w:rFonts w:ascii="Verdana" w:hAnsi="Verdana" w:cs="Arial"/>
                <w:color w:val="000000" w:themeColor="text1"/>
              </w:rPr>
            </w:pPr>
            <w:r w:rsidRPr="00025914">
              <w:rPr>
                <w:rFonts w:ascii="Verdana" w:hAnsi="Verdana" w:cs="Arial"/>
              </w:rPr>
              <w:t>Jurisprudencia del Consejo de Estado, Sala de Consulta y Servicio Civil. Concepto del 20 de mayo de 2010. Expediente. C.P. Enrique José Arboleda Perdomo.</w:t>
            </w:r>
            <w:r w:rsidRPr="00025914">
              <w:rPr>
                <w:rFonts w:ascii="Verdana" w:hAnsi="Verdana" w:cs="Arial"/>
                <w:noProof/>
                <w:lang w:val="es-ES_tradnl"/>
              </w:rPr>
              <w:t xml:space="preserve">, disponible </w:t>
            </w:r>
            <w:r w:rsidRPr="00025914">
              <w:rPr>
                <w:rFonts w:ascii="Verdana" w:hAnsi="Verdana" w:cs="Arial"/>
              </w:rPr>
              <w:t xml:space="preserve">en: </w:t>
            </w:r>
            <w:r w:rsidRPr="00025914">
              <w:rPr>
                <w:rFonts w:ascii="Verdana" w:hAnsi="Verdana" w:cs="Arial"/>
                <w:noProof/>
                <w:lang w:val="es-ES_tradnl"/>
              </w:rPr>
              <w:t xml:space="preserve"> </w:t>
            </w:r>
            <w:hyperlink r:id="rId14" w:history="1">
              <w:r w:rsidRPr="00025914">
                <w:rPr>
                  <w:rStyle w:val="Hipervnculo"/>
                  <w:rFonts w:ascii="Verdana" w:hAnsi="Verdana" w:cs="Arial"/>
                  <w:noProof/>
                  <w:lang w:val="es-ES_tradnl"/>
                </w:rPr>
                <w:t>https://relatoria.colombiacompra.gov.co/providencias-consejo-de-estado/</w:t>
              </w:r>
            </w:hyperlink>
          </w:p>
          <w:p w14:paraId="60CC6EC9" w14:textId="424A66DA" w:rsidR="00CC5B4B" w:rsidRPr="0003480F" w:rsidRDefault="00CC5B4B" w:rsidP="00943E42">
            <w:pPr>
              <w:widowControl w:val="0"/>
              <w:autoSpaceDE w:val="0"/>
              <w:autoSpaceDN w:val="0"/>
              <w:spacing w:after="120" w:line="276" w:lineRule="auto"/>
              <w:ind w:left="720"/>
              <w:jc w:val="both"/>
              <w:rPr>
                <w:rFonts w:ascii="Verdana" w:hAnsi="Verdana" w:cs="Arial"/>
                <w:color w:val="000000" w:themeColor="text1"/>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EF2F7F" w14:textId="77777777" w:rsidR="008A217A" w:rsidRPr="00FA4CEE" w:rsidRDefault="008A217A" w:rsidP="008A217A">
      <w:pPr>
        <w:widowControl w:val="0"/>
        <w:autoSpaceDE w:val="0"/>
        <w:autoSpaceDN w:val="0"/>
        <w:spacing w:after="120" w:line="276" w:lineRule="auto"/>
        <w:jc w:val="both"/>
        <w:rPr>
          <w:rFonts w:ascii="Verdana" w:eastAsia="Calibri" w:hAnsi="Verdana" w:cs="Arial"/>
          <w:lang w:val="es-ES" w:eastAsia="es-ES_tradnl"/>
        </w:rPr>
      </w:pPr>
      <w:r w:rsidRPr="00FA4CEE">
        <w:rPr>
          <w:rFonts w:ascii="Verdana" w:hAnsi="Verdana" w:cs="Arial"/>
          <w:bCs/>
          <w:shd w:val="clear" w:color="auto" w:fill="FFFFFF"/>
        </w:rPr>
        <w:t xml:space="preserve">La Agencia Nacional de Contratación Pública – Colombia Compra Eficiente ha expedido </w:t>
      </w:r>
      <w:r w:rsidRPr="00FA4CEE">
        <w:rPr>
          <w:rFonts w:ascii="Verdana" w:eastAsia="Calibri" w:hAnsi="Verdana" w:cs="Arial"/>
          <w:lang w:val="es-ES_tradnl"/>
        </w:rPr>
        <w:t>conceptos sobre requisitos habilitantes y los códigos CIIU, tales como: C-296 del 26 de marzo de 2025, C- 187 del 25 de marzo de 2025, C-662 del 29 de enero de 2025, C- 337 del 18 de agosto de 2023, C-397 del 7 de mayo de 2025, C-926 del 18 de agosto de 2025</w:t>
      </w:r>
      <w:r>
        <w:rPr>
          <w:rFonts w:ascii="Verdana" w:eastAsia="Calibri" w:hAnsi="Verdana" w:cs="Arial"/>
          <w:lang w:val="es-ES_tradnl"/>
        </w:rPr>
        <w:t>, C-1014 del 1 de septiembre de 2025,</w:t>
      </w:r>
      <w:r w:rsidRPr="00FA4CEE">
        <w:rPr>
          <w:rFonts w:ascii="Verdana" w:eastAsia="Calibri" w:hAnsi="Verdana" w:cs="Arial"/>
          <w:lang w:val="es-ES_tradnl"/>
        </w:rPr>
        <w:t xml:space="preserve"> entre otros</w:t>
      </w:r>
      <w:r w:rsidRPr="00FA4CEE">
        <w:rPr>
          <w:rFonts w:ascii="Verdana" w:eastAsia="Calibri" w:hAnsi="Verdana" w:cs="Arial"/>
          <w:lang w:val="es-ES" w:eastAsia="es-ES_tradnl"/>
        </w:rPr>
        <w:t xml:space="preserve">. </w:t>
      </w:r>
      <w:r w:rsidRPr="00FA4CEE">
        <w:rPr>
          <w:rFonts w:ascii="Verdana" w:hAnsi="Verdana" w:cs="Arial"/>
          <w:shd w:val="clear" w:color="auto" w:fill="FFFFFF"/>
        </w:rPr>
        <w:t>Es</w:t>
      </w:r>
      <w:r w:rsidRPr="00FA4CEE">
        <w:rPr>
          <w:rFonts w:ascii="Verdana" w:hAnsi="Verdana"/>
        </w:rPr>
        <w:t>tos conceptos se encuentran disponibles para consulta en el Sistema de relatoría de la Agencia, al cual se puede acceder a través del siguiente enlace:</w:t>
      </w:r>
      <w:r w:rsidRPr="00FA4CEE">
        <w:rPr>
          <w:rFonts w:ascii="Verdana" w:hAnsi="Verdana" w:cs="Arial"/>
          <w:shd w:val="clear" w:color="auto" w:fill="FFFFFF"/>
        </w:rPr>
        <w:t xml:space="preserve"> </w:t>
      </w:r>
      <w:hyperlink r:id="rId15" w:history="1">
        <w:r w:rsidRPr="00FA4CEE">
          <w:rPr>
            <w:rFonts w:ascii="Verdana" w:hAnsi="Verdana" w:cs="Arial"/>
            <w:color w:val="0000FF"/>
            <w:u w:val="single"/>
            <w:shd w:val="clear" w:color="auto" w:fill="FFFFFF"/>
          </w:rPr>
          <w:t>https://relatoria.colombiacompra.gov.co/</w:t>
        </w:r>
      </w:hyperlink>
      <w:r w:rsidRPr="00FA4CEE">
        <w:rPr>
          <w:rFonts w:ascii="Verdana" w:hAnsi="Verdana" w:cs="Arial"/>
          <w:shd w:val="clear" w:color="auto" w:fill="FFFFFF"/>
        </w:rPr>
        <w:t xml:space="preserve"> </w:t>
      </w:r>
    </w:p>
    <w:p w14:paraId="27A467DD" w14:textId="5782F1D9" w:rsidR="00A64017" w:rsidRPr="00AE7E03" w:rsidRDefault="00943E42" w:rsidP="00A64017">
      <w:pPr>
        <w:widowControl w:val="0"/>
        <w:autoSpaceDE w:val="0"/>
        <w:autoSpaceDN w:val="0"/>
        <w:spacing w:after="0" w:line="276" w:lineRule="auto"/>
        <w:jc w:val="both"/>
        <w:rPr>
          <w:rFonts w:ascii="Verdana" w:eastAsia="Arial" w:hAnsi="Verdana" w:cs="Arial"/>
          <w:lang w:val="es-MX" w:eastAsia="es-ES"/>
        </w:rPr>
      </w:pPr>
      <w:r>
        <w:rPr>
          <w:rFonts w:ascii="Verdana" w:hAnsi="Verdana" w:cs="Arial"/>
          <w:shd w:val="clear" w:color="auto" w:fill="FFFFFF"/>
        </w:rPr>
        <w:t xml:space="preserve">,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sidR="008F7110">
        <w:rPr>
          <w:rFonts w:ascii="Verdana" w:eastAsia="Calibri" w:hAnsi="Verdana" w:cs="Arial"/>
          <w:lang w:val="es-ES" w:eastAsia="es-ES_tradnl"/>
        </w:rPr>
        <w:t>;</w:t>
      </w:r>
      <w:r w:rsidR="009A5D6C">
        <w:rPr>
          <w:rFonts w:ascii="Verdana" w:hAnsi="Verdana" w:cs="Arial"/>
          <w:shd w:val="clear" w:color="auto" w:fill="FFFFFF"/>
        </w:rPr>
        <w:t xml:space="preserve">. </w:t>
      </w:r>
      <w:r w:rsidR="00A64017" w:rsidRPr="009A5D6C">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w:t>
        </w:r>
        <w:r w:rsidRPr="00505CD6">
          <w:rPr>
            <w:rFonts w:ascii="Verdana" w:hAnsi="Verdana" w:cs="Arial"/>
            <w:color w:val="0563C1" w:themeColor="hyperlink"/>
            <w:u w:val="single"/>
            <w:shd w:val="clear" w:color="auto" w:fill="FFFFFF"/>
          </w:rPr>
          <w:lastRenderedPageBreak/>
          <w:t>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28B469B3" w:rsidR="0073141C" w:rsidRDefault="0073141C" w:rsidP="00A64017">
      <w:pPr>
        <w:spacing w:line="276" w:lineRule="auto"/>
        <w:jc w:val="center"/>
        <w:rPr>
          <w:noProof/>
        </w:rPr>
      </w:pPr>
    </w:p>
    <w:p w14:paraId="59A16AF3" w14:textId="170FD810" w:rsidR="00687D47" w:rsidRDefault="004C28B2" w:rsidP="004C28B2">
      <w:pPr>
        <w:spacing w:line="276" w:lineRule="auto"/>
        <w:jc w:val="center"/>
        <w:rPr>
          <w:noProof/>
        </w:rPr>
      </w:pPr>
      <w:r>
        <w:rPr>
          <w:noProof/>
        </w:rPr>
        <w:drawing>
          <wp:inline distT="0" distB="0" distL="0" distR="0" wp14:anchorId="157615E6" wp14:editId="06EEED3C">
            <wp:extent cx="4253230" cy="1786255"/>
            <wp:effectExtent l="0" t="0" r="0" b="4445"/>
            <wp:docPr id="2042137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53230" cy="178625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4E09DF4F" w:rsidR="00CC5B4B" w:rsidRDefault="00D51274" w:rsidP="00A15B1F">
            <w:pPr>
              <w:spacing w:line="276" w:lineRule="auto"/>
              <w:contextualSpacing/>
              <w:jc w:val="both"/>
              <w:rPr>
                <w:rFonts w:ascii="Verdana" w:hAnsi="Verdana"/>
                <w:sz w:val="16"/>
                <w:szCs w:val="16"/>
              </w:rPr>
            </w:pPr>
            <w:r>
              <w:rPr>
                <w:rFonts w:ascii="Verdana" w:hAnsi="Verdana"/>
                <w:sz w:val="16"/>
                <w:szCs w:val="16"/>
              </w:rPr>
              <w:t>Diana Lucia Saavedra</w:t>
            </w:r>
            <w:r w:rsidR="00CC5B4B">
              <w:rPr>
                <w:rFonts w:ascii="Verdana" w:hAnsi="Verdana"/>
                <w:sz w:val="16"/>
                <w:szCs w:val="16"/>
              </w:rPr>
              <w:t>.</w:t>
            </w:r>
          </w:p>
          <w:p w14:paraId="72046261" w14:textId="6A56B4B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B1EC9" w14:textId="77777777" w:rsidR="00D5385A" w:rsidRDefault="00D5385A" w:rsidP="004A1847">
      <w:pPr>
        <w:spacing w:after="0" w:line="240" w:lineRule="auto"/>
      </w:pPr>
      <w:r>
        <w:separator/>
      </w:r>
    </w:p>
  </w:endnote>
  <w:endnote w:type="continuationSeparator" w:id="0">
    <w:p w14:paraId="5EB7ECE5" w14:textId="77777777" w:rsidR="00D5385A" w:rsidRDefault="00D5385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E38A2" w14:textId="77777777" w:rsidR="00D5385A" w:rsidRDefault="00D5385A" w:rsidP="004A1847">
      <w:pPr>
        <w:spacing w:after="0" w:line="240" w:lineRule="auto"/>
      </w:pPr>
      <w:r>
        <w:separator/>
      </w:r>
    </w:p>
  </w:footnote>
  <w:footnote w:type="continuationSeparator" w:id="0">
    <w:p w14:paraId="137A7CCC" w14:textId="77777777" w:rsidR="00D5385A" w:rsidRDefault="00D5385A" w:rsidP="004A1847">
      <w:pPr>
        <w:spacing w:after="0" w:line="240" w:lineRule="auto"/>
      </w:pPr>
      <w:r>
        <w:continuationSeparator/>
      </w:r>
    </w:p>
  </w:footnote>
  <w:footnote w:id="1">
    <w:p w14:paraId="6F36FEDE" w14:textId="77777777" w:rsidR="00933CFF" w:rsidRPr="00025914" w:rsidRDefault="00933CFF" w:rsidP="00933CFF">
      <w:pPr>
        <w:pStyle w:val="Textonotapie"/>
        <w:ind w:firstLine="708"/>
        <w:jc w:val="both"/>
        <w:rPr>
          <w:rFonts w:ascii="Verdana" w:hAnsi="Verdana" w:cs="Arial"/>
          <w:sz w:val="16"/>
          <w:szCs w:val="16"/>
          <w:lang w:val="es-ES"/>
        </w:rPr>
      </w:pPr>
      <w:r w:rsidRPr="00025914">
        <w:rPr>
          <w:rStyle w:val="Refdenotaalpie"/>
          <w:rFonts w:ascii="Verdana" w:hAnsi="Verdana" w:cs="Arial"/>
          <w:sz w:val="16"/>
          <w:szCs w:val="16"/>
        </w:rPr>
        <w:footnoteRef/>
      </w:r>
      <w:r w:rsidRPr="00025914">
        <w:rPr>
          <w:rFonts w:ascii="Verdana" w:hAnsi="Verdana" w:cs="Arial"/>
          <w:sz w:val="16"/>
          <w:szCs w:val="16"/>
        </w:rPr>
        <w:t xml:space="preserve"> Consejo de Estado, Sala de Consulta y Servicio Civil. Concepto del 20 de mayo de 2010. Expediente. C.P. Enrique José Arboleda Perdomo.</w:t>
      </w:r>
    </w:p>
  </w:footnote>
  <w:footnote w:id="2">
    <w:p w14:paraId="0512F9EC"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sidRPr="00025914">
        <w:rPr>
          <w:rFonts w:ascii="Verdana" w:eastAsia="Calibri" w:hAnsi="Verdana" w:cs="Arial"/>
          <w:color w:val="000000" w:themeColor="text1"/>
          <w:sz w:val="16"/>
          <w:szCs w:val="16"/>
        </w:rPr>
        <w:t>Corte Constitucional. Sentencia C 178 de 1996. M. P. Antonio Barrera Carbonell.</w:t>
      </w:r>
      <w:r w:rsidRPr="00025914">
        <w:rPr>
          <w:rFonts w:ascii="Verdana" w:hAnsi="Verdana" w:cs="Arial"/>
          <w:color w:val="000000" w:themeColor="text1"/>
          <w:sz w:val="16"/>
          <w:szCs w:val="16"/>
        </w:rPr>
        <w:t xml:space="preserve"> </w:t>
      </w:r>
    </w:p>
    <w:p w14:paraId="440A7A4C" w14:textId="77777777" w:rsidR="00933CFF" w:rsidRPr="00025914" w:rsidRDefault="00933CFF" w:rsidP="00933CFF">
      <w:pPr>
        <w:pStyle w:val="Textonotapie"/>
        <w:ind w:firstLine="708"/>
        <w:jc w:val="both"/>
        <w:rPr>
          <w:rFonts w:ascii="Verdana" w:hAnsi="Verdana" w:cs="Arial"/>
          <w:color w:val="000000" w:themeColor="text1"/>
          <w:sz w:val="16"/>
          <w:szCs w:val="16"/>
          <w:lang w:val="es-CO"/>
        </w:rPr>
      </w:pPr>
    </w:p>
  </w:footnote>
  <w:footnote w:id="3">
    <w:p w14:paraId="61028BDA"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Frente a la naturaleza de las inhabilidades, la Corte Constitucional ha manifestado que son circunstancias previstas en la Constitución Política, o en la ley, que le impiden a una persona ser elegida o designada para desempeñar cargos públicos. Esas circunstancias también pueden tener consecuencias respecto de otras personas que quieran celebrar o hayan celebrados contratos con el Estado. Existen dos tipos de inhabilidades, en primer lugar las que se derivan de la imposición de una condena o de una sanción disciplinaria. Estás inhabilidades son en efecto una sanción como consecuencia de la persona. En segundo lugar, se encuentran las inhabilidades que se desprenden de la posición funcional o desempeño de empleados públicos, en este caso, la inhabilidad no es una sanción sino una medida de protección del interés general en razón a la articulación o afinidad entre las funciones” o actividades a desempeñar en una determinada actividad. Cfr. Corte Constitucional. Sentencia C-353 de 2019. M.P. Jorge Iván Palacio Palacio.</w:t>
      </w:r>
    </w:p>
    <w:p w14:paraId="39BC06A8"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p>
  </w:footnote>
  <w:footnote w:id="4">
    <w:p w14:paraId="7D583A69" w14:textId="1A7E5F8C"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Pr>
          <w:rFonts w:ascii="Verdana" w:eastAsia="Calibri" w:hAnsi="Verdana" w:cs="Arial"/>
          <w:color w:val="000000" w:themeColor="text1"/>
          <w:sz w:val="16"/>
          <w:szCs w:val="16"/>
        </w:rPr>
        <w:t>“</w:t>
      </w:r>
      <w:r w:rsidRPr="00025914">
        <w:rPr>
          <w:rFonts w:ascii="Verdana" w:eastAsia="Calibri" w:hAnsi="Verdana" w:cs="Arial"/>
          <w:color w:val="000000" w:themeColor="text1"/>
          <w:sz w:val="16"/>
          <w:szCs w:val="16"/>
        </w:rPr>
        <w:t>Artículo 6o. De la capacidad para contratar. Pueden celebrar contratos con las entidades estatales las personas consideradas legalmente capaces en las disposiciones vigentes».</w:t>
      </w:r>
    </w:p>
    <w:p w14:paraId="3CC5D71D" w14:textId="77777777" w:rsidR="00933CFF" w:rsidRPr="00025914" w:rsidRDefault="00933CFF" w:rsidP="00933CFF">
      <w:pPr>
        <w:pStyle w:val="Textonotapie"/>
        <w:ind w:firstLine="708"/>
        <w:jc w:val="both"/>
        <w:rPr>
          <w:rFonts w:ascii="Verdana" w:hAnsi="Verdana" w:cs="Arial"/>
          <w:color w:val="000000" w:themeColor="text1"/>
          <w:sz w:val="16"/>
          <w:szCs w:val="16"/>
          <w:lang w:val="es-CO"/>
        </w:rPr>
      </w:pPr>
    </w:p>
  </w:footnote>
  <w:footnote w:id="5">
    <w:p w14:paraId="0CDA4EE0" w14:textId="77777777"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sidRPr="00025914">
        <w:rPr>
          <w:rFonts w:ascii="Verdana" w:eastAsia="Calibri" w:hAnsi="Verdana" w:cs="Arial"/>
          <w:color w:val="000000" w:themeColor="text1"/>
          <w:sz w:val="16"/>
          <w:szCs w:val="16"/>
        </w:rPr>
        <w:t xml:space="preserve">Consejo de Estado. Sala de Consulta y Servicio Civil. Concepto del 10 de agosto de 2015. Expediente: 11001-03-06-000-2015-00118-00 (2.260). C. P. Álvaro Namén Vargas. </w:t>
      </w:r>
    </w:p>
    <w:p w14:paraId="2E10AAF6" w14:textId="77777777" w:rsidR="00933CFF" w:rsidRPr="00025914" w:rsidRDefault="00933CFF" w:rsidP="00933CFF">
      <w:pPr>
        <w:pStyle w:val="Textonotapie"/>
        <w:ind w:firstLine="708"/>
        <w:jc w:val="both"/>
        <w:rPr>
          <w:rFonts w:ascii="Verdana" w:hAnsi="Verdana" w:cs="Arial"/>
          <w:color w:val="000000" w:themeColor="text1"/>
          <w:sz w:val="16"/>
          <w:szCs w:val="16"/>
          <w:lang w:val="es-CO"/>
        </w:rPr>
      </w:pPr>
    </w:p>
  </w:footnote>
  <w:footnote w:id="6">
    <w:p w14:paraId="507B7310" w14:textId="73E3DB1D"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w:t>
      </w:r>
      <w:r w:rsidRPr="00025914">
        <w:rPr>
          <w:rFonts w:ascii="Verdana" w:eastAsia="Calibri" w:hAnsi="Verdana" w:cs="Arial"/>
          <w:color w:val="000000" w:themeColor="text1"/>
          <w:sz w:val="16"/>
          <w:szCs w:val="16"/>
        </w:rPr>
        <w:t xml:space="preserve">Consejo de Estado. Sección Tercera. Subsección B. Providencia del 5 de diciembre de 2016. Expediente: 05001-23-31-000-2003-03663-01 (41.333). C. P. Ramiro Pazos Guerrero. Allí se dijo que </w:t>
      </w:r>
      <w:r>
        <w:rPr>
          <w:rFonts w:ascii="Verdana" w:eastAsia="Calibri" w:hAnsi="Verdana" w:cs="Arial"/>
          <w:color w:val="000000" w:themeColor="text1"/>
          <w:sz w:val="16"/>
          <w:szCs w:val="16"/>
        </w:rPr>
        <w:t>“</w:t>
      </w:r>
      <w:r w:rsidRPr="00025914">
        <w:rPr>
          <w:rFonts w:ascii="Verdana" w:eastAsia="Calibri" w:hAnsi="Verdana" w:cs="Arial"/>
          <w:color w:val="000000" w:themeColor="text1"/>
          <w:sz w:val="16"/>
          <w:szCs w:val="16"/>
        </w:rPr>
        <w:t>es deber de los servidores evitar que prevalezca el interés particular sobre el general, de manera que para garantizar tal propósito el legislador ha establecido toda una reglamentación para propender por la transparencia en la adopción de decisiones, la cual no solo está contenida en la Ley 80 de 1993 o en los régimen especiales de contratación estatal, sino en otro tipo de normas, verbigracia en los ordenamientos disciplinarios , los que regulan el funcionamiento de los entes territoriales  o la actividad de la administración, etc.</w:t>
      </w:r>
    </w:p>
    <w:p w14:paraId="2AFA0288" w14:textId="77777777" w:rsidR="00933CFF" w:rsidRPr="00025914" w:rsidRDefault="00933CFF" w:rsidP="00933CFF">
      <w:pPr>
        <w:pStyle w:val="Textonotapie"/>
        <w:tabs>
          <w:tab w:val="left" w:pos="1892"/>
        </w:tabs>
        <w:ind w:firstLine="708"/>
        <w:jc w:val="both"/>
        <w:rPr>
          <w:rFonts w:ascii="Verdana" w:eastAsia="Calibri" w:hAnsi="Verdana" w:cs="Arial"/>
          <w:color w:val="000000" w:themeColor="text1"/>
          <w:sz w:val="16"/>
          <w:szCs w:val="16"/>
        </w:rPr>
      </w:pPr>
      <w:r w:rsidRPr="00025914">
        <w:rPr>
          <w:rFonts w:ascii="Verdana" w:eastAsia="Calibri" w:hAnsi="Verdana" w:cs="Arial"/>
          <w:color w:val="000000" w:themeColor="text1"/>
          <w:sz w:val="16"/>
          <w:szCs w:val="16"/>
        </w:rPr>
        <w:tab/>
      </w:r>
    </w:p>
    <w:p w14:paraId="543FED74" w14:textId="77777777"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Fonts w:ascii="Verdana" w:eastAsia="Calibri" w:hAnsi="Verdana" w:cs="Arial"/>
          <w:color w:val="000000" w:themeColor="text1"/>
          <w:sz w:val="16"/>
          <w:szCs w:val="16"/>
        </w:rPr>
        <w:t>»27.6. No sobra decir que con toda razón, el Consejo de Estado ha considerado que el régimen de inhabilidades e incompatibilidades se justifica en la prevalencia de los intereses estatales y en los principios y valores de igualdad, moralidad, ética, corrección, probidad, trasparencia e imparcialidad».</w:t>
      </w:r>
    </w:p>
    <w:p w14:paraId="33855102" w14:textId="77777777" w:rsidR="00933CFF" w:rsidRPr="00025914" w:rsidRDefault="00933CFF" w:rsidP="00933CFF">
      <w:pPr>
        <w:pStyle w:val="Textonotapie"/>
        <w:ind w:firstLine="708"/>
        <w:jc w:val="both"/>
        <w:rPr>
          <w:rFonts w:ascii="Verdana" w:eastAsia="Calibri" w:hAnsi="Verdana" w:cs="Arial"/>
          <w:color w:val="000000" w:themeColor="text1"/>
          <w:sz w:val="16"/>
          <w:szCs w:val="16"/>
        </w:rPr>
      </w:pPr>
      <w:r w:rsidRPr="00025914">
        <w:rPr>
          <w:rFonts w:ascii="Verdana" w:eastAsia="Calibri" w:hAnsi="Verdana" w:cs="Arial"/>
          <w:color w:val="000000" w:themeColor="text1"/>
          <w:sz w:val="16"/>
          <w:szCs w:val="16"/>
        </w:rPr>
        <w:t xml:space="preserve"> </w:t>
      </w:r>
    </w:p>
  </w:footnote>
  <w:footnote w:id="7">
    <w:p w14:paraId="1C8199B6" w14:textId="1DC31EEE"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Decreto 1082 de 2015: </w:t>
      </w:r>
      <w:r>
        <w:rPr>
          <w:rFonts w:ascii="Verdana" w:hAnsi="Verdana" w:cs="Arial"/>
          <w:color w:val="000000" w:themeColor="text1"/>
          <w:sz w:val="16"/>
          <w:szCs w:val="16"/>
        </w:rPr>
        <w:t>“</w:t>
      </w:r>
      <w:r w:rsidRPr="00025914">
        <w:rPr>
          <w:rFonts w:ascii="Verdana" w:hAnsi="Verdana" w:cs="Arial"/>
          <w:color w:val="000000" w:themeColor="text1"/>
          <w:sz w:val="16"/>
          <w:szCs w:val="16"/>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8">
    <w:p w14:paraId="32F2A8BE" w14:textId="77777777" w:rsidR="00933CFF" w:rsidRPr="00025914" w:rsidRDefault="00933CFF" w:rsidP="00933CFF">
      <w:pPr>
        <w:pStyle w:val="Textonotapie"/>
        <w:ind w:firstLine="708"/>
        <w:jc w:val="both"/>
        <w:rPr>
          <w:rFonts w:ascii="Verdana" w:hAnsi="Verdana" w:cs="Arial"/>
          <w:color w:val="000000" w:themeColor="text1"/>
          <w:sz w:val="16"/>
          <w:szCs w:val="16"/>
        </w:rPr>
      </w:pPr>
    </w:p>
    <w:p w14:paraId="224061C2" w14:textId="77423BD9"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Decreto 1082 de 2015: </w:t>
      </w:r>
      <w:r>
        <w:rPr>
          <w:rFonts w:ascii="Verdana" w:hAnsi="Verdana" w:cs="Arial"/>
          <w:color w:val="000000" w:themeColor="text1"/>
          <w:sz w:val="16"/>
          <w:szCs w:val="16"/>
        </w:rPr>
        <w:t>“</w:t>
      </w:r>
      <w:r w:rsidRPr="00025914">
        <w:rPr>
          <w:rFonts w:ascii="Verdana" w:hAnsi="Verdana" w:cs="Arial"/>
          <w:color w:val="000000" w:themeColor="text1"/>
          <w:sz w:val="16"/>
          <w:szCs w:val="16"/>
        </w:rPr>
        <w:t>Artículo 2.2.1.1.1.5.3. Requisitos habilitantes contenidos en el RUP. Las cámaras de comercio, con base en la información a la que hace referencia el artículo anterior, deben verificar y certificar los siguientes requisitos habilitantes:</w:t>
      </w:r>
    </w:p>
    <w:p w14:paraId="1AF31610"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Fonts w:ascii="Verdana" w:hAnsi="Verdana" w:cs="Arial"/>
          <w:color w:val="000000" w:themeColor="text1"/>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 […]».</w:t>
      </w:r>
    </w:p>
  </w:footnote>
  <w:footnote w:id="9">
    <w:p w14:paraId="7AA21B55" w14:textId="77777777" w:rsidR="00933CFF" w:rsidRPr="00025914" w:rsidRDefault="00933CFF" w:rsidP="00933CFF">
      <w:pPr>
        <w:pStyle w:val="Textonotapie"/>
        <w:ind w:firstLine="708"/>
        <w:jc w:val="both"/>
        <w:rPr>
          <w:rFonts w:ascii="Verdana" w:hAnsi="Verdana" w:cs="Arial"/>
          <w:color w:val="000000" w:themeColor="text1"/>
          <w:sz w:val="16"/>
          <w:szCs w:val="16"/>
        </w:rPr>
      </w:pPr>
    </w:p>
    <w:p w14:paraId="37FF7C92" w14:textId="47EDC593"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Ley 1150 de 2007: </w:t>
      </w:r>
      <w:r>
        <w:rPr>
          <w:rFonts w:ascii="Verdana" w:hAnsi="Verdana" w:cs="Arial"/>
          <w:color w:val="000000" w:themeColor="text1"/>
          <w:sz w:val="16"/>
          <w:szCs w:val="16"/>
        </w:rPr>
        <w:t>“</w:t>
      </w:r>
      <w:r w:rsidRPr="00025914">
        <w:rPr>
          <w:rFonts w:ascii="Verdana" w:hAnsi="Verdana" w:cs="Arial"/>
          <w:color w:val="000000" w:themeColor="text1"/>
          <w:sz w:val="16"/>
          <w:szCs w:val="16"/>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F5ACE12"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Fonts w:ascii="Verdana" w:hAnsi="Verdana" w:cs="Arial"/>
          <w:color w:val="000000" w:themeColor="text1"/>
          <w:sz w:val="16"/>
          <w:szCs w:val="16"/>
        </w:rPr>
        <w:t>[...]</w:t>
      </w:r>
    </w:p>
    <w:p w14:paraId="39A06AFF"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Fonts w:ascii="Verdana" w:hAnsi="Verdana" w:cs="Arial"/>
          <w:color w:val="000000" w:themeColor="text1"/>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A358609"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Fonts w:ascii="Verdana" w:hAnsi="Verdana" w:cs="Arial"/>
          <w:color w:val="000000" w:themeColor="text1"/>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0">
    <w:p w14:paraId="5263F976" w14:textId="77777777" w:rsidR="00933CFF" w:rsidRPr="00025914" w:rsidRDefault="00933CFF" w:rsidP="00933CFF">
      <w:pPr>
        <w:pStyle w:val="Textonotapie"/>
        <w:ind w:firstLine="708"/>
        <w:jc w:val="both"/>
        <w:rPr>
          <w:rFonts w:ascii="Verdana" w:hAnsi="Verdana" w:cs="Arial"/>
          <w:color w:val="000000" w:themeColor="text1"/>
          <w:sz w:val="16"/>
          <w:szCs w:val="16"/>
        </w:rPr>
      </w:pPr>
    </w:p>
    <w:p w14:paraId="6065F6D0" w14:textId="220F344B"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Decreto 1082 de 2015: </w:t>
      </w:r>
      <w:r>
        <w:rPr>
          <w:rFonts w:ascii="Verdana" w:hAnsi="Verdana" w:cs="Arial"/>
          <w:color w:val="000000" w:themeColor="text1"/>
          <w:sz w:val="16"/>
          <w:szCs w:val="16"/>
        </w:rPr>
        <w:t>“</w:t>
      </w:r>
      <w:r w:rsidRPr="00025914">
        <w:rPr>
          <w:rFonts w:ascii="Verdana" w:hAnsi="Verdana" w:cs="Arial"/>
          <w:color w:val="000000" w:themeColor="text1"/>
          <w:sz w:val="16"/>
          <w:szCs w:val="16"/>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2BA6653" w14:textId="77777777" w:rsidR="00933CFF" w:rsidRPr="00025914" w:rsidRDefault="00933CFF" w:rsidP="00933CFF">
      <w:pPr>
        <w:pStyle w:val="Textonotapie"/>
        <w:ind w:firstLine="709"/>
        <w:jc w:val="both"/>
        <w:rPr>
          <w:rFonts w:ascii="Verdana" w:hAnsi="Verdana" w:cs="Arial"/>
          <w:color w:val="000000" w:themeColor="text1"/>
          <w:sz w:val="16"/>
          <w:szCs w:val="16"/>
        </w:rPr>
      </w:pPr>
      <w:r w:rsidRPr="00025914">
        <w:rPr>
          <w:rFonts w:ascii="Verdana" w:hAnsi="Verdana" w:cs="Arial"/>
          <w:color w:val="000000" w:themeColor="text1"/>
          <w:sz w:val="16"/>
          <w:szCs w:val="16"/>
        </w:rPr>
        <w:t>»1.    Si es una persona natural:</w:t>
      </w:r>
    </w:p>
    <w:p w14:paraId="03F4530D" w14:textId="77777777" w:rsidR="00933CFF" w:rsidRPr="00025914" w:rsidRDefault="00933CFF" w:rsidP="00933CFF">
      <w:pPr>
        <w:pStyle w:val="Textonotapie"/>
        <w:ind w:firstLine="709"/>
        <w:jc w:val="both"/>
        <w:rPr>
          <w:rFonts w:ascii="Verdana" w:hAnsi="Verdana" w:cs="Arial"/>
          <w:color w:val="000000" w:themeColor="text1"/>
          <w:sz w:val="16"/>
          <w:szCs w:val="16"/>
        </w:rPr>
      </w:pPr>
      <w:r w:rsidRPr="00025914">
        <w:rPr>
          <w:rFonts w:ascii="Verdana" w:hAnsi="Verdana" w:cs="Arial"/>
          <w:color w:val="000000" w:themeColor="text1"/>
          <w:sz w:val="16"/>
          <w:szCs w:val="16"/>
        </w:rPr>
        <w:t>»1.1. Bienes, obras y servicios que ofrecerá a las Entidades Estatales, identificados con el Clasificador de Bienes y Servicios en el tercer nivel.</w:t>
      </w:r>
    </w:p>
    <w:p w14:paraId="4F22C57B" w14:textId="77777777" w:rsidR="00933CFF" w:rsidRPr="00025914" w:rsidRDefault="00933CFF" w:rsidP="00933CFF">
      <w:pPr>
        <w:pStyle w:val="Textonotapie"/>
        <w:ind w:firstLine="709"/>
        <w:jc w:val="both"/>
        <w:rPr>
          <w:rFonts w:ascii="Verdana" w:hAnsi="Verdana" w:cs="Arial"/>
          <w:color w:val="000000" w:themeColor="text1"/>
          <w:sz w:val="16"/>
          <w:szCs w:val="16"/>
        </w:rPr>
      </w:pPr>
      <w:r w:rsidRPr="00025914">
        <w:rPr>
          <w:rFonts w:ascii="Verdana" w:hAnsi="Verdana" w:cs="Arial"/>
          <w:color w:val="000000" w:themeColor="text1"/>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03FEDC86" w14:textId="77777777" w:rsidR="00933CFF" w:rsidRPr="00025914" w:rsidRDefault="00933CFF" w:rsidP="00933CFF">
      <w:pPr>
        <w:pStyle w:val="Textonotapie"/>
        <w:jc w:val="both"/>
        <w:rPr>
          <w:rFonts w:ascii="Verdana" w:hAnsi="Verdana" w:cs="Arial"/>
          <w:color w:val="000000" w:themeColor="text1"/>
          <w:sz w:val="16"/>
          <w:szCs w:val="16"/>
        </w:rPr>
      </w:pPr>
    </w:p>
    <w:p w14:paraId="635EB62D"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Fonts w:ascii="Verdana" w:hAnsi="Verdana" w:cs="Arial"/>
          <w:color w:val="000000" w:themeColor="text1"/>
          <w:sz w:val="16"/>
          <w:szCs w:val="16"/>
        </w:rPr>
        <w:t xml:space="preserve"> </w:t>
      </w:r>
    </w:p>
  </w:footnote>
  <w:footnote w:id="11">
    <w:p w14:paraId="437FD0B6"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Mide la liquidez del proponente de manera más estricta que el índice de liquidez pues no tiene en cuenta su inventario. El inventario es excluido teniendo en cuenta que es la cuenta menos líquida del activo corriente y no debe ser usada para pagar las obligaciones de corto plazo.</w:t>
      </w:r>
    </w:p>
  </w:footnote>
  <w:footnote w:id="12">
    <w:p w14:paraId="1976B355"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Cfr. Consejo de Estado. Sección Tercera. Providencias del 11 de diciembre de 2002, dictada dentro del expediente AG-1683, y del 18 de octubre de 2001, proferida dentro del plenario AG-021.</w:t>
      </w:r>
    </w:p>
    <w:p w14:paraId="79CA75DA"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p>
  </w:footnote>
  <w:footnote w:id="13">
    <w:p w14:paraId="67183251" w14:textId="77777777" w:rsidR="00933CFF" w:rsidRPr="00025914" w:rsidRDefault="00933CFF" w:rsidP="00933CFF">
      <w:pPr>
        <w:pStyle w:val="Textonotapie"/>
        <w:ind w:firstLine="708"/>
        <w:jc w:val="both"/>
        <w:rPr>
          <w:rFonts w:ascii="Verdana" w:hAnsi="Verdana" w:cs="Arial"/>
          <w:color w:val="000000" w:themeColor="text1"/>
          <w:sz w:val="16"/>
          <w:szCs w:val="16"/>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Cfr. Corte Constitucional. Sentencia C-569 de 2004. M.P. Rodrigo Uprimny Yepes.</w:t>
      </w:r>
    </w:p>
    <w:p w14:paraId="264F2CA9" w14:textId="77777777" w:rsidR="00933CFF" w:rsidRPr="00025914" w:rsidRDefault="00933CFF" w:rsidP="00933CFF">
      <w:pPr>
        <w:pStyle w:val="Textonotapie"/>
        <w:ind w:firstLine="708"/>
        <w:jc w:val="both"/>
        <w:rPr>
          <w:rFonts w:ascii="Verdana" w:hAnsi="Verdana" w:cs="Arial"/>
          <w:color w:val="000000" w:themeColor="text1"/>
          <w:sz w:val="16"/>
          <w:szCs w:val="16"/>
          <w:lang w:val="es-ES"/>
        </w:rPr>
      </w:pPr>
    </w:p>
  </w:footnote>
  <w:footnote w:id="14">
    <w:p w14:paraId="46712410" w14:textId="47D0C0B6"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Gaceta 096 de 2007. Pág. 9. Allí se lee: </w:t>
      </w:r>
      <w:r>
        <w:rPr>
          <w:rFonts w:ascii="Verdana" w:hAnsi="Verdana" w:cs="Arial"/>
          <w:color w:val="000000" w:themeColor="text1"/>
          <w:sz w:val="16"/>
          <w:szCs w:val="16"/>
        </w:rPr>
        <w:t>“</w:t>
      </w:r>
      <w:r w:rsidRPr="00025914">
        <w:rPr>
          <w:rFonts w:ascii="Verdana" w:hAnsi="Verdana" w:cs="Arial"/>
          <w:color w:val="000000" w:themeColor="text1"/>
          <w:sz w:val="16"/>
          <w:szCs w:val="16"/>
        </w:rPr>
        <w:t xml:space="preserve">Parágrafo 2°. Nuevo. Se adiciona un parágrafo nuevo para </w:t>
      </w:r>
      <w:r w:rsidRPr="00025914">
        <w:rPr>
          <w:rFonts w:ascii="Verdana" w:hAnsi="Verdana" w:cs="Arial"/>
          <w:i/>
          <w:iCs/>
          <w:color w:val="000000" w:themeColor="text1"/>
          <w:sz w:val="16"/>
          <w:szCs w:val="16"/>
        </w:rPr>
        <w:t>establecer de manera concreta</w:t>
      </w:r>
      <w:r w:rsidRPr="00025914">
        <w:rPr>
          <w:rFonts w:ascii="Verdana" w:hAnsi="Verdana" w:cs="Arial"/>
          <w:color w:val="000000" w:themeColor="text1"/>
          <w:sz w:val="16"/>
          <w:szCs w:val="16"/>
        </w:rPr>
        <w:t xml:space="preserve">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15">
    <w:p w14:paraId="7D815D64" w14:textId="2BF1C39A" w:rsidR="00933CFF" w:rsidRPr="00025914" w:rsidRDefault="00933CFF" w:rsidP="00933CFF">
      <w:pPr>
        <w:pStyle w:val="Textonotapie"/>
        <w:ind w:firstLine="708"/>
        <w:jc w:val="both"/>
        <w:rPr>
          <w:rFonts w:ascii="Verdana" w:hAnsi="Verdana" w:cs="Arial"/>
          <w:color w:val="000000" w:themeColor="text1"/>
          <w:sz w:val="16"/>
          <w:szCs w:val="16"/>
          <w:lang w:val="es-ES"/>
        </w:rPr>
      </w:pPr>
      <w:r w:rsidRPr="00025914">
        <w:rPr>
          <w:rStyle w:val="Refdenotaalpie"/>
          <w:rFonts w:ascii="Verdana" w:hAnsi="Verdana" w:cs="Arial"/>
          <w:color w:val="000000" w:themeColor="text1"/>
          <w:sz w:val="16"/>
          <w:szCs w:val="16"/>
        </w:rPr>
        <w:footnoteRef/>
      </w:r>
      <w:r w:rsidRPr="00025914">
        <w:rPr>
          <w:rFonts w:ascii="Verdana" w:hAnsi="Verdana" w:cs="Arial"/>
          <w:color w:val="000000" w:themeColor="text1"/>
          <w:sz w:val="16"/>
          <w:szCs w:val="16"/>
        </w:rPr>
        <w:t xml:space="preserve"> En el concepto C-071 del 4 de marzo de 2020 –radicado No. 2202013000001597–, esta Subdirección consideró: </w:t>
      </w:r>
      <w:r>
        <w:rPr>
          <w:rFonts w:ascii="Verdana" w:hAnsi="Verdana" w:cs="Arial"/>
          <w:color w:val="000000" w:themeColor="text1"/>
          <w:sz w:val="16"/>
          <w:szCs w:val="16"/>
        </w:rPr>
        <w:t>“</w:t>
      </w:r>
      <w:r w:rsidRPr="00025914">
        <w:rPr>
          <w:rFonts w:ascii="Verdana" w:hAnsi="Verdana" w:cs="Arial"/>
          <w:color w:val="000000" w:themeColor="text1"/>
          <w:sz w:val="16"/>
          <w:szCs w:val="16"/>
        </w:rPr>
        <w:t>[…] es necesario distinguir si la persona jurídica suscribió contratos de trabajo o de prestación de servicios para cumplir con el objeto para el cual fue contratada, pues, si es lo primero, le corresponde asumir una parte de los aportes como empleador; pero, si es lo segundo, no le asiste dicho deber. Lo procedente, pues, es que demuestre el pago de los aportes de los empleados dependientes y verificar el pago de los aportes de las demás personas que contrató. A la entidad, por su parte, le corresponde vigilar que el contratista acredite dichos pagos, mediante certificación expedida por el revisor fiscal o el representante legal, dependiendo del caso, en cumplimiento de lo dispuesto en el artículo 23 de la Ley 1150 de 2007». En similar sentido ver, entre otros, conceptos C-118 y C-131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90F4B"/>
    <w:multiLevelType w:val="hybridMultilevel"/>
    <w:tmpl w:val="CB563672"/>
    <w:lvl w:ilvl="0" w:tplc="E17CFDE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1F1443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3" w15:restartNumberingAfterBreak="0">
    <w:nsid w:val="4C8A41D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9835DA4"/>
    <w:multiLevelType w:val="hybridMultilevel"/>
    <w:tmpl w:val="6DA268A0"/>
    <w:lvl w:ilvl="0" w:tplc="0BB80C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F70B8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48779781">
    <w:abstractNumId w:val="13"/>
  </w:num>
  <w:num w:numId="2" w16cid:durableId="19822139">
    <w:abstractNumId w:val="2"/>
  </w:num>
  <w:num w:numId="3" w16cid:durableId="876742304">
    <w:abstractNumId w:val="9"/>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0"/>
  </w:num>
  <w:num w:numId="7" w16cid:durableId="1946422806">
    <w:abstractNumId w:val="11"/>
  </w:num>
  <w:num w:numId="8" w16cid:durableId="152644682">
    <w:abstractNumId w:val="29"/>
  </w:num>
  <w:num w:numId="9" w16cid:durableId="1317221377">
    <w:abstractNumId w:val="15"/>
  </w:num>
  <w:num w:numId="10" w16cid:durableId="1471245386">
    <w:abstractNumId w:val="28"/>
  </w:num>
  <w:num w:numId="11" w16cid:durableId="289172385">
    <w:abstractNumId w:val="17"/>
  </w:num>
  <w:num w:numId="12" w16cid:durableId="1470781324">
    <w:abstractNumId w:val="1"/>
  </w:num>
  <w:num w:numId="13" w16cid:durableId="1512908409">
    <w:abstractNumId w:val="8"/>
  </w:num>
  <w:num w:numId="14" w16cid:durableId="895897244">
    <w:abstractNumId w:val="31"/>
  </w:num>
  <w:num w:numId="15" w16cid:durableId="390349800">
    <w:abstractNumId w:val="26"/>
  </w:num>
  <w:num w:numId="16" w16cid:durableId="1380713882">
    <w:abstractNumId w:val="0"/>
  </w:num>
  <w:num w:numId="17" w16cid:durableId="691802391">
    <w:abstractNumId w:val="18"/>
  </w:num>
  <w:num w:numId="18" w16cid:durableId="1290623316">
    <w:abstractNumId w:val="4"/>
  </w:num>
  <w:num w:numId="19" w16cid:durableId="562327327">
    <w:abstractNumId w:val="14"/>
  </w:num>
  <w:num w:numId="20" w16cid:durableId="135807285">
    <w:abstractNumId w:val="16"/>
  </w:num>
  <w:num w:numId="21" w16cid:durableId="1816873601">
    <w:abstractNumId w:val="10"/>
  </w:num>
  <w:num w:numId="22" w16cid:durableId="1012342571">
    <w:abstractNumId w:val="27"/>
  </w:num>
  <w:num w:numId="23" w16cid:durableId="13794342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2972689">
    <w:abstractNumId w:val="5"/>
  </w:num>
  <w:num w:numId="25" w16cid:durableId="1553424327">
    <w:abstractNumId w:val="24"/>
  </w:num>
  <w:num w:numId="26" w16cid:durableId="1611006927">
    <w:abstractNumId w:val="19"/>
  </w:num>
  <w:num w:numId="27" w16cid:durableId="142738409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9418375">
    <w:abstractNumId w:val="3"/>
  </w:num>
  <w:num w:numId="29" w16cid:durableId="222720132">
    <w:abstractNumId w:val="12"/>
  </w:num>
  <w:num w:numId="30" w16cid:durableId="2072921521">
    <w:abstractNumId w:val="35"/>
  </w:num>
  <w:num w:numId="31" w16cid:durableId="676464647">
    <w:abstractNumId w:val="22"/>
  </w:num>
  <w:num w:numId="32" w16cid:durableId="1218249738">
    <w:abstractNumId w:val="25"/>
  </w:num>
  <w:num w:numId="33" w16cid:durableId="1294098688">
    <w:abstractNumId w:val="34"/>
  </w:num>
  <w:num w:numId="34" w16cid:durableId="752504844">
    <w:abstractNumId w:val="7"/>
  </w:num>
  <w:num w:numId="35" w16cid:durableId="405495661">
    <w:abstractNumId w:val="36"/>
  </w:num>
  <w:num w:numId="36" w16cid:durableId="653417341">
    <w:abstractNumId w:val="23"/>
  </w:num>
  <w:num w:numId="37" w16cid:durableId="780296754">
    <w:abstractNumId w:val="6"/>
  </w:num>
  <w:num w:numId="38" w16cid:durableId="153255849">
    <w:abstractNumId w:val="21"/>
  </w:num>
  <w:num w:numId="39" w16cid:durableId="78403917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53DED"/>
    <w:rsid w:val="00061B2A"/>
    <w:rsid w:val="000662CB"/>
    <w:rsid w:val="00070BF0"/>
    <w:rsid w:val="00082362"/>
    <w:rsid w:val="000907FF"/>
    <w:rsid w:val="00091A32"/>
    <w:rsid w:val="000A683E"/>
    <w:rsid w:val="000B19B9"/>
    <w:rsid w:val="000B4FA5"/>
    <w:rsid w:val="000C762A"/>
    <w:rsid w:val="000D0334"/>
    <w:rsid w:val="000D2FED"/>
    <w:rsid w:val="000E1C46"/>
    <w:rsid w:val="000E7AA1"/>
    <w:rsid w:val="000F07EB"/>
    <w:rsid w:val="000F2222"/>
    <w:rsid w:val="000F6486"/>
    <w:rsid w:val="00103B90"/>
    <w:rsid w:val="00125105"/>
    <w:rsid w:val="00127233"/>
    <w:rsid w:val="0013630D"/>
    <w:rsid w:val="001511A0"/>
    <w:rsid w:val="0015444C"/>
    <w:rsid w:val="00156F3F"/>
    <w:rsid w:val="00183336"/>
    <w:rsid w:val="001939CB"/>
    <w:rsid w:val="00194937"/>
    <w:rsid w:val="001A6583"/>
    <w:rsid w:val="001B319A"/>
    <w:rsid w:val="001B6B96"/>
    <w:rsid w:val="001C174F"/>
    <w:rsid w:val="001D1756"/>
    <w:rsid w:val="001E4177"/>
    <w:rsid w:val="001F663F"/>
    <w:rsid w:val="001F7DC6"/>
    <w:rsid w:val="002009FB"/>
    <w:rsid w:val="00203E0B"/>
    <w:rsid w:val="00205479"/>
    <w:rsid w:val="00212642"/>
    <w:rsid w:val="00215206"/>
    <w:rsid w:val="00222AE3"/>
    <w:rsid w:val="002421BB"/>
    <w:rsid w:val="002423EE"/>
    <w:rsid w:val="00242FED"/>
    <w:rsid w:val="00245A1E"/>
    <w:rsid w:val="0025796E"/>
    <w:rsid w:val="002707A2"/>
    <w:rsid w:val="0028106D"/>
    <w:rsid w:val="00282E11"/>
    <w:rsid w:val="00286F68"/>
    <w:rsid w:val="002951A0"/>
    <w:rsid w:val="002962BC"/>
    <w:rsid w:val="002A093D"/>
    <w:rsid w:val="002A0DD0"/>
    <w:rsid w:val="002A49AC"/>
    <w:rsid w:val="002A64FD"/>
    <w:rsid w:val="002A7DD8"/>
    <w:rsid w:val="002C0393"/>
    <w:rsid w:val="002C7A84"/>
    <w:rsid w:val="002D4A66"/>
    <w:rsid w:val="002E4FD9"/>
    <w:rsid w:val="002F2B7D"/>
    <w:rsid w:val="003007B5"/>
    <w:rsid w:val="00302C65"/>
    <w:rsid w:val="003037F8"/>
    <w:rsid w:val="00310DA4"/>
    <w:rsid w:val="003210BD"/>
    <w:rsid w:val="00322A85"/>
    <w:rsid w:val="00323054"/>
    <w:rsid w:val="0032344D"/>
    <w:rsid w:val="00324168"/>
    <w:rsid w:val="00324E0B"/>
    <w:rsid w:val="003448F4"/>
    <w:rsid w:val="00346217"/>
    <w:rsid w:val="00356999"/>
    <w:rsid w:val="003639A5"/>
    <w:rsid w:val="00374F5E"/>
    <w:rsid w:val="00375A69"/>
    <w:rsid w:val="00377E3E"/>
    <w:rsid w:val="00380918"/>
    <w:rsid w:val="003971DC"/>
    <w:rsid w:val="003A2E2D"/>
    <w:rsid w:val="003A779E"/>
    <w:rsid w:val="003B1736"/>
    <w:rsid w:val="003D0F4D"/>
    <w:rsid w:val="003D2678"/>
    <w:rsid w:val="003D5B0D"/>
    <w:rsid w:val="003E0499"/>
    <w:rsid w:val="003E2F6B"/>
    <w:rsid w:val="003F3941"/>
    <w:rsid w:val="00406575"/>
    <w:rsid w:val="00407E88"/>
    <w:rsid w:val="004138FA"/>
    <w:rsid w:val="00414C74"/>
    <w:rsid w:val="0041525F"/>
    <w:rsid w:val="00415D34"/>
    <w:rsid w:val="00426213"/>
    <w:rsid w:val="0042722E"/>
    <w:rsid w:val="004423E3"/>
    <w:rsid w:val="0044528D"/>
    <w:rsid w:val="0045001C"/>
    <w:rsid w:val="00473696"/>
    <w:rsid w:val="00475AA4"/>
    <w:rsid w:val="00480E56"/>
    <w:rsid w:val="00487F18"/>
    <w:rsid w:val="0049089A"/>
    <w:rsid w:val="00493AF3"/>
    <w:rsid w:val="004A1847"/>
    <w:rsid w:val="004A305D"/>
    <w:rsid w:val="004B36AC"/>
    <w:rsid w:val="004B50C2"/>
    <w:rsid w:val="004B682E"/>
    <w:rsid w:val="004B6A47"/>
    <w:rsid w:val="004C28B2"/>
    <w:rsid w:val="004C63BA"/>
    <w:rsid w:val="004C7829"/>
    <w:rsid w:val="004F06EF"/>
    <w:rsid w:val="004F21C4"/>
    <w:rsid w:val="004F462A"/>
    <w:rsid w:val="004F685F"/>
    <w:rsid w:val="0050790C"/>
    <w:rsid w:val="0053223E"/>
    <w:rsid w:val="005359FF"/>
    <w:rsid w:val="00537729"/>
    <w:rsid w:val="005566E8"/>
    <w:rsid w:val="0056164A"/>
    <w:rsid w:val="00567040"/>
    <w:rsid w:val="00574867"/>
    <w:rsid w:val="00574F32"/>
    <w:rsid w:val="005760D5"/>
    <w:rsid w:val="005764F6"/>
    <w:rsid w:val="005806A6"/>
    <w:rsid w:val="00591460"/>
    <w:rsid w:val="005948AC"/>
    <w:rsid w:val="005B3816"/>
    <w:rsid w:val="005B4680"/>
    <w:rsid w:val="005B65F1"/>
    <w:rsid w:val="005C3777"/>
    <w:rsid w:val="005C4991"/>
    <w:rsid w:val="005C5CDC"/>
    <w:rsid w:val="005C7DAB"/>
    <w:rsid w:val="005D476C"/>
    <w:rsid w:val="005D6FC4"/>
    <w:rsid w:val="005E69AD"/>
    <w:rsid w:val="00602354"/>
    <w:rsid w:val="0061329B"/>
    <w:rsid w:val="006219F8"/>
    <w:rsid w:val="00631045"/>
    <w:rsid w:val="00637BBF"/>
    <w:rsid w:val="006420DB"/>
    <w:rsid w:val="006437E3"/>
    <w:rsid w:val="00656A22"/>
    <w:rsid w:val="00665D70"/>
    <w:rsid w:val="00675FED"/>
    <w:rsid w:val="00685502"/>
    <w:rsid w:val="006874D3"/>
    <w:rsid w:val="00687D47"/>
    <w:rsid w:val="006900D9"/>
    <w:rsid w:val="006A0288"/>
    <w:rsid w:val="006A7425"/>
    <w:rsid w:val="006B2C02"/>
    <w:rsid w:val="006C1039"/>
    <w:rsid w:val="006D7121"/>
    <w:rsid w:val="006F60F9"/>
    <w:rsid w:val="00706C16"/>
    <w:rsid w:val="007108E5"/>
    <w:rsid w:val="0072552A"/>
    <w:rsid w:val="0073141C"/>
    <w:rsid w:val="00747A2A"/>
    <w:rsid w:val="00756841"/>
    <w:rsid w:val="00763E4A"/>
    <w:rsid w:val="007649AB"/>
    <w:rsid w:val="00771D0C"/>
    <w:rsid w:val="00773148"/>
    <w:rsid w:val="007733E9"/>
    <w:rsid w:val="007833AC"/>
    <w:rsid w:val="00794CF0"/>
    <w:rsid w:val="007A08A9"/>
    <w:rsid w:val="007A16C2"/>
    <w:rsid w:val="007B268C"/>
    <w:rsid w:val="007B7171"/>
    <w:rsid w:val="007C0C0F"/>
    <w:rsid w:val="007C3DC2"/>
    <w:rsid w:val="007E5497"/>
    <w:rsid w:val="00806F5F"/>
    <w:rsid w:val="00810CF4"/>
    <w:rsid w:val="00820278"/>
    <w:rsid w:val="00826A46"/>
    <w:rsid w:val="008303DD"/>
    <w:rsid w:val="008323CA"/>
    <w:rsid w:val="008336AA"/>
    <w:rsid w:val="00854443"/>
    <w:rsid w:val="00867581"/>
    <w:rsid w:val="00867F95"/>
    <w:rsid w:val="008843B6"/>
    <w:rsid w:val="00885EDB"/>
    <w:rsid w:val="00891928"/>
    <w:rsid w:val="00894D4F"/>
    <w:rsid w:val="008A217A"/>
    <w:rsid w:val="008A30DF"/>
    <w:rsid w:val="008A446D"/>
    <w:rsid w:val="008A5CDB"/>
    <w:rsid w:val="008A65FF"/>
    <w:rsid w:val="008B22D4"/>
    <w:rsid w:val="008B5BD4"/>
    <w:rsid w:val="008B6069"/>
    <w:rsid w:val="008D180B"/>
    <w:rsid w:val="008E2259"/>
    <w:rsid w:val="008E2432"/>
    <w:rsid w:val="008F0EA7"/>
    <w:rsid w:val="008F7110"/>
    <w:rsid w:val="009015F2"/>
    <w:rsid w:val="0090373B"/>
    <w:rsid w:val="009144A7"/>
    <w:rsid w:val="009144FE"/>
    <w:rsid w:val="00916515"/>
    <w:rsid w:val="00923EEF"/>
    <w:rsid w:val="00926872"/>
    <w:rsid w:val="00933CFF"/>
    <w:rsid w:val="009419F9"/>
    <w:rsid w:val="00943E42"/>
    <w:rsid w:val="00951BE3"/>
    <w:rsid w:val="009552F8"/>
    <w:rsid w:val="0095685E"/>
    <w:rsid w:val="00961B09"/>
    <w:rsid w:val="00965334"/>
    <w:rsid w:val="0097093E"/>
    <w:rsid w:val="00972BE4"/>
    <w:rsid w:val="009763D2"/>
    <w:rsid w:val="00980385"/>
    <w:rsid w:val="00986AC5"/>
    <w:rsid w:val="009A0DFA"/>
    <w:rsid w:val="009A2609"/>
    <w:rsid w:val="009A5D6C"/>
    <w:rsid w:val="009B2D26"/>
    <w:rsid w:val="009C3C72"/>
    <w:rsid w:val="009C71FA"/>
    <w:rsid w:val="009C72E7"/>
    <w:rsid w:val="009D0270"/>
    <w:rsid w:val="009D3058"/>
    <w:rsid w:val="009E066B"/>
    <w:rsid w:val="009E7558"/>
    <w:rsid w:val="009F3A13"/>
    <w:rsid w:val="009F52CB"/>
    <w:rsid w:val="00A01384"/>
    <w:rsid w:val="00A10BE8"/>
    <w:rsid w:val="00A122D3"/>
    <w:rsid w:val="00A17F13"/>
    <w:rsid w:val="00A20739"/>
    <w:rsid w:val="00A2105A"/>
    <w:rsid w:val="00A24C35"/>
    <w:rsid w:val="00A33C78"/>
    <w:rsid w:val="00A46BDF"/>
    <w:rsid w:val="00A51CB5"/>
    <w:rsid w:val="00A52834"/>
    <w:rsid w:val="00A54961"/>
    <w:rsid w:val="00A64017"/>
    <w:rsid w:val="00A67421"/>
    <w:rsid w:val="00A800B4"/>
    <w:rsid w:val="00AA1AB8"/>
    <w:rsid w:val="00AB0ADB"/>
    <w:rsid w:val="00AC032B"/>
    <w:rsid w:val="00AC19F6"/>
    <w:rsid w:val="00AD1D1F"/>
    <w:rsid w:val="00AF5AD6"/>
    <w:rsid w:val="00AF6E4E"/>
    <w:rsid w:val="00B01B1A"/>
    <w:rsid w:val="00B023E1"/>
    <w:rsid w:val="00B0362B"/>
    <w:rsid w:val="00B0429C"/>
    <w:rsid w:val="00B10334"/>
    <w:rsid w:val="00B13ACF"/>
    <w:rsid w:val="00B13F9B"/>
    <w:rsid w:val="00B23BA1"/>
    <w:rsid w:val="00B2560E"/>
    <w:rsid w:val="00B31D93"/>
    <w:rsid w:val="00B403F3"/>
    <w:rsid w:val="00B41E30"/>
    <w:rsid w:val="00B45CE8"/>
    <w:rsid w:val="00B460A5"/>
    <w:rsid w:val="00B54B1C"/>
    <w:rsid w:val="00B66319"/>
    <w:rsid w:val="00B72CD3"/>
    <w:rsid w:val="00B72F80"/>
    <w:rsid w:val="00B72FFF"/>
    <w:rsid w:val="00B74C13"/>
    <w:rsid w:val="00B97F61"/>
    <w:rsid w:val="00BA29CE"/>
    <w:rsid w:val="00BA41B4"/>
    <w:rsid w:val="00BA7AA4"/>
    <w:rsid w:val="00BB5A06"/>
    <w:rsid w:val="00BB6CF9"/>
    <w:rsid w:val="00BB7180"/>
    <w:rsid w:val="00BB7335"/>
    <w:rsid w:val="00BB7ECF"/>
    <w:rsid w:val="00BC3D36"/>
    <w:rsid w:val="00BD7F72"/>
    <w:rsid w:val="00BE36F8"/>
    <w:rsid w:val="00C04FB3"/>
    <w:rsid w:val="00C14BFF"/>
    <w:rsid w:val="00C17C49"/>
    <w:rsid w:val="00C203C3"/>
    <w:rsid w:val="00C21F3A"/>
    <w:rsid w:val="00C22001"/>
    <w:rsid w:val="00C31B11"/>
    <w:rsid w:val="00C330EB"/>
    <w:rsid w:val="00C41061"/>
    <w:rsid w:val="00C47954"/>
    <w:rsid w:val="00C47F96"/>
    <w:rsid w:val="00C63058"/>
    <w:rsid w:val="00C721CD"/>
    <w:rsid w:val="00C754BE"/>
    <w:rsid w:val="00C76B1C"/>
    <w:rsid w:val="00C84124"/>
    <w:rsid w:val="00C8467B"/>
    <w:rsid w:val="00C846DC"/>
    <w:rsid w:val="00C90C14"/>
    <w:rsid w:val="00C91AF4"/>
    <w:rsid w:val="00C9219A"/>
    <w:rsid w:val="00CA01D8"/>
    <w:rsid w:val="00CA184F"/>
    <w:rsid w:val="00CA6159"/>
    <w:rsid w:val="00CB6357"/>
    <w:rsid w:val="00CB7B40"/>
    <w:rsid w:val="00CC1B26"/>
    <w:rsid w:val="00CC4186"/>
    <w:rsid w:val="00CC5B4B"/>
    <w:rsid w:val="00CD0A5B"/>
    <w:rsid w:val="00CE4121"/>
    <w:rsid w:val="00CE429E"/>
    <w:rsid w:val="00CE66CC"/>
    <w:rsid w:val="00CE685E"/>
    <w:rsid w:val="00D10C3B"/>
    <w:rsid w:val="00D10FFF"/>
    <w:rsid w:val="00D237B8"/>
    <w:rsid w:val="00D32BBA"/>
    <w:rsid w:val="00D36635"/>
    <w:rsid w:val="00D423A2"/>
    <w:rsid w:val="00D431A3"/>
    <w:rsid w:val="00D44DAC"/>
    <w:rsid w:val="00D51274"/>
    <w:rsid w:val="00D520D8"/>
    <w:rsid w:val="00D52AEA"/>
    <w:rsid w:val="00D5385A"/>
    <w:rsid w:val="00D63AC2"/>
    <w:rsid w:val="00D7383B"/>
    <w:rsid w:val="00D73921"/>
    <w:rsid w:val="00D75DA2"/>
    <w:rsid w:val="00D807CA"/>
    <w:rsid w:val="00D80C98"/>
    <w:rsid w:val="00DA231B"/>
    <w:rsid w:val="00DB1CDB"/>
    <w:rsid w:val="00DC366F"/>
    <w:rsid w:val="00DC39FC"/>
    <w:rsid w:val="00DF5254"/>
    <w:rsid w:val="00E10F5E"/>
    <w:rsid w:val="00E16408"/>
    <w:rsid w:val="00E1659F"/>
    <w:rsid w:val="00E20894"/>
    <w:rsid w:val="00E245AB"/>
    <w:rsid w:val="00E25A6A"/>
    <w:rsid w:val="00E2764C"/>
    <w:rsid w:val="00E27F2E"/>
    <w:rsid w:val="00E41707"/>
    <w:rsid w:val="00E445EC"/>
    <w:rsid w:val="00E50AFE"/>
    <w:rsid w:val="00E53417"/>
    <w:rsid w:val="00E75C92"/>
    <w:rsid w:val="00E771DC"/>
    <w:rsid w:val="00E8182D"/>
    <w:rsid w:val="00E8772A"/>
    <w:rsid w:val="00E90F6B"/>
    <w:rsid w:val="00E92C27"/>
    <w:rsid w:val="00E96AE3"/>
    <w:rsid w:val="00E976F8"/>
    <w:rsid w:val="00EA0E3D"/>
    <w:rsid w:val="00EA3856"/>
    <w:rsid w:val="00EA70F7"/>
    <w:rsid w:val="00EB76B6"/>
    <w:rsid w:val="00EC197C"/>
    <w:rsid w:val="00EC38A7"/>
    <w:rsid w:val="00ED706A"/>
    <w:rsid w:val="00ED7384"/>
    <w:rsid w:val="00EE1AA8"/>
    <w:rsid w:val="00EF204B"/>
    <w:rsid w:val="00EF736C"/>
    <w:rsid w:val="00F04945"/>
    <w:rsid w:val="00F05362"/>
    <w:rsid w:val="00F124F7"/>
    <w:rsid w:val="00F16E96"/>
    <w:rsid w:val="00F2696E"/>
    <w:rsid w:val="00F2789C"/>
    <w:rsid w:val="00F30C63"/>
    <w:rsid w:val="00F31EDC"/>
    <w:rsid w:val="00F33245"/>
    <w:rsid w:val="00F416A1"/>
    <w:rsid w:val="00F418EF"/>
    <w:rsid w:val="00F462B3"/>
    <w:rsid w:val="00F47338"/>
    <w:rsid w:val="00F5664F"/>
    <w:rsid w:val="00F634C7"/>
    <w:rsid w:val="00F666C4"/>
    <w:rsid w:val="00F76AFC"/>
    <w:rsid w:val="00F90546"/>
    <w:rsid w:val="00F9591F"/>
    <w:rsid w:val="00F95D89"/>
    <w:rsid w:val="00FA0C2E"/>
    <w:rsid w:val="00FA3CFE"/>
    <w:rsid w:val="00FA47C0"/>
    <w:rsid w:val="00FB5DD1"/>
    <w:rsid w:val="00FC13EB"/>
    <w:rsid w:val="00FC2B5D"/>
    <w:rsid w:val="00FC6FA1"/>
    <w:rsid w:val="00FF1449"/>
    <w:rsid w:val="00FF395A"/>
    <w:rsid w:val="00FF49D7"/>
    <w:rsid w:val="00FF5A9D"/>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Fuerte">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 w:type="paragraph" w:customStyle="1" w:styleId="TableParagraph">
    <w:name w:val="Table Paragraph"/>
    <w:basedOn w:val="Normal"/>
    <w:uiPriority w:val="1"/>
    <w:qFormat/>
    <w:rsid w:val="00C31B11"/>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31B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superscript">
    <w:name w:val="superscript"/>
    <w:basedOn w:val="Fuentedeprrafopredeter"/>
    <w:rsid w:val="00A54961"/>
  </w:style>
  <w:style w:type="character" w:customStyle="1" w:styleId="spellingerror">
    <w:name w:val="spellingerror"/>
    <w:basedOn w:val="Fuentedeprrafopredeter"/>
    <w:rsid w:val="00933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yortecnologias@gmail.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providencias-consejo-de-estad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6A09CFA-D771-431F-A5B2-F4E675905C2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1898</TotalTime>
  <Pages>20</Pages>
  <Words>6498</Words>
  <Characters>35739</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112</cp:revision>
  <cp:lastPrinted>2023-01-10T21:18:00Z</cp:lastPrinted>
  <dcterms:created xsi:type="dcterms:W3CDTF">2025-08-19T14:54:00Z</dcterms:created>
  <dcterms:modified xsi:type="dcterms:W3CDTF">2026-02-01T17:47:00Z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