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ECFDC" w14:textId="77777777" w:rsidR="00E74B29" w:rsidRDefault="00E74B29" w:rsidP="00E74B29">
      <w:pPr>
        <w:jc w:val="both"/>
        <w:rPr>
          <w:rFonts w:ascii="Verdana" w:hAnsi="Verdana" w:cs="Arial"/>
          <w:b/>
          <w:bCs/>
          <w:color w:val="000000" w:themeColor="text1"/>
        </w:rPr>
      </w:pPr>
      <w:bookmarkStart w:id="0" w:name="_Hlk143780582"/>
      <w:bookmarkStart w:id="1" w:name="_Hlk214608191"/>
      <w:r w:rsidRPr="00E74B29">
        <w:rPr>
          <w:rFonts w:ascii="Verdana" w:hAnsi="Verdana" w:cs="Arial"/>
          <w:b/>
          <w:bCs/>
          <w:color w:val="000000" w:themeColor="text1"/>
        </w:rPr>
        <w:t xml:space="preserve">LEY DE GARANTÍAS ELECTORALES – Finalidad </w:t>
      </w:r>
    </w:p>
    <w:p w14:paraId="001A6185" w14:textId="23D9FF7C" w:rsidR="00E74B29" w:rsidRPr="00E74B29" w:rsidRDefault="00E74B29" w:rsidP="00E74B29">
      <w:pPr>
        <w:spacing w:after="0" w:line="240" w:lineRule="auto"/>
        <w:jc w:val="both"/>
        <w:rPr>
          <w:rFonts w:ascii="Verdana" w:hAnsi="Verdana" w:cs="Arial"/>
          <w:color w:val="000000" w:themeColor="text1"/>
          <w:sz w:val="20"/>
          <w:szCs w:val="20"/>
        </w:rPr>
      </w:pPr>
      <w:r w:rsidRPr="00E74B29">
        <w:rPr>
          <w:rFonts w:ascii="Verdana" w:hAnsi="Verdana" w:cs="Arial"/>
          <w:color w:val="000000" w:themeColor="text1"/>
          <w:sz w:val="20"/>
          <w:szCs w:val="20"/>
        </w:rPr>
        <w:t xml:space="preserve">[…] </w:t>
      </w:r>
      <w:r w:rsidRPr="00E74B29">
        <w:rPr>
          <w:rFonts w:ascii="Verdana" w:eastAsia="Times New Roman" w:hAnsi="Verdana" w:cs="Arial"/>
          <w:sz w:val="20"/>
          <w:szCs w:val="20"/>
          <w:lang w:val="es-MX"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48E9077B" w14:textId="77777777" w:rsidR="00E74B29" w:rsidRPr="00E74B29" w:rsidRDefault="00E74B29" w:rsidP="00E74B29">
      <w:pPr>
        <w:spacing w:after="0" w:line="240" w:lineRule="auto"/>
        <w:jc w:val="both"/>
        <w:rPr>
          <w:rFonts w:ascii="Verdana" w:hAnsi="Verdana" w:cs="Arial"/>
          <w:b/>
          <w:bCs/>
          <w:color w:val="000000" w:themeColor="text1"/>
        </w:rPr>
      </w:pPr>
    </w:p>
    <w:p w14:paraId="34049840" w14:textId="2ED0D8EB"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Restricciones ‒ Contratación </w:t>
      </w:r>
    </w:p>
    <w:p w14:paraId="14C77F23" w14:textId="77777777" w:rsidR="00E74B29" w:rsidRDefault="00E74B29" w:rsidP="00E74B29">
      <w:pPr>
        <w:spacing w:after="0" w:line="240" w:lineRule="auto"/>
        <w:jc w:val="both"/>
        <w:rPr>
          <w:rFonts w:ascii="Verdana" w:eastAsia="Arial" w:hAnsi="Verdana" w:cs="Arial"/>
          <w:sz w:val="20"/>
          <w:szCs w:val="20"/>
          <w:lang w:val="es-ES" w:eastAsia="es-ES" w:bidi="es-ES"/>
        </w:rPr>
      </w:pPr>
      <w:r w:rsidRPr="00E74B29">
        <w:rPr>
          <w:rFonts w:ascii="Verdana" w:eastAsia="Times New Roman" w:hAnsi="Verdana" w:cs="Arial"/>
          <w:sz w:val="20"/>
          <w:szCs w:val="20"/>
          <w:lang w:val="es-MX" w:eastAsia="es-CO"/>
        </w:rPr>
        <w:t>De</w:t>
      </w:r>
      <w:r w:rsidRPr="00E74B29">
        <w:rPr>
          <w:rFonts w:ascii="Verdana" w:eastAsia="Arial" w:hAnsi="Verdana" w:cs="Arial"/>
          <w:sz w:val="20"/>
          <w:szCs w:val="20"/>
          <w:lang w:val="es-ES" w:eastAsia="es-ES" w:bidi="es-ES"/>
        </w:rPr>
        <w:t xml:space="preserve"> conformidad con lo anterior, 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B012F5E" w14:textId="77777777" w:rsidR="008E7EB7" w:rsidRDefault="008E7EB7" w:rsidP="00E74B29">
      <w:pPr>
        <w:spacing w:after="0" w:line="240" w:lineRule="auto"/>
        <w:jc w:val="both"/>
        <w:rPr>
          <w:rFonts w:ascii="Verdana" w:eastAsia="Arial" w:hAnsi="Verdana" w:cs="Arial"/>
          <w:sz w:val="20"/>
          <w:szCs w:val="20"/>
          <w:lang w:val="es-ES" w:eastAsia="es-ES" w:bidi="es-ES"/>
        </w:rPr>
      </w:pPr>
    </w:p>
    <w:p w14:paraId="27449F06" w14:textId="7CCEB381" w:rsidR="008E7EB7" w:rsidRDefault="008E7EB7" w:rsidP="00E74B29">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652EC8C1" w14:textId="77777777" w:rsidR="008E7EB7" w:rsidRDefault="008E7EB7" w:rsidP="00E74B29">
      <w:pPr>
        <w:spacing w:after="0" w:line="240" w:lineRule="auto"/>
        <w:jc w:val="both"/>
        <w:rPr>
          <w:rFonts w:ascii="Verdana" w:eastAsia="Arial" w:hAnsi="Verdana" w:cs="Arial"/>
          <w:sz w:val="20"/>
          <w:szCs w:val="20"/>
          <w:lang w:val="es-ES" w:eastAsia="es-ES" w:bidi="es-ES"/>
        </w:rPr>
      </w:pPr>
    </w:p>
    <w:p w14:paraId="2B879295" w14:textId="153846CF" w:rsidR="00E74B29" w:rsidRDefault="008E7EB7" w:rsidP="00E74B29">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00E74B29" w:rsidRPr="00E74B29">
        <w:rPr>
          <w:rFonts w:ascii="Verdana" w:eastAsia="Arial" w:hAnsi="Verdana" w:cs="Arial"/>
          <w:sz w:val="20"/>
          <w:szCs w:val="20"/>
          <w:lang w:val="es-ES" w:eastAsia="es-ES" w:bidi="es-ES"/>
        </w:rPr>
        <w:t xml:space="preserv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5E621F1D" w14:textId="77777777" w:rsidR="00E74B29" w:rsidRDefault="00E74B29" w:rsidP="00E74B29">
      <w:pPr>
        <w:spacing w:after="0" w:line="240" w:lineRule="auto"/>
        <w:jc w:val="both"/>
        <w:rPr>
          <w:rFonts w:ascii="Verdana" w:eastAsia="Arial" w:hAnsi="Verdana" w:cs="Arial"/>
          <w:sz w:val="20"/>
          <w:szCs w:val="20"/>
          <w:lang w:val="es-ES" w:eastAsia="es-ES" w:bidi="es-ES"/>
        </w:rPr>
      </w:pPr>
    </w:p>
    <w:p w14:paraId="6E3F4D0A" w14:textId="2D604C7C" w:rsidR="00E74B29" w:rsidRDefault="00E74B29" w:rsidP="00E74B29">
      <w:pPr>
        <w:spacing w:after="0" w:line="240" w:lineRule="auto"/>
        <w:jc w:val="both"/>
        <w:rPr>
          <w:rFonts w:ascii="Verdana" w:eastAsia="Arial" w:hAnsi="Verdana" w:cs="Arial"/>
          <w:sz w:val="20"/>
          <w:szCs w:val="20"/>
          <w:lang w:val="es-ES" w:eastAsia="es-ES" w:bidi="es-ES"/>
        </w:rPr>
      </w:pPr>
      <w:r w:rsidRPr="00E74B29">
        <w:rPr>
          <w:rFonts w:ascii="Verdana" w:eastAsia="Calibri" w:hAnsi="Verdana" w:cs="Arial"/>
          <w:sz w:val="20"/>
          <w:szCs w:val="20"/>
        </w:rPr>
        <w:t xml:space="preserve">Por un lado, el </w:t>
      </w:r>
      <w:r w:rsidRPr="00E74B29">
        <w:rPr>
          <w:rFonts w:ascii="Verdana" w:eastAsia="Calibri" w:hAnsi="Verdana" w:cs="Arial"/>
          <w:i/>
          <w:iCs/>
          <w:sz w:val="20"/>
          <w:szCs w:val="20"/>
        </w:rPr>
        <w:t>artículo 33 de la Ley 996 de 2005</w:t>
      </w:r>
      <w:r w:rsidRPr="00E74B29">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056CF6C" w14:textId="77777777" w:rsidR="00E74B29" w:rsidRDefault="00E74B29" w:rsidP="00E74B29">
      <w:pPr>
        <w:spacing w:after="0" w:line="240" w:lineRule="auto"/>
        <w:jc w:val="both"/>
        <w:rPr>
          <w:rFonts w:ascii="Verdana" w:eastAsia="Arial" w:hAnsi="Verdana" w:cs="Arial"/>
          <w:sz w:val="20"/>
          <w:szCs w:val="20"/>
          <w:lang w:val="es-ES" w:eastAsia="es-ES" w:bidi="es-ES"/>
        </w:rPr>
      </w:pPr>
    </w:p>
    <w:p w14:paraId="1217C3C8" w14:textId="0D7B5ACB" w:rsidR="00E74B29" w:rsidRPr="00E74B29" w:rsidRDefault="00E74B29" w:rsidP="00E74B29">
      <w:pPr>
        <w:spacing w:after="0" w:line="240" w:lineRule="auto"/>
        <w:jc w:val="both"/>
        <w:rPr>
          <w:rFonts w:ascii="Verdana" w:eastAsia="Arial" w:hAnsi="Verdana" w:cs="Arial"/>
          <w:sz w:val="20"/>
          <w:szCs w:val="20"/>
          <w:lang w:val="es-ES" w:eastAsia="es-ES" w:bidi="es-ES"/>
        </w:rPr>
      </w:pPr>
      <w:r w:rsidRPr="00E74B29">
        <w:rPr>
          <w:rFonts w:ascii="Verdana" w:eastAsia="Calibri" w:hAnsi="Verdana" w:cs="Arial"/>
          <w:sz w:val="20"/>
          <w:szCs w:val="20"/>
        </w:rPr>
        <w:t xml:space="preserve">Por otro lado, </w:t>
      </w:r>
      <w:r w:rsidRPr="00E74B29">
        <w:rPr>
          <w:rFonts w:ascii="Verdana" w:eastAsia="Calibri" w:hAnsi="Verdana" w:cs="Arial"/>
          <w:i/>
          <w:iCs/>
          <w:sz w:val="20"/>
          <w:szCs w:val="20"/>
        </w:rPr>
        <w:t>el parágrafo del artículo 38 de la Ley 996 de 2005</w:t>
      </w:r>
      <w:r w:rsidRPr="00E74B29">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74B29">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74B29">
        <w:rPr>
          <w:rFonts w:ascii="Verdana" w:eastAsia="Calibri" w:hAnsi="Verdana" w:cs="Arial"/>
          <w:sz w:val="20"/>
          <w:szCs w:val="20"/>
        </w:rPr>
        <w:t>”</w:t>
      </w:r>
      <w:r w:rsidRPr="00E74B29">
        <w:rPr>
          <w:rFonts w:ascii="Verdana" w:eastAsia="Calibri" w:hAnsi="Verdana" w:cs="Arial"/>
          <w:sz w:val="20"/>
          <w:szCs w:val="20"/>
          <w:lang w:val="es-MX"/>
        </w:rPr>
        <w:t>.</w:t>
      </w:r>
      <w:r w:rsidRPr="00E74B29">
        <w:rPr>
          <w:rFonts w:ascii="Verdana" w:eastAsia="Arial" w:hAnsi="Verdana" w:cs="Arial"/>
          <w:sz w:val="20"/>
          <w:szCs w:val="20"/>
          <w:lang w:val="es-ES" w:eastAsia="es-ES" w:bidi="es-ES"/>
        </w:rPr>
        <w:t xml:space="preserve"> </w:t>
      </w:r>
    </w:p>
    <w:p w14:paraId="36BC5737" w14:textId="77777777" w:rsidR="00E74B29" w:rsidRPr="00E74B29" w:rsidRDefault="00E74B29" w:rsidP="00E74B29">
      <w:pPr>
        <w:spacing w:after="0" w:line="240" w:lineRule="auto"/>
        <w:jc w:val="both"/>
        <w:rPr>
          <w:rFonts w:ascii="Verdana" w:hAnsi="Verdana" w:cs="Arial"/>
          <w:b/>
          <w:bCs/>
          <w:color w:val="000000" w:themeColor="text1"/>
          <w:lang w:val="es-ES"/>
        </w:rPr>
      </w:pPr>
    </w:p>
    <w:p w14:paraId="5C26BB42" w14:textId="77777777"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Artículo 33 – Alcance – Sujetos </w:t>
      </w:r>
    </w:p>
    <w:p w14:paraId="7EE87BA9" w14:textId="390FEC97" w:rsidR="00E74B29" w:rsidRDefault="008E7EB7" w:rsidP="008E7EB7">
      <w:pPr>
        <w:jc w:val="both"/>
        <w:rPr>
          <w:rFonts w:ascii="Verdana" w:eastAsia="Times New Roman" w:hAnsi="Verdana" w:cs="Arial"/>
          <w:sz w:val="20"/>
          <w:szCs w:val="20"/>
          <w:lang w:val="es-ES" w:eastAsia="x-none"/>
        </w:rPr>
      </w:pPr>
      <w:r w:rsidRPr="008E7EB7">
        <w:rPr>
          <w:rFonts w:ascii="Verdana" w:eastAsia="Times New Roman" w:hAnsi="Verdana" w:cs="Arial"/>
          <w:sz w:val="20"/>
          <w:szCs w:val="20"/>
          <w:lang w:val="es-ES" w:eastAsia="x-none"/>
        </w:rPr>
        <w:t xml:space="preserve">[…] la prohibición del artículo 33 de la Ley de Garantías Electorales se refiere a </w:t>
      </w:r>
      <w:r w:rsidRPr="008E7EB7">
        <w:rPr>
          <w:rFonts w:ascii="Verdana" w:eastAsia="Times New Roman" w:hAnsi="Verdana" w:cs="Arial"/>
          <w:sz w:val="20"/>
          <w:szCs w:val="20"/>
          <w:lang w:val="es-ES" w:eastAsia="en-GB"/>
        </w:rPr>
        <w:t>“</w:t>
      </w:r>
      <w:r w:rsidRPr="008E7EB7">
        <w:rPr>
          <w:rFonts w:ascii="Verdana" w:eastAsia="Times New Roman" w:hAnsi="Verdana" w:cs="Arial"/>
          <w:sz w:val="20"/>
          <w:szCs w:val="20"/>
          <w:lang w:val="es-ES" w:eastAsia="x-none"/>
        </w:rPr>
        <w:t>cualquier sistema que no implique convocatoria pública y posibilidad de pluralidad de oferentes</w:t>
      </w:r>
      <w:r w:rsidRPr="008E7EB7">
        <w:rPr>
          <w:rFonts w:ascii="Verdana" w:eastAsia="Times New Roman" w:hAnsi="Verdana" w:cs="Arial"/>
          <w:sz w:val="20"/>
          <w:szCs w:val="20"/>
          <w:lang w:val="es-ES" w:eastAsia="en-GB"/>
        </w:rPr>
        <w:t>”</w:t>
      </w:r>
      <w:r w:rsidRPr="008E7EB7">
        <w:rPr>
          <w:rFonts w:ascii="Verdana" w:eastAsia="Times New Roman" w:hAnsi="Verdana" w:cs="Arial"/>
          <w:sz w:val="20"/>
          <w:szCs w:val="20"/>
          <w:lang w:val="es-ES" w:eastAsia="x-none"/>
        </w:rPr>
        <w:t xml:space="preserve">, </w:t>
      </w:r>
      <w:r w:rsidRPr="008E7EB7">
        <w:rPr>
          <w:rFonts w:ascii="Verdana" w:eastAsia="Times New Roman" w:hAnsi="Verdana" w:cs="Arial"/>
          <w:sz w:val="20"/>
          <w:szCs w:val="20"/>
          <w:lang w:val="es-ES" w:eastAsia="x-none"/>
        </w:rPr>
        <w:lastRenderedPageBreak/>
        <w:t>por lo que excluye las demás modalidades de contratación previstas en la Ley 1150 de 2007</w:t>
      </w:r>
      <w:r>
        <w:rPr>
          <w:rFonts w:ascii="Verdana" w:eastAsia="Times New Roman" w:hAnsi="Verdana" w:cs="Arial"/>
          <w:sz w:val="20"/>
          <w:szCs w:val="20"/>
          <w:lang w:val="es-ES" w:eastAsia="x-none"/>
        </w:rPr>
        <w:t xml:space="preserve">. </w:t>
      </w:r>
    </w:p>
    <w:p w14:paraId="59353AF9" w14:textId="01271D93" w:rsidR="008E7EB7" w:rsidRDefault="008E7EB7" w:rsidP="008E7EB7">
      <w:pPr>
        <w:jc w:val="both"/>
        <w:rPr>
          <w:rFonts w:ascii="Verdana" w:eastAsia="Times New Roman" w:hAnsi="Verdana" w:cs="Arial"/>
          <w:sz w:val="20"/>
          <w:szCs w:val="20"/>
          <w:lang w:val="es-ES" w:eastAsia="x-none"/>
        </w:rPr>
      </w:pPr>
      <w:r>
        <w:rPr>
          <w:rFonts w:ascii="Verdana" w:eastAsia="Times New Roman" w:hAnsi="Verdana" w:cs="Arial"/>
          <w:sz w:val="20"/>
          <w:szCs w:val="20"/>
          <w:lang w:val="es-ES" w:eastAsia="x-none"/>
        </w:rPr>
        <w:t xml:space="preserve">[…] </w:t>
      </w:r>
    </w:p>
    <w:p w14:paraId="076D5899" w14:textId="27C53CBD" w:rsidR="008E7EB7" w:rsidRPr="008E7EB7" w:rsidRDefault="008E7EB7" w:rsidP="008E7EB7">
      <w:pPr>
        <w:spacing w:after="0" w:line="240" w:lineRule="auto"/>
        <w:jc w:val="both"/>
        <w:rPr>
          <w:rFonts w:ascii="Verdana" w:eastAsia="Times New Roman" w:hAnsi="Verdana" w:cs="Arial"/>
          <w:sz w:val="20"/>
          <w:szCs w:val="20"/>
          <w:lang w:val="es-ES" w:eastAsia="x-none"/>
        </w:rPr>
      </w:pPr>
      <w:r w:rsidRPr="008E7EB7">
        <w:rPr>
          <w:rFonts w:ascii="Verdana" w:eastAsia="Times New Roman" w:hAnsi="Verdana" w:cs="Arial"/>
          <w:bCs/>
          <w:sz w:val="20"/>
          <w:szCs w:val="20"/>
          <w:lang w:val="es-ES" w:eastAsia="es-CO"/>
        </w:rPr>
        <w:t xml:space="preserve">Con respecto a los </w:t>
      </w:r>
      <w:r w:rsidRPr="008E7EB7">
        <w:rPr>
          <w:rFonts w:ascii="Verdana" w:eastAsia="Times New Roman" w:hAnsi="Verdana" w:cs="Arial"/>
          <w:bCs/>
          <w:i/>
          <w:iCs/>
          <w:sz w:val="20"/>
          <w:szCs w:val="20"/>
          <w:lang w:val="es-ES" w:eastAsia="es-CO"/>
        </w:rPr>
        <w:t>sujetos</w:t>
      </w:r>
      <w:r w:rsidRPr="008E7EB7">
        <w:rPr>
          <w:rFonts w:ascii="Verdana" w:eastAsia="Times New Roman" w:hAnsi="Verdana" w:cs="Arial"/>
          <w:bCs/>
          <w:sz w:val="20"/>
          <w:szCs w:val="20"/>
          <w:lang w:val="es-ES" w:eastAsia="es-CO"/>
        </w:rPr>
        <w:t xml:space="preserve"> que se encuentran enmarcados en la prohibición del artículo 33, </w:t>
      </w:r>
      <w:r w:rsidRPr="008E7EB7">
        <w:rPr>
          <w:rFonts w:ascii="Verdana" w:eastAsia="Times New Roman" w:hAnsi="Verdana" w:cs="Arial"/>
          <w:sz w:val="20"/>
          <w:szCs w:val="20"/>
          <w:lang w:val="es-ES"/>
        </w:rPr>
        <w:t>la Ley 996 de 2005 señala expresamente que son “</w:t>
      </w:r>
      <w:r w:rsidRPr="008E7EB7">
        <w:rPr>
          <w:rFonts w:ascii="Verdana" w:eastAsia="Times New Roman" w:hAnsi="Verdana" w:cs="Arial"/>
          <w:i/>
          <w:iCs/>
          <w:sz w:val="20"/>
          <w:szCs w:val="20"/>
          <w:u w:val="single"/>
          <w:lang w:val="es-ES"/>
        </w:rPr>
        <w:t>todos</w:t>
      </w:r>
      <w:r w:rsidRPr="008E7EB7">
        <w:rPr>
          <w:rFonts w:ascii="Verdana" w:eastAsia="Times New Roman" w:hAnsi="Verdana" w:cs="Arial"/>
          <w:i/>
          <w:iCs/>
          <w:sz w:val="20"/>
          <w:szCs w:val="20"/>
          <w:lang w:val="es-ES"/>
        </w:rPr>
        <w:t xml:space="preserve"> los entes del Estado</w:t>
      </w:r>
      <w:r w:rsidRPr="008E7EB7">
        <w:rPr>
          <w:rFonts w:ascii="Verdana" w:eastAsia="Times New Roman" w:hAnsi="Verdana" w:cs="Arial"/>
          <w:sz w:val="20"/>
          <w:szCs w:val="20"/>
          <w:lang w:val="es-ES"/>
        </w:rPr>
        <w:t xml:space="preserve">” […] </w:t>
      </w:r>
      <w:r w:rsidRPr="008E7EB7">
        <w:rPr>
          <w:rFonts w:ascii="Verdana" w:hAnsi="Verdana" w:cs="Arial"/>
          <w:bCs/>
          <w:sz w:val="20"/>
          <w:szCs w:val="20"/>
          <w:lang w:val="es-ES" w:eastAsia="x-none"/>
        </w:rPr>
        <w:t>expresión que contempla a los diferentes organismos o entidades autorizadas por la ley para suscribir contratos.</w:t>
      </w:r>
      <w:r w:rsidRPr="008E7EB7">
        <w:rPr>
          <w:rFonts w:ascii="Verdana" w:hAnsi="Verdana"/>
          <w:sz w:val="20"/>
          <w:szCs w:val="20"/>
          <w:lang w:val="es-ES"/>
        </w:rPr>
        <w:t xml:space="preserve"> </w:t>
      </w:r>
      <w:r w:rsidRPr="008E7EB7">
        <w:rPr>
          <w:rFonts w:ascii="Verdana" w:hAnsi="Verdana" w:cs="Arial"/>
          <w:bCs/>
          <w:sz w:val="20"/>
          <w:szCs w:val="20"/>
          <w:lang w:val="es-ES" w:eastAsia="x-none"/>
        </w:rPr>
        <w:t>En efecto, tal como lo ha sostenido el Consejo de Estado, el vocablo “todos” utilizado por el legislador comprende</w:t>
      </w:r>
      <w:r w:rsidRPr="008E7EB7">
        <w:rPr>
          <w:rFonts w:ascii="Verdana" w:hAnsi="Verdana"/>
          <w:sz w:val="20"/>
          <w:szCs w:val="20"/>
          <w:lang w:val="es-ES"/>
        </w:rPr>
        <w:t xml:space="preserve"> </w:t>
      </w:r>
      <w:r w:rsidRPr="008E7EB7">
        <w:rPr>
          <w:rFonts w:ascii="Verdana" w:hAnsi="Verdana" w:cs="Arial"/>
          <w:bCs/>
          <w:sz w:val="20"/>
          <w:szCs w:val="20"/>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1D3357A8" w14:textId="77777777" w:rsidR="008E7EB7" w:rsidRPr="00E74B29" w:rsidRDefault="008E7EB7" w:rsidP="00E74B29">
      <w:pPr>
        <w:spacing w:after="0" w:line="240" w:lineRule="auto"/>
        <w:jc w:val="both"/>
        <w:rPr>
          <w:rFonts w:ascii="Verdana" w:hAnsi="Verdana" w:cs="Arial"/>
          <w:b/>
          <w:bCs/>
          <w:color w:val="000000" w:themeColor="text1"/>
        </w:rPr>
      </w:pPr>
    </w:p>
    <w:p w14:paraId="159EFA78" w14:textId="77777777"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Excepciones </w:t>
      </w:r>
    </w:p>
    <w:p w14:paraId="33A8F0D4" w14:textId="7E4AE109" w:rsidR="008E7EB7" w:rsidRDefault="008E7EB7" w:rsidP="008E7EB7">
      <w:pPr>
        <w:jc w:val="both"/>
        <w:rPr>
          <w:rFonts w:ascii="Verdana" w:hAnsi="Verdana" w:cs="Arial"/>
          <w:color w:val="000000" w:themeColor="text1"/>
          <w:sz w:val="20"/>
          <w:szCs w:val="20"/>
          <w:lang w:val="es-ES"/>
        </w:rPr>
      </w:pPr>
      <w:r w:rsidRPr="008E7EB7">
        <w:rPr>
          <w:rFonts w:ascii="Verdana" w:hAnsi="Verdana" w:cs="Arial"/>
          <w:color w:val="000000" w:themeColor="text1"/>
          <w:sz w:val="20"/>
          <w:szCs w:val="20"/>
        </w:rPr>
        <w:t xml:space="preserve">[…] </w:t>
      </w:r>
      <w:r w:rsidRPr="008E7EB7">
        <w:rPr>
          <w:rFonts w:ascii="Verdana" w:eastAsia="Arial" w:hAnsi="Verdana" w:cs="Arial"/>
          <w:color w:val="000000" w:themeColor="text1"/>
          <w:sz w:val="20"/>
          <w:szCs w:val="20"/>
          <w:lang w:val="es-ES"/>
        </w:rPr>
        <w:t xml:space="preserve">debe tenerse en cuenta que, en principio, todos los entes del Estado están cobijados por la prohibición para contratar directamente establecida en el artículo 33 de la Ley de Garantías Electorales. Sin embargo, es importante reiterar que </w:t>
      </w:r>
      <w:r w:rsidRPr="008E7EB7">
        <w:rPr>
          <w:rFonts w:ascii="Verdana" w:hAnsi="Verdana" w:cs="Arial"/>
          <w:color w:val="000000" w:themeColor="text1"/>
          <w:sz w:val="20"/>
          <w:szCs w:val="20"/>
          <w:lang w:val="es-ES"/>
        </w:rPr>
        <w:t>el segundo inciso de la misma disposición consagró las excepciones aplicables a la prohibición de contratación directa establecida en el mismo artículo.</w:t>
      </w:r>
    </w:p>
    <w:p w14:paraId="05AFAA47" w14:textId="3EC0306C" w:rsidR="008E7EB7" w:rsidRDefault="008E7EB7" w:rsidP="008E7EB7">
      <w:pPr>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w:t>
      </w:r>
    </w:p>
    <w:p w14:paraId="42C45F47" w14:textId="77777777" w:rsidR="008E7EB7" w:rsidRPr="008E7EB7" w:rsidRDefault="008E7EB7" w:rsidP="008E7EB7">
      <w:pPr>
        <w:tabs>
          <w:tab w:val="left" w:pos="426"/>
        </w:tabs>
        <w:spacing w:after="0" w:line="240" w:lineRule="auto"/>
        <w:jc w:val="both"/>
        <w:rPr>
          <w:rFonts w:ascii="Verdana" w:hAnsi="Verdana" w:cs="Arial"/>
          <w:bCs/>
          <w:color w:val="000000" w:themeColor="text1"/>
          <w:sz w:val="20"/>
          <w:szCs w:val="20"/>
          <w:lang w:val="es-ES"/>
        </w:rPr>
      </w:pPr>
      <w:r w:rsidRPr="008E7EB7">
        <w:rPr>
          <w:rFonts w:ascii="Verdana" w:hAnsi="Verdana" w:cs="Arial"/>
          <w:bCs/>
          <w:color w:val="000000" w:themeColor="text1"/>
          <w:sz w:val="20"/>
          <w:szCs w:val="20"/>
          <w:lang w:val="es-ES"/>
        </w:rPr>
        <w:t>Lo anterior implica que las excepciones al artículo 33 en comento deben interpretarse y aplicarse de manera estricta. En otras palabras, no es factible hacer interpretaciones extensivas</w:t>
      </w:r>
      <w:r w:rsidRPr="008E7EB7">
        <w:rPr>
          <w:rFonts w:ascii="Verdana" w:hAnsi="Verdana" w:cs="Arial"/>
          <w:bCs/>
          <w:i/>
          <w:iCs/>
          <w:color w:val="000000" w:themeColor="text1"/>
          <w:sz w:val="20"/>
          <w:szCs w:val="20"/>
          <w:lang w:val="es-ES"/>
        </w:rPr>
        <w:t xml:space="preserve"> </w:t>
      </w:r>
      <w:r w:rsidRPr="008E7EB7">
        <w:rPr>
          <w:rFonts w:ascii="Verdana" w:hAnsi="Verdana" w:cs="Arial"/>
          <w:bCs/>
          <w:color w:val="000000" w:themeColor="text1"/>
          <w:sz w:val="20"/>
          <w:szCs w:val="20"/>
          <w:lang w:val="es-ES"/>
        </w:rPr>
        <w:t>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942625D" w14:textId="77777777" w:rsidR="008E7EB7" w:rsidRPr="008E7EB7" w:rsidRDefault="008E7EB7" w:rsidP="008E7EB7">
      <w:pPr>
        <w:spacing w:after="0" w:line="240" w:lineRule="auto"/>
        <w:jc w:val="both"/>
        <w:rPr>
          <w:rFonts w:ascii="Verdana" w:hAnsi="Verdana" w:cs="Arial"/>
          <w:color w:val="000000" w:themeColor="text1"/>
          <w:sz w:val="20"/>
          <w:szCs w:val="20"/>
          <w:lang w:val="es-ES"/>
        </w:rPr>
      </w:pPr>
    </w:p>
    <w:p w14:paraId="1C39F4A4" w14:textId="77777777" w:rsidR="00E74B29" w:rsidRDefault="00E74B29" w:rsidP="00E74B29">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 Parágrafo del artículo 38 – Alcance </w:t>
      </w:r>
    </w:p>
    <w:p w14:paraId="6E536F34" w14:textId="5A456D45" w:rsidR="00BA5588" w:rsidRDefault="00BA5588" w:rsidP="00BA5588">
      <w:pPr>
        <w:tabs>
          <w:tab w:val="left" w:pos="426"/>
        </w:tabs>
        <w:spacing w:after="0" w:line="240" w:lineRule="auto"/>
        <w:jc w:val="both"/>
        <w:rPr>
          <w:rFonts w:ascii="Verdana" w:hAnsi="Verdana" w:cs="Arial"/>
          <w:sz w:val="20"/>
          <w:szCs w:val="20"/>
          <w:lang w:val="es-ES"/>
        </w:rPr>
      </w:pPr>
      <w:r w:rsidRPr="00BA5588">
        <w:rPr>
          <w:rFonts w:ascii="Verdana" w:hAnsi="Verdana" w:cs="Arial"/>
          <w:color w:val="000000" w:themeColor="text1"/>
          <w:sz w:val="20"/>
          <w:szCs w:val="20"/>
        </w:rPr>
        <w:t xml:space="preserve">[…] </w:t>
      </w:r>
      <w:r w:rsidRPr="00BA5588">
        <w:rPr>
          <w:rFonts w:ascii="Verdana" w:eastAsia="Arial" w:hAnsi="Verdana" w:cs="Arial"/>
          <w:color w:val="000000" w:themeColor="text1"/>
          <w:sz w:val="20"/>
          <w:szCs w:val="20"/>
          <w:lang w:val="es-ES"/>
        </w:rPr>
        <w:t xml:space="preserve">la prohibición establecida en el </w:t>
      </w:r>
      <w:r w:rsidRPr="00BA5588">
        <w:rPr>
          <w:rFonts w:ascii="Verdana" w:eastAsia="Arial" w:hAnsi="Verdana" w:cs="Arial"/>
          <w:i/>
          <w:iCs/>
          <w:color w:val="000000" w:themeColor="text1"/>
          <w:sz w:val="20"/>
          <w:szCs w:val="20"/>
          <w:lang w:val="es-ES"/>
        </w:rPr>
        <w:t xml:space="preserve">parágrafo del artículo 38 </w:t>
      </w:r>
      <w:r w:rsidRPr="00BA5588">
        <w:rPr>
          <w:rFonts w:ascii="Verdana" w:eastAsia="Calibri" w:hAnsi="Verdana" w:cs="Arial"/>
          <w:sz w:val="20"/>
          <w:szCs w:val="20"/>
          <w:lang w:val="es-ES"/>
        </w:rPr>
        <w:t>de la Ley 996 de</w:t>
      </w:r>
      <w:r w:rsidRPr="00BA5588">
        <w:rPr>
          <w:rFonts w:ascii="Verdana" w:eastAsia="Calibri" w:hAnsi="Verdana" w:cs="Arial"/>
          <w:bCs/>
          <w:sz w:val="20"/>
          <w:szCs w:val="20"/>
          <w:lang w:val="es-ES"/>
        </w:rPr>
        <w:t xml:space="preserve"> 2005 dispone que “los Gobernadores, </w:t>
      </w:r>
      <w:proofErr w:type="gramStart"/>
      <w:r w:rsidRPr="00BA5588">
        <w:rPr>
          <w:rFonts w:ascii="Verdana" w:eastAsia="Calibri" w:hAnsi="Verdana" w:cs="Arial"/>
          <w:bCs/>
          <w:sz w:val="20"/>
          <w:szCs w:val="20"/>
          <w:lang w:val="es-ES"/>
        </w:rPr>
        <w:t>Alcaldes</w:t>
      </w:r>
      <w:proofErr w:type="gramEnd"/>
      <w:r w:rsidRPr="00BA5588">
        <w:rPr>
          <w:rFonts w:ascii="Verdana" w:eastAsia="Calibri" w:hAnsi="Verdana" w:cs="Arial"/>
          <w:bCs/>
          <w:sz w:val="20"/>
          <w:szCs w:val="20"/>
          <w:lang w:val="es-ES"/>
        </w:rPr>
        <w:t xml:space="preserve"> Municipales y/o Distritales, </w:t>
      </w:r>
      <w:proofErr w:type="gramStart"/>
      <w:r w:rsidRPr="00BA5588">
        <w:rPr>
          <w:rFonts w:ascii="Verdana" w:eastAsia="Calibri" w:hAnsi="Verdana" w:cs="Arial"/>
          <w:bCs/>
          <w:sz w:val="20"/>
          <w:szCs w:val="20"/>
          <w:lang w:val="es-ES"/>
        </w:rPr>
        <w:t>Secretarios</w:t>
      </w:r>
      <w:proofErr w:type="gramEnd"/>
      <w:r w:rsidRPr="00BA5588">
        <w:rPr>
          <w:rFonts w:ascii="Verdana" w:eastAsia="Calibri" w:hAnsi="Verdana" w:cs="Arial"/>
          <w:bCs/>
          <w:sz w:val="20"/>
          <w:szCs w:val="20"/>
          <w:lang w:val="es-ES"/>
        </w:rPr>
        <w:t>, Gerentes y directores de Entidades Descentralizadas del orden Municipal, Departamental o Distrital, dentro de los cuatro (4) meses anteriores a las elecciones, no podrán celebrar convenios interadministrativos para la ejecución de recursos públicos”.</w:t>
      </w:r>
      <w:r w:rsidRPr="00BA5588">
        <w:rPr>
          <w:rFonts w:ascii="Verdana" w:hAnsi="Verdana" w:cs="Arial"/>
          <w:bCs/>
          <w:iCs/>
          <w:sz w:val="20"/>
          <w:szCs w:val="20"/>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BA5588">
        <w:rPr>
          <w:rFonts w:ascii="Verdana" w:hAnsi="Verdana" w:cs="Arial"/>
          <w:sz w:val="20"/>
          <w:szCs w:val="20"/>
          <w:lang w:val="es-ES"/>
        </w:rPr>
        <w:t xml:space="preserve"> </w:t>
      </w:r>
    </w:p>
    <w:p w14:paraId="15925807" w14:textId="77777777" w:rsidR="002A25E5" w:rsidRDefault="002A25E5" w:rsidP="00BA5588">
      <w:pPr>
        <w:tabs>
          <w:tab w:val="left" w:pos="426"/>
        </w:tabs>
        <w:spacing w:after="0" w:line="240" w:lineRule="auto"/>
        <w:jc w:val="both"/>
        <w:rPr>
          <w:rFonts w:ascii="Verdana" w:hAnsi="Verdana" w:cs="Arial"/>
          <w:sz w:val="20"/>
          <w:szCs w:val="20"/>
          <w:lang w:val="es-ES"/>
        </w:rPr>
      </w:pPr>
    </w:p>
    <w:p w14:paraId="3A22F839" w14:textId="06701997" w:rsidR="00BA5588" w:rsidRDefault="00BA5588" w:rsidP="00BA5588">
      <w:pPr>
        <w:tabs>
          <w:tab w:val="left" w:pos="426"/>
        </w:tabs>
        <w:spacing w:after="0" w:line="240" w:lineRule="auto"/>
        <w:jc w:val="both"/>
        <w:rPr>
          <w:rFonts w:ascii="Verdana" w:hAnsi="Verdana" w:cs="Arial"/>
          <w:bCs/>
          <w:color w:val="000000" w:themeColor="text1"/>
          <w:sz w:val="20"/>
          <w:szCs w:val="20"/>
          <w:lang w:val="es-ES"/>
        </w:rPr>
      </w:pPr>
      <w:r>
        <w:rPr>
          <w:rFonts w:ascii="Verdana" w:hAnsi="Verdana" w:cs="Arial"/>
          <w:sz w:val="20"/>
          <w:szCs w:val="20"/>
          <w:lang w:val="es-ES"/>
        </w:rPr>
        <w:t>[…]</w:t>
      </w:r>
    </w:p>
    <w:p w14:paraId="1CC1DEBE" w14:textId="77777777" w:rsidR="00BA5588" w:rsidRDefault="00BA5588" w:rsidP="00BA5588">
      <w:pPr>
        <w:tabs>
          <w:tab w:val="left" w:pos="426"/>
        </w:tabs>
        <w:spacing w:after="0" w:line="240" w:lineRule="auto"/>
        <w:jc w:val="both"/>
        <w:rPr>
          <w:rFonts w:ascii="Verdana" w:hAnsi="Verdana" w:cs="Arial"/>
          <w:bCs/>
          <w:color w:val="000000" w:themeColor="text1"/>
          <w:sz w:val="20"/>
          <w:szCs w:val="20"/>
          <w:lang w:val="es-ES"/>
        </w:rPr>
      </w:pPr>
    </w:p>
    <w:p w14:paraId="3C4660F1" w14:textId="6A9978F2" w:rsidR="00BA5588" w:rsidRDefault="00BA5588" w:rsidP="00BA5588">
      <w:pPr>
        <w:tabs>
          <w:tab w:val="left" w:pos="426"/>
        </w:tabs>
        <w:spacing w:after="0" w:line="240" w:lineRule="auto"/>
        <w:jc w:val="both"/>
        <w:rPr>
          <w:rFonts w:ascii="Verdana" w:eastAsia="Calibri" w:hAnsi="Verdana" w:cs="Arial"/>
          <w:sz w:val="20"/>
          <w:szCs w:val="20"/>
          <w:lang w:bidi="es-ES"/>
        </w:rPr>
      </w:pPr>
      <w:r w:rsidRPr="00BA5588">
        <w:rPr>
          <w:rFonts w:ascii="Verdana" w:eastAsia="Times New Roman" w:hAnsi="Verdana" w:cs="Arial"/>
          <w:sz w:val="20"/>
          <w:szCs w:val="20"/>
          <w:lang w:val="es-MX" w:eastAsia="x-none"/>
        </w:rPr>
        <w:lastRenderedPageBreak/>
        <w:t xml:space="preserve">Sobre este aspecto, es importante señalar que esta Subdirección, en los conceptos emitidos sobre la aplicación de la Ley de Garantías Electorales, ha defendido y mantenido la postura acerca de que la prohibición señalada en </w:t>
      </w:r>
      <w:r w:rsidRPr="00BA5588">
        <w:rPr>
          <w:rFonts w:ascii="Verdana" w:eastAsia="Arial" w:hAnsi="Verdana" w:cs="Arial"/>
          <w:sz w:val="20"/>
          <w:szCs w:val="20"/>
          <w:lang w:val="es-ES" w:eastAsia="es-ES" w:bidi="es-ES"/>
        </w:rPr>
        <w:t>e</w:t>
      </w:r>
      <w:r w:rsidRPr="00BA5588">
        <w:rPr>
          <w:rFonts w:ascii="Verdana" w:eastAsia="Calibri" w:hAnsi="Verdana" w:cs="Arial"/>
          <w:sz w:val="20"/>
          <w:szCs w:val="20"/>
        </w:rPr>
        <w:t xml:space="preserve">l parágrafo del artículo 38 cobija tanto a los convenios como a los contratos interadministrativos. Esta tesis se fundamenta en que </w:t>
      </w:r>
      <w:r w:rsidRPr="00BA5588">
        <w:rPr>
          <w:rFonts w:ascii="Verdana" w:eastAsia="Calibri" w:hAnsi="Verdana" w:cs="Arial"/>
          <w:sz w:val="20"/>
          <w:szCs w:val="20"/>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6D8F0099" w14:textId="77777777" w:rsidR="00BA5588" w:rsidRPr="00BA5588" w:rsidRDefault="00BA5588" w:rsidP="00BA5588">
      <w:pPr>
        <w:tabs>
          <w:tab w:val="left" w:pos="426"/>
        </w:tabs>
        <w:spacing w:after="0" w:line="240" w:lineRule="auto"/>
        <w:jc w:val="both"/>
        <w:rPr>
          <w:rFonts w:ascii="Verdana" w:hAnsi="Verdana" w:cs="Arial"/>
          <w:bCs/>
          <w:color w:val="000000" w:themeColor="text1"/>
          <w:sz w:val="20"/>
          <w:szCs w:val="20"/>
          <w:lang w:val="es-ES"/>
        </w:rPr>
      </w:pPr>
    </w:p>
    <w:p w14:paraId="5F5E35E4" w14:textId="2216EF49" w:rsidR="00BA5588" w:rsidRPr="00BA5588" w:rsidRDefault="00BA5588" w:rsidP="00BA5588">
      <w:pPr>
        <w:jc w:val="both"/>
        <w:rPr>
          <w:rFonts w:ascii="Verdana" w:hAnsi="Verdana" w:cs="Arial"/>
          <w:b/>
          <w:bCs/>
          <w:color w:val="000000" w:themeColor="text1"/>
          <w:sz w:val="20"/>
          <w:szCs w:val="20"/>
          <w:lang w:val="es-ES"/>
        </w:rPr>
      </w:pPr>
      <w:r w:rsidRPr="00BA5588">
        <w:rPr>
          <w:rFonts w:ascii="Verdana" w:eastAsia="Calibri" w:hAnsi="Verdana" w:cs="Arial"/>
          <w:sz w:val="20"/>
          <w:szCs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BA5588">
        <w:rPr>
          <w:rFonts w:ascii="Verdana" w:eastAsia="Arial" w:hAnsi="Verdana" w:cs="Arial"/>
          <w:sz w:val="20"/>
          <w:szCs w:val="20"/>
          <w:lang w:val="es-ES" w:eastAsia="es-ES" w:bidi="es-ES"/>
        </w:rPr>
        <w:t>el legislador y el ordenamiento jurídico, en general, en distintas ocasiones utiliza de forma indistinta los conceptos de contrato o convenio para referirse a la misma institución jurídica</w:t>
      </w:r>
      <w:r>
        <w:rPr>
          <w:rFonts w:ascii="Verdana" w:eastAsia="Arial" w:hAnsi="Verdana" w:cs="Arial"/>
          <w:sz w:val="20"/>
          <w:szCs w:val="20"/>
          <w:lang w:val="es-ES" w:eastAsia="es-ES" w:bidi="es-ES"/>
        </w:rPr>
        <w:t>.</w:t>
      </w:r>
    </w:p>
    <w:p w14:paraId="3C7DB815" w14:textId="77777777" w:rsidR="00BA5588" w:rsidRDefault="00E74B29" w:rsidP="00BA5588">
      <w:pPr>
        <w:jc w:val="both"/>
        <w:rPr>
          <w:rFonts w:ascii="Verdana" w:hAnsi="Verdana" w:cs="Arial"/>
          <w:b/>
          <w:bCs/>
          <w:color w:val="000000" w:themeColor="text1"/>
        </w:rPr>
      </w:pPr>
      <w:r w:rsidRPr="00E74B29">
        <w:rPr>
          <w:rFonts w:ascii="Verdana" w:hAnsi="Verdana" w:cs="Arial"/>
          <w:b/>
          <w:bCs/>
          <w:color w:val="000000" w:themeColor="text1"/>
        </w:rPr>
        <w:t xml:space="preserve">LEY DE GARANTÍAS ELECTORALES- Parágrafo del artículo 38 – Elecciones en general distintas a la elección de </w:t>
      </w:r>
      <w:proofErr w:type="gramStart"/>
      <w:r w:rsidRPr="00E74B29">
        <w:rPr>
          <w:rFonts w:ascii="Verdana" w:hAnsi="Verdana" w:cs="Arial"/>
          <w:b/>
          <w:bCs/>
          <w:color w:val="000000" w:themeColor="text1"/>
        </w:rPr>
        <w:t>Presidente</w:t>
      </w:r>
      <w:proofErr w:type="gramEnd"/>
      <w:r w:rsidRPr="00E74B29">
        <w:rPr>
          <w:rFonts w:ascii="Verdana" w:hAnsi="Verdana" w:cs="Arial"/>
          <w:b/>
          <w:bCs/>
          <w:color w:val="000000" w:themeColor="text1"/>
        </w:rPr>
        <w:t xml:space="preserve"> de la República </w:t>
      </w:r>
    </w:p>
    <w:p w14:paraId="1974A576" w14:textId="48DC0A23" w:rsidR="00BA5588" w:rsidRPr="00BA5588" w:rsidRDefault="00BA5588" w:rsidP="00BA5588">
      <w:pPr>
        <w:spacing w:after="0" w:line="240" w:lineRule="auto"/>
        <w:jc w:val="both"/>
        <w:rPr>
          <w:rFonts w:ascii="Verdana" w:hAnsi="Verdana" w:cs="Arial"/>
          <w:b/>
          <w:bCs/>
          <w:color w:val="000000" w:themeColor="text1"/>
          <w:sz w:val="20"/>
          <w:szCs w:val="20"/>
        </w:rPr>
      </w:pPr>
      <w:r w:rsidRPr="00BA5588">
        <w:rPr>
          <w:rFonts w:ascii="Verdana" w:eastAsia="Arial" w:hAnsi="Verdana" w:cs="Arial"/>
          <w:sz w:val="20"/>
          <w:szCs w:val="20"/>
          <w:lang w:val="es-ES" w:eastAsia="es-ES" w:bidi="es-ES"/>
        </w:rPr>
        <w:t xml:space="preserve">[…] tratándose de elecciones en general, excluyendo las correspondientes al </w:t>
      </w:r>
      <w:proofErr w:type="gramStart"/>
      <w:r w:rsidRPr="00BA5588">
        <w:rPr>
          <w:rFonts w:ascii="Verdana" w:eastAsia="Arial" w:hAnsi="Verdana" w:cs="Arial"/>
          <w:sz w:val="20"/>
          <w:szCs w:val="20"/>
          <w:lang w:val="es-ES" w:eastAsia="es-ES" w:bidi="es-ES"/>
        </w:rPr>
        <w:t>Presidente</w:t>
      </w:r>
      <w:proofErr w:type="gramEnd"/>
      <w:r w:rsidRPr="00BA5588">
        <w:rPr>
          <w:rFonts w:ascii="Verdana" w:eastAsia="Arial" w:hAnsi="Verdana" w:cs="Arial"/>
          <w:sz w:val="20"/>
          <w:szCs w:val="20"/>
          <w:lang w:val="es-ES" w:eastAsia="es-ES" w:bidi="es-ES"/>
        </w:rPr>
        <w:t xml:space="preserve"> de la República, las restricciones que resultan aplicables son las contenidas en el parágrafo del artículo 38. Es decir, cuando se convoca a elecciones para cargos de elección popular, los </w:t>
      </w:r>
      <w:r w:rsidRPr="00BA5588">
        <w:rPr>
          <w:rFonts w:ascii="Verdana" w:eastAsia="Calibri" w:hAnsi="Verdana" w:cs="Arial"/>
          <w:sz w:val="20"/>
          <w:szCs w:val="20"/>
        </w:rPr>
        <w:t xml:space="preserve">Gobernadores, </w:t>
      </w:r>
      <w:proofErr w:type="gramStart"/>
      <w:r w:rsidRPr="00BA5588">
        <w:rPr>
          <w:rFonts w:ascii="Verdana" w:eastAsia="Calibri" w:hAnsi="Verdana" w:cs="Arial"/>
          <w:sz w:val="20"/>
          <w:szCs w:val="20"/>
        </w:rPr>
        <w:t>Alcaldes</w:t>
      </w:r>
      <w:proofErr w:type="gramEnd"/>
      <w:r w:rsidRPr="00BA5588">
        <w:rPr>
          <w:rFonts w:ascii="Verdana" w:eastAsia="Calibri" w:hAnsi="Verdana" w:cs="Arial"/>
          <w:sz w:val="20"/>
          <w:szCs w:val="20"/>
        </w:rPr>
        <w:t xml:space="preserve"> Municipales y/o Distritales, </w:t>
      </w:r>
      <w:proofErr w:type="gramStart"/>
      <w:r w:rsidRPr="00BA5588">
        <w:rPr>
          <w:rFonts w:ascii="Verdana" w:eastAsia="Calibri" w:hAnsi="Verdana" w:cs="Arial"/>
          <w:sz w:val="20"/>
          <w:szCs w:val="20"/>
        </w:rPr>
        <w:t>Secretarios</w:t>
      </w:r>
      <w:proofErr w:type="gramEnd"/>
      <w:r w:rsidRPr="00BA5588">
        <w:rPr>
          <w:rFonts w:ascii="Verdana" w:eastAsia="Calibri" w:hAnsi="Verdana" w:cs="Arial"/>
          <w:sz w:val="20"/>
          <w:szCs w:val="20"/>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p w14:paraId="2C357274" w14:textId="77777777" w:rsidR="00BA5588" w:rsidRPr="00BA5588" w:rsidRDefault="00BA5588" w:rsidP="00E74B29">
      <w:pPr>
        <w:spacing w:after="0" w:line="240" w:lineRule="auto"/>
        <w:jc w:val="both"/>
        <w:rPr>
          <w:rFonts w:ascii="Verdana" w:hAnsi="Verdana" w:cs="Arial"/>
          <w:b/>
          <w:bCs/>
          <w:color w:val="000000" w:themeColor="text1"/>
          <w:sz w:val="20"/>
          <w:szCs w:val="20"/>
        </w:rPr>
      </w:pPr>
    </w:p>
    <w:p w14:paraId="240F5E1F" w14:textId="77777777" w:rsidR="00E74B29" w:rsidRDefault="00E74B29" w:rsidP="00E74B29">
      <w:pPr>
        <w:spacing w:after="0" w:line="240" w:lineRule="auto"/>
        <w:jc w:val="right"/>
        <w:rPr>
          <w:lang w:val="es-ES"/>
        </w:rPr>
      </w:pPr>
    </w:p>
    <w:p w14:paraId="05FBA417" w14:textId="77777777" w:rsidR="00DF235A" w:rsidRDefault="00DF235A" w:rsidP="00E74B29">
      <w:pPr>
        <w:spacing w:after="0" w:line="240" w:lineRule="auto"/>
        <w:jc w:val="right"/>
        <w:rPr>
          <w:lang w:val="es-ES"/>
        </w:rPr>
      </w:pPr>
    </w:p>
    <w:p w14:paraId="2D49A561" w14:textId="77777777" w:rsidR="00DF235A" w:rsidRDefault="00DF235A" w:rsidP="00E74B29">
      <w:pPr>
        <w:spacing w:after="0" w:line="240" w:lineRule="auto"/>
        <w:jc w:val="right"/>
        <w:rPr>
          <w:lang w:val="es-ES"/>
        </w:rPr>
      </w:pPr>
    </w:p>
    <w:p w14:paraId="34860A88" w14:textId="77777777" w:rsidR="0063629B" w:rsidRDefault="0063629B" w:rsidP="00E74B29">
      <w:pPr>
        <w:spacing w:after="0" w:line="240" w:lineRule="auto"/>
        <w:jc w:val="right"/>
        <w:rPr>
          <w:lang w:val="es-ES"/>
        </w:rPr>
      </w:pPr>
    </w:p>
    <w:p w14:paraId="0B686422" w14:textId="77777777" w:rsidR="0063629B" w:rsidRDefault="0063629B" w:rsidP="00E74B29">
      <w:pPr>
        <w:spacing w:after="0" w:line="240" w:lineRule="auto"/>
        <w:jc w:val="right"/>
        <w:rPr>
          <w:lang w:val="es-ES"/>
        </w:rPr>
      </w:pPr>
    </w:p>
    <w:p w14:paraId="39DA3F4E" w14:textId="77777777" w:rsidR="0063629B" w:rsidRDefault="0063629B" w:rsidP="00E74B29">
      <w:pPr>
        <w:spacing w:after="0" w:line="240" w:lineRule="auto"/>
        <w:jc w:val="right"/>
        <w:rPr>
          <w:lang w:val="es-ES"/>
        </w:rPr>
      </w:pPr>
    </w:p>
    <w:p w14:paraId="0A3EF8A3" w14:textId="77777777" w:rsidR="00DF235A" w:rsidRDefault="00DF235A" w:rsidP="00E74B29">
      <w:pPr>
        <w:spacing w:after="0" w:line="240" w:lineRule="auto"/>
        <w:jc w:val="right"/>
        <w:rPr>
          <w:lang w:val="es-ES"/>
        </w:rPr>
      </w:pPr>
    </w:p>
    <w:p w14:paraId="08DBC7C6" w14:textId="0A34E77E" w:rsidR="00DF235A" w:rsidRPr="00E74B29" w:rsidRDefault="00DF235A" w:rsidP="00E74B29">
      <w:pPr>
        <w:spacing w:after="0" w:line="240" w:lineRule="auto"/>
        <w:jc w:val="right"/>
        <w:rPr>
          <w:lang w:val="es-ES"/>
        </w:rPr>
      </w:pPr>
    </w:p>
    <w:p w14:paraId="52A014EB" w14:textId="77777777" w:rsidR="00E74B29" w:rsidRDefault="00E74B29" w:rsidP="00E74B29">
      <w:pPr>
        <w:spacing w:after="0" w:line="240" w:lineRule="auto"/>
        <w:jc w:val="right"/>
      </w:pPr>
    </w:p>
    <w:p w14:paraId="751F30E8" w14:textId="77777777" w:rsidR="0063629B" w:rsidRDefault="0063629B" w:rsidP="00E74B29">
      <w:pPr>
        <w:spacing w:after="0" w:line="240" w:lineRule="auto"/>
        <w:jc w:val="right"/>
      </w:pPr>
    </w:p>
    <w:p w14:paraId="42CA668A" w14:textId="77777777" w:rsidR="0063629B" w:rsidRDefault="0063629B" w:rsidP="0063629B">
      <w:pPr>
        <w:spacing w:after="0" w:line="240" w:lineRule="auto"/>
      </w:pPr>
    </w:p>
    <w:p w14:paraId="6AC18AAF" w14:textId="77777777" w:rsidR="0063629B" w:rsidRDefault="0063629B" w:rsidP="0063629B">
      <w:pPr>
        <w:spacing w:after="0" w:line="240" w:lineRule="auto"/>
      </w:pPr>
    </w:p>
    <w:p w14:paraId="73E8E7C9" w14:textId="77777777" w:rsidR="0063629B" w:rsidRDefault="0063629B" w:rsidP="0063629B">
      <w:pPr>
        <w:spacing w:after="0" w:line="240" w:lineRule="auto"/>
      </w:pPr>
    </w:p>
    <w:p w14:paraId="5F25034B" w14:textId="1DF24FB7" w:rsidR="0063629B" w:rsidRPr="0063629B" w:rsidRDefault="0063629B" w:rsidP="0063629B">
      <w:pPr>
        <w:spacing w:after="0" w:line="240" w:lineRule="auto"/>
        <w:rPr>
          <w:rFonts w:ascii="Verdana" w:hAnsi="Verdana"/>
        </w:rPr>
      </w:pPr>
      <w:r w:rsidRPr="0063629B">
        <w:rPr>
          <w:rFonts w:ascii="Verdana" w:hAnsi="Verdana"/>
        </w:rPr>
        <w:lastRenderedPageBreak/>
        <w:t xml:space="preserve">Bogotá, 20 de </w:t>
      </w:r>
      <w:proofErr w:type="gramStart"/>
      <w:r w:rsidRPr="0063629B">
        <w:rPr>
          <w:rFonts w:ascii="Verdana" w:hAnsi="Verdana"/>
        </w:rPr>
        <w:t>Noviembre</w:t>
      </w:r>
      <w:proofErr w:type="gramEnd"/>
      <w:r w:rsidRPr="0063629B">
        <w:rPr>
          <w:rFonts w:ascii="Verdana" w:hAnsi="Verdana"/>
        </w:rPr>
        <w:t xml:space="preserve"> de 2025</w:t>
      </w:r>
    </w:p>
    <w:p w14:paraId="70F05166" w14:textId="48A438D4" w:rsidR="00E74B29" w:rsidRPr="00E74B29" w:rsidRDefault="00E74B29" w:rsidP="00E74B29">
      <w:pPr>
        <w:spacing w:after="0" w:line="240" w:lineRule="auto"/>
        <w:jc w:val="right"/>
      </w:pPr>
      <w:r w:rsidRPr="00E74B29">
        <w:rPr>
          <w:noProof/>
        </w:rPr>
        <w:drawing>
          <wp:inline distT="0" distB="0" distL="0" distR="0" wp14:anchorId="4FE218EC" wp14:editId="1FC8E6BB">
            <wp:extent cx="2763672" cy="828047"/>
            <wp:effectExtent l="0" t="0" r="0" b="0"/>
            <wp:docPr id="17275902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590278" name=""/>
                    <pic:cNvPicPr/>
                  </pic:nvPicPr>
                  <pic:blipFill>
                    <a:blip r:embed="rId10"/>
                    <a:stretch>
                      <a:fillRect/>
                    </a:stretch>
                  </pic:blipFill>
                  <pic:spPr>
                    <a:xfrm>
                      <a:off x="0" y="0"/>
                      <a:ext cx="2763672" cy="828047"/>
                    </a:xfrm>
                    <a:prstGeom prst="rect">
                      <a:avLst/>
                    </a:prstGeom>
                  </pic:spPr>
                </pic:pic>
              </a:graphicData>
            </a:graphic>
          </wp:inline>
        </w:drawing>
      </w:r>
    </w:p>
    <w:p w14:paraId="404D9AC2" w14:textId="6BCEA080" w:rsidR="00027F4F" w:rsidRDefault="00027F4F" w:rsidP="00027F4F">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7C36C8F5" w14:textId="77777777" w:rsidR="00027F4F" w:rsidRDefault="00027F4F" w:rsidP="00027F4F">
      <w:pPr>
        <w:spacing w:after="0" w:line="240" w:lineRule="auto"/>
        <w:jc w:val="both"/>
        <w:rPr>
          <w:rFonts w:ascii="Verdana" w:eastAsia="Calibri" w:hAnsi="Verdana" w:cs="Arial"/>
          <w:b/>
          <w:bCs/>
          <w:lang w:eastAsia="es-ES"/>
        </w:rPr>
      </w:pPr>
      <w:r w:rsidRPr="006D4E4B">
        <w:rPr>
          <w:rFonts w:ascii="Verdana" w:eastAsia="Calibri" w:hAnsi="Verdana" w:cs="Arial"/>
          <w:b/>
          <w:bCs/>
          <w:lang w:eastAsia="es-ES"/>
        </w:rPr>
        <w:t xml:space="preserve">Jorge </w:t>
      </w:r>
      <w:proofErr w:type="spellStart"/>
      <w:r w:rsidRPr="006D4E4B">
        <w:rPr>
          <w:rFonts w:ascii="Verdana" w:eastAsia="Calibri" w:hAnsi="Verdana" w:cs="Arial"/>
          <w:b/>
          <w:bCs/>
          <w:lang w:eastAsia="es-ES"/>
        </w:rPr>
        <w:t>Oke</w:t>
      </w:r>
      <w:proofErr w:type="spellEnd"/>
    </w:p>
    <w:p w14:paraId="5CC85FF4" w14:textId="77777777" w:rsidR="00027F4F" w:rsidRDefault="00027F4F" w:rsidP="00027F4F">
      <w:pPr>
        <w:spacing w:after="0" w:line="240" w:lineRule="auto"/>
        <w:jc w:val="both"/>
        <w:rPr>
          <w:rFonts w:ascii="Verdana" w:eastAsia="Calibri" w:hAnsi="Verdana" w:cs="Arial"/>
          <w:lang w:eastAsia="es-ES"/>
        </w:rPr>
      </w:pPr>
      <w:r>
        <w:rPr>
          <w:rFonts w:ascii="Verdana" w:eastAsia="Calibri" w:hAnsi="Verdana" w:cs="Arial"/>
          <w:lang w:eastAsia="es-ES"/>
        </w:rPr>
        <w:t>Gerente</w:t>
      </w:r>
    </w:p>
    <w:p w14:paraId="0E1604B6" w14:textId="77777777" w:rsidR="00027F4F" w:rsidRDefault="00027F4F" w:rsidP="00027F4F">
      <w:pPr>
        <w:spacing w:after="0" w:line="240" w:lineRule="auto"/>
        <w:jc w:val="both"/>
        <w:rPr>
          <w:rFonts w:ascii="Verdana" w:eastAsia="Calibri" w:hAnsi="Verdana" w:cs="Arial"/>
          <w:lang w:eastAsia="es-ES"/>
        </w:rPr>
      </w:pPr>
      <w:r w:rsidRPr="006D4E4B">
        <w:rPr>
          <w:rFonts w:ascii="Verdana" w:eastAsia="Calibri" w:hAnsi="Verdana" w:cs="Arial"/>
          <w:lang w:eastAsia="es-ES"/>
        </w:rPr>
        <w:t>OKELEMUS CONSULTORES S.A.S</w:t>
      </w:r>
    </w:p>
    <w:p w14:paraId="7DBF7143" w14:textId="77777777" w:rsidR="00027F4F" w:rsidRDefault="00027F4F" w:rsidP="00027F4F">
      <w:pPr>
        <w:spacing w:after="0" w:line="240" w:lineRule="auto"/>
        <w:jc w:val="both"/>
        <w:rPr>
          <w:rFonts w:ascii="Verdana" w:hAnsi="Verdana"/>
          <w:b/>
          <w:bCs/>
        </w:rPr>
      </w:pPr>
      <w:hyperlink r:id="rId11" w:history="1">
        <w:r w:rsidRPr="006D4E4B">
          <w:rPr>
            <w:rStyle w:val="Hipervnculo"/>
            <w:rFonts w:ascii="Verdana" w:hAnsi="Verdana"/>
            <w:b/>
            <w:bCs/>
          </w:rPr>
          <w:t>okelemus@hotmail.com</w:t>
        </w:r>
      </w:hyperlink>
    </w:p>
    <w:p w14:paraId="34690B8E" w14:textId="77777777" w:rsidR="00027F4F" w:rsidRDefault="00027F4F" w:rsidP="00027F4F">
      <w:pPr>
        <w:spacing w:after="0" w:line="240" w:lineRule="auto"/>
        <w:jc w:val="both"/>
        <w:rPr>
          <w:rFonts w:ascii="Verdana" w:hAnsi="Verdana"/>
          <w:b/>
          <w:bCs/>
        </w:rPr>
      </w:pPr>
      <w:hyperlink r:id="rId12" w:history="1">
        <w:r w:rsidRPr="00656382">
          <w:rPr>
            <w:rStyle w:val="Hipervnculo"/>
            <w:rFonts w:ascii="Verdana" w:hAnsi="Verdana"/>
            <w:b/>
            <w:bCs/>
          </w:rPr>
          <w:t>okelemusconsultores@hotmail.com</w:t>
        </w:r>
      </w:hyperlink>
    </w:p>
    <w:p w14:paraId="3CED15EF" w14:textId="77777777" w:rsidR="00027F4F" w:rsidRPr="005644FE" w:rsidRDefault="00027F4F" w:rsidP="00027F4F">
      <w:pPr>
        <w:spacing w:after="0" w:line="240" w:lineRule="auto"/>
        <w:jc w:val="both"/>
        <w:rPr>
          <w:rFonts w:ascii="Verdana" w:hAnsi="Verdana"/>
        </w:rPr>
      </w:pPr>
      <w:r>
        <w:rPr>
          <w:rFonts w:ascii="Verdana" w:hAnsi="Verdana"/>
        </w:rPr>
        <w:t>Cartagena - Bolívar</w:t>
      </w:r>
    </w:p>
    <w:p w14:paraId="6E6F595F" w14:textId="77777777" w:rsidR="00027F4F" w:rsidRPr="005644FE" w:rsidRDefault="00027F4F" w:rsidP="00027F4F">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27F4F" w:rsidRPr="005644FE" w14:paraId="7622D8E7" w14:textId="77777777" w:rsidTr="00CA54A9">
        <w:trPr>
          <w:trHeight w:val="162"/>
        </w:trPr>
        <w:tc>
          <w:tcPr>
            <w:tcW w:w="3119" w:type="dxa"/>
          </w:tcPr>
          <w:p w14:paraId="40C492C3" w14:textId="77777777" w:rsidR="00027F4F" w:rsidRPr="005644FE" w:rsidRDefault="00027F4F" w:rsidP="00CA54A9">
            <w:pPr>
              <w:jc w:val="both"/>
              <w:rPr>
                <w:rFonts w:ascii="Verdana" w:eastAsia="Calibri" w:hAnsi="Verdana" w:cs="Arial"/>
                <w:b/>
                <w:bCs/>
                <w:color w:val="7030A0"/>
                <w:lang w:eastAsia="es-ES_tradnl"/>
              </w:rPr>
            </w:pPr>
          </w:p>
        </w:tc>
        <w:tc>
          <w:tcPr>
            <w:tcW w:w="5670" w:type="dxa"/>
          </w:tcPr>
          <w:p w14:paraId="503F296A" w14:textId="77777777" w:rsidR="00027F4F" w:rsidRPr="005644FE" w:rsidRDefault="00027F4F" w:rsidP="00CA54A9">
            <w:pPr>
              <w:jc w:val="both"/>
              <w:rPr>
                <w:rFonts w:ascii="Verdana" w:eastAsia="Calibri" w:hAnsi="Verdana" w:cs="Arial"/>
                <w:b/>
                <w:bCs/>
                <w:lang w:eastAsia="es-ES"/>
              </w:rPr>
            </w:pPr>
            <w:r w:rsidRPr="005644FE">
              <w:rPr>
                <w:rFonts w:ascii="Verdana" w:eastAsia="Calibri" w:hAnsi="Verdana" w:cs="Arial"/>
                <w:b/>
                <w:bCs/>
                <w:lang w:eastAsia="es-ES"/>
              </w:rPr>
              <w:t>Concepto C-14</w:t>
            </w:r>
            <w:r>
              <w:rPr>
                <w:rFonts w:ascii="Verdana" w:eastAsia="Calibri" w:hAnsi="Verdana" w:cs="Arial"/>
                <w:b/>
                <w:bCs/>
                <w:lang w:eastAsia="es-ES"/>
              </w:rPr>
              <w:t>91</w:t>
            </w:r>
            <w:r w:rsidRPr="005644FE">
              <w:rPr>
                <w:rFonts w:ascii="Verdana" w:eastAsia="Calibri" w:hAnsi="Verdana" w:cs="Arial"/>
                <w:b/>
                <w:bCs/>
                <w:lang w:eastAsia="es-ES"/>
              </w:rPr>
              <w:t xml:space="preserve"> de 2025</w:t>
            </w:r>
          </w:p>
          <w:p w14:paraId="2224BAE6" w14:textId="77777777" w:rsidR="00027F4F" w:rsidRPr="005644FE" w:rsidRDefault="00027F4F" w:rsidP="00CA54A9">
            <w:pPr>
              <w:jc w:val="both"/>
              <w:rPr>
                <w:rFonts w:ascii="Verdana" w:eastAsia="Calibri" w:hAnsi="Verdana" w:cs="Arial"/>
                <w:b/>
                <w:bCs/>
                <w:color w:val="7030A0"/>
                <w:lang w:eastAsia="es-ES"/>
              </w:rPr>
            </w:pPr>
          </w:p>
        </w:tc>
      </w:tr>
      <w:tr w:rsidR="00027F4F" w:rsidRPr="005644FE" w14:paraId="7004A346" w14:textId="77777777" w:rsidTr="00CA54A9">
        <w:trPr>
          <w:trHeight w:val="884"/>
        </w:trPr>
        <w:tc>
          <w:tcPr>
            <w:tcW w:w="3119" w:type="dxa"/>
          </w:tcPr>
          <w:p w14:paraId="31E7FD78" w14:textId="77777777" w:rsidR="00027F4F" w:rsidRPr="005644FE" w:rsidRDefault="00027F4F" w:rsidP="00CA54A9">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BF3BFA2" w14:textId="77777777" w:rsidR="00027F4F" w:rsidRPr="00C27319" w:rsidRDefault="00027F4F" w:rsidP="00CA54A9">
            <w:pPr>
              <w:spacing w:line="276" w:lineRule="auto"/>
              <w:jc w:val="both"/>
              <w:rPr>
                <w:rFonts w:ascii="Verdana" w:hAnsi="Verdana" w:cs="Arial"/>
                <w:color w:val="000000" w:themeColor="text1"/>
                <w:lang w:val="es-ES"/>
              </w:rPr>
            </w:pPr>
            <w:r w:rsidRPr="00C27319">
              <w:rPr>
                <w:rFonts w:ascii="Verdana" w:hAnsi="Verdana" w:cs="Arial"/>
                <w:color w:val="000000" w:themeColor="text1"/>
              </w:rPr>
              <w:t>LEY DE GARANTÍAS ELECTORALES – Finalidad / LEY DE GARANTÍAS ELECTORALES ‒ Restricciones ‒ Contratación / LEY DE GARANTÍAS ELECTORALES ‒ Artículo 3</w:t>
            </w:r>
            <w:r>
              <w:rPr>
                <w:rFonts w:ascii="Verdana" w:hAnsi="Verdana" w:cs="Arial"/>
                <w:color w:val="000000" w:themeColor="text1"/>
              </w:rPr>
              <w:t>3</w:t>
            </w:r>
            <w:r w:rsidRPr="00C27319">
              <w:rPr>
                <w:rFonts w:ascii="Verdana" w:hAnsi="Verdana" w:cs="Arial"/>
                <w:color w:val="000000" w:themeColor="text1"/>
              </w:rPr>
              <w:t xml:space="preserve"> – Alcance </w:t>
            </w:r>
            <w:r>
              <w:rPr>
                <w:rFonts w:ascii="Verdana" w:hAnsi="Verdana" w:cs="Arial"/>
                <w:color w:val="000000" w:themeColor="text1"/>
              </w:rPr>
              <w:t xml:space="preserve">– Sujetos </w:t>
            </w:r>
            <w:r w:rsidRPr="00C27319">
              <w:rPr>
                <w:rFonts w:ascii="Verdana" w:hAnsi="Verdana" w:cs="Arial"/>
                <w:color w:val="000000" w:themeColor="text1"/>
              </w:rPr>
              <w:t xml:space="preserve">/ LEY DE GARANTÍAS ELECTORALES – </w:t>
            </w:r>
            <w:r>
              <w:rPr>
                <w:rFonts w:ascii="Verdana" w:hAnsi="Verdana" w:cs="Arial"/>
                <w:color w:val="000000" w:themeColor="text1"/>
              </w:rPr>
              <w:t xml:space="preserve">Excepciones / LEY DE GARANTÍAS ELECTORALES – Parágrafo del artículo 38 – Alcance / LEY DE GARANTÍAS ELECTORALES- Parágrafo del artículo 38 – Elecciones en general distintas a la elección de </w:t>
            </w:r>
            <w:proofErr w:type="gramStart"/>
            <w:r>
              <w:rPr>
                <w:rFonts w:ascii="Verdana" w:hAnsi="Verdana" w:cs="Arial"/>
                <w:color w:val="000000" w:themeColor="text1"/>
              </w:rPr>
              <w:t>Presidente</w:t>
            </w:r>
            <w:proofErr w:type="gramEnd"/>
            <w:r>
              <w:rPr>
                <w:rFonts w:ascii="Verdana" w:hAnsi="Verdana" w:cs="Arial"/>
                <w:color w:val="000000" w:themeColor="text1"/>
              </w:rPr>
              <w:t xml:space="preserve"> de la República </w:t>
            </w:r>
          </w:p>
          <w:p w14:paraId="410B77ED" w14:textId="77777777" w:rsidR="00027F4F" w:rsidRPr="00C27319" w:rsidRDefault="00027F4F" w:rsidP="00CA54A9">
            <w:pPr>
              <w:spacing w:line="276" w:lineRule="auto"/>
              <w:jc w:val="both"/>
              <w:rPr>
                <w:rFonts w:ascii="Verdana" w:hAnsi="Verdana" w:cs="Arial"/>
                <w:color w:val="000000" w:themeColor="text1"/>
                <w:lang w:val="es-ES"/>
              </w:rPr>
            </w:pPr>
          </w:p>
        </w:tc>
      </w:tr>
      <w:tr w:rsidR="00027F4F" w:rsidRPr="005644FE" w14:paraId="32B2F458" w14:textId="77777777" w:rsidTr="00CA54A9">
        <w:tc>
          <w:tcPr>
            <w:tcW w:w="3119" w:type="dxa"/>
          </w:tcPr>
          <w:p w14:paraId="7CF8AF02" w14:textId="77777777" w:rsidR="00027F4F" w:rsidRPr="005644FE" w:rsidRDefault="00027F4F" w:rsidP="00CA54A9">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B5EE638" w14:textId="77777777" w:rsidR="00027F4F" w:rsidRPr="005644FE" w:rsidRDefault="00027F4F" w:rsidP="00CA54A9">
            <w:pPr>
              <w:jc w:val="both"/>
              <w:rPr>
                <w:rFonts w:ascii="Verdana" w:eastAsia="Calibri" w:hAnsi="Verdana" w:cs="Arial"/>
                <w:lang w:eastAsia="es-ES_tradnl"/>
              </w:rPr>
            </w:pPr>
            <w:r w:rsidRPr="005644FE">
              <w:rPr>
                <w:rFonts w:ascii="Verdana" w:eastAsia="Calibri" w:hAnsi="Verdana" w:cs="Arial"/>
                <w:lang w:eastAsia="es-ES_tradnl"/>
              </w:rPr>
              <w:t xml:space="preserve">Respuesta a consulta con radicado </w:t>
            </w:r>
            <w:r w:rsidRPr="006D4E4B">
              <w:rPr>
                <w:rFonts w:ascii="Verdana" w:eastAsia="Calibri" w:hAnsi="Verdana" w:cs="Arial"/>
                <w:lang w:eastAsia="es-ES_tradnl"/>
              </w:rPr>
              <w:t>1_2025_10_12_011443</w:t>
            </w:r>
          </w:p>
        </w:tc>
      </w:tr>
    </w:tbl>
    <w:p w14:paraId="1654B381" w14:textId="77777777" w:rsidR="00027F4F" w:rsidRPr="005644FE" w:rsidRDefault="00027F4F" w:rsidP="00027F4F">
      <w:pPr>
        <w:spacing w:after="0" w:line="276" w:lineRule="auto"/>
        <w:jc w:val="both"/>
        <w:rPr>
          <w:rFonts w:ascii="Verdana" w:eastAsia="Calibri" w:hAnsi="Verdana" w:cs="Arial"/>
          <w:lang w:eastAsia="es-ES_tradnl"/>
        </w:rPr>
      </w:pPr>
    </w:p>
    <w:p w14:paraId="4A77260B" w14:textId="77777777" w:rsidR="00027F4F" w:rsidRPr="005644FE" w:rsidRDefault="00027F4F" w:rsidP="00027F4F">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 xml:space="preserve">o señor </w:t>
      </w:r>
      <w:proofErr w:type="spellStart"/>
      <w:r>
        <w:rPr>
          <w:rFonts w:ascii="Verdana" w:eastAsia="Calibri" w:hAnsi="Verdana" w:cs="Arial"/>
          <w:lang w:eastAsia="es-ES"/>
        </w:rPr>
        <w:t>Oke</w:t>
      </w:r>
      <w:proofErr w:type="spellEnd"/>
      <w:r w:rsidRPr="005644FE">
        <w:rPr>
          <w:rFonts w:ascii="Verdana" w:eastAsia="Calibri" w:hAnsi="Verdana" w:cs="Arial"/>
          <w:lang w:eastAsia="es-ES"/>
        </w:rPr>
        <w:t>:</w:t>
      </w:r>
    </w:p>
    <w:p w14:paraId="57FB4717" w14:textId="77777777" w:rsidR="00027F4F" w:rsidRPr="00E02524" w:rsidRDefault="00027F4F" w:rsidP="00027F4F">
      <w:pPr>
        <w:spacing w:after="0"/>
        <w:jc w:val="both"/>
        <w:rPr>
          <w:rFonts w:ascii="Verdana" w:hAnsi="Verdana"/>
          <w:lang w:val="es-MX"/>
        </w:rPr>
      </w:pPr>
    </w:p>
    <w:p w14:paraId="5DE3280D" w14:textId="77777777" w:rsidR="00027F4F" w:rsidRDefault="00027F4F" w:rsidP="00027F4F">
      <w:pPr>
        <w:spacing w:after="0"/>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12 </w:t>
      </w:r>
      <w:r w:rsidRPr="005644FE">
        <w:rPr>
          <w:rFonts w:ascii="Verdana" w:eastAsia="Calibri" w:hAnsi="Verdana" w:cs="Arial"/>
          <w:lang w:eastAsia="es-ES"/>
        </w:rPr>
        <w:t>de octubre de 2025, en la cual manifiesta lo siguiente:</w:t>
      </w:r>
    </w:p>
    <w:p w14:paraId="6E846DBC" w14:textId="77777777" w:rsidR="00027F4F" w:rsidRDefault="00027F4F" w:rsidP="00027F4F">
      <w:pPr>
        <w:spacing w:after="0"/>
        <w:jc w:val="both"/>
        <w:rPr>
          <w:rFonts w:ascii="Verdana" w:hAnsi="Verdana"/>
        </w:rPr>
      </w:pPr>
    </w:p>
    <w:p w14:paraId="6972BE87" w14:textId="77777777" w:rsidR="00027F4F" w:rsidRPr="00E02524" w:rsidRDefault="00027F4F" w:rsidP="00027F4F">
      <w:pPr>
        <w:spacing w:after="0"/>
        <w:jc w:val="both"/>
        <w:rPr>
          <w:rFonts w:ascii="Verdana" w:hAnsi="Verdana"/>
        </w:rPr>
      </w:pPr>
      <w:r w:rsidRPr="00E02524">
        <w:rPr>
          <w:rFonts w:ascii="Verdana" w:hAnsi="Verdana"/>
        </w:rPr>
        <w:lastRenderedPageBreak/>
        <w:t xml:space="preserve">PETICIÓN REALIZADA </w:t>
      </w:r>
    </w:p>
    <w:p w14:paraId="72043D59" w14:textId="77777777" w:rsidR="00027F4F" w:rsidRDefault="00027F4F" w:rsidP="00027F4F">
      <w:pPr>
        <w:spacing w:after="0"/>
        <w:jc w:val="both"/>
        <w:rPr>
          <w:rFonts w:ascii="Verdana" w:hAnsi="Verdana"/>
          <w:i/>
          <w:iCs/>
        </w:rPr>
      </w:pPr>
    </w:p>
    <w:p w14:paraId="27B26649" w14:textId="77777777" w:rsidR="00027F4F" w:rsidRDefault="00027F4F" w:rsidP="00027F4F">
      <w:pPr>
        <w:spacing w:after="0"/>
        <w:ind w:left="567" w:right="758"/>
        <w:jc w:val="both"/>
        <w:rPr>
          <w:rFonts w:ascii="Verdana" w:hAnsi="Verdana"/>
          <w:i/>
          <w:iCs/>
          <w:sz w:val="20"/>
          <w:szCs w:val="20"/>
        </w:rPr>
      </w:pPr>
      <w:r>
        <w:rPr>
          <w:rFonts w:ascii="Verdana" w:hAnsi="Verdana"/>
          <w:i/>
          <w:iCs/>
          <w:sz w:val="20"/>
          <w:szCs w:val="20"/>
        </w:rPr>
        <w:t xml:space="preserve">“(…) </w:t>
      </w:r>
      <w:r w:rsidRPr="006D4E4B">
        <w:rPr>
          <w:rFonts w:ascii="Verdana" w:hAnsi="Verdana"/>
          <w:i/>
          <w:iCs/>
          <w:sz w:val="20"/>
          <w:szCs w:val="20"/>
        </w:rPr>
        <w:t xml:space="preserve">Respetuosamente solicito: </w:t>
      </w:r>
    </w:p>
    <w:p w14:paraId="020AC82E" w14:textId="77777777" w:rsidR="00027F4F" w:rsidRDefault="00027F4F" w:rsidP="00027F4F">
      <w:pPr>
        <w:spacing w:after="0"/>
        <w:ind w:left="567" w:right="758"/>
        <w:jc w:val="both"/>
        <w:rPr>
          <w:rFonts w:ascii="Verdana" w:hAnsi="Verdana"/>
          <w:i/>
          <w:iCs/>
          <w:sz w:val="20"/>
          <w:szCs w:val="20"/>
        </w:rPr>
      </w:pPr>
    </w:p>
    <w:p w14:paraId="72AE2F06" w14:textId="77777777" w:rsidR="00027F4F" w:rsidRDefault="00027F4F" w:rsidP="00027F4F">
      <w:pPr>
        <w:spacing w:after="0"/>
        <w:ind w:left="567" w:right="758"/>
        <w:jc w:val="both"/>
        <w:rPr>
          <w:rFonts w:ascii="Verdana" w:hAnsi="Verdana"/>
          <w:i/>
          <w:iCs/>
          <w:sz w:val="20"/>
          <w:szCs w:val="20"/>
        </w:rPr>
      </w:pPr>
      <w:r w:rsidRPr="006D4E4B">
        <w:rPr>
          <w:rFonts w:ascii="Verdana" w:hAnsi="Verdana"/>
          <w:i/>
          <w:iCs/>
          <w:sz w:val="20"/>
          <w:szCs w:val="20"/>
        </w:rPr>
        <w:t xml:space="preserve">1. Informe si las prohibiciones del parágrafo del artículo 38 para los convenios y contratos interadministrativos, se debe aplicar a las elecciones de senado y cámara; toda vez que la norma en cita es taxativamente para las elecciones presidenciales y hasta la fecha no se evidencia modificación alguna a la misma. </w:t>
      </w:r>
    </w:p>
    <w:p w14:paraId="1F4F00BB" w14:textId="77777777" w:rsidR="00027F4F" w:rsidRDefault="00027F4F" w:rsidP="00027F4F">
      <w:pPr>
        <w:spacing w:after="0"/>
        <w:ind w:left="567" w:right="758"/>
        <w:jc w:val="both"/>
        <w:rPr>
          <w:rFonts w:ascii="Verdana" w:hAnsi="Verdana"/>
          <w:i/>
          <w:iCs/>
          <w:sz w:val="20"/>
          <w:szCs w:val="20"/>
        </w:rPr>
      </w:pPr>
    </w:p>
    <w:p w14:paraId="34DBC09A" w14:textId="77777777" w:rsidR="00027F4F" w:rsidRDefault="00027F4F" w:rsidP="00027F4F">
      <w:pPr>
        <w:spacing w:after="0"/>
        <w:ind w:left="567" w:right="758"/>
        <w:jc w:val="both"/>
        <w:rPr>
          <w:rFonts w:ascii="Verdana" w:hAnsi="Verdana"/>
          <w:i/>
          <w:iCs/>
          <w:sz w:val="20"/>
          <w:szCs w:val="20"/>
        </w:rPr>
      </w:pPr>
      <w:r w:rsidRPr="006D4E4B">
        <w:rPr>
          <w:rFonts w:ascii="Verdana" w:hAnsi="Verdana"/>
          <w:i/>
          <w:iCs/>
          <w:sz w:val="20"/>
          <w:szCs w:val="20"/>
        </w:rPr>
        <w:t>2. En caso de que se adopte la aplicación a las elecciones legislativas de senado y cámara, exponga los argumentos jurídicos y se remita o relacione los fundamentos normativos y jurisprudenciales</w:t>
      </w:r>
      <w:r>
        <w:rPr>
          <w:rFonts w:ascii="Verdana" w:hAnsi="Verdana"/>
          <w:i/>
          <w:iCs/>
          <w:sz w:val="20"/>
          <w:szCs w:val="20"/>
        </w:rPr>
        <w:t xml:space="preserve"> (…)”.</w:t>
      </w:r>
    </w:p>
    <w:p w14:paraId="6D78B666" w14:textId="77777777" w:rsidR="00027F4F" w:rsidRPr="0059398F" w:rsidRDefault="00027F4F" w:rsidP="00027F4F">
      <w:pPr>
        <w:spacing w:after="0"/>
        <w:ind w:left="567" w:right="758"/>
        <w:jc w:val="both"/>
        <w:rPr>
          <w:rFonts w:ascii="Verdana" w:hAnsi="Verdana"/>
          <w:b/>
          <w:bCs/>
          <w:i/>
          <w:iCs/>
          <w:sz w:val="20"/>
          <w:szCs w:val="20"/>
        </w:rPr>
      </w:pPr>
    </w:p>
    <w:p w14:paraId="4AFA5AD2" w14:textId="77777777" w:rsidR="00027F4F" w:rsidRPr="005644FE" w:rsidRDefault="00027F4F" w:rsidP="00027F4F">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17AF632" w14:textId="77777777" w:rsidR="00027F4F" w:rsidRPr="00944AEB" w:rsidRDefault="00027F4F" w:rsidP="00027F4F">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944AEB">
        <w:rPr>
          <w:rFonts w:ascii="Verdana" w:eastAsia="Calibri" w:hAnsi="Verdana" w:cs="Arial"/>
          <w:color w:val="000000"/>
          <w:lang w:eastAsia="es-ES"/>
        </w:rPr>
        <w:t>los problemas jurídicos de su consulta</w:t>
      </w:r>
      <w:r w:rsidRPr="00944AEB">
        <w:rPr>
          <w:rFonts w:ascii="Verdana" w:eastAsia="Calibri" w:hAnsi="Verdana" w:cs="Arial"/>
          <w:lang w:eastAsia="es-ES"/>
        </w:rPr>
        <w:t xml:space="preserve">.  </w:t>
      </w:r>
    </w:p>
    <w:p w14:paraId="65438FB6" w14:textId="77777777" w:rsidR="00027F4F" w:rsidRPr="00944AEB" w:rsidRDefault="00027F4F" w:rsidP="00027F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44AEB">
        <w:rPr>
          <w:rFonts w:ascii="Verdana" w:eastAsia="Century Gothic" w:hAnsi="Verdana" w:cs="Century Gothic"/>
          <w:b/>
          <w:bCs/>
          <w:lang w:val="es-CO"/>
        </w:rPr>
        <w:t>Problema planteado:</w:t>
      </w:r>
    </w:p>
    <w:p w14:paraId="6BED381F" w14:textId="77777777" w:rsidR="00027F4F" w:rsidRPr="00944AEB" w:rsidRDefault="00027F4F" w:rsidP="00027F4F">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473C024E" w14:textId="77777777" w:rsidR="00DF235A" w:rsidRDefault="00027F4F" w:rsidP="00027F4F">
      <w:pPr>
        <w:spacing w:after="0" w:line="276" w:lineRule="auto"/>
        <w:jc w:val="both"/>
        <w:rPr>
          <w:rFonts w:ascii="Verdana" w:eastAsia="Calibri" w:hAnsi="Verdana" w:cs="Arial"/>
          <w:color w:val="000000"/>
          <w:lang w:eastAsia="es-ES"/>
        </w:rPr>
      </w:pPr>
      <w:r w:rsidRPr="00944AEB">
        <w:rPr>
          <w:rFonts w:ascii="Verdana" w:eastAsia="Calibri" w:hAnsi="Verdana" w:cs="Arial"/>
          <w:color w:val="000000"/>
          <w:lang w:eastAsia="es-ES"/>
        </w:rPr>
        <w:t xml:space="preserve">De acuerdo con el contenido de su solicitud, esta Agencia resolverá los siguientes problemas jurídicos: </w:t>
      </w:r>
      <w:r>
        <w:rPr>
          <w:rFonts w:ascii="Verdana" w:eastAsia="Calibri" w:hAnsi="Verdana" w:cs="Arial"/>
          <w:color w:val="000000"/>
          <w:lang w:eastAsia="es-ES"/>
        </w:rPr>
        <w:t xml:space="preserve">i) ¿Cuál es el alcance de la Ley 996 de 2005 conocida como la Ley de Garantías Electorales?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¿Cuál es el alcance del parágrafo del artículo 38 de la Ley 996 de 2005?</w:t>
      </w:r>
    </w:p>
    <w:p w14:paraId="1080901A" w14:textId="71AAF9BF" w:rsidR="00027F4F" w:rsidRPr="00DF235A" w:rsidRDefault="00027F4F" w:rsidP="00027F4F">
      <w:pPr>
        <w:spacing w:after="0" w:line="276" w:lineRule="auto"/>
        <w:jc w:val="both"/>
        <w:rPr>
          <w:rFonts w:ascii="Verdana" w:eastAsia="Calibri" w:hAnsi="Verdana" w:cs="Arial"/>
          <w:color w:val="000000"/>
          <w:lang w:eastAsia="es-ES"/>
        </w:rPr>
      </w:pPr>
      <w:r>
        <w:rPr>
          <w:rFonts w:ascii="Verdana" w:eastAsia="Century Gothic" w:hAnsi="Verdana" w:cs="Century Gothic"/>
          <w:b/>
          <w:bCs/>
        </w:rPr>
        <w:t>2</w:t>
      </w:r>
      <w:r w:rsidRPr="005644FE">
        <w:rPr>
          <w:rFonts w:ascii="Verdana" w:eastAsia="Century Gothic" w:hAnsi="Verdana" w:cs="Century Gothic"/>
          <w:b/>
          <w:bCs/>
        </w:rPr>
        <w:t>. Respuesta:</w:t>
      </w:r>
    </w:p>
    <w:p w14:paraId="2F24FBA8" w14:textId="77777777" w:rsidR="00027F4F" w:rsidRPr="005644FE" w:rsidRDefault="00027F4F" w:rsidP="00027F4F">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027F4F" w:rsidRPr="005644FE" w14:paraId="6139DEC3" w14:textId="77777777" w:rsidTr="00CA54A9">
        <w:tc>
          <w:tcPr>
            <w:tcW w:w="8828" w:type="dxa"/>
          </w:tcPr>
          <w:p w14:paraId="38D71713" w14:textId="77777777" w:rsidR="00027F4F" w:rsidRPr="00461891" w:rsidRDefault="00027F4F" w:rsidP="00CA54A9">
            <w:pPr>
              <w:spacing w:after="120" w:line="276" w:lineRule="auto"/>
              <w:ind w:firstLine="708"/>
              <w:jc w:val="both"/>
              <w:rPr>
                <w:rFonts w:ascii="Verdana" w:eastAsia="Calibri" w:hAnsi="Verdana" w:cs="Arial"/>
              </w:rPr>
            </w:pPr>
            <w:r>
              <w:rPr>
                <w:rFonts w:ascii="Verdana" w:eastAsia="Arial" w:hAnsi="Verdana" w:cs="Arial"/>
              </w:rPr>
              <w:t>i) La ley de Garantías Electorales señala las restricciones que se dirigen a dos campañas electorales: p</w:t>
            </w:r>
            <w:r w:rsidRPr="00461891">
              <w:rPr>
                <w:rFonts w:ascii="Verdana" w:eastAsia="Calibri" w:hAnsi="Verdana" w:cs="Arial"/>
              </w:rPr>
              <w:t xml:space="preserve">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w:t>
            </w:r>
            <w:r>
              <w:rPr>
                <w:rFonts w:ascii="Verdana" w:eastAsia="Calibri" w:hAnsi="Verdana" w:cs="Arial"/>
              </w:rPr>
              <w:t xml:space="preserve">(…) </w:t>
            </w:r>
            <w:r w:rsidRPr="00461891">
              <w:rPr>
                <w:rFonts w:ascii="Verdana" w:eastAsia="Calibri" w:hAnsi="Verdana" w:cs="Arial"/>
              </w:rPr>
              <w:t>la contratación directa por parte de todos los entes del Estado” durante los cuatro (4) meses anteriores a las elecciones presidenciales, salvo “</w:t>
            </w:r>
            <w:r>
              <w:rPr>
                <w:rFonts w:ascii="Verdana" w:eastAsia="Calibri" w:hAnsi="Verdana" w:cs="Arial"/>
              </w:rPr>
              <w:t>(…)</w:t>
            </w:r>
            <w:r w:rsidRPr="00461891">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E9D12D6" w14:textId="77777777" w:rsidR="00027F4F" w:rsidRDefault="00027F4F" w:rsidP="00CA54A9">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rPr>
              <w:t>(…)</w:t>
            </w:r>
            <w:r w:rsidRPr="00461891">
              <w:rPr>
                <w:rFonts w:ascii="Verdana" w:eastAsia="Calibri" w:hAnsi="Verdana" w:cs="Arial"/>
              </w:rPr>
              <w:t xml:space="preserve"> </w:t>
            </w:r>
            <w:r w:rsidRPr="0046189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1891">
              <w:rPr>
                <w:rFonts w:ascii="Verdana" w:eastAsia="Calibri" w:hAnsi="Verdana" w:cs="Arial"/>
              </w:rPr>
              <w:t>”</w:t>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5AE87AE6" w14:textId="77777777" w:rsidR="00027F4F" w:rsidRDefault="00027F4F" w:rsidP="00CA54A9">
            <w:pPr>
              <w:spacing w:line="276" w:lineRule="auto"/>
              <w:ind w:firstLine="708"/>
              <w:jc w:val="both"/>
              <w:rPr>
                <w:rFonts w:ascii="Verdana" w:eastAsia="Times New Roman" w:hAnsi="Verdana" w:cs="Arial"/>
                <w:lang w:val="es-ES"/>
              </w:rPr>
            </w:pPr>
            <w:r>
              <w:rPr>
                <w:rFonts w:ascii="Verdana" w:eastAsia="Times New Roman" w:hAnsi="Verdana" w:cs="Arial"/>
                <w:lang w:val="es-ES" w:eastAsia="x-none"/>
              </w:rPr>
              <w:t xml:space="preserve">En cuanto a lo dispuesto en el artículo 33, </w:t>
            </w:r>
            <w:r w:rsidRPr="00FC6F34">
              <w:rPr>
                <w:rFonts w:ascii="Verdana" w:eastAsia="Times New Roman" w:hAnsi="Verdana" w:cs="Arial"/>
                <w:lang w:val="es-ES" w:eastAsia="x-none"/>
              </w:rPr>
              <w:t xml:space="preserve">la prohibición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por lo que excluye las demás modalidades de contratación previstas en la Ley 1150 de 2007</w:t>
            </w:r>
            <w:r>
              <w:rPr>
                <w:rFonts w:ascii="Verdana" w:eastAsia="Times New Roman" w:hAnsi="Verdana" w:cs="Arial"/>
                <w:lang w:val="es-ES" w:eastAsia="x-none"/>
              </w:rPr>
              <w:t xml:space="preserve">. </w:t>
            </w: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3BFBD9F" w14:textId="77777777" w:rsidR="00027F4F" w:rsidRDefault="00027F4F" w:rsidP="00CA54A9">
            <w:pPr>
              <w:ind w:firstLine="709"/>
              <w:jc w:val="both"/>
              <w:rPr>
                <w:rFonts w:ascii="Verdana" w:eastAsia="Times New Roman" w:hAnsi="Verdana" w:cs="Arial"/>
                <w:bCs/>
                <w:lang w:val="es-ES" w:eastAsia="es-CO"/>
              </w:rPr>
            </w:pPr>
          </w:p>
          <w:p w14:paraId="0DDA3E1A" w14:textId="77777777" w:rsidR="00027F4F" w:rsidRDefault="00027F4F" w:rsidP="00CA54A9">
            <w:pPr>
              <w:spacing w:line="276" w:lineRule="auto"/>
              <w:ind w:firstLine="708"/>
              <w:jc w:val="both"/>
              <w:rPr>
                <w:rFonts w:ascii="Verdana" w:hAnsi="Verdana" w:cs="Arial"/>
                <w:bCs/>
                <w:color w:val="000000" w:themeColor="text1"/>
                <w:lang w:val="es-ES"/>
              </w:rPr>
            </w:pP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 xml:space="preserve">la Ley 996 de 2005 señala expresamente que son </w:t>
            </w:r>
            <w:r w:rsidRPr="00FC6F34">
              <w:rPr>
                <w:rFonts w:ascii="Verdana" w:eastAsia="Times New Roman" w:hAnsi="Verdana" w:cs="Arial"/>
                <w:lang w:val="es-ES"/>
              </w:rPr>
              <w:lastRenderedPageBreak/>
              <w:t>“</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w:t>
            </w:r>
            <w:r>
              <w:rPr>
                <w:rFonts w:ascii="Verdana" w:eastAsia="Times New Roman" w:hAnsi="Verdana" w:cs="Arial"/>
                <w:lang w:val="es-ES"/>
              </w:rPr>
              <w:t xml:space="preserve">. </w:t>
            </w:r>
            <w:r w:rsidRPr="00FC6F34">
              <w:rPr>
                <w:rFonts w:ascii="Verdana" w:eastAsia="Arial" w:hAnsi="Verdana" w:cs="Arial"/>
                <w:bCs/>
                <w:color w:val="000000" w:themeColor="text1"/>
                <w:lang w:val="es-ES"/>
              </w:rPr>
              <w:t xml:space="preserve">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w:t>
            </w:r>
            <w:r>
              <w:rPr>
                <w:rFonts w:ascii="Verdana" w:hAnsi="Verdana" w:cs="Arial"/>
                <w:bCs/>
                <w:color w:val="000000" w:themeColor="text1"/>
                <w:lang w:val="es-ES"/>
              </w:rPr>
              <w:t>.</w:t>
            </w:r>
          </w:p>
          <w:p w14:paraId="088D2DE9" w14:textId="77777777" w:rsidR="00027F4F" w:rsidRPr="00296938" w:rsidRDefault="00027F4F" w:rsidP="00CA54A9">
            <w:pPr>
              <w:ind w:firstLine="709"/>
              <w:jc w:val="both"/>
              <w:rPr>
                <w:rFonts w:ascii="Verdana" w:eastAsia="Times New Roman" w:hAnsi="Verdana" w:cs="Arial"/>
                <w:lang w:val="es-ES"/>
              </w:rPr>
            </w:pPr>
          </w:p>
          <w:p w14:paraId="2B26FB8B" w14:textId="77777777" w:rsidR="00027F4F" w:rsidRPr="00461891" w:rsidRDefault="00027F4F" w:rsidP="00CA54A9">
            <w:pPr>
              <w:widowControl w:val="0"/>
              <w:autoSpaceDE w:val="0"/>
              <w:autoSpaceDN w:val="0"/>
              <w:spacing w:after="120" w:line="276" w:lineRule="auto"/>
              <w:ind w:right="113" w:firstLine="709"/>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Por otro lado, </w:t>
            </w:r>
            <w:r>
              <w:rPr>
                <w:rFonts w:ascii="Verdana" w:eastAsia="Arial" w:hAnsi="Verdana" w:cs="Arial"/>
                <w:bCs/>
                <w:color w:val="000000" w:themeColor="text1"/>
                <w:lang w:val="es-ES"/>
              </w:rPr>
              <w:t xml:space="preserve">debe precisarse que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w:t>
            </w:r>
            <w:proofErr w:type="gramStart"/>
            <w:r w:rsidRPr="00FC6F34">
              <w:rPr>
                <w:rFonts w:ascii="Verdana" w:eastAsia="Calibri" w:hAnsi="Verdana" w:cs="Arial"/>
                <w:bCs/>
                <w:lang w:val="es-ES"/>
              </w:rPr>
              <w:t>Alcaldes</w:t>
            </w:r>
            <w:proofErr w:type="gramEnd"/>
            <w:r w:rsidRPr="00FC6F34">
              <w:rPr>
                <w:rFonts w:ascii="Verdana" w:eastAsia="Calibri" w:hAnsi="Verdana" w:cs="Arial"/>
                <w:bCs/>
                <w:lang w:val="es-ES"/>
              </w:rPr>
              <w:t xml:space="preserve"> Municipales y/o Distritales, </w:t>
            </w:r>
            <w:proofErr w:type="gramStart"/>
            <w:r w:rsidRPr="00FC6F34">
              <w:rPr>
                <w:rFonts w:ascii="Verdana" w:eastAsia="Calibri" w:hAnsi="Verdana" w:cs="Arial"/>
                <w:bCs/>
                <w:lang w:val="es-ES"/>
              </w:rPr>
              <w:t>Secretarios</w:t>
            </w:r>
            <w:proofErr w:type="gramEnd"/>
            <w:r w:rsidRPr="00FC6F34">
              <w:rPr>
                <w:rFonts w:ascii="Verdana" w:eastAsia="Calibri" w:hAnsi="Verdana" w:cs="Arial"/>
                <w:bCs/>
                <w:lang w:val="es-ES"/>
              </w:rPr>
              <w:t>, Gerentes y directores de Entidades Descentralizadas del orden Municipal, Departamental o Distrital, dentro de los cuatro (4) meses anteriores a las elecciones, no podrán celebrar convenios interadministrativos para la ejecución de recursos públicos”.</w:t>
            </w:r>
            <w:r w:rsidRPr="00FC6F34">
              <w:rPr>
                <w:rFonts w:ascii="Verdana" w:hAnsi="Verdana" w:cs="Arial"/>
                <w:bCs/>
                <w:iCs/>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Pr>
                <w:rFonts w:ascii="Verdana" w:hAnsi="Verdana" w:cs="Arial"/>
                <w:bCs/>
                <w:iCs/>
                <w:lang w:val="es-ES" w:eastAsia="x-none"/>
              </w:rPr>
              <w:t>.</w:t>
            </w:r>
          </w:p>
          <w:p w14:paraId="118CCA4E" w14:textId="77777777" w:rsidR="00027F4F" w:rsidRPr="008C5843" w:rsidRDefault="00027F4F" w:rsidP="00CA54A9">
            <w:pPr>
              <w:spacing w:after="120" w:line="276" w:lineRule="auto"/>
              <w:ind w:firstLine="709"/>
              <w:jc w:val="both"/>
              <w:rPr>
                <w:rFonts w:ascii="Verdana" w:eastAsia="Calibri" w:hAnsi="Verdana" w:cs="Arial"/>
              </w:rPr>
            </w:pPr>
            <w:r>
              <w:rPr>
                <w:rFonts w:ascii="Verdana" w:eastAsia="Arial" w:hAnsi="Verdana" w:cs="Arial"/>
                <w:lang w:val="es-ES" w:eastAsia="es-ES" w:bidi="es-ES"/>
              </w:rPr>
              <w:t xml:space="preserve">En conclusión, </w:t>
            </w:r>
            <w:r w:rsidRPr="00461891">
              <w:rPr>
                <w:rFonts w:ascii="Verdana" w:eastAsia="Arial" w:hAnsi="Verdana" w:cs="Arial"/>
                <w:lang w:val="es-ES" w:eastAsia="es-ES" w:bidi="es-ES"/>
              </w:rPr>
              <w:t xml:space="preserve">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w:t>
            </w:r>
            <w:r>
              <w:rPr>
                <w:rFonts w:ascii="Verdana" w:eastAsia="Arial" w:hAnsi="Verdana" w:cs="Arial"/>
                <w:lang w:val="es-ES" w:eastAsia="es-ES" w:bidi="es-ES"/>
              </w:rPr>
              <w:t>,</w:t>
            </w:r>
            <w:r w:rsidRPr="00461891">
              <w:rPr>
                <w:rFonts w:ascii="Verdana" w:eastAsia="Arial" w:hAnsi="Verdana" w:cs="Arial"/>
                <w:lang w:val="es-ES" w:eastAsia="es-ES" w:bidi="es-ES"/>
              </w:rPr>
              <w:t xml:space="preserve">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tc>
      </w:tr>
    </w:tbl>
    <w:p w14:paraId="0423C32C" w14:textId="77777777" w:rsidR="00027F4F" w:rsidRDefault="00027F4F" w:rsidP="00027F4F">
      <w:pPr>
        <w:tabs>
          <w:tab w:val="left" w:pos="142"/>
          <w:tab w:val="left" w:pos="284"/>
        </w:tabs>
        <w:spacing w:after="0" w:line="276" w:lineRule="auto"/>
        <w:jc w:val="both"/>
        <w:rPr>
          <w:rFonts w:ascii="Verdana" w:eastAsia="Century Gothic" w:hAnsi="Verdana" w:cs="Century Gothic"/>
          <w:b/>
          <w:bCs/>
        </w:rPr>
      </w:pPr>
    </w:p>
    <w:p w14:paraId="6B032AC6" w14:textId="77777777" w:rsidR="00027F4F" w:rsidRPr="005644FE" w:rsidRDefault="00027F4F" w:rsidP="00027F4F">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38CEC2E" w14:textId="77777777" w:rsidR="00027F4F" w:rsidRPr="005644FE" w:rsidRDefault="00027F4F" w:rsidP="00027F4F">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04DA377" w14:textId="77777777" w:rsidR="00027F4F" w:rsidRDefault="00027F4F" w:rsidP="00027F4F">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3D84BE5C" w14:textId="77777777" w:rsidR="00027F4F" w:rsidRDefault="00027F4F" w:rsidP="00027F4F">
      <w:pPr>
        <w:tabs>
          <w:tab w:val="left" w:pos="142"/>
          <w:tab w:val="left" w:pos="284"/>
        </w:tabs>
        <w:spacing w:after="0" w:line="240" w:lineRule="auto"/>
        <w:jc w:val="both"/>
        <w:rPr>
          <w:rFonts w:ascii="Verdana" w:eastAsia="Calibri" w:hAnsi="Verdana" w:cs="Arial"/>
        </w:rPr>
      </w:pPr>
    </w:p>
    <w:p w14:paraId="288796C2" w14:textId="77777777" w:rsidR="00027F4F" w:rsidRPr="00461891" w:rsidRDefault="00027F4F" w:rsidP="00027F4F">
      <w:pPr>
        <w:tabs>
          <w:tab w:val="left" w:pos="426"/>
        </w:tabs>
        <w:spacing w:after="120" w:line="276" w:lineRule="auto"/>
        <w:jc w:val="both"/>
        <w:rPr>
          <w:rFonts w:ascii="Verdana" w:eastAsia="Times New Roman" w:hAnsi="Verdana" w:cs="Arial"/>
          <w:lang w:eastAsia="es-CO"/>
        </w:rPr>
      </w:pPr>
      <w:r>
        <w:rPr>
          <w:rFonts w:ascii="Verdana" w:eastAsia="Calibri" w:hAnsi="Verdana" w:cs="Arial"/>
        </w:rPr>
        <w:t xml:space="preserve">i) </w:t>
      </w:r>
      <w:r w:rsidRPr="00461891">
        <w:rPr>
          <w:rFonts w:ascii="Verdana" w:eastAsia="Calibri" w:hAnsi="Verdana" w:cs="Arial"/>
        </w:rPr>
        <w:t>El ordenamiento jurídico colombiano contempla previsiones claras para evitar la obtención de beneficios personales en asuntos propios de la administración pública</w:t>
      </w:r>
      <w:r w:rsidRPr="00461891">
        <w:rPr>
          <w:rFonts w:ascii="Verdana" w:eastAsia="Calibri" w:hAnsi="Verdana" w:cs="Arial"/>
          <w:i/>
        </w:rPr>
        <w:t xml:space="preserve">. </w:t>
      </w:r>
      <w:r w:rsidRPr="00461891">
        <w:rPr>
          <w:rFonts w:ascii="Verdana" w:eastAsia="Calibri" w:hAnsi="Verdana" w:cs="Arial"/>
        </w:rPr>
        <w:t xml:space="preserve">Por ejemplo, el artículo 127 de la Constitución Política establece una prohibición contractual a los servidores públicos y, en cuanto a aspectos </w:t>
      </w:r>
      <w:r w:rsidRPr="00461891">
        <w:rPr>
          <w:rFonts w:ascii="Verdana" w:eastAsia="Calibri" w:hAnsi="Verdana" w:cs="Arial"/>
        </w:rPr>
        <w:lastRenderedPageBreak/>
        <w:t>políticos, consagra restricciones a ciertos empleados del Estado, incluso en época no electoral</w:t>
      </w:r>
      <w:r w:rsidRPr="00461891">
        <w:rPr>
          <w:vertAlign w:val="superscript"/>
        </w:rPr>
        <w:footnoteReference w:id="1"/>
      </w:r>
      <w:r w:rsidRPr="00461891">
        <w:rPr>
          <w:rFonts w:ascii="Verdana" w:eastAsia="Calibri" w:hAnsi="Verdana" w:cs="Arial"/>
        </w:rPr>
        <w:t xml:space="preserve">. </w:t>
      </w:r>
    </w:p>
    <w:p w14:paraId="74AF4F57" w14:textId="77777777" w:rsidR="00027F4F" w:rsidRPr="00461891" w:rsidRDefault="00027F4F" w:rsidP="00027F4F">
      <w:pPr>
        <w:tabs>
          <w:tab w:val="left" w:pos="426"/>
        </w:tabs>
        <w:spacing w:after="120" w:line="276" w:lineRule="auto"/>
        <w:ind w:firstLine="709"/>
        <w:jc w:val="both"/>
        <w:rPr>
          <w:rFonts w:ascii="Verdana" w:eastAsia="Calibri" w:hAnsi="Verdana" w:cs="Arial"/>
          <w:lang w:val="es-ES_tradnl"/>
        </w:rPr>
      </w:pPr>
      <w:r w:rsidRPr="00461891">
        <w:rPr>
          <w:rFonts w:ascii="Verdana" w:eastAsia="Times New Roman" w:hAnsi="Verdana" w:cs="Arial"/>
          <w:lang w:eastAsia="es-CO"/>
        </w:rPr>
        <w:t>En el mismo sentido</w:t>
      </w:r>
      <w:r w:rsidRPr="00461891">
        <w:rPr>
          <w:rFonts w:ascii="Verdana" w:eastAsia="Times New Roman" w:hAnsi="Verdana" w:cs="Arial"/>
          <w:lang w:val="es-MX" w:eastAsia="es-CO"/>
        </w:rPr>
        <w:t xml:space="preserve">, </w:t>
      </w:r>
      <w:bookmarkStart w:id="2" w:name="_Hlk99576829"/>
      <w:r w:rsidRPr="00461891">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61891">
        <w:rPr>
          <w:rFonts w:ascii="Verdana" w:eastAsia="Times New Roman" w:hAnsi="Verdana" w:cs="Arial"/>
          <w:vertAlign w:val="superscript"/>
          <w:lang w:val="es-MX" w:eastAsia="es-CO"/>
        </w:rPr>
        <w:footnoteReference w:id="2"/>
      </w:r>
      <w:r w:rsidRPr="00461891">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61891">
        <w:rPr>
          <w:rFonts w:ascii="Verdana" w:eastAsia="Calibri" w:hAnsi="Verdana" w:cs="Arial"/>
          <w:lang w:val="es-ES_tradnl"/>
        </w:rPr>
        <w:t xml:space="preserve"> </w:t>
      </w:r>
      <w:bookmarkEnd w:id="2"/>
    </w:p>
    <w:p w14:paraId="0483A5A9" w14:textId="77777777" w:rsidR="00027F4F" w:rsidRPr="00461891" w:rsidRDefault="00027F4F" w:rsidP="00027F4F">
      <w:pPr>
        <w:tabs>
          <w:tab w:val="left" w:pos="426"/>
        </w:tabs>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976EAFB" w14:textId="77777777" w:rsidR="00027F4F" w:rsidRPr="00461891" w:rsidRDefault="00027F4F" w:rsidP="00E67326">
      <w:pPr>
        <w:spacing w:after="0" w:line="240" w:lineRule="auto"/>
        <w:ind w:right="709"/>
        <w:contextualSpacing/>
        <w:jc w:val="both"/>
        <w:rPr>
          <w:rFonts w:ascii="Verdana" w:eastAsia="Times New Roman" w:hAnsi="Verdana" w:cs="Arial"/>
          <w:lang w:val="es-ES" w:eastAsia="es-CO"/>
        </w:rPr>
      </w:pPr>
    </w:p>
    <w:p w14:paraId="72218DED" w14:textId="77777777" w:rsidR="00027F4F" w:rsidRPr="00461891"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ES" w:eastAsia="es-CO"/>
        </w:rPr>
        <w:t xml:space="preserve">“[…] </w:t>
      </w:r>
      <w:r w:rsidRPr="00461891">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C4EA8C6" w14:textId="77777777" w:rsidR="00027F4F" w:rsidRPr="00461891"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 </w:t>
      </w:r>
    </w:p>
    <w:p w14:paraId="40AD6828" w14:textId="77777777" w:rsidR="00027F4F" w:rsidRPr="00461891" w:rsidRDefault="00027F4F" w:rsidP="00027F4F">
      <w:pPr>
        <w:spacing w:after="0" w:line="240" w:lineRule="auto"/>
        <w:ind w:right="709"/>
        <w:contextualSpacing/>
        <w:jc w:val="both"/>
        <w:rPr>
          <w:rFonts w:ascii="Verdana" w:eastAsia="Times New Roman" w:hAnsi="Verdana" w:cs="Arial"/>
          <w:sz w:val="20"/>
          <w:szCs w:val="20"/>
          <w:lang w:val="es-MX" w:eastAsia="es-CO"/>
        </w:rPr>
      </w:pPr>
    </w:p>
    <w:p w14:paraId="57819129" w14:textId="77777777" w:rsidR="00027F4F"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61891">
        <w:rPr>
          <w:rFonts w:ascii="Verdana" w:eastAsia="Calibri" w:hAnsi="Verdana" w:cs="Arial"/>
          <w:sz w:val="20"/>
          <w:szCs w:val="20"/>
          <w:vertAlign w:val="superscript"/>
          <w:lang w:val="es-MX"/>
        </w:rPr>
        <w:footnoteReference w:id="3"/>
      </w:r>
      <w:bookmarkStart w:id="3" w:name="_Hlk78818186"/>
    </w:p>
    <w:p w14:paraId="20AAA870" w14:textId="77777777" w:rsidR="00027F4F" w:rsidRPr="00676F99" w:rsidRDefault="00027F4F" w:rsidP="00027F4F">
      <w:pPr>
        <w:spacing w:after="0" w:line="240" w:lineRule="auto"/>
        <w:ind w:left="709" w:right="709"/>
        <w:contextualSpacing/>
        <w:jc w:val="both"/>
        <w:rPr>
          <w:rFonts w:ascii="Verdana" w:eastAsia="Times New Roman" w:hAnsi="Verdana" w:cs="Arial"/>
          <w:sz w:val="20"/>
          <w:szCs w:val="20"/>
          <w:lang w:val="es-MX" w:eastAsia="es-CO"/>
        </w:rPr>
      </w:pPr>
    </w:p>
    <w:p w14:paraId="4E0CA2A9" w14:textId="77777777" w:rsidR="00027F4F" w:rsidRPr="00461891" w:rsidRDefault="00027F4F" w:rsidP="00027F4F">
      <w:pPr>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el actuar de los servidores públicos, evitando interferencias en la contienda electoral, así como la posible desviación de recursos públicos en aspiraciones electorales. </w:t>
      </w:r>
      <w:bookmarkEnd w:id="3"/>
      <w:r w:rsidRPr="00461891">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55C8FC4B" w14:textId="77777777" w:rsidR="00027F4F" w:rsidRPr="00461891" w:rsidRDefault="00027F4F" w:rsidP="00027F4F">
      <w:pPr>
        <w:spacing w:after="0" w:line="240" w:lineRule="auto"/>
        <w:ind w:firstLine="709"/>
        <w:jc w:val="both"/>
        <w:rPr>
          <w:rFonts w:ascii="Verdana" w:eastAsia="Times New Roman" w:hAnsi="Verdana" w:cs="Arial"/>
          <w:lang w:val="es-MX" w:eastAsia="es-CO"/>
        </w:rPr>
      </w:pPr>
    </w:p>
    <w:p w14:paraId="1A83AD5A" w14:textId="77777777" w:rsidR="00027F4F" w:rsidRPr="00461891"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61891">
        <w:rPr>
          <w:rFonts w:ascii="Verdana" w:eastAsia="Times New Roman" w:hAnsi="Verdana" w:cs="Arial"/>
          <w:sz w:val="20"/>
          <w:szCs w:val="20"/>
          <w:lang w:val="es-MX" w:eastAsia="es-CO"/>
        </w:rPr>
        <w:t>legis</w:t>
      </w:r>
      <w:proofErr w:type="spellEnd"/>
      <w:r w:rsidRPr="00461891">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89E22F2" w14:textId="77777777" w:rsidR="00027F4F" w:rsidRPr="00461891" w:rsidRDefault="00027F4F" w:rsidP="00027F4F">
      <w:pPr>
        <w:spacing w:after="0" w:line="240" w:lineRule="auto"/>
        <w:ind w:right="709"/>
        <w:contextualSpacing/>
        <w:jc w:val="both"/>
        <w:rPr>
          <w:rFonts w:ascii="Verdana" w:eastAsia="Times New Roman" w:hAnsi="Verdana" w:cs="Arial"/>
          <w:lang w:val="es-MX" w:eastAsia="es-CO"/>
        </w:rPr>
      </w:pPr>
    </w:p>
    <w:p w14:paraId="75AF822A" w14:textId="77777777" w:rsidR="00027F4F" w:rsidRPr="004E4517" w:rsidRDefault="00027F4F" w:rsidP="00027F4F">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La jurisprudencia de la Corte Constitucional</w:t>
      </w:r>
      <w:r w:rsidRPr="00461891">
        <w:rPr>
          <w:rFonts w:ascii="Verdana" w:eastAsia="Times New Roman" w:hAnsi="Verdana" w:cs="Arial"/>
          <w:sz w:val="20"/>
          <w:szCs w:val="20"/>
          <w:vertAlign w:val="superscript"/>
          <w:lang w:val="es-MX" w:eastAsia="es-CO"/>
        </w:rPr>
        <w:footnoteReference w:id="4"/>
      </w:r>
      <w:r w:rsidRPr="00461891">
        <w:rPr>
          <w:rFonts w:ascii="Verdana" w:eastAsia="Times New Roman" w:hAnsi="Verdana" w:cs="Arial"/>
          <w:sz w:val="20"/>
          <w:szCs w:val="20"/>
          <w:lang w:val="es-MX" w:eastAsia="es-CO"/>
        </w:rPr>
        <w:t> y del Consejo de Estado</w:t>
      </w:r>
      <w:r w:rsidRPr="00461891">
        <w:rPr>
          <w:rFonts w:ascii="Verdana" w:eastAsia="Times New Roman" w:hAnsi="Verdana" w:cs="Arial"/>
          <w:sz w:val="20"/>
          <w:szCs w:val="20"/>
          <w:vertAlign w:val="superscript"/>
          <w:lang w:val="es-MX" w:eastAsia="es-CO"/>
        </w:rPr>
        <w:footnoteReference w:id="5"/>
      </w:r>
      <w:r w:rsidRPr="00461891">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61891">
        <w:rPr>
          <w:rFonts w:ascii="Verdana" w:eastAsia="Times New Roman" w:hAnsi="Verdana" w:cs="Arial"/>
          <w:sz w:val="20"/>
          <w:szCs w:val="20"/>
          <w:vertAlign w:val="superscript"/>
          <w:lang w:val="es-MX" w:eastAsia="es-CO"/>
        </w:rPr>
        <w:footnoteReference w:id="6"/>
      </w:r>
      <w:r w:rsidRPr="00461891">
        <w:rPr>
          <w:rFonts w:ascii="Verdana" w:eastAsia="Times New Roman" w:hAnsi="Verdana" w:cs="Arial"/>
          <w:sz w:val="20"/>
          <w:szCs w:val="20"/>
          <w:lang w:val="es-MX" w:eastAsia="es-CO"/>
        </w:rPr>
        <w:t>.</w:t>
      </w:r>
    </w:p>
    <w:p w14:paraId="692186CF" w14:textId="77777777" w:rsidR="00027F4F" w:rsidRDefault="00027F4F" w:rsidP="00027F4F">
      <w:pPr>
        <w:spacing w:after="0" w:line="240" w:lineRule="auto"/>
        <w:ind w:firstLine="709"/>
        <w:jc w:val="both"/>
        <w:rPr>
          <w:rFonts w:ascii="Verdana" w:eastAsia="Times New Roman" w:hAnsi="Verdana" w:cs="Arial"/>
          <w:lang w:val="es-MX" w:eastAsia="es-CO"/>
        </w:rPr>
      </w:pPr>
    </w:p>
    <w:p w14:paraId="463D8F49"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Times New Roman" w:hAnsi="Verdana" w:cs="Arial"/>
          <w:lang w:val="es-MX" w:eastAsia="es-CO"/>
        </w:rPr>
        <w:lastRenderedPageBreak/>
        <w:t>De</w:t>
      </w:r>
      <w:r w:rsidRPr="00461891">
        <w:rPr>
          <w:rFonts w:ascii="Verdana" w:eastAsia="Arial" w:hAnsi="Verdana" w:cs="Arial"/>
          <w:lang w:val="es-ES" w:eastAsia="es-ES" w:bidi="es-ES"/>
        </w:rPr>
        <w:t xml:space="preserve"> conformidad con lo anterior, </w:t>
      </w:r>
      <w:bookmarkStart w:id="4" w:name="_Hlk77236098"/>
      <w:bookmarkStart w:id="5" w:name="_Hlk100679383"/>
      <w:r w:rsidRPr="00461891">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2AEC66D"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5FF1472" w14:textId="77777777" w:rsidR="00027F4F" w:rsidRPr="00461891" w:rsidRDefault="00027F4F" w:rsidP="00027F4F">
      <w:pPr>
        <w:spacing w:after="120" w:line="276" w:lineRule="auto"/>
        <w:ind w:firstLine="708"/>
        <w:jc w:val="both"/>
        <w:rPr>
          <w:rFonts w:ascii="Verdana" w:eastAsia="Calibri" w:hAnsi="Verdana" w:cs="Arial"/>
        </w:rPr>
      </w:pPr>
      <w:r w:rsidRPr="00461891">
        <w:rPr>
          <w:rFonts w:ascii="Verdana" w:eastAsia="Calibri" w:hAnsi="Verdana" w:cs="Arial"/>
        </w:rPr>
        <w:t xml:space="preserve">Por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w:t>
      </w:r>
      <w:r>
        <w:rPr>
          <w:rFonts w:ascii="Verdana" w:eastAsia="Calibri" w:hAnsi="Verdana" w:cs="Arial"/>
        </w:rPr>
        <w:t xml:space="preserve">(…) </w:t>
      </w:r>
      <w:r w:rsidRPr="00461891">
        <w:rPr>
          <w:rFonts w:ascii="Verdana" w:eastAsia="Calibri" w:hAnsi="Verdana" w:cs="Arial"/>
        </w:rPr>
        <w:t>la contratación directa por parte de todos los entes del Estado” durante los cuatro (4) meses anteriores a las elecciones presidenciales, salvo “</w:t>
      </w:r>
      <w:r>
        <w:rPr>
          <w:rFonts w:ascii="Verdana" w:eastAsia="Calibri" w:hAnsi="Verdana" w:cs="Arial"/>
        </w:rPr>
        <w:t>(…)</w:t>
      </w:r>
      <w:r w:rsidRPr="00461891">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1891">
        <w:rPr>
          <w:rFonts w:ascii="Verdana" w:eastAsia="Calibri" w:hAnsi="Verdana" w:cs="Arial"/>
          <w:vertAlign w:val="superscript"/>
        </w:rPr>
        <w:footnoteReference w:id="7"/>
      </w:r>
      <w:r w:rsidRPr="00461891">
        <w:rPr>
          <w:rFonts w:ascii="Verdana" w:eastAsia="Calibri" w:hAnsi="Verdana" w:cs="Arial"/>
        </w:rPr>
        <w:t>.</w:t>
      </w:r>
    </w:p>
    <w:p w14:paraId="65C032E0" w14:textId="77777777" w:rsidR="00027F4F" w:rsidRPr="00461891" w:rsidRDefault="00027F4F" w:rsidP="00027F4F">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rPr>
        <w:t>(…)</w:t>
      </w:r>
      <w:r w:rsidRPr="00461891">
        <w:rPr>
          <w:rFonts w:ascii="Verdana" w:eastAsia="Calibri" w:hAnsi="Verdana" w:cs="Arial"/>
        </w:rPr>
        <w:t xml:space="preserve"> </w:t>
      </w:r>
      <w:r w:rsidRPr="00461891">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461891">
        <w:rPr>
          <w:rFonts w:ascii="Verdana" w:eastAsia="Calibri" w:hAnsi="Verdana" w:cs="Arial"/>
          <w:lang w:val="es-MX"/>
        </w:rPr>
        <w:lastRenderedPageBreak/>
        <w:t>proselitista</w:t>
      </w:r>
      <w:r w:rsidRPr="00461891">
        <w:rPr>
          <w:rFonts w:ascii="Verdana" w:eastAsia="Calibri" w:hAnsi="Verdana" w:cs="Arial"/>
        </w:rPr>
        <w:t>”</w:t>
      </w:r>
      <w:bookmarkEnd w:id="5"/>
      <w:r w:rsidRPr="00461891">
        <w:rPr>
          <w:rFonts w:ascii="Verdana" w:eastAsia="Calibri" w:hAnsi="Verdana" w:cs="Arial"/>
          <w:vertAlign w:val="superscript"/>
        </w:rPr>
        <w:footnoteReference w:id="8"/>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196CB6EF" w14:textId="77777777" w:rsidR="00027F4F" w:rsidRPr="00461891" w:rsidRDefault="00027F4F" w:rsidP="00027F4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61891">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AB2B674" w14:textId="77777777" w:rsidR="00027F4F" w:rsidRPr="00461891" w:rsidRDefault="00027F4F" w:rsidP="00027F4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p>
    <w:p w14:paraId="350E72DB" w14:textId="77777777" w:rsidR="00027F4F" w:rsidRPr="00461891" w:rsidRDefault="00027F4F" w:rsidP="00027F4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461891">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461891">
        <w:rPr>
          <w:rFonts w:ascii="Verdana" w:eastAsia="Arial" w:hAnsi="Verdana" w:cs="Arial"/>
          <w:sz w:val="20"/>
          <w:szCs w:val="20"/>
          <w:lang w:eastAsia="es-ES" w:bidi="es-ES"/>
        </w:rPr>
        <w:t>se integran parcialmente</w:t>
      </w:r>
      <w:bookmarkEnd w:id="8"/>
      <w:r w:rsidRPr="00461891">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61891">
        <w:rPr>
          <w:rFonts w:ascii="Verdana" w:eastAsia="Arial" w:hAnsi="Verdana" w:cs="Arial"/>
          <w:sz w:val="20"/>
          <w:szCs w:val="20"/>
          <w:lang w:eastAsia="es-ES" w:bidi="es-ES"/>
        </w:rPr>
        <w:t>Presidente</w:t>
      </w:r>
      <w:proofErr w:type="gramEnd"/>
      <w:r w:rsidRPr="00461891">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461891">
        <w:rPr>
          <w:rFonts w:ascii="Verdana" w:eastAsia="Arial" w:hAnsi="Verdana" w:cs="Arial"/>
          <w:sz w:val="20"/>
          <w:szCs w:val="20"/>
          <w:vertAlign w:val="superscript"/>
          <w:lang w:eastAsia="es-ES" w:bidi="es-ES"/>
        </w:rPr>
        <w:footnoteReference w:id="9"/>
      </w:r>
    </w:p>
    <w:p w14:paraId="065918FF" w14:textId="77777777" w:rsidR="00027F4F" w:rsidRPr="00461891" w:rsidRDefault="00027F4F" w:rsidP="00027F4F">
      <w:pPr>
        <w:widowControl w:val="0"/>
        <w:autoSpaceDE w:val="0"/>
        <w:autoSpaceDN w:val="0"/>
        <w:spacing w:after="0" w:line="276" w:lineRule="auto"/>
        <w:contextualSpacing/>
        <w:rPr>
          <w:rFonts w:ascii="Verdana" w:eastAsia="Arial" w:hAnsi="Verdana" w:cs="Arial"/>
          <w:lang w:val="es-ES" w:eastAsia="es-ES" w:bidi="es-ES"/>
        </w:rPr>
      </w:pPr>
    </w:p>
    <w:p w14:paraId="2320B585" w14:textId="77777777" w:rsidR="00027F4F"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461891">
        <w:rPr>
          <w:rFonts w:ascii="Verdana" w:eastAsia="Arial" w:hAnsi="Verdana" w:cs="Arial"/>
          <w:lang w:val="es-ES" w:eastAsia="es-ES" w:bidi="es-ES"/>
        </w:rPr>
        <w:t xml:space="preserve">la Ley 996 de 2005 establece dos (2) tipos de restricciones en materia de contratación, las cuales coinciden parcialmente. </w:t>
      </w:r>
    </w:p>
    <w:p w14:paraId="38E082B6" w14:textId="77777777" w:rsidR="00027F4F"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i/>
          <w:lang w:val="es-ES" w:eastAsia="es-ES" w:bidi="es-ES"/>
        </w:rPr>
        <w:t>En primer lugar</w:t>
      </w:r>
      <w:r w:rsidRPr="00461891">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w:t>
      </w:r>
      <w:r w:rsidRPr="00461891">
        <w:rPr>
          <w:rFonts w:ascii="Verdana" w:eastAsia="Arial" w:hAnsi="Verdana" w:cs="Arial"/>
          <w:lang w:val="es-ES" w:eastAsia="es-ES" w:bidi="es-ES"/>
        </w:rPr>
        <w:lastRenderedPageBreak/>
        <w:t xml:space="preserve">de la Constitución Política. Para estos efectos, la restricción se extenderá hasta la fecha en la que se realice la segunda vuelta. </w:t>
      </w:r>
    </w:p>
    <w:p w14:paraId="18036054"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i/>
          <w:lang w:val="es-ES" w:eastAsia="es-ES" w:bidi="es-ES"/>
        </w:rPr>
        <w:t>En segundo lugar</w:t>
      </w:r>
      <w:r w:rsidRPr="00461891">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549332AF"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2E0C37F2" w14:textId="77777777" w:rsidR="00027F4F" w:rsidRDefault="00027F4F" w:rsidP="00027F4F">
      <w:pPr>
        <w:spacing w:after="120" w:line="276" w:lineRule="auto"/>
        <w:ind w:firstLine="708"/>
        <w:jc w:val="both"/>
        <w:rPr>
          <w:rFonts w:ascii="Verdana" w:eastAsia="Arial" w:hAnsi="Verdana" w:cs="Arial"/>
          <w:lang w:val="es-ES" w:eastAsia="es-ES" w:bidi="es-ES"/>
        </w:rPr>
      </w:pPr>
      <w:r w:rsidRPr="00461891">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o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y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25CB069F" w14:textId="77777777" w:rsidR="00027F4F" w:rsidRPr="005B0770" w:rsidRDefault="00027F4F" w:rsidP="00027F4F">
      <w:pPr>
        <w:spacing w:after="12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Resulta necesario precisar </w:t>
      </w:r>
      <w:r w:rsidRPr="00FC6F34">
        <w:rPr>
          <w:rFonts w:ascii="Verdana" w:eastAsia="Calibri" w:hAnsi="Verdana" w:cs="Arial"/>
          <w:lang w:val="es-ES" w:eastAsia="es-ES" w:bidi="es-ES"/>
        </w:rPr>
        <w:t xml:space="preserve">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78C9D514" w14:textId="77777777" w:rsidR="00027F4F" w:rsidRPr="00FC6F34" w:rsidRDefault="00027F4F" w:rsidP="00027F4F">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w:t>
      </w:r>
      <w:r w:rsidRPr="00FC6F34">
        <w:rPr>
          <w:rFonts w:ascii="Verdana" w:eastAsia="Calibri" w:hAnsi="Verdana" w:cs="Arial"/>
          <w:sz w:val="20"/>
          <w:szCs w:val="20"/>
          <w:lang w:val="es-ES"/>
        </w:rPr>
        <w:lastRenderedPageBreak/>
        <w:t>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72005FDE" w14:textId="77777777" w:rsidR="00027F4F" w:rsidRPr="00FC6F34" w:rsidRDefault="00027F4F" w:rsidP="00027F4F">
      <w:pPr>
        <w:shd w:val="clear" w:color="auto" w:fill="FFFFFF" w:themeFill="background1"/>
        <w:spacing w:after="0" w:line="276" w:lineRule="auto"/>
        <w:ind w:firstLine="709"/>
        <w:jc w:val="both"/>
        <w:rPr>
          <w:rFonts w:ascii="Verdana" w:eastAsia="Times New Roman" w:hAnsi="Verdana" w:cs="Arial"/>
          <w:lang w:val="es-ES" w:eastAsia="x-none"/>
        </w:rPr>
      </w:pPr>
    </w:p>
    <w:p w14:paraId="136AAE61" w14:textId="77777777" w:rsidR="00027F4F" w:rsidRPr="00FC6F34" w:rsidRDefault="00027F4F" w:rsidP="00027F4F">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EB073E9" w14:textId="77777777" w:rsidR="00027F4F" w:rsidRPr="00FC6F34" w:rsidRDefault="00027F4F" w:rsidP="00027F4F">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cualquier sistema de selección o procedimiento de contratación utilizado por las </w:t>
      </w:r>
      <w:r w:rsidRPr="00FC6F34">
        <w:rPr>
          <w:rFonts w:ascii="Verdana" w:eastAsia="Times New Roman" w:hAnsi="Verdana" w:cs="Arial"/>
          <w:lang w:val="es-ES"/>
        </w:rPr>
        <w:lastRenderedPageBreak/>
        <w:t>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525BA615" w14:textId="77777777" w:rsidR="00027F4F" w:rsidRDefault="00027F4F" w:rsidP="00027F4F">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0FF57F6" w14:textId="77777777" w:rsidR="00027F4F" w:rsidRDefault="00027F4F" w:rsidP="00027F4F">
      <w:pPr>
        <w:spacing w:after="0" w:line="240" w:lineRule="auto"/>
        <w:ind w:firstLine="709"/>
        <w:jc w:val="both"/>
        <w:rPr>
          <w:rFonts w:ascii="Verdana" w:eastAsia="Times New Roman" w:hAnsi="Verdana" w:cs="Arial"/>
          <w:lang w:val="es-ES"/>
        </w:rPr>
      </w:pPr>
    </w:p>
    <w:p w14:paraId="7EDE3428" w14:textId="77777777" w:rsidR="00027F4F" w:rsidRPr="00FC6F34" w:rsidRDefault="00027F4F" w:rsidP="00027F4F">
      <w:pPr>
        <w:spacing w:after="0" w:line="276" w:lineRule="auto"/>
        <w:ind w:firstLine="708"/>
        <w:jc w:val="both"/>
        <w:rPr>
          <w:rFonts w:ascii="Verdana" w:eastAsia="Times New Roman" w:hAnsi="Verdana" w:cs="Arial"/>
          <w:lang w:val="es-ES"/>
        </w:rPr>
      </w:pP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xml:space="preserve">” </w:t>
      </w:r>
      <w:r>
        <w:rPr>
          <w:rFonts w:ascii="Verdana" w:eastAsia="Times New Roman" w:hAnsi="Verdana" w:cs="Arial"/>
          <w:lang w:val="es-ES"/>
        </w:rPr>
        <w:t>(</w:t>
      </w:r>
      <w:r w:rsidRPr="00FC6F34">
        <w:rPr>
          <w:rFonts w:ascii="Verdana" w:eastAsia="Times New Roman" w:hAnsi="Verdana" w:cs="Arial"/>
          <w:lang w:val="es-ES"/>
        </w:rPr>
        <w:t>énfasis propio</w:t>
      </w:r>
      <w:r>
        <w:rPr>
          <w:rFonts w:ascii="Verdana" w:eastAsia="Times New Roman" w:hAnsi="Verdana" w:cs="Arial"/>
          <w:lang w:val="es-ES"/>
        </w:rPr>
        <w:t>)</w:t>
      </w:r>
      <w:r w:rsidRPr="00FC6F34">
        <w:rPr>
          <w:rFonts w:ascii="Verdana" w:eastAsia="Times New Roman" w:hAnsi="Verdana" w:cs="Arial"/>
          <w:lang w:val="es-ES"/>
        </w:rPr>
        <w:t>. Al respecto la Sala De Consulta y Servicio Civil del Consejo de Estado señaló lo siguiente:</w:t>
      </w:r>
    </w:p>
    <w:p w14:paraId="2D83E0C9" w14:textId="77777777" w:rsidR="00027F4F" w:rsidRPr="00FC6F34" w:rsidRDefault="00027F4F" w:rsidP="00027F4F">
      <w:pPr>
        <w:spacing w:after="0" w:line="276" w:lineRule="auto"/>
        <w:ind w:firstLine="708"/>
        <w:jc w:val="both"/>
        <w:rPr>
          <w:rFonts w:ascii="Verdana" w:eastAsia="Times New Roman" w:hAnsi="Verdana" w:cs="Arial"/>
          <w:lang w:val="es-ES"/>
        </w:rPr>
      </w:pPr>
    </w:p>
    <w:p w14:paraId="37535B68" w14:textId="77777777" w:rsidR="00027F4F" w:rsidRPr="00FC6F34" w:rsidRDefault="00027F4F" w:rsidP="00027F4F">
      <w:pPr>
        <w:spacing w:after="0" w:line="240" w:lineRule="auto"/>
        <w:ind w:left="709" w:right="709"/>
        <w:jc w:val="both"/>
        <w:rPr>
          <w:rFonts w:ascii="Verdana" w:eastAsia="Times New Roman" w:hAnsi="Verdana" w:cs="Arial"/>
          <w:lang w:eastAsia="es-CO"/>
        </w:rPr>
      </w:pPr>
      <w:r w:rsidRPr="4B5BFCBA">
        <w:rPr>
          <w:rFonts w:ascii="Verdana" w:eastAsia="Times New Roman" w:hAnsi="Verdana" w:cs="Arial"/>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4B5BFCBA">
        <w:rPr>
          <w:rStyle w:val="Refdenotaalpie"/>
          <w:rFonts w:ascii="Verdana" w:eastAsia="Times New Roman" w:hAnsi="Verdana" w:cs="Arial"/>
          <w:sz w:val="20"/>
          <w:szCs w:val="20"/>
          <w:lang w:eastAsia="es-CO"/>
        </w:rPr>
        <w:footnoteReference w:id="15"/>
      </w:r>
      <w:r w:rsidRPr="4B5BFCBA">
        <w:rPr>
          <w:rFonts w:ascii="Verdana" w:eastAsia="Times New Roman" w:hAnsi="Verdana" w:cs="Arial"/>
          <w:sz w:val="20"/>
          <w:szCs w:val="20"/>
          <w:lang w:eastAsia="es-CO"/>
        </w:rPr>
        <w:t>.</w:t>
      </w:r>
    </w:p>
    <w:p w14:paraId="13E67D33" w14:textId="77777777" w:rsidR="00027F4F" w:rsidRPr="00FC6F34" w:rsidRDefault="00027F4F" w:rsidP="00027F4F">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FC6F34">
        <w:rPr>
          <w:rFonts w:ascii="Verdana" w:hAnsi="Verdana" w:cs="Arial"/>
          <w:bCs/>
          <w:lang w:val="es-ES" w:eastAsia="x-none"/>
        </w:rPr>
        <w:lastRenderedPageBreak/>
        <w:t>régimen especial de contratación y están exceptuadas del ámbito de aplicación del Estatuto General de Contratación de la Administración Pública</w:t>
      </w:r>
      <w:r>
        <w:rPr>
          <w:rFonts w:ascii="Verdana" w:hAnsi="Verdana" w:cs="Arial"/>
          <w:bCs/>
          <w:lang w:val="es-ES" w:eastAsia="x-none"/>
        </w:rPr>
        <w:t>”</w:t>
      </w:r>
      <w:r w:rsidRPr="00FC6F34">
        <w:rPr>
          <w:rStyle w:val="Refdenotaalpie"/>
          <w:rFonts w:ascii="Verdana" w:hAnsi="Verdana" w:cs="Arial"/>
          <w:bCs/>
          <w:sz w:val="20"/>
          <w:szCs w:val="20"/>
          <w:lang w:val="es-ES" w:eastAsia="x-none"/>
        </w:rPr>
        <w:footnoteReference w:id="16"/>
      </w:r>
      <w:r w:rsidRPr="00FC6F34">
        <w:rPr>
          <w:rFonts w:ascii="Verdana" w:hAnsi="Verdana" w:cs="Arial"/>
          <w:bCs/>
          <w:sz w:val="20"/>
          <w:szCs w:val="20"/>
          <w:lang w:val="es-ES" w:eastAsia="x-none"/>
        </w:rPr>
        <w:t>.</w:t>
      </w:r>
    </w:p>
    <w:p w14:paraId="0C5DCDE5" w14:textId="77777777" w:rsidR="00027F4F" w:rsidRPr="00FC6F34" w:rsidRDefault="00027F4F" w:rsidP="00027F4F">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05B07ECC" w14:textId="77777777" w:rsidR="00027F4F" w:rsidRPr="00FC6F34" w:rsidRDefault="00027F4F" w:rsidP="00027F4F">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5EFCF8DA"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i) La contratación referente a la defensa y seguridad del Estado;</w:t>
      </w:r>
    </w:p>
    <w:p w14:paraId="29E3AB7F"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w:t>
      </w:r>
      <w:proofErr w:type="spellEnd"/>
      <w:r w:rsidRPr="00FC6F34">
        <w:rPr>
          <w:rFonts w:ascii="Verdana" w:hAnsi="Verdana" w:cs="Arial"/>
          <w:bCs/>
          <w:color w:val="000000" w:themeColor="text1"/>
          <w:lang w:val="es-ES"/>
        </w:rPr>
        <w:t>) Los contratos de crédito público;</w:t>
      </w:r>
    </w:p>
    <w:p w14:paraId="1E36FAFC"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iii</w:t>
      </w:r>
      <w:proofErr w:type="spellEnd"/>
      <w:r w:rsidRPr="00FC6F34">
        <w:rPr>
          <w:rFonts w:ascii="Verdana" w:hAnsi="Verdana" w:cs="Arial"/>
          <w:bCs/>
          <w:color w:val="000000" w:themeColor="text1"/>
          <w:lang w:val="es-ES"/>
        </w:rPr>
        <w:t xml:space="preserve">) Los contratos requeridos para cubrir las emergencias educativas, sanitarias y desastres; </w:t>
      </w:r>
    </w:p>
    <w:p w14:paraId="3E4752D7"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iv</w:t>
      </w:r>
      <w:proofErr w:type="spellEnd"/>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5141CBE9" w14:textId="77777777" w:rsidR="00027F4F" w:rsidRPr="00FC6F34" w:rsidRDefault="00027F4F" w:rsidP="00027F4F">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ab/>
        <w:t xml:space="preserve">v) La contratación que deban realizar las entidades sanitarias y hospitalarias. </w:t>
      </w:r>
    </w:p>
    <w:p w14:paraId="64388042" w14:textId="77777777" w:rsidR="00027F4F" w:rsidRPr="00FC6F34" w:rsidRDefault="00027F4F" w:rsidP="00027F4F">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7"/>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69D6347" w14:textId="77777777" w:rsidR="00027F4F" w:rsidRPr="00FC6F34" w:rsidRDefault="00027F4F" w:rsidP="00027F4F">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EF68BEF" w14:textId="77777777" w:rsidR="00027F4F" w:rsidRPr="00FC6F34" w:rsidRDefault="00027F4F" w:rsidP="4B5BFCBA">
      <w:pPr>
        <w:shd w:val="clear" w:color="auto" w:fill="FFFFFF" w:themeFill="background1"/>
        <w:ind w:left="709" w:right="474"/>
        <w:jc w:val="both"/>
        <w:rPr>
          <w:rFonts w:ascii="Verdana" w:hAnsi="Verdana" w:cs="Arial"/>
          <w:color w:val="000000" w:themeColor="text1"/>
          <w:sz w:val="20"/>
          <w:szCs w:val="20"/>
          <w:lang w:eastAsia="es-CO"/>
        </w:rPr>
      </w:pPr>
      <w:r w:rsidRPr="4B5BFCBA">
        <w:rPr>
          <w:rFonts w:ascii="Verdana" w:hAnsi="Verdana" w:cs="Arial"/>
          <w:color w:val="000000" w:themeColor="text1"/>
          <w:sz w:val="20"/>
          <w:szCs w:val="20"/>
          <w:lang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4B5BFCBA">
        <w:rPr>
          <w:rFonts w:ascii="Verdana" w:hAnsi="Verdana" w:cs="Arial"/>
          <w:color w:val="000000" w:themeColor="text1"/>
          <w:sz w:val="20"/>
          <w:szCs w:val="20"/>
          <w:vertAlign w:val="superscript"/>
          <w:lang w:eastAsia="es-CO"/>
        </w:rPr>
        <w:footnoteReference w:id="18"/>
      </w:r>
      <w:r w:rsidRPr="4B5BFCBA">
        <w:rPr>
          <w:rFonts w:ascii="Verdana" w:hAnsi="Verdana" w:cs="Arial"/>
          <w:color w:val="000000" w:themeColor="text1"/>
          <w:sz w:val="20"/>
          <w:szCs w:val="20"/>
          <w:lang w:eastAsia="es-CO"/>
        </w:rPr>
        <w:t xml:space="preserve">”. </w:t>
      </w:r>
    </w:p>
    <w:p w14:paraId="1363344E" w14:textId="77777777" w:rsidR="00027F4F" w:rsidRPr="00FC6F34" w:rsidRDefault="00027F4F" w:rsidP="00027F4F">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5FDA5E10" w14:textId="77777777" w:rsidR="00027F4F" w:rsidRPr="00FC6F34" w:rsidRDefault="00027F4F" w:rsidP="00027F4F">
      <w:pPr>
        <w:tabs>
          <w:tab w:val="left" w:pos="426"/>
        </w:tabs>
        <w:spacing w:after="0" w:line="276" w:lineRule="auto"/>
        <w:ind w:firstLine="709"/>
        <w:jc w:val="both"/>
        <w:rPr>
          <w:rFonts w:ascii="Verdana" w:hAnsi="Verdana" w:cs="Arial"/>
          <w:color w:val="000000" w:themeColor="text1"/>
          <w:lang w:val="es-ES"/>
        </w:rPr>
      </w:pPr>
    </w:p>
    <w:p w14:paraId="575781D3" w14:textId="77777777" w:rsidR="00027F4F" w:rsidRDefault="00027F4F" w:rsidP="00027F4F">
      <w:pPr>
        <w:tabs>
          <w:tab w:val="left" w:pos="426"/>
        </w:tabs>
        <w:spacing w:after="0"/>
        <w:ind w:left="567" w:right="758"/>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w:t>
      </w:r>
      <w:r>
        <w:rPr>
          <w:rFonts w:ascii="Arial" w:hAnsi="Arial" w:cs="Arial"/>
          <w:color w:val="000000" w:themeColor="text1"/>
          <w:sz w:val="21"/>
          <w:szCs w:val="21"/>
          <w:lang w:val="es-ES"/>
        </w:rPr>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 xml:space="preserve">Las excepciones aplicables a la restricción de contratación </w:t>
      </w:r>
      <w:proofErr w:type="gramStart"/>
      <w:r w:rsidRPr="00FC6F34">
        <w:rPr>
          <w:rFonts w:ascii="Verdana" w:hAnsi="Verdana" w:cs="Arial"/>
          <w:i/>
          <w:color w:val="000000" w:themeColor="text1"/>
          <w:sz w:val="20"/>
          <w:szCs w:val="20"/>
          <w:lang w:val="es-ES"/>
        </w:rPr>
        <w:t>pública</w:t>
      </w:r>
      <w:proofErr w:type="gramEnd"/>
      <w:r>
        <w:rPr>
          <w:rFonts w:ascii="Verdana" w:hAnsi="Verdana" w:cs="Arial"/>
          <w:color w:val="000000" w:themeColor="text1"/>
          <w:sz w:val="20"/>
          <w:szCs w:val="20"/>
          <w:lang w:val="es-ES"/>
        </w:rPr>
        <w:t xml:space="preserve"> </w:t>
      </w:r>
      <w:r w:rsidRPr="00FC6F34">
        <w:rPr>
          <w:rFonts w:ascii="Verdana" w:hAnsi="Verdana" w:cs="Arial"/>
          <w:color w:val="000000" w:themeColor="text1"/>
          <w:sz w:val="20"/>
          <w:szCs w:val="20"/>
          <w:shd w:val="clear" w:color="auto" w:fill="FFFFFF"/>
          <w:lang w:val="es-ES"/>
        </w:rPr>
        <w:t xml:space="preserve">Ahora bien, las únicas excepciones a las disposiciones previstas en la Ley </w:t>
      </w:r>
      <w:r w:rsidRPr="00FC6F34">
        <w:rPr>
          <w:rFonts w:ascii="Verdana" w:hAnsi="Verdana" w:cs="Arial"/>
          <w:color w:val="000000" w:themeColor="text1"/>
          <w:sz w:val="20"/>
          <w:szCs w:val="20"/>
          <w:shd w:val="clear" w:color="auto" w:fill="FFFFFF"/>
          <w:lang w:val="es-ES"/>
        </w:rPr>
        <w:lastRenderedPageBreak/>
        <w:t>de Garantías se encuentran numeradas taxativamente en el último inciso del artículo 33 de la ley 996 de 2005, dentro de las que se encuentran:</w:t>
      </w:r>
    </w:p>
    <w:p w14:paraId="531C58B6" w14:textId="77777777" w:rsidR="00027F4F" w:rsidRDefault="00027F4F" w:rsidP="00027F4F">
      <w:pPr>
        <w:tabs>
          <w:tab w:val="left" w:pos="426"/>
        </w:tabs>
        <w:spacing w:after="0"/>
        <w:ind w:left="567" w:right="758"/>
        <w:jc w:val="both"/>
        <w:rPr>
          <w:rFonts w:ascii="Verdana" w:hAnsi="Verdana" w:cs="Arial"/>
          <w:color w:val="000000" w:themeColor="text1"/>
          <w:sz w:val="20"/>
          <w:szCs w:val="20"/>
          <w:shd w:val="clear" w:color="auto" w:fill="FFFFFF"/>
          <w:lang w:val="es-ES"/>
        </w:rPr>
      </w:pPr>
      <w:r>
        <w:rPr>
          <w:rFonts w:ascii="Verdana" w:hAnsi="Verdana" w:cs="Arial"/>
          <w:color w:val="000000" w:themeColor="text1"/>
          <w:sz w:val="20"/>
          <w:szCs w:val="20"/>
          <w:shd w:val="clear" w:color="auto" w:fill="FFFFFF"/>
          <w:lang w:val="es-ES"/>
        </w:rPr>
        <w:t>(…)</w:t>
      </w:r>
    </w:p>
    <w:p w14:paraId="01842EE3" w14:textId="77777777" w:rsidR="00027F4F" w:rsidRPr="008E7A35" w:rsidRDefault="00027F4F" w:rsidP="00027F4F">
      <w:pPr>
        <w:tabs>
          <w:tab w:val="left" w:pos="426"/>
        </w:tabs>
        <w:spacing w:after="0"/>
        <w:ind w:left="567" w:right="758"/>
        <w:jc w:val="both"/>
        <w:rPr>
          <w:rFonts w:ascii="Verdana" w:hAnsi="Verdana" w:cs="Arial"/>
          <w:color w:val="000000" w:themeColor="text1"/>
          <w:sz w:val="20"/>
          <w:szCs w:val="20"/>
          <w:lang w:val="es-ES"/>
        </w:rPr>
      </w:pPr>
    </w:p>
    <w:p w14:paraId="47077C1A" w14:textId="77777777" w:rsidR="00027F4F" w:rsidRPr="00FC6F34" w:rsidRDefault="00027F4F" w:rsidP="00027F4F">
      <w:pPr>
        <w:spacing w:after="0"/>
        <w:ind w:left="567" w:right="758"/>
        <w:jc w:val="both"/>
        <w:rPr>
          <w:rFonts w:ascii="Verdana" w:hAnsi="Verdana" w:cs="Arial"/>
          <w:color w:val="000000" w:themeColor="text1"/>
          <w:sz w:val="20"/>
          <w:szCs w:val="20"/>
          <w:shd w:val="clear" w:color="auto" w:fill="FFFFFF"/>
        </w:rPr>
      </w:pPr>
      <w:r w:rsidRPr="4B5BFCBA">
        <w:rPr>
          <w:rFonts w:ascii="Verdana" w:hAnsi="Verdana" w:cs="Arial"/>
          <w:color w:val="000000" w:themeColor="text1"/>
          <w:sz w:val="20"/>
          <w:szCs w:val="20"/>
          <w:shd w:val="clear" w:color="auto" w:fill="FFFFFF"/>
        </w:rPr>
        <w:t>5. Los que deban realizar las entidades sanitarias y hospitalarias (…)</w:t>
      </w:r>
      <w:r w:rsidRPr="4B5BFCBA">
        <w:rPr>
          <w:rFonts w:ascii="Verdana" w:hAnsi="Verdana" w:cs="Arial"/>
          <w:color w:val="000000" w:themeColor="text1"/>
          <w:sz w:val="20"/>
          <w:szCs w:val="20"/>
          <w:shd w:val="clear" w:color="auto" w:fill="FFFFFF"/>
          <w:vertAlign w:val="superscript"/>
        </w:rPr>
        <w:footnoteReference w:id="19"/>
      </w:r>
      <w:r w:rsidRPr="4B5BFCBA">
        <w:rPr>
          <w:rFonts w:ascii="Verdana" w:hAnsi="Verdana" w:cs="Arial"/>
          <w:color w:val="000000" w:themeColor="text1"/>
          <w:sz w:val="20"/>
          <w:szCs w:val="20"/>
          <w:shd w:val="clear" w:color="auto" w:fill="FFFFFF"/>
        </w:rPr>
        <w:t>.</w:t>
      </w:r>
    </w:p>
    <w:p w14:paraId="0530CFC9" w14:textId="77777777" w:rsidR="00027F4F" w:rsidRPr="00FC6F34" w:rsidRDefault="00027F4F" w:rsidP="00027F4F">
      <w:pPr>
        <w:spacing w:after="0"/>
        <w:ind w:left="709" w:right="709"/>
        <w:jc w:val="both"/>
        <w:rPr>
          <w:rFonts w:ascii="Verdana" w:hAnsi="Verdana" w:cs="Arial"/>
          <w:color w:val="000000" w:themeColor="text1"/>
          <w:sz w:val="20"/>
          <w:szCs w:val="20"/>
          <w:shd w:val="clear" w:color="auto" w:fill="FFFFFF"/>
          <w:lang w:val="es-ES"/>
        </w:rPr>
      </w:pPr>
    </w:p>
    <w:p w14:paraId="3CA004E5" w14:textId="77777777" w:rsidR="00027F4F" w:rsidRDefault="00027F4F" w:rsidP="00027F4F">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61E8ABD7" w14:textId="77777777" w:rsidR="00027F4F" w:rsidRPr="00E61436" w:rsidRDefault="00027F4F" w:rsidP="00027F4F">
      <w:pPr>
        <w:tabs>
          <w:tab w:val="left" w:pos="426"/>
        </w:tabs>
        <w:spacing w:line="276" w:lineRule="auto"/>
        <w:ind w:firstLine="709"/>
        <w:jc w:val="both"/>
        <w:rPr>
          <w:rFonts w:ascii="Verdana" w:hAnsi="Verdana" w:cs="Arial"/>
          <w:bCs/>
          <w:color w:val="000000" w:themeColor="text1"/>
          <w:lang w:val="es-ES"/>
        </w:rPr>
      </w:pPr>
      <w:proofErr w:type="spellStart"/>
      <w:r>
        <w:rPr>
          <w:rFonts w:ascii="Verdana" w:eastAsia="Arial" w:hAnsi="Verdana" w:cs="Arial"/>
          <w:bCs/>
          <w:color w:val="000000" w:themeColor="text1"/>
          <w:lang w:val="es-ES"/>
        </w:rPr>
        <w:t>ii</w:t>
      </w:r>
      <w:proofErr w:type="spellEnd"/>
      <w:r>
        <w:rPr>
          <w:rFonts w:ascii="Verdana" w:eastAsia="Arial" w:hAnsi="Verdana" w:cs="Arial"/>
          <w:bCs/>
          <w:color w:val="000000" w:themeColor="text1"/>
          <w:lang w:val="es-ES"/>
        </w:rPr>
        <w:t xml:space="preserve">) Por otro lado, y para dar respuesta al segundo problema jurídico, debe precisarse que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FC6F34">
        <w:rPr>
          <w:rFonts w:ascii="Verdana" w:hAnsi="Verdana" w:cs="Arial"/>
          <w:bCs/>
          <w:iCs/>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Refdenotaalpie"/>
          <w:rFonts w:ascii="Verdana" w:hAnsi="Verdana" w:cs="Arial"/>
          <w:bCs/>
          <w:iCs/>
          <w:lang w:val="es-ES" w:eastAsia="x-none"/>
        </w:rPr>
        <w:footnoteReference w:id="20"/>
      </w:r>
      <w:r w:rsidRPr="00FC6F34">
        <w:rPr>
          <w:rFonts w:ascii="Verdana" w:hAnsi="Verdana" w:cs="Arial"/>
          <w:bCs/>
          <w:iCs/>
          <w:lang w:val="es-ES" w:eastAsia="x-none"/>
        </w:rPr>
        <w:t>.</w:t>
      </w:r>
      <w:r w:rsidRPr="00FC6F34">
        <w:rPr>
          <w:rFonts w:ascii="Verdana" w:hAnsi="Verdana" w:cs="Arial"/>
          <w:lang w:val="es-ES"/>
        </w:rPr>
        <w:t xml:space="preserve"> </w:t>
      </w:r>
    </w:p>
    <w:p w14:paraId="36155177" w14:textId="77777777" w:rsidR="00027F4F" w:rsidRPr="00461891" w:rsidRDefault="00027F4F" w:rsidP="00027F4F">
      <w:pPr>
        <w:spacing w:after="120" w:line="276" w:lineRule="auto"/>
        <w:ind w:firstLine="709"/>
        <w:jc w:val="both"/>
        <w:rPr>
          <w:rFonts w:ascii="Verdana" w:eastAsia="Calibri" w:hAnsi="Verdana" w:cs="Arial"/>
          <w:lang w:bidi="es-ES"/>
        </w:rPr>
      </w:pPr>
      <w:bookmarkStart w:id="12" w:name="_Hlk99578153"/>
      <w:r w:rsidRPr="00461891">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461891">
        <w:rPr>
          <w:rFonts w:ascii="Verdana" w:eastAsia="Arial" w:hAnsi="Verdana" w:cs="Arial"/>
          <w:lang w:val="es-ES" w:eastAsia="es-ES" w:bidi="es-ES"/>
        </w:rPr>
        <w:t>e</w:t>
      </w:r>
      <w:r w:rsidRPr="00461891">
        <w:rPr>
          <w:rFonts w:ascii="Verdana" w:eastAsia="Calibri" w:hAnsi="Verdana" w:cs="Arial"/>
        </w:rPr>
        <w:t xml:space="preserve">l parágrafo del artículo 38 cobija tanto a los convenios como a los contratos interadministrativos. Esta tesis se fundamenta en que </w:t>
      </w:r>
      <w:r w:rsidRPr="00461891">
        <w:rPr>
          <w:rFonts w:ascii="Verdana" w:eastAsia="Calibri" w:hAnsi="Verdana" w:cs="Arial"/>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w:t>
      </w:r>
      <w:r w:rsidRPr="00461891">
        <w:rPr>
          <w:rFonts w:ascii="Verdana" w:eastAsia="Calibri" w:hAnsi="Verdana" w:cs="Arial"/>
          <w:lang w:bidi="es-ES"/>
        </w:rPr>
        <w:lastRenderedPageBreak/>
        <w:t xml:space="preserve">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6AE30D75" w14:textId="77777777" w:rsidR="00027F4F" w:rsidRPr="00461891" w:rsidRDefault="00027F4F" w:rsidP="00027F4F">
      <w:pPr>
        <w:spacing w:after="120" w:line="276" w:lineRule="auto"/>
        <w:ind w:firstLine="709"/>
        <w:jc w:val="both"/>
        <w:rPr>
          <w:rFonts w:ascii="Verdana" w:eastAsia="Calibri" w:hAnsi="Verdana" w:cs="Arial"/>
          <w:lang w:bidi="es-ES"/>
        </w:rPr>
      </w:pPr>
      <w:r w:rsidRPr="00461891">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461891">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461891">
        <w:rPr>
          <w:rFonts w:ascii="Verdana" w:eastAsia="Arial" w:hAnsi="Verdana" w:cs="Arial"/>
          <w:vertAlign w:val="superscript"/>
          <w:lang w:val="es-ES" w:eastAsia="es-ES" w:bidi="es-ES"/>
        </w:rPr>
        <w:footnoteReference w:id="21"/>
      </w:r>
      <w:r w:rsidRPr="00461891">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461891">
        <w:rPr>
          <w:rFonts w:ascii="Verdana" w:eastAsia="Arial" w:hAnsi="Verdana" w:cs="Arial"/>
          <w:vertAlign w:val="superscript"/>
          <w:lang w:val="es-ES" w:eastAsia="es-ES" w:bidi="es-ES"/>
        </w:rPr>
        <w:footnoteReference w:id="22"/>
      </w:r>
      <w:r w:rsidRPr="00461891">
        <w:rPr>
          <w:rFonts w:ascii="Verdana" w:eastAsia="Arial" w:hAnsi="Verdana" w:cs="Arial"/>
          <w:lang w:val="es-ES" w:eastAsia="es-ES" w:bidi="es-ES"/>
        </w:rPr>
        <w:t>.</w:t>
      </w:r>
    </w:p>
    <w:p w14:paraId="2388296E" w14:textId="77777777" w:rsidR="00027F4F" w:rsidRPr="00461891" w:rsidRDefault="00027F4F" w:rsidP="00027F4F">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61891">
        <w:rPr>
          <w:rFonts w:ascii="Verdana" w:eastAsia="Calibri" w:hAnsi="Verdana" w:cs="Arial"/>
          <w:lang w:val="es-ES" w:bidi="es-ES"/>
        </w:rPr>
        <w:t>De este modo, en la Circular Externa</w:t>
      </w:r>
      <w:r w:rsidRPr="00461891">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39AA3867" w14:textId="77777777" w:rsidR="00027F4F" w:rsidRPr="00461891" w:rsidRDefault="00027F4F" w:rsidP="00027F4F">
      <w:pPr>
        <w:widowControl w:val="0"/>
        <w:autoSpaceDE w:val="0"/>
        <w:autoSpaceDN w:val="0"/>
        <w:spacing w:after="0" w:line="276" w:lineRule="auto"/>
        <w:contextualSpacing/>
        <w:jc w:val="both"/>
        <w:rPr>
          <w:rFonts w:ascii="Verdana" w:eastAsia="Arial" w:hAnsi="Verdana" w:cs="Arial"/>
          <w:lang w:val="es-ES" w:eastAsia="es-ES" w:bidi="es-ES"/>
        </w:rPr>
      </w:pPr>
    </w:p>
    <w:p w14:paraId="5242A048"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461891">
        <w:rPr>
          <w:rFonts w:ascii="Verdana" w:eastAsia="Calibri" w:hAnsi="Verdana" w:cs="Arial"/>
          <w:sz w:val="20"/>
          <w:szCs w:val="20"/>
          <w:lang w:val="es-MX"/>
        </w:rPr>
        <w:t xml:space="preserve">para tal fin, se entenderán en el mismo sentido. Es así como el Decreto 1082 de 2015 trata indistintamente a los convenios y contratos interadministrativos, al establecer la contratación directa como la </w:t>
      </w:r>
      <w:r w:rsidRPr="00461891">
        <w:rPr>
          <w:rFonts w:ascii="Verdana" w:eastAsia="Calibri" w:hAnsi="Verdana" w:cs="Arial"/>
          <w:sz w:val="20"/>
          <w:szCs w:val="20"/>
          <w:lang w:val="es-MX"/>
        </w:rPr>
        <w:lastRenderedPageBreak/>
        <w:t>modalidad de selección para la contratación entre entidades públicas a través de estas dos figuras jurídicas.</w:t>
      </w:r>
    </w:p>
    <w:p w14:paraId="610BD454"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p>
    <w:p w14:paraId="1DDD831E"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55FBDF41"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p>
    <w:p w14:paraId="3AB093C9" w14:textId="77777777" w:rsidR="00027F4F" w:rsidRPr="00461891" w:rsidRDefault="00027F4F" w:rsidP="00027F4F">
      <w:pPr>
        <w:spacing w:after="0" w:line="240" w:lineRule="auto"/>
        <w:ind w:left="709" w:right="709"/>
        <w:jc w:val="both"/>
        <w:rPr>
          <w:rFonts w:ascii="Verdana" w:eastAsia="Calibri" w:hAnsi="Verdana" w:cs="Arial"/>
          <w:sz w:val="20"/>
          <w:szCs w:val="20"/>
          <w:lang w:val="es-MX"/>
        </w:rPr>
      </w:pPr>
      <w:bookmarkStart w:id="13" w:name="_Hlk193459059"/>
      <w:r w:rsidRPr="00461891">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13"/>
      <w:r w:rsidRPr="00461891">
        <w:rPr>
          <w:rFonts w:ascii="Verdana" w:eastAsia="Calibri" w:hAnsi="Verdana" w:cs="Arial"/>
          <w:sz w:val="20"/>
          <w:szCs w:val="20"/>
          <w:lang w:val="es-MX"/>
        </w:rPr>
        <w:t>o”.</w:t>
      </w:r>
    </w:p>
    <w:p w14:paraId="23225153" w14:textId="77777777" w:rsidR="00027F4F" w:rsidRPr="00461891" w:rsidRDefault="00027F4F" w:rsidP="00027F4F">
      <w:pPr>
        <w:widowControl w:val="0"/>
        <w:autoSpaceDE w:val="0"/>
        <w:autoSpaceDN w:val="0"/>
        <w:spacing w:after="0" w:line="240" w:lineRule="auto"/>
        <w:contextualSpacing/>
        <w:jc w:val="both"/>
        <w:rPr>
          <w:rFonts w:ascii="Verdana" w:eastAsia="Arial" w:hAnsi="Verdana" w:cs="Arial"/>
          <w:lang w:val="es-ES" w:eastAsia="es-ES" w:bidi="es-ES"/>
        </w:rPr>
      </w:pPr>
    </w:p>
    <w:p w14:paraId="7696A5AE" w14:textId="77777777" w:rsidR="00027F4F" w:rsidRPr="00461891" w:rsidRDefault="00027F4F" w:rsidP="00027F4F">
      <w:pPr>
        <w:spacing w:after="120" w:line="276" w:lineRule="auto"/>
        <w:ind w:firstLine="709"/>
        <w:jc w:val="both"/>
        <w:rPr>
          <w:rFonts w:ascii="Verdana" w:eastAsia="Arial" w:hAnsi="Verdana" w:cs="Arial"/>
          <w:lang w:val="es-MX" w:eastAsia="es-ES" w:bidi="es-ES"/>
        </w:rPr>
      </w:pPr>
      <w:r w:rsidRPr="00461891">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461891">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0C5EFDD3" w14:textId="77777777" w:rsidR="00027F4F" w:rsidRDefault="00027F4F" w:rsidP="00027F4F">
      <w:pPr>
        <w:spacing w:after="0" w:line="276" w:lineRule="auto"/>
        <w:ind w:firstLine="709"/>
        <w:jc w:val="both"/>
      </w:pPr>
      <w:r w:rsidRPr="00461891">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461891">
        <w:rPr>
          <w:rFonts w:ascii="Verdana" w:hAnsi="Verdana"/>
        </w:rPr>
        <w:t>numeral 16.2 de la Circular Externa Única de 2022 expedida por la Agencia Nacional de Contratación Pública -Colombia Compra Eficiente-, concretamente, respecto de los siguientes apartes normativos</w:t>
      </w:r>
      <w:r w:rsidRPr="00461891">
        <w:rPr>
          <w:rFonts w:ascii="Verdana" w:hAnsi="Verdana"/>
          <w:vertAlign w:val="superscript"/>
        </w:rPr>
        <w:footnoteReference w:id="23"/>
      </w:r>
      <w:r w:rsidRPr="00461891">
        <w:rPr>
          <w:rFonts w:ascii="Verdana" w:hAnsi="Verdana"/>
        </w:rPr>
        <w:t>:</w:t>
      </w:r>
      <w:r w:rsidRPr="00461891">
        <w:t xml:space="preserve"> </w:t>
      </w:r>
    </w:p>
    <w:p w14:paraId="333C33A3" w14:textId="77777777" w:rsidR="00027F4F" w:rsidRPr="00461891" w:rsidRDefault="00027F4F" w:rsidP="00027F4F">
      <w:pPr>
        <w:spacing w:after="0" w:line="240" w:lineRule="auto"/>
        <w:ind w:firstLine="709"/>
        <w:jc w:val="both"/>
      </w:pPr>
    </w:p>
    <w:p w14:paraId="2795BF98" w14:textId="77777777" w:rsidR="00027F4F" w:rsidRPr="00461891" w:rsidRDefault="00027F4F" w:rsidP="00027F4F">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lang w:val="es-MX"/>
        </w:rPr>
        <w:lastRenderedPageBreak/>
        <w:t>i)</w:t>
      </w:r>
      <w:r w:rsidRPr="00461891">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6E3F9B8" w14:textId="77777777" w:rsidR="00027F4F" w:rsidRPr="00461891" w:rsidRDefault="00027F4F" w:rsidP="00027F4F">
      <w:pPr>
        <w:spacing w:after="0" w:line="240" w:lineRule="auto"/>
        <w:ind w:left="709" w:right="709"/>
        <w:jc w:val="both"/>
        <w:rPr>
          <w:rFonts w:ascii="Verdana" w:eastAsia="Calibri" w:hAnsi="Verdana" w:cs="Arial"/>
          <w:sz w:val="20"/>
          <w:szCs w:val="20"/>
        </w:rPr>
      </w:pPr>
    </w:p>
    <w:p w14:paraId="62EFD6F7" w14:textId="77777777" w:rsidR="00027F4F" w:rsidRPr="00461891" w:rsidRDefault="00027F4F" w:rsidP="00027F4F">
      <w:pPr>
        <w:spacing w:after="0" w:line="240" w:lineRule="auto"/>
        <w:ind w:left="709" w:right="709"/>
        <w:jc w:val="both"/>
        <w:rPr>
          <w:rFonts w:ascii="Verdana" w:hAnsi="Verdana"/>
          <w:sz w:val="20"/>
          <w:szCs w:val="20"/>
        </w:rPr>
      </w:pPr>
      <w:proofErr w:type="spellStart"/>
      <w:r w:rsidRPr="00461891">
        <w:rPr>
          <w:rFonts w:ascii="Verdana" w:hAnsi="Verdana"/>
          <w:sz w:val="20"/>
          <w:szCs w:val="20"/>
        </w:rPr>
        <w:t>ii</w:t>
      </w:r>
      <w:proofErr w:type="spellEnd"/>
      <w:r w:rsidRPr="00461891">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616BABE" w14:textId="77777777" w:rsidR="00027F4F" w:rsidRPr="00461891" w:rsidRDefault="00027F4F" w:rsidP="00027F4F">
      <w:pPr>
        <w:spacing w:after="0" w:line="276" w:lineRule="auto"/>
        <w:ind w:left="709" w:right="709"/>
        <w:jc w:val="both"/>
        <w:rPr>
          <w:rFonts w:ascii="Verdana" w:hAnsi="Verdana"/>
        </w:rPr>
      </w:pPr>
    </w:p>
    <w:p w14:paraId="5106CBE9" w14:textId="77777777" w:rsidR="00027F4F" w:rsidRPr="00461891" w:rsidRDefault="00027F4F" w:rsidP="00027F4F">
      <w:pPr>
        <w:spacing w:after="120" w:line="276" w:lineRule="auto"/>
        <w:ind w:firstLine="709"/>
        <w:jc w:val="both"/>
        <w:rPr>
          <w:rFonts w:ascii="Verdana" w:eastAsia="Arial" w:hAnsi="Verdana" w:cs="Arial"/>
          <w:i/>
          <w:iCs/>
          <w:lang w:val="es-MX" w:eastAsia="es-ES" w:bidi="es-ES"/>
        </w:rPr>
      </w:pPr>
      <w:r w:rsidRPr="00461891">
        <w:rPr>
          <w:rFonts w:ascii="Verdana" w:eastAsia="Arial" w:hAnsi="Verdana" w:cs="Arial"/>
          <w:lang w:val="es-MX" w:eastAsia="es-ES" w:bidi="es-ES"/>
        </w:rPr>
        <w:t xml:space="preserve">De conformidad con los argumentos de dicha providencia, se parte de la distinción entre los conceptos </w:t>
      </w:r>
      <w:r w:rsidRPr="00461891">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61891">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61891">
        <w:rPr>
          <w:rFonts w:ascii="Verdana" w:eastAsia="Arial" w:hAnsi="Verdana" w:cs="Arial"/>
          <w:lang w:eastAsia="es-ES" w:bidi="es-ES"/>
        </w:rPr>
        <w:t xml:space="preserve">Por tal motivo, para efectos de decretar la medida de suspensión provisional de los apartes señalados del numeral </w:t>
      </w:r>
      <w:bookmarkStart w:id="14" w:name="_Hlk192497089"/>
      <w:r w:rsidRPr="00461891">
        <w:rPr>
          <w:rFonts w:ascii="Verdana" w:eastAsia="Arial" w:hAnsi="Verdana" w:cs="Arial"/>
          <w:lang w:eastAsia="es-ES" w:bidi="es-ES"/>
        </w:rPr>
        <w:t>16.2 de la Circular Externa Única</w:t>
      </w:r>
      <w:bookmarkEnd w:id="14"/>
      <w:r w:rsidRPr="00461891">
        <w:rPr>
          <w:rFonts w:ascii="Verdana" w:eastAsia="Arial" w:hAnsi="Verdana" w:cs="Arial"/>
          <w:lang w:eastAsia="es-ES" w:bidi="es-ES"/>
        </w:rPr>
        <w:t xml:space="preserve">, argumentó que </w:t>
      </w:r>
      <w:r w:rsidRPr="00461891">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CC98F07" w14:textId="77777777" w:rsidR="00027F4F" w:rsidRPr="00461891" w:rsidRDefault="00027F4F" w:rsidP="00027F4F">
      <w:pPr>
        <w:spacing w:after="120" w:line="276" w:lineRule="auto"/>
        <w:ind w:firstLine="709"/>
        <w:jc w:val="both"/>
        <w:rPr>
          <w:rFonts w:ascii="Verdana" w:eastAsia="Calibri" w:hAnsi="Verdana" w:cs="Arial"/>
          <w:lang w:val="es-MX"/>
        </w:rPr>
      </w:pPr>
      <w:r w:rsidRPr="00461891">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461891">
        <w:rPr>
          <w:rFonts w:ascii="Verdana" w:eastAsia="Arial" w:hAnsi="Verdana" w:cs="Arial"/>
          <w:lang w:eastAsia="es-ES" w:bidi="es-ES"/>
        </w:rPr>
        <w:t>16.2 de la Circular Externa Única</w:t>
      </w:r>
      <w:r w:rsidRPr="00461891">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461891">
        <w:rPr>
          <w:rFonts w:ascii="Verdana" w:eastAsia="Times New Roman" w:hAnsi="Verdana" w:cs="Arial"/>
          <w:lang w:val="es-MX" w:eastAsia="es-CO"/>
        </w:rPr>
        <w:t xml:space="preserve">evitar cualquier </w:t>
      </w:r>
      <w:r w:rsidRPr="00461891">
        <w:rPr>
          <w:rFonts w:ascii="Verdana" w:eastAsia="Times New Roman" w:hAnsi="Verdana" w:cs="Arial"/>
          <w:lang w:val="es-MX" w:eastAsia="es-CO"/>
        </w:rPr>
        <w:lastRenderedPageBreak/>
        <w:t xml:space="preserve">tipo de arbitrariedad, de ventaja injustificada, de uso irregular de los recursos del Estado en las campañas políticas, o que </w:t>
      </w:r>
      <w:r w:rsidRPr="00461891">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2B80A9CE" w14:textId="77777777" w:rsidR="00027F4F" w:rsidRPr="00461891" w:rsidRDefault="00027F4F" w:rsidP="00027F4F">
      <w:pPr>
        <w:spacing w:after="120" w:line="276" w:lineRule="auto"/>
        <w:ind w:firstLine="709"/>
        <w:jc w:val="both"/>
        <w:rPr>
          <w:rFonts w:ascii="Verdana" w:eastAsia="Arial" w:hAnsi="Verdana" w:cs="Arial"/>
          <w:lang w:val="es-MX" w:eastAsia="es-ES" w:bidi="es-ES"/>
        </w:rPr>
      </w:pPr>
      <w:r w:rsidRPr="00461891">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461891">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461891">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01FF0866" w14:textId="77777777" w:rsidR="00027F4F" w:rsidRPr="00461891" w:rsidRDefault="00027F4F" w:rsidP="00027F4F">
      <w:pPr>
        <w:spacing w:after="120" w:line="276" w:lineRule="auto"/>
        <w:ind w:firstLine="709"/>
        <w:jc w:val="both"/>
        <w:rPr>
          <w:rFonts w:ascii="Verdana" w:eastAsia="Times New Roman" w:hAnsi="Verdana" w:cs="Arial"/>
          <w:lang w:val="es-MX" w:eastAsia="es-CO"/>
        </w:rPr>
      </w:pPr>
      <w:r w:rsidRPr="00461891">
        <w:rPr>
          <w:rFonts w:ascii="Verdana" w:eastAsia="Arial" w:hAnsi="Verdana" w:cs="Arial"/>
          <w:lang w:val="es-MX" w:eastAsia="es-ES" w:bidi="es-ES"/>
        </w:rPr>
        <w:t xml:space="preserve"> De esta manera, </w:t>
      </w:r>
      <w:bookmarkStart w:id="15" w:name="_Hlk78820161"/>
      <w:bookmarkEnd w:id="12"/>
      <w:r w:rsidRPr="00461891">
        <w:rPr>
          <w:rFonts w:ascii="Verdana" w:eastAsia="Arial" w:hAnsi="Verdana" w:cs="Arial"/>
          <w:lang w:val="es-MX" w:eastAsia="es-ES" w:bidi="es-ES"/>
        </w:rPr>
        <w:t>s</w:t>
      </w:r>
      <w:proofErr w:type="spellStart"/>
      <w:r w:rsidRPr="00461891">
        <w:rPr>
          <w:rFonts w:ascii="Verdana" w:eastAsia="Times New Roman" w:hAnsi="Verdana" w:cs="Arial"/>
          <w:lang w:eastAsia="es-CO"/>
        </w:rPr>
        <w:t>e</w:t>
      </w:r>
      <w:proofErr w:type="spellEnd"/>
      <w:r w:rsidRPr="00461891">
        <w:rPr>
          <w:rFonts w:ascii="Verdana" w:eastAsia="Times New Roman" w:hAnsi="Verdana" w:cs="Arial"/>
          <w:lang w:eastAsia="es-CO"/>
        </w:rPr>
        <w:t xml:space="preserve"> observa entonces que </w:t>
      </w:r>
      <w:r w:rsidRPr="00461891">
        <w:rPr>
          <w:rFonts w:ascii="Verdana" w:eastAsia="Times New Roman" w:hAnsi="Verdana" w:cs="Arial"/>
          <w:lang w:val="es-MX" w:eastAsia="es-CO"/>
        </w:rPr>
        <w:t xml:space="preserve">el parágrafo del artículo 38 de la Ley 996 de 2005 prohíbe a los </w:t>
      </w:r>
      <w:proofErr w:type="gramStart"/>
      <w:r w:rsidRPr="00461891">
        <w:rPr>
          <w:rFonts w:ascii="Verdana" w:eastAsia="Times New Roman" w:hAnsi="Verdana" w:cs="Arial"/>
          <w:lang w:val="es-MX" w:eastAsia="es-CO"/>
        </w:rPr>
        <w:t>Alcaldes</w:t>
      </w:r>
      <w:proofErr w:type="gramEnd"/>
      <w:r w:rsidRPr="00461891">
        <w:rPr>
          <w:rFonts w:ascii="Verdana" w:eastAsia="Times New Roman" w:hAnsi="Verdana" w:cs="Arial"/>
          <w:lang w:val="es-MX" w:eastAsia="es-CO"/>
        </w:rPr>
        <w:t xml:space="preserve">, Gobernadores, </w:t>
      </w:r>
      <w:proofErr w:type="gramStart"/>
      <w:r w:rsidRPr="00461891">
        <w:rPr>
          <w:rFonts w:ascii="Verdana" w:eastAsia="Times New Roman" w:hAnsi="Verdana" w:cs="Arial"/>
          <w:lang w:val="es-MX" w:eastAsia="es-CO"/>
        </w:rPr>
        <w:t>Secretarios</w:t>
      </w:r>
      <w:proofErr w:type="gramEnd"/>
      <w:r w:rsidRPr="00461891">
        <w:rPr>
          <w:rFonts w:ascii="Verdana" w:eastAsia="Times New Roman" w:hAnsi="Verdana" w:cs="Arial"/>
          <w:lang w:val="es-MX" w:eastAsia="es-CO"/>
        </w:rPr>
        <w:t xml:space="preserve">, Gerentes y </w:t>
      </w:r>
      <w:proofErr w:type="gramStart"/>
      <w:r w:rsidRPr="00461891">
        <w:rPr>
          <w:rFonts w:ascii="Verdana" w:eastAsia="Times New Roman" w:hAnsi="Verdana" w:cs="Arial"/>
          <w:lang w:val="es-MX" w:eastAsia="es-CO"/>
        </w:rPr>
        <w:t>Directores</w:t>
      </w:r>
      <w:proofErr w:type="gramEnd"/>
      <w:r w:rsidRPr="00461891">
        <w:rPr>
          <w:rFonts w:ascii="Verdana" w:eastAsia="Times New Roman" w:hAnsi="Verdana" w:cs="Arial"/>
          <w:lang w:val="es-MX" w:eastAsia="es-CO"/>
        </w:rPr>
        <w:t xml:space="preserve"> de las entidades del orden municipal, departamental o distrital celebrar </w:t>
      </w:r>
      <w:r w:rsidRPr="00461891">
        <w:rPr>
          <w:rFonts w:ascii="Verdana" w:eastAsia="Times New Roman" w:hAnsi="Verdana" w:cs="Arial"/>
          <w:i/>
          <w:iCs/>
          <w:lang w:val="es-MX" w:eastAsia="es-CO"/>
        </w:rPr>
        <w:t>convenios interadministrativos</w:t>
      </w:r>
      <w:r w:rsidRPr="00461891">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61891">
        <w:rPr>
          <w:rFonts w:ascii="Verdana" w:eastAsia="Times New Roman" w:hAnsi="Verdana" w:cs="Arial"/>
          <w:i/>
          <w:lang w:val="es-MX" w:eastAsia="es-CO"/>
        </w:rPr>
        <w:t>ibidem</w:t>
      </w:r>
      <w:r w:rsidRPr="00461891">
        <w:rPr>
          <w:rFonts w:ascii="Verdana" w:eastAsia="Times New Roman" w:hAnsi="Verdana" w:cs="Arial"/>
          <w:lang w:val="es-MX" w:eastAsia="es-CO"/>
        </w:rPr>
        <w:t xml:space="preserve">, no podrá celebrar tales </w:t>
      </w:r>
      <w:r w:rsidRPr="00461891">
        <w:rPr>
          <w:rFonts w:ascii="Verdana" w:eastAsia="Times New Roman" w:hAnsi="Verdana" w:cs="Arial"/>
          <w:i/>
          <w:iCs/>
          <w:lang w:val="es-MX" w:eastAsia="es-CO"/>
        </w:rPr>
        <w:t>convenios</w:t>
      </w:r>
      <w:r w:rsidRPr="00461891">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FF1EC40" w14:textId="77777777" w:rsidR="00027F4F" w:rsidRDefault="00027F4F" w:rsidP="00027F4F">
      <w:pPr>
        <w:spacing w:after="120" w:line="276" w:lineRule="auto"/>
        <w:ind w:firstLine="709"/>
        <w:jc w:val="both"/>
        <w:rPr>
          <w:rFonts w:ascii="Verdana" w:eastAsia="Arial" w:hAnsi="Verdana" w:cs="Arial"/>
          <w:lang w:val="es-ES" w:eastAsia="es-ES" w:bidi="es-ES"/>
        </w:rPr>
      </w:pPr>
      <w:bookmarkStart w:id="16" w:name="_Hlk77154098"/>
      <w:r w:rsidRPr="00461891">
        <w:rPr>
          <w:rFonts w:ascii="Verdana" w:eastAsia="Times New Roman" w:hAnsi="Verdana" w:cs="Arial"/>
          <w:lang w:val="es-ES" w:eastAsia="es-CO" w:bidi="es-ES"/>
        </w:rPr>
        <w:t>En todo caso</w:t>
      </w:r>
      <w:r w:rsidRPr="00461891">
        <w:rPr>
          <w:rFonts w:ascii="Verdana" w:eastAsia="Arial" w:hAnsi="Verdana" w:cs="Arial"/>
          <w:lang w:val="es-ES" w:eastAsia="es-ES" w:bidi="es-ES"/>
        </w:rPr>
        <w:t xml:space="preserve">, es importante resaltar que la Sala de Consulta y Servicio Civil del Consejo de Estado se ha pronunciado en el sentido de que </w:t>
      </w:r>
      <w:bookmarkStart w:id="17" w:name="_Hlk78820889"/>
      <w:r w:rsidRPr="00461891">
        <w:rPr>
          <w:rFonts w:ascii="Verdana" w:eastAsia="Arial" w:hAnsi="Verdana" w:cs="Arial"/>
          <w:lang w:val="es-ES" w:eastAsia="es-ES" w:bidi="es-ES"/>
        </w:rPr>
        <w:t>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7"/>
      <w:r w:rsidRPr="00461891">
        <w:rPr>
          <w:rFonts w:ascii="Verdana" w:eastAsia="Arial" w:hAnsi="Verdana" w:cs="Arial"/>
          <w:vertAlign w:val="superscript"/>
          <w:lang w:val="es-ES" w:eastAsia="es-ES" w:bidi="es-ES"/>
        </w:rPr>
        <w:footnoteReference w:id="24"/>
      </w:r>
      <w:r w:rsidRPr="00461891">
        <w:rPr>
          <w:rFonts w:ascii="Verdana" w:eastAsia="Arial" w:hAnsi="Verdana" w:cs="Arial"/>
          <w:lang w:val="es-ES" w:eastAsia="es-ES" w:bidi="es-ES"/>
        </w:rPr>
        <w:t>.</w:t>
      </w:r>
      <w:bookmarkEnd w:id="16"/>
    </w:p>
    <w:p w14:paraId="6F0119C2" w14:textId="77777777" w:rsidR="00027F4F" w:rsidRPr="00461891" w:rsidRDefault="00027F4F" w:rsidP="00027F4F">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lastRenderedPageBreak/>
        <w:t>La Circular Externa No. 006 del 25 de septiembre de 2025 expedida por la Agencia Nacional de Contratación Pública hizo algunas precisiones sobre la aplicación de las prohibiciones establecidas en el artículo 33 y el parágrafo del artículo 38 de la Ley 996 de 2025, la cual se encuentra disponible para su consulta</w:t>
      </w:r>
      <w:r>
        <w:rPr>
          <w:rStyle w:val="Refdenotaalpie"/>
          <w:rFonts w:ascii="Verdana" w:eastAsia="Arial" w:hAnsi="Verdana" w:cs="Arial"/>
          <w:lang w:val="es-ES" w:eastAsia="es-ES" w:bidi="es-ES"/>
        </w:rPr>
        <w:footnoteReference w:id="25"/>
      </w:r>
      <w:r>
        <w:rPr>
          <w:rFonts w:ascii="Verdana" w:eastAsia="Arial" w:hAnsi="Verdana" w:cs="Arial"/>
          <w:lang w:val="es-ES" w:eastAsia="es-ES" w:bidi="es-ES"/>
        </w:rPr>
        <w:t xml:space="preserve">. </w:t>
      </w:r>
    </w:p>
    <w:p w14:paraId="18461566" w14:textId="77777777" w:rsidR="00027F4F" w:rsidRDefault="00027F4F" w:rsidP="00027F4F">
      <w:pPr>
        <w:spacing w:after="120" w:line="276" w:lineRule="auto"/>
        <w:ind w:firstLine="709"/>
        <w:jc w:val="both"/>
        <w:rPr>
          <w:rFonts w:ascii="Verdana" w:eastAsia="Calibri" w:hAnsi="Verdana" w:cs="Arial"/>
        </w:rPr>
      </w:pPr>
      <w:r>
        <w:rPr>
          <w:rFonts w:ascii="Verdana" w:eastAsia="Arial" w:hAnsi="Verdana" w:cs="Arial"/>
          <w:lang w:val="es-ES" w:eastAsia="es-ES" w:bidi="es-ES"/>
        </w:rPr>
        <w:t>En conclusión</w:t>
      </w:r>
      <w:r w:rsidRPr="00461891">
        <w:rPr>
          <w:rFonts w:ascii="Verdana" w:eastAsia="Arial" w:hAnsi="Verdana" w:cs="Arial"/>
          <w:lang w:val="es-ES" w:eastAsia="es-ES" w:bidi="es-ES"/>
        </w:rPr>
        <w:t xml:space="preserve">,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w:t>
      </w:r>
      <w:r>
        <w:rPr>
          <w:rFonts w:ascii="Verdana" w:eastAsia="Arial" w:hAnsi="Verdana" w:cs="Arial"/>
          <w:lang w:val="es-ES" w:eastAsia="es-ES" w:bidi="es-ES"/>
        </w:rPr>
        <w:t>,</w:t>
      </w:r>
      <w:r w:rsidRPr="00461891">
        <w:rPr>
          <w:rFonts w:ascii="Verdana" w:eastAsia="Arial" w:hAnsi="Verdana" w:cs="Arial"/>
          <w:lang w:val="es-ES" w:eastAsia="es-ES" w:bidi="es-ES"/>
        </w:rPr>
        <w:t xml:space="preserve">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w:t>
      </w:r>
    </w:p>
    <w:p w14:paraId="53AFAF83" w14:textId="77777777" w:rsidR="00027F4F" w:rsidRPr="00AC19C1" w:rsidRDefault="00027F4F" w:rsidP="00027F4F">
      <w:pPr>
        <w:spacing w:after="120" w:line="276" w:lineRule="auto"/>
        <w:ind w:firstLine="709"/>
        <w:jc w:val="both"/>
        <w:rPr>
          <w:rFonts w:ascii="Verdana" w:eastAsia="Calibri" w:hAnsi="Verdana" w:cs="Arial"/>
          <w:bCs/>
        </w:rPr>
      </w:pPr>
      <w:r w:rsidRPr="00AC19C1">
        <w:rPr>
          <w:rFonts w:ascii="Verdana" w:eastAsia="Calibri" w:hAnsi="Verdana" w:cs="Arial"/>
        </w:rPr>
        <w:t xml:space="preserve">Finalmente, es importante advertir que compete a cada Entidad Estatal que considera celebrar un contrato específico definir si este se enmarca en alguna de las prohibiciones de la Ley de Garantías Electorales.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5"/>
    <w:p w14:paraId="15ED1D0B" w14:textId="77777777" w:rsidR="00027F4F" w:rsidRDefault="00027F4F" w:rsidP="00027F4F">
      <w:pPr>
        <w:pStyle w:val="Prrafodelista"/>
        <w:tabs>
          <w:tab w:val="left" w:pos="142"/>
          <w:tab w:val="left" w:pos="284"/>
          <w:tab w:val="left" w:pos="3828"/>
          <w:tab w:val="left" w:pos="6900"/>
        </w:tabs>
        <w:spacing w:after="0" w:line="240" w:lineRule="auto"/>
        <w:ind w:left="0"/>
        <w:contextualSpacing w:val="0"/>
        <w:jc w:val="both"/>
        <w:rPr>
          <w:rFonts w:ascii="Verdana" w:eastAsia="Calibri" w:hAnsi="Verdana" w:cs="Arial"/>
          <w:lang w:val="es-CO"/>
        </w:rPr>
      </w:pPr>
    </w:p>
    <w:p w14:paraId="447FEA6A" w14:textId="77777777" w:rsidR="00027F4F" w:rsidRDefault="00027F4F" w:rsidP="00027F4F">
      <w:pPr>
        <w:tabs>
          <w:tab w:val="left" w:pos="142"/>
          <w:tab w:val="left" w:pos="284"/>
          <w:tab w:val="left" w:pos="3828"/>
        </w:tabs>
        <w:spacing w:after="0" w:line="240" w:lineRule="auto"/>
        <w:rPr>
          <w:rFonts w:ascii="Verdana" w:eastAsia="Century Gothic" w:hAnsi="Verdana" w:cs="Century Gothic"/>
          <w:b/>
          <w:bCs/>
        </w:rPr>
      </w:pPr>
      <w:bookmarkStart w:id="19"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9"/>
    </w:p>
    <w:p w14:paraId="7A50BFEB" w14:textId="77777777" w:rsidR="00027F4F" w:rsidRPr="005644FE" w:rsidRDefault="00027F4F" w:rsidP="00027F4F">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7F4F" w:rsidRPr="005644FE" w14:paraId="5B3FDE5D" w14:textId="77777777" w:rsidTr="00CA54A9">
        <w:trPr>
          <w:trHeight w:val="1288"/>
          <w:jc w:val="center"/>
        </w:trPr>
        <w:tc>
          <w:tcPr>
            <w:tcW w:w="8647" w:type="dxa"/>
          </w:tcPr>
          <w:p w14:paraId="06DF8B4B"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127. </w:t>
            </w:r>
          </w:p>
          <w:p w14:paraId="48EF6588"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Ley 996 de 2005. Artículos 33 y parágrafo del artículo 38.</w:t>
            </w:r>
          </w:p>
          <w:p w14:paraId="2316EF78"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41ED98FF"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lastRenderedPageBreak/>
              <w:t>Consejo de Estado. Sala de lo Contencioso Administrativo. Sección Primera. Sentencia de 3 de marzo de 2005, Radicado: 25001-23-15-000-2004-00823-01 (PI). C.P: Camilo Arciniegas Andrade.</w:t>
            </w:r>
          </w:p>
          <w:p w14:paraId="531356A3"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de fecha 24 de julio de 2013. Radicado: Radicado: 11001-03-06-000-2013-00407-00 (2166). C.P: Álvaro </w:t>
            </w:r>
            <w:proofErr w:type="spellStart"/>
            <w:r w:rsidRPr="008E7A35">
              <w:rPr>
                <w:rFonts w:ascii="Verdana" w:eastAsia="Arial MT" w:hAnsi="Verdana" w:cs="Arial"/>
                <w:lang w:val="es-CO" w:eastAsia="es-ES" w:bidi="es-ES"/>
              </w:rPr>
              <w:t>Namén</w:t>
            </w:r>
            <w:proofErr w:type="spellEnd"/>
            <w:r w:rsidRPr="008E7A35">
              <w:rPr>
                <w:rFonts w:ascii="Verdana" w:eastAsia="Arial MT" w:hAnsi="Verdana" w:cs="Arial"/>
                <w:lang w:val="es-CO" w:eastAsia="es-ES" w:bidi="es-ES"/>
              </w:rPr>
              <w:t xml:space="preserve"> Vargas.  </w:t>
            </w:r>
          </w:p>
          <w:p w14:paraId="27EF898D"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del 17 de febrero de 2015. Radicación No. 11001-03-06-000-2015-00164-00 (2269) C.P: William Zambrano Cetina.</w:t>
            </w:r>
          </w:p>
          <w:p w14:paraId="2B7CB400"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del 2 de septiembre de 2013. Radicación número: 11001-03-06-000-2013-00412-00 (2168). C</w:t>
            </w:r>
            <w:r>
              <w:rPr>
                <w:rFonts w:ascii="Verdana" w:eastAsia="Arial MT" w:hAnsi="Verdana" w:cs="Arial"/>
                <w:lang w:val="es-CO" w:eastAsia="es-ES" w:bidi="es-ES"/>
              </w:rPr>
              <w:t>.</w:t>
            </w:r>
            <w:r w:rsidRPr="008E7A35">
              <w:rPr>
                <w:rFonts w:ascii="Verdana" w:eastAsia="Arial MT" w:hAnsi="Verdana" w:cs="Arial"/>
                <w:lang w:val="es-CO" w:eastAsia="es-ES" w:bidi="es-ES"/>
              </w:rPr>
              <w:t xml:space="preserve">P: Álvaro </w:t>
            </w:r>
            <w:proofErr w:type="spellStart"/>
            <w:r w:rsidRPr="008E7A35">
              <w:rPr>
                <w:rFonts w:ascii="Verdana" w:eastAsia="Arial MT" w:hAnsi="Verdana" w:cs="Arial"/>
                <w:lang w:val="es-CO" w:eastAsia="es-ES" w:bidi="es-ES"/>
              </w:rPr>
              <w:t>Namén</w:t>
            </w:r>
            <w:proofErr w:type="spellEnd"/>
            <w:r w:rsidRPr="008E7A35">
              <w:rPr>
                <w:rFonts w:ascii="Verdana" w:eastAsia="Arial MT" w:hAnsi="Verdana" w:cs="Arial"/>
                <w:lang w:val="es-CO" w:eastAsia="es-ES" w:bidi="es-ES"/>
              </w:rPr>
              <w:t xml:space="preserve"> Vargas.</w:t>
            </w:r>
          </w:p>
          <w:p w14:paraId="6A122C4E"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Concepto del 08 de mayo de 2018. </w:t>
            </w:r>
            <w:proofErr w:type="spellStart"/>
            <w:r w:rsidRPr="008E7A35">
              <w:rPr>
                <w:rFonts w:ascii="Verdana" w:eastAsia="Arial MT" w:hAnsi="Verdana" w:cs="Arial"/>
                <w:lang w:val="es-CO" w:eastAsia="es-ES" w:bidi="es-ES"/>
              </w:rPr>
              <w:t>Exp</w:t>
            </w:r>
            <w:proofErr w:type="spellEnd"/>
            <w:r w:rsidRPr="008E7A35">
              <w:rPr>
                <w:rFonts w:ascii="Verdana" w:eastAsia="Arial MT" w:hAnsi="Verdana" w:cs="Arial"/>
                <w:lang w:val="es-CO" w:eastAsia="es-ES" w:bidi="es-ES"/>
              </w:rPr>
              <w:t>. 2.382. C.P</w:t>
            </w:r>
            <w:r>
              <w:rPr>
                <w:rFonts w:ascii="Verdana" w:eastAsia="Arial MT" w:hAnsi="Verdana" w:cs="Arial"/>
                <w:lang w:val="es-CO" w:eastAsia="es-ES" w:bidi="es-ES"/>
              </w:rPr>
              <w:t>:</w:t>
            </w:r>
            <w:r w:rsidRPr="008E7A35">
              <w:rPr>
                <w:rFonts w:ascii="Verdana" w:eastAsia="Arial MT" w:hAnsi="Verdana" w:cs="Arial"/>
                <w:lang w:val="es-CO" w:eastAsia="es-ES" w:bidi="es-ES"/>
              </w:rPr>
              <w:t xml:space="preserve"> Álvaro </w:t>
            </w:r>
            <w:proofErr w:type="spellStart"/>
            <w:r w:rsidRPr="008E7A35">
              <w:rPr>
                <w:rFonts w:ascii="Verdana" w:eastAsia="Arial MT" w:hAnsi="Verdana" w:cs="Arial"/>
                <w:lang w:val="es-CO" w:eastAsia="es-ES" w:bidi="es-ES"/>
              </w:rPr>
              <w:t>Namén</w:t>
            </w:r>
            <w:proofErr w:type="spellEnd"/>
            <w:r w:rsidRPr="008E7A35">
              <w:rPr>
                <w:rFonts w:ascii="Verdana" w:eastAsia="Arial MT" w:hAnsi="Verdana" w:cs="Arial"/>
                <w:lang w:val="es-CO" w:eastAsia="es-ES" w:bidi="es-ES"/>
              </w:rPr>
              <w:t xml:space="preserve"> Vargas.</w:t>
            </w:r>
          </w:p>
          <w:p w14:paraId="563A910A"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 20 de febrero de 2006. Radicación Número: 11001-03-06-000-2006-00026-00 (1727). C.P: Enrique José Arboleda Perdomo.</w:t>
            </w:r>
          </w:p>
          <w:p w14:paraId="1FDB0B45"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Consejo de Estado. Sala de Consulta y Servicio Civil. Concepto del 18 de febrero 2010. Rad. 11001-03-06-000-2010-00006-00 (1985). C.P</w:t>
            </w:r>
            <w:r>
              <w:rPr>
                <w:rFonts w:ascii="Verdana" w:eastAsia="Arial MT" w:hAnsi="Verdana" w:cs="Arial"/>
                <w:lang w:val="es-CO" w:eastAsia="es-ES" w:bidi="es-ES"/>
              </w:rPr>
              <w:t>:</w:t>
            </w:r>
            <w:r w:rsidRPr="008E7A35">
              <w:rPr>
                <w:rFonts w:ascii="Verdana" w:eastAsia="Arial MT" w:hAnsi="Verdana" w:cs="Arial"/>
                <w:lang w:val="es-CO" w:eastAsia="es-ES" w:bidi="es-ES"/>
              </w:rPr>
              <w:t xml:space="preserve"> Enrique José Arboleda Perdomo.</w:t>
            </w:r>
          </w:p>
          <w:p w14:paraId="314C195A"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Concepto de 20 de febrero de 2006. Radicación 11001-03-06-000-2006-00023-00(1724). </w:t>
            </w:r>
            <w:r>
              <w:rPr>
                <w:rFonts w:ascii="Verdana" w:eastAsia="Arial MT" w:hAnsi="Verdana" w:cs="Arial"/>
                <w:lang w:val="es-CO" w:eastAsia="es-ES" w:bidi="es-ES"/>
              </w:rPr>
              <w:t>C.P:</w:t>
            </w:r>
            <w:r w:rsidRPr="008E7A35">
              <w:rPr>
                <w:rFonts w:ascii="Verdana" w:eastAsia="Arial MT" w:hAnsi="Verdana" w:cs="Arial"/>
                <w:lang w:val="es-CO" w:eastAsia="es-ES" w:bidi="es-ES"/>
              </w:rPr>
              <w:t xml:space="preserve"> Flavio Augusto Rodríguez Arce.</w:t>
            </w:r>
          </w:p>
          <w:p w14:paraId="4F756FE1"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lo Contencioso Administrativo. Sección Tercera. Auto del 4 de octubre de 2024. </w:t>
            </w:r>
            <w:proofErr w:type="spellStart"/>
            <w:r w:rsidRPr="008E7A35">
              <w:rPr>
                <w:rFonts w:ascii="Verdana" w:eastAsia="Arial MT" w:hAnsi="Verdana" w:cs="Arial"/>
                <w:lang w:val="es-CO" w:eastAsia="es-ES" w:bidi="es-ES"/>
              </w:rPr>
              <w:t>Exp</w:t>
            </w:r>
            <w:proofErr w:type="spellEnd"/>
            <w:r w:rsidRPr="008E7A35">
              <w:rPr>
                <w:rFonts w:ascii="Verdana" w:eastAsia="Arial MT" w:hAnsi="Verdana" w:cs="Arial"/>
                <w:lang w:val="es-CO" w:eastAsia="es-ES" w:bidi="es-ES"/>
              </w:rPr>
              <w:t>. 70.313. C.P: Fredy Ibarra Martínez.</w:t>
            </w:r>
          </w:p>
          <w:p w14:paraId="6751F0F0"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 xml:space="preserve">Consejo de Estado. Sala de Consulta y Servicio Civil. Concepto del 15 de noviembre de 2007. Expediente número 1863. </w:t>
            </w:r>
            <w:r>
              <w:rPr>
                <w:rFonts w:ascii="Verdana" w:eastAsia="Arial MT" w:hAnsi="Verdana" w:cs="Arial"/>
                <w:lang w:val="es-CO" w:eastAsia="es-ES" w:bidi="es-ES"/>
              </w:rPr>
              <w:t>C.P:</w:t>
            </w:r>
            <w:r w:rsidRPr="008E7A35">
              <w:rPr>
                <w:rFonts w:ascii="Verdana" w:eastAsia="Arial MT" w:hAnsi="Verdana" w:cs="Arial"/>
                <w:lang w:val="es-CO" w:eastAsia="es-ES" w:bidi="es-ES"/>
              </w:rPr>
              <w:t xml:space="preserve"> Luis Fernando Álvarez Jaramillo.</w:t>
            </w:r>
          </w:p>
          <w:p w14:paraId="4D951E19" w14:textId="77777777" w:rsidR="00027F4F" w:rsidRPr="008E7A35"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8E7A35">
              <w:rPr>
                <w:rFonts w:ascii="Verdana" w:eastAsia="Arial MT" w:hAnsi="Verdana" w:cs="Arial"/>
                <w:lang w:val="es-CO" w:eastAsia="es-ES" w:bidi="es-ES"/>
              </w:rPr>
              <w:t>Corte Constitucional. Sentencia C- 1153 de 2005, M.P: Marco Gerardo Monroy Cabra.</w:t>
            </w:r>
          </w:p>
          <w:p w14:paraId="6CB08909"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C-233 de 4 de abril de 2002, M.P: Álvaro Tafur Galvis. </w:t>
            </w:r>
          </w:p>
          <w:p w14:paraId="4B8603F2"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C-551 de 9 de julio de 2003. M.P: Eduardo Montealegre </w:t>
            </w:r>
            <w:proofErr w:type="spellStart"/>
            <w:r w:rsidRPr="00E268CB">
              <w:rPr>
                <w:rFonts w:ascii="Verdana" w:eastAsia="Arial MT" w:hAnsi="Verdana" w:cs="Arial"/>
                <w:lang w:val="es-CO" w:eastAsia="es-ES" w:bidi="es-ES"/>
              </w:rPr>
              <w:t>Lynett</w:t>
            </w:r>
            <w:proofErr w:type="spellEnd"/>
            <w:r w:rsidRPr="00E268CB">
              <w:rPr>
                <w:rFonts w:ascii="Verdana" w:eastAsia="Arial MT" w:hAnsi="Verdana" w:cs="Arial"/>
                <w:lang w:val="es-CO" w:eastAsia="es-ES" w:bidi="es-ES"/>
              </w:rPr>
              <w:t xml:space="preserve">. </w:t>
            </w:r>
          </w:p>
          <w:p w14:paraId="6F52477C"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 xml:space="preserve">Corte Constitucional. Sentencia C-652 de 5 de agosto de 2003. M.P: Jaime Córdoba Triviño. </w:t>
            </w:r>
          </w:p>
          <w:p w14:paraId="428D4174"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lastRenderedPageBreak/>
              <w:t xml:space="preserve">Corte Constitucional. Sentencia C-353 de 20 de mayo de 2009. M.P: Jorge Iván Palacio </w:t>
            </w:r>
            <w:proofErr w:type="spellStart"/>
            <w:r w:rsidRPr="00E268CB">
              <w:rPr>
                <w:rFonts w:ascii="Verdana" w:eastAsia="Arial MT" w:hAnsi="Verdana" w:cs="Arial"/>
                <w:lang w:val="es-CO" w:eastAsia="es-ES" w:bidi="es-ES"/>
              </w:rPr>
              <w:t>Palacio</w:t>
            </w:r>
            <w:proofErr w:type="spellEnd"/>
            <w:r w:rsidRPr="00E268CB">
              <w:rPr>
                <w:rFonts w:ascii="Verdana" w:eastAsia="Arial MT" w:hAnsi="Verdana" w:cs="Arial"/>
                <w:lang w:val="es-CO" w:eastAsia="es-ES" w:bidi="es-ES"/>
              </w:rPr>
              <w:t xml:space="preserve">. </w:t>
            </w:r>
          </w:p>
          <w:p w14:paraId="4014DE13" w14:textId="77777777" w:rsidR="00027F4F"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eastAsia="Arial MT" w:hAnsi="Verdana" w:cs="Arial"/>
                <w:lang w:val="es-CO" w:eastAsia="es-ES" w:bidi="es-ES"/>
              </w:rPr>
              <w:t>Corte Constitucional. Sentencia C-541 de 30 de junio de 2010, M.P: Gabriel Eduardo Mendoza Martelo.</w:t>
            </w:r>
          </w:p>
          <w:p w14:paraId="7B985E0F" w14:textId="77777777" w:rsidR="00027F4F" w:rsidRPr="009F68F1" w:rsidRDefault="00027F4F" w:rsidP="00027F4F">
            <w:pPr>
              <w:pStyle w:val="Prrafodelista"/>
              <w:numPr>
                <w:ilvl w:val="0"/>
                <w:numId w:val="17"/>
              </w:numPr>
              <w:spacing w:line="276" w:lineRule="auto"/>
              <w:jc w:val="both"/>
              <w:rPr>
                <w:rFonts w:ascii="Verdana" w:eastAsia="Arial MT" w:hAnsi="Verdana" w:cs="Arial"/>
                <w:lang w:val="es-CO" w:eastAsia="es-ES" w:bidi="es-ES"/>
              </w:rPr>
            </w:pPr>
            <w:r w:rsidRPr="00E268CB">
              <w:rPr>
                <w:rFonts w:ascii="Verdana" w:hAnsi="Verdana"/>
              </w:rPr>
              <w:t xml:space="preserve">Circular Externa No. 006 de 2025 expedida por la Agencia Nacional de Contratación Pública. Disponible en </w:t>
            </w:r>
            <w:hyperlink r:id="rId13" w:history="1">
              <w:r w:rsidRPr="00E268CB">
                <w:rPr>
                  <w:rStyle w:val="Hipervnculo"/>
                  <w:rFonts w:ascii="Verdana" w:hAnsi="Verdana"/>
                  <w:lang w:val="es-CO"/>
                </w:rPr>
                <w:t>006-de-2025-Circular-Externa-L996-ajustado-comentarios-BM-BID-Rev-ARSC-V3.d-1.pdf</w:t>
              </w:r>
            </w:hyperlink>
          </w:p>
          <w:p w14:paraId="1F5D5984" w14:textId="77777777" w:rsidR="00027F4F" w:rsidRPr="005F35CB" w:rsidRDefault="00027F4F" w:rsidP="00CA54A9">
            <w:pPr>
              <w:pStyle w:val="Prrafodelista"/>
              <w:spacing w:line="276" w:lineRule="auto"/>
              <w:jc w:val="both"/>
              <w:rPr>
                <w:rFonts w:ascii="Verdana" w:eastAsia="Aptos" w:hAnsi="Verdana" w:cs="Arial"/>
              </w:rPr>
            </w:pPr>
          </w:p>
        </w:tc>
      </w:tr>
    </w:tbl>
    <w:p w14:paraId="3C428594" w14:textId="77777777" w:rsidR="00027F4F" w:rsidRPr="005644FE" w:rsidRDefault="00027F4F" w:rsidP="00027F4F">
      <w:pPr>
        <w:widowControl w:val="0"/>
        <w:tabs>
          <w:tab w:val="left" w:pos="3828"/>
        </w:tabs>
        <w:autoSpaceDE w:val="0"/>
        <w:autoSpaceDN w:val="0"/>
        <w:spacing w:after="0" w:line="276" w:lineRule="auto"/>
        <w:jc w:val="both"/>
        <w:rPr>
          <w:rFonts w:ascii="Verdana" w:hAnsi="Verdana" w:cs="Arial"/>
        </w:rPr>
      </w:pPr>
    </w:p>
    <w:p w14:paraId="5F0B58E7" w14:textId="77777777" w:rsidR="00027F4F" w:rsidRPr="005644FE" w:rsidRDefault="00027F4F" w:rsidP="00027F4F">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15E8376" w14:textId="77777777" w:rsidR="00027F4F" w:rsidRPr="005644FE" w:rsidRDefault="00027F4F" w:rsidP="00027F4F">
      <w:pPr>
        <w:widowControl w:val="0"/>
        <w:tabs>
          <w:tab w:val="left" w:pos="3828"/>
        </w:tabs>
        <w:autoSpaceDE w:val="0"/>
        <w:autoSpaceDN w:val="0"/>
        <w:spacing w:after="0" w:line="276" w:lineRule="auto"/>
        <w:jc w:val="both"/>
        <w:rPr>
          <w:rFonts w:ascii="Verdana" w:hAnsi="Verdana" w:cs="Arial"/>
          <w:shd w:val="clear" w:color="auto" w:fill="FFFFFF"/>
        </w:rPr>
      </w:pPr>
    </w:p>
    <w:p w14:paraId="31E63523" w14:textId="77777777" w:rsidR="00027F4F" w:rsidRPr="00C27319" w:rsidRDefault="00027F4F" w:rsidP="00027F4F">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entre otros</w:t>
      </w:r>
      <w:r>
        <w:rPr>
          <w:rFonts w:ascii="Verdana" w:hAnsi="Verdana" w:cs="Arial"/>
          <w:shd w:val="clear" w:color="auto" w:fill="FFFFFF"/>
        </w:rPr>
        <w:t>.</w:t>
      </w:r>
      <w:r>
        <w:rPr>
          <w:rStyle w:val="normaltextrun"/>
          <w:rFonts w:ascii="Verdana" w:hAnsi="Verdana" w:cs="Arial"/>
          <w:shd w:val="clear" w:color="auto" w:fill="FFFFFF"/>
          <w:lang w:val="es-ES"/>
        </w:rPr>
        <w:t xml:space="preserve"> </w:t>
      </w:r>
      <w:r w:rsidRPr="00314EDC">
        <w:rPr>
          <w:rFonts w:ascii="Verdana" w:hAnsi="Verdana" w:cs="Arial"/>
        </w:rPr>
        <w:t xml:space="preserve">Estos y otros </w:t>
      </w:r>
      <w:r w:rsidRPr="00314EDC">
        <w:rPr>
          <w:rFonts w:ascii="Verdana" w:hAnsi="Verdana"/>
        </w:rPr>
        <w:t>conceptos se encuentran disponibles para consulta en el Sistema de relatoría de la Agencia, al cual se puede acceder a través del siguiente enlace:</w:t>
      </w:r>
      <w:r w:rsidRPr="00314EDC">
        <w:rPr>
          <w:rFonts w:ascii="Verdana" w:hAnsi="Verdana" w:cs="Arial"/>
          <w:shd w:val="clear" w:color="auto" w:fill="FFFFFF"/>
        </w:rPr>
        <w:t xml:space="preserve"> </w:t>
      </w:r>
      <w:hyperlink r:id="rId14" w:history="1">
        <w:r w:rsidRPr="00314EDC">
          <w:rPr>
            <w:rStyle w:val="Hipervnculo"/>
            <w:rFonts w:ascii="Verdana" w:hAnsi="Verdana" w:cs="Arial"/>
            <w:shd w:val="clear" w:color="auto" w:fill="FFFFFF"/>
          </w:rPr>
          <w:t>https://relatoria.colombiacompra.gov.co/busqueda/conceptos</w:t>
        </w:r>
      </w:hyperlink>
      <w:r w:rsidRPr="00314EDC">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67914F70" w14:textId="77777777" w:rsidR="00027F4F" w:rsidRPr="006B4FA1" w:rsidRDefault="00027F4F" w:rsidP="00027F4F">
      <w:pPr>
        <w:spacing w:after="0" w:line="276" w:lineRule="auto"/>
        <w:jc w:val="both"/>
        <w:rPr>
          <w:rFonts w:ascii="Verdana" w:eastAsia="Century Gothic" w:hAnsi="Verdana" w:cs="Century Gothic"/>
        </w:rPr>
      </w:pPr>
    </w:p>
    <w:p w14:paraId="4CA15FB7" w14:textId="77777777" w:rsidR="00027F4F" w:rsidRPr="00116940" w:rsidRDefault="00027F4F" w:rsidP="00027F4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5E1DC20" w14:textId="77777777" w:rsidR="00027F4F" w:rsidRPr="00116940" w:rsidRDefault="00027F4F" w:rsidP="00027F4F">
      <w:pPr>
        <w:spacing w:after="0"/>
        <w:jc w:val="both"/>
        <w:rPr>
          <w:rFonts w:ascii="Verdana" w:hAnsi="Verdana"/>
        </w:rPr>
      </w:pPr>
    </w:p>
    <w:p w14:paraId="24C6A001" w14:textId="77777777" w:rsidR="00027F4F" w:rsidRPr="00116940" w:rsidRDefault="00027F4F" w:rsidP="00027F4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2F4FACF" w14:textId="77777777" w:rsidR="00027F4F" w:rsidRPr="00116940" w:rsidRDefault="00027F4F" w:rsidP="00027F4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B46DD19" w14:textId="77777777" w:rsidR="00027F4F" w:rsidRPr="00116940" w:rsidRDefault="00027F4F" w:rsidP="00027F4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289CD256" w14:textId="77777777" w:rsidR="00027F4F" w:rsidRPr="00116940" w:rsidRDefault="00027F4F" w:rsidP="00027F4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233E074F" w14:textId="77777777" w:rsidR="00027F4F" w:rsidRPr="00116940" w:rsidRDefault="00027F4F" w:rsidP="00027F4F">
      <w:pPr>
        <w:spacing w:after="0" w:line="240" w:lineRule="auto"/>
        <w:ind w:left="720"/>
        <w:jc w:val="both"/>
        <w:rPr>
          <w:rFonts w:ascii="Verdana" w:hAnsi="Verdana"/>
        </w:rPr>
      </w:pPr>
    </w:p>
    <w:p w14:paraId="1DAB21EA" w14:textId="77777777" w:rsidR="00027F4F" w:rsidRPr="00116940" w:rsidRDefault="00027F4F" w:rsidP="00027F4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940DB09" w14:textId="77777777" w:rsidR="00027F4F" w:rsidRPr="00116940" w:rsidRDefault="00027F4F" w:rsidP="00027F4F">
      <w:pPr>
        <w:spacing w:after="0" w:line="240" w:lineRule="auto"/>
        <w:rPr>
          <w:rFonts w:ascii="Verdana" w:hAnsi="Verdana"/>
        </w:rPr>
      </w:pPr>
    </w:p>
    <w:p w14:paraId="581FB79E"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3D40FF3" w14:textId="77777777" w:rsidR="00027F4F" w:rsidRPr="00116940" w:rsidRDefault="00027F4F" w:rsidP="00027F4F">
      <w:pPr>
        <w:spacing w:after="0" w:line="240" w:lineRule="auto"/>
        <w:jc w:val="both"/>
        <w:rPr>
          <w:rFonts w:ascii="Verdana" w:hAnsi="Verdana"/>
        </w:rPr>
      </w:pPr>
    </w:p>
    <w:p w14:paraId="0974B82B"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DCA09C2"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AE543E6" w14:textId="77777777" w:rsidR="00027F4F" w:rsidRPr="00116940" w:rsidRDefault="00027F4F" w:rsidP="00027F4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86AA207" w14:textId="77777777" w:rsidR="00027F4F" w:rsidRPr="00116940" w:rsidRDefault="00027F4F" w:rsidP="00027F4F">
      <w:pPr>
        <w:spacing w:after="0" w:line="240" w:lineRule="auto"/>
        <w:jc w:val="both"/>
        <w:rPr>
          <w:rFonts w:ascii="Verdana" w:hAnsi="Verdana"/>
        </w:rPr>
      </w:pPr>
    </w:p>
    <w:p w14:paraId="6DD6A75A" w14:textId="77777777" w:rsidR="00027F4F" w:rsidRDefault="00027F4F" w:rsidP="00027F4F">
      <w:pPr>
        <w:spacing w:after="0" w:line="240" w:lineRule="auto"/>
        <w:jc w:val="both"/>
        <w:rPr>
          <w:rFonts w:ascii="Verdana" w:hAnsi="Verdana"/>
          <w:lang w:val="es-MX"/>
        </w:rPr>
      </w:pPr>
    </w:p>
    <w:p w14:paraId="32B9CC57" w14:textId="66D65DAA" w:rsidR="00027F4F" w:rsidRPr="00DF235A" w:rsidRDefault="00027F4F" w:rsidP="00DF235A">
      <w:pPr>
        <w:spacing w:after="0" w:line="240" w:lineRule="auto"/>
        <w:jc w:val="both"/>
        <w:rPr>
          <w:rFonts w:ascii="Verdana" w:hAnsi="Verdana"/>
          <w:lang w:val="es-MX"/>
        </w:rPr>
      </w:pPr>
      <w:r w:rsidRPr="00E02524">
        <w:rPr>
          <w:rFonts w:ascii="Verdana" w:hAnsi="Verdana"/>
          <w:lang w:val="es-MX"/>
        </w:rPr>
        <w:t>Cordialmente</w:t>
      </w:r>
      <w:r w:rsidR="00DF235A">
        <w:rPr>
          <w:rFonts w:ascii="Verdana" w:hAnsi="Verdana"/>
          <w:lang w:val="es-MX"/>
        </w:rPr>
        <w:t>,</w:t>
      </w:r>
    </w:p>
    <w:p w14:paraId="1CE0E9CB" w14:textId="7CBE4D93" w:rsidR="00027F4F" w:rsidRDefault="00E74B29" w:rsidP="00E74B29">
      <w:pPr>
        <w:spacing w:after="0" w:line="256" w:lineRule="auto"/>
        <w:jc w:val="center"/>
      </w:pPr>
      <w:r w:rsidRPr="00E74B29">
        <w:rPr>
          <w:noProof/>
        </w:rPr>
        <w:drawing>
          <wp:inline distT="0" distB="0" distL="0" distR="0" wp14:anchorId="2BB30627" wp14:editId="64565DDD">
            <wp:extent cx="3502352" cy="1450397"/>
            <wp:effectExtent l="0" t="0" r="3175" b="0"/>
            <wp:docPr id="2102584255"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84255" name="Imagen 1" descr="Texto, Carta&#10;&#10;El contenido generado por IA puede ser incorrecto."/>
                    <pic:cNvPicPr/>
                  </pic:nvPicPr>
                  <pic:blipFill>
                    <a:blip r:embed="rId18"/>
                    <a:stretch>
                      <a:fillRect/>
                    </a:stretch>
                  </pic:blipFill>
                  <pic:spPr>
                    <a:xfrm>
                      <a:off x="0" y="0"/>
                      <a:ext cx="3526696" cy="1460478"/>
                    </a:xfrm>
                    <a:prstGeom prst="rect">
                      <a:avLst/>
                    </a:prstGeom>
                  </pic:spPr>
                </pic:pic>
              </a:graphicData>
            </a:graphic>
          </wp:inline>
        </w:drawing>
      </w:r>
    </w:p>
    <w:p w14:paraId="63AD5260" w14:textId="77777777" w:rsidR="00DF235A" w:rsidRDefault="00DF235A" w:rsidP="00E74B29">
      <w:pPr>
        <w:spacing w:after="0" w:line="256" w:lineRule="auto"/>
        <w:jc w:val="cente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027F4F" w:rsidRPr="005644FE" w14:paraId="16789735" w14:textId="77777777" w:rsidTr="00CA54A9">
        <w:trPr>
          <w:trHeight w:val="315"/>
        </w:trPr>
        <w:tc>
          <w:tcPr>
            <w:tcW w:w="893" w:type="dxa"/>
            <w:vAlign w:val="center"/>
            <w:hideMark/>
          </w:tcPr>
          <w:p w14:paraId="7B75CF75" w14:textId="77777777" w:rsidR="00027F4F" w:rsidRPr="005644FE" w:rsidRDefault="00027F4F" w:rsidP="00CA54A9">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1A4BCFA" w14:textId="77777777" w:rsidR="00027F4F" w:rsidRPr="005644FE" w:rsidRDefault="00027F4F" w:rsidP="00CA54A9">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7F2BE3A" w14:textId="77777777" w:rsidR="00027F4F" w:rsidRPr="005644FE" w:rsidRDefault="00027F4F" w:rsidP="00CA54A9">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27F4F" w:rsidRPr="005644FE" w14:paraId="117706EB" w14:textId="77777777" w:rsidTr="00CA54A9">
        <w:trPr>
          <w:trHeight w:val="330"/>
        </w:trPr>
        <w:tc>
          <w:tcPr>
            <w:tcW w:w="893" w:type="dxa"/>
            <w:vAlign w:val="center"/>
            <w:hideMark/>
          </w:tcPr>
          <w:p w14:paraId="2B4D8174" w14:textId="77777777" w:rsidR="00027F4F" w:rsidRPr="005644FE" w:rsidRDefault="00027F4F" w:rsidP="00CA54A9">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76C17A1" w14:textId="77777777" w:rsidR="00027F4F" w:rsidRPr="00296938" w:rsidRDefault="00027F4F" w:rsidP="00CA54A9">
            <w:pPr>
              <w:pStyle w:val="paragraph"/>
              <w:spacing w:before="0" w:beforeAutospacing="0" w:after="0" w:afterAutospacing="0"/>
              <w:contextualSpacing/>
              <w:textAlignment w:val="baseline"/>
              <w:rPr>
                <w:rStyle w:val="normaltextrun"/>
                <w:rFonts w:ascii="Verdana" w:hAnsi="Verdana"/>
                <w:sz w:val="16"/>
                <w:szCs w:val="16"/>
              </w:rPr>
            </w:pPr>
            <w:r w:rsidRPr="00296938">
              <w:rPr>
                <w:rStyle w:val="normaltextrun"/>
                <w:rFonts w:ascii="Verdana" w:hAnsi="Verdana"/>
                <w:sz w:val="16"/>
                <w:szCs w:val="16"/>
              </w:rPr>
              <w:t>Diana Lucía Saavedra Castañeda</w:t>
            </w:r>
          </w:p>
          <w:p w14:paraId="68D3692E" w14:textId="77777777" w:rsidR="00027F4F" w:rsidRPr="005644FE" w:rsidRDefault="00027F4F" w:rsidP="00CA54A9">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27F4F" w:rsidRPr="005644FE" w14:paraId="609EE5FA" w14:textId="77777777" w:rsidTr="00CA54A9">
        <w:trPr>
          <w:trHeight w:val="300"/>
        </w:trPr>
        <w:tc>
          <w:tcPr>
            <w:tcW w:w="893" w:type="dxa"/>
            <w:vAlign w:val="center"/>
          </w:tcPr>
          <w:p w14:paraId="1E512CDB" w14:textId="77777777" w:rsidR="00027F4F" w:rsidRPr="005644FE" w:rsidRDefault="00027F4F" w:rsidP="00CA54A9">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24780B3" w14:textId="77777777" w:rsidR="00BC03E6" w:rsidRPr="00D912C1" w:rsidRDefault="00BC03E6" w:rsidP="00BC03E6">
            <w:pPr>
              <w:rPr>
                <w:rFonts w:ascii="Verdana" w:hAnsi="Verdana"/>
                <w:sz w:val="16"/>
                <w:szCs w:val="16"/>
              </w:rPr>
            </w:pPr>
            <w:r>
              <w:rPr>
                <w:rFonts w:ascii="Verdana" w:eastAsia="Calibri" w:hAnsi="Verdana" w:cs="Arial"/>
                <w:sz w:val="16"/>
                <w:szCs w:val="16"/>
                <w:lang w:eastAsia="es-ES"/>
              </w:rPr>
              <w:t>Ana María Tolosa Rico</w:t>
            </w:r>
          </w:p>
          <w:p w14:paraId="4D30B50F" w14:textId="2733E918" w:rsidR="00027F4F" w:rsidRPr="005644FE" w:rsidRDefault="00027F4F" w:rsidP="00CA54A9">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r w:rsidR="007D62BE">
              <w:rPr>
                <w:rFonts w:ascii="Verdana" w:eastAsia="Calibri" w:hAnsi="Verdana" w:cs="Arial"/>
                <w:sz w:val="16"/>
                <w:szCs w:val="16"/>
                <w:lang w:eastAsia="es-ES"/>
              </w:rPr>
              <w:t xml:space="preserve"> (E)</w:t>
            </w:r>
          </w:p>
        </w:tc>
      </w:tr>
    </w:tbl>
    <w:p w14:paraId="7BD519EA" w14:textId="77777777" w:rsidR="00027F4F" w:rsidRPr="005644FE" w:rsidRDefault="00027F4F" w:rsidP="00027F4F"/>
    <w:p w14:paraId="39502EAE" w14:textId="77777777" w:rsidR="00027F4F" w:rsidRPr="005644FE" w:rsidRDefault="00027F4F" w:rsidP="00027F4F">
      <w:pPr>
        <w:spacing w:after="0" w:line="256" w:lineRule="auto"/>
        <w:jc w:val="center"/>
        <w:rPr>
          <w:rFonts w:ascii="Verdana" w:eastAsia="Calibri" w:hAnsi="Verdana" w:cs="Times New Roman"/>
        </w:rPr>
      </w:pPr>
    </w:p>
    <w:p w14:paraId="541B88AD" w14:textId="77777777" w:rsidR="00027F4F" w:rsidRPr="00224150" w:rsidRDefault="00027F4F" w:rsidP="00027F4F">
      <w:pPr>
        <w:spacing w:after="0"/>
        <w:jc w:val="both"/>
        <w:rPr>
          <w:rFonts w:ascii="Verdana" w:hAnsi="Verdana"/>
        </w:rPr>
      </w:pPr>
    </w:p>
    <w:bookmarkEnd w:id="0"/>
    <w:p w14:paraId="3F5728EB" w14:textId="77777777" w:rsidR="00027F4F" w:rsidRPr="0015699B" w:rsidRDefault="00027F4F" w:rsidP="00027F4F">
      <w:pPr>
        <w:spacing w:after="0" w:line="240" w:lineRule="auto"/>
        <w:jc w:val="both"/>
        <w:textAlignment w:val="baseline"/>
        <w:rPr>
          <w:rFonts w:ascii="Verdana" w:eastAsia="Times New Roman" w:hAnsi="Verdana" w:cs="Segoe UI"/>
          <w:lang w:eastAsia="es-CO"/>
        </w:rPr>
      </w:pPr>
    </w:p>
    <w:bookmarkEnd w:id="1"/>
    <w:p w14:paraId="0F293BF4" w14:textId="0C6C2B6F" w:rsidR="00127233" w:rsidRPr="0015699B" w:rsidRDefault="00127233" w:rsidP="00567B16">
      <w:pPr>
        <w:spacing w:after="0" w:line="240" w:lineRule="auto"/>
        <w:jc w:val="both"/>
        <w:textAlignment w:val="baseline"/>
        <w:rPr>
          <w:rFonts w:ascii="Verdana" w:eastAsia="Times New Roman" w:hAnsi="Verdana" w:cs="Segoe UI"/>
          <w:lang w:eastAsia="es-CO"/>
        </w:rPr>
      </w:pPr>
    </w:p>
    <w:sectPr w:rsidR="00127233" w:rsidRPr="0015699B" w:rsidSect="0063629B">
      <w:headerReference w:type="default" r:id="rId19"/>
      <w:footerReference w:type="default" r:id="rId20"/>
      <w:pgSz w:w="12240" w:h="15840" w:code="1"/>
      <w:pgMar w:top="1417" w:right="1701" w:bottom="1417" w:left="1701" w:header="709"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0EDAD" w14:textId="77777777" w:rsidR="002A57EB" w:rsidRDefault="002A57EB" w:rsidP="004A1847">
      <w:pPr>
        <w:spacing w:after="0" w:line="240" w:lineRule="auto"/>
      </w:pPr>
      <w:r>
        <w:separator/>
      </w:r>
    </w:p>
  </w:endnote>
  <w:endnote w:type="continuationSeparator" w:id="0">
    <w:p w14:paraId="1998B521" w14:textId="77777777" w:rsidR="002A57EB" w:rsidRDefault="002A57E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DA698" w14:textId="77777777" w:rsidR="002A57EB" w:rsidRDefault="002A57EB" w:rsidP="004A1847">
      <w:pPr>
        <w:spacing w:after="0" w:line="240" w:lineRule="auto"/>
      </w:pPr>
      <w:r>
        <w:separator/>
      </w:r>
    </w:p>
  </w:footnote>
  <w:footnote w:type="continuationSeparator" w:id="0">
    <w:p w14:paraId="17112DA3" w14:textId="77777777" w:rsidR="002A57EB" w:rsidRDefault="002A57EB" w:rsidP="004A1847">
      <w:pPr>
        <w:spacing w:after="0" w:line="240" w:lineRule="auto"/>
      </w:pPr>
      <w:r>
        <w:continuationSeparator/>
      </w:r>
    </w:p>
  </w:footnote>
  <w:footnote w:id="1">
    <w:p w14:paraId="6C76856C" w14:textId="77777777" w:rsidR="00027F4F" w:rsidRPr="00FA6811"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E974FA" w14:textId="77777777" w:rsidR="00027F4F" w:rsidRPr="00FA6811" w:rsidRDefault="00027F4F" w:rsidP="00027F4F">
      <w:pPr>
        <w:pStyle w:val="Textonotapie"/>
        <w:ind w:firstLine="709"/>
        <w:contextualSpacing/>
        <w:jc w:val="both"/>
        <w:rPr>
          <w:rFonts w:ascii="Verdana" w:hAnsi="Verdana" w:cs="Arial"/>
          <w:sz w:val="16"/>
          <w:szCs w:val="16"/>
        </w:rPr>
      </w:pPr>
      <w:r w:rsidRPr="00FA681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C394E4C" w14:textId="77777777" w:rsidR="00027F4F" w:rsidRPr="00FA6811" w:rsidRDefault="00027F4F" w:rsidP="00027F4F">
      <w:pPr>
        <w:pStyle w:val="Textonotapie"/>
        <w:ind w:firstLine="709"/>
        <w:contextualSpacing/>
        <w:jc w:val="both"/>
        <w:rPr>
          <w:rFonts w:ascii="Verdana" w:hAnsi="Verdana" w:cs="Arial"/>
          <w:sz w:val="16"/>
          <w:szCs w:val="16"/>
        </w:rPr>
      </w:pPr>
    </w:p>
  </w:footnote>
  <w:footnote w:id="2">
    <w:p w14:paraId="2D7D8B48"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Gaceta del Congreso de la República No. 71 del 2005.</w:t>
      </w:r>
    </w:p>
    <w:p w14:paraId="4455228C" w14:textId="77777777" w:rsidR="00027F4F" w:rsidRPr="00FA6811" w:rsidRDefault="00027F4F" w:rsidP="00027F4F">
      <w:pPr>
        <w:pStyle w:val="Textonotapie"/>
        <w:ind w:firstLine="709"/>
        <w:contextualSpacing/>
        <w:jc w:val="both"/>
        <w:rPr>
          <w:rFonts w:ascii="Verdana" w:hAnsi="Verdana" w:cs="Arial"/>
          <w:sz w:val="16"/>
          <w:szCs w:val="16"/>
        </w:rPr>
      </w:pPr>
    </w:p>
  </w:footnote>
  <w:footnote w:id="3">
    <w:p w14:paraId="111B2316" w14:textId="77777777" w:rsidR="00027F4F" w:rsidRDefault="00027F4F" w:rsidP="00027F4F">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w:t>
      </w:r>
      <w:r>
        <w:rPr>
          <w:rFonts w:ascii="Verdana" w:hAnsi="Verdana" w:cs="Arial"/>
          <w:sz w:val="16"/>
          <w:szCs w:val="16"/>
          <w:lang w:val="pt-BR"/>
        </w:rPr>
        <w:t xml:space="preserve">. </w:t>
      </w:r>
      <w:r w:rsidRPr="00B80F4D">
        <w:rPr>
          <w:rFonts w:ascii="Verdana" w:hAnsi="Verdana" w:cs="Arial"/>
          <w:sz w:val="16"/>
          <w:szCs w:val="16"/>
          <w:lang w:val="pt-BR"/>
        </w:rPr>
        <w:t>Sentencia C- 1153 de 2005, M.P</w:t>
      </w:r>
      <w:r>
        <w:rPr>
          <w:rFonts w:ascii="Verdana" w:hAnsi="Verdana" w:cs="Arial"/>
          <w:sz w:val="16"/>
          <w:szCs w:val="16"/>
          <w:lang w:val="pt-BR"/>
        </w:rPr>
        <w:t>:</w:t>
      </w:r>
      <w:r w:rsidRPr="00B80F4D">
        <w:rPr>
          <w:rFonts w:ascii="Verdana" w:hAnsi="Verdana" w:cs="Arial"/>
          <w:sz w:val="16"/>
          <w:szCs w:val="16"/>
          <w:lang w:val="pt-BR"/>
        </w:rPr>
        <w:t xml:space="preserve"> Marco Gerardo Monroy Cabra.</w:t>
      </w:r>
    </w:p>
    <w:p w14:paraId="591DCEBE" w14:textId="77777777" w:rsidR="00027F4F" w:rsidRPr="00B80F4D" w:rsidRDefault="00027F4F" w:rsidP="00027F4F">
      <w:pPr>
        <w:pStyle w:val="Textonotapie"/>
        <w:ind w:firstLine="709"/>
        <w:contextualSpacing/>
        <w:jc w:val="both"/>
        <w:rPr>
          <w:rFonts w:ascii="Verdana" w:hAnsi="Verdana" w:cs="Arial"/>
          <w:sz w:val="16"/>
          <w:szCs w:val="16"/>
          <w:lang w:val="pt-BR"/>
        </w:rPr>
      </w:pPr>
    </w:p>
  </w:footnote>
  <w:footnote w:id="4">
    <w:p w14:paraId="6791415D" w14:textId="77777777" w:rsidR="00027F4F" w:rsidRPr="00723DE5" w:rsidRDefault="00027F4F" w:rsidP="00027F4F">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w:t>
      </w:r>
      <w:r w:rsidRPr="00F3158D">
        <w:rPr>
          <w:rFonts w:ascii="Verdana" w:hAnsi="Verdana" w:cs="Arial"/>
          <w:sz w:val="16"/>
          <w:szCs w:val="16"/>
          <w:lang w:val="es-CO"/>
        </w:rPr>
        <w:t>Corte Constitucional. Sentencias: C-233 de 4 de abril de 2002, M.P: Álvaro Tafur Galvis. C-551 de 9 de julio de 2003. M.P: Eduardo Montealegre Lynett.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Palacio. C-541 de 30 de junio de 2010, M.P: Gabriel Eduardo Mendoza Martelo.</w:t>
      </w:r>
    </w:p>
    <w:p w14:paraId="4A856DAB" w14:textId="77777777" w:rsidR="00027F4F" w:rsidRPr="00B80F4D" w:rsidRDefault="00027F4F" w:rsidP="00027F4F">
      <w:pPr>
        <w:pStyle w:val="Textonotapie"/>
        <w:ind w:firstLine="709"/>
        <w:contextualSpacing/>
        <w:jc w:val="both"/>
        <w:rPr>
          <w:rFonts w:ascii="Verdana" w:hAnsi="Verdana" w:cs="Arial"/>
          <w:sz w:val="16"/>
          <w:szCs w:val="16"/>
          <w:lang w:val="pt-BR"/>
        </w:rPr>
      </w:pPr>
    </w:p>
  </w:footnote>
  <w:footnote w:id="5">
    <w:p w14:paraId="7BCD0DA3" w14:textId="77777777" w:rsidR="00027F4F" w:rsidRPr="00FF007A" w:rsidRDefault="00027F4F" w:rsidP="00027F4F">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FA6811">
        <w:rPr>
          <w:rFonts w:ascii="Verdana" w:hAnsi="Verdana" w:cs="Arial"/>
          <w:sz w:val="16"/>
          <w:szCs w:val="16"/>
          <w:lang w:val="es-CO"/>
        </w:rPr>
        <w:t xml:space="preserve"> </w:t>
      </w:r>
      <w:r w:rsidRPr="00FF007A">
        <w:rPr>
          <w:rFonts w:ascii="Verdana" w:hAnsi="Verdana" w:cs="Arial"/>
          <w:sz w:val="16"/>
          <w:szCs w:val="16"/>
          <w:lang w:val="es-CO"/>
        </w:rPr>
        <w:t>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p w14:paraId="0491223A" w14:textId="77777777" w:rsidR="00027F4F" w:rsidRPr="00FA6811" w:rsidRDefault="00027F4F" w:rsidP="00027F4F">
      <w:pPr>
        <w:pStyle w:val="Textonotapie"/>
        <w:ind w:firstLine="709"/>
        <w:contextualSpacing/>
        <w:jc w:val="both"/>
        <w:rPr>
          <w:rFonts w:ascii="Verdana" w:hAnsi="Verdana" w:cs="Arial"/>
          <w:sz w:val="16"/>
          <w:szCs w:val="16"/>
          <w:lang w:val="es-CO"/>
        </w:rPr>
      </w:pPr>
    </w:p>
  </w:footnote>
  <w:footnote w:id="6">
    <w:p w14:paraId="4EDAAFDC"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FF007A">
        <w:rPr>
          <w:rFonts w:ascii="Verdana" w:hAnsi="Verdana" w:cs="Arial"/>
          <w:sz w:val="16"/>
          <w:szCs w:val="16"/>
          <w:lang w:val="es-CO"/>
        </w:rPr>
        <w:t>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Namén Vargas</w:t>
      </w:r>
      <w:r w:rsidRPr="00FA6811">
        <w:rPr>
          <w:rFonts w:ascii="Verdana" w:hAnsi="Verdana" w:cs="Arial"/>
          <w:sz w:val="16"/>
          <w:szCs w:val="16"/>
        </w:rPr>
        <w:t xml:space="preserve">.  </w:t>
      </w:r>
    </w:p>
    <w:p w14:paraId="36996BE1" w14:textId="77777777" w:rsidR="00027F4F" w:rsidRPr="00FA6811" w:rsidRDefault="00027F4F" w:rsidP="00027F4F">
      <w:pPr>
        <w:pStyle w:val="Textonotapie"/>
        <w:ind w:firstLine="709"/>
        <w:contextualSpacing/>
        <w:jc w:val="both"/>
        <w:rPr>
          <w:rFonts w:ascii="Verdana" w:hAnsi="Verdana" w:cs="Arial"/>
          <w:sz w:val="16"/>
          <w:szCs w:val="16"/>
        </w:rPr>
      </w:pPr>
    </w:p>
  </w:footnote>
  <w:footnote w:id="7">
    <w:p w14:paraId="36CC723A" w14:textId="77777777" w:rsidR="00027F4F" w:rsidRPr="00FA6811" w:rsidRDefault="00027F4F" w:rsidP="00027F4F">
      <w:pPr>
        <w:spacing w:after="0" w:line="240" w:lineRule="auto"/>
        <w:ind w:firstLine="709"/>
        <w:contextualSpacing/>
        <w:jc w:val="both"/>
        <w:rPr>
          <w:rFonts w:ascii="Verdana" w:eastAsia="Times New Roman"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6" w:name="33"/>
      <w:r w:rsidRPr="00FA6811">
        <w:rPr>
          <w:rFonts w:ascii="Verdana" w:eastAsia="Calibri" w:hAnsi="Verdana" w:cs="Arial"/>
          <w:color w:val="000000"/>
          <w:sz w:val="16"/>
          <w:szCs w:val="16"/>
        </w:rPr>
        <w:t>“</w:t>
      </w:r>
      <w:r w:rsidRPr="00FA6811">
        <w:rPr>
          <w:rFonts w:ascii="Verdana" w:eastAsia="Times New Roman" w:hAnsi="Verdana" w:cs="Arial"/>
          <w:sz w:val="16"/>
          <w:szCs w:val="16"/>
        </w:rPr>
        <w:t>Artículo 33. Restricciones a la contratación pública.</w:t>
      </w:r>
      <w:bookmarkEnd w:id="6"/>
      <w:r w:rsidRPr="00FA681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C46EC97" w14:textId="77777777" w:rsidR="00027F4F" w:rsidRPr="00FA6811" w:rsidRDefault="00027F4F" w:rsidP="00027F4F">
      <w:pPr>
        <w:spacing w:after="0" w:line="240" w:lineRule="auto"/>
        <w:ind w:firstLine="709"/>
        <w:contextualSpacing/>
        <w:jc w:val="both"/>
        <w:rPr>
          <w:rFonts w:ascii="Verdana" w:eastAsia="Times New Roman" w:hAnsi="Verdana" w:cs="Arial"/>
          <w:sz w:val="16"/>
          <w:szCs w:val="16"/>
        </w:rPr>
      </w:pPr>
      <w:r w:rsidRPr="00FA681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A6811">
        <w:rPr>
          <w:rFonts w:ascii="Verdana" w:eastAsia="Calibri" w:hAnsi="Verdana" w:cs="Arial"/>
          <w:color w:val="000000"/>
          <w:sz w:val="16"/>
          <w:szCs w:val="16"/>
        </w:rPr>
        <w:t>”</w:t>
      </w:r>
      <w:r>
        <w:rPr>
          <w:rFonts w:ascii="Verdana" w:eastAsia="Times New Roman" w:hAnsi="Verdana" w:cs="Arial"/>
          <w:sz w:val="16"/>
          <w:szCs w:val="16"/>
        </w:rPr>
        <w:t>.</w:t>
      </w:r>
    </w:p>
  </w:footnote>
  <w:footnote w:id="8">
    <w:p w14:paraId="27EF4EAC" w14:textId="77777777" w:rsidR="00027F4F" w:rsidRPr="00FA6811" w:rsidRDefault="00027F4F" w:rsidP="00027F4F">
      <w:pPr>
        <w:pStyle w:val="NormalWeb"/>
        <w:spacing w:before="0" w:beforeAutospacing="0" w:after="0" w:afterAutospacing="0"/>
        <w:ind w:firstLine="709"/>
        <w:contextualSpacing/>
        <w:jc w:val="both"/>
        <w:rPr>
          <w:rFonts w:ascii="Verdana" w:hAnsi="Verdana" w:cs="Arial"/>
          <w:sz w:val="16"/>
          <w:szCs w:val="16"/>
          <w:lang w:val="es-MX"/>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7" w:name="38"/>
      <w:r w:rsidRPr="00FA6811">
        <w:rPr>
          <w:rFonts w:ascii="Verdana" w:eastAsia="Calibri" w:hAnsi="Verdana" w:cs="Arial"/>
          <w:color w:val="000000"/>
          <w:sz w:val="16"/>
          <w:szCs w:val="16"/>
        </w:rPr>
        <w:t>“</w:t>
      </w:r>
      <w:r w:rsidRPr="00FA6811">
        <w:rPr>
          <w:rFonts w:ascii="Verdana" w:hAnsi="Verdana" w:cs="Arial"/>
          <w:sz w:val="16"/>
          <w:szCs w:val="16"/>
          <w:lang w:val="es-MX"/>
        </w:rPr>
        <w:t>Artículo 38. Prohibiciones para los servidores públicos. A los empleados del Estado les está prohibido:</w:t>
      </w:r>
      <w:bookmarkEnd w:id="7"/>
      <w:r w:rsidRPr="00FA6811">
        <w:rPr>
          <w:rFonts w:ascii="Verdana" w:hAnsi="Verdana" w:cs="Arial"/>
          <w:sz w:val="16"/>
          <w:szCs w:val="16"/>
          <w:lang w:val="es-MX"/>
        </w:rPr>
        <w:t xml:space="preserve"> </w:t>
      </w:r>
      <w:r>
        <w:rPr>
          <w:rFonts w:ascii="Verdana" w:hAnsi="Verdana" w:cs="Arial"/>
          <w:sz w:val="16"/>
          <w:szCs w:val="16"/>
          <w:lang w:val="es-MX"/>
        </w:rPr>
        <w:t>(…)</w:t>
      </w:r>
    </w:p>
    <w:p w14:paraId="22A9F2F4" w14:textId="77777777" w:rsidR="00027F4F" w:rsidRDefault="00027F4F" w:rsidP="00027F4F">
      <w:pPr>
        <w:pStyle w:val="NormalWeb"/>
        <w:spacing w:before="0" w:beforeAutospacing="0" w:after="0" w:afterAutospacing="0"/>
        <w:ind w:firstLine="709"/>
        <w:contextualSpacing/>
        <w:jc w:val="both"/>
        <w:rPr>
          <w:rFonts w:ascii="Verdana" w:hAnsi="Verdana" w:cs="Arial"/>
          <w:sz w:val="16"/>
          <w:szCs w:val="16"/>
          <w:lang w:val="es-MX"/>
        </w:rPr>
      </w:pPr>
      <w:r w:rsidRPr="00FA6811">
        <w:rPr>
          <w:rStyle w:val="baj"/>
          <w:rFonts w:ascii="Verdana" w:hAnsi="Verdana" w:cs="Arial"/>
          <w:sz w:val="16"/>
          <w:szCs w:val="16"/>
          <w:lang w:val="es-MX"/>
        </w:rPr>
        <w:t>Parágrafo.</w:t>
      </w:r>
      <w:r w:rsidRPr="00FA681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A6811">
        <w:rPr>
          <w:rFonts w:ascii="Verdana" w:eastAsia="Calibri" w:hAnsi="Verdana" w:cs="Arial"/>
          <w:color w:val="000000"/>
          <w:sz w:val="16"/>
          <w:szCs w:val="16"/>
        </w:rPr>
        <w:t>”</w:t>
      </w:r>
      <w:r>
        <w:rPr>
          <w:rFonts w:ascii="Verdana" w:hAnsi="Verdana" w:cs="Arial"/>
          <w:sz w:val="16"/>
          <w:szCs w:val="16"/>
          <w:lang w:val="es-MX"/>
        </w:rPr>
        <w:t>.</w:t>
      </w:r>
    </w:p>
    <w:p w14:paraId="6CDA45A4" w14:textId="77777777" w:rsidR="00027F4F" w:rsidRPr="00FA6811" w:rsidRDefault="00027F4F" w:rsidP="00027F4F">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0CAE9DF7" w14:textId="77777777" w:rsidR="00027F4F" w:rsidRPr="0020788E" w:rsidRDefault="00027F4F" w:rsidP="00027F4F">
      <w:pPr>
        <w:spacing w:after="0" w:line="240" w:lineRule="auto"/>
        <w:ind w:left="100" w:right="244"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FF007A">
        <w:rPr>
          <w:rFonts w:ascii="Verdana" w:hAnsi="Verdana" w:cs="Arial"/>
          <w:sz w:val="16"/>
          <w:szCs w:val="16"/>
        </w:rPr>
        <w:t>Consejo de Estado. Sala de Consulta y Servicio Civil. Concepto del 17 de febrero de 2015. Radicación No. 11001-03-06-000-2015-00164-00 (2269) C.P: William Zambrano Cetina.</w:t>
      </w:r>
    </w:p>
  </w:footnote>
  <w:footnote w:id="10">
    <w:p w14:paraId="21EECA19" w14:textId="77777777" w:rsidR="00027F4F" w:rsidRDefault="00027F4F" w:rsidP="00027F4F">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p w14:paraId="60CBF1DA" w14:textId="77777777" w:rsidR="00027F4F" w:rsidRPr="0016660C" w:rsidRDefault="00027F4F" w:rsidP="00027F4F">
      <w:pPr>
        <w:pStyle w:val="Textonotapie"/>
        <w:ind w:right="51" w:firstLine="709"/>
        <w:contextualSpacing/>
        <w:jc w:val="both"/>
        <w:rPr>
          <w:rFonts w:ascii="Verdana" w:hAnsi="Verdana" w:cs="Arial"/>
          <w:sz w:val="16"/>
          <w:szCs w:val="16"/>
        </w:rPr>
      </w:pPr>
    </w:p>
  </w:footnote>
  <w:footnote w:id="11">
    <w:p w14:paraId="0B0A310F" w14:textId="77777777" w:rsidR="00027F4F" w:rsidRDefault="00027F4F" w:rsidP="00027F4F">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w:t>
      </w:r>
      <w:r>
        <w:rPr>
          <w:rFonts w:ascii="Verdana" w:hAnsi="Verdana" w:cs="Arial"/>
          <w:sz w:val="16"/>
          <w:szCs w:val="16"/>
        </w:rPr>
        <w:t>.</w:t>
      </w:r>
      <w:r w:rsidRPr="0016660C">
        <w:rPr>
          <w:rFonts w:ascii="Verdana" w:hAnsi="Verdana" w:cs="Arial"/>
          <w:sz w:val="16"/>
          <w:szCs w:val="16"/>
        </w:rPr>
        <w:t>P: Álvaro Namén Vargas.</w:t>
      </w:r>
    </w:p>
    <w:p w14:paraId="2108BF67" w14:textId="77777777" w:rsidR="00027F4F" w:rsidRPr="0016660C" w:rsidRDefault="00027F4F" w:rsidP="00027F4F">
      <w:pPr>
        <w:pStyle w:val="Textonotapie"/>
        <w:ind w:firstLine="709"/>
        <w:contextualSpacing/>
        <w:jc w:val="both"/>
        <w:rPr>
          <w:rFonts w:ascii="Verdana" w:hAnsi="Verdana" w:cs="Arial"/>
          <w:sz w:val="16"/>
          <w:szCs w:val="16"/>
        </w:rPr>
      </w:pPr>
    </w:p>
  </w:footnote>
  <w:footnote w:id="12">
    <w:p w14:paraId="67A399AC" w14:textId="77777777" w:rsidR="00027F4F" w:rsidRPr="0016660C" w:rsidRDefault="00027F4F" w:rsidP="00027F4F">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0A4B51BA" w14:textId="77777777" w:rsidR="00027F4F" w:rsidRDefault="00027F4F" w:rsidP="00027F4F">
      <w:pPr>
        <w:pStyle w:val="Textonotapie"/>
        <w:ind w:firstLine="709"/>
        <w:contextualSpacing/>
        <w:jc w:val="both"/>
        <w:rPr>
          <w:rFonts w:ascii="Verdana" w:hAnsi="Verdana" w:cs="Arial"/>
          <w:sz w:val="16"/>
          <w:szCs w:val="16"/>
        </w:rPr>
      </w:pPr>
    </w:p>
    <w:p w14:paraId="068AF1D0" w14:textId="77777777" w:rsidR="00027F4F" w:rsidRPr="0016660C" w:rsidRDefault="00027F4F" w:rsidP="00027F4F">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1B6B769B" w14:textId="77777777" w:rsidR="00027F4F" w:rsidRDefault="00027F4F" w:rsidP="00027F4F">
      <w:pPr>
        <w:pStyle w:val="Textonotapie"/>
        <w:contextualSpacing/>
        <w:jc w:val="both"/>
        <w:rPr>
          <w:rFonts w:ascii="Verdana" w:hAnsi="Verdana" w:cs="Arial"/>
          <w:sz w:val="16"/>
          <w:szCs w:val="16"/>
        </w:rPr>
      </w:pPr>
    </w:p>
    <w:p w14:paraId="04B1DB13" w14:textId="77777777" w:rsidR="00027F4F" w:rsidRDefault="00027F4F" w:rsidP="00027F4F">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p w14:paraId="362E154F" w14:textId="77777777" w:rsidR="00027F4F" w:rsidRPr="0016660C" w:rsidRDefault="00027F4F" w:rsidP="00027F4F">
      <w:pPr>
        <w:pStyle w:val="Textonotapie"/>
        <w:ind w:firstLine="709"/>
        <w:contextualSpacing/>
        <w:jc w:val="both"/>
        <w:rPr>
          <w:rFonts w:ascii="Verdana" w:hAnsi="Verdana" w:cs="Arial"/>
          <w:sz w:val="16"/>
          <w:szCs w:val="16"/>
        </w:rPr>
      </w:pPr>
    </w:p>
  </w:footnote>
  <w:footnote w:id="15">
    <w:p w14:paraId="20F45463" w14:textId="77777777" w:rsidR="00027F4F" w:rsidRDefault="00027F4F" w:rsidP="00027F4F">
      <w:pPr>
        <w:pStyle w:val="Textonotapie"/>
        <w:ind w:firstLine="708"/>
        <w:contextualSpacing/>
        <w:jc w:val="both"/>
        <w:rPr>
          <w:rFonts w:ascii="Verdana" w:hAnsi="Verdana"/>
          <w:sz w:val="16"/>
          <w:szCs w:val="16"/>
          <w:lang w:val="es-CO"/>
        </w:rPr>
      </w:pPr>
      <w:r w:rsidRPr="0016660C">
        <w:rPr>
          <w:rStyle w:val="Refdenotaalpie"/>
          <w:rFonts w:ascii="Verdana" w:hAnsi="Verdana"/>
          <w:sz w:val="16"/>
          <w:szCs w:val="16"/>
        </w:rPr>
        <w:footnoteRef/>
      </w:r>
      <w:r w:rsidRPr="0016660C">
        <w:rPr>
          <w:rFonts w:ascii="Verdana" w:hAnsi="Verdana"/>
          <w:sz w:val="16"/>
          <w:szCs w:val="16"/>
        </w:rPr>
        <w:t xml:space="preserve"> </w:t>
      </w:r>
      <w:r>
        <w:rPr>
          <w:rFonts w:ascii="Verdana" w:eastAsia="Calibri" w:hAnsi="Verdana" w:cs="Arial"/>
          <w:sz w:val="16"/>
          <w:szCs w:val="16"/>
          <w:lang w:val="es-ES"/>
        </w:rPr>
        <w:t>Ídem</w:t>
      </w:r>
      <w:r w:rsidRPr="0016660C">
        <w:rPr>
          <w:rFonts w:ascii="Verdana" w:hAnsi="Verdana"/>
          <w:sz w:val="16"/>
          <w:szCs w:val="16"/>
          <w:lang w:val="es-CO"/>
        </w:rPr>
        <w:t>.</w:t>
      </w:r>
    </w:p>
    <w:p w14:paraId="585627E4" w14:textId="77777777" w:rsidR="00027F4F" w:rsidRPr="0016660C" w:rsidRDefault="00027F4F" w:rsidP="00027F4F">
      <w:pPr>
        <w:pStyle w:val="Textonotapie"/>
        <w:ind w:firstLine="708"/>
        <w:contextualSpacing/>
        <w:jc w:val="both"/>
        <w:rPr>
          <w:rFonts w:ascii="Verdana" w:hAnsi="Verdana"/>
          <w:sz w:val="16"/>
          <w:szCs w:val="16"/>
          <w:lang w:val="es-ES"/>
        </w:rPr>
      </w:pPr>
    </w:p>
  </w:footnote>
  <w:footnote w:id="16">
    <w:p w14:paraId="7C452C11" w14:textId="77777777" w:rsidR="00027F4F" w:rsidRDefault="00027F4F" w:rsidP="00027F4F">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w:t>
      </w:r>
      <w:r>
        <w:rPr>
          <w:rFonts w:ascii="Verdana" w:hAnsi="Verdana" w:cs="Arial"/>
          <w:color w:val="000000" w:themeColor="text1"/>
          <w:sz w:val="16"/>
          <w:szCs w:val="16"/>
        </w:rPr>
        <w:t>.P:</w:t>
      </w:r>
      <w:r w:rsidRPr="0016660C">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04B88B01" w14:textId="77777777" w:rsidR="00027F4F" w:rsidRPr="0016660C" w:rsidRDefault="00027F4F" w:rsidP="00027F4F">
      <w:pPr>
        <w:spacing w:after="0" w:line="240" w:lineRule="auto"/>
        <w:ind w:firstLine="709"/>
        <w:contextualSpacing/>
        <w:jc w:val="both"/>
        <w:rPr>
          <w:rFonts w:ascii="Verdana" w:hAnsi="Verdana" w:cs="Arial"/>
          <w:color w:val="000000" w:themeColor="text1"/>
          <w:sz w:val="16"/>
          <w:szCs w:val="16"/>
        </w:rPr>
      </w:pPr>
    </w:p>
  </w:footnote>
  <w:footnote w:id="17">
    <w:p w14:paraId="36B95E89" w14:textId="77777777" w:rsidR="00027F4F" w:rsidRDefault="00027F4F" w:rsidP="00027F4F">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p w14:paraId="006C77F4" w14:textId="77777777" w:rsidR="00027F4F" w:rsidRPr="0016660C" w:rsidRDefault="00027F4F" w:rsidP="00027F4F">
      <w:pPr>
        <w:pStyle w:val="Textonotapie"/>
        <w:ind w:firstLine="708"/>
        <w:contextualSpacing/>
        <w:jc w:val="both"/>
        <w:rPr>
          <w:rFonts w:ascii="Verdana" w:hAnsi="Verdana" w:cs="Arial"/>
          <w:color w:val="000000" w:themeColor="text1"/>
          <w:sz w:val="16"/>
          <w:szCs w:val="16"/>
        </w:rPr>
      </w:pPr>
    </w:p>
  </w:footnote>
  <w:footnote w:id="18">
    <w:p w14:paraId="5C42785F" w14:textId="77777777" w:rsidR="00027F4F" w:rsidRPr="0016660C" w:rsidRDefault="00027F4F" w:rsidP="00027F4F">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19">
    <w:p w14:paraId="7D10BF35" w14:textId="77777777" w:rsidR="00027F4F" w:rsidRDefault="00027F4F" w:rsidP="00027F4F">
      <w:pPr>
        <w:pStyle w:val="Textonotapie"/>
        <w:ind w:firstLine="708"/>
        <w:contextualSpacing/>
        <w:jc w:val="both"/>
        <w:rPr>
          <w:rFonts w:ascii="Verdana" w:hAnsi="Verdana" w:cs="Arial"/>
          <w:color w:val="000000" w:themeColor="text1"/>
          <w:sz w:val="16"/>
          <w:szCs w:val="16"/>
        </w:rPr>
      </w:pPr>
    </w:p>
    <w:p w14:paraId="068452BD" w14:textId="77777777" w:rsidR="00027F4F" w:rsidRDefault="00027F4F" w:rsidP="00027F4F">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w:t>
      </w:r>
      <w:r>
        <w:rPr>
          <w:rFonts w:ascii="Verdana" w:hAnsi="Verdana" w:cs="Arial"/>
          <w:color w:val="000000" w:themeColor="text1"/>
          <w:sz w:val="16"/>
          <w:szCs w:val="16"/>
        </w:rPr>
        <w:t>:</w:t>
      </w:r>
      <w:r w:rsidRPr="0016660C">
        <w:rPr>
          <w:rFonts w:ascii="Verdana" w:hAnsi="Verdana" w:cs="Arial"/>
          <w:color w:val="000000" w:themeColor="text1"/>
          <w:sz w:val="16"/>
          <w:szCs w:val="16"/>
        </w:rPr>
        <w:t xml:space="preserve"> Álvaro Namén Vargas.</w:t>
      </w:r>
    </w:p>
    <w:p w14:paraId="1D66C127" w14:textId="77777777" w:rsidR="00027F4F" w:rsidRPr="0016660C" w:rsidRDefault="00027F4F" w:rsidP="00027F4F">
      <w:pPr>
        <w:pStyle w:val="Textonotapie"/>
        <w:ind w:firstLine="708"/>
        <w:contextualSpacing/>
        <w:jc w:val="both"/>
        <w:rPr>
          <w:rFonts w:ascii="Verdana" w:hAnsi="Verdana" w:cs="Arial"/>
          <w:color w:val="000000" w:themeColor="text1"/>
          <w:sz w:val="16"/>
          <w:szCs w:val="16"/>
        </w:rPr>
      </w:pPr>
    </w:p>
  </w:footnote>
  <w:footnote w:id="20">
    <w:p w14:paraId="0A0CBA41" w14:textId="77777777" w:rsidR="00027F4F" w:rsidRDefault="00027F4F" w:rsidP="00027F4F">
      <w:pPr>
        <w:pStyle w:val="Textonotapie"/>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de2006. Radicación 11001-03-06-000-2006-00023-00(1724). C</w:t>
      </w:r>
      <w:r>
        <w:rPr>
          <w:rFonts w:ascii="Verdana" w:hAnsi="Verdana" w:cs="Arial"/>
          <w:color w:val="000000" w:themeColor="text1"/>
          <w:sz w:val="16"/>
          <w:szCs w:val="16"/>
        </w:rPr>
        <w:t xml:space="preserve">.P: </w:t>
      </w:r>
      <w:r w:rsidRPr="0016660C">
        <w:rPr>
          <w:rFonts w:ascii="Verdana" w:hAnsi="Verdana" w:cs="Arial"/>
          <w:color w:val="000000" w:themeColor="text1"/>
          <w:sz w:val="16"/>
          <w:szCs w:val="16"/>
        </w:rPr>
        <w:t>Flavio Augusto Rodríguez Arce.</w:t>
      </w:r>
    </w:p>
    <w:p w14:paraId="25521539" w14:textId="77777777" w:rsidR="00027F4F" w:rsidRPr="0016660C" w:rsidRDefault="00027F4F" w:rsidP="00027F4F">
      <w:pPr>
        <w:pStyle w:val="Textonotapie"/>
        <w:ind w:firstLine="709"/>
        <w:contextualSpacing/>
        <w:jc w:val="both"/>
        <w:rPr>
          <w:rFonts w:ascii="Verdana" w:hAnsi="Verdana" w:cs="Arial"/>
          <w:color w:val="000000" w:themeColor="text1"/>
          <w:sz w:val="16"/>
          <w:szCs w:val="16"/>
        </w:rPr>
      </w:pPr>
    </w:p>
  </w:footnote>
  <w:footnote w:id="21">
    <w:p w14:paraId="5904FBBB"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Es lo que sucede, por ejemplo, con el Decreto 092 de 2017, que en su desarrollo hace referencia tanto a los “contratos” como a los “convenios”. </w:t>
      </w:r>
    </w:p>
    <w:p w14:paraId="2F3A0E79" w14:textId="77777777" w:rsidR="00027F4F" w:rsidRPr="00FA6811" w:rsidRDefault="00027F4F" w:rsidP="00027F4F">
      <w:pPr>
        <w:pStyle w:val="Textonotapie"/>
        <w:ind w:firstLine="709"/>
        <w:contextualSpacing/>
        <w:jc w:val="both"/>
        <w:rPr>
          <w:rFonts w:ascii="Verdana" w:hAnsi="Verdana" w:cs="Arial"/>
          <w:sz w:val="16"/>
          <w:szCs w:val="16"/>
        </w:rPr>
      </w:pPr>
    </w:p>
  </w:footnote>
  <w:footnote w:id="22">
    <w:p w14:paraId="614A141E" w14:textId="77777777" w:rsidR="00027F4F" w:rsidRPr="00B80F4D" w:rsidRDefault="00027F4F" w:rsidP="00027F4F">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FA6811">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B80F4D">
        <w:rPr>
          <w:rFonts w:ascii="Verdana" w:hAnsi="Verdana" w:cs="Arial"/>
          <w:sz w:val="16"/>
          <w:szCs w:val="16"/>
          <w:lang w:val="pt-BR"/>
        </w:rPr>
        <w:t>(Corte Constitucional. Sentencia C-671 de 2015. M.P</w:t>
      </w:r>
      <w:r>
        <w:rPr>
          <w:rFonts w:ascii="Verdana" w:hAnsi="Verdana" w:cs="Arial"/>
          <w:sz w:val="16"/>
          <w:szCs w:val="16"/>
          <w:lang w:val="pt-BR"/>
        </w:rPr>
        <w:t>:</w:t>
      </w:r>
      <w:r w:rsidRPr="00B80F4D">
        <w:rPr>
          <w:rFonts w:ascii="Verdana" w:hAnsi="Verdana" w:cs="Arial"/>
          <w:sz w:val="16"/>
          <w:szCs w:val="16"/>
          <w:lang w:val="pt-BR"/>
        </w:rPr>
        <w:t xml:space="preserve"> Alberto Rojas Ríos).</w:t>
      </w:r>
    </w:p>
  </w:footnote>
  <w:footnote w:id="23">
    <w:p w14:paraId="71F2ACC5" w14:textId="77777777" w:rsidR="00027F4F" w:rsidRPr="0067777A" w:rsidRDefault="00027F4F" w:rsidP="00027F4F">
      <w:pPr>
        <w:pStyle w:val="Textonotapie"/>
        <w:ind w:firstLine="709"/>
        <w:contextualSpacing/>
        <w:rPr>
          <w:rFonts w:ascii="Verdana" w:hAnsi="Verdana"/>
          <w:sz w:val="16"/>
          <w:szCs w:val="16"/>
          <w:lang w:val="pt-BR"/>
        </w:rPr>
      </w:pPr>
      <w:r w:rsidRPr="0067777A">
        <w:rPr>
          <w:rStyle w:val="Refdenotaalpie"/>
          <w:rFonts w:ascii="Verdana" w:hAnsi="Verdana"/>
          <w:sz w:val="16"/>
          <w:szCs w:val="16"/>
        </w:rPr>
        <w:footnoteRef/>
      </w:r>
      <w:r w:rsidRPr="0067777A">
        <w:rPr>
          <w:rFonts w:ascii="Verdana" w:hAnsi="Verdana"/>
          <w:sz w:val="16"/>
          <w:szCs w:val="16"/>
          <w:lang w:val="pt-BR"/>
        </w:rPr>
        <w:t xml:space="preserve"> </w:t>
      </w:r>
      <w:r w:rsidRPr="0069134B">
        <w:rPr>
          <w:rFonts w:ascii="Verdana" w:hAnsi="Verdana" w:cs="Arial"/>
          <w:sz w:val="16"/>
          <w:szCs w:val="16"/>
          <w:lang w:val="es-CO"/>
        </w:rPr>
        <w:t>Consejo de Estado</w:t>
      </w:r>
      <w:r>
        <w:rPr>
          <w:rFonts w:ascii="Verdana" w:hAnsi="Verdana" w:cs="Arial"/>
          <w:sz w:val="16"/>
          <w:szCs w:val="16"/>
          <w:lang w:val="es-CO"/>
        </w:rPr>
        <w:t xml:space="preserve">. Sala de lo Contencioso Administrativo. </w:t>
      </w:r>
      <w:r w:rsidRPr="0069134B">
        <w:rPr>
          <w:rFonts w:ascii="Verdana" w:hAnsi="Verdana" w:cs="Arial"/>
          <w:sz w:val="16"/>
          <w:szCs w:val="16"/>
          <w:lang w:val="es-CO"/>
        </w:rPr>
        <w:t>Sección Tercera. Auto del 4 de octubre de 2024. Exp. 70.313. C.P: Fredy Ibarra Martínez</w:t>
      </w:r>
      <w:r>
        <w:rPr>
          <w:rFonts w:ascii="Verdana" w:hAnsi="Verdana" w:cs="Arial"/>
          <w:sz w:val="16"/>
          <w:szCs w:val="16"/>
          <w:lang w:val="es-CO"/>
        </w:rPr>
        <w:t>.</w:t>
      </w:r>
    </w:p>
  </w:footnote>
  <w:footnote w:id="24">
    <w:p w14:paraId="05DAF4A9" w14:textId="77777777" w:rsidR="00027F4F" w:rsidRDefault="00027F4F" w:rsidP="00027F4F">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18" w:name="_Hlk192533196"/>
      <w:r w:rsidRPr="00FA6811">
        <w:rPr>
          <w:rFonts w:ascii="Verdana" w:hAnsi="Verdana" w:cs="Arial"/>
          <w:sz w:val="16"/>
          <w:szCs w:val="16"/>
        </w:rPr>
        <w:t>Consejo de Estado. Sala de Consulta y Servicio Civil. Concepto del 15 de noviembre de 2007. Expediente número 1863. C</w:t>
      </w:r>
      <w:r>
        <w:rPr>
          <w:rFonts w:ascii="Verdana" w:hAnsi="Verdana" w:cs="Arial"/>
          <w:sz w:val="16"/>
          <w:szCs w:val="16"/>
        </w:rPr>
        <w:t>.</w:t>
      </w:r>
      <w:r w:rsidRPr="00FA6811">
        <w:rPr>
          <w:rFonts w:ascii="Verdana" w:hAnsi="Verdana" w:cs="Arial"/>
          <w:sz w:val="16"/>
          <w:szCs w:val="16"/>
        </w:rPr>
        <w:t>P: Luis Fernando Álvarez Jaramillo.</w:t>
      </w:r>
    </w:p>
    <w:p w14:paraId="3BE8AADF" w14:textId="77777777" w:rsidR="00027F4F" w:rsidRPr="00FA6811" w:rsidRDefault="00027F4F" w:rsidP="00027F4F">
      <w:pPr>
        <w:pStyle w:val="Textonotapie"/>
        <w:ind w:firstLine="709"/>
        <w:contextualSpacing/>
        <w:jc w:val="both"/>
        <w:rPr>
          <w:rFonts w:ascii="Verdana" w:hAnsi="Verdana" w:cs="Arial"/>
          <w:sz w:val="16"/>
          <w:szCs w:val="16"/>
        </w:rPr>
      </w:pPr>
    </w:p>
    <w:bookmarkEnd w:id="18"/>
  </w:footnote>
  <w:footnote w:id="25">
    <w:p w14:paraId="67EFFEAE" w14:textId="77777777" w:rsidR="00027F4F" w:rsidRDefault="00027F4F" w:rsidP="00027F4F">
      <w:pPr>
        <w:pStyle w:val="Textonotapie"/>
        <w:ind w:firstLine="709"/>
        <w:contextualSpacing/>
        <w:jc w:val="both"/>
        <w:rPr>
          <w:rFonts w:ascii="Verdana" w:hAnsi="Verdana"/>
          <w:sz w:val="16"/>
          <w:szCs w:val="16"/>
        </w:rPr>
      </w:pPr>
      <w:r w:rsidRPr="00E55DA4">
        <w:rPr>
          <w:rStyle w:val="Refdenotaalpie"/>
          <w:rFonts w:ascii="Verdana" w:hAnsi="Verdana"/>
          <w:sz w:val="16"/>
          <w:szCs w:val="16"/>
        </w:rPr>
        <w:footnoteRef/>
      </w:r>
      <w:r w:rsidRPr="00E55DA4">
        <w:rPr>
          <w:rFonts w:ascii="Verdana" w:hAnsi="Verdana"/>
          <w:sz w:val="16"/>
          <w:szCs w:val="16"/>
        </w:rPr>
        <w:t xml:space="preserve"> Circular Externa No. 006 de 2025 expedida por la Agencia Nacional de Contratación Pública. Disponible en </w:t>
      </w:r>
      <w:hyperlink r:id="rId1" w:history="1">
        <w:r w:rsidRPr="00E55DA4">
          <w:rPr>
            <w:rStyle w:val="Hipervnculo"/>
            <w:rFonts w:ascii="Verdana" w:hAnsi="Verdana"/>
            <w:sz w:val="16"/>
            <w:szCs w:val="16"/>
            <w:lang w:val="es-CO"/>
          </w:rPr>
          <w:t>006-de-2025-Circular-Externa-L996-ajustado-comentarios-BM-BID-Rev-ARSC-V3.d-1.pdf</w:t>
        </w:r>
      </w:hyperlink>
    </w:p>
    <w:p w14:paraId="7D0A58F6" w14:textId="77777777" w:rsidR="00027F4F" w:rsidRPr="00E55DA4" w:rsidRDefault="00027F4F" w:rsidP="00027F4F">
      <w:pPr>
        <w:pStyle w:val="Textonotapie"/>
        <w:ind w:firstLine="709"/>
        <w:contextualSpacing/>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436632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F4F"/>
    <w:rsid w:val="00046945"/>
    <w:rsid w:val="00061B2A"/>
    <w:rsid w:val="00082362"/>
    <w:rsid w:val="00084D9F"/>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25E5"/>
    <w:rsid w:val="002A49AC"/>
    <w:rsid w:val="002A57EB"/>
    <w:rsid w:val="002A64FD"/>
    <w:rsid w:val="002B72F8"/>
    <w:rsid w:val="002C7A84"/>
    <w:rsid w:val="002D099C"/>
    <w:rsid w:val="002E2BF8"/>
    <w:rsid w:val="002E4FD9"/>
    <w:rsid w:val="0030657A"/>
    <w:rsid w:val="00322A85"/>
    <w:rsid w:val="00324168"/>
    <w:rsid w:val="00330834"/>
    <w:rsid w:val="003448F4"/>
    <w:rsid w:val="0037167A"/>
    <w:rsid w:val="00374F5E"/>
    <w:rsid w:val="00376BD3"/>
    <w:rsid w:val="00377E3E"/>
    <w:rsid w:val="003A779E"/>
    <w:rsid w:val="003D0F4D"/>
    <w:rsid w:val="003D5B0D"/>
    <w:rsid w:val="003E0499"/>
    <w:rsid w:val="003E4F80"/>
    <w:rsid w:val="003E6439"/>
    <w:rsid w:val="003F3941"/>
    <w:rsid w:val="00406575"/>
    <w:rsid w:val="00414C74"/>
    <w:rsid w:val="0042722E"/>
    <w:rsid w:val="0044528D"/>
    <w:rsid w:val="004534BA"/>
    <w:rsid w:val="00466E39"/>
    <w:rsid w:val="004A1847"/>
    <w:rsid w:val="004A305D"/>
    <w:rsid w:val="004D6899"/>
    <w:rsid w:val="004F21C4"/>
    <w:rsid w:val="004F685F"/>
    <w:rsid w:val="005566E8"/>
    <w:rsid w:val="00557E9C"/>
    <w:rsid w:val="00567B16"/>
    <w:rsid w:val="00574867"/>
    <w:rsid w:val="00591460"/>
    <w:rsid w:val="005A65E0"/>
    <w:rsid w:val="005C3777"/>
    <w:rsid w:val="005C5CDC"/>
    <w:rsid w:val="005D476C"/>
    <w:rsid w:val="006200BF"/>
    <w:rsid w:val="006219F8"/>
    <w:rsid w:val="006302F7"/>
    <w:rsid w:val="0063629B"/>
    <w:rsid w:val="00646B9F"/>
    <w:rsid w:val="00665D70"/>
    <w:rsid w:val="006900D9"/>
    <w:rsid w:val="006C3B8B"/>
    <w:rsid w:val="00706C16"/>
    <w:rsid w:val="007340C3"/>
    <w:rsid w:val="0075235A"/>
    <w:rsid w:val="00756841"/>
    <w:rsid w:val="007649AB"/>
    <w:rsid w:val="00771D0C"/>
    <w:rsid w:val="007833AC"/>
    <w:rsid w:val="007B268C"/>
    <w:rsid w:val="007B7171"/>
    <w:rsid w:val="007C0C0F"/>
    <w:rsid w:val="007C3DC2"/>
    <w:rsid w:val="007D62BE"/>
    <w:rsid w:val="007E5497"/>
    <w:rsid w:val="00806F5F"/>
    <w:rsid w:val="00820278"/>
    <w:rsid w:val="008258C9"/>
    <w:rsid w:val="00844AE9"/>
    <w:rsid w:val="00867F95"/>
    <w:rsid w:val="008843B6"/>
    <w:rsid w:val="00891928"/>
    <w:rsid w:val="008A446D"/>
    <w:rsid w:val="008B25F1"/>
    <w:rsid w:val="008D180B"/>
    <w:rsid w:val="008E7EB7"/>
    <w:rsid w:val="008F0EA7"/>
    <w:rsid w:val="009228F3"/>
    <w:rsid w:val="00923EEF"/>
    <w:rsid w:val="009419F9"/>
    <w:rsid w:val="0095685E"/>
    <w:rsid w:val="00961B09"/>
    <w:rsid w:val="00965334"/>
    <w:rsid w:val="0097093E"/>
    <w:rsid w:val="009A0DFA"/>
    <w:rsid w:val="009A1C6F"/>
    <w:rsid w:val="009B2D26"/>
    <w:rsid w:val="009C71FA"/>
    <w:rsid w:val="009C72E7"/>
    <w:rsid w:val="009C7F7E"/>
    <w:rsid w:val="009D3058"/>
    <w:rsid w:val="009E1F8E"/>
    <w:rsid w:val="009F3A13"/>
    <w:rsid w:val="00A122D3"/>
    <w:rsid w:val="00A14468"/>
    <w:rsid w:val="00A17F13"/>
    <w:rsid w:val="00A20739"/>
    <w:rsid w:val="00A23AF9"/>
    <w:rsid w:val="00A33C78"/>
    <w:rsid w:val="00AB0ADB"/>
    <w:rsid w:val="00B00C0E"/>
    <w:rsid w:val="00B01B1A"/>
    <w:rsid w:val="00B0381D"/>
    <w:rsid w:val="00B208AD"/>
    <w:rsid w:val="00B44A47"/>
    <w:rsid w:val="00B72CD3"/>
    <w:rsid w:val="00B72FFF"/>
    <w:rsid w:val="00B92ADC"/>
    <w:rsid w:val="00BA5588"/>
    <w:rsid w:val="00BC03E6"/>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235A"/>
    <w:rsid w:val="00DF5254"/>
    <w:rsid w:val="00E02524"/>
    <w:rsid w:val="00E16408"/>
    <w:rsid w:val="00E20894"/>
    <w:rsid w:val="00E245AB"/>
    <w:rsid w:val="00E2764C"/>
    <w:rsid w:val="00E27F2E"/>
    <w:rsid w:val="00E50AFE"/>
    <w:rsid w:val="00E67326"/>
    <w:rsid w:val="00E74B29"/>
    <w:rsid w:val="00E75C92"/>
    <w:rsid w:val="00E771DC"/>
    <w:rsid w:val="00E8772A"/>
    <w:rsid w:val="00E90F6B"/>
    <w:rsid w:val="00E92C27"/>
    <w:rsid w:val="00E9667E"/>
    <w:rsid w:val="00EA0E3D"/>
    <w:rsid w:val="00EC38A7"/>
    <w:rsid w:val="00EC5073"/>
    <w:rsid w:val="00EE1AA8"/>
    <w:rsid w:val="00F23FEA"/>
    <w:rsid w:val="00F31EDC"/>
    <w:rsid w:val="00F462B3"/>
    <w:rsid w:val="00F5664F"/>
    <w:rsid w:val="00F666C4"/>
    <w:rsid w:val="00F76AFC"/>
    <w:rsid w:val="00FA47C0"/>
    <w:rsid w:val="00FB5DD1"/>
    <w:rsid w:val="00FC2B5D"/>
    <w:rsid w:val="00FD07E4"/>
    <w:rsid w:val="00FF1449"/>
    <w:rsid w:val="00FF7963"/>
    <w:rsid w:val="01BF91C7"/>
    <w:rsid w:val="09908A09"/>
    <w:rsid w:val="13CFC91B"/>
    <w:rsid w:val="15EC95DF"/>
    <w:rsid w:val="19A2EC2C"/>
    <w:rsid w:val="1C8C1FA9"/>
    <w:rsid w:val="2859CA1B"/>
    <w:rsid w:val="303707D8"/>
    <w:rsid w:val="32A4F9CF"/>
    <w:rsid w:val="356CEDFD"/>
    <w:rsid w:val="4B5BFCBA"/>
    <w:rsid w:val="5544FCE7"/>
    <w:rsid w:val="69614A15"/>
    <w:rsid w:val="7BB183BC"/>
    <w:rsid w:val="7BF1C8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7F4F"/>
    <w:rPr>
      <w:rFonts w:ascii="Geomanist Light" w:hAnsi="Geomanist Light"/>
      <w:lang w:val="es-ES"/>
    </w:rPr>
  </w:style>
  <w:style w:type="paragraph" w:customStyle="1" w:styleId="Appelnotedebasde">
    <w:name w:val="Appel note de bas de..."/>
    <w:basedOn w:val="Normal"/>
    <w:link w:val="Refdenotaalpie"/>
    <w:uiPriority w:val="99"/>
    <w:rsid w:val="00027F4F"/>
    <w:pPr>
      <w:spacing w:line="240" w:lineRule="exact"/>
    </w:pPr>
    <w:rPr>
      <w:vertAlign w:val="superscript"/>
    </w:rPr>
  </w:style>
  <w:style w:type="character" w:customStyle="1" w:styleId="NormalWebCar">
    <w:name w:val="Normal (Web) Car"/>
    <w:link w:val="NormalWeb"/>
    <w:uiPriority w:val="99"/>
    <w:locked/>
    <w:rsid w:val="00027F4F"/>
    <w:rPr>
      <w:rFonts w:ascii="Times New Roman" w:eastAsia="Times New Roman" w:hAnsi="Times New Roman" w:cs="Times New Roman"/>
      <w:sz w:val="24"/>
      <w:szCs w:val="24"/>
      <w:lang w:eastAsia="es-CO"/>
    </w:rPr>
  </w:style>
  <w:style w:type="character" w:customStyle="1" w:styleId="baj">
    <w:name w:val="b_aj"/>
    <w:basedOn w:val="Fuentedeprrafopredeter"/>
    <w:rsid w:val="00027F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5/09/006-de-2025-Circular-Externa-L996-ajustado-comentarios-BM-BID-Rev-ARSC-V3.d-1.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okelemusconsultores@hot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KELEMUS@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BE5ADBA-96B9-4B2A-901A-8FDA5B424A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25</Pages>
  <Words>8362</Words>
  <Characters>45742</Characters>
  <Application>Microsoft Office Word</Application>
  <DocSecurity>0</DocSecurity>
  <Lines>879</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2025-11-21T14:34:00Z</dcterms:created>
  <dcterms:modified xsi:type="dcterms:W3CDTF">2025-11-27T20:58:00Z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