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667CD6" w:rsidR="003218F0" w:rsidP="003218F0" w:rsidRDefault="003218F0" w14:paraId="38CCAF6C" w14:textId="77777777">
      <w:pPr>
        <w:snapToGrid w:val="0"/>
        <w:contextualSpacing/>
        <w:jc w:val="both"/>
        <w:rPr>
          <w:rFonts w:ascii="Verdana" w:hAnsi="Verdana" w:cs="Arial"/>
          <w:b/>
          <w:bCs/>
          <w:lang w:val="es-ES" w:eastAsia="es-ES"/>
        </w:rPr>
      </w:pPr>
      <w:bookmarkStart w:name="_Hlk143780582" w:id="0"/>
      <w:r w:rsidRPr="00667CD6">
        <w:rPr>
          <w:rFonts w:ascii="Verdana" w:hAnsi="Verdana" w:cs="Arial"/>
          <w:b/>
          <w:bCs/>
          <w:lang w:val="es-ES" w:eastAsia="es-ES"/>
        </w:rPr>
        <w:t>LEY DE GARANTÍAS ELECTORALES – Finalidad</w:t>
      </w:r>
    </w:p>
    <w:p w:rsidRPr="00667CD6" w:rsidR="003218F0" w:rsidP="003218F0" w:rsidRDefault="003218F0" w14:paraId="1F72A657" w14:textId="77777777">
      <w:pPr>
        <w:snapToGrid w:val="0"/>
        <w:contextualSpacing/>
        <w:jc w:val="both"/>
        <w:rPr>
          <w:rFonts w:ascii="Verdana" w:hAnsi="Verdana" w:cs="Arial"/>
          <w:b/>
          <w:bCs/>
          <w:lang w:val="es-ES" w:eastAsia="es-ES"/>
        </w:rPr>
      </w:pPr>
    </w:p>
    <w:p w:rsidRPr="00667CD6" w:rsidR="003218F0" w:rsidP="003218F0" w:rsidRDefault="003218F0" w14:paraId="0C6424DC" w14:textId="77777777">
      <w:pPr>
        <w:tabs>
          <w:tab w:val="left" w:pos="426"/>
        </w:tabs>
        <w:snapToGrid w:val="0"/>
        <w:spacing w:after="0" w:line="240" w:lineRule="auto"/>
        <w:contextualSpacing/>
        <w:jc w:val="both"/>
        <w:rPr>
          <w:rFonts w:ascii="Verdana" w:hAnsi="Verdana" w:cs="Arial"/>
          <w:sz w:val="20"/>
          <w:szCs w:val="20"/>
          <w:lang w:val="es-ES"/>
        </w:rPr>
      </w:pPr>
      <w:r w:rsidRPr="00667CD6">
        <w:rPr>
          <w:rFonts w:ascii="Verdana" w:hAnsi="Verdana" w:eastAsia="Times New Roman"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667CD6">
        <w:rPr>
          <w:rFonts w:ascii="Verdana" w:hAnsi="Verdana" w:cs="Arial"/>
          <w:sz w:val="20"/>
          <w:szCs w:val="20"/>
          <w:lang w:val="es-ES"/>
        </w:rPr>
        <w:t xml:space="preserve"> </w:t>
      </w:r>
    </w:p>
    <w:p w:rsidRPr="00667CD6" w:rsidR="003218F0" w:rsidP="003218F0" w:rsidRDefault="003218F0" w14:paraId="78E6C9CF" w14:textId="77777777">
      <w:pPr>
        <w:snapToGrid w:val="0"/>
        <w:contextualSpacing/>
        <w:jc w:val="both"/>
        <w:rPr>
          <w:rFonts w:ascii="Verdana" w:hAnsi="Verdana" w:cs="Arial"/>
          <w:b/>
          <w:bCs/>
          <w:lang w:val="es-ES" w:eastAsia="es-ES"/>
        </w:rPr>
      </w:pPr>
    </w:p>
    <w:p w:rsidRPr="00667CD6" w:rsidR="003218F0" w:rsidP="003218F0" w:rsidRDefault="003218F0" w14:paraId="48D90BC0" w14:textId="77777777">
      <w:pPr>
        <w:snapToGrid w:val="0"/>
        <w:contextualSpacing/>
        <w:jc w:val="both"/>
        <w:rPr>
          <w:rFonts w:ascii="Verdana" w:hAnsi="Verdana" w:cs="Arial"/>
          <w:b/>
          <w:bCs/>
          <w:sz w:val="20"/>
          <w:szCs w:val="20"/>
          <w:lang w:val="es-ES" w:eastAsia="es-ES"/>
        </w:rPr>
      </w:pPr>
      <w:r w:rsidRPr="00667CD6">
        <w:rPr>
          <w:rFonts w:ascii="Verdana" w:hAnsi="Verdana" w:cs="Arial"/>
          <w:b/>
          <w:bCs/>
          <w:lang w:val="es-ES" w:eastAsia="es-ES"/>
        </w:rPr>
        <w:t>LEY DE GARANTÍAS ELECTORALES ‒ Restricciones ‒ Contratación ‒ Tipos de elección</w:t>
      </w:r>
    </w:p>
    <w:p w:rsidRPr="00667CD6" w:rsidR="003218F0" w:rsidP="003218F0" w:rsidRDefault="003218F0" w14:paraId="49A4A0D6" w14:textId="77777777">
      <w:pPr>
        <w:snapToGrid w:val="0"/>
        <w:spacing w:after="0" w:line="240" w:lineRule="auto"/>
        <w:contextualSpacing/>
        <w:jc w:val="both"/>
        <w:rPr>
          <w:rFonts w:ascii="Verdana" w:hAnsi="Verdana" w:cs="Arial"/>
          <w:sz w:val="20"/>
          <w:szCs w:val="20"/>
          <w:lang w:val="es-ES" w:eastAsia="es-ES"/>
        </w:rPr>
      </w:pPr>
    </w:p>
    <w:p w:rsidRPr="00667CD6" w:rsidR="003218F0" w:rsidP="003218F0" w:rsidRDefault="003218F0" w14:paraId="4BBB14A6" w14:textId="77777777">
      <w:pPr>
        <w:snapToGrid w:val="0"/>
        <w:spacing w:after="0" w:line="240" w:lineRule="auto"/>
        <w:contextualSpacing/>
        <w:jc w:val="both"/>
        <w:rPr>
          <w:rFonts w:ascii="Verdana" w:hAnsi="Verdana" w:cs="Arial"/>
          <w:sz w:val="20"/>
          <w:szCs w:val="20"/>
          <w:lang w:val="es-ES"/>
        </w:rPr>
      </w:pPr>
      <w:r w:rsidRPr="00667CD6">
        <w:rPr>
          <w:rFonts w:ascii="Verdana" w:hAnsi="Verdana" w:cs="Arial"/>
          <w:sz w:val="20"/>
          <w:szCs w:val="20"/>
          <w:lang w:val="es-ES"/>
        </w:rPr>
        <w:t xml:space="preserve">Por un lado, el </w:t>
      </w:r>
      <w:r w:rsidRPr="00667CD6">
        <w:rPr>
          <w:rFonts w:ascii="Verdana" w:hAnsi="Verdana" w:cs="Arial"/>
          <w:i/>
          <w:iCs/>
          <w:sz w:val="20"/>
          <w:szCs w:val="20"/>
          <w:lang w:val="es-ES"/>
        </w:rPr>
        <w:t xml:space="preserve">artículo 33 </w:t>
      </w:r>
      <w:r w:rsidRPr="00667CD6">
        <w:rPr>
          <w:rFonts w:ascii="Verdana" w:hAnsi="Verdana" w:cs="Arial"/>
          <w:sz w:val="20"/>
          <w:szCs w:val="20"/>
          <w:lang w:val="es-ES"/>
        </w:rPr>
        <w:t xml:space="preserve">de la Ley 996 de 2005 prohíbe “[…] la contratación directa por parte de </w:t>
      </w:r>
      <w:r w:rsidRPr="00667CD6">
        <w:rPr>
          <w:rFonts w:ascii="Verdana" w:hAnsi="Verdana" w:cs="Arial"/>
          <w:i/>
          <w:iCs/>
          <w:sz w:val="20"/>
          <w:szCs w:val="20"/>
          <w:lang w:val="es-ES"/>
        </w:rPr>
        <w:t>todos los entes del Estado</w:t>
      </w:r>
      <w:r w:rsidRPr="00667CD6">
        <w:rPr>
          <w:rFonts w:ascii="Verdana" w:hAnsi="Verdana" w:cs="Arial"/>
          <w:sz w:val="20"/>
          <w:szCs w:val="20"/>
          <w:lang w:val="es-ES"/>
        </w:rPr>
        <w:t xml:space="preserve">” durante los cuatro (4) meses anteriores a las </w:t>
      </w:r>
      <w:r w:rsidRPr="00667CD6">
        <w:rPr>
          <w:rFonts w:ascii="Verdana" w:hAnsi="Verdana" w:cs="Arial"/>
          <w:i/>
          <w:iCs/>
          <w:sz w:val="20"/>
          <w:szCs w:val="20"/>
          <w:lang w:val="es-ES"/>
        </w:rPr>
        <w:t>elecciones presidenciales</w:t>
      </w:r>
      <w:r w:rsidRPr="00667CD6">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rsidRPr="00667CD6" w:rsidR="003218F0" w:rsidP="003218F0" w:rsidRDefault="003218F0" w14:paraId="6313F527" w14:textId="77777777">
      <w:pPr>
        <w:snapToGrid w:val="0"/>
        <w:spacing w:after="0" w:line="240" w:lineRule="auto"/>
        <w:contextualSpacing/>
        <w:jc w:val="both"/>
        <w:rPr>
          <w:rFonts w:ascii="Verdana" w:hAnsi="Verdana" w:cs="Arial"/>
          <w:sz w:val="20"/>
          <w:szCs w:val="20"/>
          <w:lang w:val="es-ES"/>
        </w:rPr>
      </w:pPr>
    </w:p>
    <w:p w:rsidRPr="00667CD6" w:rsidR="003218F0" w:rsidP="003218F0" w:rsidRDefault="003218F0" w14:paraId="0FB0B2A3" w14:textId="77777777">
      <w:pPr>
        <w:widowControl w:val="0"/>
        <w:autoSpaceDE w:val="0"/>
        <w:autoSpaceDN w:val="0"/>
        <w:snapToGrid w:val="0"/>
        <w:spacing w:after="0" w:line="240" w:lineRule="auto"/>
        <w:ind w:right="113"/>
        <w:contextualSpacing/>
        <w:jc w:val="both"/>
        <w:rPr>
          <w:rFonts w:ascii="Verdana" w:hAnsi="Verdana" w:eastAsia="Arial" w:cs="Arial"/>
          <w:sz w:val="20"/>
          <w:szCs w:val="20"/>
          <w:lang w:val="es-ES" w:eastAsia="es-ES" w:bidi="es-ES"/>
        </w:rPr>
      </w:pPr>
      <w:r w:rsidRPr="00667CD6">
        <w:rPr>
          <w:rFonts w:ascii="Verdana" w:hAnsi="Verdana" w:cs="Arial"/>
          <w:sz w:val="20"/>
          <w:szCs w:val="20"/>
          <w:lang w:val="es-ES"/>
        </w:rPr>
        <w:t xml:space="preserve">Por otro lado, </w:t>
      </w:r>
      <w:r w:rsidRPr="00667CD6">
        <w:rPr>
          <w:rFonts w:ascii="Verdana" w:hAnsi="Verdana" w:cs="Arial"/>
          <w:i/>
          <w:iCs/>
          <w:sz w:val="20"/>
          <w:szCs w:val="20"/>
          <w:lang w:val="es-ES"/>
        </w:rPr>
        <w:t xml:space="preserve">el parágrafo del artículo 38 </w:t>
      </w:r>
      <w:r w:rsidRPr="00667CD6">
        <w:rPr>
          <w:rFonts w:ascii="Verdana" w:hAnsi="Verdana" w:cs="Arial"/>
          <w:sz w:val="20"/>
          <w:szCs w:val="20"/>
          <w:lang w:val="es-ES"/>
        </w:rPr>
        <w:t xml:space="preserve">de la Ley 996 de 2005 prevé una restricción, aplicable respecto de </w:t>
      </w:r>
      <w:r w:rsidRPr="00667CD6">
        <w:rPr>
          <w:rFonts w:ascii="Verdana" w:hAnsi="Verdana" w:cs="Arial"/>
          <w:i/>
          <w:iCs/>
          <w:sz w:val="20"/>
          <w:szCs w:val="20"/>
          <w:lang w:val="es-ES"/>
        </w:rPr>
        <w:t>cualquier tipo de contienda electoral</w:t>
      </w:r>
      <w:r w:rsidRPr="00667CD6">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67CD6">
        <w:rPr>
          <w:rFonts w:ascii="Verdana" w:hAnsi="Verdana" w:eastAsia="Arial" w:cs="Arial"/>
          <w:sz w:val="20"/>
          <w:szCs w:val="20"/>
          <w:lang w:val="es-ES" w:eastAsia="es-ES" w:bidi="es-ES"/>
        </w:rPr>
        <w:t xml:space="preserve"> </w:t>
      </w:r>
    </w:p>
    <w:p w:rsidRPr="00667CD6" w:rsidR="003218F0" w:rsidP="003218F0" w:rsidRDefault="003218F0" w14:paraId="08C1C60C" w14:textId="77777777">
      <w:pPr>
        <w:snapToGrid w:val="0"/>
        <w:spacing w:after="0" w:line="240" w:lineRule="auto"/>
        <w:contextualSpacing/>
        <w:jc w:val="both"/>
        <w:rPr>
          <w:rFonts w:ascii="Verdana" w:hAnsi="Verdana" w:eastAsia="Times New Roman" w:cs="Arial"/>
          <w:sz w:val="20"/>
          <w:szCs w:val="20"/>
          <w:lang w:val="es-ES"/>
        </w:rPr>
      </w:pPr>
    </w:p>
    <w:p w:rsidRPr="00667CD6" w:rsidR="003218F0" w:rsidP="003218F0" w:rsidRDefault="003218F0" w14:paraId="0CD781FF" w14:textId="77777777">
      <w:pPr>
        <w:spacing w:after="0" w:line="240" w:lineRule="auto"/>
        <w:jc w:val="both"/>
        <w:rPr>
          <w:rFonts w:ascii="Verdana" w:hAnsi="Verdana" w:cs="Arial"/>
          <w:b/>
          <w:lang w:val="es-MX" w:eastAsia="es-ES_tradnl"/>
        </w:rPr>
      </w:pPr>
      <w:r w:rsidRPr="00667CD6">
        <w:rPr>
          <w:rFonts w:ascii="Verdana" w:hAnsi="Verdana" w:cs="Arial"/>
          <w:b/>
          <w:lang w:val="es-MX" w:eastAsia="es-ES_tradnl"/>
        </w:rPr>
        <w:t>CONTRATOS Y CONVENIOS INTERADMINISTRATIVOS – Criterio orgánico</w:t>
      </w:r>
    </w:p>
    <w:p w:rsidRPr="00667CD6" w:rsidR="003218F0" w:rsidP="003218F0" w:rsidRDefault="003218F0" w14:paraId="42A2B9A0" w14:textId="77777777">
      <w:pPr>
        <w:spacing w:after="0" w:line="240" w:lineRule="auto"/>
        <w:jc w:val="both"/>
        <w:rPr>
          <w:rFonts w:ascii="Verdana" w:hAnsi="Verdana" w:cs="Arial"/>
          <w:b/>
          <w:lang w:val="es-MX" w:eastAsia="es-ES_tradnl"/>
        </w:rPr>
      </w:pPr>
    </w:p>
    <w:p w:rsidRPr="00667CD6" w:rsidR="003218F0" w:rsidP="003218F0" w:rsidRDefault="003218F0" w14:paraId="77B80C7C" w14:textId="77777777">
      <w:pPr>
        <w:spacing w:after="0" w:line="240" w:lineRule="auto"/>
        <w:jc w:val="both"/>
        <w:rPr>
          <w:rFonts w:ascii="Verdana" w:hAnsi="Verdana" w:cs="Arial"/>
          <w:b/>
          <w:lang w:val="es-MX" w:eastAsia="es-ES_tradnl"/>
        </w:rPr>
      </w:pPr>
      <w:r w:rsidRPr="00667CD6">
        <w:rPr>
          <w:rFonts w:ascii="Verdana" w:hAnsi="Verdana" w:cs="Arial"/>
          <w:sz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667CD6">
        <w:rPr>
          <w:rFonts w:ascii="Verdana" w:hAnsi="Verdana" w:eastAsia="Arial" w:cs="Arial"/>
          <w:sz w:val="20"/>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interadministrativos.</w:t>
      </w:r>
    </w:p>
    <w:p w:rsidRPr="00667CD6" w:rsidR="003218F0" w:rsidP="003218F0" w:rsidRDefault="003218F0" w14:paraId="6AC3D752" w14:textId="77777777">
      <w:pPr>
        <w:spacing w:after="0" w:line="240" w:lineRule="auto"/>
        <w:jc w:val="both"/>
        <w:rPr>
          <w:rFonts w:ascii="Verdana" w:hAnsi="Verdana" w:cs="Arial"/>
          <w:sz w:val="20"/>
          <w:lang w:bidi="es-ES"/>
        </w:rPr>
      </w:pPr>
    </w:p>
    <w:p w:rsidRPr="00667CD6" w:rsidR="003218F0" w:rsidP="003218F0" w:rsidRDefault="003218F0" w14:paraId="762862BE" w14:textId="77777777">
      <w:pPr>
        <w:spacing w:after="0" w:line="240" w:lineRule="auto"/>
        <w:jc w:val="both"/>
        <w:rPr>
          <w:rFonts w:ascii="Verdana" w:hAnsi="Verdana" w:eastAsia="Arial" w:cs="Arial"/>
          <w:sz w:val="20"/>
          <w:lang w:val="es-ES" w:eastAsia="es-ES" w:bidi="es-ES"/>
        </w:rPr>
      </w:pPr>
      <w:r w:rsidRPr="00667CD6">
        <w:rPr>
          <w:rFonts w:ascii="Verdana" w:hAnsi="Verdana" w:cs="Arial"/>
          <w:sz w:val="20"/>
          <w:lang w:val="es-ES" w:bidi="es-ES"/>
        </w:rPr>
        <w:t>De este modo, en la Circular Externa</w:t>
      </w:r>
      <w:r w:rsidRPr="00667CD6">
        <w:rPr>
          <w:rFonts w:ascii="Verdana" w:hAnsi="Verdana" w:eastAsia="Arial" w:cs="Arial"/>
          <w:sz w:val="20"/>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w:t>
      </w:r>
    </w:p>
    <w:p w:rsidRPr="00667CD6" w:rsidR="003218F0" w:rsidP="003218F0" w:rsidRDefault="003218F0" w14:paraId="0660F9D4" w14:textId="77777777">
      <w:pPr>
        <w:spacing w:after="0"/>
        <w:rPr>
          <w:rFonts w:ascii="Verdana" w:hAnsi="Verdana"/>
          <w:lang w:val="es-ES"/>
        </w:rPr>
      </w:pPr>
    </w:p>
    <w:p w:rsidRPr="00667CD6" w:rsidR="003218F0" w:rsidP="003218F0" w:rsidRDefault="003218F0" w14:paraId="515CF595" w14:textId="77777777">
      <w:pPr>
        <w:spacing w:after="0"/>
        <w:jc w:val="both"/>
        <w:rPr>
          <w:rFonts w:ascii="Verdana" w:hAnsi="Verdana"/>
          <w:b/>
        </w:rPr>
      </w:pPr>
      <w:r w:rsidRPr="00667CD6">
        <w:rPr>
          <w:rFonts w:ascii="Verdana" w:hAnsi="Verdana" w:cs="Arial"/>
          <w:b/>
          <w:lang w:val="es-MX" w:eastAsia="es-ES_tradnl"/>
        </w:rPr>
        <w:t>CONTRATOS Y CONVENIOS INTERADMINISTRATIVOS – Circular Externa Única – Auto de suspensión –numeral 16.2.</w:t>
      </w:r>
    </w:p>
    <w:p w:rsidRPr="00667CD6" w:rsidR="003218F0" w:rsidP="003218F0" w:rsidRDefault="003218F0" w14:paraId="76463E7A" w14:textId="77777777">
      <w:pPr>
        <w:spacing w:after="0"/>
        <w:jc w:val="both"/>
        <w:rPr>
          <w:rFonts w:ascii="Verdana" w:hAnsi="Verdana"/>
          <w:b/>
        </w:rPr>
      </w:pPr>
    </w:p>
    <w:p w:rsidRPr="00667CD6" w:rsidR="003218F0" w:rsidP="003218F0" w:rsidRDefault="003218F0" w14:paraId="7FD7B6FE" w14:textId="77777777">
      <w:pPr>
        <w:spacing w:after="0" w:line="240" w:lineRule="auto"/>
        <w:jc w:val="both"/>
        <w:rPr>
          <w:rFonts w:ascii="Verdana" w:hAnsi="Verdana"/>
          <w:sz w:val="18"/>
          <w:szCs w:val="20"/>
        </w:rPr>
      </w:pPr>
      <w:r w:rsidRPr="00667CD6">
        <w:rPr>
          <w:rFonts w:ascii="Verdana" w:hAnsi="Verdana" w:eastAsia="Arial" w:cs="Arial"/>
          <w:sz w:val="20"/>
          <w:lang w:val="es-MX" w:eastAsia="es-ES" w:bidi="es-ES"/>
        </w:rPr>
        <w:t xml:space="preserve">[…] conviene señalar que, mediante auto de 4 de octubre del 2024, el Consejo de Estado, Sección Tercera, decretó medida de suspensión provisional parcial del </w:t>
      </w:r>
      <w:r w:rsidRPr="00667CD6">
        <w:rPr>
          <w:rFonts w:ascii="Verdana" w:hAnsi="Verdana"/>
          <w:sz w:val="20"/>
        </w:rPr>
        <w:t>numeral 16.2 de la Circular Externa Única de 2022 expedida por la Agencia Nacional de Contratación Pública -Colombia Compra Eficiente-, concretamente, respecto de los siguientes apartes normativos</w:t>
      </w:r>
      <w:r w:rsidRPr="00667CD6">
        <w:rPr>
          <w:rFonts w:ascii="Verdana" w:hAnsi="Verdana"/>
          <w:sz w:val="18"/>
          <w:szCs w:val="20"/>
        </w:rPr>
        <w:t xml:space="preserve"> </w:t>
      </w:r>
    </w:p>
    <w:p w:rsidRPr="00667CD6" w:rsidR="003218F0" w:rsidP="003218F0" w:rsidRDefault="003218F0" w14:paraId="1194250A" w14:textId="77777777">
      <w:pPr>
        <w:spacing w:after="0" w:line="240" w:lineRule="auto"/>
        <w:ind w:left="709" w:right="709"/>
        <w:jc w:val="both"/>
        <w:rPr>
          <w:rFonts w:ascii="Verdana" w:hAnsi="Verdana"/>
          <w:sz w:val="20"/>
        </w:rPr>
      </w:pPr>
    </w:p>
    <w:p w:rsidRPr="00667CD6" w:rsidR="003218F0" w:rsidP="003218F0" w:rsidRDefault="003218F0" w14:paraId="7B5DA05C" w14:textId="77777777">
      <w:pPr>
        <w:spacing w:after="0" w:line="240" w:lineRule="auto"/>
        <w:jc w:val="both"/>
        <w:rPr>
          <w:rFonts w:ascii="Verdana" w:hAnsi="Verdana" w:eastAsia="Arial" w:cs="Arial"/>
          <w:i/>
          <w:iCs/>
          <w:sz w:val="20"/>
          <w:lang w:eastAsia="es-ES" w:bidi="es-ES"/>
        </w:rPr>
      </w:pPr>
      <w:r w:rsidRPr="00667CD6">
        <w:rPr>
          <w:rFonts w:ascii="Verdana" w:hAnsi="Verdana" w:eastAsia="Arial" w:cs="Arial"/>
          <w:sz w:val="20"/>
          <w:lang w:val="es-MX" w:eastAsia="es-ES" w:bidi="es-ES"/>
        </w:rPr>
        <w:t xml:space="preserve">De conformidad con los argumentos de dicha providencia, se parte de la distinción entre los conceptos </w:t>
      </w:r>
      <w:r w:rsidRPr="00667CD6">
        <w:rPr>
          <w:rFonts w:ascii="Verdana" w:hAnsi="Verdana" w:eastAsia="Arial"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667CD6">
        <w:rPr>
          <w:rFonts w:ascii="Verdana" w:hAnsi="Verdana" w:eastAsia="Arial"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hAnsi="Verdana" w:eastAsia="Arial" w:cs="Arial"/>
          <w:sz w:val="20"/>
          <w:lang w:eastAsia="es-ES" w:bidi="es-ES"/>
        </w:rPr>
        <w:t xml:space="preserve">Por tal motivo, para efectos de decretar la medida de suspensión provisional de los apartes señalados del numeral 16.2 de la Circular Externa Única, argumentó que </w:t>
      </w:r>
      <w:r w:rsidRPr="00667CD6">
        <w:rPr>
          <w:rFonts w:ascii="Verdana" w:hAnsi="Verdana" w:eastAsia="Arial"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rsidR="003218F0" w:rsidP="003218F0" w:rsidRDefault="003218F0" w14:paraId="51DDDE4F" w14:textId="77777777">
      <w:pPr>
        <w:spacing w:after="0" w:line="240" w:lineRule="auto"/>
        <w:rPr>
          <w:rFonts w:ascii="Verdana" w:hAnsi="Verdana" w:eastAsia="Geomanist Light" w:cs="Arial"/>
          <w:color w:val="000000" w:themeColor="text1"/>
          <w:lang w:val="es-ES_tradnl"/>
        </w:rPr>
      </w:pPr>
    </w:p>
    <w:p w:rsidR="003218F0" w:rsidP="00C15139" w:rsidRDefault="003218F0" w14:paraId="4DFE4696" w14:textId="77777777">
      <w:pPr>
        <w:spacing w:after="0"/>
        <w:rPr>
          <w:rFonts w:ascii="Verdana" w:hAnsi="Verdana"/>
          <w:lang w:val="es-ES_tradnl"/>
        </w:rPr>
      </w:pPr>
    </w:p>
    <w:p w:rsidR="003218F0" w:rsidP="00C15139" w:rsidRDefault="003218F0" w14:paraId="1E59DF5A" w14:textId="77777777">
      <w:pPr>
        <w:spacing w:after="0"/>
        <w:rPr>
          <w:rFonts w:ascii="Verdana" w:hAnsi="Verdana"/>
          <w:lang w:val="es-ES_tradnl"/>
        </w:rPr>
      </w:pPr>
    </w:p>
    <w:p w:rsidR="003218F0" w:rsidP="00C15139" w:rsidRDefault="003218F0" w14:paraId="68625434" w14:textId="77777777">
      <w:pPr>
        <w:spacing w:after="0"/>
        <w:rPr>
          <w:rFonts w:ascii="Verdana" w:hAnsi="Verdana"/>
          <w:lang w:val="es-ES_tradnl"/>
        </w:rPr>
      </w:pPr>
    </w:p>
    <w:p w:rsidR="003218F0" w:rsidP="00C15139" w:rsidRDefault="003218F0" w14:paraId="3D4947CF" w14:textId="77777777">
      <w:pPr>
        <w:spacing w:after="0"/>
        <w:rPr>
          <w:rFonts w:ascii="Verdana" w:hAnsi="Verdana"/>
          <w:lang w:val="es-ES_tradnl"/>
        </w:rPr>
      </w:pPr>
    </w:p>
    <w:p w:rsidR="003218F0" w:rsidP="00C15139" w:rsidRDefault="003218F0" w14:paraId="2F53C490" w14:textId="77777777">
      <w:pPr>
        <w:spacing w:after="0"/>
        <w:rPr>
          <w:rFonts w:ascii="Verdana" w:hAnsi="Verdana"/>
          <w:lang w:val="es-ES_tradnl"/>
        </w:rPr>
      </w:pPr>
    </w:p>
    <w:p w:rsidR="003218F0" w:rsidP="00C15139" w:rsidRDefault="003218F0" w14:paraId="4DE614E9" w14:textId="77777777">
      <w:pPr>
        <w:spacing w:after="0"/>
        <w:rPr>
          <w:rFonts w:ascii="Verdana" w:hAnsi="Verdana"/>
          <w:lang w:val="es-ES_tradnl"/>
        </w:rPr>
      </w:pPr>
    </w:p>
    <w:p w:rsidR="003218F0" w:rsidP="00C15139" w:rsidRDefault="003218F0" w14:paraId="05F2839A" w14:textId="77777777">
      <w:pPr>
        <w:spacing w:after="0"/>
        <w:rPr>
          <w:rFonts w:ascii="Verdana" w:hAnsi="Verdana"/>
          <w:lang w:val="es-ES_tradnl"/>
        </w:rPr>
      </w:pPr>
    </w:p>
    <w:p w:rsidR="003218F0" w:rsidP="00C15139" w:rsidRDefault="003218F0" w14:paraId="673A59C1" w14:textId="77777777">
      <w:pPr>
        <w:spacing w:after="0"/>
        <w:rPr>
          <w:rFonts w:ascii="Verdana" w:hAnsi="Verdana"/>
          <w:lang w:val="es-ES_tradnl"/>
        </w:rPr>
      </w:pPr>
    </w:p>
    <w:p w:rsidRPr="003218F0" w:rsidR="003218F0" w:rsidP="00C15139" w:rsidRDefault="003218F0" w14:paraId="7F9FCA1B" w14:textId="77777777">
      <w:pPr>
        <w:spacing w:after="0"/>
        <w:rPr>
          <w:rFonts w:ascii="Verdana" w:hAnsi="Verdana"/>
          <w:lang w:val="es-ES_tradnl"/>
        </w:rPr>
      </w:pPr>
    </w:p>
    <w:p w:rsidR="003218F0" w:rsidP="00C15139" w:rsidRDefault="003218F0" w14:paraId="653B8E3D" w14:textId="77777777">
      <w:pPr>
        <w:spacing w:after="0"/>
        <w:rPr>
          <w:rFonts w:ascii="Verdana" w:hAnsi="Verdana"/>
        </w:rPr>
      </w:pPr>
    </w:p>
    <w:p w:rsidR="00C15139" w:rsidP="00C15139" w:rsidRDefault="00C15139" w14:paraId="12443EE0" w14:textId="2EE6BF09">
      <w:pPr>
        <w:spacing w:after="0"/>
        <w:rPr>
          <w:rFonts w:ascii="Verdana" w:hAnsi="Verdana"/>
        </w:rPr>
      </w:pPr>
      <w:r w:rsidRPr="00667CD6">
        <w:rPr>
          <w:rFonts w:ascii="Verdana" w:hAnsi="Verdana"/>
        </w:rPr>
        <w:lastRenderedPageBreak/>
        <w:t xml:space="preserve">Bogotá D.C., </w:t>
      </w:r>
      <w:r w:rsidR="003218F0">
        <w:rPr>
          <w:rFonts w:ascii="Verdana" w:hAnsi="Verdana"/>
        </w:rPr>
        <w:t>21 de noviembre del 2025</w:t>
      </w:r>
      <w:r w:rsidRPr="00667CD6">
        <w:rPr>
          <w:rFonts w:ascii="Verdana" w:hAnsi="Verdana"/>
        </w:rPr>
        <w:br/>
      </w:r>
      <w:r w:rsidRPr="00667CD6">
        <w:rPr>
          <w:rFonts w:ascii="Verdana" w:hAnsi="Verdana"/>
        </w:rPr>
        <w:tab/>
      </w:r>
    </w:p>
    <w:p w:rsidRPr="00667CD6" w:rsidR="003B0D35" w:rsidP="003B0D35" w:rsidRDefault="003B0D35" w14:paraId="6BF8E151" w14:textId="10B7D25F">
      <w:pPr>
        <w:spacing w:after="0"/>
        <w:jc w:val="right"/>
        <w:rPr>
          <w:rFonts w:ascii="Verdana" w:hAnsi="Verdana"/>
        </w:rPr>
      </w:pPr>
      <w:r w:rsidRPr="003B0D35">
        <w:rPr>
          <w:rFonts w:ascii="Verdana" w:hAnsi="Verdana"/>
        </w:rPr>
        <w:drawing>
          <wp:inline distT="0" distB="0" distL="0" distR="0" wp14:anchorId="770E3AF5" wp14:editId="33F695D9">
            <wp:extent cx="2867025" cy="704850"/>
            <wp:effectExtent l="0" t="0" r="9525" b="0"/>
            <wp:docPr id="145070211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702110" name="Imagen 1" descr="Texto&#10;&#10;El contenido generado por IA puede ser incorrecto."/>
                    <pic:cNvPicPr/>
                  </pic:nvPicPr>
                  <pic:blipFill>
                    <a:blip r:embed="rId11"/>
                    <a:stretch>
                      <a:fillRect/>
                    </a:stretch>
                  </pic:blipFill>
                  <pic:spPr>
                    <a:xfrm>
                      <a:off x="0" y="0"/>
                      <a:ext cx="2867429" cy="704949"/>
                    </a:xfrm>
                    <a:prstGeom prst="rect">
                      <a:avLst/>
                    </a:prstGeom>
                  </pic:spPr>
                </pic:pic>
              </a:graphicData>
            </a:graphic>
          </wp:inline>
        </w:drawing>
      </w:r>
    </w:p>
    <w:bookmarkEnd w:id="0"/>
    <w:p w:rsidRPr="00667CD6" w:rsidR="008E6289" w:rsidP="008E6289" w:rsidRDefault="008E6289" w14:paraId="6441A0CB" w14:textId="2B6BAC78">
      <w:pPr>
        <w:spacing w:after="0" w:line="240" w:lineRule="auto"/>
        <w:jc w:val="both"/>
        <w:rPr>
          <w:rFonts w:ascii="Verdana" w:hAnsi="Verdana" w:eastAsia="Calibri" w:cs="Arial"/>
          <w:lang w:val="es-ES" w:eastAsia="es-ES"/>
        </w:rPr>
      </w:pPr>
      <w:r w:rsidRPr="00667CD6">
        <w:rPr>
          <w:rFonts w:ascii="Verdana" w:hAnsi="Verdana" w:eastAsia="Calibri" w:cs="Arial"/>
          <w:lang w:val="es-ES" w:eastAsia="es-ES"/>
        </w:rPr>
        <w:t>Señor</w:t>
      </w:r>
    </w:p>
    <w:p w:rsidRPr="00667CD6" w:rsidR="008E6289" w:rsidP="008E6289" w:rsidRDefault="00AA0199" w14:paraId="44C288F4" w14:textId="659A0907">
      <w:pPr>
        <w:spacing w:after="0" w:line="240" w:lineRule="auto"/>
        <w:rPr>
          <w:rFonts w:ascii="Verdana" w:hAnsi="Verdana" w:eastAsia="Calibri" w:cs="Arial"/>
          <w:b/>
          <w:bCs/>
          <w:lang w:val="es-ES" w:eastAsia="es-ES"/>
        </w:rPr>
      </w:pPr>
      <w:proofErr w:type="spellStart"/>
      <w:r w:rsidRPr="00667CD6">
        <w:rPr>
          <w:rFonts w:ascii="Verdana" w:hAnsi="Verdana" w:eastAsia="Calibri" w:cs="Arial"/>
          <w:b/>
          <w:bCs/>
          <w:lang w:val="es-ES" w:eastAsia="es-ES"/>
        </w:rPr>
        <w:t>Dawer</w:t>
      </w:r>
      <w:proofErr w:type="spellEnd"/>
      <w:r w:rsidRPr="00667CD6">
        <w:rPr>
          <w:rFonts w:ascii="Verdana" w:hAnsi="Verdana" w:eastAsia="Calibri" w:cs="Arial"/>
          <w:b/>
          <w:bCs/>
          <w:lang w:val="es-ES" w:eastAsia="es-ES"/>
        </w:rPr>
        <w:t xml:space="preserve"> Rivera Zamudio </w:t>
      </w:r>
    </w:p>
    <w:p w:rsidRPr="00667CD6" w:rsidR="00163372" w:rsidP="008E6289" w:rsidRDefault="00163372" w14:paraId="4B659021" w14:textId="16D30948">
      <w:pPr>
        <w:spacing w:after="0" w:line="240" w:lineRule="auto"/>
        <w:rPr>
          <w:rFonts w:ascii="Verdana" w:hAnsi="Verdana"/>
        </w:rPr>
      </w:pPr>
      <w:hyperlink w:history="1" r:id="rId12">
        <w:r w:rsidRPr="00667CD6">
          <w:rPr>
            <w:rStyle w:val="Hipervnculo"/>
            <w:rFonts w:ascii="Verdana" w:hAnsi="Verdana"/>
          </w:rPr>
          <w:t>dawer.rivera@gmail.com</w:t>
        </w:r>
      </w:hyperlink>
    </w:p>
    <w:p w:rsidRPr="00667CD6" w:rsidR="008E6289" w:rsidP="008E6289" w:rsidRDefault="00091B99" w14:paraId="62334A0A" w14:textId="2DD17FE9">
      <w:pPr>
        <w:spacing w:after="0" w:line="240" w:lineRule="auto"/>
        <w:rPr>
          <w:rFonts w:ascii="Verdana" w:hAnsi="Verdana" w:eastAsia="Calibri" w:cs="Arial"/>
          <w:b/>
          <w:bCs/>
          <w:lang w:val="es-ES" w:eastAsia="es-ES"/>
        </w:rPr>
      </w:pPr>
      <w:r w:rsidRPr="00667CD6">
        <w:rPr>
          <w:rFonts w:ascii="Verdana" w:hAnsi="Verdana" w:eastAsia="Calibri" w:cs="Arial"/>
          <w:lang w:val="es-ES" w:eastAsia="es-ES"/>
        </w:rPr>
        <w:t>Garagoa</w:t>
      </w:r>
      <w:r w:rsidRPr="00667CD6" w:rsidR="008E6289">
        <w:rPr>
          <w:rFonts w:ascii="Verdana" w:hAnsi="Verdana" w:eastAsia="Calibri" w:cs="Arial"/>
          <w:lang w:val="es-ES" w:eastAsia="es-ES"/>
        </w:rPr>
        <w:t xml:space="preserve">, </w:t>
      </w:r>
      <w:r w:rsidRPr="00667CD6" w:rsidR="00AA0199">
        <w:rPr>
          <w:rFonts w:ascii="Verdana" w:hAnsi="Verdana" w:eastAsia="Calibri" w:cs="Arial"/>
          <w:lang w:val="es-ES" w:eastAsia="es-ES"/>
        </w:rPr>
        <w:t>Boyacá</w:t>
      </w:r>
    </w:p>
    <w:p w:rsidRPr="00667CD6" w:rsidR="008E6289" w:rsidP="008E6289" w:rsidRDefault="008E6289" w14:paraId="64AC474F" w14:textId="77777777">
      <w:pPr>
        <w:spacing w:after="0" w:line="240" w:lineRule="auto"/>
        <w:rPr>
          <w:rFonts w:ascii="Verdana" w:hAnsi="Verdana" w:eastAsia="Calibri" w:cs="Arial"/>
          <w:b/>
          <w:bCs/>
          <w:highlight w:val="cyan"/>
          <w:lang w:val="es-ES_tradnl" w:eastAsia="es-ES_tradnl"/>
        </w:rPr>
      </w:pPr>
    </w:p>
    <w:p w:rsidRPr="00667CD6" w:rsidR="008E6289" w:rsidP="008E6289" w:rsidRDefault="008E6289" w14:paraId="40388E32" w14:textId="77777777">
      <w:pPr>
        <w:spacing w:after="0" w:line="240" w:lineRule="auto"/>
        <w:rPr>
          <w:rFonts w:ascii="Verdana" w:hAnsi="Verdana" w:eastAsia="Calibri" w:cs="Arial"/>
          <w:b/>
          <w:bCs/>
          <w:highlight w:val="cyan"/>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667CD6" w:rsidR="008E6289" w14:paraId="60D72B3D" w14:textId="77777777">
        <w:trPr>
          <w:trHeight w:val="580"/>
        </w:trPr>
        <w:tc>
          <w:tcPr>
            <w:tcW w:w="2689" w:type="dxa"/>
          </w:tcPr>
          <w:p w:rsidRPr="00667CD6" w:rsidR="008E6289" w:rsidRDefault="008E6289" w14:paraId="54B3EE9A" w14:textId="77777777">
            <w:pPr>
              <w:jc w:val="both"/>
              <w:rPr>
                <w:rFonts w:ascii="Verdana" w:hAnsi="Verdana" w:eastAsia="Calibri" w:cs="Arial"/>
                <w:b/>
                <w:bCs/>
                <w:highlight w:val="cyan"/>
                <w:lang w:val="es-ES_tradnl" w:eastAsia="es-ES_tradnl"/>
              </w:rPr>
            </w:pPr>
          </w:p>
        </w:tc>
        <w:tc>
          <w:tcPr>
            <w:tcW w:w="6100" w:type="dxa"/>
          </w:tcPr>
          <w:p w:rsidRPr="00667CD6" w:rsidR="008E6289" w:rsidRDefault="008E6289" w14:paraId="15D56D01" w14:textId="526C66A2">
            <w:pPr>
              <w:jc w:val="both"/>
              <w:rPr>
                <w:rFonts w:ascii="Verdana" w:hAnsi="Verdana" w:eastAsia="Calibri" w:cs="Arial"/>
                <w:b/>
                <w:bCs/>
                <w:lang w:val="es-ES" w:eastAsia="es-ES"/>
              </w:rPr>
            </w:pPr>
            <w:r w:rsidRPr="00667CD6">
              <w:rPr>
                <w:rFonts w:ascii="Verdana" w:hAnsi="Verdana" w:eastAsia="Calibri" w:cs="Arial"/>
                <w:b/>
                <w:bCs/>
                <w:lang w:val="es-ES" w:eastAsia="es-ES"/>
              </w:rPr>
              <w:t xml:space="preserve">Concepto </w:t>
            </w:r>
            <w:r w:rsidRPr="00667CD6" w:rsidR="0062648F">
              <w:rPr>
                <w:rFonts w:ascii="Verdana" w:hAnsi="Verdana" w:eastAsia="Calibri" w:cs="Arial"/>
                <w:b/>
                <w:bCs/>
                <w:lang w:eastAsia="es-ES"/>
              </w:rPr>
              <w:t xml:space="preserve">C-1492 </w:t>
            </w:r>
            <w:r w:rsidRPr="00667CD6">
              <w:rPr>
                <w:rFonts w:ascii="Verdana" w:hAnsi="Verdana" w:eastAsia="Calibri" w:cs="Arial"/>
                <w:b/>
                <w:bCs/>
                <w:lang w:val="es-ES" w:eastAsia="es-ES"/>
              </w:rPr>
              <w:t>de 202</w:t>
            </w:r>
            <w:r w:rsidRPr="00667CD6" w:rsidR="0062648F">
              <w:rPr>
                <w:rFonts w:ascii="Verdana" w:hAnsi="Verdana" w:eastAsia="Calibri" w:cs="Arial"/>
                <w:b/>
                <w:bCs/>
                <w:lang w:val="es-ES" w:eastAsia="es-ES"/>
              </w:rPr>
              <w:t>5</w:t>
            </w:r>
          </w:p>
          <w:p w:rsidRPr="00667CD6" w:rsidR="008E6289" w:rsidRDefault="008E6289" w14:paraId="37C377C9" w14:textId="77777777">
            <w:pPr>
              <w:jc w:val="both"/>
              <w:rPr>
                <w:rFonts w:ascii="Verdana" w:hAnsi="Verdana" w:eastAsia="Calibri" w:cs="Arial"/>
                <w:b/>
                <w:bCs/>
                <w:lang w:val="es-ES" w:eastAsia="es-ES"/>
              </w:rPr>
            </w:pPr>
          </w:p>
        </w:tc>
      </w:tr>
      <w:tr w:rsidRPr="00667CD6" w:rsidR="008E6289" w14:paraId="552269DF" w14:textId="77777777">
        <w:trPr>
          <w:trHeight w:val="884"/>
        </w:trPr>
        <w:tc>
          <w:tcPr>
            <w:tcW w:w="2689" w:type="dxa"/>
          </w:tcPr>
          <w:p w:rsidRPr="00667CD6" w:rsidR="008E6289" w:rsidRDefault="008E6289" w14:paraId="39A2BF78" w14:textId="77777777">
            <w:pPr>
              <w:jc w:val="both"/>
              <w:rPr>
                <w:rFonts w:ascii="Verdana" w:hAnsi="Verdana" w:eastAsia="Calibri" w:cs="Arial"/>
                <w:highlight w:val="cyan"/>
                <w:lang w:val="es-ES_tradnl" w:eastAsia="es-ES_tradnl"/>
              </w:rPr>
            </w:pPr>
            <w:r w:rsidRPr="00667CD6">
              <w:rPr>
                <w:rFonts w:ascii="Verdana" w:hAnsi="Verdana" w:eastAsia="Calibri" w:cs="Arial"/>
                <w:b/>
                <w:lang w:val="es-ES_tradnl" w:eastAsia="es-ES_tradnl"/>
              </w:rPr>
              <w:t>Temas:</w:t>
            </w:r>
            <w:r w:rsidRPr="00667CD6">
              <w:rPr>
                <w:rFonts w:ascii="Verdana" w:hAnsi="Verdana" w:eastAsia="Calibri" w:cs="Arial"/>
                <w:lang w:val="es-ES_tradnl" w:eastAsia="es-ES_tradnl"/>
              </w:rPr>
              <w:t xml:space="preserve">                   </w:t>
            </w:r>
          </w:p>
        </w:tc>
        <w:tc>
          <w:tcPr>
            <w:tcW w:w="6100" w:type="dxa"/>
          </w:tcPr>
          <w:p w:rsidRPr="00667CD6" w:rsidR="000133E7" w:rsidP="009B7C34" w:rsidRDefault="000133E7" w14:paraId="6DF11794" w14:textId="72A23687">
            <w:pPr>
              <w:spacing w:after="160" w:line="276" w:lineRule="auto"/>
              <w:jc w:val="both"/>
              <w:rPr>
                <w:rFonts w:ascii="Verdana" w:hAnsi="Verdana" w:eastAsia="Arial" w:cs="Arial"/>
                <w:bCs/>
                <w:color w:val="000000" w:themeColor="text1"/>
              </w:rPr>
            </w:pPr>
            <w:r w:rsidRPr="00667CD6">
              <w:rPr>
                <w:rFonts w:ascii="Verdana" w:hAnsi="Verdana" w:cs="Arial"/>
                <w:lang w:val="es-ES" w:eastAsia="es-ES"/>
              </w:rPr>
              <w:t>LEY DE GARANTÍAS ELECTORALES – Finalidad / LEY DE GARANTÍAS ELECTORALES ‒ Restricciones ‒ Contratación ‒ Tipos de elección</w:t>
            </w:r>
            <w:r w:rsidR="00E76CA7">
              <w:rPr>
                <w:rFonts w:ascii="Verdana" w:hAnsi="Verdana" w:cs="Arial"/>
                <w:lang w:val="es-ES" w:eastAsia="es-ES"/>
              </w:rPr>
              <w:t xml:space="preserve"> /</w:t>
            </w:r>
            <w:r w:rsidRPr="00667CD6" w:rsidR="009B7C34">
              <w:rPr>
                <w:rFonts w:ascii="Verdana" w:hAnsi="Verdana" w:cs="Arial"/>
                <w:lang w:val="es-ES" w:eastAsia="es-ES"/>
              </w:rPr>
              <w:t xml:space="preserve"> </w:t>
            </w:r>
            <w:r w:rsidRPr="00667CD6" w:rsidR="009B7C34">
              <w:rPr>
                <w:rFonts w:ascii="Verdana" w:hAnsi="Verdana" w:cs="Arial"/>
                <w:lang w:val="es-MX" w:eastAsia="es-ES_tradnl"/>
              </w:rPr>
              <w:t>CONVENIOS INTERADMINISTRATIVOS – Criterio orgánico / CONTRATOS Y CONVENIOS INTERADMINISTRATIVOS – Circular Externa Única – Auto de suspensión</w:t>
            </w:r>
          </w:p>
        </w:tc>
      </w:tr>
      <w:tr w:rsidRPr="00667CD6" w:rsidR="008E6289" w:rsidTr="002F7C98" w14:paraId="268DA44C" w14:textId="77777777">
        <w:trPr>
          <w:trHeight w:val="296"/>
        </w:trPr>
        <w:tc>
          <w:tcPr>
            <w:tcW w:w="2689" w:type="dxa"/>
          </w:tcPr>
          <w:p w:rsidRPr="00667CD6" w:rsidR="008E6289" w:rsidRDefault="008E6289" w14:paraId="24447970" w14:textId="77777777">
            <w:pPr>
              <w:jc w:val="both"/>
              <w:rPr>
                <w:rFonts w:ascii="Verdana" w:hAnsi="Verdana" w:eastAsia="Calibri" w:cs="Arial"/>
                <w:b/>
                <w:lang w:val="es-ES_tradnl" w:eastAsia="es-ES_tradnl"/>
              </w:rPr>
            </w:pPr>
            <w:r w:rsidRPr="00667CD6">
              <w:rPr>
                <w:rFonts w:ascii="Verdana" w:hAnsi="Verdana" w:eastAsia="Calibri" w:cs="Arial"/>
                <w:b/>
                <w:lang w:val="es-ES_tradnl" w:eastAsia="es-ES_tradnl"/>
              </w:rPr>
              <w:t>Radicación:</w:t>
            </w:r>
            <w:r w:rsidRPr="00667CD6">
              <w:rPr>
                <w:rFonts w:ascii="Verdana" w:hAnsi="Verdana" w:eastAsia="Calibri" w:cs="Arial"/>
                <w:lang w:val="es-ES_tradnl" w:eastAsia="es-ES_tradnl"/>
              </w:rPr>
              <w:t xml:space="preserve">               </w:t>
            </w:r>
          </w:p>
        </w:tc>
        <w:tc>
          <w:tcPr>
            <w:tcW w:w="6100" w:type="dxa"/>
          </w:tcPr>
          <w:p w:rsidRPr="00667CD6" w:rsidR="008E6289" w:rsidRDefault="008E6289" w14:paraId="71F386F7" w14:textId="126A5938">
            <w:pPr>
              <w:jc w:val="both"/>
              <w:rPr>
                <w:rFonts w:ascii="Verdana" w:hAnsi="Verdana" w:eastAsia="Calibri" w:cs="Arial"/>
                <w:lang w:val="es-ES_tradnl" w:eastAsia="es-ES_tradnl"/>
              </w:rPr>
            </w:pPr>
            <w:r w:rsidRPr="00667CD6">
              <w:rPr>
                <w:rFonts w:ascii="Verdana" w:hAnsi="Verdana" w:eastAsia="Calibri" w:cs="Arial"/>
                <w:lang w:val="es-ES_tradnl" w:eastAsia="es-ES_tradnl"/>
              </w:rPr>
              <w:t xml:space="preserve">Respuesta a consulta con radicado No. </w:t>
            </w:r>
            <w:r w:rsidRPr="00667CD6" w:rsidR="002F7C98">
              <w:rPr>
                <w:rFonts w:ascii="Verdana" w:hAnsi="Verdana" w:eastAsia="Calibri" w:cs="Arial"/>
                <w:lang w:eastAsia="es-ES_tradnl"/>
              </w:rPr>
              <w:t>1_2025_10_13_011445</w:t>
            </w:r>
            <w:r w:rsidRPr="00667CD6">
              <w:rPr>
                <w:rFonts w:ascii="Verdana" w:hAnsi="Verdana" w:eastAsia="Calibri" w:cs="Arial"/>
                <w:lang w:eastAsia="es-ES_tradnl"/>
              </w:rPr>
              <w:t>.</w:t>
            </w:r>
          </w:p>
        </w:tc>
      </w:tr>
    </w:tbl>
    <w:p w:rsidRPr="00667CD6" w:rsidR="008E6289" w:rsidP="008E6289" w:rsidRDefault="008E6289" w14:paraId="22E4C71C" w14:textId="77777777">
      <w:pPr>
        <w:spacing w:after="0" w:line="240" w:lineRule="auto"/>
        <w:jc w:val="both"/>
        <w:rPr>
          <w:rFonts w:ascii="Verdana" w:hAnsi="Verdana" w:eastAsia="Calibri" w:cs="Arial"/>
          <w:highlight w:val="cyan"/>
          <w:lang w:val="es-ES_tradnl" w:eastAsia="es-ES_tradnl"/>
        </w:rPr>
      </w:pPr>
    </w:p>
    <w:p w:rsidRPr="00667CD6" w:rsidR="008E6289" w:rsidP="008E6289" w:rsidRDefault="008E6289" w14:paraId="3DB74C4C" w14:textId="77777777">
      <w:pPr>
        <w:spacing w:after="0" w:line="240" w:lineRule="auto"/>
        <w:jc w:val="both"/>
        <w:rPr>
          <w:rFonts w:ascii="Verdana" w:hAnsi="Verdana" w:eastAsia="Calibri" w:cs="Arial"/>
          <w:highlight w:val="cyan"/>
          <w:lang w:val="es-ES_tradnl" w:eastAsia="es-ES_tradnl"/>
        </w:rPr>
      </w:pPr>
    </w:p>
    <w:p w:rsidRPr="00667CD6" w:rsidR="008E6289" w:rsidP="008E6289" w:rsidRDefault="008E6289" w14:paraId="3BF6D241" w14:textId="6AE8A3E4">
      <w:pPr>
        <w:spacing w:after="0" w:line="276" w:lineRule="auto"/>
        <w:jc w:val="both"/>
        <w:rPr>
          <w:rFonts w:ascii="Verdana" w:hAnsi="Verdana" w:eastAsia="Calibri" w:cs="Arial"/>
          <w:lang w:val="es-ES" w:eastAsia="es-ES"/>
        </w:rPr>
      </w:pPr>
      <w:r w:rsidRPr="00667CD6">
        <w:rPr>
          <w:rFonts w:ascii="Verdana" w:hAnsi="Verdana" w:eastAsia="Calibri" w:cs="Arial"/>
          <w:lang w:val="es-ES" w:eastAsia="es-ES"/>
        </w:rPr>
        <w:t>Estimad</w:t>
      </w:r>
      <w:r w:rsidRPr="00667CD6" w:rsidR="00AA0199">
        <w:rPr>
          <w:rFonts w:ascii="Verdana" w:hAnsi="Verdana" w:eastAsia="Calibri" w:cs="Arial"/>
          <w:lang w:val="es-ES" w:eastAsia="es-ES"/>
        </w:rPr>
        <w:t>o</w:t>
      </w:r>
      <w:r w:rsidRPr="00667CD6">
        <w:rPr>
          <w:rFonts w:ascii="Verdana" w:hAnsi="Verdana" w:eastAsia="Calibri" w:cs="Arial"/>
          <w:lang w:val="es-ES" w:eastAsia="es-ES"/>
        </w:rPr>
        <w:t xml:space="preserve"> señor </w:t>
      </w:r>
      <w:r w:rsidRPr="00667CD6" w:rsidR="00AA0199">
        <w:rPr>
          <w:rFonts w:ascii="Verdana" w:hAnsi="Verdana" w:eastAsia="Calibri" w:cs="Arial"/>
          <w:lang w:val="es-ES" w:eastAsia="es-ES"/>
        </w:rPr>
        <w:t>Rivera</w:t>
      </w:r>
      <w:r w:rsidRPr="00667CD6">
        <w:rPr>
          <w:rFonts w:ascii="Verdana" w:hAnsi="Verdana" w:eastAsia="Calibri" w:cs="Arial"/>
          <w:lang w:val="es-ES" w:eastAsia="es-ES"/>
        </w:rPr>
        <w:t xml:space="preserve">: </w:t>
      </w:r>
    </w:p>
    <w:p w:rsidRPr="00667CD6" w:rsidR="00127233" w:rsidP="008E6289" w:rsidRDefault="00127233" w14:paraId="0F293BF4" w14:textId="65E6D9E2">
      <w:pPr>
        <w:spacing w:after="0"/>
        <w:rPr>
          <w:rFonts w:ascii="Verdana" w:hAnsi="Verdana" w:eastAsia="Times New Roman" w:cs="Segoe UI"/>
          <w:lang w:eastAsia="es-CO"/>
        </w:rPr>
      </w:pPr>
    </w:p>
    <w:p w:rsidRPr="00667CD6" w:rsidR="00EC541D" w:rsidP="00EC541D" w:rsidRDefault="00EC541D" w14:paraId="67589BBA" w14:textId="1084D52D">
      <w:pPr>
        <w:spacing w:after="0" w:line="276" w:lineRule="auto"/>
        <w:jc w:val="both"/>
        <w:rPr>
          <w:rFonts w:ascii="Verdana" w:hAnsi="Verdana" w:eastAsia="Calibri" w:cs="Arial"/>
          <w:lang w:val="es-ES" w:eastAsia="es-ES"/>
        </w:rPr>
      </w:pPr>
      <w:r w:rsidRPr="00667CD6">
        <w:rPr>
          <w:rFonts w:ascii="Verdana" w:hAnsi="Verdana" w:eastAsia="Calibri" w:cs="Arial"/>
          <w:lang w:val="es-ES" w:eastAsia="es-ES"/>
        </w:rPr>
        <w:t>En ejercicio de la competencia otorgada por los artículos 3, numeral 5º, y 11, numeral 8º, del Decreto Ley 4170 de 2011,</w:t>
      </w:r>
      <w:r w:rsidRPr="00667CD6">
        <w:rPr>
          <w:rFonts w:ascii="Verdana" w:hAnsi="Verdana" w:eastAsia="Arial MT" w:cs="Arial MT"/>
          <w:lang w:val="es-ES" w:eastAsia="es-ES"/>
        </w:rPr>
        <w:t xml:space="preserve"> </w:t>
      </w:r>
      <w:r w:rsidRPr="00667CD6">
        <w:rPr>
          <w:rFonts w:ascii="Verdana" w:hAnsi="Verdana" w:cs="Arial"/>
        </w:rPr>
        <w:t xml:space="preserve">así como lo establecido en el artículo 4 de la Resolución 1707 de 2018 expedida por esta Entidad, </w:t>
      </w:r>
      <w:r w:rsidRPr="00667CD6">
        <w:rPr>
          <w:rFonts w:ascii="Verdana" w:hAnsi="Verdana" w:eastAsia="Calibri" w:cs="Arial"/>
          <w:lang w:val="es-ES" w:eastAsia="es-ES"/>
        </w:rPr>
        <w:t xml:space="preserve">la Agencia Nacional de Contratación Pública – Colombia Compra Eficiente– responde su solicitud de consulta de fecha </w:t>
      </w:r>
      <w:r w:rsidRPr="00667CD6" w:rsidR="00431043">
        <w:rPr>
          <w:rFonts w:ascii="Verdana" w:hAnsi="Verdana" w:eastAsia="Calibri" w:cs="Arial"/>
          <w:lang w:val="es-ES" w:eastAsia="es-ES"/>
        </w:rPr>
        <w:t>13 de octubre del 2025</w:t>
      </w:r>
      <w:r w:rsidRPr="00667CD6">
        <w:rPr>
          <w:rFonts w:ascii="Verdana" w:hAnsi="Verdana" w:eastAsia="Calibri" w:cs="Arial"/>
          <w:lang w:val="es-ES" w:eastAsia="es-ES"/>
        </w:rPr>
        <w:t xml:space="preserve">, en la cual manifiesta lo siguiente: </w:t>
      </w:r>
    </w:p>
    <w:p w:rsidRPr="00667CD6" w:rsidR="00EC541D" w:rsidP="00EC541D" w:rsidRDefault="00EC541D" w14:paraId="4D5B1DC3" w14:textId="77777777">
      <w:pPr>
        <w:spacing w:after="0"/>
        <w:jc w:val="both"/>
        <w:rPr>
          <w:rFonts w:ascii="Verdana" w:hAnsi="Verdana"/>
          <w:highlight w:val="cyan"/>
        </w:rPr>
      </w:pPr>
    </w:p>
    <w:p w:rsidRPr="00667CD6" w:rsidR="00EC541D" w:rsidP="00273144" w:rsidRDefault="00EC541D" w14:paraId="3B91B0F6" w14:textId="3E3D1590">
      <w:pPr>
        <w:spacing w:after="0" w:line="240" w:lineRule="auto"/>
        <w:ind w:left="709" w:right="709"/>
        <w:jc w:val="both"/>
        <w:rPr>
          <w:rFonts w:ascii="Verdana" w:hAnsi="Verdana" w:eastAsia="Century Gothic" w:cs="Century Gothic"/>
          <w:sz w:val="20"/>
          <w:szCs w:val="20"/>
          <w:lang w:val="es-ES"/>
        </w:rPr>
      </w:pPr>
      <w:bookmarkStart w:name="_Hlk95313578" w:id="1"/>
      <w:r w:rsidRPr="00667CD6">
        <w:rPr>
          <w:rFonts w:ascii="Verdana" w:hAnsi="Verdana" w:eastAsia="Century Gothic" w:cs="Century Gothic"/>
          <w:sz w:val="20"/>
          <w:szCs w:val="20"/>
          <w:lang w:val="es-ES"/>
        </w:rPr>
        <w:t xml:space="preserve">“[…] </w:t>
      </w:r>
      <w:r w:rsidRPr="00667CD6" w:rsidR="00640D62">
        <w:rPr>
          <w:rFonts w:ascii="Verdana" w:hAnsi="Verdana" w:eastAsia="Century Gothic" w:cs="Century Gothic"/>
          <w:sz w:val="20"/>
          <w:szCs w:val="20"/>
          <w:lang w:val="es-ES"/>
        </w:rPr>
        <w:t>Se solicita orientación sobre la correcta aplicación del parágrafo del artículo 38 de la Ley 996 de 2005 respecto a la suscripción de instrumentos interadministrativos que implican ejecución de recursos públicos durante la vigencia de las restricciones preelectorales. En particular, se requiere precisar si la prohibición aplica únicamente a los convenios interadministrativos o también a los contratos interadministrativos suscritos por contratación directa. Un Municipio</w:t>
      </w:r>
      <w:r w:rsidRPr="00667CD6" w:rsidR="00273144">
        <w:rPr>
          <w:rFonts w:ascii="Verdana" w:hAnsi="Verdana" w:eastAsia="Century Gothic" w:cs="Century Gothic"/>
          <w:sz w:val="20"/>
          <w:szCs w:val="20"/>
          <w:lang w:val="es-ES"/>
        </w:rPr>
        <w:t xml:space="preserve"> </w:t>
      </w:r>
      <w:r w:rsidRPr="00667CD6" w:rsidR="00640D62">
        <w:rPr>
          <w:rFonts w:ascii="Verdana" w:hAnsi="Verdana" w:eastAsia="Century Gothic" w:cs="Century Gothic"/>
          <w:sz w:val="20"/>
          <w:szCs w:val="20"/>
          <w:lang w:val="es-ES"/>
        </w:rPr>
        <w:t xml:space="preserve">proyecta: (i) un convenio </w:t>
      </w:r>
      <w:r w:rsidRPr="00667CD6" w:rsidR="00640D62">
        <w:rPr>
          <w:rFonts w:ascii="Verdana" w:hAnsi="Verdana" w:eastAsia="Century Gothic" w:cs="Century Gothic"/>
          <w:sz w:val="20"/>
          <w:szCs w:val="20"/>
          <w:lang w:val="es-ES"/>
        </w:rPr>
        <w:lastRenderedPageBreak/>
        <w:t>(interadministrativo) con la ESP para la transferencia de</w:t>
      </w:r>
      <w:r w:rsidRPr="00667CD6" w:rsidR="00273144">
        <w:rPr>
          <w:rFonts w:ascii="Verdana" w:hAnsi="Verdana" w:eastAsia="Century Gothic" w:cs="Century Gothic"/>
          <w:sz w:val="20"/>
          <w:szCs w:val="20"/>
          <w:lang w:val="es-ES"/>
        </w:rPr>
        <w:t xml:space="preserve"> </w:t>
      </w:r>
      <w:r w:rsidRPr="00667CD6" w:rsidR="00640D62">
        <w:rPr>
          <w:rFonts w:ascii="Verdana" w:hAnsi="Verdana" w:eastAsia="Century Gothic" w:cs="Century Gothic"/>
          <w:sz w:val="20"/>
          <w:szCs w:val="20"/>
          <w:lang w:val="es-ES"/>
        </w:rPr>
        <w:t>subsidios, (</w:t>
      </w:r>
      <w:proofErr w:type="spellStart"/>
      <w:r w:rsidRPr="00667CD6" w:rsidR="00640D62">
        <w:rPr>
          <w:rFonts w:ascii="Verdana" w:hAnsi="Verdana" w:eastAsia="Century Gothic" w:cs="Century Gothic"/>
          <w:sz w:val="20"/>
          <w:szCs w:val="20"/>
          <w:lang w:val="es-ES"/>
        </w:rPr>
        <w:t>ii</w:t>
      </w:r>
      <w:proofErr w:type="spellEnd"/>
      <w:r w:rsidRPr="00667CD6" w:rsidR="00640D62">
        <w:rPr>
          <w:rFonts w:ascii="Verdana" w:hAnsi="Verdana" w:eastAsia="Century Gothic" w:cs="Century Gothic"/>
          <w:sz w:val="20"/>
          <w:szCs w:val="20"/>
          <w:lang w:val="es-ES"/>
        </w:rPr>
        <w:t>) un contrato interadministrativo con la ESP para el mantenimiento de</w:t>
      </w:r>
      <w:r w:rsidRPr="00667CD6" w:rsidR="00273144">
        <w:rPr>
          <w:rFonts w:ascii="Verdana" w:hAnsi="Verdana" w:eastAsia="Century Gothic" w:cs="Century Gothic"/>
          <w:sz w:val="20"/>
          <w:szCs w:val="20"/>
          <w:lang w:val="es-ES"/>
        </w:rPr>
        <w:t xml:space="preserve"> </w:t>
      </w:r>
      <w:r w:rsidRPr="00667CD6" w:rsidR="00640D62">
        <w:rPr>
          <w:rFonts w:ascii="Verdana" w:hAnsi="Verdana" w:eastAsia="Century Gothic" w:cs="Century Gothic"/>
          <w:sz w:val="20"/>
          <w:szCs w:val="20"/>
          <w:lang w:val="es-ES"/>
        </w:rPr>
        <w:t>zonas verdes y (</w:t>
      </w:r>
      <w:proofErr w:type="spellStart"/>
      <w:r w:rsidRPr="00667CD6" w:rsidR="00640D62">
        <w:rPr>
          <w:rFonts w:ascii="Verdana" w:hAnsi="Verdana" w:eastAsia="Century Gothic" w:cs="Century Gothic"/>
          <w:sz w:val="20"/>
          <w:szCs w:val="20"/>
          <w:lang w:val="es-ES"/>
        </w:rPr>
        <w:t>iii</w:t>
      </w:r>
      <w:proofErr w:type="spellEnd"/>
      <w:r w:rsidRPr="00667CD6" w:rsidR="00640D62">
        <w:rPr>
          <w:rFonts w:ascii="Verdana" w:hAnsi="Verdana" w:eastAsia="Century Gothic" w:cs="Century Gothic"/>
          <w:sz w:val="20"/>
          <w:szCs w:val="20"/>
          <w:lang w:val="es-ES"/>
        </w:rPr>
        <w:t>) un contrato interadministrativo con la ESE para la ejecución del</w:t>
      </w:r>
      <w:r w:rsidRPr="00667CD6" w:rsidR="00273144">
        <w:rPr>
          <w:rFonts w:ascii="Verdana" w:hAnsi="Verdana" w:eastAsia="Century Gothic" w:cs="Century Gothic"/>
          <w:sz w:val="20"/>
          <w:szCs w:val="20"/>
          <w:lang w:val="es-ES"/>
        </w:rPr>
        <w:t xml:space="preserve"> </w:t>
      </w:r>
      <w:r w:rsidRPr="00667CD6" w:rsidR="00640D62">
        <w:rPr>
          <w:rFonts w:ascii="Verdana" w:hAnsi="Verdana" w:eastAsia="Century Gothic" w:cs="Century Gothic"/>
          <w:sz w:val="20"/>
          <w:szCs w:val="20"/>
          <w:lang w:val="es-ES"/>
        </w:rPr>
        <w:t xml:space="preserve">PIC. Se solicita </w:t>
      </w:r>
      <w:r w:rsidRPr="00667CD6" w:rsidR="00273144">
        <w:rPr>
          <w:rFonts w:ascii="Verdana" w:hAnsi="Verdana" w:eastAsia="Century Gothic" w:cs="Century Gothic"/>
          <w:sz w:val="20"/>
          <w:szCs w:val="20"/>
          <w:lang w:val="es-ES"/>
        </w:rPr>
        <w:t>conceptuar</w:t>
      </w:r>
      <w:r w:rsidRPr="00667CD6" w:rsidR="00640D62">
        <w:rPr>
          <w:rFonts w:ascii="Verdana" w:hAnsi="Verdana" w:eastAsia="Century Gothic" w:cs="Century Gothic"/>
          <w:sz w:val="20"/>
          <w:szCs w:val="20"/>
          <w:lang w:val="es-ES"/>
        </w:rPr>
        <w:t xml:space="preserve"> si dichos instrumentos pueden celebrarse después del</w:t>
      </w:r>
      <w:r w:rsidRPr="00667CD6" w:rsidR="00273144">
        <w:rPr>
          <w:rFonts w:ascii="Verdana" w:hAnsi="Verdana" w:eastAsia="Century Gothic" w:cs="Century Gothic"/>
          <w:sz w:val="20"/>
          <w:szCs w:val="20"/>
          <w:lang w:val="es-ES"/>
        </w:rPr>
        <w:t xml:space="preserve"> </w:t>
      </w:r>
      <w:r w:rsidRPr="00667CD6" w:rsidR="00640D62">
        <w:rPr>
          <w:rFonts w:ascii="Verdana" w:hAnsi="Verdana" w:eastAsia="Century Gothic" w:cs="Century Gothic"/>
          <w:sz w:val="20"/>
          <w:szCs w:val="20"/>
          <w:lang w:val="es-ES"/>
        </w:rPr>
        <w:t>8 de noviembre de 2025, atendiendo el Auto Consejo de Estado - 4 de octubre de</w:t>
      </w:r>
      <w:r w:rsidRPr="00667CD6" w:rsidR="00273144">
        <w:rPr>
          <w:rFonts w:ascii="Verdana" w:hAnsi="Verdana" w:eastAsia="Century Gothic" w:cs="Century Gothic"/>
          <w:sz w:val="20"/>
          <w:szCs w:val="20"/>
          <w:lang w:val="es-ES"/>
        </w:rPr>
        <w:t xml:space="preserve"> </w:t>
      </w:r>
      <w:r w:rsidRPr="00667CD6" w:rsidR="00640D62">
        <w:rPr>
          <w:rFonts w:ascii="Verdana" w:hAnsi="Verdana" w:eastAsia="Century Gothic" w:cs="Century Gothic"/>
          <w:sz w:val="20"/>
          <w:szCs w:val="20"/>
          <w:lang w:val="es-ES"/>
        </w:rPr>
        <w:t>2024 (</w:t>
      </w:r>
      <w:proofErr w:type="spellStart"/>
      <w:r w:rsidRPr="00667CD6" w:rsidR="00640D62">
        <w:rPr>
          <w:rFonts w:ascii="Verdana" w:hAnsi="Verdana" w:eastAsia="Century Gothic" w:cs="Century Gothic"/>
          <w:sz w:val="20"/>
          <w:szCs w:val="20"/>
          <w:lang w:val="es-ES"/>
        </w:rPr>
        <w:t>exp</w:t>
      </w:r>
      <w:proofErr w:type="spellEnd"/>
      <w:r w:rsidRPr="00667CD6" w:rsidR="00640D62">
        <w:rPr>
          <w:rFonts w:ascii="Verdana" w:hAnsi="Verdana" w:eastAsia="Century Gothic" w:cs="Century Gothic"/>
          <w:sz w:val="20"/>
          <w:szCs w:val="20"/>
          <w:lang w:val="es-ES"/>
        </w:rPr>
        <w:t>. 70313) y Circular Externa 006 de 2025 de CCE:</w:t>
      </w:r>
      <w:r w:rsidRPr="00667CD6" w:rsidR="00640D62">
        <w:rPr>
          <w:rStyle w:val="normaltextrun"/>
          <w:rFonts w:ascii="Verdana" w:hAnsi="Verdana" w:eastAsia="Century Gothic" w:cs="Century Gothic"/>
          <w:sz w:val="20"/>
          <w:szCs w:val="20"/>
          <w:shd w:val="clear" w:color="auto" w:fill="FFFFFF"/>
          <w:lang w:val="es-ES"/>
        </w:rPr>
        <w:t xml:space="preserve"> </w:t>
      </w:r>
      <w:r w:rsidRPr="00667CD6">
        <w:rPr>
          <w:rStyle w:val="normaltextrun"/>
          <w:rFonts w:ascii="Verdana" w:hAnsi="Verdana" w:cs="Arial"/>
          <w:sz w:val="20"/>
          <w:szCs w:val="20"/>
          <w:shd w:val="clear" w:color="auto" w:fill="FFFFFF"/>
          <w:lang w:val="es-ES"/>
        </w:rPr>
        <w:t>[…]</w:t>
      </w:r>
      <w:r w:rsidRPr="00667CD6">
        <w:rPr>
          <w:rFonts w:ascii="Verdana" w:hAnsi="Verdana" w:eastAsia="Century Gothic" w:cs="Century Gothic"/>
          <w:sz w:val="20"/>
          <w:szCs w:val="20"/>
          <w:lang w:val="es-ES"/>
        </w:rPr>
        <w:t>”</w:t>
      </w:r>
      <w:bookmarkEnd w:id="1"/>
      <w:r w:rsidRPr="00667CD6">
        <w:rPr>
          <w:rFonts w:ascii="Verdana" w:hAnsi="Verdana" w:eastAsia="Century Gothic" w:cs="Century Gothic"/>
          <w:sz w:val="20"/>
          <w:szCs w:val="20"/>
          <w:lang w:val="es-ES"/>
        </w:rPr>
        <w:t>.</w:t>
      </w:r>
    </w:p>
    <w:p w:rsidRPr="00667CD6" w:rsidR="00EC541D" w:rsidP="00EC541D" w:rsidRDefault="00EC541D" w14:paraId="5F3E8F27" w14:textId="77777777">
      <w:pPr>
        <w:spacing w:after="0"/>
        <w:jc w:val="both"/>
        <w:rPr>
          <w:rFonts w:ascii="Verdana" w:hAnsi="Verdana"/>
          <w:highlight w:val="cyan"/>
        </w:rPr>
      </w:pPr>
    </w:p>
    <w:p w:rsidRPr="00667CD6" w:rsidR="00EC541D" w:rsidP="00EC541D" w:rsidRDefault="00EC541D" w14:paraId="7E06B770" w14:textId="359B9286">
      <w:pPr>
        <w:spacing w:after="120" w:line="276" w:lineRule="auto"/>
        <w:ind w:firstLine="709"/>
        <w:jc w:val="both"/>
        <w:rPr>
          <w:rFonts w:ascii="Verdana" w:hAnsi="Verdana" w:eastAsia="Calibri" w:cs="Arial"/>
          <w:color w:val="000000"/>
          <w:lang w:val="es-ES_tradnl" w:eastAsia="es-ES_tradnl"/>
        </w:rPr>
      </w:pPr>
      <w:r w:rsidRPr="00667CD6">
        <w:rPr>
          <w:rFonts w:ascii="Verdana" w:hAnsi="Verdana" w:eastAsia="Calibri"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EA3216">
        <w:rPr>
          <w:rFonts w:ascii="Verdana" w:hAnsi="Verdana" w:eastAsia="Calibri" w:cs="Arial"/>
          <w:color w:val="000000"/>
          <w:lang w:val="es-ES" w:eastAsia="es-ES"/>
        </w:rPr>
        <w:t xml:space="preserve">la Agencia Nacional de Contratación Pública – </w:t>
      </w:r>
      <w:r w:rsidRPr="00667CD6">
        <w:rPr>
          <w:rFonts w:ascii="Verdana" w:hAnsi="Verdana" w:eastAsia="Calibri" w:cs="Arial"/>
          <w:color w:val="000000"/>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rsidRPr="00667CD6" w:rsidR="00EC541D" w:rsidP="00EC541D" w:rsidRDefault="00EC541D" w14:paraId="62B82F95" w14:textId="0CAEF95D">
      <w:pPr>
        <w:spacing w:after="0" w:line="276" w:lineRule="auto"/>
        <w:ind w:firstLine="709"/>
        <w:jc w:val="both"/>
        <w:rPr>
          <w:rFonts w:ascii="Verdana" w:hAnsi="Verdana" w:eastAsia="Calibri" w:cs="Arial"/>
          <w:color w:val="000000"/>
          <w:lang w:val="es-ES" w:eastAsia="es-ES"/>
        </w:rPr>
      </w:pPr>
      <w:r w:rsidRPr="00667CD6">
        <w:rPr>
          <w:rFonts w:ascii="Verdana" w:hAnsi="Verdana" w:eastAsia="Calibri"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EA3216">
        <w:rPr>
          <w:rFonts w:ascii="Verdana" w:hAnsi="Verdana" w:eastAsia="Calibri" w:cs="Arial"/>
          <w:color w:val="000000"/>
          <w:lang w:val="es-ES" w:eastAsia="es-ES"/>
        </w:rPr>
        <w:t>señalando</w:t>
      </w:r>
      <w:r w:rsidRPr="00667CD6" w:rsidR="00EA3216">
        <w:rPr>
          <w:rFonts w:ascii="Verdana" w:hAnsi="Verdana" w:eastAsia="Calibri" w:cs="Arial"/>
          <w:color w:val="000000"/>
          <w:lang w:val="es-ES" w:eastAsia="es-ES"/>
        </w:rPr>
        <w:t xml:space="preserve"> </w:t>
      </w:r>
      <w:r w:rsidR="00EA3216">
        <w:rPr>
          <w:rFonts w:ascii="Verdana" w:hAnsi="Verdana" w:eastAsia="Calibri" w:cs="Arial"/>
          <w:color w:val="000000"/>
          <w:lang w:val="es-ES" w:eastAsia="es-ES"/>
        </w:rPr>
        <w:t>alg</w:t>
      </w:r>
      <w:r w:rsidRPr="00667CD6">
        <w:rPr>
          <w:rFonts w:ascii="Verdana" w:hAnsi="Verdana" w:eastAsia="Calibri" w:cs="Arial"/>
          <w:color w:val="000000"/>
          <w:lang w:val="es-ES" w:eastAsia="es-ES"/>
        </w:rPr>
        <w:t xml:space="preserve">unas consideraciones sobre las normas generales relacionadas con el problema jurídico de su consulta.  </w:t>
      </w:r>
    </w:p>
    <w:p w:rsidRPr="00667CD6" w:rsidR="00EC541D" w:rsidP="00EC541D" w:rsidRDefault="00EC541D" w14:paraId="4F06568C" w14:textId="77777777">
      <w:pPr>
        <w:spacing w:after="0"/>
        <w:jc w:val="both"/>
        <w:rPr>
          <w:rFonts w:ascii="Verdana" w:hAnsi="Verdana"/>
          <w:highlight w:val="cyan"/>
          <w:lang w:val="es-ES"/>
        </w:rPr>
      </w:pPr>
    </w:p>
    <w:p w:rsidRPr="00667CD6" w:rsidR="00EC541D" w:rsidP="00EC541D" w:rsidRDefault="00EC541D" w14:paraId="41331685"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667CD6">
        <w:rPr>
          <w:rFonts w:ascii="Verdana" w:hAnsi="Verdana" w:eastAsia="Century Gothic" w:cs="Century Gothic"/>
          <w:b/>
          <w:bCs/>
        </w:rPr>
        <w:t>Problema planteado:</w:t>
      </w:r>
    </w:p>
    <w:p w:rsidRPr="00667CD6" w:rsidR="00EC541D" w:rsidP="00EC541D" w:rsidRDefault="00EC541D" w14:paraId="5FF3C81A" w14:textId="77777777">
      <w:pPr>
        <w:tabs>
          <w:tab w:val="left" w:pos="426"/>
        </w:tabs>
        <w:spacing w:after="0" w:line="276" w:lineRule="auto"/>
        <w:jc w:val="both"/>
        <w:rPr>
          <w:rFonts w:ascii="Verdana" w:hAnsi="Verdana" w:eastAsia="Century Gothic" w:cs="Century Gothic"/>
          <w:highlight w:val="cyan"/>
          <w:lang w:val="es-ES"/>
        </w:rPr>
      </w:pPr>
    </w:p>
    <w:p w:rsidRPr="00667CD6" w:rsidR="00EC541D" w:rsidP="00EC541D" w:rsidRDefault="00EC541D" w14:paraId="26507AD8" w14:textId="23BA6FC7">
      <w:pPr>
        <w:spacing w:after="0" w:line="276" w:lineRule="auto"/>
        <w:jc w:val="both"/>
        <w:rPr>
          <w:rFonts w:ascii="Verdana" w:hAnsi="Verdana" w:eastAsia="Century Gothic" w:cs="Century Gothic"/>
        </w:rPr>
      </w:pPr>
      <w:r w:rsidRPr="00667CD6">
        <w:rPr>
          <w:rFonts w:ascii="Verdana" w:hAnsi="Verdana" w:eastAsia="Century Gothic" w:cs="Century Gothic"/>
        </w:rPr>
        <w:t>De acuerdo con el contenido de su solicitud, esta Agencia resolverá el siguiente problema jurídico: ¿</w:t>
      </w:r>
      <w:r w:rsidRPr="00667CD6" w:rsidR="003A35D3">
        <w:rPr>
          <w:rFonts w:ascii="Verdana" w:hAnsi="Verdana" w:eastAsia="Century Gothic" w:cs="Century Gothic"/>
          <w:lang w:val="es-ES_tradnl"/>
        </w:rPr>
        <w:t xml:space="preserve">Resulta aplicable las restricciones establecidas </w:t>
      </w:r>
      <w:r w:rsidRPr="00667CD6" w:rsidR="004F71E4">
        <w:rPr>
          <w:rFonts w:ascii="Verdana" w:hAnsi="Verdana" w:eastAsia="Century Gothic" w:cs="Century Gothic"/>
          <w:lang w:val="es-ES_tradnl"/>
        </w:rPr>
        <w:t xml:space="preserve">en el </w:t>
      </w:r>
      <w:r w:rsidRPr="00667CD6" w:rsidR="003A35D3">
        <w:rPr>
          <w:rFonts w:ascii="Verdana" w:hAnsi="Verdana" w:eastAsia="Century Gothic" w:cs="Century Gothic"/>
          <w:lang w:val="es-ES_tradnl"/>
        </w:rPr>
        <w:t xml:space="preserve">artículo 38 de la </w:t>
      </w:r>
      <w:r w:rsidRPr="00667CD6" w:rsidR="003A35D3">
        <w:rPr>
          <w:rFonts w:ascii="Verdana" w:hAnsi="Verdana"/>
          <w:iCs/>
        </w:rPr>
        <w:t xml:space="preserve">Ley 996 de 2005 –Ley de Garantías Electorales- a la celebración de los </w:t>
      </w:r>
      <w:r w:rsidRPr="00667CD6" w:rsidR="003A35D3">
        <w:rPr>
          <w:rFonts w:ascii="Verdana" w:hAnsi="Verdana"/>
          <w:i/>
        </w:rPr>
        <w:t xml:space="preserve">contratos </w:t>
      </w:r>
      <w:r w:rsidRPr="00667CD6" w:rsidR="003A35D3">
        <w:rPr>
          <w:rFonts w:ascii="Verdana" w:hAnsi="Verdana" w:eastAsia="Century Gothic" w:cs="Century Gothic"/>
          <w:i/>
          <w:lang w:val="es-ES_tradnl"/>
        </w:rPr>
        <w:t>interadministrativos</w:t>
      </w:r>
      <w:r w:rsidRPr="00667CD6" w:rsidR="003A35D3">
        <w:rPr>
          <w:rFonts w:ascii="Verdana" w:hAnsi="Verdana" w:eastAsia="Century Gothic" w:cs="Century Gothic"/>
          <w:lang w:val="es-ES_tradnl"/>
        </w:rPr>
        <w:t xml:space="preserve">? </w:t>
      </w:r>
    </w:p>
    <w:p w:rsidRPr="00667CD6" w:rsidR="00DB63E1" w:rsidP="00EC541D" w:rsidRDefault="00DB63E1" w14:paraId="60F89F52" w14:textId="77777777">
      <w:pPr>
        <w:spacing w:after="0"/>
        <w:jc w:val="both"/>
        <w:rPr>
          <w:rFonts w:ascii="Verdana" w:hAnsi="Verdana" w:eastAsia="Century Gothic" w:cs="Century Gothic"/>
          <w:highlight w:val="cyan"/>
        </w:rPr>
      </w:pPr>
    </w:p>
    <w:p w:rsidRPr="00667CD6" w:rsidR="00EC541D" w:rsidP="00EC541D" w:rsidRDefault="00EC541D" w14:paraId="31777FA8"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667CD6">
        <w:rPr>
          <w:rFonts w:ascii="Verdana" w:hAnsi="Verdana" w:eastAsia="Century Gothic" w:cs="Century Gothic"/>
          <w:b/>
          <w:bCs/>
        </w:rPr>
        <w:t>Respuesta:</w:t>
      </w:r>
    </w:p>
    <w:p w:rsidRPr="00667CD6" w:rsidR="00EC541D" w:rsidP="00EC541D" w:rsidRDefault="00EC541D" w14:paraId="50690D19" w14:textId="77777777">
      <w:pPr>
        <w:tabs>
          <w:tab w:val="left" w:pos="142"/>
          <w:tab w:val="left" w:pos="284"/>
        </w:tabs>
        <w:spacing w:after="0" w:line="276" w:lineRule="auto"/>
        <w:jc w:val="both"/>
        <w:rPr>
          <w:rFonts w:ascii="Verdana" w:hAnsi="Verdana" w:eastAsia="Century Gothic" w:cs="Century Gothic"/>
          <w:b/>
          <w:bCs/>
          <w:highlight w:val="cyan"/>
          <w:lang w:val="es-E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667CD6" w:rsidR="00EC541D" w:rsidTr="605533EB" w14:paraId="1545F719" w14:textId="77777777">
        <w:tc>
          <w:tcPr>
            <w:tcW w:w="8828" w:type="dxa"/>
            <w:tcMar/>
          </w:tcPr>
          <w:p w:rsidRPr="00667CD6" w:rsidR="00682770" w:rsidP="00670659" w:rsidRDefault="004325E5" w14:paraId="6573B533" w14:textId="5FC011A8">
            <w:pPr>
              <w:spacing w:after="120" w:line="276" w:lineRule="auto"/>
              <w:jc w:val="both"/>
              <w:rPr>
                <w:rFonts w:ascii="Verdana" w:hAnsi="Verdana" w:eastAsia="Times New Roman" w:cs="Arial"/>
                <w:lang w:eastAsia="es-CO"/>
              </w:rPr>
            </w:pPr>
            <w:r w:rsidRPr="00667CD6">
              <w:rPr>
                <w:rFonts w:ascii="Verdana" w:hAnsi="Verdana" w:cs="Arial"/>
                <w:color w:val="000000" w:themeColor="text1"/>
              </w:rPr>
              <w:lastRenderedPageBreak/>
              <w:t>En respuesta al problema antes planteado esta Subdirección manifiesta lo siguiente:</w:t>
            </w:r>
            <w:r w:rsidR="00EC15EF">
              <w:rPr>
                <w:rFonts w:ascii="Verdana" w:hAnsi="Verdana" w:eastAsia="Calibri" w:cs="Arial"/>
                <w:color w:val="000000" w:themeColor="text1"/>
              </w:rPr>
              <w:t xml:space="preserve"> </w:t>
            </w:r>
            <w:r w:rsidRPr="00667CD6" w:rsidR="00DB63E1">
              <w:rPr>
                <w:rFonts w:ascii="Verdana" w:hAnsi="Verdana" w:eastAsia="Calibri" w:cs="Arial"/>
                <w:color w:val="000000" w:themeColor="text1"/>
              </w:rPr>
              <w:t>En primer lugar</w:t>
            </w:r>
            <w:r w:rsidRPr="00667CD6" w:rsidR="00DB63E1">
              <w:rPr>
                <w:rFonts w:ascii="Verdana" w:hAnsi="Verdana" w:cs="Arial"/>
              </w:rPr>
              <w:t>, debe indicarse que, r</w:t>
            </w:r>
            <w:r w:rsidRPr="00667CD6" w:rsidR="00682770">
              <w:rPr>
                <w:rFonts w:ascii="Verdana" w:hAnsi="Verdana" w:eastAsia="Times New Roman" w:cs="Arial"/>
                <w:lang w:eastAsia="es-CO"/>
              </w:rPr>
              <w:t>especto del parágrafo del artículo 38 de la Ley 996 de 2005</w:t>
            </w:r>
            <w:r w:rsidRPr="00667CD6" w:rsidR="00555BD9">
              <w:rPr>
                <w:rFonts w:ascii="Verdana" w:hAnsi="Verdana" w:eastAsia="Times New Roman" w:cs="Arial"/>
                <w:lang w:eastAsia="es-CO"/>
              </w:rPr>
              <w:t xml:space="preserve">, </w:t>
            </w:r>
            <w:r w:rsidRPr="00667CD6" w:rsidR="00682770">
              <w:rPr>
                <w:rFonts w:ascii="Verdana" w:hAnsi="Verdana" w:eastAsia="Times New Roman" w:cs="Arial"/>
                <w:lang w:eastAsia="es-CO"/>
              </w:rPr>
              <w:t xml:space="preserve">se precisa que este prohíbe a los Alcaldes, Gobernadores, Secretarios, Gerentes y Directores de las entidades del orden municipal, departamental o distrital celebrar </w:t>
            </w:r>
            <w:r w:rsidRPr="00667CD6" w:rsidR="00682770">
              <w:rPr>
                <w:rFonts w:ascii="Verdana" w:hAnsi="Verdana" w:eastAsia="Times New Roman" w:cs="Arial"/>
                <w:i/>
                <w:iCs/>
                <w:lang w:eastAsia="es-CO"/>
              </w:rPr>
              <w:t>convenios interadministrativos</w:t>
            </w:r>
            <w:r w:rsidRPr="00667CD6" w:rsidR="00682770">
              <w:rPr>
                <w:rFonts w:ascii="Verdana" w:hAnsi="Verdana" w:eastAsia="Times New Roman" w:cs="Arial"/>
                <w:lang w:eastAsia="es-CO"/>
              </w:rPr>
              <w:t xml:space="preserve"> </w:t>
            </w:r>
            <w:r w:rsidRPr="00667CD6" w:rsidR="00682770">
              <w:rPr>
                <w:rFonts w:ascii="Verdana" w:hAnsi="Verdana" w:eastAsia="Times New Roman" w:cs="Arial"/>
                <w:i/>
                <w:iCs/>
                <w:lang w:eastAsia="es-CO"/>
              </w:rPr>
              <w:t>para la ejecución de recursos públicos</w:t>
            </w:r>
            <w:r w:rsidRPr="00667CD6" w:rsidR="00682770">
              <w:rPr>
                <w:rFonts w:ascii="Verdana" w:hAnsi="Verdana" w:eastAsia="Times New Roman" w:cs="Arial"/>
                <w:lang w:eastAsia="es-CO"/>
              </w:rPr>
              <w:t xml:space="preserve">. En este sentido, si una o ambas partes de la relación contractual es una entidad de aquellas descritas en el parágrafo </w:t>
            </w:r>
            <w:r w:rsidRPr="00667CD6" w:rsidR="00682770">
              <w:rPr>
                <w:rFonts w:ascii="Verdana" w:hAnsi="Verdana" w:eastAsia="Times New Roman" w:cs="Arial"/>
                <w:i/>
                <w:lang w:eastAsia="es-CO"/>
              </w:rPr>
              <w:t>ibidem</w:t>
            </w:r>
            <w:r w:rsidRPr="00667CD6" w:rsidR="00682770">
              <w:rPr>
                <w:rFonts w:ascii="Verdana" w:hAnsi="Verdana" w:eastAsia="Times New Roman" w:cs="Arial"/>
                <w:lang w:eastAsia="es-CO"/>
              </w:rPr>
              <w:t xml:space="preserve">, no podrá celebrar tales </w:t>
            </w:r>
            <w:r w:rsidRPr="00667CD6" w:rsidR="00682770">
              <w:rPr>
                <w:rFonts w:ascii="Verdana" w:hAnsi="Verdana" w:eastAsia="Times New Roman" w:cs="Arial"/>
                <w:i/>
                <w:iCs/>
                <w:lang w:eastAsia="es-CO"/>
              </w:rPr>
              <w:t>convenios</w:t>
            </w:r>
            <w:r w:rsidRPr="00667CD6" w:rsidR="00682770">
              <w:rPr>
                <w:rFonts w:ascii="Verdana" w:hAnsi="Verdana" w:eastAsia="Times New Roman" w:cs="Arial"/>
                <w:lang w:eastAsia="es-CO"/>
              </w:rPr>
              <w:t xml:space="preserve"> durante la aplicación de la Ley de Garantías Electorales, toda vez que la citada disposición hace referencia a dicha tipología contractual sin que el legislador hubiere contemplado un efecto extensivo a otra tipología. </w:t>
            </w:r>
          </w:p>
          <w:p w:rsidRPr="00667CD6" w:rsidR="00682770" w:rsidP="00682770" w:rsidRDefault="00817410" w14:paraId="22FB6342" w14:textId="66723E22">
            <w:pPr>
              <w:spacing w:after="120" w:line="276" w:lineRule="auto"/>
              <w:ind w:firstLine="708"/>
              <w:jc w:val="both"/>
              <w:rPr>
                <w:rFonts w:ascii="Verdana" w:hAnsi="Verdana" w:eastAsia="Times New Roman" w:cs="Arial"/>
                <w:lang w:eastAsia="es-CO"/>
              </w:rPr>
            </w:pPr>
            <w:r w:rsidRPr="31E4E861">
              <w:rPr>
                <w:rFonts w:ascii="Verdana" w:hAnsi="Verdana" w:eastAsia="Times New Roman" w:cs="Arial"/>
                <w:lang w:eastAsia="es-CO"/>
              </w:rPr>
              <w:t>Ahora bien</w:t>
            </w:r>
            <w:r w:rsidRPr="31E4E861" w:rsidR="00682770">
              <w:rPr>
                <w:rFonts w:ascii="Verdana" w:hAnsi="Verdana" w:eastAsia="Times New Roman" w:cs="Arial"/>
                <w:lang w:eastAsia="es-CO"/>
              </w:rPr>
              <w:t xml:space="preserve">, a la luz de lo expuesto por el Consejo de Estado en </w:t>
            </w:r>
            <w:r w:rsidRPr="31E4E861">
              <w:rPr>
                <w:rFonts w:ascii="Verdana" w:hAnsi="Verdana" w:eastAsia="Times New Roman" w:cs="Arial"/>
                <w:lang w:eastAsia="es-CO"/>
              </w:rPr>
              <w:t xml:space="preserve">la sentencia expedida por la Sección Tercera de la Sala de lo Contencioso Administrativo del 17 de octubre de 2025, </w:t>
            </w:r>
            <w:r w:rsidRPr="31E4E861" w:rsidR="00682770">
              <w:rPr>
                <w:rFonts w:ascii="Verdana" w:hAnsi="Verdana" w:eastAsia="Times New Roman" w:cs="Arial"/>
                <w:lang w:eastAsia="es-CO"/>
              </w:rPr>
              <w:t xml:space="preserve"> los autos del 4 de octubre de 2024 y 6 de noviembre de 2025, en los cuales se </w:t>
            </w:r>
            <w:r w:rsidRPr="31E4E861" w:rsidR="00B50082">
              <w:rPr>
                <w:rFonts w:ascii="Verdana" w:hAnsi="Verdana" w:eastAsia="Times New Roman" w:cs="Arial"/>
                <w:lang w:eastAsia="es-CO"/>
              </w:rPr>
              <w:t>declaró la nulidad parcial, se</w:t>
            </w:r>
            <w:r w:rsidRPr="31E4E861" w:rsidR="00682770">
              <w:rPr>
                <w:rFonts w:ascii="Verdana" w:hAnsi="Verdana" w:eastAsia="Times New Roman" w:cs="Arial"/>
                <w:lang w:eastAsia="es-CO"/>
              </w:rPr>
              <w:t xml:space="preserve"> decretó </w:t>
            </w:r>
            <w:r w:rsidRPr="31E4E861" w:rsidR="00B50082">
              <w:rPr>
                <w:rFonts w:ascii="Verdana" w:hAnsi="Verdana" w:eastAsia="Times New Roman" w:cs="Arial"/>
                <w:lang w:eastAsia="es-CO"/>
              </w:rPr>
              <w:t>la</w:t>
            </w:r>
            <w:r w:rsidRPr="31E4E861" w:rsidR="00682770">
              <w:rPr>
                <w:rFonts w:ascii="Verdana" w:hAnsi="Verdana" w:eastAsia="Times New Roman" w:cs="Arial"/>
                <w:lang w:eastAsia="es-CO"/>
              </w:rPr>
              <w:t xml:space="preserve"> medida </w:t>
            </w:r>
            <w:r w:rsidRPr="31E4E861" w:rsidR="00682770">
              <w:rPr>
                <w:rFonts w:ascii="Verdana" w:hAnsi="Verdana" w:eastAsia="Arial" w:cs="Arial"/>
                <w:lang w:eastAsia="es-ES" w:bidi="es-ES"/>
              </w:rPr>
              <w:t xml:space="preserve">de suspensión provisional parcial del </w:t>
            </w:r>
            <w:r w:rsidRPr="31E4E861" w:rsidR="00682770">
              <w:rPr>
                <w:rFonts w:ascii="Verdana" w:hAnsi="Verdana" w:cs="Arial"/>
              </w:rPr>
              <w:t xml:space="preserve">numeral 16.2 de la Circular Externa Única de 2022 expedida por la Agencia Nacional de Contratación Pública -Colombia Compra Eficiente-, y </w:t>
            </w:r>
            <w:r w:rsidRPr="31E4E861" w:rsidR="00682770">
              <w:rPr>
                <w:rFonts w:ascii="Verdana" w:hAnsi="Verdana" w:eastAsia="Arial" w:cs="Arial"/>
                <w:lang w:eastAsia="es-ES" w:bidi="es-ES"/>
              </w:rPr>
              <w:t>de los apartes cuestionados del inciso segundo y del inciso cuarto del numeral 16.2 de la Circular Externa Única, versión 3 del 27 de diciembre de 2023,</w:t>
            </w:r>
            <w:r w:rsidRPr="31E4E861" w:rsidR="00682770">
              <w:rPr>
                <w:rFonts w:ascii="Verdana" w:hAnsi="Verdana" w:eastAsia="Times New Roman" w:cs="Arial"/>
                <w:lang w:eastAsia="es-CO"/>
              </w:rPr>
              <w:t xml:space="preserve"> no resultaría aplicable la prohibición del parágrafo del artículo 38 de la Ley de Garantías Electorales a los </w:t>
            </w:r>
            <w:r w:rsidRPr="31E4E861" w:rsidR="00682770">
              <w:rPr>
                <w:rFonts w:ascii="Verdana" w:hAnsi="Verdana" w:eastAsia="Times New Roman" w:cs="Arial"/>
                <w:i/>
                <w:lang w:eastAsia="es-CO"/>
              </w:rPr>
              <w:t>contratos interadministrativos</w:t>
            </w:r>
            <w:r w:rsidRPr="31E4E861" w:rsidR="00682770">
              <w:rPr>
                <w:rFonts w:ascii="Verdana" w:hAnsi="Verdana" w:eastAsia="Times New Roman" w:cs="Arial"/>
                <w:lang w:eastAsia="es-CO"/>
              </w:rPr>
              <w:t>.</w:t>
            </w:r>
          </w:p>
          <w:p w:rsidRPr="00667CD6" w:rsidR="00B16B08" w:rsidP="00986876" w:rsidRDefault="00682770" w14:paraId="09D27CAC" w14:textId="0414383F">
            <w:pPr>
              <w:spacing w:after="120" w:line="276" w:lineRule="auto"/>
              <w:ind w:firstLine="708"/>
              <w:jc w:val="both"/>
              <w:rPr>
                <w:rFonts w:ascii="Verdana" w:hAnsi="Verdana" w:eastAsia="Times New Roman" w:cs="Arial"/>
                <w:lang w:eastAsia="es-CO"/>
              </w:rPr>
            </w:pPr>
            <w:r w:rsidRPr="00667CD6">
              <w:rPr>
                <w:rFonts w:ascii="Verdana" w:hAnsi="Verdana" w:eastAsia="Times New Roman" w:cs="Arial"/>
                <w:lang w:eastAsia="es-CO"/>
              </w:rPr>
              <w:t xml:space="preserve">Así las cosas, conforme a lo señalado por el Consejo de Estado, cuando dos entidades públicas celebren un </w:t>
            </w:r>
            <w:r w:rsidRPr="00667CD6">
              <w:rPr>
                <w:rFonts w:ascii="Verdana" w:hAnsi="Verdana" w:eastAsia="Times New Roman" w:cs="Arial"/>
                <w:i/>
                <w:iCs/>
                <w:lang w:eastAsia="es-CO"/>
              </w:rPr>
              <w:t>contrato interadministrativo,</w:t>
            </w:r>
            <w:r w:rsidRPr="00667CD6">
              <w:rPr>
                <w:rFonts w:ascii="Verdana" w:hAnsi="Verdana" w:eastAsia="Times New Roman" w:cs="Arial"/>
                <w:lang w:eastAsia="es-CO"/>
              </w:rPr>
              <w:t xml:space="preserve"> independientemente del objeto, dicho contrato puede suscribirse durante el periodo preelectoral. </w:t>
            </w:r>
          </w:p>
          <w:p w:rsidRPr="00667CD6" w:rsidR="00B50082" w:rsidP="00986876" w:rsidRDefault="00B50082" w14:paraId="16BE6EA7" w14:textId="65F01EEA">
            <w:pPr>
              <w:spacing w:after="120" w:line="276" w:lineRule="auto"/>
              <w:ind w:firstLine="708"/>
              <w:jc w:val="both"/>
              <w:rPr>
                <w:rFonts w:ascii="Verdana" w:hAnsi="Verdana" w:eastAsia="Times New Roman" w:cs="Arial"/>
                <w:lang w:eastAsia="es-CO"/>
              </w:rPr>
            </w:pPr>
            <w:r w:rsidRPr="605533EB" w:rsidR="00B50082">
              <w:rPr>
                <w:rFonts w:ascii="Verdana" w:hAnsi="Verdana" w:eastAsia="Times New Roman" w:cs="Arial"/>
                <w:lang w:eastAsia="es-CO"/>
              </w:rPr>
              <w:t xml:space="preserve">No </w:t>
            </w:r>
            <w:r w:rsidRPr="605533EB" w:rsidR="56931D83">
              <w:rPr>
                <w:rFonts w:ascii="Verdana" w:hAnsi="Verdana" w:eastAsia="Times New Roman" w:cs="Arial"/>
                <w:lang w:eastAsia="es-CO"/>
              </w:rPr>
              <w:t>obstante,</w:t>
            </w:r>
            <w:r w:rsidRPr="605533EB" w:rsidR="00B50082">
              <w:rPr>
                <w:rFonts w:ascii="Verdana" w:hAnsi="Verdana" w:eastAsia="Times New Roman" w:cs="Arial"/>
                <w:lang w:eastAsia="es-CO"/>
              </w:rPr>
              <w:t xml:space="preserve"> lo anterior, es importante mencionar que </w:t>
            </w:r>
            <w:r w:rsidRPr="605533EB" w:rsidR="0C5B2295">
              <w:rPr>
                <w:rFonts w:ascii="Verdana" w:hAnsi="Verdana" w:eastAsia="Times New Roman" w:cs="Arial"/>
                <w:lang w:eastAsia="es-CO"/>
              </w:rPr>
              <w:t>aún</w:t>
            </w:r>
            <w:r w:rsidRPr="605533EB" w:rsidR="00954731">
              <w:rPr>
                <w:rFonts w:ascii="Verdana" w:hAnsi="Verdana" w:eastAsia="Times New Roman" w:cs="Arial"/>
                <w:lang w:eastAsia="es-CO"/>
              </w:rPr>
              <w:t xml:space="preserve"> se encuentra por definir la demanda </w:t>
            </w:r>
            <w:r w:rsidRPr="605533EB" w:rsidR="00954731">
              <w:rPr>
                <w:rFonts w:ascii="Verdana" w:hAnsi="Verdana" w:eastAsia="Calibri" w:cs="Arial"/>
                <w:lang w:val="es-ES" w:eastAsia="es-ES"/>
              </w:rPr>
              <w:t xml:space="preserve">de nulidad simple, identificada con el Radicado número 11001-03-26-000-2025-00016-00, en la cual se cuestiona </w:t>
            </w:r>
            <w:r w:rsidRPr="605533EB" w:rsidR="00954731">
              <w:rPr>
                <w:rFonts w:ascii="Verdana" w:hAnsi="Verdana" w:eastAsia="Calibri" w:cs="Arial"/>
                <w:lang w:eastAsia="es-ES"/>
              </w:rPr>
              <w:t>parcialmente el numeral 16.2 de la Circular Externa Única CCE-EICP-MA-06, Versión 03 del 27 de diciembre de 2023.</w:t>
            </w:r>
            <w:r w:rsidRPr="605533EB" w:rsidR="00954731">
              <w:rPr>
                <w:rFonts w:ascii="Verdana" w:hAnsi="Verdana" w:eastAsia="Calibri" w:cs="Arial"/>
                <w:lang w:val="es-ES" w:eastAsia="es-ES"/>
              </w:rPr>
              <w:t xml:space="preserve"> </w:t>
            </w:r>
          </w:p>
          <w:p w:rsidRPr="00667CD6" w:rsidR="00EC541D" w:rsidP="00670659" w:rsidRDefault="00682770" w14:paraId="4B1239F3" w14:textId="63B3F532">
            <w:pPr>
              <w:spacing w:line="276" w:lineRule="auto"/>
              <w:ind w:firstLine="708"/>
              <w:jc w:val="both"/>
              <w:rPr>
                <w:rFonts w:ascii="Verdana" w:hAnsi="Verdana"/>
                <w:highlight w:val="cyan"/>
                <w:lang w:val="es-ES"/>
              </w:rPr>
            </w:pPr>
            <w:r w:rsidRPr="00667CD6">
              <w:rPr>
                <w:rFonts w:ascii="Verdana" w:hAnsi="Verdana" w:eastAsia="Arial"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w:t>
            </w:r>
            <w:r w:rsidRPr="00667CD6">
              <w:rPr>
                <w:rFonts w:ascii="Verdana" w:hAnsi="Verdana" w:eastAsia="Arial" w:cs="Arial"/>
                <w:bCs/>
                <w:color w:val="000000" w:themeColor="text1"/>
              </w:rPr>
              <w:lastRenderedPageBreak/>
              <w:t xml:space="preserve">que pueda realizar la contratación directa durante el periodo de la prohibición. Igualmente, le corresponde a cada entidad </w:t>
            </w:r>
            <w:r w:rsidRPr="00667CD6">
              <w:rPr>
                <w:rFonts w:ascii="Verdana" w:hAnsi="Verdana" w:eastAsia="Arial"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rsidRPr="00667CD6" w:rsidR="00EC541D" w:rsidP="00EC541D" w:rsidRDefault="00EC541D" w14:paraId="38252910" w14:textId="77777777">
      <w:pPr>
        <w:tabs>
          <w:tab w:val="left" w:pos="142"/>
          <w:tab w:val="left" w:pos="284"/>
        </w:tabs>
        <w:spacing w:after="0" w:line="276" w:lineRule="auto"/>
        <w:jc w:val="both"/>
        <w:rPr>
          <w:rFonts w:ascii="Verdana" w:hAnsi="Verdana" w:eastAsia="Century Gothic" w:cs="Century Gothic"/>
          <w:b/>
          <w:bCs/>
          <w:highlight w:val="cyan"/>
          <w:lang w:val="es-ES"/>
        </w:rPr>
      </w:pPr>
    </w:p>
    <w:p w:rsidRPr="00667CD6" w:rsidR="00EC541D" w:rsidP="00EC541D" w:rsidRDefault="00EC541D" w14:paraId="04A52062"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667CD6">
        <w:rPr>
          <w:rFonts w:ascii="Verdana" w:hAnsi="Verdana" w:eastAsia="Century Gothic" w:cs="Century Gothic"/>
          <w:b/>
          <w:bCs/>
        </w:rPr>
        <w:t>Razones de la respuesta:</w:t>
      </w:r>
    </w:p>
    <w:p w:rsidRPr="00667CD6" w:rsidR="00EC541D" w:rsidP="00EC541D" w:rsidRDefault="00EC541D" w14:paraId="4DD813B6" w14:textId="77777777">
      <w:pPr>
        <w:spacing w:after="0" w:line="276" w:lineRule="auto"/>
        <w:jc w:val="both"/>
        <w:rPr>
          <w:rFonts w:ascii="Verdana" w:hAnsi="Verdana" w:eastAsia="Calibri" w:cs="Arial"/>
          <w:color w:val="7030A0"/>
          <w:lang w:val="es-ES"/>
        </w:rPr>
      </w:pPr>
    </w:p>
    <w:p w:rsidRPr="00667CD6" w:rsidR="00EC541D" w:rsidP="00EC15EF" w:rsidRDefault="00EC541D" w14:paraId="75790B39" w14:textId="1D4B9D85">
      <w:pPr>
        <w:spacing w:after="0"/>
        <w:jc w:val="both"/>
        <w:rPr>
          <w:rFonts w:ascii="Verdana" w:hAnsi="Verdana" w:eastAsia="Calibri" w:cs="Arial"/>
          <w:lang w:val="es-ES"/>
        </w:rPr>
      </w:pPr>
      <w:r w:rsidRPr="00667CD6">
        <w:rPr>
          <w:rFonts w:ascii="Verdana" w:hAnsi="Verdana" w:eastAsia="Calibri" w:cs="Arial"/>
          <w:lang w:val="es-ES"/>
        </w:rPr>
        <w:t>Lo anterior se sustenta en las siguientes consideraciones:</w:t>
      </w:r>
    </w:p>
    <w:p w:rsidRPr="00667CD6" w:rsidR="00EC15EF" w:rsidP="00670659" w:rsidRDefault="00EC15EF" w14:paraId="78E6BDBF" w14:textId="77777777">
      <w:pPr>
        <w:spacing w:after="0"/>
        <w:jc w:val="both"/>
        <w:rPr>
          <w:rFonts w:ascii="Verdana" w:hAnsi="Verdana" w:eastAsia="Calibri" w:cs="Arial"/>
          <w:lang w:val="es-ES"/>
        </w:rPr>
      </w:pPr>
    </w:p>
    <w:p w:rsidRPr="00667CD6" w:rsidR="00874C2D" w:rsidP="00C322F9" w:rsidRDefault="00874C2D" w14:paraId="2C62448A" w14:textId="5A96DD82">
      <w:pPr>
        <w:spacing w:after="120"/>
        <w:jc w:val="both"/>
        <w:rPr>
          <w:rFonts w:ascii="Verdana" w:hAnsi="Verdana" w:cs="Arial"/>
          <w:lang w:val="es-ES"/>
        </w:rPr>
      </w:pPr>
      <w:r w:rsidRPr="00667CD6">
        <w:rPr>
          <w:rFonts w:ascii="Verdana" w:hAnsi="Verdana" w:cs="Arial"/>
          <w:lang w:val="es-ES"/>
        </w:rPr>
        <w:t>El ordenamiento jurídico colombiano contempla medidas para evitar la obtención de beneficios personales en asuntos propios de la administración pública</w:t>
      </w:r>
      <w:r w:rsidRPr="00667CD6">
        <w:rPr>
          <w:rFonts w:ascii="Verdana" w:hAnsi="Verdana" w:cs="Arial"/>
          <w:i/>
          <w:lang w:val="es-ES"/>
        </w:rPr>
        <w:t xml:space="preserve">. </w:t>
      </w:r>
      <w:r w:rsidRPr="00667CD6">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667CD6">
        <w:rPr>
          <w:rFonts w:ascii="Verdana" w:hAnsi="Verdana"/>
          <w:vertAlign w:val="superscript"/>
          <w:lang w:val="es-ES"/>
        </w:rPr>
        <w:footnoteReference w:id="2"/>
      </w:r>
      <w:r w:rsidRPr="00667CD6">
        <w:rPr>
          <w:rFonts w:ascii="Verdana" w:hAnsi="Verdana" w:cs="Arial"/>
          <w:lang w:val="es-ES"/>
        </w:rPr>
        <w:t>.</w:t>
      </w:r>
    </w:p>
    <w:p w:rsidRPr="00667CD6" w:rsidR="00C23E60" w:rsidP="00C23E60" w:rsidRDefault="00C23E60" w14:paraId="74C293A5" w14:textId="77777777">
      <w:pPr>
        <w:tabs>
          <w:tab w:val="left" w:pos="426"/>
        </w:tabs>
        <w:spacing w:after="120" w:line="276" w:lineRule="auto"/>
        <w:ind w:firstLine="709"/>
        <w:jc w:val="both"/>
        <w:rPr>
          <w:rFonts w:ascii="Verdana" w:hAnsi="Verdana" w:cs="Arial"/>
          <w:lang w:val="es-ES"/>
        </w:rPr>
      </w:pPr>
      <w:r w:rsidRPr="00667CD6">
        <w:rPr>
          <w:rFonts w:ascii="Verdana" w:hAnsi="Verdana" w:eastAsia="Times New Roman"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667CD6">
        <w:rPr>
          <w:rFonts w:ascii="Verdana" w:hAnsi="Verdana" w:eastAsia="Times New Roman" w:cs="Arial"/>
          <w:vertAlign w:val="superscript"/>
          <w:lang w:val="es-ES" w:eastAsia="es-CO"/>
        </w:rPr>
        <w:footnoteReference w:id="3"/>
      </w:r>
      <w:r w:rsidRPr="00667CD6">
        <w:rPr>
          <w:rFonts w:ascii="Verdana" w:hAnsi="Verdana" w:eastAsia="Times New Roman"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667CD6">
        <w:rPr>
          <w:rFonts w:ascii="Verdana" w:hAnsi="Verdana" w:cs="Arial"/>
          <w:lang w:val="es-ES"/>
        </w:rPr>
        <w:t xml:space="preserve"> </w:t>
      </w:r>
    </w:p>
    <w:p w:rsidRPr="00667CD6" w:rsidR="00C322F9" w:rsidP="00C322F9" w:rsidRDefault="00C322F9" w14:paraId="4DB31813" w14:textId="77777777">
      <w:pPr>
        <w:tabs>
          <w:tab w:val="left" w:pos="426"/>
        </w:tabs>
        <w:spacing w:after="0" w:line="276" w:lineRule="auto"/>
        <w:ind w:firstLine="709"/>
        <w:jc w:val="both"/>
        <w:rPr>
          <w:rFonts w:ascii="Verdana" w:hAnsi="Verdana" w:cs="Arial"/>
          <w:lang w:val="es-ES"/>
        </w:rPr>
      </w:pPr>
      <w:r w:rsidRPr="00667CD6">
        <w:rPr>
          <w:rFonts w:ascii="Verdana" w:hAnsi="Verdana" w:eastAsia="Times New Roman" w:cs="Arial"/>
          <w:lang w:val="es-ES" w:eastAsia="es-CO"/>
        </w:rPr>
        <w:lastRenderedPageBreak/>
        <w:t>En armonía con lo anterior, la Corte Constitucional ha abordado la definición de la Ley de Garantías Electorales. De esta manera, explica que tiene como propósito:</w:t>
      </w:r>
    </w:p>
    <w:p w:rsidRPr="00667CD6" w:rsidR="00C322F9" w:rsidP="00C322F9" w:rsidRDefault="00C322F9" w14:paraId="6AAF73BB" w14:textId="77777777">
      <w:pPr>
        <w:spacing w:after="0" w:line="276" w:lineRule="auto"/>
        <w:ind w:right="709"/>
        <w:jc w:val="both"/>
        <w:rPr>
          <w:rFonts w:ascii="Verdana" w:hAnsi="Verdana" w:eastAsia="Times New Roman" w:cs="Arial"/>
          <w:lang w:val="es-ES" w:eastAsia="es-CO"/>
        </w:rPr>
      </w:pPr>
    </w:p>
    <w:p w:rsidRPr="00667CD6" w:rsidR="00C322F9" w:rsidP="00C322F9" w:rsidRDefault="00C322F9" w14:paraId="67F7BD2D" w14:textId="0AF7DCF7">
      <w:pPr>
        <w:spacing w:after="0" w:line="240" w:lineRule="auto"/>
        <w:ind w:left="709" w:right="709"/>
        <w:contextualSpacing/>
        <w:jc w:val="both"/>
        <w:rPr>
          <w:rFonts w:ascii="Verdana" w:hAnsi="Verdana" w:eastAsia="Times New Roman" w:cs="Arial"/>
          <w:sz w:val="20"/>
          <w:szCs w:val="20"/>
          <w:lang w:val="es-ES" w:eastAsia="es-CO"/>
        </w:rPr>
      </w:pPr>
      <w:r w:rsidRPr="00667CD6">
        <w:rPr>
          <w:rFonts w:ascii="Verdana" w:hAnsi="Verdana" w:eastAsia="Times New Roman" w:cs="Arial"/>
          <w:sz w:val="20"/>
          <w:szCs w:val="20"/>
          <w:lang w:val="es-ES" w:eastAsia="es-CO"/>
        </w:rPr>
        <w:t>“[…] la definición de reglas claras que permitan acceder a los canales de expresión democrática de manera efectiva e igualitaria. El objetivo de una ley de garantías es definir esas reglas.</w:t>
      </w:r>
    </w:p>
    <w:p w:rsidRPr="00667CD6" w:rsidR="00375F99" w:rsidP="00375F99" w:rsidRDefault="00375F99" w14:paraId="61E4A59A" w14:textId="77777777">
      <w:pPr>
        <w:spacing w:after="0" w:line="240" w:lineRule="auto"/>
        <w:ind w:left="709" w:right="709"/>
        <w:contextualSpacing/>
        <w:jc w:val="both"/>
        <w:rPr>
          <w:rFonts w:ascii="Verdana" w:hAnsi="Verdana" w:eastAsia="Times New Roman" w:cs="Arial"/>
          <w:sz w:val="20"/>
          <w:szCs w:val="20"/>
          <w:lang w:val="es-ES" w:eastAsia="es-CO"/>
        </w:rPr>
      </w:pPr>
    </w:p>
    <w:p w:rsidRPr="00667CD6" w:rsidR="00C322F9" w:rsidP="00C322F9" w:rsidRDefault="00C322F9" w14:paraId="262144EF" w14:textId="77777777">
      <w:pPr>
        <w:spacing w:after="0" w:line="240" w:lineRule="auto"/>
        <w:ind w:left="709" w:right="709"/>
        <w:contextualSpacing/>
        <w:jc w:val="both"/>
        <w:rPr>
          <w:rFonts w:ascii="Verdana" w:hAnsi="Verdana" w:eastAsia="Times New Roman" w:cs="Arial"/>
          <w:sz w:val="20"/>
          <w:szCs w:val="20"/>
          <w:lang w:val="es-ES" w:eastAsia="es-CO"/>
        </w:rPr>
      </w:pPr>
      <w:r w:rsidRPr="00667CD6">
        <w:rPr>
          <w:rFonts w:ascii="Verdana" w:hAnsi="Verdana" w:eastAsia="Times New Roman" w:cs="Arial"/>
          <w:sz w:val="20"/>
          <w:szCs w:val="20"/>
          <w:lang w:val="es-ES" w:eastAsia="es-CO"/>
        </w:rPr>
        <w:t xml:space="preserve">[…] </w:t>
      </w:r>
    </w:p>
    <w:p w:rsidR="00375F99" w:rsidP="00375F99" w:rsidRDefault="00375F99" w14:paraId="152F0EFE" w14:textId="77777777">
      <w:pPr>
        <w:spacing w:after="0" w:line="240" w:lineRule="auto"/>
        <w:ind w:left="709" w:right="709"/>
        <w:contextualSpacing/>
        <w:jc w:val="both"/>
        <w:rPr>
          <w:rFonts w:ascii="Verdana" w:hAnsi="Verdana" w:eastAsia="Times New Roman" w:cs="Arial"/>
          <w:sz w:val="20"/>
          <w:szCs w:val="20"/>
          <w:lang w:val="es-ES" w:eastAsia="es-CO"/>
        </w:rPr>
      </w:pPr>
    </w:p>
    <w:p w:rsidRPr="00667CD6" w:rsidR="00C322F9" w:rsidP="00670659" w:rsidRDefault="00C322F9" w14:paraId="1813E133" w14:textId="1BB1F5CA">
      <w:pPr>
        <w:spacing w:after="0" w:line="240" w:lineRule="auto"/>
        <w:ind w:left="709" w:right="709"/>
        <w:contextualSpacing/>
        <w:jc w:val="both"/>
        <w:rPr>
          <w:rFonts w:ascii="Verdana" w:hAnsi="Verdana" w:eastAsia="Times New Roman" w:cs="Arial"/>
          <w:sz w:val="20"/>
          <w:szCs w:val="20"/>
          <w:lang w:val="es-ES" w:eastAsia="es-CO"/>
        </w:rPr>
      </w:pPr>
      <w:r w:rsidRPr="00667CD6">
        <w:rPr>
          <w:rFonts w:ascii="Verdana" w:hAnsi="Verdana" w:eastAsia="Times New Roman"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667CD6">
        <w:rPr>
          <w:rFonts w:ascii="Verdana" w:hAnsi="Verdana" w:cs="Arial"/>
          <w:sz w:val="20"/>
          <w:szCs w:val="20"/>
          <w:vertAlign w:val="superscript"/>
          <w:lang w:val="es-ES"/>
        </w:rPr>
        <w:footnoteReference w:id="4"/>
      </w:r>
    </w:p>
    <w:p w:rsidRPr="00667CD6" w:rsidR="00977C70" w:rsidP="00670659" w:rsidRDefault="00977C70" w14:paraId="5EBEAD8D" w14:textId="77777777">
      <w:pPr>
        <w:spacing w:after="0" w:line="276" w:lineRule="auto"/>
        <w:ind w:left="709" w:right="709"/>
        <w:jc w:val="both"/>
        <w:rPr>
          <w:rFonts w:ascii="Verdana" w:hAnsi="Verdana" w:eastAsia="Times New Roman" w:cs="Arial"/>
          <w:sz w:val="20"/>
          <w:szCs w:val="20"/>
          <w:lang w:val="es-ES" w:eastAsia="es-CO"/>
        </w:rPr>
      </w:pPr>
    </w:p>
    <w:p w:rsidRPr="00667CD6" w:rsidR="00977C70" w:rsidP="00977C70" w:rsidRDefault="00977C70" w14:paraId="3E315805" w14:textId="77777777">
      <w:pPr>
        <w:spacing w:after="0" w:line="276" w:lineRule="auto"/>
        <w:ind w:firstLine="709"/>
        <w:jc w:val="both"/>
        <w:rPr>
          <w:rFonts w:ascii="Verdana" w:hAnsi="Verdana" w:eastAsia="Times New Roman" w:cs="Arial"/>
          <w:lang w:val="es-ES" w:eastAsia="es-CO"/>
        </w:rPr>
      </w:pPr>
      <w:r w:rsidRPr="00667CD6">
        <w:rPr>
          <w:rFonts w:ascii="Verdana" w:hAnsi="Verdana" w:eastAsia="Times New Roman"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rsidRPr="00667CD6" w:rsidR="00977C70" w:rsidP="00977C70" w:rsidRDefault="00977C70" w14:paraId="060A7E1A" w14:textId="77777777">
      <w:pPr>
        <w:spacing w:after="0" w:line="276" w:lineRule="auto"/>
        <w:ind w:firstLine="709"/>
        <w:jc w:val="both"/>
        <w:rPr>
          <w:rFonts w:ascii="Verdana" w:hAnsi="Verdana" w:eastAsia="Times New Roman" w:cs="Arial"/>
          <w:lang w:val="es-ES" w:eastAsia="es-CO"/>
        </w:rPr>
      </w:pPr>
    </w:p>
    <w:p w:rsidRPr="00667CD6" w:rsidR="00977C70" w:rsidP="00977C70" w:rsidRDefault="00977C70" w14:paraId="5B946D75" w14:textId="77777777">
      <w:pPr>
        <w:spacing w:after="0" w:line="240" w:lineRule="auto"/>
        <w:ind w:left="709" w:right="709"/>
        <w:jc w:val="both"/>
        <w:rPr>
          <w:rFonts w:ascii="Verdana" w:hAnsi="Verdana" w:eastAsia="Times New Roman" w:cs="Arial"/>
          <w:sz w:val="20"/>
          <w:szCs w:val="20"/>
          <w:lang w:val="es-ES" w:eastAsia="es-CO"/>
        </w:rPr>
      </w:pPr>
      <w:r w:rsidRPr="00667CD6">
        <w:rPr>
          <w:rFonts w:ascii="Verdana" w:hAnsi="Verdana" w:eastAsia="Times New Roman"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667CD6">
        <w:rPr>
          <w:rFonts w:ascii="Verdana" w:hAnsi="Verdana" w:eastAsia="Times New Roman" w:cs="Arial"/>
          <w:sz w:val="20"/>
          <w:szCs w:val="20"/>
          <w:lang w:val="es-ES" w:eastAsia="es-CO"/>
        </w:rPr>
        <w:t>legis</w:t>
      </w:r>
      <w:proofErr w:type="spellEnd"/>
      <w:r w:rsidRPr="00667CD6">
        <w:rPr>
          <w:rFonts w:ascii="Verdana" w:hAnsi="Verdana" w:eastAsia="Times New Roman"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rsidRPr="00667CD6" w:rsidR="00977C70" w:rsidP="00977C70" w:rsidRDefault="00977C70" w14:paraId="6837FC51" w14:textId="77777777">
      <w:pPr>
        <w:spacing w:after="0" w:line="240" w:lineRule="auto"/>
        <w:ind w:right="709"/>
        <w:jc w:val="both"/>
        <w:rPr>
          <w:rFonts w:ascii="Verdana" w:hAnsi="Verdana" w:eastAsia="Times New Roman" w:cs="Arial"/>
          <w:lang w:val="es-ES" w:eastAsia="es-CO"/>
        </w:rPr>
      </w:pPr>
    </w:p>
    <w:p w:rsidRPr="00667CD6" w:rsidR="00977C70" w:rsidP="00977C70" w:rsidRDefault="00977C70" w14:paraId="46D78EF6" w14:textId="77777777">
      <w:pPr>
        <w:spacing w:after="0" w:line="240" w:lineRule="auto"/>
        <w:ind w:left="709" w:right="709"/>
        <w:jc w:val="both"/>
        <w:rPr>
          <w:rFonts w:ascii="Verdana" w:hAnsi="Verdana" w:eastAsia="Times New Roman" w:cs="Arial"/>
          <w:sz w:val="20"/>
          <w:szCs w:val="20"/>
          <w:lang w:val="es-ES" w:eastAsia="es-CO"/>
        </w:rPr>
      </w:pPr>
      <w:r w:rsidRPr="00667CD6">
        <w:rPr>
          <w:rFonts w:ascii="Verdana" w:hAnsi="Verdana" w:eastAsia="Times New Roman" w:cs="Arial"/>
          <w:sz w:val="20"/>
          <w:szCs w:val="20"/>
          <w:lang w:val="es-ES" w:eastAsia="es-CO"/>
        </w:rPr>
        <w:lastRenderedPageBreak/>
        <w:t>La jurisprudencia de la Corte Constitucional</w:t>
      </w:r>
      <w:r w:rsidRPr="00667CD6">
        <w:rPr>
          <w:rFonts w:ascii="Verdana" w:hAnsi="Verdana" w:eastAsia="Times New Roman" w:cs="Arial"/>
          <w:sz w:val="20"/>
          <w:szCs w:val="20"/>
          <w:vertAlign w:val="superscript"/>
          <w:lang w:val="es-ES" w:eastAsia="es-CO"/>
        </w:rPr>
        <w:footnoteReference w:id="5"/>
      </w:r>
      <w:r w:rsidRPr="00667CD6">
        <w:rPr>
          <w:rFonts w:ascii="Verdana" w:hAnsi="Verdana" w:eastAsia="Times New Roman" w:cs="Arial"/>
          <w:sz w:val="20"/>
          <w:szCs w:val="20"/>
          <w:lang w:val="es-ES" w:eastAsia="es-CO"/>
        </w:rPr>
        <w:t> y del Consejo de Estado</w:t>
      </w:r>
      <w:r w:rsidRPr="00667CD6">
        <w:rPr>
          <w:rFonts w:ascii="Verdana" w:hAnsi="Verdana" w:eastAsia="Times New Roman" w:cs="Arial"/>
          <w:sz w:val="20"/>
          <w:szCs w:val="20"/>
          <w:vertAlign w:val="superscript"/>
          <w:lang w:val="es-ES" w:eastAsia="es-CO"/>
        </w:rPr>
        <w:footnoteReference w:id="6"/>
      </w:r>
      <w:r w:rsidRPr="00667CD6">
        <w:rPr>
          <w:rFonts w:ascii="Verdana" w:hAnsi="Verdana" w:eastAsia="Times New Roman"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667CD6">
        <w:rPr>
          <w:rFonts w:ascii="Verdana" w:hAnsi="Verdana" w:eastAsia="Times New Roman" w:cs="Arial"/>
          <w:sz w:val="20"/>
          <w:szCs w:val="20"/>
          <w:vertAlign w:val="superscript"/>
          <w:lang w:val="es-ES" w:eastAsia="es-CO"/>
        </w:rPr>
        <w:footnoteReference w:id="7"/>
      </w:r>
      <w:r w:rsidRPr="00667CD6">
        <w:rPr>
          <w:rFonts w:ascii="Verdana" w:hAnsi="Verdana" w:eastAsia="Times New Roman" w:cs="Arial"/>
          <w:sz w:val="20"/>
          <w:szCs w:val="20"/>
          <w:lang w:val="es-ES" w:eastAsia="es-CO"/>
        </w:rPr>
        <w:t>.</w:t>
      </w:r>
    </w:p>
    <w:p w:rsidRPr="00667CD6" w:rsidR="00977C70" w:rsidP="00977C70" w:rsidRDefault="00977C70" w14:paraId="56943D8C" w14:textId="77777777">
      <w:pPr>
        <w:spacing w:after="0" w:line="276" w:lineRule="auto"/>
        <w:jc w:val="both"/>
        <w:rPr>
          <w:rFonts w:ascii="Verdana" w:hAnsi="Verdana" w:cs="Arial"/>
          <w:bCs/>
          <w:lang w:val="es-ES"/>
        </w:rPr>
      </w:pPr>
    </w:p>
    <w:p w:rsidRPr="00667CD6" w:rsidR="005326E2" w:rsidP="005326E2" w:rsidRDefault="00977C70" w14:paraId="2C53B784" w14:textId="77777777">
      <w:pPr>
        <w:spacing w:after="120" w:line="276" w:lineRule="auto"/>
        <w:ind w:firstLine="709"/>
        <w:jc w:val="both"/>
        <w:rPr>
          <w:rFonts w:ascii="Verdana" w:hAnsi="Verdana" w:eastAsia="Arial" w:cs="Arial"/>
          <w:lang w:val="es-ES" w:eastAsia="es-ES" w:bidi="es-ES"/>
        </w:rPr>
      </w:pPr>
      <w:r w:rsidRPr="00667CD6">
        <w:rPr>
          <w:rFonts w:ascii="Verdana" w:hAnsi="Verdana" w:eastAsia="Times New Roman" w:cs="Arial"/>
          <w:lang w:val="es-ES" w:eastAsia="es-CO"/>
        </w:rPr>
        <w:t>De</w:t>
      </w:r>
      <w:r w:rsidRPr="00667CD6">
        <w:rPr>
          <w:rFonts w:ascii="Verdana" w:hAnsi="Verdana" w:eastAsia="Arial"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w:t>
      </w:r>
    </w:p>
    <w:p w:rsidRPr="00667CD6" w:rsidR="005326E2" w:rsidP="005326E2" w:rsidRDefault="00AD5EA6" w14:paraId="308BB9BC" w14:textId="2D6FAF34">
      <w:pPr>
        <w:spacing w:after="120" w:line="276" w:lineRule="auto"/>
        <w:ind w:firstLine="709"/>
        <w:jc w:val="both"/>
        <w:rPr>
          <w:rFonts w:ascii="Verdana" w:hAnsi="Verdana" w:eastAsia="Arial" w:cs="Arial"/>
          <w:lang w:val="es-ES" w:eastAsia="es-ES" w:bidi="es-ES"/>
        </w:rPr>
      </w:pPr>
      <w:r w:rsidRPr="00667CD6">
        <w:rPr>
          <w:rFonts w:ascii="Verdana" w:hAnsi="Verdana" w:eastAsia="Arial" w:cs="Arial"/>
          <w:lang w:val="es-ES" w:eastAsia="es-ES" w:bidi="es-ES"/>
        </w:rPr>
        <w:t>En ese orden, l</w:t>
      </w:r>
      <w:r w:rsidRPr="00667CD6" w:rsidR="005326E2">
        <w:rPr>
          <w:rFonts w:ascii="Verdana" w:hAnsi="Verdana" w:eastAsia="Arial" w:cs="Arial"/>
          <w:lang w:val="es-ES" w:eastAsia="es-ES" w:bidi="es-ES"/>
        </w:rPr>
        <w:t xml:space="preserve">as restricciones consagradas en la Ley de Garantías </w:t>
      </w:r>
      <w:r w:rsidR="00375F99">
        <w:rPr>
          <w:rFonts w:ascii="Verdana" w:hAnsi="Verdana" w:eastAsia="Arial" w:cs="Arial"/>
          <w:lang w:val="es-ES" w:eastAsia="es-ES" w:bidi="es-ES"/>
        </w:rPr>
        <w:t xml:space="preserve">Electorales </w:t>
      </w:r>
      <w:r w:rsidRPr="00667CD6" w:rsidR="005326E2">
        <w:rPr>
          <w:rFonts w:ascii="Verdana" w:hAnsi="Verdana" w:eastAsia="Arial" w:cs="Arial"/>
          <w:lang w:val="es-ES" w:eastAsia="es-ES" w:bidi="es-ES"/>
        </w:rPr>
        <w:t>se dirigen a dos (2) tipos de campañas electorales diferenciadas: las presidenciales y las que se adelanten para la elección de los demás cargos de elección popular, tanto a nivel nacional como territorial.</w:t>
      </w:r>
    </w:p>
    <w:p w:rsidRPr="00667CD6" w:rsidR="000E1F63" w:rsidP="000E1F63" w:rsidRDefault="000E1F63" w14:paraId="5F3B1444" w14:textId="77777777">
      <w:pPr>
        <w:spacing w:after="120" w:line="276" w:lineRule="auto"/>
        <w:ind w:firstLine="708"/>
        <w:jc w:val="both"/>
        <w:rPr>
          <w:rFonts w:ascii="Verdana" w:hAnsi="Verdana" w:cs="Arial"/>
          <w:lang w:val="es-ES"/>
        </w:rPr>
      </w:pPr>
      <w:r w:rsidRPr="00667CD6">
        <w:rPr>
          <w:rFonts w:ascii="Verdana" w:hAnsi="Verdana" w:cs="Arial"/>
          <w:lang w:val="es-ES"/>
        </w:rPr>
        <w:t xml:space="preserve">Por un lado, el </w:t>
      </w:r>
      <w:r w:rsidRPr="00667CD6">
        <w:rPr>
          <w:rFonts w:ascii="Verdana" w:hAnsi="Verdana" w:cs="Arial"/>
          <w:i/>
          <w:iCs/>
          <w:lang w:val="es-ES"/>
        </w:rPr>
        <w:t xml:space="preserve">artículo 33 </w:t>
      </w:r>
      <w:r w:rsidRPr="00667CD6">
        <w:rPr>
          <w:rFonts w:ascii="Verdana" w:hAnsi="Verdana" w:cs="Arial"/>
          <w:lang w:val="es-ES"/>
        </w:rPr>
        <w:t xml:space="preserve">de la Ley 996 de 2005 prohíbe “[…] la contratación directa por parte de </w:t>
      </w:r>
      <w:r w:rsidRPr="00667CD6">
        <w:rPr>
          <w:rFonts w:ascii="Verdana" w:hAnsi="Verdana" w:cs="Arial"/>
          <w:i/>
          <w:iCs/>
          <w:lang w:val="es-ES"/>
        </w:rPr>
        <w:t>todos los entes del Estado</w:t>
      </w:r>
      <w:r w:rsidRPr="00667CD6">
        <w:rPr>
          <w:rFonts w:ascii="Verdana" w:hAnsi="Verdana" w:cs="Arial"/>
          <w:lang w:val="es-ES"/>
        </w:rPr>
        <w:t xml:space="preserve">” durante los cuatro (4) meses anteriores a las </w:t>
      </w:r>
      <w:r w:rsidRPr="00667CD6">
        <w:rPr>
          <w:rFonts w:ascii="Verdana" w:hAnsi="Verdana" w:cs="Arial"/>
          <w:i/>
          <w:iCs/>
          <w:lang w:val="es-ES"/>
        </w:rPr>
        <w:t>elecciones presidenciales</w:t>
      </w:r>
      <w:r w:rsidRPr="00667CD6">
        <w:rPr>
          <w:rFonts w:ascii="Verdana" w:hAnsi="Verdana" w:cs="Arial"/>
          <w:lang w:val="es-ES"/>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667CD6">
        <w:rPr>
          <w:rFonts w:ascii="Verdana" w:hAnsi="Verdana" w:cs="Arial"/>
          <w:lang w:val="es-ES"/>
        </w:rPr>
        <w:lastRenderedPageBreak/>
        <w:t>energética y de comunicaciones, en caso de que hayan sido objeto de atentados, acciones terroristas, desastres naturales o casos de fuerza mayor, y los que deban realizar las entidades sanitarias y hospitalarias”</w:t>
      </w:r>
      <w:r w:rsidRPr="00667CD6">
        <w:rPr>
          <w:rFonts w:ascii="Verdana" w:hAnsi="Verdana" w:cs="Arial"/>
          <w:vertAlign w:val="superscript"/>
          <w:lang w:val="es-ES"/>
        </w:rPr>
        <w:footnoteReference w:id="8"/>
      </w:r>
      <w:r w:rsidRPr="00667CD6">
        <w:rPr>
          <w:rFonts w:ascii="Verdana" w:hAnsi="Verdana" w:cs="Arial"/>
          <w:lang w:val="es-ES"/>
        </w:rPr>
        <w:t>.</w:t>
      </w:r>
    </w:p>
    <w:p w:rsidRPr="00667CD6" w:rsidR="00EE3400" w:rsidP="00EE3400" w:rsidRDefault="00EE3400" w14:paraId="67626177" w14:textId="77777777">
      <w:pPr>
        <w:widowControl w:val="0"/>
        <w:autoSpaceDE w:val="0"/>
        <w:autoSpaceDN w:val="0"/>
        <w:spacing w:after="120" w:line="276" w:lineRule="auto"/>
        <w:ind w:right="113" w:firstLine="709"/>
        <w:jc w:val="both"/>
        <w:rPr>
          <w:rFonts w:ascii="Verdana" w:hAnsi="Verdana" w:eastAsia="Arial" w:cs="Arial"/>
          <w:lang w:val="es-ES" w:eastAsia="es-ES" w:bidi="es-ES"/>
        </w:rPr>
      </w:pPr>
      <w:r w:rsidRPr="00667CD6">
        <w:rPr>
          <w:rFonts w:ascii="Verdana" w:hAnsi="Verdana" w:cs="Arial"/>
          <w:lang w:val="es-ES"/>
        </w:rPr>
        <w:t xml:space="preserve">Por otro lado, </w:t>
      </w:r>
      <w:r w:rsidRPr="00667CD6">
        <w:rPr>
          <w:rFonts w:ascii="Verdana" w:hAnsi="Verdana" w:cs="Arial"/>
          <w:i/>
          <w:iCs/>
          <w:lang w:val="es-ES"/>
        </w:rPr>
        <w:t xml:space="preserve">el parágrafo del artículo 38 </w:t>
      </w:r>
      <w:r w:rsidRPr="00667CD6">
        <w:rPr>
          <w:rFonts w:ascii="Verdana" w:hAnsi="Verdana" w:cs="Arial"/>
          <w:lang w:val="es-ES"/>
        </w:rPr>
        <w:t xml:space="preserve">de la Ley 996 de 2005 prevé una restricción, aplicable respecto de </w:t>
      </w:r>
      <w:r w:rsidRPr="00667CD6">
        <w:rPr>
          <w:rFonts w:ascii="Verdana" w:hAnsi="Verdana" w:cs="Arial"/>
          <w:i/>
          <w:iCs/>
          <w:lang w:val="es-ES"/>
        </w:rPr>
        <w:t>cualquier tipo de contienda electoral</w:t>
      </w:r>
      <w:r w:rsidRPr="00667CD6">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67CD6">
        <w:rPr>
          <w:rFonts w:ascii="Verdana" w:hAnsi="Verdana" w:cs="Arial"/>
          <w:vertAlign w:val="superscript"/>
          <w:lang w:val="es-ES"/>
        </w:rPr>
        <w:footnoteReference w:id="9"/>
      </w:r>
      <w:r w:rsidRPr="00667CD6">
        <w:rPr>
          <w:rFonts w:ascii="Verdana" w:hAnsi="Verdana" w:cs="Arial"/>
          <w:lang w:val="es-ES"/>
        </w:rPr>
        <w:t>.</w:t>
      </w:r>
      <w:r w:rsidRPr="00667CD6">
        <w:rPr>
          <w:rFonts w:ascii="Verdana" w:hAnsi="Verdana" w:eastAsia="Arial" w:cs="Arial"/>
          <w:lang w:val="es-ES" w:eastAsia="es-ES" w:bidi="es-ES"/>
        </w:rPr>
        <w:t xml:space="preserve"> </w:t>
      </w:r>
    </w:p>
    <w:p w:rsidRPr="00667CD6" w:rsidR="00DC40E9" w:rsidP="00DC40E9" w:rsidRDefault="00DC40E9" w14:paraId="263EE3BD" w14:textId="77777777">
      <w:pPr>
        <w:widowControl w:val="0"/>
        <w:autoSpaceDE w:val="0"/>
        <w:autoSpaceDN w:val="0"/>
        <w:spacing w:after="0" w:line="276" w:lineRule="auto"/>
        <w:ind w:right="113" w:firstLine="708"/>
        <w:contextualSpacing/>
        <w:jc w:val="both"/>
        <w:rPr>
          <w:rFonts w:ascii="Verdana" w:hAnsi="Verdana" w:eastAsia="Arial" w:cs="Arial"/>
          <w:lang w:val="es-ES" w:eastAsia="es-ES" w:bidi="es-ES"/>
        </w:rPr>
      </w:pPr>
      <w:r w:rsidRPr="00667CD6">
        <w:rPr>
          <w:rFonts w:ascii="Verdana" w:hAnsi="Verdana" w:eastAsia="Arial"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rsidRPr="00667CD6" w:rsidR="00DC40E9" w:rsidP="00DC40E9" w:rsidRDefault="00DC40E9" w14:paraId="55B3830E" w14:textId="77777777">
      <w:pPr>
        <w:widowControl w:val="0"/>
        <w:autoSpaceDE w:val="0"/>
        <w:autoSpaceDN w:val="0"/>
        <w:spacing w:after="0" w:line="240" w:lineRule="auto"/>
        <w:ind w:left="805" w:right="812"/>
        <w:contextualSpacing/>
        <w:jc w:val="both"/>
        <w:rPr>
          <w:rFonts w:ascii="Verdana" w:hAnsi="Verdana" w:eastAsia="Arial" w:cs="Arial"/>
          <w:lang w:val="es-ES" w:eastAsia="es-ES" w:bidi="es-ES"/>
        </w:rPr>
      </w:pPr>
    </w:p>
    <w:p w:rsidRPr="00667CD6" w:rsidR="000E1F63" w:rsidP="00395E08" w:rsidRDefault="00DC40E9" w14:paraId="238277CF" w14:textId="01461DE1">
      <w:pPr>
        <w:widowControl w:val="0"/>
        <w:autoSpaceDE w:val="0"/>
        <w:autoSpaceDN w:val="0"/>
        <w:spacing w:after="0" w:line="240" w:lineRule="auto"/>
        <w:ind w:left="709" w:right="709"/>
        <w:jc w:val="both"/>
        <w:rPr>
          <w:rFonts w:ascii="Verdana" w:hAnsi="Verdana" w:eastAsia="Arial" w:cs="Arial"/>
          <w:sz w:val="20"/>
          <w:szCs w:val="20"/>
          <w:lang w:val="es-ES" w:eastAsia="es-ES" w:bidi="es-ES"/>
        </w:rPr>
      </w:pPr>
      <w:r w:rsidRPr="00667CD6">
        <w:rPr>
          <w:rFonts w:ascii="Verdana" w:hAnsi="Verdana" w:eastAsia="Arial"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w:t>
      </w:r>
      <w:r w:rsidRPr="00667CD6">
        <w:rPr>
          <w:rFonts w:ascii="Verdana" w:hAnsi="Verdana" w:eastAsia="Arial" w:cs="Arial"/>
          <w:sz w:val="20"/>
          <w:szCs w:val="20"/>
          <w:lang w:val="es-ES" w:eastAsia="es-ES" w:bidi="es-ES"/>
        </w:rPr>
        <w:lastRenderedPageBreak/>
        <w:t>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667CD6">
        <w:rPr>
          <w:rFonts w:ascii="Verdana" w:hAnsi="Verdana" w:eastAsia="Arial" w:cs="Arial"/>
          <w:sz w:val="20"/>
          <w:szCs w:val="20"/>
          <w:vertAlign w:val="superscript"/>
          <w:lang w:val="es-ES" w:eastAsia="es-ES" w:bidi="es-ES"/>
        </w:rPr>
        <w:footnoteReference w:id="10"/>
      </w:r>
    </w:p>
    <w:p w:rsidRPr="00667CD6" w:rsidR="00395E08" w:rsidP="00395E08" w:rsidRDefault="00395E08" w14:paraId="43D6E456" w14:textId="77777777">
      <w:pPr>
        <w:widowControl w:val="0"/>
        <w:autoSpaceDE w:val="0"/>
        <w:autoSpaceDN w:val="0"/>
        <w:spacing w:after="0" w:line="240" w:lineRule="auto"/>
        <w:ind w:left="709" w:right="709"/>
        <w:jc w:val="both"/>
        <w:rPr>
          <w:rFonts w:ascii="Verdana" w:hAnsi="Verdana" w:eastAsia="Arial" w:cs="Arial"/>
          <w:sz w:val="20"/>
          <w:szCs w:val="20"/>
          <w:lang w:val="es-ES" w:eastAsia="es-ES" w:bidi="es-ES"/>
        </w:rPr>
      </w:pPr>
    </w:p>
    <w:p w:rsidRPr="00667CD6" w:rsidR="00395E08" w:rsidP="00395E08" w:rsidRDefault="00395E08" w14:paraId="5E78F839" w14:textId="4770806D">
      <w:pPr>
        <w:spacing w:after="120" w:line="276" w:lineRule="auto"/>
        <w:ind w:firstLine="709"/>
        <w:jc w:val="both"/>
        <w:rPr>
          <w:rFonts w:ascii="Verdana" w:hAnsi="Verdana" w:eastAsia="Arial" w:cs="Arial"/>
          <w:lang w:val="es-ES" w:eastAsia="es-ES" w:bidi="es-ES"/>
        </w:rPr>
      </w:pPr>
      <w:r w:rsidRPr="00667CD6">
        <w:rPr>
          <w:rFonts w:ascii="Verdana" w:hAnsi="Verdana" w:eastAsia="Arial" w:cs="Arial"/>
          <w:lang w:val="es-ES" w:eastAsia="es-ES" w:bidi="es-ES"/>
        </w:rPr>
        <w:t xml:space="preserve">De conformidad con lo anterior, la Ley 996 de 2005 establece dos (2) tipos de restricciones en materia de contratación, las cuales coinciden parcialmente. </w:t>
      </w:r>
      <w:r w:rsidRPr="00667CD6">
        <w:rPr>
          <w:rFonts w:ascii="Verdana" w:hAnsi="Verdana" w:eastAsia="Arial" w:cs="Arial"/>
          <w:i/>
          <w:lang w:val="es-ES" w:eastAsia="es-ES" w:bidi="es-ES"/>
        </w:rPr>
        <w:t>En primer lugar</w:t>
      </w:r>
      <w:r w:rsidRPr="00667CD6">
        <w:rPr>
          <w:rFonts w:ascii="Verdana" w:hAnsi="Verdana" w:eastAsia="Arial"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667CD6">
        <w:rPr>
          <w:rFonts w:ascii="Verdana" w:hAnsi="Verdana" w:eastAsia="Arial" w:cs="Arial"/>
          <w:i/>
          <w:lang w:val="es-ES" w:eastAsia="es-ES" w:bidi="es-ES"/>
        </w:rPr>
        <w:t>En segundo lugar</w:t>
      </w:r>
      <w:r w:rsidRPr="00667CD6">
        <w:rPr>
          <w:rFonts w:ascii="Verdana" w:hAnsi="Verdana" w:eastAsia="Arial"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rsidRPr="00667CD6" w:rsidR="007549A2" w:rsidP="007549A2" w:rsidRDefault="007549A2" w14:paraId="3181FC4C" w14:textId="77777777">
      <w:pPr>
        <w:spacing w:after="120" w:line="276" w:lineRule="auto"/>
        <w:ind w:firstLine="709"/>
        <w:jc w:val="both"/>
        <w:rPr>
          <w:rFonts w:ascii="Verdana" w:hAnsi="Verdana" w:eastAsia="Arial" w:cs="Arial"/>
          <w:lang w:val="es-ES" w:eastAsia="es-ES" w:bidi="es-ES"/>
        </w:rPr>
      </w:pPr>
      <w:r w:rsidRPr="00667CD6">
        <w:rPr>
          <w:rFonts w:ascii="Verdana" w:hAnsi="Verdana" w:eastAsia="Arial"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rsidRPr="00667CD6" w:rsidR="007201A6" w:rsidP="007201A6" w:rsidRDefault="00C71DB3" w14:paraId="49E41880" w14:textId="77777777">
      <w:pPr>
        <w:spacing w:after="120" w:line="276" w:lineRule="auto"/>
        <w:ind w:firstLine="709"/>
        <w:jc w:val="both"/>
        <w:rPr>
          <w:rFonts w:ascii="Verdana" w:hAnsi="Verdana" w:eastAsia="Arial" w:cs="Arial"/>
          <w:lang w:val="es-ES" w:eastAsia="es-ES" w:bidi="es-ES"/>
        </w:rPr>
      </w:pPr>
      <w:r w:rsidRPr="00667CD6">
        <w:rPr>
          <w:rFonts w:ascii="Verdana" w:hAnsi="Verdana" w:eastAsia="Arial" w:cs="Arial"/>
          <w:lang w:val="es-ES" w:eastAsia="es-ES" w:bidi="es-ES"/>
        </w:rPr>
        <w:lastRenderedPageBreak/>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rsidRPr="00667CD6" w:rsidR="00417BAA" w:rsidP="00D5046A" w:rsidRDefault="00417BAA" w14:paraId="113C401D" w14:textId="22789C4E">
      <w:pPr>
        <w:spacing w:after="120" w:line="276" w:lineRule="auto"/>
        <w:ind w:firstLine="709"/>
        <w:jc w:val="both"/>
        <w:rPr>
          <w:rFonts w:ascii="Verdana" w:hAnsi="Verdana" w:cs="Arial"/>
          <w:lang w:val="es-ES"/>
        </w:rPr>
      </w:pPr>
      <w:r w:rsidRPr="00667CD6">
        <w:rPr>
          <w:rFonts w:ascii="Verdana" w:hAnsi="Verdana" w:cs="Arial"/>
          <w:lang w:val="es-ES"/>
        </w:rPr>
        <w:t>Ahora bien,</w:t>
      </w:r>
      <w:r w:rsidRPr="00667CD6" w:rsidR="007201A6">
        <w:rPr>
          <w:rFonts w:ascii="Verdana" w:hAnsi="Verdana" w:cs="Arial"/>
          <w:lang w:val="es-ES"/>
        </w:rPr>
        <w:t xml:space="preserve"> para proceder a dar respuesta a la consulta elevada</w:t>
      </w:r>
      <w:r w:rsidRPr="00667CD6" w:rsidR="00162D75">
        <w:rPr>
          <w:rFonts w:ascii="Verdana" w:hAnsi="Verdana" w:cs="Arial"/>
          <w:lang w:val="es-ES"/>
        </w:rPr>
        <w:t>,</w:t>
      </w:r>
      <w:r w:rsidRPr="00667CD6" w:rsidR="007201A6">
        <w:rPr>
          <w:rFonts w:ascii="Verdana" w:hAnsi="Verdana" w:cs="Arial"/>
          <w:lang w:val="es-ES"/>
        </w:rPr>
        <w:t xml:space="preserve"> </w:t>
      </w:r>
      <w:r w:rsidRPr="00667CD6" w:rsidR="00D5046A">
        <w:rPr>
          <w:rFonts w:ascii="Verdana" w:hAnsi="Verdana" w:cs="Arial"/>
          <w:lang w:val="es-ES"/>
        </w:rPr>
        <w:t xml:space="preserve">debe indicarse que </w:t>
      </w:r>
      <w:r w:rsidRPr="00667CD6">
        <w:rPr>
          <w:rFonts w:ascii="Verdana" w:hAnsi="Verdana" w:cs="Arial"/>
          <w:lang w:val="es-ES"/>
        </w:rPr>
        <w:t xml:space="preserve">respecto del alcance del parágrafo </w:t>
      </w:r>
      <w:r w:rsidRPr="00667CD6">
        <w:rPr>
          <w:rFonts w:ascii="Verdana" w:hAnsi="Verdana" w:cs="Arial"/>
        </w:rPr>
        <w:t xml:space="preserve">del artículo 38 de la Ley 996 de 2005, esta prohibición dispone </w:t>
      </w:r>
      <w:r w:rsidR="00460D68">
        <w:rPr>
          <w:rFonts w:ascii="Verdana" w:hAnsi="Verdana" w:cs="Arial"/>
        </w:rPr>
        <w:t xml:space="preserve">en primera medida </w:t>
      </w:r>
      <w:r w:rsidRPr="00667CD6">
        <w:rPr>
          <w:rFonts w:ascii="Verdana" w:hAnsi="Verdana" w:cs="Arial"/>
        </w:rPr>
        <w:t xml:space="preserve">que: “[l]os Gobernadores, Alcaldes Municipales y/o Distritales, Secretarios, Gerentes y directores de Entidades Descentralizadas del orden Municipal, Departamental o Distrital, dentro de los cuatro (4) meses anteriores a las elecciones, no podrán celebrar </w:t>
      </w:r>
      <w:r w:rsidRPr="00667CD6">
        <w:rPr>
          <w:rFonts w:ascii="Verdana" w:hAnsi="Verdana" w:cs="Arial"/>
          <w:i/>
          <w:iCs/>
        </w:rPr>
        <w:t>convenios interadministrativos</w:t>
      </w:r>
      <w:r w:rsidRPr="00667CD6">
        <w:rPr>
          <w:rFonts w:ascii="Verdana" w:hAnsi="Verdana" w:cs="Arial"/>
        </w:rPr>
        <w:t xml:space="preserve"> </w:t>
      </w:r>
      <w:r w:rsidRPr="00667CD6">
        <w:rPr>
          <w:rFonts w:ascii="Verdana" w:hAnsi="Verdana" w:cs="Arial"/>
          <w:i/>
          <w:iCs/>
        </w:rPr>
        <w:t>para la ejecución de recursos públicos</w:t>
      </w:r>
      <w:r w:rsidRPr="00667CD6">
        <w:rPr>
          <w:rFonts w:ascii="Verdana" w:hAnsi="Verdana" w:cs="Arial"/>
        </w:rPr>
        <w:t>”.</w:t>
      </w:r>
      <w:r w:rsidRPr="00667CD6">
        <w:rPr>
          <w:rFonts w:ascii="Verdana" w:hAnsi="Verdana" w:eastAsia="Times New Roman" w:cs="Arial"/>
          <w:lang w:val="es-MX" w:eastAsia="x-none"/>
        </w:rPr>
        <w:t xml:space="preserve"> [Énfasis fuera del texto original]</w:t>
      </w:r>
    </w:p>
    <w:p w:rsidRPr="00667CD6" w:rsidR="00417BAA" w:rsidP="00417BAA" w:rsidRDefault="00417BAA" w14:paraId="4F74620A" w14:textId="77777777">
      <w:pPr>
        <w:spacing w:after="120" w:line="276" w:lineRule="auto"/>
        <w:ind w:firstLine="709"/>
        <w:jc w:val="both"/>
        <w:rPr>
          <w:rFonts w:ascii="Verdana" w:hAnsi="Verdana" w:cs="Arial"/>
          <w:lang w:eastAsia="es-ES"/>
        </w:rPr>
      </w:pPr>
      <w:r w:rsidRPr="2035D652">
        <w:rPr>
          <w:rFonts w:ascii="Verdana" w:hAnsi="Verdana" w:eastAsia="Times New Roman" w:cs="Arial"/>
          <w:lang w:val="es-ES" w:eastAsia="es-ES"/>
        </w:rPr>
        <w:t xml:space="preserve">Para tales efectos, debe precisarse que </w:t>
      </w:r>
      <w:r w:rsidRPr="00667CD6">
        <w:rPr>
          <w:rFonts w:ascii="Verdana" w:hAnsi="Verdana" w:eastAsia="Times New Roman"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11"/>
      </w:r>
      <w:r w:rsidRPr="00667CD6">
        <w:rPr>
          <w:rFonts w:ascii="Verdana" w:hAnsi="Verdana" w:cs="Arial"/>
          <w:lang w:eastAsia="es-ES"/>
        </w:rPr>
        <w:t>.</w:t>
      </w:r>
    </w:p>
    <w:p w:rsidRPr="00667CD6" w:rsidR="00417BAA" w:rsidP="00417BAA" w:rsidRDefault="00417BAA" w14:paraId="3EE1FABE" w14:textId="77777777">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 xml:space="preserve">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w:t>
      </w:r>
      <w:r w:rsidRPr="00667CD6">
        <w:rPr>
          <w:rFonts w:ascii="Verdana" w:hAnsi="Verdana" w:cs="Arial"/>
          <w:color w:val="000000" w:themeColor="text1"/>
          <w:lang w:val="es-ES_tradnl"/>
        </w:rPr>
        <w:lastRenderedPageBreak/>
        <w:t>80 de 1993 – como es el caso de un municipio – bien puede celebrar esta clase de convenios con una Entidad Estatal de régimen especial y no por ello dejará de ser un contrato o convenio interadministrativo.</w:t>
      </w:r>
    </w:p>
    <w:p w:rsidRPr="00667CD6" w:rsidR="00417BAA" w:rsidP="00417BAA" w:rsidRDefault="00417BAA" w14:paraId="7E5D0E15" w14:textId="77777777">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12"/>
      </w:r>
      <w:r w:rsidRPr="2035D652">
        <w:rPr>
          <w:rFonts w:ascii="Verdana" w:hAnsi="Verdana" w:cs="Arial"/>
          <w:lang w:val="es-ES"/>
        </w:rPr>
        <w:t>. Nótese que, en este caso, lo que cambia es la modalidad de selección y no la naturaleza de contrato interadministrativo.</w:t>
      </w:r>
    </w:p>
    <w:p w:rsidRPr="00667CD6" w:rsidR="00417BAA" w:rsidP="00417BAA" w:rsidRDefault="00417BAA" w14:paraId="52F22B45" w14:textId="77777777">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13"/>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rsidRPr="00667CD6" w:rsidR="00417BAA" w:rsidP="00417BAA" w:rsidRDefault="00417BAA" w14:paraId="2F72E8C8" w14:textId="77777777">
      <w:pPr>
        <w:spacing w:before="120" w:after="0" w:line="276" w:lineRule="auto"/>
        <w:ind w:firstLine="708"/>
        <w:jc w:val="both"/>
        <w:rPr>
          <w:rFonts w:ascii="Verdana" w:hAnsi="Verdana"/>
          <w:sz w:val="24"/>
          <w:szCs w:val="24"/>
          <w:lang w:eastAsia="es-CO"/>
        </w:rPr>
      </w:pPr>
      <w:r w:rsidRPr="2035D652">
        <w:rPr>
          <w:rFonts w:ascii="Verdana" w:hAnsi="Verdana" w:cs="Arial"/>
          <w:lang w:val="es-ES"/>
        </w:rPr>
        <w:t xml:space="preserve">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w:t>
      </w:r>
      <w:r w:rsidRPr="2035D652">
        <w:rPr>
          <w:rFonts w:ascii="Verdana" w:hAnsi="Verdana" w:cs="Arial"/>
          <w:lang w:val="es-ES"/>
        </w:rPr>
        <w:lastRenderedPageBreak/>
        <w:t>a la literalidad de las normas enunciadas, no cabe una interpretación diferente</w:t>
      </w:r>
      <w:r w:rsidRPr="2035D652">
        <w:rPr>
          <w:rFonts w:ascii="Verdana" w:hAnsi="Verdana" w:cs="Arial"/>
          <w:vertAlign w:val="superscript"/>
          <w:lang w:val="es-ES"/>
        </w:rPr>
        <w:footnoteReference w:id="14"/>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rsidRPr="00667CD6" w:rsidR="00417BAA" w:rsidP="00417BAA" w:rsidRDefault="00417BAA" w14:paraId="66591E04" w14:textId="32097A93">
      <w:pPr>
        <w:spacing w:before="120" w:after="0" w:line="276" w:lineRule="auto"/>
        <w:ind w:firstLine="708"/>
        <w:jc w:val="both"/>
        <w:rPr>
          <w:rFonts w:ascii="Verdana" w:hAnsi="Verdana" w:eastAsia="Times New Roman" w:cs="Arial"/>
          <w:lang w:val="es-MX" w:eastAsia="es-CO"/>
        </w:rPr>
      </w:pPr>
      <w:r w:rsidRPr="00667CD6">
        <w:rPr>
          <w:rFonts w:ascii="Verdana" w:hAnsi="Verdana" w:eastAsia="Arial" w:cs="Arial"/>
          <w:lang w:val="es-MX" w:eastAsia="es-ES" w:bidi="es-ES"/>
        </w:rPr>
        <w:t xml:space="preserve">De esta manera, </w:t>
      </w:r>
      <w:r w:rsidRPr="00667CD6" w:rsidR="003E2294">
        <w:rPr>
          <w:rFonts w:ascii="Verdana" w:hAnsi="Verdana" w:eastAsia="Arial" w:cs="Arial"/>
          <w:lang w:val="es-MX" w:eastAsia="es-ES" w:bidi="es-ES"/>
        </w:rPr>
        <w:t>se</w:t>
      </w:r>
      <w:r w:rsidRPr="00667CD6">
        <w:rPr>
          <w:rFonts w:ascii="Verdana" w:hAnsi="Verdana" w:eastAsia="Times New Roman" w:cs="Arial"/>
          <w:lang w:eastAsia="es-CO"/>
        </w:rPr>
        <w:t xml:space="preserve"> observa entonces que </w:t>
      </w:r>
      <w:r w:rsidRPr="00667CD6">
        <w:rPr>
          <w:rFonts w:ascii="Verdana" w:hAnsi="Verdana" w:eastAsia="Times New Roman"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hAnsi="Verdana" w:eastAsia="Times New Roman" w:cs="Arial"/>
          <w:i/>
          <w:iCs/>
          <w:lang w:val="es-MX" w:eastAsia="es-CO"/>
        </w:rPr>
        <w:t>convenios interadministrativos</w:t>
      </w:r>
      <w:r w:rsidRPr="00667CD6">
        <w:rPr>
          <w:rFonts w:ascii="Verdana" w:hAnsi="Verdana" w:eastAsia="Times New Roman" w:cs="Arial"/>
          <w:lang w:val="es-MX" w:eastAsia="es-CO"/>
        </w:rPr>
        <w:t xml:space="preserve"> para la ejecución de recursos públicos. En este sentido, si una o ambas partes de la relación contractual es una entidad de aquellas descritas en el parágrafo </w:t>
      </w:r>
      <w:r w:rsidRPr="00667CD6">
        <w:rPr>
          <w:rFonts w:ascii="Verdana" w:hAnsi="Verdana" w:eastAsia="Times New Roman" w:cs="Arial"/>
          <w:i/>
          <w:lang w:val="es-MX" w:eastAsia="es-CO"/>
        </w:rPr>
        <w:t>ibidem</w:t>
      </w:r>
      <w:r w:rsidRPr="00667CD6">
        <w:rPr>
          <w:rFonts w:ascii="Verdana" w:hAnsi="Verdana" w:eastAsia="Times New Roman" w:cs="Arial"/>
          <w:lang w:val="es-MX" w:eastAsia="es-CO"/>
        </w:rPr>
        <w:t xml:space="preserve">, no podrá celebrar tales </w:t>
      </w:r>
      <w:r w:rsidRPr="00667CD6">
        <w:rPr>
          <w:rFonts w:ascii="Verdana" w:hAnsi="Verdana" w:eastAsia="Times New Roman" w:cs="Arial"/>
          <w:i/>
          <w:iCs/>
          <w:lang w:val="es-MX" w:eastAsia="es-CO"/>
        </w:rPr>
        <w:t>convenios</w:t>
      </w:r>
      <w:r w:rsidRPr="00667CD6">
        <w:rPr>
          <w:rFonts w:ascii="Verdana" w:hAnsi="Verdana" w:eastAsia="Times New Roman"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rsidRPr="00667CD6" w:rsidR="00417BAA" w:rsidP="00417BAA" w:rsidRDefault="00417BAA" w14:paraId="03E165BC" w14:textId="77777777">
      <w:pPr>
        <w:spacing w:before="120" w:after="0" w:line="276" w:lineRule="auto"/>
        <w:ind w:firstLine="708"/>
        <w:jc w:val="both"/>
        <w:rPr>
          <w:rFonts w:ascii="Verdana" w:hAnsi="Verdana" w:eastAsia="Times New Roman" w:cs="Arial"/>
          <w:lang w:eastAsia="es-CO"/>
        </w:rPr>
      </w:pPr>
      <w:r w:rsidRPr="00667CD6">
        <w:rPr>
          <w:rFonts w:ascii="Verdana" w:hAnsi="Verdana" w:eastAsia="Times New Roman" w:cs="Arial"/>
          <w:lang w:val="es-MX" w:eastAsia="es-CO"/>
        </w:rPr>
        <w:t xml:space="preserve">Respecto del alcance de esta prohibición la Circular Externa No. 006 de 2025 expedida por la ANCP -CCE, en los literales </w:t>
      </w:r>
      <w:proofErr w:type="spellStart"/>
      <w:r w:rsidRPr="00667CD6">
        <w:rPr>
          <w:rFonts w:ascii="Verdana" w:hAnsi="Verdana" w:eastAsia="Times New Roman" w:cs="Arial"/>
          <w:lang w:val="es-MX" w:eastAsia="es-CO"/>
        </w:rPr>
        <w:t>ii</w:t>
      </w:r>
      <w:proofErr w:type="spellEnd"/>
      <w:r w:rsidRPr="00667CD6">
        <w:rPr>
          <w:rFonts w:ascii="Verdana" w:hAnsi="Verdana" w:eastAsia="Times New Roman" w:cs="Arial"/>
          <w:lang w:val="es-MX" w:eastAsia="es-CO"/>
        </w:rPr>
        <w:t xml:space="preserve">) y </w:t>
      </w:r>
      <w:proofErr w:type="spellStart"/>
      <w:r w:rsidRPr="00667CD6">
        <w:rPr>
          <w:rFonts w:ascii="Verdana" w:hAnsi="Verdana" w:eastAsia="Times New Roman" w:cs="Arial"/>
          <w:lang w:val="es-MX" w:eastAsia="es-CO"/>
        </w:rPr>
        <w:t>iv</w:t>
      </w:r>
      <w:proofErr w:type="spellEnd"/>
      <w:r w:rsidRPr="00667CD6">
        <w:rPr>
          <w:rFonts w:ascii="Verdana" w:hAnsi="Verdana" w:eastAsia="Times New Roman" w:cs="Arial"/>
          <w:lang w:val="es-MX" w:eastAsia="es-CO"/>
        </w:rPr>
        <w:t>) del numeral 2</w:t>
      </w:r>
      <w:r w:rsidRPr="00667CD6">
        <w:rPr>
          <w:rFonts w:ascii="Verdana" w:hAnsi="Verdana" w:eastAsia="Times New Roman" w:cs="Arial"/>
          <w:lang w:eastAsia="es-CO"/>
        </w:rPr>
        <w:t>,</w:t>
      </w:r>
      <w:r w:rsidRPr="00667CD6">
        <w:rPr>
          <w:rFonts w:ascii="Verdana" w:hAnsi="Verdana" w:eastAsia="Times New Roman" w:cs="Arial"/>
          <w:lang w:val="es-MX" w:eastAsia="es-CO"/>
        </w:rPr>
        <w:t xml:space="preserve"> indica que el </w:t>
      </w:r>
      <w:r w:rsidRPr="00667CD6">
        <w:rPr>
          <w:rFonts w:ascii="Verdana" w:hAnsi="Verdana" w:eastAsia="Times New Roman" w:cs="Arial"/>
          <w:lang w:eastAsia="es-CO"/>
        </w:rPr>
        <w:t xml:space="preserve">parágrafo del artículo 38 de la Ley 996 de 2005 cobija expresamente a los </w:t>
      </w:r>
      <w:r w:rsidRPr="00667CD6">
        <w:rPr>
          <w:rFonts w:ascii="Verdana" w:hAnsi="Verdana" w:eastAsia="Times New Roman" w:cs="Arial"/>
          <w:i/>
          <w:iCs/>
          <w:lang w:eastAsia="es-CO"/>
        </w:rPr>
        <w:t>convenios interadministrativos</w:t>
      </w:r>
      <w:r w:rsidRPr="00667CD6">
        <w:rPr>
          <w:rFonts w:ascii="Verdana" w:hAnsi="Verdana" w:eastAsia="Times New Roman"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hAnsi="Verdana" w:eastAsia="Times New Roman" w:cs="Arial"/>
          <w:i/>
          <w:iCs/>
          <w:lang w:eastAsia="es-CO"/>
        </w:rPr>
        <w:t>“aunque se configure alguno de los supuestos de excepción que señaló el inciso final del artículo 33”.</w:t>
      </w:r>
      <w:r w:rsidRPr="00667CD6">
        <w:rPr>
          <w:rFonts w:ascii="Verdana" w:hAnsi="Verdana" w:eastAsia="Times New Roman" w:cs="Arial"/>
          <w:lang w:eastAsia="es-CO"/>
        </w:rPr>
        <w:t xml:space="preserve"> </w:t>
      </w:r>
    </w:p>
    <w:p w:rsidRPr="00667CD6" w:rsidR="00417BAA" w:rsidP="00417BAA" w:rsidRDefault="00417BAA" w14:paraId="79088E72" w14:textId="77777777">
      <w:pPr>
        <w:spacing w:before="120" w:after="0" w:line="276" w:lineRule="auto"/>
        <w:ind w:firstLine="708"/>
        <w:jc w:val="both"/>
        <w:rPr>
          <w:rFonts w:ascii="Verdana" w:hAnsi="Verdana" w:eastAsia="Times New Roman" w:cs="Arial"/>
          <w:lang w:eastAsia="es-CO"/>
        </w:rPr>
      </w:pPr>
      <w:r w:rsidRPr="00667CD6">
        <w:rPr>
          <w:rFonts w:ascii="Verdana" w:hAnsi="Verdana" w:eastAsia="Times New Roman" w:cs="Arial"/>
          <w:lang w:eastAsia="es-CO"/>
        </w:rPr>
        <w:t xml:space="preserve">Sin embargo, es importante tener en cuenta que el ámbito de aplicación de la restricción prevista en el parágrafo del artículo 38 de la Ley 996 de 2005 solo se extiende a los </w:t>
      </w:r>
      <w:r w:rsidRPr="00667CD6">
        <w:rPr>
          <w:rFonts w:ascii="Verdana" w:hAnsi="Verdana" w:eastAsia="Times New Roman" w:cs="Arial"/>
          <w:i/>
          <w:iCs/>
          <w:lang w:eastAsia="es-CO"/>
        </w:rPr>
        <w:t>convenios interadministrativos</w:t>
      </w:r>
      <w:r w:rsidRPr="00667CD6">
        <w:rPr>
          <w:rFonts w:ascii="Verdana" w:hAnsi="Verdana" w:eastAsia="Times New Roman" w:cs="Arial"/>
          <w:lang w:eastAsia="es-CO"/>
        </w:rPr>
        <w:t xml:space="preserve"> en los que se contemple la </w:t>
      </w:r>
      <w:r w:rsidRPr="00667CD6">
        <w:rPr>
          <w:rFonts w:ascii="Verdana" w:hAnsi="Verdana" w:eastAsia="Times New Roman" w:cs="Arial"/>
          <w:i/>
          <w:iCs/>
          <w:lang w:eastAsia="es-CO"/>
        </w:rPr>
        <w:t>ejecución de recursos públicos</w:t>
      </w:r>
      <w:r w:rsidRPr="00667CD6">
        <w:rPr>
          <w:rFonts w:ascii="Verdana" w:hAnsi="Verdana" w:eastAsia="Times New Roman" w:cs="Arial"/>
          <w:lang w:eastAsia="es-CO"/>
        </w:rPr>
        <w:t xml:space="preserve">. Esto significa que la prohibición no resulta aplicable a </w:t>
      </w:r>
      <w:r w:rsidRPr="00667CD6">
        <w:rPr>
          <w:rFonts w:ascii="Verdana" w:hAnsi="Verdana" w:eastAsia="Times New Roman" w:cs="Arial"/>
          <w:i/>
          <w:iCs/>
          <w:lang w:eastAsia="es-CO"/>
        </w:rPr>
        <w:t>convenios interadministrativos a título gratuito,</w:t>
      </w:r>
      <w:r w:rsidRPr="00667CD6">
        <w:rPr>
          <w:rFonts w:ascii="Verdana" w:hAnsi="Verdana" w:eastAsia="Times New Roman" w:cs="Arial"/>
          <w:lang w:eastAsia="es-CO"/>
        </w:rPr>
        <w:t xml:space="preserve"> los cuales pueden celebrarse válidamente durante la vigencia de la mencionada restricción. </w:t>
      </w:r>
    </w:p>
    <w:p w:rsidRPr="00667CD6" w:rsidR="00417BAA" w:rsidP="00417BAA" w:rsidRDefault="00417BAA" w14:paraId="584DB19C" w14:textId="77777777">
      <w:pPr>
        <w:spacing w:before="120" w:after="0" w:line="276" w:lineRule="auto"/>
        <w:ind w:firstLine="708"/>
        <w:jc w:val="both"/>
        <w:rPr>
          <w:rFonts w:ascii="Verdana" w:hAnsi="Verdana" w:eastAsia="Times New Roman" w:cs="Arial"/>
          <w:lang w:eastAsia="es-CO"/>
        </w:rPr>
      </w:pPr>
      <w:r w:rsidRPr="00667CD6">
        <w:rPr>
          <w:rFonts w:ascii="Verdana" w:hAnsi="Verdana" w:eastAsia="Times New Roman" w:cs="Arial"/>
          <w:lang w:eastAsia="es-CO"/>
        </w:rPr>
        <w:t xml:space="preserve">De esta manera, conforme a lo dispuesto en la Circular referida, si se suscriben </w:t>
      </w:r>
      <w:r w:rsidRPr="00667CD6">
        <w:rPr>
          <w:rFonts w:ascii="Verdana" w:hAnsi="Verdana" w:eastAsia="Times New Roman" w:cs="Arial"/>
          <w:i/>
          <w:iCs/>
          <w:lang w:eastAsia="es-CO"/>
        </w:rPr>
        <w:t>convenios interadministrativos para la ejecución de recursos públicos</w:t>
      </w:r>
      <w:r w:rsidRPr="00667CD6">
        <w:rPr>
          <w:rFonts w:ascii="Verdana" w:hAnsi="Verdana" w:eastAsia="Times New Roman" w:cs="Arial"/>
          <w:lang w:eastAsia="es-CO"/>
        </w:rPr>
        <w:t xml:space="preserve"> por los alcaldes, gobernadores, secretarios, gerentes y directores de las </w:t>
      </w:r>
      <w:r w:rsidRPr="00667CD6">
        <w:rPr>
          <w:rFonts w:ascii="Verdana" w:hAnsi="Verdana" w:eastAsia="Times New Roman" w:cs="Arial"/>
          <w:lang w:eastAsia="es-CO"/>
        </w:rPr>
        <w:lastRenderedPageBreak/>
        <w:t xml:space="preserve">entidades del orden municipal, departamental o distrital, aplicará la prohibición del parágrafo del artículo 38 </w:t>
      </w:r>
      <w:r w:rsidRPr="00667CD6">
        <w:rPr>
          <w:rFonts w:ascii="Verdana" w:hAnsi="Verdana" w:eastAsia="Times New Roman" w:cs="Arial"/>
          <w:i/>
          <w:iCs/>
          <w:lang w:eastAsia="es-CO"/>
        </w:rPr>
        <w:t>ibidem</w:t>
      </w:r>
      <w:r w:rsidRPr="00667CD6">
        <w:rPr>
          <w:rFonts w:ascii="Verdana" w:hAnsi="Verdana" w:eastAsia="Times New Roman"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hAnsi="Verdana" w:eastAsia="Times New Roman" w:cs="Arial"/>
          <w:lang w:eastAsia="es-CO"/>
        </w:rPr>
        <w:t xml:space="preserve">  </w:t>
      </w:r>
    </w:p>
    <w:p w:rsidRPr="00667CD6" w:rsidR="00417BAA" w:rsidP="00417BAA" w:rsidRDefault="00417BAA" w14:paraId="37A393CD" w14:textId="021AEA68">
      <w:pPr>
        <w:spacing w:before="120" w:after="0" w:line="276" w:lineRule="auto"/>
        <w:ind w:firstLine="708"/>
        <w:jc w:val="both"/>
        <w:rPr>
          <w:rFonts w:ascii="Verdana" w:hAnsi="Verdana" w:eastAsia="Times New Roman" w:cs="Arial"/>
          <w:lang w:eastAsia="es-CO"/>
        </w:rPr>
      </w:pPr>
      <w:r w:rsidRPr="00667CD6">
        <w:rPr>
          <w:rFonts w:ascii="Verdana" w:hAnsi="Verdana" w:eastAsia="Times New Roman" w:cs="Arial"/>
          <w:lang w:eastAsia="es-CO"/>
        </w:rPr>
        <w:t xml:space="preserve">En este punto, </w:t>
      </w:r>
      <w:r w:rsidR="0009000C">
        <w:rPr>
          <w:rFonts w:ascii="Verdana" w:hAnsi="Verdana" w:eastAsia="Times New Roman" w:cs="Arial"/>
          <w:lang w:eastAsia="es-CO"/>
        </w:rPr>
        <w:t>teniendo en cuenta lo señalado en el contenido de su petición</w:t>
      </w:r>
      <w:r w:rsidRPr="00667CD6">
        <w:rPr>
          <w:rFonts w:ascii="Verdana" w:hAnsi="Verdana" w:eastAsia="Times New Roman" w:cs="Arial"/>
          <w:lang w:eastAsia="es-CO"/>
        </w:rPr>
        <w:t xml:space="preserve">, vale la pena destacar que </w:t>
      </w:r>
      <w:r w:rsidRPr="00667CD6">
        <w:rPr>
          <w:rFonts w:ascii="Verdana" w:hAnsi="Verdana" w:eastAsia="Arial"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numeral 16.2 de la Circular Externa Única de 2022 expedida por la Agencia Nacional de Contratación Pública -Colombia Compra Eficiente-, concretamente, respecto de los siguientes apartes normativos</w:t>
      </w:r>
      <w:r w:rsidRPr="00667CD6">
        <w:rPr>
          <w:rFonts w:ascii="Verdana" w:hAnsi="Verdana" w:cs="Arial"/>
          <w:vertAlign w:val="superscript"/>
        </w:rPr>
        <w:footnoteReference w:id="15"/>
      </w:r>
      <w:r w:rsidRPr="00667CD6">
        <w:rPr>
          <w:rFonts w:ascii="Verdana" w:hAnsi="Verdana" w:cs="Arial"/>
        </w:rPr>
        <w:t xml:space="preserve">: </w:t>
      </w:r>
    </w:p>
    <w:p w:rsidRPr="00667CD6" w:rsidR="00417BAA" w:rsidP="00417BAA" w:rsidRDefault="00417BAA" w14:paraId="1969E90E" w14:textId="77777777">
      <w:pPr>
        <w:spacing w:after="0" w:line="276" w:lineRule="auto"/>
        <w:ind w:firstLine="709"/>
        <w:jc w:val="both"/>
        <w:rPr>
          <w:rFonts w:ascii="Verdana" w:hAnsi="Verdana" w:cs="Arial"/>
        </w:rPr>
      </w:pPr>
    </w:p>
    <w:p w:rsidRPr="00667CD6" w:rsidR="00417BAA" w:rsidP="00417BAA" w:rsidRDefault="00417BAA" w14:paraId="0F1E7FCD" w14:textId="77777777">
      <w:pPr>
        <w:spacing w:after="0" w:line="240" w:lineRule="auto"/>
        <w:ind w:left="709" w:right="709"/>
        <w:jc w:val="both"/>
        <w:rPr>
          <w:rFonts w:ascii="Verdana" w:hAnsi="Verdana" w:cs="Arial"/>
          <w:sz w:val="20"/>
          <w:szCs w:val="20"/>
        </w:rPr>
      </w:pPr>
      <w:r w:rsidRPr="00667CD6">
        <w:rPr>
          <w:rFonts w:ascii="Verdana" w:hAnsi="Verdana" w:cs="Arial"/>
          <w:sz w:val="20"/>
          <w:szCs w:val="20"/>
          <w:lang w:val="es-MX"/>
        </w:rPr>
        <w:t>i)</w:t>
      </w:r>
      <w:r w:rsidRPr="00667CD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rsidRPr="00667CD6" w:rsidR="00417BAA" w:rsidP="00417BAA" w:rsidRDefault="00417BAA" w14:paraId="20199A6A" w14:textId="77777777">
      <w:pPr>
        <w:spacing w:after="0" w:line="240" w:lineRule="auto"/>
        <w:ind w:left="709" w:right="709"/>
        <w:jc w:val="both"/>
        <w:rPr>
          <w:rFonts w:ascii="Verdana" w:hAnsi="Verdana" w:cs="Arial"/>
          <w:sz w:val="20"/>
          <w:szCs w:val="20"/>
        </w:rPr>
      </w:pPr>
    </w:p>
    <w:p w:rsidRPr="00667CD6" w:rsidR="00417BAA" w:rsidP="00417BAA" w:rsidRDefault="00417BAA" w14:paraId="11459E2A" w14:textId="77777777">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rsidRPr="00667CD6" w:rsidR="00417BAA" w:rsidP="00417BAA" w:rsidRDefault="00417BAA" w14:paraId="36D179F0" w14:textId="77777777">
      <w:pPr>
        <w:spacing w:after="0" w:line="276" w:lineRule="auto"/>
        <w:ind w:left="709" w:right="709"/>
        <w:jc w:val="both"/>
        <w:rPr>
          <w:rFonts w:ascii="Verdana" w:hAnsi="Verdana" w:cs="Arial"/>
        </w:rPr>
      </w:pPr>
    </w:p>
    <w:p w:rsidRPr="00667CD6" w:rsidR="00417BAA" w:rsidP="00417BAA" w:rsidRDefault="00417BAA" w14:paraId="1D3FCD5F" w14:textId="77777777">
      <w:pPr>
        <w:spacing w:after="120" w:line="276" w:lineRule="auto"/>
        <w:ind w:firstLine="709"/>
        <w:jc w:val="both"/>
        <w:rPr>
          <w:rFonts w:ascii="Verdana" w:hAnsi="Verdana" w:eastAsia="Arial" w:cs="Arial"/>
          <w:i/>
          <w:iCs/>
          <w:lang w:eastAsia="es-ES" w:bidi="es-ES"/>
        </w:rPr>
      </w:pPr>
      <w:r w:rsidRPr="00667CD6">
        <w:rPr>
          <w:rFonts w:ascii="Verdana" w:hAnsi="Verdana" w:eastAsia="Arial" w:cs="Arial"/>
          <w:lang w:val="es-MX" w:eastAsia="es-ES" w:bidi="es-ES"/>
        </w:rPr>
        <w:t xml:space="preserve">De conformidad con los argumentos de dicha providencia, se parte de la distinción entre los conceptos </w:t>
      </w:r>
      <w:r w:rsidRPr="00667CD6">
        <w:rPr>
          <w:rFonts w:ascii="Verdana" w:hAnsi="Verdana" w:eastAsia="Arial" w:cs="Arial"/>
          <w:lang w:eastAsia="es-ES" w:bidi="es-ES"/>
        </w:rPr>
        <w:t xml:space="preserve">de “convenio” y “contrato” interadministrativos, </w:t>
      </w:r>
      <w:r w:rsidRPr="00667CD6">
        <w:rPr>
          <w:rFonts w:ascii="Verdana" w:hAnsi="Verdana" w:eastAsia="Arial" w:cs="Arial"/>
          <w:lang w:eastAsia="es-ES" w:bidi="es-ES"/>
        </w:rPr>
        <w:lastRenderedPageBreak/>
        <w:t>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hAnsi="Verdana" w:eastAsia="Arial" w:cs="Arial"/>
          <w:lang w:eastAsia="es-ES" w:bidi="es-ES"/>
        </w:rPr>
        <w:t xml:space="preserve">En este sentido, en relación con el parágrafo del artículo 38 de la Ley 996 de 2005 concluyó que </w:t>
      </w:r>
      <w:r w:rsidRPr="00667CD6">
        <w:rPr>
          <w:rFonts w:ascii="Verdana" w:hAnsi="Verdana" w:eastAsia="Arial"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hAnsi="Verdana" w:eastAsia="Arial"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hAnsi="Verdana" w:eastAsia="Arial"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rsidRPr="00667CD6" w:rsidR="00417BAA" w:rsidP="00417BAA" w:rsidRDefault="00417BAA" w14:paraId="1996F164" w14:textId="77777777">
      <w:pPr>
        <w:spacing w:after="120" w:line="276" w:lineRule="auto"/>
        <w:ind w:firstLine="709"/>
        <w:jc w:val="both"/>
        <w:rPr>
          <w:rFonts w:ascii="Verdana" w:hAnsi="Verdana" w:eastAsia="Arial" w:cs="Arial"/>
          <w:lang w:eastAsia="es-ES" w:bidi="es-ES"/>
        </w:rPr>
      </w:pPr>
      <w:r w:rsidRPr="00667CD6">
        <w:rPr>
          <w:rFonts w:ascii="Verdana" w:hAnsi="Verdana" w:eastAsia="Arial" w:cs="Arial"/>
          <w:lang w:eastAsia="es-ES" w:bidi="es-ES"/>
        </w:rPr>
        <w:t>De igual manera, mediante auto del 6 de noviembre de 2025, el Consejo de Estado, Subsección A de la Sección Tercera, decretó</w:t>
      </w:r>
      <w:r w:rsidRPr="00667CD6">
        <w:rPr>
          <w:rFonts w:ascii="Verdana" w:hAnsi="Verdana" w:eastAsia="Arial" w:cs="Arial"/>
          <w:b/>
          <w:bCs/>
          <w:lang w:eastAsia="es-ES" w:bidi="es-ES"/>
        </w:rPr>
        <w:t xml:space="preserve"> </w:t>
      </w:r>
      <w:r w:rsidRPr="00667CD6">
        <w:rPr>
          <w:rFonts w:ascii="Verdana" w:hAnsi="Verdana" w:eastAsia="Arial"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hAnsi="Verdana" w:eastAsia="Arial" w:cs="Arial"/>
          <w:vertAlign w:val="superscript"/>
          <w:lang w:eastAsia="es-ES" w:bidi="es-ES"/>
        </w:rPr>
        <w:footnoteReference w:id="16"/>
      </w:r>
      <w:r w:rsidRPr="00667CD6">
        <w:rPr>
          <w:rFonts w:ascii="Verdana" w:hAnsi="Verdana" w:eastAsia="Arial" w:cs="Arial"/>
          <w:lang w:eastAsia="es-ES" w:bidi="es-ES"/>
        </w:rPr>
        <w:t xml:space="preserve">. Para tales efectos, el alto tribunal resaltó la interpretación restrictiva de las normas que </w:t>
      </w:r>
      <w:r w:rsidRPr="00667CD6">
        <w:rPr>
          <w:rFonts w:ascii="Verdana" w:hAnsi="Verdana" w:eastAsia="Arial" w:cs="Arial"/>
          <w:lang w:eastAsia="es-ES" w:bidi="es-ES"/>
        </w:rPr>
        <w:lastRenderedPageBreak/>
        <w:t xml:space="preserve">contienen prohibiciones, como la del parágrafo del artículo 38 de la Ley 996 de 2005, por manera que se excluye la analogía </w:t>
      </w:r>
      <w:proofErr w:type="spellStart"/>
      <w:r w:rsidRPr="00667CD6">
        <w:rPr>
          <w:rFonts w:ascii="Verdana" w:hAnsi="Verdana" w:eastAsia="Arial" w:cs="Arial"/>
          <w:lang w:eastAsia="es-ES" w:bidi="es-ES"/>
        </w:rPr>
        <w:t>legis</w:t>
      </w:r>
      <w:proofErr w:type="spellEnd"/>
      <w:r w:rsidRPr="00667CD6">
        <w:rPr>
          <w:rFonts w:ascii="Verdana" w:hAnsi="Verdana" w:eastAsia="Arial" w:cs="Arial"/>
          <w:lang w:eastAsia="es-ES" w:bidi="es-ES"/>
        </w:rPr>
        <w:t xml:space="preserve"> o iuris y la interpretación extensiva y reiteró los argumentos sobre la diferencia entre contratos y convenios interadministrativos. </w:t>
      </w:r>
    </w:p>
    <w:p w:rsidR="00C71E4F" w:rsidP="00C71E4F" w:rsidRDefault="0009000C" w14:paraId="31F73D2D" w14:textId="0F9BBF8C">
      <w:pPr>
        <w:spacing w:after="120" w:line="276" w:lineRule="auto"/>
        <w:ind w:firstLine="709"/>
        <w:jc w:val="both"/>
        <w:rPr>
          <w:rFonts w:ascii="Verdana" w:hAnsi="Verdana" w:eastAsia="Times New Roman" w:cs="Times New Roman"/>
          <w:lang w:eastAsia="es-ES"/>
        </w:rPr>
      </w:pPr>
      <w:r w:rsidRPr="31E4E861">
        <w:rPr>
          <w:rFonts w:ascii="Verdana" w:hAnsi="Verdana" w:eastAsia="Arial" w:cs="Arial"/>
          <w:lang w:eastAsia="es-ES" w:bidi="es-ES"/>
        </w:rPr>
        <w:t xml:space="preserve">Finalmente, mediante sentencia del 17 de octubre de 2025, emitida por </w:t>
      </w:r>
      <w:r w:rsidRPr="31E4E861" w:rsidR="00417BAA">
        <w:rPr>
          <w:rFonts w:ascii="Verdana" w:hAnsi="Verdana" w:eastAsia="Arial" w:cs="Arial"/>
          <w:lang w:eastAsia="es-ES" w:bidi="es-ES"/>
        </w:rPr>
        <w:t xml:space="preserve">la </w:t>
      </w:r>
      <w:r w:rsidRPr="31E4E861">
        <w:rPr>
          <w:rFonts w:ascii="Verdana" w:hAnsi="Verdana" w:eastAsia="Arial" w:cs="Arial"/>
          <w:lang w:eastAsia="es-ES" w:bidi="es-ES"/>
        </w:rPr>
        <w:t>Sala</w:t>
      </w:r>
      <w:r w:rsidRPr="31E4E861" w:rsidR="00417BAA">
        <w:rPr>
          <w:rFonts w:ascii="Verdana" w:hAnsi="Verdana" w:eastAsia="Arial" w:cs="Arial"/>
          <w:lang w:eastAsia="es-ES" w:bidi="es-ES"/>
        </w:rPr>
        <w:t xml:space="preserve"> de lo </w:t>
      </w:r>
      <w:r w:rsidRPr="31E4E861">
        <w:rPr>
          <w:rFonts w:ascii="Verdana" w:hAnsi="Verdana" w:eastAsia="Arial" w:cs="Arial"/>
          <w:lang w:eastAsia="es-ES" w:bidi="es-ES"/>
        </w:rPr>
        <w:t xml:space="preserve">Contencioso Administrativo del </w:t>
      </w:r>
      <w:r w:rsidRPr="31E4E861" w:rsidR="00417BAA">
        <w:rPr>
          <w:rFonts w:ascii="Verdana" w:hAnsi="Verdana" w:eastAsia="Arial" w:cs="Arial"/>
          <w:lang w:eastAsia="es-ES" w:bidi="es-ES"/>
        </w:rPr>
        <w:t>Consejo de Estado</w:t>
      </w:r>
      <w:r w:rsidRPr="31E4E861">
        <w:rPr>
          <w:rFonts w:ascii="Verdana" w:hAnsi="Verdana" w:eastAsia="Arial" w:cs="Arial"/>
          <w:lang w:eastAsia="es-ES" w:bidi="es-ES"/>
        </w:rPr>
        <w:t xml:space="preserve">, dentro del expediente </w:t>
      </w:r>
      <w:r w:rsidRPr="31E4E861">
        <w:rPr>
          <w:rFonts w:ascii="Verdana" w:hAnsi="Verdana" w:eastAsia="Times New Roman" w:cs="Times New Roman"/>
          <w:lang w:eastAsia="es-ES"/>
        </w:rPr>
        <w:t>11001-03-26-000-2023-00139-00</w:t>
      </w:r>
      <w:r w:rsidRPr="31E4E861" w:rsidR="00944E01">
        <w:rPr>
          <w:rFonts w:ascii="Verdana" w:hAnsi="Verdana" w:eastAsia="Times New Roman" w:cs="Times New Roman"/>
          <w:lang w:eastAsia="es-ES"/>
        </w:rPr>
        <w:t>, se declaró la nulidad parcial del numeral 16.2 de la Circular Externa Única de 2022 expedida por la Agencia Nacional de Contratación Pública -</w:t>
      </w:r>
      <w:r w:rsidRPr="31E4E861" w:rsidR="00C71E4F">
        <w:rPr>
          <w:rFonts w:ascii="Verdana" w:hAnsi="Verdana" w:eastAsia="Times New Roman" w:cs="Times New Roman"/>
          <w:lang w:eastAsia="es-ES"/>
        </w:rPr>
        <w:t xml:space="preserve"> </w:t>
      </w:r>
      <w:r w:rsidRPr="31E4E861" w:rsidR="00944E01">
        <w:rPr>
          <w:rFonts w:ascii="Verdana" w:hAnsi="Verdana" w:eastAsia="Times New Roman" w:cs="Times New Roman"/>
          <w:lang w:eastAsia="es-ES"/>
        </w:rPr>
        <w:t xml:space="preserve">Colombia Compra Eficiente que indicaba: “Esta restricción es aplicable tanto a los convenios como a los contratos interadministrativos…”. </w:t>
      </w:r>
    </w:p>
    <w:p w:rsidR="00C71E4F" w:rsidP="00C71E4F" w:rsidRDefault="00944E01" w14:paraId="3B75BD8C" w14:textId="77777777">
      <w:pPr>
        <w:spacing w:after="120" w:line="276" w:lineRule="auto"/>
        <w:ind w:firstLine="709"/>
        <w:jc w:val="both"/>
        <w:rPr>
          <w:rFonts w:ascii="Verdana" w:hAnsi="Verdana" w:eastAsia="Times New Roman" w:cs="Times New Roman"/>
          <w:lang w:eastAsia="es-ES"/>
        </w:rPr>
      </w:pPr>
      <w:r w:rsidRPr="2035D652">
        <w:rPr>
          <w:rFonts w:ascii="Verdana" w:hAnsi="Verdana" w:eastAsia="Times New Roman" w:cs="Times New Roman"/>
          <w:lang w:eastAsia="es-ES"/>
        </w:rPr>
        <w:t>La anterior decisión</w:t>
      </w:r>
      <w:r w:rsidRPr="2035D652" w:rsidR="00C71E4F">
        <w:rPr>
          <w:rFonts w:ascii="Verdana" w:hAnsi="Verdana" w:eastAsia="Times New Roman" w:cs="Times New Roman"/>
          <w:lang w:eastAsia="es-ES"/>
        </w:rPr>
        <w:t xml:space="preserve"> se adoptó</w:t>
      </w:r>
      <w:r w:rsidRPr="2035D652">
        <w:rPr>
          <w:rFonts w:ascii="Verdana" w:hAnsi="Verdana" w:eastAsia="Times New Roman" w:cs="Times New Roman"/>
          <w:lang w:eastAsia="es-ES"/>
        </w:rPr>
        <w:t xml:space="preserve"> al considerar que la Agencia excedió su competencia material al incluir contratos en una restricción que la </w:t>
      </w:r>
      <w:r w:rsidRPr="2035D652" w:rsidR="00C71E4F">
        <w:rPr>
          <w:rFonts w:ascii="Verdana" w:hAnsi="Verdana" w:eastAsia="Times New Roman" w:cs="Times New Roman"/>
          <w:lang w:eastAsia="es-ES"/>
        </w:rPr>
        <w:t>L</w:t>
      </w:r>
      <w:r w:rsidRPr="2035D652">
        <w:rPr>
          <w:rFonts w:ascii="Verdana" w:hAnsi="Verdana" w:eastAsia="Times New Roman" w:cs="Times New Roman"/>
          <w:lang w:eastAsia="es-ES"/>
        </w:rPr>
        <w:t>ey</w:t>
      </w:r>
      <w:r w:rsidRPr="2035D652" w:rsidR="00C71E4F">
        <w:rPr>
          <w:rFonts w:ascii="Verdana" w:hAnsi="Verdana" w:eastAsia="Times New Roman" w:cs="Times New Roman"/>
          <w:lang w:eastAsia="es-ES"/>
        </w:rPr>
        <w:t xml:space="preserve"> de Garantías Electorales</w:t>
      </w:r>
      <w:r w:rsidRPr="2035D652">
        <w:rPr>
          <w:rFonts w:ascii="Verdana" w:hAnsi="Verdana" w:eastAsia="Times New Roman" w:cs="Times New Roman"/>
          <w:lang w:eastAsia="es-ES"/>
        </w:rPr>
        <w:t xml:space="preserve"> solo previó para convenios, cuando no es posible aplicar por analogía o extensión una norma que establece prohibiciones</w:t>
      </w:r>
      <w:r w:rsidRPr="2035D652">
        <w:rPr>
          <w:rStyle w:val="Refdenotaalpie"/>
          <w:rFonts w:ascii="Verdana" w:hAnsi="Verdana" w:eastAsia="Times New Roman" w:cs="Times New Roman"/>
          <w:lang w:eastAsia="es-ES"/>
        </w:rPr>
        <w:footnoteReference w:id="17"/>
      </w:r>
      <w:r w:rsidRPr="2035D652">
        <w:rPr>
          <w:rFonts w:ascii="Verdana" w:hAnsi="Verdana" w:eastAsia="Times New Roman" w:cs="Times New Roman"/>
          <w:lang w:eastAsia="es-ES"/>
        </w:rPr>
        <w:t xml:space="preserve">. </w:t>
      </w:r>
      <w:r w:rsidRPr="2035D652" w:rsidR="00C71E4F">
        <w:rPr>
          <w:rFonts w:ascii="Verdana" w:hAnsi="Verdana" w:eastAsia="Times New Roman" w:cs="Times New Roman"/>
          <w:lang w:eastAsia="es-ES"/>
        </w:rPr>
        <w:t>Sobre el particular, l</w:t>
      </w:r>
      <w:r w:rsidRPr="2035D652">
        <w:rPr>
          <w:rFonts w:ascii="Verdana" w:hAnsi="Verdana" w:eastAsia="Times New Roman" w:cs="Times New Roman"/>
          <w:lang w:eastAsia="es-ES"/>
        </w:rPr>
        <w:t xml:space="preserve">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rsidRPr="00670659" w:rsidR="00944E01" w:rsidP="00C71E4F" w:rsidRDefault="00944E01" w14:paraId="65D37D99" w14:textId="1CB8BF37">
      <w:pPr>
        <w:spacing w:after="120" w:line="276" w:lineRule="auto"/>
        <w:ind w:firstLine="709"/>
        <w:jc w:val="both"/>
        <w:rPr>
          <w:rFonts w:ascii="Verdana" w:hAnsi="Verdana" w:eastAsia="Times New Roman" w:cs="Times New Roman"/>
          <w:lang w:eastAsia="es-ES"/>
        </w:rPr>
      </w:pPr>
      <w:r w:rsidRPr="2035D652">
        <w:rPr>
          <w:rFonts w:ascii="Verdana" w:hAnsi="Verdana" w:eastAsia="Times New Roman" w:cs="Times New Roman"/>
          <w:lang w:eastAsia="es-ES"/>
        </w:rPr>
        <w:t xml:space="preserve">A juicio de la Sala, aunque el propósito de la </w:t>
      </w:r>
      <w:r w:rsidRPr="2035D652" w:rsidR="00C71E4F">
        <w:rPr>
          <w:rFonts w:ascii="Verdana" w:hAnsi="Verdana" w:eastAsia="Times New Roman" w:cs="Times New Roman"/>
          <w:lang w:eastAsia="es-ES"/>
        </w:rPr>
        <w:t>C</w:t>
      </w:r>
      <w:r w:rsidRPr="2035D652">
        <w:rPr>
          <w:rFonts w:ascii="Verdana" w:hAnsi="Verdana" w:eastAsia="Times New Roman" w:cs="Times New Roman"/>
          <w:lang w:eastAsia="es-ES"/>
        </w:rPr>
        <w:t>ircular</w:t>
      </w:r>
      <w:r w:rsidRPr="2035D652" w:rsidR="00C71E4F">
        <w:rPr>
          <w:rFonts w:ascii="Verdana" w:hAnsi="Verdana" w:eastAsia="Times New Roman" w:cs="Times New Roman"/>
          <w:lang w:eastAsia="es-ES"/>
        </w:rPr>
        <w:t xml:space="preserve"> Externa</w:t>
      </w:r>
      <w:r w:rsidRPr="2035D652">
        <w:rPr>
          <w:rFonts w:ascii="Verdana" w:hAnsi="Verdana" w:eastAsia="Times New Roman" w:cs="Times New Roman"/>
          <w:lang w:eastAsia="es-ES"/>
        </w:rPr>
        <w:t xml:space="preserve"> era legítimo —evitar el uso indebido de recursos en época electoral—, </w:t>
      </w:r>
      <w:r w:rsidRPr="2035D652" w:rsidR="00C71E4F">
        <w:rPr>
          <w:rFonts w:ascii="Verdana" w:hAnsi="Verdana" w:eastAsia="Times New Roman" w:cs="Times New Roman"/>
          <w:lang w:eastAsia="es-ES"/>
        </w:rPr>
        <w:t>el numeral 16.2.</w:t>
      </w:r>
      <w:r w:rsidRPr="2035D652">
        <w:rPr>
          <w:rFonts w:ascii="Verdana" w:hAnsi="Verdana" w:eastAsia="Times New Roman" w:cs="Times New Roman"/>
          <w:lang w:eastAsia="es-ES"/>
        </w:rPr>
        <w:t xml:space="preserve"> </w:t>
      </w:r>
      <w:r w:rsidRPr="2035D652">
        <w:rPr>
          <w:rFonts w:ascii="Verdana" w:hAnsi="Verdana" w:eastAsia="Times New Roman" w:cs="Times New Roman"/>
          <w:lang w:eastAsia="es-ES"/>
        </w:rPr>
        <w:lastRenderedPageBreak/>
        <w:t xml:space="preserve">desconoció el alcance literal del artículo 38 de la Ley 996 de 2005 y los límites de la potestad reglamentaria, lo que configuró un vicio de contenido. </w:t>
      </w:r>
    </w:p>
    <w:p w:rsidRPr="00667CD6" w:rsidR="00893C58" w:rsidP="00893C58" w:rsidRDefault="00417BAA" w14:paraId="0040D542" w14:textId="4A4D45BA">
      <w:pPr>
        <w:spacing w:after="120" w:line="276" w:lineRule="auto"/>
        <w:ind w:firstLine="709"/>
        <w:jc w:val="both"/>
        <w:rPr>
          <w:rFonts w:ascii="Verdana" w:hAnsi="Verdana" w:eastAsia="Times New Roman" w:cs="Arial"/>
          <w:lang w:eastAsia="es-CO"/>
        </w:rPr>
      </w:pPr>
      <w:r w:rsidRPr="00667CD6">
        <w:rPr>
          <w:rFonts w:ascii="Verdana" w:hAnsi="Verdana" w:eastAsia="Times New Roman" w:cs="Arial"/>
          <w:lang w:eastAsia="es-CO"/>
        </w:rPr>
        <w:t>Así las cosas, a la luz de lo expuesto por el Consejo de Estado</w:t>
      </w:r>
      <w:r w:rsidR="00C71E4F">
        <w:rPr>
          <w:rFonts w:ascii="Verdana" w:hAnsi="Verdana" w:eastAsia="Times New Roman" w:cs="Arial"/>
          <w:lang w:eastAsia="es-CO"/>
        </w:rPr>
        <w:t xml:space="preserve">, </w:t>
      </w:r>
      <w:r w:rsidRPr="2035D652" w:rsidR="00C71E4F">
        <w:rPr>
          <w:rFonts w:ascii="Verdana" w:hAnsi="Verdana" w:eastAsia="Times New Roman" w:cs="Arial"/>
          <w:lang w:eastAsia="es-CO"/>
        </w:rPr>
        <w:t>en la sentencia expedida por la Sección Tercera de la Sala de lo Contencioso Administrativo del 17 de octubre de 2025</w:t>
      </w:r>
      <w:r w:rsidR="00C71E4F">
        <w:rPr>
          <w:rFonts w:ascii="Verdana" w:hAnsi="Verdana" w:eastAsia="Times New Roman" w:cs="Arial"/>
          <w:lang w:eastAsia="es-CO"/>
        </w:rPr>
        <w:t>,</w:t>
      </w:r>
      <w:r w:rsidRPr="00667CD6">
        <w:rPr>
          <w:rFonts w:ascii="Verdana" w:hAnsi="Verdana" w:eastAsia="Times New Roman"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hAnsi="Verdana" w:eastAsia="Times New Roman" w:cs="Arial"/>
          <w:i/>
          <w:iCs/>
          <w:lang w:eastAsia="es-CO"/>
        </w:rPr>
        <w:t>contratos interadministrativos</w:t>
      </w:r>
      <w:r w:rsidR="00C71E4F">
        <w:rPr>
          <w:rFonts w:ascii="Verdana" w:hAnsi="Verdana" w:eastAsia="Times New Roman" w:cs="Arial"/>
          <w:lang w:eastAsia="es-CO"/>
        </w:rPr>
        <w:t>, esta prohibición solo aplicaría a los convenios interadministrativos que impliquen la ejecución de recursos públicos</w:t>
      </w:r>
      <w:r w:rsidR="006E584C">
        <w:rPr>
          <w:rStyle w:val="Refdenotaalpie"/>
          <w:rFonts w:ascii="Verdana" w:hAnsi="Verdana" w:eastAsia="Times New Roman" w:cs="Arial"/>
          <w:lang w:eastAsia="es-CO"/>
        </w:rPr>
        <w:footnoteReference w:id="18"/>
      </w:r>
      <w:r w:rsidR="00C71E4F">
        <w:rPr>
          <w:rFonts w:ascii="Verdana" w:hAnsi="Verdana" w:eastAsia="Times New Roman" w:cs="Arial"/>
          <w:lang w:eastAsia="es-CO"/>
        </w:rPr>
        <w:t>.</w:t>
      </w:r>
    </w:p>
    <w:p w:rsidRPr="00667CD6" w:rsidR="00417BAA" w:rsidP="2035D652" w:rsidRDefault="00417BAA" w14:paraId="347CDDC1" w14:textId="7F54F9F0">
      <w:pPr>
        <w:spacing w:after="120" w:line="276" w:lineRule="auto"/>
        <w:ind w:firstLine="708"/>
        <w:jc w:val="both"/>
        <w:rPr>
          <w:rFonts w:ascii="Verdana" w:hAnsi="Verdana" w:eastAsia="Times New Roman" w:cs="Arial"/>
          <w:lang w:eastAsia="es-CO"/>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rsidRPr="00667CD6" w:rsidR="00A52E3E" w:rsidP="008F1C48" w:rsidRDefault="00417BAA" w14:paraId="13291539" w14:textId="0B546BB7">
      <w:pPr>
        <w:spacing w:after="0" w:line="276" w:lineRule="auto"/>
        <w:ind w:firstLine="708"/>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rsidRPr="00667CD6" w:rsidR="008F1C48" w:rsidP="008F1C48" w:rsidRDefault="008F1C48" w14:paraId="79DC97BA" w14:textId="77777777">
      <w:pPr>
        <w:spacing w:after="0" w:line="276" w:lineRule="auto"/>
        <w:ind w:firstLine="708"/>
        <w:jc w:val="both"/>
        <w:rPr>
          <w:rFonts w:ascii="Verdana" w:hAnsi="Verdana" w:cs="Arial"/>
          <w:bCs/>
          <w:color w:val="000000" w:themeColor="text1"/>
        </w:rPr>
      </w:pPr>
    </w:p>
    <w:p w:rsidRPr="00667CD6" w:rsidR="008F1C48" w:rsidP="008F1C48" w:rsidRDefault="008F1C48" w14:paraId="47D503C2" w14:textId="77777777">
      <w:pPr>
        <w:numPr>
          <w:ilvl w:val="0"/>
          <w:numId w:val="16"/>
        </w:numPr>
        <w:tabs>
          <w:tab w:val="left" w:pos="142"/>
          <w:tab w:val="left" w:pos="284"/>
        </w:tabs>
        <w:spacing w:after="0" w:line="276" w:lineRule="auto"/>
        <w:ind w:left="1068"/>
        <w:jc w:val="both"/>
        <w:rPr>
          <w:rFonts w:ascii="Verdana" w:hAnsi="Verdana" w:eastAsia="Century Gothic" w:cs="Century Gothic"/>
          <w:b/>
          <w:bCs/>
          <w:lang w:val="es-ES_tradnl"/>
        </w:rPr>
      </w:pPr>
      <w:r w:rsidRPr="00667CD6">
        <w:rPr>
          <w:rFonts w:ascii="Verdana" w:hAnsi="Verdana" w:eastAsia="Century Gothic" w:cs="Century Gothic"/>
          <w:b/>
          <w:bCs/>
          <w:lang w:val="es-ES_tradnl"/>
        </w:rPr>
        <w:t>Referencias normativas:</w:t>
      </w:r>
    </w:p>
    <w:p w:rsidRPr="00667CD6" w:rsidR="008F1C48" w:rsidP="008F1C48" w:rsidRDefault="008F1C48" w14:paraId="51FE0843" w14:textId="77777777">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667CD6" w:rsidR="008F1C48" w14:paraId="455799DC" w14:textId="77777777">
        <w:trPr>
          <w:trHeight w:val="491"/>
          <w:jc w:val="center"/>
        </w:trPr>
        <w:tc>
          <w:tcPr>
            <w:tcW w:w="8647" w:type="dxa"/>
          </w:tcPr>
          <w:p w:rsidRPr="00667CD6" w:rsidR="008F1C48" w:rsidP="00670659" w:rsidRDefault="008F1C48" w14:paraId="198FC391" w14:textId="77777777">
            <w:pPr>
              <w:widowControl w:val="0"/>
              <w:numPr>
                <w:ilvl w:val="0"/>
                <w:numId w:val="17"/>
              </w:numPr>
              <w:autoSpaceDE w:val="0"/>
              <w:autoSpaceDN w:val="0"/>
              <w:spacing w:before="120" w:after="120" w:line="276" w:lineRule="auto"/>
              <w:jc w:val="both"/>
              <w:rPr>
                <w:rFonts w:ascii="Verdana" w:hAnsi="Verdana" w:eastAsia="Arial MT" w:cs="Arial"/>
                <w:lang w:val="es-ES" w:eastAsia="es-ES" w:bidi="es-ES"/>
              </w:rPr>
            </w:pPr>
            <w:r w:rsidRPr="00667CD6">
              <w:rPr>
                <w:rFonts w:ascii="Verdana" w:hAnsi="Verdana" w:eastAsia="Arial MT" w:cs="Arial"/>
                <w:lang w:val="es-ES" w:eastAsia="es-ES" w:bidi="es-ES"/>
              </w:rPr>
              <w:lastRenderedPageBreak/>
              <w:t>Constitución Política, artículo 127.</w:t>
            </w:r>
          </w:p>
          <w:p w:rsidRPr="00667CD6" w:rsidR="008F1C48" w:rsidP="00670659" w:rsidRDefault="008F1C48" w14:paraId="3B4E4142" w14:textId="77777777">
            <w:pPr>
              <w:widowControl w:val="0"/>
              <w:numPr>
                <w:ilvl w:val="0"/>
                <w:numId w:val="17"/>
              </w:numPr>
              <w:autoSpaceDE w:val="0"/>
              <w:autoSpaceDN w:val="0"/>
              <w:spacing w:after="120" w:line="276" w:lineRule="auto"/>
              <w:jc w:val="both"/>
              <w:rPr>
                <w:rFonts w:ascii="Verdana" w:hAnsi="Verdana" w:eastAsia="Arial MT" w:cs="Arial"/>
                <w:lang w:val="es-ES" w:eastAsia="es-ES" w:bidi="es-ES"/>
              </w:rPr>
            </w:pPr>
            <w:r w:rsidRPr="00667CD6">
              <w:rPr>
                <w:rFonts w:ascii="Verdana" w:hAnsi="Verdana" w:eastAsia="Arial MT" w:cs="Arial"/>
                <w:bCs/>
                <w:lang w:val="es-ES" w:eastAsia="es-ES" w:bidi="es-ES"/>
              </w:rPr>
              <w:t>Ley 996 de 2005, artículos 33 y 38.</w:t>
            </w:r>
          </w:p>
          <w:p w:rsidRPr="00667CD6" w:rsidR="008F1C48" w:rsidP="00670659" w:rsidRDefault="008F1C48" w14:paraId="442A4191" w14:textId="77777777">
            <w:pPr>
              <w:widowControl w:val="0"/>
              <w:numPr>
                <w:ilvl w:val="0"/>
                <w:numId w:val="17"/>
              </w:numPr>
              <w:autoSpaceDE w:val="0"/>
              <w:autoSpaceDN w:val="0"/>
              <w:spacing w:after="120" w:line="276" w:lineRule="auto"/>
              <w:jc w:val="both"/>
              <w:rPr>
                <w:rFonts w:ascii="Verdana" w:hAnsi="Verdana" w:eastAsia="Arial MT" w:cs="Arial"/>
                <w:lang w:val="es-ES" w:eastAsia="es-ES" w:bidi="es-ES"/>
              </w:rPr>
            </w:pPr>
            <w:r w:rsidRPr="00667CD6">
              <w:rPr>
                <w:rFonts w:ascii="Verdana" w:hAnsi="Verdana" w:cs="Arial"/>
                <w:bCs/>
                <w:color w:val="000000" w:themeColor="text1"/>
                <w:lang w:val="es-ES"/>
              </w:rPr>
              <w:t>Decreto 1068 de 2015, artículo 2.2.1.1.1.</w:t>
            </w:r>
          </w:p>
          <w:p w:rsidRPr="00C71E4F" w:rsidR="00C71E4F" w:rsidP="00C71E4F" w:rsidRDefault="00C71E4F" w14:paraId="11712EA7" w14:textId="3E17697A">
            <w:pPr>
              <w:widowControl w:val="0"/>
              <w:numPr>
                <w:ilvl w:val="0"/>
                <w:numId w:val="17"/>
              </w:numPr>
              <w:autoSpaceDE w:val="0"/>
              <w:autoSpaceDN w:val="0"/>
              <w:spacing w:after="120" w:line="276" w:lineRule="auto"/>
              <w:jc w:val="both"/>
              <w:rPr>
                <w:rFonts w:ascii="Verdana" w:hAnsi="Verdana" w:cs="Arial"/>
                <w:lang w:val="es-ES"/>
              </w:rPr>
            </w:pPr>
            <w:r w:rsidRPr="00C71E4F">
              <w:rPr>
                <w:rFonts w:ascii="Verdana" w:hAnsi="Verdana" w:cs="Arial"/>
                <w:lang w:val="pt-BR"/>
              </w:rPr>
              <w:t>Corte Constitucional. Sentencia C-671 de 2015. M.P. Alberto Rojas Ríos.</w:t>
            </w:r>
          </w:p>
          <w:p w:rsidRPr="00667CD6" w:rsidR="008F1C48" w:rsidP="00670659" w:rsidRDefault="008F1C48" w14:paraId="2422212F" w14:textId="77777777">
            <w:pPr>
              <w:widowControl w:val="0"/>
              <w:numPr>
                <w:ilvl w:val="0"/>
                <w:numId w:val="17"/>
              </w:numPr>
              <w:autoSpaceDE w:val="0"/>
              <w:autoSpaceDN w:val="0"/>
              <w:spacing w:after="120" w:line="276" w:lineRule="auto"/>
              <w:jc w:val="both"/>
              <w:rPr>
                <w:rFonts w:ascii="Verdana" w:hAnsi="Verdana" w:cs="Arial"/>
                <w:lang w:val="es-ES"/>
              </w:rPr>
            </w:pPr>
            <w:r w:rsidRPr="00667CD6">
              <w:rPr>
                <w:rFonts w:ascii="Verdana" w:hAnsi="Verdana" w:cs="Arial"/>
                <w:lang w:val="es-ES"/>
              </w:rPr>
              <w:t xml:space="preserve">Consejo de Estado, Sección Primera. Sentencia de 3 de marzo de 2005, </w:t>
            </w:r>
            <w:proofErr w:type="spellStart"/>
            <w:r w:rsidRPr="00667CD6">
              <w:rPr>
                <w:rFonts w:ascii="Verdana" w:hAnsi="Verdana" w:cs="Arial"/>
                <w:lang w:val="es-ES"/>
              </w:rPr>
              <w:t>Exp</w:t>
            </w:r>
            <w:proofErr w:type="spellEnd"/>
            <w:r w:rsidRPr="00667CD6">
              <w:rPr>
                <w:rFonts w:ascii="Verdana" w:hAnsi="Verdana" w:cs="Arial"/>
                <w:lang w:val="es-ES"/>
              </w:rPr>
              <w:t xml:space="preserve">. 2004-00823-01(PI). </w:t>
            </w:r>
          </w:p>
          <w:p w:rsidRPr="00C71E4F" w:rsidR="00C71E4F" w:rsidP="00C71E4F" w:rsidRDefault="00C71E4F" w14:paraId="3D3D1CCC" w14:textId="77777777">
            <w:pPr>
              <w:numPr>
                <w:ilvl w:val="0"/>
                <w:numId w:val="17"/>
              </w:numPr>
              <w:spacing w:before="120" w:after="120" w:line="276" w:lineRule="auto"/>
              <w:jc w:val="both"/>
              <w:rPr>
                <w:rFonts w:ascii="Verdana" w:hAnsi="Verdana" w:cs="Arial"/>
                <w:lang w:val="es-ES"/>
              </w:rPr>
            </w:pPr>
            <w:r w:rsidRPr="00C71E4F">
              <w:rPr>
                <w:rFonts w:ascii="Verdana" w:hAnsi="Verdana" w:cs="Arial"/>
              </w:rPr>
              <w:t>Consejo de Estado. Sala de Consulta y Servicio Civil. Concepto del 15 de noviembre de 2007. Expediente número 1863. Consejero Ponente: Luis Fernando Álvarez Jaramillo</w:t>
            </w:r>
          </w:p>
          <w:p w:rsidRPr="00667CD6" w:rsidR="008F1C48" w:rsidP="00670659" w:rsidRDefault="008F1C48" w14:paraId="4C5FC2D1" w14:textId="77777777">
            <w:pPr>
              <w:widowControl w:val="0"/>
              <w:numPr>
                <w:ilvl w:val="0"/>
                <w:numId w:val="17"/>
              </w:numPr>
              <w:autoSpaceDE w:val="0"/>
              <w:autoSpaceDN w:val="0"/>
              <w:spacing w:after="120" w:line="276" w:lineRule="auto"/>
              <w:jc w:val="both"/>
              <w:rPr>
                <w:rFonts w:ascii="Verdana" w:hAnsi="Verdana" w:cs="Arial"/>
                <w:lang w:val="es-ES"/>
              </w:rPr>
            </w:pPr>
            <w:r w:rsidRPr="00667CD6">
              <w:rPr>
                <w:rFonts w:ascii="Verdana" w:hAnsi="Verdana" w:cs="Arial"/>
                <w:lang w:val="es-ES"/>
              </w:rPr>
              <w:t xml:space="preserve">Consejo de Estado, Sala de Consulta y Servicio Civil, Concepto de fecha 24 de julio de 2013, Rad. 2166, C. P. Álvaro </w:t>
            </w:r>
            <w:proofErr w:type="spellStart"/>
            <w:r w:rsidRPr="00667CD6">
              <w:rPr>
                <w:rFonts w:ascii="Verdana" w:hAnsi="Verdana" w:cs="Arial"/>
                <w:lang w:val="es-ES"/>
              </w:rPr>
              <w:t>Namén</w:t>
            </w:r>
            <w:proofErr w:type="spellEnd"/>
            <w:r w:rsidRPr="00667CD6">
              <w:rPr>
                <w:rFonts w:ascii="Verdana" w:hAnsi="Verdana" w:cs="Arial"/>
                <w:lang w:val="es-ES"/>
              </w:rPr>
              <w:t xml:space="preserve"> Vargas. </w:t>
            </w:r>
          </w:p>
          <w:p w:rsidRPr="00C71E4F" w:rsidR="00C71E4F" w:rsidP="00C71E4F" w:rsidRDefault="00C71E4F" w14:paraId="3DC436B4" w14:textId="77777777">
            <w:pPr>
              <w:numPr>
                <w:ilvl w:val="0"/>
                <w:numId w:val="17"/>
              </w:numPr>
              <w:spacing w:before="120" w:after="120" w:line="276" w:lineRule="auto"/>
              <w:jc w:val="both"/>
              <w:rPr>
                <w:rFonts w:ascii="Verdana" w:hAnsi="Verdana" w:cs="Arial"/>
                <w:lang w:val="es-ES"/>
              </w:rPr>
            </w:pPr>
            <w:r w:rsidRPr="00C71E4F">
              <w:rPr>
                <w:rFonts w:ascii="Verdana" w:hAnsi="Verdana" w:cs="Arial"/>
              </w:rPr>
              <w:t xml:space="preserve">Consejo de Estado. Sala de Consulta y Servicio Civil. Concepto del 2 de septiembre de 2013 Radicado No: 2168. CP: </w:t>
            </w:r>
            <w:proofErr w:type="spellStart"/>
            <w:r w:rsidRPr="00C71E4F">
              <w:rPr>
                <w:rFonts w:ascii="Verdana" w:hAnsi="Verdana" w:cs="Arial"/>
              </w:rPr>
              <w:t>Alvaro</w:t>
            </w:r>
            <w:proofErr w:type="spellEnd"/>
            <w:r w:rsidRPr="00C71E4F">
              <w:rPr>
                <w:rFonts w:ascii="Verdana" w:hAnsi="Verdana" w:cs="Arial"/>
              </w:rPr>
              <w:t xml:space="preserve"> </w:t>
            </w:r>
            <w:proofErr w:type="spellStart"/>
            <w:r w:rsidRPr="00C71E4F">
              <w:rPr>
                <w:rFonts w:ascii="Verdana" w:hAnsi="Verdana" w:cs="Arial"/>
              </w:rPr>
              <w:t>Namén</w:t>
            </w:r>
            <w:proofErr w:type="spellEnd"/>
            <w:r w:rsidRPr="00C71E4F">
              <w:rPr>
                <w:rFonts w:ascii="Verdana" w:hAnsi="Verdana" w:cs="Arial"/>
              </w:rPr>
              <w:t xml:space="preserve"> Vargas.</w:t>
            </w:r>
          </w:p>
          <w:p w:rsidRPr="00667CD6" w:rsidR="008F1C48" w:rsidRDefault="008F1C48" w14:paraId="725706F9" w14:textId="77777777">
            <w:pPr>
              <w:numPr>
                <w:ilvl w:val="0"/>
                <w:numId w:val="17"/>
              </w:numPr>
              <w:spacing w:before="120" w:after="120" w:line="276" w:lineRule="auto"/>
              <w:jc w:val="both"/>
              <w:rPr>
                <w:rFonts w:ascii="Verdana" w:hAnsi="Verdana" w:cs="Arial"/>
                <w:lang w:val="es-ES"/>
              </w:rPr>
            </w:pPr>
            <w:r w:rsidRPr="00667CD6">
              <w:rPr>
                <w:rFonts w:ascii="Verdana" w:hAnsi="Verdana" w:cs="Arial"/>
                <w:lang w:val="es-ES"/>
              </w:rPr>
              <w:t>Consejo de Estado. Sala de Consulta y Servicio Civil. Concepto del 17 de febrero de 2015. C.P. William Zambrano Cetina. Radicación No. 11001-03-06-000-2015-00164-00(2269).</w:t>
            </w:r>
          </w:p>
          <w:p w:rsidRPr="00667CD6" w:rsidR="008F1C48" w:rsidRDefault="008F1C48" w14:paraId="0FB37107" w14:textId="77777777">
            <w:pPr>
              <w:numPr>
                <w:ilvl w:val="0"/>
                <w:numId w:val="17"/>
              </w:numPr>
              <w:spacing w:before="120" w:after="120" w:line="276" w:lineRule="auto"/>
              <w:jc w:val="both"/>
              <w:rPr>
                <w:rFonts w:ascii="Verdana" w:hAnsi="Verdana" w:cs="Arial"/>
                <w:lang w:val="es-ES"/>
              </w:rPr>
            </w:pPr>
            <w:r w:rsidRPr="00667CD6">
              <w:rPr>
                <w:rFonts w:ascii="Verdana" w:hAnsi="Verdana" w:cs="Arial"/>
                <w:lang w:val="es-ES"/>
              </w:rPr>
              <w:t xml:space="preserve">Consejo de Estado, Sala de Consulta y Servicio Civil, Concepto de fecha 8 de mayo de 2018, No. 2382. C. P. Álvaro </w:t>
            </w:r>
            <w:proofErr w:type="spellStart"/>
            <w:r w:rsidRPr="00667CD6">
              <w:rPr>
                <w:rFonts w:ascii="Verdana" w:hAnsi="Verdana" w:cs="Arial"/>
                <w:lang w:val="es-ES"/>
              </w:rPr>
              <w:t>Namén</w:t>
            </w:r>
            <w:proofErr w:type="spellEnd"/>
            <w:r w:rsidRPr="00667CD6">
              <w:rPr>
                <w:rFonts w:ascii="Verdana" w:hAnsi="Verdana" w:cs="Arial"/>
                <w:lang w:val="es-ES"/>
              </w:rPr>
              <w:t xml:space="preserve"> Vargas.</w:t>
            </w:r>
          </w:p>
          <w:p w:rsidRPr="008D30C0" w:rsidR="008F1C48" w:rsidRDefault="008F1C48" w14:paraId="15505C57" w14:textId="0EC539D9">
            <w:pPr>
              <w:widowControl w:val="0"/>
              <w:numPr>
                <w:ilvl w:val="0"/>
                <w:numId w:val="17"/>
              </w:numPr>
              <w:autoSpaceDE w:val="0"/>
              <w:autoSpaceDN w:val="0"/>
              <w:spacing w:after="120" w:line="276" w:lineRule="auto"/>
              <w:jc w:val="both"/>
              <w:rPr>
                <w:rFonts w:ascii="Verdana" w:hAnsi="Verdana" w:cs="Arial"/>
                <w:lang w:val="es-ES"/>
              </w:rPr>
            </w:pPr>
            <w:proofErr w:type="spellStart"/>
            <w:r w:rsidRPr="00667CD6">
              <w:rPr>
                <w:rFonts w:ascii="Verdana" w:hAnsi="Verdana" w:cs="Arial"/>
                <w:lang w:val="pt-BR"/>
              </w:rPr>
              <w:t>Consejo</w:t>
            </w:r>
            <w:proofErr w:type="spellEnd"/>
            <w:r w:rsidRPr="00667CD6">
              <w:rPr>
                <w:rFonts w:ascii="Verdana" w:hAnsi="Verdana" w:cs="Arial"/>
                <w:lang w:val="pt-BR"/>
              </w:rPr>
              <w:t xml:space="preserve"> de Estado, </w:t>
            </w:r>
            <w:proofErr w:type="spellStart"/>
            <w:r w:rsidRPr="00667CD6">
              <w:rPr>
                <w:rFonts w:ascii="Verdana" w:hAnsi="Verdana" w:cs="Arial"/>
                <w:lang w:val="pt-BR"/>
              </w:rPr>
              <w:t>Sección</w:t>
            </w:r>
            <w:proofErr w:type="spellEnd"/>
            <w:r w:rsidRPr="00667CD6">
              <w:rPr>
                <w:rFonts w:ascii="Verdana" w:hAnsi="Verdana" w:cs="Arial"/>
                <w:lang w:val="pt-BR"/>
              </w:rPr>
              <w:t xml:space="preserve"> Tercera. Auto </w:t>
            </w:r>
            <w:proofErr w:type="spellStart"/>
            <w:r w:rsidRPr="00667CD6">
              <w:rPr>
                <w:rFonts w:ascii="Verdana" w:hAnsi="Verdana" w:cs="Arial"/>
                <w:lang w:val="pt-BR"/>
              </w:rPr>
              <w:t>del</w:t>
            </w:r>
            <w:proofErr w:type="spellEnd"/>
            <w:r w:rsidRPr="00667CD6">
              <w:rPr>
                <w:rFonts w:ascii="Verdana" w:hAnsi="Verdana" w:cs="Arial"/>
                <w:lang w:val="pt-BR"/>
              </w:rPr>
              <w:t xml:space="preserve"> 4 de </w:t>
            </w:r>
            <w:proofErr w:type="spellStart"/>
            <w:r w:rsidRPr="00667CD6">
              <w:rPr>
                <w:rFonts w:ascii="Verdana" w:hAnsi="Verdana" w:cs="Arial"/>
                <w:lang w:val="pt-BR"/>
              </w:rPr>
              <w:t>octubre</w:t>
            </w:r>
            <w:proofErr w:type="spellEnd"/>
            <w:r w:rsidRPr="00667CD6">
              <w:rPr>
                <w:rFonts w:ascii="Verdana" w:hAnsi="Verdana" w:cs="Arial"/>
                <w:lang w:val="pt-BR"/>
              </w:rPr>
              <w:t xml:space="preserve"> de 2024. Exp. 70.313. C.P: Fredy Ibarra Martínez.</w:t>
            </w:r>
          </w:p>
          <w:p w:rsidRPr="00C71E4F" w:rsidR="00C71E4F" w:rsidRDefault="00C71E4F" w14:paraId="3F48FDA4" w14:textId="6E37652D">
            <w:pPr>
              <w:widowControl w:val="0"/>
              <w:numPr>
                <w:ilvl w:val="0"/>
                <w:numId w:val="17"/>
              </w:numPr>
              <w:autoSpaceDE w:val="0"/>
              <w:autoSpaceDN w:val="0"/>
              <w:spacing w:after="120" w:line="276" w:lineRule="auto"/>
              <w:jc w:val="both"/>
              <w:rPr>
                <w:rFonts w:ascii="Verdana" w:hAnsi="Verdana" w:cs="Arial"/>
                <w:lang w:val="es-ES"/>
              </w:rPr>
            </w:pPr>
            <w:r w:rsidRPr="00670659">
              <w:rPr>
                <w:rFonts w:ascii="Verdana" w:hAnsi="Verdana" w:eastAsia="Times New Roman" w:cs="Times New Roman"/>
                <w:lang w:eastAsia="es-ES_tradnl"/>
              </w:rPr>
              <w:t xml:space="preserve">Consejo de Estado. Sala de lo Contencioso Administrativo. Sección Tercera. Subsección B. 17 de octubre de 2025. Magistrado Ponente: Fredy Ibarra Martínez.  </w:t>
            </w:r>
          </w:p>
          <w:p w:rsidRPr="00667CD6" w:rsidR="008F1C48" w:rsidRDefault="008F1C48" w14:paraId="7867E8B7" w14:textId="77777777">
            <w:pPr>
              <w:widowControl w:val="0"/>
              <w:numPr>
                <w:ilvl w:val="0"/>
                <w:numId w:val="17"/>
              </w:numPr>
              <w:autoSpaceDE w:val="0"/>
              <w:autoSpaceDN w:val="0"/>
              <w:spacing w:after="120" w:line="276" w:lineRule="auto"/>
              <w:jc w:val="both"/>
              <w:rPr>
                <w:rFonts w:ascii="Verdana" w:hAnsi="Verdana" w:cs="Arial"/>
                <w:lang w:val="es-ES"/>
              </w:rPr>
            </w:pPr>
            <w:r w:rsidRPr="00C71E4F">
              <w:rPr>
                <w:rFonts w:ascii="Verdana" w:hAnsi="Verdana" w:cs="Arial"/>
              </w:rPr>
              <w:t xml:space="preserve">Circular Externa No. 006 de 2025 </w:t>
            </w:r>
            <w:hyperlink w:history="1" r:id="rId13">
              <w:r w:rsidRPr="00C71E4F">
                <w:rPr>
                  <w:rFonts w:ascii="Verdana" w:hAnsi="Verdana" w:cs="Arial"/>
                  <w:color w:val="0000FF"/>
                  <w:u w:val="single"/>
                </w:rPr>
                <w:t>https://www.colombiacompra.gov.co/archivos/circular/circular-externa-006-de-2025</w:t>
              </w:r>
            </w:hyperlink>
            <w:r w:rsidRPr="00C71E4F">
              <w:rPr>
                <w:rFonts w:ascii="Verdana" w:hAnsi="Verdana" w:cs="Arial"/>
              </w:rPr>
              <w:t xml:space="preserve"> </w:t>
            </w:r>
          </w:p>
        </w:tc>
      </w:tr>
    </w:tbl>
    <w:p w:rsidRPr="00667CD6" w:rsidR="008F1C48" w:rsidP="008F1C48" w:rsidRDefault="008F1C48" w14:paraId="4CB65D9F" w14:textId="77777777">
      <w:pPr>
        <w:widowControl w:val="0"/>
        <w:autoSpaceDE w:val="0"/>
        <w:autoSpaceDN w:val="0"/>
        <w:spacing w:after="0" w:line="276" w:lineRule="auto"/>
        <w:jc w:val="both"/>
        <w:rPr>
          <w:rFonts w:ascii="Verdana" w:hAnsi="Verdana" w:cs="Arial"/>
          <w:lang w:val="es-ES_tradnl"/>
        </w:rPr>
      </w:pPr>
    </w:p>
    <w:p w:rsidRPr="00667CD6" w:rsidR="008F1C48" w:rsidP="008F1C48" w:rsidRDefault="008F1C48" w14:paraId="0B32684B" w14:textId="77777777">
      <w:pPr>
        <w:numPr>
          <w:ilvl w:val="0"/>
          <w:numId w:val="16"/>
        </w:numPr>
        <w:tabs>
          <w:tab w:val="left" w:pos="142"/>
          <w:tab w:val="left" w:pos="284"/>
        </w:tabs>
        <w:spacing w:after="0" w:line="276" w:lineRule="auto"/>
        <w:ind w:left="1068"/>
        <w:jc w:val="both"/>
        <w:rPr>
          <w:rFonts w:ascii="Verdana" w:hAnsi="Verdana" w:eastAsia="Century Gothic" w:cs="Century Gothic"/>
          <w:b/>
          <w:bCs/>
          <w:lang w:val="es-ES_tradnl"/>
        </w:rPr>
      </w:pPr>
      <w:r w:rsidRPr="00667CD6">
        <w:rPr>
          <w:rFonts w:ascii="Verdana" w:hAnsi="Verdana" w:eastAsia="Century Gothic" w:cs="Century Gothic"/>
          <w:b/>
          <w:bCs/>
          <w:lang w:val="es-ES_tradnl"/>
        </w:rPr>
        <w:t>Doctrina de la Agencia Nacional de Contratación Pública:</w:t>
      </w:r>
    </w:p>
    <w:p w:rsidRPr="00667CD6" w:rsidR="008F1C48" w:rsidP="008F1C48" w:rsidRDefault="008F1C48" w14:paraId="27D7BC52" w14:textId="77777777">
      <w:pPr>
        <w:widowControl w:val="0"/>
        <w:autoSpaceDE w:val="0"/>
        <w:autoSpaceDN w:val="0"/>
        <w:spacing w:after="0" w:line="276" w:lineRule="auto"/>
        <w:jc w:val="both"/>
        <w:rPr>
          <w:rFonts w:ascii="Verdana" w:hAnsi="Verdana" w:cs="Arial"/>
          <w:lang w:val="es-ES_tradnl"/>
        </w:rPr>
      </w:pPr>
    </w:p>
    <w:p w:rsidRPr="00667CD6" w:rsidR="008F1C48" w:rsidP="008F1C48" w:rsidRDefault="008F1C48" w14:paraId="1A605CAD" w14:textId="4E56E853">
      <w:pPr>
        <w:widowControl w:val="0"/>
        <w:autoSpaceDE w:val="0"/>
        <w:autoSpaceDN w:val="0"/>
        <w:spacing w:after="0" w:line="276" w:lineRule="auto"/>
        <w:jc w:val="both"/>
        <w:rPr>
          <w:rFonts w:ascii="Verdana" w:hAnsi="Verdana" w:cs="Arial"/>
          <w:shd w:val="clear" w:color="auto" w:fill="FFFFFF"/>
        </w:rPr>
      </w:pPr>
      <w:r w:rsidRPr="00667CD6">
        <w:rPr>
          <w:rFonts w:ascii="Verdana" w:hAnsi="Verdana" w:cs="Arial"/>
          <w:shd w:val="clear" w:color="auto" w:fill="FFFFFF"/>
        </w:rPr>
        <w:t xml:space="preserve">Esta Subdirección se ha pronunciado sobre la finalidad y propósito de la Ley de </w:t>
      </w:r>
      <w:r w:rsidRPr="00667CD6">
        <w:rPr>
          <w:rFonts w:ascii="Verdana" w:hAnsi="Verdana" w:cs="Arial"/>
          <w:shd w:val="clear" w:color="auto" w:fill="FFFFFF"/>
        </w:rPr>
        <w:lastRenderedPageBreak/>
        <w:t>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w:t>
      </w:r>
      <w:r w:rsidRPr="00667CD6" w:rsidR="0044278F">
        <w:rPr>
          <w:rFonts w:ascii="Verdana" w:hAnsi="Verdana" w:cs="Arial"/>
          <w:shd w:val="clear" w:color="auto" w:fill="FFFFFF"/>
        </w:rPr>
        <w:t xml:space="preserve">1430 del </w:t>
      </w:r>
      <w:r w:rsidRPr="00667CD6" w:rsidR="009F6762">
        <w:rPr>
          <w:rFonts w:ascii="Verdana" w:hAnsi="Verdana" w:cs="Arial"/>
          <w:shd w:val="clear" w:color="auto" w:fill="FFFFFF"/>
        </w:rPr>
        <w:t>12 de noviembre del 2025</w:t>
      </w:r>
      <w:r w:rsidRPr="00667CD6">
        <w:rPr>
          <w:rFonts w:ascii="Verdana" w:hAnsi="Verdana" w:cs="Arial"/>
          <w:shd w:val="clear" w:color="auto" w:fill="FFFFFF"/>
        </w:rPr>
        <w:t xml:space="preserve">. </w:t>
      </w:r>
      <w:r w:rsidRPr="00667CD6">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w:history="1" r:id="rId14">
        <w:r w:rsidRPr="00667CD6">
          <w:rPr>
            <w:rFonts w:ascii="Verdana" w:hAnsi="Verdana" w:cs="Arial"/>
            <w:color w:val="0000FF"/>
            <w:u w:val="single"/>
            <w:shd w:val="clear" w:color="auto" w:fill="FFFFFF"/>
            <w:lang w:val="es-ES_tradnl"/>
          </w:rPr>
          <w:t>https://relatoria.colombiacompra.gov.co/busqueda/conceptos</w:t>
        </w:r>
      </w:hyperlink>
      <w:r w:rsidRPr="00667CD6">
        <w:rPr>
          <w:rFonts w:ascii="Verdana" w:hAnsi="Verdana" w:cs="Arial"/>
          <w:shd w:val="clear" w:color="auto" w:fill="FFFFFF"/>
          <w:lang w:val="es-ES_tradnl"/>
        </w:rPr>
        <w:t xml:space="preserve">. </w:t>
      </w:r>
      <w:r w:rsidRPr="00667CD6">
        <w:rPr>
          <w:rFonts w:ascii="Verdana" w:hAnsi="Verdana" w:cs="Arial"/>
          <w:color w:val="FF0000"/>
          <w:shd w:val="clear" w:color="auto" w:fill="FFFFFF"/>
          <w:lang w:val="es-ES_tradnl"/>
        </w:rPr>
        <w:t xml:space="preserve"> </w:t>
      </w:r>
    </w:p>
    <w:p w:rsidRPr="00667CD6" w:rsidR="008F1C48" w:rsidP="008F1C48" w:rsidRDefault="008F1C48" w14:paraId="7DD005E0" w14:textId="77777777">
      <w:pPr>
        <w:widowControl w:val="0"/>
        <w:autoSpaceDE w:val="0"/>
        <w:autoSpaceDN w:val="0"/>
        <w:spacing w:after="0" w:line="276" w:lineRule="auto"/>
        <w:jc w:val="both"/>
        <w:rPr>
          <w:rFonts w:ascii="Verdana" w:hAnsi="Verdana" w:cs="Arial"/>
          <w:color w:val="FF0000"/>
          <w:shd w:val="clear" w:color="auto" w:fill="FFFFFF"/>
          <w:lang w:val="es-ES_tradnl"/>
        </w:rPr>
      </w:pPr>
    </w:p>
    <w:p w:rsidRPr="00667CD6" w:rsidR="008F1C48" w:rsidP="008F1C48" w:rsidRDefault="0017682F" w14:paraId="307E68F3" w14:textId="6959002B">
      <w:pPr>
        <w:shd w:val="clear" w:color="auto" w:fill="FFFFFF"/>
        <w:spacing w:after="0" w:line="276" w:lineRule="auto"/>
        <w:jc w:val="both"/>
        <w:rPr>
          <w:rFonts w:ascii="Verdana" w:hAnsi="Verdana"/>
          <w:color w:val="467886"/>
          <w:u w:val="single"/>
        </w:rPr>
      </w:pPr>
      <w:r>
        <w:rPr>
          <w:rFonts w:ascii="Verdana" w:hAnsi="Verdana"/>
          <w:color w:val="000000"/>
          <w:lang w:val="es-ES_tradnl"/>
        </w:rPr>
        <w:t>Informamos</w:t>
      </w:r>
      <w:r>
        <w:rPr>
          <w:rFonts w:ascii="Verdana" w:hAnsi="Verdana"/>
          <w:color w:val="000000"/>
        </w:rPr>
        <w:t xml:space="preserve"> </w:t>
      </w:r>
      <w:r w:rsidRPr="00667CD6" w:rsidR="008F1C48">
        <w:rPr>
          <w:rFonts w:ascii="Verdana" w:hAnsi="Verdana"/>
          <w:color w:val="000000"/>
        </w:rPr>
        <w:t>que ya se encuentra disponible la </w:t>
      </w:r>
      <w:r w:rsidRPr="00667CD6" w:rsidR="008F1C48">
        <w:rPr>
          <w:rFonts w:ascii="Verdana" w:hAnsi="Verdana"/>
          <w:b/>
          <w:bCs/>
          <w:color w:val="000000"/>
        </w:rPr>
        <w:t>Guía de lineamientos de transparencia y selección objetiva para el departamento de La Guajira – Objetivo sexto constitucional de la Sentencia T-302 del 2017. </w:t>
      </w:r>
      <w:r w:rsidRPr="00667CD6" w:rsidR="008F1C48">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67CD6" w:rsidR="008F1C48">
        <w:rPr>
          <w:rFonts w:ascii="Verdana" w:hAnsi="Verdana"/>
          <w:color w:val="000000"/>
        </w:rPr>
        <w:t>Wayúu</w:t>
      </w:r>
      <w:proofErr w:type="spellEnd"/>
      <w:r w:rsidRPr="00667CD6" w:rsidR="008F1C48">
        <w:rPr>
          <w:rFonts w:ascii="Verdana" w:hAnsi="Verdana"/>
          <w:color w:val="000000"/>
        </w:rPr>
        <w:t>. Puede consultar la guía en el siguiente enlace: </w:t>
      </w:r>
      <w:hyperlink w:tgtFrame="_blank" w:tooltip="Dirección URL original: https://www.colombiacompra.gov.co/wp-content/uploads/2025/05/GUIA-DE-LINEAMIENTOS-DE-TRANSPARENCIA-Y-SELECCION-OBJETIVA-1.0.pdf. Haga clic o pulse si confía en este vínculo." w:history="1" r:id="rId15">
        <w:r w:rsidRPr="00667CD6" w:rsidR="008F1C48">
          <w:rPr>
            <w:rFonts w:ascii="Verdana" w:hAnsi="Verdana"/>
            <w:color w:val="0000FF"/>
            <w:u w:val="single"/>
          </w:rPr>
          <w:t>Guía de lineamientos de transparencia y selección objetiva para el departamento de La Guajira – Objetivo sexto constitucional de la Sentencia T-302 del 2017</w:t>
        </w:r>
      </w:hyperlink>
      <w:r w:rsidRPr="00667CD6" w:rsidR="008F1C48">
        <w:rPr>
          <w:rFonts w:ascii="Verdana" w:hAnsi="Verdana"/>
          <w:color w:val="000000"/>
          <w:u w:val="single"/>
        </w:rPr>
        <w:t>.</w:t>
      </w:r>
    </w:p>
    <w:p w:rsidRPr="00667CD6" w:rsidR="008F1C48" w:rsidP="008F1C48" w:rsidRDefault="008F1C48" w14:paraId="7C8CEE71" w14:textId="77777777">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667CD6">
        <w:rPr>
          <w:rFonts w:ascii="Verdana" w:hAnsi="Verdana" w:cs="Arial"/>
          <w:color w:val="000000" w:themeColor="text1"/>
          <w:shd w:val="clear" w:color="auto" w:fill="FFFFFF"/>
          <w:lang w:val="es-ES_tradnl"/>
        </w:rPr>
        <w:t xml:space="preserve"> </w:t>
      </w:r>
    </w:p>
    <w:p w:rsidRPr="00667CD6" w:rsidR="008F1C48" w:rsidP="008F1C48" w:rsidRDefault="008F1C48" w14:paraId="45A45FC9" w14:textId="77777777">
      <w:pPr>
        <w:spacing w:after="0"/>
        <w:jc w:val="both"/>
        <w:rPr>
          <w:rFonts w:ascii="Verdana" w:hAnsi="Verdana"/>
        </w:rPr>
      </w:pPr>
      <w:r w:rsidRPr="00667CD6">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rsidRPr="00667CD6" w:rsidR="008F1C48" w:rsidP="008F1C48" w:rsidRDefault="008F1C48" w14:paraId="4DFB69E0" w14:textId="77777777">
      <w:pPr>
        <w:spacing w:after="0"/>
        <w:jc w:val="both"/>
        <w:rPr>
          <w:rFonts w:ascii="Verdana" w:hAnsi="Verdana"/>
        </w:rPr>
      </w:pPr>
    </w:p>
    <w:p w:rsidRPr="00667CD6" w:rsidR="008F1C48" w:rsidP="008F1C48" w:rsidRDefault="008F1C48" w14:paraId="411997A2" w14:textId="77777777">
      <w:pPr>
        <w:numPr>
          <w:ilvl w:val="0"/>
          <w:numId w:val="15"/>
        </w:numPr>
        <w:spacing w:after="0" w:line="240" w:lineRule="auto"/>
        <w:contextualSpacing/>
        <w:jc w:val="both"/>
        <w:rPr>
          <w:rFonts w:ascii="Verdana" w:hAnsi="Verdana" w:eastAsia="Verdana" w:cs="Verdana"/>
          <w:color w:val="4472C4" w:themeColor="accent1"/>
          <w:u w:val="single"/>
          <w:lang w:val="es-MX"/>
        </w:rPr>
      </w:pPr>
      <w:r w:rsidRPr="00667CD6">
        <w:rPr>
          <w:rFonts w:ascii="Verdana" w:hAnsi="Verdana" w:eastAsia="Verdana" w:cs="Verdana"/>
          <w:lang w:val="es-MX"/>
        </w:rPr>
        <w:t xml:space="preserve">Línea nacional gratuita o servicio a la ciudadanía (Mesa de servicio): </w:t>
      </w:r>
      <w:r w:rsidRPr="00667CD6">
        <w:rPr>
          <w:rFonts w:ascii="Verdana" w:hAnsi="Verdana"/>
          <w:color w:val="0000FF"/>
          <w:u w:val="single"/>
          <w:lang w:val="es-ES"/>
        </w:rPr>
        <w:t>01800 0520808</w:t>
      </w:r>
    </w:p>
    <w:p w:rsidRPr="00667CD6" w:rsidR="008F1C48" w:rsidP="008F1C48" w:rsidRDefault="008F1C48" w14:paraId="0DDAF2DA" w14:textId="77777777">
      <w:pPr>
        <w:numPr>
          <w:ilvl w:val="0"/>
          <w:numId w:val="15"/>
        </w:numPr>
        <w:spacing w:after="0"/>
        <w:contextualSpacing/>
        <w:rPr>
          <w:rFonts w:ascii="Verdana" w:hAnsi="Verdana" w:eastAsia="Verdana" w:cs="Verdana"/>
          <w:color w:val="4472C4" w:themeColor="accent1"/>
          <w:u w:val="single"/>
          <w:lang w:val="es-MX"/>
        </w:rPr>
      </w:pPr>
      <w:r w:rsidRPr="00667CD6">
        <w:rPr>
          <w:rFonts w:ascii="Verdana" w:hAnsi="Verdana" w:eastAsia="Verdana" w:cs="Verdana"/>
          <w:lang w:val="es-MX"/>
        </w:rPr>
        <w:t>Línea en Bogotá (Mesa de servicio</w:t>
      </w:r>
      <w:proofErr w:type="gramStart"/>
      <w:r w:rsidRPr="00667CD6">
        <w:rPr>
          <w:rFonts w:ascii="Verdana" w:hAnsi="Verdana" w:eastAsia="Verdana" w:cs="Verdana"/>
          <w:lang w:val="es-MX"/>
        </w:rPr>
        <w:t>):</w:t>
      </w:r>
      <w:r w:rsidRPr="00667CD6">
        <w:rPr>
          <w:rFonts w:ascii="Verdana" w:hAnsi="Verdana"/>
          <w:color w:val="0000FF"/>
          <w:u w:val="single"/>
          <w:lang w:val="es-ES"/>
        </w:rPr>
        <w:t>+</w:t>
      </w:r>
      <w:proofErr w:type="gramEnd"/>
      <w:r w:rsidRPr="00667CD6">
        <w:rPr>
          <w:rFonts w:ascii="Verdana" w:hAnsi="Verdana"/>
          <w:color w:val="0000FF"/>
          <w:u w:val="single"/>
          <w:lang w:val="es-ES"/>
        </w:rPr>
        <w:t>57 601 7456788</w:t>
      </w:r>
    </w:p>
    <w:p w:rsidRPr="00667CD6" w:rsidR="008F1C48" w:rsidP="008F1C48" w:rsidRDefault="008F1C48" w14:paraId="23A3563C" w14:textId="77777777">
      <w:pPr>
        <w:numPr>
          <w:ilvl w:val="0"/>
          <w:numId w:val="15"/>
        </w:numPr>
        <w:spacing w:after="0"/>
        <w:contextualSpacing/>
        <w:rPr>
          <w:rFonts w:ascii="Verdana" w:hAnsi="Verdana" w:eastAsia="Verdana" w:cs="Verdana"/>
          <w:color w:val="0000FF"/>
          <w:u w:val="single"/>
          <w:lang w:val="es-MX"/>
        </w:rPr>
      </w:pPr>
      <w:r w:rsidRPr="00667CD6">
        <w:rPr>
          <w:rFonts w:ascii="Verdana" w:hAnsi="Verdana" w:eastAsia="Verdana" w:cs="Verdana"/>
          <w:lang w:val="es-MX"/>
        </w:rPr>
        <w:lastRenderedPageBreak/>
        <w:t xml:space="preserve">Correo de radicación de correspondencia: </w:t>
      </w:r>
      <w:hyperlink w:history="1" r:id="rId16">
        <w:r w:rsidRPr="00667CD6">
          <w:rPr>
            <w:rFonts w:ascii="Verdana" w:hAnsi="Verdana" w:eastAsia="Verdana" w:cs="Verdana"/>
            <w:color w:val="0000FF"/>
            <w:u w:val="single"/>
            <w:lang w:val="es-MX"/>
          </w:rPr>
          <w:t>ventanilladeradicacion@colombiacompra.gov.co</w:t>
        </w:r>
      </w:hyperlink>
    </w:p>
    <w:p w:rsidRPr="00667CD6" w:rsidR="008F1C48" w:rsidP="008F1C48" w:rsidRDefault="008F1C48" w14:paraId="4C3008BF" w14:textId="77777777">
      <w:pPr>
        <w:numPr>
          <w:ilvl w:val="0"/>
          <w:numId w:val="15"/>
        </w:numPr>
        <w:spacing w:after="0"/>
        <w:contextualSpacing/>
        <w:rPr>
          <w:rFonts w:ascii="Verdana" w:hAnsi="Verdana" w:eastAsia="Verdana" w:cs="Verdana"/>
          <w:color w:val="0000FF"/>
          <w:u w:val="single"/>
          <w:lang w:val="es-MX"/>
        </w:rPr>
      </w:pPr>
      <w:r w:rsidRPr="00667CD6">
        <w:rPr>
          <w:rFonts w:ascii="Verdana" w:hAnsi="Verdana" w:eastAsia="Verdana" w:cs="Verdana"/>
          <w:lang w:val="es-ES"/>
        </w:rPr>
        <w:t xml:space="preserve">Formulario web para PQRSD: </w:t>
      </w:r>
      <w:hyperlink w:history="1" r:id="rId17">
        <w:r w:rsidRPr="00667CD6">
          <w:rPr>
            <w:rFonts w:ascii="Verdana" w:hAnsi="Verdana" w:eastAsia="Verdana" w:cs="Verdana"/>
            <w:color w:val="0000FF"/>
            <w:u w:val="single"/>
            <w:lang w:val="es-MX"/>
          </w:rPr>
          <w:t>https://www.colombiacompra.gov.co/pqrsd/informacion-importante-antes-de-formular-una-pqrsd</w:t>
        </w:r>
      </w:hyperlink>
    </w:p>
    <w:p w:rsidRPr="00667CD6" w:rsidR="008F1C48" w:rsidP="008F1C48" w:rsidRDefault="008F1C48" w14:paraId="69CC7621" w14:textId="77777777">
      <w:pPr>
        <w:spacing w:after="0" w:line="240" w:lineRule="auto"/>
        <w:ind w:left="720"/>
        <w:jc w:val="both"/>
        <w:rPr>
          <w:rFonts w:ascii="Verdana" w:hAnsi="Verdana"/>
        </w:rPr>
      </w:pPr>
    </w:p>
    <w:p w:rsidRPr="00667CD6" w:rsidR="008F1C48" w:rsidP="008F1C48" w:rsidRDefault="008F1C48" w14:paraId="63DCBBA9" w14:textId="17B59E70">
      <w:pPr>
        <w:spacing w:after="0" w:line="240" w:lineRule="auto"/>
        <w:rPr>
          <w:rFonts w:ascii="Verdana" w:hAnsi="Verdana"/>
        </w:rPr>
      </w:pPr>
      <w:r w:rsidRPr="00667CD6">
        <w:rPr>
          <w:rFonts w:ascii="Verdana" w:hAnsi="Verdana"/>
        </w:rPr>
        <w:t>Evalúa el servicio que ofrece la Agencia por el canal de atención de PQRSD en el siguiente enlace:</w:t>
      </w:r>
      <w:r w:rsidR="002845DC">
        <w:rPr>
          <w:rFonts w:ascii="Verdana" w:hAnsi="Verdana"/>
        </w:rPr>
        <w:t xml:space="preserve"> </w:t>
      </w:r>
      <w:hyperlink w:history="1" r:id="rId18">
        <w:r w:rsidRPr="00E633BD" w:rsidR="002845DC">
          <w:rPr>
            <w:rStyle w:val="Hipervnculo"/>
            <w:rFonts w:ascii="Verdana" w:hAnsi="Verdana"/>
          </w:rPr>
          <w:t>https://forms.office.com/r/pPHyWVs2SZ</w:t>
        </w:r>
      </w:hyperlink>
      <w:r w:rsidRPr="00667CD6">
        <w:rPr>
          <w:rFonts w:ascii="Verdana" w:hAnsi="Verdana"/>
        </w:rPr>
        <w:t xml:space="preserve"> .¡Ayúdanos a mejorar porque el compromiso es de todos!</w:t>
      </w:r>
    </w:p>
    <w:p w:rsidRPr="00667CD6" w:rsidR="008F1C48" w:rsidP="008F1C48" w:rsidRDefault="008F1C48" w14:paraId="26181CE9" w14:textId="77777777">
      <w:pPr>
        <w:spacing w:after="0" w:line="240" w:lineRule="auto"/>
        <w:rPr>
          <w:rFonts w:ascii="Verdana" w:hAnsi="Verdana"/>
        </w:rPr>
      </w:pPr>
    </w:p>
    <w:p w:rsidRPr="00667CD6" w:rsidR="008F1C48" w:rsidP="008F1C48" w:rsidRDefault="008F1C48" w14:paraId="0619DA4F" w14:textId="77777777">
      <w:pPr>
        <w:spacing w:after="0" w:line="240" w:lineRule="auto"/>
        <w:jc w:val="both"/>
        <w:rPr>
          <w:rFonts w:ascii="Verdana" w:hAnsi="Verdana"/>
        </w:rPr>
      </w:pPr>
      <w:r w:rsidRPr="00667CD6">
        <w:rPr>
          <w:rFonts w:ascii="Verdana" w:hAnsi="Verdana"/>
        </w:rPr>
        <w:t xml:space="preserve">Por último, lo invitamos a seguirnos en las redes sociales en las cuales se difunde información institucional: </w:t>
      </w:r>
    </w:p>
    <w:p w:rsidRPr="00667CD6" w:rsidR="008F1C48" w:rsidP="008F1C48" w:rsidRDefault="008F1C48" w14:paraId="28D8BD00" w14:textId="77777777">
      <w:pPr>
        <w:spacing w:after="0" w:line="240" w:lineRule="auto"/>
        <w:jc w:val="both"/>
        <w:rPr>
          <w:rFonts w:ascii="Verdana" w:hAnsi="Verdana"/>
        </w:rPr>
      </w:pPr>
    </w:p>
    <w:p w:rsidRPr="00667CD6" w:rsidR="008F1C48" w:rsidP="008F1C48" w:rsidRDefault="008F1C48" w14:paraId="1DD77A99" w14:textId="77777777">
      <w:pPr>
        <w:spacing w:after="0" w:line="240" w:lineRule="auto"/>
        <w:jc w:val="both"/>
        <w:rPr>
          <w:rFonts w:ascii="Verdana" w:hAnsi="Verdana"/>
        </w:rPr>
      </w:pPr>
      <w:r w:rsidRPr="00667CD6">
        <w:rPr>
          <w:rFonts w:ascii="Verdana" w:hAnsi="Verdana"/>
        </w:rPr>
        <w:t xml:space="preserve">Twitter: </w:t>
      </w:r>
      <w:r w:rsidRPr="00667CD6">
        <w:rPr>
          <w:rFonts w:ascii="Verdana" w:hAnsi="Verdana"/>
          <w:color w:val="0000FF"/>
          <w:u w:val="single"/>
        </w:rPr>
        <w:t>@colombiacompra</w:t>
      </w:r>
      <w:r w:rsidRPr="00667CD6">
        <w:rPr>
          <w:rFonts w:ascii="Verdana" w:hAnsi="Verdana"/>
        </w:rPr>
        <w:t xml:space="preserve"> </w:t>
      </w:r>
    </w:p>
    <w:p w:rsidRPr="00667CD6" w:rsidR="008F1C48" w:rsidP="008F1C48" w:rsidRDefault="008F1C48" w14:paraId="6E871200" w14:textId="77777777">
      <w:pPr>
        <w:spacing w:after="0" w:line="240" w:lineRule="auto"/>
        <w:jc w:val="both"/>
        <w:rPr>
          <w:rFonts w:ascii="Verdana" w:hAnsi="Verdana"/>
        </w:rPr>
      </w:pPr>
      <w:r w:rsidRPr="00667CD6">
        <w:rPr>
          <w:rFonts w:ascii="Verdana" w:hAnsi="Verdana"/>
        </w:rPr>
        <w:t xml:space="preserve">Facebook: </w:t>
      </w:r>
      <w:proofErr w:type="spellStart"/>
      <w:r w:rsidRPr="00667CD6">
        <w:rPr>
          <w:rFonts w:ascii="Verdana" w:hAnsi="Verdana"/>
          <w:color w:val="0000FF"/>
          <w:u w:val="single"/>
        </w:rPr>
        <w:t>ColombiaCompraEficiente</w:t>
      </w:r>
      <w:proofErr w:type="spellEnd"/>
    </w:p>
    <w:p w:rsidRPr="00667CD6" w:rsidR="008F1C48" w:rsidP="008F1C48" w:rsidRDefault="008F1C48" w14:paraId="4ECA82B5" w14:textId="77777777">
      <w:pPr>
        <w:spacing w:after="0" w:line="240" w:lineRule="auto"/>
        <w:jc w:val="both"/>
        <w:rPr>
          <w:rFonts w:ascii="Verdana" w:hAnsi="Verdana"/>
        </w:rPr>
      </w:pPr>
      <w:r w:rsidRPr="00667CD6">
        <w:rPr>
          <w:rFonts w:ascii="Verdana" w:hAnsi="Verdana"/>
        </w:rPr>
        <w:t xml:space="preserve">LinkedIn: </w:t>
      </w:r>
      <w:r w:rsidRPr="00667CD6">
        <w:rPr>
          <w:rFonts w:ascii="Verdana" w:hAnsi="Verdana"/>
          <w:color w:val="0000FF"/>
          <w:u w:val="single"/>
        </w:rPr>
        <w:t>Agencia Nacional de Contratación Pública - Colombia Compra Eficiente</w:t>
      </w:r>
      <w:r w:rsidRPr="00667CD6">
        <w:rPr>
          <w:rFonts w:ascii="Verdana" w:hAnsi="Verdana"/>
        </w:rPr>
        <w:t xml:space="preserve"> Instagram: </w:t>
      </w:r>
      <w:r w:rsidRPr="00667CD6">
        <w:rPr>
          <w:rFonts w:ascii="Verdana" w:hAnsi="Verdana"/>
          <w:color w:val="0000FF"/>
          <w:u w:val="single"/>
        </w:rPr>
        <w:t>@colombiacompraeficiente_cce</w:t>
      </w:r>
    </w:p>
    <w:p w:rsidRPr="00667CD6" w:rsidR="008F1C48" w:rsidP="008F1C48" w:rsidRDefault="008F1C48" w14:paraId="4A054B92" w14:textId="77777777">
      <w:pPr>
        <w:widowControl w:val="0"/>
        <w:autoSpaceDE w:val="0"/>
        <w:autoSpaceDN w:val="0"/>
        <w:spacing w:after="120" w:line="276" w:lineRule="auto"/>
        <w:jc w:val="both"/>
        <w:rPr>
          <w:rFonts w:ascii="Verdana" w:hAnsi="Verdana" w:cs="Arial"/>
          <w:color w:val="FF0000"/>
          <w:shd w:val="clear" w:color="auto" w:fill="FFFFFF"/>
          <w:lang w:val="es-ES_tradnl"/>
        </w:rPr>
      </w:pPr>
      <w:r w:rsidRPr="00667CD6">
        <w:rPr>
          <w:rFonts w:ascii="Verdana" w:hAnsi="Verdana" w:cs="Arial"/>
          <w:color w:val="FF0000"/>
          <w:shd w:val="clear" w:color="auto" w:fill="FFFFFF"/>
          <w:lang w:val="es-ES_tradnl"/>
        </w:rPr>
        <w:t xml:space="preserve">        </w:t>
      </w:r>
    </w:p>
    <w:p w:rsidRPr="00667CD6" w:rsidR="008F1C48" w:rsidP="008F1C48" w:rsidRDefault="008F1C48" w14:paraId="4830F682" w14:textId="77777777">
      <w:pPr>
        <w:widowControl w:val="0"/>
        <w:autoSpaceDE w:val="0"/>
        <w:autoSpaceDN w:val="0"/>
        <w:spacing w:after="0" w:line="276" w:lineRule="auto"/>
        <w:jc w:val="both"/>
        <w:rPr>
          <w:rFonts w:ascii="Verdana" w:hAnsi="Verdana" w:cs="Arial"/>
          <w:lang w:val="es-ES_tradnl"/>
        </w:rPr>
      </w:pPr>
      <w:r w:rsidRPr="00667CD6">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rsidRPr="00667CD6" w:rsidR="008F1C48" w:rsidP="008F1C48" w:rsidRDefault="008F1C48" w14:paraId="196DA43C" w14:textId="77777777">
      <w:pPr>
        <w:widowControl w:val="0"/>
        <w:autoSpaceDE w:val="0"/>
        <w:autoSpaceDN w:val="0"/>
        <w:spacing w:after="0" w:line="276" w:lineRule="auto"/>
        <w:jc w:val="both"/>
        <w:rPr>
          <w:rFonts w:ascii="Verdana" w:hAnsi="Verdana" w:cs="Arial"/>
          <w:lang w:val="es-ES_tradnl"/>
        </w:rPr>
      </w:pPr>
    </w:p>
    <w:p w:rsidRPr="00667CD6" w:rsidR="008F1C48" w:rsidP="008F1C48" w:rsidRDefault="008F1C48" w14:paraId="1E423E75" w14:textId="77777777">
      <w:pPr>
        <w:spacing w:after="0" w:line="240" w:lineRule="auto"/>
        <w:rPr>
          <w:rFonts w:ascii="Verdana" w:hAnsi="Verdana" w:cs="Arial"/>
          <w:lang w:val="es-ES_tradnl" w:eastAsia="es-CO"/>
        </w:rPr>
      </w:pPr>
      <w:r w:rsidRPr="2035D652">
        <w:rPr>
          <w:rFonts w:ascii="Verdana" w:hAnsi="Verdana" w:eastAsia="Times New Roman" w:cs="Arial"/>
          <w:lang w:val="es-ES" w:eastAsia="es-CO"/>
        </w:rPr>
        <w:t>Atentamente,</w:t>
      </w:r>
      <w:r w:rsidRPr="2035D652">
        <w:rPr>
          <w:rFonts w:ascii="Verdana" w:hAnsi="Verdana" w:cs="Arial"/>
          <w:lang w:val="es-ES" w:eastAsia="es-CO"/>
        </w:rPr>
        <w:t xml:space="preserve"> </w:t>
      </w:r>
    </w:p>
    <w:p w:rsidRPr="00667CD6" w:rsidR="008F1C48" w:rsidP="2035D652" w:rsidRDefault="008F1C48" w14:paraId="1AFEF860" w14:textId="32FD0FCA">
      <w:pPr>
        <w:spacing w:after="0" w:line="240" w:lineRule="auto"/>
        <w:rPr>
          <w:rFonts w:ascii="Verdana" w:hAnsi="Verdana" w:cs="Arial"/>
          <w:lang w:val="es-ES" w:eastAsia="es-CO"/>
        </w:rPr>
      </w:pPr>
    </w:p>
    <w:p w:rsidRPr="00667CD6" w:rsidR="008F1C48" w:rsidP="00A21254" w:rsidRDefault="00A21254" w14:paraId="6E62CBDE" w14:textId="53301FB9">
      <w:pPr>
        <w:spacing w:after="0" w:line="240" w:lineRule="auto"/>
        <w:jc w:val="center"/>
      </w:pPr>
      <w:r>
        <w:rPr>
          <w:noProof/>
        </w:rPr>
        <w:drawing>
          <wp:inline distT="0" distB="0" distL="0" distR="0" wp14:anchorId="783DE70D" wp14:editId="79D5DEAC">
            <wp:extent cx="3379470" cy="1381125"/>
            <wp:effectExtent l="0" t="0" r="0" b="9525"/>
            <wp:docPr id="1039463924" name="Imagen 2"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463924" name="Imagen 2" descr="Texto, Carta&#10;&#10;El contenido generado por IA puede ser incorrect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94173" cy="1387134"/>
                    </a:xfrm>
                    <a:prstGeom prst="rect">
                      <a:avLst/>
                    </a:prstGeom>
                    <a:noFill/>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Pr="007A4924" w:rsidR="008F1C48" w14:paraId="075C8A1C" w14:textId="77777777">
        <w:trPr>
          <w:trHeight w:val="315"/>
        </w:trPr>
        <w:tc>
          <w:tcPr>
            <w:tcW w:w="893" w:type="dxa"/>
            <w:vAlign w:val="center"/>
            <w:hideMark/>
          </w:tcPr>
          <w:p w:rsidRPr="007A4924" w:rsidR="008F1C48" w:rsidRDefault="008F1C48" w14:paraId="5F33FAC8" w14:textId="77777777">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7A4924" w:rsidR="008F1C48" w:rsidRDefault="009F6762" w14:paraId="6828C3AA" w14:textId="369A8A92">
            <w:pPr>
              <w:spacing w:after="160"/>
              <w:contextualSpacing/>
              <w:rPr>
                <w:rFonts w:ascii="Verdana" w:hAnsi="Verdana"/>
                <w:sz w:val="16"/>
                <w:szCs w:val="16"/>
              </w:rPr>
            </w:pPr>
            <w:r w:rsidRPr="007A4924">
              <w:rPr>
                <w:rFonts w:ascii="Verdana" w:hAnsi="Verdana"/>
                <w:sz w:val="16"/>
                <w:szCs w:val="16"/>
              </w:rPr>
              <w:t>Ana María Ortiz Ballesteros</w:t>
            </w:r>
          </w:p>
          <w:p w:rsidRPr="007A4924" w:rsidR="008F1C48" w:rsidRDefault="008F1C48" w14:paraId="7EE73801" w14:textId="77777777">
            <w:pPr>
              <w:spacing w:after="160"/>
              <w:contextualSpacing/>
              <w:rPr>
                <w:rFonts w:ascii="Verdana" w:hAnsi="Verdana" w:eastAsia="Arial" w:cs="Arial"/>
                <w:sz w:val="16"/>
                <w:szCs w:val="16"/>
                <w:highlight w:val="cyan"/>
              </w:rPr>
            </w:pPr>
            <w:r w:rsidRPr="007A4924">
              <w:rPr>
                <w:rFonts w:ascii="Verdana" w:hAnsi="Verdana"/>
                <w:sz w:val="16"/>
                <w:szCs w:val="16"/>
              </w:rPr>
              <w:t>Contratista de la Subdirección de Gestión Contractual</w:t>
            </w:r>
          </w:p>
        </w:tc>
      </w:tr>
      <w:tr w:rsidRPr="007A4924" w:rsidR="008F1C48" w14:paraId="0C71D91C" w14:textId="77777777">
        <w:trPr>
          <w:trHeight w:val="330"/>
        </w:trPr>
        <w:tc>
          <w:tcPr>
            <w:tcW w:w="893" w:type="dxa"/>
            <w:vAlign w:val="center"/>
            <w:hideMark/>
          </w:tcPr>
          <w:p w:rsidRPr="007A4924" w:rsidR="008F1C48" w:rsidRDefault="008F1C48" w14:paraId="042AFE83" w14:textId="77777777">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7A4924" w:rsidR="007A4C46" w:rsidRDefault="007A4C46" w14:paraId="1DCBA2DA" w14:textId="48AF142A">
            <w:pPr>
              <w:spacing w:after="160"/>
              <w:contextualSpacing/>
              <w:textAlignment w:val="baseline"/>
              <w:rPr>
                <w:rFonts w:ascii="Verdana" w:hAnsi="Verdana" w:eastAsia="Times New Roman" w:cs="Arial"/>
                <w:sz w:val="16"/>
                <w:szCs w:val="16"/>
                <w:lang w:val="es-ES" w:eastAsia="es-ES_tradnl"/>
              </w:rPr>
            </w:pPr>
            <w:r w:rsidRPr="007A4924">
              <w:rPr>
                <w:rFonts w:ascii="Verdana" w:hAnsi="Verdana" w:eastAsia="Times New Roman" w:cs="Arial"/>
                <w:sz w:val="16"/>
                <w:szCs w:val="16"/>
                <w:lang w:val="es-ES" w:eastAsia="es-ES_tradnl"/>
              </w:rPr>
              <w:t>Diana Lucia Saavedra Castañeda</w:t>
            </w:r>
          </w:p>
          <w:p w:rsidRPr="007A4924" w:rsidR="008F1C48" w:rsidRDefault="009F6762" w14:paraId="126D7CD4" w14:textId="77777777">
            <w:pPr>
              <w:spacing w:after="160"/>
              <w:contextualSpacing/>
              <w:textAlignment w:val="baseline"/>
              <w:rPr>
                <w:rFonts w:ascii="Verdana" w:hAnsi="Verdana"/>
                <w:sz w:val="16"/>
                <w:szCs w:val="16"/>
              </w:rPr>
            </w:pPr>
            <w:r w:rsidRPr="007A4924">
              <w:rPr>
                <w:rFonts w:ascii="Verdana" w:hAnsi="Verdana"/>
                <w:sz w:val="16"/>
                <w:szCs w:val="16"/>
              </w:rPr>
              <w:t>Contratista de la Subdirección de Gestión Contractual</w:t>
            </w:r>
          </w:p>
          <w:p w:rsidRPr="007A4924" w:rsidR="001F4B7E" w:rsidRDefault="004F59F2" w14:paraId="2D37222C" w14:textId="77777777">
            <w:pPr>
              <w:spacing w:after="160"/>
              <w:contextualSpacing/>
              <w:textAlignment w:val="baseline"/>
              <w:rPr>
                <w:rFonts w:ascii="Verdana" w:hAnsi="Verdana" w:eastAsia="Times New Roman" w:cs="Segoe UI"/>
                <w:sz w:val="16"/>
                <w:szCs w:val="16"/>
                <w:lang w:eastAsia="es-ES_tradnl"/>
              </w:rPr>
            </w:pPr>
            <w:r w:rsidRPr="007A4924">
              <w:rPr>
                <w:rFonts w:ascii="Verdana" w:hAnsi="Verdana" w:eastAsia="Times New Roman" w:cs="Segoe UI"/>
                <w:sz w:val="16"/>
                <w:szCs w:val="16"/>
                <w:lang w:eastAsia="es-ES_tradnl"/>
              </w:rPr>
              <w:t xml:space="preserve">Alejandro Sarmiento </w:t>
            </w:r>
          </w:p>
          <w:p w:rsidRPr="007A4924" w:rsidR="004F59F2" w:rsidRDefault="00FF23F5" w14:paraId="458EA58D" w14:textId="3C7EC6B0">
            <w:pPr>
              <w:spacing w:after="160"/>
              <w:contextualSpacing/>
              <w:textAlignment w:val="baseline"/>
              <w:rPr>
                <w:rFonts w:ascii="Verdana" w:hAnsi="Verdana" w:eastAsia="Times New Roman" w:cs="Segoe UI"/>
                <w:sz w:val="16"/>
                <w:szCs w:val="16"/>
                <w:highlight w:val="cyan"/>
                <w:lang w:eastAsia="es-ES_tradnl"/>
              </w:rPr>
            </w:pPr>
            <w:r w:rsidRPr="007A4924">
              <w:rPr>
                <w:rFonts w:ascii="Verdana" w:hAnsi="Verdana" w:eastAsia="Times New Roman" w:cs="Segoe UI"/>
                <w:sz w:val="16"/>
                <w:szCs w:val="16"/>
                <w:lang w:eastAsia="es-ES_tradnl"/>
              </w:rPr>
              <w:t xml:space="preserve">Gestor Cód. T1-15 </w:t>
            </w:r>
            <w:r w:rsidRPr="007A4924">
              <w:rPr>
                <w:rFonts w:ascii="Verdana" w:hAnsi="Verdana"/>
                <w:sz w:val="16"/>
                <w:szCs w:val="16"/>
              </w:rPr>
              <w:t>de la Subdirección de Gestión Contractual</w:t>
            </w:r>
          </w:p>
        </w:tc>
      </w:tr>
      <w:tr w:rsidRPr="007A4924" w:rsidR="008F1C48" w14:paraId="14F78E6E" w14:textId="77777777">
        <w:trPr>
          <w:trHeight w:val="300"/>
        </w:trPr>
        <w:tc>
          <w:tcPr>
            <w:tcW w:w="893" w:type="dxa"/>
            <w:vAlign w:val="center"/>
          </w:tcPr>
          <w:p w:rsidRPr="007A4924" w:rsidR="008F1C48" w:rsidRDefault="008F1C48" w14:paraId="06A2BFAC" w14:textId="77777777">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7A4924" w:rsidR="008F1C48" w:rsidRDefault="00FC3694" w14:paraId="2C9FDB50" w14:textId="4A47B610">
            <w:pPr>
              <w:spacing w:after="160"/>
              <w:contextualSpacing/>
              <w:rPr>
                <w:rFonts w:ascii="Verdana" w:hAnsi="Verdana" w:cs="Arial"/>
                <w:sz w:val="16"/>
                <w:szCs w:val="16"/>
                <w:lang w:val="pt-BR" w:eastAsia="es-ES"/>
              </w:rPr>
            </w:pPr>
            <w:r>
              <w:rPr>
                <w:rFonts w:ascii="Verdana" w:hAnsi="Verdana" w:cs="Arial"/>
                <w:sz w:val="16"/>
                <w:szCs w:val="16"/>
                <w:lang w:val="pt-BR" w:eastAsia="es-ES"/>
              </w:rPr>
              <w:t xml:space="preserve">Ana María Tolosa Rico </w:t>
            </w:r>
          </w:p>
          <w:p w:rsidRPr="007A4924" w:rsidR="008F1C48" w:rsidRDefault="008F1C48" w14:paraId="0BAD5DE3" w14:textId="6F4FC46D">
            <w:pPr>
              <w:spacing w:after="160"/>
              <w:contextualSpacing/>
              <w:rPr>
                <w:rFonts w:ascii="Verdana" w:hAnsi="Verdana" w:cs="Arial"/>
                <w:sz w:val="16"/>
                <w:szCs w:val="16"/>
                <w:lang w:val="pt-BR" w:eastAsia="es-ES"/>
              </w:rPr>
            </w:pPr>
            <w:r w:rsidRPr="007A4924">
              <w:rPr>
                <w:rFonts w:ascii="Verdana" w:hAnsi="Verdana" w:cs="Arial"/>
                <w:sz w:val="16"/>
                <w:szCs w:val="16"/>
                <w:lang w:eastAsia="es-ES"/>
              </w:rPr>
              <w:t>Subdirectora</w:t>
            </w:r>
            <w:r w:rsidRPr="007A4924">
              <w:rPr>
                <w:rFonts w:ascii="Verdana" w:hAnsi="Verdana" w:cs="Arial"/>
                <w:sz w:val="16"/>
                <w:szCs w:val="16"/>
                <w:lang w:val="pt-BR" w:eastAsia="es-ES"/>
              </w:rPr>
              <w:t xml:space="preserve"> de Gestión Contratual ANCP – CCE</w:t>
            </w:r>
            <w:r w:rsidR="00FC3694">
              <w:rPr>
                <w:rFonts w:ascii="Verdana" w:hAnsi="Verdana" w:cs="Arial"/>
                <w:sz w:val="16"/>
                <w:szCs w:val="16"/>
                <w:lang w:val="pt-BR" w:eastAsia="es-ES"/>
              </w:rPr>
              <w:t xml:space="preserve"> (E) </w:t>
            </w:r>
          </w:p>
        </w:tc>
      </w:tr>
    </w:tbl>
    <w:p w:rsidRPr="00EC541D" w:rsidR="00C23E60" w:rsidP="00874C2D" w:rsidRDefault="00C23E60" w14:paraId="0813A58C" w14:textId="77777777">
      <w:pPr>
        <w:spacing w:after="0"/>
        <w:jc w:val="both"/>
        <w:rPr>
          <w:rFonts w:ascii="Verdana" w:hAnsi="Verdana" w:eastAsia="Times New Roman" w:cs="Segoe UI"/>
          <w:lang w:val="es-ES" w:eastAsia="es-CO"/>
        </w:rPr>
      </w:pPr>
    </w:p>
    <w:sectPr w:rsidRPr="00EC541D" w:rsidR="00C23E60" w:rsidSect="007C0C0F">
      <w:headerReference w:type="default" r:id="rId20"/>
      <w:footerReference w:type="default" r:id="rId21"/>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1313F" w:rsidP="004A1847" w:rsidRDefault="00F1313F" w14:paraId="0F44D944" w14:textId="77777777">
      <w:pPr>
        <w:spacing w:after="0" w:line="240" w:lineRule="auto"/>
      </w:pPr>
      <w:r>
        <w:separator/>
      </w:r>
    </w:p>
  </w:endnote>
  <w:endnote w:type="continuationSeparator" w:id="0">
    <w:p w:rsidR="00F1313F" w:rsidP="004A1847" w:rsidRDefault="00F1313F" w14:paraId="12433715" w14:textId="77777777">
      <w:pPr>
        <w:spacing w:after="0" w:line="240" w:lineRule="auto"/>
      </w:pPr>
      <w:r>
        <w:continuationSeparator/>
      </w:r>
    </w:p>
  </w:endnote>
  <w:endnote w:type="continuationNotice" w:id="1">
    <w:p w:rsidR="00A522B1" w:rsidRDefault="00A522B1" w14:paraId="4A1EF955"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356CEDFD" w:rsidRDefault="356CEDFD" w14:paraId="744661F5" w14:textId="22B9E88F">
    <w:pPr>
      <w:pBdr>
        <w:top w:val="nil"/>
        <w:left w:val="nil"/>
        <w:bottom w:val="nil"/>
        <w:right w:val="nil"/>
        <w:between w:val="nil"/>
      </w:pBdr>
      <w:tabs>
        <w:tab w:val="center" w:pos="4419"/>
        <w:tab w:val="right" w:pos="8838"/>
        <w:tab w:val="center" w:pos="5400"/>
      </w:tabs>
      <w:spacing w:after="0"/>
      <w:jc w:val="right"/>
    </w:pPr>
    <w:r w:rsidRPr="356CEDFD">
      <w:rPr>
        <w:rFonts w:ascii="Century Gothic" w:hAnsi="Century Gothic" w:eastAsia="Geo" w:cs="Geo"/>
        <w:b/>
        <w:bCs/>
        <w:color w:val="000000" w:themeColor="text1"/>
        <w:sz w:val="16"/>
        <w:szCs w:val="16"/>
        <w:lang w:eastAsia="es-CO"/>
      </w:rPr>
      <w:t xml:space="preserve">Código: </w:t>
    </w:r>
    <w:r w:rsidRPr="356CEDFD">
      <w:rPr>
        <w:rFonts w:ascii="Century Gothic" w:hAnsi="Century Gothic" w:eastAsia="Geo" w:cs="Geo"/>
        <w:color w:val="000000" w:themeColor="text1"/>
        <w:sz w:val="16"/>
        <w:szCs w:val="16"/>
        <w:lang w:eastAsia="es-CO"/>
      </w:rPr>
      <w:t xml:space="preserve">CCE-REC-FM-17 </w:t>
    </w:r>
    <w:r w:rsidRPr="356CEDFD">
      <w:rPr>
        <w:rFonts w:ascii="Century Gothic" w:hAnsi="Century Gothic" w:eastAsia="Geo" w:cs="Geo"/>
        <w:b/>
        <w:bCs/>
        <w:color w:val="000000" w:themeColor="text1"/>
        <w:sz w:val="16"/>
        <w:szCs w:val="16"/>
        <w:lang w:eastAsia="es-CO"/>
      </w:rPr>
      <w:t>V</w:t>
    </w:r>
    <w:r w:rsidRPr="356CEDFD">
      <w:rPr>
        <w:rFonts w:ascii="Century Gothic" w:hAnsi="Century Gothic" w:eastAsia="Arial Nova" w:cs="Arial Nova"/>
        <w:b/>
        <w:bCs/>
        <w:color w:val="000000" w:themeColor="text1"/>
        <w:sz w:val="16"/>
        <w:szCs w:val="16"/>
        <w:lang w:eastAsia="es-CO"/>
      </w:rPr>
      <w:t xml:space="preserve">: </w:t>
    </w:r>
    <w:r w:rsidRPr="356CEDFD">
      <w:rPr>
        <w:rFonts w:ascii="Century Gothic" w:hAnsi="Century Gothic" w:eastAsia="Geo"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1313F" w:rsidP="004A1847" w:rsidRDefault="00F1313F" w14:paraId="4693700E" w14:textId="77777777">
      <w:pPr>
        <w:spacing w:after="0" w:line="240" w:lineRule="auto"/>
      </w:pPr>
      <w:r>
        <w:separator/>
      </w:r>
    </w:p>
  </w:footnote>
  <w:footnote w:type="continuationSeparator" w:id="0">
    <w:p w:rsidR="00F1313F" w:rsidP="004A1847" w:rsidRDefault="00F1313F" w14:paraId="7B3F4CCB" w14:textId="77777777">
      <w:pPr>
        <w:spacing w:after="0" w:line="240" w:lineRule="auto"/>
      </w:pPr>
      <w:r>
        <w:continuationSeparator/>
      </w:r>
    </w:p>
  </w:footnote>
  <w:footnote w:type="continuationNotice" w:id="1">
    <w:p w:rsidR="00A522B1" w:rsidRDefault="00A522B1" w14:paraId="1CE1C6E5" w14:textId="77777777">
      <w:pPr>
        <w:spacing w:after="0" w:line="240" w:lineRule="auto"/>
      </w:pPr>
    </w:p>
  </w:footnote>
  <w:footnote w:id="2">
    <w:p w:rsidRPr="001D30AB" w:rsidR="00874C2D" w:rsidP="00EB197E" w:rsidRDefault="00874C2D" w14:paraId="0C7287A5" w14:textId="77777777">
      <w:pPr>
        <w:pStyle w:val="Textonotapie"/>
        <w:ind w:firstLine="709"/>
        <w:contextualSpacing/>
        <w:jc w:val="both"/>
        <w:rPr>
          <w:rFonts w:ascii="Verdana" w:hAnsi="Verdana" w:cs="Arial"/>
          <w:sz w:val="18"/>
          <w:szCs w:val="18"/>
        </w:rPr>
      </w:pPr>
      <w:r w:rsidRPr="001D30AB">
        <w:rPr>
          <w:rStyle w:val="Refdenotaalpie"/>
          <w:rFonts w:ascii="Verdana" w:hAnsi="Verdana" w:cs="Arial"/>
          <w:sz w:val="18"/>
          <w:szCs w:val="18"/>
        </w:rPr>
        <w:footnoteRef/>
      </w:r>
      <w:r w:rsidRPr="001D30AB">
        <w:rPr>
          <w:rFonts w:ascii="Verdana" w:hAnsi="Verdana" w:cs="Arial"/>
          <w:sz w:val="18"/>
          <w:szCs w:val="18"/>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rsidRPr="001D30AB" w:rsidR="00874C2D" w:rsidP="00EB197E" w:rsidRDefault="00874C2D" w14:paraId="20CA8070" w14:textId="77777777">
      <w:pPr>
        <w:pStyle w:val="Textonotapie"/>
        <w:ind w:firstLine="709"/>
        <w:contextualSpacing/>
        <w:jc w:val="both"/>
        <w:rPr>
          <w:rFonts w:ascii="Verdana" w:hAnsi="Verdana" w:cs="Arial"/>
          <w:sz w:val="18"/>
          <w:szCs w:val="18"/>
        </w:rPr>
      </w:pPr>
      <w:r w:rsidRPr="001D30AB">
        <w:rPr>
          <w:rFonts w:ascii="Verdana" w:hAnsi="Verdana" w:cs="Arial"/>
          <w:sz w:val="18"/>
          <w:szCs w:val="18"/>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rsidRPr="001D30AB" w:rsidR="00FB7F34" w:rsidP="00EB197E" w:rsidRDefault="00FB7F34" w14:paraId="11502E41" w14:textId="77777777">
      <w:pPr>
        <w:pStyle w:val="Textonotapie"/>
        <w:ind w:firstLine="709"/>
        <w:contextualSpacing/>
        <w:jc w:val="both"/>
        <w:rPr>
          <w:rFonts w:ascii="Verdana" w:hAnsi="Verdana" w:cs="Arial"/>
          <w:sz w:val="18"/>
          <w:szCs w:val="18"/>
        </w:rPr>
      </w:pPr>
    </w:p>
  </w:footnote>
  <w:footnote w:id="3">
    <w:p w:rsidRPr="001D30AB" w:rsidR="00C23E60" w:rsidP="00D04D18" w:rsidRDefault="00C23E60" w14:paraId="5CC96C98" w14:textId="57D4F2EF">
      <w:pPr>
        <w:pStyle w:val="Textonotapie"/>
        <w:ind w:firstLine="709"/>
        <w:contextualSpacing/>
        <w:jc w:val="both"/>
        <w:rPr>
          <w:rFonts w:ascii="Verdana" w:hAnsi="Verdana" w:cs="Arial"/>
          <w:sz w:val="18"/>
          <w:szCs w:val="18"/>
        </w:rPr>
      </w:pPr>
      <w:r w:rsidRPr="001D30AB">
        <w:rPr>
          <w:rStyle w:val="Refdenotaalpie"/>
          <w:rFonts w:ascii="Verdana" w:hAnsi="Verdana" w:cs="Arial"/>
          <w:sz w:val="18"/>
          <w:szCs w:val="18"/>
        </w:rPr>
        <w:footnoteRef/>
      </w:r>
      <w:r w:rsidRPr="001D30AB">
        <w:rPr>
          <w:rFonts w:ascii="Verdana" w:hAnsi="Verdana" w:cs="Arial"/>
          <w:sz w:val="18"/>
          <w:szCs w:val="18"/>
        </w:rPr>
        <w:t xml:space="preserve"> Gaceta del Congreso de la República No. 71 del 2005.</w:t>
      </w:r>
    </w:p>
  </w:footnote>
  <w:footnote w:id="4">
    <w:p w:rsidRPr="001D30AB" w:rsidR="00FB7F34" w:rsidP="00D04D18" w:rsidRDefault="00C322F9" w14:paraId="653D5420" w14:textId="017E86C2">
      <w:pPr>
        <w:pStyle w:val="Textonotapie"/>
        <w:ind w:firstLine="709"/>
        <w:contextualSpacing/>
        <w:jc w:val="both"/>
        <w:rPr>
          <w:rFonts w:ascii="Verdana" w:hAnsi="Verdana" w:cs="Arial"/>
          <w:sz w:val="18"/>
          <w:szCs w:val="18"/>
          <w:lang w:val="pt-BR"/>
        </w:rPr>
      </w:pPr>
      <w:r w:rsidRPr="001D30AB">
        <w:rPr>
          <w:rStyle w:val="Refdenotaalpie"/>
          <w:rFonts w:ascii="Verdana" w:hAnsi="Verdana" w:cs="Arial"/>
          <w:sz w:val="18"/>
          <w:szCs w:val="18"/>
        </w:rPr>
        <w:footnoteRef/>
      </w:r>
      <w:r w:rsidRPr="001D30AB">
        <w:rPr>
          <w:rFonts w:ascii="Verdana" w:hAnsi="Verdana" w:cs="Arial"/>
          <w:sz w:val="18"/>
          <w:szCs w:val="18"/>
          <w:lang w:val="pt-BR"/>
        </w:rPr>
        <w:t xml:space="preserve"> Corte Constitucional, Sentencia C- 1153 de 2005, M.P. Marco Gerardo </w:t>
      </w:r>
      <w:proofErr w:type="spellStart"/>
      <w:r w:rsidRPr="001D30AB">
        <w:rPr>
          <w:rFonts w:ascii="Verdana" w:hAnsi="Verdana" w:cs="Arial"/>
          <w:sz w:val="18"/>
          <w:szCs w:val="18"/>
          <w:lang w:val="pt-BR"/>
        </w:rPr>
        <w:t>Monroy</w:t>
      </w:r>
      <w:proofErr w:type="spellEnd"/>
      <w:r w:rsidRPr="001D30AB">
        <w:rPr>
          <w:rFonts w:ascii="Verdana" w:hAnsi="Verdana" w:cs="Arial"/>
          <w:sz w:val="18"/>
          <w:szCs w:val="18"/>
          <w:lang w:val="pt-BR"/>
        </w:rPr>
        <w:t xml:space="preserve"> Cabra.</w:t>
      </w:r>
    </w:p>
  </w:footnote>
  <w:footnote w:id="5">
    <w:p w:rsidRPr="001D30AB" w:rsidR="00977C70" w:rsidP="00EB197E" w:rsidRDefault="00977C70" w14:paraId="6953D956" w14:textId="77777777">
      <w:pPr>
        <w:pStyle w:val="Textonotapie"/>
        <w:ind w:firstLine="709"/>
        <w:contextualSpacing/>
        <w:jc w:val="both"/>
        <w:rPr>
          <w:rFonts w:ascii="Verdana" w:hAnsi="Verdana" w:cs="Arial"/>
          <w:sz w:val="18"/>
          <w:szCs w:val="18"/>
          <w:lang w:val="pt-BR"/>
        </w:rPr>
      </w:pPr>
      <w:r w:rsidRPr="001D30AB">
        <w:rPr>
          <w:rStyle w:val="Refdenotaalpie"/>
          <w:rFonts w:ascii="Verdana" w:hAnsi="Verdana" w:cs="Arial"/>
          <w:sz w:val="18"/>
          <w:szCs w:val="18"/>
        </w:rPr>
        <w:footnoteRef/>
      </w:r>
      <w:r w:rsidRPr="001D30AB">
        <w:rPr>
          <w:rFonts w:ascii="Verdana" w:hAnsi="Verdana" w:cs="Arial"/>
          <w:sz w:val="18"/>
          <w:szCs w:val="18"/>
          <w:lang w:val="pt-BR"/>
        </w:rPr>
        <w:t xml:space="preserve"> Corte Constitucional. Sentencias: C-233 de 4 de abril de 2002, expediente: D-3704; C-551 de 9 de </w:t>
      </w:r>
      <w:proofErr w:type="spellStart"/>
      <w:r w:rsidRPr="001D30AB">
        <w:rPr>
          <w:rFonts w:ascii="Verdana" w:hAnsi="Verdana" w:cs="Arial"/>
          <w:sz w:val="18"/>
          <w:szCs w:val="18"/>
          <w:lang w:val="pt-BR"/>
        </w:rPr>
        <w:t>julio</w:t>
      </w:r>
      <w:proofErr w:type="spellEnd"/>
      <w:r w:rsidRPr="001D30AB">
        <w:rPr>
          <w:rFonts w:ascii="Verdana" w:hAnsi="Verdana" w:cs="Arial"/>
          <w:sz w:val="18"/>
          <w:szCs w:val="18"/>
          <w:lang w:val="pt-BR"/>
        </w:rPr>
        <w:t xml:space="preserve"> de 2003, expediente: CRF-001 de 9 de </w:t>
      </w:r>
      <w:proofErr w:type="spellStart"/>
      <w:r w:rsidRPr="001D30AB">
        <w:rPr>
          <w:rFonts w:ascii="Verdana" w:hAnsi="Verdana" w:cs="Arial"/>
          <w:sz w:val="18"/>
          <w:szCs w:val="18"/>
          <w:lang w:val="pt-BR"/>
        </w:rPr>
        <w:t>julio</w:t>
      </w:r>
      <w:proofErr w:type="spellEnd"/>
      <w:r w:rsidRPr="001D30AB">
        <w:rPr>
          <w:rFonts w:ascii="Verdana" w:hAnsi="Verdana" w:cs="Arial"/>
          <w:sz w:val="18"/>
          <w:szCs w:val="18"/>
          <w:lang w:val="pt-BR"/>
        </w:rPr>
        <w:t xml:space="preserve"> de 2003; C-652 de 5 de agosto de 2003, expediente: D-4330; C-353 de 20 de </w:t>
      </w:r>
      <w:proofErr w:type="spellStart"/>
      <w:r w:rsidRPr="001D30AB">
        <w:rPr>
          <w:rFonts w:ascii="Verdana" w:hAnsi="Verdana" w:cs="Arial"/>
          <w:sz w:val="18"/>
          <w:szCs w:val="18"/>
          <w:lang w:val="pt-BR"/>
        </w:rPr>
        <w:t>mayo</w:t>
      </w:r>
      <w:proofErr w:type="spellEnd"/>
      <w:r w:rsidRPr="001D30AB">
        <w:rPr>
          <w:rFonts w:ascii="Verdana" w:hAnsi="Verdana" w:cs="Arial"/>
          <w:sz w:val="18"/>
          <w:szCs w:val="18"/>
          <w:lang w:val="pt-BR"/>
        </w:rPr>
        <w:t xml:space="preserve"> de 2009, expediente: D-7518, C-541 de 30 de </w:t>
      </w:r>
      <w:proofErr w:type="spellStart"/>
      <w:r w:rsidRPr="001D30AB">
        <w:rPr>
          <w:rFonts w:ascii="Verdana" w:hAnsi="Verdana" w:cs="Arial"/>
          <w:sz w:val="18"/>
          <w:szCs w:val="18"/>
          <w:lang w:val="pt-BR"/>
        </w:rPr>
        <w:t>junio</w:t>
      </w:r>
      <w:proofErr w:type="spellEnd"/>
      <w:r w:rsidRPr="001D30AB">
        <w:rPr>
          <w:rFonts w:ascii="Verdana" w:hAnsi="Verdana" w:cs="Arial"/>
          <w:sz w:val="18"/>
          <w:szCs w:val="18"/>
          <w:lang w:val="pt-BR"/>
        </w:rPr>
        <w:t xml:space="preserve"> de 2010, expediente: DD7966; entre </w:t>
      </w:r>
      <w:proofErr w:type="spellStart"/>
      <w:r w:rsidRPr="001D30AB">
        <w:rPr>
          <w:rFonts w:ascii="Verdana" w:hAnsi="Verdana" w:cs="Arial"/>
          <w:sz w:val="18"/>
          <w:szCs w:val="18"/>
          <w:lang w:val="pt-BR"/>
        </w:rPr>
        <w:t>otras</w:t>
      </w:r>
      <w:proofErr w:type="spellEnd"/>
      <w:r w:rsidRPr="001D30AB">
        <w:rPr>
          <w:rFonts w:ascii="Verdana" w:hAnsi="Verdana" w:cs="Arial"/>
          <w:sz w:val="18"/>
          <w:szCs w:val="18"/>
          <w:lang w:val="pt-BR"/>
        </w:rPr>
        <w:t>.</w:t>
      </w:r>
    </w:p>
    <w:p w:rsidRPr="001D30AB" w:rsidR="00FB7F34" w:rsidP="00EB197E" w:rsidRDefault="00FB7F34" w14:paraId="02E5213B" w14:textId="77777777">
      <w:pPr>
        <w:pStyle w:val="Textonotapie"/>
        <w:ind w:firstLine="709"/>
        <w:contextualSpacing/>
        <w:jc w:val="both"/>
        <w:rPr>
          <w:rFonts w:ascii="Verdana" w:hAnsi="Verdana" w:cs="Arial"/>
          <w:sz w:val="18"/>
          <w:szCs w:val="18"/>
          <w:lang w:val="pt-BR"/>
        </w:rPr>
      </w:pPr>
    </w:p>
  </w:footnote>
  <w:footnote w:id="6">
    <w:p w:rsidRPr="001D30AB" w:rsidR="00977C70" w:rsidP="00EB197E" w:rsidRDefault="00977C70" w14:paraId="50C5AB42" w14:textId="30A125E6">
      <w:pPr>
        <w:pStyle w:val="Textonotapie"/>
        <w:ind w:firstLine="709"/>
        <w:contextualSpacing/>
        <w:jc w:val="both"/>
        <w:rPr>
          <w:rFonts w:ascii="Verdana" w:hAnsi="Verdana" w:cs="Arial"/>
          <w:sz w:val="18"/>
          <w:szCs w:val="18"/>
          <w:lang w:val="es-CO"/>
        </w:rPr>
      </w:pPr>
      <w:r w:rsidRPr="001D30AB">
        <w:rPr>
          <w:rStyle w:val="Refdenotaalpie"/>
          <w:rFonts w:ascii="Verdana" w:hAnsi="Verdana" w:cs="Arial"/>
          <w:sz w:val="18"/>
          <w:szCs w:val="18"/>
        </w:rPr>
        <w:footnoteRef/>
      </w:r>
      <w:r w:rsidRPr="001D30AB">
        <w:rPr>
          <w:rFonts w:ascii="Verdana" w:hAnsi="Verdana" w:cs="Arial"/>
          <w:sz w:val="18"/>
          <w:szCs w:val="18"/>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rsidRPr="001D30AB" w:rsidR="00977C70" w:rsidP="00EB197E" w:rsidRDefault="00977C70" w14:paraId="3137B163" w14:textId="77777777">
      <w:pPr>
        <w:pStyle w:val="Textonotapie"/>
        <w:ind w:firstLine="709"/>
        <w:contextualSpacing/>
        <w:jc w:val="both"/>
        <w:rPr>
          <w:rFonts w:ascii="Verdana" w:hAnsi="Verdana" w:cs="Arial"/>
          <w:sz w:val="18"/>
          <w:szCs w:val="18"/>
          <w:lang w:val="es-CO"/>
        </w:rPr>
      </w:pPr>
    </w:p>
  </w:footnote>
  <w:footnote w:id="7">
    <w:p w:rsidRPr="001D30AB" w:rsidR="00FB7F34" w:rsidP="00D04D18" w:rsidRDefault="00977C70" w14:paraId="301C65D7" w14:textId="5237E9F3">
      <w:pPr>
        <w:pStyle w:val="Textonotapie"/>
        <w:ind w:firstLine="709"/>
        <w:contextualSpacing/>
        <w:jc w:val="both"/>
        <w:rPr>
          <w:rFonts w:ascii="Verdana" w:hAnsi="Verdana" w:cs="Arial"/>
          <w:sz w:val="18"/>
          <w:szCs w:val="18"/>
        </w:rPr>
      </w:pPr>
      <w:r w:rsidRPr="001D30AB">
        <w:rPr>
          <w:rStyle w:val="Refdenotaalpie"/>
          <w:rFonts w:ascii="Verdana" w:hAnsi="Verdana" w:cs="Arial"/>
          <w:sz w:val="18"/>
          <w:szCs w:val="18"/>
        </w:rPr>
        <w:footnoteRef/>
      </w:r>
      <w:r w:rsidRPr="001D30AB">
        <w:rPr>
          <w:rFonts w:ascii="Verdana" w:hAnsi="Verdana" w:cs="Arial"/>
          <w:sz w:val="18"/>
          <w:szCs w:val="18"/>
        </w:rPr>
        <w:t xml:space="preserve"> Consejo de Estado, Sala de Consulta y Servicio Civil de fecha 24 de julio de 2013, Rad. 2166, C. P. Álvaro </w:t>
      </w:r>
      <w:proofErr w:type="spellStart"/>
      <w:r w:rsidRPr="001D30AB">
        <w:rPr>
          <w:rFonts w:ascii="Verdana" w:hAnsi="Verdana" w:cs="Arial"/>
          <w:sz w:val="18"/>
          <w:szCs w:val="18"/>
        </w:rPr>
        <w:t>Namén</w:t>
      </w:r>
      <w:proofErr w:type="spellEnd"/>
      <w:r w:rsidRPr="001D30AB">
        <w:rPr>
          <w:rFonts w:ascii="Verdana" w:hAnsi="Verdana" w:cs="Arial"/>
          <w:sz w:val="18"/>
          <w:szCs w:val="18"/>
        </w:rPr>
        <w:t xml:space="preserve"> Vargas.  </w:t>
      </w:r>
    </w:p>
  </w:footnote>
  <w:footnote w:id="8">
    <w:p w:rsidRPr="001D30AB" w:rsidR="000E1F63" w:rsidP="00EB197E" w:rsidRDefault="000E1F63" w14:paraId="78856D42" w14:textId="77777777">
      <w:pPr>
        <w:spacing w:after="0" w:line="240" w:lineRule="auto"/>
        <w:ind w:firstLine="709"/>
        <w:contextualSpacing/>
        <w:jc w:val="both"/>
        <w:rPr>
          <w:rFonts w:ascii="Verdana" w:hAnsi="Verdana" w:eastAsia="Times New Roman" w:cs="Arial"/>
          <w:sz w:val="18"/>
          <w:szCs w:val="18"/>
        </w:rPr>
      </w:pPr>
      <w:r w:rsidRPr="001D30AB">
        <w:rPr>
          <w:rStyle w:val="Refdenotaalpie"/>
          <w:rFonts w:ascii="Verdana" w:hAnsi="Verdana" w:cs="Arial"/>
          <w:sz w:val="18"/>
          <w:szCs w:val="18"/>
        </w:rPr>
        <w:footnoteRef/>
      </w:r>
      <w:r w:rsidRPr="001D30AB">
        <w:rPr>
          <w:rFonts w:ascii="Verdana" w:hAnsi="Verdana" w:cs="Arial"/>
          <w:sz w:val="18"/>
          <w:szCs w:val="18"/>
        </w:rPr>
        <w:t xml:space="preserve"> </w:t>
      </w:r>
      <w:r w:rsidRPr="001D30AB">
        <w:rPr>
          <w:rFonts w:ascii="Verdana" w:hAnsi="Verdana" w:cs="Arial"/>
          <w:color w:val="000000"/>
          <w:sz w:val="18"/>
          <w:szCs w:val="18"/>
        </w:rPr>
        <w:t>“</w:t>
      </w:r>
      <w:r w:rsidRPr="001D30AB">
        <w:rPr>
          <w:rFonts w:ascii="Verdana" w:hAnsi="Verdana" w:eastAsia="Times New Roman" w:cs="Arial"/>
          <w:sz w:val="18"/>
          <w:szCs w:val="18"/>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rsidRPr="001D30AB" w:rsidR="00C353F7" w:rsidP="00EB197E" w:rsidRDefault="00C353F7" w14:paraId="67EA2A87" w14:textId="77777777">
      <w:pPr>
        <w:spacing w:after="0" w:line="240" w:lineRule="auto"/>
        <w:ind w:firstLine="709"/>
        <w:contextualSpacing/>
        <w:jc w:val="both"/>
        <w:rPr>
          <w:rFonts w:ascii="Verdana" w:hAnsi="Verdana" w:eastAsia="Times New Roman" w:cs="Arial"/>
          <w:sz w:val="18"/>
          <w:szCs w:val="18"/>
        </w:rPr>
      </w:pPr>
    </w:p>
    <w:p w:rsidRPr="001D30AB" w:rsidR="000E1F63" w:rsidP="00EB197E" w:rsidRDefault="000E1F63" w14:paraId="31BD8725" w14:textId="77777777">
      <w:pPr>
        <w:spacing w:after="0" w:line="240" w:lineRule="auto"/>
        <w:ind w:firstLine="709"/>
        <w:contextualSpacing/>
        <w:jc w:val="both"/>
        <w:rPr>
          <w:rFonts w:ascii="Verdana" w:hAnsi="Verdana" w:eastAsia="Times New Roman" w:cs="Arial"/>
          <w:sz w:val="18"/>
          <w:szCs w:val="18"/>
        </w:rPr>
      </w:pPr>
      <w:r w:rsidRPr="001D30AB">
        <w:rPr>
          <w:rFonts w:ascii="Verdana" w:hAnsi="Verdana" w:eastAsia="Times New Roman" w:cs="Arial"/>
          <w:sz w:val="18"/>
          <w:szCs w:val="18"/>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D30AB">
        <w:rPr>
          <w:rFonts w:ascii="Verdana" w:hAnsi="Verdana" w:cs="Arial"/>
          <w:color w:val="000000" w:themeColor="text1"/>
          <w:sz w:val="18"/>
          <w:szCs w:val="18"/>
        </w:rPr>
        <w:t>”</w:t>
      </w:r>
      <w:r w:rsidRPr="001D30AB">
        <w:rPr>
          <w:rFonts w:ascii="Verdana" w:hAnsi="Verdana" w:eastAsia="Times New Roman" w:cs="Arial"/>
          <w:sz w:val="18"/>
          <w:szCs w:val="18"/>
        </w:rPr>
        <w:t>.</w:t>
      </w:r>
    </w:p>
    <w:p w:rsidRPr="001D30AB" w:rsidR="000E1F63" w:rsidP="00EB197E" w:rsidRDefault="000E1F63" w14:paraId="2FA88F83" w14:textId="77777777">
      <w:pPr>
        <w:spacing w:after="0" w:line="240" w:lineRule="auto"/>
        <w:ind w:firstLine="709"/>
        <w:contextualSpacing/>
        <w:jc w:val="both"/>
        <w:rPr>
          <w:rFonts w:ascii="Verdana" w:hAnsi="Verdana" w:eastAsia="Times New Roman" w:cs="Arial"/>
          <w:sz w:val="18"/>
          <w:szCs w:val="18"/>
        </w:rPr>
      </w:pPr>
    </w:p>
  </w:footnote>
  <w:footnote w:id="9">
    <w:p w:rsidRPr="001D30AB" w:rsidR="00EE3400" w:rsidP="00EB197E" w:rsidRDefault="00EE3400" w14:paraId="44420D6A" w14:textId="77777777">
      <w:pPr>
        <w:pStyle w:val="NormalWeb"/>
        <w:spacing w:before="0" w:beforeAutospacing="0" w:after="0" w:afterAutospacing="0"/>
        <w:ind w:firstLine="709"/>
        <w:contextualSpacing/>
        <w:jc w:val="both"/>
        <w:rPr>
          <w:rFonts w:ascii="Verdana" w:hAnsi="Verdana" w:cs="Arial"/>
          <w:sz w:val="18"/>
          <w:szCs w:val="18"/>
          <w:lang w:val="es-MX"/>
        </w:rPr>
      </w:pPr>
      <w:r w:rsidRPr="001D30AB">
        <w:rPr>
          <w:rStyle w:val="Refdenotaalpie"/>
          <w:rFonts w:ascii="Verdana" w:hAnsi="Verdana" w:cs="Arial"/>
          <w:sz w:val="18"/>
          <w:szCs w:val="18"/>
        </w:rPr>
        <w:footnoteRef/>
      </w:r>
      <w:r w:rsidRPr="001D30AB">
        <w:rPr>
          <w:rFonts w:ascii="Verdana" w:hAnsi="Verdana" w:cs="Arial"/>
          <w:sz w:val="18"/>
          <w:szCs w:val="18"/>
        </w:rPr>
        <w:t xml:space="preserve"> </w:t>
      </w:r>
      <w:r w:rsidRPr="001D30AB">
        <w:rPr>
          <w:rFonts w:ascii="Verdana" w:hAnsi="Verdana" w:eastAsia="Calibri" w:cs="Arial"/>
          <w:color w:val="000000"/>
          <w:sz w:val="18"/>
          <w:szCs w:val="18"/>
        </w:rPr>
        <w:t>“</w:t>
      </w:r>
      <w:r w:rsidRPr="001D30AB">
        <w:rPr>
          <w:rFonts w:ascii="Verdana" w:hAnsi="Verdana" w:cs="Arial"/>
          <w:sz w:val="18"/>
          <w:szCs w:val="18"/>
          <w:lang w:val="es-MX"/>
        </w:rPr>
        <w:t>Artículo 38. Prohibiciones para los servidores públicos. A los empleados del Estado les está prohibido: […]</w:t>
      </w:r>
    </w:p>
    <w:p w:rsidRPr="001D30AB" w:rsidR="00FB7F34" w:rsidP="00D04D18" w:rsidRDefault="00EE3400" w14:paraId="42997398" w14:textId="341336C6">
      <w:pPr>
        <w:pStyle w:val="NormalWeb"/>
        <w:spacing w:before="0" w:beforeAutospacing="0" w:after="0" w:afterAutospacing="0"/>
        <w:ind w:firstLine="709"/>
        <w:contextualSpacing/>
        <w:jc w:val="both"/>
        <w:rPr>
          <w:rFonts w:ascii="Verdana" w:hAnsi="Verdana" w:cs="Arial"/>
          <w:sz w:val="18"/>
          <w:szCs w:val="18"/>
          <w:lang w:val="es-MX"/>
        </w:rPr>
      </w:pPr>
      <w:r w:rsidRPr="001D30AB">
        <w:rPr>
          <w:rStyle w:val="baj"/>
          <w:rFonts w:ascii="Verdana" w:hAnsi="Verdana" w:cs="Arial"/>
          <w:sz w:val="18"/>
          <w:szCs w:val="18"/>
          <w:lang w:val="es-MX"/>
        </w:rPr>
        <w:t>Parágrafo.</w:t>
      </w:r>
      <w:r w:rsidRPr="001D30AB">
        <w:rPr>
          <w:rFonts w:ascii="Verdana" w:hAnsi="Verdana" w:cs="Arial"/>
          <w:sz w:val="18"/>
          <w:szCs w:val="18"/>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D30AB">
        <w:rPr>
          <w:rFonts w:ascii="Verdana" w:hAnsi="Verdana" w:eastAsia="Calibri" w:cs="Arial"/>
          <w:color w:val="000000"/>
          <w:sz w:val="18"/>
          <w:szCs w:val="18"/>
        </w:rPr>
        <w:t>”</w:t>
      </w:r>
      <w:r w:rsidRPr="001D30AB">
        <w:rPr>
          <w:rFonts w:ascii="Verdana" w:hAnsi="Verdana" w:cs="Arial"/>
          <w:sz w:val="18"/>
          <w:szCs w:val="18"/>
          <w:lang w:val="es-MX"/>
        </w:rPr>
        <w:t>.</w:t>
      </w:r>
    </w:p>
  </w:footnote>
  <w:footnote w:id="10">
    <w:p w:rsidRPr="00D04D18" w:rsidR="00DC40E9" w:rsidP="00D04D18" w:rsidRDefault="00DC40E9" w14:paraId="553CCD76" w14:textId="54E5014E">
      <w:pPr>
        <w:spacing w:after="0" w:line="240" w:lineRule="auto"/>
        <w:ind w:left="100" w:right="244" w:firstLine="709"/>
        <w:contextualSpacing/>
        <w:jc w:val="both"/>
        <w:rPr>
          <w:rFonts w:ascii="Verdana" w:hAnsi="Verdana" w:cs="Arial"/>
          <w:sz w:val="18"/>
          <w:szCs w:val="18"/>
        </w:rPr>
      </w:pPr>
      <w:r w:rsidRPr="001D30AB">
        <w:rPr>
          <w:rStyle w:val="Refdenotaalpie"/>
          <w:rFonts w:ascii="Verdana" w:hAnsi="Verdana" w:cs="Arial"/>
          <w:sz w:val="18"/>
          <w:szCs w:val="18"/>
        </w:rPr>
        <w:footnoteRef/>
      </w:r>
      <w:r w:rsidRPr="001D30AB">
        <w:rPr>
          <w:rFonts w:ascii="Verdana" w:hAnsi="Verdana" w:cs="Arial"/>
          <w:sz w:val="18"/>
          <w:szCs w:val="18"/>
        </w:rPr>
        <w:t xml:space="preserve"> Consejo de Estado. Sala de Consulta y Servicio Civil. Concepto del 17 de febrero de 2015. C.P. William Zambrano Cetina. Radicación No. 11001-03-06-000-2015-00164-00(2269).</w:t>
      </w:r>
    </w:p>
  </w:footnote>
  <w:footnote w:id="11">
    <w:p w:rsidRPr="00B8555A" w:rsidR="00FB7F34" w:rsidP="00B8555A" w:rsidRDefault="00417BAA" w14:paraId="16B9CF92" w14:textId="13736786">
      <w:pPr>
        <w:pStyle w:val="Textonotapie"/>
        <w:ind w:firstLine="709"/>
        <w:contextualSpacing/>
        <w:jc w:val="both"/>
        <w:rPr>
          <w:rFonts w:ascii="Verdana" w:hAnsi="Verdana" w:cs="Arial"/>
          <w:sz w:val="18"/>
          <w:szCs w:val="18"/>
        </w:rPr>
      </w:pPr>
      <w:r w:rsidRPr="001D30AB">
        <w:rPr>
          <w:rStyle w:val="Refdenotaalpie"/>
          <w:rFonts w:ascii="Verdana" w:hAnsi="Verdana"/>
          <w:sz w:val="18"/>
          <w:szCs w:val="18"/>
        </w:rPr>
        <w:footnoteRef/>
      </w:r>
      <w:r w:rsidRPr="001D30AB">
        <w:rPr>
          <w:rFonts w:ascii="Verdana" w:hAnsi="Verdana"/>
          <w:sz w:val="18"/>
          <w:szCs w:val="18"/>
        </w:rPr>
        <w:t xml:space="preserve"> </w:t>
      </w:r>
      <w:r w:rsidRPr="001D30AB">
        <w:rPr>
          <w:rFonts w:ascii="Verdana" w:hAnsi="Verdana" w:cs="Arial"/>
          <w:sz w:val="18"/>
          <w:szCs w:val="18"/>
        </w:rPr>
        <w:t>Consejo de Estado -Sección Tercera-. Sentencia del 21 de febrero de 2025. Radicación Número: 68.280. CP: José Roberto Sáchica Méndez.</w:t>
      </w:r>
    </w:p>
  </w:footnote>
  <w:footnote w:id="12">
    <w:p w:rsidRPr="001D30AB" w:rsidR="00417BAA" w:rsidP="00EB197E" w:rsidRDefault="00417BAA" w14:paraId="462DE101" w14:textId="77777777">
      <w:pPr>
        <w:pStyle w:val="Textonotapie"/>
        <w:ind w:firstLine="709"/>
        <w:contextualSpacing/>
        <w:jc w:val="both"/>
        <w:rPr>
          <w:rFonts w:ascii="Verdana" w:hAnsi="Verdana" w:cs="Arial"/>
          <w:sz w:val="18"/>
          <w:szCs w:val="18"/>
        </w:rPr>
      </w:pPr>
      <w:r w:rsidRPr="001D30AB">
        <w:rPr>
          <w:rFonts w:ascii="Verdana" w:hAnsi="Verdana"/>
          <w:sz w:val="18"/>
          <w:szCs w:val="18"/>
          <w:vertAlign w:val="superscript"/>
        </w:rPr>
        <w:footnoteRef/>
      </w:r>
      <w:r w:rsidRPr="001D30AB">
        <w:rPr>
          <w:rFonts w:ascii="Verdana" w:hAnsi="Verdana"/>
          <w:sz w:val="18"/>
          <w:szCs w:val="18"/>
          <w:vertAlign w:val="superscript"/>
        </w:rPr>
        <w:t xml:space="preserve"> </w:t>
      </w:r>
      <w:r w:rsidRPr="001D30AB">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rsidRPr="001D30AB" w:rsidR="00417BAA" w:rsidP="00EB197E" w:rsidRDefault="00417BAA" w14:paraId="691DAAD8" w14:textId="77777777">
      <w:pPr>
        <w:pStyle w:val="Textonotapie"/>
        <w:ind w:firstLine="709"/>
        <w:contextualSpacing/>
        <w:jc w:val="both"/>
        <w:rPr>
          <w:rFonts w:ascii="Verdana" w:hAnsi="Verdana" w:cs="Arial"/>
          <w:sz w:val="18"/>
          <w:szCs w:val="18"/>
        </w:rPr>
      </w:pPr>
    </w:p>
  </w:footnote>
  <w:footnote w:id="13">
    <w:p w:rsidRPr="001D30AB" w:rsidR="00417BAA" w:rsidP="00EB197E" w:rsidRDefault="00417BAA" w14:paraId="32300540" w14:textId="4B1F9C3D">
      <w:pPr>
        <w:pStyle w:val="Textonotapie"/>
        <w:ind w:firstLine="709"/>
        <w:contextualSpacing/>
        <w:jc w:val="both"/>
        <w:rPr>
          <w:rFonts w:ascii="Verdana" w:hAnsi="Verdana" w:cs="Arial"/>
          <w:sz w:val="18"/>
          <w:szCs w:val="18"/>
        </w:rPr>
      </w:pPr>
      <w:r w:rsidRPr="001D30AB">
        <w:rPr>
          <w:rFonts w:ascii="Verdana" w:hAnsi="Verdana"/>
          <w:sz w:val="18"/>
          <w:szCs w:val="18"/>
          <w:vertAlign w:val="superscript"/>
        </w:rPr>
        <w:footnoteRef/>
      </w:r>
      <w:r w:rsidRPr="001D30AB">
        <w:rPr>
          <w:rFonts w:ascii="Verdana" w:hAnsi="Verdana" w:cs="Arial"/>
          <w:sz w:val="18"/>
          <w:szCs w:val="18"/>
          <w:vertAlign w:val="superscript"/>
        </w:rPr>
        <w:t xml:space="preserve"> </w:t>
      </w:r>
      <w:r w:rsidRPr="001D30AB">
        <w:rPr>
          <w:rFonts w:ascii="Verdana" w:hAnsi="Verdana" w:cs="Arial"/>
          <w:sz w:val="18"/>
          <w:szCs w:val="18"/>
        </w:rPr>
        <w:t xml:space="preserve">Ley 80 de 1993: </w:t>
      </w:r>
      <w:r w:rsidRPr="001D30AB" w:rsidR="2035D652">
        <w:rPr>
          <w:rFonts w:ascii="Verdana" w:hAnsi="Verdana" w:cs="Arial"/>
          <w:sz w:val="18"/>
          <w:szCs w:val="18"/>
        </w:rPr>
        <w:t>“</w:t>
      </w:r>
      <w:r w:rsidRPr="001D30AB">
        <w:rPr>
          <w:rFonts w:ascii="Verdana" w:hAnsi="Verdana" w:cs="Arial"/>
          <w:sz w:val="18"/>
          <w:szCs w:val="18"/>
        </w:rPr>
        <w:t>Artículo 41. Del perfeccionamiento del contrato. Los contratos del Estado se perfeccionan cuando se logre acuerdo sobre el objeto y la contraprestación y éste se eleve a escrito.</w:t>
      </w:r>
    </w:p>
    <w:p w:rsidRPr="001D30AB" w:rsidR="003E2294" w:rsidP="00B8555A" w:rsidRDefault="2035D652" w14:paraId="3A163D7E" w14:textId="6B3A8BD7">
      <w:pPr>
        <w:pStyle w:val="Textonotapie"/>
        <w:ind w:firstLine="709"/>
        <w:contextualSpacing/>
        <w:jc w:val="both"/>
        <w:rPr>
          <w:rFonts w:ascii="Verdana" w:hAnsi="Verdana" w:cs="Arial"/>
          <w:sz w:val="18"/>
          <w:szCs w:val="18"/>
        </w:rPr>
      </w:pPr>
      <w:r w:rsidRPr="001D30AB">
        <w:rPr>
          <w:rFonts w:ascii="Verdana" w:hAnsi="Verdana" w:cs="Arial"/>
          <w:sz w:val="18"/>
          <w:szCs w:val="18"/>
        </w:rPr>
        <w:t>[…]”.</w:t>
      </w:r>
    </w:p>
  </w:footnote>
  <w:footnote w:id="14">
    <w:p w:rsidRPr="001D30AB" w:rsidR="00417BAA" w:rsidP="004D7A1D" w:rsidRDefault="00417BAA" w14:paraId="7F58B4C1" w14:textId="61047C2C">
      <w:pPr>
        <w:pStyle w:val="Textonotapie"/>
        <w:ind w:firstLine="709"/>
        <w:contextualSpacing/>
        <w:jc w:val="both"/>
        <w:rPr>
          <w:rFonts w:ascii="Verdana" w:hAnsi="Verdana" w:cs="Arial"/>
          <w:sz w:val="18"/>
          <w:szCs w:val="18"/>
        </w:rPr>
      </w:pPr>
      <w:r w:rsidRPr="001D30AB">
        <w:rPr>
          <w:rFonts w:ascii="Verdana" w:hAnsi="Verdana"/>
          <w:sz w:val="18"/>
          <w:szCs w:val="18"/>
          <w:vertAlign w:val="superscript"/>
        </w:rPr>
        <w:footnoteRef/>
      </w:r>
      <w:r w:rsidRPr="001D30AB">
        <w:rPr>
          <w:rFonts w:ascii="Verdana" w:hAnsi="Verdana" w:cs="Arial"/>
          <w:sz w:val="18"/>
          <w:szCs w:val="18"/>
          <w:vertAlign w:val="superscript"/>
        </w:rPr>
        <w:t xml:space="preserve"> </w:t>
      </w:r>
      <w:r w:rsidRPr="001D30AB">
        <w:rPr>
          <w:rFonts w:ascii="Verdana" w:hAnsi="Verdana" w:cs="Arial"/>
          <w:sz w:val="18"/>
          <w:szCs w:val="18"/>
        </w:rPr>
        <w:t xml:space="preserve">Código Civil: </w:t>
      </w:r>
      <w:r w:rsidRPr="001D30AB" w:rsidR="2035D652">
        <w:rPr>
          <w:rFonts w:ascii="Verdana" w:hAnsi="Verdana" w:cs="Arial"/>
          <w:sz w:val="18"/>
          <w:szCs w:val="18"/>
        </w:rPr>
        <w:t>“</w:t>
      </w:r>
      <w:r w:rsidRPr="001D30AB">
        <w:rPr>
          <w:rFonts w:ascii="Verdana" w:hAnsi="Verdana" w:cs="Arial"/>
          <w:sz w:val="18"/>
          <w:szCs w:val="18"/>
        </w:rPr>
        <w:t>Artículo 27. Cuando el sentido de la ley sea claro, no se desatenderá su tenor a pretexto de consultar su espíritu</w:t>
      </w:r>
      <w:r w:rsidRPr="001D30AB" w:rsidR="2035D652">
        <w:rPr>
          <w:rFonts w:ascii="Verdana" w:hAnsi="Verdana" w:cs="Arial"/>
          <w:sz w:val="18"/>
          <w:szCs w:val="18"/>
        </w:rPr>
        <w:t>”.</w:t>
      </w:r>
    </w:p>
  </w:footnote>
  <w:footnote w:id="15">
    <w:p w:rsidRPr="004D7A1D" w:rsidR="00417BAA" w:rsidP="004D7A1D" w:rsidRDefault="00417BAA" w14:paraId="1FBF83FB" w14:textId="35C72A24">
      <w:pPr>
        <w:pStyle w:val="Textonotapie"/>
        <w:ind w:firstLine="709"/>
        <w:contextualSpacing/>
        <w:jc w:val="both"/>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lang w:val="es-CO"/>
        </w:rPr>
        <w:t xml:space="preserve"> Consejo de Estado, Sección Tercera. Auto del 4 de octubre de 2024. </w:t>
      </w:r>
      <w:proofErr w:type="spellStart"/>
      <w:r w:rsidRPr="001D30AB">
        <w:rPr>
          <w:rFonts w:ascii="Verdana" w:hAnsi="Verdana"/>
          <w:sz w:val="18"/>
          <w:szCs w:val="18"/>
          <w:lang w:val="es-CO"/>
        </w:rPr>
        <w:t>Exp</w:t>
      </w:r>
      <w:proofErr w:type="spellEnd"/>
      <w:r w:rsidRPr="001D30AB">
        <w:rPr>
          <w:rFonts w:ascii="Verdana" w:hAnsi="Verdana"/>
          <w:sz w:val="18"/>
          <w:szCs w:val="18"/>
          <w:lang w:val="es-CO"/>
        </w:rPr>
        <w:t>. 70.313. C.P: Fredy Ibarra Martínez</w:t>
      </w:r>
      <w:r w:rsidRPr="001D30AB" w:rsidR="2035D652">
        <w:rPr>
          <w:rFonts w:ascii="Verdana" w:hAnsi="Verdana"/>
          <w:sz w:val="18"/>
          <w:szCs w:val="18"/>
          <w:lang w:val="es-CO"/>
        </w:rPr>
        <w:t>.</w:t>
      </w:r>
    </w:p>
  </w:footnote>
  <w:footnote w:id="16">
    <w:p w:rsidRPr="001D30AB" w:rsidR="00417BAA" w:rsidP="00EB197E" w:rsidRDefault="00417BAA" w14:paraId="085325F1" w14:textId="77777777">
      <w:pPr>
        <w:pStyle w:val="Textonotapie"/>
        <w:ind w:firstLine="709"/>
        <w:contextualSpacing/>
        <w:jc w:val="both"/>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rPr>
        <w:t xml:space="preserve"> La parte resolutiva del auto dispone lo siguiente; “</w:t>
      </w:r>
      <w:r w:rsidRPr="001D30AB">
        <w:rPr>
          <w:rFonts w:ascii="Verdana" w:hAnsi="Verdana"/>
          <w:b/>
          <w:sz w:val="18"/>
          <w:szCs w:val="18"/>
          <w:lang w:val="es-CO"/>
        </w:rPr>
        <w:t xml:space="preserve">PRIMERO: DECRETAR </w:t>
      </w:r>
      <w:r w:rsidRPr="001D30AB">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1D30AB">
        <w:rPr>
          <w:rFonts w:ascii="Verdana" w:hAnsi="Verdana"/>
          <w:i/>
          <w:sz w:val="18"/>
          <w:szCs w:val="18"/>
          <w:lang w:val="es-CO"/>
        </w:rPr>
        <w:t>“[e]</w:t>
      </w:r>
      <w:proofErr w:type="spellStart"/>
      <w:r w:rsidRPr="001D30AB">
        <w:rPr>
          <w:rFonts w:ascii="Verdana" w:hAnsi="Verdana"/>
          <w:i/>
          <w:sz w:val="18"/>
          <w:szCs w:val="18"/>
          <w:lang w:val="es-CO"/>
        </w:rPr>
        <w:t>sta</w:t>
      </w:r>
      <w:proofErr w:type="spellEnd"/>
      <w:r w:rsidRPr="001D30AB">
        <w:rPr>
          <w:rFonts w:ascii="Verdana" w:hAnsi="Verdana"/>
          <w:i/>
          <w:sz w:val="18"/>
          <w:szCs w:val="18"/>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1D30AB">
        <w:rPr>
          <w:rFonts w:ascii="Verdana" w:hAnsi="Verdana"/>
          <w:sz w:val="18"/>
          <w:szCs w:val="18"/>
          <w:lang w:val="es-CO"/>
        </w:rPr>
        <w:t xml:space="preserve">, por las razones expuestas en precedencia. </w:t>
      </w:r>
    </w:p>
    <w:p w:rsidRPr="00591AA5" w:rsidR="00417BAA" w:rsidP="00591AA5" w:rsidRDefault="00417BAA" w14:paraId="02033457" w14:textId="238B2BBB">
      <w:pPr>
        <w:pStyle w:val="Textonotapie"/>
        <w:ind w:firstLine="709"/>
        <w:contextualSpacing/>
        <w:jc w:val="both"/>
        <w:rPr>
          <w:rFonts w:ascii="Verdana" w:hAnsi="Verdana"/>
          <w:sz w:val="18"/>
          <w:szCs w:val="18"/>
          <w:lang w:val="es-CO"/>
        </w:rPr>
      </w:pPr>
      <w:r w:rsidRPr="001D30AB">
        <w:rPr>
          <w:rFonts w:ascii="Verdana" w:hAnsi="Verdana"/>
          <w:b/>
          <w:sz w:val="18"/>
          <w:szCs w:val="18"/>
          <w:lang w:val="es-CO"/>
        </w:rPr>
        <w:t xml:space="preserve">SEGUNDO: DECRETAR </w:t>
      </w:r>
      <w:r w:rsidRPr="001D30AB">
        <w:rPr>
          <w:rFonts w:ascii="Verdana" w:hAnsi="Verdana"/>
          <w:sz w:val="18"/>
          <w:szCs w:val="18"/>
          <w:lang w:val="es-CO"/>
        </w:rPr>
        <w:t>la suspensión provisional de la expresión “</w:t>
      </w:r>
      <w:r w:rsidRPr="001D30AB">
        <w:rPr>
          <w:rFonts w:ascii="Verdana" w:hAnsi="Verdana"/>
          <w:i/>
          <w:sz w:val="18"/>
          <w:szCs w:val="18"/>
          <w:lang w:val="es-CO"/>
        </w:rPr>
        <w:t>contratos</w:t>
      </w:r>
      <w:r w:rsidRPr="001D30AB">
        <w:rPr>
          <w:rFonts w:ascii="Verdana" w:hAnsi="Verdana"/>
          <w:sz w:val="18"/>
          <w:szCs w:val="18"/>
          <w:lang w:val="es-CO"/>
        </w:rPr>
        <w:t xml:space="preserve">” y del párrafo </w:t>
      </w:r>
      <w:r w:rsidRPr="001D30AB">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1D30AB">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1D30AB">
        <w:rPr>
          <w:rFonts w:ascii="Verdana" w:hAnsi="Verdana"/>
          <w:sz w:val="18"/>
          <w:szCs w:val="18"/>
          <w:lang w:val="es-CO"/>
        </w:rPr>
        <w:t>Exp</w:t>
      </w:r>
      <w:proofErr w:type="spellEnd"/>
      <w:r w:rsidRPr="001D30AB">
        <w:rPr>
          <w:rFonts w:ascii="Verdana" w:hAnsi="Verdana"/>
          <w:sz w:val="18"/>
          <w:szCs w:val="18"/>
          <w:lang w:val="es-CO"/>
        </w:rPr>
        <w:t xml:space="preserve">. 72.424. C.P: Fernando </w:t>
      </w:r>
      <w:proofErr w:type="spellStart"/>
      <w:r w:rsidRPr="001D30AB">
        <w:rPr>
          <w:rFonts w:ascii="Verdana" w:hAnsi="Verdana"/>
          <w:sz w:val="18"/>
          <w:szCs w:val="18"/>
          <w:lang w:val="es-CO"/>
        </w:rPr>
        <w:t>Alexei</w:t>
      </w:r>
      <w:proofErr w:type="spellEnd"/>
      <w:r w:rsidRPr="001D30AB">
        <w:rPr>
          <w:rFonts w:ascii="Verdana" w:hAnsi="Verdana"/>
          <w:sz w:val="18"/>
          <w:szCs w:val="18"/>
          <w:lang w:val="es-CO"/>
        </w:rPr>
        <w:t xml:space="preserve"> Pardo </w:t>
      </w:r>
      <w:proofErr w:type="spellStart"/>
      <w:r w:rsidRPr="001D30AB">
        <w:rPr>
          <w:rFonts w:ascii="Verdana" w:hAnsi="Verdana"/>
          <w:sz w:val="18"/>
          <w:szCs w:val="18"/>
          <w:lang w:val="es-CO"/>
        </w:rPr>
        <w:t>Florez</w:t>
      </w:r>
      <w:proofErr w:type="spellEnd"/>
      <w:r w:rsidRPr="001D30AB">
        <w:rPr>
          <w:rFonts w:ascii="Verdana" w:hAnsi="Verdana"/>
          <w:sz w:val="18"/>
          <w:szCs w:val="18"/>
          <w:lang w:val="es-CO"/>
        </w:rPr>
        <w:t xml:space="preserve">. </w:t>
      </w:r>
    </w:p>
  </w:footnote>
  <w:footnote w:id="17">
    <w:p w:rsidRPr="001D30AB" w:rsidR="00944E01" w:rsidP="00EB197E" w:rsidRDefault="00944E01" w14:paraId="00B07337" w14:textId="09BC711E">
      <w:pPr>
        <w:spacing w:after="0" w:line="240" w:lineRule="auto"/>
        <w:ind w:firstLine="709"/>
        <w:contextualSpacing/>
        <w:jc w:val="both"/>
        <w:rPr>
          <w:rFonts w:ascii="Verdana" w:hAnsi="Verdana" w:eastAsia="Times New Roman" w:cs="Times New Roman"/>
          <w:sz w:val="18"/>
          <w:szCs w:val="18"/>
          <w:lang w:eastAsia="es-ES"/>
        </w:rPr>
      </w:pPr>
      <w:r w:rsidRPr="001D30AB">
        <w:rPr>
          <w:rStyle w:val="Refdenotaalpie"/>
          <w:rFonts w:ascii="Verdana" w:hAnsi="Verdana"/>
          <w:sz w:val="18"/>
          <w:szCs w:val="18"/>
        </w:rPr>
        <w:footnoteRef/>
      </w:r>
      <w:r w:rsidRPr="001D30AB">
        <w:rPr>
          <w:rFonts w:ascii="Verdana" w:hAnsi="Verdana"/>
          <w:sz w:val="18"/>
          <w:szCs w:val="18"/>
        </w:rPr>
        <w:t xml:space="preserve"> </w:t>
      </w:r>
      <w:r w:rsidRPr="001D30AB">
        <w:rPr>
          <w:rFonts w:ascii="Verdana" w:hAnsi="Verdana" w:eastAsia="Times New Roman" w:cs="Times New Roman"/>
          <w:sz w:val="18"/>
          <w:szCs w:val="18"/>
          <w:lang w:eastAsia="es-ES"/>
        </w:rPr>
        <w:t xml:space="preserve">Consejo de Estado. Sala de lo Contencioso Administrativo. Sección Tercera. Subsección B. 17 de octubre de 2025. Magistrado Ponente: Fredy Ibarra Martínez.  </w:t>
      </w:r>
      <w:r w:rsidRPr="001D30AB">
        <w:rPr>
          <w:rFonts w:ascii="Verdana" w:hAnsi="Verdana"/>
          <w:sz w:val="18"/>
          <w:szCs w:val="18"/>
        </w:rPr>
        <w:t xml:space="preserve">La parte de la providencia señala: </w:t>
      </w:r>
      <w:r w:rsidRPr="001D30AB">
        <w:rPr>
          <w:rFonts w:ascii="Verdana" w:hAnsi="Verdana" w:eastAsia="Times New Roman" w:cs="Times New Roman"/>
          <w:sz w:val="18"/>
          <w:szCs w:val="18"/>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8">
    <w:p w:rsidRPr="001D30AB" w:rsidR="006E584C" w:rsidP="00EB197E" w:rsidRDefault="006E584C" w14:paraId="1178BE20" w14:textId="4980BC55">
      <w:pPr>
        <w:pStyle w:val="Textonotapie"/>
        <w:ind w:firstLine="709"/>
        <w:rPr>
          <w:rFonts w:ascii="Verdana" w:hAnsi="Verdana"/>
          <w:sz w:val="18"/>
          <w:szCs w:val="18"/>
          <w:lang w:val="es-CO"/>
        </w:rPr>
      </w:pPr>
      <w:r w:rsidRPr="001D30AB">
        <w:rPr>
          <w:rStyle w:val="Refdenotaalpie"/>
          <w:rFonts w:ascii="Verdana" w:hAnsi="Verdana"/>
          <w:sz w:val="18"/>
          <w:szCs w:val="18"/>
        </w:rPr>
        <w:footnoteRef/>
      </w:r>
      <w:r w:rsidRPr="001D30AB" w:rsidR="2035D652">
        <w:rPr>
          <w:rFonts w:ascii="Verdana" w:hAnsi="Verdana"/>
          <w:sz w:val="18"/>
          <w:szCs w:val="18"/>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98" style="width:11.25pt;height:11.25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3E7"/>
    <w:rsid w:val="00016F78"/>
    <w:rsid w:val="00046945"/>
    <w:rsid w:val="00061B2A"/>
    <w:rsid w:val="00063F62"/>
    <w:rsid w:val="00082362"/>
    <w:rsid w:val="000863B5"/>
    <w:rsid w:val="0009000C"/>
    <w:rsid w:val="00091B99"/>
    <w:rsid w:val="00091EAB"/>
    <w:rsid w:val="00094EE9"/>
    <w:rsid w:val="000A683E"/>
    <w:rsid w:val="000A77E5"/>
    <w:rsid w:val="000B19B9"/>
    <w:rsid w:val="000C0D97"/>
    <w:rsid w:val="000D0334"/>
    <w:rsid w:val="000D5DA7"/>
    <w:rsid w:val="000D5E30"/>
    <w:rsid w:val="000E1F63"/>
    <w:rsid w:val="000F6486"/>
    <w:rsid w:val="00115B7C"/>
    <w:rsid w:val="00116940"/>
    <w:rsid w:val="001218FF"/>
    <w:rsid w:val="00125105"/>
    <w:rsid w:val="00127233"/>
    <w:rsid w:val="0015699B"/>
    <w:rsid w:val="00162D75"/>
    <w:rsid w:val="00163372"/>
    <w:rsid w:val="0017682F"/>
    <w:rsid w:val="001A33BF"/>
    <w:rsid w:val="001A56F2"/>
    <w:rsid w:val="001B32B4"/>
    <w:rsid w:val="001C07AC"/>
    <w:rsid w:val="001D30AB"/>
    <w:rsid w:val="001E196C"/>
    <w:rsid w:val="001E4177"/>
    <w:rsid w:val="001E7C84"/>
    <w:rsid w:val="001F0B24"/>
    <w:rsid w:val="001F4B7E"/>
    <w:rsid w:val="001F7DC6"/>
    <w:rsid w:val="00201534"/>
    <w:rsid w:val="00212459"/>
    <w:rsid w:val="002172FF"/>
    <w:rsid w:val="0022400B"/>
    <w:rsid w:val="0023769A"/>
    <w:rsid w:val="002421BB"/>
    <w:rsid w:val="00254E32"/>
    <w:rsid w:val="0025796E"/>
    <w:rsid w:val="00264474"/>
    <w:rsid w:val="002707A2"/>
    <w:rsid w:val="00273144"/>
    <w:rsid w:val="002758E9"/>
    <w:rsid w:val="002845DC"/>
    <w:rsid w:val="002951A0"/>
    <w:rsid w:val="002962BC"/>
    <w:rsid w:val="002A093D"/>
    <w:rsid w:val="002A0DD0"/>
    <w:rsid w:val="002A49AC"/>
    <w:rsid w:val="002A64FD"/>
    <w:rsid w:val="002C7A84"/>
    <w:rsid w:val="002E2BF8"/>
    <w:rsid w:val="002E4FD9"/>
    <w:rsid w:val="002F7C98"/>
    <w:rsid w:val="00305357"/>
    <w:rsid w:val="0030657A"/>
    <w:rsid w:val="00316E6A"/>
    <w:rsid w:val="00320AAC"/>
    <w:rsid w:val="003218F0"/>
    <w:rsid w:val="00322A85"/>
    <w:rsid w:val="00324168"/>
    <w:rsid w:val="0032785B"/>
    <w:rsid w:val="00330834"/>
    <w:rsid w:val="003448F4"/>
    <w:rsid w:val="00374F5E"/>
    <w:rsid w:val="00375F99"/>
    <w:rsid w:val="00377E3E"/>
    <w:rsid w:val="0038354F"/>
    <w:rsid w:val="00395E08"/>
    <w:rsid w:val="003A35D3"/>
    <w:rsid w:val="003A779E"/>
    <w:rsid w:val="003B0D35"/>
    <w:rsid w:val="003C652A"/>
    <w:rsid w:val="003D0F4D"/>
    <w:rsid w:val="003D5B0D"/>
    <w:rsid w:val="003D6AB0"/>
    <w:rsid w:val="003E0499"/>
    <w:rsid w:val="003E2294"/>
    <w:rsid w:val="003E4F80"/>
    <w:rsid w:val="003E6439"/>
    <w:rsid w:val="003F3941"/>
    <w:rsid w:val="00406575"/>
    <w:rsid w:val="00414C74"/>
    <w:rsid w:val="00417BAA"/>
    <w:rsid w:val="0042722E"/>
    <w:rsid w:val="0043041B"/>
    <w:rsid w:val="00431043"/>
    <w:rsid w:val="004325E5"/>
    <w:rsid w:val="0044278F"/>
    <w:rsid w:val="0044528D"/>
    <w:rsid w:val="00460D68"/>
    <w:rsid w:val="00466E39"/>
    <w:rsid w:val="00480CC7"/>
    <w:rsid w:val="004A1847"/>
    <w:rsid w:val="004A305D"/>
    <w:rsid w:val="004D7A1D"/>
    <w:rsid w:val="004F21C4"/>
    <w:rsid w:val="004F59F2"/>
    <w:rsid w:val="004F685F"/>
    <w:rsid w:val="004F71E4"/>
    <w:rsid w:val="005169E0"/>
    <w:rsid w:val="005326E2"/>
    <w:rsid w:val="00555BD9"/>
    <w:rsid w:val="005566E8"/>
    <w:rsid w:val="00574867"/>
    <w:rsid w:val="00591460"/>
    <w:rsid w:val="00591AA5"/>
    <w:rsid w:val="0059483A"/>
    <w:rsid w:val="005A65E0"/>
    <w:rsid w:val="005C3777"/>
    <w:rsid w:val="005C5CDC"/>
    <w:rsid w:val="005D0199"/>
    <w:rsid w:val="005D476C"/>
    <w:rsid w:val="00606C69"/>
    <w:rsid w:val="006200BF"/>
    <w:rsid w:val="006219F8"/>
    <w:rsid w:val="0062648F"/>
    <w:rsid w:val="006302F7"/>
    <w:rsid w:val="006400B2"/>
    <w:rsid w:val="00640D62"/>
    <w:rsid w:val="00646B9F"/>
    <w:rsid w:val="00654435"/>
    <w:rsid w:val="00655183"/>
    <w:rsid w:val="00661785"/>
    <w:rsid w:val="00665D70"/>
    <w:rsid w:val="00667CD6"/>
    <w:rsid w:val="00670659"/>
    <w:rsid w:val="00674121"/>
    <w:rsid w:val="00682770"/>
    <w:rsid w:val="006900D9"/>
    <w:rsid w:val="006A19B5"/>
    <w:rsid w:val="006B7D00"/>
    <w:rsid w:val="006E584C"/>
    <w:rsid w:val="006E611D"/>
    <w:rsid w:val="00706C16"/>
    <w:rsid w:val="007201A6"/>
    <w:rsid w:val="007340C3"/>
    <w:rsid w:val="0075235A"/>
    <w:rsid w:val="007549A2"/>
    <w:rsid w:val="00756841"/>
    <w:rsid w:val="007649AB"/>
    <w:rsid w:val="00771D0C"/>
    <w:rsid w:val="007833AC"/>
    <w:rsid w:val="007A4924"/>
    <w:rsid w:val="007A4C46"/>
    <w:rsid w:val="007B268C"/>
    <w:rsid w:val="007B7171"/>
    <w:rsid w:val="007C0C0F"/>
    <w:rsid w:val="007C2969"/>
    <w:rsid w:val="007C3DC2"/>
    <w:rsid w:val="007E5497"/>
    <w:rsid w:val="007F68F6"/>
    <w:rsid w:val="00805989"/>
    <w:rsid w:val="00806F5F"/>
    <w:rsid w:val="00817410"/>
    <w:rsid w:val="00820278"/>
    <w:rsid w:val="008258C9"/>
    <w:rsid w:val="008404C2"/>
    <w:rsid w:val="00842AB4"/>
    <w:rsid w:val="00844AE9"/>
    <w:rsid w:val="00854864"/>
    <w:rsid w:val="00867F95"/>
    <w:rsid w:val="00874C2D"/>
    <w:rsid w:val="008843B6"/>
    <w:rsid w:val="00891928"/>
    <w:rsid w:val="00893C58"/>
    <w:rsid w:val="008A446D"/>
    <w:rsid w:val="008B25F1"/>
    <w:rsid w:val="008C1E5B"/>
    <w:rsid w:val="008C5471"/>
    <w:rsid w:val="008C5662"/>
    <w:rsid w:val="008D180B"/>
    <w:rsid w:val="008D30C0"/>
    <w:rsid w:val="008E6289"/>
    <w:rsid w:val="008F0EA7"/>
    <w:rsid w:val="008F1C48"/>
    <w:rsid w:val="009139C4"/>
    <w:rsid w:val="0092292A"/>
    <w:rsid w:val="00923EEF"/>
    <w:rsid w:val="00935586"/>
    <w:rsid w:val="009419F9"/>
    <w:rsid w:val="00944E01"/>
    <w:rsid w:val="00954731"/>
    <w:rsid w:val="0095685E"/>
    <w:rsid w:val="00961094"/>
    <w:rsid w:val="00961B09"/>
    <w:rsid w:val="009643BD"/>
    <w:rsid w:val="00965334"/>
    <w:rsid w:val="0097093E"/>
    <w:rsid w:val="009758CD"/>
    <w:rsid w:val="00977C70"/>
    <w:rsid w:val="00986876"/>
    <w:rsid w:val="00987500"/>
    <w:rsid w:val="009A0DFA"/>
    <w:rsid w:val="009A1C6F"/>
    <w:rsid w:val="009A59A9"/>
    <w:rsid w:val="009B13F6"/>
    <w:rsid w:val="009B2D26"/>
    <w:rsid w:val="009B7C34"/>
    <w:rsid w:val="009C71FA"/>
    <w:rsid w:val="009C72E7"/>
    <w:rsid w:val="009C7F7E"/>
    <w:rsid w:val="009D3058"/>
    <w:rsid w:val="009F3A13"/>
    <w:rsid w:val="009F6762"/>
    <w:rsid w:val="00A122D3"/>
    <w:rsid w:val="00A14468"/>
    <w:rsid w:val="00A17F13"/>
    <w:rsid w:val="00A20739"/>
    <w:rsid w:val="00A21254"/>
    <w:rsid w:val="00A23AF9"/>
    <w:rsid w:val="00A33C78"/>
    <w:rsid w:val="00A50ECF"/>
    <w:rsid w:val="00A51C68"/>
    <w:rsid w:val="00A522B1"/>
    <w:rsid w:val="00A52E3E"/>
    <w:rsid w:val="00A531F4"/>
    <w:rsid w:val="00A95C98"/>
    <w:rsid w:val="00AA0199"/>
    <w:rsid w:val="00AB0ADB"/>
    <w:rsid w:val="00AD5EA6"/>
    <w:rsid w:val="00B00C0E"/>
    <w:rsid w:val="00B01B1A"/>
    <w:rsid w:val="00B0381D"/>
    <w:rsid w:val="00B1433C"/>
    <w:rsid w:val="00B16B08"/>
    <w:rsid w:val="00B44A47"/>
    <w:rsid w:val="00B50082"/>
    <w:rsid w:val="00B72CD3"/>
    <w:rsid w:val="00B72FFF"/>
    <w:rsid w:val="00B8555A"/>
    <w:rsid w:val="00B927B1"/>
    <w:rsid w:val="00B978F8"/>
    <w:rsid w:val="00BB2949"/>
    <w:rsid w:val="00BC3D36"/>
    <w:rsid w:val="00BD2620"/>
    <w:rsid w:val="00BD54A6"/>
    <w:rsid w:val="00BD7F72"/>
    <w:rsid w:val="00BE1B3C"/>
    <w:rsid w:val="00BF34BB"/>
    <w:rsid w:val="00BF7425"/>
    <w:rsid w:val="00C04FB3"/>
    <w:rsid w:val="00C11D8B"/>
    <w:rsid w:val="00C15139"/>
    <w:rsid w:val="00C23E60"/>
    <w:rsid w:val="00C322F9"/>
    <w:rsid w:val="00C330EB"/>
    <w:rsid w:val="00C353F7"/>
    <w:rsid w:val="00C50D69"/>
    <w:rsid w:val="00C5365C"/>
    <w:rsid w:val="00C71DB3"/>
    <w:rsid w:val="00C71E4F"/>
    <w:rsid w:val="00C754BE"/>
    <w:rsid w:val="00C76B1C"/>
    <w:rsid w:val="00C925AC"/>
    <w:rsid w:val="00C92C9A"/>
    <w:rsid w:val="00CA64E8"/>
    <w:rsid w:val="00CB6357"/>
    <w:rsid w:val="00CC1B26"/>
    <w:rsid w:val="00CC713B"/>
    <w:rsid w:val="00CC7578"/>
    <w:rsid w:val="00D04D18"/>
    <w:rsid w:val="00D10ECF"/>
    <w:rsid w:val="00D30F80"/>
    <w:rsid w:val="00D361FD"/>
    <w:rsid w:val="00D40322"/>
    <w:rsid w:val="00D423A2"/>
    <w:rsid w:val="00D44E26"/>
    <w:rsid w:val="00D5046A"/>
    <w:rsid w:val="00D520D8"/>
    <w:rsid w:val="00D551DC"/>
    <w:rsid w:val="00D63AC2"/>
    <w:rsid w:val="00D6708C"/>
    <w:rsid w:val="00D7383B"/>
    <w:rsid w:val="00D7788A"/>
    <w:rsid w:val="00D95304"/>
    <w:rsid w:val="00D955A9"/>
    <w:rsid w:val="00DA231B"/>
    <w:rsid w:val="00DA7CAF"/>
    <w:rsid w:val="00DB19B9"/>
    <w:rsid w:val="00DB63E1"/>
    <w:rsid w:val="00DC39FC"/>
    <w:rsid w:val="00DC40E9"/>
    <w:rsid w:val="00DD4A39"/>
    <w:rsid w:val="00DE102D"/>
    <w:rsid w:val="00DF0C53"/>
    <w:rsid w:val="00DF5254"/>
    <w:rsid w:val="00E02524"/>
    <w:rsid w:val="00E16408"/>
    <w:rsid w:val="00E20894"/>
    <w:rsid w:val="00E245AB"/>
    <w:rsid w:val="00E2764C"/>
    <w:rsid w:val="00E27F2E"/>
    <w:rsid w:val="00E323B5"/>
    <w:rsid w:val="00E50AFE"/>
    <w:rsid w:val="00E66594"/>
    <w:rsid w:val="00E738AC"/>
    <w:rsid w:val="00E75C92"/>
    <w:rsid w:val="00E76CA7"/>
    <w:rsid w:val="00E771DC"/>
    <w:rsid w:val="00E8772A"/>
    <w:rsid w:val="00E90F6B"/>
    <w:rsid w:val="00E92C27"/>
    <w:rsid w:val="00E94633"/>
    <w:rsid w:val="00E94D98"/>
    <w:rsid w:val="00EA0E3D"/>
    <w:rsid w:val="00EA3216"/>
    <w:rsid w:val="00EB197E"/>
    <w:rsid w:val="00EC15EF"/>
    <w:rsid w:val="00EC38A7"/>
    <w:rsid w:val="00EC541D"/>
    <w:rsid w:val="00ED6139"/>
    <w:rsid w:val="00EE1AA8"/>
    <w:rsid w:val="00EE3400"/>
    <w:rsid w:val="00EE3BE7"/>
    <w:rsid w:val="00F02F66"/>
    <w:rsid w:val="00F07A0D"/>
    <w:rsid w:val="00F1313F"/>
    <w:rsid w:val="00F23FEA"/>
    <w:rsid w:val="00F31EDC"/>
    <w:rsid w:val="00F43F75"/>
    <w:rsid w:val="00F462B3"/>
    <w:rsid w:val="00F465CD"/>
    <w:rsid w:val="00F5664F"/>
    <w:rsid w:val="00F615E2"/>
    <w:rsid w:val="00F666C4"/>
    <w:rsid w:val="00F73696"/>
    <w:rsid w:val="00F76AFC"/>
    <w:rsid w:val="00F82FBC"/>
    <w:rsid w:val="00F833EE"/>
    <w:rsid w:val="00F97A89"/>
    <w:rsid w:val="00FA47C0"/>
    <w:rsid w:val="00FB5DD1"/>
    <w:rsid w:val="00FB7F34"/>
    <w:rsid w:val="00FC2B5D"/>
    <w:rsid w:val="00FC3694"/>
    <w:rsid w:val="00FF1449"/>
    <w:rsid w:val="00FF23F5"/>
    <w:rsid w:val="00FF52C6"/>
    <w:rsid w:val="00FF7963"/>
    <w:rsid w:val="09908A09"/>
    <w:rsid w:val="09FF11D9"/>
    <w:rsid w:val="0ACDE4AA"/>
    <w:rsid w:val="0C5B2295"/>
    <w:rsid w:val="0C66406A"/>
    <w:rsid w:val="11F13C84"/>
    <w:rsid w:val="13CFC91B"/>
    <w:rsid w:val="19A2EC2C"/>
    <w:rsid w:val="1AC2F778"/>
    <w:rsid w:val="1CB78256"/>
    <w:rsid w:val="2035D652"/>
    <w:rsid w:val="2859CA1B"/>
    <w:rsid w:val="3054AC8C"/>
    <w:rsid w:val="31E4E861"/>
    <w:rsid w:val="32A4F9CF"/>
    <w:rsid w:val="356CEDFD"/>
    <w:rsid w:val="56931D83"/>
    <w:rsid w:val="605533EB"/>
    <w:rsid w:val="69614A15"/>
    <w:rsid w:val="7667BB57"/>
    <w:rsid w:val="7BB183BC"/>
    <w:rsid w:val="7E67ECA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37F817F0-35CC-4005-8C66-7348C5D86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C541D"/>
    <w:rPr>
      <w:rFonts w:ascii="Geomanist Light" w:hAnsi="Geomanist Light"/>
      <w:lang w:val="es-ES"/>
    </w:rPr>
  </w:style>
  <w:style w:type="paragraph" w:styleId="Appelnotedebasde" w:customStyle="1">
    <w:name w:val="Appel note de bas de..."/>
    <w:basedOn w:val="Normal"/>
    <w:link w:val="Refdenotaalpie"/>
    <w:uiPriority w:val="99"/>
    <w:rsid w:val="00874C2D"/>
    <w:pPr>
      <w:spacing w:line="240" w:lineRule="exact"/>
    </w:pPr>
    <w:rPr>
      <w:vertAlign w:val="superscript"/>
    </w:rPr>
  </w:style>
  <w:style w:type="character" w:styleId="baj" w:customStyle="1">
    <w:name w:val="b_aj"/>
    <w:basedOn w:val="Fuentedeprrafopredeter"/>
    <w:rsid w:val="00EE3400"/>
  </w:style>
  <w:style w:type="character" w:styleId="NormalWebCar" w:customStyle="1">
    <w:name w:val="Normal (Web) Car"/>
    <w:link w:val="NormalWeb"/>
    <w:uiPriority w:val="99"/>
    <w:locked/>
    <w:rsid w:val="00EE3400"/>
    <w:rPr>
      <w:rFonts w:ascii="Times New Roman" w:hAnsi="Times New Roman" w:eastAsia="Times New Roman" w:cs="Times New Roman"/>
      <w:sz w:val="24"/>
      <w:szCs w:val="24"/>
      <w:lang w:eastAsia="es-CO"/>
    </w:rPr>
  </w:style>
  <w:style w:type="table" w:styleId="Tablaconcuadrcula1" w:customStyle="1">
    <w:name w:val="Tabla con cuadrícula1"/>
    <w:basedOn w:val="Tablanormal"/>
    <w:next w:val="Tablaconcuadrcula"/>
    <w:uiPriority w:val="39"/>
    <w:qFormat/>
    <w:rsid w:val="008F1C48"/>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90925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61095488">
      <w:bodyDiv w:val="1"/>
      <w:marLeft w:val="0"/>
      <w:marRight w:val="0"/>
      <w:marTop w:val="0"/>
      <w:marBottom w:val="0"/>
      <w:divBdr>
        <w:top w:val="none" w:sz="0" w:space="0" w:color="auto"/>
        <w:left w:val="none" w:sz="0" w:space="0" w:color="auto"/>
        <w:bottom w:val="none" w:sz="0" w:space="0" w:color="auto"/>
        <w:right w:val="none" w:sz="0" w:space="0" w:color="auto"/>
      </w:divBdr>
    </w:div>
    <w:div w:id="914047899">
      <w:bodyDiv w:val="1"/>
      <w:marLeft w:val="0"/>
      <w:marRight w:val="0"/>
      <w:marTop w:val="0"/>
      <w:marBottom w:val="0"/>
      <w:divBdr>
        <w:top w:val="none" w:sz="0" w:space="0" w:color="auto"/>
        <w:left w:val="none" w:sz="0" w:space="0" w:color="auto"/>
        <w:bottom w:val="none" w:sz="0" w:space="0" w:color="auto"/>
        <w:right w:val="none" w:sz="0" w:space="0" w:color="auto"/>
      </w:divBdr>
    </w:div>
    <w:div w:id="1046294878">
      <w:bodyDiv w:val="1"/>
      <w:marLeft w:val="0"/>
      <w:marRight w:val="0"/>
      <w:marTop w:val="0"/>
      <w:marBottom w:val="0"/>
      <w:divBdr>
        <w:top w:val="none" w:sz="0" w:space="0" w:color="auto"/>
        <w:left w:val="none" w:sz="0" w:space="0" w:color="auto"/>
        <w:bottom w:val="none" w:sz="0" w:space="0" w:color="auto"/>
        <w:right w:val="none" w:sz="0" w:space="0" w:color="auto"/>
      </w:divBdr>
    </w:div>
    <w:div w:id="1110204288">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5447238">
      <w:bodyDiv w:val="1"/>
      <w:marLeft w:val="0"/>
      <w:marRight w:val="0"/>
      <w:marTop w:val="0"/>
      <w:marBottom w:val="0"/>
      <w:divBdr>
        <w:top w:val="none" w:sz="0" w:space="0" w:color="auto"/>
        <w:left w:val="none" w:sz="0" w:space="0" w:color="auto"/>
        <w:bottom w:val="none" w:sz="0" w:space="0" w:color="auto"/>
        <w:right w:val="none" w:sz="0" w:space="0" w:color="auto"/>
      </w:divBdr>
    </w:div>
    <w:div w:id="1444575298">
      <w:bodyDiv w:val="1"/>
      <w:marLeft w:val="0"/>
      <w:marRight w:val="0"/>
      <w:marTop w:val="0"/>
      <w:marBottom w:val="0"/>
      <w:divBdr>
        <w:top w:val="none" w:sz="0" w:space="0" w:color="auto"/>
        <w:left w:val="none" w:sz="0" w:space="0" w:color="auto"/>
        <w:bottom w:val="none" w:sz="0" w:space="0" w:color="auto"/>
        <w:right w:val="none" w:sz="0" w:space="0" w:color="auto"/>
      </w:divBdr>
    </w:div>
    <w:div w:id="1897084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colombiacompra.gov.co/archivos/circular/circular-externa-006-de-2025" TargetMode="External" Id="rId13" /><Relationship Type="http://schemas.openxmlformats.org/officeDocument/2006/relationships/hyperlink" Target="https://forms.office.com/r/pPHyWVs2SZ" TargetMode="External" Id="rId18" /><Relationship Type="http://schemas.openxmlformats.org/officeDocument/2006/relationships/customXml" Target="../customXml/item3.xml" Id="rId3" /><Relationship Type="http://schemas.openxmlformats.org/officeDocument/2006/relationships/footer" Target="footer1.xml" Id="rId21" /><Relationship Type="http://schemas.openxmlformats.org/officeDocument/2006/relationships/settings" Target="settings.xml" Id="rId7" /><Relationship Type="http://schemas.openxmlformats.org/officeDocument/2006/relationships/hyperlink" Target="mailto:dawer.rivera@gmail.com" TargetMode="External" Id="rId12" /><Relationship Type="http://schemas.openxmlformats.org/officeDocument/2006/relationships/hyperlink" Target="https://www.colombiacompra.gov.co/pqrsd/informacion-importante-antes-de-formular-una-pqrsd" TargetMode="External" Id="rId17" /><Relationship Type="http://schemas.openxmlformats.org/officeDocument/2006/relationships/customXml" Target="../customXml/item2.xml" Id="rId2" /><Relationship Type="http://schemas.openxmlformats.org/officeDocument/2006/relationships/hyperlink" Target="mailto:ventanilladeradicacion@colombiacompra.gov.co" TargetMode="External" Id="rId16" /><Relationship Type="http://schemas.openxmlformats.org/officeDocument/2006/relationships/header" Target="head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2.png" Id="rId11" /><Relationship Type="http://schemas.openxmlformats.org/officeDocument/2006/relationships/numbering" Target="numbering.xml" Id="rId5" /><Relationship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 Id="rId15" /><Relationship Type="http://schemas.openxmlformats.org/officeDocument/2006/relationships/theme" Target="theme/theme1.xml" Id="rId23" /><Relationship Type="http://schemas.openxmlformats.org/officeDocument/2006/relationships/endnotes" Target="endnotes.xml" Id="rId10" /><Relationship Type="http://schemas.openxmlformats.org/officeDocument/2006/relationships/image" Target="media/image3.png"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relatoria.colombiacompra.gov.co/busqueda/conceptos" TargetMode="External" Id="rId14" /><Relationship Type="http://schemas.openxmlformats.org/officeDocument/2006/relationships/fontTable" Target="fontTable.xml" Id="rId22" /></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B9F17D-4114-48C6-8719-DB7DFD106BDD}"/>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purl.org/dc/terms/"/>
    <ds:schemaRef ds:uri="http://www.w3.org/XML/1998/namespace"/>
    <ds:schemaRef ds:uri="7fd6426d-c0fc-47b5-a6b8-86becfa1e099"/>
    <ds:schemaRef ds:uri="http://purl.org/dc/elements/1.1/"/>
    <ds:schemaRef ds:uri="http://schemas.openxmlformats.org/package/2006/metadata/core-properties"/>
    <ds:schemaRef ds:uri="http://schemas.microsoft.com/office/2006/documentManagement/types"/>
    <ds:schemaRef ds:uri="8ae15d26-076e-464e-81a7-6f76a0fb3917"/>
    <ds:schemaRef ds:uri="http://schemas.microsoft.com/office/infopath/2007/PartnerControls"/>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F77E0436-94A5-441F-BBC1-2377B75CABD1}">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Ana Maria Ortiz Ballesteros</lastModifiedBy>
  <revision>70</revision>
  <lastPrinted>2023-01-10T21:18:00.0000000Z</lastPrinted>
  <dcterms:created xsi:type="dcterms:W3CDTF">2025-11-21T21:40:00.0000000Z</dcterms:created>
  <dcterms:modified xsi:type="dcterms:W3CDTF">2025-11-21T21:47:27.1397517Z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