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1FBBF5" w14:textId="77777777" w:rsidR="00DE500F" w:rsidRPr="00DE500F" w:rsidRDefault="00DE500F" w:rsidP="00DE500F">
      <w:pPr>
        <w:spacing w:after="0" w:line="240" w:lineRule="auto"/>
        <w:jc w:val="both"/>
        <w:rPr>
          <w:rFonts w:ascii="Verdana" w:hAnsi="Verdana"/>
          <w:b/>
          <w:bCs/>
          <w:lang w:val="es-ES"/>
        </w:rPr>
      </w:pPr>
      <w:bookmarkStart w:id="0" w:name="_Hlk143780582"/>
      <w:r w:rsidRPr="00DE500F">
        <w:rPr>
          <w:rFonts w:ascii="Verdana" w:hAnsi="Verdana"/>
          <w:b/>
          <w:bCs/>
          <w:lang w:val="es-ES"/>
        </w:rPr>
        <w:t xml:space="preserve">GARANTÍAS – Contratación estatal – Constitución de garantías – Finalidad – Cumplimiento – Obligaciones contractuales </w:t>
      </w:r>
    </w:p>
    <w:p w14:paraId="47663F4F" w14:textId="637376E3" w:rsidR="00DE500F" w:rsidRDefault="00DE500F" w:rsidP="00DE500F">
      <w:pPr>
        <w:spacing w:after="0" w:line="240" w:lineRule="auto"/>
        <w:jc w:val="both"/>
        <w:rPr>
          <w:rFonts w:ascii="Verdana" w:hAnsi="Verdana"/>
          <w:b/>
          <w:bCs/>
          <w:lang w:val="es-ES"/>
        </w:rPr>
      </w:pPr>
    </w:p>
    <w:p w14:paraId="5FA4CF8F" w14:textId="32975FA5" w:rsidR="00DE500F" w:rsidRPr="00DE3A60" w:rsidRDefault="00DE500F" w:rsidP="00DE3A60">
      <w:pPr>
        <w:spacing w:after="0" w:line="240" w:lineRule="auto"/>
        <w:jc w:val="both"/>
        <w:rPr>
          <w:rFonts w:ascii="Verdana" w:hAnsi="Verdana"/>
          <w:bCs/>
          <w:sz w:val="20"/>
          <w:lang w:val="es-ES_tradnl"/>
        </w:rPr>
      </w:pPr>
      <w:r w:rsidRPr="00DE3A60">
        <w:rPr>
          <w:rFonts w:ascii="Verdana" w:hAnsi="Verdana"/>
          <w:bCs/>
          <w:sz w:val="20"/>
          <w:lang w:val="es-ES_tradnl"/>
        </w:rPr>
        <w:t xml:space="preserve">El Estatuto General de Contratación de la Administración Pública exige, por regla general, en los procesos de contratación pública </w:t>
      </w:r>
      <w:r w:rsidRPr="00DE3A60">
        <w:rPr>
          <w:rFonts w:ascii="Verdana" w:hAnsi="Verdana"/>
          <w:bCs/>
          <w:sz w:val="20"/>
          <w:lang w:val="es-ES"/>
        </w:rPr>
        <w:t>la constitución de garantías, ya sea en la etapa precontractual, contractual o postcontractual, con el fin de evitar o mitigar posibles riesgos</w:t>
      </w:r>
      <w:r w:rsidRPr="00DE3A60">
        <w:rPr>
          <w:rFonts w:ascii="Verdana" w:hAnsi="Verdana"/>
          <w:bCs/>
          <w:sz w:val="20"/>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743D1248" w14:textId="77777777" w:rsidR="00DE500F" w:rsidRPr="00DE500F" w:rsidRDefault="00DE500F" w:rsidP="00DE500F">
      <w:pPr>
        <w:spacing w:after="0" w:line="240" w:lineRule="auto"/>
        <w:jc w:val="both"/>
        <w:rPr>
          <w:rFonts w:ascii="Verdana" w:hAnsi="Verdana"/>
          <w:b/>
          <w:bCs/>
          <w:lang w:val="es-ES"/>
        </w:rPr>
      </w:pPr>
    </w:p>
    <w:p w14:paraId="46826BF7" w14:textId="77777777" w:rsidR="00DE500F" w:rsidRPr="00DE500F" w:rsidRDefault="00DE500F" w:rsidP="00DE500F">
      <w:pPr>
        <w:spacing w:after="0" w:line="240" w:lineRule="auto"/>
        <w:jc w:val="both"/>
        <w:rPr>
          <w:rFonts w:ascii="Verdana" w:hAnsi="Verdana"/>
          <w:b/>
          <w:bCs/>
          <w:lang w:val="es-ES"/>
        </w:rPr>
      </w:pPr>
      <w:r w:rsidRPr="00DE500F">
        <w:rPr>
          <w:rFonts w:ascii="Verdana" w:hAnsi="Verdana"/>
          <w:b/>
          <w:bCs/>
          <w:lang w:val="es-ES"/>
        </w:rPr>
        <w:t xml:space="preserve">GARANTÍA DE CUMPLIMIENTO – Amparos – Finalidad </w:t>
      </w:r>
    </w:p>
    <w:p w14:paraId="141F436D" w14:textId="31A914F8" w:rsidR="00DE500F" w:rsidRPr="00DE3A60" w:rsidRDefault="00DE500F" w:rsidP="00DE3A60">
      <w:pPr>
        <w:spacing w:after="0" w:line="240" w:lineRule="auto"/>
        <w:jc w:val="both"/>
        <w:rPr>
          <w:rFonts w:ascii="Verdana" w:hAnsi="Verdana"/>
          <w:bCs/>
          <w:sz w:val="20"/>
          <w:lang w:val="es-ES"/>
        </w:rPr>
      </w:pPr>
    </w:p>
    <w:p w14:paraId="1C1F3484" w14:textId="77777777" w:rsidR="00DE500F" w:rsidRPr="00DE3A60" w:rsidRDefault="00DE500F" w:rsidP="00DE3A60">
      <w:pPr>
        <w:spacing w:after="0" w:line="240" w:lineRule="auto"/>
        <w:jc w:val="both"/>
        <w:rPr>
          <w:rFonts w:ascii="Verdana" w:hAnsi="Verdana"/>
          <w:bCs/>
          <w:sz w:val="20"/>
        </w:rPr>
      </w:pPr>
      <w:r w:rsidRPr="00DE3A60">
        <w:rPr>
          <w:rFonts w:ascii="Verdana" w:hAnsi="Verdana"/>
          <w:bCs/>
          <w:sz w:val="20"/>
        </w:rPr>
        <w:t xml:space="preserve">El artículo 2.2.1.3.1.7 del Decreto 1082 de 2015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calidad del servicio; vii) la calidad y correcto funcionamiento de los bienes; y viii) los demás incumplimientos de las obligaciones que la entidad estatal considere deben ampararse. Esto además de la póliza de responsabilidad civil extracontractual en los contratos de obra, así en aquellos en que por su objeto o naturaleza se considere necesario con ocasión de los riesgos previstos en el negocio, de acuerdo con el artículo 2.2.1.2.3.1.8 </w:t>
      </w:r>
      <w:r w:rsidRPr="00DE3A60">
        <w:rPr>
          <w:rFonts w:ascii="Verdana" w:hAnsi="Verdana"/>
          <w:bCs/>
          <w:i/>
          <w:iCs/>
          <w:sz w:val="20"/>
        </w:rPr>
        <w:t>ibidem</w:t>
      </w:r>
      <w:r w:rsidRPr="00DE3A60">
        <w:rPr>
          <w:rFonts w:ascii="Verdana" w:hAnsi="Verdana"/>
          <w:bCs/>
          <w:sz w:val="20"/>
        </w:rPr>
        <w:t xml:space="preserve">. </w:t>
      </w:r>
    </w:p>
    <w:p w14:paraId="3E962B63" w14:textId="77777777" w:rsidR="00DE500F" w:rsidRPr="00DE500F" w:rsidRDefault="00DE500F" w:rsidP="00DE500F">
      <w:pPr>
        <w:spacing w:after="0" w:line="240" w:lineRule="auto"/>
        <w:jc w:val="both"/>
        <w:rPr>
          <w:rFonts w:ascii="Verdana" w:hAnsi="Verdana"/>
          <w:b/>
          <w:bCs/>
        </w:rPr>
      </w:pPr>
    </w:p>
    <w:p w14:paraId="24EB6B85" w14:textId="77777777" w:rsidR="00DE500F" w:rsidRPr="00DE500F" w:rsidRDefault="00DE500F" w:rsidP="00DE500F">
      <w:pPr>
        <w:spacing w:after="0" w:line="240" w:lineRule="auto"/>
        <w:jc w:val="both"/>
        <w:rPr>
          <w:rFonts w:ascii="Verdana" w:hAnsi="Verdana"/>
          <w:b/>
          <w:bCs/>
          <w:lang w:val="es-ES"/>
        </w:rPr>
      </w:pPr>
      <w:r w:rsidRPr="00DE500F">
        <w:rPr>
          <w:rFonts w:ascii="Verdana" w:hAnsi="Verdana"/>
          <w:b/>
          <w:bCs/>
          <w:lang w:val="es-ES"/>
        </w:rPr>
        <w:t xml:space="preserve">GARANTÍA DE PAGOS SALARIOS, PRESTACIONES SOCIALES E INDEMNIZACIONES LABORALES – Finalidad – Cobertura – Suficiencia </w:t>
      </w:r>
    </w:p>
    <w:p w14:paraId="68356674" w14:textId="3BB3069B" w:rsidR="00DE500F" w:rsidRDefault="00DE500F" w:rsidP="00DE500F">
      <w:pPr>
        <w:spacing w:after="0" w:line="240" w:lineRule="auto"/>
        <w:jc w:val="both"/>
        <w:rPr>
          <w:rFonts w:ascii="Verdana" w:hAnsi="Verdana"/>
          <w:b/>
          <w:bCs/>
          <w:lang w:val="es-ES"/>
        </w:rPr>
      </w:pPr>
    </w:p>
    <w:p w14:paraId="1E644047" w14:textId="0F11048A" w:rsidR="00DE500F" w:rsidRDefault="00DE500F" w:rsidP="00DE500F">
      <w:pPr>
        <w:spacing w:after="0" w:line="240" w:lineRule="auto"/>
        <w:jc w:val="both"/>
        <w:rPr>
          <w:rFonts w:ascii="Verdana" w:hAnsi="Verdana"/>
          <w:bCs/>
          <w:sz w:val="20"/>
          <w:lang w:val="es-ES" w:bidi="es-ES"/>
        </w:rPr>
      </w:pPr>
      <w:r w:rsidRPr="00DE3A60">
        <w:rPr>
          <w:rFonts w:ascii="Verdana" w:hAnsi="Verdana"/>
          <w:bCs/>
          <w:sz w:val="20"/>
        </w:rPr>
        <w:t>Teniendo en cuenta esta precisión, el A</w:t>
      </w:r>
      <w:r w:rsidRPr="00DE3A60">
        <w:rPr>
          <w:rFonts w:ascii="Verdana" w:hAnsi="Verdana"/>
          <w:bCs/>
          <w:sz w:val="20"/>
          <w:lang w:val="es-ES" w:bidi="es-ES"/>
        </w:rPr>
        <w:t>mparo de Pago de Salarios, Prestaciones Sociales e Indemnizaciones Laborales, tiene como finalidad proteger a la entidad pública asegurada frente a los perjuicios que puedan derivarse del incumplimiento, por parte del contratista garantizado, de sus obligaciones laborales respecto al personal vinculado para la ejecución del contrato. La aseguradora, en este contexto, está obligada a indemnizar a la entidad en la medida en que dicho incumplimiento afecte directamente su patrimonio.</w:t>
      </w:r>
    </w:p>
    <w:p w14:paraId="1AE7E9C4" w14:textId="77777777" w:rsidR="00DE3A60" w:rsidRPr="00DE3A60" w:rsidRDefault="00DE3A60" w:rsidP="00DE500F">
      <w:pPr>
        <w:spacing w:after="0" w:line="240" w:lineRule="auto"/>
        <w:jc w:val="both"/>
        <w:rPr>
          <w:rFonts w:ascii="Verdana" w:hAnsi="Verdana"/>
          <w:bCs/>
          <w:sz w:val="20"/>
          <w:lang w:val="es-ES" w:bidi="es-ES"/>
        </w:rPr>
      </w:pPr>
    </w:p>
    <w:p w14:paraId="0D93A276" w14:textId="56956B23" w:rsidR="00DE500F" w:rsidRPr="00DE3A60" w:rsidRDefault="00DE500F" w:rsidP="00DE3A60">
      <w:pPr>
        <w:spacing w:after="0" w:line="240" w:lineRule="auto"/>
        <w:jc w:val="both"/>
        <w:rPr>
          <w:rFonts w:ascii="Verdana" w:hAnsi="Verdana"/>
          <w:bCs/>
          <w:sz w:val="20"/>
        </w:rPr>
      </w:pPr>
      <w:r w:rsidRPr="00DE3A60">
        <w:rPr>
          <w:rFonts w:ascii="Verdana" w:hAnsi="Verdana"/>
          <w:bCs/>
          <w:sz w:val="20"/>
          <w:lang w:val="es-ES" w:bidi="es-ES"/>
        </w:rPr>
        <w:t>No obstante, el amparo no puede utilizarse para cubrir las obligaciones laborales incumplidas por el contratista si los trabajadores afectados no presentan reclamaciones contra la administración pública. Esto se debe a lo establecido en el artículo 34 del Código Sustantivo del Trabajo, que limita la responsabilidad solidaria del contratante estatal únicamente a los casos en que los empleados del contratista efectivamente dirijan sus reclamaciones hacia la entidad pública.</w:t>
      </w:r>
      <w:r w:rsidRPr="00DE3A60">
        <w:rPr>
          <w:rFonts w:ascii="Verdana" w:hAnsi="Verdana"/>
          <w:bCs/>
          <w:sz w:val="20"/>
        </w:rPr>
        <w:t xml:space="preserve"> Al respecto, PINO RICCI, expresó que en vigencia del Decreto 679 de 1994, este amparo “se exigirá en todos los contratos de prestación de servicios y de construcción de obra en los cuales, de acuerdo con el contrato, el </w:t>
      </w:r>
      <w:r w:rsidRPr="00DE3A60">
        <w:rPr>
          <w:rFonts w:ascii="Verdana" w:hAnsi="Verdana"/>
          <w:bCs/>
          <w:sz w:val="20"/>
        </w:rPr>
        <w:lastRenderedPageBreak/>
        <w:t>contratista emplee terceras personas para el cumplimiento de sus obligaciones, así como en los demás en que la entidad estatal lo considere necesario en virtud del artículo 34 del Código Sustantivo del Trabajo”</w:t>
      </w:r>
      <w:r w:rsidR="00DE3A60">
        <w:rPr>
          <w:rFonts w:ascii="Verdana" w:hAnsi="Verdana"/>
          <w:bCs/>
          <w:sz w:val="20"/>
          <w:vertAlign w:val="superscript"/>
        </w:rPr>
        <w:t>.</w:t>
      </w:r>
    </w:p>
    <w:p w14:paraId="73CC4076" w14:textId="77777777" w:rsidR="00DE500F" w:rsidRPr="00DE3A60" w:rsidRDefault="00DE500F" w:rsidP="00DE500F">
      <w:pPr>
        <w:spacing w:after="0" w:line="240" w:lineRule="auto"/>
        <w:jc w:val="both"/>
        <w:rPr>
          <w:rFonts w:ascii="Verdana" w:hAnsi="Verdana"/>
          <w:bCs/>
          <w:sz w:val="20"/>
        </w:rPr>
      </w:pPr>
    </w:p>
    <w:p w14:paraId="5E114418" w14:textId="5B498993" w:rsidR="00DE500F" w:rsidRDefault="00DE500F" w:rsidP="00DE500F">
      <w:pPr>
        <w:spacing w:after="0" w:line="240" w:lineRule="auto"/>
        <w:jc w:val="both"/>
        <w:rPr>
          <w:rFonts w:ascii="Verdana" w:hAnsi="Verdana"/>
          <w:bCs/>
          <w:sz w:val="20"/>
        </w:rPr>
      </w:pPr>
      <w:r w:rsidRPr="00DE3A60">
        <w:rPr>
          <w:rFonts w:ascii="Verdana" w:hAnsi="Verdana"/>
          <w:bCs/>
          <w:sz w:val="20"/>
          <w:lang w:val="es-ES" w:bidi="es-ES"/>
        </w:rPr>
        <w:t xml:space="preserve">En torno a la suficiencia de dicho amparo, el artículo </w:t>
      </w:r>
      <w:r w:rsidRPr="00DE3A60">
        <w:rPr>
          <w:rFonts w:ascii="Verdana" w:hAnsi="Verdana"/>
          <w:bCs/>
          <w:sz w:val="20"/>
        </w:rPr>
        <w:t>2.2.1.2.3.1.13. del Decreto 1082 de 2015 dispone: “</w:t>
      </w:r>
      <w:r w:rsidRPr="00DE3A60">
        <w:rPr>
          <w:rFonts w:ascii="Verdana" w:hAnsi="Verdana"/>
          <w:bCs/>
          <w:iCs/>
          <w:sz w:val="20"/>
        </w:rPr>
        <w:t>[…]</w:t>
      </w:r>
      <w:r w:rsidRPr="00DE3A60">
        <w:rPr>
          <w:rFonts w:ascii="Verdana" w:hAnsi="Verdana"/>
          <w:bCs/>
          <w:i/>
          <w:iCs/>
          <w:sz w:val="20"/>
        </w:rPr>
        <w:t xml:space="preserve"> </w:t>
      </w:r>
      <w:r w:rsidRPr="00DE3A60">
        <w:rPr>
          <w:rFonts w:ascii="Verdana" w:hAnsi="Verdana"/>
          <w:bCs/>
          <w:sz w:val="20"/>
        </w:rPr>
        <w:t>Esta garantía debe estar vigente por el plazo del contrato y tres (3) años más. El valor de la garantía no puede ser inferior al cinco por ciento (5%) del valor total del contrato”. En efecto, la vigencia del amparo de pago de salarios y prestaciones sociales es consistente con el término de prescripción de las acciones laborales.</w:t>
      </w:r>
    </w:p>
    <w:p w14:paraId="2F2FBCDF" w14:textId="77777777" w:rsidR="00DE3A60" w:rsidRPr="00DE3A60" w:rsidRDefault="00DE3A60" w:rsidP="00DE500F">
      <w:pPr>
        <w:spacing w:after="0" w:line="240" w:lineRule="auto"/>
        <w:jc w:val="both"/>
        <w:rPr>
          <w:rFonts w:ascii="Verdana" w:hAnsi="Verdana"/>
          <w:bCs/>
          <w:sz w:val="20"/>
          <w:lang w:val="es-ES"/>
        </w:rPr>
      </w:pPr>
    </w:p>
    <w:p w14:paraId="0654108E" w14:textId="2317E533" w:rsidR="00DE500F" w:rsidRPr="00DE500F" w:rsidRDefault="00DE3A60" w:rsidP="00DE500F">
      <w:pPr>
        <w:spacing w:after="0" w:line="240" w:lineRule="auto"/>
        <w:jc w:val="both"/>
        <w:rPr>
          <w:rFonts w:ascii="Verdana" w:hAnsi="Verdana"/>
          <w:b/>
          <w:bCs/>
          <w:lang w:val="es-ES"/>
        </w:rPr>
      </w:pPr>
      <w:r>
        <w:rPr>
          <w:rFonts w:ascii="Verdana" w:hAnsi="Verdana"/>
          <w:b/>
          <w:bCs/>
          <w:lang w:val="es-ES"/>
        </w:rPr>
        <w:t>GARANTÍA DE PAGO</w:t>
      </w:r>
      <w:r w:rsidR="00DE500F" w:rsidRPr="00DE500F">
        <w:rPr>
          <w:rFonts w:ascii="Verdana" w:hAnsi="Verdana"/>
          <w:b/>
          <w:bCs/>
          <w:lang w:val="es-ES"/>
        </w:rPr>
        <w:t xml:space="preserve"> DE SALARIOS, PRESTACIONES SOCIALES E INDEMNIZACIONES LABORALES – Término de Cobertura.  </w:t>
      </w:r>
    </w:p>
    <w:p w14:paraId="41310C69" w14:textId="77777777" w:rsidR="00050302" w:rsidRPr="00DE500F" w:rsidRDefault="00050302" w:rsidP="00050302">
      <w:pPr>
        <w:spacing w:after="0"/>
        <w:rPr>
          <w:rFonts w:ascii="Verdana" w:hAnsi="Verdana"/>
          <w:lang w:val="es-ES"/>
        </w:rPr>
      </w:pPr>
    </w:p>
    <w:p w14:paraId="03830A15" w14:textId="77777777" w:rsidR="00DE3A60" w:rsidRDefault="00DE3A60" w:rsidP="00DE3A60">
      <w:pPr>
        <w:spacing w:after="0" w:line="240" w:lineRule="auto"/>
        <w:jc w:val="both"/>
        <w:rPr>
          <w:rFonts w:ascii="Verdana" w:hAnsi="Verdana"/>
          <w:sz w:val="20"/>
        </w:rPr>
      </w:pPr>
      <w:r>
        <w:rPr>
          <w:rFonts w:ascii="Verdana" w:hAnsi="Verdana"/>
          <w:sz w:val="20"/>
        </w:rPr>
        <w:t xml:space="preserve">[…] </w:t>
      </w:r>
      <w:r w:rsidRPr="00DE3A60">
        <w:rPr>
          <w:rFonts w:ascii="Verdana" w:hAnsi="Verdana"/>
          <w:sz w:val="20"/>
        </w:rPr>
        <w:t xml:space="preserve">el momento desde el cual debe contarse la vigencia del amparo de pago de salarios, prestaciones sociales e indemnizaciones laborales corresponde al plazo del contrato más tres años adicionales, conforme lo establece el artículo 2.2.1.2.3.1.13 del Decreto 1082 de 2015. Esto significa que el conteo inicia desde la fecha de finalización estipulada en el contrato estatal, es decir, aquella pactada como término de ejecución contractual. Por tanto, no es procedente considerar como punto de partida para dicho plazo la fecha de liquidación bilateral del contrato, ni tampoco el vencimiento de otras garantías como la de cumplimiento. </w:t>
      </w:r>
    </w:p>
    <w:p w14:paraId="3EF13321" w14:textId="6940B476" w:rsidR="00DE3A60" w:rsidRPr="00DE3A60" w:rsidRDefault="00DE3A60" w:rsidP="00DE3A60">
      <w:pPr>
        <w:spacing w:after="0" w:line="240" w:lineRule="auto"/>
        <w:jc w:val="both"/>
        <w:rPr>
          <w:rFonts w:ascii="Verdana" w:hAnsi="Verdana"/>
          <w:sz w:val="20"/>
        </w:rPr>
      </w:pPr>
      <w:r w:rsidRPr="00DE3A60">
        <w:rPr>
          <w:rFonts w:ascii="Verdana" w:hAnsi="Verdana"/>
          <w:sz w:val="20"/>
        </w:rPr>
        <w:t xml:space="preserve"> </w:t>
      </w:r>
    </w:p>
    <w:p w14:paraId="46433F92" w14:textId="77777777" w:rsidR="00DE3A60" w:rsidRPr="00DE3A60" w:rsidRDefault="00DE3A60" w:rsidP="00DE3A60">
      <w:pPr>
        <w:spacing w:after="0" w:line="240" w:lineRule="auto"/>
        <w:jc w:val="both"/>
        <w:rPr>
          <w:rFonts w:ascii="Verdana" w:hAnsi="Verdana"/>
          <w:sz w:val="20"/>
        </w:rPr>
      </w:pPr>
      <w:r w:rsidRPr="00DE3A60">
        <w:rPr>
          <w:rFonts w:ascii="Verdana" w:hAnsi="Verdana"/>
          <w:sz w:val="20"/>
        </w:rPr>
        <w:t>Esta precisión busca evitar confusiones y asegurar que los derechos laborales de los trabajadores estén protegidos durante un periodo razonable posterior a la ejecución contractual. El fundamento de este plazo adicional es garantizar que, si surgen reclamaciones laborales después de terminado el contrato, exista un respaldo económico para atenderlas. De este modo, se refuerza la responsabilidad del contratista y se protege a los trabajadores vinculados al contrato, sin depender de otros momentos contractuales, como son la liquidación o el vencimiento de otros amparos.</w:t>
      </w:r>
    </w:p>
    <w:p w14:paraId="56C4F344" w14:textId="70BDC882" w:rsidR="00DE3A60" w:rsidRDefault="00DE3A60" w:rsidP="00050302">
      <w:pPr>
        <w:spacing w:after="0"/>
        <w:rPr>
          <w:rFonts w:ascii="Verdana" w:hAnsi="Verdana"/>
        </w:rPr>
      </w:pPr>
    </w:p>
    <w:p w14:paraId="3BC22740" w14:textId="0CB0793B" w:rsidR="00DE3A60" w:rsidRDefault="00DE3A60" w:rsidP="00050302">
      <w:pPr>
        <w:spacing w:after="0"/>
        <w:rPr>
          <w:rFonts w:ascii="Verdana" w:hAnsi="Verdana"/>
        </w:rPr>
      </w:pPr>
    </w:p>
    <w:p w14:paraId="69279137" w14:textId="11934851" w:rsidR="00DE3A60" w:rsidRDefault="00DE3A60" w:rsidP="00050302">
      <w:pPr>
        <w:spacing w:after="0"/>
        <w:rPr>
          <w:rFonts w:ascii="Verdana" w:hAnsi="Verdana"/>
        </w:rPr>
      </w:pPr>
    </w:p>
    <w:p w14:paraId="5A4A07AB" w14:textId="6CB8B06E" w:rsidR="00DE3A60" w:rsidRDefault="00DE3A60" w:rsidP="00050302">
      <w:pPr>
        <w:spacing w:after="0"/>
        <w:rPr>
          <w:rFonts w:ascii="Verdana" w:hAnsi="Verdana"/>
        </w:rPr>
      </w:pPr>
    </w:p>
    <w:p w14:paraId="045556BD" w14:textId="7E9BA0AF" w:rsidR="00DE3A60" w:rsidRDefault="00DE3A60" w:rsidP="00050302">
      <w:pPr>
        <w:spacing w:after="0"/>
        <w:rPr>
          <w:rFonts w:ascii="Verdana" w:hAnsi="Verdana"/>
        </w:rPr>
      </w:pPr>
    </w:p>
    <w:p w14:paraId="3370561B" w14:textId="758AAFAB" w:rsidR="00DE3A60" w:rsidRDefault="00DE3A60" w:rsidP="00050302">
      <w:pPr>
        <w:spacing w:after="0"/>
        <w:rPr>
          <w:rFonts w:ascii="Verdana" w:hAnsi="Verdana"/>
        </w:rPr>
      </w:pPr>
    </w:p>
    <w:p w14:paraId="64821C52" w14:textId="79AB15CA" w:rsidR="00DE3A60" w:rsidRDefault="00DE3A60" w:rsidP="00050302">
      <w:pPr>
        <w:spacing w:after="0"/>
        <w:rPr>
          <w:rFonts w:ascii="Verdana" w:hAnsi="Verdana"/>
        </w:rPr>
      </w:pPr>
    </w:p>
    <w:p w14:paraId="336FEED4" w14:textId="7F2BA0EB" w:rsidR="00DE3A60" w:rsidRDefault="00DE3A60" w:rsidP="00050302">
      <w:pPr>
        <w:spacing w:after="0"/>
        <w:rPr>
          <w:rFonts w:ascii="Verdana" w:hAnsi="Verdana"/>
        </w:rPr>
      </w:pPr>
    </w:p>
    <w:p w14:paraId="47C95746" w14:textId="6A0D621B" w:rsidR="00DE3A60" w:rsidRDefault="00DE3A60" w:rsidP="00050302">
      <w:pPr>
        <w:spacing w:after="0"/>
        <w:rPr>
          <w:rFonts w:ascii="Verdana" w:hAnsi="Verdana"/>
        </w:rPr>
      </w:pPr>
    </w:p>
    <w:p w14:paraId="1E79827F" w14:textId="02A4F82A" w:rsidR="00DE3A60" w:rsidRDefault="00DE3A60" w:rsidP="00050302">
      <w:pPr>
        <w:spacing w:after="0"/>
        <w:rPr>
          <w:rFonts w:ascii="Verdana" w:hAnsi="Verdana"/>
        </w:rPr>
      </w:pPr>
    </w:p>
    <w:p w14:paraId="0DD1196F" w14:textId="4B66AD1A" w:rsidR="00DE3A60" w:rsidRDefault="00DE3A60" w:rsidP="00050302">
      <w:pPr>
        <w:spacing w:after="0"/>
        <w:rPr>
          <w:rFonts w:ascii="Verdana" w:hAnsi="Verdana"/>
        </w:rPr>
      </w:pPr>
    </w:p>
    <w:p w14:paraId="054E28F5" w14:textId="2C4314E3" w:rsidR="00DE3A60" w:rsidRDefault="00DE3A60" w:rsidP="00050302">
      <w:pPr>
        <w:spacing w:after="0"/>
        <w:rPr>
          <w:rFonts w:ascii="Verdana" w:hAnsi="Verdana"/>
        </w:rPr>
      </w:pPr>
    </w:p>
    <w:p w14:paraId="11B5FC2D" w14:textId="63F35B43" w:rsidR="00050302" w:rsidRPr="00DE2F06" w:rsidRDefault="00DE3A60" w:rsidP="00050302">
      <w:pPr>
        <w:spacing w:after="0"/>
        <w:rPr>
          <w:rFonts w:ascii="Verdana" w:hAnsi="Verdana"/>
        </w:rPr>
      </w:pPr>
      <w:r w:rsidRPr="00DE3A60">
        <w:rPr>
          <w:rFonts w:ascii="Verdana" w:hAnsi="Verdana"/>
          <w:noProof/>
          <w:lang w:val="en-US"/>
        </w:rPr>
        <w:lastRenderedPageBreak/>
        <w:drawing>
          <wp:anchor distT="0" distB="0" distL="114300" distR="114300" simplePos="0" relativeHeight="251658240" behindDoc="0" locked="0" layoutInCell="1" allowOverlap="1" wp14:anchorId="6B57EB69" wp14:editId="1B3E8D28">
            <wp:simplePos x="0" y="0"/>
            <wp:positionH relativeFrom="margin">
              <wp:align>right</wp:align>
            </wp:positionH>
            <wp:positionV relativeFrom="paragraph">
              <wp:posOffset>226695</wp:posOffset>
            </wp:positionV>
            <wp:extent cx="2885440" cy="796290"/>
            <wp:effectExtent l="0" t="0" r="0" b="381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5440" cy="796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0302" w:rsidRPr="0024624F">
        <w:rPr>
          <w:rFonts w:ascii="Verdana" w:hAnsi="Verdana"/>
        </w:rPr>
        <w:t xml:space="preserve">Bogotá D.C., </w:t>
      </w:r>
      <w:r w:rsidR="00DE500F">
        <w:rPr>
          <w:rFonts w:ascii="Verdana" w:hAnsi="Verdana"/>
        </w:rPr>
        <w:t>21 de noviembre de 2025</w:t>
      </w:r>
      <w:r w:rsidR="00050302" w:rsidRPr="000E2B93">
        <w:rPr>
          <w:rFonts w:ascii="Verdana" w:hAnsi="Verdana"/>
        </w:rPr>
        <w:tab/>
      </w:r>
      <w:r w:rsidR="00050302" w:rsidRPr="000E2B93">
        <w:rPr>
          <w:rFonts w:ascii="Verdana" w:hAnsi="Verdana"/>
        </w:rPr>
        <w:br/>
      </w:r>
    </w:p>
    <w:p w14:paraId="0D9810A2" w14:textId="46824114" w:rsidR="00050302" w:rsidRDefault="00050302" w:rsidP="00050302">
      <w:pPr>
        <w:spacing w:after="0" w:line="240" w:lineRule="auto"/>
        <w:rPr>
          <w:rFonts w:ascii="Verdana" w:hAnsi="Verdana"/>
        </w:rPr>
      </w:pPr>
    </w:p>
    <w:p w14:paraId="0E0764BA" w14:textId="77777777" w:rsidR="00DE3A60" w:rsidRPr="00DE2F06" w:rsidRDefault="00DE3A60" w:rsidP="00050302">
      <w:pPr>
        <w:spacing w:after="0" w:line="240" w:lineRule="auto"/>
        <w:rPr>
          <w:rFonts w:ascii="Verdana" w:hAnsi="Verdana"/>
        </w:rPr>
      </w:pPr>
    </w:p>
    <w:p w14:paraId="1DC2D8DE" w14:textId="77777777" w:rsidR="00050302" w:rsidRPr="00DE2F06" w:rsidRDefault="00050302" w:rsidP="00050302">
      <w:pPr>
        <w:spacing w:after="0" w:line="240" w:lineRule="auto"/>
        <w:rPr>
          <w:rFonts w:ascii="Verdana" w:eastAsia="Calibri" w:hAnsi="Verdana" w:cs="Times New Roman"/>
          <w:lang w:val="es-MX"/>
        </w:rPr>
      </w:pPr>
      <w:r w:rsidRPr="00DE2F06">
        <w:rPr>
          <w:rFonts w:ascii="Verdana" w:eastAsia="Calibri" w:hAnsi="Verdana" w:cs="Times New Roman"/>
          <w:lang w:val="es-MX"/>
        </w:rPr>
        <w:t>Señor</w:t>
      </w:r>
    </w:p>
    <w:p w14:paraId="57067119" w14:textId="1C81E92A" w:rsidR="00050302" w:rsidRPr="00DE2F06" w:rsidRDefault="00050302" w:rsidP="00050302">
      <w:pPr>
        <w:spacing w:after="0" w:line="240" w:lineRule="auto"/>
        <w:rPr>
          <w:rFonts w:ascii="Verdana" w:eastAsia="Calibri" w:hAnsi="Verdana" w:cs="Times New Roman"/>
          <w:b/>
        </w:rPr>
      </w:pPr>
      <w:r w:rsidRPr="00DE2F06">
        <w:rPr>
          <w:rFonts w:ascii="Verdana" w:eastAsia="Calibri" w:hAnsi="Verdana" w:cs="Times New Roman"/>
          <w:b/>
        </w:rPr>
        <w:t>Andrés Felipe Guzmán Rojas</w:t>
      </w:r>
    </w:p>
    <w:p w14:paraId="2D2DAB9E" w14:textId="3EDAAEAC" w:rsidR="00050302" w:rsidRPr="00DE2F06" w:rsidRDefault="00DE3A60" w:rsidP="00050302">
      <w:pPr>
        <w:spacing w:after="0" w:line="240" w:lineRule="auto"/>
        <w:rPr>
          <w:rFonts w:ascii="Verdana" w:hAnsi="Verdana"/>
        </w:rPr>
      </w:pPr>
      <w:r w:rsidRPr="00DE3A60">
        <w:rPr>
          <w:rFonts w:ascii="Verdana" w:eastAsia="Calibri" w:hAnsi="Verdana" w:cs="Times New Roman"/>
          <w:noProof/>
          <w:lang w:val="en-US"/>
        </w:rPr>
        <w:drawing>
          <wp:anchor distT="0" distB="0" distL="114300" distR="114300" simplePos="0" relativeHeight="251659264" behindDoc="0" locked="0" layoutInCell="1" allowOverlap="1" wp14:anchorId="7342F53C" wp14:editId="274F8907">
            <wp:simplePos x="0" y="0"/>
            <wp:positionH relativeFrom="margin">
              <wp:align>right</wp:align>
            </wp:positionH>
            <wp:positionV relativeFrom="paragraph">
              <wp:posOffset>5715</wp:posOffset>
            </wp:positionV>
            <wp:extent cx="2895600" cy="8001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560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3" w:history="1">
        <w:r w:rsidR="00050302" w:rsidRPr="00DE2F06">
          <w:rPr>
            <w:rStyle w:val="Hipervnculo"/>
            <w:rFonts w:ascii="Verdana" w:hAnsi="Verdana"/>
          </w:rPr>
          <w:t>andresabog@outlook.com</w:t>
        </w:r>
      </w:hyperlink>
      <w:r w:rsidR="00050302" w:rsidRPr="00DE2F06">
        <w:rPr>
          <w:rFonts w:ascii="Verdana" w:hAnsi="Verdana"/>
        </w:rPr>
        <w:t xml:space="preserve"> </w:t>
      </w:r>
    </w:p>
    <w:p w14:paraId="4C1D9694" w14:textId="67FDBC0B" w:rsidR="00050302" w:rsidRPr="00DE2F06" w:rsidRDefault="00050302" w:rsidP="00050302">
      <w:pPr>
        <w:spacing w:after="0" w:line="240" w:lineRule="auto"/>
        <w:rPr>
          <w:rFonts w:ascii="Verdana" w:eastAsia="Calibri" w:hAnsi="Verdana" w:cs="Times New Roman"/>
        </w:rPr>
      </w:pPr>
      <w:r w:rsidRPr="00DE2F06">
        <w:rPr>
          <w:rFonts w:ascii="Verdana" w:eastAsia="Calibri" w:hAnsi="Verdana" w:cs="Times New Roman"/>
        </w:rPr>
        <w:t>Bogotá D.C.</w:t>
      </w:r>
    </w:p>
    <w:p w14:paraId="26267EDD" w14:textId="0CBDF710" w:rsidR="00050302" w:rsidRPr="00DE2F06" w:rsidRDefault="00050302" w:rsidP="00050302">
      <w:pPr>
        <w:spacing w:after="0" w:line="240" w:lineRule="auto"/>
        <w:rPr>
          <w:rFonts w:ascii="Verdana" w:eastAsia="Calibri" w:hAnsi="Verdana" w:cs="Times New Roman"/>
        </w:rPr>
      </w:pPr>
    </w:p>
    <w:p w14:paraId="2DDDA89F" w14:textId="11B4CF23" w:rsidR="00050302" w:rsidRDefault="00050302" w:rsidP="00050302">
      <w:pPr>
        <w:spacing w:after="0" w:line="240" w:lineRule="auto"/>
        <w:rPr>
          <w:rFonts w:ascii="Verdana" w:eastAsia="Calibri" w:hAnsi="Verdana" w:cs="Times New Roman"/>
        </w:rPr>
      </w:pPr>
    </w:p>
    <w:p w14:paraId="607B2A36" w14:textId="77777777" w:rsidR="00DE3A60" w:rsidRPr="00DE2F06" w:rsidRDefault="00DE3A60" w:rsidP="00050302">
      <w:pPr>
        <w:spacing w:after="0" w:line="240" w:lineRule="auto"/>
        <w:rPr>
          <w:rFonts w:ascii="Verdana" w:eastAsia="Calibri" w:hAnsi="Verdana" w:cs="Times New Roman"/>
        </w:rPr>
      </w:pPr>
    </w:p>
    <w:p w14:paraId="2B9AA86A" w14:textId="77777777" w:rsidR="00050302" w:rsidRPr="00DE2F06" w:rsidRDefault="00050302" w:rsidP="00050302">
      <w:pPr>
        <w:spacing w:after="0" w:line="256" w:lineRule="auto"/>
        <w:rPr>
          <w:rFonts w:ascii="Verdana" w:eastAsia="Calibri" w:hAnsi="Verdana" w:cs="Times New Roman"/>
          <w:b/>
          <w:bCs/>
          <w:lang w:val="es-ES"/>
        </w:rPr>
      </w:pPr>
      <w:r w:rsidRPr="00DE2F06">
        <w:rPr>
          <w:rFonts w:ascii="Verdana" w:eastAsia="Calibri" w:hAnsi="Verdana" w:cs="Times New Roman"/>
          <w:b/>
          <w:bCs/>
          <w:lang w:val="es-ES"/>
        </w:rPr>
        <w:t xml:space="preserve">                                    Concepto C–1493 de 2025</w:t>
      </w:r>
    </w:p>
    <w:p w14:paraId="673BBD60" w14:textId="77777777" w:rsidR="00050302" w:rsidRPr="00DE2F06" w:rsidRDefault="00050302" w:rsidP="00050302">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50302" w:rsidRPr="00DE2F06" w14:paraId="1439C91A" w14:textId="77777777" w:rsidTr="00D5791E">
        <w:trPr>
          <w:trHeight w:val="645"/>
        </w:trPr>
        <w:tc>
          <w:tcPr>
            <w:tcW w:w="2685" w:type="dxa"/>
            <w:hideMark/>
          </w:tcPr>
          <w:p w14:paraId="79DD0807" w14:textId="77777777" w:rsidR="00050302" w:rsidRPr="0056257D" w:rsidRDefault="00050302" w:rsidP="00D5791E">
            <w:pPr>
              <w:spacing w:line="256" w:lineRule="auto"/>
              <w:rPr>
                <w:rFonts w:ascii="Verdana" w:hAnsi="Verdana"/>
                <w:b/>
                <w:bCs/>
                <w:lang w:val="es-ES_tradnl"/>
              </w:rPr>
            </w:pPr>
            <w:r w:rsidRPr="0056257D">
              <w:rPr>
                <w:rFonts w:ascii="Verdana" w:hAnsi="Verdana"/>
                <w:b/>
                <w:bCs/>
                <w:lang w:val="es-ES_tradnl"/>
              </w:rPr>
              <w:t xml:space="preserve">Temas:                   </w:t>
            </w:r>
          </w:p>
        </w:tc>
        <w:tc>
          <w:tcPr>
            <w:tcW w:w="6241" w:type="dxa"/>
            <w:hideMark/>
          </w:tcPr>
          <w:p w14:paraId="2F89F3EC" w14:textId="77777777" w:rsidR="00050302" w:rsidRPr="0056257D" w:rsidRDefault="00050302" w:rsidP="00D5791E">
            <w:pPr>
              <w:spacing w:line="276" w:lineRule="auto"/>
              <w:jc w:val="both"/>
              <w:rPr>
                <w:rFonts w:ascii="Verdana" w:hAnsi="Verdana" w:cs="Arial"/>
                <w:bCs/>
                <w:lang w:val="es-ES" w:eastAsia="es-ES"/>
              </w:rPr>
            </w:pPr>
            <w:r w:rsidRPr="0056257D">
              <w:rPr>
                <w:rFonts w:ascii="Verdana" w:hAnsi="Verdana" w:cs="Arial"/>
                <w:bCs/>
                <w:lang w:val="es-ES" w:eastAsia="es-ES"/>
              </w:rPr>
              <w:t xml:space="preserve">GARANTÍAS – Contratación estatal – Constitución de garantías – Finalidad – Cumplimiento – Obligaciones contractuales / GARANTÍA DE CUMPLIMIENTO – Amparos – Finalidad / GARANTÍA DE PAGOS SALARIOS, PRESTACIONES SOCIALES E INDEMNIZACIONES LABORALES – Finalidad – Cobertura – Suficiencia / GARANTÍA DE PAGOS DE SALARIOS, PRESTACIONES SOCIALES E INDEMNIZACIONES LABORALES – Término de Cobertura.  </w:t>
            </w:r>
          </w:p>
          <w:p w14:paraId="5A5F767B" w14:textId="77777777" w:rsidR="00050302" w:rsidRPr="0056257D" w:rsidRDefault="00050302" w:rsidP="00D5791E">
            <w:pPr>
              <w:spacing w:line="276" w:lineRule="auto"/>
              <w:jc w:val="both"/>
              <w:rPr>
                <w:rFonts w:ascii="Verdana" w:hAnsi="Verdana" w:cs="Arial"/>
                <w:bCs/>
                <w:lang w:val="es-ES_tradnl" w:eastAsia="es-ES"/>
              </w:rPr>
            </w:pPr>
          </w:p>
        </w:tc>
        <w:tc>
          <w:tcPr>
            <w:tcW w:w="6237" w:type="dxa"/>
          </w:tcPr>
          <w:p w14:paraId="1B512D0B" w14:textId="77777777" w:rsidR="00050302" w:rsidRPr="00DE2F06" w:rsidRDefault="00050302" w:rsidP="00D5791E">
            <w:pPr>
              <w:spacing w:line="256" w:lineRule="auto"/>
              <w:rPr>
                <w:rFonts w:ascii="Verdana" w:hAnsi="Verdana"/>
                <w:lang w:val="es-ES"/>
              </w:rPr>
            </w:pPr>
          </w:p>
        </w:tc>
      </w:tr>
      <w:tr w:rsidR="00050302" w:rsidRPr="00B57A1B" w14:paraId="65BDB895" w14:textId="77777777" w:rsidTr="00D5791E">
        <w:tc>
          <w:tcPr>
            <w:tcW w:w="2685" w:type="dxa"/>
          </w:tcPr>
          <w:p w14:paraId="07E4B694" w14:textId="77777777" w:rsidR="00050302" w:rsidRPr="00B57A1B" w:rsidRDefault="00050302" w:rsidP="00D5791E">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6C3CEDDB" w14:textId="77777777" w:rsidR="00050302" w:rsidRPr="00B57A1B" w:rsidRDefault="00050302" w:rsidP="00D5791E">
            <w:pPr>
              <w:spacing w:line="257" w:lineRule="auto"/>
              <w:jc w:val="both"/>
              <w:rPr>
                <w:rFonts w:ascii="Verdana" w:hAnsi="Verdana"/>
              </w:rPr>
            </w:pPr>
            <w:r w:rsidRPr="00B57A1B">
              <w:rPr>
                <w:rFonts w:ascii="Verdana" w:hAnsi="Verdana"/>
                <w:lang w:val="es-ES_tradnl"/>
              </w:rPr>
              <w:t>Respue</w:t>
            </w:r>
            <w:r>
              <w:rPr>
                <w:rFonts w:ascii="Verdana" w:hAnsi="Verdana"/>
                <w:lang w:val="es-ES_tradnl"/>
              </w:rPr>
              <w:t xml:space="preserve">sta a consulta con Radicado </w:t>
            </w:r>
            <w:r w:rsidRPr="00DE2F06">
              <w:rPr>
                <w:rFonts w:ascii="Verdana" w:hAnsi="Verdana"/>
              </w:rPr>
              <w:t>1_2025_10_14_011499</w:t>
            </w:r>
            <w:r>
              <w:rPr>
                <w:rFonts w:ascii="Verdana" w:hAnsi="Verdana"/>
              </w:rPr>
              <w:t xml:space="preserve"> y </w:t>
            </w:r>
            <w:r w:rsidRPr="00D86956">
              <w:rPr>
                <w:rFonts w:ascii="Verdana" w:hAnsi="Verdana"/>
              </w:rPr>
              <w:t>1_2025_10_14_011505</w:t>
            </w:r>
            <w:r>
              <w:rPr>
                <w:rFonts w:ascii="Verdana" w:hAnsi="Verdana"/>
              </w:rPr>
              <w:t xml:space="preserve"> (acumulados)</w:t>
            </w:r>
          </w:p>
          <w:p w14:paraId="787DDD32" w14:textId="77777777" w:rsidR="00050302" w:rsidRPr="00B57A1B" w:rsidRDefault="00050302" w:rsidP="00D5791E">
            <w:pPr>
              <w:spacing w:line="257" w:lineRule="auto"/>
              <w:jc w:val="both"/>
              <w:rPr>
                <w:rFonts w:ascii="Verdana" w:hAnsi="Verdana"/>
              </w:rPr>
            </w:pPr>
          </w:p>
        </w:tc>
        <w:tc>
          <w:tcPr>
            <w:tcW w:w="6237" w:type="dxa"/>
          </w:tcPr>
          <w:p w14:paraId="0F9BC413" w14:textId="77777777" w:rsidR="00050302" w:rsidRPr="005229DB" w:rsidRDefault="00050302" w:rsidP="00D5791E">
            <w:pPr>
              <w:spacing w:line="256" w:lineRule="auto"/>
              <w:rPr>
                <w:rFonts w:ascii="Verdana" w:hAnsi="Verdana"/>
              </w:rPr>
            </w:pPr>
            <w:r>
              <w:rPr>
                <w:rFonts w:ascii="Verdana" w:hAnsi="Verdana"/>
              </w:rPr>
              <w:t>s</w:t>
            </w:r>
          </w:p>
        </w:tc>
      </w:tr>
    </w:tbl>
    <w:p w14:paraId="3A5F285C" w14:textId="77777777" w:rsidR="00050302" w:rsidRPr="00B57A1B" w:rsidRDefault="00050302" w:rsidP="00050302">
      <w:pPr>
        <w:spacing w:after="0" w:line="256" w:lineRule="auto"/>
        <w:rPr>
          <w:rFonts w:ascii="Verdana" w:eastAsia="Calibri" w:hAnsi="Verdana" w:cs="Times New Roman"/>
          <w:lang w:val="es-ES"/>
        </w:rPr>
      </w:pPr>
      <w:r>
        <w:rPr>
          <w:rFonts w:ascii="Verdana" w:eastAsia="Calibri" w:hAnsi="Verdana" w:cs="Times New Roman"/>
          <w:lang w:val="es-ES"/>
        </w:rPr>
        <w:t>Estimado Señor Guzmán</w:t>
      </w:r>
      <w:r w:rsidRPr="00B57A1B">
        <w:rPr>
          <w:rFonts w:ascii="Verdana" w:eastAsia="Calibri" w:hAnsi="Verdana" w:cs="Times New Roman"/>
          <w:lang w:val="es-ES"/>
        </w:rPr>
        <w:t xml:space="preserve">: </w:t>
      </w:r>
    </w:p>
    <w:p w14:paraId="6F9C3167" w14:textId="77777777" w:rsidR="00050302" w:rsidRPr="00B57A1B" w:rsidRDefault="00050302" w:rsidP="00050302">
      <w:pPr>
        <w:spacing w:after="0" w:line="256" w:lineRule="auto"/>
        <w:rPr>
          <w:rFonts w:ascii="Verdana" w:eastAsia="Calibri" w:hAnsi="Verdana" w:cs="Times New Roman"/>
          <w:lang w:val="es-ES"/>
        </w:rPr>
      </w:pPr>
    </w:p>
    <w:p w14:paraId="56203068" w14:textId="77777777" w:rsidR="00050302" w:rsidRPr="00DE2F06" w:rsidRDefault="00050302" w:rsidP="00050302">
      <w:pPr>
        <w:spacing w:after="0" w:line="276" w:lineRule="auto"/>
        <w:jc w:val="both"/>
        <w:rPr>
          <w:rFonts w:ascii="Verdana" w:eastAsia="Calibri" w:hAnsi="Verdana" w:cs="Times New Roman"/>
          <w:bCs/>
          <w:lang w:val="es-ES"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N° 469 del 2025 expedida por esta Agencia, </w:t>
      </w:r>
      <w:r>
        <w:rPr>
          <w:rFonts w:ascii="Verdana" w:eastAsia="Calibri" w:hAnsi="Verdana" w:cs="Times New Roman"/>
          <w:bCs/>
          <w:lang w:val="es-ES" w:bidi="es-ES"/>
        </w:rPr>
        <w:t>responde las solicitudes de consulta del 14 de octubre de 2025</w:t>
      </w:r>
      <w:r w:rsidRPr="00B57A1B">
        <w:rPr>
          <w:rFonts w:ascii="Verdana" w:eastAsia="Calibri" w:hAnsi="Verdana" w:cs="Times New Roman"/>
          <w:bCs/>
          <w:lang w:val="es-ES" w:bidi="es-ES"/>
        </w:rPr>
        <w:t xml:space="preserve">, en la cual manifiesta: </w:t>
      </w:r>
    </w:p>
    <w:p w14:paraId="2BEDE684" w14:textId="77777777" w:rsidR="00050302" w:rsidRPr="00DE2F06" w:rsidRDefault="00050302" w:rsidP="00050302">
      <w:pPr>
        <w:spacing w:after="0" w:line="240" w:lineRule="auto"/>
        <w:ind w:right="709"/>
        <w:jc w:val="both"/>
        <w:rPr>
          <w:rFonts w:ascii="Verdana" w:eastAsia="Calibri" w:hAnsi="Verdana" w:cs="Times New Roman"/>
          <w:bCs/>
          <w:sz w:val="21"/>
          <w:szCs w:val="21"/>
          <w:lang w:val="es-ES" w:bidi="es-ES"/>
        </w:rPr>
      </w:pPr>
    </w:p>
    <w:p w14:paraId="60B11C89" w14:textId="77777777" w:rsidR="00050302" w:rsidRPr="00DE2F06" w:rsidRDefault="00050302" w:rsidP="00050302">
      <w:pPr>
        <w:spacing w:after="0" w:line="240" w:lineRule="auto"/>
        <w:ind w:left="709" w:right="709"/>
        <w:jc w:val="both"/>
        <w:rPr>
          <w:rFonts w:ascii="Verdana" w:eastAsia="Calibri" w:hAnsi="Verdana" w:cs="Times New Roman"/>
          <w:bCs/>
          <w:sz w:val="20"/>
          <w:szCs w:val="20"/>
          <w:lang w:bidi="es-ES"/>
        </w:rPr>
      </w:pPr>
      <w:r w:rsidRPr="00DE2F06">
        <w:rPr>
          <w:rFonts w:ascii="Verdana" w:eastAsia="Calibri" w:hAnsi="Verdana" w:cs="Times New Roman"/>
          <w:bCs/>
          <w:sz w:val="20"/>
          <w:szCs w:val="20"/>
          <w:lang w:bidi="es-ES"/>
        </w:rPr>
        <w:t xml:space="preserve">¿Cómo debe interpretarse la vigencia "plazo del contrato" que menciona el artículo 2.2.1.2.3.1.13 mencionado? </w:t>
      </w:r>
    </w:p>
    <w:p w14:paraId="05A091A9" w14:textId="77777777" w:rsidR="00050302" w:rsidRPr="00DE2F06" w:rsidRDefault="00050302" w:rsidP="00050302">
      <w:pPr>
        <w:spacing w:after="0" w:line="240" w:lineRule="auto"/>
        <w:ind w:left="709" w:right="709"/>
        <w:jc w:val="both"/>
        <w:rPr>
          <w:rFonts w:ascii="Verdana" w:eastAsia="Calibri" w:hAnsi="Verdana" w:cs="Times New Roman"/>
          <w:bCs/>
          <w:sz w:val="20"/>
          <w:szCs w:val="20"/>
          <w:lang w:bidi="es-ES"/>
        </w:rPr>
      </w:pPr>
      <w:r w:rsidRPr="00DE2F06">
        <w:rPr>
          <w:rFonts w:ascii="Verdana" w:eastAsia="Calibri" w:hAnsi="Verdana" w:cs="Times New Roman"/>
          <w:bCs/>
          <w:sz w:val="20"/>
          <w:szCs w:val="20"/>
          <w:lang w:bidi="es-ES"/>
        </w:rPr>
        <w:lastRenderedPageBreak/>
        <w:t>¿La garantía de salarios, prestaciones sociales e indemnizaciones debe estar vigente hasta la liquidación y 3 años mas</w:t>
      </w:r>
      <w:r>
        <w:rPr>
          <w:rFonts w:ascii="Verdana" w:eastAsia="Calibri" w:hAnsi="Verdana" w:cs="Times New Roman"/>
          <w:bCs/>
          <w:sz w:val="20"/>
          <w:szCs w:val="20"/>
          <w:lang w:bidi="es-ES"/>
        </w:rPr>
        <w:t xml:space="preserve"> (sic)</w:t>
      </w:r>
      <w:r w:rsidRPr="00DE2F06">
        <w:rPr>
          <w:rFonts w:ascii="Verdana" w:eastAsia="Calibri" w:hAnsi="Verdana" w:cs="Times New Roman"/>
          <w:bCs/>
          <w:sz w:val="20"/>
          <w:szCs w:val="20"/>
          <w:lang w:bidi="es-ES"/>
        </w:rPr>
        <w:t xml:space="preserve"> o hasta terminar la ejecución y 3 años mas? </w:t>
      </w:r>
    </w:p>
    <w:p w14:paraId="7C00A45B" w14:textId="77777777" w:rsidR="00050302" w:rsidRPr="00DE2F06" w:rsidRDefault="00050302" w:rsidP="00050302">
      <w:pPr>
        <w:spacing w:after="0" w:line="240" w:lineRule="auto"/>
        <w:ind w:left="709" w:right="709"/>
        <w:jc w:val="both"/>
        <w:rPr>
          <w:rFonts w:ascii="Verdana" w:eastAsia="Calibri" w:hAnsi="Verdana" w:cs="Times New Roman"/>
          <w:bCs/>
          <w:sz w:val="20"/>
          <w:szCs w:val="20"/>
          <w:lang w:bidi="es-ES"/>
        </w:rPr>
      </w:pPr>
      <w:r w:rsidRPr="00DE2F06">
        <w:rPr>
          <w:rFonts w:ascii="Verdana" w:eastAsia="Calibri" w:hAnsi="Verdana" w:cs="Times New Roman"/>
          <w:bCs/>
          <w:sz w:val="20"/>
          <w:szCs w:val="20"/>
          <w:lang w:bidi="es-ES"/>
        </w:rPr>
        <w:t xml:space="preserve">¿Para la garantía de salarios, prestaciones sociales e indemnizaciones se da aplicación a la vigencia del artículo 2.2.1.2.3.1.12 a la del 2.2.1.2.3.1.13? </w:t>
      </w:r>
    </w:p>
    <w:p w14:paraId="3FAE3E74" w14:textId="77777777" w:rsidR="00050302" w:rsidRPr="00DE2F06" w:rsidRDefault="00050302" w:rsidP="00050302">
      <w:pPr>
        <w:spacing w:after="0" w:line="240" w:lineRule="auto"/>
        <w:ind w:left="709" w:right="709"/>
        <w:jc w:val="both"/>
        <w:rPr>
          <w:rFonts w:ascii="Verdana" w:eastAsia="Calibri" w:hAnsi="Verdana" w:cs="Times New Roman"/>
          <w:bCs/>
          <w:sz w:val="20"/>
          <w:szCs w:val="20"/>
          <w:lang w:bidi="es-ES"/>
        </w:rPr>
      </w:pPr>
      <w:r w:rsidRPr="00DE2F06">
        <w:rPr>
          <w:rFonts w:ascii="Verdana" w:eastAsia="Calibri" w:hAnsi="Verdana" w:cs="Times New Roman"/>
          <w:bCs/>
          <w:sz w:val="20"/>
          <w:szCs w:val="20"/>
          <w:lang w:bidi="es-ES"/>
        </w:rPr>
        <w:t>Si en un contrato se pacta una garantía técnica, por ejemplo, ejecución hasta el día xx de octubre de 2025 y pacta garantía de funcionamiento por defectos de fabricación hasta febrero de 2026 ¿los tres años de la garantía de salarios, prestaciones sociales e indemnizaciones empiezan a contarse desde la fecha que termina la ejecución o desde la fecha que termina la garantía? para el ejemplo sería, se cuentan desde octubre de 2025 o desde febrero de 2026.</w:t>
      </w:r>
    </w:p>
    <w:p w14:paraId="1A9ECAAD" w14:textId="77777777" w:rsidR="00050302" w:rsidRDefault="00050302" w:rsidP="00050302">
      <w:pPr>
        <w:spacing w:after="120" w:line="276" w:lineRule="auto"/>
        <w:ind w:firstLine="709"/>
        <w:jc w:val="both"/>
        <w:rPr>
          <w:rFonts w:ascii="Verdana" w:eastAsia="Calibri" w:hAnsi="Verdana" w:cs="Times New Roman"/>
        </w:rPr>
      </w:pPr>
    </w:p>
    <w:p w14:paraId="58D1FCDA" w14:textId="77777777" w:rsidR="00050302" w:rsidRPr="00B57A1B" w:rsidRDefault="00050302" w:rsidP="00050302">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ADE2545" w14:textId="77777777" w:rsidR="00050302" w:rsidRPr="00B57A1B" w:rsidRDefault="00050302" w:rsidP="00050302">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 </w:t>
      </w:r>
    </w:p>
    <w:p w14:paraId="07487507" w14:textId="77777777" w:rsidR="00050302" w:rsidRPr="00B57A1B" w:rsidRDefault="00050302" w:rsidP="00050302">
      <w:pPr>
        <w:spacing w:after="0" w:line="256" w:lineRule="auto"/>
        <w:rPr>
          <w:rFonts w:ascii="Verdana" w:eastAsia="Calibri" w:hAnsi="Verdana" w:cs="Times New Roman"/>
          <w:lang w:val="es-ES"/>
        </w:rPr>
      </w:pPr>
    </w:p>
    <w:p w14:paraId="01BE406C" w14:textId="77777777" w:rsidR="00050302" w:rsidRPr="00B57A1B" w:rsidRDefault="00050302" w:rsidP="00050302">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7ABA2F85" w14:textId="77777777" w:rsidR="00050302" w:rsidRPr="00B57A1B" w:rsidRDefault="00050302" w:rsidP="00050302">
      <w:pPr>
        <w:spacing w:after="0" w:line="256" w:lineRule="auto"/>
        <w:rPr>
          <w:rFonts w:ascii="Verdana" w:eastAsia="Calibri" w:hAnsi="Verdana" w:cs="Times New Roman"/>
        </w:rPr>
      </w:pPr>
    </w:p>
    <w:p w14:paraId="53BDFBAD" w14:textId="77777777" w:rsidR="00050302" w:rsidRPr="0056257D" w:rsidRDefault="00050302" w:rsidP="00050302">
      <w:pPr>
        <w:spacing w:after="0" w:line="276" w:lineRule="auto"/>
        <w:jc w:val="both"/>
        <w:rPr>
          <w:rFonts w:ascii="Verdana" w:eastAsia="Calibri" w:hAnsi="Verdana" w:cs="Times New Roman"/>
          <w:iCs/>
          <w:lang w:val="es-ES"/>
        </w:rPr>
      </w:pPr>
      <w:r w:rsidRPr="00B57A1B">
        <w:rPr>
          <w:rFonts w:ascii="Verdana" w:eastAsia="Calibri" w:hAnsi="Verdana" w:cs="Times New Roman"/>
        </w:rPr>
        <w:lastRenderedPageBreak/>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¿Cuál es el momento</w:t>
      </w:r>
      <w:r w:rsidRPr="0056257D">
        <w:rPr>
          <w:rFonts w:ascii="Verdana" w:eastAsia="Calibri" w:hAnsi="Verdana" w:cs="Times New Roman"/>
          <w:iCs/>
          <w:lang w:val="es-ES"/>
        </w:rPr>
        <w:t xml:space="preserve"> que marca el fin de la ejecución contractual para efectos de contar los tre</w:t>
      </w:r>
      <w:r>
        <w:rPr>
          <w:rFonts w:ascii="Verdana" w:eastAsia="Calibri" w:hAnsi="Verdana" w:cs="Times New Roman"/>
          <w:iCs/>
          <w:lang w:val="es-ES"/>
        </w:rPr>
        <w:t xml:space="preserve">s años de vigencia del amparo de pago </w:t>
      </w:r>
      <w:r w:rsidRPr="0056257D">
        <w:rPr>
          <w:rFonts w:ascii="Verdana" w:eastAsia="Calibri" w:hAnsi="Verdana" w:cs="Times New Roman"/>
          <w:iCs/>
          <w:lang w:val="es-ES"/>
        </w:rPr>
        <w:t>de salarios, prestacio</w:t>
      </w:r>
      <w:r>
        <w:rPr>
          <w:rFonts w:ascii="Verdana" w:eastAsia="Calibri" w:hAnsi="Verdana" w:cs="Times New Roman"/>
          <w:iCs/>
          <w:lang w:val="es-ES"/>
        </w:rPr>
        <w:t>nes sociales e indemnizaciones laborales?</w:t>
      </w:r>
    </w:p>
    <w:p w14:paraId="3A6CFE14" w14:textId="77777777" w:rsidR="00050302" w:rsidRPr="00B57A1B" w:rsidRDefault="00050302" w:rsidP="00050302">
      <w:pPr>
        <w:spacing w:after="0" w:line="276" w:lineRule="auto"/>
        <w:jc w:val="both"/>
        <w:rPr>
          <w:rFonts w:ascii="Verdana" w:eastAsia="Calibri" w:hAnsi="Verdana" w:cs="Times New Roman"/>
          <w:i/>
          <w:iCs/>
          <w:lang w:val="es-ES"/>
        </w:rPr>
      </w:pPr>
    </w:p>
    <w:p w14:paraId="025C2421" w14:textId="77777777" w:rsidR="00050302" w:rsidRPr="00B57A1B" w:rsidRDefault="00050302" w:rsidP="00050302">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23E2B7D1" w14:textId="77777777" w:rsidR="00050302" w:rsidRPr="00B57A1B" w:rsidRDefault="00050302" w:rsidP="00050302">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50302" w:rsidRPr="00B57A1B" w14:paraId="18117A7C" w14:textId="77777777" w:rsidTr="00D5791E">
        <w:trPr>
          <w:trHeight w:val="345"/>
          <w:jc w:val="center"/>
        </w:trPr>
        <w:tc>
          <w:tcPr>
            <w:tcW w:w="8784" w:type="dxa"/>
            <w:tcBorders>
              <w:bottom w:val="single" w:sz="4" w:space="0" w:color="auto"/>
            </w:tcBorders>
          </w:tcPr>
          <w:p w14:paraId="4BB29EC0" w14:textId="77777777" w:rsidR="00050302" w:rsidRPr="006A7F4D" w:rsidRDefault="00050302" w:rsidP="00D5791E">
            <w:pPr>
              <w:spacing w:before="120" w:after="120" w:line="276" w:lineRule="auto"/>
              <w:jc w:val="both"/>
              <w:rPr>
                <w:rFonts w:ascii="Verdana" w:eastAsia="Arial" w:hAnsi="Verdana" w:cs="Arial"/>
                <w:lang w:eastAsia="es-ES" w:bidi="es-ES"/>
              </w:rPr>
            </w:pPr>
            <w:r w:rsidRPr="006A7F4D">
              <w:rPr>
                <w:rFonts w:ascii="Verdana" w:eastAsia="Calibri" w:hAnsi="Verdana" w:cs="Times New Roman"/>
              </w:rPr>
              <w:t xml:space="preserve">En cuanto al problema jurídico, objeto de consulta, </w:t>
            </w:r>
            <w:r>
              <w:rPr>
                <w:rFonts w:ascii="Verdana" w:eastAsia="Arial" w:hAnsi="Verdana" w:cs="Arial"/>
                <w:lang w:val="es-ES" w:eastAsia="es-ES" w:bidi="es-ES"/>
              </w:rPr>
              <w:t xml:space="preserve">se precisa que </w:t>
            </w:r>
            <w:r w:rsidRPr="006A7F4D">
              <w:rPr>
                <w:rFonts w:ascii="Verdana" w:eastAsia="Arial" w:hAnsi="Verdana" w:cs="Arial"/>
                <w:lang w:val="es-ES" w:eastAsia="es-ES" w:bidi="es-ES"/>
              </w:rPr>
              <w:t xml:space="preserve">el artículo </w:t>
            </w:r>
            <w:r w:rsidRPr="006A7F4D">
              <w:rPr>
                <w:rFonts w:ascii="Verdana" w:eastAsia="Arial" w:hAnsi="Verdana" w:cs="Arial"/>
                <w:bCs/>
                <w:lang w:eastAsia="es-ES" w:bidi="es-ES"/>
              </w:rPr>
              <w:t>2.2.1.2.3.1.13. del Decreto 1082 de 2015 dispone: “</w:t>
            </w:r>
            <w:r w:rsidRPr="006A7F4D">
              <w:rPr>
                <w:rFonts w:ascii="Verdana" w:eastAsia="Arial" w:hAnsi="Verdana" w:cs="Arial"/>
                <w:bCs/>
                <w:iCs/>
                <w:lang w:eastAsia="es-ES" w:bidi="es-ES"/>
              </w:rPr>
              <w:t>[…]</w:t>
            </w:r>
            <w:r w:rsidRPr="006A7F4D">
              <w:rPr>
                <w:rFonts w:ascii="Verdana" w:eastAsia="Arial" w:hAnsi="Verdana" w:cs="Arial"/>
                <w:bCs/>
                <w:i/>
                <w:iCs/>
                <w:lang w:eastAsia="es-ES" w:bidi="es-ES"/>
              </w:rPr>
              <w:t xml:space="preserve"> </w:t>
            </w:r>
            <w:r w:rsidRPr="006A7F4D">
              <w:rPr>
                <w:rFonts w:ascii="Verdana" w:eastAsia="Arial" w:hAnsi="Verdana" w:cs="Arial"/>
                <w:lang w:eastAsia="es-ES" w:bidi="es-ES"/>
              </w:rPr>
              <w:t>Esta garantía debe estar vigente por el plazo del contrato y tres (3) años más. El valor de la garantía no puede ser inferior al cinco por ciento (5%) del valor total del contrato”. En efecto, la vigencia del amparo de pago de salarios y prestaciones sociales es consistente con el término de prescripc</w:t>
            </w:r>
            <w:r>
              <w:rPr>
                <w:rFonts w:ascii="Verdana" w:eastAsia="Arial" w:hAnsi="Verdana" w:cs="Arial"/>
                <w:lang w:eastAsia="es-ES" w:bidi="es-ES"/>
              </w:rPr>
              <w:t>ión de las acciones laborales regulado en</w:t>
            </w:r>
            <w:r w:rsidRPr="006A7F4D">
              <w:rPr>
                <w:rFonts w:ascii="Verdana" w:eastAsia="Arial" w:hAnsi="Verdana" w:cs="Arial"/>
                <w:lang w:eastAsia="es-ES" w:bidi="es-ES"/>
              </w:rPr>
              <w:t xml:space="preserve"> el artículo 488 del Código Sustantivo del trabajo modificado por el artículo 62 de la Ley 2466 de 2025, </w:t>
            </w:r>
            <w:r>
              <w:rPr>
                <w:rFonts w:ascii="Verdana" w:eastAsia="Arial" w:hAnsi="Verdana" w:cs="Arial"/>
                <w:lang w:eastAsia="es-ES" w:bidi="es-ES"/>
              </w:rPr>
              <w:t xml:space="preserve">cuyo tenor literal </w:t>
            </w:r>
            <w:r w:rsidRPr="006A7F4D">
              <w:rPr>
                <w:rFonts w:ascii="Verdana" w:eastAsia="Arial" w:hAnsi="Verdana" w:cs="Arial"/>
                <w:lang w:eastAsia="es-ES" w:bidi="es-ES"/>
              </w:rPr>
              <w:t>dispone: “[…] Las acciones correspondientes a los derechos regulados en este Código prescriben en tres (3) años, salvo en los casos de prescripciones especiales establecidas en el Código Procesal del Trabajo y de la Seguridad Social o en el presente estatuto. En el evento en que se reclamen derechos emanados de una relación de trabajo, dicho término se contará desde que la respectiva obligación se hace exigible, salvo en los casos de prescripciones especiales establecidas en el Código Procesal del Trabajo y de la Seguridad Social”.</w:t>
            </w:r>
          </w:p>
          <w:p w14:paraId="1E8103B8" w14:textId="77777777" w:rsidR="00050302" w:rsidRPr="006A7F4D" w:rsidRDefault="00050302" w:rsidP="00D5791E">
            <w:pPr>
              <w:spacing w:before="120" w:after="120" w:line="276" w:lineRule="auto"/>
              <w:jc w:val="both"/>
              <w:rPr>
                <w:rFonts w:ascii="Verdana" w:eastAsia="Arial" w:hAnsi="Verdana" w:cs="Arial"/>
                <w:lang w:eastAsia="es-ES" w:bidi="es-ES"/>
              </w:rPr>
            </w:pPr>
            <w:r w:rsidRPr="006A7F4D">
              <w:rPr>
                <w:rFonts w:ascii="Verdana" w:eastAsia="Arial" w:hAnsi="Verdana" w:cs="Arial"/>
                <w:lang w:eastAsia="es-ES" w:bidi="es-ES"/>
              </w:rPr>
              <w:tab/>
            </w:r>
            <w:r w:rsidRPr="00D86956">
              <w:rPr>
                <w:rFonts w:ascii="Verdana" w:eastAsia="Arial" w:hAnsi="Verdana" w:cs="Arial"/>
                <w:lang w:eastAsia="es-ES" w:bidi="es-ES"/>
              </w:rPr>
              <w:t>Teniendo en cuenta lo expuesto, el momento desde el cual debe contarse la vigencia del amparo de pago de salarios, prestaciones sociales e indemnizaciones laborales corresponde al plazo del contrato más tres años adicionales, conforme lo establece el artículo 2.2.1.2.3.1.13 del Decreto 1082 de 2015. Esto significa que el conteo inicia desde la fecha de finalización estipulada en el contrato estatal, es decir, aquella pactada como té</w:t>
            </w:r>
            <w:r>
              <w:rPr>
                <w:rFonts w:ascii="Verdana" w:eastAsia="Arial" w:hAnsi="Verdana" w:cs="Arial"/>
                <w:lang w:eastAsia="es-ES" w:bidi="es-ES"/>
              </w:rPr>
              <w:t>rmino de ejecución contractual. Por tanto, no es procedente</w:t>
            </w:r>
            <w:r w:rsidRPr="00D86956">
              <w:rPr>
                <w:rFonts w:ascii="Verdana" w:eastAsia="Arial" w:hAnsi="Verdana" w:cs="Arial"/>
                <w:lang w:eastAsia="es-ES" w:bidi="es-ES"/>
              </w:rPr>
              <w:t xml:space="preserve"> considerar como punto de partida para dicho plazo la fecha de liquidación bilateral del contrato, ni tampoco el vencimiento de otras garantías como la de cumplimiento.</w:t>
            </w:r>
            <w:r>
              <w:rPr>
                <w:rFonts w:ascii="Verdana" w:eastAsia="Arial" w:hAnsi="Verdana" w:cs="Arial"/>
                <w:lang w:eastAsia="es-ES" w:bidi="es-ES"/>
              </w:rPr>
              <w:t xml:space="preserve"> </w:t>
            </w:r>
            <w:r w:rsidRPr="006A7F4D">
              <w:rPr>
                <w:rFonts w:ascii="Verdana" w:eastAsia="Arial" w:hAnsi="Verdana" w:cs="Arial"/>
                <w:lang w:eastAsia="es-ES" w:bidi="es-ES"/>
              </w:rPr>
              <w:t xml:space="preserve"> </w:t>
            </w:r>
          </w:p>
          <w:p w14:paraId="567866C2" w14:textId="77777777" w:rsidR="00050302" w:rsidRDefault="00050302" w:rsidP="00D5791E">
            <w:pPr>
              <w:spacing w:before="120" w:after="120" w:line="276" w:lineRule="auto"/>
              <w:ind w:firstLine="708"/>
              <w:jc w:val="both"/>
              <w:rPr>
                <w:rFonts w:ascii="Verdana" w:eastAsia="Arial" w:hAnsi="Verdana" w:cs="Arial"/>
                <w:lang w:eastAsia="es-ES" w:bidi="es-ES"/>
              </w:rPr>
            </w:pPr>
            <w:r w:rsidRPr="006A7F4D">
              <w:rPr>
                <w:rFonts w:ascii="Verdana" w:eastAsia="Arial" w:hAnsi="Verdana" w:cs="Arial"/>
                <w:lang w:eastAsia="es-ES" w:bidi="es-ES"/>
              </w:rPr>
              <w:t xml:space="preserve">Esta precisión busca evitar confusiones y asegurar que los derechos laborales de los trabajadores estén protegidos durante un periodo razonable posterior a la ejecución contractual. El fundamento de este plazo adicional es </w:t>
            </w:r>
            <w:r w:rsidRPr="006A7F4D">
              <w:rPr>
                <w:rFonts w:ascii="Verdana" w:eastAsia="Arial" w:hAnsi="Verdana" w:cs="Arial"/>
                <w:lang w:eastAsia="es-ES" w:bidi="es-ES"/>
              </w:rPr>
              <w:lastRenderedPageBreak/>
              <w:t>garantizar que, si surgen reclamaciones laborales después de terminado el contrato, exista un respaldo económico para atenderlas. De este modo, se refuerza la responsabilidad del contratista y se protege a los trabajadores vinculados al contrato, sin depender de otros momentos contractuales,</w:t>
            </w:r>
            <w:r>
              <w:rPr>
                <w:rFonts w:ascii="Verdana" w:eastAsia="Arial" w:hAnsi="Verdana" w:cs="Arial"/>
                <w:lang w:eastAsia="es-ES" w:bidi="es-ES"/>
              </w:rPr>
              <w:t xml:space="preserve"> como</w:t>
            </w:r>
            <w:r w:rsidRPr="006A7F4D">
              <w:rPr>
                <w:rFonts w:ascii="Verdana" w:eastAsia="Arial" w:hAnsi="Verdana" w:cs="Arial"/>
                <w:lang w:eastAsia="es-ES" w:bidi="es-ES"/>
              </w:rPr>
              <w:t xml:space="preserve"> son la liqu</w:t>
            </w:r>
            <w:r>
              <w:rPr>
                <w:rFonts w:ascii="Verdana" w:eastAsia="Arial" w:hAnsi="Verdana" w:cs="Arial"/>
                <w:lang w:eastAsia="es-ES" w:bidi="es-ES"/>
              </w:rPr>
              <w:t>idación o el vencimiento de otros amparos</w:t>
            </w:r>
            <w:r w:rsidRPr="006A7F4D">
              <w:rPr>
                <w:rFonts w:ascii="Verdana" w:eastAsia="Arial" w:hAnsi="Verdana" w:cs="Arial"/>
                <w:lang w:eastAsia="es-ES" w:bidi="es-ES"/>
              </w:rPr>
              <w:t>.</w:t>
            </w:r>
          </w:p>
          <w:p w14:paraId="640B142A" w14:textId="77777777" w:rsidR="00050302" w:rsidRPr="00DE4A45" w:rsidRDefault="00050302" w:rsidP="00D5791E">
            <w:pPr>
              <w:spacing w:before="120" w:after="12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Esto, sin perjuicio de que, </w:t>
            </w:r>
            <w:r w:rsidRPr="00D86956">
              <w:rPr>
                <w:rFonts w:ascii="Verdana" w:eastAsia="Arial" w:hAnsi="Verdana" w:cs="Arial"/>
                <w:lang w:eastAsia="es-ES" w:bidi="es-ES"/>
              </w:rPr>
              <w:t>en el proceso de liquidación del contrato, la entidad contratante pueda exigir al contratista la ampliación o prórroga de los distintos amparos, incluyendo el correspondiente al pago de salarios, prestaciones sociales e indemnizaciones laborales</w:t>
            </w:r>
            <w:r>
              <w:rPr>
                <w:rFonts w:ascii="Verdana" w:eastAsia="Arial" w:hAnsi="Verdana" w:cs="Arial"/>
                <w:lang w:eastAsia="es-ES" w:bidi="es-ES"/>
              </w:rPr>
              <w:t>, la cual se constituye en una medida para avalar las obligaciones que deba cumplir con posterioridad a la extinción del contrato, de conformidad con el artículo 60 de la Ley 80 de 1993 modificado por el artículo 217 del Decreto Ley 019 de 2012</w:t>
            </w:r>
          </w:p>
        </w:tc>
      </w:tr>
    </w:tbl>
    <w:p w14:paraId="719497BF" w14:textId="77777777" w:rsidR="00050302" w:rsidRDefault="00050302" w:rsidP="00050302">
      <w:pPr>
        <w:spacing w:after="0" w:line="276" w:lineRule="auto"/>
        <w:jc w:val="both"/>
        <w:rPr>
          <w:rFonts w:ascii="Verdana" w:eastAsia="Calibri" w:hAnsi="Verdana" w:cs="Arial"/>
          <w:bCs/>
          <w:color w:val="000000" w:themeColor="text1"/>
        </w:rPr>
      </w:pPr>
    </w:p>
    <w:p w14:paraId="6C8E7D22" w14:textId="77777777" w:rsidR="00050302" w:rsidRPr="00B57A1B" w:rsidRDefault="00050302" w:rsidP="00050302">
      <w:pPr>
        <w:spacing w:after="0" w:line="276" w:lineRule="auto"/>
        <w:jc w:val="both"/>
        <w:rPr>
          <w:rFonts w:ascii="Verdana" w:eastAsia="Calibri" w:hAnsi="Verdana" w:cs="Arial"/>
          <w:bCs/>
          <w:color w:val="000000" w:themeColor="text1"/>
        </w:rPr>
      </w:pPr>
    </w:p>
    <w:p w14:paraId="31638035" w14:textId="77777777" w:rsidR="00050302" w:rsidRPr="00B57A1B" w:rsidRDefault="00050302" w:rsidP="00050302">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13A38A9" w14:textId="77777777" w:rsidR="00050302" w:rsidRPr="00B57A1B" w:rsidRDefault="00050302" w:rsidP="00050302">
      <w:pPr>
        <w:spacing w:after="0" w:line="256" w:lineRule="auto"/>
        <w:rPr>
          <w:rFonts w:ascii="Verdana" w:eastAsia="Calibri" w:hAnsi="Verdana" w:cs="Times New Roman"/>
          <w:b/>
          <w:bCs/>
          <w:lang w:val="es-ES"/>
        </w:rPr>
      </w:pPr>
    </w:p>
    <w:p w14:paraId="419C8934" w14:textId="77777777" w:rsidR="00050302" w:rsidRDefault="00050302" w:rsidP="00050302">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2D48799E" w14:textId="77777777" w:rsidR="00050302" w:rsidRPr="00B57A1B" w:rsidRDefault="00050302" w:rsidP="00050302">
      <w:pPr>
        <w:spacing w:after="0" w:line="276" w:lineRule="auto"/>
        <w:jc w:val="both"/>
        <w:rPr>
          <w:rFonts w:ascii="Verdana" w:eastAsia="Calibri" w:hAnsi="Verdana" w:cs="Arial"/>
          <w:lang w:val="es-ES"/>
        </w:rPr>
      </w:pPr>
    </w:p>
    <w:p w14:paraId="506E6130" w14:textId="77777777" w:rsidR="00050302" w:rsidRPr="00D011DD" w:rsidRDefault="00050302" w:rsidP="00050302">
      <w:pPr>
        <w:spacing w:after="120" w:line="276" w:lineRule="auto"/>
        <w:jc w:val="both"/>
        <w:rPr>
          <w:rFonts w:ascii="Verdana" w:eastAsia="Calibri" w:hAnsi="Verdana" w:cs="Arial"/>
          <w:lang w:val="es-ES_tradnl"/>
        </w:rPr>
      </w:pPr>
      <w:bookmarkStart w:id="1" w:name="_Hlk78820161"/>
      <w:r>
        <w:rPr>
          <w:rFonts w:ascii="Verdana" w:eastAsia="Times New Roman" w:hAnsi="Verdana" w:cs="Arial"/>
          <w:lang w:val="es-ES"/>
        </w:rPr>
        <w:t>i.</w:t>
      </w:r>
      <w:r w:rsidRPr="002E1CAD">
        <w:rPr>
          <w:rFonts w:ascii="Verdana" w:eastAsia="Calibri" w:hAnsi="Verdana" w:cs="Arial"/>
          <w:lang w:val="es-ES"/>
        </w:rPr>
        <w:t xml:space="preserve"> </w:t>
      </w:r>
      <w:bookmarkStart w:id="2" w:name="_Hlk35876968"/>
      <w:r w:rsidRPr="00D011DD">
        <w:rPr>
          <w:rFonts w:ascii="Verdana" w:eastAsia="Calibri" w:hAnsi="Verdana" w:cs="Arial"/>
          <w:lang w:val="es-ES_tradnl"/>
        </w:rPr>
        <w:t xml:space="preserve">El Estatuto General de Contratación de la Administración Pública exige, por regla general, en los procesos de contratación pública </w:t>
      </w:r>
      <w:r w:rsidRPr="00D011DD">
        <w:rPr>
          <w:rFonts w:ascii="Verdana" w:eastAsia="Calibri" w:hAnsi="Verdana" w:cs="Arial"/>
          <w:lang w:val="es-ES"/>
        </w:rPr>
        <w:t>la constitución de garantías, ya sea en la etapa precontractual, contractual o postcontractual, con el fin de evitar o mitigar posibles riesgos</w:t>
      </w:r>
      <w:r w:rsidRPr="00D011DD">
        <w:rPr>
          <w:rFonts w:ascii="Verdana" w:eastAsia="Calibri" w:hAnsi="Verdana" w:cs="Arial"/>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precitada norma dispone:</w:t>
      </w:r>
    </w:p>
    <w:p w14:paraId="35935085"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p>
    <w:p w14:paraId="6F84CF3D"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Los contratistas prestarán garantía única para el cumplimiento de las obligaciones surgidas del contrato. Los proponentes prestarán garantía de seriedad de los ofrecimientos hechos. </w:t>
      </w:r>
    </w:p>
    <w:p w14:paraId="550F3798"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p>
    <w:p w14:paraId="43D4935E"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w:t>
      </w:r>
      <w:r w:rsidRPr="00D011DD">
        <w:rPr>
          <w:rFonts w:ascii="Verdana" w:eastAsia="Calibri" w:hAnsi="Verdana" w:cs="Arial"/>
          <w:sz w:val="20"/>
          <w:szCs w:val="20"/>
          <w:lang w:val="es-ES_tradnl"/>
        </w:rPr>
        <w:lastRenderedPageBreak/>
        <w:t xml:space="preserve">mismas no expirarán por falta de pago de la prima o por revocatoria unilateral. El Gobierno Nacional señalará las condiciones generales que deberán ser incluidas en las pólizas de cumplimiento de los contratos estatales. </w:t>
      </w:r>
    </w:p>
    <w:p w14:paraId="4D264C1F"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p>
    <w:p w14:paraId="51432C55" w14:textId="77777777" w:rsidR="00050302" w:rsidRPr="00D011DD" w:rsidRDefault="00050302" w:rsidP="00050302">
      <w:pPr>
        <w:spacing w:after="0" w:line="240" w:lineRule="auto"/>
        <w:ind w:left="709" w:right="709"/>
        <w:jc w:val="both"/>
        <w:rPr>
          <w:rFonts w:ascii="Verdana" w:eastAsia="Calibri" w:hAnsi="Verdana" w:cs="Arial"/>
          <w:sz w:val="20"/>
          <w:szCs w:val="20"/>
          <w:lang w:val="es-ES"/>
        </w:rPr>
      </w:pPr>
      <w:r w:rsidRPr="25B5AA68">
        <w:rPr>
          <w:rFonts w:ascii="Verdana" w:eastAsia="Calibri" w:hAnsi="Verdana" w:cs="Arial"/>
          <w:sz w:val="20"/>
          <w:szCs w:val="20"/>
          <w:lang w:val="es-ES"/>
        </w:rPr>
        <w:t xml:space="preserve">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1908A860"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p>
    <w:p w14:paraId="7C302923"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El acaecimiento del siniestro que amparan las garantías será comunicado por la entidad pública al respectivo asegurador mediante la notificación del acto administrativo que así lo declare.</w:t>
      </w:r>
    </w:p>
    <w:p w14:paraId="5EA721BE"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 </w:t>
      </w:r>
    </w:p>
    <w:p w14:paraId="4CC663F1" w14:textId="77777777" w:rsidR="00050302" w:rsidRDefault="00050302" w:rsidP="00050302">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bookmarkEnd w:id="2"/>
    </w:p>
    <w:p w14:paraId="71F5004C" w14:textId="77777777" w:rsidR="00050302" w:rsidRPr="00D011DD" w:rsidRDefault="00050302" w:rsidP="00050302">
      <w:pPr>
        <w:spacing w:after="0" w:line="240" w:lineRule="auto"/>
        <w:ind w:left="709" w:right="709"/>
        <w:jc w:val="both"/>
        <w:rPr>
          <w:rFonts w:ascii="Verdana" w:eastAsia="Calibri" w:hAnsi="Verdana" w:cs="Arial"/>
          <w:sz w:val="20"/>
          <w:szCs w:val="20"/>
          <w:lang w:val="es-ES_tradnl"/>
        </w:rPr>
      </w:pPr>
    </w:p>
    <w:p w14:paraId="5F194517" w14:textId="77777777" w:rsidR="00050302" w:rsidRPr="002D321A" w:rsidRDefault="00050302" w:rsidP="00050302">
      <w:pPr>
        <w:spacing w:after="120" w:line="276" w:lineRule="auto"/>
        <w:ind w:firstLine="709"/>
        <w:jc w:val="both"/>
        <w:rPr>
          <w:rFonts w:ascii="Verdana" w:eastAsia="Calibri" w:hAnsi="Verdana" w:cs="Arial"/>
          <w:color w:val="000000" w:themeColor="text1"/>
          <w:lang w:val="es-ES_tradnl"/>
        </w:rPr>
      </w:pPr>
      <w:r w:rsidRPr="002D321A">
        <w:rPr>
          <w:rFonts w:ascii="Verdana" w:eastAsia="Calibri" w:hAnsi="Verdana" w:cs="Arial"/>
          <w:color w:val="000000" w:themeColor="text1"/>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677C6955" w14:textId="77777777" w:rsidR="00050302" w:rsidRPr="002D321A" w:rsidRDefault="00050302" w:rsidP="00050302">
      <w:pPr>
        <w:spacing w:after="120" w:line="276" w:lineRule="auto"/>
        <w:ind w:firstLine="709"/>
        <w:jc w:val="both"/>
        <w:rPr>
          <w:rFonts w:ascii="Verdana" w:hAnsi="Verdana" w:cs="Arial"/>
          <w:color w:val="000000" w:themeColor="text1"/>
        </w:rPr>
      </w:pPr>
      <w:r w:rsidRPr="002D321A">
        <w:rPr>
          <w:rFonts w:ascii="Verdana" w:eastAsia="Calibri" w:hAnsi="Verdana" w:cs="Arial"/>
          <w:color w:val="000000" w:themeColor="text1"/>
          <w:lang w:val="es-ES_tradnl"/>
        </w:rPr>
        <w:t>De acuerdo a lo expresado anteriormente, l</w:t>
      </w:r>
      <w:r w:rsidRPr="002D321A">
        <w:rPr>
          <w:rFonts w:ascii="Verdana" w:hAnsi="Verdana" w:cs="Arial"/>
          <w:color w:val="000000" w:themeColor="text1"/>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2D321A">
        <w:rPr>
          <w:rFonts w:ascii="Verdana" w:eastAsia="Calibri" w:hAnsi="Verdana" w:cs="Arial"/>
          <w:color w:val="000000" w:themeColor="text1"/>
        </w:rPr>
        <w:t xml:space="preserve">para amparar los riesgos contractuales; </w:t>
      </w:r>
      <w:r w:rsidRPr="002D321A">
        <w:rPr>
          <w:rFonts w:ascii="Verdana" w:hAnsi="Verdana" w:cs="Arial"/>
          <w:color w:val="000000" w:themeColor="text1"/>
        </w:rPr>
        <w:t xml:space="preserve">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w:t>
      </w:r>
      <w:r w:rsidRPr="002D321A">
        <w:rPr>
          <w:rFonts w:ascii="Verdana" w:hAnsi="Verdana" w:cs="Arial"/>
          <w:color w:val="000000" w:themeColor="text1"/>
        </w:rPr>
        <w:lastRenderedPageBreak/>
        <w:t>o con su producido las obligaciones del oferente o contratista con la entidad estatal beneficiaria</w:t>
      </w:r>
      <w:r w:rsidRPr="002D321A">
        <w:rPr>
          <w:rFonts w:ascii="Verdana" w:hAnsi="Verdana" w:cs="Arial"/>
          <w:color w:val="000000" w:themeColor="text1"/>
          <w:vertAlign w:val="superscript"/>
        </w:rPr>
        <w:footnoteReference w:id="1"/>
      </w:r>
      <w:r w:rsidRPr="002D321A">
        <w:rPr>
          <w:rFonts w:ascii="Verdana" w:hAnsi="Verdana" w:cs="Arial"/>
          <w:color w:val="000000" w:themeColor="text1"/>
        </w:rPr>
        <w:t xml:space="preserve">;  iii) garantías bancarias o cartas de crédito </w:t>
      </w:r>
      <w:r w:rsidRPr="002D321A">
        <w:rPr>
          <w:rFonts w:ascii="Verdana" w:hAnsi="Verdana" w:cs="Arial"/>
          <w:i/>
          <w:iCs/>
          <w:color w:val="000000" w:themeColor="text1"/>
        </w:rPr>
        <w:t>stand</w:t>
      </w:r>
      <w:r w:rsidRPr="002D321A">
        <w:rPr>
          <w:rFonts w:ascii="Verdana" w:hAnsi="Verdana" w:cs="Arial"/>
          <w:color w:val="000000" w:themeColor="text1"/>
        </w:rPr>
        <w:t xml:space="preserve"> </w:t>
      </w:r>
      <w:r w:rsidRPr="002D321A">
        <w:rPr>
          <w:rFonts w:ascii="Verdana" w:hAnsi="Verdana" w:cs="Arial"/>
          <w:i/>
          <w:iCs/>
          <w:color w:val="000000" w:themeColor="text1"/>
        </w:rPr>
        <w:t>by</w:t>
      </w:r>
      <w:r w:rsidRPr="002D321A">
        <w:rPr>
          <w:rFonts w:ascii="Verdana" w:hAnsi="Verdana" w:cs="Arial"/>
          <w:color w:val="000000" w:themeColor="text1"/>
        </w:rPr>
        <w:t>, que consisten en compromisos irrevocables o incondicionales asumidos por una entidad financiera de pagar una suma determinada de dinero</w:t>
      </w:r>
      <w:r w:rsidRPr="002D321A">
        <w:rPr>
          <w:rFonts w:ascii="Verdana" w:hAnsi="Verdana" w:cs="Arial"/>
          <w:color w:val="000000" w:themeColor="text1"/>
          <w:vertAlign w:val="superscript"/>
        </w:rPr>
        <w:footnoteReference w:id="2"/>
      </w:r>
      <w:r w:rsidRPr="002D321A">
        <w:rPr>
          <w:rFonts w:ascii="Verdana" w:hAnsi="Verdana" w:cs="Arial"/>
          <w:color w:val="000000" w:themeColor="text1"/>
        </w:rPr>
        <w:t xml:space="preserve">. La suficiencia y la vigencia de las garantías deben ser las reguladas en los artículos 2.2.1.2.3.1.9 a 2.2.1.2.3.1.16 del Decreto 1082 de 2015. </w:t>
      </w:r>
    </w:p>
    <w:p w14:paraId="2AE1C3E3" w14:textId="77777777" w:rsidR="00050302" w:rsidRPr="002D321A" w:rsidRDefault="00050302" w:rsidP="00050302">
      <w:pPr>
        <w:spacing w:after="120" w:line="276" w:lineRule="auto"/>
        <w:ind w:firstLine="709"/>
        <w:jc w:val="both"/>
        <w:rPr>
          <w:rFonts w:ascii="Verdana" w:hAnsi="Verdana" w:cs="Arial"/>
          <w:color w:val="000000" w:themeColor="text1"/>
        </w:rPr>
      </w:pPr>
      <w:r w:rsidRPr="002D321A">
        <w:rPr>
          <w:rFonts w:ascii="Verdana" w:hAnsi="Verdana" w:cs="Arial"/>
          <w:color w:val="000000" w:themeColor="text1"/>
        </w:rPr>
        <w:t>Ahora bien, las garantías cubren ciertos riesgos identificados por las entidades estatales. Por ejemplo, en las modalidades de selección de contratación directa y mínima cuantía, así como en la contratación de seguros, la entidad estatal debe justificar la necesidad de exigir la constitución de garantías. Con respecto a las demás modalidades de selección, en principio, son obligatorias las garantías de seriedad de la oferta y de cumplimiento, y la garantía de responsabilidad civil extracontractual es obligatoria en los contratos de obra y en aquellos en que por su objeto o naturaleza la entidad estatal lo considere necesario.</w:t>
      </w:r>
    </w:p>
    <w:p w14:paraId="3224A56C" w14:textId="77777777" w:rsidR="00050302" w:rsidRPr="0071557C" w:rsidRDefault="00050302" w:rsidP="00050302">
      <w:pPr>
        <w:spacing w:after="120" w:line="276" w:lineRule="auto"/>
        <w:ind w:firstLine="708"/>
        <w:jc w:val="both"/>
        <w:rPr>
          <w:rFonts w:ascii="Verdana" w:eastAsia="Times New Roman" w:hAnsi="Verdana" w:cs="Arial"/>
          <w:color w:val="000000" w:themeColor="text1"/>
          <w:lang w:val="es-ES"/>
        </w:rPr>
      </w:pPr>
      <w:r w:rsidRPr="0071557C">
        <w:rPr>
          <w:rFonts w:ascii="Verdana" w:eastAsia="Times New Roman" w:hAnsi="Verdana" w:cs="Arial"/>
          <w:color w:val="000000" w:themeColor="text1"/>
          <w:lang w:val="es-ES"/>
        </w:rPr>
        <w:t xml:space="preserve">En particular, mediante </w:t>
      </w:r>
      <w:r w:rsidRPr="0071557C">
        <w:rPr>
          <w:rFonts w:ascii="Verdana" w:eastAsia="Calibri" w:hAnsi="Verdana" w:cs="Arial"/>
          <w:color w:val="000000" w:themeColor="text1"/>
          <w:lang w:val="es-ES"/>
        </w:rPr>
        <w:t xml:space="preserve">la </w:t>
      </w:r>
      <w:r w:rsidRPr="0071557C">
        <w:rPr>
          <w:rFonts w:ascii="Verdana" w:eastAsia="Calibri" w:hAnsi="Verdana" w:cs="Arial"/>
          <w:i/>
          <w:iCs/>
          <w:color w:val="000000" w:themeColor="text1"/>
          <w:lang w:val="es-ES"/>
        </w:rPr>
        <w:t>garantía única de cumplimiento</w:t>
      </w:r>
      <w:r w:rsidRPr="0071557C">
        <w:rPr>
          <w:rFonts w:ascii="Verdana" w:eastAsia="Calibri" w:hAnsi="Verdana" w:cs="Arial"/>
          <w:color w:val="000000" w:themeColor="text1"/>
          <w:lang w:val="es-ES"/>
        </w:rPr>
        <w:t>, el contratista debe amparar los perjuicios que le pueda generar a la entidad el incumplimiento de las obligaciones derivadas del contrato por conductas que le sean atribuibles</w:t>
      </w:r>
      <w:r w:rsidRPr="0071557C">
        <w:rPr>
          <w:rFonts w:ascii="Verdana" w:eastAsia="Calibri" w:hAnsi="Verdana" w:cs="Arial"/>
          <w:color w:val="000000" w:themeColor="text1"/>
          <w:vertAlign w:val="superscript"/>
          <w:lang w:val="es-ES"/>
        </w:rPr>
        <w:footnoteReference w:id="3"/>
      </w:r>
      <w:r w:rsidRPr="0071557C">
        <w:rPr>
          <w:rFonts w:ascii="Verdana" w:eastAsia="Calibri" w:hAnsi="Verdana" w:cs="Arial"/>
          <w:color w:val="000000" w:themeColor="text1"/>
          <w:lang w:val="es-ES"/>
        </w:rPr>
        <w:t xml:space="preserve">. </w:t>
      </w:r>
      <w:r w:rsidRPr="0071557C">
        <w:rPr>
          <w:rFonts w:ascii="Verdana" w:eastAsia="Times New Roman"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71557C">
        <w:rPr>
          <w:rFonts w:ascii="Verdana" w:eastAsia="Times New Roman" w:hAnsi="Verdana" w:cs="Arial"/>
          <w:color w:val="000000" w:themeColor="text1"/>
          <w:vertAlign w:val="superscript"/>
          <w:lang w:val="es-ES"/>
        </w:rPr>
        <w:footnoteReference w:id="4"/>
      </w:r>
      <w:r w:rsidRPr="0071557C">
        <w:rPr>
          <w:rFonts w:ascii="Verdana" w:eastAsia="Times New Roman" w:hAnsi="Verdana" w:cs="Arial"/>
          <w:color w:val="000000" w:themeColor="text1"/>
          <w:lang w:val="es-ES"/>
        </w:rPr>
        <w:t xml:space="preserve">.    </w:t>
      </w:r>
    </w:p>
    <w:p w14:paraId="42EADE6D" w14:textId="77777777" w:rsidR="00050302" w:rsidRPr="0071557C" w:rsidRDefault="00050302" w:rsidP="00050302">
      <w:pPr>
        <w:spacing w:after="120" w:line="276" w:lineRule="auto"/>
        <w:ind w:firstLine="708"/>
        <w:jc w:val="both"/>
        <w:rPr>
          <w:rFonts w:ascii="Verdana" w:eastAsia="Times New Roman" w:hAnsi="Verdana" w:cs="Arial"/>
          <w:color w:val="000000" w:themeColor="text1"/>
          <w:lang w:val="es-ES"/>
        </w:rPr>
      </w:pPr>
      <w:r w:rsidRPr="0071557C">
        <w:rPr>
          <w:rFonts w:ascii="Verdana" w:eastAsia="Times New Roman" w:hAnsi="Verdana" w:cs="Arial"/>
          <w:color w:val="000000" w:themeColor="text1"/>
          <w:lang w:val="es-ES"/>
        </w:rPr>
        <w:lastRenderedPageBreak/>
        <w:t xml:space="preserve">El artículo 2.2.1.3.1.7 del Decreto 1082 de 2015 señala que </w:t>
      </w:r>
      <w:r w:rsidRPr="0071557C">
        <w:rPr>
          <w:rFonts w:ascii="Verdana" w:eastAsia="Times New Roman" w:hAnsi="Verdana" w:cs="Arial"/>
          <w:i/>
          <w:iCs/>
          <w:color w:val="000000" w:themeColor="text1"/>
          <w:lang w:val="es-ES"/>
        </w:rPr>
        <w:t>la garantía de cumplimiento</w:t>
      </w:r>
      <w:r w:rsidRPr="0071557C">
        <w:rPr>
          <w:rFonts w:ascii="Verdana" w:eastAsia="Times New Roman" w:hAnsi="Verdana" w:cs="Arial"/>
          <w:color w:val="000000" w:themeColor="text1"/>
          <w:lang w:val="es-ES"/>
        </w:rPr>
        <w:t xml:space="preserve"> </w:t>
      </w:r>
      <w:r w:rsidRPr="0071557C">
        <w:rPr>
          <w:rFonts w:ascii="Verdana" w:eastAsia="Calibri" w:hAnsi="Verdana" w:cs="Arial"/>
          <w:bCs/>
          <w:color w:val="000000" w:themeColor="text1"/>
          <w:lang w:val="es-ES"/>
        </w:rPr>
        <w:t xml:space="preserve">cuenta con varios </w:t>
      </w:r>
      <w:r w:rsidRPr="0071557C">
        <w:rPr>
          <w:rFonts w:ascii="Verdana" w:eastAsia="Calibri" w:hAnsi="Verdana" w:cs="Arial"/>
          <w:bCs/>
          <w:i/>
          <w:iCs/>
          <w:color w:val="000000" w:themeColor="text1"/>
          <w:lang w:val="es-ES"/>
        </w:rPr>
        <w:t>amparos</w:t>
      </w:r>
      <w:r w:rsidRPr="0071557C">
        <w:rPr>
          <w:rFonts w:ascii="Verdana" w:eastAsia="Calibri" w:hAnsi="Verdana" w:cs="Arial"/>
          <w:bCs/>
          <w:color w:val="000000" w:themeColor="text1"/>
          <w:lang w:val="es-ES"/>
        </w:rPr>
        <w:t xml:space="preserve"> que cubren: el buen manejo y correcta inversión del anticipo; la devolución del pago anticipado; el amparo de cumplimiento del contrato; la garantía de pago de salarios, prestaciones sociales legales e indemnizaciones laborales; la estabilidad y calidad de la obra, y </w:t>
      </w:r>
      <w:r w:rsidRPr="0071557C">
        <w:rPr>
          <w:rFonts w:ascii="Verdana" w:eastAsia="Times New Roman" w:hAnsi="Verdana" w:cs="Arial"/>
          <w:color w:val="000000" w:themeColor="text1"/>
          <w:lang w:val="es-ES" w:eastAsia="es-CO"/>
        </w:rPr>
        <w:t>los demás incumplimientos de las obligaciones que la Entidad Estatal considere deben ser amparados. Esto, además de la póliza de responsabilidad civil extracontractual que es procedente en los contratos de obra, así como en aquellos en que por su objeto o naturaleza se considere necesario con ocasión de los riesgos previstos en el negocio, de acuerdo con el artículo 2.2.1.2.3.1.8</w:t>
      </w:r>
      <w:r w:rsidRPr="0071557C">
        <w:rPr>
          <w:rFonts w:ascii="Verdana" w:eastAsia="Times New Roman" w:hAnsi="Verdana" w:cs="Arial"/>
          <w:i/>
          <w:iCs/>
          <w:color w:val="000000" w:themeColor="text1"/>
          <w:lang w:val="es-ES" w:eastAsia="es-CO"/>
        </w:rPr>
        <w:t xml:space="preserve"> </w:t>
      </w:r>
      <w:r w:rsidRPr="0071557C">
        <w:rPr>
          <w:rFonts w:ascii="Verdana" w:eastAsia="Times New Roman" w:hAnsi="Verdana" w:cs="Arial"/>
          <w:color w:val="000000" w:themeColor="text1"/>
          <w:lang w:val="es-ES" w:eastAsia="es-CO"/>
        </w:rPr>
        <w:t>del Decreto 1082 de 2015.</w:t>
      </w:r>
    </w:p>
    <w:p w14:paraId="4763CC4C" w14:textId="77777777" w:rsidR="00050302" w:rsidRPr="0071557C" w:rsidRDefault="00050302" w:rsidP="00050302">
      <w:pPr>
        <w:spacing w:after="0" w:line="276" w:lineRule="auto"/>
        <w:ind w:firstLine="708"/>
        <w:jc w:val="both"/>
        <w:rPr>
          <w:rFonts w:ascii="Verdana" w:eastAsia="Calibri" w:hAnsi="Verdana" w:cs="Arial"/>
          <w:color w:val="000000" w:themeColor="text1"/>
          <w:lang w:val="es-ES"/>
        </w:rPr>
      </w:pPr>
      <w:r w:rsidRPr="0071557C">
        <w:rPr>
          <w:rFonts w:ascii="Verdana" w:eastAsia="Times New Roman" w:hAnsi="Verdana" w:cs="Arial"/>
          <w:color w:val="000000" w:themeColor="text1"/>
          <w:lang w:val="es-ES" w:eastAsia="es-CO"/>
        </w:rPr>
        <w:t>Según lo establecido</w:t>
      </w:r>
      <w:r>
        <w:rPr>
          <w:rFonts w:ascii="Verdana" w:eastAsia="Calibri" w:hAnsi="Verdana" w:cs="Arial"/>
          <w:color w:val="000000" w:themeColor="text1"/>
          <w:lang w:val="es-ES"/>
        </w:rPr>
        <w:t xml:space="preserve"> en el artículo 2.2.1.3.1.7. del precitado Decreto, </w:t>
      </w:r>
      <w:r w:rsidRPr="0071557C">
        <w:rPr>
          <w:rFonts w:ascii="Verdana" w:eastAsia="Calibri" w:hAnsi="Verdana" w:cs="Arial"/>
          <w:color w:val="000000" w:themeColor="text1"/>
          <w:lang w:val="es-ES"/>
        </w:rPr>
        <w:t xml:space="preserve">la garantía de cumplimiento debe proteger a la entidad de los perjuicios que se puedan ocasionar con el incumplimiento total o parcial del contrato, el cumplimiento tardío o defectuoso, los daños por entregas parciales de la obra, cuando el contrato no prevé entregas parciales, y el valor de las multas y de la cláusula penal pecuniaria. De lo anterior se advierte que el </w:t>
      </w:r>
      <w:r w:rsidRPr="0071557C">
        <w:rPr>
          <w:rFonts w:ascii="Verdana" w:eastAsia="Calibri" w:hAnsi="Verdana" w:cs="Arial"/>
          <w:i/>
          <w:iCs/>
          <w:color w:val="000000" w:themeColor="text1"/>
          <w:lang w:val="es-ES"/>
        </w:rPr>
        <w:t>amparo de cumplimiento</w:t>
      </w:r>
      <w:r w:rsidRPr="0071557C">
        <w:rPr>
          <w:rFonts w:ascii="Verdana" w:eastAsia="Calibri" w:hAnsi="Verdana" w:cs="Arial"/>
          <w:color w:val="000000" w:themeColor="text1"/>
          <w:lang w:val="es-ES"/>
        </w:rPr>
        <w:t xml:space="preserve"> tiene como objeto proteger a la entidad de los riesgos que puedan concretarse durante la etapa de ejecución del contrato, específicamente de aquellos derivados de incumplimientos o conductas imputables al contratista. </w:t>
      </w:r>
    </w:p>
    <w:p w14:paraId="5AA14B23" w14:textId="77777777" w:rsidR="00050302" w:rsidRDefault="00050302" w:rsidP="00050302">
      <w:pPr>
        <w:spacing w:before="120" w:after="120" w:line="276" w:lineRule="auto"/>
        <w:jc w:val="both"/>
        <w:rPr>
          <w:rFonts w:ascii="Verdana" w:eastAsia="Times New Roman" w:hAnsi="Verdana" w:cs="Arial"/>
          <w:color w:val="000000" w:themeColor="text1"/>
          <w:lang w:val="es-ES" w:eastAsia="es-CO"/>
        </w:rPr>
      </w:pPr>
    </w:p>
    <w:p w14:paraId="78CC5B26" w14:textId="77777777" w:rsidR="00050302" w:rsidRDefault="00050302" w:rsidP="00050302">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ii.</w:t>
      </w:r>
      <w:r w:rsidRPr="00275482">
        <w:rPr>
          <w:rFonts w:ascii="Verdana" w:hAnsi="Verdana" w:cs="Arial"/>
          <w:color w:val="000000" w:themeColor="text1"/>
        </w:rPr>
        <w:t xml:space="preserve"> </w:t>
      </w:r>
      <w:r>
        <w:rPr>
          <w:rFonts w:ascii="Verdana" w:eastAsia="Times New Roman" w:hAnsi="Verdana" w:cs="Arial"/>
          <w:color w:val="000000" w:themeColor="text1"/>
          <w:lang w:eastAsia="es-CO"/>
        </w:rPr>
        <w:t>E</w:t>
      </w:r>
      <w:r w:rsidRPr="00275482">
        <w:rPr>
          <w:rFonts w:ascii="Verdana" w:eastAsia="Times New Roman" w:hAnsi="Verdana" w:cs="Arial"/>
          <w:color w:val="000000" w:themeColor="text1"/>
          <w:lang w:eastAsia="es-CO"/>
        </w:rPr>
        <w:t>l artículo 2.2.1.3.1.7</w:t>
      </w:r>
      <w:r>
        <w:rPr>
          <w:rFonts w:ascii="Verdana" w:eastAsia="Times New Roman" w:hAnsi="Verdana" w:cs="Arial"/>
          <w:color w:val="000000" w:themeColor="text1"/>
          <w:lang w:eastAsia="es-CO"/>
        </w:rPr>
        <w:t xml:space="preserve"> del Decreto 1082 de 2015</w:t>
      </w:r>
      <w:r w:rsidRPr="00275482">
        <w:rPr>
          <w:rFonts w:ascii="Verdana" w:eastAsia="Times New Roman" w:hAnsi="Verdana" w:cs="Arial"/>
          <w:color w:val="000000" w:themeColor="text1"/>
          <w:lang w:eastAsia="es-CO"/>
        </w:rPr>
        <w:t xml:space="preserve">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calidad del servicio; vii) la calidad y correcto funcionamiento de los bienes; y viii) los demás incumplimientos de las obligaciones que la entidad estatal considere d</w:t>
      </w:r>
      <w:r>
        <w:rPr>
          <w:rFonts w:ascii="Verdana" w:eastAsia="Times New Roman" w:hAnsi="Verdana" w:cs="Arial"/>
          <w:color w:val="000000" w:themeColor="text1"/>
          <w:lang w:eastAsia="es-CO"/>
        </w:rPr>
        <w:t>eben ampararse</w:t>
      </w:r>
      <w:r w:rsidRPr="00275482">
        <w:rPr>
          <w:rFonts w:ascii="Verdana" w:eastAsia="Times New Roman" w:hAnsi="Verdana" w:cs="Arial"/>
          <w:color w:val="000000" w:themeColor="text1"/>
          <w:lang w:eastAsia="es-CO"/>
        </w:rPr>
        <w:t xml:space="preserve">. Esto además de la póliza de responsabilidad civil extracontractual en los contratos de obra, así en aquellos en que por su objeto o naturaleza se considere necesario con ocasión de los riesgos previstos en el negocio, de acuerdo con el artículo 2.2.1.2.3.1.8 </w:t>
      </w:r>
      <w:r w:rsidRPr="00275482">
        <w:rPr>
          <w:rFonts w:ascii="Verdana" w:eastAsia="Times New Roman" w:hAnsi="Verdana" w:cs="Arial"/>
          <w:i/>
          <w:iCs/>
          <w:color w:val="000000" w:themeColor="text1"/>
          <w:lang w:eastAsia="es-CO"/>
        </w:rPr>
        <w:t>ibidem</w:t>
      </w:r>
      <w:r w:rsidRPr="00275482">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p>
    <w:p w14:paraId="52D1AE0D" w14:textId="77777777" w:rsidR="00050302" w:rsidRPr="007C4353" w:rsidRDefault="00050302" w:rsidP="00050302">
      <w:pPr>
        <w:spacing w:after="120" w:line="276" w:lineRule="auto"/>
        <w:ind w:firstLine="703"/>
        <w:jc w:val="both"/>
        <w:rPr>
          <w:rFonts w:ascii="Verdana" w:eastAsia="Arial" w:hAnsi="Verdana" w:cs="Arial"/>
          <w:lang w:val="es-ES" w:eastAsia="es-ES" w:bidi="es-ES"/>
        </w:rPr>
      </w:pPr>
      <w:r>
        <w:rPr>
          <w:rFonts w:ascii="Verdana" w:eastAsia="Times New Roman" w:hAnsi="Verdana" w:cs="Arial"/>
          <w:color w:val="000000" w:themeColor="text1"/>
          <w:lang w:eastAsia="es-CO"/>
        </w:rPr>
        <w:t>Teniendo en cuenta esta precisión, el A</w:t>
      </w:r>
      <w:r>
        <w:rPr>
          <w:rFonts w:ascii="Verdana" w:eastAsia="Arial" w:hAnsi="Verdana" w:cs="Arial"/>
          <w:lang w:val="es-ES" w:eastAsia="es-ES" w:bidi="es-ES"/>
        </w:rPr>
        <w:t xml:space="preserve">mparo de Pago de Salarios, Prestaciones Sociales e Indemnizaciones Laborales, </w:t>
      </w:r>
      <w:r w:rsidRPr="007C4353">
        <w:rPr>
          <w:rFonts w:ascii="Verdana" w:eastAsia="Arial" w:hAnsi="Verdana" w:cs="Arial"/>
          <w:lang w:val="es-ES" w:eastAsia="es-ES" w:bidi="es-ES"/>
        </w:rPr>
        <w:t xml:space="preserve">tiene como finalidad </w:t>
      </w:r>
      <w:r w:rsidRPr="007C4353">
        <w:rPr>
          <w:rFonts w:ascii="Verdana" w:eastAsia="Arial" w:hAnsi="Verdana" w:cs="Arial"/>
          <w:lang w:val="es-ES" w:eastAsia="es-ES" w:bidi="es-ES"/>
        </w:rPr>
        <w:lastRenderedPageBreak/>
        <w:t>proteger a la entidad pública asegurada frente a los perjuicios que puedan derivarse del incumplimiento, por parte del contratista garantizado, de sus obligaciones laborales respecto al personal vinculado para la ejecución del contrato. La aseguradora, en este contexto, está obligada a indemnizar a la entidad en la medida en que dicho incumplimiento afecte directamente su patrimonio.</w:t>
      </w:r>
    </w:p>
    <w:p w14:paraId="510EFC44" w14:textId="77777777" w:rsidR="00050302" w:rsidRDefault="00050302" w:rsidP="00050302">
      <w:pPr>
        <w:spacing w:after="0" w:line="276" w:lineRule="auto"/>
        <w:ind w:firstLine="703"/>
        <w:jc w:val="both"/>
        <w:rPr>
          <w:rFonts w:ascii="Verdana" w:eastAsia="Arial" w:hAnsi="Verdana" w:cs="Arial"/>
          <w:lang w:eastAsia="es-ES" w:bidi="es-ES"/>
        </w:rPr>
      </w:pPr>
      <w:r w:rsidRPr="007C4353">
        <w:rPr>
          <w:rFonts w:ascii="Verdana" w:eastAsia="Arial" w:hAnsi="Verdana" w:cs="Arial"/>
          <w:lang w:val="es-ES" w:eastAsia="es-ES" w:bidi="es-ES"/>
        </w:rPr>
        <w:t xml:space="preserve">No obstante, el amparo no puede </w:t>
      </w:r>
      <w:r>
        <w:rPr>
          <w:rFonts w:ascii="Verdana" w:eastAsia="Arial" w:hAnsi="Verdana" w:cs="Arial"/>
          <w:lang w:val="es-ES" w:eastAsia="es-ES" w:bidi="es-ES"/>
        </w:rPr>
        <w:t xml:space="preserve">utilizarse </w:t>
      </w:r>
      <w:r w:rsidRPr="007C4353">
        <w:rPr>
          <w:rFonts w:ascii="Verdana" w:eastAsia="Arial" w:hAnsi="Verdana" w:cs="Arial"/>
          <w:lang w:val="es-ES" w:eastAsia="es-ES" w:bidi="es-ES"/>
        </w:rPr>
        <w:t>para cubrir las obligaciones laborales incumplidas por el contratista si los trabajadores afectados no presentan reclamaciones contra la administración pública. Esto se debe a lo establecido en el artículo 34 del Código Sustantivo del Trabajo</w:t>
      </w:r>
      <w:r>
        <w:rPr>
          <w:rStyle w:val="Refdenotaalpie"/>
          <w:rFonts w:ascii="Verdana" w:eastAsia="Arial" w:hAnsi="Verdana" w:cs="Arial"/>
          <w:lang w:val="es-ES" w:eastAsia="es-ES" w:bidi="es-ES"/>
        </w:rPr>
        <w:footnoteReference w:id="5"/>
      </w:r>
      <w:r w:rsidRPr="007C4353">
        <w:rPr>
          <w:rFonts w:ascii="Verdana" w:eastAsia="Arial" w:hAnsi="Verdana" w:cs="Arial"/>
          <w:lang w:val="es-ES" w:eastAsia="es-ES" w:bidi="es-ES"/>
        </w:rPr>
        <w:t>, que limita la responsabilidad solidaria del contratante estatal únicamente a los casos en que los empleados del contratista efectivamente dirijan sus reclamaciones hacia la entidad pública.</w:t>
      </w:r>
      <w:r w:rsidRPr="00914A68">
        <w:rPr>
          <w:rFonts w:ascii="Verdana" w:eastAsia="Arial" w:hAnsi="Verdana" w:cs="Arial"/>
          <w:lang w:eastAsia="es-ES" w:bidi="es-ES"/>
        </w:rPr>
        <w:t xml:space="preserve"> Al respecto, PINO RICCI, expresó que en vigencia del Decreto 679 de 1994</w:t>
      </w:r>
      <w:r w:rsidRPr="00914A68">
        <w:rPr>
          <w:rFonts w:ascii="Verdana" w:eastAsia="Arial" w:hAnsi="Verdana" w:cs="Arial"/>
          <w:vertAlign w:val="superscript"/>
          <w:lang w:eastAsia="es-ES" w:bidi="es-ES"/>
        </w:rPr>
        <w:footnoteReference w:id="6"/>
      </w:r>
      <w:r w:rsidRPr="00914A68">
        <w:rPr>
          <w:rFonts w:ascii="Verdana" w:eastAsia="Arial" w:hAnsi="Verdana" w:cs="Arial"/>
          <w:lang w:eastAsia="es-ES" w:bidi="es-ES"/>
        </w:rPr>
        <w:t>, este amparo “se exigirá en todos los contratos de prestación de servicios y de construcción de obra en los cuales, de acuerdo con el contrato, el contratista emplee terceras personas para el cumplimiento de sus obligaciones, así como en los demás en que la entidad estatal lo considere necesario en virtud del artículo 34 del Código Sustantivo del Trabajo”</w:t>
      </w:r>
      <w:r w:rsidRPr="00914A68">
        <w:rPr>
          <w:rFonts w:ascii="Verdana" w:eastAsia="Arial" w:hAnsi="Verdana" w:cs="Arial"/>
          <w:vertAlign w:val="superscript"/>
          <w:lang w:eastAsia="es-ES" w:bidi="es-ES"/>
        </w:rPr>
        <w:footnoteReference w:id="7"/>
      </w:r>
      <w:r>
        <w:rPr>
          <w:rFonts w:ascii="Verdana" w:eastAsia="Arial" w:hAnsi="Verdana" w:cs="Arial"/>
          <w:lang w:eastAsia="es-ES" w:bidi="es-ES"/>
        </w:rPr>
        <w:t xml:space="preserve">. Así mismo, </w:t>
      </w:r>
      <w:r w:rsidRPr="003A6127">
        <w:rPr>
          <w:rFonts w:ascii="Verdana" w:eastAsia="Arial" w:hAnsi="Verdana" w:cs="Arial"/>
          <w:lang w:eastAsia="es-ES" w:bidi="es-ES"/>
        </w:rPr>
        <w:t xml:space="preserve">PABÓN SANTANDER: </w:t>
      </w:r>
    </w:p>
    <w:p w14:paraId="46F0AAD9" w14:textId="77777777" w:rsidR="00050302" w:rsidRPr="003A6127" w:rsidRDefault="00050302" w:rsidP="00050302">
      <w:pPr>
        <w:spacing w:after="0" w:line="276" w:lineRule="auto"/>
        <w:ind w:firstLine="703"/>
        <w:jc w:val="both"/>
        <w:rPr>
          <w:rFonts w:ascii="Verdana" w:eastAsia="Arial" w:hAnsi="Verdana" w:cs="Arial"/>
          <w:lang w:eastAsia="es-ES" w:bidi="es-ES"/>
        </w:rPr>
      </w:pPr>
    </w:p>
    <w:p w14:paraId="19D72120" w14:textId="77777777" w:rsidR="00050302" w:rsidRPr="003A6127" w:rsidRDefault="00050302" w:rsidP="00050302">
      <w:pPr>
        <w:spacing w:after="0" w:line="240" w:lineRule="auto"/>
        <w:ind w:left="709" w:right="709"/>
        <w:jc w:val="both"/>
        <w:rPr>
          <w:rFonts w:ascii="Verdana" w:eastAsia="Arial" w:hAnsi="Verdana" w:cs="Arial"/>
          <w:sz w:val="20"/>
          <w:lang w:eastAsia="es-ES" w:bidi="es-ES"/>
        </w:rPr>
      </w:pPr>
      <w:r w:rsidRPr="003A6127">
        <w:rPr>
          <w:rFonts w:ascii="Verdana" w:eastAsia="Arial" w:hAnsi="Verdana" w:cs="Arial"/>
          <w:sz w:val="20"/>
          <w:lang w:eastAsia="es-ES" w:bidi="es-ES"/>
        </w:rPr>
        <w:t>[…] la razón de que exista este amparo en las pólizas de cumplimiento, encuentra fundamento en la ley laboral, según la cual existe solidaridad entre el beneficiario de un trabajo y el contratista independiente. Ante ese tipo de responsabilidad, la administración exige que, en el evento en el cual el contratista deje de cumplir sus obligaciones laborales, sea el garante quien asuma esos pagos, para evitar con ello un detrimento patrimonial por reclamaciones de los trabajadores</w:t>
      </w:r>
      <w:r w:rsidRPr="003A6127">
        <w:rPr>
          <w:rFonts w:ascii="Verdana" w:eastAsia="Arial" w:hAnsi="Verdana" w:cs="Arial"/>
          <w:sz w:val="20"/>
          <w:vertAlign w:val="superscript"/>
          <w:lang w:eastAsia="es-ES" w:bidi="es-ES"/>
        </w:rPr>
        <w:footnoteReference w:id="8"/>
      </w:r>
      <w:r w:rsidRPr="003A6127">
        <w:rPr>
          <w:rFonts w:ascii="Verdana" w:eastAsia="Arial" w:hAnsi="Verdana" w:cs="Arial"/>
          <w:sz w:val="20"/>
          <w:lang w:eastAsia="es-ES" w:bidi="es-ES"/>
        </w:rPr>
        <w:t>.</w:t>
      </w:r>
    </w:p>
    <w:p w14:paraId="6D1E7761" w14:textId="77777777" w:rsidR="00050302" w:rsidRPr="00914A68" w:rsidRDefault="00050302" w:rsidP="00050302">
      <w:pPr>
        <w:spacing w:after="120" w:line="276" w:lineRule="auto"/>
        <w:ind w:firstLine="703"/>
        <w:jc w:val="both"/>
        <w:rPr>
          <w:rFonts w:ascii="Verdana" w:eastAsia="Arial" w:hAnsi="Verdana" w:cs="Arial"/>
          <w:lang w:eastAsia="es-ES" w:bidi="es-ES"/>
        </w:rPr>
      </w:pPr>
    </w:p>
    <w:p w14:paraId="44D6AB44" w14:textId="77777777" w:rsidR="00050302" w:rsidRDefault="00050302" w:rsidP="00050302">
      <w:pPr>
        <w:spacing w:after="0" w:line="276" w:lineRule="auto"/>
        <w:ind w:firstLine="703"/>
        <w:jc w:val="both"/>
        <w:rPr>
          <w:rFonts w:ascii="Verdana" w:eastAsia="Arial" w:hAnsi="Verdana" w:cs="Arial"/>
          <w:lang w:eastAsia="es-ES" w:bidi="es-ES"/>
        </w:rPr>
      </w:pPr>
      <w:r>
        <w:rPr>
          <w:rFonts w:ascii="Verdana" w:eastAsia="Arial" w:hAnsi="Verdana" w:cs="Arial"/>
          <w:lang w:val="es-ES" w:eastAsia="es-ES" w:bidi="es-ES"/>
        </w:rPr>
        <w:t xml:space="preserve">En torno a la suficiencia de dicho amparo, el artículo </w:t>
      </w:r>
      <w:r>
        <w:rPr>
          <w:rFonts w:ascii="Verdana" w:eastAsia="Arial" w:hAnsi="Verdana" w:cs="Arial"/>
          <w:bCs/>
          <w:lang w:eastAsia="es-ES" w:bidi="es-ES"/>
        </w:rPr>
        <w:t>2.2.1.2.3.1.13. del Decreto 1082 de 2015 dispone:</w:t>
      </w:r>
      <w:r w:rsidRPr="00B95DAC">
        <w:rPr>
          <w:rFonts w:ascii="Verdana" w:eastAsia="Arial" w:hAnsi="Verdana" w:cs="Arial"/>
          <w:bCs/>
          <w:lang w:eastAsia="es-ES" w:bidi="es-ES"/>
        </w:rPr>
        <w:t xml:space="preserve"> </w:t>
      </w:r>
      <w:r>
        <w:rPr>
          <w:rFonts w:ascii="Verdana" w:eastAsia="Arial" w:hAnsi="Verdana" w:cs="Arial"/>
          <w:bCs/>
          <w:lang w:eastAsia="es-ES" w:bidi="es-ES"/>
        </w:rPr>
        <w:t>“</w:t>
      </w:r>
      <w:r w:rsidRPr="00B95DAC">
        <w:rPr>
          <w:rFonts w:ascii="Verdana" w:eastAsia="Arial" w:hAnsi="Verdana" w:cs="Arial"/>
          <w:bCs/>
          <w:iCs/>
          <w:lang w:eastAsia="es-ES" w:bidi="es-ES"/>
        </w:rPr>
        <w:t>[…]</w:t>
      </w:r>
      <w:r>
        <w:rPr>
          <w:rFonts w:ascii="Verdana" w:eastAsia="Arial" w:hAnsi="Verdana" w:cs="Arial"/>
          <w:bCs/>
          <w:i/>
          <w:iCs/>
          <w:lang w:eastAsia="es-ES" w:bidi="es-ES"/>
        </w:rPr>
        <w:t xml:space="preserve"> </w:t>
      </w:r>
      <w:r w:rsidRPr="00B95DAC">
        <w:rPr>
          <w:rFonts w:ascii="Verdana" w:eastAsia="Arial" w:hAnsi="Verdana" w:cs="Arial"/>
          <w:lang w:eastAsia="es-ES" w:bidi="es-ES"/>
        </w:rPr>
        <w:t>Esta garantía debe estar vigente por el plazo del contrato y tres (3) años más. El valor de la garantía no puede ser inferior al cinco por ciento (5%) del valor total del contrato</w:t>
      </w:r>
      <w:r>
        <w:rPr>
          <w:rFonts w:ascii="Verdana" w:eastAsia="Arial" w:hAnsi="Verdana" w:cs="Arial"/>
          <w:lang w:eastAsia="es-ES" w:bidi="es-ES"/>
        </w:rPr>
        <w:t>”</w:t>
      </w:r>
      <w:r w:rsidRPr="00B95DAC">
        <w:rPr>
          <w:rFonts w:ascii="Verdana" w:eastAsia="Arial" w:hAnsi="Verdana" w:cs="Arial"/>
          <w:lang w:eastAsia="es-ES" w:bidi="es-ES"/>
        </w:rPr>
        <w:t>.</w:t>
      </w:r>
      <w:r>
        <w:rPr>
          <w:rFonts w:ascii="Verdana" w:eastAsia="Arial" w:hAnsi="Verdana" w:cs="Arial"/>
          <w:lang w:eastAsia="es-ES" w:bidi="es-ES"/>
        </w:rPr>
        <w:t xml:space="preserve"> En efecto, </w:t>
      </w:r>
      <w:r w:rsidRPr="00586BE6">
        <w:rPr>
          <w:rFonts w:ascii="Verdana" w:eastAsia="Arial" w:hAnsi="Verdana" w:cs="Arial"/>
          <w:lang w:eastAsia="es-ES" w:bidi="es-ES"/>
        </w:rPr>
        <w:t xml:space="preserve">la vigencia del amparo de pago de salarios y prestaciones sociales </w:t>
      </w:r>
      <w:r>
        <w:rPr>
          <w:rFonts w:ascii="Verdana" w:eastAsia="Arial" w:hAnsi="Verdana" w:cs="Arial"/>
          <w:lang w:eastAsia="es-ES" w:bidi="es-ES"/>
        </w:rPr>
        <w:t>es consistente con</w:t>
      </w:r>
      <w:r w:rsidRPr="00586BE6">
        <w:rPr>
          <w:rFonts w:ascii="Verdana" w:eastAsia="Arial" w:hAnsi="Verdana" w:cs="Arial"/>
          <w:lang w:eastAsia="es-ES" w:bidi="es-ES"/>
        </w:rPr>
        <w:t xml:space="preserve"> el término de prescripción de las acciones laborales. De conformidad con el artículo 488 del </w:t>
      </w:r>
      <w:r>
        <w:rPr>
          <w:rFonts w:ascii="Verdana" w:eastAsia="Arial" w:hAnsi="Verdana" w:cs="Arial"/>
          <w:lang w:eastAsia="es-ES" w:bidi="es-ES"/>
        </w:rPr>
        <w:t>Código Sustantivo del trabajo modificado por el artículo 62 de la Ley 2466 de 2025, que dispone:</w:t>
      </w:r>
    </w:p>
    <w:p w14:paraId="7A75203F" w14:textId="77777777" w:rsidR="00050302" w:rsidRPr="003A6127" w:rsidRDefault="00050302" w:rsidP="00050302">
      <w:pPr>
        <w:spacing w:after="0" w:line="240" w:lineRule="auto"/>
        <w:ind w:firstLine="703"/>
        <w:jc w:val="both"/>
        <w:rPr>
          <w:rFonts w:ascii="Verdana" w:eastAsia="Arial" w:hAnsi="Verdana" w:cs="Arial"/>
          <w:lang w:eastAsia="es-ES" w:bidi="es-ES"/>
        </w:rPr>
      </w:pPr>
    </w:p>
    <w:p w14:paraId="7A631B33" w14:textId="77777777" w:rsidR="00050302" w:rsidRPr="003A6127" w:rsidRDefault="00050302" w:rsidP="00050302">
      <w:pPr>
        <w:spacing w:after="12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 </w:t>
      </w:r>
      <w:r w:rsidRPr="003A6127">
        <w:rPr>
          <w:rFonts w:ascii="Verdana" w:eastAsia="Arial" w:hAnsi="Verdana" w:cs="Arial"/>
          <w:sz w:val="20"/>
          <w:szCs w:val="20"/>
          <w:lang w:eastAsia="es-ES" w:bidi="es-ES"/>
        </w:rPr>
        <w:t>Las acciones correspondientes a los derechos regulados en este Código prescriben en tres (3) años, salvo en los casos de prescripciones especiales establecidas en el Código Procesal del Trabajo y de la Seguridad Social o en el presente estatuto. En el evento en que se reclamen derechos emanados de una relación de trabajo, dicho término se contará desde que la respectiva obligación se hace exigible, salvo en los casos de prescripciones especiales establecidas en el Código Procesal del Trabajo y de la Seguridad Social.</w:t>
      </w:r>
    </w:p>
    <w:p w14:paraId="47177FB8" w14:textId="77777777" w:rsidR="00050302" w:rsidRDefault="00050302" w:rsidP="00050302">
      <w:pPr>
        <w:spacing w:after="120" w:line="276" w:lineRule="auto"/>
        <w:jc w:val="both"/>
        <w:rPr>
          <w:rFonts w:ascii="Verdana" w:eastAsia="Arial" w:hAnsi="Verdana" w:cs="Arial"/>
          <w:lang w:eastAsia="es-ES" w:bidi="es-ES"/>
        </w:rPr>
      </w:pPr>
    </w:p>
    <w:p w14:paraId="6B8B89FC" w14:textId="77777777" w:rsidR="00050302" w:rsidRPr="006A7F4D" w:rsidRDefault="00050302" w:rsidP="00050302">
      <w:pPr>
        <w:spacing w:before="120" w:after="120" w:line="276" w:lineRule="auto"/>
        <w:jc w:val="both"/>
        <w:rPr>
          <w:rFonts w:ascii="Verdana" w:eastAsia="Arial" w:hAnsi="Verdana" w:cs="Arial"/>
          <w:lang w:eastAsia="es-ES" w:bidi="es-ES"/>
        </w:rPr>
      </w:pPr>
      <w:r>
        <w:rPr>
          <w:rFonts w:ascii="Verdana" w:eastAsia="Arial" w:hAnsi="Verdana" w:cs="Arial"/>
          <w:lang w:eastAsia="es-ES" w:bidi="es-ES"/>
        </w:rPr>
        <w:tab/>
      </w:r>
      <w:r w:rsidRPr="00D86956">
        <w:rPr>
          <w:rFonts w:ascii="Verdana" w:eastAsia="Arial" w:hAnsi="Verdana" w:cs="Arial"/>
          <w:lang w:eastAsia="es-ES" w:bidi="es-ES"/>
        </w:rPr>
        <w:t>Teniendo en cuenta lo expuesto, el momento desde el cual debe contarse la vigencia del amparo de pago de salarios, prestaciones sociales e indemnizaciones laborales corresponde al plazo del contrato más tres años adicionales, conforme lo establece el artículo 2.2.1.2.3.1.13 del Decreto 1082 de 2015. Esto significa que el conteo inicia desde la fecha de finalización estipulada en el contrato estatal, es decir, aquella pactada como té</w:t>
      </w:r>
      <w:r>
        <w:rPr>
          <w:rFonts w:ascii="Verdana" w:eastAsia="Arial" w:hAnsi="Verdana" w:cs="Arial"/>
          <w:lang w:eastAsia="es-ES" w:bidi="es-ES"/>
        </w:rPr>
        <w:t>rmino de ejecución contractual. Por tanto, no es procedente</w:t>
      </w:r>
      <w:r w:rsidRPr="00D86956">
        <w:rPr>
          <w:rFonts w:ascii="Verdana" w:eastAsia="Arial" w:hAnsi="Verdana" w:cs="Arial"/>
          <w:lang w:eastAsia="es-ES" w:bidi="es-ES"/>
        </w:rPr>
        <w:t xml:space="preserve"> considerar como punto de </w:t>
      </w:r>
      <w:r w:rsidRPr="00D86956">
        <w:rPr>
          <w:rFonts w:ascii="Verdana" w:eastAsia="Arial" w:hAnsi="Verdana" w:cs="Arial"/>
          <w:lang w:eastAsia="es-ES" w:bidi="es-ES"/>
        </w:rPr>
        <w:lastRenderedPageBreak/>
        <w:t>partida para dicho plazo la fecha de liquidación bilateral del contrato, ni tampoco el vencimiento de otras garantías como la de cumplimiento.</w:t>
      </w:r>
      <w:r>
        <w:rPr>
          <w:rFonts w:ascii="Verdana" w:eastAsia="Arial" w:hAnsi="Verdana" w:cs="Arial"/>
          <w:lang w:eastAsia="es-ES" w:bidi="es-ES"/>
        </w:rPr>
        <w:t xml:space="preserve"> </w:t>
      </w:r>
      <w:r w:rsidRPr="006A7F4D">
        <w:rPr>
          <w:rFonts w:ascii="Verdana" w:eastAsia="Arial" w:hAnsi="Verdana" w:cs="Arial"/>
          <w:lang w:eastAsia="es-ES" w:bidi="es-ES"/>
        </w:rPr>
        <w:t xml:space="preserve"> </w:t>
      </w:r>
    </w:p>
    <w:p w14:paraId="63398813" w14:textId="77777777" w:rsidR="00050302" w:rsidRDefault="00050302" w:rsidP="00050302">
      <w:pPr>
        <w:spacing w:before="120" w:after="120" w:line="276" w:lineRule="auto"/>
        <w:ind w:firstLine="708"/>
        <w:jc w:val="both"/>
        <w:rPr>
          <w:rFonts w:ascii="Verdana" w:eastAsia="Arial" w:hAnsi="Verdana" w:cs="Arial"/>
          <w:lang w:eastAsia="es-ES" w:bidi="es-ES"/>
        </w:rPr>
      </w:pPr>
      <w:r w:rsidRPr="63B6CBD4">
        <w:rPr>
          <w:rFonts w:ascii="Verdana" w:eastAsia="Arial" w:hAnsi="Verdana" w:cs="Arial"/>
          <w:lang w:eastAsia="es-ES" w:bidi="es-ES"/>
        </w:rPr>
        <w:t>Esta precisión busca evitar confusiones y asegurar que los derechos laborales de los trabajadores estén protegidos durante un periodo razonable posterior a la ejecución contractual. El fundamento de este plazo adicional es garantizar que, si surgen reclamaciones laborales después de terminado el contrato, exista un respaldo económico para atenderlas. De este modo, se refuerza la responsabilidad del contratista y se protege a los trabajadores vinculados al contrato, sin depender de otros momentos contractuales, como son la liquidación o el vencimiento de otros amparos.</w:t>
      </w:r>
    </w:p>
    <w:p w14:paraId="312620BD" w14:textId="77777777" w:rsidR="00050302" w:rsidRPr="00FC7238" w:rsidRDefault="00050302" w:rsidP="00050302">
      <w:pPr>
        <w:spacing w:after="12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Esto, sin perjuicio de que, </w:t>
      </w:r>
      <w:r w:rsidRPr="00D86956">
        <w:rPr>
          <w:rFonts w:ascii="Verdana" w:eastAsia="Arial" w:hAnsi="Verdana" w:cs="Arial"/>
          <w:lang w:eastAsia="es-ES" w:bidi="es-ES"/>
        </w:rPr>
        <w:t>en el proceso de liquidación del contrato, la entidad contratante pueda exigir al contratista la ampliación o prórroga de los distintos amparos, incluyendo el correspondiente al pago de salarios, prestaciones sociales e indemnizaciones laborales</w:t>
      </w:r>
      <w:r>
        <w:rPr>
          <w:rFonts w:ascii="Verdana" w:eastAsia="Arial" w:hAnsi="Verdana" w:cs="Arial"/>
          <w:lang w:eastAsia="es-ES" w:bidi="es-ES"/>
        </w:rPr>
        <w:t>, la cual se constituye en una medida para avalar las obligaciones que deba cumplir con posterioridad a la extinción del contrato, de conformidad con el artículo 60 de la Ley 80 de 1993 modificado por el artículo 217 del Decreto Ley 019 de 2012</w:t>
      </w:r>
      <w:r>
        <w:rPr>
          <w:rStyle w:val="Refdenotaalpie"/>
          <w:rFonts w:ascii="Verdana" w:eastAsia="Arial" w:hAnsi="Verdana" w:cs="Arial"/>
          <w:lang w:eastAsia="es-ES" w:bidi="es-ES"/>
        </w:rPr>
        <w:footnoteReference w:id="9"/>
      </w:r>
      <w:r>
        <w:rPr>
          <w:rFonts w:ascii="Verdana" w:eastAsia="Arial" w:hAnsi="Verdana" w:cs="Arial"/>
          <w:lang w:eastAsia="es-ES" w:bidi="es-ES"/>
        </w:rPr>
        <w:t xml:space="preserve">.  </w:t>
      </w:r>
    </w:p>
    <w:p w14:paraId="1EC2B25A" w14:textId="77777777" w:rsidR="00050302" w:rsidRPr="00AF5A10" w:rsidRDefault="00050302" w:rsidP="00050302">
      <w:pPr>
        <w:spacing w:after="120" w:line="276" w:lineRule="auto"/>
        <w:jc w:val="both"/>
        <w:rPr>
          <w:rFonts w:ascii="Verdana" w:eastAsia="Times New Roman" w:hAnsi="Verdana" w:cs="Arial"/>
          <w:color w:val="000000" w:themeColor="text1"/>
          <w:lang w:eastAsia="es-CO"/>
        </w:rPr>
      </w:pPr>
    </w:p>
    <w:bookmarkEnd w:id="1"/>
    <w:p w14:paraId="2E40E94F" w14:textId="77777777" w:rsidR="00050302" w:rsidRPr="00B81A80" w:rsidRDefault="00050302" w:rsidP="00050302">
      <w:pPr>
        <w:spacing w:after="120" w:line="276" w:lineRule="auto"/>
        <w:jc w:val="both"/>
        <w:rPr>
          <w:rFonts w:ascii="Verdana" w:eastAsia="Calibri" w:hAnsi="Verdana" w:cs="Arial"/>
          <w:color w:val="000000" w:themeColor="text1"/>
          <w:lang w:val="es-ES"/>
        </w:rPr>
      </w:pPr>
      <w:r w:rsidRPr="63B6CBD4">
        <w:rPr>
          <w:rFonts w:ascii="Verdana" w:eastAsia="Calibri" w:hAnsi="Verdana" w:cs="Arial"/>
          <w:color w:val="000000" w:themeColor="text1"/>
          <w:lang w:val="es-ES"/>
        </w:rPr>
        <w:t xml:space="preserve">iii. Al </w:t>
      </w:r>
      <w:r w:rsidRPr="63B6CBD4">
        <w:rPr>
          <w:rFonts w:ascii="Verdana" w:hAnsi="Verdana" w:cs="Arial"/>
          <w:lang w:val="es-ES" w:eastAsia="es-ES"/>
        </w:rPr>
        <w:t xml:space="preserve">margen de la explicación precedente debe advertirse que el análisis requerido para resolver problemas específicos en torno al amparo de pago de salarios, prestaciones sociales e indemnizaciones laborales debe realizarse por quienes tengan interés en ello, de acuerdo con lo explicado la aclaración preliminar del presente oficio. De esta manera, las afirmaciones aquí realizadas no pueden ser interpretadas como juicios de valor sobre circunstancias concretas </w:t>
      </w:r>
      <w:r w:rsidRPr="63B6CBD4">
        <w:rPr>
          <w:rFonts w:ascii="Verdana" w:hAnsi="Verdana" w:cs="Arial"/>
          <w:lang w:val="es-ES" w:eastAsia="es-ES"/>
        </w:rPr>
        <w:lastRenderedPageBreak/>
        <w:t>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B434189" w14:textId="77777777" w:rsidR="00050302" w:rsidRPr="00B17041" w:rsidRDefault="00050302" w:rsidP="00050302">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 xml:space="preserve">definirá </w:t>
      </w:r>
      <w:r w:rsidRPr="00B17041">
        <w:rPr>
          <w:rFonts w:ascii="Verdana" w:hAnsi="Verdana" w:cs="Arial"/>
          <w:lang w:val="es-ES" w:eastAsia="es-ES"/>
        </w:rPr>
        <w:t>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45F276B" w14:textId="0B7B5105" w:rsidR="00050302" w:rsidRDefault="00050302" w:rsidP="00050302">
      <w:pPr>
        <w:spacing w:after="0" w:line="276" w:lineRule="auto"/>
        <w:jc w:val="both"/>
        <w:rPr>
          <w:rFonts w:ascii="Verdana" w:eastAsia="Calibri" w:hAnsi="Verdana" w:cs="Arial"/>
          <w:lang w:val="es-ES" w:eastAsia="es-MX"/>
        </w:rPr>
      </w:pPr>
    </w:p>
    <w:p w14:paraId="31781128" w14:textId="77777777" w:rsidR="00050302" w:rsidRPr="00B57A1B" w:rsidRDefault="00050302" w:rsidP="0005030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66370AD7" w14:textId="77777777" w:rsidR="00050302" w:rsidRPr="00B57A1B" w:rsidRDefault="00050302" w:rsidP="0005030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50302" w:rsidRPr="00B57A1B" w14:paraId="5C7E224F" w14:textId="77777777" w:rsidTr="00D5791E">
        <w:trPr>
          <w:trHeight w:val="487"/>
          <w:jc w:val="center"/>
        </w:trPr>
        <w:tc>
          <w:tcPr>
            <w:tcW w:w="8647" w:type="dxa"/>
          </w:tcPr>
          <w:p w14:paraId="68A7B5BE" w14:textId="77777777" w:rsidR="00050302"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Código Sustantivo del Trabajo, artículos 34 y 488. </w:t>
            </w:r>
          </w:p>
          <w:p w14:paraId="04F4197C" w14:textId="77777777" w:rsidR="00050302"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80 de 1993, artículo 60.</w:t>
            </w:r>
          </w:p>
          <w:p w14:paraId="23826D42" w14:textId="77777777" w:rsidR="00050302" w:rsidRPr="00DB74ED"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F81BF0">
              <w:rPr>
                <w:rFonts w:ascii="Verdana" w:eastAsia="Arial MT" w:hAnsi="Verdana" w:cs="Arial"/>
                <w:lang w:val="es-ES" w:eastAsia="es-ES" w:bidi="es-ES"/>
              </w:rPr>
              <w:t xml:space="preserve">Ley 1150 de 2007, artículo 7. </w:t>
            </w:r>
          </w:p>
          <w:p w14:paraId="5DA65431" w14:textId="77777777" w:rsidR="00050302" w:rsidRPr="003251D6"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F81BF0">
              <w:rPr>
                <w:rFonts w:ascii="Verdana" w:eastAsia="Arial MT" w:hAnsi="Verdana" w:cs="Arial"/>
                <w:lang w:val="es-ES" w:eastAsia="es-ES" w:bidi="es-ES"/>
              </w:rPr>
              <w:t xml:space="preserve">Decreto 1082 de 2015, artículos 2.2.1.1.1.6.1, 2.2.1.1.2.1.1 y 2.2.1.1.2.1.3 y 2.2.1.2.3.1.1 a 2.2.1.2.3.1.19. </w:t>
            </w:r>
          </w:p>
          <w:p w14:paraId="50F8C620" w14:textId="77777777" w:rsidR="00050302" w:rsidRPr="003251D6"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251D6">
              <w:rPr>
                <w:rFonts w:ascii="Verdana" w:eastAsia="Arial MT" w:hAnsi="Verdana" w:cs="Arial"/>
                <w:lang w:val="es-ES" w:eastAsia="es-ES" w:bidi="es-ES"/>
              </w:rPr>
              <w:t>CONSEJO DE ESTADO. Sección Tercera. Subsección A. Sentencia del 12 de febrero de 2015. Exp.  28278. C.P. Carlos Alberto Zambrano Barrera.</w:t>
            </w:r>
          </w:p>
          <w:p w14:paraId="72D589CC" w14:textId="77777777" w:rsidR="00050302" w:rsidRPr="003251D6"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251D6">
              <w:rPr>
                <w:rFonts w:ascii="Verdana" w:eastAsia="Arial MT" w:hAnsi="Verdana" w:cs="Arial"/>
                <w:lang w:val="es-ES" w:eastAsia="es-ES" w:bidi="es-ES"/>
              </w:rPr>
              <w:t xml:space="preserve">COLOMBIA COMPRA EFICIENTE. Guía de garantías en procesos de contratación. Disponible en: https://www.colombiacompra.gov.co/manuales-guias-y-pliegos-tipo/manuales-y-guias. </w:t>
            </w:r>
          </w:p>
          <w:p w14:paraId="05143E97" w14:textId="77777777" w:rsidR="00050302" w:rsidRPr="003251D6"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251D6">
              <w:rPr>
                <w:rFonts w:ascii="Verdana" w:eastAsia="Arial MT" w:hAnsi="Verdana" w:cs="Arial"/>
                <w:lang w:val="es-ES" w:eastAsia="es-ES" w:bidi="es-ES"/>
              </w:rPr>
              <w:t xml:space="preserve">ORDÓÑEZ ORDÓÑEZ, Andrés E. Seguro de cumplimiento de los contratos estatales en Colombia. Bogotá: Universidad Externado de Colombia, 2011. </w:t>
            </w:r>
          </w:p>
          <w:p w14:paraId="74B1D47C" w14:textId="77777777" w:rsidR="00050302" w:rsidRPr="003251D6"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251D6">
              <w:rPr>
                <w:rFonts w:ascii="Verdana" w:eastAsia="Arial MT" w:hAnsi="Verdana" w:cs="Arial"/>
                <w:lang w:val="es-ES" w:eastAsia="es-ES" w:bidi="es-ES"/>
              </w:rPr>
              <w:t xml:space="preserve">PABÓN SANTANDER, Antonio. El siniestro en la garantía de </w:t>
            </w:r>
            <w:r w:rsidRPr="003251D6">
              <w:rPr>
                <w:rFonts w:ascii="Verdana" w:eastAsia="Arial MT" w:hAnsi="Verdana" w:cs="Arial"/>
                <w:lang w:val="es-ES" w:eastAsia="es-ES" w:bidi="es-ES"/>
              </w:rPr>
              <w:lastRenderedPageBreak/>
              <w:t>cumplimiento dentro del marco de la Ley 80 de 1993. En: Universitas(Bogotá) n°93. Pp. 49-60. Dic. 1997.</w:t>
            </w:r>
          </w:p>
          <w:p w14:paraId="65318AA3" w14:textId="77777777" w:rsidR="00050302" w:rsidRPr="003251D6" w:rsidRDefault="00050302" w:rsidP="00D5791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251D6">
              <w:rPr>
                <w:rFonts w:ascii="Verdana" w:eastAsia="Arial MT" w:hAnsi="Verdana" w:cs="Arial"/>
                <w:lang w:val="es-ES" w:eastAsia="es-ES" w:bidi="es-ES"/>
              </w:rPr>
              <w:t xml:space="preserve">PINO RICCI, Jorge. El régimen jurídico de los contratos estatales. Bogotá: Universidad Externado de Colombia, 2005, pp. 387-388. </w:t>
            </w:r>
          </w:p>
          <w:p w14:paraId="38A07724" w14:textId="77777777" w:rsidR="00050302" w:rsidRDefault="00050302" w:rsidP="00D5791E">
            <w:pPr>
              <w:widowControl w:val="0"/>
              <w:numPr>
                <w:ilvl w:val="0"/>
                <w:numId w:val="17"/>
              </w:numPr>
              <w:autoSpaceDE w:val="0"/>
              <w:autoSpaceDN w:val="0"/>
              <w:spacing w:before="120" w:line="276" w:lineRule="auto"/>
              <w:ind w:left="714" w:hanging="357"/>
              <w:jc w:val="both"/>
              <w:rPr>
                <w:rFonts w:ascii="Verdana" w:eastAsia="Arial MT" w:hAnsi="Verdana" w:cs="Arial"/>
                <w:lang w:val="es-ES" w:eastAsia="es-ES" w:bidi="es-ES"/>
              </w:rPr>
            </w:pPr>
            <w:r w:rsidRPr="003251D6">
              <w:rPr>
                <w:rFonts w:ascii="Verdana" w:eastAsia="Arial MT" w:hAnsi="Verdana" w:cs="Arial"/>
                <w:lang w:val="es-ES" w:eastAsia="es-ES" w:bidi="es-ES"/>
              </w:rPr>
              <w:t>RICO PUERTA, Luis Alonso. Teoría general y práctica de la contratación estatal conforme con la Ley 1150 de 2007. 5 ed. Bogotá: Leyer, 2007.</w:t>
            </w:r>
          </w:p>
          <w:p w14:paraId="7F077771" w14:textId="77777777" w:rsidR="00050302" w:rsidRPr="00EF647F" w:rsidRDefault="00050302" w:rsidP="00D5791E">
            <w:pPr>
              <w:widowControl w:val="0"/>
              <w:autoSpaceDE w:val="0"/>
              <w:autoSpaceDN w:val="0"/>
              <w:spacing w:line="276" w:lineRule="auto"/>
              <w:jc w:val="both"/>
              <w:rPr>
                <w:rFonts w:ascii="Verdana" w:eastAsia="Arial MT" w:hAnsi="Verdana" w:cs="Arial"/>
                <w:lang w:val="es-ES" w:eastAsia="es-ES" w:bidi="es-ES"/>
              </w:rPr>
            </w:pPr>
            <w:r w:rsidRPr="00F81BF0">
              <w:rPr>
                <w:rFonts w:ascii="Verdana" w:eastAsia="Arial MT" w:hAnsi="Verdana" w:cs="Arial"/>
                <w:lang w:val="es-ES" w:eastAsia="es-ES" w:bidi="es-ES"/>
              </w:rPr>
              <w:t xml:space="preserve"> </w:t>
            </w:r>
            <w:r>
              <w:rPr>
                <w:rFonts w:ascii="Verdana" w:eastAsia="Arial MT" w:hAnsi="Verdana" w:cs="Arial"/>
                <w:lang w:val="es-ES" w:eastAsia="es-ES" w:bidi="es-ES"/>
              </w:rPr>
              <w:t xml:space="preserve"> </w:t>
            </w:r>
          </w:p>
        </w:tc>
      </w:tr>
    </w:tbl>
    <w:p w14:paraId="3C6FBE5F" w14:textId="7E2B7877" w:rsidR="00050302" w:rsidRDefault="00050302" w:rsidP="00050302">
      <w:pPr>
        <w:widowControl w:val="0"/>
        <w:spacing w:after="0" w:line="276" w:lineRule="auto"/>
        <w:jc w:val="both"/>
        <w:rPr>
          <w:rFonts w:ascii="Verdana" w:hAnsi="Verdana" w:cs="Arial"/>
        </w:rPr>
      </w:pPr>
    </w:p>
    <w:p w14:paraId="25E70B45" w14:textId="77777777" w:rsidR="00050302" w:rsidRPr="00B57A1B" w:rsidRDefault="00050302" w:rsidP="0005030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2BA817DB" w14:textId="77777777" w:rsidR="00050302" w:rsidRDefault="00050302" w:rsidP="00050302">
      <w:pPr>
        <w:widowControl w:val="0"/>
        <w:spacing w:after="0" w:line="276" w:lineRule="auto"/>
        <w:jc w:val="both"/>
        <w:rPr>
          <w:rFonts w:ascii="Verdana" w:hAnsi="Verdana" w:cs="Arial"/>
        </w:rPr>
      </w:pPr>
    </w:p>
    <w:p w14:paraId="6AA7F277" w14:textId="77777777" w:rsidR="00050302" w:rsidRPr="007D6CC8" w:rsidRDefault="00050302" w:rsidP="00050302">
      <w:pPr>
        <w:widowControl w:val="0"/>
        <w:autoSpaceDE w:val="0"/>
        <w:autoSpaceDN w:val="0"/>
        <w:spacing w:after="0" w:line="276" w:lineRule="auto"/>
        <w:jc w:val="both"/>
        <w:rPr>
          <w:rFonts w:ascii="Verdana" w:hAnsi="Verdana" w:cs="Arial"/>
          <w:shd w:val="clear" w:color="auto" w:fill="FFFFFF"/>
        </w:rPr>
      </w:pPr>
      <w:r w:rsidRPr="00B547DE">
        <w:rPr>
          <w:rFonts w:ascii="Verdana" w:eastAsia="Calibri" w:hAnsi="Verdana" w:cs="Arial"/>
          <w:lang w:val="es-ES"/>
        </w:rPr>
        <w:t>La Agencia Nacional de Contratación Pública – Colombia Compra Eficiente se ha</w:t>
      </w:r>
      <w:r>
        <w:rPr>
          <w:rFonts w:ascii="Verdana" w:eastAsia="Calibri" w:hAnsi="Verdana" w:cs="Arial"/>
          <w:lang w:val="es-ES"/>
        </w:rPr>
        <w:t xml:space="preserve"> pronunciado </w:t>
      </w:r>
      <w:r w:rsidRPr="00106FA6">
        <w:rPr>
          <w:rFonts w:ascii="Verdana" w:eastAsia="Calibri" w:hAnsi="Verdana" w:cs="Arial"/>
          <w:shd w:val="clear" w:color="auto" w:fill="FFFFFF"/>
        </w:rPr>
        <w:t>sobre el régimen de garantías en los Conceptos 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w:t>
      </w:r>
      <w:r>
        <w:rPr>
          <w:rFonts w:ascii="Verdana" w:eastAsia="Calibri" w:hAnsi="Verdana" w:cs="Arial"/>
          <w:shd w:val="clear" w:color="auto" w:fill="FFFFFF"/>
        </w:rPr>
        <w:t>,</w:t>
      </w:r>
      <w:r w:rsidRPr="00106FA6">
        <w:rPr>
          <w:rFonts w:ascii="Verdana" w:eastAsia="Calibri" w:hAnsi="Verdana" w:cs="Arial"/>
          <w:shd w:val="clear" w:color="auto" w:fill="FFFFFF"/>
        </w:rPr>
        <w:t xml:space="preserve"> C-306 del 12 de agosto de 2024</w:t>
      </w:r>
      <w:r>
        <w:rPr>
          <w:rFonts w:ascii="Verdana" w:eastAsia="Calibri" w:hAnsi="Verdana" w:cs="Arial"/>
          <w:shd w:val="clear" w:color="auto" w:fill="FFFFFF"/>
        </w:rPr>
        <w:t>, C-099 del 21 de febrero de 2025, entre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80DAB21" w14:textId="77777777" w:rsidR="00050302" w:rsidRPr="00185EE9" w:rsidRDefault="00E06563" w:rsidP="00050302">
      <w:pPr>
        <w:spacing w:after="0" w:line="256" w:lineRule="auto"/>
        <w:jc w:val="both"/>
        <w:rPr>
          <w:rFonts w:ascii="Verdana" w:eastAsia="Calibri" w:hAnsi="Verdana" w:cs="Times New Roman"/>
        </w:rPr>
      </w:pPr>
      <w:hyperlink r:id="rId14" w:history="1">
        <w:r w:rsidR="00050302" w:rsidRPr="00F14AAD">
          <w:rPr>
            <w:rStyle w:val="Hipervnculo"/>
            <w:rFonts w:ascii="Verdana" w:eastAsia="Calibri" w:hAnsi="Verdana" w:cs="Times New Roman"/>
            <w:lang w:val="es-ES"/>
          </w:rPr>
          <w:t>https://relatoria.colombiacompra.gov.co/busqueda/conceptos</w:t>
        </w:r>
      </w:hyperlink>
      <w:r w:rsidR="00050302" w:rsidRPr="00185EE9">
        <w:rPr>
          <w:rFonts w:ascii="Verdana" w:eastAsia="Calibri" w:hAnsi="Verdana" w:cs="Times New Roman"/>
        </w:rPr>
        <w:t xml:space="preserve">. </w:t>
      </w:r>
    </w:p>
    <w:p w14:paraId="513BB5A8" w14:textId="421039F5" w:rsidR="00050302" w:rsidRDefault="00050302" w:rsidP="00050302">
      <w:pPr>
        <w:spacing w:after="0"/>
        <w:jc w:val="both"/>
        <w:rPr>
          <w:rFonts w:ascii="Verdana" w:hAnsi="Verdana"/>
        </w:rPr>
      </w:pPr>
    </w:p>
    <w:p w14:paraId="7AB4C9D1" w14:textId="77777777" w:rsidR="00050302" w:rsidRPr="00B57A1B" w:rsidRDefault="00050302" w:rsidP="00050302">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04AF4453" w14:textId="77777777" w:rsidR="00050302" w:rsidRPr="00B57A1B" w:rsidRDefault="00050302" w:rsidP="00050302">
      <w:pPr>
        <w:spacing w:after="0" w:line="240" w:lineRule="auto"/>
        <w:jc w:val="both"/>
        <w:rPr>
          <w:rFonts w:ascii="Verdana" w:hAnsi="Verdana"/>
        </w:rPr>
      </w:pPr>
    </w:p>
    <w:p w14:paraId="52DCDF1F" w14:textId="77777777" w:rsidR="00050302" w:rsidRPr="00B57A1B" w:rsidRDefault="00050302" w:rsidP="00050302">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E688039" w14:textId="77777777" w:rsidR="00050302" w:rsidRPr="00B57A1B" w:rsidRDefault="00050302" w:rsidP="00050302">
      <w:pPr>
        <w:spacing w:after="0" w:line="256" w:lineRule="auto"/>
        <w:jc w:val="both"/>
        <w:rPr>
          <w:rFonts w:ascii="Verdana" w:eastAsia="Calibri" w:hAnsi="Verdana" w:cs="Times New Roman"/>
        </w:rPr>
      </w:pPr>
    </w:p>
    <w:p w14:paraId="0A0C145B" w14:textId="77777777" w:rsidR="00050302" w:rsidRDefault="00050302" w:rsidP="00050302">
      <w:pPr>
        <w:spacing w:after="0" w:line="256" w:lineRule="auto"/>
        <w:jc w:val="both"/>
        <w:rPr>
          <w:rFonts w:ascii="Verdana" w:eastAsia="Calibri" w:hAnsi="Verdana" w:cs="Times New Roman"/>
        </w:rPr>
      </w:pPr>
      <w:r w:rsidRPr="46F2DD8A">
        <w:rPr>
          <w:rFonts w:ascii="Verdana" w:eastAsia="Calibri" w:hAnsi="Verdana" w:cs="Times New Roman"/>
        </w:rPr>
        <w:t>Atentamente,</w:t>
      </w:r>
    </w:p>
    <w:p w14:paraId="0C758E1A" w14:textId="77777777" w:rsidR="00050302" w:rsidRPr="00624164" w:rsidRDefault="00050302" w:rsidP="00050302">
      <w:pPr>
        <w:spacing w:after="0" w:line="256" w:lineRule="auto"/>
        <w:jc w:val="both"/>
        <w:rPr>
          <w:rFonts w:ascii="Verdana" w:eastAsia="Calibri" w:hAnsi="Verdana" w:cs="Times New Roman"/>
          <w:noProof/>
        </w:rPr>
      </w:pPr>
    </w:p>
    <w:p w14:paraId="14D920EA" w14:textId="1F9D1E43" w:rsidR="00050302" w:rsidRDefault="00050302" w:rsidP="00050302">
      <w:pPr>
        <w:spacing w:after="0" w:line="256" w:lineRule="auto"/>
        <w:jc w:val="center"/>
        <w:rPr>
          <w:noProof/>
          <w:lang w:val="en-US"/>
        </w:rPr>
      </w:pPr>
    </w:p>
    <w:p w14:paraId="699EBC04" w14:textId="59B448DB" w:rsidR="00DE3A60" w:rsidRDefault="00DE3A60" w:rsidP="00050302">
      <w:pPr>
        <w:spacing w:after="0" w:line="256" w:lineRule="auto"/>
        <w:jc w:val="center"/>
      </w:pPr>
      <w:r>
        <w:rPr>
          <w:noProof/>
          <w:lang w:val="en-US"/>
        </w:rPr>
        <w:drawing>
          <wp:inline distT="0" distB="0" distL="0" distR="0" wp14:anchorId="745BCF93" wp14:editId="1E1F6006">
            <wp:extent cx="3271520" cy="1371691"/>
            <wp:effectExtent l="0" t="0" r="5080" b="0"/>
            <wp:docPr id="4" name="Imagen 4" descr="C:\Users\José Luis\OneDrive\Documentos\COLOMBIA COMPRA EFICIENTE\2025\REPARTO\C-800 PAGO DE LA SEGURIDAD SOCIAL- REFORMA PENSIONAL 14-07-2025\thumbnail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é Luis\OneDrive\Documentos\COLOMBIA COMPRA EFICIENTE\2025\REPARTO\C-800 PAGO DE LA SEGURIDAD SOCIAL- REFORMA PENSIONAL 14-07-2025\thumbnail_imag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47209" cy="1403426"/>
                    </a:xfrm>
                    <a:prstGeom prst="rect">
                      <a:avLst/>
                    </a:prstGeom>
                    <a:noFill/>
                    <a:ln>
                      <a:noFill/>
                    </a:ln>
                  </pic:spPr>
                </pic:pic>
              </a:graphicData>
            </a:graphic>
          </wp:inline>
        </w:drawing>
      </w:r>
    </w:p>
    <w:p w14:paraId="68D05D97" w14:textId="77777777" w:rsidR="00050302" w:rsidRDefault="00050302" w:rsidP="00050302">
      <w:pPr>
        <w:spacing w:after="0" w:line="256" w:lineRule="auto"/>
        <w:jc w:val="cente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50302" w:rsidRPr="00624164" w14:paraId="1696D5FD" w14:textId="77777777" w:rsidTr="00D5791E">
        <w:trPr>
          <w:trHeight w:val="409"/>
        </w:trPr>
        <w:tc>
          <w:tcPr>
            <w:tcW w:w="817" w:type="dxa"/>
            <w:tcBorders>
              <w:top w:val="nil"/>
              <w:left w:val="nil"/>
              <w:bottom w:val="nil"/>
              <w:right w:val="nil"/>
            </w:tcBorders>
            <w:vAlign w:val="center"/>
            <w:hideMark/>
          </w:tcPr>
          <w:p w14:paraId="1CA3469F"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ED8F04B"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José Luis Sánchez Cardona</w:t>
            </w:r>
          </w:p>
          <w:p w14:paraId="23873F5F"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Contratista de la Subdirección de Gestión Contractual</w:t>
            </w:r>
          </w:p>
        </w:tc>
        <w:bookmarkStart w:id="5" w:name="_GoBack"/>
        <w:bookmarkEnd w:id="5"/>
      </w:tr>
      <w:tr w:rsidR="00050302" w:rsidRPr="00624164" w14:paraId="5F9C0102" w14:textId="77777777" w:rsidTr="00D5791E">
        <w:trPr>
          <w:trHeight w:val="409"/>
        </w:trPr>
        <w:tc>
          <w:tcPr>
            <w:tcW w:w="817" w:type="dxa"/>
            <w:tcBorders>
              <w:top w:val="nil"/>
              <w:left w:val="nil"/>
              <w:bottom w:val="nil"/>
              <w:right w:val="nil"/>
            </w:tcBorders>
            <w:vAlign w:val="center"/>
            <w:hideMark/>
          </w:tcPr>
          <w:p w14:paraId="339C0069"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2C88A26"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Alejandro Sarmiento Cantillo</w:t>
            </w:r>
          </w:p>
          <w:p w14:paraId="62688AA7"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Gestor T1-15 de la Subdirección de Gestión Contractual </w:t>
            </w:r>
          </w:p>
        </w:tc>
      </w:tr>
      <w:tr w:rsidR="00050302" w:rsidRPr="00624164" w14:paraId="24E803B4" w14:textId="77777777" w:rsidTr="00D5791E">
        <w:trPr>
          <w:trHeight w:val="389"/>
        </w:trPr>
        <w:tc>
          <w:tcPr>
            <w:tcW w:w="817" w:type="dxa"/>
            <w:tcBorders>
              <w:top w:val="nil"/>
              <w:left w:val="nil"/>
              <w:bottom w:val="nil"/>
              <w:right w:val="nil"/>
            </w:tcBorders>
            <w:vAlign w:val="center"/>
            <w:hideMark/>
          </w:tcPr>
          <w:p w14:paraId="7EDFA07C"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41CB16D"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Ana María Tolosa Rico</w:t>
            </w:r>
          </w:p>
          <w:p w14:paraId="3BCF9085" w14:textId="77777777" w:rsidR="00050302" w:rsidRPr="00624164" w:rsidRDefault="00050302" w:rsidP="00D5791E">
            <w:pPr>
              <w:spacing w:after="0" w:line="240" w:lineRule="auto"/>
              <w:rPr>
                <w:rFonts w:ascii="Verdana" w:eastAsia="Calibri" w:hAnsi="Verdana" w:cs="Times New Roman"/>
                <w:sz w:val="16"/>
                <w:szCs w:val="16"/>
              </w:rPr>
            </w:pPr>
            <w:r w:rsidRPr="00624164">
              <w:rPr>
                <w:rFonts w:ascii="Verdana" w:eastAsia="Calibri" w:hAnsi="Verdana" w:cs="Times New Roman"/>
                <w:sz w:val="16"/>
                <w:szCs w:val="16"/>
              </w:rPr>
              <w:t xml:space="preserve">Subdirectora de Gestión Contractual ANCP – CCE ( E ) </w:t>
            </w:r>
          </w:p>
        </w:tc>
      </w:tr>
    </w:tbl>
    <w:p w14:paraId="73E2CB82" w14:textId="77777777" w:rsidR="00050302" w:rsidRPr="0024624F" w:rsidRDefault="00050302" w:rsidP="00050302">
      <w:pPr>
        <w:spacing w:after="0"/>
        <w:rPr>
          <w:rFonts w:ascii="Verdana" w:hAnsi="Verdana"/>
        </w:rPr>
      </w:pPr>
    </w:p>
    <w:bookmarkEnd w:id="0"/>
    <w:p w14:paraId="57F5CF85" w14:textId="77777777" w:rsidR="003251D6" w:rsidRPr="00050302" w:rsidRDefault="003251D6" w:rsidP="00050302"/>
    <w:sectPr w:rsidR="003251D6" w:rsidRPr="00050302"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F5CCCC" w14:textId="77777777" w:rsidR="00E06563" w:rsidRDefault="00E06563" w:rsidP="004A1847">
      <w:pPr>
        <w:spacing w:after="0" w:line="240" w:lineRule="auto"/>
      </w:pPr>
      <w:r>
        <w:separator/>
      </w:r>
    </w:p>
  </w:endnote>
  <w:endnote w:type="continuationSeparator" w:id="0">
    <w:p w14:paraId="53EE63EB" w14:textId="77777777" w:rsidR="00E06563" w:rsidRDefault="00E0656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B95DAC" w:rsidRDefault="00B95DAC">
    <w:pPr>
      <w:pStyle w:val="Piedepgina"/>
    </w:pPr>
  </w:p>
  <w:p w14:paraId="594D6D9F" w14:textId="55E7C1F0" w:rsidR="00B95DAC" w:rsidRPr="00174B77" w:rsidRDefault="00B95DAC"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E3A60" w:rsidRPr="00DE3A60">
      <w:rPr>
        <w:rFonts w:ascii="Verdana" w:eastAsiaTheme="minorEastAsia" w:hAnsi="Verdana"/>
        <w:b/>
        <w:bCs/>
        <w:noProof/>
        <w:sz w:val="16"/>
        <w:szCs w:val="16"/>
      </w:rPr>
      <w:t>15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95DAC" w:rsidRDefault="00B95DAC"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95DAC" w:rsidRPr="00E41027" w:rsidRDefault="00B95DAC"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95DAC" w:rsidRDefault="00B95DAC">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864B19" w14:textId="77777777" w:rsidR="00E06563" w:rsidRDefault="00E06563" w:rsidP="004A1847">
      <w:pPr>
        <w:spacing w:after="0" w:line="240" w:lineRule="auto"/>
      </w:pPr>
      <w:r>
        <w:separator/>
      </w:r>
    </w:p>
  </w:footnote>
  <w:footnote w:type="continuationSeparator" w:id="0">
    <w:p w14:paraId="06C7A5AE" w14:textId="77777777" w:rsidR="00E06563" w:rsidRDefault="00E06563" w:rsidP="004A1847">
      <w:pPr>
        <w:spacing w:after="0" w:line="240" w:lineRule="auto"/>
      </w:pPr>
      <w:r>
        <w:continuationSeparator/>
      </w:r>
    </w:p>
  </w:footnote>
  <w:footnote w:id="1">
    <w:p w14:paraId="6B02739E" w14:textId="77777777" w:rsidR="00050302" w:rsidRPr="00683240" w:rsidRDefault="00050302" w:rsidP="00050302">
      <w:pPr>
        <w:pStyle w:val="Textonotapie"/>
        <w:ind w:firstLine="708"/>
        <w:rPr>
          <w:rFonts w:ascii="Verdana" w:hAnsi="Verdana" w:cs="Arial"/>
          <w:sz w:val="16"/>
          <w:szCs w:val="16"/>
        </w:rPr>
      </w:pPr>
      <w:r w:rsidRPr="00683240">
        <w:rPr>
          <w:rStyle w:val="Refdenotaalpie"/>
          <w:rFonts w:ascii="Verdana" w:hAnsi="Verdana" w:cs="Arial"/>
          <w:sz w:val="16"/>
          <w:szCs w:val="16"/>
        </w:rPr>
        <w:footnoteRef/>
      </w:r>
      <w:r w:rsidRPr="00683240">
        <w:rPr>
          <w:rFonts w:ascii="Verdana" w:hAnsi="Verdana" w:cs="Arial"/>
          <w:sz w:val="16"/>
          <w:szCs w:val="16"/>
        </w:rPr>
        <w:t xml:space="preserve"> COLOMBIA COMPRA EFICIENTE. Guía de garantías en procesos de contratación. p. 12. Disponible en: </w:t>
      </w:r>
      <w:hyperlink r:id="rId1" w:history="1">
        <w:r w:rsidRPr="00683240">
          <w:rPr>
            <w:rStyle w:val="Hipervnculo"/>
            <w:rFonts w:ascii="Verdana" w:hAnsi="Verdana" w:cs="Arial"/>
            <w:sz w:val="16"/>
            <w:szCs w:val="16"/>
          </w:rPr>
          <w:t>https://www.colombiacompra.gov.co/manuales-guias-y-pliegos-tipo/manuales-y-guias</w:t>
        </w:r>
      </w:hyperlink>
      <w:r w:rsidRPr="00683240">
        <w:rPr>
          <w:rFonts w:ascii="Verdana" w:hAnsi="Verdana" w:cs="Arial"/>
          <w:sz w:val="16"/>
          <w:szCs w:val="16"/>
        </w:rPr>
        <w:t xml:space="preserve">. </w:t>
      </w:r>
    </w:p>
    <w:p w14:paraId="581A5894" w14:textId="77777777" w:rsidR="00050302" w:rsidRPr="00683240" w:rsidRDefault="00050302" w:rsidP="00050302">
      <w:pPr>
        <w:pStyle w:val="Textonotapie"/>
        <w:ind w:firstLine="708"/>
        <w:rPr>
          <w:rFonts w:ascii="Verdana" w:hAnsi="Verdana" w:cs="Arial"/>
          <w:sz w:val="16"/>
          <w:szCs w:val="16"/>
          <w:lang w:val="es-CO"/>
        </w:rPr>
      </w:pPr>
    </w:p>
  </w:footnote>
  <w:footnote w:id="2">
    <w:p w14:paraId="05C4FA10" w14:textId="77777777" w:rsidR="00050302" w:rsidRDefault="00050302" w:rsidP="00050302">
      <w:pPr>
        <w:pStyle w:val="Textonotapie"/>
        <w:ind w:firstLine="708"/>
        <w:jc w:val="both"/>
        <w:rPr>
          <w:rFonts w:ascii="Verdana" w:hAnsi="Verdana" w:cs="Arial"/>
          <w:sz w:val="16"/>
          <w:szCs w:val="16"/>
        </w:rPr>
      </w:pPr>
      <w:r w:rsidRPr="00683240">
        <w:rPr>
          <w:rStyle w:val="Refdenotaalpie"/>
          <w:rFonts w:ascii="Verdana" w:hAnsi="Verdana" w:cs="Arial"/>
          <w:sz w:val="16"/>
          <w:szCs w:val="16"/>
        </w:rPr>
        <w:footnoteRef/>
      </w:r>
      <w:r w:rsidRPr="00683240">
        <w:rPr>
          <w:rFonts w:ascii="Verdana" w:hAnsi="Verdana" w:cs="Arial"/>
          <w:sz w:val="16"/>
          <w:szCs w:val="16"/>
        </w:rPr>
        <w:t xml:space="preserve"> Ibídem., p. 17. La guía además señala en relación con las garantías bancarias y c</w:t>
      </w:r>
      <w:r>
        <w:rPr>
          <w:rFonts w:ascii="Verdana" w:hAnsi="Verdana" w:cs="Arial"/>
          <w:sz w:val="16"/>
          <w:szCs w:val="16"/>
        </w:rPr>
        <w:t>artas de crédito stand by, que “</w:t>
      </w:r>
      <w:r w:rsidRPr="00683240">
        <w:rPr>
          <w:rFonts w:ascii="Verdana" w:hAnsi="Verdana" w:cs="Arial"/>
          <w:sz w:val="16"/>
          <w:szCs w:val="16"/>
        </w:rPr>
        <w:t xml:space="preserve">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w:t>
      </w:r>
      <w:r>
        <w:rPr>
          <w:rFonts w:ascii="Verdana" w:hAnsi="Verdana" w:cs="Arial"/>
          <w:sz w:val="16"/>
          <w:szCs w:val="16"/>
        </w:rPr>
        <w:t>o contratista”</w:t>
      </w:r>
      <w:r w:rsidRPr="00683240">
        <w:rPr>
          <w:rFonts w:ascii="Verdana" w:hAnsi="Verdana" w:cs="Arial"/>
          <w:sz w:val="16"/>
          <w:szCs w:val="16"/>
        </w:rPr>
        <w:t>.</w:t>
      </w:r>
    </w:p>
    <w:p w14:paraId="70B9F88C" w14:textId="77777777" w:rsidR="00050302" w:rsidRPr="00683240" w:rsidRDefault="00050302" w:rsidP="00050302">
      <w:pPr>
        <w:pStyle w:val="Textonotapie"/>
        <w:ind w:firstLine="708"/>
        <w:jc w:val="both"/>
        <w:rPr>
          <w:rFonts w:ascii="Verdana" w:hAnsi="Verdana" w:cs="Arial"/>
          <w:sz w:val="16"/>
          <w:szCs w:val="16"/>
        </w:rPr>
      </w:pPr>
    </w:p>
  </w:footnote>
  <w:footnote w:id="3">
    <w:p w14:paraId="298110AA" w14:textId="77777777" w:rsidR="00050302" w:rsidRDefault="00050302" w:rsidP="00050302">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p w14:paraId="576922B2" w14:textId="77777777" w:rsidR="00050302" w:rsidRPr="00D8787B" w:rsidRDefault="00050302" w:rsidP="00050302">
      <w:pPr>
        <w:pStyle w:val="Textonotapie"/>
        <w:snapToGrid w:val="0"/>
        <w:ind w:firstLine="708"/>
        <w:contextualSpacing/>
        <w:jc w:val="both"/>
        <w:rPr>
          <w:rFonts w:ascii="Verdana" w:hAnsi="Verdana" w:cs="Arial"/>
          <w:sz w:val="16"/>
          <w:szCs w:val="16"/>
        </w:rPr>
      </w:pPr>
    </w:p>
  </w:footnote>
  <w:footnote w:id="4">
    <w:p w14:paraId="7764F7CD" w14:textId="77777777" w:rsidR="00050302" w:rsidRPr="00D8787B" w:rsidRDefault="00050302" w:rsidP="00050302">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5">
    <w:p w14:paraId="77837E50" w14:textId="77777777" w:rsidR="00050302" w:rsidRPr="002E5B15" w:rsidRDefault="00050302" w:rsidP="00050302">
      <w:pPr>
        <w:pStyle w:val="Textonotapie"/>
        <w:ind w:firstLine="708"/>
        <w:jc w:val="both"/>
        <w:rPr>
          <w:rFonts w:ascii="Verdana" w:hAnsi="Verdana"/>
          <w:sz w:val="16"/>
          <w:szCs w:val="16"/>
          <w:lang w:val="es-CO"/>
        </w:rPr>
      </w:pPr>
      <w:r w:rsidRPr="002E5B15">
        <w:rPr>
          <w:rStyle w:val="Refdenotaalpie"/>
          <w:rFonts w:ascii="Verdana" w:hAnsi="Verdana"/>
          <w:sz w:val="16"/>
          <w:szCs w:val="16"/>
        </w:rPr>
        <w:footnoteRef/>
      </w:r>
      <w:r w:rsidRPr="002E5B15">
        <w:rPr>
          <w:rFonts w:ascii="Verdana" w:hAnsi="Verdana"/>
          <w:sz w:val="16"/>
          <w:szCs w:val="16"/>
        </w:rPr>
        <w:t xml:space="preserve"> </w:t>
      </w:r>
      <w:bookmarkStart w:id="3" w:name="34"/>
      <w:r w:rsidRPr="002E5B15">
        <w:rPr>
          <w:rFonts w:ascii="Verdana" w:hAnsi="Verdana"/>
          <w:bCs/>
          <w:sz w:val="16"/>
          <w:szCs w:val="16"/>
          <w:lang w:val="es-CO"/>
        </w:rPr>
        <w:t>ARTÍCULO 34. </w:t>
      </w:r>
      <w:r w:rsidRPr="002E5B15">
        <w:rPr>
          <w:rFonts w:ascii="Verdana" w:hAnsi="Verdana"/>
          <w:bCs/>
          <w:i/>
          <w:iCs/>
          <w:sz w:val="16"/>
          <w:szCs w:val="16"/>
          <w:lang w:val="es-CO"/>
        </w:rPr>
        <w:t>CONTRATISTAS Y SUBCONTRATISTAS.</w:t>
      </w:r>
      <w:bookmarkEnd w:id="3"/>
      <w:r w:rsidRPr="002E5B15">
        <w:rPr>
          <w:rFonts w:ascii="Verdana" w:hAnsi="Verdana"/>
          <w:bCs/>
          <w:sz w:val="16"/>
          <w:szCs w:val="16"/>
          <w:lang w:val="es-CO"/>
        </w:rPr>
        <w:t> </w:t>
      </w:r>
      <w:r w:rsidRPr="002E5B15">
        <w:rPr>
          <w:rFonts w:ascii="Verdana" w:hAnsi="Verdana"/>
          <w:sz w:val="16"/>
          <w:szCs w:val="16"/>
          <w:lang w:val="es-CO"/>
        </w:rPr>
        <w:t>&lt;Artículo modificado por el artículo </w:t>
      </w:r>
      <w:hyperlink r:id="rId2" w:anchor="44" w:history="1">
        <w:r w:rsidRPr="002E5B15">
          <w:rPr>
            <w:rStyle w:val="Hipervnculo"/>
            <w:rFonts w:ascii="Verdana" w:hAnsi="Verdana"/>
            <w:color w:val="auto"/>
            <w:sz w:val="16"/>
            <w:szCs w:val="16"/>
            <w:lang w:val="es-CO"/>
          </w:rPr>
          <w:t>44</w:t>
        </w:r>
      </w:hyperlink>
      <w:r w:rsidRPr="002E5B15">
        <w:rPr>
          <w:rFonts w:ascii="Verdana" w:hAnsi="Verdana"/>
          <w:sz w:val="16"/>
          <w:szCs w:val="16"/>
          <w:lang w:val="es-CO"/>
        </w:rPr>
        <w:t> de la Ley 2466 de 2025. El nuevo texto es el siguiente:&gt;</w:t>
      </w:r>
    </w:p>
    <w:p w14:paraId="0A91B33C" w14:textId="77777777" w:rsidR="00050302" w:rsidRPr="002E5B15" w:rsidRDefault="00050302" w:rsidP="00050302">
      <w:pPr>
        <w:pStyle w:val="Textonotapie"/>
        <w:ind w:firstLine="708"/>
        <w:jc w:val="both"/>
        <w:rPr>
          <w:rFonts w:ascii="Verdana" w:hAnsi="Verdana"/>
          <w:sz w:val="16"/>
          <w:szCs w:val="16"/>
          <w:lang w:val="es-CO"/>
        </w:rPr>
      </w:pPr>
      <w:r w:rsidRPr="002E5B15">
        <w:rPr>
          <w:rFonts w:ascii="Verdana" w:hAnsi="Verdana"/>
          <w:sz w:val="16"/>
          <w:szCs w:val="16"/>
          <w:lang w:val="es-CO"/>
        </w:rPr>
        <w:t>1. Son contratistas y subcontratistas, personas naturales o jurídicas quienes contraten en beneficio de terceros, cualquiera que sea el acto que le dé origen, la ejecución de obras, trabajos o la prestación de servicios, por un precio determinado, asumiendo todos los riesgos, para realizarlos con sus propios medios y con libertad y autonomía técnica y directiva.</w:t>
      </w:r>
    </w:p>
    <w:p w14:paraId="1295B521" w14:textId="77777777" w:rsidR="00050302" w:rsidRPr="002E5B15" w:rsidRDefault="00050302" w:rsidP="00050302">
      <w:pPr>
        <w:pStyle w:val="Textonotapie"/>
        <w:ind w:firstLine="708"/>
        <w:jc w:val="both"/>
        <w:rPr>
          <w:rFonts w:ascii="Verdana" w:hAnsi="Verdana"/>
          <w:sz w:val="16"/>
          <w:szCs w:val="16"/>
          <w:lang w:val="es-CO"/>
        </w:rPr>
      </w:pPr>
      <w:r w:rsidRPr="002E5B15">
        <w:rPr>
          <w:rFonts w:ascii="Verdana" w:hAnsi="Verdana"/>
          <w:sz w:val="16"/>
          <w:szCs w:val="16"/>
          <w:lang w:val="es-CO"/>
        </w:rPr>
        <w:t>2. Las personas naturales o jurídicas que contraten o subcontraten la realización de obras o servicios, serán solidariamente responsables con el contratista por el valor de los salarios y de las prestaciones e indemnizaciones a que tengan derecho los trabajadores, a menos que se trate de labores extrañas a las actividades normales de su empresa o negocio. Solidaridad que no obsta para que el beneficiario estipule con el contratista las garantías del caso o para que repita contra él lo pagado a esos trabajadores.</w:t>
      </w:r>
    </w:p>
    <w:p w14:paraId="14526C89" w14:textId="77777777" w:rsidR="00050302" w:rsidRPr="002E5B15" w:rsidRDefault="00050302" w:rsidP="00050302">
      <w:pPr>
        <w:pStyle w:val="Textonotapie"/>
        <w:ind w:firstLine="708"/>
        <w:rPr>
          <w:lang w:val="es-CO"/>
        </w:rPr>
      </w:pPr>
    </w:p>
  </w:footnote>
  <w:footnote w:id="6">
    <w:p w14:paraId="391A8A6D" w14:textId="77777777" w:rsidR="00050302" w:rsidRDefault="00050302" w:rsidP="00050302">
      <w:pPr>
        <w:pStyle w:val="Textonotapie"/>
        <w:ind w:firstLine="708"/>
        <w:jc w:val="both"/>
        <w:rPr>
          <w:rFonts w:ascii="Verdana" w:hAnsi="Verdana"/>
          <w:sz w:val="16"/>
          <w:szCs w:val="16"/>
        </w:rPr>
      </w:pPr>
      <w:r w:rsidRPr="00FD3AD2">
        <w:rPr>
          <w:rStyle w:val="Refdenotaalpie"/>
          <w:rFonts w:ascii="Verdana" w:hAnsi="Verdana"/>
          <w:sz w:val="16"/>
          <w:szCs w:val="16"/>
        </w:rPr>
        <w:footnoteRef/>
      </w:r>
      <w:r w:rsidRPr="00FD3AD2">
        <w:rPr>
          <w:rFonts w:ascii="Verdana" w:hAnsi="Verdana"/>
          <w:sz w:val="16"/>
          <w:szCs w:val="16"/>
        </w:rPr>
        <w:t xml:space="preserve">Derogado por el Decreto 734 de 2012, que a su vez lo fue por el 1510 de 2013 y este por el 1082 de 2015. </w:t>
      </w:r>
    </w:p>
    <w:p w14:paraId="4A3D5C73" w14:textId="77777777" w:rsidR="00050302" w:rsidRPr="00FD3AD2" w:rsidRDefault="00050302" w:rsidP="00050302">
      <w:pPr>
        <w:pStyle w:val="Textonotapie"/>
        <w:ind w:firstLine="708"/>
        <w:jc w:val="both"/>
        <w:rPr>
          <w:rFonts w:ascii="Verdana" w:hAnsi="Verdana"/>
          <w:sz w:val="16"/>
          <w:szCs w:val="16"/>
        </w:rPr>
      </w:pPr>
    </w:p>
  </w:footnote>
  <w:footnote w:id="7">
    <w:p w14:paraId="2F10945A" w14:textId="77777777" w:rsidR="00050302" w:rsidRDefault="00050302" w:rsidP="00050302">
      <w:pPr>
        <w:pStyle w:val="Textonotapie"/>
        <w:ind w:firstLine="708"/>
        <w:jc w:val="both"/>
        <w:rPr>
          <w:rFonts w:ascii="Verdana" w:hAnsi="Verdana"/>
          <w:sz w:val="16"/>
          <w:szCs w:val="16"/>
        </w:rPr>
      </w:pPr>
      <w:r w:rsidRPr="006A7F4D">
        <w:rPr>
          <w:rStyle w:val="Refdenotaalpie"/>
          <w:rFonts w:ascii="Verdana" w:hAnsi="Verdana"/>
          <w:sz w:val="16"/>
          <w:szCs w:val="16"/>
        </w:rPr>
        <w:footnoteRef/>
      </w:r>
      <w:r>
        <w:rPr>
          <w:rFonts w:ascii="Verdana" w:hAnsi="Verdana"/>
          <w:sz w:val="16"/>
          <w:szCs w:val="16"/>
          <w:lang w:val="es-CO"/>
        </w:rPr>
        <w:t xml:space="preserve"> </w:t>
      </w:r>
      <w:r w:rsidRPr="006A7F4D">
        <w:rPr>
          <w:rFonts w:ascii="Verdana" w:hAnsi="Verdana"/>
          <w:sz w:val="16"/>
          <w:szCs w:val="16"/>
          <w:lang w:val="es-CO"/>
        </w:rPr>
        <w:t xml:space="preserve">PINO RICCI, Jorge. El régimen jurídico de los contratos estatales. Bogotá: Universidad Externado de Colombia, 2005, </w:t>
      </w:r>
      <w:r w:rsidRPr="006A7F4D">
        <w:rPr>
          <w:rFonts w:ascii="Verdana" w:hAnsi="Verdana"/>
          <w:sz w:val="16"/>
          <w:szCs w:val="16"/>
        </w:rPr>
        <w:t xml:space="preserve">pp.387-388. En doctrina más reciente, RICO PUERTA llega a la misma conclusión; esto es, a que es una garantía mediante la cual la entidad se blinda contra la posibilidad de que el contratista no cumpla con las obligaciones contraídas con el personal que emplea para ejecutar el objeto contractual; y a que es una garantía que, además de los lineamientos respecto del empleo de terceras personas en la ejecución contractual, debe tener en cuenta las relaciones derivadas, en particular, del artículo 34 del Código Sustantivo del Trabajo. (Cfr. RICO PUERTA, Luis Alonso. </w:t>
      </w:r>
      <w:r w:rsidRPr="006A7F4D">
        <w:rPr>
          <w:rFonts w:ascii="Verdana" w:hAnsi="Verdana"/>
          <w:i/>
          <w:sz w:val="16"/>
          <w:szCs w:val="16"/>
        </w:rPr>
        <w:t xml:space="preserve">Teoría general y práctica de la contratación estatal conforme con la Ley 1150 de 2007. 5 ed. </w:t>
      </w:r>
      <w:r w:rsidRPr="006A7F4D">
        <w:rPr>
          <w:rFonts w:ascii="Verdana" w:hAnsi="Verdana"/>
          <w:sz w:val="16"/>
          <w:szCs w:val="16"/>
        </w:rPr>
        <w:t xml:space="preserve">Bogotá: Leyer, 2007.pp. 708-709.) </w:t>
      </w:r>
    </w:p>
    <w:p w14:paraId="2A17FBBE" w14:textId="77777777" w:rsidR="00050302" w:rsidRPr="006A7F4D" w:rsidRDefault="00050302" w:rsidP="00050302">
      <w:pPr>
        <w:pStyle w:val="Textonotapie"/>
        <w:ind w:firstLine="708"/>
        <w:jc w:val="both"/>
        <w:rPr>
          <w:rFonts w:ascii="Verdana" w:hAnsi="Verdana"/>
          <w:sz w:val="16"/>
          <w:szCs w:val="16"/>
        </w:rPr>
      </w:pPr>
    </w:p>
  </w:footnote>
  <w:footnote w:id="8">
    <w:p w14:paraId="75216097" w14:textId="77777777" w:rsidR="00050302" w:rsidRPr="00FB2DB1" w:rsidRDefault="00050302" w:rsidP="00050302">
      <w:pPr>
        <w:pStyle w:val="Textonotapie"/>
        <w:ind w:firstLine="708"/>
        <w:jc w:val="both"/>
        <w:rPr>
          <w:rFonts w:ascii="Bookman Old Style" w:hAnsi="Bookman Old Style"/>
          <w:i/>
        </w:rPr>
      </w:pPr>
      <w:r w:rsidRPr="006A7F4D">
        <w:rPr>
          <w:rStyle w:val="Refdenotaalpie"/>
          <w:rFonts w:ascii="Verdana" w:hAnsi="Verdana"/>
          <w:sz w:val="16"/>
          <w:szCs w:val="16"/>
        </w:rPr>
        <w:footnoteRef/>
      </w:r>
      <w:r>
        <w:rPr>
          <w:rFonts w:ascii="Verdana" w:hAnsi="Verdana"/>
          <w:sz w:val="16"/>
          <w:szCs w:val="16"/>
        </w:rPr>
        <w:t xml:space="preserve"> </w:t>
      </w:r>
      <w:r w:rsidRPr="006A7F4D">
        <w:rPr>
          <w:rFonts w:ascii="Verdana" w:hAnsi="Verdana"/>
          <w:sz w:val="16"/>
          <w:szCs w:val="16"/>
        </w:rPr>
        <w:t xml:space="preserve">PABÓN SANTANDER, Antonio. </w:t>
      </w:r>
      <w:r w:rsidRPr="006A7F4D">
        <w:rPr>
          <w:rFonts w:ascii="Verdana" w:hAnsi="Verdana"/>
          <w:i/>
          <w:sz w:val="16"/>
          <w:szCs w:val="16"/>
        </w:rPr>
        <w:t xml:space="preserve">El siniestro en la garantía de cumplimiento dentro del marco de la Ley 80 de 1993. </w:t>
      </w:r>
      <w:r w:rsidRPr="006A7F4D">
        <w:rPr>
          <w:rFonts w:ascii="Verdana" w:hAnsi="Verdana"/>
          <w:sz w:val="16"/>
          <w:szCs w:val="16"/>
        </w:rPr>
        <w:t xml:space="preserve">En: </w:t>
      </w:r>
      <w:r w:rsidRPr="006A7F4D">
        <w:rPr>
          <w:rFonts w:ascii="Verdana" w:hAnsi="Verdana"/>
          <w:i/>
          <w:sz w:val="16"/>
          <w:szCs w:val="16"/>
        </w:rPr>
        <w:t>Universitas</w:t>
      </w:r>
      <w:r w:rsidRPr="006A7F4D">
        <w:rPr>
          <w:rFonts w:ascii="Verdana" w:hAnsi="Verdana"/>
          <w:sz w:val="16"/>
          <w:szCs w:val="16"/>
        </w:rPr>
        <w:t xml:space="preserve">(Bogotá) n°93. Pp. 49-60. Dic. 1997. </w:t>
      </w:r>
      <w:r>
        <w:rPr>
          <w:rFonts w:ascii="Verdana" w:hAnsi="Verdana"/>
          <w:sz w:val="16"/>
          <w:szCs w:val="16"/>
        </w:rPr>
        <w:t>p</w:t>
      </w:r>
      <w:r w:rsidRPr="006A7F4D">
        <w:rPr>
          <w:rFonts w:ascii="Verdana" w:hAnsi="Verdana"/>
          <w:sz w:val="16"/>
          <w:szCs w:val="16"/>
        </w:rPr>
        <w:t xml:space="preserve"> .52.</w:t>
      </w:r>
      <w:r>
        <w:rPr>
          <w:rFonts w:ascii="Bookman Old Style" w:hAnsi="Bookman Old Style"/>
        </w:rPr>
        <w:t xml:space="preserve"> </w:t>
      </w:r>
    </w:p>
  </w:footnote>
  <w:footnote w:id="9">
    <w:p w14:paraId="1C838661" w14:textId="77777777" w:rsidR="00050302" w:rsidRPr="00DB74ED" w:rsidRDefault="00050302" w:rsidP="00050302">
      <w:pPr>
        <w:pStyle w:val="Textonotapie"/>
        <w:ind w:firstLine="708"/>
        <w:jc w:val="both"/>
        <w:rPr>
          <w:rFonts w:ascii="Verdana" w:hAnsi="Verdana"/>
          <w:sz w:val="16"/>
          <w:szCs w:val="16"/>
          <w:lang w:val="es-CO"/>
        </w:rPr>
      </w:pPr>
      <w:r w:rsidRPr="00DB74ED">
        <w:rPr>
          <w:rStyle w:val="Refdenotaalpie"/>
          <w:rFonts w:ascii="Verdana" w:hAnsi="Verdana"/>
          <w:sz w:val="16"/>
          <w:szCs w:val="16"/>
        </w:rPr>
        <w:footnoteRef/>
      </w:r>
      <w:r w:rsidRPr="00DB74ED">
        <w:rPr>
          <w:rFonts w:ascii="Verdana" w:hAnsi="Verdana"/>
          <w:sz w:val="16"/>
          <w:szCs w:val="16"/>
        </w:rPr>
        <w:t xml:space="preserve"> </w:t>
      </w:r>
      <w:bookmarkStart w:id="4" w:name="60"/>
      <w:r w:rsidRPr="00DB74ED">
        <w:rPr>
          <w:rFonts w:ascii="Verdana" w:hAnsi="Verdana"/>
          <w:bCs/>
          <w:sz w:val="16"/>
          <w:szCs w:val="16"/>
          <w:lang w:val="es-CO"/>
        </w:rPr>
        <w:t>ARTÍCULO 60. DE LA OCURRENCIA Y CONTENIDO DE LA LIQUIDACIÓN.</w:t>
      </w:r>
      <w:bookmarkEnd w:id="4"/>
      <w:r w:rsidRPr="00DB74ED">
        <w:rPr>
          <w:rFonts w:ascii="Verdana" w:hAnsi="Verdana"/>
          <w:sz w:val="16"/>
          <w:szCs w:val="16"/>
          <w:lang w:val="es-CO"/>
        </w:rPr>
        <w:t> &lt;Artículo modificado por el artículo </w:t>
      </w:r>
      <w:hyperlink r:id="rId3" w:anchor="217" w:history="1">
        <w:r w:rsidRPr="00DB74ED">
          <w:rPr>
            <w:rStyle w:val="Hipervnculo"/>
            <w:rFonts w:ascii="Verdana" w:hAnsi="Verdana"/>
            <w:color w:val="auto"/>
            <w:sz w:val="16"/>
            <w:szCs w:val="16"/>
            <w:u w:val="none"/>
            <w:lang w:val="es-CO"/>
          </w:rPr>
          <w:t>217</w:t>
        </w:r>
      </w:hyperlink>
      <w:r w:rsidRPr="00DB74ED">
        <w:rPr>
          <w:rFonts w:ascii="Verdana" w:hAnsi="Verdana"/>
          <w:sz w:val="16"/>
          <w:szCs w:val="16"/>
          <w:lang w:val="es-CO"/>
        </w:rPr>
        <w:t> del Decreto 19 de 2012. El nuevo texto es el siguiente:&gt; Los contratos de tracto sucesivo, aquellos cuya ejecución o cumplimiento se prolongue en el tiempo y los demás que lo requieran, serán objeto de liquidación.</w:t>
      </w:r>
    </w:p>
    <w:p w14:paraId="7CC70516" w14:textId="77777777" w:rsidR="00050302" w:rsidRPr="00DB74ED" w:rsidRDefault="00050302" w:rsidP="00050302">
      <w:pPr>
        <w:pStyle w:val="Textonotapie"/>
        <w:ind w:firstLine="708"/>
        <w:jc w:val="both"/>
        <w:rPr>
          <w:rFonts w:ascii="Verdana" w:hAnsi="Verdana"/>
          <w:sz w:val="16"/>
          <w:szCs w:val="16"/>
          <w:lang w:val="es-CO"/>
        </w:rPr>
      </w:pPr>
      <w:r w:rsidRPr="00DB74ED">
        <w:rPr>
          <w:rFonts w:ascii="Verdana" w:hAnsi="Verdana"/>
          <w:sz w:val="16"/>
          <w:szCs w:val="16"/>
          <w:lang w:val="es-CO"/>
        </w:rPr>
        <w:t>También en esta etapa las partes acordarán los ajustes, revisiones y reconocimientos a que haya lugar.</w:t>
      </w:r>
    </w:p>
    <w:p w14:paraId="7A1B12A0" w14:textId="77777777" w:rsidR="00050302" w:rsidRPr="00DB74ED" w:rsidRDefault="00050302" w:rsidP="00050302">
      <w:pPr>
        <w:pStyle w:val="Textonotapie"/>
        <w:ind w:firstLine="708"/>
        <w:jc w:val="both"/>
        <w:rPr>
          <w:rFonts w:ascii="Verdana" w:hAnsi="Verdana"/>
          <w:sz w:val="16"/>
          <w:szCs w:val="16"/>
          <w:lang w:val="es-CO"/>
        </w:rPr>
      </w:pPr>
      <w:r w:rsidRPr="00DB74ED">
        <w:rPr>
          <w:rFonts w:ascii="Verdana" w:hAnsi="Verdana"/>
          <w:sz w:val="16"/>
          <w:szCs w:val="16"/>
          <w:lang w:val="es-CO"/>
        </w:rPr>
        <w:t>En el acta de liquidación constarán los acuerdos, conciliaciones y transacciones a que llegaren las partes para poner fin a las divergencias presentadas y poder declararse a paz y salvo.</w:t>
      </w:r>
    </w:p>
    <w:p w14:paraId="7BA68B38" w14:textId="77777777" w:rsidR="00050302" w:rsidRPr="00DB74ED" w:rsidRDefault="00050302" w:rsidP="00050302">
      <w:pPr>
        <w:pStyle w:val="Textonotapie"/>
        <w:ind w:firstLine="708"/>
        <w:jc w:val="both"/>
        <w:rPr>
          <w:rFonts w:ascii="Verdana" w:hAnsi="Verdana"/>
          <w:sz w:val="16"/>
          <w:szCs w:val="16"/>
          <w:lang w:val="es-CO"/>
        </w:rPr>
      </w:pPr>
      <w:r>
        <w:rPr>
          <w:rFonts w:ascii="Verdana" w:hAnsi="Verdana"/>
          <w:sz w:val="16"/>
          <w:szCs w:val="16"/>
          <w:lang w:val="es-CO"/>
        </w:rPr>
        <w:t>Para l</w:t>
      </w:r>
      <w:r w:rsidRPr="00DB74ED">
        <w:rPr>
          <w:rFonts w:ascii="Verdana" w:hAnsi="Verdana"/>
          <w:sz w:val="16"/>
          <w:szCs w:val="16"/>
          <w:lang w:val="es-CO"/>
        </w:rPr>
        <w:t>a liquidac</w:t>
      </w:r>
      <w:r>
        <w:rPr>
          <w:rFonts w:ascii="Verdana" w:hAnsi="Verdana"/>
          <w:sz w:val="16"/>
          <w:szCs w:val="16"/>
          <w:lang w:val="es-CO"/>
        </w:rPr>
        <w:t>ión se exigirá al contratista la</w:t>
      </w:r>
      <w:r w:rsidRPr="00DB74ED">
        <w:rPr>
          <w:rFonts w:ascii="Verdana" w:hAnsi="Verdana"/>
          <w:sz w:val="16"/>
          <w:szCs w:val="16"/>
          <w:lang w:val="es-CO"/>
        </w:rPr>
        <w:t xml:space="preserve"> extensión o </w:t>
      </w:r>
      <w:r>
        <w:rPr>
          <w:rFonts w:ascii="Verdana" w:hAnsi="Verdana"/>
          <w:sz w:val="16"/>
          <w:szCs w:val="16"/>
          <w:lang w:val="es-CO"/>
        </w:rPr>
        <w:t>ampliación, si es del caso, de la garantía del contrato a la estabilidad de la obra, a l</w:t>
      </w:r>
      <w:r w:rsidRPr="00DB74ED">
        <w:rPr>
          <w:rFonts w:ascii="Verdana" w:hAnsi="Verdana"/>
          <w:sz w:val="16"/>
          <w:szCs w:val="16"/>
          <w:lang w:val="es-CO"/>
        </w:rPr>
        <w:t>a calidad del bien o servicio</w:t>
      </w:r>
      <w:r>
        <w:rPr>
          <w:rFonts w:ascii="Verdana" w:hAnsi="Verdana"/>
          <w:sz w:val="16"/>
          <w:szCs w:val="16"/>
          <w:lang w:val="es-CO"/>
        </w:rPr>
        <w:t xml:space="preserve"> suministrado, a l</w:t>
      </w:r>
      <w:r w:rsidRPr="00DB74ED">
        <w:rPr>
          <w:rFonts w:ascii="Verdana" w:hAnsi="Verdana"/>
          <w:sz w:val="16"/>
          <w:szCs w:val="16"/>
          <w:lang w:val="es-CO"/>
        </w:rPr>
        <w:t>a provisión de repuestos y accesorios, al pago de salarios, pres</w:t>
      </w:r>
      <w:r>
        <w:rPr>
          <w:rFonts w:ascii="Verdana" w:hAnsi="Verdana"/>
          <w:sz w:val="16"/>
          <w:szCs w:val="16"/>
          <w:lang w:val="es-CO"/>
        </w:rPr>
        <w:t>taciones e indemnizaciones, a la</w:t>
      </w:r>
      <w:r w:rsidRPr="00DB74ED">
        <w:rPr>
          <w:rFonts w:ascii="Verdana" w:hAnsi="Verdana"/>
          <w:sz w:val="16"/>
          <w:szCs w:val="16"/>
          <w:lang w:val="es-CO"/>
        </w:rPr>
        <w:t xml:space="preserve"> responsabilidad civil y, en general, para avalar las obligaciones que deb</w:t>
      </w:r>
      <w:r>
        <w:rPr>
          <w:rFonts w:ascii="Verdana" w:hAnsi="Verdana"/>
          <w:sz w:val="16"/>
          <w:szCs w:val="16"/>
          <w:lang w:val="es-CO"/>
        </w:rPr>
        <w:t>a cumplir con posterioridad a la</w:t>
      </w:r>
      <w:r w:rsidRPr="00DB74ED">
        <w:rPr>
          <w:rFonts w:ascii="Verdana" w:hAnsi="Verdana"/>
          <w:sz w:val="16"/>
          <w:szCs w:val="16"/>
          <w:lang w:val="es-CO"/>
        </w:rPr>
        <w:t xml:space="preserve"> extinción del contrato.</w:t>
      </w:r>
    </w:p>
    <w:p w14:paraId="3F37D05D" w14:textId="77777777" w:rsidR="00050302" w:rsidRPr="00DB74ED" w:rsidRDefault="00050302" w:rsidP="00050302">
      <w:pPr>
        <w:pStyle w:val="Textonotapie"/>
        <w:ind w:firstLine="708"/>
        <w:jc w:val="both"/>
        <w:rPr>
          <w:rFonts w:ascii="Verdana" w:hAnsi="Verdana"/>
          <w:sz w:val="16"/>
          <w:szCs w:val="16"/>
          <w:lang w:val="es-CO"/>
        </w:rPr>
      </w:pPr>
      <w:r w:rsidRPr="00DB74ED">
        <w:rPr>
          <w:rFonts w:ascii="Verdana" w:hAnsi="Verdana"/>
          <w:sz w:val="16"/>
          <w:szCs w:val="16"/>
          <w:lang w:val="es-CO"/>
        </w:rPr>
        <w:t>La liquidación a que se refiere el presente artículo no será obligatoria en los contratos de prestación de servic</w:t>
      </w:r>
      <w:r>
        <w:rPr>
          <w:rFonts w:ascii="Verdana" w:hAnsi="Verdana"/>
          <w:sz w:val="16"/>
          <w:szCs w:val="16"/>
          <w:lang w:val="es-CO"/>
        </w:rPr>
        <w:t>ios profesionales y de apoyo a ñ</w:t>
      </w:r>
      <w:r w:rsidRPr="00DB74ED">
        <w:rPr>
          <w:rFonts w:ascii="Verdana" w:hAnsi="Verdana"/>
          <w:sz w:val="16"/>
          <w:szCs w:val="16"/>
          <w:lang w:val="es-CO"/>
        </w:rPr>
        <w:t>a gestión.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B95DAC" w:rsidRDefault="00B95DAC"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95DAC" w:rsidRDefault="00B95DAC">
    <w:pPr>
      <w:pStyle w:val="Encabezado"/>
    </w:pPr>
  </w:p>
  <w:p w14:paraId="5E18350A" w14:textId="705F7B76" w:rsidR="00B95DAC" w:rsidRPr="004A305D" w:rsidRDefault="00B95DAC" w:rsidP="00B01B1A">
    <w:pPr>
      <w:spacing w:after="0" w:line="120" w:lineRule="auto"/>
      <w:rPr>
        <w:rFonts w:ascii="Century Gothic" w:eastAsia="Geo" w:hAnsi="Century Gothic" w:cs="Geo"/>
        <w:sz w:val="16"/>
        <w:szCs w:val="16"/>
        <w:lang w:eastAsia="es-CO"/>
      </w:rPr>
    </w:pPr>
  </w:p>
  <w:p w14:paraId="211B7F5D" w14:textId="77777777" w:rsidR="00B95DAC" w:rsidRDefault="00B95DAC" w:rsidP="00844AE9">
    <w:pPr>
      <w:spacing w:after="0" w:line="240" w:lineRule="auto"/>
      <w:rPr>
        <w:rFonts w:ascii="Verdana" w:hAnsi="Verdana"/>
        <w:sz w:val="24"/>
        <w:szCs w:val="24"/>
      </w:rPr>
    </w:pPr>
  </w:p>
  <w:p w14:paraId="5A0054B1" w14:textId="77777777" w:rsidR="00B95DAC" w:rsidRPr="00C925AC" w:rsidRDefault="00B95DAC" w:rsidP="00844AE9">
    <w:pPr>
      <w:spacing w:after="0" w:line="240" w:lineRule="auto"/>
      <w:rPr>
        <w:rFonts w:ascii="Verdana" w:hAnsi="Verdana"/>
        <w:sz w:val="24"/>
        <w:szCs w:val="24"/>
      </w:rPr>
    </w:pPr>
  </w:p>
  <w:p w14:paraId="1FD1C243" w14:textId="37C5500A" w:rsidR="00B95DAC" w:rsidRPr="00C925AC" w:rsidRDefault="00B95DAC"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11.2pt;height:1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9"/>
  </w:num>
  <w:num w:numId="2">
    <w:abstractNumId w:val="2"/>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8"/>
  </w:num>
  <w:num w:numId="8">
    <w:abstractNumId w:val="15"/>
  </w:num>
  <w:num w:numId="9">
    <w:abstractNumId w:val="10"/>
  </w:num>
  <w:num w:numId="10">
    <w:abstractNumId w:val="14"/>
  </w:num>
  <w:num w:numId="11">
    <w:abstractNumId w:val="11"/>
  </w:num>
  <w:num w:numId="12">
    <w:abstractNumId w:val="0"/>
  </w:num>
  <w:num w:numId="13">
    <w:abstractNumId w:val="4"/>
  </w:num>
  <w:num w:numId="14">
    <w:abstractNumId w:val="17"/>
  </w:num>
  <w:num w:numId="15">
    <w:abstractNumId w:val="13"/>
  </w:num>
  <w:num w:numId="16">
    <w:abstractNumId w:val="5"/>
  </w:num>
  <w:num w:numId="17">
    <w:abstractNumId w:val="12"/>
  </w:num>
  <w:num w:numId="18">
    <w:abstractNumId w:val="19"/>
  </w:num>
  <w:num w:numId="19">
    <w:abstractNumId w:val="18"/>
  </w:num>
  <w:num w:numId="20">
    <w:abstractNumId w:val="1"/>
  </w:num>
  <w:num w:numId="21">
    <w:abstractNumId w:val="3"/>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46945"/>
    <w:rsid w:val="00050302"/>
    <w:rsid w:val="00061B2A"/>
    <w:rsid w:val="000711CF"/>
    <w:rsid w:val="00082362"/>
    <w:rsid w:val="000A683E"/>
    <w:rsid w:val="000B19B9"/>
    <w:rsid w:val="000B27F0"/>
    <w:rsid w:val="000D0334"/>
    <w:rsid w:val="000D5DA7"/>
    <w:rsid w:val="000F078F"/>
    <w:rsid w:val="000F3444"/>
    <w:rsid w:val="000F6486"/>
    <w:rsid w:val="00105C57"/>
    <w:rsid w:val="001168F2"/>
    <w:rsid w:val="00116940"/>
    <w:rsid w:val="00125105"/>
    <w:rsid w:val="00127233"/>
    <w:rsid w:val="001328F3"/>
    <w:rsid w:val="0015699B"/>
    <w:rsid w:val="00171640"/>
    <w:rsid w:val="001A33BF"/>
    <w:rsid w:val="001E2E05"/>
    <w:rsid w:val="001E4177"/>
    <w:rsid w:val="001F0B24"/>
    <w:rsid w:val="001F5955"/>
    <w:rsid w:val="001F7DC6"/>
    <w:rsid w:val="002209DE"/>
    <w:rsid w:val="0022400B"/>
    <w:rsid w:val="002421BB"/>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E5B15"/>
    <w:rsid w:val="0030657A"/>
    <w:rsid w:val="00316053"/>
    <w:rsid w:val="00322A85"/>
    <w:rsid w:val="00322C00"/>
    <w:rsid w:val="00324168"/>
    <w:rsid w:val="003251D6"/>
    <w:rsid w:val="00330834"/>
    <w:rsid w:val="003448F4"/>
    <w:rsid w:val="00374F5E"/>
    <w:rsid w:val="003769E1"/>
    <w:rsid w:val="00377E3E"/>
    <w:rsid w:val="00381BAB"/>
    <w:rsid w:val="003A6127"/>
    <w:rsid w:val="003A779E"/>
    <w:rsid w:val="003D0F4D"/>
    <w:rsid w:val="003D5B0D"/>
    <w:rsid w:val="003E0499"/>
    <w:rsid w:val="003E4F80"/>
    <w:rsid w:val="003E6439"/>
    <w:rsid w:val="003F3941"/>
    <w:rsid w:val="00406575"/>
    <w:rsid w:val="004140B3"/>
    <w:rsid w:val="00414C74"/>
    <w:rsid w:val="0042722E"/>
    <w:rsid w:val="0044528D"/>
    <w:rsid w:val="00451137"/>
    <w:rsid w:val="004555EA"/>
    <w:rsid w:val="00466E39"/>
    <w:rsid w:val="00494F04"/>
    <w:rsid w:val="004A0A0B"/>
    <w:rsid w:val="004A1847"/>
    <w:rsid w:val="004A305D"/>
    <w:rsid w:val="004B3DAC"/>
    <w:rsid w:val="004F21C4"/>
    <w:rsid w:val="004F685F"/>
    <w:rsid w:val="00502EB7"/>
    <w:rsid w:val="00517955"/>
    <w:rsid w:val="005229DB"/>
    <w:rsid w:val="00534886"/>
    <w:rsid w:val="005566E8"/>
    <w:rsid w:val="0056257D"/>
    <w:rsid w:val="00574867"/>
    <w:rsid w:val="00586BE6"/>
    <w:rsid w:val="00591460"/>
    <w:rsid w:val="005A65E0"/>
    <w:rsid w:val="005C0881"/>
    <w:rsid w:val="005C3777"/>
    <w:rsid w:val="005C5CDC"/>
    <w:rsid w:val="005D476C"/>
    <w:rsid w:val="005F20A4"/>
    <w:rsid w:val="00600D92"/>
    <w:rsid w:val="00603C5B"/>
    <w:rsid w:val="006200BF"/>
    <w:rsid w:val="0062143E"/>
    <w:rsid w:val="006219F8"/>
    <w:rsid w:val="006302F7"/>
    <w:rsid w:val="00646B9F"/>
    <w:rsid w:val="00665D70"/>
    <w:rsid w:val="00684F67"/>
    <w:rsid w:val="006900D9"/>
    <w:rsid w:val="0069741A"/>
    <w:rsid w:val="006A2BE4"/>
    <w:rsid w:val="006A7F4D"/>
    <w:rsid w:val="006B4707"/>
    <w:rsid w:val="007025D7"/>
    <w:rsid w:val="00706C16"/>
    <w:rsid w:val="0071557C"/>
    <w:rsid w:val="00723CFB"/>
    <w:rsid w:val="00731F30"/>
    <w:rsid w:val="007340C3"/>
    <w:rsid w:val="0073510E"/>
    <w:rsid w:val="007458D3"/>
    <w:rsid w:val="0075235A"/>
    <w:rsid w:val="00752CDB"/>
    <w:rsid w:val="00756841"/>
    <w:rsid w:val="007649AB"/>
    <w:rsid w:val="00771D0C"/>
    <w:rsid w:val="007833AC"/>
    <w:rsid w:val="00793B08"/>
    <w:rsid w:val="00794C51"/>
    <w:rsid w:val="00795086"/>
    <w:rsid w:val="007A1830"/>
    <w:rsid w:val="007B268C"/>
    <w:rsid w:val="007B7171"/>
    <w:rsid w:val="007C0C0F"/>
    <w:rsid w:val="007C3DC2"/>
    <w:rsid w:val="007C4353"/>
    <w:rsid w:val="007D3058"/>
    <w:rsid w:val="007D4B12"/>
    <w:rsid w:val="007E5497"/>
    <w:rsid w:val="00806F5F"/>
    <w:rsid w:val="00820278"/>
    <w:rsid w:val="008258C9"/>
    <w:rsid w:val="00833286"/>
    <w:rsid w:val="00836232"/>
    <w:rsid w:val="00844AE9"/>
    <w:rsid w:val="0085545E"/>
    <w:rsid w:val="00867F95"/>
    <w:rsid w:val="008843B6"/>
    <w:rsid w:val="00891928"/>
    <w:rsid w:val="008A446D"/>
    <w:rsid w:val="008B0D0F"/>
    <w:rsid w:val="008B25F1"/>
    <w:rsid w:val="008C11FD"/>
    <w:rsid w:val="008C4DD5"/>
    <w:rsid w:val="008C517A"/>
    <w:rsid w:val="008C6AE5"/>
    <w:rsid w:val="008D180B"/>
    <w:rsid w:val="008F0EA7"/>
    <w:rsid w:val="008F17DC"/>
    <w:rsid w:val="008F4334"/>
    <w:rsid w:val="008F6705"/>
    <w:rsid w:val="00914A68"/>
    <w:rsid w:val="00923EEF"/>
    <w:rsid w:val="009419F9"/>
    <w:rsid w:val="0095685E"/>
    <w:rsid w:val="00961B09"/>
    <w:rsid w:val="00965334"/>
    <w:rsid w:val="0097093E"/>
    <w:rsid w:val="009A0486"/>
    <w:rsid w:val="009A0DFA"/>
    <w:rsid w:val="009B2D26"/>
    <w:rsid w:val="009C71FA"/>
    <w:rsid w:val="009C72E7"/>
    <w:rsid w:val="009C7F7E"/>
    <w:rsid w:val="009D3058"/>
    <w:rsid w:val="009E1F28"/>
    <w:rsid w:val="009F3A13"/>
    <w:rsid w:val="00A0334B"/>
    <w:rsid w:val="00A122D3"/>
    <w:rsid w:val="00A14468"/>
    <w:rsid w:val="00A17F13"/>
    <w:rsid w:val="00A20739"/>
    <w:rsid w:val="00A23AF9"/>
    <w:rsid w:val="00A31A76"/>
    <w:rsid w:val="00A33C78"/>
    <w:rsid w:val="00A73F45"/>
    <w:rsid w:val="00AB0ADB"/>
    <w:rsid w:val="00AB436E"/>
    <w:rsid w:val="00AF4B59"/>
    <w:rsid w:val="00AF5A10"/>
    <w:rsid w:val="00B00C0E"/>
    <w:rsid w:val="00B01B1A"/>
    <w:rsid w:val="00B04DA1"/>
    <w:rsid w:val="00B44A47"/>
    <w:rsid w:val="00B54271"/>
    <w:rsid w:val="00B5550F"/>
    <w:rsid w:val="00B6149C"/>
    <w:rsid w:val="00B72CD3"/>
    <w:rsid w:val="00B72FFF"/>
    <w:rsid w:val="00B74092"/>
    <w:rsid w:val="00B95DAC"/>
    <w:rsid w:val="00BA703D"/>
    <w:rsid w:val="00BC3D36"/>
    <w:rsid w:val="00BC70CB"/>
    <w:rsid w:val="00BD13AC"/>
    <w:rsid w:val="00BD54A6"/>
    <w:rsid w:val="00BD7F72"/>
    <w:rsid w:val="00BF5C08"/>
    <w:rsid w:val="00BF7425"/>
    <w:rsid w:val="00C04FB3"/>
    <w:rsid w:val="00C11D8B"/>
    <w:rsid w:val="00C251B0"/>
    <w:rsid w:val="00C330EB"/>
    <w:rsid w:val="00C419DF"/>
    <w:rsid w:val="00C50D69"/>
    <w:rsid w:val="00C5365C"/>
    <w:rsid w:val="00C754BE"/>
    <w:rsid w:val="00C76B1C"/>
    <w:rsid w:val="00C925AC"/>
    <w:rsid w:val="00C94828"/>
    <w:rsid w:val="00CB6357"/>
    <w:rsid w:val="00CC1B26"/>
    <w:rsid w:val="00D06146"/>
    <w:rsid w:val="00D0699E"/>
    <w:rsid w:val="00D334DD"/>
    <w:rsid w:val="00D361FD"/>
    <w:rsid w:val="00D423A2"/>
    <w:rsid w:val="00D44E26"/>
    <w:rsid w:val="00D51A5D"/>
    <w:rsid w:val="00D520D8"/>
    <w:rsid w:val="00D62B9C"/>
    <w:rsid w:val="00D63AC2"/>
    <w:rsid w:val="00D7383B"/>
    <w:rsid w:val="00D7788A"/>
    <w:rsid w:val="00D86956"/>
    <w:rsid w:val="00DA231B"/>
    <w:rsid w:val="00DB55DA"/>
    <w:rsid w:val="00DB74ED"/>
    <w:rsid w:val="00DC3015"/>
    <w:rsid w:val="00DC39FC"/>
    <w:rsid w:val="00DC702E"/>
    <w:rsid w:val="00DC7CCB"/>
    <w:rsid w:val="00DE2F06"/>
    <w:rsid w:val="00DE3A60"/>
    <w:rsid w:val="00DE4A45"/>
    <w:rsid w:val="00DE500F"/>
    <w:rsid w:val="00DF5254"/>
    <w:rsid w:val="00E02524"/>
    <w:rsid w:val="00E06563"/>
    <w:rsid w:val="00E1159D"/>
    <w:rsid w:val="00E16408"/>
    <w:rsid w:val="00E20894"/>
    <w:rsid w:val="00E245AB"/>
    <w:rsid w:val="00E2764C"/>
    <w:rsid w:val="00E27F2E"/>
    <w:rsid w:val="00E50AFE"/>
    <w:rsid w:val="00E577E2"/>
    <w:rsid w:val="00E75C92"/>
    <w:rsid w:val="00E771DC"/>
    <w:rsid w:val="00E8772A"/>
    <w:rsid w:val="00E90F6B"/>
    <w:rsid w:val="00E92C27"/>
    <w:rsid w:val="00EA0E3D"/>
    <w:rsid w:val="00EA426C"/>
    <w:rsid w:val="00EC006D"/>
    <w:rsid w:val="00EC38A7"/>
    <w:rsid w:val="00EE1AA8"/>
    <w:rsid w:val="00EF5E13"/>
    <w:rsid w:val="00EF647F"/>
    <w:rsid w:val="00F23FEA"/>
    <w:rsid w:val="00F27B7B"/>
    <w:rsid w:val="00F31EDC"/>
    <w:rsid w:val="00F462B3"/>
    <w:rsid w:val="00F50DCE"/>
    <w:rsid w:val="00F5664F"/>
    <w:rsid w:val="00F666C4"/>
    <w:rsid w:val="00F76AFC"/>
    <w:rsid w:val="00F81BF0"/>
    <w:rsid w:val="00FA47C0"/>
    <w:rsid w:val="00FB5DD1"/>
    <w:rsid w:val="00FC2489"/>
    <w:rsid w:val="00FC2B5D"/>
    <w:rsid w:val="00FC7238"/>
    <w:rsid w:val="00FD3AD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030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597577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80013634">
      <w:bodyDiv w:val="1"/>
      <w:marLeft w:val="0"/>
      <w:marRight w:val="0"/>
      <w:marTop w:val="0"/>
      <w:marBottom w:val="0"/>
      <w:divBdr>
        <w:top w:val="none" w:sz="0" w:space="0" w:color="auto"/>
        <w:left w:val="none" w:sz="0" w:space="0" w:color="auto"/>
        <w:bottom w:val="none" w:sz="0" w:space="0" w:color="auto"/>
        <w:right w:val="none" w:sz="0" w:space="0" w:color="auto"/>
      </w:divBdr>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dresabog@outlook.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decreto_0019_2012_pr004.html" TargetMode="External"/><Relationship Id="rId2" Type="http://schemas.openxmlformats.org/officeDocument/2006/relationships/hyperlink" Target="http://www.secretariasenado.gov.co/senado/basedoc/ley_2466_2025.html"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6368DF2-578E-4A9F-B71E-EAA177E6D514}"/>
</file>

<file path=customXml/itemProps4.xml><?xml version="1.0" encoding="utf-8"?>
<ds:datastoreItem xmlns:ds="http://schemas.openxmlformats.org/officeDocument/2006/customXml" ds:itemID="{AB5C732C-0AFD-4E81-AFD9-7BF1B4691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15</Pages>
  <Words>4370</Words>
  <Characters>24913</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2025-11-21T10:07:00Z</dcterms:created>
  <dcterms:modified xsi:type="dcterms:W3CDTF">2025-11-21T16:51:00Z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