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FEB21" w14:textId="77777777" w:rsidR="009F08E8" w:rsidRPr="00AF1555" w:rsidRDefault="009F08E8" w:rsidP="009F08E8">
      <w:pPr>
        <w:spacing w:after="0" w:line="240" w:lineRule="auto"/>
        <w:jc w:val="both"/>
        <w:rPr>
          <w:rFonts w:ascii="Verdana" w:eastAsia="Calibri" w:hAnsi="Verdana" w:cs="Arial"/>
          <w:b/>
          <w:color w:val="000000" w:themeColor="text1"/>
          <w:lang w:val="es-ES"/>
        </w:rPr>
      </w:pPr>
      <w:bookmarkStart w:id="0" w:name="_Hlk143780582"/>
      <w:r w:rsidRPr="00E95799">
        <w:rPr>
          <w:rFonts w:ascii="Verdana" w:eastAsia="Calibri" w:hAnsi="Verdana" w:cs="Arial"/>
          <w:b/>
          <w:color w:val="000000" w:themeColor="text1"/>
          <w:lang w:val="es-ES"/>
        </w:rPr>
        <w:t>LIQUIDACIÓN DEL CONTRATO – Definición – Objetivo</w:t>
      </w:r>
      <w:r w:rsidRPr="00AF1555">
        <w:rPr>
          <w:rFonts w:ascii="Verdana" w:eastAsia="Calibri" w:hAnsi="Verdana" w:cs="Arial"/>
          <w:b/>
          <w:color w:val="000000" w:themeColor="text1"/>
          <w:lang w:val="es-ES"/>
        </w:rPr>
        <w:t xml:space="preserve"> </w:t>
      </w:r>
    </w:p>
    <w:p w14:paraId="74ABFF11" w14:textId="77777777" w:rsidR="009F08E8" w:rsidRPr="00AF1555" w:rsidRDefault="009F08E8" w:rsidP="009F08E8">
      <w:pPr>
        <w:spacing w:after="0" w:line="240" w:lineRule="auto"/>
        <w:jc w:val="both"/>
        <w:rPr>
          <w:rFonts w:ascii="Verdana" w:eastAsia="Calibri" w:hAnsi="Verdana" w:cs="Arial"/>
          <w:bCs/>
          <w:color w:val="000000" w:themeColor="text1"/>
          <w:sz w:val="20"/>
          <w:szCs w:val="20"/>
          <w:lang w:val="es-ES"/>
        </w:rPr>
      </w:pPr>
    </w:p>
    <w:p w14:paraId="05652438" w14:textId="77777777" w:rsidR="009F08E8" w:rsidRPr="00AF1555" w:rsidRDefault="009F08E8" w:rsidP="009F08E8">
      <w:pPr>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eastAsia="es-ES_tradnl"/>
        </w:rPr>
        <w:t>L</w:t>
      </w:r>
      <w:r w:rsidRPr="00E95799">
        <w:rPr>
          <w:rFonts w:ascii="Verdana" w:eastAsia="Calibri" w:hAnsi="Verdana" w:cs="Arial"/>
          <w:color w:val="000000" w:themeColor="text1"/>
          <w:sz w:val="20"/>
          <w:szCs w:val="20"/>
          <w:lang w:val="es-ES_tradnl" w:eastAsia="es-ES_tradnl"/>
        </w:rPr>
        <w:t>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comportamiento financiero del negocio</w:t>
      </w:r>
      <w:r w:rsidRPr="00AF1555">
        <w:rPr>
          <w:rFonts w:ascii="Verdana" w:eastAsia="Calibri" w:hAnsi="Verdana" w:cs="Arial"/>
          <w:color w:val="000000" w:themeColor="text1"/>
          <w:sz w:val="20"/>
          <w:szCs w:val="20"/>
          <w:lang w:val="es-ES_tradnl"/>
        </w:rPr>
        <w:t>.</w:t>
      </w:r>
    </w:p>
    <w:p w14:paraId="142B2155" w14:textId="77777777" w:rsidR="009F08E8" w:rsidRPr="00AF1555" w:rsidRDefault="009F08E8" w:rsidP="009F08E8">
      <w:pPr>
        <w:spacing w:after="0" w:line="240" w:lineRule="auto"/>
        <w:rPr>
          <w:rFonts w:ascii="Verdana" w:eastAsia="Geomanist Light" w:hAnsi="Verdana" w:cs="Arial"/>
          <w:color w:val="000000" w:themeColor="text1"/>
          <w:sz w:val="20"/>
          <w:szCs w:val="20"/>
          <w:lang w:val="es-ES_tradnl"/>
        </w:rPr>
      </w:pPr>
    </w:p>
    <w:p w14:paraId="55AA7B11" w14:textId="77777777" w:rsidR="009F08E8" w:rsidRPr="00AF1555" w:rsidRDefault="009F08E8" w:rsidP="009F08E8">
      <w:pPr>
        <w:spacing w:after="0" w:line="240" w:lineRule="auto"/>
        <w:jc w:val="both"/>
        <w:rPr>
          <w:rFonts w:ascii="Verdana" w:eastAsia="Calibri" w:hAnsi="Verdana" w:cs="Arial"/>
          <w:b/>
          <w:lang w:val="es-ES"/>
        </w:rPr>
      </w:pPr>
      <w:r w:rsidRPr="00E95799">
        <w:rPr>
          <w:rFonts w:ascii="Verdana" w:eastAsia="Calibri" w:hAnsi="Verdana" w:cs="Arial"/>
          <w:b/>
          <w:lang w:val="es-ES"/>
        </w:rPr>
        <w:t>LIQUIDACIÓN DEL CONTRATO – Normativa – Oportunidad</w:t>
      </w:r>
    </w:p>
    <w:p w14:paraId="08401611" w14:textId="77777777" w:rsidR="009F08E8" w:rsidRPr="00AF1555" w:rsidRDefault="009F08E8" w:rsidP="009F08E8">
      <w:pPr>
        <w:spacing w:after="0" w:line="240" w:lineRule="auto"/>
        <w:jc w:val="both"/>
        <w:rPr>
          <w:rFonts w:ascii="Verdana" w:eastAsia="Calibri" w:hAnsi="Verdana" w:cs="Arial"/>
          <w:b/>
          <w:sz w:val="20"/>
          <w:szCs w:val="20"/>
          <w:lang w:val="es-ES"/>
        </w:rPr>
      </w:pPr>
    </w:p>
    <w:p w14:paraId="1D9B4A51" w14:textId="77777777" w:rsidR="009F08E8" w:rsidRPr="00E95799" w:rsidRDefault="009F08E8" w:rsidP="009F08E8">
      <w:pPr>
        <w:spacing w:after="0" w:line="240" w:lineRule="auto"/>
        <w:jc w:val="both"/>
        <w:rPr>
          <w:rFonts w:ascii="Verdana" w:eastAsia="Calibri" w:hAnsi="Verdana" w:cs="Arial"/>
          <w:bCs/>
          <w:sz w:val="20"/>
          <w:szCs w:val="20"/>
          <w:lang w:val="es-ES"/>
        </w:rPr>
      </w:pPr>
      <w:r w:rsidRPr="00E95799">
        <w:rPr>
          <w:rFonts w:ascii="Verdana" w:eastAsia="Calibri" w:hAnsi="Verdana" w:cs="Arial"/>
          <w:bCs/>
          <w:sz w:val="20"/>
          <w:szCs w:val="20"/>
          <w:lang w:val="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697ECB7B" w14:textId="77777777" w:rsidR="009F08E8" w:rsidRDefault="009F08E8" w:rsidP="009F08E8">
      <w:pPr>
        <w:spacing w:after="0" w:line="240" w:lineRule="auto"/>
        <w:jc w:val="both"/>
        <w:rPr>
          <w:rFonts w:ascii="Verdana" w:eastAsia="Calibri" w:hAnsi="Verdana" w:cs="Arial"/>
          <w:bCs/>
          <w:sz w:val="20"/>
          <w:szCs w:val="20"/>
          <w:lang w:val="es-ES"/>
        </w:rPr>
      </w:pPr>
      <w:r>
        <w:rPr>
          <w:rFonts w:ascii="Verdana" w:eastAsia="Calibri" w:hAnsi="Verdana" w:cs="Arial"/>
          <w:bCs/>
          <w:sz w:val="20"/>
          <w:szCs w:val="20"/>
          <w:lang w:val="es-ES"/>
        </w:rPr>
        <w:t>[</w:t>
      </w:r>
      <w:r w:rsidRPr="00E95799">
        <w:rPr>
          <w:rFonts w:ascii="Verdana" w:eastAsia="Calibri" w:hAnsi="Verdana" w:cs="Arial"/>
          <w:bCs/>
          <w:sz w:val="20"/>
          <w:szCs w:val="20"/>
          <w:lang w:val="es-ES"/>
        </w:rPr>
        <w:t>…</w:t>
      </w:r>
      <w:r>
        <w:rPr>
          <w:rFonts w:ascii="Verdana" w:eastAsia="Calibri" w:hAnsi="Verdana" w:cs="Arial"/>
          <w:bCs/>
          <w:sz w:val="20"/>
          <w:szCs w:val="20"/>
          <w:lang w:val="es-ES"/>
        </w:rPr>
        <w:t>]</w:t>
      </w:r>
    </w:p>
    <w:p w14:paraId="40512784" w14:textId="77777777" w:rsidR="009F08E8" w:rsidRPr="00E95799" w:rsidRDefault="009F08E8" w:rsidP="009F08E8">
      <w:pPr>
        <w:spacing w:after="0" w:line="240" w:lineRule="auto"/>
        <w:jc w:val="both"/>
        <w:rPr>
          <w:rFonts w:ascii="Verdana" w:eastAsia="Calibri" w:hAnsi="Verdana" w:cs="Arial"/>
          <w:bCs/>
          <w:sz w:val="20"/>
          <w:szCs w:val="20"/>
          <w:lang w:val="es-ES"/>
        </w:rPr>
      </w:pPr>
    </w:p>
    <w:p w14:paraId="0465DA22" w14:textId="77777777" w:rsidR="009F08E8" w:rsidRPr="00AF1555" w:rsidRDefault="009F08E8" w:rsidP="009F08E8">
      <w:pPr>
        <w:spacing w:after="0" w:line="240" w:lineRule="auto"/>
        <w:jc w:val="both"/>
        <w:rPr>
          <w:rFonts w:ascii="Verdana" w:eastAsia="Calibri" w:hAnsi="Verdana" w:cs="Arial"/>
          <w:color w:val="000000"/>
          <w:sz w:val="20"/>
          <w:szCs w:val="20"/>
          <w:lang w:val="es-ES_tradnl"/>
        </w:rPr>
      </w:pPr>
      <w:r w:rsidRPr="00E95799">
        <w:rPr>
          <w:rFonts w:ascii="Verdana" w:eastAsia="Calibri" w:hAnsi="Verdana" w:cs="Arial"/>
          <w:bCs/>
          <w:sz w:val="20"/>
          <w:szCs w:val="20"/>
          <w:lang w:val="es-ES"/>
        </w:rPr>
        <w:t>Por tanto, si se trata de un contrato en el cual no existe pacto sobre el término para la liquidación bilateral, el término supletivo aplicaría, y se podría liquidar el contrato dentro de los 4 meses siguientes a la terminación del contrato, de manera bilateral, dentro de los 2 meses siguientes a ellos de manera unilateral por la entidad, más un plazo de 2 años para la liquidación unilateral, bilateral o judicial: para un total de 2 años y 6 meses. Estos términos pueden verse modificados si las partes acuerdan un plazo mayor o menor para realizar la liquidación de mutuo acuerdo, con lo cual dejaría de estar incluido el término supletivo de la Ley 1150 de 2007</w:t>
      </w:r>
      <w:r w:rsidRPr="00AF1555">
        <w:rPr>
          <w:rFonts w:ascii="Verdana" w:eastAsia="Calibri" w:hAnsi="Verdana" w:cs="Arial"/>
          <w:color w:val="000000"/>
          <w:sz w:val="20"/>
          <w:szCs w:val="20"/>
          <w:lang w:val="es-ES_tradnl"/>
        </w:rPr>
        <w:t>.</w:t>
      </w:r>
    </w:p>
    <w:p w14:paraId="526E0266" w14:textId="77777777" w:rsidR="009F08E8" w:rsidRDefault="009F08E8" w:rsidP="009F08E8">
      <w:pPr>
        <w:spacing w:after="0" w:line="240" w:lineRule="auto"/>
        <w:rPr>
          <w:rFonts w:ascii="Verdana" w:eastAsia="Geomanist Light" w:hAnsi="Verdana" w:cs="Arial"/>
          <w:color w:val="000000" w:themeColor="text1"/>
        </w:rPr>
      </w:pPr>
    </w:p>
    <w:p w14:paraId="615ED7CC" w14:textId="77777777" w:rsidR="009F08E8" w:rsidRDefault="009F08E8" w:rsidP="009F08E8">
      <w:pPr>
        <w:spacing w:after="0" w:line="240" w:lineRule="auto"/>
        <w:rPr>
          <w:rFonts w:ascii="Verdana" w:eastAsia="Calibri" w:hAnsi="Verdana" w:cs="Arial"/>
          <w:b/>
          <w:bCs/>
          <w:lang w:val="es-ES" w:eastAsia="es-ES"/>
        </w:rPr>
      </w:pPr>
      <w:r w:rsidRPr="00EC7017">
        <w:rPr>
          <w:rFonts w:ascii="Verdana" w:eastAsia="Times New Roman" w:hAnsi="Verdana" w:cs="Arial"/>
          <w:b/>
          <w:bCs/>
        </w:rPr>
        <w:t xml:space="preserve">LIQUIDACIÓN BILATERAL – Naturaleza – Alcance </w:t>
      </w:r>
      <w:r w:rsidRPr="00EC7017">
        <w:rPr>
          <w:rFonts w:ascii="Verdana" w:eastAsia="Calibri" w:hAnsi="Verdana" w:cs="Arial"/>
          <w:b/>
          <w:bCs/>
          <w:lang w:val="es-ES" w:eastAsia="es-ES"/>
        </w:rPr>
        <w:t xml:space="preserve">– </w:t>
      </w:r>
      <w:r>
        <w:rPr>
          <w:rFonts w:ascii="Verdana" w:eastAsia="Calibri" w:hAnsi="Verdana" w:cs="Arial"/>
          <w:b/>
          <w:bCs/>
          <w:lang w:val="es-ES" w:eastAsia="es-ES"/>
        </w:rPr>
        <w:t>S</w:t>
      </w:r>
      <w:r w:rsidRPr="00EC7017">
        <w:rPr>
          <w:rFonts w:ascii="Verdana" w:eastAsia="Calibri" w:hAnsi="Verdana" w:cs="Arial"/>
          <w:b/>
          <w:bCs/>
          <w:lang w:val="es-ES" w:eastAsia="es-ES"/>
        </w:rPr>
        <w:t>alvedades</w:t>
      </w:r>
    </w:p>
    <w:p w14:paraId="0E8997A9" w14:textId="77777777" w:rsidR="009F08E8" w:rsidRDefault="009F08E8" w:rsidP="009F08E8">
      <w:pPr>
        <w:spacing w:after="0" w:line="240" w:lineRule="auto"/>
        <w:rPr>
          <w:rFonts w:ascii="Verdana" w:eastAsia="Calibri" w:hAnsi="Verdana" w:cs="Arial"/>
          <w:b/>
          <w:bCs/>
          <w:lang w:val="es-ES" w:eastAsia="es-ES"/>
        </w:rPr>
      </w:pPr>
    </w:p>
    <w:p w14:paraId="4F8BED1C" w14:textId="77777777" w:rsidR="009F08E8" w:rsidRDefault="009F08E8" w:rsidP="009F08E8">
      <w:pPr>
        <w:spacing w:after="0" w:line="240" w:lineRule="auto"/>
        <w:jc w:val="both"/>
        <w:rPr>
          <w:rFonts w:ascii="Verdana" w:eastAsia="Calibri" w:hAnsi="Verdana" w:cs="Arial"/>
          <w:bCs/>
          <w:sz w:val="20"/>
          <w:szCs w:val="20"/>
          <w:lang w:val="es-ES"/>
        </w:rPr>
      </w:pPr>
      <w:r w:rsidRPr="0095195F">
        <w:rPr>
          <w:rFonts w:ascii="Verdana" w:eastAsia="Arial" w:hAnsi="Verdana" w:cs="Arial"/>
          <w:sz w:val="20"/>
          <w:szCs w:val="20"/>
          <w:lang w:eastAsia="es-ES" w:bidi="es-ES"/>
        </w:rPr>
        <w:t xml:space="preserve">La </w:t>
      </w:r>
      <w:r w:rsidRPr="0095195F">
        <w:rPr>
          <w:rFonts w:ascii="Verdana" w:eastAsia="Times New Roman" w:hAnsi="Verdana" w:cs="Arial"/>
          <w:color w:val="000000"/>
          <w:sz w:val="20"/>
          <w:szCs w:val="20"/>
          <w:bdr w:val="none" w:sz="0" w:space="0" w:color="auto" w:frame="1"/>
          <w:shd w:val="clear" w:color="auto" w:fill="FFFFFF"/>
          <w:lang w:val="es-ES" w:eastAsia="es-ES_tradnl"/>
        </w:rPr>
        <w:t xml:space="preserve">liquidación bilateral es </w:t>
      </w:r>
      <w:r w:rsidRPr="0095195F">
        <w:rPr>
          <w:rFonts w:ascii="Verdana" w:eastAsia="Arial" w:hAnsi="Verdana" w:cs="Arial"/>
          <w:sz w:val="20"/>
          <w:szCs w:val="20"/>
          <w:lang w:val="es-ES" w:eastAsia="es-ES" w:bidi="es-ES"/>
        </w:rPr>
        <w:t xml:space="preserve">un acuerdo en el que las partes del contrato estatal, en ejercicio de la autonomía de la voluntad, regulan la finalización de su relación y disponen de los intereses que emanan de ella. </w:t>
      </w:r>
      <w:proofErr w:type="gramStart"/>
      <w:r w:rsidRPr="0095195F">
        <w:rPr>
          <w:rFonts w:ascii="Verdana" w:eastAsia="Arial" w:hAnsi="Verdana" w:cs="Arial"/>
          <w:sz w:val="20"/>
          <w:szCs w:val="20"/>
          <w:lang w:val="es-ES" w:eastAsia="es-ES" w:bidi="es-ES"/>
        </w:rPr>
        <w:t>Asimismo</w:t>
      </w:r>
      <w:proofErr w:type="gramEnd"/>
      <w:r w:rsidRPr="0095195F">
        <w:rPr>
          <w:rFonts w:ascii="Verdana" w:eastAsia="Arial" w:hAnsi="Verdana" w:cs="Arial"/>
          <w:sz w:val="20"/>
          <w:szCs w:val="20"/>
          <w:lang w:val="es-ES" w:eastAsia="es-ES" w:bidi="es-ES"/>
        </w:rPr>
        <w:t xml:space="preserve"> tiene efectos de título ejecutivo, transaccionales, puesto que las declaraciones y expresiones incorporadas en la correspondiente acta son reconocidas y protegidas por el ordenamiento jurídico, siempre y cuando no sean contrarias a la Constitución Política, la ley, el orden público, la moral y las buenas costumbres, y los principios y finalidades del Estatuto General de la Contratación de la Administración Pública y de la buena administración.</w:t>
      </w:r>
      <w:r w:rsidRPr="0095195F">
        <w:rPr>
          <w:rFonts w:ascii="Verdana" w:eastAsia="Times New Roman" w:hAnsi="Verdana" w:cs="Arial"/>
          <w:color w:val="000000"/>
          <w:sz w:val="20"/>
          <w:szCs w:val="20"/>
          <w:bdr w:val="none" w:sz="0" w:space="0" w:color="auto" w:frame="1"/>
          <w:shd w:val="clear" w:color="auto" w:fill="FFFFFF"/>
          <w:lang w:val="es-ES" w:eastAsia="es-ES_tradnl"/>
        </w:rPr>
        <w:t xml:space="preserve"> </w:t>
      </w:r>
      <w:r w:rsidRPr="0095195F">
        <w:rPr>
          <w:rFonts w:ascii="Verdana" w:eastAsia="Arial" w:hAnsi="Verdana" w:cs="Arial"/>
          <w:sz w:val="20"/>
          <w:szCs w:val="20"/>
          <w:lang w:val="es-ES" w:eastAsia="es-ES" w:bidi="es-ES"/>
        </w:rPr>
        <w:t>En ese sentido, la liquidación bilateral puede considerarse como una forma alternativa de resolver los conflictos o controversias que surjan a partir de la determinación de las prestaciones comunes a que las partes contractuales puedan o no tener derecho luego de haberse ejecutado el contrato, esto es, como una manera de evitar futuros litigios frente a los mismos asuntos.</w:t>
      </w:r>
      <w:r w:rsidRPr="000E3697">
        <w:rPr>
          <w:rFonts w:ascii="Verdana" w:eastAsia="Calibri" w:hAnsi="Verdana" w:cs="Arial"/>
          <w:bCs/>
          <w:sz w:val="20"/>
          <w:szCs w:val="20"/>
          <w:lang w:val="es-ES"/>
        </w:rPr>
        <w:t xml:space="preserve"> </w:t>
      </w:r>
    </w:p>
    <w:p w14:paraId="46142649" w14:textId="77777777" w:rsidR="009F08E8" w:rsidRPr="000B5A2F" w:rsidRDefault="009F08E8" w:rsidP="009F08E8">
      <w:pPr>
        <w:spacing w:after="0" w:line="240" w:lineRule="auto"/>
        <w:jc w:val="both"/>
        <w:rPr>
          <w:rFonts w:ascii="Verdana" w:eastAsia="Calibri" w:hAnsi="Verdana" w:cs="Arial"/>
          <w:bCs/>
          <w:sz w:val="20"/>
          <w:szCs w:val="20"/>
          <w:lang w:val="es-ES"/>
        </w:rPr>
      </w:pPr>
      <w:r>
        <w:rPr>
          <w:rFonts w:ascii="Verdana" w:eastAsia="Calibri" w:hAnsi="Verdana" w:cs="Arial"/>
          <w:bCs/>
          <w:sz w:val="20"/>
          <w:szCs w:val="20"/>
          <w:lang w:val="es-ES"/>
        </w:rPr>
        <w:t>[</w:t>
      </w:r>
      <w:r w:rsidRPr="00E95799">
        <w:rPr>
          <w:rFonts w:ascii="Verdana" w:eastAsia="Calibri" w:hAnsi="Verdana" w:cs="Arial"/>
          <w:bCs/>
          <w:sz w:val="20"/>
          <w:szCs w:val="20"/>
          <w:lang w:val="es-ES"/>
        </w:rPr>
        <w:t>…</w:t>
      </w:r>
      <w:r>
        <w:rPr>
          <w:rFonts w:ascii="Verdana" w:eastAsia="Calibri" w:hAnsi="Verdana" w:cs="Arial"/>
          <w:bCs/>
          <w:sz w:val="20"/>
          <w:szCs w:val="20"/>
          <w:lang w:val="es-ES"/>
        </w:rPr>
        <w:t>]</w:t>
      </w:r>
    </w:p>
    <w:p w14:paraId="0E0D9391" w14:textId="77777777" w:rsidR="009F08E8" w:rsidRPr="000E3697" w:rsidRDefault="009F08E8" w:rsidP="009F08E8">
      <w:pPr>
        <w:widowControl w:val="0"/>
        <w:autoSpaceDE w:val="0"/>
        <w:autoSpaceDN w:val="0"/>
        <w:spacing w:after="0" w:line="240" w:lineRule="auto"/>
        <w:ind w:right="108"/>
        <w:jc w:val="both"/>
        <w:rPr>
          <w:rFonts w:ascii="Verdana" w:eastAsia="Arial" w:hAnsi="Verdana" w:cs="Arial"/>
          <w:sz w:val="20"/>
          <w:szCs w:val="20"/>
          <w:lang w:eastAsia="es-ES" w:bidi="es-ES"/>
        </w:rPr>
      </w:pPr>
      <w:r w:rsidRPr="000E3697">
        <w:rPr>
          <w:rFonts w:ascii="Verdana" w:eastAsia="Arial" w:hAnsi="Verdana" w:cs="Arial"/>
          <w:sz w:val="20"/>
          <w:szCs w:val="20"/>
          <w:lang w:eastAsia="es-ES" w:bidi="es-ES"/>
        </w:rPr>
        <w:t xml:space="preserve">Así las cosas, si al momento de suscribir la liquidación no se dejan consignadas salvedades expresas, se entenderá que las partes han llegado a un acuerdo integral sobre la finalización del contrato y sus efectos, quedando imposibilitadas para reclamar </w:t>
      </w:r>
      <w:r w:rsidRPr="000E3697">
        <w:rPr>
          <w:rFonts w:ascii="Verdana" w:eastAsia="Arial" w:hAnsi="Verdana" w:cs="Arial"/>
          <w:sz w:val="20"/>
          <w:szCs w:val="20"/>
          <w:lang w:eastAsia="es-ES" w:bidi="es-ES"/>
        </w:rPr>
        <w:lastRenderedPageBreak/>
        <w:t>posteriormente por vía jurisdiccional sobre aspectos que fueron objeto de dicho acuerdo o que no fueron oportunamente controvertidos. Esta interpretación, como se indicó, ha sido reiterada por la jurisprudencia del Consejo de Estado, la cual ha sostenido que la ausencia de manifestaciones de inconformidad en el acta de liquidación impide a las partes, por regla general, acudir posteriormente a la jurisdicción para reclamar derechos u obligaciones que no quedaron consignados en el acta.</w:t>
      </w:r>
    </w:p>
    <w:p w14:paraId="39E2DB5F" w14:textId="77777777" w:rsidR="009F08E8" w:rsidRDefault="009F08E8" w:rsidP="009F08E8">
      <w:pPr>
        <w:spacing w:after="0" w:line="240" w:lineRule="auto"/>
        <w:rPr>
          <w:rFonts w:ascii="Verdana" w:eastAsia="Geomanist Light" w:hAnsi="Verdana" w:cs="Arial"/>
          <w:color w:val="000000" w:themeColor="text1"/>
        </w:rPr>
      </w:pPr>
    </w:p>
    <w:p w14:paraId="4F06A01B" w14:textId="77777777" w:rsidR="009F08E8" w:rsidRDefault="009F08E8" w:rsidP="009F08E8">
      <w:pPr>
        <w:spacing w:after="0" w:line="240" w:lineRule="auto"/>
        <w:rPr>
          <w:rFonts w:ascii="Verdana" w:eastAsia="Geomanist Light" w:hAnsi="Verdana" w:cs="Arial"/>
          <w:color w:val="000000" w:themeColor="text1"/>
        </w:rPr>
      </w:pPr>
    </w:p>
    <w:p w14:paraId="4C39086B" w14:textId="77777777" w:rsidR="009F08E8" w:rsidRDefault="009F08E8" w:rsidP="009F08E8">
      <w:pPr>
        <w:spacing w:after="0" w:line="240" w:lineRule="auto"/>
        <w:rPr>
          <w:rFonts w:ascii="Verdana" w:eastAsia="Geomanist Light" w:hAnsi="Verdana" w:cs="Arial"/>
          <w:color w:val="000000" w:themeColor="text1"/>
        </w:rPr>
      </w:pPr>
    </w:p>
    <w:p w14:paraId="4304DE31" w14:textId="77777777" w:rsidR="009F08E8" w:rsidRDefault="009F08E8" w:rsidP="009F08E8">
      <w:pPr>
        <w:spacing w:after="0" w:line="240" w:lineRule="auto"/>
        <w:rPr>
          <w:rFonts w:ascii="Verdana" w:eastAsia="Geomanist Light" w:hAnsi="Verdana" w:cs="Arial"/>
          <w:color w:val="000000" w:themeColor="text1"/>
        </w:rPr>
      </w:pPr>
    </w:p>
    <w:p w14:paraId="2CCCD82A" w14:textId="77777777" w:rsidR="009F08E8" w:rsidRDefault="009F08E8" w:rsidP="009F08E8">
      <w:pPr>
        <w:spacing w:after="0" w:line="240" w:lineRule="auto"/>
        <w:rPr>
          <w:rFonts w:ascii="Verdana" w:eastAsia="Geomanist Light" w:hAnsi="Verdana" w:cs="Arial"/>
          <w:color w:val="000000" w:themeColor="text1"/>
        </w:rPr>
      </w:pPr>
    </w:p>
    <w:p w14:paraId="498D9F58" w14:textId="77777777" w:rsidR="009F08E8" w:rsidRDefault="009F08E8" w:rsidP="009F08E8">
      <w:pPr>
        <w:spacing w:after="0" w:line="240" w:lineRule="auto"/>
        <w:rPr>
          <w:rFonts w:ascii="Verdana" w:eastAsia="Geomanist Light" w:hAnsi="Verdana" w:cs="Arial"/>
          <w:color w:val="000000" w:themeColor="text1"/>
        </w:rPr>
      </w:pPr>
    </w:p>
    <w:p w14:paraId="5926D5DF" w14:textId="77777777" w:rsidR="009F08E8" w:rsidRDefault="009F08E8" w:rsidP="009F08E8">
      <w:pPr>
        <w:spacing w:after="0" w:line="240" w:lineRule="auto"/>
        <w:rPr>
          <w:rFonts w:ascii="Verdana" w:eastAsia="Geomanist Light" w:hAnsi="Verdana" w:cs="Arial"/>
          <w:color w:val="000000" w:themeColor="text1"/>
        </w:rPr>
      </w:pPr>
    </w:p>
    <w:p w14:paraId="41E7C339" w14:textId="77777777" w:rsidR="009F08E8" w:rsidRDefault="009F08E8" w:rsidP="009F08E8">
      <w:pPr>
        <w:spacing w:after="0" w:line="240" w:lineRule="auto"/>
        <w:rPr>
          <w:rFonts w:ascii="Verdana" w:eastAsia="Geomanist Light" w:hAnsi="Verdana" w:cs="Arial"/>
          <w:color w:val="000000" w:themeColor="text1"/>
        </w:rPr>
      </w:pPr>
    </w:p>
    <w:p w14:paraId="73393B2B" w14:textId="77777777" w:rsidR="009F08E8" w:rsidRDefault="009F08E8" w:rsidP="009F08E8">
      <w:pPr>
        <w:spacing w:after="0" w:line="240" w:lineRule="auto"/>
        <w:rPr>
          <w:rFonts w:ascii="Verdana" w:eastAsia="Geomanist Light" w:hAnsi="Verdana" w:cs="Arial"/>
          <w:color w:val="000000" w:themeColor="text1"/>
        </w:rPr>
      </w:pPr>
    </w:p>
    <w:p w14:paraId="759FDC2D" w14:textId="77777777" w:rsidR="009F08E8" w:rsidRDefault="009F08E8" w:rsidP="009F08E8">
      <w:pPr>
        <w:spacing w:after="0" w:line="240" w:lineRule="auto"/>
        <w:rPr>
          <w:rFonts w:ascii="Verdana" w:eastAsia="Geomanist Light" w:hAnsi="Verdana" w:cs="Arial"/>
          <w:color w:val="000000" w:themeColor="text1"/>
        </w:rPr>
      </w:pPr>
    </w:p>
    <w:p w14:paraId="3795B641" w14:textId="77777777" w:rsidR="009F08E8" w:rsidRDefault="009F08E8" w:rsidP="00E245AB">
      <w:pPr>
        <w:spacing w:after="0"/>
        <w:rPr>
          <w:rFonts w:ascii="Verdana" w:hAnsi="Verdana"/>
        </w:rPr>
      </w:pPr>
    </w:p>
    <w:p w14:paraId="3F14DDF0" w14:textId="77777777" w:rsidR="009F08E8" w:rsidRDefault="009F08E8" w:rsidP="00E245AB">
      <w:pPr>
        <w:spacing w:after="0"/>
        <w:rPr>
          <w:rFonts w:ascii="Verdana" w:hAnsi="Verdana"/>
        </w:rPr>
      </w:pPr>
    </w:p>
    <w:p w14:paraId="0D34C664" w14:textId="77777777" w:rsidR="009F08E8" w:rsidRDefault="009F08E8" w:rsidP="00E245AB">
      <w:pPr>
        <w:spacing w:after="0"/>
        <w:rPr>
          <w:rFonts w:ascii="Verdana" w:hAnsi="Verdana"/>
        </w:rPr>
      </w:pPr>
    </w:p>
    <w:p w14:paraId="1DCF0526" w14:textId="77777777" w:rsidR="009F08E8" w:rsidRDefault="009F08E8" w:rsidP="00E245AB">
      <w:pPr>
        <w:spacing w:after="0"/>
        <w:rPr>
          <w:rFonts w:ascii="Verdana" w:hAnsi="Verdana"/>
        </w:rPr>
      </w:pPr>
    </w:p>
    <w:p w14:paraId="28C60E60" w14:textId="77777777" w:rsidR="009F08E8" w:rsidRDefault="009F08E8" w:rsidP="00E245AB">
      <w:pPr>
        <w:spacing w:after="0"/>
        <w:rPr>
          <w:rFonts w:ascii="Verdana" w:hAnsi="Verdana"/>
        </w:rPr>
      </w:pPr>
    </w:p>
    <w:p w14:paraId="2C30CF23" w14:textId="77777777" w:rsidR="009F08E8" w:rsidRDefault="009F08E8" w:rsidP="00E245AB">
      <w:pPr>
        <w:spacing w:after="0"/>
        <w:rPr>
          <w:rFonts w:ascii="Verdana" w:hAnsi="Verdana"/>
        </w:rPr>
      </w:pPr>
    </w:p>
    <w:p w14:paraId="4B33E63A" w14:textId="77777777" w:rsidR="009F08E8" w:rsidRDefault="009F08E8" w:rsidP="00E245AB">
      <w:pPr>
        <w:spacing w:after="0"/>
        <w:rPr>
          <w:rFonts w:ascii="Verdana" w:hAnsi="Verdana"/>
        </w:rPr>
      </w:pPr>
    </w:p>
    <w:p w14:paraId="18B0CF7A" w14:textId="77777777" w:rsidR="009F08E8" w:rsidRDefault="009F08E8" w:rsidP="00E245AB">
      <w:pPr>
        <w:spacing w:after="0"/>
        <w:rPr>
          <w:rFonts w:ascii="Verdana" w:hAnsi="Verdana"/>
        </w:rPr>
      </w:pPr>
    </w:p>
    <w:p w14:paraId="6E78F591" w14:textId="77777777" w:rsidR="009F08E8" w:rsidRDefault="009F08E8" w:rsidP="00E245AB">
      <w:pPr>
        <w:spacing w:after="0"/>
        <w:rPr>
          <w:rFonts w:ascii="Verdana" w:hAnsi="Verdana"/>
        </w:rPr>
      </w:pPr>
    </w:p>
    <w:p w14:paraId="72BD3E6E" w14:textId="77777777" w:rsidR="009F08E8" w:rsidRDefault="009F08E8" w:rsidP="00E245AB">
      <w:pPr>
        <w:spacing w:after="0"/>
        <w:rPr>
          <w:rFonts w:ascii="Verdana" w:hAnsi="Verdana"/>
        </w:rPr>
      </w:pPr>
    </w:p>
    <w:p w14:paraId="6530AF8E" w14:textId="77777777" w:rsidR="009F08E8" w:rsidRDefault="009F08E8" w:rsidP="00E245AB">
      <w:pPr>
        <w:spacing w:after="0"/>
        <w:rPr>
          <w:rFonts w:ascii="Verdana" w:hAnsi="Verdana"/>
        </w:rPr>
      </w:pPr>
    </w:p>
    <w:p w14:paraId="01CEF1FB" w14:textId="77777777" w:rsidR="009F08E8" w:rsidRDefault="009F08E8" w:rsidP="00E245AB">
      <w:pPr>
        <w:spacing w:after="0"/>
        <w:rPr>
          <w:rFonts w:ascii="Verdana" w:hAnsi="Verdana"/>
        </w:rPr>
      </w:pPr>
    </w:p>
    <w:p w14:paraId="7902B38E" w14:textId="77777777" w:rsidR="009F08E8" w:rsidRDefault="009F08E8" w:rsidP="00E245AB">
      <w:pPr>
        <w:spacing w:after="0"/>
        <w:rPr>
          <w:rFonts w:ascii="Verdana" w:hAnsi="Verdana"/>
        </w:rPr>
      </w:pPr>
    </w:p>
    <w:p w14:paraId="18F049D8" w14:textId="77777777" w:rsidR="009F08E8" w:rsidRDefault="009F08E8" w:rsidP="00E245AB">
      <w:pPr>
        <w:spacing w:after="0"/>
        <w:rPr>
          <w:rFonts w:ascii="Verdana" w:hAnsi="Verdana"/>
        </w:rPr>
      </w:pPr>
    </w:p>
    <w:p w14:paraId="1CC1524C" w14:textId="77777777" w:rsidR="009F08E8" w:rsidRDefault="009F08E8" w:rsidP="00E245AB">
      <w:pPr>
        <w:spacing w:after="0"/>
        <w:rPr>
          <w:rFonts w:ascii="Verdana" w:hAnsi="Verdana"/>
        </w:rPr>
      </w:pPr>
    </w:p>
    <w:p w14:paraId="010F605C" w14:textId="77777777" w:rsidR="009F08E8" w:rsidRDefault="009F08E8" w:rsidP="00E245AB">
      <w:pPr>
        <w:spacing w:after="0"/>
        <w:rPr>
          <w:rFonts w:ascii="Verdana" w:hAnsi="Verdana"/>
        </w:rPr>
      </w:pPr>
    </w:p>
    <w:p w14:paraId="2F85081C" w14:textId="77777777" w:rsidR="009F08E8" w:rsidRDefault="009F08E8" w:rsidP="00E245AB">
      <w:pPr>
        <w:spacing w:after="0"/>
        <w:rPr>
          <w:rFonts w:ascii="Verdana" w:hAnsi="Verdana"/>
        </w:rPr>
      </w:pPr>
    </w:p>
    <w:p w14:paraId="7636CAB3" w14:textId="77777777" w:rsidR="009F08E8" w:rsidRDefault="009F08E8" w:rsidP="00E245AB">
      <w:pPr>
        <w:spacing w:after="0"/>
        <w:rPr>
          <w:rFonts w:ascii="Verdana" w:hAnsi="Verdana"/>
        </w:rPr>
      </w:pPr>
    </w:p>
    <w:p w14:paraId="59B8A4C4" w14:textId="77777777" w:rsidR="009F08E8" w:rsidRDefault="009F08E8" w:rsidP="00E245AB">
      <w:pPr>
        <w:spacing w:after="0"/>
        <w:rPr>
          <w:rFonts w:ascii="Verdana" w:hAnsi="Verdana"/>
        </w:rPr>
      </w:pPr>
    </w:p>
    <w:p w14:paraId="5F0CF7F7" w14:textId="77777777" w:rsidR="009F08E8" w:rsidRDefault="009F08E8" w:rsidP="00E245AB">
      <w:pPr>
        <w:spacing w:after="0"/>
        <w:rPr>
          <w:rFonts w:ascii="Verdana" w:hAnsi="Verdana"/>
        </w:rPr>
      </w:pPr>
    </w:p>
    <w:p w14:paraId="624BAB8B" w14:textId="77777777" w:rsidR="009F08E8" w:rsidRDefault="009F08E8" w:rsidP="00E245AB">
      <w:pPr>
        <w:spacing w:after="0"/>
        <w:rPr>
          <w:rFonts w:ascii="Verdana" w:hAnsi="Verdana"/>
        </w:rPr>
      </w:pPr>
    </w:p>
    <w:p w14:paraId="1664C752" w14:textId="77777777" w:rsidR="009F08E8" w:rsidRDefault="009F08E8" w:rsidP="00E245AB">
      <w:pPr>
        <w:spacing w:after="0"/>
        <w:rPr>
          <w:rFonts w:ascii="Verdana" w:hAnsi="Verdana"/>
        </w:rPr>
      </w:pPr>
    </w:p>
    <w:p w14:paraId="20B268A0" w14:textId="77777777" w:rsidR="009F08E8" w:rsidRDefault="009F08E8" w:rsidP="00E245AB">
      <w:pPr>
        <w:spacing w:after="0"/>
        <w:rPr>
          <w:rFonts w:ascii="Verdana" w:hAnsi="Verdana"/>
        </w:rPr>
      </w:pPr>
    </w:p>
    <w:p w14:paraId="63B889D9" w14:textId="77777777" w:rsidR="009F08E8" w:rsidRDefault="009F08E8" w:rsidP="00E245AB">
      <w:pPr>
        <w:spacing w:after="0"/>
        <w:rPr>
          <w:rFonts w:ascii="Verdana" w:hAnsi="Verdana"/>
        </w:rPr>
      </w:pPr>
    </w:p>
    <w:p w14:paraId="7A80E268" w14:textId="77777777" w:rsidR="009F08E8" w:rsidRDefault="009F08E8" w:rsidP="00E245AB">
      <w:pPr>
        <w:spacing w:after="0"/>
        <w:rPr>
          <w:rFonts w:ascii="Verdana" w:hAnsi="Verdana"/>
        </w:rPr>
      </w:pPr>
    </w:p>
    <w:p w14:paraId="25B5B432" w14:textId="77777777" w:rsidR="009F08E8" w:rsidRDefault="009F08E8" w:rsidP="00E245AB">
      <w:pPr>
        <w:spacing w:after="0"/>
        <w:rPr>
          <w:rFonts w:ascii="Verdana" w:hAnsi="Verdana"/>
        </w:rPr>
      </w:pPr>
    </w:p>
    <w:p w14:paraId="3FE2184B" w14:textId="3D7AA917" w:rsidR="00E245AB" w:rsidRPr="0044528D" w:rsidRDefault="00897A3A" w:rsidP="00E245AB">
      <w:pPr>
        <w:spacing w:after="0"/>
        <w:rPr>
          <w:rFonts w:ascii="Verdana" w:hAnsi="Verdana"/>
        </w:rPr>
      </w:pPr>
      <w:r w:rsidRPr="0044528D">
        <w:rPr>
          <w:rFonts w:ascii="Verdana" w:hAnsi="Verdana"/>
        </w:rPr>
        <w:lastRenderedPageBreak/>
        <w:t xml:space="preserve">Bogotá D.C., </w:t>
      </w:r>
      <w:r w:rsidR="002E1AA0">
        <w:rPr>
          <w:rFonts w:ascii="Verdana" w:hAnsi="Verdana"/>
        </w:rPr>
        <w:t>24 de noviembre</w:t>
      </w:r>
      <w:r w:rsidR="000B3EC6">
        <w:rPr>
          <w:rFonts w:ascii="Verdana" w:hAnsi="Verdana"/>
        </w:rPr>
        <w:t xml:space="preserve"> de 2025</w:t>
      </w:r>
      <w:r w:rsidR="00891928" w:rsidRPr="0044528D">
        <w:rPr>
          <w:rFonts w:ascii="Verdana" w:hAnsi="Verdana"/>
        </w:rPr>
        <w:tab/>
      </w:r>
    </w:p>
    <w:p w14:paraId="5FCADBF9" w14:textId="77777777" w:rsidR="00E245AB" w:rsidRDefault="00E245AB" w:rsidP="00E245AB">
      <w:pPr>
        <w:spacing w:after="0"/>
        <w:rPr>
          <w:rFonts w:ascii="Verdana" w:hAnsi="Verdana"/>
        </w:rPr>
      </w:pPr>
    </w:p>
    <w:p w14:paraId="35EED01C" w14:textId="45DA27E2" w:rsidR="001A6E24" w:rsidRPr="00D85FA2" w:rsidRDefault="00FA4A39" w:rsidP="00D85FA2">
      <w:pPr>
        <w:spacing w:after="0" w:line="240" w:lineRule="auto"/>
        <w:jc w:val="both"/>
        <w:rPr>
          <w:rFonts w:ascii="Verdana" w:eastAsia="Calibri" w:hAnsi="Verdana" w:cs="Arial"/>
          <w:lang w:eastAsia="es-ES"/>
        </w:rPr>
      </w:pPr>
      <w:bookmarkStart w:id="1" w:name="_Hlk186494164"/>
      <w:r w:rsidRPr="00FA4A39">
        <w:rPr>
          <w:rFonts w:ascii="Verdana" w:eastAsia="Calibri" w:hAnsi="Verdana" w:cs="Arial"/>
          <w:b/>
          <w:noProof/>
          <w:lang w:eastAsia="es-ES"/>
        </w:rPr>
        <w:drawing>
          <wp:anchor distT="0" distB="0" distL="114300" distR="114300" simplePos="0" relativeHeight="251658240" behindDoc="1" locked="0" layoutInCell="1" allowOverlap="1" wp14:anchorId="38E5B141" wp14:editId="4F8724F0">
            <wp:simplePos x="0" y="0"/>
            <wp:positionH relativeFrom="column">
              <wp:posOffset>2410488</wp:posOffset>
            </wp:positionH>
            <wp:positionV relativeFrom="paragraph">
              <wp:posOffset>13722</wp:posOffset>
            </wp:positionV>
            <wp:extent cx="3045175" cy="866775"/>
            <wp:effectExtent l="0" t="0" r="3175" b="0"/>
            <wp:wrapNone/>
            <wp:docPr id="153106578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06578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67648" cy="873172"/>
                    </a:xfrm>
                    <a:prstGeom prst="rect">
                      <a:avLst/>
                    </a:prstGeom>
                  </pic:spPr>
                </pic:pic>
              </a:graphicData>
            </a:graphic>
            <wp14:sizeRelH relativeFrom="margin">
              <wp14:pctWidth>0</wp14:pctWidth>
            </wp14:sizeRelH>
            <wp14:sizeRelV relativeFrom="margin">
              <wp14:pctHeight>0</wp14:pctHeight>
            </wp14:sizeRelV>
          </wp:anchor>
        </w:drawing>
      </w:r>
    </w:p>
    <w:p w14:paraId="25B28070" w14:textId="77777777" w:rsidR="001A6E24" w:rsidRPr="00D85FA2" w:rsidRDefault="001A6E24" w:rsidP="00D85FA2">
      <w:pPr>
        <w:spacing w:after="0" w:line="240" w:lineRule="auto"/>
        <w:jc w:val="both"/>
        <w:rPr>
          <w:rFonts w:ascii="Verdana" w:eastAsia="Calibri" w:hAnsi="Verdana" w:cs="Arial"/>
          <w:lang w:eastAsia="es-ES"/>
        </w:rPr>
      </w:pPr>
      <w:r w:rsidRPr="00D85FA2">
        <w:rPr>
          <w:rFonts w:ascii="Verdana" w:eastAsia="Calibri" w:hAnsi="Verdana" w:cs="Arial"/>
          <w:lang w:eastAsia="es-ES"/>
        </w:rPr>
        <w:t>Señor (a)</w:t>
      </w:r>
    </w:p>
    <w:p w14:paraId="4BF6205A" w14:textId="3DA290AE" w:rsidR="001A6E24" w:rsidRPr="00D85FA2" w:rsidRDefault="00D85FA2" w:rsidP="00D85FA2">
      <w:pPr>
        <w:spacing w:after="0" w:line="240" w:lineRule="auto"/>
        <w:rPr>
          <w:rFonts w:ascii="Verdana" w:eastAsia="Calibri" w:hAnsi="Verdana" w:cs="Arial"/>
          <w:b/>
          <w:lang w:eastAsia="es-ES"/>
        </w:rPr>
      </w:pPr>
      <w:r w:rsidRPr="00D85FA2">
        <w:rPr>
          <w:rFonts w:ascii="Verdana" w:eastAsia="Calibri" w:hAnsi="Verdana" w:cs="Arial"/>
          <w:b/>
          <w:lang w:eastAsia="es-ES"/>
        </w:rPr>
        <w:t>ANÓNIMO</w:t>
      </w:r>
    </w:p>
    <w:p w14:paraId="7810FF3C" w14:textId="7D827A33" w:rsidR="00646D00" w:rsidRPr="00D85FA2" w:rsidRDefault="00646D00" w:rsidP="00D85FA2">
      <w:pPr>
        <w:spacing w:after="0" w:line="240" w:lineRule="auto"/>
        <w:rPr>
          <w:rFonts w:ascii="Verdana" w:hAnsi="Verdana"/>
        </w:rPr>
      </w:pPr>
      <w:hyperlink r:id="rId11" w:history="1">
        <w:r w:rsidRPr="00D85FA2">
          <w:rPr>
            <w:rStyle w:val="Hipervnculo"/>
            <w:rFonts w:ascii="Verdana" w:hAnsi="Verdana"/>
          </w:rPr>
          <w:t>mauriciorincon91@gmail.com</w:t>
        </w:r>
      </w:hyperlink>
      <w:r w:rsidRPr="00D85FA2">
        <w:rPr>
          <w:rFonts w:ascii="Verdana" w:hAnsi="Verdana"/>
        </w:rPr>
        <w:t xml:space="preserve"> </w:t>
      </w:r>
    </w:p>
    <w:p w14:paraId="3C440A77" w14:textId="77777777" w:rsidR="001A6E24" w:rsidRPr="00D85FA2" w:rsidRDefault="001A6E24" w:rsidP="00D85FA2">
      <w:pPr>
        <w:spacing w:after="0" w:line="240" w:lineRule="auto"/>
        <w:rPr>
          <w:rFonts w:ascii="Verdana" w:eastAsia="Calibri" w:hAnsi="Verdana" w:cs="Arial"/>
          <w:lang w:eastAsia="es-ES"/>
        </w:rPr>
      </w:pPr>
    </w:p>
    <w:p w14:paraId="1952550B" w14:textId="77777777" w:rsidR="001A6E24" w:rsidRPr="00D85FA2" w:rsidRDefault="001A6E24" w:rsidP="00D85FA2">
      <w:pPr>
        <w:spacing w:after="0" w:line="240" w:lineRule="auto"/>
        <w:rPr>
          <w:rFonts w:ascii="Verdana" w:eastAsia="Calibri" w:hAnsi="Verdana" w:cs="Arial"/>
          <w:b/>
          <w:bCs/>
          <w:color w:val="000000"/>
          <w:lang w:eastAsia="es-ES_tradnl"/>
        </w:rPr>
      </w:pPr>
    </w:p>
    <w:p w14:paraId="06954A5C" w14:textId="77777777" w:rsidR="001A6E24" w:rsidRPr="00D85FA2" w:rsidRDefault="001A6E24" w:rsidP="00D85FA2">
      <w:pPr>
        <w:spacing w:after="0" w:line="240" w:lineRule="auto"/>
        <w:jc w:val="center"/>
        <w:rPr>
          <w:rFonts w:ascii="Verdana" w:eastAsia="Calibri" w:hAnsi="Verdana" w:cs="Arial"/>
          <w:b/>
          <w:bCs/>
          <w:lang w:eastAsia="es-ES"/>
        </w:rPr>
      </w:pPr>
      <w:r w:rsidRPr="00D85FA2">
        <w:rPr>
          <w:rFonts w:ascii="Verdana" w:eastAsia="Calibri" w:hAnsi="Verdana" w:cs="Arial"/>
          <w:b/>
          <w:bCs/>
          <w:lang w:eastAsia="es-ES"/>
        </w:rPr>
        <w:t>Concepto C – 1494 de 2025</w:t>
      </w:r>
    </w:p>
    <w:p w14:paraId="28526A37" w14:textId="77777777" w:rsidR="001A6E24" w:rsidRPr="00D85FA2" w:rsidRDefault="001A6E24" w:rsidP="00D85FA2">
      <w:pPr>
        <w:spacing w:after="0" w:line="240" w:lineRule="auto"/>
        <w:jc w:val="center"/>
        <w:rPr>
          <w:rFonts w:ascii="Verdana" w:eastAsia="Calibri" w:hAnsi="Verdana" w:cs="Arial"/>
          <w:b/>
          <w:bCs/>
          <w:lang w:eastAsia="es-ES"/>
        </w:rPr>
      </w:pPr>
    </w:p>
    <w:tbl>
      <w:tblPr>
        <w:tblStyle w:val="Tablaconcuadrcula"/>
        <w:tblW w:w="8833"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44"/>
      </w:tblGrid>
      <w:tr w:rsidR="001A6E24" w:rsidRPr="00D85FA2" w14:paraId="49F42EF5" w14:textId="77777777" w:rsidTr="009F08E8">
        <w:trPr>
          <w:trHeight w:val="884"/>
        </w:trPr>
        <w:tc>
          <w:tcPr>
            <w:tcW w:w="2689" w:type="dxa"/>
          </w:tcPr>
          <w:p w14:paraId="25B352F4" w14:textId="77777777" w:rsidR="001A6E24" w:rsidRPr="00D85FA2" w:rsidRDefault="001A6E24" w:rsidP="00D85FA2">
            <w:pPr>
              <w:jc w:val="both"/>
              <w:rPr>
                <w:rFonts w:ascii="Verdana" w:eastAsia="Calibri" w:hAnsi="Verdana" w:cs="Arial"/>
                <w:color w:val="000000"/>
                <w:lang w:eastAsia="es-ES_tradnl"/>
              </w:rPr>
            </w:pPr>
            <w:r w:rsidRPr="00D85FA2">
              <w:rPr>
                <w:rFonts w:ascii="Verdana" w:eastAsia="Calibri" w:hAnsi="Verdana" w:cs="Arial"/>
                <w:b/>
                <w:color w:val="000000"/>
                <w:lang w:eastAsia="es-ES_tradnl"/>
              </w:rPr>
              <w:t>Temas:</w:t>
            </w:r>
            <w:r w:rsidRPr="00D85FA2">
              <w:rPr>
                <w:rFonts w:ascii="Verdana" w:eastAsia="Calibri" w:hAnsi="Verdana" w:cs="Arial"/>
                <w:color w:val="000000"/>
                <w:lang w:eastAsia="es-ES_tradnl"/>
              </w:rPr>
              <w:t xml:space="preserve">                   </w:t>
            </w:r>
          </w:p>
        </w:tc>
        <w:tc>
          <w:tcPr>
            <w:tcW w:w="6144" w:type="dxa"/>
          </w:tcPr>
          <w:p w14:paraId="6B8214B5" w14:textId="77777777" w:rsidR="001A6E24" w:rsidRPr="00D85FA2" w:rsidRDefault="001A6E24" w:rsidP="006C76BE">
            <w:pPr>
              <w:jc w:val="both"/>
              <w:rPr>
                <w:rFonts w:ascii="Verdana" w:eastAsia="Calibri" w:hAnsi="Verdana" w:cs="Arial"/>
                <w:lang w:val="es-ES" w:eastAsia="es-ES"/>
              </w:rPr>
            </w:pPr>
            <w:r w:rsidRPr="00D85FA2">
              <w:rPr>
                <w:rFonts w:ascii="Verdana" w:eastAsia="Calibri" w:hAnsi="Verdana" w:cs="Arial"/>
                <w:lang w:val="es-ES" w:eastAsia="es-ES"/>
              </w:rPr>
              <w:t xml:space="preserve">LIQUIDACIÓN DEL CONTRATO – Definición – Objetivo / LIQUIDACIÓN DEL CONTRATO – Normativa – Oportunidad </w:t>
            </w:r>
            <w:r w:rsidRPr="00D85FA2">
              <w:rPr>
                <w:rFonts w:ascii="Verdana" w:eastAsia="Times New Roman" w:hAnsi="Verdana" w:cs="Arial"/>
              </w:rPr>
              <w:t xml:space="preserve">/ LIQUIDACIÓN BILATERAL – Naturaleza – Alcance </w:t>
            </w:r>
            <w:r w:rsidRPr="00D85FA2">
              <w:rPr>
                <w:rFonts w:ascii="Verdana" w:eastAsia="Calibri" w:hAnsi="Verdana" w:cs="Arial"/>
                <w:lang w:val="es-ES" w:eastAsia="es-ES"/>
              </w:rPr>
              <w:t>– Salvedades</w:t>
            </w:r>
          </w:p>
          <w:p w14:paraId="78615B30" w14:textId="77777777" w:rsidR="001A6E24" w:rsidRPr="00D85FA2" w:rsidRDefault="001A6E24" w:rsidP="006C76BE">
            <w:pPr>
              <w:jc w:val="both"/>
              <w:rPr>
                <w:rFonts w:ascii="Verdana" w:eastAsia="Calibri" w:hAnsi="Verdana" w:cs="Arial"/>
                <w:lang w:val="es-ES" w:eastAsia="es-ES"/>
              </w:rPr>
            </w:pPr>
          </w:p>
        </w:tc>
      </w:tr>
      <w:tr w:rsidR="001A6E24" w:rsidRPr="00D85FA2" w14:paraId="758B18D7" w14:textId="77777777" w:rsidTr="009F08E8">
        <w:tc>
          <w:tcPr>
            <w:tcW w:w="2689" w:type="dxa"/>
          </w:tcPr>
          <w:p w14:paraId="37BA43D9" w14:textId="77777777" w:rsidR="001A6E24" w:rsidRPr="00D85FA2" w:rsidRDefault="001A6E24" w:rsidP="00D85FA2">
            <w:pPr>
              <w:jc w:val="both"/>
              <w:rPr>
                <w:rFonts w:ascii="Verdana" w:eastAsia="Calibri" w:hAnsi="Verdana" w:cs="Arial"/>
                <w:b/>
                <w:lang w:eastAsia="es-ES_tradnl"/>
              </w:rPr>
            </w:pPr>
            <w:r w:rsidRPr="00D85FA2">
              <w:rPr>
                <w:rFonts w:ascii="Verdana" w:eastAsia="Calibri" w:hAnsi="Verdana" w:cs="Arial"/>
                <w:b/>
                <w:lang w:eastAsia="es-ES_tradnl"/>
              </w:rPr>
              <w:t>Radicación:</w:t>
            </w:r>
            <w:r w:rsidRPr="00D85FA2">
              <w:rPr>
                <w:rFonts w:ascii="Verdana" w:eastAsia="Calibri" w:hAnsi="Verdana" w:cs="Arial"/>
                <w:lang w:eastAsia="es-ES_tradnl"/>
              </w:rPr>
              <w:t xml:space="preserve">               </w:t>
            </w:r>
          </w:p>
        </w:tc>
        <w:tc>
          <w:tcPr>
            <w:tcW w:w="6144" w:type="dxa"/>
          </w:tcPr>
          <w:p w14:paraId="7FC9A34F" w14:textId="77777777" w:rsidR="001A6E24" w:rsidRPr="00D85FA2" w:rsidRDefault="001A6E24" w:rsidP="00D85FA2">
            <w:pPr>
              <w:jc w:val="both"/>
              <w:rPr>
                <w:rFonts w:ascii="Verdana" w:eastAsia="Calibri" w:hAnsi="Verdana" w:cs="Arial"/>
                <w:lang w:eastAsia="es-ES_tradnl"/>
              </w:rPr>
            </w:pPr>
            <w:r w:rsidRPr="00D85FA2">
              <w:rPr>
                <w:rFonts w:ascii="Verdana" w:eastAsia="Calibri" w:hAnsi="Verdana" w:cs="Arial"/>
                <w:lang w:eastAsia="es-ES_tradnl"/>
              </w:rPr>
              <w:t>Respuesta a la consulta con radicado No. 1_2025_10_14_011500</w:t>
            </w:r>
          </w:p>
        </w:tc>
      </w:tr>
    </w:tbl>
    <w:p w14:paraId="7444D5C8" w14:textId="77777777" w:rsidR="001A6E24" w:rsidRPr="00F37F48" w:rsidRDefault="001A6E24" w:rsidP="006C76BE">
      <w:pPr>
        <w:spacing w:after="0" w:line="276" w:lineRule="auto"/>
        <w:jc w:val="both"/>
        <w:rPr>
          <w:rFonts w:ascii="Verdana" w:eastAsia="Calibri" w:hAnsi="Verdana" w:cs="Arial"/>
          <w:color w:val="000000"/>
          <w:lang w:eastAsia="es-ES_tradnl"/>
        </w:rPr>
      </w:pPr>
    </w:p>
    <w:p w14:paraId="0FCA463B" w14:textId="77777777" w:rsidR="001A6E24" w:rsidRPr="00F37F48" w:rsidRDefault="001A6E24" w:rsidP="006C76BE">
      <w:pPr>
        <w:spacing w:after="0" w:line="276" w:lineRule="auto"/>
        <w:jc w:val="both"/>
        <w:rPr>
          <w:rFonts w:ascii="Verdana" w:eastAsia="Calibri" w:hAnsi="Verdana" w:cs="Arial"/>
          <w:color w:val="000000"/>
          <w:lang w:eastAsia="es-ES_tradnl"/>
        </w:rPr>
      </w:pPr>
    </w:p>
    <w:p w14:paraId="5DF5008D" w14:textId="77777777" w:rsidR="001A6E24" w:rsidRPr="00F37F48" w:rsidRDefault="001A6E24" w:rsidP="00D85FA2">
      <w:pPr>
        <w:spacing w:after="0" w:line="276" w:lineRule="auto"/>
        <w:jc w:val="both"/>
        <w:rPr>
          <w:rFonts w:ascii="Verdana" w:eastAsia="Calibri" w:hAnsi="Verdana" w:cs="Arial"/>
          <w:lang w:eastAsia="es-ES"/>
        </w:rPr>
      </w:pPr>
      <w:r w:rsidRPr="00F37F48">
        <w:rPr>
          <w:rFonts w:ascii="Verdana" w:eastAsia="Calibri" w:hAnsi="Verdana" w:cs="Arial"/>
          <w:lang w:eastAsia="es-ES"/>
        </w:rPr>
        <w:t>Estimad</w:t>
      </w:r>
      <w:r>
        <w:rPr>
          <w:rFonts w:ascii="Verdana" w:eastAsia="Calibri" w:hAnsi="Verdana" w:cs="Arial"/>
          <w:lang w:eastAsia="es-ES"/>
        </w:rPr>
        <w:t>o (a)</w:t>
      </w:r>
      <w:r w:rsidRPr="00F37F48">
        <w:rPr>
          <w:rFonts w:ascii="Verdana" w:eastAsia="Calibri" w:hAnsi="Verdana" w:cs="Arial"/>
          <w:lang w:eastAsia="es-ES"/>
        </w:rPr>
        <w:t xml:space="preserve"> señor</w:t>
      </w:r>
      <w:r>
        <w:rPr>
          <w:rFonts w:ascii="Verdana" w:eastAsia="Calibri" w:hAnsi="Verdana" w:cs="Arial"/>
          <w:lang w:eastAsia="es-ES"/>
        </w:rPr>
        <w:t xml:space="preserve"> (</w:t>
      </w:r>
      <w:r w:rsidRPr="00F37F48">
        <w:rPr>
          <w:rFonts w:ascii="Verdana" w:eastAsia="Calibri" w:hAnsi="Verdana" w:cs="Arial"/>
          <w:lang w:eastAsia="es-ES"/>
        </w:rPr>
        <w:t>a</w:t>
      </w:r>
      <w:r>
        <w:rPr>
          <w:rFonts w:ascii="Verdana" w:eastAsia="Calibri" w:hAnsi="Verdana" w:cs="Arial"/>
          <w:lang w:eastAsia="es-ES"/>
        </w:rPr>
        <w:t>)</w:t>
      </w:r>
      <w:r w:rsidRPr="00F37F48">
        <w:rPr>
          <w:rFonts w:ascii="Verdana" w:eastAsia="Calibri" w:hAnsi="Verdana" w:cs="Arial"/>
          <w:lang w:eastAsia="es-ES"/>
        </w:rPr>
        <w:t xml:space="preserve">: </w:t>
      </w:r>
    </w:p>
    <w:p w14:paraId="1B230721" w14:textId="77777777" w:rsidR="001A6E24" w:rsidRPr="00F37F48" w:rsidRDefault="001A6E24" w:rsidP="00D85FA2">
      <w:pPr>
        <w:tabs>
          <w:tab w:val="left" w:pos="3768"/>
        </w:tabs>
        <w:spacing w:after="0" w:line="276" w:lineRule="auto"/>
        <w:jc w:val="both"/>
        <w:rPr>
          <w:rFonts w:ascii="Verdana" w:eastAsia="Calibri" w:hAnsi="Verdana" w:cs="Arial"/>
          <w:color w:val="000000" w:themeColor="text1"/>
          <w:lang w:eastAsia="es-ES"/>
        </w:rPr>
      </w:pPr>
      <w:r w:rsidRPr="00F37F48">
        <w:rPr>
          <w:rFonts w:ascii="Verdana" w:eastAsia="Calibri" w:hAnsi="Verdana" w:cs="Arial"/>
          <w:color w:val="000000" w:themeColor="text1"/>
          <w:lang w:eastAsia="es-ES"/>
        </w:rPr>
        <w:tab/>
      </w:r>
    </w:p>
    <w:p w14:paraId="29D531AA" w14:textId="77777777" w:rsidR="001A6E24" w:rsidRPr="00F37F48" w:rsidRDefault="001A6E24" w:rsidP="00D85FA2">
      <w:pPr>
        <w:spacing w:after="0" w:line="276" w:lineRule="auto"/>
        <w:jc w:val="both"/>
        <w:rPr>
          <w:rFonts w:ascii="Verdana" w:eastAsia="Calibri" w:hAnsi="Verdana" w:cs="Arial"/>
          <w:i/>
          <w:iCs/>
          <w:lang w:eastAsia="es-ES"/>
        </w:rPr>
      </w:pPr>
      <w:r w:rsidRPr="00F37F48">
        <w:rPr>
          <w:rFonts w:ascii="Verdana" w:eastAsia="Calibri" w:hAnsi="Verdana" w:cs="Arial"/>
          <w:color w:val="000000" w:themeColor="text1"/>
          <w:lang w:eastAsia="es-ES"/>
        </w:rPr>
        <w:t>En ejercicio de la competencia otorgada por los artículos 3, numeral 5º, y 11, numeral 8º, del Decreto Ley 4170 de 2011,</w:t>
      </w:r>
      <w:r w:rsidRPr="00F37F48">
        <w:rPr>
          <w:rFonts w:ascii="Verdana" w:eastAsia="Arial MT" w:hAnsi="Verdana" w:cs="Arial MT"/>
          <w:lang w:eastAsia="es-ES"/>
        </w:rPr>
        <w:t xml:space="preserve"> </w:t>
      </w:r>
      <w:r w:rsidRPr="00F37F48">
        <w:rPr>
          <w:rFonts w:ascii="Verdana" w:hAnsi="Verdana" w:cs="Arial"/>
        </w:rPr>
        <w:t xml:space="preserve">así como lo establecido en el artículo 4 de la Resolución 469 de 2025 expedida por esta Entidad, </w:t>
      </w:r>
      <w:r w:rsidRPr="00F37F48">
        <w:rPr>
          <w:rFonts w:ascii="Verdana" w:eastAsia="Calibri" w:hAnsi="Verdana" w:cs="Arial"/>
          <w:color w:val="000000" w:themeColor="text1"/>
          <w:lang w:eastAsia="es-ES"/>
        </w:rPr>
        <w:t xml:space="preserve">la Agencia Nacional de Contratación Pública – Colombia Compra Eficiente responde su solicitud de concepto del </w:t>
      </w:r>
      <w:r>
        <w:rPr>
          <w:rFonts w:ascii="Verdana" w:eastAsia="Calibri" w:hAnsi="Verdana" w:cs="Arial"/>
          <w:color w:val="000000" w:themeColor="text1"/>
          <w:lang w:eastAsia="es-ES"/>
        </w:rPr>
        <w:t>14 de octubre</w:t>
      </w:r>
      <w:r w:rsidRPr="00F37F48">
        <w:rPr>
          <w:rFonts w:ascii="Verdana" w:eastAsia="Calibri" w:hAnsi="Verdana" w:cs="Arial"/>
          <w:color w:val="000000" w:themeColor="text1"/>
          <w:lang w:eastAsia="es-ES"/>
        </w:rPr>
        <w:t xml:space="preserve"> de 2025,</w:t>
      </w:r>
      <w:r w:rsidRPr="00F37F48">
        <w:rPr>
          <w:rFonts w:ascii="Verdana" w:eastAsia="Calibri" w:hAnsi="Verdana" w:cs="Arial"/>
          <w:lang w:eastAsia="es-ES"/>
        </w:rPr>
        <w:t xml:space="preserve"> en la cual consulta sobre lo siguiente:</w:t>
      </w:r>
      <w:r w:rsidRPr="00F37F48">
        <w:rPr>
          <w:rFonts w:ascii="Verdana" w:eastAsia="Calibri" w:hAnsi="Verdana" w:cs="Arial"/>
          <w:i/>
          <w:iCs/>
          <w:lang w:eastAsia="es-ES"/>
        </w:rPr>
        <w:t xml:space="preserve"> </w:t>
      </w:r>
      <w:bookmarkStart w:id="2" w:name="_Hlk95313578"/>
    </w:p>
    <w:p w14:paraId="72DF14D5" w14:textId="77777777" w:rsidR="001A6E24" w:rsidRPr="00F37F48" w:rsidRDefault="001A6E24" w:rsidP="00D85FA2">
      <w:pPr>
        <w:spacing w:after="0" w:line="276" w:lineRule="auto"/>
        <w:jc w:val="both"/>
        <w:rPr>
          <w:rFonts w:ascii="Verdana" w:eastAsia="Calibri" w:hAnsi="Verdana" w:cs="Arial"/>
          <w:i/>
          <w:iCs/>
          <w:lang w:eastAsia="es-ES"/>
        </w:rPr>
      </w:pPr>
    </w:p>
    <w:bookmarkEnd w:id="2"/>
    <w:p w14:paraId="732F138E" w14:textId="719CC5C3" w:rsidR="001A6E24" w:rsidRDefault="00A31898" w:rsidP="00D85FA2">
      <w:pPr>
        <w:spacing w:after="0" w:line="240" w:lineRule="auto"/>
        <w:ind w:left="709" w:right="709"/>
        <w:jc w:val="both"/>
        <w:rPr>
          <w:rFonts w:ascii="Verdana" w:eastAsia="Arial" w:hAnsi="Verdana" w:cs="Arial"/>
          <w:iCs/>
          <w:color w:val="000000"/>
          <w:sz w:val="20"/>
          <w:szCs w:val="20"/>
        </w:rPr>
      </w:pPr>
      <w:r>
        <w:rPr>
          <w:rFonts w:ascii="Verdana" w:eastAsia="Arial" w:hAnsi="Verdana" w:cs="Arial"/>
          <w:iCs/>
          <w:color w:val="000000"/>
          <w:sz w:val="20"/>
          <w:szCs w:val="20"/>
        </w:rPr>
        <w:t>“</w:t>
      </w:r>
      <w:r w:rsidR="001A6E24" w:rsidRPr="00117BCB">
        <w:rPr>
          <w:rFonts w:ascii="Verdana" w:eastAsia="Arial" w:hAnsi="Verdana" w:cs="Arial"/>
          <w:iCs/>
          <w:color w:val="000000"/>
          <w:sz w:val="20"/>
          <w:szCs w:val="20"/>
        </w:rPr>
        <w:t xml:space="preserve">¿Es procedente modificar la liquidación de un contrato estatal cuando, en la liquidación inicial, se advierten errores en el balance financiero del mismo? </w:t>
      </w:r>
    </w:p>
    <w:p w14:paraId="700E293E" w14:textId="77777777" w:rsidR="001A6E24" w:rsidRDefault="001A6E24" w:rsidP="00D85FA2">
      <w:pPr>
        <w:spacing w:after="0" w:line="240" w:lineRule="auto"/>
        <w:ind w:left="709" w:right="709"/>
        <w:jc w:val="both"/>
        <w:rPr>
          <w:rFonts w:ascii="Verdana" w:eastAsia="Arial" w:hAnsi="Verdana" w:cs="Arial"/>
          <w:iCs/>
          <w:color w:val="000000"/>
          <w:sz w:val="20"/>
          <w:szCs w:val="20"/>
        </w:rPr>
      </w:pPr>
    </w:p>
    <w:p w14:paraId="6A5116B3" w14:textId="77777777" w:rsidR="001A6E24" w:rsidRPr="00F37F48" w:rsidRDefault="001A6E24" w:rsidP="00D85FA2">
      <w:pPr>
        <w:spacing w:after="0" w:line="240" w:lineRule="auto"/>
        <w:ind w:left="709" w:right="709"/>
        <w:jc w:val="both"/>
        <w:rPr>
          <w:rFonts w:ascii="Verdana" w:hAnsi="Verdana"/>
          <w:iCs/>
          <w:sz w:val="20"/>
          <w:szCs w:val="20"/>
        </w:rPr>
      </w:pPr>
      <w:r w:rsidRPr="00117BCB">
        <w:rPr>
          <w:rFonts w:ascii="Verdana" w:eastAsia="Arial" w:hAnsi="Verdana" w:cs="Arial"/>
          <w:iCs/>
          <w:color w:val="000000"/>
          <w:sz w:val="20"/>
          <w:szCs w:val="20"/>
        </w:rPr>
        <w:t>En caso afirmativo, ¿es posible efectuar dicha modificación una vez transcurridos los treinta (30) meses establecidos en el artículo 11 de la Ley 1150 de 2007 para la liquidación de los contratos estatales?</w:t>
      </w:r>
      <w:r w:rsidRPr="00F37F48">
        <w:rPr>
          <w:rFonts w:ascii="Verdana" w:eastAsia="Arial" w:hAnsi="Verdana" w:cs="Arial"/>
          <w:iCs/>
          <w:color w:val="000000"/>
          <w:sz w:val="20"/>
          <w:szCs w:val="20"/>
        </w:rPr>
        <w:t>” (SIC).</w:t>
      </w:r>
    </w:p>
    <w:p w14:paraId="43E0AF83" w14:textId="77777777" w:rsidR="001A6E24" w:rsidRPr="006C76BE" w:rsidRDefault="001A6E24" w:rsidP="006C76BE">
      <w:pPr>
        <w:spacing w:after="0" w:line="276" w:lineRule="auto"/>
        <w:ind w:left="709" w:right="709"/>
        <w:jc w:val="both"/>
        <w:rPr>
          <w:rFonts w:ascii="Verdana" w:hAnsi="Verdana"/>
        </w:rPr>
      </w:pPr>
    </w:p>
    <w:p w14:paraId="1DBA104E" w14:textId="77777777" w:rsidR="001A6E24" w:rsidRPr="00F37F48" w:rsidRDefault="001A6E24" w:rsidP="00933898">
      <w:pPr>
        <w:spacing w:after="120" w:line="276" w:lineRule="auto"/>
        <w:ind w:firstLine="709"/>
        <w:jc w:val="both"/>
        <w:rPr>
          <w:rFonts w:ascii="Verdana" w:eastAsia="Calibri" w:hAnsi="Verdana" w:cs="Arial"/>
          <w:color w:val="000000"/>
          <w:lang w:eastAsia="es-ES"/>
        </w:rPr>
      </w:pPr>
      <w:r w:rsidRPr="00F37F48">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F37F48">
        <w:rPr>
          <w:rFonts w:ascii="Verdana" w:eastAsia="Calibri" w:hAnsi="Verdana" w:cs="Arial"/>
          <w:color w:val="000000"/>
          <w:lang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37F48">
        <w:rPr>
          <w:rFonts w:ascii="Verdana" w:eastAsia="Calibri" w:hAnsi="Verdana" w:cs="Arial"/>
          <w:color w:val="000000"/>
          <w:szCs w:val="24"/>
          <w:lang w:eastAsia="es-ES_tradnl"/>
        </w:rPr>
        <w:tab/>
      </w:r>
    </w:p>
    <w:p w14:paraId="06104067" w14:textId="77777777" w:rsidR="001A6E24" w:rsidRPr="00F37F48" w:rsidRDefault="001A6E24" w:rsidP="00933898">
      <w:pPr>
        <w:spacing w:after="0" w:line="276" w:lineRule="auto"/>
        <w:ind w:firstLine="709"/>
        <w:jc w:val="both"/>
        <w:rPr>
          <w:rFonts w:ascii="Verdana" w:eastAsia="Calibri" w:hAnsi="Verdana" w:cs="Arial"/>
          <w:color w:val="000000"/>
          <w:lang w:eastAsia="es-ES"/>
        </w:rPr>
      </w:pPr>
      <w:r w:rsidRPr="00F37F48">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F37F48">
        <w:rPr>
          <w:rFonts w:ascii="Verdana" w:eastAsia="Calibri" w:hAnsi="Verdana" w:cs="Arial"/>
          <w:color w:val="7030A0"/>
          <w:lang w:eastAsia="es-ES"/>
        </w:rPr>
        <w:t xml:space="preserve"> </w:t>
      </w:r>
      <w:r w:rsidRPr="00F37F48">
        <w:rPr>
          <w:rFonts w:ascii="Verdana" w:eastAsia="Calibri" w:hAnsi="Verdana" w:cs="Arial"/>
          <w:color w:val="000000"/>
          <w:lang w:eastAsia="es-ES"/>
        </w:rPr>
        <w:t>problema</w:t>
      </w:r>
      <w:r w:rsidRPr="00F37F48">
        <w:rPr>
          <w:rFonts w:ascii="Verdana" w:eastAsia="Calibri" w:hAnsi="Verdana" w:cs="Arial"/>
          <w:color w:val="7030A0"/>
          <w:lang w:eastAsia="es-ES"/>
        </w:rPr>
        <w:t xml:space="preserve"> </w:t>
      </w:r>
      <w:r w:rsidRPr="00F37F48">
        <w:rPr>
          <w:rFonts w:ascii="Verdana" w:eastAsia="Calibri" w:hAnsi="Verdana" w:cs="Arial"/>
          <w:color w:val="000000"/>
          <w:lang w:eastAsia="es-ES"/>
        </w:rPr>
        <w:t>jurídico</w:t>
      </w:r>
      <w:r w:rsidRPr="00F37F48">
        <w:rPr>
          <w:rFonts w:ascii="Verdana" w:eastAsia="Calibri" w:hAnsi="Verdana" w:cs="Arial"/>
          <w:color w:val="7030A0"/>
          <w:lang w:eastAsia="es-ES"/>
        </w:rPr>
        <w:t xml:space="preserve"> </w:t>
      </w:r>
      <w:r w:rsidRPr="00F37F48">
        <w:rPr>
          <w:rFonts w:ascii="Verdana" w:eastAsia="Calibri" w:hAnsi="Verdana" w:cs="Arial"/>
          <w:color w:val="000000"/>
          <w:lang w:eastAsia="es-ES"/>
        </w:rPr>
        <w:t xml:space="preserve">de su consulta. </w:t>
      </w:r>
    </w:p>
    <w:p w14:paraId="38836E82" w14:textId="77777777" w:rsidR="001A6E24" w:rsidRPr="00F37F48" w:rsidRDefault="001A6E24" w:rsidP="00933898">
      <w:pPr>
        <w:spacing w:after="0" w:line="276" w:lineRule="auto"/>
        <w:ind w:firstLine="709"/>
        <w:jc w:val="both"/>
        <w:rPr>
          <w:rFonts w:ascii="Verdana" w:eastAsia="Calibri" w:hAnsi="Verdana" w:cs="Arial"/>
          <w:color w:val="000000"/>
          <w:lang w:eastAsia="es-ES"/>
        </w:rPr>
      </w:pPr>
    </w:p>
    <w:p w14:paraId="253348D2" w14:textId="77777777" w:rsidR="001A6E24" w:rsidRPr="00F37F48" w:rsidRDefault="001A6E24" w:rsidP="00933898">
      <w:pPr>
        <w:numPr>
          <w:ilvl w:val="0"/>
          <w:numId w:val="16"/>
        </w:numPr>
        <w:tabs>
          <w:tab w:val="left" w:pos="142"/>
          <w:tab w:val="left" w:pos="284"/>
        </w:tabs>
        <w:spacing w:after="0" w:line="276" w:lineRule="auto"/>
        <w:jc w:val="both"/>
        <w:rPr>
          <w:rFonts w:ascii="Verdana" w:eastAsia="Century Gothic" w:hAnsi="Verdana" w:cs="Century Gothic"/>
          <w:b/>
          <w:bCs/>
        </w:rPr>
      </w:pPr>
      <w:r w:rsidRPr="00F37F48">
        <w:rPr>
          <w:rFonts w:ascii="Verdana" w:eastAsia="Century Gothic" w:hAnsi="Verdana" w:cs="Century Gothic"/>
          <w:b/>
          <w:bCs/>
        </w:rPr>
        <w:t>Problema planteado:</w:t>
      </w:r>
    </w:p>
    <w:p w14:paraId="3B7D60BA" w14:textId="77777777" w:rsidR="001A6E24" w:rsidRPr="00F37F48" w:rsidRDefault="001A6E24" w:rsidP="00933898">
      <w:pPr>
        <w:tabs>
          <w:tab w:val="left" w:pos="426"/>
        </w:tabs>
        <w:spacing w:after="0" w:line="276" w:lineRule="auto"/>
        <w:jc w:val="both"/>
        <w:rPr>
          <w:rFonts w:ascii="Verdana" w:eastAsia="Century Gothic" w:hAnsi="Verdana" w:cs="Century Gothic"/>
        </w:rPr>
      </w:pPr>
    </w:p>
    <w:p w14:paraId="53F4A180" w14:textId="7E52CA34" w:rsidR="001A6E24" w:rsidRPr="00F37F48" w:rsidRDefault="001A6E24" w:rsidP="00933898">
      <w:pPr>
        <w:spacing w:after="0" w:line="276" w:lineRule="auto"/>
        <w:jc w:val="both"/>
        <w:rPr>
          <w:rFonts w:ascii="Verdana" w:eastAsia="Century Gothic" w:hAnsi="Verdana" w:cs="Century Gothic"/>
        </w:rPr>
      </w:pPr>
      <w:r w:rsidRPr="00F37F48">
        <w:rPr>
          <w:rFonts w:ascii="Verdana" w:eastAsia="Century Gothic" w:hAnsi="Verdana" w:cs="Century Gothic"/>
        </w:rPr>
        <w:t xml:space="preserve">De acuerdo con el contenido de su solicitud, esta Agencia resolverá </w:t>
      </w:r>
      <w:r w:rsidR="0021283D">
        <w:rPr>
          <w:rFonts w:ascii="Verdana" w:eastAsia="Century Gothic" w:hAnsi="Verdana" w:cs="Century Gothic"/>
        </w:rPr>
        <w:t>e</w:t>
      </w:r>
      <w:r w:rsidRPr="00F37F48">
        <w:rPr>
          <w:rFonts w:ascii="Verdana" w:eastAsia="Century Gothic" w:hAnsi="Verdana" w:cs="Century Gothic"/>
        </w:rPr>
        <w:t>l siguiente problema jurídico: ¿Cuál es la naturaleza jurídica</w:t>
      </w:r>
      <w:r w:rsidR="0021283D">
        <w:rPr>
          <w:rFonts w:ascii="Verdana" w:eastAsia="Century Gothic" w:hAnsi="Verdana" w:cs="Century Gothic"/>
        </w:rPr>
        <w:t xml:space="preserve">, </w:t>
      </w:r>
      <w:r w:rsidRPr="00F37F48">
        <w:rPr>
          <w:rFonts w:ascii="Verdana" w:eastAsia="Century Gothic" w:hAnsi="Verdana" w:cs="Century Gothic"/>
        </w:rPr>
        <w:t xml:space="preserve">el alcance </w:t>
      </w:r>
      <w:r w:rsidR="0021283D">
        <w:rPr>
          <w:rFonts w:ascii="Verdana" w:eastAsia="Century Gothic" w:hAnsi="Verdana" w:cs="Century Gothic"/>
        </w:rPr>
        <w:t xml:space="preserve">y los efectos </w:t>
      </w:r>
      <w:r w:rsidRPr="00F37F48">
        <w:rPr>
          <w:rFonts w:ascii="Verdana" w:eastAsia="Century Gothic" w:hAnsi="Verdana" w:cs="Century Gothic"/>
        </w:rPr>
        <w:t xml:space="preserve">de la liquidación bilateral? </w:t>
      </w:r>
    </w:p>
    <w:p w14:paraId="6AE494D9" w14:textId="77777777" w:rsidR="001A6E24" w:rsidRPr="00F37F48" w:rsidRDefault="001A6E24" w:rsidP="00933898">
      <w:pPr>
        <w:tabs>
          <w:tab w:val="left" w:pos="142"/>
          <w:tab w:val="left" w:pos="284"/>
        </w:tabs>
        <w:spacing w:after="0" w:line="276" w:lineRule="auto"/>
        <w:jc w:val="both"/>
        <w:rPr>
          <w:rFonts w:ascii="Verdana" w:eastAsia="Century Gothic" w:hAnsi="Verdana" w:cs="Century Gothic"/>
          <w:b/>
          <w:bCs/>
        </w:rPr>
      </w:pPr>
    </w:p>
    <w:p w14:paraId="5E2F3181" w14:textId="77777777" w:rsidR="001A6E24" w:rsidRPr="00F37F48" w:rsidRDefault="001A6E24" w:rsidP="00933898">
      <w:pPr>
        <w:numPr>
          <w:ilvl w:val="0"/>
          <w:numId w:val="16"/>
        </w:numPr>
        <w:tabs>
          <w:tab w:val="left" w:pos="142"/>
          <w:tab w:val="left" w:pos="284"/>
        </w:tabs>
        <w:spacing w:after="0" w:line="276" w:lineRule="auto"/>
        <w:jc w:val="both"/>
        <w:rPr>
          <w:rFonts w:ascii="Verdana" w:eastAsia="Century Gothic" w:hAnsi="Verdana" w:cs="Century Gothic"/>
          <w:b/>
          <w:bCs/>
        </w:rPr>
      </w:pPr>
      <w:r w:rsidRPr="00F37F48">
        <w:rPr>
          <w:rFonts w:ascii="Verdana" w:eastAsia="Century Gothic" w:hAnsi="Verdana" w:cs="Century Gothic"/>
          <w:b/>
          <w:bCs/>
        </w:rPr>
        <w:t>Respuesta</w:t>
      </w:r>
      <w:r w:rsidRPr="00F37F48">
        <w:rPr>
          <w:rFonts w:ascii="Verdana" w:eastAsia="Century Gothic" w:hAnsi="Verdana" w:cs="Century Gothic"/>
          <w:b/>
          <w:bCs/>
          <w:lang w:val="es-ES"/>
        </w:rPr>
        <w:t>:</w:t>
      </w:r>
    </w:p>
    <w:p w14:paraId="538B18A0" w14:textId="77777777" w:rsidR="001A6E24" w:rsidRPr="00F37F48" w:rsidRDefault="001A6E24" w:rsidP="0093389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A6E24" w:rsidRPr="00F37F48" w14:paraId="38680C9B" w14:textId="77777777" w:rsidTr="009F08E8">
        <w:trPr>
          <w:jc w:val="center"/>
        </w:trPr>
        <w:tc>
          <w:tcPr>
            <w:tcW w:w="8828" w:type="dxa"/>
          </w:tcPr>
          <w:p w14:paraId="1A3C8825" w14:textId="492436E9" w:rsidR="001A6E24" w:rsidRPr="00F37F48" w:rsidRDefault="001A6E24" w:rsidP="006C76BE">
            <w:pPr>
              <w:widowControl w:val="0"/>
              <w:autoSpaceDE w:val="0"/>
              <w:autoSpaceDN w:val="0"/>
              <w:spacing w:after="120" w:line="276" w:lineRule="auto"/>
              <w:jc w:val="both"/>
              <w:rPr>
                <w:rFonts w:ascii="Verdana" w:eastAsia="Arial" w:hAnsi="Verdana" w:cs="Arial"/>
                <w:lang w:val="es-ES" w:eastAsia="es-ES" w:bidi="es-ES"/>
              </w:rPr>
            </w:pPr>
            <w:bookmarkStart w:id="3" w:name="_Hlk171694685"/>
            <w:r w:rsidRPr="00F37F48">
              <w:rPr>
                <w:rFonts w:ascii="Verdana" w:eastAsia="Arial" w:hAnsi="Verdana" w:cs="Arial"/>
                <w:lang w:eastAsia="es-ES" w:bidi="es-ES"/>
              </w:rPr>
              <w:t xml:space="preserve">La </w:t>
            </w:r>
            <w:r w:rsidRPr="00F37F48">
              <w:rPr>
                <w:rFonts w:ascii="Verdana" w:eastAsia="Times New Roman" w:hAnsi="Verdana" w:cs="Arial"/>
                <w:color w:val="000000"/>
                <w:bdr w:val="none" w:sz="0" w:space="0" w:color="auto" w:frame="1"/>
                <w:shd w:val="clear" w:color="auto" w:fill="FFFFFF"/>
                <w:lang w:val="es-ES" w:eastAsia="es-ES_tradnl"/>
              </w:rPr>
              <w:t xml:space="preserve">liquidación bilateral es </w:t>
            </w:r>
            <w:r w:rsidRPr="00F37F48">
              <w:rPr>
                <w:rFonts w:ascii="Verdana" w:eastAsia="Arial" w:hAnsi="Verdana" w:cs="Arial"/>
                <w:lang w:val="es-ES" w:eastAsia="es-ES" w:bidi="es-ES"/>
              </w:rPr>
              <w:t xml:space="preserve">un acuerdo en el que las partes del contrato estatal, en ejercicio de la autonomía de la voluntad, regulan la finalización de su relación y disponen de los intereses que emanan de ella. </w:t>
            </w:r>
            <w:r w:rsidR="00DE0E19" w:rsidRPr="00F37F48">
              <w:rPr>
                <w:rFonts w:ascii="Verdana" w:eastAsia="Arial" w:hAnsi="Verdana" w:cs="Arial"/>
                <w:lang w:val="es-ES" w:eastAsia="es-ES" w:bidi="es-ES"/>
              </w:rPr>
              <w:t>Asimismo,</w:t>
            </w:r>
            <w:r w:rsidRPr="00F37F48">
              <w:rPr>
                <w:rFonts w:ascii="Verdana" w:eastAsia="Arial" w:hAnsi="Verdana" w:cs="Arial"/>
                <w:lang w:val="es-ES" w:eastAsia="es-ES" w:bidi="es-ES"/>
              </w:rPr>
              <w:t xml:space="preserve"> tiene efectos de título ejecutivo, transaccionales, puesto que las declaraciones y expresiones incorporadas en la correspondiente acta son reconocidas y protegidas por el ordenamiento jurídico, siempre y cuando no sean contrarias a la Constitución Política, la ley, el orden público, la moral y las buenas costumbres, y los principios y finalidades del Estatuto General de la Contratación de la Administración Pública y de la buena administración.</w:t>
            </w:r>
            <w:r w:rsidRPr="00F37F48">
              <w:rPr>
                <w:rFonts w:ascii="Verdana" w:eastAsia="Times New Roman" w:hAnsi="Verdana" w:cs="Arial"/>
                <w:color w:val="000000"/>
                <w:bdr w:val="none" w:sz="0" w:space="0" w:color="auto" w:frame="1"/>
                <w:shd w:val="clear" w:color="auto" w:fill="FFFFFF"/>
                <w:lang w:val="es-ES" w:eastAsia="es-ES_tradnl"/>
              </w:rPr>
              <w:t xml:space="preserve"> </w:t>
            </w:r>
            <w:r w:rsidRPr="00F37F48">
              <w:rPr>
                <w:rFonts w:ascii="Verdana" w:eastAsia="Arial" w:hAnsi="Verdana" w:cs="Arial"/>
                <w:lang w:val="es-ES" w:eastAsia="es-ES" w:bidi="es-ES"/>
              </w:rPr>
              <w:t>En ese sentido, la liquidación bilateral puede considerarse como una forma alternativa de resolver los conflictos o controversias que surjan a partir de la determinación de las prestaciones comunes a que las partes contractuales puedan o no tener derecho luego de haberse ejecutado el contrato, esto es, como una manera de evitar futuros litigios frente a los mismos asuntos.</w:t>
            </w:r>
          </w:p>
          <w:p w14:paraId="1F3FBB00" w14:textId="77777777" w:rsidR="001A6E24" w:rsidRPr="00F37F48" w:rsidRDefault="001A6E24" w:rsidP="009F08E8">
            <w:pPr>
              <w:widowControl w:val="0"/>
              <w:autoSpaceDE w:val="0"/>
              <w:autoSpaceDN w:val="0"/>
              <w:spacing w:after="120" w:line="276" w:lineRule="auto"/>
              <w:ind w:right="108" w:firstLine="709"/>
              <w:jc w:val="both"/>
              <w:rPr>
                <w:rFonts w:ascii="Verdana" w:eastAsia="Arial" w:hAnsi="Verdana" w:cs="Arial"/>
                <w:lang w:eastAsia="es-ES" w:bidi="es-ES"/>
              </w:rPr>
            </w:pPr>
            <w:r w:rsidRPr="00F37F48">
              <w:rPr>
                <w:rFonts w:ascii="Verdana" w:eastAsia="Arial" w:hAnsi="Verdana" w:cs="Arial"/>
                <w:lang w:eastAsia="es-ES" w:bidi="es-ES"/>
              </w:rPr>
              <w:t xml:space="preserve">Sobre su carácter vinculante y obligatorio, el Consejo de Estado ha manifestado que “la fuerza jurídica vinculante del acta de liquidación bilateral </w:t>
            </w:r>
            <w:r w:rsidRPr="00F37F48">
              <w:rPr>
                <w:rFonts w:ascii="Verdana" w:eastAsia="Arial" w:hAnsi="Verdana" w:cs="Arial"/>
                <w:lang w:eastAsia="es-ES" w:bidi="es-ES"/>
              </w:rPr>
              <w:lastRenderedPageBreak/>
              <w:t>proviene de la naturaleza transaccional del acuerdo de voluntades que contiene, por esa precisa razón no es posible desatender el contenido obligacional incorporado, pues su finalidad según el artículo 60 de la Ley 80 de 1993 está encaminada a que las partes puedan “declararse a paz y salvo”.  Por ello, ha mantenido la postura según la cual, por regla general, resulta improcedente elevar pretensiones originadas en el contrato que fue debidamente liquidado en forma bilateral por las partes, puesto que ello implicaría ir en contra de los propios actos y de una previa manifestación de voluntad efectuada por personas capaces de disponer de sus derechos, que quedó plasmada en el acta de liquidación cuando fue suscrita por la entidad contratante y el contratista.</w:t>
            </w:r>
          </w:p>
          <w:p w14:paraId="6AF5B462" w14:textId="77777777" w:rsidR="001A6E24" w:rsidRPr="00F37F48" w:rsidRDefault="001A6E24" w:rsidP="009F08E8">
            <w:pPr>
              <w:widowControl w:val="0"/>
              <w:autoSpaceDE w:val="0"/>
              <w:autoSpaceDN w:val="0"/>
              <w:spacing w:after="120" w:line="276" w:lineRule="auto"/>
              <w:ind w:right="108" w:firstLine="709"/>
              <w:jc w:val="both"/>
              <w:rPr>
                <w:rFonts w:ascii="Verdana" w:eastAsia="Arial" w:hAnsi="Verdana" w:cs="Arial"/>
                <w:lang w:val="es-ES" w:eastAsia="es-ES" w:bidi="es-ES"/>
              </w:rPr>
            </w:pPr>
            <w:r w:rsidRPr="00F37F48">
              <w:rPr>
                <w:rFonts w:ascii="Verdana" w:eastAsia="Arial" w:hAnsi="Verdana" w:cs="Arial"/>
                <w:lang w:eastAsia="es-ES" w:bidi="es-ES"/>
              </w:rPr>
              <w:t>En este sentido, aten</w:t>
            </w:r>
            <w:r>
              <w:rPr>
                <w:rFonts w:ascii="Verdana" w:eastAsia="Arial" w:hAnsi="Verdana" w:cs="Arial"/>
                <w:lang w:eastAsia="es-ES" w:bidi="es-ES"/>
              </w:rPr>
              <w:t>d</w:t>
            </w:r>
            <w:r w:rsidRPr="00F37F48">
              <w:rPr>
                <w:rFonts w:ascii="Verdana" w:eastAsia="Arial" w:hAnsi="Verdana" w:cs="Arial"/>
                <w:lang w:eastAsia="es-ES" w:bidi="es-ES"/>
              </w:rPr>
              <w:t xml:space="preserve">iendo al carácter vinculante y obligatorio del acta de liquidación bilateral, no es procedente desconocer posteriormente su contenido y acudir a las autoridades judiciales para dirimir puntos que no fueron objeto de salvedades o hayan sido expresamente consignadas en el acta. En efecto, </w:t>
            </w:r>
            <w:r w:rsidRPr="00F37F48">
              <w:rPr>
                <w:rFonts w:ascii="Verdana" w:eastAsia="Arial" w:hAnsi="Verdana" w:cs="Arial"/>
                <w:lang w:val="es-ES" w:eastAsia="es-ES" w:bidi="es-ES"/>
              </w:rPr>
              <w:t>es derecho del contratista realizar las salvedades u objeciones que considere, sin afectar los acuerdos logrados en otros aspectos. Estos acuerdos deben quedar consignados en el acta bilateral, documento que sirve de base para evaluar el estado final del contrato, y de ser necesario reclamar por obligaciones pendientes y en consecuencia de ello, las entidades deben estipular en ellas las reclamaciones o salvedades de orden económico y técnico que el contratista formulen frente al balance técnico, jurídico y económico del contrato.</w:t>
            </w:r>
          </w:p>
          <w:p w14:paraId="6F15F515" w14:textId="77777777" w:rsidR="001A6E24" w:rsidRPr="00F37F48" w:rsidRDefault="001A6E24" w:rsidP="009F08E8">
            <w:pPr>
              <w:widowControl w:val="0"/>
              <w:autoSpaceDE w:val="0"/>
              <w:autoSpaceDN w:val="0"/>
              <w:spacing w:before="93" w:after="120" w:line="276" w:lineRule="auto"/>
              <w:ind w:right="105" w:firstLine="709"/>
              <w:jc w:val="both"/>
              <w:rPr>
                <w:rFonts w:ascii="Verdana" w:eastAsia="Arial" w:hAnsi="Verdana" w:cs="Arial"/>
                <w:lang w:eastAsia="es-ES" w:bidi="es-ES"/>
              </w:rPr>
            </w:pPr>
            <w:r w:rsidRPr="00F37F48">
              <w:rPr>
                <w:rFonts w:ascii="Verdana" w:eastAsia="Arial" w:hAnsi="Verdana" w:cs="Arial"/>
                <w:lang w:eastAsia="es-ES" w:bidi="es-ES"/>
              </w:rPr>
              <w:t xml:space="preserve">Por consiguiente, debido a la naturaleza y al alcance de la liquidación bilateral, no se considera procedente realizar modificaciones posteriores que alteren los acuerdos inicialmente suscritos por las partes. Precisamente, la fuerza obligatoria de este instrumento radica en que representa una manifestación libre y consciente de la voluntad de las partes, dirigida a dar por terminado el contrato y a resolver las diferencias surgidas durante su ejecución. En ese sentido, se entiende definitiva y solo admite impugnación en los casos señalados, como la existencia de vicios del consentimiento o cuando se hayan dejado salvedades expresas en el mismo documento. </w:t>
            </w:r>
          </w:p>
        </w:tc>
      </w:tr>
    </w:tbl>
    <w:p w14:paraId="0AB87865" w14:textId="77777777" w:rsidR="001A6E24" w:rsidRPr="00724E94" w:rsidRDefault="001A6E24" w:rsidP="00A834BC">
      <w:pPr>
        <w:tabs>
          <w:tab w:val="left" w:pos="142"/>
          <w:tab w:val="left" w:pos="284"/>
        </w:tabs>
        <w:spacing w:after="0" w:line="276" w:lineRule="auto"/>
        <w:jc w:val="both"/>
        <w:rPr>
          <w:rFonts w:ascii="Verdana" w:eastAsia="Century Gothic" w:hAnsi="Verdana" w:cs="Century Gothic"/>
          <w:b/>
          <w:bCs/>
        </w:rPr>
      </w:pPr>
    </w:p>
    <w:bookmarkEnd w:id="3"/>
    <w:p w14:paraId="61EF6540" w14:textId="77777777" w:rsidR="001A6E24" w:rsidRPr="00724E94" w:rsidRDefault="001A6E24" w:rsidP="00A834BC">
      <w:pPr>
        <w:numPr>
          <w:ilvl w:val="0"/>
          <w:numId w:val="16"/>
        </w:numPr>
        <w:tabs>
          <w:tab w:val="left" w:pos="142"/>
          <w:tab w:val="left" w:pos="284"/>
        </w:tabs>
        <w:spacing w:after="0" w:line="276" w:lineRule="auto"/>
        <w:jc w:val="both"/>
        <w:rPr>
          <w:rFonts w:ascii="Verdana" w:eastAsia="Century Gothic" w:hAnsi="Verdana" w:cs="Century Gothic"/>
          <w:b/>
          <w:bCs/>
        </w:rPr>
      </w:pPr>
      <w:r w:rsidRPr="00724E94">
        <w:rPr>
          <w:rFonts w:ascii="Verdana" w:eastAsia="Century Gothic" w:hAnsi="Verdana" w:cs="Century Gothic"/>
          <w:b/>
          <w:bCs/>
        </w:rPr>
        <w:t>Razones de la respuesta:</w:t>
      </w:r>
    </w:p>
    <w:p w14:paraId="380C28AF" w14:textId="77777777" w:rsidR="001A6E24" w:rsidRPr="006C76BE" w:rsidRDefault="001A6E24" w:rsidP="00A834BC">
      <w:pPr>
        <w:spacing w:after="0" w:line="276" w:lineRule="auto"/>
        <w:jc w:val="both"/>
        <w:rPr>
          <w:rFonts w:ascii="Verdana" w:eastAsia="Calibri" w:hAnsi="Verdana" w:cs="Arial"/>
        </w:rPr>
      </w:pPr>
    </w:p>
    <w:p w14:paraId="458192A6" w14:textId="77777777" w:rsidR="001A6E24" w:rsidRPr="00F37F48" w:rsidRDefault="001A6E24" w:rsidP="00A834BC">
      <w:pPr>
        <w:spacing w:after="0" w:line="276" w:lineRule="auto"/>
        <w:jc w:val="both"/>
        <w:rPr>
          <w:rFonts w:ascii="Verdana" w:eastAsia="Calibri" w:hAnsi="Verdana" w:cs="Arial"/>
        </w:rPr>
      </w:pPr>
      <w:r w:rsidRPr="00F37F48">
        <w:rPr>
          <w:rFonts w:ascii="Verdana" w:eastAsia="Calibri" w:hAnsi="Verdana" w:cs="Arial"/>
        </w:rPr>
        <w:t>Lo anterior se sustenta en las siguientes consideraciones:</w:t>
      </w:r>
    </w:p>
    <w:p w14:paraId="16E3B250" w14:textId="77777777" w:rsidR="001A6E24" w:rsidRPr="00F37F48" w:rsidRDefault="001A6E24" w:rsidP="00A834BC">
      <w:pPr>
        <w:spacing w:after="0" w:line="276" w:lineRule="auto"/>
        <w:ind w:right="49"/>
        <w:jc w:val="both"/>
        <w:rPr>
          <w:rFonts w:ascii="Verdana" w:eastAsia="Calibri" w:hAnsi="Verdana" w:cs="Arial"/>
          <w:color w:val="000000" w:themeColor="text1"/>
        </w:rPr>
      </w:pPr>
    </w:p>
    <w:p w14:paraId="383C6FE5" w14:textId="77777777" w:rsidR="001A6E24" w:rsidRDefault="001A6E24" w:rsidP="00A834BC">
      <w:pPr>
        <w:spacing w:after="0" w:line="276" w:lineRule="auto"/>
        <w:jc w:val="both"/>
        <w:rPr>
          <w:rFonts w:ascii="Verdana" w:eastAsia="Calibri" w:hAnsi="Verdana" w:cs="Arial"/>
          <w:color w:val="000000"/>
          <w:lang w:val="es-ES_tradnl"/>
        </w:rPr>
      </w:pPr>
      <w:r w:rsidRPr="00F37F48">
        <w:rPr>
          <w:rFonts w:ascii="Verdana" w:eastAsia="Calibri" w:hAnsi="Verdana" w:cs="Arial"/>
          <w:color w:val="000000"/>
          <w:lang w:val="es-ES_tradnl"/>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F37F48">
        <w:rPr>
          <w:vertAlign w:val="superscript"/>
        </w:rPr>
        <w:footnoteReference w:id="1"/>
      </w:r>
      <w:r w:rsidRPr="00F37F48">
        <w:rPr>
          <w:rFonts w:ascii="Verdana" w:eastAsia="Calibri" w:hAnsi="Verdana" w:cs="Arial"/>
          <w:color w:val="000000"/>
          <w:lang w:val="es-ES_tradnl"/>
        </w:rPr>
        <w:t>. En armonía con lo anterior, la doctrina ha definido la liquidación de la siguiente manera:</w:t>
      </w:r>
    </w:p>
    <w:p w14:paraId="3B209417" w14:textId="77777777" w:rsidR="00A834BC" w:rsidRPr="00F37F48" w:rsidRDefault="00A834BC" w:rsidP="006C76BE">
      <w:pPr>
        <w:spacing w:after="0" w:line="276" w:lineRule="auto"/>
        <w:jc w:val="both"/>
        <w:rPr>
          <w:rFonts w:ascii="Verdana" w:eastAsia="Calibri" w:hAnsi="Verdana" w:cs="Arial"/>
          <w:color w:val="000000"/>
          <w:lang w:val="es-ES_tradnl"/>
        </w:rPr>
      </w:pPr>
    </w:p>
    <w:p w14:paraId="019D6CF3" w14:textId="77777777" w:rsidR="001A6E24" w:rsidRPr="00F37F48" w:rsidRDefault="001A6E24" w:rsidP="001A6E24">
      <w:pPr>
        <w:spacing w:after="0" w:line="240" w:lineRule="auto"/>
        <w:ind w:left="709" w:right="758"/>
        <w:jc w:val="both"/>
        <w:rPr>
          <w:rFonts w:ascii="Verdana" w:eastAsia="Calibri" w:hAnsi="Verdana" w:cs="Arial"/>
          <w:sz w:val="20"/>
          <w:szCs w:val="20"/>
          <w:lang w:val="es-MX"/>
        </w:rPr>
      </w:pPr>
      <w:r w:rsidRPr="00F37F48">
        <w:rPr>
          <w:rFonts w:ascii="Verdana" w:eastAsia="Calibri" w:hAnsi="Verdana" w:cs="Arial"/>
          <w:i/>
          <w:iCs/>
          <w:color w:val="000000"/>
          <w:sz w:val="20"/>
          <w:szCs w:val="20"/>
          <w:lang w:val="es-ES_tradnl"/>
        </w:rPr>
        <w:t>“</w:t>
      </w:r>
      <w:r w:rsidRPr="00F37F48">
        <w:rPr>
          <w:rFonts w:ascii="Verdana" w:eastAsia="Calibri"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F37F48">
        <w:rPr>
          <w:rFonts w:ascii="Verdana" w:eastAsia="Calibri" w:hAnsi="Verdana" w:cs="Arial"/>
          <w:sz w:val="20"/>
          <w:szCs w:val="20"/>
          <w:lang w:val="es-MX"/>
        </w:rPr>
        <w:t>ii</w:t>
      </w:r>
      <w:proofErr w:type="spellEnd"/>
      <w:r w:rsidRPr="00F37F48">
        <w:rPr>
          <w:rFonts w:ascii="Verdana" w:eastAsia="Calibri"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F37F48">
        <w:rPr>
          <w:rFonts w:ascii="Verdana" w:eastAsia="Calibri" w:hAnsi="Verdana" w:cs="Arial"/>
          <w:sz w:val="20"/>
          <w:szCs w:val="20"/>
          <w:vertAlign w:val="superscript"/>
          <w:lang w:val="es-MX"/>
        </w:rPr>
        <w:footnoteReference w:id="2"/>
      </w:r>
      <w:r w:rsidRPr="00F37F48">
        <w:rPr>
          <w:rFonts w:ascii="Verdana" w:eastAsia="Calibri" w:hAnsi="Verdana" w:cs="Arial"/>
          <w:sz w:val="20"/>
          <w:szCs w:val="20"/>
          <w:lang w:val="es-MX"/>
        </w:rPr>
        <w:t>.</w:t>
      </w:r>
    </w:p>
    <w:p w14:paraId="0F696811" w14:textId="77777777" w:rsidR="001A6E24" w:rsidRPr="00F37F48" w:rsidRDefault="001A6E24" w:rsidP="001A6E24">
      <w:pPr>
        <w:spacing w:after="0" w:line="276" w:lineRule="auto"/>
        <w:jc w:val="both"/>
        <w:rPr>
          <w:rFonts w:ascii="Verdana" w:eastAsia="Calibri" w:hAnsi="Verdana" w:cs="Arial"/>
          <w:color w:val="000000"/>
          <w:lang w:val="es-ES_tradnl"/>
        </w:rPr>
      </w:pPr>
    </w:p>
    <w:p w14:paraId="59CA1A15" w14:textId="77777777" w:rsidR="001A6E24" w:rsidRPr="00F37F48" w:rsidRDefault="001A6E24" w:rsidP="001A6E24">
      <w:pPr>
        <w:spacing w:after="120" w:line="276" w:lineRule="auto"/>
        <w:ind w:firstLine="709"/>
        <w:jc w:val="both"/>
        <w:rPr>
          <w:rFonts w:ascii="Verdana" w:eastAsia="Times New Roman" w:hAnsi="Verdana" w:cs="Arial"/>
          <w:color w:val="000000"/>
          <w:sz w:val="21"/>
          <w:szCs w:val="21"/>
          <w:lang w:val="es-ES_tradnl" w:eastAsia="es-ES_tradnl"/>
        </w:rPr>
      </w:pPr>
      <w:r w:rsidRPr="00F37F48">
        <w:rPr>
          <w:rFonts w:ascii="Verdana" w:eastAsia="Times New Roman" w:hAnsi="Verdana" w:cs="Arial"/>
          <w:color w:val="000000"/>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F37F48">
        <w:rPr>
          <w:rFonts w:ascii="Verdana" w:eastAsia="Times New Roman" w:hAnsi="Verdana" w:cs="Arial"/>
          <w:i/>
          <w:iCs/>
          <w:color w:val="000000"/>
          <w:szCs w:val="24"/>
          <w:lang w:val="es-ES_tradnl" w:eastAsia="es-ES_tradnl"/>
        </w:rPr>
        <w:t>liquidar</w:t>
      </w:r>
      <w:r w:rsidRPr="00F37F48">
        <w:rPr>
          <w:rFonts w:ascii="Verdana" w:eastAsia="Times New Roman" w:hAnsi="Verdana" w:cs="Arial"/>
          <w:color w:val="000000"/>
          <w:szCs w:val="24"/>
          <w:lang w:val="es-ES_tradnl" w:eastAsia="es-ES_tradnl"/>
        </w:rPr>
        <w:t xml:space="preserve"> supone un ajuste en relación con las cuentas y el estado de cumplimiento </w:t>
      </w:r>
      <w:r w:rsidRPr="00F37F48">
        <w:rPr>
          <w:rFonts w:ascii="Verdana" w:eastAsia="Times New Roman" w:hAnsi="Verdana" w:cs="Arial"/>
          <w:color w:val="000000"/>
          <w:szCs w:val="24"/>
          <w:lang w:val="es-ES_tradnl" w:eastAsia="es-ES_tradnl"/>
        </w:rPr>
        <w:lastRenderedPageBreak/>
        <w:t xml:space="preserve">del contrato estatal y, por el otro, que la </w:t>
      </w:r>
      <w:r w:rsidRPr="00F37F48">
        <w:rPr>
          <w:rFonts w:ascii="Verdana" w:eastAsia="Times New Roman" w:hAnsi="Verdana" w:cs="Arial"/>
          <w:i/>
          <w:iCs/>
          <w:color w:val="000000"/>
          <w:szCs w:val="24"/>
          <w:lang w:val="es-ES_tradnl" w:eastAsia="es-ES_tradnl"/>
        </w:rPr>
        <w:t>liquidación</w:t>
      </w:r>
      <w:r w:rsidRPr="00F37F48">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F37F48">
        <w:rPr>
          <w:rFonts w:ascii="Verdana" w:eastAsia="Times New Roman" w:hAnsi="Verdana" w:cs="Arial"/>
          <w:color w:val="000000"/>
          <w:szCs w:val="24"/>
          <w:vertAlign w:val="superscript"/>
          <w:lang w:val="es-ES_tradnl" w:eastAsia="es-ES_tradnl"/>
        </w:rPr>
        <w:footnoteReference w:id="3"/>
      </w:r>
      <w:r w:rsidRPr="00F37F48">
        <w:rPr>
          <w:rFonts w:ascii="Verdana" w:eastAsia="Times New Roman" w:hAnsi="Verdana" w:cs="Arial"/>
          <w:color w:val="000000"/>
          <w:szCs w:val="24"/>
          <w:lang w:val="es-ES_tradnl" w:eastAsia="es-ES_tradnl"/>
        </w:rPr>
        <w:t xml:space="preserve">. </w:t>
      </w:r>
    </w:p>
    <w:p w14:paraId="39578F07" w14:textId="77777777" w:rsidR="001A6E24" w:rsidRDefault="001A6E24" w:rsidP="00C00B51">
      <w:pPr>
        <w:spacing w:after="0" w:line="276" w:lineRule="auto"/>
        <w:ind w:firstLine="709"/>
        <w:jc w:val="both"/>
        <w:rPr>
          <w:rFonts w:ascii="Verdana" w:eastAsia="Calibri" w:hAnsi="Verdana" w:cs="Arial"/>
          <w:color w:val="000000"/>
          <w:lang w:val="es-ES_tradnl"/>
        </w:rPr>
      </w:pPr>
      <w:r w:rsidRPr="00F37F48">
        <w:rPr>
          <w:rFonts w:ascii="Verdana" w:eastAsia="Calibri" w:hAnsi="Verdana" w:cs="Arial"/>
          <w:color w:val="000000"/>
          <w:lang w:val="es-ES_tradnl"/>
        </w:rPr>
        <w:t>Para las entidades sometidas al EGCAP, 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2463B623" w14:textId="77777777" w:rsidR="00C00B51" w:rsidRPr="00F37F48" w:rsidRDefault="00C00B51" w:rsidP="006C76BE">
      <w:pPr>
        <w:spacing w:after="0" w:line="276" w:lineRule="auto"/>
        <w:ind w:firstLine="709"/>
        <w:jc w:val="both"/>
        <w:rPr>
          <w:rFonts w:ascii="Verdana" w:eastAsia="Calibri" w:hAnsi="Verdana" w:cs="Arial"/>
          <w:color w:val="000000"/>
          <w:lang w:val="es-ES_tradnl"/>
        </w:rPr>
      </w:pPr>
    </w:p>
    <w:p w14:paraId="5A4AFA06" w14:textId="77777777" w:rsidR="001A6E24" w:rsidRPr="00F37F48" w:rsidRDefault="001A6E24" w:rsidP="006C76BE">
      <w:pPr>
        <w:spacing w:after="0" w:line="240" w:lineRule="auto"/>
        <w:ind w:left="709" w:right="709"/>
        <w:jc w:val="both"/>
        <w:rPr>
          <w:rFonts w:ascii="Verdana" w:eastAsia="Calibri" w:hAnsi="Verdana" w:cs="Arial"/>
          <w:sz w:val="20"/>
          <w:szCs w:val="20"/>
          <w:lang w:val="es-MX"/>
        </w:rPr>
      </w:pPr>
      <w:r w:rsidRPr="00F37F48">
        <w:rPr>
          <w:rFonts w:ascii="Verdana" w:eastAsia="Calibri" w:hAnsi="Verdana" w:cs="Arial"/>
          <w:sz w:val="20"/>
          <w:szCs w:val="20"/>
          <w:lang w:val="es-ES"/>
        </w:rPr>
        <w:t>“</w:t>
      </w:r>
      <w:r w:rsidRPr="00F37F48">
        <w:rPr>
          <w:rFonts w:ascii="Verdana" w:eastAsia="Calibri" w:hAnsi="Verdana" w:cs="Arial"/>
          <w:sz w:val="20"/>
          <w:szCs w:val="20"/>
          <w:lang w:val="es-MX"/>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F37F48">
        <w:rPr>
          <w:rFonts w:ascii="Verdana" w:eastAsia="Calibri" w:hAnsi="Verdana" w:cs="Arial"/>
          <w:sz w:val="20"/>
          <w:szCs w:val="20"/>
          <w:vertAlign w:val="superscript"/>
          <w:lang w:val="es-MX"/>
        </w:rPr>
        <w:footnoteReference w:id="4"/>
      </w:r>
      <w:r w:rsidRPr="00F37F48">
        <w:rPr>
          <w:rFonts w:ascii="Verdana" w:eastAsia="Calibri" w:hAnsi="Verdana" w:cs="Arial"/>
          <w:sz w:val="20"/>
          <w:szCs w:val="20"/>
          <w:lang w:val="es-MX"/>
        </w:rPr>
        <w:t>.</w:t>
      </w:r>
    </w:p>
    <w:p w14:paraId="09669612" w14:textId="77777777" w:rsidR="001A6E24" w:rsidRPr="00F37F48" w:rsidRDefault="001A6E24" w:rsidP="001A6E24">
      <w:pPr>
        <w:spacing w:after="0" w:line="276" w:lineRule="auto"/>
        <w:ind w:left="709" w:right="758"/>
        <w:jc w:val="both"/>
        <w:rPr>
          <w:rFonts w:ascii="Verdana" w:eastAsia="Calibri" w:hAnsi="Verdana" w:cs="Arial"/>
          <w:lang w:val="es-ES"/>
        </w:rPr>
      </w:pPr>
    </w:p>
    <w:p w14:paraId="3F97D481" w14:textId="77777777" w:rsidR="001A6E24" w:rsidRPr="00F37F48" w:rsidRDefault="001A6E24" w:rsidP="001A6E24">
      <w:pPr>
        <w:spacing w:after="120" w:line="276" w:lineRule="auto"/>
        <w:ind w:firstLine="709"/>
        <w:jc w:val="both"/>
        <w:rPr>
          <w:rFonts w:ascii="Verdana" w:eastAsia="Calibri" w:hAnsi="Verdana" w:cs="Arial"/>
          <w:color w:val="000000"/>
          <w:lang w:val="es-ES_tradnl"/>
        </w:rPr>
      </w:pPr>
      <w:r w:rsidRPr="00F37F48">
        <w:rPr>
          <w:rFonts w:ascii="Verdana" w:eastAsia="Calibri" w:hAnsi="Verdana" w:cs="Arial"/>
          <w:color w:val="000000"/>
          <w:lang w:val="es-ES_tradnl"/>
        </w:rPr>
        <w:t xml:space="preserve">Así las cosas, de acuerdo con el artículo 60 de la Ley 80 de 1993, los contratos de tracto sucesivo, aquellos cuyo cumplimiento o ejecución se prolongue en el tiempo y los demás que lo requieran </w:t>
      </w:r>
      <w:r w:rsidRPr="00F37F48">
        <w:rPr>
          <w:rFonts w:ascii="Verdana" w:eastAsia="Calibri" w:hAnsi="Verdana" w:cs="Arial"/>
          <w:i/>
          <w:color w:val="000000"/>
          <w:lang w:val="es-ES_tradnl"/>
        </w:rPr>
        <w:t>“serán objeto de liquidación”.</w:t>
      </w:r>
      <w:r w:rsidRPr="00F37F48">
        <w:rPr>
          <w:rFonts w:ascii="Verdana" w:eastAsia="Calibri" w:hAnsi="Verdana" w:cs="Arial"/>
          <w:color w:val="000000"/>
          <w:lang w:val="es-ES_tradnl"/>
        </w:rPr>
        <w:t xml:space="preserve">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w:t>
      </w:r>
      <w:r w:rsidRPr="00F37F48">
        <w:rPr>
          <w:rFonts w:ascii="Verdana" w:eastAsia="Calibri" w:hAnsi="Verdana" w:cs="Arial"/>
          <w:color w:val="000000"/>
          <w:lang w:val="es-ES_tradnl"/>
        </w:rPr>
        <w:lastRenderedPageBreak/>
        <w:t>naturaleza, objeto y plazo del contrato</w:t>
      </w:r>
      <w:r w:rsidRPr="00F37F48">
        <w:rPr>
          <w:rFonts w:ascii="Verdana" w:eastAsia="Calibri" w:hAnsi="Verdana" w:cs="Arial"/>
          <w:color w:val="000000"/>
          <w:vertAlign w:val="superscript"/>
          <w:lang w:val="es-ES_tradnl"/>
        </w:rPr>
        <w:footnoteReference w:id="5"/>
      </w:r>
      <w:r w:rsidRPr="00F37F48">
        <w:rPr>
          <w:rFonts w:ascii="Verdana" w:eastAsia="Calibri" w:hAnsi="Verdana" w:cs="Arial"/>
          <w:color w:val="000000"/>
          <w:lang w:val="es-ES_tradnl"/>
        </w:rPr>
        <w:t xml:space="preserve">, así como la probabilidad de que puedan surgir diferencias durante la ejecución del contrato; sin perjuicio de que, como se indicó, todos los contratos estatales de </w:t>
      </w:r>
      <w:r w:rsidRPr="00F37F48">
        <w:rPr>
          <w:rFonts w:ascii="Verdana" w:eastAsia="Calibri" w:hAnsi="Verdana" w:cs="Arial"/>
          <w:i/>
          <w:iCs/>
          <w:color w:val="000000"/>
          <w:lang w:val="es-ES_tradnl"/>
        </w:rPr>
        <w:t>tracto sucesivo</w:t>
      </w:r>
      <w:r w:rsidRPr="00F37F48">
        <w:rPr>
          <w:rFonts w:ascii="Verdana" w:eastAsia="Calibri"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3EC039E5" w14:textId="4C5FC6EE" w:rsidR="001A6E24" w:rsidRPr="00F37F48" w:rsidRDefault="001A6E24" w:rsidP="001A6E24">
      <w:pPr>
        <w:spacing w:after="120" w:line="276" w:lineRule="auto"/>
        <w:ind w:firstLine="709"/>
        <w:jc w:val="both"/>
        <w:rPr>
          <w:rFonts w:ascii="Verdana" w:eastAsia="Calibri" w:hAnsi="Verdana" w:cs="Arial"/>
          <w:color w:val="000000"/>
          <w:lang w:val="es-ES"/>
        </w:rPr>
      </w:pPr>
      <w:r w:rsidRPr="00F37F48">
        <w:rPr>
          <w:rFonts w:ascii="Verdana" w:eastAsia="Calibri" w:hAnsi="Verdana" w:cs="Arial"/>
          <w:color w:val="000000"/>
          <w:lang w:val="es-ES"/>
        </w:rPr>
        <w:t>Por su parte, el artículo 11 de la Ley 1150 de 2007 contiene las reglas de tipo procedimental para liquidar los contratos estatales, las cuales se pasan a explicar</w:t>
      </w:r>
      <w:r w:rsidRPr="00F37F48">
        <w:rPr>
          <w:rFonts w:ascii="Verdana" w:eastAsia="Calibri" w:hAnsi="Verdana" w:cs="Arial"/>
          <w:color w:val="000000"/>
          <w:vertAlign w:val="superscript"/>
          <w:lang w:val="es-ES"/>
        </w:rPr>
        <w:footnoteReference w:id="6"/>
      </w:r>
      <w:r w:rsidRPr="00F37F48">
        <w:rPr>
          <w:rFonts w:ascii="Verdana" w:eastAsia="Calibri" w:hAnsi="Verdana" w:cs="Arial"/>
          <w:color w:val="000000"/>
          <w:lang w:val="es-ES"/>
        </w:rPr>
        <w:t xml:space="preserve">.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w:t>
      </w:r>
      <w:r w:rsidR="00CF7C9D">
        <w:rPr>
          <w:rFonts w:ascii="Verdana" w:eastAsia="Calibri" w:hAnsi="Verdana" w:cs="Arial"/>
          <w:color w:val="000000"/>
          <w:lang w:val="es-ES"/>
        </w:rPr>
        <w:t>cuatro (</w:t>
      </w:r>
      <w:r w:rsidRPr="00F37F48">
        <w:rPr>
          <w:rFonts w:ascii="Verdana" w:eastAsia="Calibri" w:hAnsi="Verdana" w:cs="Arial"/>
          <w:color w:val="000000"/>
          <w:lang w:val="es-ES"/>
        </w:rPr>
        <w:t>4</w:t>
      </w:r>
      <w:r w:rsidR="00CF7C9D">
        <w:rPr>
          <w:rFonts w:ascii="Verdana" w:eastAsia="Calibri" w:hAnsi="Verdana" w:cs="Arial"/>
          <w:color w:val="000000"/>
          <w:lang w:val="es-ES"/>
        </w:rPr>
        <w:t>)</w:t>
      </w:r>
      <w:r w:rsidRPr="00F37F48">
        <w:rPr>
          <w:rFonts w:ascii="Verdana" w:eastAsia="Calibri" w:hAnsi="Verdana" w:cs="Arial"/>
          <w:color w:val="000000"/>
          <w:lang w:val="es-ES"/>
        </w:rPr>
        <w:t xml:space="preserve"> meses contados desde: i) el vencimiento del plazo previsto para la ejecución del contrato; </w:t>
      </w:r>
      <w:proofErr w:type="spellStart"/>
      <w:r w:rsidRPr="00F37F48">
        <w:rPr>
          <w:rFonts w:ascii="Verdana" w:eastAsia="Calibri" w:hAnsi="Verdana" w:cs="Arial"/>
          <w:color w:val="000000"/>
          <w:lang w:val="es-ES"/>
        </w:rPr>
        <w:t>ii</w:t>
      </w:r>
      <w:proofErr w:type="spellEnd"/>
      <w:r w:rsidRPr="00F37F48">
        <w:rPr>
          <w:rFonts w:ascii="Verdana" w:eastAsia="Calibri" w:hAnsi="Verdana" w:cs="Arial"/>
          <w:color w:val="000000"/>
          <w:lang w:val="es-ES"/>
        </w:rPr>
        <w:t xml:space="preserve">) la expedición del acto administrativo que ordene la terminación del contrato; o, </w:t>
      </w:r>
      <w:proofErr w:type="spellStart"/>
      <w:r w:rsidRPr="00F37F48">
        <w:rPr>
          <w:rFonts w:ascii="Verdana" w:eastAsia="Calibri" w:hAnsi="Verdana" w:cs="Arial"/>
          <w:color w:val="000000"/>
          <w:lang w:val="es-ES"/>
        </w:rPr>
        <w:t>iii</w:t>
      </w:r>
      <w:proofErr w:type="spellEnd"/>
      <w:r w:rsidRPr="00F37F48">
        <w:rPr>
          <w:rFonts w:ascii="Verdana" w:eastAsia="Calibri" w:hAnsi="Verdana" w:cs="Arial"/>
          <w:color w:val="000000"/>
          <w:lang w:val="es-ES"/>
        </w:rPr>
        <w:t>) la fecha del acuerdo que disponga la terminación del contrato.</w:t>
      </w:r>
    </w:p>
    <w:p w14:paraId="4FE79549" w14:textId="77777777" w:rsidR="00FB2722" w:rsidRDefault="001A6E24" w:rsidP="001A6E24">
      <w:pPr>
        <w:spacing w:after="120" w:line="276" w:lineRule="auto"/>
        <w:ind w:firstLine="709"/>
        <w:jc w:val="both"/>
        <w:rPr>
          <w:rFonts w:ascii="Verdana" w:eastAsia="Times New Roman" w:hAnsi="Verdana" w:cs="Arial"/>
          <w:lang w:val="es-ES" w:eastAsia="es-ES"/>
        </w:rPr>
      </w:pPr>
      <w:r w:rsidRPr="00F37F48">
        <w:rPr>
          <w:rFonts w:ascii="Verdana" w:eastAsia="Times New Roman" w:hAnsi="Verdana" w:cs="Arial"/>
          <w:lang w:val="es-ES" w:eastAsia="es-ES"/>
        </w:rPr>
        <w:t>El artículo 11 de la Ley 1150 de 2007 señala que</w:t>
      </w:r>
      <w:r w:rsidR="0031567B">
        <w:rPr>
          <w:rFonts w:ascii="Verdana" w:eastAsia="Times New Roman" w:hAnsi="Verdana" w:cs="Arial"/>
          <w:lang w:val="es-ES" w:eastAsia="es-ES"/>
        </w:rPr>
        <w:t>,</w:t>
      </w:r>
      <w:r w:rsidRPr="00F37F48">
        <w:rPr>
          <w:rFonts w:ascii="Verdana" w:eastAsia="Times New Roman" w:hAnsi="Verdana" w:cs="Arial"/>
          <w:lang w:val="es-ES" w:eastAsia="es-ES"/>
        </w:rPr>
        <w:t xml:space="preserve"> la liquidación de mutuo acuerdo</w:t>
      </w:r>
      <w:r w:rsidR="0031567B">
        <w:rPr>
          <w:rFonts w:ascii="Verdana" w:eastAsia="Times New Roman" w:hAnsi="Verdana" w:cs="Arial"/>
          <w:lang w:val="es-ES" w:eastAsia="es-ES"/>
        </w:rPr>
        <w:t xml:space="preserve"> se</w:t>
      </w:r>
      <w:r w:rsidRPr="00F37F48">
        <w:rPr>
          <w:rFonts w:ascii="Verdana" w:eastAsia="Times New Roman" w:hAnsi="Verdana" w:cs="Arial"/>
          <w:lang w:val="es-ES" w:eastAsia="es-ES"/>
        </w:rPr>
        <w:t xml:space="preserve"> deberá realizar dentro del plazo previsto en “los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“materializa los principios de planeación contractual y de trasparencia, comoquiera que su adecuada formulación permite o garantiza la selección </w:t>
      </w:r>
      <w:r w:rsidRPr="00F37F48">
        <w:rPr>
          <w:rFonts w:ascii="Verdana" w:eastAsia="Times New Roman" w:hAnsi="Verdana" w:cs="Arial"/>
          <w:lang w:val="es-ES" w:eastAsia="es-ES"/>
        </w:rPr>
        <w:lastRenderedPageBreak/>
        <w:t>objetiva del contratista de acuerdo con los parámetros de calificación correspondientes para cada tipo de procedimiento [y que] constituye la ley tanto del procedimiento administrativo de selección del contratista, como del contrato a</w:t>
      </w:r>
      <w:r w:rsidRPr="00F37F48">
        <w:rPr>
          <w:rFonts w:ascii="Verdana" w:eastAsia="Times New Roman" w:hAnsi="Verdana" w:cs="Arial"/>
          <w:spacing w:val="-7"/>
          <w:lang w:val="es-ES" w:eastAsia="es-ES"/>
        </w:rPr>
        <w:t xml:space="preserve"> </w:t>
      </w:r>
      <w:r w:rsidRPr="00F37F48">
        <w:rPr>
          <w:rFonts w:ascii="Verdana" w:eastAsia="Times New Roman" w:hAnsi="Verdana" w:cs="Arial"/>
          <w:lang w:val="es-ES" w:eastAsia="es-ES"/>
        </w:rPr>
        <w:t>celebrar”</w:t>
      </w:r>
      <w:r w:rsidRPr="00F37F48">
        <w:rPr>
          <w:rFonts w:ascii="Verdana" w:eastAsia="Times New Roman" w:hAnsi="Verdana" w:cs="Arial"/>
          <w:vertAlign w:val="superscript"/>
          <w:lang w:val="es-ES" w:eastAsia="es-ES"/>
        </w:rPr>
        <w:footnoteReference w:id="7"/>
      </w:r>
      <w:r w:rsidRPr="00F37F48">
        <w:rPr>
          <w:rFonts w:ascii="Verdana" w:eastAsia="Times New Roman" w:hAnsi="Verdana" w:cs="Arial"/>
          <w:lang w:val="es-ES" w:eastAsia="es-ES"/>
        </w:rPr>
        <w:t xml:space="preserve">. </w:t>
      </w:r>
    </w:p>
    <w:p w14:paraId="6F79E8A5" w14:textId="11825445" w:rsidR="001A6E24" w:rsidRPr="00F37F48" w:rsidRDefault="001A6E24" w:rsidP="001A6E24">
      <w:pPr>
        <w:spacing w:after="120" w:line="276" w:lineRule="auto"/>
        <w:ind w:firstLine="709"/>
        <w:jc w:val="both"/>
        <w:rPr>
          <w:rFonts w:ascii="Verdana" w:eastAsia="Times New Roman" w:hAnsi="Verdana" w:cs="Arial"/>
          <w:lang w:val="es-ES" w:eastAsia="es-ES"/>
        </w:rPr>
      </w:pPr>
      <w:r w:rsidRPr="00F37F48">
        <w:rPr>
          <w:rFonts w:ascii="Verdana" w:eastAsia="Times New Roman" w:hAnsi="Verdana" w:cs="Arial"/>
          <w:lang w:val="es-ES" w:eastAsia="es-ES"/>
        </w:rPr>
        <w:t>A partir de tales características debe determinarse la equivalencia de un documento con un pliego de condiciones, la cual se puede ejemplificar claramente con la invitación a participar en los procesos de mínima cuantía</w:t>
      </w:r>
      <w:r w:rsidRPr="00F37F48">
        <w:rPr>
          <w:rFonts w:ascii="Verdana" w:eastAsia="Times New Roman" w:hAnsi="Verdana" w:cs="Arial"/>
          <w:vertAlign w:val="superscript"/>
          <w:lang w:val="es-ES" w:eastAsia="es-ES"/>
        </w:rPr>
        <w:footnoteReference w:id="8"/>
      </w:r>
      <w:r w:rsidRPr="00F37F48">
        <w:rPr>
          <w:rFonts w:ascii="Verdana" w:eastAsia="Times New Roman" w:hAnsi="Verdana" w:cs="Arial"/>
          <w:lang w:val="es-ES" w:eastAsia="es-ES"/>
        </w:rPr>
        <w:t xml:space="preserve">, documento dentro del cual la entidad contratante debe fijar las reglas aplicables al procedimiento de selección, cumpliendo con la función del pliego de condiciones. En tal sentido, es un documento “equivalente” del mismo en los términos del artículo 11 ibidem, dentro del cual es viable establecer el plazo para la liquidación de mutuo acuerdo. </w:t>
      </w:r>
    </w:p>
    <w:p w14:paraId="32DEF5B5" w14:textId="77777777" w:rsidR="001A6E24" w:rsidRPr="00F37F48" w:rsidRDefault="001A6E24" w:rsidP="001A6E24">
      <w:pPr>
        <w:spacing w:after="120" w:line="276" w:lineRule="auto"/>
        <w:ind w:firstLine="709"/>
        <w:jc w:val="both"/>
        <w:rPr>
          <w:rFonts w:ascii="Verdana" w:eastAsia="Times New Roman" w:hAnsi="Verdana" w:cs="Arial"/>
          <w:lang w:val="es-ES" w:eastAsia="es-ES"/>
        </w:rPr>
      </w:pPr>
      <w:r w:rsidRPr="00F37F48">
        <w:rPr>
          <w:rFonts w:ascii="Verdana" w:eastAsia="Times New Roman" w:hAnsi="Verdana" w:cs="Arial"/>
          <w:lang w:val="es-ES" w:eastAsia="es-ES"/>
        </w:rPr>
        <w:t>De otra parte, cuando el artículo 11 de la Ley 1150 de 2007 hace referencia al término que “acuerden las partes”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implica una modificación del contrato. Por tal razón, su celebración debe cumplir con los requisitos del negocio jurídico, ameritando la concurrencia de capacidad jurídica de los agentes, un consentimiento libre de vicios, un objeto y causa lícita, así como la formalidad escrita requerida en materia de contratación estatal</w:t>
      </w:r>
      <w:r w:rsidRPr="00F37F48">
        <w:rPr>
          <w:rFonts w:ascii="Verdana" w:eastAsia="Times New Roman" w:hAnsi="Verdana" w:cs="Arial"/>
          <w:vertAlign w:val="superscript"/>
          <w:lang w:val="es-ES" w:eastAsia="es-ES"/>
        </w:rPr>
        <w:footnoteReference w:id="9"/>
      </w:r>
      <w:r w:rsidRPr="00F37F48">
        <w:rPr>
          <w:rFonts w:ascii="Verdana" w:eastAsia="Times New Roman" w:hAnsi="Verdana" w:cs="Arial"/>
          <w:lang w:val="es-ES" w:eastAsia="es-ES"/>
        </w:rPr>
        <w:t xml:space="preserve">. </w:t>
      </w:r>
    </w:p>
    <w:p w14:paraId="2E84ECA8" w14:textId="7FC05E98" w:rsidR="001A6E24" w:rsidRPr="00F37F48" w:rsidRDefault="001A6E24" w:rsidP="001A6E24">
      <w:pPr>
        <w:spacing w:after="120" w:line="276" w:lineRule="auto"/>
        <w:ind w:firstLine="709"/>
        <w:jc w:val="both"/>
        <w:rPr>
          <w:rFonts w:ascii="Verdana" w:eastAsia="Calibri" w:hAnsi="Verdana" w:cs="Arial"/>
          <w:lang w:val="es-ES"/>
        </w:rPr>
      </w:pPr>
      <w:r w:rsidRPr="00F37F48">
        <w:rPr>
          <w:rFonts w:ascii="Verdana" w:eastAsia="Calibri" w:hAnsi="Verdana" w:cs="Arial"/>
          <w:lang w:val="es-ES"/>
        </w:rPr>
        <w:lastRenderedPageBreak/>
        <w:t xml:space="preserve">El término de </w:t>
      </w:r>
      <w:r w:rsidR="009A20AA">
        <w:rPr>
          <w:rFonts w:ascii="Verdana" w:eastAsia="Calibri" w:hAnsi="Verdana" w:cs="Arial"/>
          <w:lang w:val="es-ES"/>
        </w:rPr>
        <w:t>cuatro (</w:t>
      </w:r>
      <w:r w:rsidRPr="00F37F48">
        <w:rPr>
          <w:rFonts w:ascii="Verdana" w:eastAsia="Calibri" w:hAnsi="Verdana" w:cs="Arial"/>
          <w:lang w:val="es-ES"/>
        </w:rPr>
        <w:t>4</w:t>
      </w:r>
      <w:r w:rsidR="009A20AA">
        <w:rPr>
          <w:rFonts w:ascii="Verdana" w:eastAsia="Calibri" w:hAnsi="Verdana" w:cs="Arial"/>
          <w:lang w:val="es-ES"/>
        </w:rPr>
        <w:t>)</w:t>
      </w:r>
      <w:r w:rsidRPr="00F37F48">
        <w:rPr>
          <w:rFonts w:ascii="Verdana" w:eastAsia="Calibri" w:hAnsi="Verdana" w:cs="Arial"/>
          <w:lang w:val="es-ES"/>
        </w:rPr>
        <w:t xml:space="preserve"> </w:t>
      </w:r>
      <w:proofErr w:type="gramStart"/>
      <w:r w:rsidRPr="00F37F48">
        <w:rPr>
          <w:rFonts w:ascii="Verdana" w:eastAsia="Calibri" w:hAnsi="Verdana" w:cs="Arial"/>
          <w:lang w:val="es-ES"/>
        </w:rPr>
        <w:t>meses previsto</w:t>
      </w:r>
      <w:proofErr w:type="gramEnd"/>
      <w:r w:rsidRPr="00F37F48">
        <w:rPr>
          <w:rFonts w:ascii="Verdana" w:eastAsia="Calibri" w:hAnsi="Verdana" w:cs="Arial"/>
          <w:lang w:val="es-ES"/>
        </w:rPr>
        <w:t xml:space="preserve">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F37F48">
        <w:rPr>
          <w:rFonts w:ascii="Verdana" w:eastAsia="Calibri" w:hAnsi="Verdana" w:cs="Arial"/>
          <w:vertAlign w:val="superscript"/>
          <w:lang w:val="es-ES"/>
        </w:rPr>
        <w:footnoteReference w:id="10"/>
      </w:r>
      <w:r w:rsidRPr="00F37F48">
        <w:rPr>
          <w:rFonts w:ascii="Verdana" w:eastAsia="Calibri" w:hAnsi="Verdana" w:cs="Arial"/>
          <w:lang w:val="es-ES"/>
        </w:rPr>
        <w:t>, lo cual implica que las mismas se desarrollen en procura de la economía y la celeridad</w:t>
      </w:r>
      <w:r w:rsidRPr="00F37F48">
        <w:rPr>
          <w:rFonts w:ascii="Verdana" w:eastAsia="Calibri" w:hAnsi="Verdana" w:cs="Arial"/>
          <w:vertAlign w:val="superscript"/>
          <w:lang w:val="es-ES"/>
        </w:rPr>
        <w:footnoteReference w:id="11"/>
      </w:r>
      <w:r w:rsidRPr="00F37F48">
        <w:rPr>
          <w:rFonts w:ascii="Verdana" w:eastAsia="Calibri" w:hAnsi="Verdana" w:cs="Arial"/>
          <w:lang w:val="es-ES"/>
        </w:rPr>
        <w:t>. Esto significa que, en ejercicio de la facultad que les asiste para fijar el plazo para la liquidación bilateral, las partes deben actuar en garantía de estos principios, por lo que el término que se acuerde debe fijarse de manera razonable.</w:t>
      </w:r>
    </w:p>
    <w:p w14:paraId="3C77C2F2" w14:textId="77777777" w:rsidR="001A6E24" w:rsidRPr="00F37F48" w:rsidRDefault="001A6E24" w:rsidP="001A6E24">
      <w:pPr>
        <w:spacing w:after="120" w:line="276" w:lineRule="auto"/>
        <w:ind w:firstLine="709"/>
        <w:jc w:val="both"/>
        <w:rPr>
          <w:rFonts w:ascii="Verdana" w:eastAsia="Calibri" w:hAnsi="Verdana" w:cs="Arial"/>
          <w:color w:val="000000"/>
          <w:lang w:val="es-ES_tradnl"/>
        </w:rPr>
      </w:pPr>
      <w:r w:rsidRPr="00F37F48">
        <w:rPr>
          <w:rFonts w:ascii="Verdana" w:eastAsia="Calibri" w:hAnsi="Verdana" w:cs="Arial"/>
          <w:color w:val="000000"/>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F37F48">
        <w:rPr>
          <w:rFonts w:ascii="Verdana" w:eastAsia="Calibri" w:hAnsi="Verdana" w:cs="Arial"/>
          <w:color w:val="000000"/>
          <w:vertAlign w:val="superscript"/>
          <w:lang w:val="es-ES_tradnl"/>
        </w:rPr>
        <w:footnoteReference w:id="12"/>
      </w:r>
      <w:r w:rsidRPr="00F37F48">
        <w:rPr>
          <w:rFonts w:ascii="Verdana" w:eastAsia="Calibri" w:hAnsi="Verdana" w:cs="Arial"/>
          <w:color w:val="000000"/>
          <w:lang w:val="es-ES_tradnl"/>
        </w:rPr>
        <w:t xml:space="preserve">, de manera que el contrato pueda ser liquidado bilateralmente, bien sea en el plazo previsto en el pliego de condiciones, el </w:t>
      </w:r>
      <w:r w:rsidRPr="00F37F48">
        <w:rPr>
          <w:rFonts w:ascii="Verdana" w:eastAsia="Calibri" w:hAnsi="Verdana" w:cs="Arial"/>
          <w:color w:val="000000"/>
          <w:lang w:val="es-ES_tradnl"/>
        </w:rPr>
        <w:lastRenderedPageBreak/>
        <w:t>acordado por las partes, o el supletivo de cuatro meses señalado en la ley, según corresponda. Esta liquidación bilateral puede ser total o parcial</w:t>
      </w:r>
      <w:r w:rsidRPr="00F37F48">
        <w:rPr>
          <w:rFonts w:ascii="Verdana" w:eastAsia="Calibri" w:hAnsi="Verdana" w:cs="Arial"/>
          <w:iCs/>
          <w:color w:val="000000"/>
          <w:vertAlign w:val="superscript"/>
          <w:lang w:val="es-ES_tradnl"/>
        </w:rPr>
        <w:footnoteReference w:id="13"/>
      </w:r>
      <w:r w:rsidRPr="00F37F48">
        <w:rPr>
          <w:rFonts w:ascii="Verdana" w:eastAsia="Calibri" w:hAnsi="Verdana" w:cs="Arial"/>
          <w:color w:val="000000"/>
          <w:lang w:val="es-ES_tradnl"/>
        </w:rPr>
        <w:t xml:space="preserve">, y </w:t>
      </w:r>
      <w:r w:rsidRPr="00F37F48">
        <w:rPr>
          <w:rFonts w:ascii="Verdana" w:eastAsia="Calibri" w:hAnsi="Verdana" w:cs="Arial"/>
          <w:iCs/>
          <w:color w:val="000000"/>
          <w:lang w:val="es-ES_tradnl"/>
        </w:rPr>
        <w:t>el documento que la contiene presta mérito ejecutivo, siempre que se satisfagan los elementos para considerarlo como tal</w:t>
      </w:r>
      <w:r w:rsidRPr="00F37F48">
        <w:rPr>
          <w:rFonts w:ascii="Verdana" w:eastAsia="Calibri" w:hAnsi="Verdana" w:cs="Arial"/>
          <w:color w:val="000000"/>
          <w:lang w:val="es-ES_tradnl"/>
        </w:rPr>
        <w:t>.</w:t>
      </w:r>
    </w:p>
    <w:p w14:paraId="597E968E" w14:textId="77777777" w:rsidR="001A6E24" w:rsidRPr="00F37F48" w:rsidRDefault="001A6E24" w:rsidP="001A6E24">
      <w:pPr>
        <w:spacing w:after="120" w:line="276" w:lineRule="auto"/>
        <w:ind w:firstLine="709"/>
        <w:jc w:val="both"/>
        <w:rPr>
          <w:rFonts w:ascii="Verdana" w:eastAsia="Times New Roman" w:hAnsi="Verdana" w:cs="Arial"/>
          <w:color w:val="000000"/>
          <w:lang w:eastAsia="es-ES_tradnl"/>
        </w:rPr>
      </w:pPr>
      <w:r w:rsidRPr="00F37F48">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Entidad Estatal realice la liquidación unilateralmente. </w:t>
      </w:r>
      <w:bookmarkStart w:id="11" w:name="_Hlk141851266"/>
      <w:r w:rsidRPr="00F37F48">
        <w:rPr>
          <w:rFonts w:ascii="Verdana" w:eastAsia="Times New Roman" w:hAnsi="Verdana" w:cs="Arial"/>
          <w:color w:val="000000"/>
          <w:lang w:eastAsia="es-ES_tradnl"/>
        </w:rPr>
        <w:t xml:space="preserve">De esta forma, </w:t>
      </w:r>
      <w:r w:rsidRPr="00F37F48">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68629ADA" w14:textId="77777777" w:rsidR="001A6E24" w:rsidRPr="00F37F48" w:rsidRDefault="001A6E24" w:rsidP="001A6E24">
      <w:pPr>
        <w:widowControl w:val="0"/>
        <w:autoSpaceDE w:val="0"/>
        <w:autoSpaceDN w:val="0"/>
        <w:spacing w:after="120" w:line="276" w:lineRule="auto"/>
        <w:ind w:right="108" w:firstLine="709"/>
        <w:jc w:val="both"/>
        <w:rPr>
          <w:rFonts w:ascii="Verdana" w:hAnsi="Verdana"/>
          <w:sz w:val="16"/>
          <w:szCs w:val="16"/>
        </w:rPr>
      </w:pPr>
      <w:r w:rsidRPr="00F37F48">
        <w:rPr>
          <w:rFonts w:ascii="Verdana" w:eastAsia="Times New Roman" w:hAnsi="Verdana" w:cs="Arial"/>
          <w:color w:val="000000"/>
          <w:bdr w:val="none" w:sz="0" w:space="0" w:color="auto" w:frame="1"/>
          <w:shd w:val="clear" w:color="auto" w:fill="FFFFFF"/>
          <w:lang w:val="es-ES" w:eastAsia="es-ES_tradnl"/>
        </w:rPr>
        <w:t xml:space="preserve">Ahora bien, respecto de la naturaleza jurídica de la liquidación bilateral, </w:t>
      </w:r>
      <w:r w:rsidRPr="00F37F48">
        <w:rPr>
          <w:rFonts w:ascii="Verdana" w:eastAsia="Arial" w:hAnsi="Verdana" w:cs="Arial"/>
          <w:lang w:val="es-MX" w:eastAsia="es-ES" w:bidi="es-ES"/>
        </w:rPr>
        <w:t>esta Agencia ha señalado que</w:t>
      </w:r>
      <w:r w:rsidRPr="00F37F48">
        <w:rPr>
          <w:rFonts w:ascii="Verdana" w:eastAsia="Arial" w:hAnsi="Verdana" w:cs="Arial"/>
          <w:lang w:val="es-ES" w:eastAsia="es-ES" w:bidi="es-ES"/>
        </w:rPr>
        <w:t xml:space="preserve"> se trata de un negocio jurídico, en el que las partes del contrato estatal, en ejercicio de la autonomía de la voluntad, regulan la finalización de su relación y disponen de los intereses que emanan de ella</w:t>
      </w:r>
      <w:r w:rsidRPr="00F37F48">
        <w:rPr>
          <w:rFonts w:ascii="Verdana" w:eastAsia="Arial" w:hAnsi="Verdana" w:cs="Arial"/>
          <w:vertAlign w:val="superscript"/>
          <w:lang w:val="es-ES" w:eastAsia="es-ES" w:bidi="es-ES"/>
        </w:rPr>
        <w:footnoteReference w:id="14"/>
      </w:r>
      <w:r w:rsidRPr="00F37F48">
        <w:rPr>
          <w:rFonts w:ascii="Verdana" w:eastAsia="Arial" w:hAnsi="Verdana" w:cs="Arial"/>
          <w:lang w:val="es-ES" w:eastAsia="es-ES" w:bidi="es-ES"/>
        </w:rPr>
        <w:t>.</w:t>
      </w:r>
      <w:r w:rsidRPr="00F37F48">
        <w:t xml:space="preserve"> </w:t>
      </w:r>
      <w:r w:rsidRPr="00F37F48">
        <w:rPr>
          <w:rFonts w:ascii="Verdana" w:eastAsia="Arial" w:hAnsi="Verdana" w:cs="Arial"/>
          <w:lang w:eastAsia="es-ES" w:bidi="es-ES"/>
        </w:rPr>
        <w:t xml:space="preserve">Dicho acuerdo reviste un carácter negocial, en la medida en que implica manifestaciones recíprocas dirigidas a producir efectos jurídicos concretos frente a las prestaciones mutuas de la relación contractual. </w:t>
      </w:r>
    </w:p>
    <w:p w14:paraId="29DB9229" w14:textId="77777777" w:rsidR="001A6E24" w:rsidRPr="00F37F48" w:rsidRDefault="001A6E24" w:rsidP="001A6E24">
      <w:pPr>
        <w:widowControl w:val="0"/>
        <w:autoSpaceDE w:val="0"/>
        <w:autoSpaceDN w:val="0"/>
        <w:spacing w:after="120" w:line="276" w:lineRule="auto"/>
        <w:ind w:right="108" w:firstLine="709"/>
        <w:jc w:val="both"/>
        <w:rPr>
          <w:rFonts w:ascii="Verdana" w:hAnsi="Verdana"/>
          <w:sz w:val="16"/>
          <w:szCs w:val="16"/>
        </w:rPr>
      </w:pPr>
      <w:r w:rsidRPr="00F37F48">
        <w:rPr>
          <w:rFonts w:ascii="Verdana" w:eastAsia="Arial" w:hAnsi="Verdana" w:cs="Arial"/>
          <w:lang w:eastAsia="es-ES" w:bidi="es-ES"/>
        </w:rPr>
        <w:t xml:space="preserve">Sobre el particular el Consejo de Estado ha manifestado de manera reiterada que “Cuando dicha liquidación se lleva a cabo de manera bilateral, configura </w:t>
      </w:r>
      <w:r w:rsidRPr="00F37F48">
        <w:rPr>
          <w:rFonts w:ascii="Verdana" w:eastAsia="Arial" w:hAnsi="Verdana" w:cs="Arial"/>
          <w:i/>
          <w:iCs/>
          <w:lang w:eastAsia="es-ES" w:bidi="es-ES"/>
        </w:rPr>
        <w:t>un negocio jurídico</w:t>
      </w:r>
      <w:r w:rsidRPr="00F37F48">
        <w:rPr>
          <w:rFonts w:ascii="Verdana" w:eastAsia="Arial" w:hAnsi="Verdana" w:cs="Arial"/>
          <w:lang w:eastAsia="es-ES" w:bidi="es-ES"/>
        </w:rPr>
        <w:t xml:space="preserve"> que surge de la manifestación de voluntad de las partes, quienes al suscribir la respectiva acta consienten en que ese corte de cuentas corresponde a la realidad de la ejecución contractual y, por ello, se pueden declarar a paz y salvo una vez satisfechas las obligaciones que se deriven directamente de ese trabajo conjunto de liquidación</w:t>
      </w:r>
      <w:r w:rsidRPr="00F37F48">
        <w:rPr>
          <w:rFonts w:ascii="Verdana" w:eastAsia="Arial" w:hAnsi="Verdana" w:cs="Arial"/>
          <w:vertAlign w:val="superscript"/>
          <w:lang w:eastAsia="es-ES" w:bidi="es-ES"/>
        </w:rPr>
        <w:footnoteReference w:id="15"/>
      </w:r>
      <w:r w:rsidRPr="00F37F48">
        <w:rPr>
          <w:rFonts w:ascii="Verdana" w:eastAsia="Arial" w:hAnsi="Verdana" w:cs="Arial"/>
          <w:lang w:eastAsia="es-ES" w:bidi="es-ES"/>
        </w:rPr>
        <w:t xml:space="preserve">”. </w:t>
      </w:r>
      <w:r w:rsidRPr="00F37F48">
        <w:rPr>
          <w:rFonts w:ascii="Verdana" w:eastAsia="Arial" w:hAnsi="Verdana" w:cs="Arial"/>
          <w:lang w:val="es-ES" w:eastAsia="es-ES" w:bidi="es-ES"/>
        </w:rPr>
        <w:t xml:space="preserve"> </w:t>
      </w:r>
    </w:p>
    <w:p w14:paraId="6782F720" w14:textId="77777777" w:rsidR="001A6E24" w:rsidRPr="00F37F48" w:rsidRDefault="001A6E24" w:rsidP="001A6E24">
      <w:pPr>
        <w:widowControl w:val="0"/>
        <w:autoSpaceDE w:val="0"/>
        <w:autoSpaceDN w:val="0"/>
        <w:spacing w:after="120" w:line="276" w:lineRule="auto"/>
        <w:ind w:right="105" w:firstLine="709"/>
        <w:jc w:val="both"/>
        <w:rPr>
          <w:rFonts w:ascii="Verdana" w:eastAsia="Times New Roman" w:hAnsi="Verdana" w:cs="Arial"/>
          <w:color w:val="000000"/>
          <w:bdr w:val="none" w:sz="0" w:space="0" w:color="auto" w:frame="1"/>
          <w:shd w:val="clear" w:color="auto" w:fill="FFFFFF"/>
          <w:lang w:val="es-ES" w:eastAsia="es-ES_tradnl"/>
        </w:rPr>
      </w:pPr>
      <w:r w:rsidRPr="00F37F48">
        <w:rPr>
          <w:rFonts w:ascii="Verdana" w:eastAsia="Arial" w:hAnsi="Verdana" w:cs="Arial"/>
          <w:lang w:val="es-ES" w:eastAsia="es-ES" w:bidi="es-ES"/>
        </w:rPr>
        <w:t xml:space="preserve">Aunado a lo anterior, la liquidación bilateral tiene efectos de título ejecutivo, transaccionales, puesto que las declaraciones y expresiones incorporadas en la correspondiente acta son reconocidas y protegidas por el ordenamiento jurídico, siempre y cuando no sean contrarias a la Constitución Política, la ley, el orden público, la moral y las buenas costumbres, y los </w:t>
      </w:r>
      <w:r w:rsidRPr="00F37F48">
        <w:rPr>
          <w:rFonts w:ascii="Verdana" w:eastAsia="Arial" w:hAnsi="Verdana" w:cs="Arial"/>
          <w:lang w:val="es-ES" w:eastAsia="es-ES" w:bidi="es-ES"/>
        </w:rPr>
        <w:lastRenderedPageBreak/>
        <w:t>principios y finalidades del Estatuto General de la Contratación de la Administración Pública y de la buena administración.</w:t>
      </w:r>
      <w:r w:rsidRPr="00F37F48">
        <w:rPr>
          <w:rFonts w:ascii="Verdana" w:eastAsia="Times New Roman" w:hAnsi="Verdana" w:cs="Arial"/>
          <w:color w:val="000000"/>
          <w:bdr w:val="none" w:sz="0" w:space="0" w:color="auto" w:frame="1"/>
          <w:shd w:val="clear" w:color="auto" w:fill="FFFFFF"/>
          <w:lang w:val="es-ES" w:eastAsia="es-ES_tradnl"/>
        </w:rPr>
        <w:t xml:space="preserve"> </w:t>
      </w:r>
      <w:r w:rsidRPr="00F37F48">
        <w:rPr>
          <w:rFonts w:ascii="Verdana" w:eastAsia="Arial" w:hAnsi="Verdana" w:cs="Arial"/>
          <w:lang w:val="es-ES" w:eastAsia="es-ES" w:bidi="es-ES"/>
        </w:rPr>
        <w:t xml:space="preserve">En ese sentido, </w:t>
      </w:r>
      <w:bookmarkStart w:id="12" w:name="_Hlk82568853"/>
      <w:r w:rsidRPr="00F37F48">
        <w:rPr>
          <w:rFonts w:ascii="Verdana" w:eastAsia="Arial" w:hAnsi="Verdana" w:cs="Arial"/>
          <w:lang w:val="es-ES" w:eastAsia="es-ES" w:bidi="es-ES"/>
        </w:rPr>
        <w:t>la liquidación bilateral puede considerarse como una forma alternativa de resolver los conflictos o controversias que surjan a partir de la determinación de las prestaciones comunes a que las partes contractuales puedan o no tener derecho luego de haberse ejecutado el contrato, esto es, como una manera de evitar futuros litigios frente a los mismos asuntos</w:t>
      </w:r>
      <w:bookmarkEnd w:id="12"/>
      <w:r w:rsidRPr="00F37F48">
        <w:rPr>
          <w:rFonts w:ascii="Verdana" w:hAnsi="Verdana" w:cs="Arial"/>
          <w:color w:val="201F1E"/>
          <w:bdr w:val="none" w:sz="0" w:space="0" w:color="auto" w:frame="1"/>
          <w:vertAlign w:val="superscript"/>
          <w:lang w:val="es-ES" w:eastAsia="es-CO" w:bidi="es-ES"/>
        </w:rPr>
        <w:footnoteReference w:id="16"/>
      </w:r>
      <w:r w:rsidRPr="00F37F48">
        <w:rPr>
          <w:rFonts w:ascii="Verdana" w:eastAsia="Arial" w:hAnsi="Verdana" w:cs="Arial"/>
          <w:lang w:val="es-ES" w:eastAsia="es-ES" w:bidi="es-ES"/>
        </w:rPr>
        <w:t>.</w:t>
      </w:r>
    </w:p>
    <w:p w14:paraId="264F645D" w14:textId="77777777" w:rsidR="001A6E24" w:rsidRPr="00F37F48" w:rsidRDefault="001A6E24" w:rsidP="001A6E24">
      <w:pPr>
        <w:widowControl w:val="0"/>
        <w:autoSpaceDE w:val="0"/>
        <w:autoSpaceDN w:val="0"/>
        <w:spacing w:after="120" w:line="276" w:lineRule="auto"/>
        <w:ind w:right="105" w:firstLine="709"/>
        <w:jc w:val="both"/>
        <w:rPr>
          <w:rFonts w:ascii="Verdana" w:eastAsia="Arial" w:hAnsi="Verdana" w:cs="Arial"/>
          <w:lang w:eastAsia="es-ES" w:bidi="es-ES"/>
        </w:rPr>
      </w:pPr>
      <w:r w:rsidRPr="00F37F48">
        <w:rPr>
          <w:rFonts w:ascii="Verdana" w:eastAsia="Arial" w:hAnsi="Verdana" w:cs="Arial"/>
          <w:lang w:eastAsia="es-ES" w:bidi="es-ES"/>
        </w:rPr>
        <w:t>En este contexto, dada la naturaleza de la liquidación bilateral, esta reviste carácter obligatorio y tiene efectos vinculantes para las partes contratantes, en tanto constituye una manifestación de la autonomía de la voluntad que determina la extinción de las obligaciones derivadas del vínculo contractual o el reconocimiento de derechos en favor de las partes. Esta obligatoriedad impide a las partes desconocer lo acordado y constituye a la liquidación bilateral en un mecanismo eficaz para prevenir o resolver controversias derivadas del vínculo contractual.</w:t>
      </w:r>
    </w:p>
    <w:p w14:paraId="4ECA002D" w14:textId="77777777" w:rsidR="001A6E24" w:rsidRPr="00F37F48" w:rsidRDefault="001A6E24" w:rsidP="001A6E24">
      <w:pPr>
        <w:widowControl w:val="0"/>
        <w:autoSpaceDE w:val="0"/>
        <w:autoSpaceDN w:val="0"/>
        <w:spacing w:after="120" w:line="276" w:lineRule="auto"/>
        <w:ind w:right="108" w:firstLine="709"/>
        <w:jc w:val="both"/>
        <w:rPr>
          <w:rFonts w:ascii="Verdana" w:eastAsia="Arial" w:hAnsi="Verdana" w:cs="Arial"/>
          <w:lang w:eastAsia="es-ES" w:bidi="es-ES"/>
        </w:rPr>
      </w:pPr>
      <w:r w:rsidRPr="00F37F48">
        <w:rPr>
          <w:rFonts w:ascii="Verdana" w:eastAsia="Arial" w:hAnsi="Verdana" w:cs="Arial"/>
          <w:lang w:eastAsia="es-ES" w:bidi="es-ES"/>
        </w:rPr>
        <w:t>Sobre su carácter vinculante y obligatorio el Consejo de Estado ha manifestado que “la fuerza jurídica vinculante del acta de liquidación bilateral proviene de la naturaleza transaccional del acuerdo de voluntades que contiene, por esa precisa razón no es posible desatender el contenido obligacional incorporado, pues su finalidad según el artículo 60 de la Ley 80 de 1993 está encaminada a que las partes puedan “declararse a paz y salvo</w:t>
      </w:r>
      <w:r w:rsidRPr="00F37F48">
        <w:rPr>
          <w:rFonts w:ascii="Verdana" w:eastAsia="Arial" w:hAnsi="Verdana" w:cs="Arial"/>
          <w:vertAlign w:val="superscript"/>
          <w:lang w:eastAsia="es-ES" w:bidi="es-ES"/>
        </w:rPr>
        <w:footnoteReference w:id="17"/>
      </w:r>
      <w:r w:rsidRPr="00F37F48">
        <w:rPr>
          <w:rFonts w:ascii="Verdana" w:eastAsia="Arial" w:hAnsi="Verdana" w:cs="Arial"/>
          <w:lang w:eastAsia="es-ES" w:bidi="es-ES"/>
        </w:rPr>
        <w:t>”.  Por ello, ha mantenido la postura según la cual, por regla general, resulta improcedente elevar pretensiones originadas en el contrato que fue debidamente liquidado en forma bilateral por las partes, puesto que ello implicaría ir en contra de los propios actos y de una previa manifestación de voluntad efectuada por personas capaces de disponer de sus derechos, que quedó plasmada en el acta de liquidación cuando fue suscrita por la entidad contratante y el contratista</w:t>
      </w:r>
      <w:r w:rsidRPr="00F37F48">
        <w:rPr>
          <w:rFonts w:ascii="Verdana" w:eastAsia="Arial" w:hAnsi="Verdana" w:cs="Arial"/>
          <w:vertAlign w:val="superscript"/>
          <w:lang w:eastAsia="es-ES" w:bidi="es-ES"/>
        </w:rPr>
        <w:footnoteReference w:id="18"/>
      </w:r>
      <w:r w:rsidRPr="00F37F48">
        <w:rPr>
          <w:rFonts w:ascii="Verdana" w:eastAsia="Arial" w:hAnsi="Verdana" w:cs="Arial"/>
          <w:lang w:eastAsia="es-ES" w:bidi="es-ES"/>
        </w:rPr>
        <w:t>.</w:t>
      </w:r>
    </w:p>
    <w:p w14:paraId="3675A79F" w14:textId="77777777" w:rsidR="001A6E24" w:rsidRPr="00F37F48" w:rsidRDefault="001A6E24" w:rsidP="001A6E24">
      <w:pPr>
        <w:widowControl w:val="0"/>
        <w:autoSpaceDE w:val="0"/>
        <w:autoSpaceDN w:val="0"/>
        <w:spacing w:after="120" w:line="276" w:lineRule="auto"/>
        <w:ind w:right="108" w:firstLine="709"/>
        <w:jc w:val="both"/>
        <w:rPr>
          <w:rFonts w:ascii="Verdana" w:eastAsia="Arial" w:hAnsi="Verdana" w:cs="Arial"/>
          <w:lang w:val="es-ES" w:eastAsia="es-ES" w:bidi="es-ES"/>
        </w:rPr>
      </w:pPr>
      <w:r w:rsidRPr="00F37F48">
        <w:rPr>
          <w:rFonts w:ascii="Verdana" w:eastAsia="Arial" w:hAnsi="Verdana" w:cs="Arial"/>
          <w:lang w:eastAsia="es-ES" w:bidi="es-ES"/>
        </w:rPr>
        <w:lastRenderedPageBreak/>
        <w:t>En este sentido, aten</w:t>
      </w:r>
      <w:r>
        <w:rPr>
          <w:rFonts w:ascii="Verdana" w:eastAsia="Arial" w:hAnsi="Verdana" w:cs="Arial"/>
          <w:lang w:eastAsia="es-ES" w:bidi="es-ES"/>
        </w:rPr>
        <w:t>d</w:t>
      </w:r>
      <w:r w:rsidRPr="00F37F48">
        <w:rPr>
          <w:rFonts w:ascii="Verdana" w:eastAsia="Arial" w:hAnsi="Verdana" w:cs="Arial"/>
          <w:lang w:eastAsia="es-ES" w:bidi="es-ES"/>
        </w:rPr>
        <w:t xml:space="preserve">iendo al carácter vinculante y obligatorio del acta de liquidación, no es procedente desconocer posteriormente su contenido y acudir a las autoridades judiciales para dirimir puntos que no fueron objeto de salvedades o hayan sido expresamente consignadas en el acta. En efecto, </w:t>
      </w:r>
      <w:r w:rsidRPr="00F37F48">
        <w:rPr>
          <w:rFonts w:ascii="Verdana" w:eastAsia="Arial" w:hAnsi="Verdana" w:cs="Arial"/>
          <w:lang w:val="es-ES" w:eastAsia="es-ES" w:bidi="es-ES"/>
        </w:rPr>
        <w:t>es derecho del contratista realizar las salvedades u objeciones que considere, sin afectar los acuerdos logrados en otros aspectos. Estos acuerdos deben quedar consignados en el acta bilateral, documento que sirve de base para evaluar el estado final del contrato, y de ser necesario reclamar por obligaciones pendientes y en consecuencia de ello, las entidades deben estipular en ellas las reclamaciones o salvedades de orden económico y técnico que el contratista formulen frente al balance técnico, jurídico y económico del contrato.</w:t>
      </w:r>
    </w:p>
    <w:p w14:paraId="5AAC6078" w14:textId="77777777" w:rsidR="001A6E24" w:rsidRDefault="001A6E24" w:rsidP="001A6E24">
      <w:pPr>
        <w:widowControl w:val="0"/>
        <w:autoSpaceDE w:val="0"/>
        <w:autoSpaceDN w:val="0"/>
        <w:spacing w:after="120" w:line="276" w:lineRule="auto"/>
        <w:ind w:right="108" w:firstLine="709"/>
        <w:jc w:val="both"/>
        <w:rPr>
          <w:rFonts w:ascii="Verdana" w:eastAsia="Arial" w:hAnsi="Verdana" w:cs="Arial"/>
          <w:lang w:eastAsia="es-ES" w:bidi="es-ES"/>
        </w:rPr>
      </w:pPr>
      <w:r w:rsidRPr="00F37F48">
        <w:rPr>
          <w:rFonts w:ascii="Verdana" w:eastAsia="Arial" w:hAnsi="Verdana" w:cs="Arial"/>
          <w:lang w:eastAsia="es-ES" w:bidi="es-ES"/>
        </w:rPr>
        <w:t>Al respecto, la jurisprudencia del Consejo de Estado ha sido enfática al señalar que “</w:t>
      </w:r>
      <w:r w:rsidRPr="00F37F48">
        <w:rPr>
          <w:rFonts w:ascii="Verdana" w:eastAsia="Arial" w:hAnsi="Verdana" w:cs="Arial"/>
          <w:i/>
          <w:lang w:eastAsia="es-ES" w:bidi="es-ES"/>
        </w:rPr>
        <w:t>una vez suscrita la liquidación bilateral del contrato solo se podrían interponer las acciones judiciales correspondientes para obtener el reconocimiento o pago de obligaciones pendientes en relación con las cuales se hubieren dejado salvedades o constancias en el acta, en el sentido de que las partes no lograron un acuerdo, exigencia que rige tanto para el Estado como para el contratista</w:t>
      </w:r>
      <w:r w:rsidRPr="00F37F48">
        <w:rPr>
          <w:rFonts w:ascii="Verdana" w:eastAsia="Arial" w:hAnsi="Verdana" w:cs="Arial"/>
          <w:i/>
          <w:iCs/>
          <w:lang w:eastAsia="es-ES" w:bidi="es-ES"/>
        </w:rPr>
        <w:t>”</w:t>
      </w:r>
      <w:r w:rsidRPr="00F37F48">
        <w:rPr>
          <w:rFonts w:ascii="Verdana" w:eastAsia="Arial" w:hAnsi="Verdana" w:cs="Arial"/>
          <w:vertAlign w:val="superscript"/>
          <w:lang w:eastAsia="es-ES" w:bidi="es-ES"/>
        </w:rPr>
        <w:footnoteReference w:id="19"/>
      </w:r>
      <w:r w:rsidRPr="00F37F48">
        <w:rPr>
          <w:rFonts w:ascii="Verdana" w:eastAsia="Arial" w:hAnsi="Verdana" w:cs="Arial"/>
          <w:lang w:eastAsia="es-ES" w:bidi="es-ES"/>
        </w:rPr>
        <w:t>. Además, también se podría acudir a la jurisdicción cuando se ataca la validez misma del negocio jurídico contenido en el acta de liquidación bilateral, alegando la existencia de un vicio del consentimiento -error, fuerza o dolo-</w:t>
      </w:r>
      <w:r w:rsidRPr="00F37F48">
        <w:rPr>
          <w:rFonts w:ascii="Verdana" w:eastAsia="Arial" w:hAnsi="Verdana" w:cs="Arial"/>
          <w:vertAlign w:val="superscript"/>
          <w:lang w:eastAsia="es-ES" w:bidi="es-ES"/>
        </w:rPr>
        <w:footnoteReference w:id="20"/>
      </w:r>
    </w:p>
    <w:p w14:paraId="21FDB00A" w14:textId="77777777" w:rsidR="001A6E24" w:rsidRPr="004C14F3" w:rsidRDefault="001A6E24" w:rsidP="001A6E24">
      <w:pPr>
        <w:widowControl w:val="0"/>
        <w:autoSpaceDE w:val="0"/>
        <w:autoSpaceDN w:val="0"/>
        <w:spacing w:after="120" w:line="276" w:lineRule="auto"/>
        <w:ind w:right="108" w:firstLine="709"/>
        <w:jc w:val="both"/>
        <w:rPr>
          <w:rFonts w:ascii="Verdana" w:eastAsia="Arial" w:hAnsi="Verdana" w:cs="Arial"/>
          <w:lang w:eastAsia="es-ES" w:bidi="es-ES"/>
        </w:rPr>
      </w:pPr>
      <w:r w:rsidRPr="00F37F48">
        <w:rPr>
          <w:rFonts w:ascii="Verdana" w:eastAsia="Arial" w:hAnsi="Verdana" w:cs="Arial"/>
          <w:lang w:val="es-ES" w:eastAsia="es-ES" w:bidi="es-ES"/>
        </w:rPr>
        <w:t xml:space="preserve">De esta forma, solo hay dos situaciones en las cuales resulta viable acudir a las autoridades judiciales para debatir el contenido del acta de liquidación bilateral: i) cuando se invoque la existencia de algún vicio del consentimiento – error, fuerza o dolo, y </w:t>
      </w:r>
      <w:proofErr w:type="spellStart"/>
      <w:r w:rsidRPr="00F37F48">
        <w:rPr>
          <w:rFonts w:ascii="Verdana" w:eastAsia="Arial" w:hAnsi="Verdana" w:cs="Arial"/>
          <w:lang w:val="es-ES" w:eastAsia="es-ES" w:bidi="es-ES"/>
        </w:rPr>
        <w:t>ii</w:t>
      </w:r>
      <w:proofErr w:type="spellEnd"/>
      <w:r w:rsidRPr="00F37F48">
        <w:rPr>
          <w:rFonts w:ascii="Verdana" w:eastAsia="Arial" w:hAnsi="Verdana" w:cs="Arial"/>
          <w:lang w:val="es-ES" w:eastAsia="es-ES" w:bidi="es-ES"/>
        </w:rPr>
        <w:t xml:space="preserve">) cuando se hayan dejado salvedades en el acta de liquidación, y </w:t>
      </w:r>
      <w:r w:rsidRPr="00F37F48">
        <w:rPr>
          <w:rFonts w:ascii="Verdana" w:eastAsia="Arial" w:hAnsi="Verdana" w:cs="Arial"/>
          <w:lang w:val="es-ES_tradnl" w:eastAsia="es-ES" w:bidi="es-ES"/>
        </w:rPr>
        <w:t xml:space="preserve">se reserva el derecho de acudir ante el juez para reclamar sobre aquello que precisamente sea motivo de inconformidad. </w:t>
      </w:r>
    </w:p>
    <w:p w14:paraId="1C573E4F" w14:textId="77777777" w:rsidR="001A6E24" w:rsidRPr="00F37F48" w:rsidRDefault="001A6E24" w:rsidP="001A6E24">
      <w:pPr>
        <w:widowControl w:val="0"/>
        <w:autoSpaceDE w:val="0"/>
        <w:autoSpaceDN w:val="0"/>
        <w:spacing w:after="120" w:line="276" w:lineRule="auto"/>
        <w:ind w:right="105" w:firstLine="709"/>
        <w:jc w:val="both"/>
        <w:rPr>
          <w:rFonts w:ascii="Verdana" w:eastAsia="Arial" w:hAnsi="Verdana" w:cs="Arial"/>
          <w:lang w:eastAsia="es-ES" w:bidi="es-ES"/>
        </w:rPr>
      </w:pPr>
      <w:r w:rsidRPr="00F37F48">
        <w:rPr>
          <w:rFonts w:ascii="Verdana" w:eastAsia="Arial" w:hAnsi="Verdana" w:cs="Arial"/>
          <w:lang w:val="es-ES" w:eastAsia="es-ES" w:bidi="es-ES"/>
        </w:rPr>
        <w:t xml:space="preserve">Bajo estas consideraciones, se tiene que </w:t>
      </w:r>
      <w:r w:rsidRPr="00F37F48">
        <w:rPr>
          <w:rFonts w:ascii="Verdana" w:eastAsia="Arial" w:hAnsi="Verdana" w:cs="Arial"/>
          <w:lang w:eastAsia="es-ES" w:bidi="es-ES"/>
        </w:rPr>
        <w:t xml:space="preserve">la liquidación bilateral debe agotarse dentro del marco temporal previsto para ello, conforme se explicó en la parte inicial del presente concepto. En esta etapa, y en ejercicio pleno de la autonomía de la voluntad, las partes deben incorporar todos los acuerdos, salvedades, conciliaciones o transacciones a los que hubieren llegado, con el fin de resolver cualquier diferencia surgida durante la ejecución del contrato y </w:t>
      </w:r>
      <w:r w:rsidRPr="00F37F48">
        <w:rPr>
          <w:rFonts w:ascii="Verdana" w:eastAsia="Arial" w:hAnsi="Verdana" w:cs="Arial"/>
          <w:lang w:eastAsia="es-ES" w:bidi="es-ES"/>
        </w:rPr>
        <w:lastRenderedPageBreak/>
        <w:t xml:space="preserve">declarar formalmente su finiquito. En consecuencia, en la liquidación bilateral las partes deberían expresar cualquier inconformidad relacionada con las prestaciones contractuales, y todo lo dispuesto en ella surtirá plenos efectos jurídicos y obligará a ambas partes. </w:t>
      </w:r>
    </w:p>
    <w:p w14:paraId="59FE2BE6" w14:textId="77777777" w:rsidR="001A6E24" w:rsidRPr="00F37F48" w:rsidRDefault="001A6E24" w:rsidP="001A6E24">
      <w:pPr>
        <w:widowControl w:val="0"/>
        <w:autoSpaceDE w:val="0"/>
        <w:autoSpaceDN w:val="0"/>
        <w:spacing w:after="120" w:line="276" w:lineRule="auto"/>
        <w:ind w:right="105" w:firstLine="709"/>
        <w:jc w:val="both"/>
        <w:rPr>
          <w:rFonts w:ascii="Verdana" w:eastAsia="Arial" w:hAnsi="Verdana" w:cs="Arial"/>
          <w:lang w:eastAsia="es-ES" w:bidi="es-ES"/>
        </w:rPr>
      </w:pPr>
      <w:r w:rsidRPr="00F37F48">
        <w:rPr>
          <w:rFonts w:ascii="Verdana" w:eastAsia="Arial" w:hAnsi="Verdana" w:cs="Arial"/>
          <w:lang w:eastAsia="es-ES" w:bidi="es-ES"/>
        </w:rPr>
        <w:t>Así las cosas, si al momento de suscribir la liquidación no se dejan consignadas salvedades expresas, se entenderá que las partes han llegado a un acuerdo integral sobre la finalización del contrato y sus efectos, quedando imposibilitadas para reclamar posteriormente por vía jurisdiccional sobre aspectos que fueron objeto de dicho acuerdo o que no fueron oportunamente controvertidos. Esta interpretación, como se indicó, ha sido reiterada por la jurisprudencia del Consejo de Estado, la cual ha sostenido que la ausencia de manifestaciones de inconformidad en el acta de liquidación impide a las partes, por regla general, acudir posteriormente a la jurisdicción para reclamar derechos u obligaciones que no quedaron consignados en el acta.</w:t>
      </w:r>
    </w:p>
    <w:p w14:paraId="06E6F02C" w14:textId="77777777" w:rsidR="001A6E24" w:rsidRPr="00F37F48" w:rsidRDefault="001A6E24" w:rsidP="001A6E24">
      <w:pPr>
        <w:widowControl w:val="0"/>
        <w:autoSpaceDE w:val="0"/>
        <w:autoSpaceDN w:val="0"/>
        <w:spacing w:after="120" w:line="276" w:lineRule="auto"/>
        <w:ind w:right="105" w:firstLine="709"/>
        <w:jc w:val="both"/>
        <w:rPr>
          <w:rFonts w:ascii="Verdana" w:eastAsia="Arial" w:hAnsi="Verdana" w:cs="Arial"/>
          <w:lang w:eastAsia="es-ES" w:bidi="es-ES"/>
        </w:rPr>
      </w:pPr>
      <w:r w:rsidRPr="00F37F48">
        <w:rPr>
          <w:rFonts w:ascii="Verdana" w:eastAsia="Arial" w:hAnsi="Verdana" w:cs="Arial"/>
          <w:lang w:eastAsia="es-ES" w:bidi="es-ES"/>
        </w:rPr>
        <w:t xml:space="preserve">Por consiguiente, debido a la naturaleza y al carácter vinculante del acta liquidación bilateral, no se considera procedente realizar modificaciones posteriores que alteren los acuerdos inicialmente suscritos por las partes. Precisamente, la fuerza obligatoria de este instrumento radica en que representa una manifestación libre y consciente de la voluntad de las partes, dirigida a dar por terminado el contrato y a resolver las diferencias surgidas durante su ejecución. En ese sentido, se entiende definitiva y solo admite impugnación en los casos señalados, como la existencia de vicios del consentimiento o cuando se hayan dejado salvedades expresas en el mismo documento. </w:t>
      </w:r>
    </w:p>
    <w:p w14:paraId="649884C0" w14:textId="77777777" w:rsidR="001A6E24" w:rsidRPr="00F37F48" w:rsidRDefault="001A6E24" w:rsidP="001A6E24">
      <w:pPr>
        <w:widowControl w:val="0"/>
        <w:autoSpaceDE w:val="0"/>
        <w:autoSpaceDN w:val="0"/>
        <w:spacing w:after="120" w:line="276" w:lineRule="auto"/>
        <w:ind w:right="105" w:firstLine="709"/>
        <w:jc w:val="both"/>
        <w:rPr>
          <w:rFonts w:ascii="Verdana" w:eastAsia="Arial" w:hAnsi="Verdana" w:cs="Arial"/>
          <w:lang w:eastAsia="es-ES" w:bidi="es-ES"/>
        </w:rPr>
      </w:pPr>
      <w:r w:rsidRPr="00F37F48">
        <w:rPr>
          <w:rFonts w:ascii="Verdana" w:eastAsia="Arial" w:hAnsi="Verdana" w:cs="Arial"/>
          <w:lang w:eastAsia="es-ES" w:bidi="es-ES"/>
        </w:rPr>
        <w:t xml:space="preserve">Sin perjuicio de lo anterior, pueden presentarse situaciones en las que las partes consideren necesario aclarar ciertos aspectos del contenido del acta. Sin embargo, tales aclaraciones deben limitarse estrictamente a precisar el alcance de lo ya acordado y en ningún caso pueden implicar una modificación sustancial de la liquidación, ni revivir la etapa ya cerrada. De esta forma, cualquier aclaración debe realizarse de mutuo acuerdo, respetando los límites de su contenido.  </w:t>
      </w:r>
      <w:bookmarkEnd w:id="11"/>
    </w:p>
    <w:p w14:paraId="4A299F81" w14:textId="77777777" w:rsidR="001A6E24" w:rsidRPr="00F37F48" w:rsidRDefault="001A6E24" w:rsidP="001A6E24">
      <w:pPr>
        <w:spacing w:after="120" w:line="276" w:lineRule="auto"/>
        <w:ind w:firstLine="709"/>
        <w:jc w:val="both"/>
        <w:rPr>
          <w:rFonts w:ascii="Verdana" w:hAnsi="Verdana"/>
        </w:rPr>
      </w:pPr>
      <w:r w:rsidRPr="00F37F48">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w:t>
      </w:r>
      <w:r w:rsidRPr="00F37F48">
        <w:rPr>
          <w:rFonts w:ascii="Verdana" w:eastAsia="Calibri" w:hAnsi="Verdana" w:cs="Arial"/>
          <w:bCs/>
          <w:color w:val="000000" w:themeColor="text1"/>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9D8E4F7" w14:textId="77777777" w:rsidR="001A6E24" w:rsidRPr="00291B70" w:rsidRDefault="001A6E24" w:rsidP="001A6E24">
      <w:pPr>
        <w:spacing w:after="120" w:line="276" w:lineRule="auto"/>
        <w:ind w:firstLine="709"/>
        <w:jc w:val="both"/>
        <w:rPr>
          <w:rFonts w:ascii="Verdana" w:eastAsia="Calibri" w:hAnsi="Verdana" w:cs="Arial"/>
          <w:bCs/>
          <w:color w:val="000000" w:themeColor="text1"/>
        </w:rPr>
      </w:pPr>
      <w:r w:rsidRPr="00F37F48">
        <w:rPr>
          <w:rFonts w:ascii="Verdana" w:eastAsia="Calibri" w:hAnsi="Verdana" w:cs="Arial"/>
          <w:bCs/>
          <w:color w:val="000000" w:themeColor="text1"/>
        </w:rPr>
        <w:t xml:space="preserve">Dentro de este marco, corresponde a cada entidad pública, en ejercicio de su competencia, determinar la forma en la cual se llevará a cabo la gestión de liquidación en un proceso de contratación en particular.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0D4AE0C" w14:textId="77777777" w:rsidR="001A6E24" w:rsidRPr="00F37F48" w:rsidRDefault="001A6E24" w:rsidP="001A6E24">
      <w:pPr>
        <w:numPr>
          <w:ilvl w:val="0"/>
          <w:numId w:val="16"/>
        </w:numPr>
        <w:tabs>
          <w:tab w:val="left" w:pos="142"/>
          <w:tab w:val="left" w:pos="284"/>
        </w:tabs>
        <w:spacing w:after="0" w:line="276" w:lineRule="auto"/>
        <w:jc w:val="both"/>
        <w:rPr>
          <w:rFonts w:ascii="Verdana" w:eastAsia="Century Gothic" w:hAnsi="Verdana" w:cs="Century Gothic"/>
          <w:b/>
          <w:bCs/>
        </w:rPr>
      </w:pPr>
      <w:r w:rsidRPr="00F37F48">
        <w:rPr>
          <w:rFonts w:ascii="Verdana" w:eastAsia="Century Gothic" w:hAnsi="Verdana" w:cs="Century Gothic"/>
          <w:b/>
          <w:bCs/>
        </w:rPr>
        <w:t>Referencias normativas</w:t>
      </w:r>
      <w:r>
        <w:rPr>
          <w:rFonts w:ascii="Verdana" w:eastAsia="Century Gothic" w:hAnsi="Verdana" w:cs="Century Gothic"/>
          <w:b/>
          <w:bCs/>
        </w:rPr>
        <w:t>,</w:t>
      </w:r>
      <w:r w:rsidRPr="00F37F48">
        <w:rPr>
          <w:rFonts w:ascii="Verdana" w:eastAsia="Century Gothic" w:hAnsi="Verdana" w:cs="Century Gothic"/>
          <w:b/>
          <w:bCs/>
        </w:rPr>
        <w:t xml:space="preserve"> jurisprudenciales</w:t>
      </w:r>
      <w:r>
        <w:rPr>
          <w:rFonts w:ascii="Verdana" w:eastAsia="Century Gothic" w:hAnsi="Verdana" w:cs="Century Gothic"/>
          <w:b/>
          <w:bCs/>
        </w:rPr>
        <w:t xml:space="preserve"> </w:t>
      </w:r>
      <w:r w:rsidRPr="00695609">
        <w:rPr>
          <w:rFonts w:ascii="Verdana" w:eastAsia="Century Gothic" w:hAnsi="Verdana" w:cs="Century Gothic"/>
          <w:b/>
          <w:bCs/>
        </w:rPr>
        <w:t>y otras fuentes</w:t>
      </w:r>
      <w:r w:rsidRPr="00F37F48">
        <w:rPr>
          <w:rFonts w:ascii="Verdana" w:eastAsia="Century Gothic" w:hAnsi="Verdana" w:cs="Century Gothic"/>
          <w:b/>
          <w:bCs/>
        </w:rPr>
        <w:t>:</w:t>
      </w:r>
    </w:p>
    <w:p w14:paraId="0A25E5CB" w14:textId="77777777" w:rsidR="001A6E24" w:rsidRPr="00F37F48" w:rsidRDefault="001A6E24" w:rsidP="001A6E2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A6E24" w:rsidRPr="00F37F48" w14:paraId="049A5D34" w14:textId="77777777" w:rsidTr="009F08E8">
        <w:trPr>
          <w:trHeight w:val="3529"/>
          <w:jc w:val="center"/>
        </w:trPr>
        <w:tc>
          <w:tcPr>
            <w:tcW w:w="8647" w:type="dxa"/>
          </w:tcPr>
          <w:p w14:paraId="6AED51A5" w14:textId="77777777" w:rsidR="001A6E24" w:rsidRPr="00F37F48" w:rsidRDefault="001A6E24" w:rsidP="001A6E24">
            <w:pPr>
              <w:widowControl w:val="0"/>
              <w:numPr>
                <w:ilvl w:val="0"/>
                <w:numId w:val="17"/>
              </w:numPr>
              <w:autoSpaceDE w:val="0"/>
              <w:autoSpaceDN w:val="0"/>
              <w:spacing w:after="120" w:line="276" w:lineRule="auto"/>
              <w:contextualSpacing/>
              <w:jc w:val="both"/>
              <w:rPr>
                <w:rFonts w:ascii="Verdana" w:hAnsi="Verdana"/>
                <w:lang w:val="es-MX" w:bidi="es-ES"/>
              </w:rPr>
            </w:pPr>
            <w:r w:rsidRPr="00F37F48">
              <w:rPr>
                <w:rFonts w:ascii="Verdana" w:hAnsi="Verdana"/>
                <w:lang w:val="es-MX" w:bidi="es-ES"/>
              </w:rPr>
              <w:t xml:space="preserve">Ley 80 de 1993, artículo 60. </w:t>
            </w:r>
          </w:p>
          <w:p w14:paraId="2D6209EC" w14:textId="77777777" w:rsidR="001A6E24" w:rsidRPr="00F37F48" w:rsidRDefault="001A6E24" w:rsidP="001A6E24">
            <w:pPr>
              <w:widowControl w:val="0"/>
              <w:numPr>
                <w:ilvl w:val="0"/>
                <w:numId w:val="17"/>
              </w:numPr>
              <w:autoSpaceDE w:val="0"/>
              <w:autoSpaceDN w:val="0"/>
              <w:spacing w:after="120" w:line="276" w:lineRule="auto"/>
              <w:contextualSpacing/>
              <w:jc w:val="both"/>
              <w:rPr>
                <w:rFonts w:ascii="Verdana" w:hAnsi="Verdana"/>
                <w:lang w:val="es-MX" w:bidi="es-ES"/>
              </w:rPr>
            </w:pPr>
            <w:r w:rsidRPr="00F37F48">
              <w:rPr>
                <w:rFonts w:ascii="Verdana" w:hAnsi="Verdana"/>
                <w:lang w:val="es-MX" w:bidi="es-ES"/>
              </w:rPr>
              <w:t xml:space="preserve">Ley 1150 de 2007, artículo 11. </w:t>
            </w:r>
          </w:p>
          <w:p w14:paraId="0D510734" w14:textId="77777777" w:rsidR="007C3936" w:rsidRDefault="001A6E24" w:rsidP="007C3936">
            <w:pPr>
              <w:widowControl w:val="0"/>
              <w:numPr>
                <w:ilvl w:val="0"/>
                <w:numId w:val="17"/>
              </w:numPr>
              <w:autoSpaceDE w:val="0"/>
              <w:autoSpaceDN w:val="0"/>
              <w:spacing w:after="120" w:line="276" w:lineRule="auto"/>
              <w:contextualSpacing/>
              <w:jc w:val="both"/>
              <w:rPr>
                <w:rFonts w:ascii="Verdana" w:hAnsi="Verdana"/>
                <w:lang w:val="es-MX" w:bidi="es-ES"/>
              </w:rPr>
            </w:pPr>
            <w:r w:rsidRPr="00F37F48">
              <w:rPr>
                <w:rFonts w:ascii="Verdana" w:hAnsi="Verdana"/>
                <w:lang w:val="es-MX" w:bidi="es-ES"/>
              </w:rPr>
              <w:t xml:space="preserve">Consejo de Estado, Sala de Consulta Y servicio Civil, Concepto del 18 de junio de 2016, radicado No. 2253, </w:t>
            </w:r>
            <w:proofErr w:type="gramStart"/>
            <w:r w:rsidRPr="00F37F48">
              <w:rPr>
                <w:rFonts w:ascii="Verdana" w:hAnsi="Verdana"/>
                <w:lang w:val="es-MX" w:bidi="es-ES"/>
              </w:rPr>
              <w:t>Consejero</w:t>
            </w:r>
            <w:proofErr w:type="gramEnd"/>
            <w:r w:rsidRPr="00F37F48">
              <w:rPr>
                <w:rFonts w:ascii="Verdana" w:hAnsi="Verdana"/>
                <w:lang w:val="es-MX" w:bidi="es-ES"/>
              </w:rPr>
              <w:t xml:space="preserve"> Ponente: Álvaro </w:t>
            </w:r>
            <w:proofErr w:type="spellStart"/>
            <w:r w:rsidRPr="00F37F48">
              <w:rPr>
                <w:rFonts w:ascii="Verdana" w:hAnsi="Verdana"/>
                <w:lang w:val="es-MX" w:bidi="es-ES"/>
              </w:rPr>
              <w:t>Namén</w:t>
            </w:r>
            <w:proofErr w:type="spellEnd"/>
            <w:r w:rsidRPr="00F37F48">
              <w:rPr>
                <w:rFonts w:ascii="Verdana" w:hAnsi="Verdana"/>
                <w:lang w:val="es-MX" w:bidi="es-ES"/>
              </w:rPr>
              <w:t xml:space="preserve"> Vargas</w:t>
            </w:r>
            <w:r w:rsidR="007C3936">
              <w:rPr>
                <w:rFonts w:ascii="Verdana" w:hAnsi="Verdana"/>
                <w:lang w:val="es-MX" w:bidi="es-ES"/>
              </w:rPr>
              <w:t>.</w:t>
            </w:r>
            <w:r w:rsidR="007C3936" w:rsidRPr="00F37F48">
              <w:rPr>
                <w:rFonts w:ascii="Verdana" w:hAnsi="Verdana"/>
                <w:lang w:val="es-MX" w:bidi="es-ES"/>
              </w:rPr>
              <w:t xml:space="preserve"> </w:t>
            </w:r>
          </w:p>
          <w:p w14:paraId="36CB2080" w14:textId="50093C09" w:rsidR="007C3936" w:rsidRPr="00F37F48" w:rsidRDefault="007C3936" w:rsidP="007C3936">
            <w:pPr>
              <w:widowControl w:val="0"/>
              <w:numPr>
                <w:ilvl w:val="0"/>
                <w:numId w:val="17"/>
              </w:numPr>
              <w:autoSpaceDE w:val="0"/>
              <w:autoSpaceDN w:val="0"/>
              <w:spacing w:after="120" w:line="276" w:lineRule="auto"/>
              <w:contextualSpacing/>
              <w:jc w:val="both"/>
              <w:rPr>
                <w:rFonts w:ascii="Verdana" w:hAnsi="Verdana"/>
                <w:lang w:val="es-MX" w:bidi="es-ES"/>
              </w:rPr>
            </w:pPr>
            <w:r w:rsidRPr="00F37F48">
              <w:rPr>
                <w:rFonts w:ascii="Verdana" w:hAnsi="Verdana"/>
                <w:lang w:val="es-MX" w:bidi="es-ES"/>
              </w:rPr>
              <w:t xml:space="preserve">Consejo de Estado, Sección Tercera, Subsección A, Sentencia del 20 de mayo de 2024, radicado No. 58.879, </w:t>
            </w:r>
            <w:proofErr w:type="gramStart"/>
            <w:r w:rsidRPr="00F37F48">
              <w:rPr>
                <w:rFonts w:ascii="Verdana" w:hAnsi="Verdana"/>
                <w:lang w:val="es-MX" w:bidi="es-ES"/>
              </w:rPr>
              <w:t>Consejera</w:t>
            </w:r>
            <w:proofErr w:type="gramEnd"/>
            <w:r w:rsidRPr="00F37F48">
              <w:rPr>
                <w:rFonts w:ascii="Verdana" w:hAnsi="Verdana"/>
                <w:lang w:val="es-MX" w:bidi="es-ES"/>
              </w:rPr>
              <w:t xml:space="preserve"> Ponente: María Adriana Marín.</w:t>
            </w:r>
          </w:p>
          <w:p w14:paraId="4F302222" w14:textId="6CB199BD" w:rsidR="001A6E24" w:rsidRPr="00E51940" w:rsidRDefault="007C3936" w:rsidP="00E51940">
            <w:pPr>
              <w:widowControl w:val="0"/>
              <w:numPr>
                <w:ilvl w:val="0"/>
                <w:numId w:val="17"/>
              </w:numPr>
              <w:autoSpaceDE w:val="0"/>
              <w:autoSpaceDN w:val="0"/>
              <w:spacing w:after="120" w:line="276" w:lineRule="auto"/>
              <w:contextualSpacing/>
              <w:jc w:val="both"/>
              <w:rPr>
                <w:rFonts w:ascii="Verdana" w:hAnsi="Verdana"/>
                <w:lang w:val="es-MX" w:bidi="es-ES"/>
              </w:rPr>
            </w:pPr>
            <w:r w:rsidRPr="00F37F48">
              <w:rPr>
                <w:rFonts w:ascii="Verdana" w:hAnsi="Verdana"/>
                <w:lang w:val="es-MX" w:bidi="es-ES"/>
              </w:rPr>
              <w:t xml:space="preserve">Consejo de Estado, Sección Tercera, Subsección B, Sentencia del 7 de febrero de 2025, radicado No. 71.036 </w:t>
            </w:r>
            <w:proofErr w:type="gramStart"/>
            <w:r w:rsidRPr="00F37F48">
              <w:rPr>
                <w:rFonts w:ascii="Verdana" w:hAnsi="Verdana"/>
                <w:lang w:val="es-MX" w:bidi="es-ES"/>
              </w:rPr>
              <w:t>Consejera</w:t>
            </w:r>
            <w:proofErr w:type="gramEnd"/>
            <w:r w:rsidRPr="00F37F48">
              <w:rPr>
                <w:rFonts w:ascii="Verdana" w:hAnsi="Verdana"/>
                <w:lang w:val="es-MX" w:bidi="es-ES"/>
              </w:rPr>
              <w:t xml:space="preserve"> Ponente: Fredy Ibarra Martínez.</w:t>
            </w:r>
          </w:p>
        </w:tc>
      </w:tr>
    </w:tbl>
    <w:p w14:paraId="30F6481E" w14:textId="77777777" w:rsidR="001A6E24" w:rsidRPr="00F37F48" w:rsidRDefault="001A6E24" w:rsidP="001A6E24">
      <w:pPr>
        <w:widowControl w:val="0"/>
        <w:autoSpaceDE w:val="0"/>
        <w:autoSpaceDN w:val="0"/>
        <w:spacing w:after="0" w:line="276" w:lineRule="auto"/>
        <w:jc w:val="both"/>
        <w:rPr>
          <w:rFonts w:ascii="Verdana" w:hAnsi="Verdana" w:cs="Arial"/>
        </w:rPr>
      </w:pPr>
    </w:p>
    <w:p w14:paraId="73397186" w14:textId="77777777" w:rsidR="001A6E24" w:rsidRPr="00F37F48" w:rsidRDefault="001A6E24" w:rsidP="001A6E24">
      <w:pPr>
        <w:numPr>
          <w:ilvl w:val="0"/>
          <w:numId w:val="16"/>
        </w:numPr>
        <w:tabs>
          <w:tab w:val="left" w:pos="142"/>
          <w:tab w:val="left" w:pos="284"/>
        </w:tabs>
        <w:spacing w:after="0" w:line="276" w:lineRule="auto"/>
        <w:jc w:val="both"/>
        <w:rPr>
          <w:rFonts w:ascii="Verdana" w:eastAsia="Century Gothic" w:hAnsi="Verdana" w:cs="Century Gothic"/>
          <w:b/>
          <w:bCs/>
        </w:rPr>
      </w:pPr>
      <w:r w:rsidRPr="00F37F48">
        <w:rPr>
          <w:rFonts w:ascii="Verdana" w:eastAsia="Century Gothic" w:hAnsi="Verdana" w:cs="Century Gothic"/>
          <w:b/>
          <w:bCs/>
        </w:rPr>
        <w:t>Doctrina de la Agencia Nacional de Contratación Pública:</w:t>
      </w:r>
    </w:p>
    <w:p w14:paraId="7DC51E95" w14:textId="77777777" w:rsidR="001A6E24" w:rsidRDefault="001A6E24" w:rsidP="001A6E24">
      <w:pPr>
        <w:widowControl w:val="0"/>
        <w:autoSpaceDE w:val="0"/>
        <w:autoSpaceDN w:val="0"/>
        <w:spacing w:after="0" w:line="276" w:lineRule="auto"/>
        <w:jc w:val="both"/>
        <w:rPr>
          <w:rFonts w:ascii="Verdana" w:hAnsi="Verdana" w:cs="Arial"/>
        </w:rPr>
      </w:pPr>
    </w:p>
    <w:p w14:paraId="0E33328B" w14:textId="77777777" w:rsidR="001A6E24" w:rsidRPr="005A3BE2" w:rsidRDefault="001A6E24" w:rsidP="001A6E24">
      <w:pPr>
        <w:widowControl w:val="0"/>
        <w:autoSpaceDE w:val="0"/>
        <w:autoSpaceDN w:val="0"/>
        <w:spacing w:after="0" w:line="276" w:lineRule="auto"/>
        <w:jc w:val="both"/>
        <w:rPr>
          <w:rFonts w:ascii="Verdana" w:hAnsi="Verdana" w:cs="Arial"/>
        </w:rPr>
      </w:pPr>
      <w:r w:rsidRPr="005A3BE2">
        <w:rPr>
          <w:rFonts w:ascii="Verdana" w:hAnsi="Verdana" w:cs="Arial"/>
        </w:rPr>
        <w:t xml:space="preserve">Esta Subdirección se ha pronunciado sobre la liquidación en los Conceptos 4201912000004908 del 27 de septiembre de 2019, CU-028 de 25 de febrero de 2020, C-221 de 21 de abril de 2020, C-078 del 17 de marzo de 2021, C-220 del 18 de mayo de 2021, C-494 del 17 de septiembre de 2021, C-444 del 23 de julio de 2021, C-747 del 8 de noviembre de 2022, C-739 de del 29 de noviembre de </w:t>
      </w:r>
      <w:r w:rsidRPr="005A3BE2">
        <w:rPr>
          <w:rFonts w:ascii="Verdana" w:hAnsi="Verdana" w:cs="Arial"/>
        </w:rPr>
        <w:lastRenderedPageBreak/>
        <w:t xml:space="preserve">2022, C-759 del 11 de noviembre de 2022, C- 176 de 3 de mayo de 2023, C-158 del 6 de junio de 2023, C-326 del 15 de agosto de 2024, C-568 del 18 de octubre de 2024, C-968 del 16 de diciembre de 2024, C-903 del 19 de agosto 2025 y C–1204 del 9 de septiembre de 2025. Estos conceptos se encuentran disponibles para consulta en el Sistema de relatoría de la Agencia, al cual se puede acceder a través del siguiente enlace: https://relatoria.colombiacompra.gov.co/ </w:t>
      </w:r>
    </w:p>
    <w:p w14:paraId="5D26AE13" w14:textId="77777777" w:rsidR="001A6E24" w:rsidRPr="005A3BE2" w:rsidRDefault="001A6E24" w:rsidP="001A6E24">
      <w:pPr>
        <w:widowControl w:val="0"/>
        <w:autoSpaceDE w:val="0"/>
        <w:autoSpaceDN w:val="0"/>
        <w:spacing w:after="0" w:line="276" w:lineRule="auto"/>
        <w:jc w:val="both"/>
        <w:rPr>
          <w:rFonts w:ascii="Verdana" w:hAnsi="Verdana" w:cs="Arial"/>
        </w:rPr>
      </w:pPr>
    </w:p>
    <w:p w14:paraId="2FF0F5DB" w14:textId="77777777" w:rsidR="001A6E24" w:rsidRPr="005A3BE2" w:rsidRDefault="001A6E24" w:rsidP="001A6E24">
      <w:pPr>
        <w:widowControl w:val="0"/>
        <w:autoSpaceDE w:val="0"/>
        <w:autoSpaceDN w:val="0"/>
        <w:spacing w:after="0" w:line="276" w:lineRule="auto"/>
        <w:jc w:val="both"/>
        <w:rPr>
          <w:rFonts w:ascii="Verdana" w:hAnsi="Verdana" w:cs="Arial"/>
        </w:rPr>
      </w:pPr>
      <w:r w:rsidRPr="005A3BE2">
        <w:rPr>
          <w:rFonts w:ascii="Verdana" w:hAnsi="Verdana" w:cs="Arial"/>
        </w:rPr>
        <w:t xml:space="preserve">Te informamos que ya se encuentra disponible la Guía de lineamientos de transparencia y selección objetiva para el departamento de La Guajira – Objetivo sexto constitucional de la Sentencia T-302 del 2017. 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A3BE2">
        <w:rPr>
          <w:rFonts w:ascii="Verdana" w:hAnsi="Verdana" w:cs="Arial"/>
        </w:rPr>
        <w:t>Wayúu</w:t>
      </w:r>
      <w:proofErr w:type="spellEnd"/>
      <w:r w:rsidRPr="005A3BE2">
        <w:rPr>
          <w:rFonts w:ascii="Verdana" w:hAnsi="Verdana" w:cs="Arial"/>
        </w:rPr>
        <w:t>. Puede consultar la guía en el siguiente enlace: Guía de lineamientos de transparencia y selección objetiva para el departamento de La Guajira – Objetivo sexto constitucional de la Sentencia T-302 del 2017.</w:t>
      </w:r>
    </w:p>
    <w:p w14:paraId="4A149C10" w14:textId="77777777" w:rsidR="001A6E24" w:rsidRPr="005A3BE2" w:rsidRDefault="001A6E24" w:rsidP="001A6E24">
      <w:pPr>
        <w:widowControl w:val="0"/>
        <w:autoSpaceDE w:val="0"/>
        <w:autoSpaceDN w:val="0"/>
        <w:spacing w:after="0" w:line="276" w:lineRule="auto"/>
        <w:jc w:val="both"/>
        <w:rPr>
          <w:rFonts w:ascii="Verdana" w:hAnsi="Verdana" w:cs="Arial"/>
        </w:rPr>
      </w:pPr>
    </w:p>
    <w:p w14:paraId="673CC6FF" w14:textId="77777777" w:rsidR="000F1E3D" w:rsidRPr="00116940" w:rsidRDefault="000F1E3D" w:rsidP="000F1E3D">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1AB1DDF" w14:textId="77777777" w:rsidR="000F1E3D" w:rsidRPr="00116940" w:rsidRDefault="000F1E3D" w:rsidP="000F1E3D">
      <w:pPr>
        <w:spacing w:after="0"/>
        <w:jc w:val="both"/>
        <w:rPr>
          <w:rFonts w:ascii="Verdana" w:hAnsi="Verdana"/>
        </w:rPr>
      </w:pPr>
    </w:p>
    <w:p w14:paraId="3CA5C9CE" w14:textId="77777777" w:rsidR="000F1E3D" w:rsidRPr="00116940" w:rsidRDefault="000F1E3D" w:rsidP="000F1E3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F3BBCDA" w14:textId="77777777" w:rsidR="000F1E3D" w:rsidRPr="00116940" w:rsidRDefault="000F1E3D" w:rsidP="000F1E3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1C8C8F0" w14:textId="77777777" w:rsidR="000F1E3D" w:rsidRPr="00116940" w:rsidRDefault="000F1E3D" w:rsidP="000F1E3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2">
        <w:r w:rsidRPr="00116940">
          <w:rPr>
            <w:rStyle w:val="Hipervnculo"/>
            <w:rFonts w:ascii="Verdana" w:eastAsia="Verdana" w:hAnsi="Verdana" w:cs="Verdana"/>
            <w:lang w:val="es-MX"/>
          </w:rPr>
          <w:t>ventanilladeradicacion@colombiacompra.gov.co</w:t>
        </w:r>
      </w:hyperlink>
    </w:p>
    <w:p w14:paraId="3ED1A5E9" w14:textId="77777777" w:rsidR="000F1E3D" w:rsidRPr="00116940" w:rsidRDefault="000F1E3D" w:rsidP="000F1E3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3">
        <w:r w:rsidRPr="00116940">
          <w:rPr>
            <w:rStyle w:val="Hipervnculo"/>
            <w:rFonts w:ascii="Verdana" w:eastAsia="Verdana" w:hAnsi="Verdana" w:cs="Verdana"/>
            <w:lang w:val="es-MX"/>
          </w:rPr>
          <w:t>https://www.colombiacompra.gov.co/pqrsd/informacion-importante-antes-de-formular-una-pqrsd</w:t>
        </w:r>
      </w:hyperlink>
    </w:p>
    <w:p w14:paraId="0BD6A5E7" w14:textId="77777777" w:rsidR="000F1E3D" w:rsidRPr="00116940" w:rsidRDefault="000F1E3D" w:rsidP="000F1E3D">
      <w:pPr>
        <w:spacing w:after="0" w:line="240" w:lineRule="auto"/>
        <w:ind w:left="720"/>
        <w:jc w:val="both"/>
        <w:rPr>
          <w:rFonts w:ascii="Verdana" w:hAnsi="Verdana"/>
        </w:rPr>
      </w:pPr>
    </w:p>
    <w:p w14:paraId="44A7429E" w14:textId="77777777" w:rsidR="000F1E3D" w:rsidRPr="00116940" w:rsidRDefault="000F1E3D" w:rsidP="000F1E3D">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4"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FB38DF9" w14:textId="77777777" w:rsidR="000F1E3D" w:rsidRPr="00116940" w:rsidRDefault="000F1E3D" w:rsidP="000F1E3D">
      <w:pPr>
        <w:spacing w:after="0" w:line="240" w:lineRule="auto"/>
        <w:rPr>
          <w:rFonts w:ascii="Verdana" w:hAnsi="Verdana"/>
        </w:rPr>
      </w:pPr>
    </w:p>
    <w:p w14:paraId="065A7CDA" w14:textId="77777777" w:rsidR="000F1E3D" w:rsidRPr="00116940" w:rsidRDefault="000F1E3D" w:rsidP="000F1E3D">
      <w:pPr>
        <w:spacing w:after="0" w:line="240" w:lineRule="auto"/>
        <w:jc w:val="both"/>
        <w:rPr>
          <w:rFonts w:ascii="Verdana" w:hAnsi="Verdana"/>
        </w:rPr>
      </w:pPr>
      <w:r w:rsidRPr="00116940">
        <w:rPr>
          <w:rFonts w:ascii="Verdana" w:hAnsi="Verdana"/>
        </w:rPr>
        <w:lastRenderedPageBreak/>
        <w:t xml:space="preserve">Por último, lo invitamos a seguirnos en las redes sociales en las cuales se difunde información institucional: </w:t>
      </w:r>
    </w:p>
    <w:p w14:paraId="5874602E" w14:textId="77777777" w:rsidR="000F1E3D" w:rsidRPr="00116940" w:rsidRDefault="000F1E3D" w:rsidP="000F1E3D">
      <w:pPr>
        <w:spacing w:after="0" w:line="240" w:lineRule="auto"/>
        <w:jc w:val="both"/>
        <w:rPr>
          <w:rFonts w:ascii="Verdana" w:hAnsi="Verdana"/>
        </w:rPr>
      </w:pPr>
    </w:p>
    <w:p w14:paraId="039AAC44" w14:textId="77777777" w:rsidR="000F1E3D" w:rsidRPr="00116940" w:rsidRDefault="000F1E3D" w:rsidP="000F1E3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FCF613A" w14:textId="77777777" w:rsidR="000F1E3D" w:rsidRPr="00116940" w:rsidRDefault="000F1E3D" w:rsidP="000F1E3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1D1D493" w14:textId="77777777" w:rsidR="000F1E3D" w:rsidRPr="00116940" w:rsidRDefault="000F1E3D" w:rsidP="000F1E3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9D4D176" w14:textId="77777777" w:rsidR="000F1E3D" w:rsidRPr="00116940" w:rsidRDefault="000F1E3D" w:rsidP="000F1E3D">
      <w:pPr>
        <w:spacing w:after="0" w:line="240" w:lineRule="auto"/>
        <w:jc w:val="both"/>
        <w:rPr>
          <w:rFonts w:ascii="Verdana" w:hAnsi="Verdana"/>
        </w:rPr>
      </w:pPr>
    </w:p>
    <w:p w14:paraId="54746F56" w14:textId="77777777" w:rsidR="000F1E3D" w:rsidRDefault="000F1E3D" w:rsidP="000F1E3D">
      <w:pPr>
        <w:spacing w:after="0" w:line="256" w:lineRule="auto"/>
        <w:jc w:val="both"/>
        <w:rPr>
          <w:rFonts w:ascii="Verdana" w:eastAsia="Calibri" w:hAnsi="Verdana" w:cs="Times New Roman"/>
        </w:rPr>
      </w:pPr>
    </w:p>
    <w:p w14:paraId="11E01D6C" w14:textId="77777777" w:rsidR="000F1E3D" w:rsidRPr="005B7C42" w:rsidRDefault="000F1E3D" w:rsidP="000F1E3D">
      <w:pPr>
        <w:spacing w:after="0" w:line="276" w:lineRule="auto"/>
        <w:jc w:val="both"/>
        <w:rPr>
          <w:rFonts w:ascii="Verdana" w:eastAsia="Times New Roman" w:hAnsi="Verdana" w:cs="Arial"/>
          <w:lang w:eastAsia="es-CO"/>
        </w:rPr>
      </w:pPr>
      <w:r w:rsidRPr="005B7C42">
        <w:rPr>
          <w:rFonts w:ascii="Verdana" w:eastAsia="Times New Roman" w:hAnsi="Verdana" w:cs="Arial"/>
          <w:lang w:eastAsia="es-CO"/>
        </w:rPr>
        <w:t>Atentamente,</w:t>
      </w:r>
    </w:p>
    <w:p w14:paraId="0D04C290" w14:textId="54A069B5" w:rsidR="001A6E24" w:rsidRDefault="001B4779" w:rsidP="006C76BE">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29041A53" wp14:editId="1D72A64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70FC43FE" w14:textId="77777777" w:rsidR="001B4779" w:rsidRDefault="001B4779" w:rsidP="006C76BE">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A6E24" w:rsidRPr="007A0E81" w14:paraId="4FE5B0DC" w14:textId="77777777" w:rsidTr="009F08E8">
        <w:trPr>
          <w:trHeight w:val="315"/>
        </w:trPr>
        <w:tc>
          <w:tcPr>
            <w:tcW w:w="893" w:type="dxa"/>
            <w:vAlign w:val="center"/>
            <w:hideMark/>
          </w:tcPr>
          <w:p w14:paraId="0AA8B49B" w14:textId="77777777" w:rsidR="001A6E24" w:rsidRPr="007A0E81" w:rsidRDefault="001A6E24" w:rsidP="009F08E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05254AD2" w14:textId="77777777" w:rsidR="001A6E24" w:rsidRPr="007A0E81" w:rsidRDefault="001A6E24" w:rsidP="009F08E8">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 xml:space="preserve">María </w:t>
            </w:r>
            <w:proofErr w:type="spellStart"/>
            <w:r w:rsidRPr="007A0E81">
              <w:rPr>
                <w:rFonts w:ascii="Verdana" w:eastAsia="Times New Roman" w:hAnsi="Verdana" w:cs="Arial"/>
                <w:color w:val="000000"/>
                <w:sz w:val="16"/>
                <w:szCs w:val="16"/>
              </w:rPr>
              <w:t>Joshira</w:t>
            </w:r>
            <w:proofErr w:type="spellEnd"/>
            <w:r w:rsidRPr="007A0E81">
              <w:rPr>
                <w:rFonts w:ascii="Verdana" w:eastAsia="Times New Roman" w:hAnsi="Verdana" w:cs="Arial"/>
                <w:color w:val="000000"/>
                <w:sz w:val="16"/>
                <w:szCs w:val="16"/>
              </w:rPr>
              <w:t xml:space="preserve"> Nieto Manzano</w:t>
            </w:r>
          </w:p>
          <w:p w14:paraId="02B409B9" w14:textId="77777777" w:rsidR="001A6E24" w:rsidRPr="007A0E81" w:rsidRDefault="001A6E24" w:rsidP="009F08E8">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1A6E24" w:rsidRPr="007A0E81" w14:paraId="303F82F2" w14:textId="77777777" w:rsidTr="009F08E8">
        <w:trPr>
          <w:trHeight w:val="330"/>
        </w:trPr>
        <w:tc>
          <w:tcPr>
            <w:tcW w:w="893" w:type="dxa"/>
            <w:vAlign w:val="center"/>
            <w:hideMark/>
          </w:tcPr>
          <w:p w14:paraId="39BEB9AC" w14:textId="77777777" w:rsidR="001A6E24" w:rsidRPr="007A0E81" w:rsidRDefault="001A6E24" w:rsidP="009F08E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64E5CC7B" w14:textId="77777777" w:rsidR="001A6E24" w:rsidRPr="007A0E81" w:rsidRDefault="001A6E24" w:rsidP="009F08E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5EE27215" w14:textId="77777777" w:rsidR="001A6E24" w:rsidRPr="007A0E81" w:rsidRDefault="001A6E24" w:rsidP="009F08E8">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1A6E24" w:rsidRPr="007A0E81" w14:paraId="0026BB21" w14:textId="77777777" w:rsidTr="009F08E8">
        <w:trPr>
          <w:trHeight w:val="300"/>
        </w:trPr>
        <w:tc>
          <w:tcPr>
            <w:tcW w:w="893" w:type="dxa"/>
            <w:vAlign w:val="center"/>
          </w:tcPr>
          <w:p w14:paraId="0F8F464C" w14:textId="77777777" w:rsidR="001A6E24" w:rsidRPr="007A0E81" w:rsidRDefault="001A6E24" w:rsidP="009F08E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68896EC" w14:textId="77777777" w:rsidR="001A6E24" w:rsidRPr="007A0E81" w:rsidRDefault="001A6E24" w:rsidP="009F08E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41128FE2" w14:textId="77777777" w:rsidR="001A6E24" w:rsidRPr="007A0E81" w:rsidRDefault="001A6E24" w:rsidP="009F08E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bookmarkEnd w:id="1"/>
    </w:tbl>
    <w:p w14:paraId="68E59549" w14:textId="77777777" w:rsidR="001A6E24" w:rsidRPr="00F37F48" w:rsidRDefault="001A6E24" w:rsidP="001A6E24">
      <w:pPr>
        <w:widowControl w:val="0"/>
        <w:autoSpaceDE w:val="0"/>
        <w:autoSpaceDN w:val="0"/>
        <w:spacing w:after="0" w:line="276" w:lineRule="auto"/>
        <w:jc w:val="both"/>
        <w:rPr>
          <w:rFonts w:ascii="Verdana" w:hAnsi="Verdana" w:cs="Arial"/>
        </w:rPr>
      </w:pPr>
    </w:p>
    <w:bookmarkEnd w:id="0"/>
    <w:p w14:paraId="55E7161E" w14:textId="77777777" w:rsidR="00B62BB6" w:rsidRPr="0044528D" w:rsidRDefault="00B62BB6" w:rsidP="00E245AB">
      <w:pPr>
        <w:spacing w:after="0"/>
        <w:rPr>
          <w:rFonts w:ascii="Verdana" w:hAnsi="Verdana"/>
        </w:rPr>
      </w:pPr>
    </w:p>
    <w:sectPr w:rsidR="00B62BB6" w:rsidRPr="0044528D" w:rsidSect="00D43155">
      <w:headerReference w:type="default" r:id="rId16"/>
      <w:footerReference w:type="default" r:id="rId17"/>
      <w:pgSz w:w="12240" w:h="15840" w:code="1"/>
      <w:pgMar w:top="1417" w:right="1701" w:bottom="1417" w:left="1701" w:header="709" w:footer="5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E2C79" w14:textId="77777777" w:rsidR="006A7602" w:rsidRDefault="006A7602" w:rsidP="004A1847">
      <w:pPr>
        <w:spacing w:after="0" w:line="240" w:lineRule="auto"/>
      </w:pPr>
      <w:r>
        <w:separator/>
      </w:r>
    </w:p>
  </w:endnote>
  <w:endnote w:type="continuationSeparator" w:id="0">
    <w:p w14:paraId="6A6AF96C" w14:textId="77777777" w:rsidR="006A7602" w:rsidRDefault="006A760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F5B26" w14:textId="77777777" w:rsidR="006A7602" w:rsidRDefault="006A7602" w:rsidP="004A1847">
      <w:pPr>
        <w:spacing w:after="0" w:line="240" w:lineRule="auto"/>
      </w:pPr>
      <w:r>
        <w:separator/>
      </w:r>
    </w:p>
  </w:footnote>
  <w:footnote w:type="continuationSeparator" w:id="0">
    <w:p w14:paraId="6A824CC2" w14:textId="77777777" w:rsidR="006A7602" w:rsidRDefault="006A7602" w:rsidP="004A1847">
      <w:pPr>
        <w:spacing w:after="0" w:line="240" w:lineRule="auto"/>
      </w:pPr>
      <w:r>
        <w:continuationSeparator/>
      </w:r>
    </w:p>
  </w:footnote>
  <w:footnote w:id="1">
    <w:p w14:paraId="572A7353" w14:textId="77777777" w:rsidR="001A6E24" w:rsidRPr="00A41881" w:rsidRDefault="001A6E24" w:rsidP="00A41881">
      <w:pPr>
        <w:pStyle w:val="Textonotapie"/>
        <w:ind w:firstLine="708"/>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A41881">
        <w:rPr>
          <w:rFonts w:ascii="Verdana" w:hAnsi="Verdana" w:cs="Arial"/>
          <w:color w:val="000000"/>
          <w:sz w:val="16"/>
          <w:szCs w:val="16"/>
          <w:shd w:val="clear" w:color="auto" w:fill="FFFFFF"/>
        </w:rPr>
        <w:t>” (</w:t>
      </w:r>
      <w:r w:rsidRPr="00A41881">
        <w:rPr>
          <w:rFonts w:ascii="Verdana" w:hAnsi="Verdana" w:cs="Arial"/>
          <w:color w:val="000000"/>
          <w:sz w:val="16"/>
          <w:szCs w:val="16"/>
        </w:rPr>
        <w:t>EXPOSITO, Juan Carlos. Forma y contenido del contrato estatal. Bogotá: Universidad Externado de Colombia, p. 89 y 90).</w:t>
      </w:r>
    </w:p>
  </w:footnote>
  <w:footnote w:id="2">
    <w:p w14:paraId="129710EB" w14:textId="77777777" w:rsidR="001A6E24" w:rsidRPr="00A41881" w:rsidRDefault="001A6E24" w:rsidP="00A41881">
      <w:pPr>
        <w:pStyle w:val="Textonotapie"/>
        <w:ind w:firstLine="708"/>
        <w:jc w:val="both"/>
        <w:rPr>
          <w:rFonts w:ascii="Verdana" w:hAnsi="Verdana" w:cs="Arial"/>
          <w:color w:val="000000"/>
          <w:sz w:val="16"/>
          <w:szCs w:val="16"/>
          <w:lang w:val="es-CO"/>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3">
    <w:p w14:paraId="4870D213" w14:textId="77777777" w:rsidR="001A6E24" w:rsidRPr="00A41881" w:rsidRDefault="001A6E24" w:rsidP="006C76BE">
      <w:pPr>
        <w:spacing w:after="0" w:line="240" w:lineRule="auto"/>
        <w:ind w:firstLine="708"/>
        <w:jc w:val="both"/>
        <w:rPr>
          <w:rFonts w:ascii="Verdana" w:hAnsi="Verdana" w:cs="Arial"/>
          <w:color w:val="000000"/>
          <w:sz w:val="16"/>
          <w:szCs w:val="16"/>
          <w:lang w:val="es-ES"/>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2B38006A" w14:textId="77777777" w:rsidR="001A6E24" w:rsidRPr="00A41881" w:rsidRDefault="001A6E24" w:rsidP="00A41881">
      <w:pPr>
        <w:pStyle w:val="Textonotapie"/>
        <w:ind w:firstLine="708"/>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EXPÓSITO VÉLEZ, Juan Carlos. Forma y contenido del contrato estatal, p. 90.</w:t>
      </w:r>
    </w:p>
  </w:footnote>
  <w:footnote w:id="5">
    <w:p w14:paraId="1E74B05C" w14:textId="77777777" w:rsidR="001A6E24" w:rsidRPr="00A41881" w:rsidRDefault="001A6E24" w:rsidP="00A41881">
      <w:pPr>
        <w:pStyle w:val="Textonotapie"/>
        <w:ind w:firstLine="708"/>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CONSEJO DE ESTADO, Sala de Consulta y Servicio Civil. Radicado No. 1453. Concepto de 6 de agosto de 2003. MP. Augusto Trejos.</w:t>
      </w:r>
    </w:p>
  </w:footnote>
  <w:footnote w:id="6">
    <w:p w14:paraId="7D9E88B1" w14:textId="77777777" w:rsidR="001A6E24" w:rsidRPr="00A41881" w:rsidRDefault="001A6E24" w:rsidP="00A41881">
      <w:pPr>
        <w:pStyle w:val="Textonotapie"/>
        <w:ind w:firstLine="708"/>
        <w:jc w:val="both"/>
        <w:rPr>
          <w:rFonts w:ascii="Verdana" w:hAnsi="Verdana" w:cs="Arial"/>
          <w:color w:val="000000"/>
          <w:sz w:val="16"/>
          <w:szCs w:val="16"/>
          <w:lang w:val="es-ES"/>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w:t>
      </w:r>
      <w:r w:rsidRPr="00A41881">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5EEF53F" w14:textId="77777777" w:rsidR="001A6E24" w:rsidRPr="00A41881" w:rsidRDefault="001A6E24" w:rsidP="00A41881">
      <w:pPr>
        <w:pStyle w:val="Textonotapie"/>
        <w:ind w:firstLine="708"/>
        <w:jc w:val="both"/>
        <w:rPr>
          <w:rFonts w:ascii="Verdana" w:hAnsi="Verdana" w:cs="Arial"/>
          <w:color w:val="000000"/>
          <w:sz w:val="16"/>
          <w:szCs w:val="16"/>
          <w:lang w:val="es-ES"/>
        </w:rPr>
      </w:pPr>
      <w:r w:rsidRPr="00A41881">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7B4350F8" w14:textId="77777777" w:rsidR="001A6E24" w:rsidRPr="00A41881" w:rsidRDefault="001A6E24" w:rsidP="00A41881">
      <w:pPr>
        <w:pStyle w:val="Textonotapie"/>
        <w:ind w:firstLine="708"/>
        <w:jc w:val="both"/>
        <w:rPr>
          <w:rFonts w:ascii="Verdana" w:hAnsi="Verdana" w:cs="Arial"/>
          <w:color w:val="000000"/>
          <w:sz w:val="16"/>
          <w:szCs w:val="16"/>
          <w:lang w:val="es-ES"/>
        </w:rPr>
      </w:pPr>
      <w:r w:rsidRPr="00A41881">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60862730" w14:textId="77777777" w:rsidR="001A6E24" w:rsidRPr="00A41881" w:rsidRDefault="001A6E24" w:rsidP="00A41881">
      <w:pPr>
        <w:pStyle w:val="Textonotapie"/>
        <w:ind w:firstLine="708"/>
        <w:jc w:val="both"/>
        <w:rPr>
          <w:rFonts w:ascii="Verdana" w:hAnsi="Verdana" w:cs="Arial"/>
          <w:color w:val="000000"/>
          <w:sz w:val="16"/>
          <w:szCs w:val="16"/>
          <w:lang w:val="es-ES"/>
        </w:rPr>
      </w:pPr>
      <w:r w:rsidRPr="00A41881">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159A4843" w14:textId="77777777" w:rsidR="001A6E24" w:rsidRPr="00A41881" w:rsidRDefault="001A6E24" w:rsidP="00A41881">
      <w:pPr>
        <w:pStyle w:val="Textonotapie"/>
        <w:ind w:firstLine="709"/>
        <w:jc w:val="both"/>
        <w:rPr>
          <w:rFonts w:ascii="Verdana" w:hAnsi="Verdana" w:cs="Arial"/>
          <w:color w:val="000000"/>
          <w:sz w:val="16"/>
          <w:szCs w:val="16"/>
          <w:lang w:val="es-CO"/>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CONSEJO DE ESTADO, Sección Tercera, Subsección C, Sentencia del 24 de julio de 2013, radicado No. 25.642, Consejero Ponente Enrique Gil Botero.</w:t>
      </w:r>
    </w:p>
  </w:footnote>
  <w:footnote w:id="8">
    <w:p w14:paraId="5AD2F46D" w14:textId="77777777" w:rsidR="001A6E24" w:rsidRPr="00A41881" w:rsidRDefault="001A6E24" w:rsidP="006C76BE">
      <w:pPr>
        <w:pStyle w:val="NormalWeb"/>
        <w:spacing w:before="0" w:beforeAutospacing="0" w:after="0" w:afterAutospacing="0"/>
        <w:ind w:firstLine="709"/>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Decreto 1082 de 2015 “</w:t>
      </w:r>
      <w:r w:rsidRPr="00A41881">
        <w:rPr>
          <w:rStyle w:val="Textoennegrita"/>
          <w:rFonts w:ascii="Verdana" w:hAnsi="Verdana" w:cs="Arial"/>
          <w:color w:val="000000"/>
          <w:sz w:val="16"/>
          <w:szCs w:val="16"/>
        </w:rPr>
        <w:t>Artículo 2.2.1.2.1.5.2. </w:t>
      </w:r>
      <w:r w:rsidRPr="00A41881">
        <w:rPr>
          <w:rStyle w:val="nfasis"/>
          <w:rFonts w:ascii="Verdana" w:eastAsia="MS Mincho" w:hAnsi="Verdana" w:cs="Arial"/>
          <w:color w:val="000000"/>
          <w:sz w:val="16"/>
          <w:szCs w:val="16"/>
        </w:rPr>
        <w:t>Procedimiento para la contratación de mínima cuantía. </w:t>
      </w:r>
      <w:r w:rsidRPr="00A41881">
        <w:rPr>
          <w:rFonts w:ascii="Verdana" w:hAnsi="Verdana" w:cs="Arial"/>
          <w:color w:val="000000"/>
          <w:sz w:val="16"/>
          <w:szCs w:val="16"/>
        </w:rPr>
        <w:t>Las siguientes reglas son aplicables a la contratación cuyo valor no excede del 10% de la menor cuantía de la Entidad Estatal, independientemente de su objeto: </w:t>
      </w:r>
    </w:p>
    <w:p w14:paraId="69F7DB60" w14:textId="77777777" w:rsidR="001A6E24" w:rsidRPr="00A41881" w:rsidRDefault="001A6E24" w:rsidP="006C76BE">
      <w:pPr>
        <w:pStyle w:val="NormalWeb"/>
        <w:spacing w:before="0" w:beforeAutospacing="0" w:after="0" w:afterAutospacing="0"/>
        <w:jc w:val="both"/>
        <w:rPr>
          <w:rFonts w:ascii="Verdana" w:hAnsi="Verdana" w:cs="Arial"/>
          <w:color w:val="000000"/>
          <w:sz w:val="16"/>
          <w:szCs w:val="16"/>
        </w:rPr>
      </w:pPr>
      <w:r w:rsidRPr="00A41881">
        <w:rPr>
          <w:rFonts w:ascii="Verdana" w:hAnsi="Verdana" w:cs="Arial"/>
          <w:color w:val="000000"/>
          <w:sz w:val="16"/>
          <w:szCs w:val="16"/>
        </w:rPr>
        <w:t>  </w:t>
      </w:r>
      <w:r w:rsidRPr="00A41881">
        <w:rPr>
          <w:rFonts w:ascii="Verdana" w:hAnsi="Verdana" w:cs="Arial"/>
          <w:color w:val="000000"/>
          <w:sz w:val="16"/>
          <w:szCs w:val="16"/>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p w14:paraId="64A7F3A6" w14:textId="77777777" w:rsidR="001A6E24" w:rsidRPr="00A41881" w:rsidRDefault="001A6E24" w:rsidP="00A41881">
      <w:pPr>
        <w:pStyle w:val="Textonotapie"/>
        <w:ind w:firstLine="709"/>
        <w:jc w:val="both"/>
        <w:rPr>
          <w:rFonts w:ascii="Verdana" w:hAnsi="Verdana" w:cs="Arial"/>
          <w:color w:val="000000"/>
          <w:sz w:val="16"/>
          <w:szCs w:val="16"/>
          <w:lang w:val="es-CO"/>
        </w:rPr>
      </w:pPr>
      <w:r w:rsidRPr="00A41881">
        <w:rPr>
          <w:rFonts w:ascii="Verdana" w:hAnsi="Verdana" w:cs="Arial"/>
          <w:color w:val="000000"/>
          <w:sz w:val="16"/>
          <w:szCs w:val="16"/>
        </w:rPr>
        <w:t xml:space="preserve"> </w:t>
      </w:r>
    </w:p>
  </w:footnote>
  <w:footnote w:id="9">
    <w:p w14:paraId="1A3B1839" w14:textId="77777777" w:rsidR="001A6E24" w:rsidRPr="00A41881" w:rsidRDefault="001A6E24" w:rsidP="006C76BE">
      <w:pPr>
        <w:pStyle w:val="NormalWeb"/>
        <w:spacing w:before="0" w:beforeAutospacing="0" w:after="0" w:afterAutospacing="0"/>
        <w:ind w:firstLine="720"/>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Ley 80 de 1993 “</w:t>
      </w:r>
      <w:r w:rsidRPr="00A41881">
        <w:rPr>
          <w:rStyle w:val="Textoennegrita"/>
          <w:rFonts w:ascii="Verdana" w:hAnsi="Verdana" w:cs="Arial"/>
          <w:color w:val="000000"/>
          <w:sz w:val="16"/>
          <w:szCs w:val="16"/>
        </w:rPr>
        <w:t>Articulo 39. De la forma del contrato estatal. </w:t>
      </w:r>
      <w:r w:rsidRPr="00A41881">
        <w:rPr>
          <w:rFonts w:ascii="Verdana" w:hAnsi="Verdana" w:cs="Arial"/>
          <w:color w:val="000000"/>
          <w:sz w:val="16"/>
          <w:szCs w:val="16"/>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681D1247" w14:textId="77777777" w:rsidR="001A6E24" w:rsidRPr="00A41881" w:rsidRDefault="001A6E24" w:rsidP="006C76BE">
      <w:pPr>
        <w:pStyle w:val="NormalWeb"/>
        <w:spacing w:before="0" w:beforeAutospacing="0" w:after="0" w:afterAutospacing="0"/>
        <w:jc w:val="both"/>
        <w:rPr>
          <w:rFonts w:ascii="Verdana" w:hAnsi="Verdana" w:cs="Arial"/>
          <w:color w:val="000000"/>
          <w:sz w:val="16"/>
          <w:szCs w:val="16"/>
        </w:rPr>
      </w:pPr>
      <w:r w:rsidRPr="00A41881">
        <w:rPr>
          <w:rFonts w:ascii="Verdana" w:hAnsi="Verdana" w:cs="Arial"/>
          <w:color w:val="000000"/>
          <w:sz w:val="16"/>
          <w:szCs w:val="16"/>
        </w:rPr>
        <w:t>  </w:t>
      </w:r>
      <w:r w:rsidRPr="00A41881">
        <w:rPr>
          <w:rFonts w:ascii="Verdana" w:hAnsi="Verdana" w:cs="Arial"/>
          <w:color w:val="000000"/>
          <w:sz w:val="16"/>
          <w:szCs w:val="16"/>
        </w:rPr>
        <w:tab/>
        <w:t>[…]</w:t>
      </w:r>
      <w:bookmarkStart w:id="4" w:name="ver_1790147"/>
      <w:bookmarkStart w:id="5" w:name="ver_30220791"/>
      <w:bookmarkStart w:id="6" w:name="ver_1790148"/>
      <w:bookmarkEnd w:id="4"/>
      <w:bookmarkEnd w:id="5"/>
    </w:p>
    <w:p w14:paraId="3E532A40" w14:textId="77777777" w:rsidR="001A6E24" w:rsidRPr="00A41881" w:rsidRDefault="001A6E24" w:rsidP="006C76BE">
      <w:pPr>
        <w:pStyle w:val="NormalWeb"/>
        <w:spacing w:before="0" w:beforeAutospacing="0" w:after="0" w:afterAutospacing="0"/>
        <w:ind w:firstLine="720"/>
        <w:jc w:val="both"/>
        <w:rPr>
          <w:rFonts w:ascii="Verdana" w:hAnsi="Verdana" w:cs="Arial"/>
          <w:color w:val="000000"/>
          <w:sz w:val="16"/>
          <w:szCs w:val="16"/>
        </w:rPr>
      </w:pPr>
      <w:r w:rsidRPr="00A41881">
        <w:rPr>
          <w:rStyle w:val="Textoennegrita"/>
          <w:rFonts w:ascii="Verdana" w:hAnsi="Verdana" w:cs="Arial"/>
          <w:color w:val="000000"/>
          <w:sz w:val="16"/>
          <w:szCs w:val="16"/>
        </w:rPr>
        <w:t>Artículo 40. Del contenido del contrato estatal.</w:t>
      </w:r>
      <w:r w:rsidRPr="00A41881">
        <w:rPr>
          <w:rFonts w:ascii="Verdana" w:hAnsi="Verdana" w:cs="Arial"/>
          <w:color w:val="000000"/>
          <w:sz w:val="16"/>
          <w:szCs w:val="16"/>
        </w:rPr>
        <w:t> Las estipulaciones de los contratos serán las que de acuerdo con las normas civiles, comerciales y las previstas en esta ley, correspondan a su esencia y naturaleza. </w:t>
      </w:r>
    </w:p>
    <w:p w14:paraId="1788A7C7" w14:textId="77777777" w:rsidR="001A6E24" w:rsidRPr="00A41881" w:rsidRDefault="001A6E24" w:rsidP="006C76BE">
      <w:pPr>
        <w:pStyle w:val="NormalWeb"/>
        <w:spacing w:before="0" w:beforeAutospacing="0" w:after="0" w:afterAutospacing="0"/>
        <w:ind w:firstLine="720"/>
        <w:jc w:val="both"/>
        <w:rPr>
          <w:rFonts w:ascii="Verdana" w:hAnsi="Verdana" w:cs="Arial"/>
          <w:color w:val="000000"/>
          <w:sz w:val="16"/>
          <w:szCs w:val="16"/>
        </w:rPr>
      </w:pPr>
      <w:r w:rsidRPr="00A41881">
        <w:rPr>
          <w:rFonts w:ascii="Verdana" w:hAnsi="Verdana" w:cs="Arial"/>
          <w:color w:val="000000"/>
          <w:sz w:val="16"/>
          <w:szCs w:val="16"/>
        </w:rPr>
        <w:t>Las entidades podrán celebrar los contratos y acuerdos que permitan la autonomía de la voluntad y requieran el cumplimiento de los fines estatales. </w:t>
      </w:r>
    </w:p>
    <w:p w14:paraId="70993E8E" w14:textId="77777777" w:rsidR="001A6E24" w:rsidRPr="00A41881" w:rsidRDefault="001A6E24" w:rsidP="006C76BE">
      <w:pPr>
        <w:pStyle w:val="NormalWeb"/>
        <w:spacing w:before="0" w:beforeAutospacing="0" w:after="0" w:afterAutospacing="0"/>
        <w:jc w:val="both"/>
        <w:rPr>
          <w:rFonts w:ascii="Verdana" w:hAnsi="Verdana" w:cs="Arial"/>
          <w:color w:val="000000"/>
          <w:sz w:val="16"/>
          <w:szCs w:val="16"/>
        </w:rPr>
      </w:pPr>
      <w:r w:rsidRPr="00A41881">
        <w:rPr>
          <w:rFonts w:ascii="Verdana" w:hAnsi="Verdana" w:cs="Arial"/>
          <w:color w:val="000000"/>
          <w:sz w:val="16"/>
          <w:szCs w:val="16"/>
        </w:rPr>
        <w:t>  </w:t>
      </w:r>
      <w:r w:rsidRPr="00A41881">
        <w:rPr>
          <w:rFonts w:ascii="Verdana" w:hAnsi="Verdana" w:cs="Arial"/>
          <w:color w:val="000000"/>
          <w:sz w:val="16"/>
          <w:szCs w:val="16"/>
        </w:rPr>
        <w:tab/>
        <w:t>[…]  </w:t>
      </w:r>
    </w:p>
    <w:p w14:paraId="4201AF71" w14:textId="77777777" w:rsidR="001A6E24" w:rsidRPr="00A41881" w:rsidRDefault="001A6E24" w:rsidP="006C76BE">
      <w:pPr>
        <w:pStyle w:val="NormalWeb"/>
        <w:spacing w:before="0" w:beforeAutospacing="0" w:after="0" w:afterAutospacing="0"/>
        <w:ind w:firstLine="720"/>
        <w:jc w:val="both"/>
        <w:rPr>
          <w:rFonts w:ascii="Verdana" w:hAnsi="Verdana" w:cs="Arial"/>
          <w:color w:val="000000"/>
          <w:sz w:val="16"/>
          <w:szCs w:val="16"/>
        </w:rPr>
      </w:pPr>
      <w:bookmarkStart w:id="7" w:name="ver_30161420"/>
      <w:bookmarkStart w:id="8" w:name="ver_1790149"/>
      <w:bookmarkStart w:id="9" w:name="ver_30161408"/>
      <w:bookmarkStart w:id="10" w:name="ver_30161443"/>
      <w:bookmarkEnd w:id="6"/>
      <w:bookmarkEnd w:id="7"/>
      <w:bookmarkEnd w:id="8"/>
      <w:bookmarkEnd w:id="9"/>
      <w:bookmarkEnd w:id="10"/>
      <w:r w:rsidRPr="00A41881">
        <w:rPr>
          <w:rStyle w:val="Textoennegrita"/>
          <w:rFonts w:ascii="Verdana" w:hAnsi="Verdana" w:cs="Arial"/>
          <w:color w:val="000000"/>
          <w:sz w:val="16"/>
          <w:szCs w:val="16"/>
        </w:rPr>
        <w:t>Artículo 41. Del perfeccionamiento del contrato.</w:t>
      </w:r>
      <w:r w:rsidRPr="00A41881">
        <w:rPr>
          <w:rFonts w:ascii="Verdana" w:hAnsi="Verdana" w:cs="Arial"/>
          <w:color w:val="000000"/>
          <w:sz w:val="16"/>
          <w:szCs w:val="16"/>
        </w:rPr>
        <w:t> Los contratos del Estado se perfeccionan cuando se logre acuerdo sobre el objeto y la contraprestación y éste se eleve a escrito […]”.</w:t>
      </w:r>
    </w:p>
  </w:footnote>
  <w:footnote w:id="10">
    <w:p w14:paraId="55B46495" w14:textId="77777777" w:rsidR="001A6E24" w:rsidRPr="00A41881" w:rsidRDefault="001A6E24" w:rsidP="00A41881">
      <w:pPr>
        <w:pStyle w:val="Textonotapie"/>
        <w:ind w:firstLine="709"/>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Ley 80 de 1993 “</w:t>
      </w:r>
      <w:r w:rsidRPr="00A41881">
        <w:rPr>
          <w:rStyle w:val="Textoennegrita"/>
          <w:rFonts w:ascii="Verdana" w:hAnsi="Verdana" w:cs="Arial"/>
          <w:color w:val="000000"/>
          <w:sz w:val="16"/>
          <w:szCs w:val="16"/>
        </w:rPr>
        <w:t>Artículo 77. De la normatividad aplicable en las actuaciones administrativas.</w:t>
      </w:r>
      <w:r w:rsidRPr="00A41881">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1">
    <w:p w14:paraId="04837C81" w14:textId="77777777" w:rsidR="001A6E24" w:rsidRPr="00A41881" w:rsidRDefault="001A6E24" w:rsidP="006C76BE">
      <w:pPr>
        <w:pStyle w:val="NormalWeb"/>
        <w:spacing w:before="0" w:beforeAutospacing="0" w:after="0" w:afterAutospacing="0"/>
        <w:ind w:firstLine="709"/>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Ley 80 de 1993 “</w:t>
      </w:r>
      <w:r w:rsidRPr="00A41881">
        <w:rPr>
          <w:rStyle w:val="Textoennegrita"/>
          <w:rFonts w:ascii="Verdana" w:hAnsi="Verdana" w:cs="Arial"/>
          <w:color w:val="000000"/>
          <w:sz w:val="16"/>
          <w:szCs w:val="16"/>
        </w:rPr>
        <w:t>Artículo 25. Del principio de economía.</w:t>
      </w:r>
      <w:r w:rsidRPr="00A41881">
        <w:rPr>
          <w:rFonts w:ascii="Verdana" w:hAnsi="Verdana" w:cs="Arial"/>
          <w:color w:val="000000"/>
          <w:sz w:val="16"/>
          <w:szCs w:val="16"/>
        </w:rPr>
        <w:t> En virtud de este principio: </w:t>
      </w:r>
    </w:p>
    <w:p w14:paraId="434C0235" w14:textId="77777777" w:rsidR="001A6E24" w:rsidRPr="00A41881" w:rsidRDefault="001A6E24" w:rsidP="006C76BE">
      <w:pPr>
        <w:pStyle w:val="NormalWeb"/>
        <w:spacing w:before="0" w:beforeAutospacing="0" w:after="0" w:afterAutospacing="0"/>
        <w:ind w:firstLine="709"/>
        <w:jc w:val="both"/>
        <w:rPr>
          <w:rFonts w:ascii="Verdana" w:hAnsi="Verdana" w:cs="Arial"/>
          <w:color w:val="000000"/>
          <w:sz w:val="16"/>
          <w:szCs w:val="16"/>
        </w:rPr>
      </w:pPr>
      <w:r w:rsidRPr="00A41881">
        <w:rPr>
          <w:rFonts w:ascii="Verdana" w:hAnsi="Verdana" w:cs="Arial"/>
          <w:color w:val="000000"/>
          <w:sz w:val="16"/>
          <w:szCs w:val="16"/>
        </w:rPr>
        <w:t>[…]</w:t>
      </w:r>
    </w:p>
    <w:p w14:paraId="55FD7E93" w14:textId="77777777" w:rsidR="001A6E24" w:rsidRPr="00A41881" w:rsidRDefault="001A6E24" w:rsidP="006C76BE">
      <w:pPr>
        <w:pStyle w:val="NormalWeb"/>
        <w:spacing w:before="0" w:beforeAutospacing="0" w:after="0" w:afterAutospacing="0"/>
        <w:ind w:firstLine="709"/>
        <w:jc w:val="both"/>
        <w:rPr>
          <w:rFonts w:ascii="Verdana" w:hAnsi="Verdana" w:cs="Arial"/>
          <w:color w:val="000000"/>
          <w:sz w:val="16"/>
          <w:szCs w:val="16"/>
        </w:rPr>
      </w:pPr>
      <w:r w:rsidRPr="00A41881">
        <w:rPr>
          <w:rFonts w:ascii="Verdana" w:hAnsi="Verdana" w:cs="Arial"/>
          <w:color w:val="000000"/>
          <w:sz w:val="16"/>
          <w:szCs w:val="16"/>
        </w:rPr>
        <w:t>4o. Los trámites se adelantarán con austeridad de tiempo, medios y gastos y se impedirán las dilaciones y los retardos en la ejecución del contrato. </w:t>
      </w:r>
    </w:p>
    <w:p w14:paraId="78EDA6A4" w14:textId="77777777" w:rsidR="001A6E24" w:rsidRPr="00A41881" w:rsidRDefault="001A6E24" w:rsidP="006C76BE">
      <w:pPr>
        <w:pStyle w:val="NormalWeb"/>
        <w:spacing w:before="0" w:beforeAutospacing="0" w:after="0" w:afterAutospacing="0"/>
        <w:jc w:val="both"/>
        <w:rPr>
          <w:rFonts w:ascii="Verdana" w:hAnsi="Verdana" w:cs="Arial"/>
          <w:color w:val="000000"/>
          <w:sz w:val="16"/>
          <w:szCs w:val="16"/>
        </w:rPr>
      </w:pPr>
      <w:r w:rsidRPr="00A41881">
        <w:rPr>
          <w:rFonts w:ascii="Verdana" w:hAnsi="Verdana" w:cs="Arial"/>
          <w:color w:val="000000"/>
          <w:sz w:val="16"/>
          <w:szCs w:val="16"/>
        </w:rPr>
        <w:t>  </w:t>
      </w:r>
      <w:r w:rsidRPr="00A41881">
        <w:rPr>
          <w:rFonts w:ascii="Verdana" w:hAnsi="Verdana" w:cs="Arial"/>
          <w:color w:val="000000"/>
          <w:sz w:val="16"/>
          <w:szCs w:val="16"/>
        </w:rPr>
        <w:tab/>
        <w:t>5o. Se adoptarán procedimientos que garanticen la pronta solución de las diferencias y controversias que con motivo de la celebración y ejecución del contrato se presenten […]”.</w:t>
      </w:r>
    </w:p>
  </w:footnote>
  <w:footnote w:id="12">
    <w:p w14:paraId="501EC83B" w14:textId="77777777" w:rsidR="001A6E24" w:rsidRPr="00A41881" w:rsidRDefault="001A6E24" w:rsidP="00A41881">
      <w:pPr>
        <w:pStyle w:val="Textonotapie"/>
        <w:ind w:firstLine="708"/>
        <w:jc w:val="both"/>
        <w:rPr>
          <w:rFonts w:ascii="Verdana" w:hAnsi="Verdana" w:cs="Arial"/>
          <w:color w:val="000000"/>
          <w:sz w:val="16"/>
          <w:szCs w:val="16"/>
          <w:lang w:val="es-ES"/>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COLOMBIA COMPRA EFICIENTE. Guía para la Liquidación de los Procesos de Contratación. página 5, disponible en: </w:t>
      </w:r>
      <w:hyperlink r:id="rId1" w:history="1">
        <w:r w:rsidRPr="00A41881">
          <w:rPr>
            <w:rStyle w:val="Hipervnculo"/>
            <w:rFonts w:ascii="Verdana" w:hAnsi="Verdana" w:cs="Arial"/>
            <w:sz w:val="16"/>
            <w:szCs w:val="16"/>
          </w:rPr>
          <w:t xml:space="preserve">https://www.colombiacompra.gov.co/sites/cce_public/files/cce_documents/cce_guia_liquidacion_procesos.pdf  </w:t>
        </w:r>
      </w:hyperlink>
    </w:p>
  </w:footnote>
  <w:footnote w:id="13">
    <w:p w14:paraId="47F45394" w14:textId="77777777" w:rsidR="001A6E24" w:rsidRPr="00A41881" w:rsidRDefault="001A6E24" w:rsidP="00A41881">
      <w:pPr>
        <w:pStyle w:val="Textonotapie"/>
        <w:ind w:firstLine="708"/>
        <w:jc w:val="both"/>
        <w:rPr>
          <w:rFonts w:ascii="Verdana" w:hAnsi="Verdana" w:cs="Arial"/>
          <w:color w:val="000000"/>
          <w:sz w:val="16"/>
          <w:szCs w:val="16"/>
        </w:rPr>
      </w:pPr>
      <w:r w:rsidRPr="00A41881">
        <w:rPr>
          <w:rStyle w:val="Refdenotaalpie"/>
          <w:rFonts w:ascii="Verdana" w:hAnsi="Verdana" w:cs="Arial"/>
          <w:color w:val="000000"/>
          <w:sz w:val="16"/>
          <w:szCs w:val="16"/>
        </w:rPr>
        <w:footnoteRef/>
      </w:r>
      <w:r w:rsidRPr="00A41881">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4">
    <w:p w14:paraId="03372DEF" w14:textId="77777777" w:rsidR="001A6E24" w:rsidRPr="00A41881" w:rsidRDefault="001A6E24" w:rsidP="00A41881">
      <w:pPr>
        <w:pStyle w:val="Textonotapie"/>
        <w:ind w:firstLine="709"/>
        <w:jc w:val="both"/>
        <w:rPr>
          <w:rFonts w:ascii="Verdana" w:hAnsi="Verdana"/>
          <w:sz w:val="16"/>
          <w:szCs w:val="16"/>
          <w:lang w:val="es-CO"/>
        </w:rPr>
      </w:pPr>
      <w:r w:rsidRPr="006C76BE">
        <w:rPr>
          <w:rStyle w:val="Refdenotaalpie"/>
          <w:rFonts w:ascii="Verdana" w:hAnsi="Verdana"/>
          <w:sz w:val="16"/>
          <w:szCs w:val="16"/>
        </w:rPr>
        <w:footnoteRef/>
      </w:r>
      <w:r w:rsidRPr="006C76BE">
        <w:rPr>
          <w:rFonts w:ascii="Verdana" w:hAnsi="Verdana"/>
          <w:sz w:val="16"/>
          <w:szCs w:val="16"/>
        </w:rPr>
        <w:t xml:space="preserve"> </w:t>
      </w:r>
      <w:r w:rsidRPr="00A41881">
        <w:rPr>
          <w:rFonts w:ascii="Verdana" w:hAnsi="Verdana"/>
          <w:sz w:val="16"/>
          <w:szCs w:val="16"/>
        </w:rPr>
        <w:t>Conceptos C-494 del 17 de septiembre de 2021, C-759 del 11 de noviembre de 2022.</w:t>
      </w:r>
    </w:p>
  </w:footnote>
  <w:footnote w:id="15">
    <w:p w14:paraId="76E9E324" w14:textId="77777777" w:rsidR="001A6E24" w:rsidRPr="006C76BE" w:rsidRDefault="001A6E24" w:rsidP="00A41881">
      <w:pPr>
        <w:pStyle w:val="Textonotapie"/>
        <w:ind w:firstLine="709"/>
        <w:jc w:val="both"/>
        <w:rPr>
          <w:rFonts w:ascii="Verdana" w:hAnsi="Verdana"/>
          <w:sz w:val="16"/>
          <w:szCs w:val="16"/>
          <w:lang w:val="es-CO"/>
        </w:rPr>
      </w:pPr>
      <w:r w:rsidRPr="006C76BE">
        <w:rPr>
          <w:rStyle w:val="Refdenotaalpie"/>
          <w:rFonts w:ascii="Verdana" w:hAnsi="Verdana"/>
          <w:sz w:val="16"/>
          <w:szCs w:val="16"/>
        </w:rPr>
        <w:footnoteRef/>
      </w:r>
      <w:r w:rsidRPr="006C76BE">
        <w:rPr>
          <w:rFonts w:ascii="Verdana" w:hAnsi="Verdana"/>
          <w:sz w:val="16"/>
          <w:szCs w:val="16"/>
        </w:rPr>
        <w:t xml:space="preserve"> </w:t>
      </w:r>
      <w:r w:rsidRPr="00A41881">
        <w:rPr>
          <w:rFonts w:ascii="Verdana" w:hAnsi="Verdana" w:cs="Arial"/>
          <w:color w:val="000000"/>
          <w:sz w:val="16"/>
          <w:szCs w:val="16"/>
        </w:rPr>
        <w:t>Sección Tercera, Subsección A, Sentencia del 20 de mayo de 2024, radicado No. 58.879, Consejera Ponente: María Adriana Marín.</w:t>
      </w:r>
    </w:p>
  </w:footnote>
  <w:footnote w:id="16">
    <w:p w14:paraId="05BBDA90" w14:textId="77777777" w:rsidR="001A6E24" w:rsidRPr="006C76BE" w:rsidRDefault="001A6E24" w:rsidP="006C76BE">
      <w:pPr>
        <w:spacing w:after="0" w:line="240" w:lineRule="auto"/>
        <w:ind w:firstLine="709"/>
        <w:jc w:val="both"/>
        <w:rPr>
          <w:rFonts w:ascii="Verdana" w:hAnsi="Verdana" w:cs="Arial"/>
          <w:color w:val="201F1E"/>
          <w:sz w:val="16"/>
          <w:szCs w:val="16"/>
          <w:bdr w:val="none" w:sz="0" w:space="0" w:color="auto" w:frame="1"/>
          <w:lang w:val="es-ES" w:eastAsia="es-CO"/>
        </w:rPr>
      </w:pPr>
      <w:r w:rsidRPr="006C76BE">
        <w:rPr>
          <w:rStyle w:val="Refdenotaalpie"/>
          <w:rFonts w:ascii="Verdana" w:hAnsi="Verdana" w:cs="Arial"/>
          <w:sz w:val="16"/>
          <w:szCs w:val="16"/>
        </w:rPr>
        <w:footnoteRef/>
      </w:r>
      <w:r w:rsidRPr="006C76BE">
        <w:rPr>
          <w:rFonts w:ascii="Verdana" w:hAnsi="Verdana" w:cs="Arial"/>
          <w:sz w:val="16"/>
          <w:szCs w:val="16"/>
        </w:rPr>
        <w:t xml:space="preserve"> </w:t>
      </w:r>
      <w:r w:rsidRPr="00A41881">
        <w:rPr>
          <w:rFonts w:ascii="Verdana" w:hAnsi="Verdana" w:cs="Arial"/>
          <w:sz w:val="16"/>
          <w:szCs w:val="16"/>
        </w:rPr>
        <w:t>L</w:t>
      </w:r>
      <w:r w:rsidRPr="00A41881">
        <w:rPr>
          <w:rFonts w:ascii="Verdana" w:hAnsi="Verdana" w:cs="Arial"/>
          <w:sz w:val="16"/>
          <w:szCs w:val="16"/>
          <w:lang w:val="es-ES"/>
        </w:rPr>
        <w:t xml:space="preserve">a liquidación del contrato también ha sido considerada por la doctrina como un procedimiento y un mecanismo de solución de controversias. En este sentido, véase: Samuel Yong Serrano, </w:t>
      </w:r>
      <w:r w:rsidRPr="00A41881">
        <w:rPr>
          <w:rFonts w:ascii="Verdana" w:hAnsi="Verdana" w:cs="Arial"/>
          <w:i/>
          <w:iCs/>
          <w:sz w:val="16"/>
          <w:szCs w:val="16"/>
          <w:lang w:val="es-ES"/>
        </w:rPr>
        <w:t>El contrato estatal en el contexto de la nueva legislación</w:t>
      </w:r>
      <w:r w:rsidRPr="00A41881">
        <w:rPr>
          <w:rFonts w:ascii="Verdana" w:hAnsi="Verdana" w:cs="Arial"/>
          <w:sz w:val="16"/>
          <w:szCs w:val="16"/>
          <w:lang w:val="es-ES"/>
        </w:rPr>
        <w:t xml:space="preserve">, 4ª ed., Grupo editorial Ibáñez, Bogotá, 2015, p. 298; </w:t>
      </w:r>
      <w:r w:rsidRPr="00A41881">
        <w:rPr>
          <w:rFonts w:ascii="Verdana" w:hAnsi="Verdana" w:cs="Arial"/>
          <w:sz w:val="16"/>
          <w:szCs w:val="16"/>
          <w:lang w:val="es-ES_tradnl"/>
        </w:rPr>
        <w:t xml:space="preserve">Francisco Cuello Duarte, </w:t>
      </w:r>
      <w:r w:rsidRPr="00A41881">
        <w:rPr>
          <w:rFonts w:ascii="Verdana" w:hAnsi="Verdana" w:cs="Arial"/>
          <w:i/>
          <w:iCs/>
          <w:sz w:val="16"/>
          <w:szCs w:val="16"/>
          <w:lang w:val="es-ES_tradnl"/>
        </w:rPr>
        <w:t xml:space="preserve">Contratos de la administración Pública, </w:t>
      </w:r>
      <w:r w:rsidRPr="00A41881">
        <w:rPr>
          <w:rFonts w:ascii="Verdana" w:hAnsi="Verdana" w:cs="Arial"/>
          <w:sz w:val="16"/>
          <w:szCs w:val="16"/>
          <w:lang w:val="es-ES_tradnl"/>
        </w:rPr>
        <w:t xml:space="preserve">Tercera edición. Ecoe Ediciones, Bogotá, 2009, p. 270; Aída Patricia Hernández Silva, «La liquidación del contrato estatal», </w:t>
      </w:r>
      <w:r w:rsidRPr="00A41881">
        <w:rPr>
          <w:rFonts w:ascii="Verdana" w:hAnsi="Verdana" w:cs="Arial"/>
          <w:i/>
          <w:iCs/>
          <w:sz w:val="16"/>
          <w:szCs w:val="16"/>
          <w:lang w:val="es-ES_tradnl"/>
        </w:rPr>
        <w:t>en Revista digital de Derecho administrativo</w:t>
      </w:r>
      <w:r w:rsidRPr="00A41881">
        <w:rPr>
          <w:rFonts w:ascii="Verdana" w:hAnsi="Verdana" w:cs="Arial"/>
          <w:sz w:val="16"/>
          <w:szCs w:val="16"/>
          <w:lang w:val="es-ES_tradnl"/>
        </w:rPr>
        <w:t xml:space="preserve">, Universidad Externado, número 1. 2009, p. 1; Juan Ángel Palacio Hincapié, </w:t>
      </w:r>
      <w:r w:rsidRPr="00A41881">
        <w:rPr>
          <w:rFonts w:ascii="Verdana" w:hAnsi="Verdana" w:cs="Arial"/>
          <w:i/>
          <w:iCs/>
          <w:sz w:val="16"/>
          <w:szCs w:val="16"/>
          <w:lang w:val="es-ES_tradnl"/>
        </w:rPr>
        <w:t>La contratación de las entidades estatales</w:t>
      </w:r>
      <w:r w:rsidRPr="00A41881">
        <w:rPr>
          <w:rFonts w:ascii="Verdana" w:hAnsi="Verdana" w:cs="Arial"/>
          <w:sz w:val="16"/>
          <w:szCs w:val="16"/>
          <w:lang w:val="es-ES_tradnl"/>
        </w:rPr>
        <w:t xml:space="preserve">, 5ª ed., Medellín, Librería Jurídica Sánchez, 2005, pp. 335, 338 y 339, y Juan Carlos Expósito Vélez, «La liquidación bilateral de los contratos estatales: un mecanismo alternativo de solución de conflictos», </w:t>
      </w:r>
      <w:r w:rsidRPr="00A41881">
        <w:rPr>
          <w:rFonts w:ascii="Verdana" w:hAnsi="Verdana" w:cs="Arial"/>
          <w:i/>
          <w:iCs/>
          <w:sz w:val="16"/>
          <w:szCs w:val="16"/>
          <w:lang w:val="es-ES_tradnl"/>
        </w:rPr>
        <w:t xml:space="preserve">en Revista digital de Derecho administrativo, </w:t>
      </w:r>
      <w:r w:rsidRPr="00A41881">
        <w:rPr>
          <w:rFonts w:ascii="Verdana" w:hAnsi="Verdana" w:cs="Arial"/>
          <w:sz w:val="16"/>
          <w:szCs w:val="16"/>
          <w:lang w:val="es-ES_tradnl"/>
        </w:rPr>
        <w:t>Universidad Externado, número 1. 2009.</w:t>
      </w:r>
    </w:p>
  </w:footnote>
  <w:footnote w:id="17">
    <w:p w14:paraId="12BC81E2" w14:textId="77777777" w:rsidR="001A6E24" w:rsidRPr="006C76BE" w:rsidRDefault="001A6E24" w:rsidP="00A41881">
      <w:pPr>
        <w:pStyle w:val="Textonotapie"/>
        <w:ind w:firstLine="709"/>
        <w:rPr>
          <w:rFonts w:ascii="Verdana" w:hAnsi="Verdana"/>
          <w:sz w:val="16"/>
          <w:szCs w:val="16"/>
          <w:lang w:val="es-CO"/>
        </w:rPr>
      </w:pPr>
      <w:r w:rsidRPr="006C76BE">
        <w:rPr>
          <w:rStyle w:val="Refdenotaalpie"/>
          <w:rFonts w:ascii="Verdana" w:hAnsi="Verdana"/>
          <w:sz w:val="16"/>
          <w:szCs w:val="16"/>
        </w:rPr>
        <w:footnoteRef/>
      </w:r>
      <w:r w:rsidRPr="006C76BE">
        <w:rPr>
          <w:rFonts w:ascii="Verdana" w:hAnsi="Verdana"/>
          <w:sz w:val="16"/>
          <w:szCs w:val="16"/>
        </w:rPr>
        <w:t xml:space="preserve"> </w:t>
      </w:r>
      <w:r w:rsidRPr="00A41881">
        <w:rPr>
          <w:rFonts w:ascii="Verdana" w:hAnsi="Verdana"/>
          <w:sz w:val="16"/>
          <w:szCs w:val="16"/>
        </w:rPr>
        <w:t xml:space="preserve">Consejo de Estado, </w:t>
      </w:r>
      <w:r w:rsidRPr="00A41881">
        <w:rPr>
          <w:rFonts w:ascii="Verdana" w:hAnsi="Verdana" w:cs="Arial"/>
          <w:color w:val="000000"/>
          <w:sz w:val="16"/>
          <w:szCs w:val="16"/>
        </w:rPr>
        <w:t>Sección Tercera, Subsección B, Sentencia del 7 de febrero de 2025, radicado No. 71.036 Consejera Ponente: Fredy Ibarra Martínez.</w:t>
      </w:r>
    </w:p>
  </w:footnote>
  <w:footnote w:id="18">
    <w:p w14:paraId="64CF7E16" w14:textId="77777777" w:rsidR="001A6E24" w:rsidRPr="006C76BE" w:rsidRDefault="001A6E24" w:rsidP="00A41881">
      <w:pPr>
        <w:pStyle w:val="Textonotapie"/>
        <w:ind w:firstLine="709"/>
        <w:rPr>
          <w:rFonts w:ascii="Verdana" w:hAnsi="Verdana"/>
          <w:sz w:val="16"/>
          <w:szCs w:val="16"/>
          <w:lang w:val="es-CO"/>
        </w:rPr>
      </w:pPr>
      <w:r w:rsidRPr="006C76BE">
        <w:rPr>
          <w:rStyle w:val="Refdenotaalpie"/>
          <w:rFonts w:ascii="Verdana" w:hAnsi="Verdana"/>
          <w:sz w:val="16"/>
          <w:szCs w:val="16"/>
        </w:rPr>
        <w:footnoteRef/>
      </w:r>
      <w:r w:rsidRPr="006C76BE">
        <w:rPr>
          <w:rFonts w:ascii="Verdana" w:hAnsi="Verdana"/>
          <w:sz w:val="16"/>
          <w:szCs w:val="16"/>
        </w:rPr>
        <w:t xml:space="preserve"> </w:t>
      </w:r>
      <w:r w:rsidRPr="00A41881">
        <w:rPr>
          <w:rFonts w:ascii="Verdana" w:hAnsi="Verdana"/>
          <w:sz w:val="16"/>
          <w:szCs w:val="16"/>
        </w:rPr>
        <w:t xml:space="preserve">Consejo de Estado, </w:t>
      </w:r>
      <w:r w:rsidRPr="00A41881">
        <w:rPr>
          <w:rFonts w:ascii="Verdana" w:hAnsi="Verdana" w:cs="Arial"/>
          <w:color w:val="000000"/>
          <w:sz w:val="16"/>
          <w:szCs w:val="16"/>
        </w:rPr>
        <w:t>Sección Tercera, Subsección A, Sentencia del 20 de mayo de 2024, radicado No. 58.879, Consejera Ponente: María Adriana Marín.</w:t>
      </w:r>
    </w:p>
  </w:footnote>
  <w:footnote w:id="19">
    <w:p w14:paraId="0724FAAC" w14:textId="77777777" w:rsidR="001A6E24" w:rsidRPr="006C76BE" w:rsidRDefault="001A6E24" w:rsidP="00A41881">
      <w:pPr>
        <w:pStyle w:val="Textonotapie"/>
        <w:ind w:firstLine="709"/>
        <w:rPr>
          <w:rFonts w:ascii="Verdana" w:hAnsi="Verdana"/>
          <w:sz w:val="16"/>
          <w:szCs w:val="16"/>
          <w:lang w:val="es-CO"/>
        </w:rPr>
      </w:pPr>
      <w:r w:rsidRPr="006C76BE">
        <w:rPr>
          <w:rStyle w:val="Refdenotaalpie"/>
          <w:rFonts w:ascii="Verdana" w:hAnsi="Verdana"/>
          <w:sz w:val="16"/>
          <w:szCs w:val="16"/>
        </w:rPr>
        <w:footnoteRef/>
      </w:r>
      <w:r w:rsidRPr="006C76BE">
        <w:rPr>
          <w:rFonts w:ascii="Verdana" w:hAnsi="Verdana"/>
          <w:sz w:val="16"/>
          <w:szCs w:val="16"/>
        </w:rPr>
        <w:t xml:space="preserve"> </w:t>
      </w:r>
      <w:r w:rsidRPr="00A41881">
        <w:rPr>
          <w:rFonts w:ascii="Verdana" w:hAnsi="Verdana"/>
          <w:sz w:val="16"/>
          <w:szCs w:val="16"/>
        </w:rPr>
        <w:t xml:space="preserve">Consejo de Estado, Sala de Consulta Y servicio Civil, </w:t>
      </w:r>
      <w:r w:rsidRPr="00A41881">
        <w:rPr>
          <w:rFonts w:ascii="Verdana" w:hAnsi="Verdana" w:cs="Arial"/>
          <w:color w:val="000000"/>
          <w:sz w:val="16"/>
          <w:szCs w:val="16"/>
        </w:rPr>
        <w:t>Concepto del 18 de junio de 2016, radicado No. 2253, Consejero Ponente: Álvaro Namén Vargas</w:t>
      </w:r>
    </w:p>
  </w:footnote>
  <w:footnote w:id="20">
    <w:p w14:paraId="30B14272" w14:textId="77777777" w:rsidR="001A6E24" w:rsidRPr="006C76BE" w:rsidRDefault="001A6E24" w:rsidP="00A41881">
      <w:pPr>
        <w:pStyle w:val="Textonotapie"/>
        <w:ind w:firstLine="709"/>
        <w:rPr>
          <w:rFonts w:ascii="Verdana" w:hAnsi="Verdana"/>
          <w:sz w:val="16"/>
          <w:szCs w:val="16"/>
          <w:lang w:val="es-CO"/>
        </w:rPr>
      </w:pPr>
      <w:r w:rsidRPr="006C76BE">
        <w:rPr>
          <w:rStyle w:val="Refdenotaalpie"/>
          <w:rFonts w:ascii="Verdana" w:hAnsi="Verdana"/>
          <w:sz w:val="16"/>
          <w:szCs w:val="16"/>
        </w:rPr>
        <w:footnoteRef/>
      </w:r>
      <w:r w:rsidRPr="006C76BE">
        <w:rPr>
          <w:rFonts w:ascii="Verdana" w:hAnsi="Verdana"/>
          <w:sz w:val="16"/>
          <w:szCs w:val="16"/>
        </w:rPr>
        <w:t xml:space="preserve"> </w:t>
      </w:r>
      <w:r w:rsidRPr="00A41881">
        <w:rPr>
          <w:rFonts w:ascii="Verdana" w:hAnsi="Verdana"/>
          <w:sz w:val="16"/>
          <w:szCs w:val="16"/>
        </w:rPr>
        <w:t xml:space="preserve">Consejo de Estado, </w:t>
      </w:r>
      <w:r w:rsidRPr="00A41881">
        <w:rPr>
          <w:rFonts w:ascii="Verdana" w:hAnsi="Verdana" w:cs="Arial"/>
          <w:color w:val="000000"/>
          <w:sz w:val="16"/>
          <w:szCs w:val="16"/>
        </w:rPr>
        <w:t>Sección Tercera, Subsección A, Sentencia del 20 de mayo de 2024, radicado No. 58.879, Consejera Ponente: María Adriana Marín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97066348"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668150246" name="Imagen 1668150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1B13"/>
      </v:shape>
    </w:pict>
  </w:numPicBullet>
  <w:abstractNum w:abstractNumId="0" w15:restartNumberingAfterBreak="0">
    <w:nsid w:val="01C06310"/>
    <w:multiLevelType w:val="multilevel"/>
    <w:tmpl w:val="7F4ACBCC"/>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3D2"/>
    <w:rsid w:val="00016F78"/>
    <w:rsid w:val="00046945"/>
    <w:rsid w:val="0005493A"/>
    <w:rsid w:val="00061B2A"/>
    <w:rsid w:val="00082362"/>
    <w:rsid w:val="000A683E"/>
    <w:rsid w:val="000B19B9"/>
    <w:rsid w:val="000B3EC6"/>
    <w:rsid w:val="000D0334"/>
    <w:rsid w:val="000F1E3D"/>
    <w:rsid w:val="000F6486"/>
    <w:rsid w:val="00125105"/>
    <w:rsid w:val="00127233"/>
    <w:rsid w:val="00193334"/>
    <w:rsid w:val="001A6E24"/>
    <w:rsid w:val="001B4779"/>
    <w:rsid w:val="001E4177"/>
    <w:rsid w:val="001F7DC6"/>
    <w:rsid w:val="0021283D"/>
    <w:rsid w:val="002421BB"/>
    <w:rsid w:val="0025796E"/>
    <w:rsid w:val="002707A2"/>
    <w:rsid w:val="002951A0"/>
    <w:rsid w:val="002962BC"/>
    <w:rsid w:val="002A093D"/>
    <w:rsid w:val="002A0DD0"/>
    <w:rsid w:val="002A49AC"/>
    <w:rsid w:val="002A64FD"/>
    <w:rsid w:val="002C7A84"/>
    <w:rsid w:val="002E1AA0"/>
    <w:rsid w:val="002E4FD9"/>
    <w:rsid w:val="0031567B"/>
    <w:rsid w:val="00322A85"/>
    <w:rsid w:val="00324168"/>
    <w:rsid w:val="003448F4"/>
    <w:rsid w:val="003501B9"/>
    <w:rsid w:val="00362F95"/>
    <w:rsid w:val="00374F5E"/>
    <w:rsid w:val="00377E3E"/>
    <w:rsid w:val="003A779E"/>
    <w:rsid w:val="003D0F4D"/>
    <w:rsid w:val="003D5B0D"/>
    <w:rsid w:val="003E0499"/>
    <w:rsid w:val="003F3941"/>
    <w:rsid w:val="00406575"/>
    <w:rsid w:val="00414C74"/>
    <w:rsid w:val="0042722E"/>
    <w:rsid w:val="0044528D"/>
    <w:rsid w:val="00450BE4"/>
    <w:rsid w:val="00492FB6"/>
    <w:rsid w:val="004A1847"/>
    <w:rsid w:val="004A305D"/>
    <w:rsid w:val="004F21C4"/>
    <w:rsid w:val="004F685F"/>
    <w:rsid w:val="005566E8"/>
    <w:rsid w:val="00570511"/>
    <w:rsid w:val="00574867"/>
    <w:rsid w:val="00591460"/>
    <w:rsid w:val="005C3777"/>
    <w:rsid w:val="005C5CDC"/>
    <w:rsid w:val="005D476C"/>
    <w:rsid w:val="006219F8"/>
    <w:rsid w:val="006302F7"/>
    <w:rsid w:val="00646D00"/>
    <w:rsid w:val="00665D70"/>
    <w:rsid w:val="006900D9"/>
    <w:rsid w:val="006A7602"/>
    <w:rsid w:val="006A760C"/>
    <w:rsid w:val="006C76BE"/>
    <w:rsid w:val="006E57E0"/>
    <w:rsid w:val="00706C16"/>
    <w:rsid w:val="00724E94"/>
    <w:rsid w:val="00756841"/>
    <w:rsid w:val="007649AB"/>
    <w:rsid w:val="00771D0C"/>
    <w:rsid w:val="007833AC"/>
    <w:rsid w:val="00784BA1"/>
    <w:rsid w:val="007B268C"/>
    <w:rsid w:val="007B7171"/>
    <w:rsid w:val="007C0C0F"/>
    <w:rsid w:val="007C3936"/>
    <w:rsid w:val="007C3DC2"/>
    <w:rsid w:val="007E5497"/>
    <w:rsid w:val="007F64DC"/>
    <w:rsid w:val="00806F5F"/>
    <w:rsid w:val="00820278"/>
    <w:rsid w:val="00866EDD"/>
    <w:rsid w:val="00867F95"/>
    <w:rsid w:val="008843B6"/>
    <w:rsid w:val="00891928"/>
    <w:rsid w:val="00897A3A"/>
    <w:rsid w:val="008A446D"/>
    <w:rsid w:val="008D0F22"/>
    <w:rsid w:val="008D180B"/>
    <w:rsid w:val="008F0EA7"/>
    <w:rsid w:val="00923EEF"/>
    <w:rsid w:val="00933898"/>
    <w:rsid w:val="009419F9"/>
    <w:rsid w:val="0095685E"/>
    <w:rsid w:val="00961B09"/>
    <w:rsid w:val="00965334"/>
    <w:rsid w:val="0097093E"/>
    <w:rsid w:val="0097568E"/>
    <w:rsid w:val="00987292"/>
    <w:rsid w:val="009A0DFA"/>
    <w:rsid w:val="009A20AA"/>
    <w:rsid w:val="009B22CA"/>
    <w:rsid w:val="009B25A8"/>
    <w:rsid w:val="009B2D26"/>
    <w:rsid w:val="009C71FA"/>
    <w:rsid w:val="009C72E7"/>
    <w:rsid w:val="009D3058"/>
    <w:rsid w:val="009F08E8"/>
    <w:rsid w:val="009F3A13"/>
    <w:rsid w:val="00A122D3"/>
    <w:rsid w:val="00A13D5E"/>
    <w:rsid w:val="00A17F13"/>
    <w:rsid w:val="00A20739"/>
    <w:rsid w:val="00A31898"/>
    <w:rsid w:val="00A33C78"/>
    <w:rsid w:val="00A41881"/>
    <w:rsid w:val="00A834BC"/>
    <w:rsid w:val="00AB0ADB"/>
    <w:rsid w:val="00AD76D6"/>
    <w:rsid w:val="00B00C0E"/>
    <w:rsid w:val="00B01B1A"/>
    <w:rsid w:val="00B17FAF"/>
    <w:rsid w:val="00B44A47"/>
    <w:rsid w:val="00B44FC4"/>
    <w:rsid w:val="00B46DD5"/>
    <w:rsid w:val="00B62BB6"/>
    <w:rsid w:val="00B72CD3"/>
    <w:rsid w:val="00B72FFF"/>
    <w:rsid w:val="00B85C4D"/>
    <w:rsid w:val="00BC3D36"/>
    <w:rsid w:val="00BD7F72"/>
    <w:rsid w:val="00BF54C2"/>
    <w:rsid w:val="00C00B51"/>
    <w:rsid w:val="00C04FB3"/>
    <w:rsid w:val="00C330EB"/>
    <w:rsid w:val="00C3372B"/>
    <w:rsid w:val="00C518CE"/>
    <w:rsid w:val="00C754BE"/>
    <w:rsid w:val="00C76B1C"/>
    <w:rsid w:val="00C81A17"/>
    <w:rsid w:val="00CB6357"/>
    <w:rsid w:val="00CC1B26"/>
    <w:rsid w:val="00CC55F4"/>
    <w:rsid w:val="00CD1747"/>
    <w:rsid w:val="00CF7C9D"/>
    <w:rsid w:val="00D423A2"/>
    <w:rsid w:val="00D43155"/>
    <w:rsid w:val="00D520D8"/>
    <w:rsid w:val="00D63AC2"/>
    <w:rsid w:val="00D7383B"/>
    <w:rsid w:val="00D85FA2"/>
    <w:rsid w:val="00DA231B"/>
    <w:rsid w:val="00DC39FC"/>
    <w:rsid w:val="00DE0E19"/>
    <w:rsid w:val="00DF5254"/>
    <w:rsid w:val="00E16408"/>
    <w:rsid w:val="00E20894"/>
    <w:rsid w:val="00E245AB"/>
    <w:rsid w:val="00E2764C"/>
    <w:rsid w:val="00E27F2E"/>
    <w:rsid w:val="00E50AFE"/>
    <w:rsid w:val="00E51940"/>
    <w:rsid w:val="00E75C92"/>
    <w:rsid w:val="00E771DC"/>
    <w:rsid w:val="00E8772A"/>
    <w:rsid w:val="00E90F6B"/>
    <w:rsid w:val="00E92C27"/>
    <w:rsid w:val="00EA0E3D"/>
    <w:rsid w:val="00EC38A7"/>
    <w:rsid w:val="00EE1AA8"/>
    <w:rsid w:val="00F31EDC"/>
    <w:rsid w:val="00F462B3"/>
    <w:rsid w:val="00F5664F"/>
    <w:rsid w:val="00F666C4"/>
    <w:rsid w:val="00F76AFC"/>
    <w:rsid w:val="00F95B75"/>
    <w:rsid w:val="00FA47C0"/>
    <w:rsid w:val="00FA4A39"/>
    <w:rsid w:val="00FB17C4"/>
    <w:rsid w:val="00FB2722"/>
    <w:rsid w:val="00FB5DD1"/>
    <w:rsid w:val="00FC20D9"/>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3A3DCED-5CEE-4A58-9B38-BF87AA2C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1A6E24"/>
    <w:pPr>
      <w:spacing w:line="240" w:lineRule="exact"/>
    </w:pPr>
    <w:rPr>
      <w:vertAlign w:val="superscript"/>
    </w:rPr>
  </w:style>
  <w:style w:type="character" w:styleId="Textoennegrita">
    <w:name w:val="Strong"/>
    <w:basedOn w:val="Fuentedeprrafopredeter"/>
    <w:uiPriority w:val="22"/>
    <w:qFormat/>
    <w:rsid w:val="001A6E24"/>
    <w:rPr>
      <w:b/>
      <w:bCs/>
    </w:rPr>
  </w:style>
  <w:style w:type="character" w:styleId="nfasis">
    <w:name w:val="Emphasis"/>
    <w:basedOn w:val="Fuentedeprrafopredeter"/>
    <w:uiPriority w:val="20"/>
    <w:qFormat/>
    <w:rsid w:val="001A6E24"/>
    <w:rPr>
      <w:i/>
      <w:iCs/>
    </w:rPr>
  </w:style>
  <w:style w:type="character" w:customStyle="1" w:styleId="NormalWebCar">
    <w:name w:val="Normal (Web) Car"/>
    <w:link w:val="NormalWeb"/>
    <w:uiPriority w:val="99"/>
    <w:locked/>
    <w:rsid w:val="001A6E24"/>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F1E3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pqrsd/informacion-importante-antes-de-formular-una-pqrsd"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ventanilladeradicacion@colombiacompr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uriciorincon91@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s.office.com/r/pPHyWVs2SZ"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A8AD065-A4D3-4AF8-9F73-7DE72AA3DF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17</Pages>
  <Words>5352</Words>
  <Characters>28795</Characters>
  <Application>Microsoft Office Word</Application>
  <DocSecurity>0</DocSecurity>
  <Lines>575</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2025-11-24T21:03:00Z</dcterms:created>
  <dcterms:modified xsi:type="dcterms:W3CDTF">2025-11-25T15:21:00Z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