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882CD" w14:textId="77777777" w:rsidR="000B6298" w:rsidRDefault="000B6298" w:rsidP="000B6298">
      <w:pPr>
        <w:spacing w:before="100" w:beforeAutospacing="1" w:after="100" w:afterAutospacing="1" w:line="276" w:lineRule="auto"/>
        <w:jc w:val="both"/>
        <w:rPr>
          <w:rFonts w:ascii="Verdana" w:eastAsia="Times New Roman" w:hAnsi="Verdana" w:cs="Times New Roman"/>
          <w:b/>
          <w:bCs/>
          <w:lang w:eastAsia="es-MX"/>
        </w:rPr>
      </w:pPr>
      <w:bookmarkStart w:id="0" w:name="_Hlk143780582"/>
    </w:p>
    <w:p w14:paraId="70E8535B" w14:textId="49370004" w:rsidR="000B6298" w:rsidRDefault="000B6298" w:rsidP="000B6298">
      <w:pPr>
        <w:spacing w:before="100" w:beforeAutospacing="1" w:after="100" w:afterAutospacing="1" w:line="276" w:lineRule="auto"/>
        <w:jc w:val="both"/>
        <w:rPr>
          <w:rFonts w:ascii="Verdana" w:eastAsia="Times New Roman" w:hAnsi="Verdana" w:cs="Times New Roman"/>
          <w:lang w:eastAsia="es-MX"/>
        </w:rPr>
      </w:pPr>
      <w:r w:rsidRPr="000B6298">
        <w:rPr>
          <w:rFonts w:ascii="Verdana" w:eastAsia="Times New Roman" w:hAnsi="Verdana" w:cs="Times New Roman"/>
          <w:b/>
          <w:bCs/>
          <w:lang w:eastAsia="es-MX"/>
        </w:rPr>
        <w:t>MÍNIMA CUANTÍA – TÉRMINO DE UN DÍA HÁBIL</w:t>
      </w:r>
      <w:r w:rsidRPr="000B6298">
        <w:rPr>
          <w:rFonts w:ascii="Verdana" w:eastAsia="Times New Roman" w:hAnsi="Verdana" w:cs="Times New Roman"/>
          <w:lang w:eastAsia="es-MX"/>
        </w:rPr>
        <w:t xml:space="preserve"> </w:t>
      </w:r>
    </w:p>
    <w:p w14:paraId="414F14F5" w14:textId="2DAD6AD6" w:rsidR="000B6298" w:rsidRPr="000B6298" w:rsidRDefault="000B6298" w:rsidP="000B6298">
      <w:pPr>
        <w:spacing w:before="100" w:beforeAutospacing="1" w:after="100" w:afterAutospacing="1" w:line="276" w:lineRule="auto"/>
        <w:jc w:val="both"/>
        <w:rPr>
          <w:rFonts w:ascii="Verdana" w:eastAsia="Times New Roman" w:hAnsi="Verdana" w:cs="Times New Roman"/>
          <w:lang w:eastAsia="es-MX"/>
        </w:rPr>
      </w:pPr>
      <w:r w:rsidRPr="000B6298">
        <w:rPr>
          <w:rFonts w:ascii="Verdana" w:eastAsia="Times New Roman" w:hAnsi="Verdana" w:cs="Times New Roman"/>
          <w:lang w:eastAsia="es-MX"/>
        </w:rPr>
        <w:t>El término de "un (1) día hábil" para la publicación de la invitación y la presentación de ofertas en procesos de mínima cuantía (art. 2.2.1.2.1.5.2 del Decreto 1082 de 2015) se interpreta de dos formas según el medio utilizado. No se acepta la interpretación de 24 horas consecutivas fraccionadas entre dos días distintos (ej. de 3:00 p.m. a 3:00 p.m.), sino que los extremos del plazo deben estar dentro de un mismo día solar laborable .</w:t>
      </w:r>
    </w:p>
    <w:p w14:paraId="737A1610" w14:textId="77777777" w:rsidR="000B6298" w:rsidRDefault="000B6298" w:rsidP="000B6298">
      <w:pPr>
        <w:spacing w:before="100" w:beforeAutospacing="1" w:after="100" w:afterAutospacing="1" w:line="276" w:lineRule="auto"/>
        <w:jc w:val="both"/>
        <w:rPr>
          <w:rFonts w:ascii="Verdana" w:eastAsia="Times New Roman" w:hAnsi="Verdana" w:cs="Times New Roman"/>
          <w:lang w:eastAsia="es-MX"/>
        </w:rPr>
      </w:pPr>
      <w:r w:rsidRPr="000B6298">
        <w:rPr>
          <w:rFonts w:ascii="Verdana" w:eastAsia="Times New Roman" w:hAnsi="Verdana" w:cs="Times New Roman"/>
          <w:b/>
          <w:bCs/>
          <w:lang w:eastAsia="es-MX"/>
        </w:rPr>
        <w:t>DÍAS HÁBILES EN SECOP II</w:t>
      </w:r>
      <w:r w:rsidRPr="000B6298">
        <w:rPr>
          <w:rFonts w:ascii="Verdana" w:eastAsia="Times New Roman" w:hAnsi="Verdana" w:cs="Times New Roman"/>
          <w:lang w:eastAsia="es-MX"/>
        </w:rPr>
        <w:t xml:space="preserve"> </w:t>
      </w:r>
    </w:p>
    <w:p w14:paraId="11E3CF87" w14:textId="2346F036" w:rsidR="000B6298" w:rsidRPr="000B6298" w:rsidRDefault="000B6298" w:rsidP="000B6298">
      <w:pPr>
        <w:spacing w:before="100" w:beforeAutospacing="1" w:after="100" w:afterAutospacing="1" w:line="276" w:lineRule="auto"/>
        <w:jc w:val="both"/>
        <w:rPr>
          <w:rFonts w:ascii="Verdana" w:eastAsia="Times New Roman" w:hAnsi="Verdana" w:cs="Times New Roman"/>
          <w:lang w:eastAsia="es-MX"/>
        </w:rPr>
      </w:pPr>
      <w:r w:rsidRPr="000B6298">
        <w:rPr>
          <w:rFonts w:ascii="Verdana" w:eastAsia="Times New Roman" w:hAnsi="Verdana" w:cs="Times New Roman"/>
          <w:lang w:eastAsia="es-MX"/>
        </w:rPr>
        <w:t>Para las entidades que utilizan la plataforma transaccional SECOP II, el término debe comprender las veinticuatro (24) horas que conforman un día solar laborable completo (desde las 00:00 hasta las 23:59 horas). Esto se fundamenta en que la herramienta tecnológica permite la recepción de observaciones y ofertas de manera electrónica sin necesidad de presencia física de personal fuera de la jornada laboral.</w:t>
      </w:r>
    </w:p>
    <w:p w14:paraId="7C1FD220" w14:textId="77777777" w:rsidR="000B6298" w:rsidRDefault="000B6298" w:rsidP="000B6298">
      <w:pPr>
        <w:spacing w:before="100" w:beforeAutospacing="1" w:after="100" w:afterAutospacing="1" w:line="276" w:lineRule="auto"/>
        <w:jc w:val="both"/>
        <w:rPr>
          <w:rFonts w:ascii="Verdana" w:eastAsia="Times New Roman" w:hAnsi="Verdana" w:cs="Times New Roman"/>
          <w:lang w:eastAsia="es-MX"/>
        </w:rPr>
      </w:pPr>
      <w:r w:rsidRPr="000B6298">
        <w:rPr>
          <w:rFonts w:ascii="Verdana" w:eastAsia="Times New Roman" w:hAnsi="Verdana" w:cs="Times New Roman"/>
          <w:b/>
          <w:bCs/>
          <w:lang w:eastAsia="es-MX"/>
        </w:rPr>
        <w:t>DÍAS HÁBILES EN SECOP I O MEDIO FÍSICO</w:t>
      </w:r>
      <w:r w:rsidRPr="000B6298">
        <w:rPr>
          <w:rFonts w:ascii="Verdana" w:eastAsia="Times New Roman" w:hAnsi="Verdana" w:cs="Times New Roman"/>
          <w:lang w:eastAsia="es-MX"/>
        </w:rPr>
        <w:t xml:space="preserve"> </w:t>
      </w:r>
    </w:p>
    <w:p w14:paraId="6B9D1D52" w14:textId="1BD2AC11" w:rsidR="000B6298" w:rsidRPr="000B6298" w:rsidRDefault="000B6298" w:rsidP="000B6298">
      <w:pPr>
        <w:spacing w:before="100" w:beforeAutospacing="1" w:after="100" w:afterAutospacing="1" w:line="276" w:lineRule="auto"/>
        <w:jc w:val="both"/>
        <w:rPr>
          <w:rFonts w:ascii="Verdana" w:eastAsia="Times New Roman" w:hAnsi="Verdana" w:cs="Times New Roman"/>
          <w:lang w:eastAsia="es-MX"/>
        </w:rPr>
      </w:pPr>
      <w:r w:rsidRPr="000B6298">
        <w:rPr>
          <w:rFonts w:ascii="Verdana" w:eastAsia="Times New Roman" w:hAnsi="Verdana" w:cs="Times New Roman"/>
          <w:lang w:eastAsia="es-MX"/>
        </w:rPr>
        <w:t>Para las entidades que aún utilizan SECOP I o reciben observaciones/ofertas en medio físico, basta con habilitar la recepción durante el lapso correspondiente a la jornada laboral diaria de la entidad (ej. horario de atención al público). Esto obedece a la limitante práctica de requerir personal disponible en las instalaciones para radicar los documentos.</w:t>
      </w:r>
    </w:p>
    <w:p w14:paraId="37664532" w14:textId="77777777" w:rsidR="000B6298" w:rsidRDefault="000B6298" w:rsidP="000B6298">
      <w:pPr>
        <w:spacing w:before="100" w:beforeAutospacing="1" w:after="100" w:afterAutospacing="1" w:line="276" w:lineRule="auto"/>
        <w:jc w:val="both"/>
        <w:rPr>
          <w:rFonts w:ascii="Verdana" w:eastAsia="Times New Roman" w:hAnsi="Verdana" w:cs="Times New Roman"/>
          <w:lang w:eastAsia="es-MX"/>
        </w:rPr>
      </w:pPr>
      <w:r w:rsidRPr="000B6298">
        <w:rPr>
          <w:rFonts w:ascii="Verdana" w:eastAsia="Times New Roman" w:hAnsi="Verdana" w:cs="Times New Roman"/>
          <w:b/>
          <w:bCs/>
          <w:lang w:eastAsia="es-MX"/>
        </w:rPr>
        <w:t>DEFINICIÓN SUPLETORIA DE DÍA HÁBIL</w:t>
      </w:r>
      <w:r w:rsidRPr="000B6298">
        <w:rPr>
          <w:rFonts w:ascii="Verdana" w:eastAsia="Times New Roman" w:hAnsi="Verdana" w:cs="Times New Roman"/>
          <w:lang w:eastAsia="es-MX"/>
        </w:rPr>
        <w:t xml:space="preserve"> </w:t>
      </w:r>
    </w:p>
    <w:p w14:paraId="057AC43C" w14:textId="6BCD208A" w:rsidR="000B6298" w:rsidRPr="000B6298" w:rsidRDefault="000B6298" w:rsidP="000B6298">
      <w:pPr>
        <w:spacing w:before="100" w:beforeAutospacing="1" w:after="100" w:afterAutospacing="1" w:line="276" w:lineRule="auto"/>
        <w:jc w:val="both"/>
        <w:rPr>
          <w:rFonts w:ascii="Verdana" w:eastAsia="Times New Roman" w:hAnsi="Verdana" w:cs="Times New Roman"/>
          <w:lang w:eastAsia="es-MX"/>
        </w:rPr>
      </w:pPr>
      <w:r w:rsidRPr="000B6298">
        <w:rPr>
          <w:rFonts w:ascii="Verdana" w:eastAsia="Times New Roman" w:hAnsi="Verdana" w:cs="Times New Roman"/>
          <w:lang w:eastAsia="es-MX"/>
        </w:rPr>
        <w:t>Ante la ausencia de una definición legal unívoca, se acude a los artículos 59 y 62 de la Ley 4 de 1913 y a la jurisprudencia del Consejo de Estado. Se entiende por días hábiles aquellos laborables (excluyendo feriados y vacantes) en los que hay "Despacho Público" o funcionamiento de las oficinas, según el reglamento interno de cada entidad.</w:t>
      </w:r>
    </w:p>
    <w:p w14:paraId="181D1310" w14:textId="77777777" w:rsidR="00964B84" w:rsidRDefault="00964B84" w:rsidP="00964B84">
      <w:pPr>
        <w:pStyle w:val="Textoindependiente"/>
        <w:spacing w:before="50" w:line="578" w:lineRule="exact"/>
        <w:ind w:right="5560"/>
      </w:pPr>
    </w:p>
    <w:p w14:paraId="6C581300" w14:textId="5151D31C" w:rsidR="008B725E" w:rsidRPr="008B725E" w:rsidRDefault="00964B84" w:rsidP="008B725E">
      <w:pPr>
        <w:spacing w:after="0"/>
        <w:rPr>
          <w:rFonts w:ascii="Verdana" w:hAnsi="Verdana"/>
        </w:rPr>
      </w:pPr>
      <w:r>
        <w:rPr>
          <w:noProof/>
        </w:rPr>
        <w:drawing>
          <wp:anchor distT="0" distB="0" distL="0" distR="0" simplePos="0" relativeHeight="251659264" behindDoc="0" locked="0" layoutInCell="1" allowOverlap="1" wp14:anchorId="642CC8EE" wp14:editId="2A2EA577">
            <wp:simplePos x="0" y="0"/>
            <wp:positionH relativeFrom="page">
              <wp:posOffset>3657600</wp:posOffset>
            </wp:positionH>
            <wp:positionV relativeFrom="paragraph">
              <wp:posOffset>39370</wp:posOffset>
            </wp:positionV>
            <wp:extent cx="3041015" cy="822960"/>
            <wp:effectExtent l="0" t="0" r="0" b="254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3041015" cy="822960"/>
                    </a:xfrm>
                    <a:prstGeom prst="rect">
                      <a:avLst/>
                    </a:prstGeom>
                  </pic:spPr>
                </pic:pic>
              </a:graphicData>
            </a:graphic>
            <wp14:sizeRelH relativeFrom="margin">
              <wp14:pctWidth>0</wp14:pctWidth>
            </wp14:sizeRelH>
            <wp14:sizeRelV relativeFrom="margin">
              <wp14:pctHeight>0</wp14:pctHeight>
            </wp14:sizeRelV>
          </wp:anchor>
        </w:drawing>
      </w:r>
      <w:r>
        <w:rPr>
          <w:rFonts w:ascii="Verdana" w:hAnsi="Verdana"/>
        </w:rPr>
        <w:t>Bogotá D.C, 24 Noviembre 2025</w:t>
      </w:r>
      <w:r w:rsidR="00C15139" w:rsidRPr="0024624F">
        <w:rPr>
          <w:rFonts w:ascii="Verdana" w:hAnsi="Verdana"/>
        </w:rPr>
        <w:tab/>
      </w:r>
    </w:p>
    <w:p w14:paraId="56D7994D" w14:textId="4691A182" w:rsidR="00964B84" w:rsidRDefault="00964B84" w:rsidP="008B725E">
      <w:pPr>
        <w:spacing w:after="0" w:line="240" w:lineRule="auto"/>
        <w:jc w:val="both"/>
        <w:rPr>
          <w:rFonts w:ascii="Verdana" w:eastAsia="Calibri" w:hAnsi="Verdana" w:cs="Arial"/>
          <w:lang w:val="es-ES" w:eastAsia="es-ES"/>
        </w:rPr>
      </w:pPr>
    </w:p>
    <w:p w14:paraId="09DDD333" w14:textId="6A67C63B" w:rsidR="008B725E" w:rsidRDefault="008B725E" w:rsidP="008B725E">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w:t>
      </w:r>
      <w:r>
        <w:rPr>
          <w:rFonts w:ascii="Verdana" w:eastAsia="Calibri" w:hAnsi="Verdana" w:cs="Arial"/>
          <w:lang w:val="es-ES" w:eastAsia="es-ES"/>
        </w:rPr>
        <w:t xml:space="preserve">r </w:t>
      </w:r>
    </w:p>
    <w:p w14:paraId="1DFC0A18" w14:textId="2C8B0EA7" w:rsidR="008B725E" w:rsidRPr="00A00EEE" w:rsidRDefault="008B725E" w:rsidP="008B725E">
      <w:pPr>
        <w:spacing w:after="0" w:line="240" w:lineRule="auto"/>
        <w:jc w:val="both"/>
        <w:rPr>
          <w:rFonts w:ascii="Verdana" w:eastAsia="Calibri" w:hAnsi="Verdana" w:cs="Arial"/>
          <w:b/>
          <w:bCs/>
          <w:lang w:val="es-ES" w:eastAsia="es-ES"/>
        </w:rPr>
      </w:pPr>
      <w:r w:rsidRPr="00A00EEE">
        <w:rPr>
          <w:rFonts w:ascii="Verdana" w:eastAsia="Calibri" w:hAnsi="Verdana" w:cs="Arial"/>
          <w:b/>
          <w:bCs/>
          <w:lang w:val="es-ES" w:eastAsia="es-ES"/>
        </w:rPr>
        <w:t xml:space="preserve">Fabian Darío Araque Gallego </w:t>
      </w:r>
    </w:p>
    <w:p w14:paraId="691C07E5" w14:textId="77777777" w:rsidR="008B725E" w:rsidRDefault="008B725E" w:rsidP="008B725E">
      <w:pPr>
        <w:spacing w:after="0" w:line="240" w:lineRule="auto"/>
        <w:jc w:val="both"/>
        <w:rPr>
          <w:rFonts w:ascii="Verdana" w:eastAsia="Calibri" w:hAnsi="Verdana" w:cs="Arial"/>
          <w:lang w:val="es-ES" w:eastAsia="es-ES"/>
        </w:rPr>
      </w:pPr>
      <w:hyperlink r:id="rId11" w:history="1">
        <w:r w:rsidRPr="00677F5B">
          <w:rPr>
            <w:rStyle w:val="Hipervnculo"/>
            <w:rFonts w:ascii="Verdana" w:eastAsia="Calibri" w:hAnsi="Verdana" w:cs="Arial"/>
            <w:lang w:val="es-ES" w:eastAsia="es-ES"/>
          </w:rPr>
          <w:t>fabian-araque@hotmail.com</w:t>
        </w:r>
      </w:hyperlink>
      <w:r>
        <w:rPr>
          <w:rFonts w:ascii="Verdana" w:eastAsia="Calibri" w:hAnsi="Verdana" w:cs="Arial"/>
          <w:lang w:val="es-ES" w:eastAsia="es-ES"/>
        </w:rPr>
        <w:t xml:space="preserve"> </w:t>
      </w:r>
    </w:p>
    <w:p w14:paraId="7367B979" w14:textId="77777777" w:rsidR="008B725E" w:rsidRPr="00593A5F" w:rsidRDefault="008B725E" w:rsidP="008B725E">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Sabaneta, Antioquia</w:t>
      </w:r>
    </w:p>
    <w:p w14:paraId="6D435CA0" w14:textId="77777777" w:rsidR="008B725E" w:rsidRPr="00593A5F" w:rsidRDefault="008B725E" w:rsidP="008B725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B725E" w:rsidRPr="00593A5F" w14:paraId="4826B613" w14:textId="77777777" w:rsidTr="005540E0">
        <w:trPr>
          <w:trHeight w:val="884"/>
        </w:trPr>
        <w:tc>
          <w:tcPr>
            <w:tcW w:w="2689" w:type="dxa"/>
          </w:tcPr>
          <w:p w14:paraId="4C456820" w14:textId="77777777" w:rsidR="008B725E" w:rsidRPr="00C00976" w:rsidRDefault="008B725E" w:rsidP="005540E0">
            <w:pPr>
              <w:jc w:val="both"/>
              <w:rPr>
                <w:rFonts w:ascii="Verdana" w:eastAsia="Calibri" w:hAnsi="Verdana" w:cs="Arial"/>
                <w:b/>
                <w:bCs/>
                <w:color w:val="7030A0"/>
                <w:lang w:val="es-ES_tradnl" w:eastAsia="es-ES_tradnl"/>
              </w:rPr>
            </w:pPr>
          </w:p>
        </w:tc>
        <w:tc>
          <w:tcPr>
            <w:tcW w:w="6100" w:type="dxa"/>
          </w:tcPr>
          <w:p w14:paraId="1DB87329" w14:textId="03519C0D" w:rsidR="008B725E" w:rsidRPr="00C00976" w:rsidRDefault="008B725E" w:rsidP="005540E0">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-1495 de 2025</w:t>
            </w:r>
          </w:p>
        </w:tc>
      </w:tr>
      <w:tr w:rsidR="008B725E" w:rsidRPr="00593A5F" w14:paraId="6DBA8D0F" w14:textId="77777777" w:rsidTr="005540E0">
        <w:trPr>
          <w:trHeight w:val="884"/>
        </w:trPr>
        <w:tc>
          <w:tcPr>
            <w:tcW w:w="2689" w:type="dxa"/>
          </w:tcPr>
          <w:p w14:paraId="1023CA00" w14:textId="77777777" w:rsidR="008B725E" w:rsidRPr="00593A5F" w:rsidRDefault="008B725E" w:rsidP="005540E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8092656" w14:textId="1EBAE8DD" w:rsidR="008B725E" w:rsidRPr="003F1127" w:rsidRDefault="008B725E" w:rsidP="005540E0">
            <w:pPr>
              <w:pStyle w:val="NormalWeb"/>
              <w:jc w:val="both"/>
              <w:rPr>
                <w:rFonts w:ascii="Verdana" w:hAnsi="Verdana"/>
                <w:sz w:val="22"/>
                <w:szCs w:val="22"/>
              </w:rPr>
            </w:pPr>
            <w:r w:rsidRPr="003F1127">
              <w:rPr>
                <w:rFonts w:ascii="Verdana" w:hAnsi="Verdana"/>
                <w:sz w:val="22"/>
                <w:szCs w:val="22"/>
              </w:rPr>
              <w:t>MÍNIMA CUANTÍA – Invitación – Término de publicación</w:t>
            </w:r>
            <w:r>
              <w:rPr>
                <w:rFonts w:ascii="Verdana" w:hAnsi="Verdana"/>
                <w:sz w:val="22"/>
                <w:szCs w:val="22"/>
              </w:rPr>
              <w:t xml:space="preserve"> -</w:t>
            </w:r>
            <w:r w:rsidRPr="003F1127">
              <w:rPr>
                <w:rFonts w:ascii="Verdana" w:hAnsi="Verdana"/>
                <w:sz w:val="22"/>
                <w:szCs w:val="22"/>
              </w:rPr>
              <w:t>DÍAS HÁBILES – Concepto – Cómputo de términos</w:t>
            </w:r>
            <w:r>
              <w:rPr>
                <w:rFonts w:ascii="Verdana" w:hAnsi="Verdana"/>
                <w:sz w:val="22"/>
                <w:szCs w:val="22"/>
              </w:rPr>
              <w:t xml:space="preserve"> - </w:t>
            </w:r>
            <w:r w:rsidRPr="003F1127">
              <w:rPr>
                <w:rFonts w:ascii="Verdana" w:hAnsi="Verdana"/>
                <w:sz w:val="22"/>
                <w:szCs w:val="22"/>
              </w:rPr>
              <w:t>DÍAS HÁBILES – Cómputo – Regla interpretativa – Mínima cuantía - PLATAFORMA SECOP II – Presentación de ofertas – Disponibilidad</w:t>
            </w:r>
          </w:p>
          <w:p w14:paraId="22107DE5" w14:textId="77777777" w:rsidR="008B725E" w:rsidRPr="003F1127" w:rsidRDefault="008B725E" w:rsidP="005540E0">
            <w:pPr>
              <w:spacing w:line="276" w:lineRule="auto"/>
              <w:jc w:val="both"/>
              <w:rPr>
                <w:rFonts w:ascii="Verdana" w:eastAsia="Calibri" w:hAnsi="Verdana" w:cs="Arial"/>
                <w:lang w:val="es-ES" w:eastAsia="es-ES"/>
              </w:rPr>
            </w:pPr>
          </w:p>
        </w:tc>
      </w:tr>
      <w:tr w:rsidR="008B725E" w:rsidRPr="00593A5F" w14:paraId="120E8DCE" w14:textId="77777777" w:rsidTr="005540E0">
        <w:tc>
          <w:tcPr>
            <w:tcW w:w="2689" w:type="dxa"/>
          </w:tcPr>
          <w:p w14:paraId="28C2749B" w14:textId="77777777" w:rsidR="008B725E" w:rsidRPr="00A00EEE" w:rsidRDefault="008B725E" w:rsidP="005540E0">
            <w:pPr>
              <w:jc w:val="both"/>
              <w:rPr>
                <w:rFonts w:ascii="Verdana" w:eastAsia="Calibri" w:hAnsi="Verdana" w:cs="Arial"/>
                <w:b/>
                <w:color w:val="000000" w:themeColor="text1"/>
                <w:lang w:val="es-ES_tradnl" w:eastAsia="es-ES_tradnl"/>
              </w:rPr>
            </w:pPr>
            <w:r w:rsidRPr="00A00EEE">
              <w:rPr>
                <w:rFonts w:ascii="Verdana" w:eastAsia="Calibri" w:hAnsi="Verdana" w:cs="Arial"/>
                <w:b/>
                <w:color w:val="000000" w:themeColor="text1"/>
                <w:lang w:val="es-ES_tradnl" w:eastAsia="es-ES_tradnl"/>
              </w:rPr>
              <w:t>Radicación:</w:t>
            </w:r>
            <w:r w:rsidRPr="00A00EEE">
              <w:rPr>
                <w:rFonts w:ascii="Verdana" w:eastAsia="Calibri" w:hAnsi="Verdana" w:cs="Arial"/>
                <w:color w:val="000000" w:themeColor="text1"/>
                <w:lang w:val="es-ES_tradnl" w:eastAsia="es-ES_tradnl"/>
              </w:rPr>
              <w:t xml:space="preserve">               </w:t>
            </w:r>
          </w:p>
        </w:tc>
        <w:tc>
          <w:tcPr>
            <w:tcW w:w="6100" w:type="dxa"/>
          </w:tcPr>
          <w:p w14:paraId="47003766" w14:textId="77777777" w:rsidR="008B725E" w:rsidRPr="00A00EEE" w:rsidRDefault="008B725E" w:rsidP="005540E0">
            <w:pPr>
              <w:jc w:val="both"/>
              <w:rPr>
                <w:rFonts w:ascii="Verdana" w:eastAsia="Calibri" w:hAnsi="Verdana" w:cs="Arial"/>
                <w:color w:val="000000" w:themeColor="text1"/>
                <w:lang w:val="es-ES_tradnl" w:eastAsia="es-ES_tradnl"/>
              </w:rPr>
            </w:pPr>
            <w:r w:rsidRPr="00A00EEE">
              <w:rPr>
                <w:rFonts w:ascii="Verdana" w:eastAsia="Calibri" w:hAnsi="Verdana" w:cs="Arial"/>
                <w:color w:val="000000" w:themeColor="text1"/>
                <w:lang w:val="es-ES_tradnl" w:eastAsia="es-ES_tradnl"/>
              </w:rPr>
              <w:t xml:space="preserve">Respuesta a consulta con radicado No. </w:t>
            </w:r>
            <w:r w:rsidRPr="00A00EEE">
              <w:rPr>
                <w:rFonts w:ascii="Verdana" w:hAnsi="Verdana" w:cs="Calibri"/>
                <w:color w:val="000000" w:themeColor="text1"/>
              </w:rPr>
              <w:t>1_2025_10_14_011487</w:t>
            </w:r>
          </w:p>
          <w:p w14:paraId="6E5A1CC4" w14:textId="77777777" w:rsidR="008B725E" w:rsidRPr="00A00EEE" w:rsidRDefault="008B725E" w:rsidP="005540E0">
            <w:pPr>
              <w:jc w:val="both"/>
              <w:rPr>
                <w:rFonts w:ascii="Verdana" w:eastAsia="Calibri" w:hAnsi="Verdana" w:cs="Arial"/>
                <w:color w:val="000000" w:themeColor="text1"/>
                <w:lang w:val="es-ES_tradnl" w:eastAsia="es-ES_tradnl"/>
              </w:rPr>
            </w:pPr>
          </w:p>
        </w:tc>
      </w:tr>
    </w:tbl>
    <w:p w14:paraId="5362E264" w14:textId="77777777" w:rsidR="008B725E" w:rsidRPr="00593A5F" w:rsidRDefault="008B725E" w:rsidP="008B725E">
      <w:pPr>
        <w:spacing w:after="0" w:line="240" w:lineRule="auto"/>
        <w:jc w:val="both"/>
        <w:rPr>
          <w:rFonts w:ascii="Verdana" w:eastAsia="Calibri" w:hAnsi="Verdana" w:cs="Arial"/>
          <w:color w:val="000000"/>
          <w:lang w:val="es-ES_tradnl" w:eastAsia="es-ES_tradnl"/>
        </w:rPr>
      </w:pPr>
    </w:p>
    <w:p w14:paraId="1393E5E8" w14:textId="77777777" w:rsidR="008B725E" w:rsidRPr="00593A5F" w:rsidRDefault="008B725E" w:rsidP="008B725E">
      <w:pPr>
        <w:spacing w:after="0" w:line="240" w:lineRule="auto"/>
        <w:jc w:val="both"/>
        <w:rPr>
          <w:rFonts w:ascii="Verdana" w:eastAsia="Calibri" w:hAnsi="Verdana" w:cs="Arial"/>
          <w:color w:val="000000"/>
          <w:lang w:val="es-ES_tradnl" w:eastAsia="es-ES_tradnl"/>
        </w:rPr>
      </w:pPr>
    </w:p>
    <w:p w14:paraId="2BE7A503" w14:textId="77777777" w:rsidR="008B725E" w:rsidRPr="00A00EEE" w:rsidRDefault="008B725E" w:rsidP="008B725E">
      <w:pPr>
        <w:spacing w:after="0" w:line="276" w:lineRule="auto"/>
        <w:jc w:val="both"/>
        <w:rPr>
          <w:rFonts w:ascii="Verdana" w:eastAsia="Calibri" w:hAnsi="Verdana" w:cs="Arial"/>
          <w:color w:val="000000" w:themeColor="text1"/>
          <w:lang w:val="es-ES" w:eastAsia="es-ES"/>
        </w:rPr>
      </w:pPr>
      <w:r w:rsidRPr="00A00EEE">
        <w:rPr>
          <w:rFonts w:ascii="Verdana" w:eastAsia="Calibri" w:hAnsi="Verdana" w:cs="Arial"/>
          <w:color w:val="000000" w:themeColor="text1"/>
          <w:lang w:val="es-ES" w:eastAsia="es-ES"/>
        </w:rPr>
        <w:t xml:space="preserve">Estimado señor Araque: </w:t>
      </w:r>
    </w:p>
    <w:p w14:paraId="70B2329D" w14:textId="77777777" w:rsidR="008B725E" w:rsidRDefault="008B725E" w:rsidP="008B725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F4C98A8" w14:textId="77777777" w:rsidR="008B725E" w:rsidRPr="00593A5F" w:rsidRDefault="008B725E" w:rsidP="008B725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A00EEE">
        <w:rPr>
          <w:rFonts w:ascii="Verdana" w:eastAsia="Calibri" w:hAnsi="Verdana" w:cs="Arial"/>
          <w:color w:val="000000" w:themeColor="text1"/>
          <w:lang w:val="es-ES" w:eastAsia="es-ES"/>
        </w:rPr>
        <w:t xml:space="preserve">fecha 14 de octubre de 2025, en la cual manifiesta lo siguiente: </w:t>
      </w:r>
    </w:p>
    <w:p w14:paraId="38896D54" w14:textId="77777777" w:rsidR="008B725E" w:rsidRPr="00A00EEE" w:rsidRDefault="008B725E" w:rsidP="008B725E">
      <w:pPr>
        <w:pStyle w:val="Prrafodelista"/>
        <w:tabs>
          <w:tab w:val="left" w:pos="142"/>
          <w:tab w:val="left" w:pos="284"/>
        </w:tabs>
        <w:spacing w:line="276" w:lineRule="auto"/>
        <w:ind w:left="0"/>
        <w:jc w:val="both"/>
        <w:rPr>
          <w:rFonts w:ascii="Verdana" w:eastAsia="Century Gothic" w:hAnsi="Verdana" w:cs="Century Gothic"/>
          <w:b/>
          <w:bCs/>
          <w:sz w:val="16"/>
          <w:szCs w:val="16"/>
        </w:rPr>
      </w:pPr>
    </w:p>
    <w:p w14:paraId="0B33F294" w14:textId="77777777" w:rsidR="008B725E" w:rsidRPr="00A41789" w:rsidRDefault="008B725E" w:rsidP="008B725E">
      <w:pPr>
        <w:spacing w:after="0" w:line="240" w:lineRule="auto"/>
        <w:ind w:left="709" w:right="709"/>
        <w:jc w:val="both"/>
        <w:rPr>
          <w:rFonts w:ascii="Verdana" w:eastAsia="Century Gothic" w:hAnsi="Verdana" w:cs="Century Gothic"/>
          <w:color w:val="7030A0"/>
          <w:sz w:val="18"/>
          <w:szCs w:val="18"/>
          <w:lang w:val="es-ES"/>
        </w:rPr>
      </w:pPr>
      <w:bookmarkStart w:id="1" w:name="_Hlk95313578"/>
      <w:r w:rsidRPr="00A41789">
        <w:rPr>
          <w:rFonts w:ascii="Verdana" w:eastAsia="Century Gothic" w:hAnsi="Verdana" w:cs="Century Gothic"/>
          <w:color w:val="7030A0"/>
          <w:sz w:val="18"/>
          <w:szCs w:val="18"/>
          <w:lang w:val="es-ES"/>
        </w:rPr>
        <w:t>“</w:t>
      </w:r>
      <w:bookmarkStart w:id="2" w:name="OLE_LINK3"/>
      <w:bookmarkEnd w:id="1"/>
      <w:r w:rsidRPr="00A41789">
        <w:rPr>
          <w:rFonts w:ascii="Verdana" w:hAnsi="Verdana"/>
          <w:sz w:val="18"/>
          <w:szCs w:val="18"/>
        </w:rPr>
        <w:t xml:space="preserve">En esta oportunidad mi solicitud está relacionada con los días hábiles que establece la norma en lo referente al proceso de mínima cuantía según el DECRETO 1860 DE 2021 Articulo 2.2.1.2.1.5.2. El concepto requerido es específicamente entre los días hábiles requeridos entre la publicación de la invitación, la formulación de observaciones por parte de los interesados y fecha para la presentación de ofertas según el límite temporal de expedición de adendas. Referir si un día hábil es el lapso de veinticuatro (24) horas, o se considera que es el día completo de veinticuatro (24) horas entre las 00:00 y las 23:59 horas del día siguiente a la publicación de la actuación </w:t>
      </w:r>
      <w:bookmarkEnd w:id="2"/>
      <w:r w:rsidRPr="00A41789">
        <w:rPr>
          <w:rFonts w:ascii="Verdana" w:hAnsi="Verdana"/>
          <w:sz w:val="18"/>
          <w:szCs w:val="18"/>
        </w:rPr>
        <w:t>(…)”</w:t>
      </w:r>
    </w:p>
    <w:p w14:paraId="62EDE10B" w14:textId="77777777" w:rsidR="008B725E" w:rsidRPr="00593A5F" w:rsidRDefault="008B725E" w:rsidP="008B725E">
      <w:pPr>
        <w:pStyle w:val="Prrafodelista"/>
        <w:tabs>
          <w:tab w:val="left" w:pos="142"/>
          <w:tab w:val="left" w:pos="284"/>
        </w:tabs>
        <w:spacing w:line="276" w:lineRule="auto"/>
        <w:ind w:left="0"/>
        <w:jc w:val="both"/>
        <w:rPr>
          <w:rFonts w:ascii="Verdana" w:eastAsia="Century Gothic" w:hAnsi="Verdana" w:cs="Century Gothic"/>
          <w:b/>
          <w:bCs/>
        </w:rPr>
      </w:pPr>
    </w:p>
    <w:p w14:paraId="5ADF558F" w14:textId="77777777" w:rsidR="008B725E" w:rsidRDefault="008B725E" w:rsidP="008B725E">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4E244BD" w14:textId="77777777" w:rsidR="008B725E" w:rsidRDefault="008B725E" w:rsidP="008B725E">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p>
    <w:p w14:paraId="3773CED1" w14:textId="77777777" w:rsidR="008B725E" w:rsidRPr="00593A5F" w:rsidRDefault="008B725E" w:rsidP="008B725E">
      <w:pPr>
        <w:spacing w:after="0" w:line="276" w:lineRule="auto"/>
        <w:ind w:firstLine="709"/>
        <w:jc w:val="both"/>
        <w:rPr>
          <w:rFonts w:ascii="Verdana" w:eastAsia="Calibri" w:hAnsi="Verdana" w:cs="Arial"/>
          <w:color w:val="000000"/>
          <w:lang w:val="es-ES" w:eastAsia="es-ES"/>
        </w:rPr>
      </w:pPr>
    </w:p>
    <w:p w14:paraId="70D1FEB1" w14:textId="77777777" w:rsidR="008B725E" w:rsidRPr="00593A5F" w:rsidRDefault="008B725E" w:rsidP="008B725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324B32D" w14:textId="77777777" w:rsidR="008B725E" w:rsidRPr="00593A5F" w:rsidRDefault="008B725E" w:rsidP="008B725E">
      <w:pPr>
        <w:tabs>
          <w:tab w:val="left" w:pos="426"/>
        </w:tabs>
        <w:spacing w:after="0" w:line="276" w:lineRule="auto"/>
        <w:jc w:val="both"/>
        <w:rPr>
          <w:rFonts w:ascii="Verdana" w:eastAsia="Century Gothic" w:hAnsi="Verdana" w:cs="Century Gothic"/>
          <w:lang w:val="es-ES"/>
        </w:rPr>
      </w:pPr>
    </w:p>
    <w:p w14:paraId="71FAAE52" w14:textId="7C7E7503" w:rsidR="008B725E" w:rsidRPr="00D23B23" w:rsidRDefault="008B725E" w:rsidP="008B725E">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 jurídico</w:t>
      </w:r>
      <w:r w:rsidRPr="00CA028E">
        <w:rPr>
          <w:rFonts w:ascii="Verdana" w:eastAsia="Century Gothic" w:hAnsi="Verdana" w:cs="Century Gothic"/>
          <w:color w:val="000000" w:themeColor="text1"/>
        </w:rPr>
        <w:t xml:space="preserve">: </w:t>
      </w:r>
      <w:r w:rsidR="00D23B23" w:rsidRPr="008166A8">
        <w:rPr>
          <w:rFonts w:ascii="Verdana" w:eastAsia="Century Gothic" w:hAnsi="Verdana" w:cs="Century Gothic"/>
          <w:color w:val="000000" w:themeColor="text1"/>
        </w:rPr>
        <w:t>¿De qué</w:t>
      </w:r>
      <w:r w:rsidR="00D23B23" w:rsidRPr="008166A8">
        <w:rPr>
          <w:rFonts w:ascii="Verdana" w:eastAsia="Times New Roman" w:hAnsi="Verdana" w:cs="Times New Roman"/>
          <w:color w:val="000000" w:themeColor="text1"/>
          <w:lang w:eastAsia="es-MX"/>
        </w:rPr>
        <w:t xml:space="preserve"> </w:t>
      </w:r>
      <w:r w:rsidR="00D23B23" w:rsidRPr="008166A8">
        <w:rPr>
          <w:rFonts w:ascii="Verdana" w:eastAsia="Times New Roman" w:hAnsi="Verdana" w:cs="Times New Roman"/>
          <w:lang w:eastAsia="es-MX"/>
        </w:rPr>
        <w:t xml:space="preserve">forma debe entenderse cumplido el día hábil del numeral 3 del articulo 2.2.1.2.1.5.2, </w:t>
      </w:r>
      <w:r w:rsidR="00D23B23" w:rsidRPr="008166A8">
        <w:rPr>
          <w:rFonts w:ascii="Verdana" w:eastAsia="Calibri" w:hAnsi="Verdana" w:cs="Arial"/>
          <w:bCs/>
          <w:color w:val="000000" w:themeColor="text1"/>
          <w:lang w:val="es-ES"/>
        </w:rPr>
        <w:t>del Decreto 1082 de 2015 –modificado por el Decreto 1860 de 2021</w:t>
      </w:r>
      <w:r w:rsidR="00D23B23" w:rsidRPr="008166A8">
        <w:rPr>
          <w:rFonts w:ascii="Verdana" w:eastAsia="Times New Roman" w:hAnsi="Verdana" w:cs="Times New Roman"/>
          <w:lang w:eastAsia="es-MX"/>
        </w:rPr>
        <w:t>?</w:t>
      </w:r>
    </w:p>
    <w:p w14:paraId="38FE6BFC" w14:textId="77777777" w:rsidR="008B725E" w:rsidRPr="00593A5F" w:rsidRDefault="008B725E" w:rsidP="008B725E">
      <w:pPr>
        <w:spacing w:after="0" w:line="276" w:lineRule="auto"/>
        <w:jc w:val="both"/>
        <w:rPr>
          <w:rFonts w:ascii="Verdana" w:eastAsia="Calibri" w:hAnsi="Verdana" w:cs="Arial"/>
          <w:color w:val="7030A0"/>
          <w:lang w:val="es-ES"/>
        </w:rPr>
      </w:pPr>
    </w:p>
    <w:p w14:paraId="1381877A" w14:textId="77777777" w:rsidR="008B725E" w:rsidRPr="00593A5F" w:rsidRDefault="008B725E" w:rsidP="008B72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B37207F" w14:textId="77777777" w:rsidR="008B725E" w:rsidRPr="00593A5F" w:rsidRDefault="008B725E" w:rsidP="008B725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B725E" w:rsidRPr="00593A5F" w14:paraId="260ADAC7" w14:textId="77777777" w:rsidTr="005540E0">
        <w:tc>
          <w:tcPr>
            <w:tcW w:w="8828" w:type="dxa"/>
          </w:tcPr>
          <w:p w14:paraId="35EBA019" w14:textId="77777777" w:rsidR="006C2BFB" w:rsidRDefault="006C2BFB" w:rsidP="006C2BFB">
            <w:pPr>
              <w:spacing w:line="276" w:lineRule="auto"/>
              <w:jc w:val="both"/>
              <w:rPr>
                <w:rFonts w:ascii="Verdana" w:hAnsi="Verdana"/>
                <w:color w:val="000000" w:themeColor="text1"/>
              </w:rPr>
            </w:pPr>
            <w:r w:rsidRPr="000D5437">
              <w:rPr>
                <w:rFonts w:ascii="Verdana" w:hAnsi="Verdana" w:cs="Arial"/>
                <w:color w:val="000000" w:themeColor="text1"/>
              </w:rPr>
              <w:t>Con el propósito de resolver la consulta s</w:t>
            </w:r>
            <w:r w:rsidRPr="000D5437">
              <w:rPr>
                <w:rStyle w:val="citation-121"/>
                <w:rFonts w:ascii="Verdana" w:hAnsi="Verdana"/>
                <w:color w:val="000000" w:themeColor="text1"/>
              </w:rPr>
              <w:t>obre si el término de un (1) día hábil</w:t>
            </w:r>
            <w:r w:rsidRPr="008166A8">
              <w:rPr>
                <w:rFonts w:ascii="Verdana" w:eastAsia="Times New Roman" w:hAnsi="Verdana" w:cs="Times New Roman"/>
                <w:lang w:eastAsia="es-MX"/>
              </w:rPr>
              <w:t xml:space="preserve"> del numeral 3 del articulo 2.2.1.2.1.5.2, </w:t>
            </w:r>
            <w:r w:rsidRPr="008166A8">
              <w:rPr>
                <w:rFonts w:ascii="Verdana" w:eastAsia="Calibri" w:hAnsi="Verdana" w:cs="Arial"/>
                <w:bCs/>
                <w:color w:val="000000" w:themeColor="text1"/>
                <w:lang w:val="es-ES"/>
              </w:rPr>
              <w:t>del Decreto 1082 de 2015 –modificado por el Decreto 1860 de 2021</w:t>
            </w:r>
            <w:r>
              <w:rPr>
                <w:rFonts w:ascii="Verdana" w:eastAsia="Calibri" w:hAnsi="Verdana" w:cs="Arial"/>
                <w:bCs/>
                <w:color w:val="000000" w:themeColor="text1"/>
                <w:lang w:val="es-ES"/>
              </w:rPr>
              <w:t>,</w:t>
            </w:r>
            <w:r>
              <w:rPr>
                <w:rFonts w:eastAsia="Calibri" w:cs="Arial"/>
                <w:bCs/>
                <w:lang w:val="es-ES"/>
              </w:rPr>
              <w:t xml:space="preserve"> </w:t>
            </w:r>
            <w:r w:rsidRPr="000D5437">
              <w:rPr>
                <w:rStyle w:val="citation-121"/>
                <w:rFonts w:ascii="Verdana" w:hAnsi="Verdana"/>
                <w:color w:val="000000" w:themeColor="text1"/>
              </w:rPr>
              <w:t xml:space="preserve">en los procesos de mínima cuantía debe entenderse como un lapso cronológico de veinticuatro horas o como el día calendario completo hasta la medianoche, se precisa que la interpretación de dicho término depende del medio utilizado por la Entidad Estatal para </w:t>
            </w:r>
            <w:r w:rsidRPr="000D5437">
              <w:rPr>
                <w:rStyle w:val="citation-121"/>
                <w:rFonts w:ascii="Verdana" w:hAnsi="Verdana"/>
                <w:color w:val="000000" w:themeColor="text1"/>
              </w:rPr>
              <w:lastRenderedPageBreak/>
              <w:t>adelantar el proceso de selección, diferenciando entre el uso de SECOP I o medio físico y la plataforma transaccional SECOP II</w:t>
            </w:r>
            <w:r w:rsidRPr="000D5437">
              <w:rPr>
                <w:rFonts w:ascii="Verdana" w:hAnsi="Verdana"/>
                <w:color w:val="000000" w:themeColor="text1"/>
              </w:rPr>
              <w:t>.</w:t>
            </w:r>
          </w:p>
          <w:p w14:paraId="2B69A0DF" w14:textId="77777777" w:rsidR="006C2BFB" w:rsidRPr="000D5437" w:rsidRDefault="006C2BFB" w:rsidP="006C2BFB">
            <w:pPr>
              <w:spacing w:line="276" w:lineRule="auto"/>
              <w:jc w:val="both"/>
              <w:rPr>
                <w:rFonts w:ascii="Verdana" w:hAnsi="Verdana"/>
                <w:color w:val="000000" w:themeColor="text1"/>
              </w:rPr>
            </w:pPr>
          </w:p>
          <w:p w14:paraId="0E4D50EC" w14:textId="77777777" w:rsidR="006C2BFB" w:rsidRPr="000D5437" w:rsidRDefault="006C2BFB" w:rsidP="006C2BFB">
            <w:pPr>
              <w:spacing w:line="276" w:lineRule="auto"/>
              <w:jc w:val="both"/>
              <w:rPr>
                <w:rFonts w:ascii="Verdana" w:hAnsi="Verdana"/>
                <w:color w:val="000000" w:themeColor="text1"/>
              </w:rPr>
            </w:pPr>
            <w:r w:rsidRPr="000D5437">
              <w:rPr>
                <w:rFonts w:ascii="Verdana" w:hAnsi="Verdana"/>
              </w:rPr>
              <w:t xml:space="preserve">     En el caso específico de las Entidades Estatales que adelantan sus procesos de selección a través de la plataforma SECOP II, la Agencia Nacional de Contratación Pública considera necesario que garanticen la publicación de la invitación y la posibilidad de formular observaciones hasta las 23:59 horas del día previsto en el cronograma. Esta directriz se fundamenta en que SECOP II es una herramienta tecnológica que permite acceder a la información y realizar observaciones de manera electrónica, lo cual prescinde de la necesidad de la presencia física de personal de la entidad para la recepción de documentos fuera de la jornada laboral ordinaria. </w:t>
            </w:r>
            <w:r w:rsidRPr="000D5437">
              <w:rPr>
                <w:rStyle w:val="citation-419"/>
                <w:rFonts w:ascii="Verdana" w:hAnsi="Verdana"/>
              </w:rPr>
              <w:t>Por lo tanto, en este escenario, el término debe comprender las veinticuatro (24) horas que conforman un día solar laborable completo</w:t>
            </w:r>
            <w:r w:rsidRPr="000D5437">
              <w:rPr>
                <w:rFonts w:ascii="Verdana" w:hAnsi="Verdana"/>
              </w:rPr>
              <w:t>.</w:t>
            </w:r>
          </w:p>
          <w:p w14:paraId="1F89A720" w14:textId="099D77CA" w:rsidR="006C2BFB" w:rsidRPr="000D5437" w:rsidRDefault="006C2BFB" w:rsidP="006C2BFB">
            <w:pPr>
              <w:pStyle w:val="NormalWeb"/>
              <w:spacing w:line="276" w:lineRule="auto"/>
              <w:jc w:val="both"/>
              <w:rPr>
                <w:rFonts w:ascii="Verdana" w:hAnsi="Verdana"/>
                <w:sz w:val="22"/>
                <w:szCs w:val="22"/>
              </w:rPr>
            </w:pPr>
            <w:r w:rsidRPr="000D5437">
              <w:rPr>
                <w:rFonts w:ascii="Verdana" w:hAnsi="Verdana"/>
                <w:sz w:val="22"/>
                <w:szCs w:val="22"/>
              </w:rPr>
              <w:t xml:space="preserve">        Por el contrario, para las entidades que aún utilizan SECOP I o reciben observaciones en medio físico, la interpretación razonable es que basta con habilitar la recepción de observaciones durante el lapso correspondiente a la jornada laboral diaria de la entidad (por ejemplo, hasta las 5:00 p.m.). </w:t>
            </w:r>
            <w:r w:rsidRPr="000D5437">
              <w:rPr>
                <w:rStyle w:val="citation-418"/>
                <w:rFonts w:ascii="Verdana" w:hAnsi="Verdana"/>
                <w:sz w:val="22"/>
                <w:szCs w:val="22"/>
              </w:rPr>
              <w:t>Esto obedece a las circunstancias prácticas que exigen que haya una persona disponible en las instalaciones para recibir y radicar los documentos, lo cual solo es posible durante las horas laborables en las que hay despacho público</w:t>
            </w:r>
            <w:r w:rsidRPr="000D5437">
              <w:rPr>
                <w:rFonts w:ascii="Verdana" w:hAnsi="Verdana"/>
                <w:sz w:val="22"/>
                <w:szCs w:val="22"/>
              </w:rPr>
              <w:t>.</w:t>
            </w:r>
          </w:p>
          <w:p w14:paraId="06379287" w14:textId="7F63B1F7" w:rsidR="006C2BFB" w:rsidRPr="000D5437" w:rsidRDefault="006C2BFB" w:rsidP="006C2BFB">
            <w:pPr>
              <w:pStyle w:val="NormalWeb"/>
              <w:spacing w:line="276" w:lineRule="auto"/>
              <w:jc w:val="both"/>
              <w:rPr>
                <w:rFonts w:ascii="Verdana" w:hAnsi="Verdana"/>
                <w:sz w:val="22"/>
                <w:szCs w:val="22"/>
              </w:rPr>
            </w:pPr>
            <w:r w:rsidRPr="000D5437">
              <w:rPr>
                <w:rFonts w:ascii="Verdana" w:hAnsi="Verdana"/>
                <w:sz w:val="22"/>
                <w:szCs w:val="22"/>
              </w:rPr>
              <w:t xml:space="preserve">      Asimismo, se aclara que no es procedente la interpretación según la cual el día hábil es un espacio de veinticuatro (24) horas consecutivas cuyos extremos están en días diferentes (por ejemplo, de las 15:00 horas de un día a las 15:00 horas del siguiente). Esta forma de entender el plazo no es coherente con la ley, pues cuando la norma establece un término de "mínimo un día hábil", da a entender que la actuación debe tener lugar durante un único día hábil determinado y no mediante horas fraccionadas en dos días distintos. </w:t>
            </w:r>
            <w:r w:rsidRPr="000D5437">
              <w:rPr>
                <w:rStyle w:val="citation-417"/>
                <w:rFonts w:ascii="Verdana" w:hAnsi="Verdana"/>
                <w:sz w:val="22"/>
                <w:szCs w:val="22"/>
              </w:rPr>
              <w:t>En consecuencia, las entidades deben fijar los extremos del plazo dentro de un mismo día laboral</w:t>
            </w:r>
            <w:r w:rsidRPr="000D5437">
              <w:rPr>
                <w:rFonts w:ascii="Verdana" w:hAnsi="Verdana"/>
                <w:sz w:val="22"/>
                <w:szCs w:val="22"/>
              </w:rPr>
              <w:t>.</w:t>
            </w:r>
          </w:p>
          <w:p w14:paraId="2D083852" w14:textId="5DA373D8" w:rsidR="006C2BFB" w:rsidRPr="000D5437" w:rsidRDefault="006C2BFB" w:rsidP="006C2BFB">
            <w:pPr>
              <w:pStyle w:val="NormalWeb"/>
              <w:spacing w:line="276" w:lineRule="auto"/>
              <w:jc w:val="both"/>
              <w:rPr>
                <w:rFonts w:ascii="Verdana" w:hAnsi="Verdana"/>
                <w:sz w:val="22"/>
                <w:szCs w:val="22"/>
              </w:rPr>
            </w:pPr>
            <w:r w:rsidRPr="000D5437">
              <w:rPr>
                <w:rFonts w:ascii="Verdana" w:hAnsi="Verdana"/>
                <w:sz w:val="22"/>
                <w:szCs w:val="22"/>
              </w:rPr>
              <w:t xml:space="preserve">       Esta conclusión se apoya en la aplicación supletoria de los artículos 59 y 62 de la Ley 4 de 1913, que sirven de pauta ante la ausencia de una definición legal unívoca. </w:t>
            </w:r>
            <w:r w:rsidRPr="000D5437">
              <w:rPr>
                <w:rStyle w:val="citation-416"/>
                <w:rFonts w:ascii="Verdana" w:hAnsi="Verdana"/>
                <w:sz w:val="22"/>
                <w:szCs w:val="22"/>
              </w:rPr>
              <w:t xml:space="preserve">Si bien los días hábiles se determinan según el reglamento </w:t>
            </w:r>
            <w:r w:rsidRPr="000D5437">
              <w:rPr>
                <w:rStyle w:val="citation-416"/>
                <w:rFonts w:ascii="Verdana" w:hAnsi="Verdana"/>
                <w:sz w:val="22"/>
                <w:szCs w:val="22"/>
              </w:rPr>
              <w:lastRenderedPageBreak/>
              <w:t>interno de cada entidad (excluyendo sábados, domingos y feriados), la regla interpretativa actual exige que, al usar medios electrónicos como SECOP II, se maximice el tiempo hasta la medianoche para garantizar la transparencia y la participación</w:t>
            </w:r>
            <w:r w:rsidRPr="000D5437">
              <w:rPr>
                <w:rFonts w:ascii="Verdana" w:hAnsi="Verdana"/>
                <w:sz w:val="22"/>
                <w:szCs w:val="22"/>
              </w:rPr>
              <w:t>.</w:t>
            </w:r>
          </w:p>
          <w:p w14:paraId="625EAB81" w14:textId="3A6F5F77" w:rsidR="006C2BFB" w:rsidRPr="000D5437" w:rsidRDefault="006C2BFB" w:rsidP="006C2BFB">
            <w:pPr>
              <w:pStyle w:val="NormalWeb"/>
              <w:spacing w:line="276" w:lineRule="auto"/>
              <w:jc w:val="both"/>
              <w:rPr>
                <w:rFonts w:ascii="Verdana" w:hAnsi="Verdana"/>
                <w:sz w:val="22"/>
                <w:szCs w:val="22"/>
              </w:rPr>
            </w:pPr>
            <w:r w:rsidRPr="000D5437">
              <w:rPr>
                <w:rFonts w:ascii="Verdana" w:hAnsi="Verdana"/>
                <w:sz w:val="22"/>
                <w:szCs w:val="22"/>
              </w:rPr>
              <w:t xml:space="preserve">      Finalmente, debe advertirse que el análisis de un cronograma de un proceso contractual en particular debe ser realizado por quienes tengan interés en ello. De esta manera, las afirmaciones aquí realizadas no pueden ser interpretadas como juicios de valor sobre circunstancias concretas que motivan la consulta. Por lo anterior, previo concepto de sus asesores, la solución de situaciones particulares corresponde a los interesados adoptar la decisión correspondiente y, en caso de conflicto, a las autoridades judiciales.</w:t>
            </w:r>
          </w:p>
          <w:p w14:paraId="4A39CA18" w14:textId="2D294A0B" w:rsidR="008B725E" w:rsidRPr="006C2BFB" w:rsidRDefault="006C2BFB" w:rsidP="006C2BFB">
            <w:pPr>
              <w:pStyle w:val="NormalWeb"/>
              <w:spacing w:line="276" w:lineRule="auto"/>
              <w:jc w:val="both"/>
              <w:rPr>
                <w:rFonts w:ascii="Verdana" w:hAnsi="Verdana"/>
                <w:sz w:val="22"/>
                <w:szCs w:val="22"/>
              </w:rPr>
            </w:pPr>
            <w:r w:rsidRPr="000D5437">
              <w:rPr>
                <w:rFonts w:ascii="Verdana" w:hAnsi="Verdana"/>
                <w:sz w:val="22"/>
                <w:szCs w:val="22"/>
              </w:rPr>
              <w:t xml:space="preserve">      Dentro de este marco,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r>
              <w:rPr>
                <w:rFonts w:ascii="Verdana" w:hAnsi="Verdana"/>
                <w:sz w:val="22"/>
                <w:szCs w:val="22"/>
              </w:rPr>
              <w:t>.</w:t>
            </w:r>
          </w:p>
        </w:tc>
      </w:tr>
    </w:tbl>
    <w:p w14:paraId="0977D8E4" w14:textId="77777777" w:rsidR="008B725E" w:rsidRPr="00593A5F" w:rsidRDefault="008B725E" w:rsidP="008B725E">
      <w:pPr>
        <w:tabs>
          <w:tab w:val="left" w:pos="142"/>
          <w:tab w:val="left" w:pos="284"/>
        </w:tabs>
        <w:spacing w:after="0" w:line="276" w:lineRule="auto"/>
        <w:jc w:val="both"/>
        <w:rPr>
          <w:rFonts w:ascii="Verdana" w:eastAsia="Century Gothic" w:hAnsi="Verdana" w:cs="Century Gothic"/>
          <w:b/>
          <w:bCs/>
          <w:lang w:val="es-ES"/>
        </w:rPr>
      </w:pPr>
    </w:p>
    <w:p w14:paraId="55C85913" w14:textId="77777777" w:rsidR="008B725E" w:rsidRPr="00593A5F" w:rsidRDefault="008B725E" w:rsidP="008B72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20E1B3A" w14:textId="77777777" w:rsidR="008B725E" w:rsidRPr="00593A5F" w:rsidRDefault="008B725E" w:rsidP="008B725E">
      <w:pPr>
        <w:spacing w:after="0" w:line="276" w:lineRule="auto"/>
        <w:jc w:val="both"/>
        <w:rPr>
          <w:rFonts w:ascii="Verdana" w:eastAsia="Calibri" w:hAnsi="Verdana" w:cs="Arial"/>
          <w:color w:val="7030A0"/>
          <w:lang w:val="es-ES"/>
        </w:rPr>
      </w:pPr>
    </w:p>
    <w:p w14:paraId="72373411" w14:textId="77777777" w:rsidR="008B725E" w:rsidRDefault="008B725E" w:rsidP="008B725E">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38F50369" w14:textId="77777777" w:rsidR="002F448C" w:rsidRDefault="002F448C" w:rsidP="008B725E">
      <w:pPr>
        <w:spacing w:after="0" w:line="276" w:lineRule="auto"/>
        <w:jc w:val="both"/>
        <w:rPr>
          <w:rFonts w:ascii="Verdana" w:eastAsia="Calibri" w:hAnsi="Verdana" w:cs="Arial"/>
          <w:lang w:val="es-ES"/>
        </w:rPr>
      </w:pPr>
    </w:p>
    <w:p w14:paraId="18CDFD55" w14:textId="77777777" w:rsidR="002F448C" w:rsidRPr="002167F7" w:rsidRDefault="002F448C" w:rsidP="002F448C">
      <w:pPr>
        <w:spacing w:before="120" w:after="120" w:line="276" w:lineRule="auto"/>
        <w:ind w:right="49"/>
        <w:jc w:val="both"/>
        <w:rPr>
          <w:rFonts w:ascii="Verdana" w:eastAsia="Calibri" w:hAnsi="Verdana" w:cs="Arial"/>
          <w:color w:val="000000" w:themeColor="text1"/>
          <w:lang w:val="es-ES"/>
        </w:rPr>
      </w:pPr>
      <w:r>
        <w:rPr>
          <w:rFonts w:ascii="Verdana" w:eastAsia="Times New Roman" w:hAnsi="Verdana" w:cs="Arial"/>
          <w:lang w:val="es-ES" w:eastAsia="es-MX"/>
        </w:rPr>
        <w:t>i) E</w:t>
      </w:r>
      <w:r w:rsidRPr="002167F7">
        <w:rPr>
          <w:rFonts w:ascii="Verdana" w:eastAsia="Times New Roman" w:hAnsi="Verdana" w:cs="Arial"/>
          <w:lang w:val="es-ES" w:eastAsia="es-MX"/>
        </w:rPr>
        <w:t>l artículo 2 de la Ley 1150 de 2007 establece las modalidades de selección aplicables a las entidades sometidas al EGCAP, indicando que la escogencia del contratista se efectuará por regla general bajo la modalidad de licitación pública, con las excepciones que señalan los numerales 2, 3 y 4 de dicho artículo. En efecto, las Entidades Estatales deben adelantar su</w:t>
      </w:r>
      <w:r>
        <w:rPr>
          <w:rFonts w:ascii="Verdana" w:eastAsia="Times New Roman" w:hAnsi="Verdana" w:cs="Arial"/>
          <w:lang w:val="es-ES" w:eastAsia="es-MX"/>
        </w:rPr>
        <w:t>s</w:t>
      </w:r>
      <w:r w:rsidRPr="002167F7">
        <w:rPr>
          <w:rFonts w:ascii="Verdana" w:eastAsia="Times New Roman" w:hAnsi="Verdana" w:cs="Arial"/>
          <w:lang w:val="es-ES" w:eastAsia="es-MX"/>
        </w:rPr>
        <w:t xml:space="preserve"> procesos de contratación, por regla general, mediante la modalidad de licitación pública. De esta forma, salvo que se configure alguno de los supuestos que la norma establece para que sea procedente un procedimiento distinto, la entidad deberá adelantar su contratación mediante dicha modalidad de selección. </w:t>
      </w:r>
    </w:p>
    <w:p w14:paraId="317C6DF6" w14:textId="77777777" w:rsidR="002F448C" w:rsidRDefault="002F448C" w:rsidP="002F448C">
      <w:pPr>
        <w:spacing w:after="120" w:line="276" w:lineRule="auto"/>
        <w:ind w:firstLine="709"/>
        <w:jc w:val="both"/>
        <w:rPr>
          <w:rFonts w:ascii="Verdana" w:hAnsi="Verdana" w:cs="Arial"/>
          <w:lang w:val="es-ES"/>
        </w:rPr>
      </w:pPr>
      <w:r>
        <w:rPr>
          <w:rFonts w:ascii="Verdana" w:hAnsi="Verdana" w:cs="Arial"/>
          <w:lang w:val="es-ES"/>
        </w:rPr>
        <w:t>L</w:t>
      </w:r>
      <w:r w:rsidRPr="002167F7">
        <w:rPr>
          <w:rFonts w:ascii="Verdana" w:hAnsi="Verdana" w:cs="Arial"/>
          <w:lang w:val="es-ES"/>
        </w:rPr>
        <w:t xml:space="preserve">a </w:t>
      </w:r>
      <w:r w:rsidRPr="002167F7">
        <w:rPr>
          <w:rFonts w:ascii="Verdana" w:hAnsi="Verdana" w:cs="Arial"/>
          <w:i/>
          <w:iCs/>
          <w:lang w:val="es-ES"/>
        </w:rPr>
        <w:t>mínima cuantía</w:t>
      </w:r>
      <w:r w:rsidRPr="002167F7">
        <w:rPr>
          <w:rFonts w:ascii="Verdana" w:hAnsi="Verdana" w:cs="Arial"/>
          <w:lang w:val="es-ES"/>
        </w:rPr>
        <w:t xml:space="preserve"> </w:t>
      </w:r>
      <w:r>
        <w:rPr>
          <w:rFonts w:ascii="Verdana" w:hAnsi="Verdana" w:cs="Arial"/>
          <w:lang w:val="es-ES"/>
        </w:rPr>
        <w:t xml:space="preserve">es una modalidad de selección en virtud de la cual la entidad realiza una convocatoria pública para recibir oferta de bienes, obras o </w:t>
      </w:r>
      <w:r>
        <w:rPr>
          <w:rFonts w:ascii="Verdana" w:hAnsi="Verdana" w:cs="Arial"/>
          <w:lang w:val="es-ES"/>
        </w:rPr>
        <w:lastRenderedPageBreak/>
        <w:t>servicios, cuyo valor</w:t>
      </w:r>
      <w:r w:rsidRPr="002167F7">
        <w:rPr>
          <w:rFonts w:ascii="Verdana" w:hAnsi="Verdana" w:cs="Arial"/>
          <w:lang w:val="es-ES"/>
        </w:rPr>
        <w:t xml:space="preserve"> no exceda el diez por ciento (10%) de la menor cuantía de la Entidad Estatal. Es decir, que </w:t>
      </w:r>
      <w:r>
        <w:rPr>
          <w:rFonts w:ascii="Verdana" w:hAnsi="Verdana" w:cs="Arial"/>
          <w:lang w:val="es-ES"/>
        </w:rPr>
        <w:t xml:space="preserve">será procedente </w:t>
      </w:r>
      <w:r w:rsidRPr="002167F7">
        <w:rPr>
          <w:rFonts w:ascii="Verdana" w:hAnsi="Verdana" w:cs="Arial"/>
          <w:lang w:val="es-ES"/>
        </w:rPr>
        <w:t xml:space="preserve">cuando se cumpla este requisito, independientemente del objeto a contratar. </w:t>
      </w:r>
      <w:r>
        <w:rPr>
          <w:rFonts w:ascii="Verdana" w:hAnsi="Verdana" w:cs="Arial"/>
          <w:lang w:val="es-ES"/>
        </w:rPr>
        <w:t>E</w:t>
      </w:r>
      <w:r w:rsidRPr="002167F7">
        <w:rPr>
          <w:rFonts w:ascii="Verdana" w:hAnsi="Verdana" w:cs="Arial"/>
          <w:lang w:val="es-ES"/>
        </w:rPr>
        <w:t xml:space="preserve">sta modalidad establece un procedimiento expedito y competitivo </w:t>
      </w:r>
      <w:r>
        <w:rPr>
          <w:rFonts w:ascii="Verdana" w:hAnsi="Verdana" w:cs="Arial"/>
          <w:lang w:val="es-ES"/>
        </w:rPr>
        <w:t xml:space="preserve">que se rige por lo dispuesto </w:t>
      </w:r>
      <w:r w:rsidRPr="002167F7">
        <w:rPr>
          <w:rFonts w:ascii="Verdana" w:hAnsi="Verdana" w:cs="Arial"/>
          <w:lang w:val="es-ES"/>
        </w:rPr>
        <w:t xml:space="preserve">en los artículos 2.2.1.2.1.5.1. a 2.2.1.2.1.5.6.  del Decreto 1082 de 2015. En términos generales, se caracteriza porque la entidad podrá exigir una capacidad financiera mínima, la publicación de la invitación se realiza por término no inferior a un (1) día hábil para la formulación de observaciones o comentarios, y porque el único criterio de evaluación para determinar la oferta más favorable es el menor precio. </w:t>
      </w:r>
    </w:p>
    <w:p w14:paraId="0D93462B" w14:textId="77777777" w:rsidR="002F448C" w:rsidRPr="00D67821" w:rsidRDefault="002F448C" w:rsidP="002F448C">
      <w:pPr>
        <w:spacing w:after="120" w:line="276" w:lineRule="auto"/>
        <w:ind w:firstLine="709"/>
        <w:jc w:val="both"/>
        <w:rPr>
          <w:rFonts w:ascii="Verdana" w:eastAsia="Calibri" w:hAnsi="Verdana" w:cs="Arial"/>
          <w:color w:val="000000"/>
          <w:lang w:val="es-ES" w:eastAsia="es-ES"/>
        </w:rPr>
      </w:pPr>
      <w:r>
        <w:rPr>
          <w:rFonts w:ascii="Verdana" w:hAnsi="Verdana" w:cs="Arial"/>
        </w:rPr>
        <w:t xml:space="preserve">El contenido de la invitación está definido en el artículo 2.2.1.2.1.5.2 del Decreto 1082 de 2015, por lo que debe entenderse que </w:t>
      </w:r>
      <w:r w:rsidRPr="2046F149">
        <w:rPr>
          <w:rFonts w:ascii="Verdana" w:eastAsia="Calibri" w:hAnsi="Verdana" w:cs="Arial"/>
          <w:color w:val="000000"/>
          <w:lang w:val="es-ES" w:eastAsia="es-ES"/>
        </w:rPr>
        <w:t>constituye la hoja de ruta o plan</w:t>
      </w:r>
      <w:r w:rsidRPr="2046F149">
        <w:rPr>
          <w:rFonts w:ascii="Verdana" w:eastAsia="Calibri" w:hAnsi="Verdana" w:cs="Arial"/>
          <w:color w:val="000000"/>
          <w:vertAlign w:val="superscript"/>
          <w:lang w:val="es-ES" w:eastAsia="es-ES"/>
        </w:rPr>
        <w:footnoteReference w:id="1"/>
      </w:r>
      <w:r w:rsidRPr="2046F149">
        <w:rPr>
          <w:rFonts w:ascii="Verdana" w:eastAsia="Calibri" w:hAnsi="Verdana" w:cs="Arial"/>
          <w:color w:val="000000"/>
          <w:lang w:val="es-ES" w:eastAsia="es-ES"/>
        </w:rPr>
        <w:t xml:space="preserve">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2046F149">
        <w:rPr>
          <w:rFonts w:ascii="Verdana" w:eastAsia="Calibri" w:hAnsi="Verdana" w:cs="Arial"/>
          <w:color w:val="000000"/>
          <w:vertAlign w:val="superscript"/>
          <w:lang w:val="es-ES" w:eastAsia="es-ES"/>
        </w:rPr>
        <w:footnoteReference w:id="2"/>
      </w:r>
      <w:r w:rsidRPr="2046F149">
        <w:rPr>
          <w:rFonts w:ascii="Verdana" w:eastAsia="Calibri" w:hAnsi="Verdana" w:cs="Arial"/>
          <w:color w:val="000000"/>
          <w:lang w:val="es-ES" w:eastAsia="es-ES"/>
        </w:rPr>
        <w:t>. En este sentido, en el marco de su discrecionalidad y del imperio de la ley, cada entidad debe establecer la forma cómo se estructura el pliego de condiciones, el cual está condicionado a la proporcionalidad de las decisiones que toma en aras de garantizar la pluralidad de oferentes y la selección objetiva</w:t>
      </w:r>
      <w:r w:rsidRPr="2046F149">
        <w:rPr>
          <w:rFonts w:ascii="Verdana" w:eastAsia="Calibri" w:hAnsi="Verdana" w:cs="Arial"/>
          <w:color w:val="000000"/>
          <w:lang w:eastAsia="es-ES"/>
        </w:rPr>
        <w:t>.</w:t>
      </w:r>
    </w:p>
    <w:p w14:paraId="65F7A441" w14:textId="77777777" w:rsidR="002F448C" w:rsidRPr="002379AA" w:rsidRDefault="002F448C" w:rsidP="002F448C">
      <w:pPr>
        <w:spacing w:after="120" w:line="276" w:lineRule="auto"/>
        <w:ind w:firstLine="709"/>
        <w:jc w:val="both"/>
        <w:rPr>
          <w:rFonts w:ascii="Verdana" w:hAnsi="Verdana" w:cs="Arial"/>
        </w:rPr>
      </w:pPr>
      <w:r w:rsidRPr="00A277EA">
        <w:rPr>
          <w:rFonts w:ascii="Verdana" w:eastAsia="Calibri" w:hAnsi="Verdana" w:cs="Arial"/>
          <w:color w:val="000000"/>
          <w:lang w:val="es-ES" w:eastAsia="es-ES_tradnl"/>
        </w:rPr>
        <w:t xml:space="preserve">De este modo, el pliego de condiciones </w:t>
      </w:r>
      <w:r>
        <w:rPr>
          <w:rFonts w:ascii="Verdana" w:eastAsia="Calibri" w:hAnsi="Verdana" w:cs="Arial"/>
          <w:color w:val="000000"/>
          <w:lang w:val="es-ES" w:eastAsia="es-ES_tradnl"/>
        </w:rPr>
        <w:t xml:space="preserve">o la invitación en los procesos de selección de mínima cuantía </w:t>
      </w:r>
      <w:r w:rsidRPr="00A277EA">
        <w:rPr>
          <w:rFonts w:ascii="Verdana" w:eastAsia="Calibri" w:hAnsi="Verdana" w:cs="Arial"/>
          <w:color w:val="000000"/>
          <w:lang w:val="es-ES" w:eastAsia="es-ES_tradnl"/>
        </w:rPr>
        <w:t xml:space="preserve">es un instrumento en el cual se materializa el principio de transparencia, pues </w:t>
      </w:r>
      <w:r>
        <w:rPr>
          <w:rFonts w:ascii="Verdana" w:eastAsia="Calibri" w:hAnsi="Verdana" w:cs="Arial"/>
          <w:color w:val="000000"/>
          <w:lang w:val="es-ES" w:eastAsia="es-ES_tradnl"/>
        </w:rPr>
        <w:t xml:space="preserve">allí </w:t>
      </w:r>
      <w:r w:rsidRPr="00A277EA">
        <w:rPr>
          <w:rFonts w:ascii="Verdana" w:eastAsia="Calibri" w:hAnsi="Verdana" w:cs="Arial"/>
          <w:color w:val="000000"/>
          <w:lang w:val="es-ES" w:eastAsia="es-ES_tradnl"/>
        </w:rPr>
        <w:t xml:space="preserve">se fijan las reglas de escogencia del contratista del Estado, para la selección objetiva de la mejor oferta, la adjudicación y la posterior celebración y ejecución del contrato, lo cual lo convierte en una reglamentación de todo el </w:t>
      </w:r>
      <w:proofErr w:type="spellStart"/>
      <w:r w:rsidRPr="00A277EA">
        <w:rPr>
          <w:rFonts w:ascii="Verdana" w:eastAsia="Calibri" w:hAnsi="Verdana" w:cs="Arial"/>
          <w:i/>
          <w:iCs/>
          <w:color w:val="000000"/>
          <w:lang w:val="es-ES" w:eastAsia="es-ES_tradnl"/>
        </w:rPr>
        <w:t>iter</w:t>
      </w:r>
      <w:proofErr w:type="spellEnd"/>
      <w:r w:rsidRPr="00A277EA">
        <w:rPr>
          <w:rFonts w:ascii="Verdana" w:eastAsia="Calibri" w:hAnsi="Verdana" w:cs="Arial"/>
          <w:color w:val="000000"/>
          <w:lang w:val="es-ES" w:eastAsia="es-ES_tradnl"/>
        </w:rPr>
        <w:t xml:space="preserve"> contractual. </w:t>
      </w:r>
      <w:r>
        <w:rPr>
          <w:rFonts w:ascii="Verdana" w:eastAsia="Calibri" w:hAnsi="Verdana" w:cs="Arial"/>
          <w:color w:val="000000"/>
          <w:lang w:val="es-ES" w:eastAsia="es-ES_tradnl"/>
        </w:rPr>
        <w:t xml:space="preserve">En otras palabras, </w:t>
      </w:r>
      <w:r w:rsidRPr="002379AA">
        <w:rPr>
          <w:rFonts w:ascii="Verdana" w:hAnsi="Verdana" w:cs="Arial"/>
        </w:rPr>
        <w:t xml:space="preserve">es el documento en el que se establecen las normas que van a regular la etapa </w:t>
      </w:r>
      <w:r w:rsidRPr="002379AA">
        <w:rPr>
          <w:rFonts w:ascii="Verdana" w:hAnsi="Verdana" w:cs="Arial"/>
        </w:rPr>
        <w:lastRenderedPageBreak/>
        <w:t>selección, a las que deberán sujetarse la administración y los oferentes a efectos de lograr una selección objetiva</w:t>
      </w:r>
      <w:r w:rsidRPr="002379AA">
        <w:rPr>
          <w:rFonts w:ascii="Verdana" w:hAnsi="Verdana" w:cs="Arial"/>
          <w:vertAlign w:val="superscript"/>
        </w:rPr>
        <w:footnoteReference w:id="3"/>
      </w:r>
      <w:r w:rsidRPr="002379AA">
        <w:rPr>
          <w:rFonts w:ascii="Verdana" w:hAnsi="Verdana" w:cs="Arial"/>
        </w:rPr>
        <w:t>.</w:t>
      </w:r>
    </w:p>
    <w:p w14:paraId="68653A23" w14:textId="77777777" w:rsidR="002F448C" w:rsidRDefault="002F448C" w:rsidP="002F448C">
      <w:pPr>
        <w:spacing w:after="0" w:line="276" w:lineRule="auto"/>
        <w:ind w:firstLine="708"/>
        <w:jc w:val="both"/>
        <w:rPr>
          <w:rFonts w:ascii="Verdana" w:eastAsia="Calibri" w:hAnsi="Verdana" w:cs="Arial"/>
          <w:color w:val="000000"/>
          <w:lang w:val="es-ES" w:eastAsia="es-ES_tradnl"/>
        </w:rPr>
      </w:pPr>
      <w:r w:rsidRPr="00A277EA">
        <w:rPr>
          <w:rFonts w:ascii="Verdana" w:eastAsia="Calibri" w:hAnsi="Verdana" w:cs="Arial"/>
          <w:color w:val="000000"/>
          <w:lang w:val="es-ES" w:eastAsia="es-ES_tradnl"/>
        </w:rPr>
        <w:t>Su contenido</w:t>
      </w:r>
      <w:r w:rsidRPr="00A277EA">
        <w:rPr>
          <w:rFonts w:ascii="Verdana" w:eastAsia="Calibri" w:hAnsi="Verdana" w:cs="Arial"/>
          <w:color w:val="000000"/>
          <w:vertAlign w:val="superscript"/>
          <w:lang w:val="es-ES" w:eastAsia="es-ES_tradnl"/>
        </w:rPr>
        <w:footnoteReference w:id="4"/>
      </w:r>
      <w:r w:rsidRPr="00A277EA">
        <w:rPr>
          <w:rFonts w:ascii="Verdana" w:eastAsia="Calibri" w:hAnsi="Verdana" w:cs="Arial"/>
          <w:color w:val="000000"/>
          <w:lang w:val="es-ES" w:eastAsia="es-ES_tradnl"/>
        </w:rPr>
        <w:t xml:space="preserve"> está previsto en el numeral 5 del artículo 24 de la Ley 80 de 1993, que establece algunas directrices que deben tenerse en cuenta en su elaboración</w:t>
      </w:r>
      <w:r>
        <w:rPr>
          <w:rStyle w:val="Refdenotaalpie"/>
          <w:rFonts w:ascii="Verdana" w:eastAsia="Calibri" w:hAnsi="Verdana" w:cs="Arial"/>
          <w:color w:val="000000"/>
          <w:lang w:val="es-ES" w:eastAsia="es-ES_tradnl"/>
        </w:rPr>
        <w:footnoteReference w:id="5"/>
      </w:r>
      <w:r>
        <w:rPr>
          <w:rFonts w:ascii="Verdana" w:eastAsia="Calibri" w:hAnsi="Verdana" w:cs="Arial"/>
          <w:color w:val="000000"/>
          <w:lang w:val="es-ES" w:eastAsia="es-ES_tradnl"/>
        </w:rPr>
        <w:t>.</w:t>
      </w:r>
    </w:p>
    <w:p w14:paraId="0E743978" w14:textId="77777777" w:rsidR="002F448C" w:rsidRDefault="002F448C" w:rsidP="002F448C">
      <w:pPr>
        <w:spacing w:after="0" w:line="276" w:lineRule="auto"/>
        <w:ind w:firstLine="708"/>
        <w:jc w:val="both"/>
        <w:rPr>
          <w:rFonts w:ascii="Verdana" w:eastAsia="Calibri" w:hAnsi="Verdana" w:cs="Arial"/>
          <w:color w:val="000000"/>
          <w:lang w:val="es-ES" w:eastAsia="es-ES"/>
        </w:rPr>
      </w:pPr>
      <w:r w:rsidRPr="6CCF4ABA">
        <w:rPr>
          <w:rFonts w:ascii="Verdana" w:eastAsia="Calibri" w:hAnsi="Verdana" w:cs="Arial"/>
          <w:color w:val="000000"/>
          <w:lang w:val="es-ES" w:eastAsia="es-ES"/>
        </w:rPr>
        <w:t xml:space="preserve">De conformidad con lo anterior, resulta claro que las entidades estatales, en virtud de la autonomía de la voluntad y de la amplia discrecionalidad que se les reconoce, tienen la facultad de configurar las reglas y exigencias de los pliegos de condiciones o de la invitación de manera libre, dentro de los parámetros y límites </w:t>
      </w:r>
      <w:r w:rsidRPr="6CCF4ABA">
        <w:rPr>
          <w:rFonts w:ascii="Verdana" w:eastAsia="Calibri" w:hAnsi="Verdana" w:cs="Arial"/>
          <w:color w:val="000000"/>
          <w:lang w:val="es-ES" w:eastAsia="es-ES" w:bidi="es-ES"/>
        </w:rPr>
        <w:t>establecidos por el ordenamiento legal</w:t>
      </w:r>
      <w:r w:rsidRPr="6CCF4ABA">
        <w:rPr>
          <w:rFonts w:ascii="Verdana" w:eastAsia="Calibri" w:hAnsi="Verdana" w:cs="Arial"/>
          <w:color w:val="000000"/>
          <w:vertAlign w:val="superscript"/>
          <w:lang w:val="es-ES" w:eastAsia="es-ES" w:bidi="es-ES"/>
        </w:rPr>
        <w:footnoteReference w:id="6"/>
      </w:r>
      <w:r w:rsidRPr="6CCF4ABA">
        <w:rPr>
          <w:rFonts w:ascii="Verdana" w:eastAsia="Calibri" w:hAnsi="Verdana" w:cs="Arial"/>
          <w:color w:val="000000"/>
          <w:lang w:val="es-ES" w:eastAsia="es-ES"/>
        </w:rPr>
        <w:t>, con fundamento en los estudios realizados en la fase de planeación</w:t>
      </w:r>
      <w:r w:rsidRPr="6CCF4ABA">
        <w:rPr>
          <w:rFonts w:ascii="Verdana" w:eastAsia="Calibri" w:hAnsi="Verdana" w:cs="Arial"/>
          <w:color w:val="000000"/>
          <w:vertAlign w:val="superscript"/>
          <w:lang w:val="es-ES" w:eastAsia="es-ES"/>
        </w:rPr>
        <w:footnoteReference w:id="7"/>
      </w:r>
      <w:r w:rsidRPr="6CCF4ABA">
        <w:rPr>
          <w:rFonts w:ascii="Verdana" w:eastAsia="Calibri" w:hAnsi="Verdana" w:cs="Arial"/>
          <w:color w:val="000000"/>
          <w:lang w:val="es-ES" w:eastAsia="es-ES"/>
        </w:rPr>
        <w:t>. Además, tienen la carga de elaborarlos de manera idónea, objetiva, clara, precisa y completa, tal como se deduce de la disposición citada.</w:t>
      </w:r>
    </w:p>
    <w:p w14:paraId="1BCD6186" w14:textId="77777777" w:rsidR="002F448C" w:rsidRDefault="002F448C" w:rsidP="002F448C">
      <w:pPr>
        <w:spacing w:after="0" w:line="276" w:lineRule="auto"/>
        <w:ind w:firstLine="708"/>
        <w:jc w:val="both"/>
        <w:rPr>
          <w:rFonts w:ascii="Verdana" w:eastAsia="Calibri" w:hAnsi="Verdana" w:cs="Arial"/>
          <w:color w:val="000000"/>
          <w:lang w:val="es-ES" w:eastAsia="es-ES"/>
        </w:rPr>
      </w:pPr>
    </w:p>
    <w:p w14:paraId="31231C9C" w14:textId="77777777" w:rsidR="002F448C" w:rsidRDefault="002F448C" w:rsidP="002F448C">
      <w:pPr>
        <w:spacing w:after="0" w:line="276" w:lineRule="auto"/>
        <w:ind w:firstLine="708"/>
        <w:jc w:val="both"/>
        <w:rPr>
          <w:rFonts w:ascii="Verdana" w:eastAsia="Calibri" w:hAnsi="Verdana" w:cs="Arial"/>
          <w:bCs/>
          <w:color w:val="000000" w:themeColor="text1"/>
          <w:lang w:val="es-ES"/>
        </w:rPr>
      </w:pPr>
      <w:r w:rsidRPr="00B24F85">
        <w:rPr>
          <w:rFonts w:ascii="Verdana" w:eastAsia="Calibri" w:hAnsi="Verdana" w:cs="Arial"/>
          <w:bCs/>
          <w:color w:val="000000" w:themeColor="text1"/>
          <w:lang w:val="es-ES"/>
        </w:rPr>
        <w:t>De otra parte</w:t>
      </w:r>
      <w:r>
        <w:rPr>
          <w:rFonts w:ascii="Verdana" w:eastAsia="Calibri" w:hAnsi="Verdana" w:cs="Arial"/>
          <w:bCs/>
          <w:color w:val="000000" w:themeColor="text1"/>
          <w:lang w:val="es-ES"/>
        </w:rPr>
        <w:t xml:space="preserve">, y </w:t>
      </w:r>
      <w:r w:rsidRPr="00B24F85">
        <w:rPr>
          <w:rFonts w:ascii="Verdana" w:eastAsia="Calibri" w:hAnsi="Verdana" w:cs="Arial"/>
          <w:bCs/>
          <w:color w:val="000000" w:themeColor="text1"/>
          <w:lang w:val="es-ES"/>
        </w:rPr>
        <w:t xml:space="preserve">con el propósito de </w:t>
      </w:r>
      <w:r w:rsidRPr="00B24F85">
        <w:rPr>
          <w:rFonts w:ascii="Verdana" w:hAnsi="Verdana" w:cs="Arial"/>
          <w:color w:val="000000" w:themeColor="text1"/>
        </w:rPr>
        <w:t>resolver la consulta s</w:t>
      </w:r>
      <w:r w:rsidRPr="00B24F85">
        <w:rPr>
          <w:rStyle w:val="citation-121"/>
          <w:rFonts w:ascii="Verdana" w:hAnsi="Verdana"/>
          <w:color w:val="000000" w:themeColor="text1"/>
        </w:rPr>
        <w:t>obre si el término de un (1) día hábil en los procesos de mínima cuantía debe entenderse como un lapso cronológico de veinticuatro horas o como el día calendario completo hasta la medianoche</w:t>
      </w:r>
      <w:r>
        <w:rPr>
          <w:rFonts w:ascii="Verdana" w:eastAsia="Calibri" w:hAnsi="Verdana" w:cs="Arial"/>
          <w:bCs/>
          <w:color w:val="000000" w:themeColor="text1"/>
          <w:lang w:val="es-ES"/>
        </w:rPr>
        <w:t>, e</w:t>
      </w:r>
      <w:r w:rsidRPr="00B24F85">
        <w:rPr>
          <w:rFonts w:ascii="Verdana" w:eastAsia="Calibri" w:hAnsi="Verdana" w:cs="Arial"/>
          <w:bCs/>
          <w:color w:val="000000" w:themeColor="text1"/>
          <w:lang w:val="es-ES"/>
        </w:rPr>
        <w:t xml:space="preserve">l numeral 5 del artículo 2 de la Ley 1150 de 2007, adicionado por el artículo el artículo 94 de la Ley 1474 de 2011 y modificado por el artículo 30 de la Ley 2069 de 2020, al regular esta modalidad de selección, establece, en el literal a), que la invitación a participar en procedimientos de selección de mínima cuantía debe publicarse por un término no inferior a un día hábil. </w:t>
      </w:r>
    </w:p>
    <w:p w14:paraId="2B0D58BA" w14:textId="77777777" w:rsidR="002F448C" w:rsidRPr="008D0382" w:rsidRDefault="002F448C" w:rsidP="002F448C">
      <w:pPr>
        <w:spacing w:after="0" w:line="276" w:lineRule="auto"/>
        <w:ind w:firstLine="708"/>
        <w:jc w:val="both"/>
        <w:rPr>
          <w:rFonts w:ascii="Verdana" w:eastAsia="Calibri" w:hAnsi="Verdana" w:cs="Arial"/>
          <w:color w:val="000000"/>
          <w:lang w:val="es-ES" w:eastAsia="es-ES"/>
        </w:rPr>
      </w:pPr>
    </w:p>
    <w:p w14:paraId="3A11990F"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Por su parte, el artículo 2.2.1.2.1.5.2 del Decreto 1082 de 2015 –modificado por el Decreto 1860 de 2021–</w:t>
      </w:r>
      <w:r w:rsidRPr="009902FF">
        <w:rPr>
          <w:rFonts w:ascii="Verdana" w:eastAsia="Calibri" w:hAnsi="Verdana" w:cs="Arial"/>
          <w:bCs/>
          <w:color w:val="000000" w:themeColor="text1"/>
          <w:vertAlign w:val="superscript"/>
          <w:lang w:val="es-ES"/>
        </w:rPr>
        <w:footnoteReference w:id="8"/>
      </w:r>
      <w:r w:rsidRPr="009902FF">
        <w:rPr>
          <w:rFonts w:ascii="Verdana" w:eastAsia="Calibri" w:hAnsi="Verdana" w:cs="Arial"/>
          <w:bCs/>
          <w:color w:val="000000" w:themeColor="text1"/>
          <w:lang w:val="es-ES"/>
        </w:rPr>
        <w:t xml:space="preserve">, al reglamentar el procedimiento de esta modalidad de escogencia, establece, en el numeral 3, que “[l]a invitación se publicará por un término no inferior a un (1) día hábil, y en el numeral 4, que “se dispondrá un término adicional dentro del cual los proponentes podrán presentar sus ofertas, el cual será de mínimo un (1) día hábil luego de publicado el aviso en que se informe si el proceso se limita o no a MiPymes” </w:t>
      </w:r>
      <w:r w:rsidRPr="009902FF">
        <w:rPr>
          <w:rFonts w:ascii="Verdana" w:eastAsia="Calibri" w:hAnsi="Verdana" w:cs="Arial"/>
          <w:bCs/>
          <w:color w:val="000000" w:themeColor="text1"/>
          <w:vertAlign w:val="superscript"/>
          <w:lang w:val="es-ES"/>
        </w:rPr>
        <w:footnoteReference w:id="9"/>
      </w:r>
      <w:r w:rsidRPr="009902FF">
        <w:rPr>
          <w:rFonts w:ascii="Verdana" w:eastAsia="Calibri" w:hAnsi="Verdana" w:cs="Arial"/>
          <w:bCs/>
          <w:color w:val="000000" w:themeColor="text1"/>
          <w:lang w:val="es-ES"/>
        </w:rPr>
        <w:t>.</w:t>
      </w:r>
    </w:p>
    <w:p w14:paraId="5029A4D9"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Pr>
          <w:rFonts w:ascii="Verdana" w:eastAsia="Calibri" w:hAnsi="Verdana" w:cs="Arial"/>
          <w:bCs/>
          <w:color w:val="000000" w:themeColor="text1"/>
          <w:lang w:val="es-ES"/>
        </w:rPr>
        <w:lastRenderedPageBreak/>
        <w:t xml:space="preserve">        </w:t>
      </w:r>
      <w:r w:rsidRPr="009902FF">
        <w:rPr>
          <w:rFonts w:ascii="Verdana" w:eastAsia="Calibri" w:hAnsi="Verdana" w:cs="Arial"/>
          <w:bCs/>
          <w:color w:val="000000" w:themeColor="text1"/>
          <w:lang w:val="es-MX"/>
        </w:rPr>
        <w:t>Debe reconocerse que no existe una acepción unívoca de día hábil, pues no existe certidumbre de cuáles son los días de la semana que pueden entenderse como hábiles, y ello en principio posibilita que las entidades regulen de manera disímil los términos de la modalidad de selección que aquí se trata</w:t>
      </w:r>
      <w:r w:rsidRPr="009902FF">
        <w:rPr>
          <w:rFonts w:ascii="Verdana" w:eastAsia="Calibri" w:hAnsi="Verdana" w:cs="Arial"/>
          <w:bCs/>
          <w:color w:val="000000" w:themeColor="text1"/>
          <w:lang w:val="es-ES"/>
        </w:rPr>
        <w:t xml:space="preserve">. </w:t>
      </w:r>
    </w:p>
    <w:p w14:paraId="68A5EED9"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 xml:space="preserve">La ausencia de definición legal de día hábil autoriza acudir al sentido natural y obvio de la palabra </w:t>
      </w:r>
      <w:r w:rsidRPr="009902FF">
        <w:rPr>
          <w:rFonts w:ascii="Verdana" w:eastAsia="Calibri" w:hAnsi="Verdana" w:cs="Arial"/>
          <w:bCs/>
          <w:i/>
          <w:iCs/>
          <w:color w:val="000000" w:themeColor="text1"/>
          <w:lang w:val="es-ES"/>
        </w:rPr>
        <w:t>hábil</w:t>
      </w:r>
      <w:r w:rsidRPr="009902FF">
        <w:rPr>
          <w:rFonts w:ascii="Verdana" w:eastAsia="Calibri" w:hAnsi="Verdana" w:cs="Arial"/>
          <w:bCs/>
          <w:color w:val="000000" w:themeColor="text1"/>
          <w:lang w:val="es-ES"/>
        </w:rPr>
        <w:t>, encontrándonos las siguientes acepciones “1. adj. Capaz de realizar con éxito una tarea manual. 2. adj. Dotado del talento para actuar adecuadamente o lograr su objetivo. 3. adj. Propio de una persona hábil. 4. adj. Apto o adecuado para algo. 5. adj. Dicho de un período de tiempo: Establecido como válido o computable para realizar una actividad, especialmente administrativa o judicial”</w:t>
      </w:r>
      <w:r w:rsidRPr="009902FF">
        <w:rPr>
          <w:rFonts w:ascii="Verdana" w:eastAsia="Calibri" w:hAnsi="Verdana" w:cs="Arial"/>
          <w:bCs/>
          <w:color w:val="000000" w:themeColor="text1"/>
          <w:vertAlign w:val="superscript"/>
          <w:lang w:val="es-ES"/>
        </w:rPr>
        <w:footnoteReference w:id="10"/>
      </w:r>
      <w:r w:rsidRPr="009902FF">
        <w:rPr>
          <w:rFonts w:ascii="Verdana" w:eastAsia="Calibri" w:hAnsi="Verdana" w:cs="Arial"/>
          <w:bCs/>
          <w:color w:val="000000" w:themeColor="text1"/>
          <w:lang w:val="es-ES"/>
        </w:rPr>
        <w:t>. La última acepción se ajusta al entendimiento normativo. Sin embargo, no es suficiente para absolver lo que se indaga, en la medida en que corresponde al ordenamiento jurídico establecer cuáles son los días válidos para realizar las actuaciones.</w:t>
      </w:r>
      <w:r w:rsidRPr="009902FF">
        <w:rPr>
          <w:rFonts w:ascii="Verdana" w:eastAsia="Calibri" w:hAnsi="Verdana" w:cs="Arial"/>
          <w:bCs/>
          <w:color w:val="000000" w:themeColor="text1"/>
          <w:lang w:val="es-ES"/>
        </w:rPr>
        <w:tab/>
      </w:r>
    </w:p>
    <w:p w14:paraId="40C8E8C1" w14:textId="77777777" w:rsidR="002F448C" w:rsidRPr="009902FF" w:rsidRDefault="002F448C" w:rsidP="002F448C">
      <w:pPr>
        <w:shd w:val="clear" w:color="auto" w:fill="FFFFFF" w:themeFill="background1"/>
        <w:spacing w:after="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A pesar de no existir una definición legal, existen normas supletivas que tienen como función servir de pautas para el cómputo de términos previstos en la ley, cuando no ha sido regulado de forma específica por las disposiciones que consagran dichos plazos. Los artículos 59 y 62 de la Ley 4 de 1913 disponen que:</w:t>
      </w:r>
    </w:p>
    <w:p w14:paraId="7695F97E" w14:textId="77777777" w:rsidR="002F448C" w:rsidRPr="009902FF" w:rsidRDefault="002F448C" w:rsidP="002F448C">
      <w:pPr>
        <w:shd w:val="clear" w:color="auto" w:fill="FFFFFF" w:themeFill="background1"/>
        <w:spacing w:after="0" w:line="276" w:lineRule="auto"/>
        <w:ind w:left="709" w:right="709"/>
        <w:jc w:val="both"/>
        <w:textAlignment w:val="baseline"/>
        <w:rPr>
          <w:rFonts w:ascii="Verdana" w:eastAsia="Calibri" w:hAnsi="Verdana" w:cs="Arial"/>
          <w:bCs/>
          <w:color w:val="000000" w:themeColor="text1"/>
          <w:lang w:val="es-MX"/>
        </w:rPr>
      </w:pPr>
      <w:r w:rsidRPr="009902FF">
        <w:rPr>
          <w:rFonts w:ascii="Verdana" w:eastAsia="Calibri" w:hAnsi="Verdana" w:cs="Arial"/>
          <w:bCs/>
          <w:color w:val="000000" w:themeColor="text1"/>
          <w:lang w:val="es-MX"/>
        </w:rPr>
        <w:t>“Artículo 59.</w:t>
      </w:r>
      <w:r w:rsidRPr="009902FF">
        <w:rPr>
          <w:rFonts w:ascii="Verdana" w:eastAsia="Calibri" w:hAnsi="Verdana" w:cs="Arial"/>
          <w:b/>
          <w:bCs/>
          <w:color w:val="000000" w:themeColor="text1"/>
          <w:lang w:val="es-MX"/>
        </w:rPr>
        <w:t> </w:t>
      </w:r>
      <w:r w:rsidRPr="009902FF">
        <w:rPr>
          <w:rFonts w:ascii="Verdana" w:eastAsia="Calibri" w:hAnsi="Verdana" w:cs="Arial"/>
          <w:bCs/>
          <w:color w:val="000000" w:themeColor="text1"/>
          <w:lang w:val="es-MX"/>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72915E9E" w14:textId="77777777" w:rsidR="002F448C" w:rsidRPr="009902FF" w:rsidRDefault="002F448C" w:rsidP="002F448C">
      <w:pPr>
        <w:shd w:val="clear" w:color="auto" w:fill="FFFFFF" w:themeFill="background1"/>
        <w:spacing w:after="0" w:line="276" w:lineRule="auto"/>
        <w:ind w:left="709" w:right="709"/>
        <w:jc w:val="both"/>
        <w:textAlignment w:val="baseline"/>
        <w:rPr>
          <w:rFonts w:ascii="Verdana" w:eastAsia="Calibri" w:hAnsi="Verdana" w:cs="Arial"/>
          <w:bCs/>
          <w:color w:val="000000" w:themeColor="text1"/>
          <w:lang w:val="es-MX"/>
        </w:rPr>
      </w:pPr>
      <w:r w:rsidRPr="009902FF">
        <w:rPr>
          <w:rFonts w:ascii="Verdana" w:eastAsia="Calibri" w:hAnsi="Verdana" w:cs="Arial"/>
          <w:bCs/>
          <w:color w:val="000000" w:themeColor="text1"/>
          <w:lang w:val="es-MX"/>
        </w:rPr>
        <w:lastRenderedPageBreak/>
        <w:t>[…]</w:t>
      </w:r>
    </w:p>
    <w:p w14:paraId="4DE7B960" w14:textId="77777777" w:rsidR="002F448C" w:rsidRPr="009902FF" w:rsidRDefault="002F448C" w:rsidP="002F448C">
      <w:pPr>
        <w:shd w:val="clear" w:color="auto" w:fill="FFFFFF" w:themeFill="background1"/>
        <w:spacing w:after="0" w:line="276" w:lineRule="auto"/>
        <w:ind w:left="709" w:right="709"/>
        <w:jc w:val="both"/>
        <w:textAlignment w:val="baseline"/>
        <w:rPr>
          <w:rFonts w:ascii="Verdana" w:eastAsia="Calibri" w:hAnsi="Verdana" w:cs="Arial"/>
          <w:bCs/>
          <w:color w:val="000000" w:themeColor="text1"/>
          <w:lang w:val="es-MX"/>
        </w:rPr>
      </w:pPr>
      <w:r w:rsidRPr="009902FF">
        <w:rPr>
          <w:rFonts w:ascii="Verdana" w:eastAsia="Calibri" w:hAnsi="Verdana" w:cs="Arial"/>
          <w:bCs/>
          <w:color w:val="000000" w:themeColor="text1"/>
          <w:lang w:val="es-MX"/>
        </w:rPr>
        <w:t>Artículo 62.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 </w:t>
      </w:r>
    </w:p>
    <w:p w14:paraId="4DBF79F5" w14:textId="77777777" w:rsidR="002F448C" w:rsidRPr="009902FF" w:rsidRDefault="002F448C" w:rsidP="002F448C">
      <w:pPr>
        <w:shd w:val="clear" w:color="auto" w:fill="FFFFFF" w:themeFill="background1"/>
        <w:spacing w:after="0" w:line="276" w:lineRule="auto"/>
        <w:jc w:val="both"/>
        <w:textAlignment w:val="baseline"/>
        <w:rPr>
          <w:rFonts w:ascii="Verdana" w:eastAsia="Calibri" w:hAnsi="Verdana" w:cs="Arial"/>
          <w:bCs/>
          <w:color w:val="000000" w:themeColor="text1"/>
          <w:lang w:val="es-ES"/>
        </w:rPr>
      </w:pPr>
    </w:p>
    <w:p w14:paraId="45B67CED"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 xml:space="preserve">El artículo 59 establece que los plazos a los que se haga mención en la ley terminan a la medianoche, y que por </w:t>
      </w:r>
      <w:r w:rsidRPr="009902FF">
        <w:rPr>
          <w:rFonts w:ascii="Verdana" w:eastAsia="Calibri" w:hAnsi="Verdana" w:cs="Arial"/>
          <w:bCs/>
          <w:i/>
          <w:iCs/>
          <w:color w:val="000000" w:themeColor="text1"/>
          <w:lang w:val="es-ES"/>
        </w:rPr>
        <w:t xml:space="preserve">día </w:t>
      </w:r>
      <w:r w:rsidRPr="009902FF">
        <w:rPr>
          <w:rFonts w:ascii="Verdana" w:eastAsia="Calibri" w:hAnsi="Verdana" w:cs="Arial"/>
          <w:bCs/>
          <w:color w:val="000000" w:themeColor="text1"/>
          <w:lang w:val="es-ES"/>
        </w:rPr>
        <w:t>se entiende el espacio de veinticuatro horas; mientras que el artículo 62 establece que de los plazos de días señalados en la ley se entienden suprimidos los feriados, y que cuando se aluda a meses se computarán conforme al calendario, extendiéndose hasta el día hábil siguiente si el mes termina en un día feriado o vacante. Si bien las reglas establecidas en estas normas no permiten esclarecer cómo deben computarse términos de un único día hábil, ni definen los días hábiles, sí denotan cierta antonimia con los vacantes y feriados, lo cual, en línea con la definición de uso común a la que antes se hacía referencia, indica que por hábiles se entiende los días laborables</w:t>
      </w:r>
      <w:r w:rsidRPr="009902FF">
        <w:rPr>
          <w:rFonts w:ascii="Verdana" w:eastAsia="Calibri" w:hAnsi="Verdana" w:cs="Arial"/>
          <w:bCs/>
          <w:color w:val="000000" w:themeColor="text1"/>
          <w:vertAlign w:val="superscript"/>
          <w:lang w:val="es-ES"/>
        </w:rPr>
        <w:footnoteReference w:id="11"/>
      </w:r>
      <w:r w:rsidRPr="009902FF">
        <w:rPr>
          <w:rFonts w:ascii="Verdana" w:eastAsia="Calibri" w:hAnsi="Verdana" w:cs="Arial"/>
          <w:bCs/>
          <w:color w:val="000000" w:themeColor="text1"/>
          <w:lang w:val="es-ES"/>
        </w:rPr>
        <w:t>.</w:t>
      </w:r>
    </w:p>
    <w:p w14:paraId="04E37089" w14:textId="77777777" w:rsidR="002F448C" w:rsidRPr="009902FF" w:rsidRDefault="002F448C" w:rsidP="002F448C">
      <w:pPr>
        <w:shd w:val="clear" w:color="auto" w:fill="FFFFFF" w:themeFill="background1"/>
        <w:spacing w:after="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Así, por ejemplo, en la sentencia del 12 de abril de 1978 explicó lo siguiente:</w:t>
      </w:r>
    </w:p>
    <w:p w14:paraId="2460E27B" w14:textId="77777777" w:rsidR="002F448C" w:rsidRPr="009902FF" w:rsidRDefault="002F448C" w:rsidP="002F448C">
      <w:pPr>
        <w:shd w:val="clear" w:color="auto" w:fill="FFFFFF" w:themeFill="background1"/>
        <w:spacing w:after="0" w:line="276" w:lineRule="auto"/>
        <w:jc w:val="both"/>
        <w:textAlignment w:val="baseline"/>
        <w:rPr>
          <w:rFonts w:ascii="Verdana" w:eastAsia="Calibri" w:hAnsi="Verdana" w:cs="Arial"/>
          <w:bCs/>
          <w:color w:val="000000" w:themeColor="text1"/>
          <w:lang w:val="es-ES"/>
        </w:rPr>
      </w:pPr>
    </w:p>
    <w:p w14:paraId="33DD50B1" w14:textId="77777777" w:rsidR="002F448C" w:rsidRDefault="002F448C" w:rsidP="002F448C">
      <w:pPr>
        <w:shd w:val="clear" w:color="auto" w:fill="FFFFFF" w:themeFill="background1"/>
        <w:spacing w:after="0" w:line="276" w:lineRule="auto"/>
        <w:ind w:left="709" w:right="709"/>
        <w:jc w:val="both"/>
        <w:textAlignment w:val="baseline"/>
        <w:rPr>
          <w:rFonts w:ascii="Verdana" w:eastAsia="Calibri" w:hAnsi="Verdana" w:cs="Arial"/>
          <w:bCs/>
          <w:color w:val="000000" w:themeColor="text1"/>
          <w:lang w:val="es-MX"/>
        </w:rPr>
      </w:pPr>
      <w:r w:rsidRPr="009902FF">
        <w:rPr>
          <w:rFonts w:ascii="Verdana" w:eastAsia="Calibri" w:hAnsi="Verdana" w:cs="Arial"/>
          <w:bCs/>
          <w:color w:val="000000" w:themeColor="text1"/>
          <w:lang w:val="es-MX"/>
        </w:rPr>
        <w:t xml:space="preserve">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w:t>
      </w:r>
      <w:r w:rsidRPr="009902FF">
        <w:rPr>
          <w:rFonts w:ascii="Verdana" w:eastAsia="Calibri" w:hAnsi="Verdana" w:cs="Arial"/>
          <w:bCs/>
          <w:color w:val="000000" w:themeColor="text1"/>
          <w:lang w:val="es-MX"/>
        </w:rPr>
        <w:lastRenderedPageBreak/>
        <w:t>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9902FF">
        <w:rPr>
          <w:rFonts w:ascii="Verdana" w:eastAsia="Calibri" w:hAnsi="Verdana" w:cs="Arial"/>
          <w:bCs/>
          <w:color w:val="000000" w:themeColor="text1"/>
          <w:vertAlign w:val="superscript"/>
          <w:lang w:val="es-MX"/>
        </w:rPr>
        <w:footnoteReference w:id="12"/>
      </w:r>
      <w:r w:rsidRPr="009902FF">
        <w:rPr>
          <w:rFonts w:ascii="Verdana" w:eastAsia="Calibri" w:hAnsi="Verdana" w:cs="Arial"/>
          <w:bCs/>
          <w:color w:val="000000" w:themeColor="text1"/>
          <w:lang w:val="es-MX"/>
        </w:rPr>
        <w:t>.</w:t>
      </w:r>
    </w:p>
    <w:p w14:paraId="4C6D5F21" w14:textId="77777777" w:rsidR="002F448C" w:rsidRPr="009902FF" w:rsidRDefault="002F448C" w:rsidP="002F448C">
      <w:pPr>
        <w:shd w:val="clear" w:color="auto" w:fill="FFFFFF" w:themeFill="background1"/>
        <w:spacing w:after="0" w:line="276" w:lineRule="auto"/>
        <w:ind w:left="709" w:right="709"/>
        <w:jc w:val="both"/>
        <w:textAlignment w:val="baseline"/>
        <w:rPr>
          <w:rFonts w:ascii="Verdana" w:eastAsia="Calibri" w:hAnsi="Verdana" w:cs="Arial"/>
          <w:bCs/>
          <w:color w:val="000000" w:themeColor="text1"/>
          <w:lang w:val="es-ES"/>
        </w:rPr>
      </w:pPr>
    </w:p>
    <w:p w14:paraId="1AE7641C" w14:textId="77777777" w:rsidR="002F448C" w:rsidRPr="009902FF" w:rsidRDefault="002F448C" w:rsidP="002F448C">
      <w:pPr>
        <w:shd w:val="clear" w:color="auto" w:fill="FFFFFF" w:themeFill="background1"/>
        <w:spacing w:after="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39F847F6" w14:textId="77777777" w:rsidR="002F448C" w:rsidRPr="009902FF" w:rsidRDefault="002F448C" w:rsidP="002F448C">
      <w:pPr>
        <w:shd w:val="clear" w:color="auto" w:fill="FFFFFF" w:themeFill="background1"/>
        <w:spacing w:after="0" w:line="276" w:lineRule="auto"/>
        <w:jc w:val="both"/>
        <w:textAlignment w:val="baseline"/>
        <w:rPr>
          <w:rFonts w:ascii="Verdana" w:eastAsia="Calibri" w:hAnsi="Verdana" w:cs="Arial"/>
          <w:bCs/>
          <w:color w:val="000000" w:themeColor="text1"/>
          <w:lang w:val="es-ES"/>
        </w:rPr>
      </w:pPr>
    </w:p>
    <w:p w14:paraId="04ED6E47" w14:textId="77777777" w:rsidR="002F448C" w:rsidRPr="009902FF" w:rsidRDefault="002F448C" w:rsidP="002F448C">
      <w:pPr>
        <w:shd w:val="clear" w:color="auto" w:fill="FFFFFF" w:themeFill="background1"/>
        <w:spacing w:after="0" w:line="276" w:lineRule="auto"/>
        <w:ind w:left="709" w:right="709"/>
        <w:jc w:val="both"/>
        <w:textAlignment w:val="baseline"/>
        <w:rPr>
          <w:rFonts w:ascii="Verdana" w:eastAsia="Calibri" w:hAnsi="Verdana" w:cs="Arial"/>
          <w:bCs/>
          <w:color w:val="000000" w:themeColor="text1"/>
        </w:rPr>
      </w:pPr>
      <w:r w:rsidRPr="009902FF">
        <w:rPr>
          <w:rFonts w:ascii="Verdana" w:eastAsia="Calibri" w:hAnsi="Verdana" w:cs="Arial"/>
          <w:bCs/>
          <w:color w:val="000000" w:themeColor="text1"/>
        </w:rPr>
        <w:t>[E]l cómputo de días hábiles de que trata el artículo 62 de la Ley 4.ª de 1913 debe realizarse con base en los días laborables forzosos, teniendo por tales todos los del año, excluidos los señalados por la ley como de descanso remunerado.</w:t>
      </w:r>
    </w:p>
    <w:p w14:paraId="23AC5F54" w14:textId="77777777" w:rsidR="002F448C" w:rsidRPr="009902FF" w:rsidRDefault="002F448C" w:rsidP="002F448C">
      <w:pPr>
        <w:shd w:val="clear" w:color="auto" w:fill="FFFFFF" w:themeFill="background1"/>
        <w:spacing w:after="0" w:line="276" w:lineRule="auto"/>
        <w:ind w:left="709" w:right="709"/>
        <w:jc w:val="both"/>
        <w:textAlignment w:val="baseline"/>
        <w:rPr>
          <w:rFonts w:ascii="Verdana" w:eastAsia="Calibri" w:hAnsi="Verdana" w:cs="Arial"/>
          <w:bCs/>
          <w:color w:val="000000" w:themeColor="text1"/>
        </w:rPr>
      </w:pPr>
    </w:p>
    <w:p w14:paraId="26D1E293" w14:textId="77777777" w:rsidR="002F448C" w:rsidRPr="009902FF" w:rsidRDefault="002F448C" w:rsidP="002F448C">
      <w:pPr>
        <w:shd w:val="clear" w:color="auto" w:fill="FFFFFF" w:themeFill="background1"/>
        <w:spacing w:after="0" w:line="276" w:lineRule="auto"/>
        <w:ind w:left="709" w:right="709"/>
        <w:jc w:val="both"/>
        <w:textAlignment w:val="baseline"/>
        <w:rPr>
          <w:rFonts w:ascii="Verdana" w:eastAsia="Calibri" w:hAnsi="Verdana" w:cs="Arial"/>
          <w:bCs/>
          <w:color w:val="000000" w:themeColor="text1"/>
        </w:rPr>
      </w:pPr>
      <w:r w:rsidRPr="009902FF">
        <w:rPr>
          <w:rFonts w:ascii="Verdana" w:eastAsia="Calibri" w:hAnsi="Verdana" w:cs="Arial"/>
          <w:bCs/>
          <w:color w:val="000000" w:themeColor="text1"/>
        </w:rPr>
        <w:t xml:space="preserve">Así, el criterio que determina el carácter de hábil de los días, para el cómputo de los términos legales, es el de su </w:t>
      </w:r>
      <w:proofErr w:type="spellStart"/>
      <w:r w:rsidRPr="009902FF">
        <w:rPr>
          <w:rFonts w:ascii="Verdana" w:eastAsia="Calibri" w:hAnsi="Verdana" w:cs="Arial"/>
          <w:bCs/>
          <w:color w:val="000000" w:themeColor="text1"/>
        </w:rPr>
        <w:t>laborabilidad</w:t>
      </w:r>
      <w:proofErr w:type="spellEnd"/>
      <w:r w:rsidRPr="009902FF">
        <w:rPr>
          <w:rFonts w:ascii="Verdana" w:eastAsia="Calibri" w:hAnsi="Verdana" w:cs="Arial"/>
          <w:bCs/>
          <w:color w:val="000000" w:themeColor="text1"/>
        </w:rPr>
        <w:t xml:space="preserve">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1.°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Pr="009902FF">
        <w:rPr>
          <w:rFonts w:ascii="Verdana" w:eastAsia="Calibri" w:hAnsi="Verdana" w:cs="Arial"/>
          <w:bCs/>
          <w:color w:val="000000" w:themeColor="text1"/>
          <w:vertAlign w:val="superscript"/>
        </w:rPr>
        <w:footnoteReference w:id="13"/>
      </w:r>
      <w:r w:rsidRPr="009902FF">
        <w:rPr>
          <w:rFonts w:ascii="Verdana" w:eastAsia="Calibri" w:hAnsi="Verdana" w:cs="Arial"/>
          <w:bCs/>
          <w:color w:val="000000" w:themeColor="text1"/>
        </w:rPr>
        <w:t>.</w:t>
      </w:r>
    </w:p>
    <w:p w14:paraId="5CEDD8B3" w14:textId="77777777" w:rsidR="002F448C" w:rsidRPr="009902FF" w:rsidRDefault="002F448C" w:rsidP="002F448C">
      <w:pPr>
        <w:shd w:val="clear" w:color="auto" w:fill="FFFFFF" w:themeFill="background1"/>
        <w:spacing w:after="0" w:line="276" w:lineRule="auto"/>
        <w:ind w:left="709" w:right="709"/>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lastRenderedPageBreak/>
        <w:t xml:space="preserve"> </w:t>
      </w:r>
    </w:p>
    <w:p w14:paraId="2B9F26D1"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r>
      <w:bookmarkStart w:id="3" w:name="_Hlk100070990"/>
      <w:r w:rsidRPr="009902FF">
        <w:rPr>
          <w:rFonts w:ascii="Verdana" w:eastAsia="Calibri" w:hAnsi="Verdana" w:cs="Arial"/>
          <w:bCs/>
          <w:color w:val="000000" w:themeColor="text1"/>
          <w:lang w:val="es-ES"/>
        </w:rPr>
        <w:t>De esta manera, los días hábiles se determinan según la entidad, ya que “cada entidad pública establece la jornada laboral, a través de su reglamento interno, dando certeza sobre los días que atienden al público, e indirectamente definiendo qué día es hábil en determinada institución”</w:t>
      </w:r>
      <w:r w:rsidRPr="009902FF">
        <w:rPr>
          <w:rFonts w:ascii="Verdana" w:eastAsia="Calibri" w:hAnsi="Verdana" w:cs="Arial"/>
          <w:bCs/>
          <w:color w:val="000000" w:themeColor="text1"/>
          <w:vertAlign w:val="superscript"/>
          <w:lang w:val="es-ES"/>
        </w:rPr>
        <w:footnoteReference w:id="14"/>
      </w:r>
      <w:r w:rsidRPr="009902FF">
        <w:rPr>
          <w:rFonts w:ascii="Verdana" w:eastAsia="Calibri" w:hAnsi="Verdana" w:cs="Arial"/>
          <w:bCs/>
          <w:color w:val="000000" w:themeColor="text1"/>
          <w:lang w:val="es-ES"/>
        </w:rPr>
        <w:t>,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w:t>
      </w:r>
      <w:r w:rsidRPr="009902FF">
        <w:rPr>
          <w:rFonts w:ascii="Verdana" w:eastAsia="Calibri" w:hAnsi="Verdana" w:cs="Arial"/>
          <w:bCs/>
          <w:color w:val="000000" w:themeColor="text1"/>
          <w:vertAlign w:val="superscript"/>
          <w:lang w:val="es-ES"/>
        </w:rPr>
        <w:footnoteReference w:id="15"/>
      </w:r>
      <w:r w:rsidRPr="009902FF">
        <w:rPr>
          <w:rFonts w:ascii="Verdana" w:eastAsia="Calibri" w:hAnsi="Verdana" w:cs="Arial"/>
          <w:bCs/>
          <w:color w:val="000000" w:themeColor="text1"/>
          <w:lang w:val="es-ES"/>
        </w:rPr>
        <w:t xml:space="preserve">, ejemplo donde los días laborables o hábiles son todos los de la semana, con excepción del miércoles. </w:t>
      </w:r>
    </w:p>
    <w:p w14:paraId="13A0E6F6"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 xml:space="preserve">Esto implica, respecto del término para publicar la invitación y para la presentación de ofertas en procedimientos de mínima cuantía, así como para el cómputo de los demás términos en días hábiles propios de estos procesos de selección, que deberá transcurrir dentro de los días definidos por cada entidad estatal como laborables en su correspondiente reglamento o manual de funciones. </w:t>
      </w:r>
    </w:p>
    <w:bookmarkEnd w:id="3"/>
    <w:p w14:paraId="1EC92657"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 xml:space="preserve">Lo anterior supone varias posibilidades para fijar y realizar el cómputo de dichos términos, con especial importancia cuando se fijan por el mínimo legal de un día hábil, por lo que resultan posibles las siguientes interpretaciones: i) que el plazo está comprendido por un espacio de veinticuatro (24) horas consecutivas, cuyos extremos están ubicados dentro de las horas laborables de la entidad, de tal manera que una entidad con un horario de atención entre las 8:00 y 17:00 horas, podrá fijar un término para recibir ofertas entre las 15:00 horas de un día y las 15:00 horas del siguiente; </w:t>
      </w:r>
      <w:proofErr w:type="spellStart"/>
      <w:r w:rsidRPr="009902FF">
        <w:rPr>
          <w:rFonts w:ascii="Verdana" w:eastAsia="Calibri" w:hAnsi="Verdana" w:cs="Arial"/>
          <w:bCs/>
          <w:color w:val="000000" w:themeColor="text1"/>
          <w:lang w:val="es-ES"/>
        </w:rPr>
        <w:t>ii</w:t>
      </w:r>
      <w:proofErr w:type="spellEnd"/>
      <w:r w:rsidRPr="009902FF">
        <w:rPr>
          <w:rFonts w:ascii="Verdana" w:eastAsia="Calibri" w:hAnsi="Verdana" w:cs="Arial"/>
          <w:bCs/>
          <w:color w:val="000000" w:themeColor="text1"/>
          <w:lang w:val="es-ES"/>
        </w:rPr>
        <w:t xml:space="preserve">) que el día hábil al que hace referencia la ley está comprendido por las horas durante las cuales la entidad </w:t>
      </w:r>
      <w:r w:rsidRPr="009902FF">
        <w:rPr>
          <w:rFonts w:ascii="Verdana" w:eastAsia="Calibri" w:hAnsi="Verdana" w:cs="Arial"/>
          <w:bCs/>
          <w:color w:val="000000" w:themeColor="text1"/>
          <w:lang w:val="es-ES"/>
        </w:rPr>
        <w:lastRenderedPageBreak/>
        <w:t xml:space="preserve">atiende al público durante un día fijado como laborable, por lo que si se establece un horario de atención entre las 8:00 y las 17:00 horas, para cumplir el plazo mínimo la entidad debe publicar la invitación y recibir ofertas únicamente durante dicho lapso; o </w:t>
      </w:r>
      <w:proofErr w:type="spellStart"/>
      <w:r w:rsidRPr="009902FF">
        <w:rPr>
          <w:rFonts w:ascii="Verdana" w:eastAsia="Calibri" w:hAnsi="Verdana" w:cs="Arial"/>
          <w:bCs/>
          <w:color w:val="000000" w:themeColor="text1"/>
          <w:lang w:val="es-ES"/>
        </w:rPr>
        <w:t>iii</w:t>
      </w:r>
      <w:proofErr w:type="spellEnd"/>
      <w:r w:rsidRPr="009902FF">
        <w:rPr>
          <w:rFonts w:ascii="Verdana" w:eastAsia="Calibri" w:hAnsi="Verdana" w:cs="Arial"/>
          <w:bCs/>
          <w:color w:val="000000" w:themeColor="text1"/>
          <w:lang w:val="es-ES"/>
        </w:rPr>
        <w:t xml:space="preserve">) que el término de un día hábil está constituido por las veinticuatro horas que conforman uno de los días laborables definidos por la entidad, empezando a las 00:00 horas y terminando a las 23:59 de dicho día. </w:t>
      </w:r>
    </w:p>
    <w:p w14:paraId="25D08936"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La primera interpretación supone que se tomen horas de la jornada laboral de un día y se complementen con otras del día siguiente, para completar un total de veinticuatro. No obstante, esta forma de entender el plazo para presentar ofertas no es coherente con lo establecido en la ley, que al establecer que el término deberá ser de mínimo un día hábil da a entender que la presentación de ofertas debe tener lugar durante un único día hábil determinado, y no durante veinticuatro horas fraccionadas en dos días. Por ello, e</w:t>
      </w:r>
      <w:r w:rsidRPr="009902FF">
        <w:rPr>
          <w:rFonts w:ascii="Verdana" w:eastAsia="Calibri" w:hAnsi="Verdana" w:cs="Arial"/>
          <w:bCs/>
          <w:color w:val="000000" w:themeColor="text1"/>
          <w:lang w:val="es-MX"/>
        </w:rPr>
        <w:t xml:space="preserve">sta Agencia estima que las entidades, para cumplir el plazo mínimo de un día hábil, necesariamente deben fijar los extremos de este dentro un mismo día solar laborable.   </w:t>
      </w:r>
    </w:p>
    <w:p w14:paraId="4C2C9989"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MX"/>
        </w:rPr>
        <w:tab/>
        <w:t xml:space="preserve">Conforme a lo anterior, la segunda interpretación resulta la más razonable, porque es la adecuada a las circunstancias prácticas propias de la presentación de ofertas, particularmente en el caso de las entidades que publican sus procesos de selección en la plataforma SECOP I, y recibiendo ofertas en medio físico, lo cual implica que durante la vigencia del término para la presentación de ofertas haya una persona disponible en las instalaciones de la entidad  para recibir las ofertas y haga la correspondiente radicación, lo cual solo resulta posible en las horas laborables.  </w:t>
      </w:r>
      <w:r w:rsidRPr="009902FF">
        <w:rPr>
          <w:rFonts w:ascii="Verdana" w:eastAsia="Calibri" w:hAnsi="Verdana" w:cs="Arial"/>
          <w:bCs/>
          <w:color w:val="000000" w:themeColor="text1"/>
          <w:lang w:val="es-ES"/>
        </w:rPr>
        <w:t>A esto se suma el hecho de que las entidades no suelen tener horarios de atención al público de veinticuatro horas diarias, comoquiera que solo están obligadas a garantizar la atención durante cuarenta horas semanales</w:t>
      </w:r>
      <w:r w:rsidRPr="009902FF">
        <w:rPr>
          <w:rFonts w:ascii="Verdana" w:eastAsia="Calibri" w:hAnsi="Verdana" w:cs="Arial"/>
          <w:bCs/>
          <w:color w:val="000000" w:themeColor="text1"/>
          <w:vertAlign w:val="superscript"/>
          <w:lang w:val="es-ES"/>
        </w:rPr>
        <w:footnoteReference w:id="16"/>
      </w:r>
      <w:r w:rsidRPr="009902FF">
        <w:rPr>
          <w:rFonts w:ascii="Verdana" w:eastAsia="Calibri" w:hAnsi="Verdana" w:cs="Arial"/>
          <w:bCs/>
          <w:color w:val="000000" w:themeColor="text1"/>
          <w:lang w:val="es-ES"/>
        </w:rPr>
        <w:t>.</w:t>
      </w:r>
    </w:p>
    <w:p w14:paraId="660AEA18"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 xml:space="preserve">Sin embargo, en los procesos de mínima cuantía adelantados a través de SECOP II, la Agencia Nacional de Contratación Pública – Colombia Compra Eficiente considera que, conforme a la tercera interpretación señalada, es necesario que las entidades extiendan el plazo para presentar  ofertas hasta las 23:59 horas del día previsto para ello, por existir una herramienta tecnológica </w:t>
      </w:r>
      <w:r w:rsidRPr="009902FF">
        <w:rPr>
          <w:rFonts w:ascii="Verdana" w:eastAsia="Calibri" w:hAnsi="Verdana" w:cs="Arial"/>
          <w:bCs/>
          <w:color w:val="000000" w:themeColor="text1"/>
          <w:lang w:val="es-ES"/>
        </w:rPr>
        <w:lastRenderedPageBreak/>
        <w:t>para presentar y recibirlas, que permite que se prescinda de la presencia física del personal para la recibirlas y radicarlas por fuera de la jornada laboral.</w:t>
      </w:r>
    </w:p>
    <w:p w14:paraId="4BC385F1"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 xml:space="preserve">En ese sentido, </w:t>
      </w:r>
      <w:bookmarkStart w:id="4" w:name="_Hlk134437080"/>
      <w:r w:rsidRPr="009902FF">
        <w:rPr>
          <w:rFonts w:ascii="Verdana" w:eastAsia="Calibri" w:hAnsi="Verdana" w:cs="Arial"/>
          <w:bCs/>
          <w:color w:val="000000" w:themeColor="text1"/>
          <w:lang w:val="es-ES"/>
        </w:rPr>
        <w:t xml:space="preserve">el hecho de que el procedimiento de selección se lleve a cabo recibiendo ofertas en físico, publicándose la documentación contractual en SECOP I, o que se realice de manera electrónica a través de SECOP II, deviene en una regla interpretativa respecto de lo que debe entenderse por hábil en el marco de un proceso de selección de mínima cuantía. Conforme a esta regla, a las entidades que utilizan SECOP I, para cumplir con el término mínimo de un día hábil para recibir ofertas, les bastará con recibir ofertas por el lapso correspondiente a una jornada laboral diaria. </w:t>
      </w:r>
    </w:p>
    <w:p w14:paraId="26F6459F" w14:textId="77777777" w:rsidR="002F448C" w:rsidRPr="009902FF" w:rsidRDefault="002F448C" w:rsidP="002F448C">
      <w:pPr>
        <w:shd w:val="clear" w:color="auto" w:fill="FFFFFF" w:themeFill="background1"/>
        <w:spacing w:after="120" w:line="276" w:lineRule="auto"/>
        <w:jc w:val="both"/>
        <w:textAlignment w:val="baseline"/>
        <w:rPr>
          <w:rFonts w:ascii="Verdana" w:eastAsia="Calibri" w:hAnsi="Verdana" w:cs="Arial"/>
          <w:bCs/>
          <w:color w:val="000000" w:themeColor="text1"/>
          <w:lang w:val="es-ES"/>
        </w:rPr>
      </w:pPr>
      <w:r w:rsidRPr="009902FF">
        <w:rPr>
          <w:rFonts w:ascii="Verdana" w:eastAsia="Calibri" w:hAnsi="Verdana" w:cs="Arial"/>
          <w:bCs/>
          <w:color w:val="000000" w:themeColor="text1"/>
          <w:lang w:val="es-ES"/>
        </w:rPr>
        <w:tab/>
        <w:t>De otro lado, en el caso de las entidades que realizan sus procedimientos de selección a través de SECOP II, deberán extender el termino para la presentación de ofertas durante las veinticuatro (24) horas que conforman un día solar laborable. La aplicación de esta regla permite conciliar la inexistencia de una definición unívoca de día hábil y de un método legal para el cómputo de términos de un único día, con las implicaciones prácticas del ejercicio de la actividad precontractual, de tal forma que se da a cada situación la solución más adecuada a los medios con los que cuentan las respectivas entidades para llevar a cabo sus procesos de selección.</w:t>
      </w:r>
    </w:p>
    <w:bookmarkEnd w:id="4"/>
    <w:p w14:paraId="50D99AC9" w14:textId="77777777" w:rsidR="002F448C" w:rsidRPr="009902FF" w:rsidRDefault="002F448C" w:rsidP="002F448C">
      <w:pPr>
        <w:shd w:val="clear" w:color="auto" w:fill="FFFFFF" w:themeFill="background1"/>
        <w:spacing w:after="0" w:line="276" w:lineRule="auto"/>
        <w:jc w:val="both"/>
        <w:textAlignment w:val="baseline"/>
        <w:rPr>
          <w:rFonts w:ascii="Verdana" w:eastAsia="Calibri" w:hAnsi="Verdana" w:cs="Arial"/>
          <w:color w:val="000000" w:themeColor="text1"/>
          <w:lang w:val="es-MX"/>
        </w:rPr>
      </w:pPr>
      <w:r w:rsidRPr="009902FF">
        <w:rPr>
          <w:rFonts w:ascii="Verdana" w:eastAsia="Calibri" w:hAnsi="Verdana" w:cs="Arial"/>
          <w:bCs/>
          <w:color w:val="000000" w:themeColor="text1"/>
          <w:lang w:val="es-ES"/>
        </w:rPr>
        <w:tab/>
        <w:t>Finalmente, de conformidad con los mandatos derivados del principio de transparencia, consagrado en el artículo 24 de la Ley 80 de 1993, y lo dispuesto en el artículo 2.2.1.1.2.1.3 del Decreto 1082 de 2015</w:t>
      </w:r>
      <w:r w:rsidRPr="009902FF">
        <w:rPr>
          <w:rFonts w:ascii="Verdana" w:eastAsia="Calibri" w:hAnsi="Verdana" w:cs="Arial"/>
          <w:bCs/>
          <w:color w:val="000000" w:themeColor="text1"/>
          <w:vertAlign w:val="superscript"/>
          <w:lang w:val="es-ES"/>
        </w:rPr>
        <w:footnoteReference w:id="17"/>
      </w:r>
      <w:r w:rsidRPr="009902FF">
        <w:rPr>
          <w:rFonts w:ascii="Verdana" w:eastAsia="Calibri" w:hAnsi="Verdana" w:cs="Arial"/>
          <w:bCs/>
          <w:color w:val="000000" w:themeColor="text1"/>
          <w:lang w:val="es-ES"/>
        </w:rPr>
        <w:t xml:space="preserve">, en el pliego de condiciones deben definirse “las reglas aplicables a la presentación de las ofertas, su evaluación y a la adjudicación del contrato”, así como el cronograma del proceso de selección, lo cual también es aplicable a la invitación en los procesos de mínima cuantía. Esto implica que para dar aplicación a la anterior regla las entidades deberán establecer, en la respectiva invitación, el lapso durante el cual recibirán ofertas, definiendo expresamente la hora hasta la cual recibirán las ofertas, de tal manera que este pueda ser conocido con anticipación por los interesados en participar.    </w:t>
      </w:r>
    </w:p>
    <w:p w14:paraId="4713E96F" w14:textId="77777777" w:rsidR="002F448C" w:rsidRPr="00CA028E" w:rsidRDefault="002F448C" w:rsidP="002F448C">
      <w:pPr>
        <w:spacing w:after="0" w:line="276" w:lineRule="auto"/>
        <w:jc w:val="both"/>
        <w:rPr>
          <w:rFonts w:ascii="Verdana" w:eastAsia="Calibri" w:hAnsi="Verdana" w:cs="Arial"/>
          <w:color w:val="7030A0"/>
          <w:lang w:val="es-ES"/>
        </w:rPr>
      </w:pPr>
    </w:p>
    <w:p w14:paraId="0C40461A" w14:textId="77777777" w:rsidR="002F448C" w:rsidRDefault="002F448C" w:rsidP="008B725E">
      <w:pPr>
        <w:spacing w:after="0" w:line="276" w:lineRule="auto"/>
        <w:jc w:val="both"/>
        <w:rPr>
          <w:rFonts w:ascii="Verdana" w:eastAsia="Calibri" w:hAnsi="Verdana" w:cs="Arial"/>
          <w:lang w:val="es-ES"/>
        </w:rPr>
      </w:pPr>
    </w:p>
    <w:p w14:paraId="56933146" w14:textId="77777777" w:rsidR="008B725E" w:rsidRPr="00CA028E" w:rsidRDefault="008B725E" w:rsidP="008B725E">
      <w:pPr>
        <w:spacing w:after="0" w:line="276" w:lineRule="auto"/>
        <w:jc w:val="both"/>
        <w:rPr>
          <w:rFonts w:ascii="Verdana" w:eastAsia="Calibri" w:hAnsi="Verdana" w:cs="Arial"/>
          <w:color w:val="7030A0"/>
          <w:lang w:val="es-ES"/>
        </w:rPr>
      </w:pPr>
    </w:p>
    <w:p w14:paraId="67D63666" w14:textId="77777777" w:rsidR="008B725E" w:rsidRPr="00593A5F" w:rsidRDefault="008B725E" w:rsidP="008B72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1FF1DD72" w14:textId="77777777" w:rsidR="008B725E" w:rsidRPr="00770365" w:rsidRDefault="008B725E" w:rsidP="008B725E">
      <w:pPr>
        <w:widowControl w:val="0"/>
        <w:autoSpaceDE w:val="0"/>
        <w:autoSpaceDN w:val="0"/>
        <w:spacing w:after="0" w:line="276" w:lineRule="auto"/>
        <w:jc w:val="both"/>
        <w:rPr>
          <w:rFonts w:ascii="Verdana" w:hAnsi="Verdana" w:cs="Arial"/>
          <w:sz w:val="24"/>
          <w:szCs w:val="24"/>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B725E" w:rsidRPr="00770365" w14:paraId="1261952D" w14:textId="77777777" w:rsidTr="005540E0">
        <w:trPr>
          <w:trHeight w:val="870"/>
        </w:trPr>
        <w:tc>
          <w:tcPr>
            <w:tcW w:w="8647" w:type="dxa"/>
          </w:tcPr>
          <w:p w14:paraId="1CC91198" w14:textId="77777777" w:rsidR="008B725E" w:rsidRPr="00770365" w:rsidRDefault="008B725E" w:rsidP="008B725E">
            <w:pPr>
              <w:pStyle w:val="NormalWeb"/>
              <w:numPr>
                <w:ilvl w:val="0"/>
                <w:numId w:val="17"/>
              </w:numPr>
              <w:rPr>
                <w:rFonts w:ascii="Verdana" w:hAnsi="Verdana"/>
              </w:rPr>
            </w:pPr>
            <w:r w:rsidRPr="00770365">
              <w:rPr>
                <w:rStyle w:val="citation-61"/>
                <w:rFonts w:ascii="Verdana" w:hAnsi="Verdana"/>
              </w:rPr>
              <w:t>Ley 4 de 1913: Artículos 59 y 62</w:t>
            </w:r>
            <w:r w:rsidRPr="00770365">
              <w:rPr>
                <w:rFonts w:ascii="Verdana" w:hAnsi="Verdana"/>
              </w:rPr>
              <w:t>.</w:t>
            </w:r>
          </w:p>
          <w:p w14:paraId="68B4AA04" w14:textId="45CDEE4A" w:rsidR="008B725E" w:rsidRPr="00770365" w:rsidRDefault="008B725E" w:rsidP="008B725E">
            <w:pPr>
              <w:pStyle w:val="NormalWeb"/>
              <w:numPr>
                <w:ilvl w:val="0"/>
                <w:numId w:val="17"/>
              </w:numPr>
              <w:rPr>
                <w:rFonts w:ascii="Verdana" w:hAnsi="Verdana"/>
              </w:rPr>
            </w:pPr>
            <w:r w:rsidRPr="00770365">
              <w:rPr>
                <w:rStyle w:val="citation-60"/>
                <w:rFonts w:ascii="Verdana" w:hAnsi="Verdana"/>
              </w:rPr>
              <w:t xml:space="preserve">Ley 80 de 1993: Artículos 24 (numerales 2, 3, 5, 7, 8), </w:t>
            </w:r>
          </w:p>
          <w:p w14:paraId="75EB4553" w14:textId="083B727D" w:rsidR="008B725E" w:rsidRPr="00770365" w:rsidRDefault="008B725E" w:rsidP="008B725E">
            <w:pPr>
              <w:pStyle w:val="NormalWeb"/>
              <w:numPr>
                <w:ilvl w:val="0"/>
                <w:numId w:val="17"/>
              </w:numPr>
              <w:rPr>
                <w:rFonts w:ascii="Verdana" w:hAnsi="Verdana"/>
              </w:rPr>
            </w:pPr>
            <w:r w:rsidRPr="00770365">
              <w:rPr>
                <w:rStyle w:val="citation-59"/>
                <w:rFonts w:ascii="Verdana" w:hAnsi="Verdana"/>
              </w:rPr>
              <w:t xml:space="preserve">Ley 1150 de 2007: Artículos 2 (numeral 5), </w:t>
            </w:r>
          </w:p>
          <w:p w14:paraId="5DCF743E" w14:textId="0984B9F7" w:rsidR="008B725E" w:rsidRPr="00770365" w:rsidRDefault="008B725E" w:rsidP="008B725E">
            <w:pPr>
              <w:pStyle w:val="NormalWeb"/>
              <w:numPr>
                <w:ilvl w:val="0"/>
                <w:numId w:val="17"/>
              </w:numPr>
              <w:rPr>
                <w:rFonts w:ascii="Verdana" w:hAnsi="Verdana"/>
              </w:rPr>
            </w:pPr>
            <w:r w:rsidRPr="00770365">
              <w:rPr>
                <w:rStyle w:val="citation-58"/>
                <w:rFonts w:ascii="Verdana" w:hAnsi="Verdana"/>
              </w:rPr>
              <w:t>Ley 1474 de 2011: Artículos 94</w:t>
            </w:r>
            <w:r w:rsidRPr="00770365">
              <w:rPr>
                <w:rFonts w:ascii="Verdana" w:hAnsi="Verdana"/>
              </w:rPr>
              <w:t>.</w:t>
            </w:r>
          </w:p>
          <w:p w14:paraId="7AAB485C" w14:textId="43DEF50C" w:rsidR="008B725E" w:rsidRPr="00770365" w:rsidRDefault="008B725E" w:rsidP="008B725E">
            <w:pPr>
              <w:pStyle w:val="NormalWeb"/>
              <w:numPr>
                <w:ilvl w:val="0"/>
                <w:numId w:val="17"/>
              </w:numPr>
              <w:rPr>
                <w:rFonts w:ascii="Verdana" w:hAnsi="Verdana"/>
              </w:rPr>
            </w:pPr>
            <w:r w:rsidRPr="00770365">
              <w:rPr>
                <w:rStyle w:val="citation-57"/>
                <w:rFonts w:ascii="Verdana" w:hAnsi="Verdana"/>
              </w:rPr>
              <w:t>Ley 2069 de 2020: Artículos 30</w:t>
            </w:r>
            <w:r w:rsidRPr="00770365">
              <w:rPr>
                <w:rFonts w:ascii="Verdana" w:hAnsi="Verdana"/>
              </w:rPr>
              <w:t>.</w:t>
            </w:r>
          </w:p>
          <w:p w14:paraId="1803E976" w14:textId="02ED3891" w:rsidR="008B725E" w:rsidRPr="00770365" w:rsidRDefault="008B725E" w:rsidP="008B725E">
            <w:pPr>
              <w:pStyle w:val="NormalWeb"/>
              <w:numPr>
                <w:ilvl w:val="0"/>
                <w:numId w:val="17"/>
              </w:numPr>
              <w:rPr>
                <w:rFonts w:ascii="Verdana" w:hAnsi="Verdana"/>
              </w:rPr>
            </w:pPr>
            <w:r w:rsidRPr="00770365">
              <w:rPr>
                <w:rStyle w:val="citation-56"/>
                <w:rFonts w:ascii="Verdana" w:hAnsi="Verdana"/>
              </w:rPr>
              <w:t>Decreto 1082 de 2015: Artículos 2.2.1.1.1.3.1, 2.2.1.2.1.5.1 a 2.2.1.2.1.5.6</w:t>
            </w:r>
          </w:p>
          <w:p w14:paraId="692006E4" w14:textId="77777777" w:rsidR="008B725E" w:rsidRPr="00770365" w:rsidRDefault="008B725E" w:rsidP="008B725E">
            <w:pPr>
              <w:pStyle w:val="NormalWeb"/>
              <w:numPr>
                <w:ilvl w:val="0"/>
                <w:numId w:val="17"/>
              </w:numPr>
              <w:rPr>
                <w:rFonts w:ascii="Verdana" w:hAnsi="Verdana"/>
              </w:rPr>
            </w:pPr>
            <w:r w:rsidRPr="00770365">
              <w:rPr>
                <w:rStyle w:val="citation-55"/>
                <w:rFonts w:ascii="Verdana" w:hAnsi="Verdana"/>
              </w:rPr>
              <w:t>Decreto 1860 de 2021:</w:t>
            </w:r>
            <w:r w:rsidRPr="00770365">
              <w:rPr>
                <w:rFonts w:ascii="Verdana" w:hAnsi="Verdana"/>
              </w:rPr>
              <w:t>.</w:t>
            </w:r>
          </w:p>
          <w:p w14:paraId="0CB54D6C" w14:textId="77777777" w:rsidR="008B725E" w:rsidRPr="00770365" w:rsidRDefault="008B725E" w:rsidP="008B725E">
            <w:pPr>
              <w:pStyle w:val="NormalWeb"/>
              <w:numPr>
                <w:ilvl w:val="0"/>
                <w:numId w:val="17"/>
              </w:numPr>
              <w:rPr>
                <w:rFonts w:ascii="Verdana" w:hAnsi="Verdana"/>
              </w:rPr>
            </w:pPr>
            <w:r w:rsidRPr="00770365">
              <w:rPr>
                <w:rStyle w:val="citation-54"/>
                <w:rFonts w:ascii="Verdana" w:hAnsi="Verdana"/>
              </w:rPr>
              <w:t>Resolución 1707 de 2018: Artículo 4</w:t>
            </w:r>
            <w:r w:rsidRPr="00770365">
              <w:rPr>
                <w:rFonts w:ascii="Verdana" w:hAnsi="Verdana"/>
              </w:rPr>
              <w:t>.</w:t>
            </w:r>
          </w:p>
          <w:p w14:paraId="2267CDA0" w14:textId="77777777" w:rsidR="008B725E" w:rsidRPr="00770365" w:rsidRDefault="008B725E" w:rsidP="008B725E">
            <w:pPr>
              <w:pStyle w:val="NormalWeb"/>
              <w:numPr>
                <w:ilvl w:val="0"/>
                <w:numId w:val="17"/>
              </w:numPr>
              <w:rPr>
                <w:rFonts w:ascii="Verdana" w:hAnsi="Verdana"/>
              </w:rPr>
            </w:pPr>
            <w:r w:rsidRPr="00770365">
              <w:rPr>
                <w:rStyle w:val="citation-53"/>
                <w:rFonts w:ascii="Verdana" w:hAnsi="Verdana"/>
              </w:rPr>
              <w:t>Decreto Ley 4170 de 2011: Artículos 3 y 11</w:t>
            </w:r>
            <w:r w:rsidRPr="00770365">
              <w:rPr>
                <w:rFonts w:ascii="Verdana" w:hAnsi="Verdana"/>
              </w:rPr>
              <w:t>.</w:t>
            </w:r>
          </w:p>
          <w:p w14:paraId="6C584BD1" w14:textId="2C69C08C" w:rsidR="008B725E" w:rsidRPr="008C35CF" w:rsidRDefault="008B725E" w:rsidP="008C35CF">
            <w:pPr>
              <w:pStyle w:val="NormalWeb"/>
              <w:numPr>
                <w:ilvl w:val="0"/>
                <w:numId w:val="17"/>
              </w:numPr>
              <w:rPr>
                <w:rFonts w:ascii="Verdana" w:hAnsi="Verdana"/>
              </w:rPr>
            </w:pPr>
            <w:r w:rsidRPr="00770365">
              <w:rPr>
                <w:rFonts w:ascii="Verdana" w:hAnsi="Verdana"/>
              </w:rPr>
              <w:t xml:space="preserve">Consejo de Estado, </w:t>
            </w:r>
            <w:r w:rsidRPr="00770365">
              <w:rPr>
                <w:rStyle w:val="citation-52"/>
                <w:rFonts w:ascii="Verdana" w:hAnsi="Verdana"/>
              </w:rPr>
              <w:t>Sentencia del 12 de abril de 1978</w:t>
            </w:r>
          </w:p>
        </w:tc>
      </w:tr>
    </w:tbl>
    <w:p w14:paraId="44A4A9C0" w14:textId="77777777" w:rsidR="008B725E" w:rsidRPr="00593A5F" w:rsidRDefault="008B725E" w:rsidP="008B725E">
      <w:pPr>
        <w:widowControl w:val="0"/>
        <w:autoSpaceDE w:val="0"/>
        <w:autoSpaceDN w:val="0"/>
        <w:spacing w:after="0" w:line="276" w:lineRule="auto"/>
        <w:jc w:val="both"/>
        <w:rPr>
          <w:rFonts w:ascii="Verdana" w:hAnsi="Verdana" w:cs="Arial"/>
        </w:rPr>
      </w:pPr>
    </w:p>
    <w:p w14:paraId="7C1112BF" w14:textId="77777777" w:rsidR="008B725E" w:rsidRDefault="008B725E" w:rsidP="008B72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6092E16" w14:textId="77777777" w:rsidR="008B725E" w:rsidRDefault="008B725E" w:rsidP="008B725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939CFD8" w14:textId="29A8E7A3" w:rsidR="008B725E" w:rsidRPr="00FF007A" w:rsidRDefault="008B725E" w:rsidP="008B725E">
      <w:pPr>
        <w:widowControl w:val="0"/>
        <w:autoSpaceDE w:val="0"/>
        <w:autoSpaceDN w:val="0"/>
        <w:spacing w:after="120" w:line="276" w:lineRule="auto"/>
        <w:jc w:val="both"/>
        <w:rPr>
          <w:rFonts w:ascii="Verdana" w:eastAsia="Calibri" w:hAnsi="Verdana" w:cs="Arial"/>
          <w:color w:val="000000" w:themeColor="text1"/>
          <w:lang w:eastAsia="es-ES_tradnl"/>
        </w:rPr>
      </w:pPr>
      <w:r w:rsidRPr="00A277EA">
        <w:rPr>
          <w:rFonts w:ascii="Verdana" w:hAnsi="Verdana" w:cs="Arial"/>
          <w:shd w:val="clear" w:color="auto" w:fill="FFFFFF"/>
          <w:lang w:val="es-ES"/>
        </w:rPr>
        <w:t xml:space="preserve">Sobre </w:t>
      </w:r>
      <w:r>
        <w:rPr>
          <w:rFonts w:ascii="Verdana" w:hAnsi="Verdana" w:cs="Arial"/>
          <w:shd w:val="clear" w:color="auto" w:fill="FFFFFF"/>
          <w:lang w:val="es-ES"/>
        </w:rPr>
        <w:t xml:space="preserve">la </w:t>
      </w:r>
      <w:r w:rsidR="007C6473">
        <w:rPr>
          <w:rFonts w:ascii="Verdana" w:hAnsi="Verdana" w:cs="Arial"/>
          <w:shd w:val="clear" w:color="auto" w:fill="FFFFFF"/>
          <w:lang w:val="es-ES"/>
        </w:rPr>
        <w:t>concepción de día hábil en procesos de mínima cuantía</w:t>
      </w:r>
      <w:r>
        <w:rPr>
          <w:rFonts w:ascii="Verdana" w:hAnsi="Verdana" w:cs="Arial"/>
          <w:shd w:val="clear" w:color="auto" w:fill="FFFFFF"/>
          <w:lang w:val="es-ES"/>
        </w:rPr>
        <w:t xml:space="preserve"> </w:t>
      </w:r>
      <w:r w:rsidRPr="00A277EA">
        <w:rPr>
          <w:rFonts w:ascii="Verdana" w:hAnsi="Verdana" w:cs="Arial"/>
          <w:shd w:val="clear" w:color="auto" w:fill="FFFFFF"/>
          <w:lang w:val="es-ES"/>
        </w:rPr>
        <w:t xml:space="preserve">se pronunció esta Subdirección en los conceptos </w:t>
      </w:r>
      <w:r w:rsidR="00722FB6">
        <w:rPr>
          <w:rFonts w:ascii="Verdana" w:hAnsi="Verdana" w:cs="Arial"/>
          <w:shd w:val="clear" w:color="auto" w:fill="FFFFFF"/>
          <w:lang w:val="es-ES"/>
        </w:rPr>
        <w:t>C</w:t>
      </w:r>
      <w:r w:rsidR="00BA015B">
        <w:rPr>
          <w:rFonts w:ascii="Verdana" w:hAnsi="Verdana" w:cs="Arial"/>
          <w:shd w:val="clear" w:color="auto" w:fill="FFFFFF"/>
          <w:lang w:val="es-ES"/>
        </w:rPr>
        <w:t xml:space="preserve"> -065 de 202</w:t>
      </w:r>
      <w:r w:rsidR="0006552D">
        <w:rPr>
          <w:rFonts w:ascii="Verdana" w:hAnsi="Verdana" w:cs="Arial"/>
          <w:shd w:val="clear" w:color="auto" w:fill="FFFFFF"/>
          <w:lang w:val="es-ES"/>
        </w:rPr>
        <w:t>4</w:t>
      </w:r>
      <w:r w:rsidR="00BA015B">
        <w:rPr>
          <w:rFonts w:ascii="Verdana" w:hAnsi="Verdana" w:cs="Arial"/>
          <w:shd w:val="clear" w:color="auto" w:fill="FFFFFF"/>
          <w:lang w:val="es-ES"/>
        </w:rPr>
        <w:t xml:space="preserve"> y</w:t>
      </w:r>
      <w:r w:rsidRPr="00FF007A">
        <w:rPr>
          <w:rFonts w:ascii="Verdana" w:hAnsi="Verdana" w:cs="Arial"/>
        </w:rPr>
        <w:t xml:space="preserve"> </w:t>
      </w:r>
      <w:r>
        <w:rPr>
          <w:rFonts w:ascii="Verdana" w:hAnsi="Verdana" w:cs="Arial"/>
        </w:rPr>
        <w:t xml:space="preserve">C – 1145 de 2025, </w:t>
      </w:r>
      <w:r w:rsidRPr="00FF007A">
        <w:rPr>
          <w:rFonts w:ascii="Verdana" w:hAnsi="Verdana" w:cs="Arial"/>
        </w:rPr>
        <w:t xml:space="preserve">entre otros. Estos y otros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hyperlink r:id="rId12" w:history="1">
        <w:r w:rsidRPr="00FF007A">
          <w:rPr>
            <w:rFonts w:ascii="Verdana" w:hAnsi="Verdana" w:cs="Arial"/>
            <w:color w:val="0563C1" w:themeColor="hyperlink"/>
            <w:u w:val="single"/>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59E760BE" w14:textId="77777777" w:rsidR="008B725E" w:rsidRPr="00FF007A" w:rsidRDefault="008B725E" w:rsidP="008B725E">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C77399C" w14:textId="77777777" w:rsidR="008B725E" w:rsidRPr="00FF007A" w:rsidRDefault="008B725E" w:rsidP="008B725E">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24E9CE52" w14:textId="77777777" w:rsidR="008B725E" w:rsidRPr="00FF007A" w:rsidRDefault="008B725E" w:rsidP="008B725E">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389CDF8E" w14:textId="77777777" w:rsidR="008B725E" w:rsidRPr="00FF007A" w:rsidRDefault="008B725E" w:rsidP="008B725E">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7539142A" w14:textId="77777777" w:rsidR="008B725E" w:rsidRPr="00FF007A" w:rsidRDefault="008B725E" w:rsidP="008B725E">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3" w:history="1">
        <w:r w:rsidRPr="00FF007A">
          <w:rPr>
            <w:rStyle w:val="Hipervnculo"/>
            <w:rFonts w:ascii="Verdana" w:hAnsi="Verdana"/>
            <w:lang w:val="es-CO"/>
          </w:rPr>
          <w:t>www.colombiacompra.gov.co</w:t>
        </w:r>
      </w:hyperlink>
    </w:p>
    <w:p w14:paraId="29C77756" w14:textId="77777777" w:rsidR="008B725E" w:rsidRPr="00FF007A" w:rsidRDefault="008B725E" w:rsidP="008B725E">
      <w:pPr>
        <w:spacing w:before="120" w:after="0" w:line="276" w:lineRule="auto"/>
        <w:jc w:val="both"/>
        <w:rPr>
          <w:rFonts w:ascii="Verdana" w:hAnsi="Verdana"/>
        </w:rPr>
      </w:pPr>
      <w:r w:rsidRPr="00FF007A">
        <w:rPr>
          <w:rFonts w:ascii="Verdana" w:hAnsi="Verdana"/>
        </w:rPr>
        <w:lastRenderedPageBreak/>
        <w:t xml:space="preserve">Por último, lo invitamos a seguirnos en las redes sociales en las cuales se difunde información institucional: </w:t>
      </w:r>
    </w:p>
    <w:p w14:paraId="6439DD41" w14:textId="77777777" w:rsidR="008B725E" w:rsidRPr="00FF007A" w:rsidRDefault="008B725E" w:rsidP="008B725E">
      <w:pPr>
        <w:spacing w:after="0" w:line="276" w:lineRule="auto"/>
        <w:jc w:val="both"/>
        <w:rPr>
          <w:rFonts w:ascii="Verdana" w:hAnsi="Verdana"/>
        </w:rPr>
      </w:pPr>
    </w:p>
    <w:p w14:paraId="1AE9FD9A" w14:textId="77777777" w:rsidR="008B725E" w:rsidRPr="00FF007A" w:rsidRDefault="008B725E" w:rsidP="008B725E">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1DB2C182" w14:textId="77777777" w:rsidR="008B725E" w:rsidRPr="00FF007A" w:rsidRDefault="008B725E" w:rsidP="008B725E">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6DB6536B" w14:textId="77777777" w:rsidR="008B725E" w:rsidRPr="00FF007A" w:rsidRDefault="008B725E" w:rsidP="008B725E">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06AB1CBF" w14:textId="77777777" w:rsidR="008B725E" w:rsidRPr="00FF007A" w:rsidRDefault="008B725E" w:rsidP="008B725E">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D7A7C03" w14:textId="77777777" w:rsidR="008B725E" w:rsidRPr="00FF007A" w:rsidRDefault="008B725E" w:rsidP="008B725E">
      <w:pPr>
        <w:spacing w:after="0" w:line="276" w:lineRule="auto"/>
        <w:jc w:val="both"/>
        <w:rPr>
          <w:rFonts w:ascii="Verdana" w:eastAsia="Calibri" w:hAnsi="Verdana" w:cs="Times New Roman"/>
        </w:rPr>
      </w:pPr>
    </w:p>
    <w:p w14:paraId="0EF47AE0" w14:textId="77777777" w:rsidR="008B725E" w:rsidRPr="00FF007A" w:rsidRDefault="008B725E" w:rsidP="008B725E">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1B817637" w14:textId="77777777" w:rsidR="008B725E" w:rsidRPr="00593A5F" w:rsidRDefault="008B725E" w:rsidP="008B725E">
      <w:pPr>
        <w:widowControl w:val="0"/>
        <w:autoSpaceDE w:val="0"/>
        <w:autoSpaceDN w:val="0"/>
        <w:spacing w:after="0" w:line="276" w:lineRule="auto"/>
        <w:jc w:val="both"/>
        <w:rPr>
          <w:rFonts w:ascii="Verdana" w:hAnsi="Verdana" w:cs="Arial"/>
        </w:rPr>
      </w:pPr>
    </w:p>
    <w:p w14:paraId="50A0D41A" w14:textId="60F1BE36" w:rsidR="008B725E" w:rsidRPr="00593A5F" w:rsidRDefault="00964B84" w:rsidP="008B725E">
      <w:pPr>
        <w:spacing w:line="276" w:lineRule="auto"/>
        <w:jc w:val="center"/>
        <w:rPr>
          <w:rFonts w:ascii="Verdana" w:hAnsi="Verdana" w:cs="Arial"/>
          <w:color w:val="000000"/>
          <w:lang w:val="es-ES_tradnl" w:eastAsia="es-CO"/>
        </w:rPr>
      </w:pPr>
      <w:r>
        <w:rPr>
          <w:noProof/>
        </w:rPr>
        <w:drawing>
          <wp:inline distT="0" distB="0" distL="0" distR="0" wp14:anchorId="351B0FA9" wp14:editId="6A348B67">
            <wp:extent cx="3278505" cy="1407405"/>
            <wp:effectExtent l="0" t="0" r="0" b="2540"/>
            <wp:docPr id="1336655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3127" cy="1413682"/>
                    </a:xfrm>
                    <a:prstGeom prst="rect">
                      <a:avLst/>
                    </a:prstGeom>
                    <a:noFill/>
                    <a:ln>
                      <a:noFill/>
                    </a:ln>
                  </pic:spPr>
                </pic:pic>
              </a:graphicData>
            </a:graphic>
          </wp:inline>
        </w:drawing>
      </w: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B725E" w:rsidRPr="00EA1223" w14:paraId="6329E918" w14:textId="77777777" w:rsidTr="005540E0">
        <w:trPr>
          <w:trHeight w:val="315"/>
        </w:trPr>
        <w:tc>
          <w:tcPr>
            <w:tcW w:w="893" w:type="dxa"/>
            <w:vAlign w:val="center"/>
            <w:hideMark/>
          </w:tcPr>
          <w:p w14:paraId="44F5C528" w14:textId="77777777" w:rsidR="008B725E" w:rsidRPr="00EA1223" w:rsidRDefault="008B725E" w:rsidP="005540E0">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39975F6" w14:textId="77777777" w:rsidR="008B725E" w:rsidRPr="00EA1223" w:rsidRDefault="008B725E" w:rsidP="005540E0">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514F1D75" w14:textId="77777777" w:rsidR="008B725E" w:rsidRPr="00EA1223" w:rsidRDefault="008B725E" w:rsidP="005540E0">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8B725E" w:rsidRPr="00EA1223" w14:paraId="03649C7A" w14:textId="77777777" w:rsidTr="005540E0">
        <w:trPr>
          <w:trHeight w:val="330"/>
        </w:trPr>
        <w:tc>
          <w:tcPr>
            <w:tcW w:w="893" w:type="dxa"/>
            <w:vAlign w:val="center"/>
            <w:hideMark/>
          </w:tcPr>
          <w:p w14:paraId="59E02485" w14:textId="77777777" w:rsidR="008B725E" w:rsidRPr="00EA1223" w:rsidRDefault="008B725E" w:rsidP="005540E0">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6E5E440" w14:textId="77777777" w:rsidR="008B725E" w:rsidRPr="00EA1223" w:rsidRDefault="008B725E" w:rsidP="005540E0">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3C722E3D" w14:textId="77777777" w:rsidR="008B725E" w:rsidRPr="00EA1223" w:rsidRDefault="008B725E" w:rsidP="005540E0">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8B725E" w:rsidRPr="00EA1223" w14:paraId="48AF18D5" w14:textId="77777777" w:rsidTr="005540E0">
        <w:trPr>
          <w:trHeight w:val="300"/>
        </w:trPr>
        <w:tc>
          <w:tcPr>
            <w:tcW w:w="893" w:type="dxa"/>
            <w:vAlign w:val="center"/>
          </w:tcPr>
          <w:p w14:paraId="45D39E48" w14:textId="77777777" w:rsidR="008B725E" w:rsidRPr="00EA1223" w:rsidRDefault="008B725E" w:rsidP="005540E0">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6BFF34" w14:textId="77777777" w:rsidR="008B725E" w:rsidRPr="00EA1223" w:rsidRDefault="008B725E" w:rsidP="005540E0">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642A5FEE" w14:textId="77777777" w:rsidR="008B725E" w:rsidRPr="00EA1223" w:rsidRDefault="008B725E" w:rsidP="005540E0">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00588863" w14:textId="77777777" w:rsidR="008B725E" w:rsidRPr="00593A5F" w:rsidRDefault="008B725E" w:rsidP="008B725E">
      <w:pPr>
        <w:spacing w:after="0" w:line="240" w:lineRule="auto"/>
        <w:rPr>
          <w:rFonts w:ascii="Verdana" w:eastAsia="Times New Roman" w:hAnsi="Verdana" w:cs="Arial"/>
          <w:sz w:val="24"/>
          <w:szCs w:val="24"/>
          <w:lang w:eastAsia="es-ES"/>
        </w:rPr>
      </w:pPr>
    </w:p>
    <w:p w14:paraId="5F74EBBF" w14:textId="77777777" w:rsidR="008B725E" w:rsidRPr="00871B59" w:rsidRDefault="008B725E" w:rsidP="008B725E"/>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EB9AB" w14:textId="77777777" w:rsidR="00926C7C" w:rsidRDefault="00926C7C" w:rsidP="004A1847">
      <w:pPr>
        <w:spacing w:after="0" w:line="240" w:lineRule="auto"/>
      </w:pPr>
      <w:r>
        <w:separator/>
      </w:r>
    </w:p>
  </w:endnote>
  <w:endnote w:type="continuationSeparator" w:id="0">
    <w:p w14:paraId="024E7A41" w14:textId="77777777" w:rsidR="00926C7C" w:rsidRDefault="00926C7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9944D" w14:textId="77777777" w:rsidR="00926C7C" w:rsidRDefault="00926C7C" w:rsidP="004A1847">
      <w:pPr>
        <w:spacing w:after="0" w:line="240" w:lineRule="auto"/>
      </w:pPr>
      <w:r>
        <w:separator/>
      </w:r>
    </w:p>
  </w:footnote>
  <w:footnote w:type="continuationSeparator" w:id="0">
    <w:p w14:paraId="43C856CB" w14:textId="77777777" w:rsidR="00926C7C" w:rsidRDefault="00926C7C" w:rsidP="004A1847">
      <w:pPr>
        <w:spacing w:after="0" w:line="240" w:lineRule="auto"/>
      </w:pPr>
      <w:r>
        <w:continuationSeparator/>
      </w:r>
    </w:p>
  </w:footnote>
  <w:footnote w:id="1">
    <w:p w14:paraId="61EF2E0D" w14:textId="77777777" w:rsidR="002F448C" w:rsidRPr="00DF6552" w:rsidRDefault="002F448C" w:rsidP="002F448C">
      <w:pPr>
        <w:pStyle w:val="Textonotapie"/>
        <w:ind w:firstLine="708"/>
        <w:jc w:val="both"/>
        <w:rPr>
          <w:rFonts w:ascii="Verdana" w:hAnsi="Verdana" w:cs="Arial"/>
          <w:sz w:val="16"/>
          <w:szCs w:val="16"/>
        </w:rPr>
      </w:pPr>
      <w:r w:rsidRPr="00DF6552">
        <w:rPr>
          <w:rStyle w:val="Refdenotaalpie"/>
          <w:rFonts w:ascii="Verdana" w:hAnsi="Verdana" w:cs="Arial"/>
          <w:sz w:val="16"/>
          <w:szCs w:val="16"/>
        </w:rPr>
        <w:footnoteRef/>
      </w:r>
      <w:r w:rsidRPr="00DF6552">
        <w:rPr>
          <w:rFonts w:ascii="Verdana" w:hAnsi="Verdana" w:cs="Arial"/>
          <w:sz w:val="16"/>
          <w:szCs w:val="16"/>
        </w:rPr>
        <w:t xml:space="preserve"> OSPINA MENA, Jesús Marino. Régimen de la Contratación Estatal. Un salto a la contratación líquida. Bogotá: Ed. 1ª. Diké, 2020. p. 383.</w:t>
      </w:r>
    </w:p>
    <w:p w14:paraId="2FC683B0" w14:textId="77777777" w:rsidR="002F448C" w:rsidRPr="00DF6552" w:rsidRDefault="002F448C" w:rsidP="002F448C">
      <w:pPr>
        <w:pStyle w:val="Textonotapie"/>
        <w:ind w:firstLine="708"/>
        <w:jc w:val="both"/>
        <w:rPr>
          <w:rFonts w:ascii="Verdana" w:hAnsi="Verdana" w:cs="Arial"/>
          <w:sz w:val="16"/>
          <w:szCs w:val="16"/>
        </w:rPr>
      </w:pPr>
    </w:p>
  </w:footnote>
  <w:footnote w:id="2">
    <w:p w14:paraId="6DB6BE0B" w14:textId="77777777" w:rsidR="002F448C" w:rsidRPr="00DF6552" w:rsidRDefault="002F448C" w:rsidP="002F448C">
      <w:pPr>
        <w:pStyle w:val="Textonotapie"/>
        <w:ind w:firstLine="708"/>
        <w:jc w:val="both"/>
        <w:rPr>
          <w:rFonts w:ascii="Verdana" w:hAnsi="Verdana" w:cs="Arial"/>
          <w:sz w:val="16"/>
          <w:szCs w:val="16"/>
        </w:rPr>
      </w:pPr>
      <w:r w:rsidRPr="00DF6552">
        <w:rPr>
          <w:rStyle w:val="Refdenotaalpie"/>
          <w:rFonts w:ascii="Verdana" w:hAnsi="Verdana" w:cs="Arial"/>
          <w:sz w:val="16"/>
          <w:szCs w:val="16"/>
        </w:rPr>
        <w:footnoteRef/>
      </w:r>
      <w:r w:rsidRPr="00DF6552">
        <w:rPr>
          <w:rFonts w:ascii="Verdana" w:hAnsi="Verdana" w:cs="Arial"/>
          <w:sz w:val="16"/>
          <w:szCs w:val="16"/>
        </w:rPr>
        <w:t xml:space="preserve"> Consejo de Estado. Sala de lo Contencioso Administrativo. Sección Tercera. Sentencia de 30 de noviembre de 2006. Exp. 18.059. M.P. Alier Hernández Enríquez.</w:t>
      </w:r>
    </w:p>
    <w:p w14:paraId="16A5944D" w14:textId="77777777" w:rsidR="002F448C" w:rsidRPr="00DF6552" w:rsidRDefault="002F448C" w:rsidP="002F448C">
      <w:pPr>
        <w:pStyle w:val="Textonotapie"/>
        <w:ind w:firstLine="708"/>
        <w:jc w:val="both"/>
        <w:rPr>
          <w:rFonts w:ascii="Verdana" w:hAnsi="Verdana" w:cs="Arial"/>
          <w:sz w:val="16"/>
          <w:szCs w:val="16"/>
        </w:rPr>
      </w:pPr>
    </w:p>
  </w:footnote>
  <w:footnote w:id="3">
    <w:p w14:paraId="6936FB74" w14:textId="77777777" w:rsidR="002F448C" w:rsidRDefault="002F448C" w:rsidP="002F448C">
      <w:pPr>
        <w:pStyle w:val="Textonotapie"/>
        <w:ind w:firstLine="708"/>
        <w:contextualSpacing/>
        <w:jc w:val="both"/>
        <w:rPr>
          <w:rFonts w:ascii="Verdana" w:hAnsi="Verdana" w:cs="Arial"/>
          <w:sz w:val="16"/>
          <w:szCs w:val="16"/>
        </w:rPr>
      </w:pPr>
      <w:r w:rsidRPr="00EB1FFD">
        <w:rPr>
          <w:rStyle w:val="Refdenotaalpie"/>
          <w:rFonts w:ascii="Verdana" w:hAnsi="Verdana" w:cs="Arial"/>
          <w:sz w:val="16"/>
          <w:szCs w:val="16"/>
        </w:rPr>
        <w:footnoteRef/>
      </w:r>
      <w:r w:rsidRPr="00EB1FFD">
        <w:rPr>
          <w:rFonts w:ascii="Verdana" w:hAnsi="Verdana" w:cs="Arial"/>
          <w:sz w:val="16"/>
          <w:szCs w:val="16"/>
        </w:rPr>
        <w:t xml:space="preserve"> GONZÁLEZ LÓPEZ, Edgar</w:t>
      </w:r>
      <w:r w:rsidRPr="00EB1FFD">
        <w:rPr>
          <w:rFonts w:ascii="Verdana" w:hAnsi="Verdana" w:cs="Arial"/>
          <w:i/>
          <w:sz w:val="16"/>
          <w:szCs w:val="16"/>
        </w:rPr>
        <w:t xml:space="preserve">. </w:t>
      </w:r>
      <w:r w:rsidRPr="00EB1FFD">
        <w:rPr>
          <w:rFonts w:ascii="Verdana" w:hAnsi="Verdana" w:cs="Arial"/>
          <w:sz w:val="16"/>
          <w:szCs w:val="16"/>
        </w:rPr>
        <w:t xml:space="preserve">El pliego de condiciones en la contratación. La reforma consagrada en la Ley 1150 de 2007 y sus decretos reglamentarios. Universidad Externado de Colombia. Primera edición, 2010, pp. 64.  </w:t>
      </w:r>
    </w:p>
    <w:p w14:paraId="7D5974CB" w14:textId="77777777" w:rsidR="002F448C" w:rsidRPr="00DF6552" w:rsidRDefault="002F448C" w:rsidP="002F448C">
      <w:pPr>
        <w:pStyle w:val="Textonotapie"/>
        <w:ind w:firstLine="708"/>
        <w:contextualSpacing/>
        <w:jc w:val="both"/>
        <w:rPr>
          <w:rFonts w:ascii="Verdana" w:hAnsi="Verdana" w:cs="Arial"/>
          <w:sz w:val="16"/>
          <w:szCs w:val="16"/>
        </w:rPr>
      </w:pPr>
    </w:p>
  </w:footnote>
  <w:footnote w:id="4">
    <w:p w14:paraId="6BE27FE9" w14:textId="77777777" w:rsidR="002F448C" w:rsidRPr="00FC1084" w:rsidRDefault="002F448C" w:rsidP="002F448C">
      <w:pPr>
        <w:pStyle w:val="Textonotapie"/>
        <w:ind w:firstLine="708"/>
        <w:jc w:val="both"/>
        <w:rPr>
          <w:rFonts w:ascii="Verdana" w:hAnsi="Verdana" w:cs="Arial"/>
          <w:sz w:val="16"/>
          <w:szCs w:val="16"/>
        </w:rPr>
      </w:pPr>
      <w:r w:rsidRPr="00FC1084">
        <w:rPr>
          <w:rStyle w:val="Refdenotaalpie"/>
          <w:rFonts w:ascii="Verdana" w:hAnsi="Verdana" w:cs="Arial"/>
          <w:sz w:val="16"/>
          <w:szCs w:val="16"/>
        </w:rPr>
        <w:footnoteRef/>
      </w:r>
      <w:r w:rsidRPr="00FC1084">
        <w:rPr>
          <w:rFonts w:ascii="Verdana" w:hAnsi="Verdana" w:cs="Arial"/>
          <w:sz w:val="16"/>
          <w:szCs w:val="16"/>
        </w:rPr>
        <w:t xml:space="preserve"> Sin perjuicio de los dispuesto en el artículo 2.2.1.1.2.1.3. del Decreto 1082 de 2015 sobre el contenido del pliego de condiciones, donde se desarrolla de forma más exhaustiva cada uno de sus componentes mínimos.</w:t>
      </w:r>
    </w:p>
    <w:p w14:paraId="6B520AB3" w14:textId="77777777" w:rsidR="002F448C" w:rsidRPr="00FC1084" w:rsidRDefault="002F448C" w:rsidP="002F448C">
      <w:pPr>
        <w:pStyle w:val="Textonotapie"/>
        <w:ind w:firstLine="708"/>
        <w:jc w:val="both"/>
        <w:rPr>
          <w:rFonts w:ascii="Verdana" w:hAnsi="Verdana" w:cs="Arial"/>
          <w:sz w:val="16"/>
          <w:szCs w:val="16"/>
        </w:rPr>
      </w:pPr>
    </w:p>
  </w:footnote>
  <w:footnote w:id="5">
    <w:p w14:paraId="45715503" w14:textId="77777777" w:rsidR="002F448C" w:rsidRPr="00FC1084" w:rsidRDefault="002F448C" w:rsidP="002F448C">
      <w:pPr>
        <w:pStyle w:val="Textonotapie"/>
        <w:ind w:firstLine="709"/>
        <w:jc w:val="both"/>
        <w:rPr>
          <w:rFonts w:ascii="Verdana" w:hAnsi="Verdana"/>
          <w:sz w:val="16"/>
          <w:szCs w:val="16"/>
        </w:rPr>
      </w:pPr>
      <w:r w:rsidRPr="00FC1084">
        <w:rPr>
          <w:rStyle w:val="Refdenotaalpie"/>
          <w:rFonts w:ascii="Verdana" w:hAnsi="Verdana"/>
          <w:sz w:val="16"/>
          <w:szCs w:val="16"/>
        </w:rPr>
        <w:footnoteRef/>
      </w:r>
      <w:r w:rsidRPr="00FC1084">
        <w:rPr>
          <w:rFonts w:ascii="Verdana" w:hAnsi="Verdana"/>
          <w:sz w:val="16"/>
          <w:szCs w:val="16"/>
        </w:rPr>
        <w:t xml:space="preserve"> Ley 80 de 1993. Artículo 24. </w:t>
      </w:r>
    </w:p>
    <w:p w14:paraId="27D721CB" w14:textId="77777777" w:rsidR="002F448C" w:rsidRPr="00FC1084" w:rsidRDefault="002F448C" w:rsidP="002F448C">
      <w:pPr>
        <w:pStyle w:val="Textonotapie"/>
        <w:ind w:firstLine="709"/>
        <w:jc w:val="both"/>
        <w:rPr>
          <w:rFonts w:ascii="Verdana" w:hAnsi="Verdana"/>
          <w:sz w:val="16"/>
          <w:szCs w:val="16"/>
        </w:rPr>
      </w:pPr>
    </w:p>
    <w:p w14:paraId="03382A16" w14:textId="77777777" w:rsidR="002F448C" w:rsidRPr="00FC1084" w:rsidRDefault="002F448C" w:rsidP="002F448C">
      <w:pPr>
        <w:pStyle w:val="Textonotapie"/>
        <w:ind w:firstLine="709"/>
        <w:jc w:val="both"/>
        <w:rPr>
          <w:rFonts w:ascii="Verdana" w:hAnsi="Verdana"/>
          <w:sz w:val="16"/>
          <w:szCs w:val="16"/>
        </w:rPr>
      </w:pPr>
      <w:r w:rsidRPr="00FC1084">
        <w:rPr>
          <w:rFonts w:ascii="Verdana" w:hAnsi="Verdana"/>
          <w:sz w:val="16"/>
          <w:szCs w:val="16"/>
        </w:rPr>
        <w:t>“(…) 5o. En los pliegos de condiciones:</w:t>
      </w:r>
    </w:p>
    <w:p w14:paraId="1CB35075" w14:textId="77777777" w:rsidR="002F448C" w:rsidRPr="00FC1084" w:rsidRDefault="002F448C" w:rsidP="002F448C">
      <w:pPr>
        <w:pStyle w:val="Textonotapie"/>
        <w:ind w:firstLine="709"/>
        <w:jc w:val="both"/>
        <w:rPr>
          <w:rFonts w:ascii="Verdana" w:hAnsi="Verdana"/>
          <w:sz w:val="16"/>
          <w:szCs w:val="16"/>
        </w:rPr>
      </w:pPr>
    </w:p>
    <w:p w14:paraId="26225068" w14:textId="77777777" w:rsidR="002F448C" w:rsidRPr="00FC1084" w:rsidRDefault="002F448C" w:rsidP="002F448C">
      <w:pPr>
        <w:pStyle w:val="Textonotapie"/>
        <w:ind w:firstLine="709"/>
        <w:jc w:val="both"/>
        <w:rPr>
          <w:rFonts w:ascii="Verdana" w:hAnsi="Verdana"/>
          <w:sz w:val="16"/>
          <w:szCs w:val="16"/>
        </w:rPr>
      </w:pPr>
      <w:r w:rsidRPr="00FC1084">
        <w:rPr>
          <w:rFonts w:ascii="Verdana" w:hAnsi="Verdana"/>
          <w:sz w:val="16"/>
          <w:szCs w:val="16"/>
        </w:rPr>
        <w:t>a)</w:t>
      </w:r>
      <w:r w:rsidRPr="00FC1084">
        <w:rPr>
          <w:rFonts w:ascii="Verdana" w:hAnsi="Verdana"/>
          <w:sz w:val="16"/>
          <w:szCs w:val="16"/>
        </w:rPr>
        <w:tab/>
        <w:t>Se indicarán los requisitos objetivos necesarios para participar en el correspondiente proceso de selección.</w:t>
      </w:r>
    </w:p>
    <w:p w14:paraId="0D735D3B" w14:textId="77777777" w:rsidR="002F448C" w:rsidRPr="00FC1084" w:rsidRDefault="002F448C" w:rsidP="002F448C">
      <w:pPr>
        <w:pStyle w:val="Textonotapie"/>
        <w:ind w:firstLine="709"/>
        <w:jc w:val="both"/>
        <w:rPr>
          <w:rFonts w:ascii="Verdana" w:hAnsi="Verdana"/>
          <w:sz w:val="16"/>
          <w:szCs w:val="16"/>
        </w:rPr>
      </w:pPr>
      <w:r w:rsidRPr="00FC1084">
        <w:rPr>
          <w:rFonts w:ascii="Verdana" w:hAnsi="Verdana"/>
          <w:sz w:val="16"/>
          <w:szCs w:val="16"/>
        </w:rPr>
        <w:t>b)</w:t>
      </w:r>
      <w:r w:rsidRPr="00FC1084">
        <w:rPr>
          <w:rFonts w:ascii="Verdana" w:hAnsi="Verdana"/>
          <w:sz w:val="16"/>
          <w:szCs w:val="16"/>
        </w:rPr>
        <w:tab/>
        <w:t>Se definirán reglas objetivas, justas, claras y completas que permitan la confección de ofrecimientos de la misma índole, aseguren una escogencia objetiva y eviten las declaratorias de desierta de la licitación.</w:t>
      </w:r>
    </w:p>
    <w:p w14:paraId="1DCC63CC" w14:textId="77777777" w:rsidR="002F448C" w:rsidRPr="00FC1084" w:rsidRDefault="002F448C" w:rsidP="002F448C">
      <w:pPr>
        <w:pStyle w:val="Textonotapie"/>
        <w:ind w:firstLine="709"/>
        <w:jc w:val="both"/>
        <w:rPr>
          <w:rFonts w:ascii="Verdana" w:hAnsi="Verdana"/>
          <w:sz w:val="16"/>
          <w:szCs w:val="16"/>
        </w:rPr>
      </w:pPr>
      <w:r w:rsidRPr="00FC1084">
        <w:rPr>
          <w:rFonts w:ascii="Verdana" w:hAnsi="Verdana"/>
          <w:sz w:val="16"/>
          <w:szCs w:val="16"/>
        </w:rPr>
        <w:t>c)</w:t>
      </w:r>
      <w:r w:rsidRPr="00FC1084">
        <w:rPr>
          <w:rFonts w:ascii="Verdana" w:hAnsi="Verdana"/>
          <w:sz w:val="16"/>
          <w:szCs w:val="16"/>
        </w:rPr>
        <w:tab/>
        <w:t>Se definirán con precisión las condiciones de costo y calidad de los bienes, obras o servicios necesarios para la ejecución del objeto del contrato.</w:t>
      </w:r>
    </w:p>
    <w:p w14:paraId="451D47E6" w14:textId="77777777" w:rsidR="002F448C" w:rsidRPr="00FC1084" w:rsidRDefault="002F448C" w:rsidP="002F448C">
      <w:pPr>
        <w:pStyle w:val="Textonotapie"/>
        <w:ind w:firstLine="709"/>
        <w:jc w:val="both"/>
        <w:rPr>
          <w:rFonts w:ascii="Verdana" w:hAnsi="Verdana"/>
          <w:sz w:val="16"/>
          <w:szCs w:val="16"/>
        </w:rPr>
      </w:pPr>
      <w:r w:rsidRPr="00FC1084">
        <w:rPr>
          <w:rFonts w:ascii="Verdana" w:hAnsi="Verdana"/>
          <w:sz w:val="16"/>
          <w:szCs w:val="16"/>
        </w:rPr>
        <w:t>d)</w:t>
      </w:r>
      <w:r w:rsidRPr="00FC1084">
        <w:rPr>
          <w:rFonts w:ascii="Verdana" w:hAnsi="Verdana"/>
          <w:sz w:val="16"/>
          <w:szCs w:val="16"/>
        </w:rPr>
        <w:tab/>
        <w:t>No se incluirán condiciones y exigencias de imposible cumplimiento, ni exenciones de la responsabilidad derivada de los datos, informes y documentos que se suministren.</w:t>
      </w:r>
    </w:p>
    <w:p w14:paraId="0F5C24A4" w14:textId="77777777" w:rsidR="002F448C" w:rsidRPr="00FC1084" w:rsidRDefault="002F448C" w:rsidP="002F448C">
      <w:pPr>
        <w:pStyle w:val="Textonotapie"/>
        <w:ind w:firstLine="709"/>
        <w:jc w:val="both"/>
        <w:rPr>
          <w:rFonts w:ascii="Verdana" w:hAnsi="Verdana"/>
          <w:sz w:val="16"/>
          <w:szCs w:val="16"/>
        </w:rPr>
      </w:pPr>
      <w:r w:rsidRPr="00FC1084">
        <w:rPr>
          <w:rFonts w:ascii="Verdana" w:hAnsi="Verdana"/>
          <w:sz w:val="16"/>
          <w:szCs w:val="16"/>
        </w:rPr>
        <w:t>e)</w:t>
      </w:r>
      <w:r w:rsidRPr="00FC1084">
        <w:rPr>
          <w:rFonts w:ascii="Verdana" w:hAnsi="Verdana"/>
          <w:sz w:val="16"/>
          <w:szCs w:val="16"/>
        </w:rPr>
        <w:tab/>
        <w:t>Se definirán reglas que no induzcan a error a los proponentes y contratistas y que impidan la Formulación de ofrecimientos de extensión ilimitada o que dependan de la voluntad exclusiva de la entidad.</w:t>
      </w:r>
    </w:p>
    <w:p w14:paraId="5CF65223" w14:textId="77777777" w:rsidR="002F448C" w:rsidRPr="00FC1084" w:rsidRDefault="002F448C" w:rsidP="002F448C">
      <w:pPr>
        <w:pStyle w:val="Textonotapie"/>
        <w:ind w:firstLine="709"/>
        <w:jc w:val="both"/>
        <w:rPr>
          <w:rFonts w:ascii="Verdana" w:hAnsi="Verdana"/>
          <w:sz w:val="16"/>
          <w:szCs w:val="16"/>
        </w:rPr>
      </w:pPr>
      <w:r w:rsidRPr="00FC1084">
        <w:rPr>
          <w:rFonts w:ascii="Verdana" w:hAnsi="Verdana"/>
          <w:sz w:val="16"/>
          <w:szCs w:val="16"/>
        </w:rPr>
        <w:t>f)</w:t>
      </w:r>
      <w:r w:rsidRPr="00FC1084">
        <w:rPr>
          <w:rFonts w:ascii="Verdana" w:hAnsi="Verdana"/>
          <w:sz w:val="16"/>
          <w:szCs w:val="16"/>
        </w:rPr>
        <w:tab/>
        <w:t>Se definirá el plazo para la liquidación del contrato, cuando a ello hubiere lugar, teniendo en cuenta su objeto, naturaleza y cuantía.</w:t>
      </w:r>
    </w:p>
    <w:p w14:paraId="70B9E925" w14:textId="77777777" w:rsidR="002F448C" w:rsidRPr="00FC1084" w:rsidRDefault="002F448C" w:rsidP="002F448C">
      <w:pPr>
        <w:pStyle w:val="Textonotapie"/>
        <w:ind w:firstLine="709"/>
        <w:jc w:val="both"/>
        <w:rPr>
          <w:sz w:val="16"/>
          <w:szCs w:val="16"/>
        </w:rPr>
      </w:pPr>
      <w:r w:rsidRPr="00FC1084">
        <w:rPr>
          <w:rFonts w:ascii="Verdana" w:hAnsi="Verdana"/>
          <w:sz w:val="16"/>
          <w:szCs w:val="16"/>
        </w:rPr>
        <w:t>g)</w:t>
      </w:r>
      <w:r w:rsidRPr="00FC1084">
        <w:rPr>
          <w:rFonts w:ascii="Verdana" w:hAnsi="Verdana"/>
          <w:sz w:val="16"/>
          <w:szCs w:val="16"/>
        </w:rPr>
        <w:tab/>
        <w:t>Serán ineficaces de pleno derecho las estipulaciones de los pliegos y de los contratos que contravengan lo dispuesto en este numeral, o dispongan renuncias a reclamaciones por la ocurrencia de los hechos aquí enunciados”.</w:t>
      </w:r>
      <w:r w:rsidRPr="00FC1084">
        <w:rPr>
          <w:sz w:val="16"/>
          <w:szCs w:val="16"/>
        </w:rPr>
        <w:t xml:space="preserve"> </w:t>
      </w:r>
    </w:p>
    <w:p w14:paraId="273227E1" w14:textId="77777777" w:rsidR="002F448C" w:rsidRPr="00FC1084" w:rsidRDefault="002F448C" w:rsidP="002F448C">
      <w:pPr>
        <w:pStyle w:val="Textonotapie"/>
        <w:ind w:firstLine="709"/>
        <w:jc w:val="both"/>
        <w:rPr>
          <w:sz w:val="16"/>
          <w:szCs w:val="16"/>
        </w:rPr>
      </w:pPr>
    </w:p>
  </w:footnote>
  <w:footnote w:id="6">
    <w:p w14:paraId="4A30AABE" w14:textId="77777777" w:rsidR="002F448C" w:rsidRPr="00FC1084" w:rsidRDefault="002F448C" w:rsidP="002F448C">
      <w:pPr>
        <w:pStyle w:val="Textonotapie"/>
        <w:ind w:firstLine="708"/>
        <w:jc w:val="both"/>
        <w:rPr>
          <w:rFonts w:ascii="Verdana" w:hAnsi="Verdana" w:cs="Arial"/>
          <w:color w:val="000000" w:themeColor="text1"/>
          <w:sz w:val="16"/>
          <w:szCs w:val="16"/>
        </w:rPr>
      </w:pPr>
      <w:r w:rsidRPr="00FC1084">
        <w:rPr>
          <w:rStyle w:val="Refdenotaalpie"/>
          <w:rFonts w:ascii="Verdana" w:hAnsi="Verdana" w:cs="Arial"/>
          <w:color w:val="000000" w:themeColor="text1"/>
          <w:sz w:val="16"/>
          <w:szCs w:val="16"/>
        </w:rPr>
        <w:footnoteRef/>
      </w:r>
      <w:r w:rsidRPr="00FC1084">
        <w:rPr>
          <w:rFonts w:ascii="Verdana" w:hAnsi="Verdana" w:cs="Arial"/>
          <w:color w:val="000000" w:themeColor="text1"/>
          <w:sz w:val="16"/>
          <w:szCs w:val="16"/>
        </w:rPr>
        <w:t xml:space="preserve"> Lo anterior, sin perjuicio de los casos en que resulten aplicables los documentos tipo –o pliegos tipo– de que trata el parágrafo 7 del artículo 2 de la Ley 1150 de 2007, modificado por el artículo 1 de la Ley 2022 de 2020.</w:t>
      </w:r>
    </w:p>
    <w:p w14:paraId="48132A38" w14:textId="77777777" w:rsidR="002F448C" w:rsidRPr="00FC1084" w:rsidRDefault="002F448C" w:rsidP="002F448C">
      <w:pPr>
        <w:pStyle w:val="Textonotapie"/>
        <w:ind w:firstLine="708"/>
        <w:jc w:val="both"/>
        <w:rPr>
          <w:rFonts w:ascii="Verdana" w:hAnsi="Verdana" w:cs="Arial"/>
          <w:color w:val="000000" w:themeColor="text1"/>
          <w:sz w:val="16"/>
          <w:szCs w:val="16"/>
        </w:rPr>
      </w:pPr>
    </w:p>
  </w:footnote>
  <w:footnote w:id="7">
    <w:p w14:paraId="22476F1A" w14:textId="77777777" w:rsidR="002F448C" w:rsidRPr="00FC1084" w:rsidRDefault="002F448C" w:rsidP="002F448C">
      <w:pPr>
        <w:pStyle w:val="Textonotapie"/>
        <w:ind w:firstLine="708"/>
        <w:jc w:val="both"/>
        <w:rPr>
          <w:rFonts w:ascii="Verdana" w:hAnsi="Verdana" w:cs="Arial"/>
          <w:sz w:val="16"/>
          <w:szCs w:val="16"/>
        </w:rPr>
      </w:pPr>
      <w:r w:rsidRPr="00FC1084">
        <w:rPr>
          <w:rStyle w:val="Refdenotaalpie"/>
          <w:rFonts w:ascii="Verdana" w:hAnsi="Verdana" w:cs="Arial"/>
          <w:sz w:val="16"/>
          <w:szCs w:val="16"/>
        </w:rPr>
        <w:footnoteRef/>
      </w:r>
      <w:r w:rsidRPr="00FC1084">
        <w:rPr>
          <w:rFonts w:ascii="Verdana" w:hAnsi="Verdana" w:cs="Arial"/>
          <w:sz w:val="16"/>
          <w:szCs w:val="16"/>
        </w:rPr>
        <w:t xml:space="preserve"> Sin perjuicio de lo que ocurre en los procedimientos de selección regidos por los documentos tipo, donde se reduce, en buena medida, dicha discrecionalidad.</w:t>
      </w:r>
    </w:p>
  </w:footnote>
  <w:footnote w:id="8">
    <w:p w14:paraId="297DFA3C" w14:textId="77777777" w:rsidR="002F448C" w:rsidRPr="00A61D2A" w:rsidRDefault="002F448C" w:rsidP="002F448C">
      <w:pPr>
        <w:pStyle w:val="Textonotapie"/>
        <w:ind w:firstLine="709"/>
        <w:jc w:val="both"/>
        <w:rPr>
          <w:rFonts w:ascii="Century Gothic" w:hAnsi="Century Gothic" w:cs="Arial"/>
          <w:sz w:val="14"/>
          <w:szCs w:val="14"/>
        </w:rPr>
      </w:pPr>
      <w:r w:rsidRPr="00A61D2A">
        <w:rPr>
          <w:rStyle w:val="Refdenotaalpie"/>
          <w:rFonts w:ascii="Century Gothic" w:hAnsi="Century Gothic" w:cs="Arial"/>
          <w:sz w:val="14"/>
          <w:szCs w:val="14"/>
        </w:rPr>
        <w:footnoteRef/>
      </w:r>
      <w:r w:rsidRPr="00A61D2A">
        <w:rPr>
          <w:rFonts w:ascii="Century Gothic" w:hAnsi="Century Gothic" w:cs="Arial"/>
          <w:sz w:val="14"/>
          <w:szCs w:val="14"/>
        </w:rPr>
        <w:t xml:space="preserve"> El artículo 2 del Decreto 1860 de 2021 modifica la Subsección 5 de la Sección 1 del Capítulo 2 del Título 1 de la Parte 2 del Libro 2 del Decreto 1082 de 2015, relativo al procedimiento de selección de mínima cuantía. </w:t>
      </w:r>
    </w:p>
  </w:footnote>
  <w:footnote w:id="9">
    <w:p w14:paraId="60F595B4" w14:textId="77777777" w:rsidR="002F448C" w:rsidRPr="00A61D2A" w:rsidRDefault="002F448C" w:rsidP="002F448C">
      <w:pPr>
        <w:pStyle w:val="Textonotapie"/>
        <w:jc w:val="both"/>
        <w:rPr>
          <w:rFonts w:ascii="Century Gothic" w:hAnsi="Century Gothic" w:cs="Arial"/>
          <w:color w:val="000000"/>
          <w:sz w:val="14"/>
          <w:szCs w:val="14"/>
        </w:rPr>
      </w:pPr>
    </w:p>
    <w:p w14:paraId="487D064A" w14:textId="77777777" w:rsidR="002F448C" w:rsidRPr="00A61D2A" w:rsidRDefault="002F448C" w:rsidP="002F448C">
      <w:pPr>
        <w:pStyle w:val="Textonotapie"/>
        <w:ind w:firstLine="709"/>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Decreto 1082 de 2015: “Artículo 2.2.1.2.1.5.2. Procedimiento para la contratación de mínima cuantía. Las siguientes reglas son aplicables a la contratación cuyo valor no excede del diez por ciento (10%) de la menor cuantía de la Entidad Estatal, independientemente de su objeto:  </w:t>
      </w:r>
    </w:p>
    <w:p w14:paraId="7F670DEF"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el cumplimiento de las condiciones técnicas exigidas, incluyendo las obligaciones de las partes del futuro contrato.</w:t>
      </w:r>
    </w:p>
    <w:p w14:paraId="2F8E8DD9"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2. La Entidad Estatal podrá exigir una capacidad financiera mínima cuando no hace el pago contra entrega a satisfacción de los bienes, obras o servicios. Si la Entidad Estatal exige capacidad financiera debe indicar cómo hará la verificación correspondiente en la invitación.</w:t>
      </w:r>
    </w:p>
    <w:p w14:paraId="0AE4999F"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3. La invitación se publicará por un término no inferior a un (1) día hábil para que los interesados se informen de su contenido y formulen observaciones o comentarios, los cuales serán contestados por la Entidad Estatal antes del inicio del plazo para presentar ofertas. De conformidad con el parágrafo del presente artículo, dentro del mismo término para formular observaciones se podrán presentar las solicitudes para limitar la convocatoria a MiPymescolombianas.</w:t>
      </w:r>
    </w:p>
    <w:p w14:paraId="7EE62FCA"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ii)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 iii) El momento en que publicará un aviso en el SECOP precisando si el proceso efectivamente se limitó a MiPymeso si podrá participar cualquier otro interesado. iv) Finalmente, se dispondrá un término adicional dentro del cual los proponentes podrán presentar sus ofertas, el cual será de mínimo un (1) día hábil luego de publicado el aviso en que se informe si el proceso se limita o no a Mipyme.</w:t>
      </w:r>
    </w:p>
    <w:p w14:paraId="5FC46014"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5. La Entidad Estatal debe revisar las ofertas económicas y verificar que la de menor precio cumple con las condiciones de la invitación. Si esta no cumple, la Entidad Estatal debe verificar el cumplimento de los requisitos de la invitación de la oferta con el segundo mejor precio, y así sucesivamente. Lo anterior sin perjuicio de la oportunidad que deberán otorgar las Entidades Estatales para subsanar las ofertas, en los términos del artículo 5 de la Ley 1150 de 2007, para lo cual establecerán un término preclusivo en la invitación para recibir los documentos subsanables, frente a cada uno de los requerimientos. En caso de que no se establezca este término, los proponentes podrán subsanar sus ofertas hasta antes de que finalice el traslado del informe de evaluación.</w:t>
      </w:r>
    </w:p>
    <w:p w14:paraId="0BA6B74F"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 xml:space="preserve">6. La Entidad Estatal debe publicar el informe de evaluación durante mínimo un (1) día hábil, para que durante este término los oferentes presenten las observaciones que deberán ser respondidas por la Entidad Estatal antes de realizar la aceptación de la oferta seleccionada. </w:t>
      </w:r>
    </w:p>
    <w:p w14:paraId="15D31596"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7. La Entidad Estatal debe aceptar la oferta de menor precio, siempre que cumpla con las condiciones establecidas en la invitación a participar en procesos de mínima cuantía. En la aceptación de la oferta, la Entidad Estatal debe informar al contratista el nombre del supervisor o interventor del contrato.</w:t>
      </w:r>
    </w:p>
    <w:p w14:paraId="5DEFE4B2"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8. En caso de empate, la Entidad Estatal aplicará los criterios de que trata el artículo 35 de la Ley 2069 de 2020, conforme a los medios de acreditación del artículo 2.2.1.2.4.2.17. del presente Decreto o las normas que los modifiquen, adicionen o sustituyan.</w:t>
      </w:r>
    </w:p>
    <w:p w14:paraId="57256C43"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9. La oferta y su aceptación constituyen el contrato estatal.</w:t>
      </w:r>
    </w:p>
    <w:p w14:paraId="51B719E2"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w:t>
      </w:r>
    </w:p>
    <w:p w14:paraId="7868E13E"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p>
    <w:p w14:paraId="6A96082C"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p>
  </w:footnote>
  <w:footnote w:id="10">
    <w:p w14:paraId="18C47B8B"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w:t>
      </w:r>
      <w:r w:rsidRPr="00A61D2A">
        <w:rPr>
          <w:rFonts w:ascii="Century Gothic" w:hAnsi="Century Gothic" w:cs="Arial"/>
          <w:color w:val="000000"/>
          <w:sz w:val="14"/>
          <w:szCs w:val="14"/>
          <w:lang w:val="es-CO"/>
        </w:rPr>
        <w:t xml:space="preserve">Real Academia Española de la Lengua. Diccionario de la Lengua Española. Edición Tricentenario. Disponible en: </w:t>
      </w:r>
      <w:hyperlink r:id="rId1" w:history="1">
        <w:r w:rsidRPr="00A61D2A">
          <w:rPr>
            <w:rFonts w:ascii="Century Gothic" w:hAnsi="Century Gothic" w:cs="Arial"/>
            <w:color w:val="000000"/>
            <w:sz w:val="14"/>
            <w:szCs w:val="14"/>
          </w:rPr>
          <w:t>https://dle.rae.es/h%C3%A1bil</w:t>
        </w:r>
      </w:hyperlink>
      <w:r w:rsidRPr="00A61D2A">
        <w:rPr>
          <w:rFonts w:ascii="Century Gothic" w:hAnsi="Century Gothic" w:cs="Arial"/>
          <w:color w:val="000000"/>
          <w:sz w:val="14"/>
          <w:szCs w:val="14"/>
          <w:lang w:val="es-CO"/>
        </w:rPr>
        <w:t xml:space="preserve"> </w:t>
      </w:r>
    </w:p>
  </w:footnote>
  <w:footnote w:id="11">
    <w:p w14:paraId="44C44B21"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MARÍN CORTÉS, Fabián G. Derecho de petición y procedimiento administrativo. 1</w:t>
      </w:r>
      <w:r w:rsidRPr="00A61D2A">
        <w:rPr>
          <w:rFonts w:ascii="Century Gothic" w:hAnsi="Century Gothic" w:cs="Arial"/>
          <w:color w:val="000000"/>
          <w:sz w:val="14"/>
          <w:szCs w:val="14"/>
          <w:u w:val="single"/>
          <w:vertAlign w:val="superscript"/>
        </w:rPr>
        <w:t>a</w:t>
      </w:r>
      <w:r w:rsidRPr="00A61D2A">
        <w:rPr>
          <w:rFonts w:ascii="Century Gothic" w:hAnsi="Century Gothic" w:cs="Arial"/>
          <w:color w:val="000000"/>
          <w:sz w:val="14"/>
          <w:szCs w:val="14"/>
        </w:rPr>
        <w:t xml:space="preserve"> ed. Medellín: Librería Jurídica Sánchez R Ltda y Centro de Estudios de Derecho Administrativo, 2017. p. 417. </w:t>
      </w:r>
    </w:p>
    <w:p w14:paraId="3982FD57"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p>
  </w:footnote>
  <w:footnote w:id="12">
    <w:p w14:paraId="713DCFF7"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w:t>
      </w:r>
      <w:r w:rsidRPr="00A61D2A">
        <w:rPr>
          <w:rFonts w:ascii="Century Gothic" w:hAnsi="Century Gothic" w:cs="Arial"/>
          <w:color w:val="000000"/>
          <w:sz w:val="14"/>
          <w:szCs w:val="14"/>
          <w:lang w:val="es-CO"/>
        </w:rPr>
        <w:t xml:space="preserve">Consejo de Estado. </w:t>
      </w:r>
      <w:r w:rsidRPr="00A61D2A">
        <w:rPr>
          <w:rFonts w:ascii="Century Gothic" w:hAnsi="Century Gothic" w:cs="Arial"/>
          <w:color w:val="000000"/>
          <w:sz w:val="14"/>
          <w:szCs w:val="14"/>
        </w:rPr>
        <w:t>Sala Plena de lo Contencioso Administrativo. Sentencia del 12 de abril de 1978. C.P. Carlos Portocarrero Mutis. Exp. 355.</w:t>
      </w:r>
    </w:p>
    <w:p w14:paraId="6B601D01"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p>
  </w:footnote>
  <w:footnote w:id="13">
    <w:p w14:paraId="6145AD51"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Consejo de Estado. Sección Cuarta. Auto del 26 de febrero de 1983.</w:t>
      </w:r>
    </w:p>
  </w:footnote>
  <w:footnote w:id="14">
    <w:p w14:paraId="4916E34D" w14:textId="77777777" w:rsidR="002F448C" w:rsidRPr="00A61D2A" w:rsidRDefault="002F448C" w:rsidP="002F448C">
      <w:pPr>
        <w:pStyle w:val="Textonotapie"/>
        <w:ind w:firstLine="708"/>
        <w:jc w:val="both"/>
        <w:rPr>
          <w:rFonts w:ascii="Century Gothic" w:hAnsi="Century Gothic" w:cs="Arial"/>
          <w:color w:val="000000"/>
          <w:sz w:val="14"/>
          <w:szCs w:val="14"/>
        </w:rPr>
      </w:pPr>
    </w:p>
    <w:p w14:paraId="0E1AE9E0"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MARÍN CORTÉS, Fabián G. Derecho de petición y procedimiento administrativo. 1</w:t>
      </w:r>
      <w:r w:rsidRPr="00A61D2A">
        <w:rPr>
          <w:rFonts w:ascii="Century Gothic" w:hAnsi="Century Gothic" w:cs="Arial"/>
          <w:color w:val="000000"/>
          <w:sz w:val="14"/>
          <w:szCs w:val="14"/>
          <w:u w:val="single"/>
          <w:vertAlign w:val="superscript"/>
        </w:rPr>
        <w:t>a</w:t>
      </w:r>
      <w:r w:rsidRPr="00A61D2A">
        <w:rPr>
          <w:rFonts w:ascii="Century Gothic" w:hAnsi="Century Gothic" w:cs="Arial"/>
          <w:color w:val="000000"/>
          <w:sz w:val="14"/>
          <w:szCs w:val="14"/>
        </w:rPr>
        <w:t xml:space="preserve"> ed. Medellín: Librería Jurídica Sánchez R Ltda y Centro de Estudios de Derecho Administrativo, 2017. p. 417.  </w:t>
      </w:r>
    </w:p>
  </w:footnote>
  <w:footnote w:id="15">
    <w:p w14:paraId="398AF53E" w14:textId="77777777" w:rsidR="002F448C" w:rsidRPr="00A61D2A" w:rsidRDefault="002F448C" w:rsidP="002F448C">
      <w:pPr>
        <w:pStyle w:val="Textonotapie"/>
        <w:ind w:firstLine="708"/>
        <w:jc w:val="both"/>
        <w:rPr>
          <w:rFonts w:ascii="Century Gothic" w:hAnsi="Century Gothic" w:cs="Arial"/>
          <w:color w:val="000000"/>
          <w:sz w:val="14"/>
          <w:szCs w:val="14"/>
        </w:rPr>
      </w:pPr>
    </w:p>
    <w:p w14:paraId="22EF0E36"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w:t>
      </w:r>
      <w:r w:rsidRPr="00A61D2A">
        <w:rPr>
          <w:rFonts w:ascii="Century Gothic" w:hAnsi="Century Gothic" w:cs="Arial"/>
          <w:i/>
          <w:color w:val="000000"/>
          <w:sz w:val="14"/>
          <w:szCs w:val="14"/>
        </w:rPr>
        <w:t>Ibídem.</w:t>
      </w:r>
      <w:r w:rsidRPr="00A61D2A">
        <w:rPr>
          <w:rFonts w:ascii="Century Gothic" w:hAnsi="Century Gothic" w:cs="Arial"/>
          <w:color w:val="000000"/>
          <w:sz w:val="14"/>
          <w:szCs w:val="14"/>
        </w:rPr>
        <w:t xml:space="preserve"> </w:t>
      </w:r>
    </w:p>
  </w:footnote>
  <w:footnote w:id="16">
    <w:p w14:paraId="4800FA6B"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Ley 1437 de 2011: “Artículo 7°. Deberes de las autoridades en la atención al público. Las autoridades tendrán, frente a las personas que ante ellas acudan y en relación con los asuntos que tramiten, los siguientes deberes: </w:t>
      </w:r>
    </w:p>
    <w:p w14:paraId="6893BBAD" w14:textId="77777777" w:rsidR="002F448C" w:rsidRPr="00A61D2A" w:rsidRDefault="002F448C" w:rsidP="002F448C">
      <w:pPr>
        <w:pStyle w:val="Textonotapie"/>
        <w:jc w:val="both"/>
        <w:rPr>
          <w:rFonts w:ascii="Century Gothic" w:hAnsi="Century Gothic" w:cs="Arial"/>
          <w:color w:val="000000"/>
          <w:sz w:val="14"/>
          <w:szCs w:val="14"/>
        </w:rPr>
      </w:pPr>
      <w:r w:rsidRPr="00A61D2A">
        <w:rPr>
          <w:rFonts w:ascii="Century Gothic" w:hAnsi="Century Gothic" w:cs="Arial"/>
          <w:color w:val="000000"/>
          <w:sz w:val="14"/>
          <w:szCs w:val="14"/>
        </w:rPr>
        <w:t xml:space="preserve">  </w:t>
      </w:r>
      <w:r w:rsidRPr="00A61D2A">
        <w:rPr>
          <w:rFonts w:ascii="Century Gothic" w:hAnsi="Century Gothic" w:cs="Arial"/>
          <w:color w:val="000000"/>
          <w:sz w:val="14"/>
          <w:szCs w:val="14"/>
        </w:rPr>
        <w:tab/>
        <w:t>[…]</w:t>
      </w:r>
    </w:p>
    <w:p w14:paraId="0693CFC4"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r w:rsidRPr="00A61D2A">
        <w:rPr>
          <w:rFonts w:ascii="Century Gothic" w:hAnsi="Century Gothic" w:cs="Arial"/>
          <w:color w:val="000000"/>
          <w:sz w:val="14"/>
          <w:szCs w:val="14"/>
        </w:rPr>
        <w:t>2. Garantizar atención personal al público, como mínimo durante cuarenta (40) horas a la semana, las cuales se distribuirán en horarios que satisfagan las necesidades del servicio […]”.</w:t>
      </w:r>
    </w:p>
  </w:footnote>
  <w:footnote w:id="17">
    <w:p w14:paraId="6F96459A" w14:textId="77777777" w:rsidR="002F448C" w:rsidRPr="00A61D2A" w:rsidRDefault="002F448C" w:rsidP="002F448C">
      <w:pPr>
        <w:pStyle w:val="Textonotapie"/>
        <w:ind w:firstLine="708"/>
        <w:jc w:val="both"/>
        <w:rPr>
          <w:rFonts w:ascii="Century Gothic" w:hAnsi="Century Gothic" w:cs="Arial"/>
          <w:color w:val="000000"/>
          <w:sz w:val="14"/>
          <w:szCs w:val="14"/>
        </w:rPr>
      </w:pPr>
    </w:p>
    <w:p w14:paraId="72F91602"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Style w:val="Refdenotaalpie"/>
          <w:rFonts w:ascii="Century Gothic" w:hAnsi="Century Gothic" w:cs="Arial"/>
          <w:color w:val="000000"/>
          <w:sz w:val="14"/>
          <w:szCs w:val="14"/>
        </w:rPr>
        <w:footnoteRef/>
      </w:r>
      <w:r w:rsidRPr="00A61D2A">
        <w:rPr>
          <w:rFonts w:ascii="Century Gothic" w:hAnsi="Century Gothic" w:cs="Arial"/>
          <w:color w:val="000000"/>
          <w:sz w:val="14"/>
          <w:szCs w:val="14"/>
        </w:rPr>
        <w:t xml:space="preserve"> “Artículo 2.2.1.1.2.1.3. Pliegos de condiciones. Los pliegos de condiciones deben contener por lo menos la siguiente información: </w:t>
      </w:r>
    </w:p>
    <w:p w14:paraId="58CE4EAD"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w:t>
      </w:r>
    </w:p>
    <w:p w14:paraId="7DAD17BD"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 xml:space="preserve">5. Las reglas aplicables a la presentación de las ofertas, su evaluación y a la adjudicación del contrato. </w:t>
      </w:r>
    </w:p>
    <w:p w14:paraId="7474A624"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w:t>
      </w:r>
    </w:p>
    <w:p w14:paraId="3A16B647" w14:textId="77777777" w:rsidR="002F448C" w:rsidRPr="00A61D2A" w:rsidRDefault="002F448C" w:rsidP="002F448C">
      <w:pPr>
        <w:pStyle w:val="Textonotapie"/>
        <w:ind w:firstLine="708"/>
        <w:jc w:val="both"/>
        <w:rPr>
          <w:rFonts w:ascii="Century Gothic" w:hAnsi="Century Gothic" w:cs="Arial"/>
          <w:color w:val="000000"/>
          <w:sz w:val="14"/>
          <w:szCs w:val="14"/>
        </w:rPr>
      </w:pPr>
      <w:r w:rsidRPr="00A61D2A">
        <w:rPr>
          <w:rFonts w:ascii="Century Gothic" w:hAnsi="Century Gothic" w:cs="Arial"/>
          <w:color w:val="000000"/>
          <w:sz w:val="14"/>
          <w:szCs w:val="14"/>
        </w:rPr>
        <w:t>14. El Cronograma”.</w:t>
      </w:r>
    </w:p>
    <w:p w14:paraId="145B9DBC" w14:textId="77777777" w:rsidR="002F448C" w:rsidRPr="00A61D2A" w:rsidRDefault="002F448C" w:rsidP="002F448C">
      <w:pPr>
        <w:pStyle w:val="Textonotapie"/>
        <w:ind w:firstLine="708"/>
        <w:jc w:val="both"/>
        <w:rPr>
          <w:rFonts w:ascii="Century Gothic" w:hAnsi="Century Gothic" w:cs="Arial"/>
          <w:color w:val="000000"/>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2.55pt;height:12.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5E4F"/>
    <w:rsid w:val="00061B2A"/>
    <w:rsid w:val="0006552D"/>
    <w:rsid w:val="00082362"/>
    <w:rsid w:val="000A683E"/>
    <w:rsid w:val="000B19B9"/>
    <w:rsid w:val="000B6298"/>
    <w:rsid w:val="000D0334"/>
    <w:rsid w:val="000D5DA7"/>
    <w:rsid w:val="000F6486"/>
    <w:rsid w:val="00116940"/>
    <w:rsid w:val="00125105"/>
    <w:rsid w:val="00127233"/>
    <w:rsid w:val="00150045"/>
    <w:rsid w:val="00155CFF"/>
    <w:rsid w:val="0015699B"/>
    <w:rsid w:val="001A33BF"/>
    <w:rsid w:val="001A6079"/>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448C"/>
    <w:rsid w:val="0030657A"/>
    <w:rsid w:val="00322A85"/>
    <w:rsid w:val="00324168"/>
    <w:rsid w:val="00330834"/>
    <w:rsid w:val="003448F4"/>
    <w:rsid w:val="00374F5E"/>
    <w:rsid w:val="00377E3E"/>
    <w:rsid w:val="003A779E"/>
    <w:rsid w:val="003B0D09"/>
    <w:rsid w:val="003D0F4D"/>
    <w:rsid w:val="003D5B0D"/>
    <w:rsid w:val="003E0499"/>
    <w:rsid w:val="003E4F80"/>
    <w:rsid w:val="003E6439"/>
    <w:rsid w:val="003F3941"/>
    <w:rsid w:val="00406575"/>
    <w:rsid w:val="00414C74"/>
    <w:rsid w:val="004151F7"/>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15D73"/>
    <w:rsid w:val="006200BF"/>
    <w:rsid w:val="006219F8"/>
    <w:rsid w:val="006302F7"/>
    <w:rsid w:val="00646B9F"/>
    <w:rsid w:val="00665D70"/>
    <w:rsid w:val="006900D9"/>
    <w:rsid w:val="006C2BFB"/>
    <w:rsid w:val="00706C16"/>
    <w:rsid w:val="00722FB6"/>
    <w:rsid w:val="00730973"/>
    <w:rsid w:val="007340C3"/>
    <w:rsid w:val="0075235A"/>
    <w:rsid w:val="00756841"/>
    <w:rsid w:val="007649AB"/>
    <w:rsid w:val="00771D0C"/>
    <w:rsid w:val="007833AC"/>
    <w:rsid w:val="007B268C"/>
    <w:rsid w:val="007B7171"/>
    <w:rsid w:val="007C0C0F"/>
    <w:rsid w:val="007C3DC2"/>
    <w:rsid w:val="007C6473"/>
    <w:rsid w:val="007E5497"/>
    <w:rsid w:val="007F51B9"/>
    <w:rsid w:val="00806F5F"/>
    <w:rsid w:val="00812CBB"/>
    <w:rsid w:val="00820278"/>
    <w:rsid w:val="008258C9"/>
    <w:rsid w:val="00844AE9"/>
    <w:rsid w:val="00867F95"/>
    <w:rsid w:val="008843B6"/>
    <w:rsid w:val="00891928"/>
    <w:rsid w:val="008A446D"/>
    <w:rsid w:val="008B25F1"/>
    <w:rsid w:val="008B57B1"/>
    <w:rsid w:val="008B725E"/>
    <w:rsid w:val="008C35CF"/>
    <w:rsid w:val="008D180B"/>
    <w:rsid w:val="008F0EA7"/>
    <w:rsid w:val="00923EEF"/>
    <w:rsid w:val="00926C7C"/>
    <w:rsid w:val="009332FF"/>
    <w:rsid w:val="009419F9"/>
    <w:rsid w:val="0095685E"/>
    <w:rsid w:val="00961B09"/>
    <w:rsid w:val="00964B84"/>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7D45"/>
    <w:rsid w:val="00B00C0E"/>
    <w:rsid w:val="00B01B1A"/>
    <w:rsid w:val="00B0381D"/>
    <w:rsid w:val="00B44A47"/>
    <w:rsid w:val="00B52B78"/>
    <w:rsid w:val="00B72CD3"/>
    <w:rsid w:val="00B72FFF"/>
    <w:rsid w:val="00BA015B"/>
    <w:rsid w:val="00BC3D36"/>
    <w:rsid w:val="00BD54A6"/>
    <w:rsid w:val="00BD7F72"/>
    <w:rsid w:val="00BF7425"/>
    <w:rsid w:val="00C04FB3"/>
    <w:rsid w:val="00C11D8B"/>
    <w:rsid w:val="00C15139"/>
    <w:rsid w:val="00C330EB"/>
    <w:rsid w:val="00C50D69"/>
    <w:rsid w:val="00C5365C"/>
    <w:rsid w:val="00C754BE"/>
    <w:rsid w:val="00C76B1C"/>
    <w:rsid w:val="00C925AC"/>
    <w:rsid w:val="00C93A10"/>
    <w:rsid w:val="00CB6357"/>
    <w:rsid w:val="00CC1B26"/>
    <w:rsid w:val="00D23B23"/>
    <w:rsid w:val="00D361FD"/>
    <w:rsid w:val="00D423A2"/>
    <w:rsid w:val="00D44E26"/>
    <w:rsid w:val="00D520D8"/>
    <w:rsid w:val="00D63AC2"/>
    <w:rsid w:val="00D7383B"/>
    <w:rsid w:val="00D7788A"/>
    <w:rsid w:val="00D953D8"/>
    <w:rsid w:val="00DA231B"/>
    <w:rsid w:val="00DC39FC"/>
    <w:rsid w:val="00DF5254"/>
    <w:rsid w:val="00E02524"/>
    <w:rsid w:val="00E16408"/>
    <w:rsid w:val="00E20894"/>
    <w:rsid w:val="00E245AB"/>
    <w:rsid w:val="00E2764C"/>
    <w:rsid w:val="00E27F2E"/>
    <w:rsid w:val="00E47C9A"/>
    <w:rsid w:val="00E50AFE"/>
    <w:rsid w:val="00E75C92"/>
    <w:rsid w:val="00E771DC"/>
    <w:rsid w:val="00E8772A"/>
    <w:rsid w:val="00E90F6B"/>
    <w:rsid w:val="00E92C27"/>
    <w:rsid w:val="00E97DF0"/>
    <w:rsid w:val="00EA0E3D"/>
    <w:rsid w:val="00EC38A7"/>
    <w:rsid w:val="00EE1AA8"/>
    <w:rsid w:val="00F23FEA"/>
    <w:rsid w:val="00F31EDC"/>
    <w:rsid w:val="00F462B3"/>
    <w:rsid w:val="00F53404"/>
    <w:rsid w:val="00F5664F"/>
    <w:rsid w:val="00F666C4"/>
    <w:rsid w:val="00F76AFC"/>
    <w:rsid w:val="00FA47C0"/>
    <w:rsid w:val="00FB5DD1"/>
    <w:rsid w:val="00FC2B5D"/>
    <w:rsid w:val="00FF1449"/>
    <w:rsid w:val="00FF7963"/>
    <w:rsid w:val="0528B492"/>
    <w:rsid w:val="09908A09"/>
    <w:rsid w:val="13CFC91B"/>
    <w:rsid w:val="181847B8"/>
    <w:rsid w:val="19A2EC2C"/>
    <w:rsid w:val="21C44F47"/>
    <w:rsid w:val="2859CA1B"/>
    <w:rsid w:val="32A4F9CF"/>
    <w:rsid w:val="356CEDFD"/>
    <w:rsid w:val="57B818E6"/>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2">
    <w:name w:val="heading 2"/>
    <w:basedOn w:val="Normal"/>
    <w:link w:val="Ttulo2Car"/>
    <w:uiPriority w:val="9"/>
    <w:qFormat/>
    <w:rsid w:val="000B6298"/>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B725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B725E"/>
    <w:rPr>
      <w:rFonts w:ascii="Geomanist Light" w:hAnsi="Geomanist Light"/>
      <w:lang w:val="es-ES"/>
    </w:rPr>
  </w:style>
  <w:style w:type="character" w:customStyle="1" w:styleId="citation-57">
    <w:name w:val="citation-57"/>
    <w:basedOn w:val="Fuentedeprrafopredeter"/>
    <w:rsid w:val="008B725E"/>
  </w:style>
  <w:style w:type="character" w:customStyle="1" w:styleId="citation-61">
    <w:name w:val="citation-61"/>
    <w:basedOn w:val="Fuentedeprrafopredeter"/>
    <w:rsid w:val="008B725E"/>
  </w:style>
  <w:style w:type="character" w:customStyle="1" w:styleId="citation-121">
    <w:name w:val="citation-121"/>
    <w:basedOn w:val="Fuentedeprrafopredeter"/>
    <w:rsid w:val="008B725E"/>
  </w:style>
  <w:style w:type="character" w:customStyle="1" w:styleId="citation-120">
    <w:name w:val="citation-120"/>
    <w:basedOn w:val="Fuentedeprrafopredeter"/>
    <w:rsid w:val="008B725E"/>
  </w:style>
  <w:style w:type="character" w:customStyle="1" w:styleId="citation-119">
    <w:name w:val="citation-119"/>
    <w:basedOn w:val="Fuentedeprrafopredeter"/>
    <w:rsid w:val="008B725E"/>
  </w:style>
  <w:style w:type="character" w:customStyle="1" w:styleId="citation-118">
    <w:name w:val="citation-118"/>
    <w:basedOn w:val="Fuentedeprrafopredeter"/>
    <w:rsid w:val="008B725E"/>
  </w:style>
  <w:style w:type="character" w:customStyle="1" w:styleId="citation-117">
    <w:name w:val="citation-117"/>
    <w:basedOn w:val="Fuentedeprrafopredeter"/>
    <w:rsid w:val="008B725E"/>
  </w:style>
  <w:style w:type="character" w:customStyle="1" w:styleId="citation-116">
    <w:name w:val="citation-116"/>
    <w:basedOn w:val="Fuentedeprrafopredeter"/>
    <w:rsid w:val="008B725E"/>
  </w:style>
  <w:style w:type="character" w:customStyle="1" w:styleId="citation-115">
    <w:name w:val="citation-115"/>
    <w:basedOn w:val="Fuentedeprrafopredeter"/>
    <w:rsid w:val="008B725E"/>
  </w:style>
  <w:style w:type="character" w:customStyle="1" w:styleId="citation-114">
    <w:name w:val="citation-114"/>
    <w:basedOn w:val="Fuentedeprrafopredeter"/>
    <w:rsid w:val="008B725E"/>
  </w:style>
  <w:style w:type="character" w:customStyle="1" w:styleId="citation-113">
    <w:name w:val="citation-113"/>
    <w:basedOn w:val="Fuentedeprrafopredeter"/>
    <w:rsid w:val="008B725E"/>
  </w:style>
  <w:style w:type="character" w:customStyle="1" w:styleId="citation-112">
    <w:name w:val="citation-112"/>
    <w:basedOn w:val="Fuentedeprrafopredeter"/>
    <w:rsid w:val="008B725E"/>
  </w:style>
  <w:style w:type="character" w:customStyle="1" w:styleId="citation-111">
    <w:name w:val="citation-111"/>
    <w:basedOn w:val="Fuentedeprrafopredeter"/>
    <w:rsid w:val="008B725E"/>
  </w:style>
  <w:style w:type="character" w:customStyle="1" w:styleId="citation-60">
    <w:name w:val="citation-60"/>
    <w:basedOn w:val="Fuentedeprrafopredeter"/>
    <w:rsid w:val="008B725E"/>
  </w:style>
  <w:style w:type="character" w:customStyle="1" w:styleId="citation-59">
    <w:name w:val="citation-59"/>
    <w:basedOn w:val="Fuentedeprrafopredeter"/>
    <w:rsid w:val="008B725E"/>
  </w:style>
  <w:style w:type="character" w:customStyle="1" w:styleId="citation-58">
    <w:name w:val="citation-58"/>
    <w:basedOn w:val="Fuentedeprrafopredeter"/>
    <w:rsid w:val="008B725E"/>
  </w:style>
  <w:style w:type="character" w:customStyle="1" w:styleId="citation-56">
    <w:name w:val="citation-56"/>
    <w:basedOn w:val="Fuentedeprrafopredeter"/>
    <w:rsid w:val="008B725E"/>
  </w:style>
  <w:style w:type="character" w:customStyle="1" w:styleId="citation-55">
    <w:name w:val="citation-55"/>
    <w:basedOn w:val="Fuentedeprrafopredeter"/>
    <w:rsid w:val="008B725E"/>
  </w:style>
  <w:style w:type="character" w:customStyle="1" w:styleId="citation-54">
    <w:name w:val="citation-54"/>
    <w:basedOn w:val="Fuentedeprrafopredeter"/>
    <w:rsid w:val="008B725E"/>
  </w:style>
  <w:style w:type="character" w:customStyle="1" w:styleId="citation-53">
    <w:name w:val="citation-53"/>
    <w:basedOn w:val="Fuentedeprrafopredeter"/>
    <w:rsid w:val="008B725E"/>
  </w:style>
  <w:style w:type="character" w:customStyle="1" w:styleId="citation-52">
    <w:name w:val="citation-52"/>
    <w:basedOn w:val="Fuentedeprrafopredeter"/>
    <w:rsid w:val="008B725E"/>
  </w:style>
  <w:style w:type="character" w:customStyle="1" w:styleId="citation-50">
    <w:name w:val="citation-50"/>
    <w:basedOn w:val="Fuentedeprrafopredeter"/>
    <w:rsid w:val="008B725E"/>
  </w:style>
  <w:style w:type="character" w:customStyle="1" w:styleId="citation-49">
    <w:name w:val="citation-49"/>
    <w:basedOn w:val="Fuentedeprrafopredeter"/>
    <w:rsid w:val="008B725E"/>
  </w:style>
  <w:style w:type="character" w:customStyle="1" w:styleId="citation-48">
    <w:name w:val="citation-48"/>
    <w:basedOn w:val="Fuentedeprrafopredeter"/>
    <w:rsid w:val="008B725E"/>
  </w:style>
  <w:style w:type="paragraph" w:styleId="Textocomentario">
    <w:name w:val="annotation text"/>
    <w:basedOn w:val="Normal"/>
    <w:link w:val="TextocomentarioCar"/>
    <w:uiPriority w:val="99"/>
    <w:semiHidden/>
    <w:unhideWhenUsed/>
    <w:rsid w:val="004151F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151F7"/>
    <w:rPr>
      <w:sz w:val="20"/>
      <w:szCs w:val="20"/>
    </w:rPr>
  </w:style>
  <w:style w:type="character" w:styleId="Refdecomentario">
    <w:name w:val="annotation reference"/>
    <w:basedOn w:val="Fuentedeprrafopredeter"/>
    <w:uiPriority w:val="99"/>
    <w:semiHidden/>
    <w:unhideWhenUsed/>
    <w:rsid w:val="004151F7"/>
    <w:rPr>
      <w:sz w:val="16"/>
      <w:szCs w:val="16"/>
    </w:rPr>
  </w:style>
  <w:style w:type="character" w:customStyle="1" w:styleId="citation-419">
    <w:name w:val="citation-419"/>
    <w:basedOn w:val="Fuentedeprrafopredeter"/>
    <w:rsid w:val="006C2BFB"/>
  </w:style>
  <w:style w:type="character" w:customStyle="1" w:styleId="citation-418">
    <w:name w:val="citation-418"/>
    <w:basedOn w:val="Fuentedeprrafopredeter"/>
    <w:rsid w:val="006C2BFB"/>
  </w:style>
  <w:style w:type="character" w:customStyle="1" w:styleId="citation-417">
    <w:name w:val="citation-417"/>
    <w:basedOn w:val="Fuentedeprrafopredeter"/>
    <w:rsid w:val="006C2BFB"/>
  </w:style>
  <w:style w:type="character" w:customStyle="1" w:styleId="citation-416">
    <w:name w:val="citation-416"/>
    <w:basedOn w:val="Fuentedeprrafopredeter"/>
    <w:rsid w:val="006C2BFB"/>
  </w:style>
  <w:style w:type="paragraph" w:styleId="Textoindependiente">
    <w:name w:val="Body Text"/>
    <w:basedOn w:val="Normal"/>
    <w:link w:val="TextoindependienteCar"/>
    <w:uiPriority w:val="1"/>
    <w:qFormat/>
    <w:rsid w:val="00964B8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964B84"/>
    <w:rPr>
      <w:rFonts w:ascii="Verdana" w:eastAsia="Verdana" w:hAnsi="Verdana" w:cs="Verdana"/>
      <w:lang w:val="es-ES"/>
    </w:rPr>
  </w:style>
  <w:style w:type="character" w:customStyle="1" w:styleId="Ttulo2Car">
    <w:name w:val="Título 2 Car"/>
    <w:basedOn w:val="Fuentedeprrafopredeter"/>
    <w:link w:val="Ttulo2"/>
    <w:uiPriority w:val="9"/>
    <w:rsid w:val="000B6298"/>
    <w:rPr>
      <w:rFonts w:ascii="Times New Roman" w:eastAsia="Times New Roman" w:hAnsi="Times New Roman" w:cs="Times New Roman"/>
      <w:b/>
      <w:bCs/>
      <w:sz w:val="36"/>
      <w:szCs w:val="36"/>
      <w:lang w:eastAsia="es-MX"/>
    </w:rPr>
  </w:style>
  <w:style w:type="character" w:customStyle="1" w:styleId="citation-215">
    <w:name w:val="citation-215"/>
    <w:basedOn w:val="Fuentedeprrafopredeter"/>
    <w:rsid w:val="000B6298"/>
  </w:style>
  <w:style w:type="character" w:customStyle="1" w:styleId="citation-214">
    <w:name w:val="citation-214"/>
    <w:basedOn w:val="Fuentedeprrafopredeter"/>
    <w:rsid w:val="000B6298"/>
  </w:style>
  <w:style w:type="character" w:customStyle="1" w:styleId="citation-213">
    <w:name w:val="citation-213"/>
    <w:basedOn w:val="Fuentedeprrafopredeter"/>
    <w:rsid w:val="000B6298"/>
  </w:style>
  <w:style w:type="character" w:customStyle="1" w:styleId="citation-212">
    <w:name w:val="citation-212"/>
    <w:basedOn w:val="Fuentedeprrafopredeter"/>
    <w:rsid w:val="000B6298"/>
  </w:style>
  <w:style w:type="character" w:customStyle="1" w:styleId="citation-211">
    <w:name w:val="citation-211"/>
    <w:basedOn w:val="Fuentedeprrafopredeter"/>
    <w:rsid w:val="000B6298"/>
  </w:style>
  <w:style w:type="character" w:customStyle="1" w:styleId="citation-210">
    <w:name w:val="citation-210"/>
    <w:basedOn w:val="Fuentedeprrafopredeter"/>
    <w:rsid w:val="000B6298"/>
  </w:style>
  <w:style w:type="character" w:customStyle="1" w:styleId="citation-209">
    <w:name w:val="citation-209"/>
    <w:basedOn w:val="Fuentedeprrafopredeter"/>
    <w:rsid w:val="000B62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abian-araque@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footnotes.xml.rels><?xml version="1.0" encoding="UTF-8" standalone="yes"?>
<Relationships xmlns="http://schemas.openxmlformats.org/package/2006/relationships"><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341B4D15-8242-4092-B26B-65D7C271BD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16</Pages>
  <Words>4476</Words>
  <Characters>24621</Characters>
  <Application>Microsoft Office Word</Application>
  <DocSecurity>0</DocSecurity>
  <Lines>205</Lines>
  <Paragraphs>58</Paragraphs>
  <ScaleCrop>false</ScaleCrop>
  <Company/>
  <LinksUpToDate>false</LinksUpToDate>
  <CharactersWithSpaces>29039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2025-11-26T14:28:00Z</dcterms:created>
  <dcterms:modified xsi:type="dcterms:W3CDTF">2025-11-26T14:28:00Z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