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83CE41" w14:textId="488C7AF0" w:rsidR="0034209E" w:rsidRDefault="0034209E" w:rsidP="0034209E">
      <w:pPr>
        <w:jc w:val="both"/>
        <w:rPr>
          <w:rFonts w:ascii="Verdana" w:hAnsi="Verdana" w:cs="Arial"/>
          <w:b/>
          <w:bCs/>
          <w:color w:val="000000"/>
          <w:szCs w:val="24"/>
          <w:lang w:val="es-ES_tradnl" w:eastAsia="es-ES_tradnl"/>
        </w:rPr>
      </w:pPr>
      <w:bookmarkStart w:id="0" w:name="_Hlk143780582"/>
      <w:r w:rsidRPr="0034209E">
        <w:rPr>
          <w:rFonts w:ascii="Verdana" w:hAnsi="Verdana" w:cs="Arial"/>
          <w:b/>
          <w:bCs/>
          <w:color w:val="000000"/>
          <w:szCs w:val="24"/>
          <w:lang w:val="es-ES_tradnl" w:eastAsia="es-ES_tradnl"/>
        </w:rPr>
        <w:t>DEBIDO PROCESO ADMINISTRATIVO – Potestad Sancionatoria del Estado – Actuaciones Contractuales</w:t>
      </w:r>
    </w:p>
    <w:p w14:paraId="3255F43F" w14:textId="77777777" w:rsidR="0034209E" w:rsidRPr="00BF0D90" w:rsidRDefault="0034209E" w:rsidP="0034209E">
      <w:pPr>
        <w:tabs>
          <w:tab w:val="left" w:pos="709"/>
        </w:tabs>
        <w:spacing w:before="120" w:after="120" w:line="276" w:lineRule="auto"/>
        <w:jc w:val="both"/>
        <w:rPr>
          <w:rFonts w:ascii="Verdana" w:eastAsia="Times New Roman" w:hAnsi="Verdana" w:cs="Arial"/>
          <w:lang w:eastAsia="es-ES"/>
          <w14:ligatures w14:val="standardContextual"/>
        </w:rPr>
      </w:pPr>
      <w:r w:rsidRPr="00BF0D90">
        <w:rPr>
          <w:rFonts w:ascii="Verdana" w:eastAsia="Times New Roman" w:hAnsi="Verdana" w:cs="Arial"/>
          <w:lang w:eastAsia="es-ES"/>
          <w14:ligatures w14:val="standardContextual"/>
        </w:rPr>
        <w:t>Las generalidades para llevar a cabo un proceso administrativo sancionatorio en la contratación estatal se encuentran establecidas en el artículo 86 de la Ley 1474 de 2011. Esta norma fija las reglas de procedimiento que garantizan el respeto al debido proceso y los derechos de las partes involucradas.</w:t>
      </w:r>
    </w:p>
    <w:p w14:paraId="2687F3F9" w14:textId="77777777" w:rsidR="0034209E" w:rsidRPr="00BF0D90" w:rsidRDefault="0034209E" w:rsidP="0034209E">
      <w:pPr>
        <w:tabs>
          <w:tab w:val="left" w:pos="709"/>
        </w:tabs>
        <w:spacing w:before="120" w:after="120" w:line="276" w:lineRule="auto"/>
        <w:jc w:val="both"/>
        <w:rPr>
          <w:rFonts w:ascii="Verdana" w:eastAsia="Times New Roman" w:hAnsi="Verdana" w:cs="Arial"/>
          <w:lang w:eastAsia="es-ES"/>
          <w14:ligatures w14:val="standardContextual"/>
        </w:rPr>
      </w:pPr>
      <w:r w:rsidRPr="00BF0D90">
        <w:rPr>
          <w:rFonts w:ascii="Verdana" w:eastAsia="Times New Roman" w:hAnsi="Verdana" w:cs="Arial"/>
          <w:lang w:eastAsia="es-ES"/>
          <w14:ligatures w14:val="standardContextual"/>
        </w:rPr>
        <w:t>De acuerdo con dicha disposición, las entidades sometidas al Estatuto General de Contratación de la Administración Pública tienen la facultad de declarar el incumplimiento del contratista, cuantificar los perjuicios ocasionados, imponer las multas y sanciones pactadas en el contrato, y hacer efectiva la cláusula penal.</w:t>
      </w:r>
    </w:p>
    <w:p w14:paraId="687D84A1" w14:textId="57D54342" w:rsidR="0034209E" w:rsidRPr="0034209E" w:rsidRDefault="0034209E" w:rsidP="0034209E">
      <w:pPr>
        <w:jc w:val="both"/>
        <w:rPr>
          <w:rFonts w:ascii="Verdana" w:hAnsi="Verdana" w:cs="Arial"/>
          <w:b/>
          <w:bCs/>
          <w:color w:val="000000"/>
          <w:szCs w:val="24"/>
          <w:lang w:val="es-ES_tradnl" w:eastAsia="es-ES_tradnl"/>
        </w:rPr>
      </w:pPr>
      <w:r w:rsidRPr="0034209E">
        <w:rPr>
          <w:rFonts w:ascii="Verdana" w:hAnsi="Verdana" w:cs="Arial"/>
          <w:b/>
          <w:bCs/>
          <w:color w:val="000000"/>
          <w:szCs w:val="24"/>
          <w:lang w:val="es-ES_tradnl" w:eastAsia="es-ES_tradnl"/>
        </w:rPr>
        <w:t>PROCEDIMIENTO SANCIONATORIO CONTRACTUAL – Citación a audiencia – Contenido – Ley 1474 de 2011 – Artículo 86</w:t>
      </w:r>
    </w:p>
    <w:p w14:paraId="39D43EC7" w14:textId="77777777" w:rsidR="0034209E" w:rsidRPr="004A73EC" w:rsidRDefault="0034209E" w:rsidP="0034209E">
      <w:pPr>
        <w:spacing w:after="120" w:line="276" w:lineRule="auto"/>
        <w:jc w:val="both"/>
        <w:rPr>
          <w:rFonts w:ascii="Verdana" w:hAnsi="Verdana" w:cs="Arial"/>
          <w:color w:val="000000" w:themeColor="text1"/>
          <w:lang w:val="es-ES"/>
        </w:rPr>
      </w:pPr>
      <w:r w:rsidRPr="004F246A">
        <w:rPr>
          <w:rFonts w:ascii="Verdana" w:eastAsia="Times New Roman" w:hAnsi="Verdana" w:cs="Arial"/>
          <w:iCs/>
          <w:color w:val="000000"/>
          <w:szCs w:val="24"/>
          <w:lang w:val="es-ES_tradnl" w:eastAsia="es-ES_tradnl"/>
        </w:rPr>
        <w:t xml:space="preserve">De conformidad con lo anterior, el artículo 86 de la Ley 1474 de 2011 establece las etapas del procedimiento que se deben seguir, las cuales se sintetizan, de forma esquemática, así: </w:t>
      </w:r>
      <w:r w:rsidRPr="14DBD07D">
        <w:rPr>
          <w:rFonts w:ascii="Verdana" w:hAnsi="Verdana" w:cs="Arial"/>
          <w:color w:val="000000" w:themeColor="text1"/>
          <w:lang w:val="es-ES"/>
        </w:rPr>
        <w:t xml:space="preserve">a) </w:t>
      </w:r>
      <w:r w:rsidRPr="14DBD07D">
        <w:rPr>
          <w:rFonts w:ascii="Verdana" w:hAnsi="Verdana" w:cs="Arial"/>
          <w:i/>
          <w:color w:val="000000" w:themeColor="text1"/>
          <w:lang w:val="es-ES"/>
        </w:rPr>
        <w:t>Citación a audiencia</w:t>
      </w:r>
      <w:r w:rsidRPr="14DBD07D">
        <w:rPr>
          <w:rFonts w:ascii="Verdana" w:hAnsi="Verdana" w:cs="Arial"/>
          <w:color w:val="000000" w:themeColor="text1"/>
          <w:lang w:val="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consista en una póliza. b) </w:t>
      </w:r>
      <w:r w:rsidRPr="14DBD07D">
        <w:rPr>
          <w:rFonts w:ascii="Verdana" w:hAnsi="Verdana" w:cs="Arial"/>
          <w:i/>
          <w:color w:val="000000" w:themeColor="text1"/>
          <w:lang w:val="es-ES"/>
        </w:rPr>
        <w:t>Audiencia</w:t>
      </w:r>
      <w:r w:rsidRPr="14DBD07D">
        <w:rPr>
          <w:rFonts w:ascii="Verdana" w:hAnsi="Verdana" w:cs="Arial"/>
          <w:color w:val="000000" w:themeColor="text1"/>
          <w:lang w:val="es-ES"/>
        </w:rPr>
        <w:t>.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w:t>
      </w:r>
      <w:r>
        <w:rPr>
          <w:rFonts w:ascii="Verdana" w:hAnsi="Verdana" w:cs="Arial"/>
          <w:color w:val="000000" w:themeColor="text1"/>
          <w:lang w:val="es-ES"/>
        </w:rPr>
        <w:t>an las explicaciones del caso; y</w:t>
      </w:r>
      <w:r w:rsidRPr="14DBD07D">
        <w:rPr>
          <w:rFonts w:ascii="Verdana" w:hAnsi="Verdana" w:cs="Arial"/>
          <w:color w:val="000000" w:themeColor="text1"/>
          <w:lang w:val="es-ES"/>
        </w:rPr>
        <w:t xml:space="preserve"> c) </w:t>
      </w:r>
      <w:r w:rsidRPr="14DBD07D">
        <w:rPr>
          <w:rFonts w:ascii="Verdana" w:hAnsi="Verdana" w:cs="Arial"/>
          <w:i/>
          <w:color w:val="000000" w:themeColor="text1"/>
          <w:lang w:val="es-ES"/>
        </w:rPr>
        <w:t>Decisión</w:t>
      </w:r>
      <w:r w:rsidRPr="14DBD07D">
        <w:rPr>
          <w:rFonts w:ascii="Verdana" w:hAnsi="Verdana" w:cs="Arial"/>
          <w:color w:val="000000" w:themeColor="text1"/>
          <w:lang w:val="es-ES"/>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0905AD41" w14:textId="4DF503C2" w:rsidR="0034209E" w:rsidRPr="0034209E" w:rsidRDefault="0034209E" w:rsidP="0034209E">
      <w:pPr>
        <w:jc w:val="both"/>
        <w:rPr>
          <w:rFonts w:ascii="Verdana" w:hAnsi="Verdana" w:cs="Arial"/>
          <w:b/>
          <w:bCs/>
          <w:color w:val="000000"/>
          <w:szCs w:val="24"/>
          <w:lang w:val="es-ES" w:eastAsia="es-ES_tradnl"/>
        </w:rPr>
      </w:pPr>
      <w:r w:rsidRPr="0034209E">
        <w:rPr>
          <w:rFonts w:ascii="Verdana" w:hAnsi="Verdana" w:cs="Arial"/>
          <w:b/>
          <w:bCs/>
          <w:color w:val="000000"/>
          <w:szCs w:val="24"/>
          <w:lang w:val="es-ES_tradnl" w:eastAsia="es-ES_tradnl"/>
        </w:rPr>
        <w:t>ACTUACIONES PREVIAS – Procedimiento Administrativo Sancionatorio Contractual – Requerimiento de Presunto Incumplimiento</w:t>
      </w:r>
    </w:p>
    <w:p w14:paraId="0F785AE8" w14:textId="77777777" w:rsidR="0034209E" w:rsidRDefault="0034209E" w:rsidP="0034209E">
      <w:pPr>
        <w:spacing w:after="120" w:line="276" w:lineRule="auto"/>
        <w:jc w:val="both"/>
        <w:rPr>
          <w:rFonts w:ascii="Verdana" w:eastAsia="Times New Roman" w:hAnsi="Verdana" w:cs="Arial"/>
          <w:iCs/>
          <w:color w:val="000000"/>
          <w:szCs w:val="24"/>
          <w:lang w:val="es-ES_tradnl" w:eastAsia="es-ES_tradnl"/>
        </w:rPr>
      </w:pPr>
      <w:r>
        <w:rPr>
          <w:rFonts w:ascii="Verdana" w:eastAsia="Times New Roman" w:hAnsi="Verdana" w:cs="Arial"/>
          <w:iCs/>
          <w:color w:val="000000"/>
          <w:szCs w:val="24"/>
          <w:lang w:val="es-ES_tradnl" w:eastAsia="es-ES_tradnl"/>
        </w:rPr>
        <w:t xml:space="preserve">Ahora bien, vale agregar, que la entidad estatal a través de sus funcionarios tiene la facultad de antes de iniciar dicho procedimiento de requerir a través de </w:t>
      </w:r>
      <w:r>
        <w:rPr>
          <w:rFonts w:ascii="Verdana" w:eastAsia="Times New Roman" w:hAnsi="Verdana" w:cs="Arial"/>
          <w:iCs/>
          <w:color w:val="000000"/>
          <w:szCs w:val="24"/>
          <w:lang w:val="es-ES_tradnl" w:eastAsia="es-ES_tradnl"/>
        </w:rPr>
        <w:lastRenderedPageBreak/>
        <w:t xml:space="preserve">actos de requerimiento de presunto incumplimiento, los cuales son actos de la administración, en los que solicita el supervisor o interventor para que se corrija una situación dentro de la ejecución del contrato, o se cumpla con una obligación. Para ello, puede requerir información o subsanar inconsistencias errores y fallas dentro de la ejecución contractual, garantizando la posibilidad de que el contratista aclare o resuelva las inquietudes de la supervisión o de la interventoría. </w:t>
      </w:r>
    </w:p>
    <w:p w14:paraId="3A95EE61" w14:textId="77777777" w:rsidR="0034209E" w:rsidRPr="0034209E" w:rsidRDefault="0034209E" w:rsidP="0034209E">
      <w:pPr>
        <w:jc w:val="both"/>
        <w:rPr>
          <w:rFonts w:ascii="Verdana" w:eastAsia="Times New Roman" w:hAnsi="Verdana" w:cs="Arial"/>
          <w:b/>
          <w:bCs/>
          <w:lang w:val="es-ES_tradnl" w:eastAsia="es-ES_tradnl"/>
        </w:rPr>
      </w:pPr>
    </w:p>
    <w:p w14:paraId="26D63E72" w14:textId="77777777" w:rsidR="0034209E" w:rsidRDefault="0034209E" w:rsidP="00002A24">
      <w:pPr>
        <w:rPr>
          <w:rFonts w:ascii="Verdana" w:eastAsia="Times New Roman" w:hAnsi="Verdana" w:cs="Arial"/>
          <w:lang w:eastAsia="es-ES_tradnl"/>
        </w:rPr>
      </w:pPr>
    </w:p>
    <w:p w14:paraId="2F5B8E1F" w14:textId="77777777" w:rsidR="0034209E" w:rsidRDefault="0034209E" w:rsidP="00002A24">
      <w:pPr>
        <w:rPr>
          <w:rFonts w:ascii="Verdana" w:eastAsia="Times New Roman" w:hAnsi="Verdana" w:cs="Arial"/>
          <w:lang w:eastAsia="es-ES_tradnl"/>
        </w:rPr>
      </w:pPr>
    </w:p>
    <w:p w14:paraId="3F5516C5" w14:textId="77777777" w:rsidR="0034209E" w:rsidRDefault="0034209E" w:rsidP="00002A24">
      <w:pPr>
        <w:rPr>
          <w:rFonts w:ascii="Verdana" w:eastAsia="Times New Roman" w:hAnsi="Verdana" w:cs="Arial"/>
          <w:lang w:eastAsia="es-ES_tradnl"/>
        </w:rPr>
      </w:pPr>
    </w:p>
    <w:p w14:paraId="3579B50E" w14:textId="77777777" w:rsidR="0034209E" w:rsidRDefault="0034209E" w:rsidP="00002A24">
      <w:pPr>
        <w:rPr>
          <w:rFonts w:ascii="Verdana" w:eastAsia="Times New Roman" w:hAnsi="Verdana" w:cs="Arial"/>
          <w:lang w:eastAsia="es-ES_tradnl"/>
        </w:rPr>
      </w:pPr>
    </w:p>
    <w:p w14:paraId="0636A541" w14:textId="77777777" w:rsidR="0034209E" w:rsidRDefault="0034209E" w:rsidP="00002A24">
      <w:pPr>
        <w:rPr>
          <w:rFonts w:ascii="Verdana" w:eastAsia="Times New Roman" w:hAnsi="Verdana" w:cs="Arial"/>
          <w:lang w:eastAsia="es-ES_tradnl"/>
        </w:rPr>
      </w:pPr>
    </w:p>
    <w:p w14:paraId="1879D7C4" w14:textId="77777777" w:rsidR="0034209E" w:rsidRDefault="0034209E" w:rsidP="00002A24">
      <w:pPr>
        <w:rPr>
          <w:rFonts w:ascii="Verdana" w:eastAsia="Times New Roman" w:hAnsi="Verdana" w:cs="Arial"/>
          <w:lang w:eastAsia="es-ES_tradnl"/>
        </w:rPr>
      </w:pPr>
    </w:p>
    <w:p w14:paraId="4E9CA592" w14:textId="77777777" w:rsidR="0034209E" w:rsidRDefault="0034209E" w:rsidP="00002A24">
      <w:pPr>
        <w:rPr>
          <w:rFonts w:ascii="Verdana" w:eastAsia="Times New Roman" w:hAnsi="Verdana" w:cs="Arial"/>
          <w:lang w:eastAsia="es-ES_tradnl"/>
        </w:rPr>
      </w:pPr>
    </w:p>
    <w:p w14:paraId="1705F61F" w14:textId="77777777" w:rsidR="0034209E" w:rsidRDefault="0034209E" w:rsidP="00002A24">
      <w:pPr>
        <w:rPr>
          <w:rFonts w:ascii="Verdana" w:eastAsia="Times New Roman" w:hAnsi="Verdana" w:cs="Arial"/>
          <w:lang w:eastAsia="es-ES_tradnl"/>
        </w:rPr>
      </w:pPr>
    </w:p>
    <w:p w14:paraId="09FA2981" w14:textId="77777777" w:rsidR="0034209E" w:rsidRDefault="0034209E" w:rsidP="00002A24">
      <w:pPr>
        <w:rPr>
          <w:rFonts w:ascii="Verdana" w:eastAsia="Times New Roman" w:hAnsi="Verdana" w:cs="Arial"/>
          <w:lang w:eastAsia="es-ES_tradnl"/>
        </w:rPr>
      </w:pPr>
    </w:p>
    <w:p w14:paraId="55B29C39" w14:textId="77777777" w:rsidR="0034209E" w:rsidRDefault="0034209E" w:rsidP="00002A24">
      <w:pPr>
        <w:rPr>
          <w:rFonts w:ascii="Verdana" w:eastAsia="Times New Roman" w:hAnsi="Verdana" w:cs="Arial"/>
          <w:lang w:eastAsia="es-ES_tradnl"/>
        </w:rPr>
      </w:pPr>
    </w:p>
    <w:p w14:paraId="29331C04" w14:textId="77777777" w:rsidR="0034209E" w:rsidRDefault="0034209E" w:rsidP="00002A24">
      <w:pPr>
        <w:rPr>
          <w:rFonts w:ascii="Verdana" w:eastAsia="Times New Roman" w:hAnsi="Verdana" w:cs="Arial"/>
          <w:lang w:eastAsia="es-ES_tradnl"/>
        </w:rPr>
      </w:pPr>
    </w:p>
    <w:p w14:paraId="64502F25" w14:textId="77777777" w:rsidR="0034209E" w:rsidRDefault="0034209E" w:rsidP="00002A24">
      <w:pPr>
        <w:rPr>
          <w:rFonts w:ascii="Verdana" w:eastAsia="Times New Roman" w:hAnsi="Verdana" w:cs="Arial"/>
          <w:lang w:eastAsia="es-ES_tradnl"/>
        </w:rPr>
      </w:pPr>
    </w:p>
    <w:p w14:paraId="33F3223E" w14:textId="77777777" w:rsidR="0034209E" w:rsidRDefault="0034209E" w:rsidP="00002A24">
      <w:pPr>
        <w:rPr>
          <w:rFonts w:ascii="Verdana" w:eastAsia="Times New Roman" w:hAnsi="Verdana" w:cs="Arial"/>
          <w:lang w:eastAsia="es-ES_tradnl"/>
        </w:rPr>
      </w:pPr>
    </w:p>
    <w:p w14:paraId="5FF13053" w14:textId="77777777" w:rsidR="0034209E" w:rsidRDefault="0034209E" w:rsidP="00002A24">
      <w:pPr>
        <w:rPr>
          <w:rFonts w:ascii="Verdana" w:eastAsia="Times New Roman" w:hAnsi="Verdana" w:cs="Arial"/>
          <w:lang w:eastAsia="es-ES_tradnl"/>
        </w:rPr>
      </w:pPr>
    </w:p>
    <w:p w14:paraId="68A55B57" w14:textId="77777777" w:rsidR="0034209E" w:rsidRDefault="0034209E" w:rsidP="00002A24">
      <w:pPr>
        <w:rPr>
          <w:rFonts w:ascii="Verdana" w:eastAsia="Times New Roman" w:hAnsi="Verdana" w:cs="Arial"/>
          <w:lang w:eastAsia="es-ES_tradnl"/>
        </w:rPr>
      </w:pPr>
    </w:p>
    <w:p w14:paraId="71E9A6AA" w14:textId="77777777" w:rsidR="0034209E" w:rsidRDefault="0034209E" w:rsidP="00002A24">
      <w:pPr>
        <w:rPr>
          <w:rFonts w:ascii="Verdana" w:eastAsia="Times New Roman" w:hAnsi="Verdana" w:cs="Arial"/>
          <w:lang w:eastAsia="es-ES_tradnl"/>
        </w:rPr>
      </w:pPr>
    </w:p>
    <w:p w14:paraId="76B8CA68" w14:textId="77777777" w:rsidR="0034209E" w:rsidRDefault="0034209E" w:rsidP="00002A24">
      <w:pPr>
        <w:rPr>
          <w:rFonts w:ascii="Verdana" w:eastAsia="Times New Roman" w:hAnsi="Verdana" w:cs="Arial"/>
          <w:lang w:eastAsia="es-ES_tradnl"/>
        </w:rPr>
      </w:pPr>
    </w:p>
    <w:p w14:paraId="0B3943C0" w14:textId="77777777" w:rsidR="0034209E" w:rsidRDefault="0034209E" w:rsidP="00002A24">
      <w:pPr>
        <w:rPr>
          <w:rFonts w:ascii="Verdana" w:eastAsia="Times New Roman" w:hAnsi="Verdana" w:cs="Arial"/>
          <w:lang w:eastAsia="es-ES_tradnl"/>
        </w:rPr>
      </w:pPr>
    </w:p>
    <w:p w14:paraId="35BCA4E8" w14:textId="77777777" w:rsidR="0034209E" w:rsidRDefault="0034209E" w:rsidP="00002A24">
      <w:pPr>
        <w:rPr>
          <w:rFonts w:ascii="Verdana" w:eastAsia="Times New Roman" w:hAnsi="Verdana" w:cs="Arial"/>
          <w:lang w:eastAsia="es-ES_tradnl"/>
        </w:rPr>
      </w:pPr>
    </w:p>
    <w:p w14:paraId="5C1A226D" w14:textId="77777777" w:rsidR="0034209E" w:rsidRDefault="0034209E" w:rsidP="00002A24">
      <w:pPr>
        <w:rPr>
          <w:rFonts w:ascii="Verdana" w:eastAsia="Times New Roman" w:hAnsi="Verdana" w:cs="Arial"/>
          <w:lang w:eastAsia="es-ES_tradnl"/>
        </w:rPr>
      </w:pPr>
    </w:p>
    <w:p w14:paraId="56C107BD" w14:textId="062C9E78" w:rsidR="004063A4" w:rsidRPr="00002A24" w:rsidRDefault="00002A24" w:rsidP="00002A24">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34209E">
        <w:rPr>
          <w:rFonts w:ascii="Verdana" w:eastAsia="Times New Roman" w:hAnsi="Verdana" w:cs="Arial"/>
          <w:lang w:eastAsia="es-ES_tradnl"/>
        </w:rPr>
        <w:t xml:space="preserve">30 </w:t>
      </w:r>
      <w:r w:rsidRPr="00093B55">
        <w:rPr>
          <w:rFonts w:ascii="Verdana" w:eastAsia="Times New Roman" w:hAnsi="Verdana" w:cs="Arial"/>
          <w:lang w:eastAsia="es-ES_tradnl"/>
        </w:rPr>
        <w:t>de</w:t>
      </w:r>
      <w:r w:rsidR="0034209E">
        <w:rPr>
          <w:rFonts w:ascii="Verdana" w:eastAsia="Times New Roman" w:hAnsi="Verdana" w:cs="Arial"/>
          <w:lang w:eastAsia="es-ES_tradnl"/>
        </w:rPr>
        <w:t xml:space="preserve"> octubre</w:t>
      </w:r>
      <w:r w:rsidRPr="00093B55">
        <w:rPr>
          <w:rFonts w:ascii="Verdana" w:eastAsia="Times New Roman" w:hAnsi="Verdana" w:cs="Arial"/>
          <w:lang w:eastAsia="es-ES_tradnl"/>
        </w:rPr>
        <w:t xml:space="preserve"> de </w:t>
      </w:r>
      <w:r w:rsidR="0034209E">
        <w:rPr>
          <w:rFonts w:ascii="Verdana" w:eastAsia="Times New Roman" w:hAnsi="Verdana" w:cs="Arial"/>
          <w:lang w:eastAsia="es-ES_tradnl"/>
        </w:rPr>
        <w:t>2025</w:t>
      </w:r>
    </w:p>
    <w:p w14:paraId="4652C7D6" w14:textId="2249D2F9" w:rsidR="004063A4" w:rsidRDefault="0034209E" w:rsidP="0034209E">
      <w:pPr>
        <w:spacing w:after="0"/>
        <w:ind w:left="4956"/>
        <w:rPr>
          <w:rFonts w:ascii="Verdana" w:hAnsi="Verdana"/>
        </w:rPr>
      </w:pPr>
      <w:r w:rsidRPr="0034209E">
        <w:rPr>
          <w:rFonts w:ascii="Verdana" w:hAnsi="Verdana"/>
          <w:noProof/>
        </w:rPr>
        <w:drawing>
          <wp:inline distT="0" distB="0" distL="0" distR="0" wp14:anchorId="052F6457" wp14:editId="062914D5">
            <wp:extent cx="2867425" cy="1047896"/>
            <wp:effectExtent l="0" t="0" r="9525" b="0"/>
            <wp:docPr id="6939398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939845" name=""/>
                    <pic:cNvPicPr/>
                  </pic:nvPicPr>
                  <pic:blipFill>
                    <a:blip r:embed="rId11"/>
                    <a:stretch>
                      <a:fillRect/>
                    </a:stretch>
                  </pic:blipFill>
                  <pic:spPr>
                    <a:xfrm>
                      <a:off x="0" y="0"/>
                      <a:ext cx="2867425" cy="1047896"/>
                    </a:xfrm>
                    <a:prstGeom prst="rect">
                      <a:avLst/>
                    </a:prstGeom>
                  </pic:spPr>
                </pic:pic>
              </a:graphicData>
            </a:graphic>
          </wp:inline>
        </w:drawing>
      </w:r>
    </w:p>
    <w:p w14:paraId="7228C4D5" w14:textId="77777777" w:rsidR="004063A4" w:rsidRPr="00122665" w:rsidRDefault="004063A4" w:rsidP="004063A4">
      <w:pPr>
        <w:spacing w:after="0" w:line="240" w:lineRule="auto"/>
        <w:rPr>
          <w:rFonts w:ascii="Verdana" w:eastAsia="Calibri" w:hAnsi="Verdana" w:cs="Times New Roman"/>
        </w:rPr>
      </w:pPr>
      <w:r w:rsidRPr="00122665">
        <w:rPr>
          <w:rFonts w:ascii="Verdana" w:eastAsia="Calibri" w:hAnsi="Verdana" w:cs="Times New Roman"/>
        </w:rPr>
        <w:t>Señora</w:t>
      </w:r>
    </w:p>
    <w:p w14:paraId="09B51B1F" w14:textId="77777777" w:rsidR="00122665" w:rsidRDefault="00122665" w:rsidP="004063A4">
      <w:pPr>
        <w:spacing w:after="0" w:line="256" w:lineRule="auto"/>
        <w:rPr>
          <w:rFonts w:ascii="Verdana" w:eastAsia="Calibri" w:hAnsi="Verdana" w:cs="Times New Roman"/>
          <w:b/>
          <w:bCs/>
        </w:rPr>
      </w:pPr>
      <w:r w:rsidRPr="00122665">
        <w:rPr>
          <w:rFonts w:ascii="Verdana" w:eastAsia="Calibri" w:hAnsi="Verdana" w:cs="Times New Roman"/>
          <w:b/>
          <w:bCs/>
        </w:rPr>
        <w:t>NIXA TATIANA TRUJILLO ZUNIGA</w:t>
      </w:r>
    </w:p>
    <w:p w14:paraId="217B48A7" w14:textId="7BE9CFDA" w:rsidR="00122665" w:rsidRPr="00122665" w:rsidRDefault="003D2083" w:rsidP="004063A4">
      <w:pPr>
        <w:spacing w:after="0" w:line="256" w:lineRule="auto"/>
        <w:rPr>
          <w:rFonts w:ascii="Verdana" w:hAnsi="Verdana"/>
        </w:rPr>
      </w:pPr>
      <w:hyperlink r:id="rId12" w:history="1">
        <w:r w:rsidR="00122665" w:rsidRPr="00122665">
          <w:rPr>
            <w:rStyle w:val="Hipervnculo"/>
            <w:rFonts w:ascii="Verdana" w:hAnsi="Verdana"/>
          </w:rPr>
          <w:t>tatianatrujillozuniga@outlook.com</w:t>
        </w:r>
      </w:hyperlink>
    </w:p>
    <w:p w14:paraId="6638CA0A" w14:textId="64E0DC96" w:rsidR="004063A4" w:rsidRPr="008F0774" w:rsidRDefault="004063A4" w:rsidP="004063A4">
      <w:pPr>
        <w:spacing w:after="0" w:line="256" w:lineRule="auto"/>
        <w:rPr>
          <w:rFonts w:ascii="Verdana" w:eastAsia="Calibri" w:hAnsi="Verdana" w:cs="Times New Roman"/>
        </w:rPr>
      </w:pPr>
      <w:r w:rsidRPr="008F0774">
        <w:rPr>
          <w:rFonts w:ascii="Verdana" w:eastAsia="Calibri" w:hAnsi="Verdana" w:cs="Times New Roman"/>
        </w:rPr>
        <w:t xml:space="preserve">Bogotá D.C. </w:t>
      </w:r>
    </w:p>
    <w:p w14:paraId="2BABDBFE" w14:textId="77777777" w:rsidR="004063A4" w:rsidRPr="008F0774" w:rsidRDefault="004063A4" w:rsidP="004063A4">
      <w:pPr>
        <w:spacing w:after="0" w:line="256" w:lineRule="auto"/>
        <w:rPr>
          <w:rFonts w:ascii="Verdana" w:eastAsia="Calibri" w:hAnsi="Verdana" w:cs="Times New Roman"/>
        </w:rPr>
      </w:pPr>
    </w:p>
    <w:p w14:paraId="7B236A80" w14:textId="77777777" w:rsidR="004063A4" w:rsidRPr="008F0774" w:rsidRDefault="004063A4" w:rsidP="004063A4">
      <w:pPr>
        <w:spacing w:after="0" w:line="256" w:lineRule="auto"/>
        <w:rPr>
          <w:rFonts w:ascii="Verdana" w:eastAsia="Calibri" w:hAnsi="Verdana" w:cs="Times New Roman"/>
        </w:rPr>
      </w:pPr>
    </w:p>
    <w:p w14:paraId="18B9986E" w14:textId="11AEF870" w:rsidR="004063A4" w:rsidRPr="00A12CB6" w:rsidRDefault="004063A4" w:rsidP="004063A4">
      <w:pPr>
        <w:spacing w:after="0" w:line="256" w:lineRule="auto"/>
        <w:rPr>
          <w:rFonts w:ascii="Verdana" w:eastAsia="Calibri" w:hAnsi="Verdana" w:cs="Times New Roman"/>
          <w:b/>
          <w:bCs/>
          <w:lang w:val="es-ES"/>
        </w:rPr>
      </w:pPr>
      <w:r w:rsidRPr="008F0774">
        <w:rPr>
          <w:rFonts w:ascii="Verdana" w:eastAsia="Calibri" w:hAnsi="Verdana" w:cs="Times New Roman"/>
          <w:b/>
          <w:bCs/>
        </w:rPr>
        <w:t xml:space="preserve">                                    </w:t>
      </w:r>
      <w:r>
        <w:rPr>
          <w:rFonts w:ascii="Verdana" w:eastAsia="Calibri" w:hAnsi="Verdana" w:cs="Times New Roman"/>
          <w:b/>
          <w:bCs/>
          <w:lang w:val="es-ES"/>
        </w:rPr>
        <w:t>Concepto C–</w:t>
      </w:r>
      <w:r w:rsidR="00822003">
        <w:rPr>
          <w:rFonts w:ascii="Verdana" w:eastAsia="Calibri" w:hAnsi="Verdana" w:cs="Times New Roman"/>
          <w:b/>
          <w:bCs/>
          <w:lang w:val="es-ES"/>
        </w:rPr>
        <w:t>1497</w:t>
      </w:r>
      <w:r>
        <w:rPr>
          <w:rFonts w:ascii="Verdana" w:eastAsia="Calibri" w:hAnsi="Verdana" w:cs="Times New Roman"/>
          <w:b/>
          <w:bCs/>
          <w:lang w:val="es-ES"/>
        </w:rPr>
        <w:t xml:space="preserve"> de 2025</w:t>
      </w:r>
    </w:p>
    <w:p w14:paraId="2319650B" w14:textId="77777777" w:rsidR="004063A4" w:rsidRPr="00A12CB6" w:rsidRDefault="004063A4" w:rsidP="004063A4">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4063A4" w:rsidRPr="00A12CB6" w14:paraId="5294E554" w14:textId="77777777" w:rsidTr="00C24266">
        <w:trPr>
          <w:trHeight w:val="645"/>
        </w:trPr>
        <w:tc>
          <w:tcPr>
            <w:tcW w:w="2685" w:type="dxa"/>
            <w:hideMark/>
          </w:tcPr>
          <w:p w14:paraId="20460980" w14:textId="77777777" w:rsidR="004063A4" w:rsidRPr="00A12CB6" w:rsidRDefault="004063A4" w:rsidP="00C24266">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39E73750" w14:textId="60C7C568" w:rsidR="004063A4" w:rsidRPr="008F0774" w:rsidRDefault="004063A4" w:rsidP="00C24266">
            <w:pPr>
              <w:spacing w:line="276" w:lineRule="auto"/>
              <w:jc w:val="both"/>
              <w:rPr>
                <w:rFonts w:ascii="Verdana" w:hAnsi="Verdana" w:cs="Arial"/>
                <w:lang w:val="es-ES" w:eastAsia="es-ES"/>
              </w:rPr>
            </w:pPr>
            <w:r>
              <w:rPr>
                <w:rFonts w:ascii="Verdana" w:hAnsi="Verdana" w:cs="Arial"/>
                <w:color w:val="000000"/>
                <w:szCs w:val="24"/>
                <w:lang w:val="es-ES_tradnl" w:eastAsia="es-ES_tradnl"/>
              </w:rPr>
              <w:t>DEBIDO PROCESO ADMINISTRATIVO</w:t>
            </w:r>
            <w:r w:rsidRPr="008F0774">
              <w:rPr>
                <w:rFonts w:ascii="Verdana" w:hAnsi="Verdana" w:cs="Arial"/>
                <w:color w:val="000000"/>
                <w:szCs w:val="24"/>
                <w:lang w:val="es-ES_tradnl" w:eastAsia="es-ES_tradnl"/>
              </w:rPr>
              <w:t xml:space="preserve"> –</w:t>
            </w:r>
            <w:r>
              <w:rPr>
                <w:rFonts w:ascii="Verdana" w:hAnsi="Verdana" w:cs="Arial"/>
                <w:color w:val="000000"/>
                <w:szCs w:val="24"/>
                <w:lang w:val="es-ES_tradnl" w:eastAsia="es-ES_tradnl"/>
              </w:rPr>
              <w:t xml:space="preserve"> Potestad Sancionatoria del Estado – Actuaciones Contractuales </w:t>
            </w:r>
            <w:r w:rsidRPr="008F0774">
              <w:rPr>
                <w:rFonts w:ascii="Verdana" w:hAnsi="Verdana" w:cs="Arial"/>
                <w:color w:val="000000"/>
                <w:szCs w:val="24"/>
                <w:lang w:val="es-ES_tradnl" w:eastAsia="es-ES_tradnl"/>
              </w:rPr>
              <w:t xml:space="preserve">/ PROCEDIMIENTO SANCIONATORIO CONTRACTUAL – Citación a audiencia – Contenido – Ley 1474 de 2011 – Artículo 86 / </w:t>
            </w:r>
            <w:r>
              <w:rPr>
                <w:rFonts w:ascii="Verdana" w:hAnsi="Verdana" w:cs="Arial"/>
                <w:color w:val="000000"/>
                <w:szCs w:val="24"/>
                <w:lang w:val="es-ES_tradnl" w:eastAsia="es-ES_tradnl"/>
              </w:rPr>
              <w:t xml:space="preserve">ACTUACIONES PREVIAS – Procedimiento Administrativo Sancionatorio Contractual – Requerimiento de Presunto Incumplimiento. </w:t>
            </w:r>
          </w:p>
        </w:tc>
        <w:tc>
          <w:tcPr>
            <w:tcW w:w="6237" w:type="dxa"/>
          </w:tcPr>
          <w:p w14:paraId="7641BA4C" w14:textId="77777777" w:rsidR="004063A4" w:rsidRPr="00757EE9" w:rsidRDefault="004063A4" w:rsidP="00C24266">
            <w:pPr>
              <w:spacing w:line="256" w:lineRule="auto"/>
              <w:rPr>
                <w:rFonts w:ascii="Verdana" w:hAnsi="Verdana"/>
                <w:lang w:val="es-ES"/>
              </w:rPr>
            </w:pPr>
          </w:p>
        </w:tc>
      </w:tr>
      <w:tr w:rsidR="004063A4" w:rsidRPr="00A12CB6" w14:paraId="3EECB3A5" w14:textId="77777777" w:rsidTr="00C24266">
        <w:tc>
          <w:tcPr>
            <w:tcW w:w="2685" w:type="dxa"/>
          </w:tcPr>
          <w:p w14:paraId="352E9AC3" w14:textId="77777777" w:rsidR="004063A4" w:rsidRDefault="004063A4" w:rsidP="00C24266">
            <w:pPr>
              <w:spacing w:line="256" w:lineRule="auto"/>
              <w:rPr>
                <w:rFonts w:ascii="Verdana" w:hAnsi="Verdana"/>
                <w:lang w:val="es-ES_tradnl"/>
              </w:rPr>
            </w:pPr>
          </w:p>
          <w:p w14:paraId="57F3FD1C" w14:textId="77777777" w:rsidR="004063A4" w:rsidRPr="00A12CB6" w:rsidRDefault="004063A4" w:rsidP="00C24266">
            <w:pPr>
              <w:spacing w:line="256" w:lineRule="auto"/>
              <w:rPr>
                <w:rFonts w:ascii="Verdana" w:hAnsi="Verdana"/>
                <w:lang w:val="es-ES_tradnl"/>
              </w:rPr>
            </w:pPr>
          </w:p>
          <w:p w14:paraId="464205F2" w14:textId="77777777" w:rsidR="004063A4" w:rsidRPr="00A12CB6" w:rsidRDefault="004063A4" w:rsidP="00C24266">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6DEAE888" w14:textId="77777777" w:rsidR="004063A4" w:rsidRDefault="004063A4" w:rsidP="00C24266">
            <w:pPr>
              <w:spacing w:line="257" w:lineRule="auto"/>
              <w:rPr>
                <w:rFonts w:ascii="Verdana" w:hAnsi="Verdana"/>
                <w:lang w:val="es-ES_tradnl"/>
              </w:rPr>
            </w:pPr>
          </w:p>
          <w:p w14:paraId="67E79E84" w14:textId="77777777" w:rsidR="004063A4" w:rsidRPr="00A12CB6" w:rsidRDefault="004063A4" w:rsidP="00C24266">
            <w:pPr>
              <w:spacing w:line="257" w:lineRule="auto"/>
              <w:rPr>
                <w:rFonts w:ascii="Verdana" w:hAnsi="Verdana"/>
                <w:lang w:val="es-ES_tradnl"/>
              </w:rPr>
            </w:pPr>
          </w:p>
          <w:p w14:paraId="3BB92A8F" w14:textId="373A8B4A" w:rsidR="004063A4" w:rsidRPr="00630891" w:rsidRDefault="004063A4" w:rsidP="00C24266">
            <w:pPr>
              <w:spacing w:line="257" w:lineRule="auto"/>
              <w:jc w:val="both"/>
              <w:rPr>
                <w:rFonts w:ascii="Verdana" w:hAnsi="Verdana"/>
              </w:rPr>
            </w:pPr>
            <w:r w:rsidRPr="00A12CB6">
              <w:rPr>
                <w:rFonts w:ascii="Verdana" w:hAnsi="Verdana"/>
                <w:lang w:val="es-ES_tradnl"/>
              </w:rPr>
              <w:t xml:space="preserve">Respuesta a consulta con radicado No. </w:t>
            </w:r>
            <w:r w:rsidR="00A611C5" w:rsidRPr="00A611C5">
              <w:rPr>
                <w:rFonts w:ascii="Verdana" w:hAnsi="Verdana"/>
              </w:rPr>
              <w:t>1_2025_10_14_011498</w:t>
            </w:r>
          </w:p>
          <w:p w14:paraId="49A28C69" w14:textId="77777777" w:rsidR="004063A4" w:rsidRPr="00630891" w:rsidRDefault="004063A4" w:rsidP="00C24266">
            <w:pPr>
              <w:spacing w:line="257" w:lineRule="auto"/>
              <w:jc w:val="both"/>
              <w:rPr>
                <w:rFonts w:ascii="Verdana" w:hAnsi="Verdana"/>
              </w:rPr>
            </w:pPr>
          </w:p>
          <w:p w14:paraId="7BF17786" w14:textId="77777777" w:rsidR="004063A4" w:rsidRPr="00A12CB6" w:rsidRDefault="004063A4" w:rsidP="00C24266">
            <w:pPr>
              <w:spacing w:line="257" w:lineRule="auto"/>
              <w:jc w:val="both"/>
              <w:rPr>
                <w:rFonts w:ascii="Verdana" w:hAnsi="Verdana"/>
              </w:rPr>
            </w:pPr>
          </w:p>
        </w:tc>
        <w:tc>
          <w:tcPr>
            <w:tcW w:w="6237" w:type="dxa"/>
          </w:tcPr>
          <w:p w14:paraId="798358A5" w14:textId="77777777" w:rsidR="004063A4" w:rsidRPr="00A12CB6" w:rsidRDefault="004063A4" w:rsidP="00C24266">
            <w:pPr>
              <w:spacing w:line="256" w:lineRule="auto"/>
              <w:rPr>
                <w:rFonts w:ascii="Verdana" w:hAnsi="Verdana"/>
                <w:lang w:val="es-ES_tradnl"/>
              </w:rPr>
            </w:pPr>
          </w:p>
        </w:tc>
      </w:tr>
    </w:tbl>
    <w:p w14:paraId="19B4849B" w14:textId="30400EA8" w:rsidR="004063A4" w:rsidRPr="00A12CB6" w:rsidRDefault="004063A4" w:rsidP="004063A4">
      <w:pPr>
        <w:spacing w:after="0" w:line="256" w:lineRule="auto"/>
        <w:rPr>
          <w:rFonts w:ascii="Verdana" w:eastAsia="Calibri" w:hAnsi="Verdana" w:cs="Times New Roman"/>
          <w:lang w:val="es-ES"/>
        </w:rPr>
      </w:pPr>
      <w:r>
        <w:rPr>
          <w:rFonts w:ascii="Verdana" w:eastAsia="Calibri" w:hAnsi="Verdana" w:cs="Times New Roman"/>
          <w:lang w:val="es-ES"/>
        </w:rPr>
        <w:t xml:space="preserve">Estimada Señora </w:t>
      </w:r>
      <w:r w:rsidR="00A611C5">
        <w:rPr>
          <w:rFonts w:ascii="Verdana" w:eastAsia="Calibri" w:hAnsi="Verdana" w:cs="Times New Roman"/>
          <w:lang w:val="es-ES"/>
        </w:rPr>
        <w:t>Trujillo</w:t>
      </w:r>
      <w:r w:rsidRPr="003469FD">
        <w:rPr>
          <w:rFonts w:ascii="Verdana" w:eastAsia="Calibri" w:hAnsi="Verdana" w:cs="Times New Roman"/>
          <w:lang w:val="es-ES"/>
        </w:rPr>
        <w:t>:</w:t>
      </w:r>
      <w:r w:rsidRPr="00A12CB6">
        <w:rPr>
          <w:rFonts w:ascii="Verdana" w:eastAsia="Calibri" w:hAnsi="Verdana" w:cs="Times New Roman"/>
          <w:lang w:val="es-ES"/>
        </w:rPr>
        <w:t xml:space="preserve"> </w:t>
      </w:r>
    </w:p>
    <w:p w14:paraId="3D4FE29C" w14:textId="77777777" w:rsidR="004063A4" w:rsidRPr="00A12CB6" w:rsidRDefault="004063A4" w:rsidP="004063A4">
      <w:pPr>
        <w:spacing w:after="0" w:line="256" w:lineRule="auto"/>
        <w:rPr>
          <w:rFonts w:ascii="Verdana" w:eastAsia="Calibri" w:hAnsi="Verdana" w:cs="Times New Roman"/>
          <w:lang w:val="es-ES"/>
        </w:rPr>
      </w:pPr>
    </w:p>
    <w:p w14:paraId="5526F679" w14:textId="274FC130" w:rsidR="004063A4" w:rsidRPr="00A611C5" w:rsidRDefault="004063A4" w:rsidP="00A611C5">
      <w:pPr>
        <w:spacing w:after="0" w:line="276" w:lineRule="auto"/>
        <w:jc w:val="both"/>
        <w:rPr>
          <w:rFonts w:ascii="Verdana" w:eastAsia="Calibri" w:hAnsi="Verdana" w:cs="Times New Roman"/>
          <w:i/>
          <w:iCs/>
          <w:lang w:val="es-ES"/>
        </w:rPr>
      </w:pPr>
      <w:r w:rsidRPr="0097090E">
        <w:rPr>
          <w:rFonts w:ascii="Verdana" w:eastAsia="Calibri" w:hAnsi="Verdana" w:cs="Times New Roman"/>
          <w:lang w:val="es-ES"/>
        </w:rPr>
        <w:t xml:space="preserve">En ejercicio de la competencia otorgada por los artículos 3, numeral 5º, y 11, numeral 8º, del Decreto Ley 4170 de 2011, la Agencia Nacional de Contratación Pública – Colombia Compra Eficiente– responde la solicitud de consulta presentada el </w:t>
      </w:r>
      <w:r>
        <w:rPr>
          <w:rFonts w:ascii="Verdana" w:eastAsia="Calibri" w:hAnsi="Verdana" w:cs="Times New Roman"/>
          <w:lang w:val="es-ES"/>
        </w:rPr>
        <w:t>1</w:t>
      </w:r>
      <w:r w:rsidR="00A611C5">
        <w:rPr>
          <w:rFonts w:ascii="Verdana" w:eastAsia="Calibri" w:hAnsi="Verdana" w:cs="Times New Roman"/>
          <w:lang w:val="es-ES"/>
        </w:rPr>
        <w:t>4</w:t>
      </w:r>
      <w:r>
        <w:rPr>
          <w:rFonts w:ascii="Verdana" w:eastAsia="Calibri" w:hAnsi="Verdana" w:cs="Times New Roman"/>
          <w:lang w:val="es-ES"/>
        </w:rPr>
        <w:t xml:space="preserve"> de </w:t>
      </w:r>
      <w:r w:rsidR="00A611C5">
        <w:rPr>
          <w:rFonts w:ascii="Verdana" w:eastAsia="Calibri" w:hAnsi="Verdana" w:cs="Times New Roman"/>
          <w:lang w:val="es-ES"/>
        </w:rPr>
        <w:t>octubre</w:t>
      </w:r>
      <w:r>
        <w:rPr>
          <w:rFonts w:ascii="Verdana" w:eastAsia="Calibri" w:hAnsi="Verdana" w:cs="Times New Roman"/>
          <w:lang w:val="es-ES"/>
        </w:rPr>
        <w:t xml:space="preserve"> </w:t>
      </w:r>
      <w:r w:rsidRPr="0097090E">
        <w:rPr>
          <w:rFonts w:ascii="Verdana" w:eastAsia="Calibri" w:hAnsi="Verdana" w:cs="Times New Roman"/>
          <w:lang w:val="es-ES"/>
        </w:rPr>
        <w:t>de 2025</w:t>
      </w:r>
      <w:r w:rsidR="00A611C5">
        <w:rPr>
          <w:rFonts w:ascii="Verdana" w:eastAsia="Calibri" w:hAnsi="Verdana" w:cs="Arial"/>
          <w:lang w:val="es-ES" w:eastAsia="es-ES_tradnl"/>
        </w:rPr>
        <w:t xml:space="preserve">, </w:t>
      </w:r>
      <w:r w:rsidR="00A611C5" w:rsidRPr="00E03546">
        <w:rPr>
          <w:rFonts w:ascii="Verdana" w:eastAsia="Calibri" w:hAnsi="Verdana" w:cs="Arial"/>
          <w:lang w:eastAsia="es-ES_tradnl"/>
        </w:rPr>
        <w:t>en la cual consulta lo siguiente</w:t>
      </w:r>
      <w:r w:rsidR="00A611C5" w:rsidRPr="00A611C5">
        <w:rPr>
          <w:rFonts w:ascii="Verdana" w:eastAsia="Calibri" w:hAnsi="Verdana" w:cs="Times New Roman"/>
          <w:i/>
          <w:iCs/>
          <w:lang w:val="es-ES"/>
        </w:rPr>
        <w:t>:</w:t>
      </w:r>
      <w:r w:rsidR="00A611C5" w:rsidRPr="00A611C5">
        <w:rPr>
          <w:rFonts w:ascii="Verdana" w:eastAsia="Calibri" w:hAnsi="Verdana" w:cs="Times New Roman"/>
          <w:i/>
          <w:iCs/>
          <w:sz w:val="21"/>
          <w:szCs w:val="21"/>
        </w:rPr>
        <w:t xml:space="preserve"> “</w:t>
      </w:r>
      <w:r w:rsidRPr="00A611C5">
        <w:rPr>
          <w:rFonts w:ascii="Verdana" w:eastAsia="Calibri" w:hAnsi="Verdana" w:cs="Times New Roman"/>
          <w:i/>
          <w:iCs/>
          <w:sz w:val="21"/>
          <w:szCs w:val="21"/>
        </w:rPr>
        <w:t>[…]</w:t>
      </w:r>
      <w:r w:rsidR="00A611C5" w:rsidRPr="00A611C5">
        <w:rPr>
          <w:rFonts w:ascii="Verdana" w:eastAsia="Calibri" w:hAnsi="Verdana" w:cs="Times New Roman"/>
          <w:i/>
          <w:iCs/>
          <w:sz w:val="21"/>
          <w:szCs w:val="21"/>
        </w:rPr>
        <w:t>Solicito amablemente concepto sobre procesos sancionatorios contra contratistas</w:t>
      </w:r>
      <w:r w:rsidR="00A611C5" w:rsidRPr="00A611C5">
        <w:rPr>
          <w:rFonts w:ascii="Verdana" w:eastAsia="Calibri" w:hAnsi="Verdana" w:cs="Times New Roman"/>
          <w:i/>
          <w:iCs/>
          <w:lang w:val="es-ES"/>
        </w:rPr>
        <w:t xml:space="preserve"> </w:t>
      </w:r>
      <w:r w:rsidR="00A611C5" w:rsidRPr="00A611C5">
        <w:rPr>
          <w:rFonts w:ascii="Verdana" w:eastAsia="Calibri" w:hAnsi="Verdana" w:cs="Times New Roman"/>
          <w:i/>
          <w:iCs/>
          <w:sz w:val="21"/>
          <w:szCs w:val="21"/>
        </w:rPr>
        <w:t>de prestación de servicios por el no pago de seguridad social</w:t>
      </w:r>
      <w:r w:rsidRPr="00A611C5">
        <w:rPr>
          <w:rFonts w:ascii="Verdana" w:eastAsia="Calibri" w:hAnsi="Verdana" w:cs="Times New Roman"/>
          <w:i/>
          <w:iCs/>
          <w:sz w:val="21"/>
          <w:szCs w:val="21"/>
        </w:rPr>
        <w:t xml:space="preserve">”. </w:t>
      </w:r>
    </w:p>
    <w:p w14:paraId="52CA56F3" w14:textId="77777777" w:rsidR="004063A4" w:rsidRPr="00C1348F" w:rsidRDefault="004063A4" w:rsidP="004063A4">
      <w:pPr>
        <w:pStyle w:val="Prrafodelista"/>
        <w:spacing w:after="120" w:line="240" w:lineRule="auto"/>
        <w:ind w:left="709" w:right="709"/>
        <w:jc w:val="both"/>
        <w:rPr>
          <w:rFonts w:ascii="Verdana" w:eastAsia="Calibri" w:hAnsi="Verdana" w:cs="Times New Roman"/>
          <w:sz w:val="21"/>
          <w:szCs w:val="21"/>
          <w:lang w:val="es-CO"/>
        </w:rPr>
      </w:pPr>
    </w:p>
    <w:p w14:paraId="37767DB2" w14:textId="77777777" w:rsidR="004063A4" w:rsidRPr="00A12CB6" w:rsidRDefault="004063A4" w:rsidP="004063A4">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 xml:space="preserve">De manera preliminar, resulta necesario acotar que esta entidad solo tiene competencia para responder consultas sobre la aplicación de normas de carácter </w:t>
      </w:r>
      <w:r w:rsidRPr="00A12CB6">
        <w:rPr>
          <w:rFonts w:ascii="Verdana" w:eastAsia="Calibri" w:hAnsi="Verdana" w:cs="Times New Roman"/>
          <w:lang w:val="es-ES"/>
        </w:rPr>
        <w:lastRenderedPageBreak/>
        <w:t>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7C0F233" w14:textId="77777777" w:rsidR="004063A4" w:rsidRPr="00A12CB6" w:rsidRDefault="004063A4" w:rsidP="004063A4">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lang w:val="es-ES"/>
        </w:rPr>
        <w:t xml:space="preserve">s generales relacionadas con los problemas jurídicos de su consulta. </w:t>
      </w:r>
    </w:p>
    <w:p w14:paraId="201874E2" w14:textId="77777777" w:rsidR="004063A4" w:rsidRPr="00A12CB6" w:rsidRDefault="004063A4" w:rsidP="004063A4">
      <w:pPr>
        <w:spacing w:after="0" w:line="256" w:lineRule="auto"/>
        <w:rPr>
          <w:rFonts w:ascii="Verdana" w:eastAsia="Calibri" w:hAnsi="Verdana" w:cs="Times New Roman"/>
          <w:lang w:val="es-ES"/>
        </w:rPr>
      </w:pPr>
    </w:p>
    <w:p w14:paraId="6548BA39" w14:textId="77777777" w:rsidR="004063A4" w:rsidRPr="00A12CB6" w:rsidRDefault="004063A4" w:rsidP="004063A4">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321CF86C" w14:textId="77777777" w:rsidR="004063A4" w:rsidRPr="00A12CB6" w:rsidRDefault="004063A4" w:rsidP="004063A4">
      <w:pPr>
        <w:spacing w:after="0" w:line="256" w:lineRule="auto"/>
        <w:jc w:val="both"/>
        <w:rPr>
          <w:rFonts w:ascii="Verdana" w:eastAsia="Calibri" w:hAnsi="Verdana" w:cs="Times New Roman"/>
        </w:rPr>
      </w:pPr>
    </w:p>
    <w:p w14:paraId="1C73074D" w14:textId="14DE935E" w:rsidR="004063A4" w:rsidRPr="00F40085" w:rsidRDefault="004063A4" w:rsidP="004063A4">
      <w:pPr>
        <w:spacing w:after="0" w:line="276" w:lineRule="auto"/>
        <w:jc w:val="both"/>
        <w:rPr>
          <w:rFonts w:ascii="Verdana" w:eastAsia="Calibri" w:hAnsi="Verdana" w:cs="Times New Roman"/>
          <w:iCs/>
        </w:rPr>
      </w:pPr>
      <w:r w:rsidRPr="00774F09">
        <w:rPr>
          <w:rFonts w:ascii="Verdana" w:eastAsia="Calibri" w:hAnsi="Verdana" w:cs="Times New Roman"/>
        </w:rPr>
        <w:t>De acuerdo con el contenido</w:t>
      </w:r>
      <w:r>
        <w:rPr>
          <w:rFonts w:ascii="Verdana" w:eastAsia="Calibri" w:hAnsi="Verdana" w:cs="Times New Roman"/>
        </w:rPr>
        <w:t xml:space="preserve"> de sus solicitudes</w:t>
      </w:r>
      <w:r w:rsidRPr="00774F09">
        <w:rPr>
          <w:rFonts w:ascii="Verdana" w:eastAsia="Calibri" w:hAnsi="Verdana" w:cs="Times New Roman"/>
        </w:rPr>
        <w:t>, est</w:t>
      </w:r>
      <w:r>
        <w:rPr>
          <w:rFonts w:ascii="Verdana" w:eastAsia="Calibri" w:hAnsi="Verdana" w:cs="Times New Roman"/>
        </w:rPr>
        <w:t xml:space="preserve">a Agencia procede a resolver los siguientes problemas jurídicos: i) </w:t>
      </w:r>
      <w:r w:rsidRPr="00774F09">
        <w:rPr>
          <w:rFonts w:ascii="Verdana" w:eastAsia="Calibri" w:hAnsi="Verdana" w:cs="Times New Roman"/>
          <w:iCs/>
        </w:rPr>
        <w:t>¿</w:t>
      </w:r>
      <w:r w:rsidR="00BF0D90">
        <w:rPr>
          <w:rFonts w:ascii="Verdana" w:eastAsia="Calibri" w:hAnsi="Verdana" w:cs="Times New Roman"/>
          <w:iCs/>
        </w:rPr>
        <w:t>C</w:t>
      </w:r>
      <w:r w:rsidRPr="00774F09">
        <w:rPr>
          <w:rFonts w:ascii="Verdana" w:eastAsia="Calibri" w:hAnsi="Verdana" w:cs="Times New Roman"/>
          <w:iCs/>
        </w:rPr>
        <w:t>uál</w:t>
      </w:r>
      <w:r w:rsidR="009C7691">
        <w:rPr>
          <w:rFonts w:ascii="Verdana" w:eastAsia="Calibri" w:hAnsi="Verdana" w:cs="Times New Roman"/>
          <w:iCs/>
        </w:rPr>
        <w:t>es son las generalidades para llevar a cabo un proceso administrativo sancionatorio en la contratación estatal</w:t>
      </w:r>
      <w:r>
        <w:rPr>
          <w:rFonts w:ascii="Verdana" w:eastAsia="Calibri" w:hAnsi="Verdana" w:cs="Times New Roman"/>
          <w:iCs/>
          <w:lang w:val="es-ES"/>
        </w:rPr>
        <w:t xml:space="preserve">? </w:t>
      </w:r>
    </w:p>
    <w:p w14:paraId="03EBD411" w14:textId="77777777" w:rsidR="004063A4" w:rsidRPr="002A1D6D" w:rsidRDefault="004063A4" w:rsidP="004063A4">
      <w:pPr>
        <w:spacing w:after="0" w:line="276" w:lineRule="auto"/>
        <w:jc w:val="both"/>
        <w:rPr>
          <w:rFonts w:ascii="Verdana" w:eastAsia="Calibri" w:hAnsi="Verdana" w:cs="Times New Roman"/>
          <w:i/>
          <w:iCs/>
        </w:rPr>
      </w:pPr>
    </w:p>
    <w:p w14:paraId="09334168" w14:textId="77777777" w:rsidR="004063A4" w:rsidRDefault="004063A4" w:rsidP="004063A4">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0E60F339" w14:textId="77777777" w:rsidR="004063A4" w:rsidRPr="00A12CB6" w:rsidRDefault="004063A4" w:rsidP="004063A4">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4063A4" w:rsidRPr="001205D1" w14:paraId="2B42F8D9" w14:textId="77777777" w:rsidTr="00C24266">
        <w:trPr>
          <w:trHeight w:val="345"/>
          <w:jc w:val="center"/>
        </w:trPr>
        <w:tc>
          <w:tcPr>
            <w:tcW w:w="8784" w:type="dxa"/>
            <w:tcBorders>
              <w:bottom w:val="single" w:sz="4" w:space="0" w:color="auto"/>
            </w:tcBorders>
          </w:tcPr>
          <w:p w14:paraId="385F8D47" w14:textId="7BA1EBC7" w:rsidR="004063A4" w:rsidRDefault="004063A4" w:rsidP="00C24266">
            <w:pPr>
              <w:tabs>
                <w:tab w:val="left" w:pos="709"/>
              </w:tabs>
              <w:spacing w:before="120" w:after="120" w:line="276" w:lineRule="auto"/>
              <w:jc w:val="both"/>
              <w:rPr>
                <w:rFonts w:ascii="Verdana" w:eastAsia="Times New Roman" w:hAnsi="Verdana" w:cs="Arial"/>
                <w:color w:val="000000"/>
                <w:bdr w:val="none" w:sz="0" w:space="0" w:color="auto" w:frame="1"/>
                <w:shd w:val="clear" w:color="auto" w:fill="FFFFFF"/>
                <w:lang w:eastAsia="es-ES"/>
              </w:rPr>
            </w:pPr>
            <w:r w:rsidRPr="4929CF82">
              <w:rPr>
                <w:rFonts w:ascii="Verdana" w:eastAsia="Times New Roman" w:hAnsi="Verdana" w:cs="Arial"/>
                <w:color w:val="000000"/>
                <w:bdr w:val="none" w:sz="0" w:space="0" w:color="auto" w:frame="1"/>
                <w:shd w:val="clear" w:color="auto" w:fill="FFFFFF"/>
                <w:lang w:eastAsia="es-ES"/>
              </w:rPr>
              <w:t xml:space="preserve">De acuerdo con </w:t>
            </w:r>
            <w:r w:rsidR="009C7691">
              <w:rPr>
                <w:rFonts w:ascii="Verdana" w:eastAsia="Times New Roman" w:hAnsi="Verdana" w:cs="Arial"/>
                <w:color w:val="000000"/>
                <w:bdr w:val="none" w:sz="0" w:space="0" w:color="auto" w:frame="1"/>
                <w:shd w:val="clear" w:color="auto" w:fill="FFFFFF"/>
                <w:lang w:eastAsia="es-ES"/>
              </w:rPr>
              <w:t>el</w:t>
            </w:r>
            <w:r w:rsidRPr="4929CF82">
              <w:rPr>
                <w:rFonts w:ascii="Verdana" w:eastAsia="Times New Roman" w:hAnsi="Verdana" w:cs="Arial"/>
                <w:color w:val="000000"/>
                <w:bdr w:val="none" w:sz="0" w:space="0" w:color="auto" w:frame="1"/>
                <w:shd w:val="clear" w:color="auto" w:fill="FFFFFF"/>
                <w:lang w:eastAsia="es-ES"/>
              </w:rPr>
              <w:t xml:space="preserve"> problema jurídico, objeto de consulta, se expresa:</w:t>
            </w:r>
          </w:p>
          <w:p w14:paraId="27567552" w14:textId="77777777" w:rsidR="00BF0D90" w:rsidRPr="00BF0D90" w:rsidRDefault="00BF0D90" w:rsidP="00BF0D90">
            <w:pPr>
              <w:tabs>
                <w:tab w:val="left" w:pos="709"/>
              </w:tabs>
              <w:spacing w:before="120" w:after="120" w:line="276" w:lineRule="auto"/>
              <w:jc w:val="both"/>
              <w:rPr>
                <w:rFonts w:ascii="Verdana" w:eastAsia="Times New Roman" w:hAnsi="Verdana" w:cs="Arial"/>
                <w:lang w:eastAsia="es-ES"/>
                <w14:ligatures w14:val="standardContextual"/>
              </w:rPr>
            </w:pPr>
            <w:r w:rsidRPr="00BF0D90">
              <w:rPr>
                <w:rFonts w:ascii="Verdana" w:eastAsia="Times New Roman" w:hAnsi="Verdana" w:cs="Arial"/>
                <w:lang w:eastAsia="es-ES"/>
                <w14:ligatures w14:val="standardContextual"/>
              </w:rPr>
              <w:t>Las generalidades para llevar a cabo un proceso administrativo sancionatorio en la contratación estatal se encuentran establecidas en el artículo 86 de la Ley 1474 de 2011. Esta norma fija las reglas de procedimiento que garantizan el respeto al debido proceso y los derechos de las partes involucradas.</w:t>
            </w:r>
          </w:p>
          <w:p w14:paraId="3ADF98A4" w14:textId="77777777" w:rsidR="00BF0D90" w:rsidRPr="00BF0D90" w:rsidRDefault="00BF0D90" w:rsidP="00BF0D90">
            <w:pPr>
              <w:tabs>
                <w:tab w:val="left" w:pos="709"/>
              </w:tabs>
              <w:spacing w:before="120" w:after="120" w:line="276" w:lineRule="auto"/>
              <w:jc w:val="both"/>
              <w:rPr>
                <w:rFonts w:ascii="Verdana" w:eastAsia="Times New Roman" w:hAnsi="Verdana" w:cs="Arial"/>
                <w:lang w:eastAsia="es-ES"/>
                <w14:ligatures w14:val="standardContextual"/>
              </w:rPr>
            </w:pPr>
            <w:r w:rsidRPr="00BF0D90">
              <w:rPr>
                <w:rFonts w:ascii="Verdana" w:eastAsia="Times New Roman" w:hAnsi="Verdana" w:cs="Arial"/>
                <w:lang w:eastAsia="es-ES"/>
                <w14:ligatures w14:val="standardContextual"/>
              </w:rPr>
              <w:t xml:space="preserve">De acuerdo con dicha disposición, las entidades sometidas al Estatuto General de Contratación de la Administración Pública tienen la facultad de declarar el incumplimiento del contratista, cuantificar los perjuicios ocasionados, imponer </w:t>
            </w:r>
            <w:r w:rsidRPr="00BF0D90">
              <w:rPr>
                <w:rFonts w:ascii="Verdana" w:eastAsia="Times New Roman" w:hAnsi="Verdana" w:cs="Arial"/>
                <w:lang w:eastAsia="es-ES"/>
                <w14:ligatures w14:val="standardContextual"/>
              </w:rPr>
              <w:lastRenderedPageBreak/>
              <w:t>las multas y sanciones pactadas en el contrato, y hacer efectiva la cláusula penal.</w:t>
            </w:r>
          </w:p>
          <w:p w14:paraId="2EEF9ADB" w14:textId="0BC65A80" w:rsidR="00BF0D90" w:rsidRPr="00BF0D90" w:rsidRDefault="00BF0D90" w:rsidP="00BF0D90">
            <w:pPr>
              <w:tabs>
                <w:tab w:val="left" w:pos="709"/>
              </w:tabs>
              <w:spacing w:before="120" w:after="120" w:line="276" w:lineRule="auto"/>
              <w:jc w:val="both"/>
              <w:rPr>
                <w:rFonts w:ascii="Verdana" w:eastAsia="Times New Roman" w:hAnsi="Verdana" w:cs="Arial"/>
                <w:lang w:eastAsia="es-ES"/>
                <w14:ligatures w14:val="standardContextual"/>
              </w:rPr>
            </w:pPr>
            <w:r w:rsidRPr="00BF0D90">
              <w:rPr>
                <w:rFonts w:ascii="Verdana" w:eastAsia="Times New Roman" w:hAnsi="Verdana" w:cs="Arial"/>
                <w:lang w:eastAsia="es-ES"/>
                <w14:ligatures w14:val="standardContextual"/>
              </w:rPr>
              <w:t xml:space="preserve">Para ello, deben observar un procedimiento que asegure la legalidad y transparencia del proceso sancionatorio, el cual comprende la formulación de cargos, la notificación al contratista, la oportunidad para presentar descargos y </w:t>
            </w:r>
            <w:r>
              <w:rPr>
                <w:rFonts w:ascii="Verdana" w:eastAsia="Times New Roman" w:hAnsi="Verdana" w:cs="Arial"/>
                <w:lang w:eastAsia="es-ES"/>
                <w14:ligatures w14:val="standardContextual"/>
              </w:rPr>
              <w:t xml:space="preserve">las </w:t>
            </w:r>
            <w:r w:rsidRPr="00BF0D90">
              <w:rPr>
                <w:rFonts w:ascii="Verdana" w:eastAsia="Times New Roman" w:hAnsi="Verdana" w:cs="Arial"/>
                <w:lang w:eastAsia="es-ES"/>
                <w14:ligatures w14:val="standardContextual"/>
              </w:rPr>
              <w:t>pruebas</w:t>
            </w:r>
            <w:r>
              <w:rPr>
                <w:rFonts w:ascii="Verdana" w:eastAsia="Times New Roman" w:hAnsi="Verdana" w:cs="Arial"/>
                <w:lang w:eastAsia="es-ES"/>
                <w14:ligatures w14:val="standardContextual"/>
              </w:rPr>
              <w:t xml:space="preserve"> que se requieran</w:t>
            </w:r>
            <w:r w:rsidRPr="00BF0D90">
              <w:rPr>
                <w:rFonts w:ascii="Verdana" w:eastAsia="Times New Roman" w:hAnsi="Verdana" w:cs="Arial"/>
                <w:lang w:eastAsia="es-ES"/>
                <w14:ligatures w14:val="standardContextual"/>
              </w:rPr>
              <w:t>, la valoración objetiva de estas, y finalmente, la expedición de un acto administrativo motivado que resuelva sobre la imposición o no de la sanción.</w:t>
            </w:r>
          </w:p>
          <w:p w14:paraId="39147DC7" w14:textId="05707D07" w:rsidR="00BF0D90" w:rsidRPr="00BF0D90" w:rsidRDefault="00BF0D90" w:rsidP="00BF0D90">
            <w:pPr>
              <w:tabs>
                <w:tab w:val="left" w:pos="709"/>
              </w:tabs>
              <w:spacing w:before="120" w:after="120" w:line="276" w:lineRule="auto"/>
              <w:jc w:val="both"/>
              <w:rPr>
                <w:rFonts w:ascii="Verdana" w:eastAsia="Times New Roman" w:hAnsi="Verdana" w:cs="Arial"/>
                <w:lang w:eastAsia="es-ES"/>
                <w14:ligatures w14:val="standardContextual"/>
              </w:rPr>
            </w:pPr>
            <w:r w:rsidRPr="00BF0D90">
              <w:rPr>
                <w:rFonts w:ascii="Verdana" w:eastAsia="Times New Roman" w:hAnsi="Verdana" w:cs="Arial"/>
                <w:lang w:eastAsia="es-ES"/>
                <w14:ligatures w14:val="standardContextual"/>
              </w:rPr>
              <w:t xml:space="preserve">En síntesis, el artículo 86 busca que las sanciones contractuales se impongan </w:t>
            </w:r>
            <w:r>
              <w:rPr>
                <w:rFonts w:ascii="Verdana" w:eastAsia="Times New Roman" w:hAnsi="Verdana" w:cs="Arial"/>
                <w:lang w:eastAsia="es-ES"/>
                <w14:ligatures w14:val="standardContextual"/>
              </w:rPr>
              <w:t>salvaguardando</w:t>
            </w:r>
            <w:r w:rsidRPr="00BF0D90">
              <w:rPr>
                <w:rFonts w:ascii="Verdana" w:eastAsia="Times New Roman" w:hAnsi="Verdana" w:cs="Arial"/>
                <w:lang w:eastAsia="es-ES"/>
                <w14:ligatures w14:val="standardContextual"/>
              </w:rPr>
              <w:t xml:space="preserve"> las garantías del debido proceso y dentro de un marco procedimental </w:t>
            </w:r>
            <w:r>
              <w:rPr>
                <w:rFonts w:ascii="Verdana" w:eastAsia="Times New Roman" w:hAnsi="Verdana" w:cs="Arial"/>
                <w:lang w:eastAsia="es-ES"/>
                <w14:ligatures w14:val="standardContextual"/>
              </w:rPr>
              <w:t>que garantice los derechos de los implicados.</w:t>
            </w:r>
          </w:p>
          <w:p w14:paraId="44BB9FC7" w14:textId="2EC34244" w:rsidR="004063A4" w:rsidRPr="00C21751" w:rsidRDefault="004063A4" w:rsidP="00C24266">
            <w:pPr>
              <w:spacing w:after="120" w:line="276" w:lineRule="auto"/>
              <w:jc w:val="both"/>
              <w:rPr>
                <w:rFonts w:ascii="Verdana" w:hAnsi="Verdana" w:cs="Arial"/>
                <w:color w:val="000000" w:themeColor="text1"/>
                <w:lang w:val="es-ES"/>
              </w:rPr>
            </w:pPr>
            <w:r>
              <w:rPr>
                <w:rFonts w:ascii="Verdana" w:eastAsia="Times New Roman" w:hAnsi="Verdana" w:cs="Arial"/>
                <w:iCs/>
                <w:color w:val="000000"/>
                <w:szCs w:val="24"/>
                <w:lang w:val="es-ES" w:eastAsia="es-ES_tradnl"/>
              </w:rPr>
              <w:t xml:space="preserve">Previo </w:t>
            </w:r>
            <w:r>
              <w:rPr>
                <w:rFonts w:ascii="Verdana" w:eastAsia="Times New Roman" w:hAnsi="Verdana" w:cs="Arial"/>
                <w:iCs/>
                <w:color w:val="000000"/>
                <w:szCs w:val="24"/>
                <w:lang w:val="es-ES_tradnl" w:eastAsia="es-ES_tradnl"/>
              </w:rPr>
              <w:t>al inicio del procedimiento administrativo sancionatorio regulado en el artículo 86 de la Ley 1474 de 2011, los supervisores pueden requerir previamente al contratista, con el fin de determinar si se están presentando presuntos incumplimientos en las obligaciones del contrato estatal. Para ello, el requerimiento de presunto incumplimiento no puede catalogarse como un acto administrativo que lo declara, pues no se está aún en el procedimiento administrativo sancionatorio del artículo 86 de la Ley 1474 de 2011, ni mucho menos adquiere tal naturaleza.</w:t>
            </w:r>
          </w:p>
          <w:p w14:paraId="6CED7DF7" w14:textId="4908F550" w:rsidR="004063A4" w:rsidRDefault="002515D8" w:rsidP="002515D8">
            <w:pPr>
              <w:spacing w:after="120" w:line="276" w:lineRule="auto"/>
              <w:jc w:val="both"/>
              <w:rPr>
                <w:rFonts w:ascii="Verdana" w:eastAsia="Times New Roman" w:hAnsi="Verdana" w:cs="Arial"/>
                <w:iCs/>
                <w:color w:val="000000"/>
                <w:szCs w:val="24"/>
                <w:lang w:val="es-ES_tradnl" w:eastAsia="es-ES_tradnl"/>
              </w:rPr>
            </w:pPr>
            <w:r>
              <w:rPr>
                <w:rFonts w:ascii="Verdana" w:eastAsia="Times New Roman" w:hAnsi="Verdana" w:cs="Arial"/>
                <w:iCs/>
                <w:color w:val="000000"/>
                <w:szCs w:val="24"/>
                <w:lang w:val="es-ES_tradnl" w:eastAsia="es-ES_tradnl"/>
              </w:rPr>
              <w:t xml:space="preserve">Ahora bien, vale agregar, que la entidad estatal a través de sus funcionarios tiene la facultad de antes de iniciar dicho procedimiento de requerir a través de </w:t>
            </w:r>
            <w:r w:rsidR="004063A4">
              <w:rPr>
                <w:rFonts w:ascii="Verdana" w:eastAsia="Times New Roman" w:hAnsi="Verdana" w:cs="Arial"/>
                <w:iCs/>
                <w:color w:val="000000"/>
                <w:szCs w:val="24"/>
                <w:lang w:val="es-ES_tradnl" w:eastAsia="es-ES_tradnl"/>
              </w:rPr>
              <w:t>actos de requerimiento de presunto incumplimiento</w:t>
            </w:r>
            <w:r>
              <w:rPr>
                <w:rFonts w:ascii="Verdana" w:eastAsia="Times New Roman" w:hAnsi="Verdana" w:cs="Arial"/>
                <w:iCs/>
                <w:color w:val="000000"/>
                <w:szCs w:val="24"/>
                <w:lang w:val="es-ES_tradnl" w:eastAsia="es-ES_tradnl"/>
              </w:rPr>
              <w:t xml:space="preserve">, los cuales </w:t>
            </w:r>
            <w:r w:rsidR="004063A4">
              <w:rPr>
                <w:rFonts w:ascii="Verdana" w:eastAsia="Times New Roman" w:hAnsi="Verdana" w:cs="Arial"/>
                <w:iCs/>
                <w:color w:val="000000"/>
                <w:szCs w:val="24"/>
                <w:lang w:val="es-ES_tradnl" w:eastAsia="es-ES_tradnl"/>
              </w:rPr>
              <w:t xml:space="preserve">son actos de la administración, en los que solicita el supervisor o interventor para que se corrija una situación dentro de la ejecución del contrato, o se cumpla con una obligación. Para ello, puede requerir información o subsanar inconsistencias errores y fallas dentro de la ejecución contractual, garantizando la posibilidad de que el contratista aclare o resuelva las inquietudes de la supervisión o de la interventoría. </w:t>
            </w:r>
          </w:p>
          <w:p w14:paraId="5B8C2A63" w14:textId="487E3279" w:rsidR="004063A4" w:rsidRPr="00DA7C87" w:rsidRDefault="004063A4" w:rsidP="00C24266">
            <w:pPr>
              <w:spacing w:after="120" w:line="276" w:lineRule="auto"/>
              <w:jc w:val="both"/>
              <w:rPr>
                <w:rFonts w:ascii="Verdana" w:hAnsi="Verdana" w:cs="Arial"/>
                <w:lang w:val="es-ES" w:eastAsia="es-ES"/>
              </w:rPr>
            </w:pPr>
            <w:r>
              <w:rPr>
                <w:rFonts w:ascii="Verdana" w:hAnsi="Verdana" w:cs="Arial"/>
                <w:lang w:val="es-ES" w:eastAsia="es-ES"/>
              </w:rPr>
              <w:t>En todo caso</w:t>
            </w:r>
            <w:r w:rsidRPr="00FD30C6">
              <w:rPr>
                <w:rFonts w:ascii="Verdana" w:hAnsi="Verdana" w:cs="Arial"/>
                <w:lang w:val="es-ES" w:eastAsia="es-ES"/>
              </w:rPr>
              <w:t xml:space="preserve">,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w:t>
            </w:r>
            <w:r w:rsidRPr="00FD30C6">
              <w:rPr>
                <w:rFonts w:ascii="Verdana" w:hAnsi="Verdana" w:cs="Arial"/>
                <w:lang w:val="es-ES" w:eastAsia="es-ES"/>
              </w:rPr>
              <w:lastRenderedPageBreak/>
              <w:t>su gestión contractual, sin que sea atribución de Colombia Compra Eficiente validar sus actuaciones.</w:t>
            </w:r>
          </w:p>
        </w:tc>
      </w:tr>
    </w:tbl>
    <w:p w14:paraId="4351715A" w14:textId="77777777" w:rsidR="004063A4" w:rsidRPr="00A12CB6" w:rsidRDefault="004063A4" w:rsidP="004063A4">
      <w:pPr>
        <w:spacing w:after="0" w:line="276" w:lineRule="auto"/>
        <w:jc w:val="both"/>
        <w:rPr>
          <w:rFonts w:ascii="Verdana" w:eastAsia="Calibri" w:hAnsi="Verdana" w:cs="Arial"/>
          <w:bCs/>
          <w:color w:val="000000" w:themeColor="text1"/>
        </w:rPr>
      </w:pPr>
    </w:p>
    <w:p w14:paraId="26765F57" w14:textId="77777777" w:rsidR="004063A4" w:rsidRPr="0093558D" w:rsidRDefault="004063A4" w:rsidP="004063A4">
      <w:pPr>
        <w:numPr>
          <w:ilvl w:val="0"/>
          <w:numId w:val="19"/>
        </w:numPr>
        <w:tabs>
          <w:tab w:val="left" w:pos="2268"/>
        </w:tabs>
        <w:spacing w:after="0" w:line="256" w:lineRule="auto"/>
        <w:rPr>
          <w:rFonts w:ascii="Verdana" w:eastAsia="Calibri" w:hAnsi="Verdana" w:cs="Times New Roman"/>
          <w:b/>
          <w:bCs/>
          <w:lang w:val="es-ES"/>
        </w:rPr>
      </w:pPr>
      <w:r w:rsidRPr="134495F9">
        <w:rPr>
          <w:rFonts w:ascii="Verdana" w:eastAsia="Calibri" w:hAnsi="Verdana" w:cs="Times New Roman"/>
          <w:b/>
          <w:bCs/>
          <w:lang w:val="es-ES"/>
        </w:rPr>
        <w:t>Razones de la respuesta:</w:t>
      </w:r>
    </w:p>
    <w:p w14:paraId="263457AF" w14:textId="77777777" w:rsidR="004063A4" w:rsidRPr="00A12CB6" w:rsidRDefault="004063A4" w:rsidP="004063A4">
      <w:pPr>
        <w:spacing w:after="0" w:line="256" w:lineRule="auto"/>
        <w:rPr>
          <w:rFonts w:ascii="Verdana" w:eastAsia="Calibri" w:hAnsi="Verdana" w:cs="Times New Roman"/>
          <w:b/>
          <w:bCs/>
          <w:lang w:val="es-ES"/>
        </w:rPr>
      </w:pPr>
    </w:p>
    <w:p w14:paraId="4114AE90" w14:textId="77777777" w:rsidR="004063A4" w:rsidRDefault="004063A4" w:rsidP="004063A4">
      <w:pPr>
        <w:spacing w:after="0" w:line="276" w:lineRule="auto"/>
        <w:jc w:val="both"/>
        <w:rPr>
          <w:rFonts w:ascii="Verdana" w:eastAsia="Calibri" w:hAnsi="Verdana" w:cs="Arial"/>
          <w:lang w:val="es-ES"/>
        </w:rPr>
      </w:pPr>
      <w:r w:rsidRPr="00A12CB6">
        <w:rPr>
          <w:rFonts w:ascii="Verdana" w:eastAsia="Calibri" w:hAnsi="Verdana" w:cs="Arial"/>
          <w:lang w:val="es-ES"/>
        </w:rPr>
        <w:t>Lo anterior se sustenta en las siguientes consideraciones:</w:t>
      </w:r>
    </w:p>
    <w:p w14:paraId="5179A9EC" w14:textId="77777777" w:rsidR="004063A4" w:rsidRPr="004F246A" w:rsidRDefault="004063A4" w:rsidP="004063A4">
      <w:pPr>
        <w:spacing w:after="0" w:line="276" w:lineRule="auto"/>
        <w:jc w:val="both"/>
        <w:rPr>
          <w:rFonts w:ascii="Verdana" w:eastAsia="Calibri" w:hAnsi="Verdana" w:cs="Arial"/>
          <w:lang w:val="es-ES"/>
        </w:rPr>
      </w:pPr>
      <w:r w:rsidRPr="00A12CB6">
        <w:rPr>
          <w:rFonts w:ascii="Verdana" w:eastAsia="Calibri" w:hAnsi="Verdana" w:cs="Arial"/>
          <w:lang w:val="es-ES"/>
        </w:rPr>
        <w:t xml:space="preserve"> </w:t>
      </w:r>
      <w:bookmarkStart w:id="1" w:name="_Hlk78820161"/>
    </w:p>
    <w:p w14:paraId="437893E2" w14:textId="0AF59487" w:rsidR="004063A4" w:rsidRPr="004A73EC" w:rsidRDefault="00002A24" w:rsidP="004063A4">
      <w:pPr>
        <w:tabs>
          <w:tab w:val="left" w:pos="426"/>
        </w:tabs>
        <w:spacing w:after="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b/>
      </w:r>
      <w:r w:rsidR="004063A4" w:rsidRPr="004A73EC">
        <w:rPr>
          <w:rFonts w:ascii="Verdana" w:eastAsia="Calibri" w:hAnsi="Verdana" w:cs="Arial"/>
          <w:bCs/>
          <w:color w:val="000000" w:themeColor="text1"/>
          <w:lang w:val="es-ES_tradnl"/>
        </w:rPr>
        <w:t>La Constitución Política de 1991 contempla el debido proceso como derecho fundamental, y sobre su ámbito de aplicación dispone que se aplicará a toda clase de actuaciones judiciales y administrativas. La claridad de esta norma no deja dudas sobre la extensión de las garantías del debido proceso, lo que llevó a la Corte Constitucional a afirmar que “Una de las notas más destacadas de la Constitución Política de 1991 es la extensión de las garantías propias del debido proceso a las actuaciones administrativas”</w:t>
      </w:r>
      <w:r w:rsidR="004063A4" w:rsidRPr="004A73EC">
        <w:rPr>
          <w:rStyle w:val="Refdenotaalpie"/>
          <w:rFonts w:ascii="Verdana" w:eastAsia="Calibri" w:hAnsi="Verdana" w:cs="Arial"/>
          <w:bCs/>
          <w:color w:val="000000" w:themeColor="text1"/>
          <w:lang w:val="es-ES_tradnl"/>
        </w:rPr>
        <w:footnoteReference w:id="2"/>
      </w:r>
      <w:r w:rsidR="004063A4" w:rsidRPr="004A73EC">
        <w:rPr>
          <w:rFonts w:ascii="Verdana" w:eastAsia="Calibri" w:hAnsi="Verdana" w:cs="Arial"/>
          <w:bCs/>
          <w:color w:val="000000" w:themeColor="text1"/>
          <w:lang w:val="es-ES_tradnl"/>
        </w:rPr>
        <w:t xml:space="preserve">. Sin embargo, esta extensión tiene algunas particularidades que también explica la Corte Constitucional en los siguientes términos: </w:t>
      </w:r>
    </w:p>
    <w:p w14:paraId="03CE1414" w14:textId="77777777" w:rsidR="004063A4" w:rsidRPr="004A73EC" w:rsidRDefault="004063A4" w:rsidP="004063A4">
      <w:pPr>
        <w:tabs>
          <w:tab w:val="left" w:pos="426"/>
        </w:tabs>
        <w:spacing w:after="0"/>
        <w:jc w:val="both"/>
        <w:rPr>
          <w:rFonts w:ascii="Verdana" w:eastAsia="Calibri" w:hAnsi="Verdana" w:cs="Arial"/>
          <w:bCs/>
          <w:color w:val="000000" w:themeColor="text1"/>
          <w:lang w:val="es-ES_tradnl"/>
        </w:rPr>
      </w:pPr>
    </w:p>
    <w:p w14:paraId="13E507FA" w14:textId="77777777" w:rsidR="004063A4" w:rsidRPr="004A73EC" w:rsidRDefault="004063A4" w:rsidP="004063A4">
      <w:pPr>
        <w:tabs>
          <w:tab w:val="left" w:pos="426"/>
        </w:tabs>
        <w:spacing w:after="0" w:line="240" w:lineRule="auto"/>
        <w:ind w:left="709" w:right="709"/>
        <w:jc w:val="both"/>
        <w:rPr>
          <w:rFonts w:ascii="Verdana" w:eastAsia="Calibri" w:hAnsi="Verdana" w:cs="Arial"/>
          <w:bCs/>
          <w:color w:val="000000" w:themeColor="text1"/>
          <w:sz w:val="21"/>
          <w:szCs w:val="21"/>
          <w:lang w:val="es-ES_tradnl"/>
        </w:rPr>
      </w:pPr>
      <w:r w:rsidRPr="004A73EC">
        <w:rPr>
          <w:rFonts w:ascii="Verdana" w:eastAsia="Calibri" w:hAnsi="Verdana" w:cs="Arial"/>
          <w:bCs/>
          <w:color w:val="000000" w:themeColor="text1"/>
          <w:sz w:val="21"/>
          <w:szCs w:val="21"/>
          <w:lang w:val="es-ES_tradnl"/>
        </w:rPr>
        <w:t>“La extensión de las garantías del debido proceso al ámbito administrativo no implica, sin embargo, que su alcance sea idéntico en la administración de justicia y en el ejercicio de la función pública. A pesar de la importancia que tiene para el orden constitucional la vigencia del debido proceso en todos los escenarios en los que el ciudadano puede ver afectados sus derechos por actuaciones públicas (sin importar de qué rama provienen), es necesario que la interpretación de las garantías que lo componen tome en consideración los principios que caracterizan cada escenario, así como las diferencias que existen entre ellos”</w:t>
      </w:r>
      <w:r w:rsidRPr="004A73EC">
        <w:rPr>
          <w:rStyle w:val="Refdenotaalpie"/>
          <w:rFonts w:ascii="Verdana" w:eastAsia="Calibri" w:hAnsi="Verdana" w:cs="Arial"/>
          <w:bCs/>
          <w:color w:val="000000" w:themeColor="text1"/>
          <w:sz w:val="21"/>
          <w:szCs w:val="21"/>
          <w:lang w:val="es-ES_tradnl"/>
        </w:rPr>
        <w:footnoteReference w:id="3"/>
      </w:r>
      <w:r w:rsidRPr="004A73EC">
        <w:rPr>
          <w:rFonts w:ascii="Verdana" w:eastAsia="Calibri" w:hAnsi="Verdana" w:cs="Arial"/>
          <w:bCs/>
          <w:color w:val="000000" w:themeColor="text1"/>
          <w:sz w:val="21"/>
          <w:szCs w:val="21"/>
          <w:lang w:val="es-ES_tradnl"/>
        </w:rPr>
        <w:t>.</w:t>
      </w:r>
    </w:p>
    <w:p w14:paraId="546FCAF3" w14:textId="77777777" w:rsidR="004063A4" w:rsidRPr="004A73EC" w:rsidRDefault="004063A4" w:rsidP="004063A4">
      <w:pPr>
        <w:tabs>
          <w:tab w:val="left" w:pos="426"/>
        </w:tabs>
        <w:spacing w:after="0" w:line="276" w:lineRule="auto"/>
        <w:jc w:val="both"/>
        <w:rPr>
          <w:rFonts w:ascii="Verdana" w:eastAsia="Calibri" w:hAnsi="Verdana" w:cs="Arial"/>
          <w:b/>
          <w:color w:val="000000" w:themeColor="text1"/>
          <w:lang w:val="es-ES_tradnl"/>
        </w:rPr>
      </w:pPr>
    </w:p>
    <w:p w14:paraId="5FC9B0E8" w14:textId="77777777" w:rsidR="004063A4" w:rsidRPr="004A73EC" w:rsidRDefault="004063A4" w:rsidP="004063A4">
      <w:pPr>
        <w:tabs>
          <w:tab w:val="left" w:pos="426"/>
        </w:tabs>
        <w:spacing w:line="276" w:lineRule="auto"/>
        <w:ind w:firstLine="709"/>
        <w:jc w:val="both"/>
        <w:rPr>
          <w:rFonts w:ascii="Verdana" w:eastAsia="Calibri" w:hAnsi="Verdana" w:cs="Arial"/>
          <w:bCs/>
          <w:color w:val="000000" w:themeColor="text1"/>
          <w:lang w:val="es-ES_tradnl"/>
        </w:rPr>
      </w:pPr>
      <w:r w:rsidRPr="004A73EC">
        <w:rPr>
          <w:rFonts w:ascii="Verdana" w:eastAsia="Calibri" w:hAnsi="Verdana" w:cs="Arial"/>
          <w:bCs/>
          <w:color w:val="000000" w:themeColor="text1"/>
          <w:lang w:val="es-ES_tradnl"/>
        </w:rPr>
        <w:t xml:space="preserve">En ese orden de ideas, </w:t>
      </w:r>
      <w:bookmarkStart w:id="2" w:name="_Hlk55296245"/>
      <w:r w:rsidRPr="004A73EC">
        <w:rPr>
          <w:rFonts w:ascii="Verdana" w:eastAsia="Calibri" w:hAnsi="Verdana" w:cs="Arial"/>
          <w:bCs/>
          <w:color w:val="000000" w:themeColor="text1"/>
          <w:lang w:val="es-ES_tradnl"/>
        </w:rPr>
        <w:t xml:space="preserve">tanto en materia sancionatoria como no sancionatoria, las garantías del debido proceso aplican por expreso mandato constitucional a toda actuación administrativa. Sin embargo, estas deben interpretarse atendiendo a los principios que caracterizan cada escenario, teniendo en cuenta las diferencias entre los procesos judiciales y los procedimientos administrativos. De acuerdo con estas consideraciones la Corte resalta la importancia de aplicar en todos los casos los principios y garantías derivados del debido proceso, pero armonizando los mandatos del artículo 29 superior con los principios del artículo 209 constitucional, de manera que no se </w:t>
      </w:r>
      <w:r w:rsidRPr="004A73EC">
        <w:rPr>
          <w:rFonts w:ascii="Verdana" w:eastAsia="Calibri" w:hAnsi="Verdana" w:cs="Arial"/>
          <w:bCs/>
          <w:color w:val="000000" w:themeColor="text1"/>
          <w:lang w:val="es-ES_tradnl"/>
        </w:rPr>
        <w:lastRenderedPageBreak/>
        <w:t>pierda de vista que “mediante el procedimiento administrativo se logra el cumplimiento de la función administrativa […]”</w:t>
      </w:r>
      <w:bookmarkEnd w:id="2"/>
      <w:r w:rsidRPr="004A73EC">
        <w:rPr>
          <w:rStyle w:val="Refdenotaalpie"/>
          <w:rFonts w:ascii="Verdana" w:eastAsia="Calibri" w:hAnsi="Verdana" w:cs="Arial"/>
          <w:bCs/>
          <w:color w:val="000000" w:themeColor="text1"/>
          <w:lang w:val="es-ES_tradnl"/>
        </w:rPr>
        <w:footnoteReference w:id="4"/>
      </w:r>
      <w:r w:rsidRPr="004A73EC">
        <w:rPr>
          <w:rFonts w:ascii="Verdana" w:eastAsia="Calibri" w:hAnsi="Verdana" w:cs="Arial"/>
          <w:bCs/>
          <w:color w:val="000000" w:themeColor="text1"/>
          <w:lang w:val="es-ES_tradnl"/>
        </w:rPr>
        <w:t>.</w:t>
      </w:r>
    </w:p>
    <w:p w14:paraId="57948BF2" w14:textId="77777777" w:rsidR="004063A4" w:rsidRPr="004A73EC" w:rsidRDefault="004063A4" w:rsidP="004063A4">
      <w:pPr>
        <w:tabs>
          <w:tab w:val="left" w:pos="426"/>
        </w:tabs>
        <w:spacing w:after="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b/>
      </w:r>
      <w:r>
        <w:rPr>
          <w:rFonts w:ascii="Verdana" w:eastAsia="Calibri" w:hAnsi="Verdana" w:cs="Arial"/>
          <w:bCs/>
          <w:color w:val="000000" w:themeColor="text1"/>
          <w:lang w:val="es-ES_tradnl"/>
        </w:rPr>
        <w:tab/>
      </w:r>
      <w:r w:rsidRPr="004A73EC">
        <w:rPr>
          <w:rFonts w:ascii="Verdana" w:eastAsia="Calibri" w:hAnsi="Verdana" w:cs="Arial"/>
          <w:bCs/>
          <w:color w:val="000000" w:themeColor="text1"/>
          <w:lang w:val="es-ES_tradnl"/>
        </w:rPr>
        <w:t>El artículo 17 de la Ley 1150 de 2007 es relevante respecto al desarrollo legislativo del debido proceso en la contratación estatal. El mencionado artículo prescribe que este derecho fundamental será un principio rector en materia sancionatoria de las actuaciones contractuales</w:t>
      </w:r>
      <w:r w:rsidRPr="004A73EC">
        <w:rPr>
          <w:rStyle w:val="Refdenotaalpie"/>
          <w:rFonts w:ascii="Verdana" w:eastAsia="Calibri" w:hAnsi="Verdana" w:cs="Arial"/>
          <w:bCs/>
          <w:color w:val="000000" w:themeColor="text1"/>
          <w:lang w:val="es-ES_tradnl"/>
        </w:rPr>
        <w:footnoteReference w:id="5"/>
      </w:r>
      <w:r w:rsidRPr="004A73EC">
        <w:rPr>
          <w:rFonts w:ascii="Verdana" w:eastAsia="Calibri" w:hAnsi="Verdana" w:cs="Arial"/>
          <w:bCs/>
          <w:color w:val="000000" w:themeColor="text1"/>
          <w:lang w:val="es-ES_tradnl"/>
        </w:rPr>
        <w:t xml:space="preserve">. Apoyándose en esta norma, así como de las garantías derivadas directamente de la Constitución y otras normas procedimentales, el Consejo de Estado ha sostenido que: </w:t>
      </w:r>
    </w:p>
    <w:p w14:paraId="78C9B0AE" w14:textId="77777777" w:rsidR="004063A4" w:rsidRPr="004A73EC" w:rsidRDefault="004063A4" w:rsidP="004063A4">
      <w:pPr>
        <w:spacing w:after="0" w:line="276" w:lineRule="auto"/>
        <w:jc w:val="both"/>
        <w:rPr>
          <w:rFonts w:ascii="Verdana" w:hAnsi="Verdana" w:cs="Arial"/>
          <w:lang w:val="es-ES_tradnl"/>
        </w:rPr>
      </w:pPr>
    </w:p>
    <w:p w14:paraId="6C8C0762" w14:textId="77777777" w:rsidR="004063A4" w:rsidRPr="004A73EC" w:rsidRDefault="004063A4" w:rsidP="004063A4">
      <w:pPr>
        <w:pStyle w:val="Textoindependiente21"/>
        <w:spacing w:line="240" w:lineRule="auto"/>
        <w:ind w:left="708" w:right="758" w:firstLine="0"/>
        <w:rPr>
          <w:rFonts w:ascii="Verdana" w:hAnsi="Verdana" w:cs="Arial"/>
          <w:bCs/>
          <w:sz w:val="21"/>
          <w:szCs w:val="21"/>
          <w:lang w:val="es-ES_tradnl"/>
        </w:rPr>
      </w:pPr>
      <w:r w:rsidRPr="004A73EC">
        <w:rPr>
          <w:rFonts w:ascii="Verdana" w:hAnsi="Verdana" w:cs="Arial"/>
          <w:color w:val="000000"/>
          <w:sz w:val="21"/>
          <w:szCs w:val="21"/>
          <w:lang w:val="es-ES_tradnl"/>
        </w:rPr>
        <w:t xml:space="preserve">“Al respecto, </w:t>
      </w:r>
      <w:r w:rsidRPr="004A73EC">
        <w:rPr>
          <w:rFonts w:ascii="Verdana" w:hAnsi="Verdana" w:cs="Arial"/>
          <w:bCs/>
          <w:sz w:val="21"/>
          <w:szCs w:val="21"/>
          <w:lang w:val="es-ES_tradnl"/>
        </w:rPr>
        <w:t>la jurisprudencia de la Corporación ha sido categórica en afirmar que en materia contractual también se debe respetar este derecho fundamental al debido proceso, siempre que la administración en su papel de parte contratante dentro de un negocio jurídico, pretenda ejercer su poder de autotutela declarativa mediante la expedición de actos administrativos de carácter particular y concreto, en tal forma que se garantice el pleno conocimiento del contratista sobre la actuación adelantada por la administración y su posibilidad de ejercer en debida forma el derecho de audiencia y de defensa”</w:t>
      </w:r>
      <w:r w:rsidRPr="004A73EC">
        <w:rPr>
          <w:rStyle w:val="Refdenotaalpie"/>
          <w:rFonts w:ascii="Verdana" w:hAnsi="Verdana" w:cs="Arial"/>
          <w:bCs/>
          <w:sz w:val="21"/>
          <w:szCs w:val="21"/>
          <w:lang w:val="es-ES_tradnl"/>
        </w:rPr>
        <w:footnoteReference w:id="6"/>
      </w:r>
      <w:r w:rsidRPr="004A73EC">
        <w:rPr>
          <w:rFonts w:ascii="Verdana" w:hAnsi="Verdana" w:cs="Arial"/>
          <w:bCs/>
          <w:sz w:val="21"/>
          <w:szCs w:val="21"/>
          <w:lang w:val="es-ES_tradnl"/>
        </w:rPr>
        <w:t>.</w:t>
      </w:r>
    </w:p>
    <w:p w14:paraId="53042453" w14:textId="77777777" w:rsidR="004063A4" w:rsidRPr="004A73EC" w:rsidRDefault="004063A4" w:rsidP="004063A4">
      <w:pPr>
        <w:pStyle w:val="Textoindependiente21"/>
        <w:spacing w:line="276" w:lineRule="auto"/>
        <w:ind w:right="758" w:firstLine="0"/>
        <w:rPr>
          <w:rFonts w:ascii="Verdana" w:hAnsi="Verdana" w:cs="Arial"/>
          <w:bCs/>
          <w:sz w:val="22"/>
          <w:szCs w:val="22"/>
          <w:lang w:val="es-ES_tradnl"/>
        </w:rPr>
      </w:pPr>
    </w:p>
    <w:p w14:paraId="60F26961" w14:textId="77777777" w:rsidR="004063A4" w:rsidRPr="00FD30C6" w:rsidRDefault="004063A4" w:rsidP="004063A4">
      <w:pPr>
        <w:tabs>
          <w:tab w:val="left" w:pos="426"/>
        </w:tabs>
        <w:spacing w:after="120" w:line="276" w:lineRule="auto"/>
        <w:jc w:val="both"/>
        <w:rPr>
          <w:rFonts w:ascii="Verdana" w:eastAsia="Calibri" w:hAnsi="Verdana" w:cs="Arial"/>
          <w:bCs/>
          <w:color w:val="000000" w:themeColor="text1"/>
          <w:lang w:val="es-ES_tradnl"/>
        </w:rPr>
      </w:pPr>
      <w:r w:rsidRPr="004A73EC">
        <w:rPr>
          <w:rFonts w:ascii="Verdana" w:eastAsia="Calibri" w:hAnsi="Verdana" w:cs="Arial"/>
          <w:bCs/>
          <w:color w:val="000000" w:themeColor="text1"/>
          <w:lang w:val="es-ES_tradnl"/>
        </w:rPr>
        <w:tab/>
      </w:r>
      <w:r w:rsidRPr="004A73EC">
        <w:rPr>
          <w:rFonts w:ascii="Verdana" w:eastAsia="Calibri" w:hAnsi="Verdana" w:cs="Arial"/>
          <w:bCs/>
          <w:color w:val="000000" w:themeColor="text1"/>
          <w:lang w:val="es-ES_tradnl"/>
        </w:rPr>
        <w:tab/>
        <w:t>Con fundamento en estas consideraciones, la máxima corporación de lo contencioso administrativo concluyó que “no cabe duda alguna en relación con la aplicación del debido proceso en materia contractual y especialmente cuando se trate de decisiones sancionatorias”</w:t>
      </w:r>
      <w:r w:rsidRPr="004A73EC">
        <w:rPr>
          <w:rStyle w:val="Refdenotaalpie"/>
          <w:rFonts w:ascii="Verdana" w:eastAsia="Calibri" w:hAnsi="Verdana" w:cs="Arial"/>
          <w:bCs/>
          <w:color w:val="000000" w:themeColor="text1"/>
          <w:lang w:val="es-ES_tradnl"/>
        </w:rPr>
        <w:footnoteReference w:id="7"/>
      </w:r>
      <w:r w:rsidRPr="004A73EC">
        <w:rPr>
          <w:rFonts w:ascii="Verdana" w:eastAsia="Calibri" w:hAnsi="Verdana" w:cs="Arial"/>
          <w:bCs/>
          <w:color w:val="000000" w:themeColor="text1"/>
          <w:lang w:val="es-ES_tradnl"/>
        </w:rPr>
        <w:t>. Estas ideas son fundamentales, pues permiten afirmar que la Administración se encuentra obligada a respetar las garantías del debido proceso en materia contractual sin importar la declaratoria a realizar o el asunto a decidir.</w:t>
      </w:r>
    </w:p>
    <w:p w14:paraId="4EC1974A" w14:textId="77777777" w:rsidR="004063A4" w:rsidRPr="004F246A" w:rsidRDefault="004063A4" w:rsidP="004063A4">
      <w:pPr>
        <w:spacing w:after="0" w:line="276" w:lineRule="auto"/>
        <w:jc w:val="both"/>
        <w:rPr>
          <w:rFonts w:ascii="Verdana" w:eastAsia="Times New Roman" w:hAnsi="Verdana" w:cs="Arial"/>
          <w:b/>
          <w:bCs/>
          <w:iCs/>
          <w:color w:val="000000"/>
          <w:szCs w:val="24"/>
          <w:lang w:val="es-ES_tradnl" w:eastAsia="es-ES_tradnl"/>
        </w:rPr>
      </w:pPr>
    </w:p>
    <w:p w14:paraId="73D5BEAE" w14:textId="06EEFA9A" w:rsidR="004063A4" w:rsidRPr="001A5BC1" w:rsidRDefault="002515D8" w:rsidP="00002A24">
      <w:pPr>
        <w:spacing w:after="120" w:line="276" w:lineRule="auto"/>
        <w:ind w:firstLine="708"/>
        <w:jc w:val="both"/>
        <w:rPr>
          <w:rFonts w:ascii="Verdana" w:eastAsia="Times New Roman" w:hAnsi="Verdana" w:cs="Arial"/>
          <w:color w:val="000000"/>
          <w:lang w:val="es-ES" w:eastAsia="es-ES"/>
        </w:rPr>
      </w:pPr>
      <w:r>
        <w:rPr>
          <w:rFonts w:ascii="Verdana" w:eastAsia="Times New Roman" w:hAnsi="Verdana" w:cs="Arial"/>
          <w:color w:val="000000" w:themeColor="text1"/>
          <w:lang w:val="es-ES_tradnl" w:eastAsia="es-ES"/>
        </w:rPr>
        <w:t>Dicho lo anterior, se relaciona que p</w:t>
      </w:r>
      <w:r w:rsidR="004063A4" w:rsidRPr="4929CF82">
        <w:rPr>
          <w:rFonts w:ascii="Verdana" w:eastAsia="Calibri" w:hAnsi="Verdana" w:cs="Arial"/>
          <w:color w:val="000000" w:themeColor="text1"/>
          <w:lang w:val="es-ES"/>
        </w:rPr>
        <w:t xml:space="preserve">ara las entidades sometidas al Estatuto General de Contratación de la Administración Pública, el artículo 86 de </w:t>
      </w:r>
      <w:r w:rsidR="004063A4" w:rsidRPr="4929CF82">
        <w:rPr>
          <w:rFonts w:ascii="Verdana" w:eastAsia="Calibri" w:hAnsi="Verdana" w:cs="Arial"/>
          <w:color w:val="000000" w:themeColor="text1"/>
          <w:lang w:val="es-ES"/>
        </w:rPr>
        <w:lastRenderedPageBreak/>
        <w:t xml:space="preserve">la Ley 1474 de 2011 –en concordancia con el artículo 17 de la Ley 1150 de 2007– regula el procedimiento sancionatorio contractual, prescribiendo que “Las entidades sometidas al Estatuto General de Contratación de la Administración Pública podrán declarar el incumplimiento, cuantificando los perjuicios del mismo, imponer las multas y sanciones pactadas en el contrato, y hacer efectiva la cláusula penal […]”. Dicho artículo </w:t>
      </w:r>
      <w:r w:rsidR="004063A4" w:rsidRPr="4929CF82">
        <w:rPr>
          <w:rFonts w:ascii="Verdana" w:eastAsia="Times New Roman" w:hAnsi="Verdana" w:cs="Arial"/>
          <w:color w:val="000000" w:themeColor="text1"/>
          <w:lang w:val="es-ES" w:eastAsia="es-ES"/>
        </w:rPr>
        <w:t xml:space="preserve">establece las reglas de procedimiento, mediante las cuales se materializan los derechos y garantías derivadas del debido proceso, para su aplicación concreta en materia sancionatoria contractual. </w:t>
      </w:r>
    </w:p>
    <w:p w14:paraId="6A012061" w14:textId="77777777" w:rsidR="004063A4" w:rsidRPr="004F246A" w:rsidRDefault="004063A4" w:rsidP="004063A4">
      <w:pPr>
        <w:spacing w:after="120" w:line="276" w:lineRule="auto"/>
        <w:ind w:firstLine="709"/>
        <w:jc w:val="both"/>
        <w:rPr>
          <w:rFonts w:ascii="Verdana" w:eastAsia="Times New Roman" w:hAnsi="Verdana" w:cs="Arial"/>
          <w:iCs/>
          <w:color w:val="000000"/>
          <w:szCs w:val="24"/>
          <w:lang w:val="es-ES_tradnl" w:eastAsia="es-ES_tradnl"/>
        </w:rPr>
      </w:pPr>
      <w:r w:rsidRPr="004F246A">
        <w:rPr>
          <w:rFonts w:ascii="Verdana" w:eastAsia="Times New Roman" w:hAnsi="Verdana" w:cs="Arial"/>
          <w:iCs/>
          <w:color w:val="000000"/>
          <w:szCs w:val="24"/>
          <w:lang w:val="es-ES_tradnl" w:eastAsia="es-ES_tradnl"/>
        </w:rPr>
        <w:t>Cabe destacar que esta norma no cualifica o se circunscribe a ciertos tipos de incumplimiento. En consecuencia, la declaratoria de cualquier incumplimiento, sea total o parcial, o independiente de su gravedad, debe realizarse con plena observancia de las reglas procedimentales del artículo 86 de la Ley 1474 de 2011. Est</w:t>
      </w:r>
      <w:r>
        <w:rPr>
          <w:rFonts w:ascii="Verdana" w:eastAsia="Times New Roman" w:hAnsi="Verdana" w:cs="Arial"/>
          <w:iCs/>
          <w:color w:val="000000"/>
          <w:szCs w:val="24"/>
          <w:lang w:val="es-ES_tradnl" w:eastAsia="es-ES_tradnl"/>
        </w:rPr>
        <w:t>o es así como consecuencia del “</w:t>
      </w:r>
      <w:r w:rsidRPr="004F246A">
        <w:rPr>
          <w:rFonts w:ascii="Verdana" w:eastAsia="Times New Roman" w:hAnsi="Verdana" w:cs="Arial"/>
          <w:iCs/>
          <w:color w:val="000000"/>
          <w:szCs w:val="24"/>
          <w:lang w:val="es-ES_tradnl" w:eastAsia="es-ES_tradnl"/>
        </w:rPr>
        <w:t>principio general de interpretación jurídica según el cual donde la norma no distingue, no le corresponde dist</w:t>
      </w:r>
      <w:r>
        <w:rPr>
          <w:rFonts w:ascii="Verdana" w:eastAsia="Times New Roman" w:hAnsi="Verdana" w:cs="Arial"/>
          <w:iCs/>
          <w:color w:val="000000"/>
          <w:szCs w:val="24"/>
          <w:lang w:val="es-ES_tradnl" w:eastAsia="es-ES_tradnl"/>
        </w:rPr>
        <w:t>inguir al intérprete”</w:t>
      </w:r>
      <w:r w:rsidRPr="004F246A">
        <w:rPr>
          <w:rFonts w:ascii="Verdana" w:eastAsia="Times New Roman" w:hAnsi="Verdana" w:cs="Arial"/>
          <w:color w:val="000000"/>
          <w:sz w:val="24"/>
          <w:szCs w:val="24"/>
          <w:vertAlign w:val="superscript"/>
          <w:lang w:eastAsia="es-ES_tradnl"/>
        </w:rPr>
        <w:footnoteReference w:id="8"/>
      </w:r>
      <w:r w:rsidRPr="004F246A">
        <w:rPr>
          <w:rFonts w:ascii="Verdana" w:eastAsia="Times New Roman" w:hAnsi="Verdana" w:cs="Arial"/>
          <w:iCs/>
          <w:color w:val="000000"/>
          <w:szCs w:val="24"/>
          <w:lang w:val="es-ES_tradnl" w:eastAsia="es-ES_tradnl"/>
        </w:rPr>
        <w:t>. A la misma conclusión se llega si se tiene en consideración la necesidad de</w:t>
      </w:r>
      <w:r>
        <w:rPr>
          <w:rFonts w:ascii="Verdana" w:eastAsia="Times New Roman" w:hAnsi="Verdana" w:cs="Arial"/>
          <w:iCs/>
          <w:color w:val="000000"/>
          <w:szCs w:val="24"/>
          <w:lang w:val="es-ES_tradnl" w:eastAsia="es-ES_tradnl"/>
        </w:rPr>
        <w:t xml:space="preserve"> respetar el debido proceso en “</w:t>
      </w:r>
      <w:r w:rsidRPr="004F246A">
        <w:rPr>
          <w:rFonts w:ascii="Verdana" w:eastAsia="Times New Roman" w:hAnsi="Verdana" w:cs="Arial"/>
          <w:iCs/>
          <w:color w:val="000000"/>
          <w:szCs w:val="24"/>
          <w:lang w:val="es-ES_tradnl" w:eastAsia="es-ES_tradnl"/>
        </w:rPr>
        <w:t xml:space="preserve">todas </w:t>
      </w:r>
      <w:r>
        <w:rPr>
          <w:rFonts w:ascii="Verdana" w:eastAsia="Times New Roman" w:hAnsi="Verdana" w:cs="Arial"/>
          <w:iCs/>
          <w:color w:val="000000"/>
          <w:szCs w:val="24"/>
          <w:lang w:val="es-ES_tradnl" w:eastAsia="es-ES_tradnl"/>
        </w:rPr>
        <w:t>las actuaciones administrativas”</w:t>
      </w:r>
      <w:r w:rsidRPr="004F246A">
        <w:rPr>
          <w:rFonts w:ascii="Verdana" w:eastAsia="Times New Roman" w:hAnsi="Verdana" w:cs="Arial"/>
          <w:iCs/>
          <w:color w:val="000000"/>
          <w:szCs w:val="24"/>
          <w:lang w:val="es-ES_tradnl" w:eastAsia="es-ES_tradnl"/>
        </w:rPr>
        <w:t xml:space="preserve"> como lo </w:t>
      </w:r>
      <w:r>
        <w:rPr>
          <w:rFonts w:ascii="Verdana" w:eastAsia="Times New Roman" w:hAnsi="Verdana" w:cs="Arial"/>
          <w:iCs/>
          <w:color w:val="000000"/>
          <w:szCs w:val="24"/>
          <w:lang w:val="es-ES_tradnl" w:eastAsia="es-ES_tradnl"/>
        </w:rPr>
        <w:t>dispone el artículo 29 de la Constitución Política.</w:t>
      </w:r>
    </w:p>
    <w:p w14:paraId="48441D27" w14:textId="77777777" w:rsidR="004063A4" w:rsidRPr="004A73EC" w:rsidRDefault="004063A4" w:rsidP="004063A4">
      <w:pPr>
        <w:spacing w:after="120" w:line="276" w:lineRule="auto"/>
        <w:ind w:firstLine="708"/>
        <w:jc w:val="both"/>
        <w:rPr>
          <w:rFonts w:ascii="Verdana" w:hAnsi="Verdana" w:cs="Arial"/>
          <w:color w:val="000000" w:themeColor="text1"/>
          <w:lang w:val="es-ES"/>
        </w:rPr>
      </w:pPr>
      <w:r w:rsidRPr="004F246A">
        <w:rPr>
          <w:rFonts w:ascii="Verdana" w:eastAsia="Times New Roman" w:hAnsi="Verdana" w:cs="Arial"/>
          <w:iCs/>
          <w:color w:val="000000"/>
          <w:szCs w:val="24"/>
          <w:lang w:val="es-ES_tradnl" w:eastAsia="es-ES_tradnl"/>
        </w:rPr>
        <w:t xml:space="preserve">De conformidad con lo anterior, el artículo 86 de la Ley 1474 de 2011 establece las etapas del procedimiento que se deben seguir, las cuales se sintetizan, de forma esquemática, así: </w:t>
      </w:r>
      <w:r w:rsidRPr="14DBD07D">
        <w:rPr>
          <w:rFonts w:ascii="Verdana" w:hAnsi="Verdana" w:cs="Arial"/>
          <w:color w:val="000000" w:themeColor="text1"/>
          <w:lang w:val="es-ES"/>
        </w:rPr>
        <w:t xml:space="preserve">a) </w:t>
      </w:r>
      <w:r w:rsidRPr="14DBD07D">
        <w:rPr>
          <w:rFonts w:ascii="Verdana" w:hAnsi="Verdana" w:cs="Arial"/>
          <w:i/>
          <w:color w:val="000000" w:themeColor="text1"/>
          <w:lang w:val="es-ES"/>
        </w:rPr>
        <w:t>Citación a audiencia</w:t>
      </w:r>
      <w:r w:rsidRPr="14DBD07D">
        <w:rPr>
          <w:rFonts w:ascii="Verdana" w:hAnsi="Verdana" w:cs="Arial"/>
          <w:color w:val="000000" w:themeColor="text1"/>
          <w:lang w:val="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consista en una póliza. b) </w:t>
      </w:r>
      <w:r w:rsidRPr="14DBD07D">
        <w:rPr>
          <w:rFonts w:ascii="Verdana" w:hAnsi="Verdana" w:cs="Arial"/>
          <w:i/>
          <w:color w:val="000000" w:themeColor="text1"/>
          <w:lang w:val="es-ES"/>
        </w:rPr>
        <w:t>Audiencia</w:t>
      </w:r>
      <w:r w:rsidRPr="14DBD07D">
        <w:rPr>
          <w:rFonts w:ascii="Verdana" w:hAnsi="Verdana" w:cs="Arial"/>
          <w:color w:val="000000" w:themeColor="text1"/>
          <w:lang w:val="es-ES"/>
        </w:rPr>
        <w:t>.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w:t>
      </w:r>
      <w:r>
        <w:rPr>
          <w:rFonts w:ascii="Verdana" w:hAnsi="Verdana" w:cs="Arial"/>
          <w:color w:val="000000" w:themeColor="text1"/>
          <w:lang w:val="es-ES"/>
        </w:rPr>
        <w:t>an las explicaciones del caso; y</w:t>
      </w:r>
      <w:r w:rsidRPr="14DBD07D">
        <w:rPr>
          <w:rFonts w:ascii="Verdana" w:hAnsi="Verdana" w:cs="Arial"/>
          <w:color w:val="000000" w:themeColor="text1"/>
          <w:lang w:val="es-ES"/>
        </w:rPr>
        <w:t xml:space="preserve"> c) </w:t>
      </w:r>
      <w:r w:rsidRPr="14DBD07D">
        <w:rPr>
          <w:rFonts w:ascii="Verdana" w:hAnsi="Verdana" w:cs="Arial"/>
          <w:i/>
          <w:color w:val="000000" w:themeColor="text1"/>
          <w:lang w:val="es-ES"/>
        </w:rPr>
        <w:t>Decisión</w:t>
      </w:r>
      <w:r w:rsidRPr="14DBD07D">
        <w:rPr>
          <w:rFonts w:ascii="Verdana" w:hAnsi="Verdana" w:cs="Arial"/>
          <w:color w:val="000000" w:themeColor="text1"/>
          <w:lang w:val="es-ES"/>
        </w:rPr>
        <w:t xml:space="preserve">.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w:t>
      </w:r>
      <w:r w:rsidRPr="14DBD07D">
        <w:rPr>
          <w:rFonts w:ascii="Verdana" w:hAnsi="Verdana" w:cs="Arial"/>
          <w:color w:val="000000" w:themeColor="text1"/>
          <w:lang w:val="es-ES"/>
        </w:rPr>
        <w:lastRenderedPageBreak/>
        <w:t>interpondrá, sustentará y decidirá en la misma diligencia. Ambas decisiones se entenderán notificadas en audiencia. Lo anterior, por supuesto, sin perjuicio del control judicial que podría llegar a efectuarse.</w:t>
      </w:r>
    </w:p>
    <w:p w14:paraId="6124AD87" w14:textId="3123EB99" w:rsidR="004063A4" w:rsidRDefault="004063A4" w:rsidP="00002A24">
      <w:pPr>
        <w:spacing w:after="120" w:line="276" w:lineRule="auto"/>
        <w:ind w:firstLine="708"/>
        <w:jc w:val="both"/>
        <w:rPr>
          <w:rFonts w:ascii="Verdana" w:hAnsi="Verdana" w:cs="Arial"/>
          <w:color w:val="000000" w:themeColor="text1"/>
          <w:lang w:val="es-ES"/>
        </w:rPr>
      </w:pPr>
      <w:r w:rsidRPr="14DBD07D">
        <w:rPr>
          <w:rFonts w:ascii="Verdana" w:hAnsi="Verdana" w:cs="Arial"/>
          <w:color w:val="000000" w:themeColor="text1"/>
          <w:lang w:val="es-ES"/>
        </w:rPr>
        <w:t xml:space="preserve">Concretamente, el procedimiento descrito en el párrafo precedente es una manifestación de la </w:t>
      </w:r>
      <w:r w:rsidRPr="14DBD07D">
        <w:rPr>
          <w:rFonts w:ascii="Verdana" w:hAnsi="Verdana" w:cs="Arial"/>
          <w:i/>
          <w:color w:val="000000" w:themeColor="text1"/>
          <w:lang w:val="es-ES"/>
        </w:rPr>
        <w:t>legalidad de las formas de cada juicio</w:t>
      </w:r>
      <w:r w:rsidRPr="14DBD07D">
        <w:rPr>
          <w:rFonts w:ascii="Verdana" w:hAnsi="Verdana" w:cs="Arial"/>
          <w:color w:val="000000" w:themeColor="text1"/>
          <w:lang w:val="es-ES"/>
        </w:rPr>
        <w:t xml:space="preserve"> en la contratación estatal, la cual no solo se aplica en virtud del artículo 29 de la Constitución Política sino también con fundamento en el artículo 3.1, inciso primero, de la Ley 1437 de 2011. Esto último en la medida que “En virtud del principio del debido proceso, las actuaciones administrativas se adelantarán de conformidad con las normas de procedimiento y competencia establecidas en la Constitución y la ley, con plena garantía de los derechos de representación, defensa y contradicción”. </w:t>
      </w:r>
    </w:p>
    <w:p w14:paraId="5721F1A1" w14:textId="65E6D65C" w:rsidR="004063A4" w:rsidRPr="00C21751" w:rsidRDefault="002515D8" w:rsidP="00002A24">
      <w:pPr>
        <w:spacing w:after="120" w:line="276" w:lineRule="auto"/>
        <w:ind w:firstLine="708"/>
        <w:jc w:val="both"/>
        <w:rPr>
          <w:rFonts w:ascii="Verdana" w:hAnsi="Verdana" w:cs="Arial"/>
          <w:color w:val="000000" w:themeColor="text1"/>
          <w:lang w:val="es-ES"/>
        </w:rPr>
      </w:pPr>
      <w:r>
        <w:rPr>
          <w:rFonts w:ascii="Verdana" w:eastAsia="Times New Roman" w:hAnsi="Verdana" w:cs="Arial"/>
          <w:iCs/>
          <w:color w:val="000000"/>
          <w:szCs w:val="24"/>
          <w:lang w:val="es-ES" w:eastAsia="es-ES_tradnl"/>
        </w:rPr>
        <w:t>Ahora bien, p</w:t>
      </w:r>
      <w:proofErr w:type="spellStart"/>
      <w:r w:rsidR="004063A4">
        <w:rPr>
          <w:rFonts w:ascii="Verdana" w:eastAsia="Times New Roman" w:hAnsi="Verdana" w:cs="Arial"/>
          <w:iCs/>
          <w:color w:val="000000"/>
          <w:szCs w:val="24"/>
          <w:lang w:val="es-ES_tradnl" w:eastAsia="es-ES_tradnl"/>
        </w:rPr>
        <w:t>revio</w:t>
      </w:r>
      <w:proofErr w:type="spellEnd"/>
      <w:r w:rsidR="004063A4">
        <w:rPr>
          <w:rFonts w:ascii="Verdana" w:eastAsia="Times New Roman" w:hAnsi="Verdana" w:cs="Arial"/>
          <w:iCs/>
          <w:color w:val="000000"/>
          <w:szCs w:val="24"/>
          <w:lang w:val="es-ES_tradnl" w:eastAsia="es-ES_tradnl"/>
        </w:rPr>
        <w:t xml:space="preserve"> al inicio del procedimiento administrativo sancionatorio regulado en el artículo 86 de la Ley 1474 de 2011, los supervisores pueden requerir previamente al contratista, con el fin de determinar si se están presentando presuntos incumplimientos en las obligaciones del contrato estatal. Para ello, el requerimiento de presunto incumplimiento no puede catalogarse como un acto administrativo que lo declara, pues no se está aún en el procedimiento administrativo sancionatorio del artículo 86 de la Ley 1474 de 2011, ni mucho menos adquiere tal naturaleza.</w:t>
      </w:r>
    </w:p>
    <w:p w14:paraId="4C3F824F" w14:textId="77777777" w:rsidR="004063A4" w:rsidRDefault="004063A4" w:rsidP="004063A4">
      <w:pPr>
        <w:spacing w:after="120" w:line="276" w:lineRule="auto"/>
        <w:ind w:firstLine="709"/>
        <w:jc w:val="both"/>
        <w:rPr>
          <w:rFonts w:ascii="Verdana" w:eastAsia="Times New Roman" w:hAnsi="Verdana" w:cs="Arial"/>
          <w:iCs/>
          <w:color w:val="000000"/>
          <w:szCs w:val="24"/>
          <w:lang w:val="es-ES_tradnl" w:eastAsia="es-ES_tradnl"/>
        </w:rPr>
      </w:pPr>
      <w:r>
        <w:rPr>
          <w:rFonts w:ascii="Verdana" w:eastAsia="Times New Roman" w:hAnsi="Verdana" w:cs="Arial"/>
          <w:iCs/>
          <w:color w:val="000000"/>
          <w:szCs w:val="24"/>
          <w:lang w:val="es-ES_tradnl" w:eastAsia="es-ES_tradnl"/>
        </w:rPr>
        <w:t xml:space="preserve">Los actos de requerimiento de presunto incumplimiento son actos de la administración, en los que se solicita el supervisor o interventor para que se corrija una situación dentro de la ejecución del contrato, o se cumpla con una obligación. Para ello, puede requerir información o subsanar inconsistencias errores y fallas dentro de la ejecución contractual, garantizando la posibilidad de que el contratista aclare o resuelva las inquietudes de la supervisión o de la interventoría. </w:t>
      </w:r>
    </w:p>
    <w:p w14:paraId="54175B8A" w14:textId="2383AAC3" w:rsidR="004063A4" w:rsidRPr="00FD30C6" w:rsidRDefault="004063A4" w:rsidP="00002A24">
      <w:pPr>
        <w:spacing w:after="120" w:line="276" w:lineRule="auto"/>
        <w:ind w:firstLine="708"/>
        <w:jc w:val="both"/>
        <w:rPr>
          <w:rFonts w:ascii="Verdana" w:eastAsia="Times New Roman" w:hAnsi="Verdana" w:cs="Arial"/>
          <w:iCs/>
          <w:color w:val="000000"/>
          <w:szCs w:val="24"/>
          <w:lang w:eastAsia="es-ES_tradnl"/>
        </w:rPr>
      </w:pPr>
      <w:r w:rsidRPr="00FD30C6">
        <w:rPr>
          <w:rFonts w:ascii="Verdana" w:hAnsi="Verdana" w:cs="Arial"/>
          <w:lang w:val="es-ES_tradnl" w:eastAsia="es-ES"/>
        </w:rPr>
        <w:t xml:space="preserve">Al margen de la explicación precedente debe advertirse que el análisis requerido para resolver problemas específicos en torno </w:t>
      </w:r>
      <w:r>
        <w:rPr>
          <w:rFonts w:ascii="Verdana" w:hAnsi="Verdana" w:cs="Arial"/>
          <w:lang w:val="es-ES_tradnl" w:eastAsia="es-ES"/>
        </w:rPr>
        <w:t xml:space="preserve">a la ejecución del contrato </w:t>
      </w:r>
      <w:r w:rsidRPr="00FD30C6">
        <w:rPr>
          <w:rFonts w:ascii="Verdana" w:hAnsi="Verdana" w:cs="Arial"/>
          <w:lang w:val="es-ES_tradnl" w:eastAsia="es-ES"/>
        </w:rPr>
        <w:t xml:space="preserve">debe </w:t>
      </w:r>
      <w:r>
        <w:rPr>
          <w:rFonts w:ascii="Verdana" w:hAnsi="Verdana" w:cs="Arial"/>
          <w:lang w:val="es-ES_tradnl" w:eastAsia="es-ES"/>
        </w:rPr>
        <w:t xml:space="preserve">realizarse </w:t>
      </w:r>
      <w:r w:rsidRPr="00FD30C6">
        <w:rPr>
          <w:rFonts w:ascii="Verdana" w:hAnsi="Verdana" w:cs="Arial"/>
          <w:lang w:val="es-ES_tradnl" w:eastAsia="es-ES"/>
        </w:rPr>
        <w:t>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F1F989F" w14:textId="77777777" w:rsidR="004063A4" w:rsidRDefault="004063A4" w:rsidP="004063A4">
      <w:pPr>
        <w:spacing w:after="0" w:line="276" w:lineRule="auto"/>
        <w:ind w:firstLine="709"/>
        <w:jc w:val="both"/>
        <w:rPr>
          <w:rFonts w:ascii="Verdana" w:hAnsi="Verdana" w:cs="Arial"/>
          <w:lang w:val="es-ES" w:eastAsia="es-ES"/>
        </w:rPr>
      </w:pPr>
      <w:r w:rsidRPr="00FD30C6">
        <w:rPr>
          <w:rFonts w:ascii="Verdana" w:hAnsi="Verdana" w:cs="Arial"/>
          <w:lang w:val="es-ES" w:eastAsia="es-ES"/>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F815577" w14:textId="23317400" w:rsidR="004063A4" w:rsidRPr="008B2A63" w:rsidRDefault="004063A4" w:rsidP="004063A4">
      <w:pPr>
        <w:spacing w:after="0" w:line="276" w:lineRule="auto"/>
        <w:jc w:val="both"/>
        <w:rPr>
          <w:rFonts w:ascii="Verdana" w:hAnsi="Verdana" w:cs="Arial"/>
          <w:lang w:val="es-ES" w:eastAsia="es-ES"/>
        </w:rPr>
      </w:pPr>
    </w:p>
    <w:bookmarkEnd w:id="1"/>
    <w:p w14:paraId="4FB899F6" w14:textId="77777777" w:rsidR="004063A4" w:rsidRPr="008853C1" w:rsidRDefault="004063A4" w:rsidP="004063A4">
      <w:pPr>
        <w:pStyle w:val="Prrafodelista"/>
        <w:numPr>
          <w:ilvl w:val="0"/>
          <w:numId w:val="19"/>
        </w:numPr>
        <w:tabs>
          <w:tab w:val="left" w:pos="142"/>
          <w:tab w:val="left" w:pos="284"/>
        </w:tabs>
        <w:spacing w:after="0" w:line="276" w:lineRule="auto"/>
        <w:jc w:val="both"/>
        <w:rPr>
          <w:rFonts w:ascii="Verdana" w:eastAsia="Century Gothic" w:hAnsi="Verdana" w:cs="Century Gothic"/>
          <w:b/>
          <w:bCs/>
        </w:rPr>
      </w:pPr>
      <w:r w:rsidRPr="008853C1">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8853C1">
        <w:rPr>
          <w:rFonts w:ascii="Verdana" w:eastAsia="Century Gothic" w:hAnsi="Verdana" w:cs="Century Gothic"/>
          <w:b/>
          <w:bCs/>
        </w:rPr>
        <w:t xml:space="preserve"> </w:t>
      </w:r>
    </w:p>
    <w:p w14:paraId="77F74336" w14:textId="77777777" w:rsidR="004063A4" w:rsidRPr="00E2397D" w:rsidRDefault="004063A4" w:rsidP="004063A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063A4" w:rsidRPr="00E2397D" w14:paraId="344491F6" w14:textId="77777777" w:rsidTr="00C24266">
        <w:trPr>
          <w:trHeight w:val="856"/>
          <w:jc w:val="center"/>
        </w:trPr>
        <w:tc>
          <w:tcPr>
            <w:tcW w:w="8647" w:type="dxa"/>
          </w:tcPr>
          <w:p w14:paraId="63DA6E71" w14:textId="77777777" w:rsidR="004063A4" w:rsidRPr="00DA7C87" w:rsidRDefault="004063A4" w:rsidP="004063A4">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DA7C87">
              <w:rPr>
                <w:rFonts w:ascii="Verdana" w:eastAsia="Arial MT" w:hAnsi="Verdana" w:cs="Arial"/>
                <w:lang w:val="es-ES" w:eastAsia="es-ES" w:bidi="es-ES"/>
              </w:rPr>
              <w:t>Constitución Política de Colombia, artículos 29 y 209.</w:t>
            </w:r>
          </w:p>
          <w:p w14:paraId="4DCBE0C2" w14:textId="77777777" w:rsidR="004063A4" w:rsidRPr="00DA7C87" w:rsidRDefault="004063A4" w:rsidP="004063A4">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Ley 80 de 1993, artículos </w:t>
            </w:r>
            <w:r w:rsidRPr="00DA7C87">
              <w:rPr>
                <w:rFonts w:ascii="Verdana" w:eastAsia="Arial MT" w:hAnsi="Verdana" w:cs="Arial"/>
                <w:lang w:val="es-ES" w:eastAsia="es-ES" w:bidi="es-ES"/>
              </w:rPr>
              <w:t>4, 5, 12, 14 y 26</w:t>
            </w:r>
            <w:r>
              <w:rPr>
                <w:rFonts w:ascii="Verdana" w:eastAsia="Arial MT" w:hAnsi="Verdana" w:cs="Arial"/>
                <w:lang w:val="es-ES" w:eastAsia="es-ES" w:bidi="es-ES"/>
              </w:rPr>
              <w:t xml:space="preserve">. </w:t>
            </w:r>
          </w:p>
          <w:p w14:paraId="217A480C" w14:textId="77777777" w:rsidR="004063A4" w:rsidRPr="00DA7C87" w:rsidRDefault="004063A4" w:rsidP="004063A4">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Ley 1150 de 2007, artículos 3 </w:t>
            </w:r>
            <w:r w:rsidRPr="00DA7C87">
              <w:rPr>
                <w:rFonts w:ascii="Verdana" w:eastAsia="Arial MT" w:hAnsi="Verdana" w:cs="Arial"/>
                <w:lang w:val="es-ES" w:eastAsia="es-ES" w:bidi="es-ES"/>
              </w:rPr>
              <w:t>y 17.</w:t>
            </w:r>
          </w:p>
          <w:p w14:paraId="6B2AB878" w14:textId="77777777" w:rsidR="004063A4" w:rsidRPr="00DA7C87" w:rsidRDefault="004063A4" w:rsidP="004063A4">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Ley 1437 de 2011, artículos 3, 11 y 12. </w:t>
            </w:r>
          </w:p>
          <w:p w14:paraId="60F3B1B4" w14:textId="77777777" w:rsidR="004063A4" w:rsidRPr="00DA7C87" w:rsidRDefault="004063A4" w:rsidP="004063A4">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DA7C87">
              <w:rPr>
                <w:rFonts w:ascii="Verdana" w:eastAsia="Arial MT" w:hAnsi="Verdana" w:cs="Arial"/>
                <w:lang w:val="es-ES" w:eastAsia="es-ES" w:bidi="es-ES"/>
              </w:rPr>
              <w:t>Ley 1474 de 2011, artículo 86.</w:t>
            </w:r>
          </w:p>
          <w:p w14:paraId="7FF5259F" w14:textId="77777777" w:rsidR="004063A4" w:rsidRPr="001138FC" w:rsidRDefault="004063A4" w:rsidP="004063A4">
            <w:pPr>
              <w:widowControl w:val="0"/>
              <w:numPr>
                <w:ilvl w:val="0"/>
                <w:numId w:val="20"/>
              </w:numPr>
              <w:autoSpaceDE w:val="0"/>
              <w:autoSpaceDN w:val="0"/>
              <w:spacing w:before="120" w:after="120" w:line="276" w:lineRule="auto"/>
              <w:ind w:left="714" w:hanging="357"/>
              <w:jc w:val="both"/>
              <w:rPr>
                <w:rFonts w:ascii="Verdana" w:eastAsia="Arial MT" w:hAnsi="Verdana" w:cs="Arial"/>
                <w:lang w:val="es-MX" w:eastAsia="es-ES" w:bidi="es-ES"/>
              </w:rPr>
            </w:pPr>
            <w:r w:rsidRPr="00C7728C">
              <w:rPr>
                <w:rFonts w:ascii="Verdana" w:eastAsia="Arial MT" w:hAnsi="Verdana" w:cs="Arial"/>
                <w:lang w:val="es-ES" w:eastAsia="es-ES" w:bidi="es-ES"/>
              </w:rPr>
              <w:t xml:space="preserve"> </w:t>
            </w:r>
            <w:r w:rsidRPr="001138FC">
              <w:rPr>
                <w:rFonts w:ascii="Verdana" w:eastAsia="Arial MT" w:hAnsi="Verdana" w:cs="Arial"/>
                <w:lang w:val="es-MX" w:eastAsia="es-ES" w:bidi="es-ES"/>
              </w:rPr>
              <w:t>CONSEJO DE ESTADO. Sala de Consulta y de Servicio Civil. Concepto del 23 de marzo de 2011. Rad. 2.045. C.P. Enrique José Arboleda Perdomo.</w:t>
            </w:r>
          </w:p>
          <w:p w14:paraId="7AB13FCA" w14:textId="77777777" w:rsidR="004063A4" w:rsidRPr="001B25AB" w:rsidRDefault="004063A4" w:rsidP="004063A4">
            <w:pPr>
              <w:widowControl w:val="0"/>
              <w:numPr>
                <w:ilvl w:val="0"/>
                <w:numId w:val="20"/>
              </w:numPr>
              <w:autoSpaceDE w:val="0"/>
              <w:autoSpaceDN w:val="0"/>
              <w:spacing w:before="120" w:after="120" w:line="276" w:lineRule="auto"/>
              <w:ind w:left="714" w:hanging="357"/>
              <w:jc w:val="both"/>
              <w:rPr>
                <w:rFonts w:ascii="Verdana" w:eastAsia="Arial MT" w:hAnsi="Verdana" w:cs="Arial"/>
                <w:vertAlign w:val="superscript"/>
                <w:lang w:val="es-MX" w:eastAsia="es-ES" w:bidi="es-ES"/>
              </w:rPr>
            </w:pPr>
            <w:r w:rsidRPr="001B25AB">
              <w:rPr>
                <w:rFonts w:ascii="Verdana" w:eastAsia="Arial MT" w:hAnsi="Verdana" w:cs="Arial"/>
                <w:lang w:val="es-MX" w:eastAsia="es-ES" w:bidi="es-ES"/>
              </w:rPr>
              <w:t xml:space="preserve">CONSEJO DE ESTADO. Sección Tercera. Subsección B. Sentencia de 30 de enero de 2013. </w:t>
            </w:r>
            <w:proofErr w:type="spellStart"/>
            <w:r w:rsidRPr="001B25AB">
              <w:rPr>
                <w:rFonts w:ascii="Verdana" w:eastAsia="Arial MT" w:hAnsi="Verdana" w:cs="Arial"/>
                <w:lang w:val="es-MX" w:eastAsia="es-ES" w:bidi="es-ES"/>
              </w:rPr>
              <w:t>Exp</w:t>
            </w:r>
            <w:proofErr w:type="spellEnd"/>
            <w:r w:rsidRPr="001B25AB">
              <w:rPr>
                <w:rFonts w:ascii="Verdana" w:eastAsia="Arial MT" w:hAnsi="Verdana" w:cs="Arial"/>
                <w:lang w:val="es-MX" w:eastAsia="es-ES" w:bidi="es-ES"/>
              </w:rPr>
              <w:t xml:space="preserve">. 24.743. C.P. Danilo Rojas </w:t>
            </w:r>
            <w:proofErr w:type="spellStart"/>
            <w:r w:rsidRPr="001B25AB">
              <w:rPr>
                <w:rFonts w:ascii="Verdana" w:eastAsia="Arial MT" w:hAnsi="Verdana" w:cs="Arial"/>
                <w:lang w:val="es-MX" w:eastAsia="es-ES" w:bidi="es-ES"/>
              </w:rPr>
              <w:t>Betancourth</w:t>
            </w:r>
            <w:proofErr w:type="spellEnd"/>
            <w:r w:rsidRPr="001B25AB">
              <w:rPr>
                <w:rFonts w:ascii="Verdana" w:eastAsia="Arial MT" w:hAnsi="Verdana" w:cs="Arial"/>
                <w:lang w:val="es-MX" w:eastAsia="es-ES" w:bidi="es-ES"/>
              </w:rPr>
              <w:t xml:space="preserve">. </w:t>
            </w:r>
          </w:p>
          <w:p w14:paraId="7CE93279" w14:textId="77777777" w:rsidR="004063A4" w:rsidRPr="001B25AB" w:rsidRDefault="004063A4" w:rsidP="004063A4">
            <w:pPr>
              <w:widowControl w:val="0"/>
              <w:numPr>
                <w:ilvl w:val="0"/>
                <w:numId w:val="20"/>
              </w:numPr>
              <w:autoSpaceDE w:val="0"/>
              <w:autoSpaceDN w:val="0"/>
              <w:spacing w:before="120" w:after="120" w:line="276" w:lineRule="auto"/>
              <w:ind w:left="714" w:hanging="357"/>
              <w:jc w:val="both"/>
              <w:rPr>
                <w:rFonts w:ascii="Verdana" w:eastAsia="Arial MT" w:hAnsi="Verdana" w:cs="Arial"/>
                <w:lang w:val="es-MX" w:eastAsia="es-ES" w:bidi="es-ES"/>
              </w:rPr>
            </w:pPr>
            <w:r w:rsidRPr="00BE61A1">
              <w:rPr>
                <w:rFonts w:ascii="Verdana" w:eastAsia="Arial MT" w:hAnsi="Verdana" w:cs="Arial"/>
                <w:lang w:val="pt-BR" w:eastAsia="es-ES" w:bidi="es-ES"/>
              </w:rPr>
              <w:t xml:space="preserve">CORTE CONSTITUCIONAL. Sentencia C-640 de 2002. </w:t>
            </w:r>
            <w:r w:rsidRPr="001B25AB">
              <w:rPr>
                <w:rFonts w:ascii="Verdana" w:eastAsia="Arial MT" w:hAnsi="Verdana" w:cs="Arial"/>
                <w:lang w:val="es-MX" w:eastAsia="es-ES" w:bidi="es-ES"/>
              </w:rPr>
              <w:t>M.P. Marco Gerardo Monroy Cabra.</w:t>
            </w:r>
          </w:p>
          <w:p w14:paraId="1942432C" w14:textId="77777777" w:rsidR="004063A4" w:rsidRPr="001B25AB" w:rsidRDefault="004063A4" w:rsidP="004063A4">
            <w:pPr>
              <w:widowControl w:val="0"/>
              <w:numPr>
                <w:ilvl w:val="0"/>
                <w:numId w:val="20"/>
              </w:numPr>
              <w:autoSpaceDE w:val="0"/>
              <w:autoSpaceDN w:val="0"/>
              <w:spacing w:before="120" w:after="120" w:line="276" w:lineRule="auto"/>
              <w:ind w:left="714" w:hanging="357"/>
              <w:jc w:val="both"/>
              <w:rPr>
                <w:rFonts w:ascii="Verdana" w:eastAsia="Arial MT" w:hAnsi="Verdana" w:cs="Arial"/>
                <w:lang w:val="es-MX" w:eastAsia="es-ES" w:bidi="es-ES"/>
              </w:rPr>
            </w:pPr>
            <w:r w:rsidRPr="00BE61A1">
              <w:rPr>
                <w:rFonts w:ascii="Verdana" w:eastAsia="Arial MT" w:hAnsi="Verdana" w:cs="Arial"/>
                <w:lang w:val="pt-BR" w:eastAsia="es-ES" w:bidi="es-ES"/>
              </w:rPr>
              <w:t xml:space="preserve">CORTE CONSTITUCIONAL. Sentencia C-317 de 2012. </w:t>
            </w:r>
            <w:r w:rsidRPr="001B25AB">
              <w:rPr>
                <w:rFonts w:ascii="Verdana" w:eastAsia="Arial MT" w:hAnsi="Verdana" w:cs="Arial"/>
                <w:lang w:val="es-MX" w:eastAsia="es-ES" w:bidi="es-ES"/>
              </w:rPr>
              <w:t xml:space="preserve">M.P. María Victoria Calle Correa. </w:t>
            </w:r>
          </w:p>
          <w:p w14:paraId="1E17A22A" w14:textId="77777777" w:rsidR="004063A4" w:rsidRPr="001B25AB" w:rsidRDefault="004063A4" w:rsidP="004063A4">
            <w:pPr>
              <w:widowControl w:val="0"/>
              <w:numPr>
                <w:ilvl w:val="0"/>
                <w:numId w:val="20"/>
              </w:numPr>
              <w:autoSpaceDE w:val="0"/>
              <w:autoSpaceDN w:val="0"/>
              <w:spacing w:before="120" w:after="120" w:line="276" w:lineRule="auto"/>
              <w:ind w:left="714" w:hanging="357"/>
              <w:jc w:val="both"/>
              <w:rPr>
                <w:rFonts w:ascii="Verdana" w:eastAsia="Arial MT" w:hAnsi="Verdana" w:cs="Arial"/>
                <w:lang w:val="es-MX" w:eastAsia="es-ES" w:bidi="es-ES"/>
              </w:rPr>
            </w:pPr>
            <w:r w:rsidRPr="00BE61A1">
              <w:rPr>
                <w:rFonts w:ascii="Verdana" w:eastAsia="Arial MT" w:hAnsi="Verdana" w:cs="Arial"/>
                <w:lang w:val="pt-BR" w:eastAsia="es-ES" w:bidi="es-ES"/>
              </w:rPr>
              <w:t xml:space="preserve">CORTE CONSTITUCIONAL. Sentencia C-034 de 2014. </w:t>
            </w:r>
            <w:r w:rsidRPr="001B25AB">
              <w:rPr>
                <w:rFonts w:ascii="Verdana" w:eastAsia="Arial MT" w:hAnsi="Verdana" w:cs="Arial"/>
                <w:lang w:val="es-MX" w:eastAsia="es-ES" w:bidi="es-ES"/>
              </w:rPr>
              <w:t xml:space="preserve">M.P. María Victoria Calle Correa. </w:t>
            </w:r>
          </w:p>
          <w:p w14:paraId="0BB4DB0F" w14:textId="77777777" w:rsidR="004063A4" w:rsidRPr="001138FC" w:rsidRDefault="004063A4" w:rsidP="004063A4">
            <w:pPr>
              <w:widowControl w:val="0"/>
              <w:numPr>
                <w:ilvl w:val="0"/>
                <w:numId w:val="20"/>
              </w:numPr>
              <w:autoSpaceDE w:val="0"/>
              <w:autoSpaceDN w:val="0"/>
              <w:spacing w:before="120" w:after="120" w:line="276" w:lineRule="auto"/>
              <w:ind w:left="714" w:hanging="357"/>
              <w:jc w:val="both"/>
              <w:rPr>
                <w:rFonts w:ascii="Verdana" w:eastAsia="Arial MT" w:hAnsi="Verdana" w:cs="Arial"/>
                <w:lang w:val="es-MX" w:eastAsia="es-ES" w:bidi="es-ES"/>
              </w:rPr>
            </w:pPr>
            <w:r w:rsidRPr="001B25AB">
              <w:rPr>
                <w:rFonts w:ascii="Verdana" w:hAnsi="Verdana"/>
              </w:rPr>
              <w:t xml:space="preserve">AGENCIA NACIONAL DE CONTRATACIÓN PÚBLICA –COLOMBIA COMPRA EFICIENTE. Guía para el ejercicio de las funciones de supervisión e interventoría de los contratos suscritos por las entidades estatales. Disponible en línea: </w:t>
            </w:r>
            <w:hyperlink r:id="rId13" w:history="1">
              <w:r w:rsidRPr="001B25AB">
                <w:rPr>
                  <w:rStyle w:val="Hipervnculo"/>
                  <w:rFonts w:ascii="Verdana" w:hAnsi="Verdana"/>
                </w:rPr>
                <w:t>https://www.colombiacompra.gov.co/archivos/manual/guia-para-el-ejercicio-de-las-funciones-de-supervision-e-interventoria-de-los-</w:t>
              </w:r>
              <w:r w:rsidRPr="001B25AB">
                <w:rPr>
                  <w:rStyle w:val="Hipervnculo"/>
                  <w:rFonts w:ascii="Verdana" w:hAnsi="Verdana"/>
                </w:rPr>
                <w:lastRenderedPageBreak/>
                <w:t>contratos-suscritos-por-las-entidades-estatales</w:t>
              </w:r>
            </w:hyperlink>
            <w:r w:rsidRPr="001B25AB">
              <w:rPr>
                <w:rFonts w:ascii="Verdana" w:hAnsi="Verdana"/>
              </w:rPr>
              <w:t>.</w:t>
            </w:r>
          </w:p>
        </w:tc>
      </w:tr>
    </w:tbl>
    <w:p w14:paraId="333A0D8F" w14:textId="052D495F" w:rsidR="004063A4" w:rsidRPr="00E2397D" w:rsidRDefault="004063A4" w:rsidP="004063A4">
      <w:pPr>
        <w:widowControl w:val="0"/>
        <w:autoSpaceDE w:val="0"/>
        <w:autoSpaceDN w:val="0"/>
        <w:spacing w:after="0" w:line="276" w:lineRule="auto"/>
        <w:jc w:val="both"/>
        <w:rPr>
          <w:rFonts w:ascii="Verdana" w:hAnsi="Verdana" w:cs="Arial"/>
        </w:rPr>
      </w:pPr>
    </w:p>
    <w:p w14:paraId="5526F89F" w14:textId="77777777" w:rsidR="004063A4" w:rsidRPr="00C11604" w:rsidRDefault="004063A4" w:rsidP="004063A4">
      <w:pPr>
        <w:pStyle w:val="Prrafodelista"/>
        <w:numPr>
          <w:ilvl w:val="0"/>
          <w:numId w:val="19"/>
        </w:numPr>
        <w:tabs>
          <w:tab w:val="left" w:pos="142"/>
          <w:tab w:val="left" w:pos="284"/>
        </w:tabs>
        <w:spacing w:after="0" w:line="276" w:lineRule="auto"/>
        <w:jc w:val="both"/>
        <w:rPr>
          <w:rFonts w:ascii="Verdana" w:eastAsia="Century Gothic" w:hAnsi="Verdana" w:cs="Century Gothic"/>
          <w:b/>
          <w:bCs/>
        </w:rPr>
      </w:pPr>
      <w:r w:rsidRPr="00C11604">
        <w:rPr>
          <w:rFonts w:ascii="Verdana" w:eastAsia="Century Gothic" w:hAnsi="Verdana" w:cs="Century Gothic"/>
          <w:b/>
          <w:bCs/>
        </w:rPr>
        <w:t>Doctrina de la Agencia Nacional de Contratación Pública:</w:t>
      </w:r>
    </w:p>
    <w:p w14:paraId="531CC526" w14:textId="77777777" w:rsidR="004063A4" w:rsidRPr="00E2397D" w:rsidRDefault="004063A4" w:rsidP="004063A4">
      <w:pPr>
        <w:widowControl w:val="0"/>
        <w:autoSpaceDE w:val="0"/>
        <w:autoSpaceDN w:val="0"/>
        <w:spacing w:after="0" w:line="276" w:lineRule="auto"/>
        <w:jc w:val="both"/>
        <w:rPr>
          <w:rFonts w:ascii="Verdana" w:hAnsi="Verdana" w:cs="Arial"/>
        </w:rPr>
      </w:pPr>
    </w:p>
    <w:p w14:paraId="11C43765" w14:textId="77777777" w:rsidR="004063A4" w:rsidRPr="00C7728C" w:rsidRDefault="004063A4" w:rsidP="004063A4">
      <w:pPr>
        <w:widowControl w:val="0"/>
        <w:autoSpaceDE w:val="0"/>
        <w:autoSpaceDN w:val="0"/>
        <w:spacing w:after="0" w:line="276" w:lineRule="auto"/>
        <w:jc w:val="both"/>
        <w:rPr>
          <w:rFonts w:ascii="Verdana" w:hAnsi="Verdana" w:cs="Arial"/>
          <w:shd w:val="clear" w:color="auto" w:fill="FFFFFF"/>
        </w:rPr>
      </w:pPr>
      <w:r w:rsidRPr="0062005D">
        <w:rPr>
          <w:rFonts w:ascii="Verdana" w:hAnsi="Verdana" w:cs="Arial"/>
          <w:shd w:val="clear" w:color="auto" w:fill="FFFFFF"/>
        </w:rPr>
        <w:t>Esta Subdirec</w:t>
      </w:r>
      <w:r>
        <w:rPr>
          <w:rFonts w:ascii="Verdana" w:hAnsi="Verdana" w:cs="Arial"/>
          <w:shd w:val="clear" w:color="auto" w:fill="FFFFFF"/>
        </w:rPr>
        <w:t xml:space="preserve">ción se ha pronunciado sobre </w:t>
      </w:r>
      <w:r w:rsidRPr="00C7728C">
        <w:rPr>
          <w:rFonts w:ascii="Verdana" w:hAnsi="Verdana" w:cs="Arial"/>
          <w:shd w:val="clear" w:color="auto" w:fill="FFFFFF"/>
          <w:lang w:val="es-ES"/>
        </w:rPr>
        <w:t xml:space="preserve">la facultad sancionatoria y el deber de vigilancia de los contratos estales, en los Conceptos </w:t>
      </w:r>
      <w:r>
        <w:rPr>
          <w:rFonts w:ascii="Verdana" w:hAnsi="Verdana" w:cs="Arial"/>
          <w:shd w:val="clear" w:color="auto" w:fill="FFFFFF"/>
          <w:lang w:val="es-ES"/>
        </w:rPr>
        <w:t xml:space="preserve">C-963 del 28 de julio de 2025, -238 del 28 de marzo de 2025, </w:t>
      </w:r>
      <w:r w:rsidRPr="00C7728C">
        <w:rPr>
          <w:rFonts w:ascii="Verdana" w:hAnsi="Verdana" w:cs="Arial"/>
          <w:shd w:val="clear" w:color="auto" w:fill="FFFFFF"/>
          <w:lang w:val="es-ES"/>
        </w:rPr>
        <w:t>C-189 del 21 de marzo de 2025, C-1016 del 31 de diciembre de 2024, C-974 del 12 de diciembre de 2024</w:t>
      </w:r>
      <w:r w:rsidRPr="00C7728C">
        <w:rPr>
          <w:rFonts w:ascii="Verdana" w:hAnsi="Verdana" w:cs="Arial"/>
          <w:shd w:val="clear" w:color="auto" w:fill="FFFFFF"/>
        </w:rPr>
        <w:t xml:space="preserve">, C-769 del 9 de diciembre de 2024, C-713 del 7 de noviembre de 2024, C-631 de 2 de septiembre de 2024, C-047 del 25 de abril de 2024, </w:t>
      </w:r>
      <w:r w:rsidRPr="00C7728C">
        <w:rPr>
          <w:rFonts w:ascii="Verdana" w:hAnsi="Verdana" w:cs="Arial"/>
          <w:shd w:val="clear" w:color="auto" w:fill="FFFFFF"/>
          <w:lang w:val="es-ES"/>
        </w:rPr>
        <w:t xml:space="preserve">C-227 del 07 de julio del 2023, </w:t>
      </w:r>
      <w:r w:rsidRPr="00C7728C">
        <w:rPr>
          <w:rFonts w:ascii="Verdana" w:hAnsi="Verdana" w:cs="Arial"/>
          <w:shd w:val="clear" w:color="auto" w:fill="FFFFFF"/>
        </w:rPr>
        <w:t xml:space="preserve">C-140 del 13 de junio de 2023, </w:t>
      </w:r>
      <w:r w:rsidRPr="00C7728C">
        <w:rPr>
          <w:rFonts w:ascii="Verdana" w:hAnsi="Verdana" w:cs="Arial"/>
          <w:shd w:val="clear" w:color="auto" w:fill="FFFFFF"/>
          <w:lang w:val="es-ES"/>
        </w:rPr>
        <w:t>C- 720 del 25 de enero de 2022, C-528 del 5 de abril de 2021,</w:t>
      </w:r>
      <w:r w:rsidRPr="00C7728C">
        <w:rPr>
          <w:rFonts w:ascii="Verdana" w:hAnsi="Verdana" w:cs="Arial"/>
          <w:shd w:val="clear" w:color="auto" w:fill="FFFFFF"/>
        </w:rPr>
        <w:t xml:space="preserve"> entre otros</w:t>
      </w:r>
      <w:r w:rsidRPr="00C7728C">
        <w:rPr>
          <w:rFonts w:ascii="Verdana" w:hAnsi="Verdana" w:cs="Arial"/>
          <w:shd w:val="clear" w:color="auto" w:fill="FFFFFF"/>
          <w:lang w:val="es-ES"/>
        </w:rPr>
        <w:t>.</w:t>
      </w:r>
      <w:r>
        <w:rPr>
          <w:rFonts w:ascii="Verdana" w:hAnsi="Verdana" w:cs="Arial"/>
          <w:shd w:val="clear" w:color="auto" w:fill="FFFFFF"/>
        </w:rPr>
        <w:t xml:space="preserve"> E</w:t>
      </w:r>
      <w:proofErr w:type="spellStart"/>
      <w:r w:rsidRPr="00E2397D">
        <w:rPr>
          <w:rFonts w:ascii="Verdana" w:hAnsi="Verdana" w:cs="Arial"/>
          <w:shd w:val="clear" w:color="auto" w:fill="FFFFFF"/>
          <w:lang w:val="es-ES"/>
        </w:rPr>
        <w:t>stos</w:t>
      </w:r>
      <w:proofErr w:type="spellEnd"/>
      <w:r w:rsidRPr="00E2397D">
        <w:rPr>
          <w:rFonts w:ascii="Verdana" w:hAnsi="Verdana" w:cs="Arial"/>
          <w:shd w:val="clear" w:color="auto" w:fill="FFFFFF"/>
          <w:lang w:val="es-ES"/>
        </w:rPr>
        <w:t xml:space="preserve"> y otros </w:t>
      </w:r>
      <w:r w:rsidRPr="00E2397D">
        <w:rPr>
          <w:rFonts w:ascii="Verdana" w:hAnsi="Verdana"/>
        </w:rPr>
        <w:t>conceptos se encuentran disponibles para consulta en el Sistema de relatoría de la Agencia, al cual se puede acceder a través del siguiente enlace:</w:t>
      </w:r>
      <w:r w:rsidRPr="00E2397D">
        <w:rPr>
          <w:rFonts w:ascii="Verdana" w:hAnsi="Verdana" w:cs="Arial"/>
          <w:shd w:val="clear" w:color="auto" w:fill="FFFFFF"/>
        </w:rPr>
        <w:t xml:space="preserve"> </w:t>
      </w:r>
      <w:hyperlink r:id="rId14" w:history="1">
        <w:r w:rsidRPr="00E2397D">
          <w:rPr>
            <w:rFonts w:ascii="Verdana" w:hAnsi="Verdana" w:cs="Arial"/>
            <w:color w:val="0563C1" w:themeColor="hyperlink"/>
            <w:u w:val="single"/>
            <w:shd w:val="clear" w:color="auto" w:fill="FFFFFF"/>
          </w:rPr>
          <w:t>https://relatoria.colombiacompra.gov.co/busqueda/conceptos</w:t>
        </w:r>
      </w:hyperlink>
      <w:r w:rsidRPr="00E2397D">
        <w:rPr>
          <w:rFonts w:ascii="Verdana" w:hAnsi="Verdana" w:cs="Arial"/>
          <w:shd w:val="clear" w:color="auto" w:fill="FFFFFF"/>
        </w:rPr>
        <w:t>.</w:t>
      </w:r>
      <w:r w:rsidRPr="00E2397D">
        <w:rPr>
          <w:rFonts w:ascii="Verdana" w:hAnsi="Verdana" w:cs="Arial"/>
          <w:color w:val="FF0000"/>
          <w:shd w:val="clear" w:color="auto" w:fill="FFFFFF"/>
        </w:rPr>
        <w:t xml:space="preserve"> </w:t>
      </w:r>
      <w:r w:rsidRPr="00E2397D">
        <w:rPr>
          <w:rFonts w:ascii="Verdana" w:hAnsi="Verdana" w:cs="Arial"/>
          <w:color w:val="000000" w:themeColor="text1"/>
          <w:shd w:val="clear" w:color="auto" w:fill="FFFFFF"/>
        </w:rPr>
        <w:t>  </w:t>
      </w:r>
    </w:p>
    <w:p w14:paraId="2F8DE972" w14:textId="77777777" w:rsidR="004063A4" w:rsidRDefault="004063A4" w:rsidP="004063A4">
      <w:pPr>
        <w:spacing w:after="0"/>
        <w:jc w:val="both"/>
        <w:rPr>
          <w:rFonts w:ascii="Verdana" w:hAnsi="Verdana"/>
        </w:rPr>
      </w:pPr>
    </w:p>
    <w:p w14:paraId="72418663" w14:textId="77777777" w:rsidR="004063A4" w:rsidRPr="00EC0E3F" w:rsidRDefault="004063A4" w:rsidP="004063A4">
      <w:pPr>
        <w:spacing w:after="0" w:line="256" w:lineRule="auto"/>
        <w:jc w:val="both"/>
        <w:rPr>
          <w:rFonts w:ascii="Verdana" w:eastAsia="Calibri" w:hAnsi="Verdana" w:cs="Times New Roman"/>
        </w:rPr>
      </w:pPr>
      <w:r w:rsidRPr="00EC0E3F">
        <w:rPr>
          <w:rFonts w:ascii="Verdana" w:eastAsia="Calibri" w:hAnsi="Verdana" w:cs="Times New Roman"/>
        </w:rPr>
        <w:t xml:space="preserve">Te informamos que ya se encuentra disponible la </w:t>
      </w:r>
      <w:r w:rsidRPr="00EC0E3F">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C0E3F">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C0E3F">
        <w:rPr>
          <w:rFonts w:ascii="Verdana" w:eastAsia="Calibri" w:hAnsi="Verdana" w:cs="Times New Roman"/>
        </w:rPr>
        <w:t>Wayúu</w:t>
      </w:r>
      <w:proofErr w:type="spellEnd"/>
      <w:r w:rsidRPr="00EC0E3F">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56CD8B36" w14:textId="77777777" w:rsidR="004063A4" w:rsidRPr="00F36DF8" w:rsidRDefault="004063A4" w:rsidP="004063A4">
      <w:pPr>
        <w:spacing w:after="0"/>
        <w:jc w:val="both"/>
        <w:rPr>
          <w:rFonts w:ascii="Verdana" w:hAnsi="Verdana"/>
        </w:rPr>
      </w:pPr>
    </w:p>
    <w:p w14:paraId="26626B37" w14:textId="77777777" w:rsidR="004063A4" w:rsidRPr="0044528D" w:rsidRDefault="004063A4" w:rsidP="004063A4">
      <w:pPr>
        <w:spacing w:after="0"/>
        <w:jc w:val="both"/>
        <w:rPr>
          <w:rFonts w:ascii="Verdana" w:hAnsi="Verdana"/>
        </w:rPr>
      </w:pPr>
      <w:r w:rsidRPr="0044528D">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8B7D33B" w14:textId="77777777" w:rsidR="004063A4" w:rsidRPr="0044528D" w:rsidRDefault="004063A4" w:rsidP="004063A4">
      <w:pPr>
        <w:spacing w:after="0" w:line="240" w:lineRule="auto"/>
        <w:jc w:val="both"/>
        <w:rPr>
          <w:rFonts w:ascii="Verdana" w:hAnsi="Verdana"/>
        </w:rPr>
      </w:pPr>
    </w:p>
    <w:p w14:paraId="2F2F4564" w14:textId="77777777" w:rsidR="004063A4" w:rsidRPr="0044528D" w:rsidRDefault="004063A4" w:rsidP="004063A4">
      <w:pPr>
        <w:pStyle w:val="Prrafodelista"/>
        <w:numPr>
          <w:ilvl w:val="0"/>
          <w:numId w:val="15"/>
        </w:numPr>
        <w:spacing w:after="0" w:line="240" w:lineRule="auto"/>
        <w:jc w:val="both"/>
        <w:rPr>
          <w:rFonts w:ascii="Verdana" w:hAnsi="Verdana"/>
        </w:rPr>
      </w:pPr>
      <w:r w:rsidRPr="0044528D">
        <w:rPr>
          <w:rFonts w:ascii="Verdana" w:hAnsi="Verdana"/>
        </w:rPr>
        <w:t>Línea nacional gratuita o servicio a la ciudadanía: 01800 0520808</w:t>
      </w:r>
    </w:p>
    <w:p w14:paraId="4385E7B1" w14:textId="77777777" w:rsidR="004063A4" w:rsidRPr="0044528D" w:rsidRDefault="004063A4" w:rsidP="004063A4">
      <w:pPr>
        <w:pStyle w:val="Prrafodelista"/>
        <w:numPr>
          <w:ilvl w:val="0"/>
          <w:numId w:val="15"/>
        </w:numPr>
        <w:spacing w:after="0" w:line="240" w:lineRule="auto"/>
        <w:jc w:val="both"/>
        <w:rPr>
          <w:rFonts w:ascii="Verdana" w:hAnsi="Verdana"/>
        </w:rPr>
      </w:pPr>
      <w:r w:rsidRPr="0044528D">
        <w:rPr>
          <w:rFonts w:ascii="Verdana" w:hAnsi="Verdana"/>
        </w:rPr>
        <w:t>Línea en Bogotá (Mesa de servicio): +57 601 7456788</w:t>
      </w:r>
    </w:p>
    <w:p w14:paraId="03164D64" w14:textId="77777777" w:rsidR="004063A4" w:rsidRPr="0044528D" w:rsidRDefault="004063A4" w:rsidP="004063A4">
      <w:pPr>
        <w:pStyle w:val="Prrafodelista"/>
        <w:numPr>
          <w:ilvl w:val="0"/>
          <w:numId w:val="15"/>
        </w:numPr>
        <w:spacing w:after="0" w:line="240" w:lineRule="auto"/>
        <w:jc w:val="both"/>
        <w:rPr>
          <w:rFonts w:ascii="Verdana" w:hAnsi="Verdana"/>
        </w:rPr>
      </w:pPr>
      <w:r w:rsidRPr="0044528D">
        <w:rPr>
          <w:rFonts w:ascii="Verdana" w:hAnsi="Verdana"/>
        </w:rPr>
        <w:t>Línea de servicio y atención al ciudadano: +57 601 7956600</w:t>
      </w:r>
    </w:p>
    <w:p w14:paraId="09A3B1E0" w14:textId="77777777" w:rsidR="004063A4" w:rsidRPr="0044528D" w:rsidRDefault="004063A4" w:rsidP="004063A4">
      <w:pPr>
        <w:pStyle w:val="Prrafodelista"/>
        <w:numPr>
          <w:ilvl w:val="0"/>
          <w:numId w:val="15"/>
        </w:numPr>
        <w:spacing w:after="0" w:line="240" w:lineRule="auto"/>
        <w:jc w:val="both"/>
        <w:rPr>
          <w:rFonts w:ascii="Verdana" w:hAnsi="Verdana"/>
        </w:rPr>
      </w:pPr>
      <w:r w:rsidRPr="0044528D">
        <w:rPr>
          <w:rFonts w:ascii="Verdana" w:hAnsi="Verdana"/>
        </w:rPr>
        <w:t xml:space="preserve">Página web: </w:t>
      </w:r>
      <w:hyperlink r:id="rId15" w:history="1">
        <w:r w:rsidRPr="0044528D">
          <w:rPr>
            <w:rStyle w:val="Hipervnculo"/>
            <w:rFonts w:ascii="Verdana" w:hAnsi="Verdana"/>
          </w:rPr>
          <w:t>www.colombiacompra.gov.co</w:t>
        </w:r>
      </w:hyperlink>
    </w:p>
    <w:p w14:paraId="67EB88DC" w14:textId="77777777" w:rsidR="004063A4" w:rsidRPr="0044528D" w:rsidRDefault="004063A4" w:rsidP="004063A4">
      <w:pPr>
        <w:pStyle w:val="Prrafodelista"/>
        <w:spacing w:after="0" w:line="240" w:lineRule="auto"/>
        <w:ind w:left="785"/>
        <w:jc w:val="both"/>
        <w:rPr>
          <w:rFonts w:ascii="Verdana" w:hAnsi="Verdana"/>
        </w:rPr>
      </w:pPr>
    </w:p>
    <w:p w14:paraId="51EE5061" w14:textId="77777777" w:rsidR="004063A4" w:rsidRPr="0044528D" w:rsidRDefault="004063A4" w:rsidP="004063A4">
      <w:pPr>
        <w:spacing w:after="0" w:line="240" w:lineRule="auto"/>
        <w:jc w:val="both"/>
        <w:rPr>
          <w:rFonts w:ascii="Verdana" w:hAnsi="Verdana"/>
        </w:rPr>
      </w:pPr>
      <w:r w:rsidRPr="0044528D">
        <w:rPr>
          <w:rFonts w:ascii="Verdana" w:hAnsi="Verdana"/>
        </w:rPr>
        <w:t xml:space="preserve">Por último, lo invitamos a seguirnos en las redes sociales en las cuales se difunde información institucional: </w:t>
      </w:r>
    </w:p>
    <w:p w14:paraId="3E8E7C72" w14:textId="77777777" w:rsidR="004063A4" w:rsidRPr="0044528D" w:rsidRDefault="004063A4" w:rsidP="004063A4">
      <w:pPr>
        <w:spacing w:after="0" w:line="240" w:lineRule="auto"/>
        <w:jc w:val="both"/>
        <w:rPr>
          <w:rFonts w:ascii="Verdana" w:hAnsi="Verdana"/>
        </w:rPr>
      </w:pPr>
    </w:p>
    <w:p w14:paraId="7B48E7C5" w14:textId="77777777" w:rsidR="004063A4" w:rsidRPr="0044528D" w:rsidRDefault="004063A4" w:rsidP="004063A4">
      <w:pPr>
        <w:spacing w:after="0" w:line="240" w:lineRule="auto"/>
        <w:jc w:val="both"/>
        <w:rPr>
          <w:rFonts w:ascii="Verdana" w:hAnsi="Verdana"/>
        </w:rPr>
      </w:pPr>
      <w:r w:rsidRPr="0044528D">
        <w:rPr>
          <w:rFonts w:ascii="Verdana" w:hAnsi="Verdana"/>
        </w:rPr>
        <w:t xml:space="preserve">Twitter: </w:t>
      </w:r>
      <w:r w:rsidRPr="0044528D">
        <w:rPr>
          <w:rStyle w:val="Hipervnculo"/>
          <w:rFonts w:ascii="Verdana" w:hAnsi="Verdana"/>
        </w:rPr>
        <w:t>@colombiacompra</w:t>
      </w:r>
      <w:r w:rsidRPr="0044528D">
        <w:rPr>
          <w:rFonts w:ascii="Verdana" w:hAnsi="Verdana"/>
        </w:rPr>
        <w:t xml:space="preserve"> </w:t>
      </w:r>
    </w:p>
    <w:p w14:paraId="36F05FE9" w14:textId="77777777" w:rsidR="004063A4" w:rsidRPr="0044528D" w:rsidRDefault="004063A4" w:rsidP="004063A4">
      <w:pPr>
        <w:spacing w:after="0" w:line="240" w:lineRule="auto"/>
        <w:jc w:val="both"/>
        <w:rPr>
          <w:rFonts w:ascii="Verdana" w:hAnsi="Verdana"/>
        </w:rPr>
      </w:pPr>
      <w:r w:rsidRPr="0044528D">
        <w:rPr>
          <w:rFonts w:ascii="Verdana" w:hAnsi="Verdana"/>
        </w:rPr>
        <w:t xml:space="preserve">Facebook: </w:t>
      </w:r>
      <w:proofErr w:type="spellStart"/>
      <w:r w:rsidRPr="0044528D">
        <w:rPr>
          <w:rStyle w:val="Hipervnculo"/>
          <w:rFonts w:ascii="Verdana" w:hAnsi="Verdana"/>
        </w:rPr>
        <w:t>ColombiaCompraEficiente</w:t>
      </w:r>
      <w:proofErr w:type="spellEnd"/>
    </w:p>
    <w:p w14:paraId="3E9C447D" w14:textId="77777777" w:rsidR="004063A4" w:rsidRPr="0044528D" w:rsidRDefault="004063A4" w:rsidP="004063A4">
      <w:pPr>
        <w:spacing w:after="0" w:line="240" w:lineRule="auto"/>
        <w:jc w:val="both"/>
        <w:rPr>
          <w:rFonts w:ascii="Verdana" w:hAnsi="Verdana"/>
        </w:rPr>
      </w:pPr>
      <w:r w:rsidRPr="0044528D">
        <w:rPr>
          <w:rFonts w:ascii="Verdana" w:hAnsi="Verdana"/>
        </w:rPr>
        <w:t xml:space="preserve">LinkedIn: </w:t>
      </w:r>
      <w:r w:rsidRPr="0044528D">
        <w:rPr>
          <w:rStyle w:val="Hipervnculo"/>
          <w:rFonts w:ascii="Verdana" w:hAnsi="Verdana"/>
        </w:rPr>
        <w:t>Agencia Nacional de Contratación Pública - Colombia Compra Eficiente</w:t>
      </w:r>
      <w:r w:rsidRPr="0044528D">
        <w:rPr>
          <w:rFonts w:ascii="Verdana" w:hAnsi="Verdana"/>
        </w:rPr>
        <w:t xml:space="preserve"> Instagram: </w:t>
      </w:r>
      <w:r w:rsidRPr="0044528D">
        <w:rPr>
          <w:rStyle w:val="Hipervnculo"/>
          <w:rFonts w:ascii="Verdana" w:hAnsi="Verdana"/>
        </w:rPr>
        <w:t>@colombiacompraeficiente_cce</w:t>
      </w:r>
    </w:p>
    <w:p w14:paraId="0BFC36E5" w14:textId="77777777" w:rsidR="004063A4" w:rsidRPr="0044528D" w:rsidRDefault="004063A4" w:rsidP="004063A4">
      <w:pPr>
        <w:spacing w:after="0" w:line="240" w:lineRule="auto"/>
        <w:jc w:val="both"/>
        <w:rPr>
          <w:rFonts w:ascii="Verdana" w:hAnsi="Verdana"/>
        </w:rPr>
      </w:pPr>
    </w:p>
    <w:p w14:paraId="65D2AD9B" w14:textId="77777777" w:rsidR="004063A4" w:rsidRPr="00185EE9" w:rsidRDefault="004063A4" w:rsidP="004063A4">
      <w:pPr>
        <w:spacing w:after="0" w:line="25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E5AF8E9" w14:textId="77777777" w:rsidR="004063A4" w:rsidRPr="00185EE9" w:rsidRDefault="004063A4" w:rsidP="004063A4">
      <w:pPr>
        <w:spacing w:after="0" w:line="256" w:lineRule="auto"/>
        <w:jc w:val="both"/>
        <w:rPr>
          <w:rFonts w:ascii="Verdana" w:eastAsia="Calibri" w:hAnsi="Verdana" w:cs="Times New Roman"/>
        </w:rPr>
      </w:pPr>
    </w:p>
    <w:p w14:paraId="5AD6BE8B" w14:textId="1B394753" w:rsidR="004063A4" w:rsidRPr="001B25AB" w:rsidRDefault="004063A4" w:rsidP="004063A4">
      <w:pPr>
        <w:spacing w:after="0" w:line="256" w:lineRule="auto"/>
        <w:jc w:val="both"/>
        <w:rPr>
          <w:rFonts w:ascii="Verdana" w:eastAsia="Calibri" w:hAnsi="Verdana" w:cs="Times New Roman"/>
        </w:rPr>
      </w:pPr>
      <w:r w:rsidRPr="00185EE9">
        <w:rPr>
          <w:rFonts w:ascii="Verdana" w:eastAsia="Calibri" w:hAnsi="Verdana" w:cs="Times New Roman"/>
        </w:rPr>
        <w:t>Atentamente,</w:t>
      </w:r>
    </w:p>
    <w:p w14:paraId="7B58BD2C" w14:textId="5AC79EC8" w:rsidR="004063A4" w:rsidRPr="00DA7C87" w:rsidRDefault="0034209E" w:rsidP="004063A4">
      <w:pPr>
        <w:spacing w:after="0" w:line="256" w:lineRule="auto"/>
        <w:jc w:val="center"/>
        <w:rPr>
          <w:rFonts w:ascii="Century Gothic" w:hAnsi="Century Gothic"/>
          <w:noProof/>
          <w:lang w:val="en-US"/>
        </w:rPr>
      </w:pPr>
      <w:r w:rsidRPr="002C3AD6">
        <w:rPr>
          <w:rFonts w:ascii="Century Gothic" w:hAnsi="Century Gothic"/>
          <w:noProof/>
        </w:rPr>
        <w:drawing>
          <wp:inline distT="0" distB="0" distL="0" distR="0" wp14:anchorId="37235378" wp14:editId="6146034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165E49A8" w14:textId="77777777" w:rsidR="004063A4" w:rsidRPr="00DA7C87" w:rsidRDefault="004063A4" w:rsidP="004063A4">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4063A4" w:rsidRPr="00DA7C87" w14:paraId="7A80E794" w14:textId="77777777" w:rsidTr="00C24266">
        <w:trPr>
          <w:trHeight w:val="409"/>
        </w:trPr>
        <w:tc>
          <w:tcPr>
            <w:tcW w:w="817" w:type="dxa"/>
            <w:tcBorders>
              <w:top w:val="nil"/>
              <w:left w:val="nil"/>
              <w:bottom w:val="nil"/>
              <w:right w:val="nil"/>
            </w:tcBorders>
            <w:vAlign w:val="center"/>
            <w:hideMark/>
          </w:tcPr>
          <w:p w14:paraId="3A3C717F"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BDAE935" w14:textId="4E6CD396" w:rsidR="004063A4" w:rsidRPr="00DA7C87" w:rsidRDefault="002515D8" w:rsidP="00C24266">
            <w:pPr>
              <w:spacing w:after="0"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58316873"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Contratista de la Subdirección de Gestión Contractual</w:t>
            </w:r>
          </w:p>
        </w:tc>
      </w:tr>
      <w:tr w:rsidR="004063A4" w:rsidRPr="00DA7C87" w14:paraId="2F4A1CA9" w14:textId="77777777" w:rsidTr="00C24266">
        <w:trPr>
          <w:trHeight w:val="409"/>
        </w:trPr>
        <w:tc>
          <w:tcPr>
            <w:tcW w:w="817" w:type="dxa"/>
            <w:tcBorders>
              <w:top w:val="nil"/>
              <w:left w:val="nil"/>
              <w:bottom w:val="nil"/>
              <w:right w:val="nil"/>
            </w:tcBorders>
            <w:vAlign w:val="center"/>
            <w:hideMark/>
          </w:tcPr>
          <w:p w14:paraId="3E4116DF"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2173776" w14:textId="159B4E25" w:rsidR="004063A4" w:rsidRPr="00DA7C87" w:rsidRDefault="002515D8" w:rsidP="00C24266">
            <w:pPr>
              <w:spacing w:after="0" w:line="256" w:lineRule="auto"/>
              <w:rPr>
                <w:rFonts w:ascii="Verdana" w:eastAsia="Calibri" w:hAnsi="Verdana" w:cs="Times New Roman"/>
                <w:sz w:val="16"/>
                <w:szCs w:val="16"/>
              </w:rPr>
            </w:pPr>
            <w:r>
              <w:rPr>
                <w:rFonts w:ascii="Verdana" w:eastAsia="Calibri" w:hAnsi="Verdana" w:cs="Times New Roman"/>
                <w:sz w:val="16"/>
                <w:szCs w:val="16"/>
              </w:rPr>
              <w:t xml:space="preserve">Juan Carlos González </w:t>
            </w:r>
            <w:proofErr w:type="spellStart"/>
            <w:r>
              <w:rPr>
                <w:rFonts w:ascii="Verdana" w:eastAsia="Calibri" w:hAnsi="Verdana" w:cs="Times New Roman"/>
                <w:sz w:val="16"/>
                <w:szCs w:val="16"/>
              </w:rPr>
              <w:t>Vasquez</w:t>
            </w:r>
            <w:proofErr w:type="spellEnd"/>
          </w:p>
          <w:p w14:paraId="2FB78A87"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Gestor T1-15 de la Subdirección de Gestión Contractual </w:t>
            </w:r>
          </w:p>
        </w:tc>
      </w:tr>
      <w:tr w:rsidR="004063A4" w:rsidRPr="00DA7C87" w14:paraId="05599810" w14:textId="77777777" w:rsidTr="00C24266">
        <w:trPr>
          <w:trHeight w:val="389"/>
        </w:trPr>
        <w:tc>
          <w:tcPr>
            <w:tcW w:w="817" w:type="dxa"/>
            <w:tcBorders>
              <w:top w:val="nil"/>
              <w:left w:val="nil"/>
              <w:bottom w:val="nil"/>
              <w:right w:val="nil"/>
            </w:tcBorders>
            <w:vAlign w:val="center"/>
            <w:hideMark/>
          </w:tcPr>
          <w:p w14:paraId="493A3B0A"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9F7B896"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 xml:space="preserve">Carolina Quintero </w:t>
            </w:r>
            <w:proofErr w:type="spellStart"/>
            <w:r w:rsidRPr="00DA7C87">
              <w:rPr>
                <w:rFonts w:ascii="Verdana" w:eastAsia="Calibri" w:hAnsi="Verdana" w:cs="Times New Roman"/>
                <w:sz w:val="16"/>
                <w:szCs w:val="16"/>
              </w:rPr>
              <w:t>Gacharná</w:t>
            </w:r>
            <w:proofErr w:type="spellEnd"/>
          </w:p>
          <w:p w14:paraId="0F71370D"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Subdirectora de Gestión Contractual ANCP – CCE</w:t>
            </w:r>
          </w:p>
        </w:tc>
      </w:tr>
      <w:bookmarkEnd w:id="0"/>
    </w:tbl>
    <w:p w14:paraId="7FC84BA9" w14:textId="7E8BA6D5" w:rsidR="00F00796" w:rsidRPr="004063A4" w:rsidRDefault="00F00796" w:rsidP="00EF38AE">
      <w:pPr>
        <w:rPr>
          <w:lang w:val="es-ES"/>
        </w:rPr>
      </w:pPr>
    </w:p>
    <w:sectPr w:rsidR="00F00796" w:rsidRPr="004063A4"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0AFE4E" w14:textId="77777777" w:rsidR="001813DF" w:rsidRDefault="001813DF" w:rsidP="004A1847">
      <w:pPr>
        <w:spacing w:after="0" w:line="240" w:lineRule="auto"/>
      </w:pPr>
      <w:r>
        <w:separator/>
      </w:r>
    </w:p>
  </w:endnote>
  <w:endnote w:type="continuationSeparator" w:id="0">
    <w:p w14:paraId="7FD84017" w14:textId="77777777" w:rsidR="001813DF" w:rsidRDefault="001813DF" w:rsidP="004A1847">
      <w:pPr>
        <w:spacing w:after="0" w:line="240" w:lineRule="auto"/>
      </w:pPr>
      <w:r>
        <w:continuationSeparator/>
      </w:r>
    </w:p>
  </w:endnote>
  <w:endnote w:type="continuationNotice" w:id="1">
    <w:p w14:paraId="26EFC245" w14:textId="77777777" w:rsidR="001813DF" w:rsidRDefault="001813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291E5A" w:rsidRDefault="00291E5A">
    <w:pPr>
      <w:pStyle w:val="Piedepgina"/>
    </w:pPr>
  </w:p>
  <w:p w14:paraId="594D6D9F" w14:textId="732A59CD" w:rsidR="00291E5A" w:rsidRPr="00174B77" w:rsidRDefault="00291E5A"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001882" w:rsidRPr="00001882">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291E5A" w:rsidRDefault="00291E5A"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291E5A" w:rsidRPr="00E41027" w:rsidRDefault="00291E5A"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291E5A" w:rsidRDefault="00291E5A"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45B529" w14:textId="77777777" w:rsidR="001813DF" w:rsidRDefault="001813DF" w:rsidP="004A1847">
      <w:pPr>
        <w:spacing w:after="0" w:line="240" w:lineRule="auto"/>
      </w:pPr>
      <w:r>
        <w:separator/>
      </w:r>
    </w:p>
  </w:footnote>
  <w:footnote w:type="continuationSeparator" w:id="0">
    <w:p w14:paraId="50B8BF2D" w14:textId="77777777" w:rsidR="001813DF" w:rsidRDefault="001813DF" w:rsidP="004A1847">
      <w:pPr>
        <w:spacing w:after="0" w:line="240" w:lineRule="auto"/>
      </w:pPr>
      <w:r>
        <w:continuationSeparator/>
      </w:r>
    </w:p>
  </w:footnote>
  <w:footnote w:type="continuationNotice" w:id="1">
    <w:p w14:paraId="224EA10A" w14:textId="77777777" w:rsidR="001813DF" w:rsidRDefault="001813DF">
      <w:pPr>
        <w:spacing w:after="0" w:line="240" w:lineRule="auto"/>
      </w:pPr>
    </w:p>
  </w:footnote>
  <w:footnote w:id="2">
    <w:p w14:paraId="26AB8260" w14:textId="77777777" w:rsidR="004063A4" w:rsidRPr="00E560BD" w:rsidRDefault="004063A4" w:rsidP="004063A4">
      <w:pPr>
        <w:pStyle w:val="Textonotapie"/>
        <w:ind w:firstLine="708"/>
        <w:jc w:val="both"/>
        <w:rPr>
          <w:rFonts w:ascii="Verdana" w:hAnsi="Verdana" w:cs="Arial"/>
          <w:sz w:val="16"/>
          <w:szCs w:val="16"/>
        </w:rPr>
      </w:pPr>
      <w:r w:rsidRPr="00E560BD">
        <w:rPr>
          <w:rStyle w:val="Refdenotaalpie"/>
          <w:rFonts w:ascii="Verdana" w:hAnsi="Verdana" w:cs="Arial"/>
          <w:sz w:val="16"/>
          <w:szCs w:val="16"/>
        </w:rPr>
        <w:footnoteRef/>
      </w:r>
      <w:r w:rsidRPr="00BE61A1">
        <w:rPr>
          <w:rFonts w:ascii="Verdana" w:hAnsi="Verdana" w:cs="Arial"/>
          <w:sz w:val="16"/>
          <w:szCs w:val="16"/>
          <w:lang w:val="pt-BR"/>
        </w:rPr>
        <w:t xml:space="preserve"> CORTE CONSTITUCIONAL. Sentencia C-034 de 2014. </w:t>
      </w:r>
      <w:r w:rsidRPr="00E560BD">
        <w:rPr>
          <w:rFonts w:ascii="Verdana" w:hAnsi="Verdana" w:cs="Arial"/>
          <w:sz w:val="16"/>
          <w:szCs w:val="16"/>
        </w:rPr>
        <w:t xml:space="preserve">M.P. María Victoria Calle Correa. </w:t>
      </w:r>
    </w:p>
  </w:footnote>
  <w:footnote w:id="3">
    <w:p w14:paraId="1CB57751" w14:textId="77777777" w:rsidR="004063A4" w:rsidRPr="00BE61A1" w:rsidRDefault="004063A4" w:rsidP="004063A4">
      <w:pPr>
        <w:pStyle w:val="Textonotapie"/>
        <w:ind w:firstLine="708"/>
        <w:jc w:val="both"/>
        <w:rPr>
          <w:rFonts w:ascii="Verdana" w:hAnsi="Verdana" w:cs="Arial"/>
          <w:sz w:val="16"/>
          <w:szCs w:val="16"/>
          <w:lang w:val="pt-BR"/>
        </w:rPr>
      </w:pPr>
      <w:r w:rsidRPr="00E560BD">
        <w:rPr>
          <w:rStyle w:val="Refdenotaalpie"/>
          <w:rFonts w:ascii="Verdana" w:hAnsi="Verdana" w:cs="Arial"/>
          <w:sz w:val="16"/>
          <w:szCs w:val="16"/>
        </w:rPr>
        <w:footnoteRef/>
      </w:r>
      <w:r w:rsidRPr="00BE61A1">
        <w:rPr>
          <w:rFonts w:ascii="Verdana" w:hAnsi="Verdana" w:cs="Arial"/>
          <w:sz w:val="16"/>
          <w:szCs w:val="16"/>
          <w:lang w:val="pt-BR"/>
        </w:rPr>
        <w:t xml:space="preserve">  </w:t>
      </w:r>
      <w:r w:rsidRPr="00BE61A1">
        <w:rPr>
          <w:rFonts w:ascii="Verdana" w:hAnsi="Verdana" w:cs="Arial"/>
          <w:i/>
          <w:iCs/>
          <w:sz w:val="16"/>
          <w:szCs w:val="16"/>
          <w:lang w:val="pt-BR"/>
        </w:rPr>
        <w:t>Ibídem</w:t>
      </w:r>
      <w:r w:rsidRPr="00BE61A1">
        <w:rPr>
          <w:rFonts w:ascii="Verdana" w:hAnsi="Verdana" w:cs="Arial"/>
          <w:sz w:val="16"/>
          <w:szCs w:val="16"/>
          <w:lang w:val="pt-BR"/>
        </w:rPr>
        <w:t xml:space="preserve">. </w:t>
      </w:r>
    </w:p>
  </w:footnote>
  <w:footnote w:id="4">
    <w:p w14:paraId="70B02CAE" w14:textId="4CF82272" w:rsidR="004063A4" w:rsidRPr="001B25AB" w:rsidRDefault="004063A4" w:rsidP="004063A4">
      <w:pPr>
        <w:pStyle w:val="Textonotapie"/>
        <w:ind w:firstLine="708"/>
        <w:jc w:val="both"/>
        <w:rPr>
          <w:rFonts w:ascii="Verdana" w:hAnsi="Verdana" w:cs="Arial"/>
          <w:sz w:val="16"/>
          <w:szCs w:val="16"/>
        </w:rPr>
      </w:pPr>
      <w:r w:rsidRPr="001B25AB">
        <w:rPr>
          <w:rStyle w:val="Refdenotaalpie"/>
          <w:rFonts w:ascii="Verdana" w:hAnsi="Verdana" w:cs="Arial"/>
          <w:sz w:val="16"/>
          <w:szCs w:val="16"/>
        </w:rPr>
        <w:footnoteRef/>
      </w:r>
      <w:r w:rsidRPr="00BE61A1">
        <w:rPr>
          <w:rFonts w:ascii="Verdana" w:hAnsi="Verdana" w:cs="Arial"/>
          <w:sz w:val="16"/>
          <w:szCs w:val="16"/>
          <w:lang w:val="pt-BR"/>
        </w:rPr>
        <w:t xml:space="preserve"> CORTE CONSTITUCIONAL. Sentencia C-640 de 2002. </w:t>
      </w:r>
      <w:r w:rsidRPr="001B25AB">
        <w:rPr>
          <w:rFonts w:ascii="Verdana" w:hAnsi="Verdana" w:cs="Arial"/>
          <w:sz w:val="16"/>
          <w:szCs w:val="16"/>
        </w:rPr>
        <w:t>M.P. Marco Gerardo Monroy Cabra.</w:t>
      </w:r>
    </w:p>
  </w:footnote>
  <w:footnote w:id="5">
    <w:p w14:paraId="22A77600" w14:textId="60D76692" w:rsidR="004063A4" w:rsidRPr="001B25AB" w:rsidRDefault="004063A4" w:rsidP="004063A4">
      <w:pPr>
        <w:pStyle w:val="Textonotapie"/>
        <w:ind w:firstLine="708"/>
        <w:jc w:val="both"/>
        <w:rPr>
          <w:rFonts w:ascii="Verdana" w:hAnsi="Verdana" w:cs="Arial"/>
          <w:sz w:val="16"/>
          <w:szCs w:val="16"/>
        </w:rPr>
      </w:pPr>
      <w:r w:rsidRPr="001B25AB">
        <w:rPr>
          <w:rStyle w:val="Refdenotaalpie"/>
          <w:rFonts w:ascii="Verdana" w:hAnsi="Verdana" w:cs="Arial"/>
          <w:sz w:val="16"/>
          <w:szCs w:val="16"/>
        </w:rPr>
        <w:footnoteRef/>
      </w:r>
      <w:r w:rsidRPr="001B25AB">
        <w:rPr>
          <w:rFonts w:ascii="Verdana" w:hAnsi="Verdana" w:cs="Arial"/>
          <w:sz w:val="16"/>
          <w:szCs w:val="16"/>
        </w:rPr>
        <w:t xml:space="preserve"> El artículo 17, inciso primero, de la Ley 1150 de 2007 dispone lo siguiente: “El debido proceso será un principio rector en materia sancionatoria de las actuaciones contractuales. En desarrollo de lo anterior y del deber de control y vigilancia sobre los contratos que corresponde a las entidades sometidas al Estatuto General de Contratación de la Administración Pública, tendrán la facultad de imponer las multas que hayan sido pactadas con el objeto de conminar al contratista a cumplir con sus obligaciones. Esta decisión deberá estar precedida de audiencia del afectado que deberá tener un procedimiento mínimo que garantice el derecho al debido proceso del contratista y procede sólo mientras se halle pendiente la ejecución de las obligaciones a cargo del contratista. Así mismo podrán declarar el incumplimiento con el propósito de hacer efectiva la cláusula penal pecuniaria incluida en el contrato”.</w:t>
      </w:r>
    </w:p>
  </w:footnote>
  <w:footnote w:id="6">
    <w:p w14:paraId="354C0B72" w14:textId="4AD98ACA" w:rsidR="004063A4" w:rsidRPr="004063A4" w:rsidRDefault="004063A4" w:rsidP="004063A4">
      <w:pPr>
        <w:pStyle w:val="Textonotapie"/>
        <w:ind w:firstLine="708"/>
        <w:jc w:val="both"/>
        <w:rPr>
          <w:rStyle w:val="Refdenotaalpie"/>
          <w:rFonts w:ascii="Verdana" w:hAnsi="Verdana" w:cs="Arial"/>
          <w:sz w:val="16"/>
          <w:szCs w:val="16"/>
          <w:vertAlign w:val="baseline"/>
          <w:lang w:val="pt-BR"/>
        </w:rPr>
      </w:pPr>
      <w:r w:rsidRPr="001B25AB">
        <w:rPr>
          <w:rStyle w:val="Refdenotaalpie"/>
          <w:rFonts w:ascii="Verdana" w:hAnsi="Verdana" w:cs="Arial"/>
          <w:sz w:val="16"/>
          <w:szCs w:val="16"/>
        </w:rPr>
        <w:footnoteRef/>
      </w:r>
      <w:r w:rsidRPr="001B25AB">
        <w:rPr>
          <w:rStyle w:val="Refdenotaalpie"/>
          <w:rFonts w:ascii="Verdana" w:hAnsi="Verdana" w:cs="Arial"/>
          <w:sz w:val="16"/>
          <w:szCs w:val="16"/>
        </w:rPr>
        <w:t xml:space="preserve">  </w:t>
      </w:r>
      <w:r w:rsidRPr="001B25AB">
        <w:rPr>
          <w:rFonts w:ascii="Verdana" w:hAnsi="Verdana" w:cs="Arial"/>
          <w:sz w:val="16"/>
          <w:szCs w:val="16"/>
        </w:rPr>
        <w:t xml:space="preserve">CONSEJO DE ESTADO. Sección Tercera. Subsección B. Sentencia de 30 de enero de 2013. </w:t>
      </w:r>
      <w:r w:rsidRPr="00BE61A1">
        <w:rPr>
          <w:rFonts w:ascii="Verdana" w:hAnsi="Verdana" w:cs="Arial"/>
          <w:sz w:val="16"/>
          <w:szCs w:val="16"/>
          <w:lang w:val="pt-BR"/>
        </w:rPr>
        <w:t xml:space="preserve">Exp. 24.743. C.P. Danilo Rojas Betancourth. </w:t>
      </w:r>
    </w:p>
  </w:footnote>
  <w:footnote w:id="7">
    <w:p w14:paraId="415FF260" w14:textId="77777777" w:rsidR="004063A4" w:rsidRDefault="004063A4" w:rsidP="004063A4">
      <w:pPr>
        <w:pStyle w:val="Textonotapie"/>
        <w:ind w:firstLine="708"/>
        <w:jc w:val="both"/>
        <w:rPr>
          <w:rFonts w:ascii="Verdana" w:hAnsi="Verdana" w:cs="Arial"/>
          <w:sz w:val="16"/>
          <w:szCs w:val="16"/>
          <w:lang w:val="pt-BR"/>
        </w:rPr>
      </w:pPr>
      <w:r w:rsidRPr="001B25AB">
        <w:rPr>
          <w:rStyle w:val="Refdenotaalpie"/>
          <w:rFonts w:ascii="Verdana" w:hAnsi="Verdana" w:cs="Arial"/>
          <w:sz w:val="16"/>
          <w:szCs w:val="16"/>
        </w:rPr>
        <w:footnoteRef/>
      </w:r>
      <w:r w:rsidRPr="00BE61A1">
        <w:rPr>
          <w:rFonts w:ascii="Verdana" w:hAnsi="Verdana" w:cs="Arial"/>
          <w:sz w:val="16"/>
          <w:szCs w:val="16"/>
          <w:lang w:val="pt-BR"/>
        </w:rPr>
        <w:t xml:space="preserve"> </w:t>
      </w:r>
      <w:r w:rsidRPr="00BE61A1">
        <w:rPr>
          <w:rFonts w:ascii="Verdana" w:hAnsi="Verdana" w:cs="Arial"/>
          <w:i/>
          <w:iCs/>
          <w:sz w:val="16"/>
          <w:szCs w:val="16"/>
          <w:lang w:val="pt-BR"/>
        </w:rPr>
        <w:t>Ibídem</w:t>
      </w:r>
      <w:r w:rsidRPr="00BE61A1">
        <w:rPr>
          <w:rFonts w:ascii="Verdana" w:hAnsi="Verdana" w:cs="Arial"/>
          <w:sz w:val="16"/>
          <w:szCs w:val="16"/>
          <w:lang w:val="pt-BR"/>
        </w:rPr>
        <w:t>.</w:t>
      </w:r>
    </w:p>
    <w:p w14:paraId="18E21E2D" w14:textId="77777777" w:rsidR="004063A4" w:rsidRPr="00BE61A1" w:rsidRDefault="004063A4" w:rsidP="004063A4">
      <w:pPr>
        <w:pStyle w:val="Textonotapie"/>
        <w:ind w:firstLine="708"/>
        <w:jc w:val="both"/>
        <w:rPr>
          <w:rFonts w:ascii="Verdana" w:hAnsi="Verdana" w:cs="Arial"/>
          <w:sz w:val="16"/>
          <w:szCs w:val="16"/>
          <w:lang w:val="pt-BR"/>
        </w:rPr>
      </w:pPr>
      <w:r w:rsidRPr="00BE61A1">
        <w:rPr>
          <w:rFonts w:ascii="Verdana" w:hAnsi="Verdana" w:cs="Arial"/>
          <w:sz w:val="16"/>
          <w:szCs w:val="16"/>
          <w:lang w:val="pt-BR"/>
        </w:rPr>
        <w:t xml:space="preserve">  </w:t>
      </w:r>
    </w:p>
  </w:footnote>
  <w:footnote w:id="8">
    <w:p w14:paraId="35AC5AE5" w14:textId="77777777" w:rsidR="004063A4" w:rsidRPr="001B25AB" w:rsidRDefault="004063A4" w:rsidP="004063A4">
      <w:pPr>
        <w:pStyle w:val="Textonotapie"/>
        <w:ind w:firstLine="709"/>
        <w:jc w:val="both"/>
        <w:rPr>
          <w:rFonts w:ascii="Verdana" w:hAnsi="Verdana" w:cs="Arial"/>
          <w:color w:val="000000"/>
          <w:sz w:val="16"/>
          <w:szCs w:val="16"/>
        </w:rPr>
      </w:pPr>
      <w:r w:rsidRPr="001B25AB">
        <w:rPr>
          <w:rStyle w:val="Refdenotaalpie"/>
          <w:rFonts w:ascii="Verdana" w:hAnsi="Verdana" w:cs="Arial"/>
          <w:color w:val="000000"/>
          <w:sz w:val="16"/>
          <w:szCs w:val="16"/>
        </w:rPr>
        <w:footnoteRef/>
      </w:r>
      <w:r w:rsidRPr="00BE61A1">
        <w:rPr>
          <w:rFonts w:ascii="Verdana" w:hAnsi="Verdana" w:cs="Arial"/>
          <w:color w:val="000000"/>
          <w:sz w:val="16"/>
          <w:szCs w:val="16"/>
          <w:lang w:val="pt-BR"/>
        </w:rPr>
        <w:t xml:space="preserve"> CORTE CONSTITUCIONAL. Sentencia C-317 de 2012. </w:t>
      </w:r>
      <w:r w:rsidRPr="001B25AB">
        <w:rPr>
          <w:rFonts w:ascii="Verdana" w:hAnsi="Verdana" w:cs="Arial"/>
          <w:color w:val="000000"/>
          <w:sz w:val="16"/>
          <w:szCs w:val="16"/>
        </w:rPr>
        <w:t xml:space="preserve">M.P. María Victoria Calle Correa.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291E5A" w:rsidRDefault="00291E5A">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291E5A" w:rsidRDefault="00291E5A">
    <w:pPr>
      <w:pStyle w:val="Encabezado"/>
    </w:pPr>
  </w:p>
  <w:p w14:paraId="3079FC11" w14:textId="77777777" w:rsidR="00291E5A" w:rsidRDefault="00291E5A" w:rsidP="004A305D">
    <w:pPr>
      <w:spacing w:after="0"/>
      <w:rPr>
        <w:rFonts w:ascii="Verdana" w:hAnsi="Verdana"/>
        <w:b/>
        <w:bCs/>
      </w:rPr>
    </w:pPr>
  </w:p>
  <w:p w14:paraId="5E18350A" w14:textId="705F7B76" w:rsidR="00291E5A" w:rsidRPr="004A305D" w:rsidRDefault="00291E5A" w:rsidP="00B01B1A">
    <w:pPr>
      <w:spacing w:after="0" w:line="120" w:lineRule="auto"/>
      <w:rPr>
        <w:rFonts w:ascii="Century Gothic" w:eastAsia="Geo" w:hAnsi="Century Gothic" w:cs="Geo"/>
        <w:sz w:val="16"/>
        <w:szCs w:val="16"/>
        <w:lang w:eastAsia="es-CO"/>
      </w:rPr>
    </w:pPr>
  </w:p>
  <w:p w14:paraId="1FD1C243" w14:textId="6D74A3CF" w:rsidR="00291E5A" w:rsidRDefault="00291E5A"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11.5pt;height:11.5pt" o:bullet="t">
        <v:imagedata r:id="rId1" o:title="mso1B13"/>
      </v:shape>
    </w:pict>
  </w:numPicBullet>
  <w:abstractNum w:abstractNumId="0" w15:restartNumberingAfterBreak="0">
    <w:nsid w:val="C106FD55"/>
    <w:multiLevelType w:val="hybridMultilevel"/>
    <w:tmpl w:val="8994ABC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EB70DFB"/>
    <w:multiLevelType w:val="hybridMultilevel"/>
    <w:tmpl w:val="0EAD77C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3"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0B64EC"/>
    <w:multiLevelType w:val="hybridMultilevel"/>
    <w:tmpl w:val="DC66CC38"/>
    <w:lvl w:ilvl="0" w:tplc="63D44D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70783B2"/>
    <w:multiLevelType w:val="hybridMultilevel"/>
    <w:tmpl w:val="949ED62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6" w15:restartNumberingAfterBreak="0">
    <w:nsid w:val="59305EB6"/>
    <w:multiLevelType w:val="hybridMultilevel"/>
    <w:tmpl w:val="DBE44984"/>
    <w:lvl w:ilvl="0" w:tplc="BF8E533E">
      <w:start w:val="1"/>
      <w:numFmt w:val="decimal"/>
      <w:lvlText w:val="%1."/>
      <w:lvlJc w:val="left"/>
      <w:pPr>
        <w:ind w:left="1084" w:hanging="375"/>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7" w15:restartNumberingAfterBreak="0">
    <w:nsid w:val="59642751"/>
    <w:multiLevelType w:val="multilevel"/>
    <w:tmpl w:val="2C12214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AB17DA7"/>
    <w:multiLevelType w:val="hybridMultilevel"/>
    <w:tmpl w:val="920C6EDC"/>
    <w:lvl w:ilvl="0" w:tplc="A6C42E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 w15:restartNumberingAfterBreak="0">
    <w:nsid w:val="5F5829CA"/>
    <w:multiLevelType w:val="hybridMultilevel"/>
    <w:tmpl w:val="1EA9E0D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61954A89"/>
    <w:multiLevelType w:val="multilevel"/>
    <w:tmpl w:val="53427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abstractNumId w:val="16"/>
  </w:num>
  <w:num w:numId="2">
    <w:abstractNumId w:val="5"/>
  </w:num>
  <w:num w:numId="3">
    <w:abstractNumId w:val="14"/>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35"/>
  </w:num>
  <w:num w:numId="7">
    <w:abstractNumId w:val="15"/>
  </w:num>
  <w:num w:numId="8">
    <w:abstractNumId w:val="34"/>
  </w:num>
  <w:num w:numId="9">
    <w:abstractNumId w:val="17"/>
  </w:num>
  <w:num w:numId="10">
    <w:abstractNumId w:val="33"/>
  </w:num>
  <w:num w:numId="11">
    <w:abstractNumId w:val="18"/>
  </w:num>
  <w:num w:numId="12">
    <w:abstractNumId w:val="3"/>
  </w:num>
  <w:num w:numId="13">
    <w:abstractNumId w:val="10"/>
  </w:num>
  <w:num w:numId="14">
    <w:abstractNumId w:val="36"/>
  </w:num>
  <w:num w:numId="15">
    <w:abstractNumId w:val="32"/>
  </w:num>
  <w:num w:numId="16">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29"/>
  </w:num>
  <w:num w:numId="19">
    <w:abstractNumId w:val="13"/>
  </w:num>
  <w:num w:numId="20">
    <w:abstractNumId w:val="19"/>
  </w:num>
  <w:num w:numId="21">
    <w:abstractNumId w:val="38"/>
  </w:num>
  <w:num w:numId="22">
    <w:abstractNumId w:val="22"/>
  </w:num>
  <w:num w:numId="23">
    <w:abstractNumId w:val="9"/>
  </w:num>
  <w:num w:numId="24">
    <w:abstractNumId w:val="20"/>
  </w:num>
  <w:num w:numId="25">
    <w:abstractNumId w:val="4"/>
  </w:num>
  <w:num w:numId="26">
    <w:abstractNumId w:val="7"/>
  </w:num>
  <w:num w:numId="27">
    <w:abstractNumId w:val="24"/>
  </w:num>
  <w:num w:numId="28">
    <w:abstractNumId w:val="8"/>
  </w:num>
  <w:num w:numId="29">
    <w:abstractNumId w:val="12"/>
  </w:num>
  <w:num w:numId="30">
    <w:abstractNumId w:val="2"/>
  </w:num>
  <w:num w:numId="31">
    <w:abstractNumId w:val="21"/>
  </w:num>
  <w:num w:numId="32">
    <w:abstractNumId w:val="25"/>
  </w:num>
  <w:num w:numId="33">
    <w:abstractNumId w:val="28"/>
  </w:num>
  <w:num w:numId="34">
    <w:abstractNumId w:val="11"/>
  </w:num>
  <w:num w:numId="35">
    <w:abstractNumId w:val="27"/>
  </w:num>
  <w:num w:numId="36">
    <w:abstractNumId w:val="0"/>
  </w:num>
  <w:num w:numId="37">
    <w:abstractNumId w:val="23"/>
  </w:num>
  <w:num w:numId="38">
    <w:abstractNumId w:val="1"/>
  </w:num>
  <w:num w:numId="39">
    <w:abstractNumId w:val="30"/>
  </w:num>
  <w:num w:numId="40">
    <w:abstractNumId w:val="37"/>
  </w:num>
  <w:num w:numId="41">
    <w:abstractNumId w:val="26"/>
  </w:num>
  <w:num w:numId="4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1882"/>
    <w:rsid w:val="00002A24"/>
    <w:rsid w:val="000039A2"/>
    <w:rsid w:val="000062F3"/>
    <w:rsid w:val="0000797D"/>
    <w:rsid w:val="00007D41"/>
    <w:rsid w:val="0001328B"/>
    <w:rsid w:val="000224F2"/>
    <w:rsid w:val="00023C3E"/>
    <w:rsid w:val="0002653B"/>
    <w:rsid w:val="00034682"/>
    <w:rsid w:val="000352BA"/>
    <w:rsid w:val="00035E21"/>
    <w:rsid w:val="00042856"/>
    <w:rsid w:val="0004434A"/>
    <w:rsid w:val="0005281E"/>
    <w:rsid w:val="00055421"/>
    <w:rsid w:val="000560C1"/>
    <w:rsid w:val="0005682C"/>
    <w:rsid w:val="00056D71"/>
    <w:rsid w:val="00061B2A"/>
    <w:rsid w:val="00062BAF"/>
    <w:rsid w:val="000630B9"/>
    <w:rsid w:val="000643B2"/>
    <w:rsid w:val="00064B19"/>
    <w:rsid w:val="00065E80"/>
    <w:rsid w:val="00066BB4"/>
    <w:rsid w:val="00070125"/>
    <w:rsid w:val="0007022C"/>
    <w:rsid w:val="00071437"/>
    <w:rsid w:val="00071DE6"/>
    <w:rsid w:val="000754B0"/>
    <w:rsid w:val="00077439"/>
    <w:rsid w:val="000774B8"/>
    <w:rsid w:val="00082362"/>
    <w:rsid w:val="0008328D"/>
    <w:rsid w:val="00084D78"/>
    <w:rsid w:val="0009387A"/>
    <w:rsid w:val="0009387B"/>
    <w:rsid w:val="000963C6"/>
    <w:rsid w:val="000974AC"/>
    <w:rsid w:val="0009762F"/>
    <w:rsid w:val="000A31B9"/>
    <w:rsid w:val="000A3330"/>
    <w:rsid w:val="000A36D8"/>
    <w:rsid w:val="000A3D63"/>
    <w:rsid w:val="000A683A"/>
    <w:rsid w:val="000A683E"/>
    <w:rsid w:val="000B19B9"/>
    <w:rsid w:val="000B2908"/>
    <w:rsid w:val="000B3001"/>
    <w:rsid w:val="000B6F36"/>
    <w:rsid w:val="000B7176"/>
    <w:rsid w:val="000C09A7"/>
    <w:rsid w:val="000C2889"/>
    <w:rsid w:val="000C3673"/>
    <w:rsid w:val="000C538B"/>
    <w:rsid w:val="000D0152"/>
    <w:rsid w:val="000D0334"/>
    <w:rsid w:val="000D0B4D"/>
    <w:rsid w:val="000D10DC"/>
    <w:rsid w:val="000D1AED"/>
    <w:rsid w:val="000D3477"/>
    <w:rsid w:val="000D3B29"/>
    <w:rsid w:val="000D4347"/>
    <w:rsid w:val="000D5184"/>
    <w:rsid w:val="000D74FA"/>
    <w:rsid w:val="000E06F4"/>
    <w:rsid w:val="000E1AC7"/>
    <w:rsid w:val="000E471A"/>
    <w:rsid w:val="000E4CE4"/>
    <w:rsid w:val="000E7B67"/>
    <w:rsid w:val="000F0C44"/>
    <w:rsid w:val="000F50B4"/>
    <w:rsid w:val="000F6486"/>
    <w:rsid w:val="000F669F"/>
    <w:rsid w:val="001063B3"/>
    <w:rsid w:val="00107ACA"/>
    <w:rsid w:val="001114A9"/>
    <w:rsid w:val="00111979"/>
    <w:rsid w:val="001138FC"/>
    <w:rsid w:val="00116537"/>
    <w:rsid w:val="00120766"/>
    <w:rsid w:val="00121359"/>
    <w:rsid w:val="00122665"/>
    <w:rsid w:val="00122FA6"/>
    <w:rsid w:val="001240BD"/>
    <w:rsid w:val="00125105"/>
    <w:rsid w:val="001268F7"/>
    <w:rsid w:val="00126B2B"/>
    <w:rsid w:val="00127233"/>
    <w:rsid w:val="001372FC"/>
    <w:rsid w:val="00142F84"/>
    <w:rsid w:val="00143E81"/>
    <w:rsid w:val="00143FD9"/>
    <w:rsid w:val="00145047"/>
    <w:rsid w:val="00146C57"/>
    <w:rsid w:val="00150ADA"/>
    <w:rsid w:val="001569A8"/>
    <w:rsid w:val="0016332F"/>
    <w:rsid w:val="0016642E"/>
    <w:rsid w:val="001717E9"/>
    <w:rsid w:val="0017238A"/>
    <w:rsid w:val="001800BA"/>
    <w:rsid w:val="00180A30"/>
    <w:rsid w:val="001813DF"/>
    <w:rsid w:val="00185772"/>
    <w:rsid w:val="00185EE9"/>
    <w:rsid w:val="00187F79"/>
    <w:rsid w:val="0019204C"/>
    <w:rsid w:val="00196F32"/>
    <w:rsid w:val="00197274"/>
    <w:rsid w:val="001A0B04"/>
    <w:rsid w:val="001A237A"/>
    <w:rsid w:val="001A26CF"/>
    <w:rsid w:val="001A2919"/>
    <w:rsid w:val="001A5BC1"/>
    <w:rsid w:val="001B04F1"/>
    <w:rsid w:val="001B22E2"/>
    <w:rsid w:val="001B25AB"/>
    <w:rsid w:val="001B2CFE"/>
    <w:rsid w:val="001B4F98"/>
    <w:rsid w:val="001C13BD"/>
    <w:rsid w:val="001C222E"/>
    <w:rsid w:val="001C22F9"/>
    <w:rsid w:val="001C4F29"/>
    <w:rsid w:val="001D1C29"/>
    <w:rsid w:val="001D2CCC"/>
    <w:rsid w:val="001E3C06"/>
    <w:rsid w:val="001E4177"/>
    <w:rsid w:val="001F0A0F"/>
    <w:rsid w:val="001F114C"/>
    <w:rsid w:val="001F218E"/>
    <w:rsid w:val="001F4EFD"/>
    <w:rsid w:val="001F5606"/>
    <w:rsid w:val="001F5E13"/>
    <w:rsid w:val="001F684E"/>
    <w:rsid w:val="001F6D11"/>
    <w:rsid w:val="001F7DC6"/>
    <w:rsid w:val="00202886"/>
    <w:rsid w:val="00205784"/>
    <w:rsid w:val="00206823"/>
    <w:rsid w:val="00210946"/>
    <w:rsid w:val="00213510"/>
    <w:rsid w:val="0021372A"/>
    <w:rsid w:val="00215CEF"/>
    <w:rsid w:val="00217A08"/>
    <w:rsid w:val="00220B77"/>
    <w:rsid w:val="00221D27"/>
    <w:rsid w:val="00222906"/>
    <w:rsid w:val="002249C4"/>
    <w:rsid w:val="00226742"/>
    <w:rsid w:val="00233830"/>
    <w:rsid w:val="002352F2"/>
    <w:rsid w:val="00237233"/>
    <w:rsid w:val="002414D6"/>
    <w:rsid w:val="002421BB"/>
    <w:rsid w:val="00245707"/>
    <w:rsid w:val="00246A81"/>
    <w:rsid w:val="002515D8"/>
    <w:rsid w:val="00251A5F"/>
    <w:rsid w:val="00252B30"/>
    <w:rsid w:val="002571BD"/>
    <w:rsid w:val="0025796E"/>
    <w:rsid w:val="002603E5"/>
    <w:rsid w:val="002638B2"/>
    <w:rsid w:val="002660F2"/>
    <w:rsid w:val="002664BB"/>
    <w:rsid w:val="002707A2"/>
    <w:rsid w:val="002733CA"/>
    <w:rsid w:val="00277150"/>
    <w:rsid w:val="00281DD5"/>
    <w:rsid w:val="002826F0"/>
    <w:rsid w:val="002835A6"/>
    <w:rsid w:val="002844ED"/>
    <w:rsid w:val="00286FAD"/>
    <w:rsid w:val="00291E5A"/>
    <w:rsid w:val="002923AA"/>
    <w:rsid w:val="002951A0"/>
    <w:rsid w:val="002962BC"/>
    <w:rsid w:val="002A093D"/>
    <w:rsid w:val="002A0DD0"/>
    <w:rsid w:val="002A1D2F"/>
    <w:rsid w:val="002A1D6D"/>
    <w:rsid w:val="002A49AC"/>
    <w:rsid w:val="002A64FD"/>
    <w:rsid w:val="002A6BBF"/>
    <w:rsid w:val="002B1E57"/>
    <w:rsid w:val="002B1F7F"/>
    <w:rsid w:val="002B290B"/>
    <w:rsid w:val="002B33B8"/>
    <w:rsid w:val="002B61F2"/>
    <w:rsid w:val="002B7AD9"/>
    <w:rsid w:val="002C110E"/>
    <w:rsid w:val="002C379A"/>
    <w:rsid w:val="002C765E"/>
    <w:rsid w:val="002C7A84"/>
    <w:rsid w:val="002D13A1"/>
    <w:rsid w:val="002D3F0D"/>
    <w:rsid w:val="002E1D98"/>
    <w:rsid w:val="002E2C3F"/>
    <w:rsid w:val="002E4FD9"/>
    <w:rsid w:val="002E6F15"/>
    <w:rsid w:val="002F13FD"/>
    <w:rsid w:val="002F53FB"/>
    <w:rsid w:val="00303544"/>
    <w:rsid w:val="00303985"/>
    <w:rsid w:val="003039C1"/>
    <w:rsid w:val="00310DBE"/>
    <w:rsid w:val="00310E5C"/>
    <w:rsid w:val="003119D8"/>
    <w:rsid w:val="0031430F"/>
    <w:rsid w:val="00320BBD"/>
    <w:rsid w:val="003226F7"/>
    <w:rsid w:val="00322A85"/>
    <w:rsid w:val="00324168"/>
    <w:rsid w:val="00325755"/>
    <w:rsid w:val="0033032A"/>
    <w:rsid w:val="00330C97"/>
    <w:rsid w:val="00334C6A"/>
    <w:rsid w:val="00336C05"/>
    <w:rsid w:val="003409C8"/>
    <w:rsid w:val="0034209E"/>
    <w:rsid w:val="00342675"/>
    <w:rsid w:val="00343512"/>
    <w:rsid w:val="003448F4"/>
    <w:rsid w:val="00345330"/>
    <w:rsid w:val="00347E58"/>
    <w:rsid w:val="00350480"/>
    <w:rsid w:val="003522B9"/>
    <w:rsid w:val="003528DF"/>
    <w:rsid w:val="00352C12"/>
    <w:rsid w:val="00354BCA"/>
    <w:rsid w:val="00354FEA"/>
    <w:rsid w:val="00361BA8"/>
    <w:rsid w:val="00362DEE"/>
    <w:rsid w:val="0036594E"/>
    <w:rsid w:val="003665EE"/>
    <w:rsid w:val="0037010E"/>
    <w:rsid w:val="003734F4"/>
    <w:rsid w:val="00374F5E"/>
    <w:rsid w:val="0037527B"/>
    <w:rsid w:val="003773A1"/>
    <w:rsid w:val="00377E3E"/>
    <w:rsid w:val="003815B3"/>
    <w:rsid w:val="003815E8"/>
    <w:rsid w:val="00382181"/>
    <w:rsid w:val="00386CD9"/>
    <w:rsid w:val="00386D13"/>
    <w:rsid w:val="00391392"/>
    <w:rsid w:val="00392A49"/>
    <w:rsid w:val="00393812"/>
    <w:rsid w:val="0039606A"/>
    <w:rsid w:val="003A26D1"/>
    <w:rsid w:val="003A3B30"/>
    <w:rsid w:val="003A40E2"/>
    <w:rsid w:val="003A477B"/>
    <w:rsid w:val="003A779E"/>
    <w:rsid w:val="003B005A"/>
    <w:rsid w:val="003B0636"/>
    <w:rsid w:val="003B6385"/>
    <w:rsid w:val="003B78C4"/>
    <w:rsid w:val="003B7D19"/>
    <w:rsid w:val="003C0EC6"/>
    <w:rsid w:val="003C3FA5"/>
    <w:rsid w:val="003D0F4D"/>
    <w:rsid w:val="003D1B5E"/>
    <w:rsid w:val="003D2083"/>
    <w:rsid w:val="003D5B0D"/>
    <w:rsid w:val="003E0499"/>
    <w:rsid w:val="003E40F2"/>
    <w:rsid w:val="003E7EAA"/>
    <w:rsid w:val="003F08A7"/>
    <w:rsid w:val="003F1B32"/>
    <w:rsid w:val="003F3941"/>
    <w:rsid w:val="00400676"/>
    <w:rsid w:val="004008A9"/>
    <w:rsid w:val="00402643"/>
    <w:rsid w:val="0040480E"/>
    <w:rsid w:val="004063A4"/>
    <w:rsid w:val="00406575"/>
    <w:rsid w:val="004069AB"/>
    <w:rsid w:val="00410906"/>
    <w:rsid w:val="0041655A"/>
    <w:rsid w:val="00416E49"/>
    <w:rsid w:val="00426FD7"/>
    <w:rsid w:val="0042722E"/>
    <w:rsid w:val="00427DA0"/>
    <w:rsid w:val="00436F71"/>
    <w:rsid w:val="00440391"/>
    <w:rsid w:val="004405A4"/>
    <w:rsid w:val="004426AD"/>
    <w:rsid w:val="00442C7F"/>
    <w:rsid w:val="0044528D"/>
    <w:rsid w:val="0044798F"/>
    <w:rsid w:val="00450920"/>
    <w:rsid w:val="004530EA"/>
    <w:rsid w:val="00454D48"/>
    <w:rsid w:val="004550FC"/>
    <w:rsid w:val="004554F9"/>
    <w:rsid w:val="0046004D"/>
    <w:rsid w:val="00461A6A"/>
    <w:rsid w:val="004633DE"/>
    <w:rsid w:val="00465E71"/>
    <w:rsid w:val="00466040"/>
    <w:rsid w:val="00471654"/>
    <w:rsid w:val="004734BD"/>
    <w:rsid w:val="00475854"/>
    <w:rsid w:val="004774DD"/>
    <w:rsid w:val="00480BAF"/>
    <w:rsid w:val="00482608"/>
    <w:rsid w:val="00483749"/>
    <w:rsid w:val="00484809"/>
    <w:rsid w:val="00484BB1"/>
    <w:rsid w:val="004A0980"/>
    <w:rsid w:val="004A0B8B"/>
    <w:rsid w:val="004A1847"/>
    <w:rsid w:val="004A305D"/>
    <w:rsid w:val="004A3312"/>
    <w:rsid w:val="004A66E3"/>
    <w:rsid w:val="004B01B2"/>
    <w:rsid w:val="004B5C11"/>
    <w:rsid w:val="004B740F"/>
    <w:rsid w:val="004C28C6"/>
    <w:rsid w:val="004C4B37"/>
    <w:rsid w:val="004D026D"/>
    <w:rsid w:val="004D0BED"/>
    <w:rsid w:val="004D23A7"/>
    <w:rsid w:val="004E221E"/>
    <w:rsid w:val="004E2892"/>
    <w:rsid w:val="004E343A"/>
    <w:rsid w:val="004E4C0B"/>
    <w:rsid w:val="004E505B"/>
    <w:rsid w:val="004E7CE7"/>
    <w:rsid w:val="004F21C4"/>
    <w:rsid w:val="004F246A"/>
    <w:rsid w:val="004F3012"/>
    <w:rsid w:val="004F3B9E"/>
    <w:rsid w:val="004F5559"/>
    <w:rsid w:val="004F685F"/>
    <w:rsid w:val="004F7EC9"/>
    <w:rsid w:val="00503719"/>
    <w:rsid w:val="00504CBE"/>
    <w:rsid w:val="005053D6"/>
    <w:rsid w:val="00505795"/>
    <w:rsid w:val="00514598"/>
    <w:rsid w:val="005163B5"/>
    <w:rsid w:val="0052543A"/>
    <w:rsid w:val="00525FDB"/>
    <w:rsid w:val="0052785C"/>
    <w:rsid w:val="00533E1B"/>
    <w:rsid w:val="00540C2D"/>
    <w:rsid w:val="0054111E"/>
    <w:rsid w:val="0054335F"/>
    <w:rsid w:val="00552502"/>
    <w:rsid w:val="00554BD4"/>
    <w:rsid w:val="005556B3"/>
    <w:rsid w:val="005566E8"/>
    <w:rsid w:val="00560CB5"/>
    <w:rsid w:val="00564F8B"/>
    <w:rsid w:val="00565128"/>
    <w:rsid w:val="00570339"/>
    <w:rsid w:val="00574122"/>
    <w:rsid w:val="00574867"/>
    <w:rsid w:val="00577986"/>
    <w:rsid w:val="00577D09"/>
    <w:rsid w:val="0058087F"/>
    <w:rsid w:val="0058337B"/>
    <w:rsid w:val="00591460"/>
    <w:rsid w:val="00592628"/>
    <w:rsid w:val="00597C75"/>
    <w:rsid w:val="005A0868"/>
    <w:rsid w:val="005A0CFB"/>
    <w:rsid w:val="005A282F"/>
    <w:rsid w:val="005A2AC9"/>
    <w:rsid w:val="005A6C21"/>
    <w:rsid w:val="005B2CCE"/>
    <w:rsid w:val="005B4055"/>
    <w:rsid w:val="005B58C1"/>
    <w:rsid w:val="005B6033"/>
    <w:rsid w:val="005C3777"/>
    <w:rsid w:val="005C5CDC"/>
    <w:rsid w:val="005D17C8"/>
    <w:rsid w:val="005D2B2B"/>
    <w:rsid w:val="005D476C"/>
    <w:rsid w:val="005D51C3"/>
    <w:rsid w:val="005D5F91"/>
    <w:rsid w:val="005D7B25"/>
    <w:rsid w:val="005E4601"/>
    <w:rsid w:val="005E6B74"/>
    <w:rsid w:val="005F3CE0"/>
    <w:rsid w:val="005F7C43"/>
    <w:rsid w:val="00601DFC"/>
    <w:rsid w:val="00605A00"/>
    <w:rsid w:val="00610812"/>
    <w:rsid w:val="00612CE7"/>
    <w:rsid w:val="00615F46"/>
    <w:rsid w:val="0062005D"/>
    <w:rsid w:val="006219F8"/>
    <w:rsid w:val="0063165E"/>
    <w:rsid w:val="00632C08"/>
    <w:rsid w:val="00644F63"/>
    <w:rsid w:val="00650FF7"/>
    <w:rsid w:val="00656421"/>
    <w:rsid w:val="00660F6A"/>
    <w:rsid w:val="00663B19"/>
    <w:rsid w:val="00665032"/>
    <w:rsid w:val="00665D70"/>
    <w:rsid w:val="00671DAC"/>
    <w:rsid w:val="006747C7"/>
    <w:rsid w:val="006827AC"/>
    <w:rsid w:val="006859A3"/>
    <w:rsid w:val="006900D9"/>
    <w:rsid w:val="006920AE"/>
    <w:rsid w:val="00697B17"/>
    <w:rsid w:val="006A0008"/>
    <w:rsid w:val="006A10DF"/>
    <w:rsid w:val="006A1871"/>
    <w:rsid w:val="006A2BDE"/>
    <w:rsid w:val="006A3147"/>
    <w:rsid w:val="006B14B5"/>
    <w:rsid w:val="006B25DE"/>
    <w:rsid w:val="006B4CA3"/>
    <w:rsid w:val="006C0240"/>
    <w:rsid w:val="006C238E"/>
    <w:rsid w:val="006C5595"/>
    <w:rsid w:val="006D12F8"/>
    <w:rsid w:val="006D2F4E"/>
    <w:rsid w:val="006D4E33"/>
    <w:rsid w:val="006E1658"/>
    <w:rsid w:val="006E41C6"/>
    <w:rsid w:val="006F0D40"/>
    <w:rsid w:val="006F13EA"/>
    <w:rsid w:val="006F2501"/>
    <w:rsid w:val="006F49C9"/>
    <w:rsid w:val="00700975"/>
    <w:rsid w:val="00704D9B"/>
    <w:rsid w:val="00705E5F"/>
    <w:rsid w:val="00706C16"/>
    <w:rsid w:val="00711C85"/>
    <w:rsid w:val="0071458F"/>
    <w:rsid w:val="00714A71"/>
    <w:rsid w:val="0071627C"/>
    <w:rsid w:val="00723A7F"/>
    <w:rsid w:val="00723F2B"/>
    <w:rsid w:val="007312C3"/>
    <w:rsid w:val="007374E9"/>
    <w:rsid w:val="00737C53"/>
    <w:rsid w:val="00737DFA"/>
    <w:rsid w:val="007534CA"/>
    <w:rsid w:val="00756841"/>
    <w:rsid w:val="00757EE9"/>
    <w:rsid w:val="0076066F"/>
    <w:rsid w:val="00762AA9"/>
    <w:rsid w:val="007649AB"/>
    <w:rsid w:val="007670E3"/>
    <w:rsid w:val="00771D0C"/>
    <w:rsid w:val="00771FD2"/>
    <w:rsid w:val="00774F09"/>
    <w:rsid w:val="0078274D"/>
    <w:rsid w:val="007833AC"/>
    <w:rsid w:val="00784D58"/>
    <w:rsid w:val="00786FBF"/>
    <w:rsid w:val="00790AB7"/>
    <w:rsid w:val="007913EA"/>
    <w:rsid w:val="00791769"/>
    <w:rsid w:val="0079234D"/>
    <w:rsid w:val="00796340"/>
    <w:rsid w:val="007A23EA"/>
    <w:rsid w:val="007A5189"/>
    <w:rsid w:val="007A7C52"/>
    <w:rsid w:val="007B0D88"/>
    <w:rsid w:val="007B268C"/>
    <w:rsid w:val="007B7171"/>
    <w:rsid w:val="007B7D02"/>
    <w:rsid w:val="007C03D2"/>
    <w:rsid w:val="007C0C0F"/>
    <w:rsid w:val="007C2E67"/>
    <w:rsid w:val="007C3DC2"/>
    <w:rsid w:val="007C4E2B"/>
    <w:rsid w:val="007D0457"/>
    <w:rsid w:val="007D124A"/>
    <w:rsid w:val="007D43C9"/>
    <w:rsid w:val="007E1247"/>
    <w:rsid w:val="007E5497"/>
    <w:rsid w:val="007F28CA"/>
    <w:rsid w:val="007F52A4"/>
    <w:rsid w:val="007F60FB"/>
    <w:rsid w:val="007F7B94"/>
    <w:rsid w:val="00800789"/>
    <w:rsid w:val="00804981"/>
    <w:rsid w:val="00806CD3"/>
    <w:rsid w:val="00806F5F"/>
    <w:rsid w:val="00811270"/>
    <w:rsid w:val="00811E4F"/>
    <w:rsid w:val="008163D7"/>
    <w:rsid w:val="00820278"/>
    <w:rsid w:val="00822003"/>
    <w:rsid w:val="00826415"/>
    <w:rsid w:val="00834554"/>
    <w:rsid w:val="00834B31"/>
    <w:rsid w:val="00840ADC"/>
    <w:rsid w:val="00841A23"/>
    <w:rsid w:val="00843902"/>
    <w:rsid w:val="00843928"/>
    <w:rsid w:val="00843BF7"/>
    <w:rsid w:val="008449B3"/>
    <w:rsid w:val="0084615E"/>
    <w:rsid w:val="00846276"/>
    <w:rsid w:val="00850E23"/>
    <w:rsid w:val="00851137"/>
    <w:rsid w:val="00853978"/>
    <w:rsid w:val="0085432F"/>
    <w:rsid w:val="00856C43"/>
    <w:rsid w:val="00864209"/>
    <w:rsid w:val="00865414"/>
    <w:rsid w:val="00873217"/>
    <w:rsid w:val="0087325B"/>
    <w:rsid w:val="00877EBA"/>
    <w:rsid w:val="0088002A"/>
    <w:rsid w:val="00881ABA"/>
    <w:rsid w:val="008841E9"/>
    <w:rsid w:val="008843B6"/>
    <w:rsid w:val="008853C1"/>
    <w:rsid w:val="00886C89"/>
    <w:rsid w:val="00887569"/>
    <w:rsid w:val="00891928"/>
    <w:rsid w:val="00894B8B"/>
    <w:rsid w:val="008961BA"/>
    <w:rsid w:val="008A00A4"/>
    <w:rsid w:val="008A446D"/>
    <w:rsid w:val="008A5BD9"/>
    <w:rsid w:val="008A6432"/>
    <w:rsid w:val="008A7A64"/>
    <w:rsid w:val="008A7F08"/>
    <w:rsid w:val="008B2F0E"/>
    <w:rsid w:val="008B5A2E"/>
    <w:rsid w:val="008D180B"/>
    <w:rsid w:val="008D1BDB"/>
    <w:rsid w:val="008D5ACA"/>
    <w:rsid w:val="008D6CDA"/>
    <w:rsid w:val="008D7227"/>
    <w:rsid w:val="008E1F92"/>
    <w:rsid w:val="008E7333"/>
    <w:rsid w:val="008E7B09"/>
    <w:rsid w:val="008E7D4C"/>
    <w:rsid w:val="008F0774"/>
    <w:rsid w:val="008F0EA7"/>
    <w:rsid w:val="008F1CA9"/>
    <w:rsid w:val="008F5BEE"/>
    <w:rsid w:val="008F7BB9"/>
    <w:rsid w:val="00904692"/>
    <w:rsid w:val="00910097"/>
    <w:rsid w:val="00911C7C"/>
    <w:rsid w:val="0091561E"/>
    <w:rsid w:val="00920849"/>
    <w:rsid w:val="00922F57"/>
    <w:rsid w:val="00923EEF"/>
    <w:rsid w:val="00924B61"/>
    <w:rsid w:val="0092717A"/>
    <w:rsid w:val="009325CC"/>
    <w:rsid w:val="0093558D"/>
    <w:rsid w:val="009411F5"/>
    <w:rsid w:val="009419F9"/>
    <w:rsid w:val="0094476F"/>
    <w:rsid w:val="00945B9F"/>
    <w:rsid w:val="00950BE2"/>
    <w:rsid w:val="0095126A"/>
    <w:rsid w:val="00953AA4"/>
    <w:rsid w:val="00955305"/>
    <w:rsid w:val="00956010"/>
    <w:rsid w:val="0095685E"/>
    <w:rsid w:val="00957293"/>
    <w:rsid w:val="009572D9"/>
    <w:rsid w:val="00957945"/>
    <w:rsid w:val="009600D2"/>
    <w:rsid w:val="00961409"/>
    <w:rsid w:val="00961B09"/>
    <w:rsid w:val="00962300"/>
    <w:rsid w:val="00965334"/>
    <w:rsid w:val="0097090E"/>
    <w:rsid w:val="0097093E"/>
    <w:rsid w:val="00970E10"/>
    <w:rsid w:val="009725F1"/>
    <w:rsid w:val="00976025"/>
    <w:rsid w:val="00976F04"/>
    <w:rsid w:val="009800BE"/>
    <w:rsid w:val="00982E41"/>
    <w:rsid w:val="00983B79"/>
    <w:rsid w:val="00983EEA"/>
    <w:rsid w:val="00984649"/>
    <w:rsid w:val="009858BE"/>
    <w:rsid w:val="009868CD"/>
    <w:rsid w:val="00993A7C"/>
    <w:rsid w:val="009A0DFA"/>
    <w:rsid w:val="009A2290"/>
    <w:rsid w:val="009A3C2C"/>
    <w:rsid w:val="009A4A40"/>
    <w:rsid w:val="009B2D26"/>
    <w:rsid w:val="009B3595"/>
    <w:rsid w:val="009B5228"/>
    <w:rsid w:val="009B6C8C"/>
    <w:rsid w:val="009B780F"/>
    <w:rsid w:val="009C2DD0"/>
    <w:rsid w:val="009C3AC7"/>
    <w:rsid w:val="009C5D8C"/>
    <w:rsid w:val="009C71FA"/>
    <w:rsid w:val="009C72E7"/>
    <w:rsid w:val="009C7691"/>
    <w:rsid w:val="009D0555"/>
    <w:rsid w:val="009D1086"/>
    <w:rsid w:val="009D3058"/>
    <w:rsid w:val="009D3A11"/>
    <w:rsid w:val="009D44C4"/>
    <w:rsid w:val="009D6427"/>
    <w:rsid w:val="009D67FD"/>
    <w:rsid w:val="009E2BCC"/>
    <w:rsid w:val="009E4636"/>
    <w:rsid w:val="009E5A30"/>
    <w:rsid w:val="009E7C05"/>
    <w:rsid w:val="009F3831"/>
    <w:rsid w:val="009F3832"/>
    <w:rsid w:val="009F3A13"/>
    <w:rsid w:val="009F4AB2"/>
    <w:rsid w:val="009F73F7"/>
    <w:rsid w:val="00A02465"/>
    <w:rsid w:val="00A03415"/>
    <w:rsid w:val="00A04A81"/>
    <w:rsid w:val="00A122D3"/>
    <w:rsid w:val="00A1409A"/>
    <w:rsid w:val="00A14D3D"/>
    <w:rsid w:val="00A17F13"/>
    <w:rsid w:val="00A20739"/>
    <w:rsid w:val="00A211D0"/>
    <w:rsid w:val="00A23361"/>
    <w:rsid w:val="00A24433"/>
    <w:rsid w:val="00A2443A"/>
    <w:rsid w:val="00A25580"/>
    <w:rsid w:val="00A33283"/>
    <w:rsid w:val="00A332DD"/>
    <w:rsid w:val="00A339A9"/>
    <w:rsid w:val="00A33C78"/>
    <w:rsid w:val="00A34B38"/>
    <w:rsid w:val="00A34D87"/>
    <w:rsid w:val="00A35538"/>
    <w:rsid w:val="00A3685A"/>
    <w:rsid w:val="00A3783B"/>
    <w:rsid w:val="00A37BC4"/>
    <w:rsid w:val="00A42050"/>
    <w:rsid w:val="00A43292"/>
    <w:rsid w:val="00A445C0"/>
    <w:rsid w:val="00A44D1C"/>
    <w:rsid w:val="00A52D82"/>
    <w:rsid w:val="00A53F57"/>
    <w:rsid w:val="00A56959"/>
    <w:rsid w:val="00A56FCA"/>
    <w:rsid w:val="00A57BE7"/>
    <w:rsid w:val="00A6004A"/>
    <w:rsid w:val="00A611C5"/>
    <w:rsid w:val="00A613C2"/>
    <w:rsid w:val="00A64336"/>
    <w:rsid w:val="00A65E99"/>
    <w:rsid w:val="00A7332E"/>
    <w:rsid w:val="00A745FA"/>
    <w:rsid w:val="00A74DE6"/>
    <w:rsid w:val="00A75866"/>
    <w:rsid w:val="00A75875"/>
    <w:rsid w:val="00A8086A"/>
    <w:rsid w:val="00A80F32"/>
    <w:rsid w:val="00A828F1"/>
    <w:rsid w:val="00A830AD"/>
    <w:rsid w:val="00A87F7D"/>
    <w:rsid w:val="00A9244C"/>
    <w:rsid w:val="00A94D14"/>
    <w:rsid w:val="00A95106"/>
    <w:rsid w:val="00A956B2"/>
    <w:rsid w:val="00A95A1A"/>
    <w:rsid w:val="00AA1328"/>
    <w:rsid w:val="00AA23BB"/>
    <w:rsid w:val="00AB0ADB"/>
    <w:rsid w:val="00AB3FD1"/>
    <w:rsid w:val="00AC0DF9"/>
    <w:rsid w:val="00AC0EAB"/>
    <w:rsid w:val="00AC4701"/>
    <w:rsid w:val="00AC49A2"/>
    <w:rsid w:val="00AD73E2"/>
    <w:rsid w:val="00AE2631"/>
    <w:rsid w:val="00AE3D6C"/>
    <w:rsid w:val="00AF1BEC"/>
    <w:rsid w:val="00AF2C90"/>
    <w:rsid w:val="00AF54CA"/>
    <w:rsid w:val="00AF7F25"/>
    <w:rsid w:val="00B009B8"/>
    <w:rsid w:val="00B01B1A"/>
    <w:rsid w:val="00B0268A"/>
    <w:rsid w:val="00B0410F"/>
    <w:rsid w:val="00B07DDD"/>
    <w:rsid w:val="00B137B3"/>
    <w:rsid w:val="00B14E03"/>
    <w:rsid w:val="00B16798"/>
    <w:rsid w:val="00B26B98"/>
    <w:rsid w:val="00B35201"/>
    <w:rsid w:val="00B35ADC"/>
    <w:rsid w:val="00B37C24"/>
    <w:rsid w:val="00B40FBC"/>
    <w:rsid w:val="00B427E2"/>
    <w:rsid w:val="00B46F27"/>
    <w:rsid w:val="00B47FD7"/>
    <w:rsid w:val="00B51F75"/>
    <w:rsid w:val="00B52169"/>
    <w:rsid w:val="00B53E27"/>
    <w:rsid w:val="00B558AF"/>
    <w:rsid w:val="00B5691C"/>
    <w:rsid w:val="00B615BA"/>
    <w:rsid w:val="00B62D8B"/>
    <w:rsid w:val="00B64355"/>
    <w:rsid w:val="00B72CD3"/>
    <w:rsid w:val="00B72FFF"/>
    <w:rsid w:val="00B76CEB"/>
    <w:rsid w:val="00B80CC6"/>
    <w:rsid w:val="00B8257D"/>
    <w:rsid w:val="00B82B8B"/>
    <w:rsid w:val="00B86FE2"/>
    <w:rsid w:val="00B91186"/>
    <w:rsid w:val="00B93423"/>
    <w:rsid w:val="00B93E58"/>
    <w:rsid w:val="00B948E8"/>
    <w:rsid w:val="00BA0A22"/>
    <w:rsid w:val="00BA1D33"/>
    <w:rsid w:val="00BA2EF4"/>
    <w:rsid w:val="00BA6BE0"/>
    <w:rsid w:val="00BB22DA"/>
    <w:rsid w:val="00BB2C9D"/>
    <w:rsid w:val="00BC0036"/>
    <w:rsid w:val="00BC05A6"/>
    <w:rsid w:val="00BC24FA"/>
    <w:rsid w:val="00BC27B5"/>
    <w:rsid w:val="00BC3D36"/>
    <w:rsid w:val="00BC4B34"/>
    <w:rsid w:val="00BC7498"/>
    <w:rsid w:val="00BD3434"/>
    <w:rsid w:val="00BD424C"/>
    <w:rsid w:val="00BD4BCA"/>
    <w:rsid w:val="00BD7CC5"/>
    <w:rsid w:val="00BD7F72"/>
    <w:rsid w:val="00BE03BC"/>
    <w:rsid w:val="00BE0A18"/>
    <w:rsid w:val="00BF0D90"/>
    <w:rsid w:val="00BF0D99"/>
    <w:rsid w:val="00BF1049"/>
    <w:rsid w:val="00BF1201"/>
    <w:rsid w:val="00BF1D4A"/>
    <w:rsid w:val="00BF230F"/>
    <w:rsid w:val="00BF26BA"/>
    <w:rsid w:val="00C002E3"/>
    <w:rsid w:val="00C012CC"/>
    <w:rsid w:val="00C04FB3"/>
    <w:rsid w:val="00C050BC"/>
    <w:rsid w:val="00C06C4F"/>
    <w:rsid w:val="00C11604"/>
    <w:rsid w:val="00C1348F"/>
    <w:rsid w:val="00C147D0"/>
    <w:rsid w:val="00C159C1"/>
    <w:rsid w:val="00C16346"/>
    <w:rsid w:val="00C17497"/>
    <w:rsid w:val="00C21751"/>
    <w:rsid w:val="00C21B15"/>
    <w:rsid w:val="00C21B8C"/>
    <w:rsid w:val="00C32523"/>
    <w:rsid w:val="00C3281B"/>
    <w:rsid w:val="00C330EB"/>
    <w:rsid w:val="00C34712"/>
    <w:rsid w:val="00C371C9"/>
    <w:rsid w:val="00C40E9F"/>
    <w:rsid w:val="00C41481"/>
    <w:rsid w:val="00C42469"/>
    <w:rsid w:val="00C46D91"/>
    <w:rsid w:val="00C47A07"/>
    <w:rsid w:val="00C47B74"/>
    <w:rsid w:val="00C50855"/>
    <w:rsid w:val="00C57281"/>
    <w:rsid w:val="00C577E7"/>
    <w:rsid w:val="00C57E63"/>
    <w:rsid w:val="00C65D65"/>
    <w:rsid w:val="00C66D80"/>
    <w:rsid w:val="00C67703"/>
    <w:rsid w:val="00C7173F"/>
    <w:rsid w:val="00C730B6"/>
    <w:rsid w:val="00C7352F"/>
    <w:rsid w:val="00C7482D"/>
    <w:rsid w:val="00C754BE"/>
    <w:rsid w:val="00C76466"/>
    <w:rsid w:val="00C76B1C"/>
    <w:rsid w:val="00C7728C"/>
    <w:rsid w:val="00C775E0"/>
    <w:rsid w:val="00C82239"/>
    <w:rsid w:val="00C829ED"/>
    <w:rsid w:val="00C90209"/>
    <w:rsid w:val="00C915DD"/>
    <w:rsid w:val="00C91B94"/>
    <w:rsid w:val="00C92665"/>
    <w:rsid w:val="00C95BAE"/>
    <w:rsid w:val="00CA4272"/>
    <w:rsid w:val="00CA6A9D"/>
    <w:rsid w:val="00CA7F6B"/>
    <w:rsid w:val="00CB2F3F"/>
    <w:rsid w:val="00CB6357"/>
    <w:rsid w:val="00CB704C"/>
    <w:rsid w:val="00CC0FA3"/>
    <w:rsid w:val="00CC1428"/>
    <w:rsid w:val="00CC1B26"/>
    <w:rsid w:val="00CC49F7"/>
    <w:rsid w:val="00CC54DB"/>
    <w:rsid w:val="00CC7787"/>
    <w:rsid w:val="00CD087D"/>
    <w:rsid w:val="00CD1E7E"/>
    <w:rsid w:val="00CD41CB"/>
    <w:rsid w:val="00CD5EE0"/>
    <w:rsid w:val="00CE02A2"/>
    <w:rsid w:val="00CE04FF"/>
    <w:rsid w:val="00CE3273"/>
    <w:rsid w:val="00CE509A"/>
    <w:rsid w:val="00CE5414"/>
    <w:rsid w:val="00CF241F"/>
    <w:rsid w:val="00CF7826"/>
    <w:rsid w:val="00D0157A"/>
    <w:rsid w:val="00D036D8"/>
    <w:rsid w:val="00D038ED"/>
    <w:rsid w:val="00D0554F"/>
    <w:rsid w:val="00D06D26"/>
    <w:rsid w:val="00D10B75"/>
    <w:rsid w:val="00D10D2D"/>
    <w:rsid w:val="00D11FF0"/>
    <w:rsid w:val="00D13351"/>
    <w:rsid w:val="00D15E25"/>
    <w:rsid w:val="00D17A40"/>
    <w:rsid w:val="00D20368"/>
    <w:rsid w:val="00D22361"/>
    <w:rsid w:val="00D22598"/>
    <w:rsid w:val="00D26924"/>
    <w:rsid w:val="00D35468"/>
    <w:rsid w:val="00D413F6"/>
    <w:rsid w:val="00D4231B"/>
    <w:rsid w:val="00D423A2"/>
    <w:rsid w:val="00D45E4A"/>
    <w:rsid w:val="00D520D8"/>
    <w:rsid w:val="00D52961"/>
    <w:rsid w:val="00D52E96"/>
    <w:rsid w:val="00D55048"/>
    <w:rsid w:val="00D56C6D"/>
    <w:rsid w:val="00D57FA4"/>
    <w:rsid w:val="00D62DE7"/>
    <w:rsid w:val="00D63AC2"/>
    <w:rsid w:val="00D647CF"/>
    <w:rsid w:val="00D665B4"/>
    <w:rsid w:val="00D673D0"/>
    <w:rsid w:val="00D7080D"/>
    <w:rsid w:val="00D7156A"/>
    <w:rsid w:val="00D7383B"/>
    <w:rsid w:val="00D7609E"/>
    <w:rsid w:val="00D81A63"/>
    <w:rsid w:val="00D81D25"/>
    <w:rsid w:val="00D85C60"/>
    <w:rsid w:val="00D86C54"/>
    <w:rsid w:val="00D86E8B"/>
    <w:rsid w:val="00D91F8B"/>
    <w:rsid w:val="00D9383B"/>
    <w:rsid w:val="00D93B61"/>
    <w:rsid w:val="00D94C40"/>
    <w:rsid w:val="00D954A1"/>
    <w:rsid w:val="00DA231B"/>
    <w:rsid w:val="00DA23A0"/>
    <w:rsid w:val="00DA7C87"/>
    <w:rsid w:val="00DA7F66"/>
    <w:rsid w:val="00DB186F"/>
    <w:rsid w:val="00DB6C5A"/>
    <w:rsid w:val="00DB77B8"/>
    <w:rsid w:val="00DC0BDA"/>
    <w:rsid w:val="00DC39FC"/>
    <w:rsid w:val="00DC4385"/>
    <w:rsid w:val="00DC484F"/>
    <w:rsid w:val="00DC4C27"/>
    <w:rsid w:val="00DC51BC"/>
    <w:rsid w:val="00DC6805"/>
    <w:rsid w:val="00DC78A7"/>
    <w:rsid w:val="00DC793F"/>
    <w:rsid w:val="00DD7E47"/>
    <w:rsid w:val="00DE3067"/>
    <w:rsid w:val="00DE3BDD"/>
    <w:rsid w:val="00DE3D93"/>
    <w:rsid w:val="00DE4629"/>
    <w:rsid w:val="00DE58C9"/>
    <w:rsid w:val="00DE6EAA"/>
    <w:rsid w:val="00DE7892"/>
    <w:rsid w:val="00DF11FD"/>
    <w:rsid w:val="00DF5254"/>
    <w:rsid w:val="00E052F2"/>
    <w:rsid w:val="00E12426"/>
    <w:rsid w:val="00E13584"/>
    <w:rsid w:val="00E14EB2"/>
    <w:rsid w:val="00E16408"/>
    <w:rsid w:val="00E20894"/>
    <w:rsid w:val="00E2397D"/>
    <w:rsid w:val="00E23B70"/>
    <w:rsid w:val="00E245AB"/>
    <w:rsid w:val="00E26239"/>
    <w:rsid w:val="00E2701B"/>
    <w:rsid w:val="00E2764C"/>
    <w:rsid w:val="00E27F2E"/>
    <w:rsid w:val="00E308A4"/>
    <w:rsid w:val="00E35539"/>
    <w:rsid w:val="00E413EA"/>
    <w:rsid w:val="00E41687"/>
    <w:rsid w:val="00E47F28"/>
    <w:rsid w:val="00E50AFE"/>
    <w:rsid w:val="00E51636"/>
    <w:rsid w:val="00E52E49"/>
    <w:rsid w:val="00E577AC"/>
    <w:rsid w:val="00E578B6"/>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4C6"/>
    <w:rsid w:val="00EA1CD8"/>
    <w:rsid w:val="00EA29F8"/>
    <w:rsid w:val="00EA393B"/>
    <w:rsid w:val="00EA39A5"/>
    <w:rsid w:val="00EA65CD"/>
    <w:rsid w:val="00EB2C4B"/>
    <w:rsid w:val="00EB3BB3"/>
    <w:rsid w:val="00EB7E00"/>
    <w:rsid w:val="00EC1A2C"/>
    <w:rsid w:val="00EC1FE1"/>
    <w:rsid w:val="00EC38A7"/>
    <w:rsid w:val="00EC5E01"/>
    <w:rsid w:val="00ED042A"/>
    <w:rsid w:val="00ED0D4A"/>
    <w:rsid w:val="00ED1ACA"/>
    <w:rsid w:val="00ED4E37"/>
    <w:rsid w:val="00EE1AA8"/>
    <w:rsid w:val="00EE6DCD"/>
    <w:rsid w:val="00EF26C3"/>
    <w:rsid w:val="00EF38AE"/>
    <w:rsid w:val="00EF419E"/>
    <w:rsid w:val="00EF4469"/>
    <w:rsid w:val="00EF489F"/>
    <w:rsid w:val="00F00796"/>
    <w:rsid w:val="00F11213"/>
    <w:rsid w:val="00F11600"/>
    <w:rsid w:val="00F11BAA"/>
    <w:rsid w:val="00F177C1"/>
    <w:rsid w:val="00F17EB6"/>
    <w:rsid w:val="00F238F2"/>
    <w:rsid w:val="00F24580"/>
    <w:rsid w:val="00F248A2"/>
    <w:rsid w:val="00F260AA"/>
    <w:rsid w:val="00F27B26"/>
    <w:rsid w:val="00F308B8"/>
    <w:rsid w:val="00F30B1C"/>
    <w:rsid w:val="00F31EDC"/>
    <w:rsid w:val="00F34D02"/>
    <w:rsid w:val="00F34E84"/>
    <w:rsid w:val="00F36DF8"/>
    <w:rsid w:val="00F36EE8"/>
    <w:rsid w:val="00F40085"/>
    <w:rsid w:val="00F40BAD"/>
    <w:rsid w:val="00F462B3"/>
    <w:rsid w:val="00F50DC9"/>
    <w:rsid w:val="00F5184B"/>
    <w:rsid w:val="00F5491E"/>
    <w:rsid w:val="00F55081"/>
    <w:rsid w:val="00F55168"/>
    <w:rsid w:val="00F5644F"/>
    <w:rsid w:val="00F5664F"/>
    <w:rsid w:val="00F61ABB"/>
    <w:rsid w:val="00F626C4"/>
    <w:rsid w:val="00F63482"/>
    <w:rsid w:val="00F64D9E"/>
    <w:rsid w:val="00F664EC"/>
    <w:rsid w:val="00F666C4"/>
    <w:rsid w:val="00F7684C"/>
    <w:rsid w:val="00F76AFC"/>
    <w:rsid w:val="00F80CBE"/>
    <w:rsid w:val="00F85198"/>
    <w:rsid w:val="00F85237"/>
    <w:rsid w:val="00F85615"/>
    <w:rsid w:val="00F939CB"/>
    <w:rsid w:val="00F9479C"/>
    <w:rsid w:val="00F965EE"/>
    <w:rsid w:val="00F97949"/>
    <w:rsid w:val="00FA1110"/>
    <w:rsid w:val="00FA1361"/>
    <w:rsid w:val="00FA34EC"/>
    <w:rsid w:val="00FA358D"/>
    <w:rsid w:val="00FA47C0"/>
    <w:rsid w:val="00FA623D"/>
    <w:rsid w:val="00FB4425"/>
    <w:rsid w:val="00FB5615"/>
    <w:rsid w:val="00FB5DD1"/>
    <w:rsid w:val="00FB5F87"/>
    <w:rsid w:val="00FC07B5"/>
    <w:rsid w:val="00FC2B5D"/>
    <w:rsid w:val="00FC6192"/>
    <w:rsid w:val="00FD00BB"/>
    <w:rsid w:val="00FD00E9"/>
    <w:rsid w:val="00FD03E3"/>
    <w:rsid w:val="00FD108E"/>
    <w:rsid w:val="00FD30C6"/>
    <w:rsid w:val="00FD653F"/>
    <w:rsid w:val="00FE122A"/>
    <w:rsid w:val="00FE1913"/>
    <w:rsid w:val="00FE20E6"/>
    <w:rsid w:val="00FE3927"/>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3A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 w:type="character" w:customStyle="1" w:styleId="apple-converted-space">
    <w:name w:val="apple-converted-space"/>
    <w:basedOn w:val="Fuentedeprrafopredeter"/>
    <w:rsid w:val="006F49C9"/>
  </w:style>
  <w:style w:type="paragraph" w:customStyle="1" w:styleId="Textoindependiente21">
    <w:name w:val="Texto independiente 21"/>
    <w:basedOn w:val="Normal"/>
    <w:rsid w:val="00A65E99"/>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character" w:styleId="Mencinsinresolver">
    <w:name w:val="Unresolved Mention"/>
    <w:basedOn w:val="Fuentedeprrafopredeter"/>
    <w:uiPriority w:val="99"/>
    <w:semiHidden/>
    <w:unhideWhenUsed/>
    <w:rsid w:val="001226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541480687">
      <w:bodyDiv w:val="1"/>
      <w:marLeft w:val="0"/>
      <w:marRight w:val="0"/>
      <w:marTop w:val="0"/>
      <w:marBottom w:val="0"/>
      <w:divBdr>
        <w:top w:val="none" w:sz="0" w:space="0" w:color="auto"/>
        <w:left w:val="none" w:sz="0" w:space="0" w:color="auto"/>
        <w:bottom w:val="none" w:sz="0" w:space="0" w:color="auto"/>
        <w:right w:val="none" w:sz="0" w:space="0" w:color="auto"/>
      </w:divBdr>
      <w:divsChild>
        <w:div w:id="502400213">
          <w:marLeft w:val="0"/>
          <w:marRight w:val="0"/>
          <w:marTop w:val="0"/>
          <w:marBottom w:val="0"/>
          <w:divBdr>
            <w:top w:val="none" w:sz="0" w:space="0" w:color="auto"/>
            <w:left w:val="none" w:sz="0" w:space="0" w:color="auto"/>
            <w:bottom w:val="none" w:sz="0" w:space="0" w:color="auto"/>
            <w:right w:val="none" w:sz="0" w:space="0" w:color="auto"/>
          </w:divBdr>
          <w:divsChild>
            <w:div w:id="320083904">
              <w:marLeft w:val="0"/>
              <w:marRight w:val="0"/>
              <w:marTop w:val="0"/>
              <w:marBottom w:val="0"/>
              <w:divBdr>
                <w:top w:val="none" w:sz="0" w:space="0" w:color="auto"/>
                <w:left w:val="none" w:sz="0" w:space="0" w:color="auto"/>
                <w:bottom w:val="none" w:sz="0" w:space="0" w:color="auto"/>
                <w:right w:val="none" w:sz="0" w:space="0" w:color="auto"/>
              </w:divBdr>
              <w:divsChild>
                <w:div w:id="12458420">
                  <w:marLeft w:val="0"/>
                  <w:marRight w:val="0"/>
                  <w:marTop w:val="0"/>
                  <w:marBottom w:val="0"/>
                  <w:divBdr>
                    <w:top w:val="none" w:sz="0" w:space="0" w:color="auto"/>
                    <w:left w:val="none" w:sz="0" w:space="0" w:color="auto"/>
                    <w:bottom w:val="none" w:sz="0" w:space="0" w:color="auto"/>
                    <w:right w:val="none" w:sz="0" w:space="0" w:color="auto"/>
                  </w:divBdr>
                  <w:divsChild>
                    <w:div w:id="138621221">
                      <w:marLeft w:val="0"/>
                      <w:marRight w:val="0"/>
                      <w:marTop w:val="0"/>
                      <w:marBottom w:val="0"/>
                      <w:divBdr>
                        <w:top w:val="none" w:sz="0" w:space="0" w:color="auto"/>
                        <w:left w:val="none" w:sz="0" w:space="0" w:color="auto"/>
                        <w:bottom w:val="none" w:sz="0" w:space="0" w:color="auto"/>
                        <w:right w:val="none" w:sz="0" w:space="0" w:color="auto"/>
                      </w:divBdr>
                    </w:div>
                    <w:div w:id="209820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289991">
          <w:marLeft w:val="0"/>
          <w:marRight w:val="0"/>
          <w:marTop w:val="0"/>
          <w:marBottom w:val="0"/>
          <w:divBdr>
            <w:top w:val="none" w:sz="0" w:space="0" w:color="auto"/>
            <w:left w:val="none" w:sz="0" w:space="0" w:color="auto"/>
            <w:bottom w:val="none" w:sz="0" w:space="0" w:color="auto"/>
            <w:right w:val="none" w:sz="0" w:space="0" w:color="auto"/>
          </w:divBdr>
          <w:divsChild>
            <w:div w:id="1712344777">
              <w:marLeft w:val="0"/>
              <w:marRight w:val="0"/>
              <w:marTop w:val="0"/>
              <w:marBottom w:val="0"/>
              <w:divBdr>
                <w:top w:val="none" w:sz="0" w:space="0" w:color="auto"/>
                <w:left w:val="none" w:sz="0" w:space="0" w:color="auto"/>
                <w:bottom w:val="none" w:sz="0" w:space="0" w:color="auto"/>
                <w:right w:val="none" w:sz="0" w:space="0" w:color="auto"/>
              </w:divBdr>
              <w:divsChild>
                <w:div w:id="750587891">
                  <w:marLeft w:val="0"/>
                  <w:marRight w:val="0"/>
                  <w:marTop w:val="0"/>
                  <w:marBottom w:val="0"/>
                  <w:divBdr>
                    <w:top w:val="none" w:sz="0" w:space="0" w:color="auto"/>
                    <w:left w:val="none" w:sz="0" w:space="0" w:color="auto"/>
                    <w:bottom w:val="none" w:sz="0" w:space="0" w:color="auto"/>
                    <w:right w:val="none" w:sz="0" w:space="0" w:color="auto"/>
                  </w:divBdr>
                  <w:divsChild>
                    <w:div w:id="1512646534">
                      <w:marLeft w:val="0"/>
                      <w:marRight w:val="0"/>
                      <w:marTop w:val="0"/>
                      <w:marBottom w:val="0"/>
                      <w:divBdr>
                        <w:top w:val="none" w:sz="0" w:space="0" w:color="auto"/>
                        <w:left w:val="none" w:sz="0" w:space="0" w:color="auto"/>
                        <w:bottom w:val="none" w:sz="0" w:space="0" w:color="auto"/>
                        <w:right w:val="none" w:sz="0" w:space="0" w:color="auto"/>
                      </w:divBdr>
                    </w:div>
                    <w:div w:id="149777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233408">
          <w:marLeft w:val="0"/>
          <w:marRight w:val="0"/>
          <w:marTop w:val="0"/>
          <w:marBottom w:val="0"/>
          <w:divBdr>
            <w:top w:val="none" w:sz="0" w:space="0" w:color="auto"/>
            <w:left w:val="none" w:sz="0" w:space="0" w:color="auto"/>
            <w:bottom w:val="none" w:sz="0" w:space="0" w:color="auto"/>
            <w:right w:val="none" w:sz="0" w:space="0" w:color="auto"/>
          </w:divBdr>
          <w:divsChild>
            <w:div w:id="343173335">
              <w:marLeft w:val="0"/>
              <w:marRight w:val="0"/>
              <w:marTop w:val="0"/>
              <w:marBottom w:val="0"/>
              <w:divBdr>
                <w:top w:val="none" w:sz="0" w:space="0" w:color="auto"/>
                <w:left w:val="none" w:sz="0" w:space="0" w:color="auto"/>
                <w:bottom w:val="none" w:sz="0" w:space="0" w:color="auto"/>
                <w:right w:val="none" w:sz="0" w:space="0" w:color="auto"/>
              </w:divBdr>
              <w:divsChild>
                <w:div w:id="508908991">
                  <w:marLeft w:val="0"/>
                  <w:marRight w:val="0"/>
                  <w:marTop w:val="0"/>
                  <w:marBottom w:val="0"/>
                  <w:divBdr>
                    <w:top w:val="none" w:sz="0" w:space="0" w:color="auto"/>
                    <w:left w:val="none" w:sz="0" w:space="0" w:color="auto"/>
                    <w:bottom w:val="none" w:sz="0" w:space="0" w:color="auto"/>
                    <w:right w:val="none" w:sz="0" w:space="0" w:color="auto"/>
                  </w:divBdr>
                  <w:divsChild>
                    <w:div w:id="1720207045">
                      <w:marLeft w:val="0"/>
                      <w:marRight w:val="0"/>
                      <w:marTop w:val="0"/>
                      <w:marBottom w:val="0"/>
                      <w:divBdr>
                        <w:top w:val="none" w:sz="0" w:space="0" w:color="auto"/>
                        <w:left w:val="none" w:sz="0" w:space="0" w:color="auto"/>
                        <w:bottom w:val="none" w:sz="0" w:space="0" w:color="auto"/>
                        <w:right w:val="none" w:sz="0" w:space="0" w:color="auto"/>
                      </w:divBdr>
                    </w:div>
                    <w:div w:id="47376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el-ejercicio-de-las-funciones-de-supervision-e-interventoria-de-los-contratos-suscritos-por-las-entidades-estatale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tatianatrujillozuniga@outlook.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www.colombiacompra.gov.c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F82FEA-C1DC-4E4B-BA3D-BAAA50B8F003}">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purl.org/dc/dcmitype/"/>
    <ds:schemaRef ds:uri="http://purl.org/dc/elements/1.1/"/>
    <ds:schemaRef ds:uri="http://schemas.microsoft.com/office/2006/documentManagement/types"/>
    <ds:schemaRef ds:uri="http://www.w3.org/XML/1998/namespace"/>
    <ds:schemaRef ds:uri="9d85dbaf-23eb-4e57-a637-93dcacc8b1a1"/>
    <ds:schemaRef ds:uri="http://purl.org/dc/terms/"/>
    <ds:schemaRef ds:uri="http://schemas.microsoft.com/office/infopath/2007/PartnerControls"/>
    <ds:schemaRef ds:uri="http://schemas.openxmlformats.org/package/2006/metadata/core-properties"/>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3738F1E5-FD77-429F-A9D3-9F40E24E35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3614</Words>
  <Characters>19881</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2025-02-25T15:45:00Z</cp:lastPrinted>
  <dcterms:created xsi:type="dcterms:W3CDTF">2025-11-04T16:43:00Z</dcterms:created>
  <dcterms:modified xsi:type="dcterms:W3CDTF">2025-11-04T16:43:00Z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