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C2B004" w14:textId="77777777" w:rsidR="002D6E05" w:rsidRPr="002D6E05" w:rsidRDefault="002D6E05" w:rsidP="002D6E05">
      <w:pPr>
        <w:spacing w:after="0" w:line="240" w:lineRule="auto"/>
        <w:jc w:val="both"/>
        <w:rPr>
          <w:rFonts w:ascii="Verdana" w:hAnsi="Verdana"/>
          <w:b/>
          <w:lang w:val="es-ES_tradnl"/>
        </w:rPr>
      </w:pPr>
      <w:bookmarkStart w:id="0" w:name="_Hlk143780582"/>
      <w:r w:rsidRPr="002D6E05">
        <w:rPr>
          <w:rFonts w:ascii="Verdana" w:hAnsi="Verdana"/>
          <w:b/>
          <w:lang w:val="es-ES_tradnl"/>
        </w:rPr>
        <w:t>CLÁUSULAS EXCEPCIONALES – Noción- Alcance</w:t>
      </w:r>
    </w:p>
    <w:p w14:paraId="6FA5F89F" w14:textId="152023A3" w:rsidR="002D6E05" w:rsidRDefault="002D6E05" w:rsidP="002D6E05">
      <w:pPr>
        <w:spacing w:after="0" w:line="240" w:lineRule="auto"/>
        <w:jc w:val="both"/>
        <w:rPr>
          <w:rFonts w:ascii="Verdana" w:hAnsi="Verdana"/>
          <w:b/>
          <w:lang w:val="es-ES_tradnl"/>
        </w:rPr>
      </w:pPr>
    </w:p>
    <w:p w14:paraId="0D03E927" w14:textId="39AF9173" w:rsidR="002D6E05" w:rsidRDefault="002D6E05" w:rsidP="002D6E05">
      <w:pPr>
        <w:spacing w:after="0" w:line="240" w:lineRule="auto"/>
        <w:jc w:val="both"/>
        <w:rPr>
          <w:rFonts w:ascii="Verdana" w:hAnsi="Verdana"/>
          <w:sz w:val="20"/>
          <w:lang w:val="es-ES"/>
        </w:rPr>
      </w:pPr>
      <w:r w:rsidRPr="002D6E05">
        <w:rPr>
          <w:rFonts w:ascii="Verdana" w:hAnsi="Verdana"/>
          <w:sz w:val="20"/>
          <w:lang w:val="es-ES"/>
        </w:rPr>
        <w:t xml:space="preserve">Durante la ejecución de los contratos, las Entidades Estatales sometidas al Estatuto General de Contratación de la Administración Pública –en adelante EGCAP– usualmente cuentan con distintas potestades exorbitantes o excepcionales, con base en las cuales ejercen la dirección general del contrato y realizan las actividades propias de vigilancia y control. Entre dichas potestades se encuentran: a) Las cláusulas excepcionales del </w:t>
      </w:r>
      <w:r w:rsidRPr="002D6E05">
        <w:rPr>
          <w:rFonts w:ascii="Verdana" w:hAnsi="Verdana"/>
          <w:i/>
          <w:iCs/>
          <w:sz w:val="20"/>
          <w:lang w:val="es-ES"/>
        </w:rPr>
        <w:t>artículo 14</w:t>
      </w:r>
      <w:r w:rsidRPr="002D6E05">
        <w:rPr>
          <w:rFonts w:ascii="Verdana" w:hAnsi="Verdana"/>
          <w:sz w:val="20"/>
          <w:lang w:val="es-ES"/>
        </w:rPr>
        <w:t xml:space="preserve"> de la Ley 80 de 1993, concepto que incluye la terminación unilateral, la interpretación unilateral, la modificación unilateral, la caducidad y la reversión. Dichas prerrogativas se desarrollan en los artículos 15 a 19 </w:t>
      </w:r>
      <w:r w:rsidRPr="002D6E05">
        <w:rPr>
          <w:rFonts w:ascii="Verdana" w:hAnsi="Verdana"/>
          <w:i/>
          <w:iCs/>
          <w:sz w:val="20"/>
          <w:lang w:val="es-ES"/>
        </w:rPr>
        <w:t>ibidem</w:t>
      </w:r>
      <w:r w:rsidRPr="002D6E05">
        <w:rPr>
          <w:rFonts w:ascii="Verdana" w:hAnsi="Verdana"/>
          <w:sz w:val="20"/>
          <w:lang w:val="es-ES"/>
        </w:rPr>
        <w:t xml:space="preserve">; b) Las cláusulas excepcionales de </w:t>
      </w:r>
      <w:r w:rsidRPr="002D6E05">
        <w:rPr>
          <w:rFonts w:ascii="Verdana" w:hAnsi="Verdana"/>
          <w:i/>
          <w:iCs/>
          <w:sz w:val="20"/>
          <w:lang w:val="es-ES"/>
        </w:rPr>
        <w:t>imposición unilateral de las cláusulas penales y de multas</w:t>
      </w:r>
      <w:r w:rsidRPr="002D6E05">
        <w:rPr>
          <w:rFonts w:ascii="Verdana" w:hAnsi="Verdana"/>
          <w:sz w:val="20"/>
          <w:lang w:val="es-ES"/>
        </w:rPr>
        <w:t xml:space="preserve">, según lo establecido en el artículo 17 de la Ley 1150 de 2007. En este caso su exorbitancia se refiere a la facultad de imposición unilateral, no a su pacto, que es posible en virtud de las normas civiles y comerciales; c) Las potestades establecidas en otras disposiciones como la liquidación unilateral y la </w:t>
      </w:r>
      <w:r w:rsidRPr="002D6E05">
        <w:rPr>
          <w:rFonts w:ascii="Verdana" w:hAnsi="Verdana"/>
          <w:i/>
          <w:iCs/>
          <w:sz w:val="20"/>
          <w:lang w:val="es-ES"/>
        </w:rPr>
        <w:t>declaratoria unilateral del siniestro</w:t>
      </w:r>
      <w:r w:rsidRPr="002D6E05">
        <w:rPr>
          <w:rFonts w:ascii="Verdana" w:hAnsi="Verdana"/>
          <w:sz w:val="20"/>
          <w:lang w:val="es-ES"/>
        </w:rPr>
        <w:t xml:space="preserve"> –artículos 7 y 11 de la Ley 1150 de 2007–.</w:t>
      </w:r>
    </w:p>
    <w:p w14:paraId="1F6BBDC0" w14:textId="77777777" w:rsidR="002D6E05" w:rsidRPr="002D6E05" w:rsidRDefault="002D6E05" w:rsidP="002D6E05">
      <w:pPr>
        <w:spacing w:after="0" w:line="240" w:lineRule="auto"/>
        <w:jc w:val="both"/>
        <w:rPr>
          <w:rFonts w:ascii="Verdana" w:hAnsi="Verdana"/>
          <w:sz w:val="20"/>
          <w:lang w:val="es-ES_tradnl"/>
        </w:rPr>
      </w:pPr>
    </w:p>
    <w:p w14:paraId="486CFE44" w14:textId="77777777" w:rsidR="002D6E05" w:rsidRPr="002D6E05" w:rsidRDefault="002D6E05" w:rsidP="002D6E05">
      <w:pPr>
        <w:spacing w:after="0" w:line="240" w:lineRule="auto"/>
        <w:jc w:val="both"/>
        <w:rPr>
          <w:rFonts w:ascii="Verdana" w:hAnsi="Verdana"/>
          <w:b/>
          <w:lang w:val="es-ES_tradnl"/>
        </w:rPr>
      </w:pPr>
      <w:r w:rsidRPr="002D6E05">
        <w:rPr>
          <w:rFonts w:ascii="Verdana" w:hAnsi="Verdana"/>
          <w:b/>
          <w:lang w:val="es-ES_tradnl"/>
        </w:rPr>
        <w:t xml:space="preserve">PROCEDIMIENTO ADMINISTRATIVO SANCIONATORIO CONTRACTUAL – Artículo 86 – Ley 1474 de 2011 - Etapas </w:t>
      </w:r>
    </w:p>
    <w:p w14:paraId="75698ACE" w14:textId="77777777" w:rsidR="002D6E05" w:rsidRDefault="002D6E05" w:rsidP="002D6E05">
      <w:pPr>
        <w:spacing w:after="0" w:line="240" w:lineRule="auto"/>
        <w:jc w:val="both"/>
        <w:rPr>
          <w:rFonts w:ascii="Verdana" w:hAnsi="Verdana"/>
          <w:b/>
          <w:lang w:val="es-ES"/>
        </w:rPr>
      </w:pPr>
    </w:p>
    <w:p w14:paraId="69D3590F" w14:textId="505203D3" w:rsidR="002D6E05" w:rsidRPr="002D6E05" w:rsidRDefault="002D6E05" w:rsidP="002D6E05">
      <w:pPr>
        <w:spacing w:after="0" w:line="240" w:lineRule="auto"/>
        <w:jc w:val="both"/>
        <w:rPr>
          <w:rFonts w:ascii="Verdana" w:hAnsi="Verdana"/>
          <w:bCs/>
          <w:iCs/>
          <w:sz w:val="20"/>
          <w:lang w:val="es-MX"/>
        </w:rPr>
      </w:pPr>
      <w:r w:rsidRPr="002D6E05">
        <w:rPr>
          <w:rFonts w:ascii="Verdana" w:hAnsi="Verdana"/>
          <w:sz w:val="20"/>
          <w:lang w:val="es-ES"/>
        </w:rPr>
        <w:t xml:space="preserve">De conformidad con lo anterior, el artículo 86 de la Ley 1474 de 2011 establece como etapas del procedimiento que deben seguir las Entidades Estatales: </w:t>
      </w:r>
      <w:r w:rsidRPr="002D6E05">
        <w:rPr>
          <w:rFonts w:ascii="Verdana" w:hAnsi="Verdana"/>
          <w:bCs/>
          <w:iCs/>
          <w:sz w:val="20"/>
          <w:lang w:val="es-MX"/>
        </w:rPr>
        <w:t>i) c</w:t>
      </w:r>
      <w:r w:rsidRPr="002D6E05">
        <w:rPr>
          <w:rFonts w:ascii="Verdana" w:hAnsi="Verdana"/>
          <w:bCs/>
          <w:i/>
          <w:iCs/>
          <w:sz w:val="20"/>
          <w:lang w:val="es-MX"/>
        </w:rPr>
        <w:t>itación a audiencia</w:t>
      </w:r>
      <w:r w:rsidRPr="002D6E05">
        <w:rPr>
          <w:rFonts w:ascii="Verdana" w:hAnsi="Verdana"/>
          <w:bCs/>
          <w:iCs/>
          <w:sz w:val="20"/>
          <w:lang w:val="es-MX"/>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En esta línea, el informe de supervisión o de interventoría sirve como insumo que debe tener en el momento de declarar el incumplimiento. En todo caso, </w:t>
      </w:r>
      <w:r w:rsidRPr="002D6E05">
        <w:rPr>
          <w:rFonts w:ascii="Verdana" w:hAnsi="Verdana"/>
          <w:bCs/>
          <w:iCs/>
          <w:sz w:val="20"/>
        </w:rPr>
        <w:t>el Consejo de Estado ha expresado que el informe del interventor no puede entenderse como el único o exclusivo insumo para declarar la responsabilidad del contratista, puesto que la ley no establece una tarifa probatoria sobre el particular, y porque aun existiendo, la entidad debe verificar su certeza y analizarlo con las demás pruebas allegadas al procedimiento administrativo sancionatorio.</w:t>
      </w:r>
      <w:r w:rsidRPr="002D6E05">
        <w:rPr>
          <w:rFonts w:ascii="Verdana" w:hAnsi="Verdana"/>
          <w:bCs/>
          <w:iCs/>
          <w:sz w:val="20"/>
          <w:lang w:val="es-MX"/>
        </w:rPr>
        <w:t xml:space="preserve"> ii) </w:t>
      </w:r>
      <w:r w:rsidRPr="002D6E05">
        <w:rPr>
          <w:rFonts w:ascii="Verdana" w:hAnsi="Verdana"/>
          <w:bCs/>
          <w:i/>
          <w:iCs/>
          <w:sz w:val="20"/>
          <w:lang w:val="es-MX"/>
        </w:rPr>
        <w:t>Audiencia</w:t>
      </w:r>
      <w:r w:rsidRPr="002D6E05">
        <w:rPr>
          <w:rFonts w:ascii="Verdana" w:hAnsi="Verdana"/>
          <w:bCs/>
          <w:iCs/>
          <w:sz w:val="20"/>
          <w:lang w:val="es-MX"/>
        </w:rPr>
        <w:t xml:space="preserve">.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rindan las explicaciones del caso, siendo razonable que presenten alegatos de conclusión, con el fin de presentar sus argumentos finales antes de que se tome una decisión. Por último, iii) </w:t>
      </w:r>
      <w:r w:rsidRPr="002D6E05">
        <w:rPr>
          <w:rFonts w:ascii="Verdana" w:hAnsi="Verdana"/>
          <w:bCs/>
          <w:i/>
          <w:iCs/>
          <w:sz w:val="20"/>
          <w:lang w:val="es-MX"/>
        </w:rPr>
        <w:t>Decisión</w:t>
      </w:r>
      <w:r w:rsidRPr="002D6E05">
        <w:rPr>
          <w:rFonts w:ascii="Verdana" w:hAnsi="Verdana"/>
          <w:bCs/>
          <w:iCs/>
          <w:sz w:val="20"/>
          <w:lang w:val="es-MX"/>
        </w:rPr>
        <w:t xml:space="preserve">. Debe estar contenida en resolución motivada donde se consigne, por un lado, lo ocurrido en el desarrollo de la diligencia y, por el otro, lo relativo a la imposición de las sanciones o la declaratoria de incumplimiento del contrato estatal. Contra la decisión únicamente procede el recurso de reposición que se interpondrá, sustentará y decidirá en la misma diligencia. Ambas decisiones se entenderán notificadas en audiencia. En este caso, el acto que contiene la decisión tendrá la naturaleza de ser un acto administrativo. </w:t>
      </w:r>
    </w:p>
    <w:p w14:paraId="2143D893" w14:textId="77777777" w:rsidR="002D6E05" w:rsidRPr="002D6E05" w:rsidRDefault="002D6E05" w:rsidP="002D6E05">
      <w:pPr>
        <w:spacing w:after="0" w:line="240" w:lineRule="auto"/>
        <w:jc w:val="both"/>
        <w:rPr>
          <w:rFonts w:ascii="Verdana" w:hAnsi="Verdana"/>
          <w:b/>
          <w:lang w:val="es-MX"/>
        </w:rPr>
      </w:pPr>
    </w:p>
    <w:p w14:paraId="14D40E0E" w14:textId="77777777" w:rsidR="002D6E05" w:rsidRPr="002D6E05" w:rsidRDefault="002D6E05" w:rsidP="002D6E05">
      <w:pPr>
        <w:spacing w:after="0" w:line="240" w:lineRule="auto"/>
        <w:jc w:val="both"/>
        <w:rPr>
          <w:rFonts w:ascii="Verdana" w:hAnsi="Verdana"/>
          <w:b/>
          <w:lang w:val="es-ES_tradnl"/>
        </w:rPr>
      </w:pPr>
      <w:r w:rsidRPr="002D6E05">
        <w:rPr>
          <w:rFonts w:ascii="Verdana" w:hAnsi="Verdana"/>
          <w:b/>
          <w:lang w:val="es-ES_tradnl"/>
        </w:rPr>
        <w:t>PROCEDIMIENTO SANCIONATORIO CONTRACTUAL – Facultades Sancionatorias – CPACA</w:t>
      </w:r>
    </w:p>
    <w:p w14:paraId="076BA32E" w14:textId="47970E6F" w:rsidR="002D6E05" w:rsidRPr="0028551C" w:rsidRDefault="002D6E05" w:rsidP="0028551C">
      <w:pPr>
        <w:spacing w:after="0" w:line="240" w:lineRule="auto"/>
        <w:jc w:val="both"/>
        <w:rPr>
          <w:rFonts w:ascii="Verdana" w:hAnsi="Verdana"/>
          <w:sz w:val="20"/>
          <w:lang w:val="es-ES_tradnl"/>
        </w:rPr>
      </w:pPr>
    </w:p>
    <w:p w14:paraId="215AAEBF" w14:textId="77777777" w:rsidR="0028551C" w:rsidRDefault="0028551C" w:rsidP="0028551C">
      <w:pPr>
        <w:spacing w:after="0" w:line="240" w:lineRule="auto"/>
        <w:jc w:val="both"/>
        <w:rPr>
          <w:rFonts w:ascii="Verdana" w:hAnsi="Verdana"/>
          <w:sz w:val="20"/>
        </w:rPr>
      </w:pPr>
      <w:r w:rsidRPr="0028551C">
        <w:rPr>
          <w:rFonts w:ascii="Verdana" w:hAnsi="Verdana"/>
          <w:sz w:val="20"/>
        </w:rPr>
        <w:t>Respecto a los procedimientos administrativos sancionatorios contractuales, el parágrafo 1 del artículo 47 del CPACA expresamente dispone que estos se rigen por las normas especiales en la materia, incluido los recursos. Por tal razón, en principio la norma aplicable para ejercer las potestades sancionatorias contractuales es el artículo 86 de la Ley 1474 de 2011 que comporta un procedimiento especial, célere, eficaz y sumario, llevado a cabo en audiencia pública y que brinda las garantías mínimas al contratista para ejercer su derecho de defensa y contradicción, justificadas en el debido proceso, en los términos del artículo 17 de la Ley 1150 de 2007.</w:t>
      </w:r>
    </w:p>
    <w:p w14:paraId="67652CFA" w14:textId="2EA8EB61" w:rsidR="0028551C" w:rsidRPr="0028551C" w:rsidRDefault="0028551C" w:rsidP="0028551C">
      <w:pPr>
        <w:spacing w:after="0" w:line="240" w:lineRule="auto"/>
        <w:jc w:val="both"/>
        <w:rPr>
          <w:rFonts w:ascii="Verdana" w:hAnsi="Verdana"/>
          <w:sz w:val="20"/>
        </w:rPr>
      </w:pPr>
      <w:r w:rsidRPr="0028551C">
        <w:rPr>
          <w:rFonts w:ascii="Verdana" w:hAnsi="Verdana"/>
          <w:sz w:val="20"/>
        </w:rPr>
        <w:t xml:space="preserve"> </w:t>
      </w:r>
    </w:p>
    <w:p w14:paraId="09119D7B" w14:textId="61A0B612" w:rsidR="0028551C" w:rsidRDefault="0028551C" w:rsidP="0028551C">
      <w:pPr>
        <w:spacing w:after="0" w:line="240" w:lineRule="auto"/>
        <w:jc w:val="both"/>
        <w:rPr>
          <w:rFonts w:ascii="Verdana" w:hAnsi="Verdana"/>
          <w:sz w:val="20"/>
        </w:rPr>
      </w:pPr>
      <w:r w:rsidRPr="0028551C">
        <w:rPr>
          <w:rFonts w:ascii="Verdana" w:hAnsi="Verdana"/>
          <w:sz w:val="20"/>
        </w:rPr>
        <w:t>Sin perjuicio de lo anterior, puede considerarse que, dado el carácter supletivo del procedimiento administrativo sancionatorio del CPACA, las reglas de este procedimiento pueden complementar los aspectos no previstos en las normas especiales que rigen el procedimiento administrativo sancionatorio contractual. La anterior conclusión se sustenta en lo siguiente: i) el primer inciso del artículo 77 de la Ley 80 de 1993 establece una remisión a las normas del CPACA que rigen los procedimientos administrativos, en lo que sea compatible con el Estatuto General de Contratación de la Administración Pública y ii) los artículos 2 y 47 (inciso 1) del CPACA, consagran el principio de subsidiariedad, en virtud del cual las normas de la primera parte del código se deben aplicar en aquellos casos en los cuales haya vacío en las normas especiales.</w:t>
      </w:r>
    </w:p>
    <w:p w14:paraId="6D75BE02" w14:textId="77777777" w:rsidR="0028551C" w:rsidRPr="0028551C" w:rsidRDefault="0028551C" w:rsidP="0028551C">
      <w:pPr>
        <w:spacing w:after="0" w:line="240" w:lineRule="auto"/>
        <w:jc w:val="both"/>
        <w:rPr>
          <w:rFonts w:ascii="Verdana" w:hAnsi="Verdana"/>
          <w:sz w:val="20"/>
          <w:lang w:val="es-ES_tradnl"/>
        </w:rPr>
      </w:pPr>
    </w:p>
    <w:p w14:paraId="3FA96529" w14:textId="3C52E1E2" w:rsidR="002D6E05" w:rsidRDefault="002D6E05" w:rsidP="002D6E05">
      <w:pPr>
        <w:spacing w:after="0" w:line="240" w:lineRule="auto"/>
        <w:jc w:val="both"/>
        <w:rPr>
          <w:rFonts w:ascii="Verdana" w:hAnsi="Verdana"/>
          <w:b/>
          <w:lang w:val="es-ES_tradnl"/>
        </w:rPr>
      </w:pPr>
      <w:r w:rsidRPr="002D6E05">
        <w:rPr>
          <w:rFonts w:ascii="Verdana" w:hAnsi="Verdana"/>
          <w:b/>
          <w:lang w:val="es-ES_tradnl"/>
        </w:rPr>
        <w:t xml:space="preserve">CADUCIDAD DE LA FACULTAD SANCIONATORIA – Procedimiento Administrativo Sancionatorio Contractual – Aplicación subsidiaria – Artículo 52 –CPACA </w:t>
      </w:r>
    </w:p>
    <w:p w14:paraId="52B07FCE" w14:textId="5DF971A7" w:rsidR="0028551C" w:rsidRDefault="0028551C" w:rsidP="002D6E05">
      <w:pPr>
        <w:spacing w:after="0" w:line="240" w:lineRule="auto"/>
        <w:jc w:val="both"/>
        <w:rPr>
          <w:rFonts w:ascii="Verdana" w:hAnsi="Verdana"/>
          <w:b/>
          <w:lang w:val="es-ES_tradnl"/>
        </w:rPr>
      </w:pPr>
    </w:p>
    <w:p w14:paraId="66CE1386" w14:textId="18ACF00F" w:rsidR="0028551C" w:rsidRDefault="0028551C" w:rsidP="0028551C">
      <w:pPr>
        <w:spacing w:after="0" w:line="240" w:lineRule="auto"/>
        <w:jc w:val="both"/>
        <w:rPr>
          <w:rFonts w:ascii="Verdana" w:hAnsi="Verdana"/>
          <w:sz w:val="20"/>
        </w:rPr>
      </w:pPr>
      <w:r w:rsidRPr="0028551C">
        <w:rPr>
          <w:rFonts w:ascii="Verdana" w:hAnsi="Verdana"/>
          <w:sz w:val="20"/>
        </w:rPr>
        <w:t>Definido lo anterior se observa que el artículo 52 del CPACA es la norma que consagra la caducidad de la facultad que tienen las autoridades administrativas para imponer sanciones, que opera luego de transcurridos tres (3) años de ocurrido el hecho, la conducta u omisión que pudiere ocasionarlas, plazo dentro del cual el acto administrativo sancionatorio debe quedar expedido y notificado. Además, estableció de manera independiente y autónoma el término de un (1) año para resolver los recursos procedentes contra el acto sancionatorio, contado a partir de la interposición de los mismos, so pena de la pérdida de competencia. Finalmente, dispuso que, si los recursos no se deciden en el término fijado, se entenderán resueltos a favor del recurrente.</w:t>
      </w:r>
    </w:p>
    <w:p w14:paraId="3D822566" w14:textId="77777777" w:rsidR="0028551C" w:rsidRPr="0028551C" w:rsidRDefault="0028551C" w:rsidP="0028551C">
      <w:pPr>
        <w:spacing w:after="0" w:line="240" w:lineRule="auto"/>
        <w:jc w:val="both"/>
        <w:rPr>
          <w:rFonts w:ascii="Verdana" w:hAnsi="Verdana"/>
          <w:sz w:val="20"/>
        </w:rPr>
      </w:pPr>
    </w:p>
    <w:p w14:paraId="0ACFEF13" w14:textId="4266066B" w:rsidR="0028551C" w:rsidRDefault="0028551C" w:rsidP="0028551C">
      <w:pPr>
        <w:spacing w:after="0" w:line="240" w:lineRule="auto"/>
        <w:jc w:val="both"/>
        <w:rPr>
          <w:rFonts w:ascii="Verdana" w:hAnsi="Verdana"/>
          <w:sz w:val="20"/>
        </w:rPr>
      </w:pPr>
      <w:r w:rsidRPr="0028551C">
        <w:rPr>
          <w:rFonts w:ascii="Verdana" w:hAnsi="Verdana"/>
          <w:sz w:val="20"/>
        </w:rPr>
        <w:t xml:space="preserve">Ahora bien, en vista de que el artículo 86 de la Ley 1474 de 2011 no reguló este asunto de manera especial, resultaría posible aplicar el artículo 52 del CPACA, si las circunstancias de un caso concreto lo ameritan, porque no contradice la norma especial, sino que la complementa. Lo anterior aun cuando el artículo 86 de la Ley 1474 establece que el recurso de reposición debe resolverse en la misma audiencia; pero no regula la consecuencia de lo que ocurriría si la entidad contratante no lo resuelve en esa </w:t>
      </w:r>
      <w:r w:rsidRPr="0028551C">
        <w:rPr>
          <w:rFonts w:ascii="Verdana" w:hAnsi="Verdana"/>
          <w:sz w:val="20"/>
        </w:rPr>
        <w:lastRenderedPageBreak/>
        <w:t xml:space="preserve">oportunidad, situación irregular que entraría a suplirse con lo dispuesto en la norma del procedimiento sancionatorio general. </w:t>
      </w:r>
    </w:p>
    <w:p w14:paraId="5F111DAC" w14:textId="77777777" w:rsidR="0028551C" w:rsidRPr="0028551C" w:rsidRDefault="0028551C" w:rsidP="0028551C">
      <w:pPr>
        <w:spacing w:after="0" w:line="240" w:lineRule="auto"/>
        <w:jc w:val="both"/>
        <w:rPr>
          <w:rFonts w:ascii="Verdana" w:hAnsi="Verdana"/>
          <w:sz w:val="20"/>
        </w:rPr>
      </w:pPr>
    </w:p>
    <w:p w14:paraId="661354E3" w14:textId="77777777" w:rsidR="0028551C" w:rsidRPr="0028551C" w:rsidRDefault="0028551C" w:rsidP="0028551C">
      <w:pPr>
        <w:spacing w:after="0" w:line="240" w:lineRule="auto"/>
        <w:jc w:val="both"/>
        <w:rPr>
          <w:rFonts w:ascii="Verdana" w:hAnsi="Verdana"/>
          <w:sz w:val="20"/>
        </w:rPr>
      </w:pPr>
      <w:r w:rsidRPr="0028551C">
        <w:rPr>
          <w:rFonts w:ascii="Verdana" w:hAnsi="Verdana"/>
          <w:sz w:val="20"/>
        </w:rPr>
        <w:t>A partir de la integración normativa, entre el artículo 86 de la Ley 1474 de 2011 y el artículo 52 de la Ley 1437 de 2011, se constata que esta facultad sancionatoria debe ejercerse dentro del marco temporal fijado por el artículo 52 de la Ley 1437 de 2011, lo que significa que la administración solo puede iniciar y culminar el procedimiento sancionatorio dentro de los tres años siguientes al hecho constitutivo de incumplimiento. En consecuencia, la caducidad actúa como límite material y temporal que condiciona la procedencia de las sanciones contractuales, garantizando que el ejercicio de la potestad sancionadora se ajuste a los principios de legalidad, proporcionalidad y seguridad jurídica.</w:t>
      </w:r>
    </w:p>
    <w:p w14:paraId="117DF1E3" w14:textId="76862CBD" w:rsidR="002D6E05" w:rsidRPr="002D6E05" w:rsidRDefault="002D6E05" w:rsidP="002D6E05">
      <w:pPr>
        <w:spacing w:after="0" w:line="240" w:lineRule="auto"/>
        <w:jc w:val="both"/>
        <w:rPr>
          <w:rFonts w:ascii="Verdana" w:hAnsi="Verdana"/>
          <w:b/>
          <w:lang w:val="es-ES_tradnl"/>
        </w:rPr>
      </w:pPr>
    </w:p>
    <w:p w14:paraId="191CFA53" w14:textId="573E70E5" w:rsidR="002D6E05" w:rsidRPr="002D6E05" w:rsidRDefault="002D6E05" w:rsidP="002D6E05">
      <w:pPr>
        <w:spacing w:after="0" w:line="240" w:lineRule="auto"/>
        <w:jc w:val="both"/>
        <w:rPr>
          <w:rFonts w:ascii="Verdana" w:hAnsi="Verdana"/>
          <w:b/>
          <w:lang w:val="es-ES_tradnl"/>
        </w:rPr>
      </w:pPr>
      <w:r w:rsidRPr="002D6E05">
        <w:rPr>
          <w:rFonts w:ascii="Verdana" w:hAnsi="Verdana"/>
          <w:b/>
          <w:lang w:val="es-ES_tradnl"/>
        </w:rPr>
        <w:t xml:space="preserve">CADUCIDAD DE LA FACULTAD SANCIONATORIA – SECOP II – Procedimientos Aplicables. </w:t>
      </w:r>
    </w:p>
    <w:p w14:paraId="01EC4356" w14:textId="77777777" w:rsidR="002D6E05" w:rsidRPr="0028551C" w:rsidRDefault="002D6E05" w:rsidP="0028551C">
      <w:pPr>
        <w:spacing w:after="0" w:line="240" w:lineRule="auto"/>
        <w:jc w:val="both"/>
        <w:rPr>
          <w:rFonts w:ascii="Verdana" w:hAnsi="Verdana"/>
          <w:sz w:val="20"/>
          <w:lang w:val="es-ES_tradnl"/>
        </w:rPr>
      </w:pPr>
    </w:p>
    <w:p w14:paraId="31D63663" w14:textId="2802877F" w:rsidR="0028551C" w:rsidRDefault="0028551C" w:rsidP="0028551C">
      <w:pPr>
        <w:spacing w:after="0" w:line="240" w:lineRule="auto"/>
        <w:jc w:val="both"/>
        <w:rPr>
          <w:rFonts w:ascii="Verdana" w:hAnsi="Verdana"/>
          <w:sz w:val="20"/>
        </w:rPr>
      </w:pPr>
      <w:r w:rsidRPr="0028551C">
        <w:rPr>
          <w:rFonts w:ascii="Verdana" w:hAnsi="Verdana"/>
          <w:sz w:val="20"/>
        </w:rPr>
        <w:t xml:space="preserve">Teniendo en cuenta lo expresado en las anteriores consideraciones y a partir de uno de los problemas jurídico, objeto de consulta, es pertinente revisar la necesidad de modificar el estado del proceso contractual en SECOP II derivado de la caducidad de la facultad sancionatoria, ya sea con la terminación, liquidación o cierre del contrato en dicha plataforma. Para ello, la entidad estatal debe revisar cuál es el procedimiento a seguir, lo cual depende de la etapa en que se encuentra el proceso, ya sea con la terminación, liquidación o cierre del contrato en el SECOP II. </w:t>
      </w:r>
    </w:p>
    <w:p w14:paraId="0414DA9F" w14:textId="77777777" w:rsidR="0028551C" w:rsidRPr="0028551C" w:rsidRDefault="0028551C" w:rsidP="0028551C">
      <w:pPr>
        <w:spacing w:after="0" w:line="240" w:lineRule="auto"/>
        <w:jc w:val="both"/>
        <w:rPr>
          <w:rFonts w:ascii="Verdana" w:hAnsi="Verdana"/>
          <w:sz w:val="20"/>
        </w:rPr>
      </w:pPr>
    </w:p>
    <w:p w14:paraId="01F151C7" w14:textId="77777777" w:rsidR="0028551C" w:rsidRPr="0028551C" w:rsidRDefault="0028551C" w:rsidP="0028551C">
      <w:pPr>
        <w:spacing w:after="0" w:line="240" w:lineRule="auto"/>
        <w:jc w:val="both"/>
        <w:rPr>
          <w:rFonts w:ascii="Verdana" w:hAnsi="Verdana"/>
          <w:sz w:val="20"/>
        </w:rPr>
      </w:pPr>
      <w:r w:rsidRPr="0028551C">
        <w:rPr>
          <w:rFonts w:ascii="Verdana" w:hAnsi="Verdana"/>
          <w:sz w:val="20"/>
        </w:rPr>
        <w:t>Al respecto, el usuario de la Entidad Estatal podrá gestionar la terminación, liquidación y cierre del contrato en el SECOP II así: al seleccionar esta modificación, el SECOP II muestra un mensaje con la pregunta “¿Requiere reconocimiento del proveedor?”. Por defecto, esta opción viene seleccionada, lo cual, indica que la modificación requiere aprobación del Proveedor. Si va a efectuar una terminación bilateral o una liquidación bilateral del contrato debe seleccionar esta opción, esto es, que requiera la aprobación del proveedor, teniendo en cuenta que el SECOP II como plataforma transaccional, es donde ambas partes –entidad estatal y proveedor- aprueban los documentos. Por tanto, no se aceptan que las actas de liquidación sean subidas en documentos de ejecución, pues no corresponden a esta etapa de la contratación estatal, salvo que por problemas técnicos en la plataforma no pueda aprobarse la liquidación. Para el caso de una terminación unilateral o caducar el contrato, deja esta opción sin marcar.</w:t>
      </w:r>
    </w:p>
    <w:p w14:paraId="603C93D9" w14:textId="77777777" w:rsidR="002D6E05" w:rsidRDefault="002D6E05" w:rsidP="00F379B1">
      <w:pPr>
        <w:spacing w:after="0"/>
        <w:rPr>
          <w:rFonts w:ascii="Verdana" w:hAnsi="Verdana"/>
        </w:rPr>
      </w:pPr>
    </w:p>
    <w:p w14:paraId="6B6EB198" w14:textId="67BABC9F" w:rsidR="002D6E05" w:rsidRDefault="002D6E05" w:rsidP="00F379B1">
      <w:pPr>
        <w:spacing w:after="0"/>
        <w:rPr>
          <w:rFonts w:ascii="Verdana" w:hAnsi="Verdana"/>
        </w:rPr>
      </w:pPr>
    </w:p>
    <w:p w14:paraId="01E31C39" w14:textId="75BD7BCE" w:rsidR="0028551C" w:rsidRDefault="0028551C" w:rsidP="00F379B1">
      <w:pPr>
        <w:spacing w:after="0"/>
        <w:rPr>
          <w:rFonts w:ascii="Verdana" w:hAnsi="Verdana"/>
        </w:rPr>
      </w:pPr>
    </w:p>
    <w:p w14:paraId="014395D6" w14:textId="3E4B1A10" w:rsidR="0028551C" w:rsidRDefault="0028551C" w:rsidP="00F379B1">
      <w:pPr>
        <w:spacing w:after="0"/>
        <w:rPr>
          <w:rFonts w:ascii="Verdana" w:hAnsi="Verdana"/>
        </w:rPr>
      </w:pPr>
    </w:p>
    <w:p w14:paraId="6233BB17" w14:textId="02879F47" w:rsidR="0028551C" w:rsidRDefault="0028551C" w:rsidP="00F379B1">
      <w:pPr>
        <w:spacing w:after="0"/>
        <w:rPr>
          <w:rFonts w:ascii="Verdana" w:hAnsi="Verdana"/>
        </w:rPr>
      </w:pPr>
    </w:p>
    <w:p w14:paraId="27F62908" w14:textId="103A8942" w:rsidR="0028551C" w:rsidRDefault="0028551C" w:rsidP="00F379B1">
      <w:pPr>
        <w:spacing w:after="0"/>
        <w:rPr>
          <w:rFonts w:ascii="Verdana" w:hAnsi="Verdana"/>
        </w:rPr>
      </w:pPr>
    </w:p>
    <w:p w14:paraId="30B0527D" w14:textId="77777777" w:rsidR="0028551C" w:rsidRDefault="0028551C" w:rsidP="00F379B1">
      <w:pPr>
        <w:spacing w:after="0"/>
        <w:rPr>
          <w:rFonts w:ascii="Verdana" w:hAnsi="Verdana"/>
        </w:rPr>
      </w:pPr>
    </w:p>
    <w:p w14:paraId="42121717" w14:textId="04A28FAE" w:rsidR="00F379B1" w:rsidRPr="009037F6" w:rsidRDefault="00F379B1" w:rsidP="00F379B1">
      <w:pPr>
        <w:spacing w:after="0"/>
        <w:rPr>
          <w:rFonts w:ascii="Verdana" w:hAnsi="Verdana"/>
        </w:rPr>
      </w:pPr>
      <w:r w:rsidRPr="0024624F">
        <w:rPr>
          <w:rFonts w:ascii="Verdana" w:hAnsi="Verdana"/>
        </w:rPr>
        <w:lastRenderedPageBreak/>
        <w:t xml:space="preserve">Bogotá D.C., </w:t>
      </w:r>
      <w:r w:rsidR="002D6E05">
        <w:rPr>
          <w:rFonts w:ascii="Verdana" w:hAnsi="Verdana"/>
        </w:rPr>
        <w:t>26 de noviembre de 2025</w:t>
      </w:r>
      <w:r>
        <w:rPr>
          <w:rFonts w:ascii="Verdana" w:hAnsi="Verdana"/>
        </w:rPr>
        <w:tab/>
      </w:r>
    </w:p>
    <w:p w14:paraId="4B0CA492" w14:textId="676A6532" w:rsidR="00F379B1" w:rsidRPr="009037F6" w:rsidRDefault="002D6E05" w:rsidP="00F379B1">
      <w:pPr>
        <w:spacing w:after="0" w:line="240" w:lineRule="auto"/>
        <w:rPr>
          <w:rFonts w:ascii="Verdana" w:hAnsi="Verdana"/>
        </w:rPr>
      </w:pPr>
      <w:r w:rsidRPr="002D6E05">
        <w:rPr>
          <w:rFonts w:ascii="Verdana" w:hAnsi="Verdana"/>
          <w:noProof/>
          <w:lang w:val="en-US"/>
        </w:rPr>
        <w:drawing>
          <wp:anchor distT="0" distB="0" distL="114300" distR="114300" simplePos="0" relativeHeight="251658240" behindDoc="0" locked="0" layoutInCell="1" allowOverlap="1" wp14:anchorId="7A94F63F" wp14:editId="58170AD7">
            <wp:simplePos x="0" y="0"/>
            <wp:positionH relativeFrom="column">
              <wp:posOffset>2681605</wp:posOffset>
            </wp:positionH>
            <wp:positionV relativeFrom="paragraph">
              <wp:posOffset>34290</wp:posOffset>
            </wp:positionV>
            <wp:extent cx="2943225" cy="752475"/>
            <wp:effectExtent l="0" t="0" r="9525"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43225" cy="752475"/>
                    </a:xfrm>
                    <a:prstGeom prst="rect">
                      <a:avLst/>
                    </a:prstGeom>
                    <a:noFill/>
                    <a:ln>
                      <a:noFill/>
                    </a:ln>
                  </pic:spPr>
                </pic:pic>
              </a:graphicData>
            </a:graphic>
            <wp14:sizeRelH relativeFrom="margin">
              <wp14:pctWidth>0</wp14:pctWidth>
            </wp14:sizeRelH>
          </wp:anchor>
        </w:drawing>
      </w:r>
    </w:p>
    <w:p w14:paraId="3F125F5D" w14:textId="77777777" w:rsidR="00F379B1" w:rsidRPr="009037F6" w:rsidRDefault="00F379B1" w:rsidP="00F379B1">
      <w:pPr>
        <w:spacing w:after="0" w:line="240" w:lineRule="auto"/>
        <w:rPr>
          <w:rFonts w:ascii="Verdana" w:hAnsi="Verdana"/>
        </w:rPr>
      </w:pPr>
    </w:p>
    <w:p w14:paraId="3EE142F5" w14:textId="77777777" w:rsidR="00F379B1" w:rsidRPr="009037F6" w:rsidRDefault="00F379B1" w:rsidP="00F379B1">
      <w:pPr>
        <w:spacing w:after="0" w:line="240" w:lineRule="auto"/>
        <w:rPr>
          <w:rFonts w:ascii="Verdana" w:eastAsia="Calibri" w:hAnsi="Verdana" w:cs="Times New Roman"/>
          <w:lang w:val="es-MX"/>
        </w:rPr>
      </w:pPr>
      <w:r w:rsidRPr="009037F6">
        <w:rPr>
          <w:rFonts w:ascii="Verdana" w:eastAsia="Calibri" w:hAnsi="Verdana" w:cs="Times New Roman"/>
          <w:lang w:val="es-MX"/>
        </w:rPr>
        <w:t>Señor</w:t>
      </w:r>
    </w:p>
    <w:p w14:paraId="62D2987A" w14:textId="77777777" w:rsidR="00F379B1" w:rsidRPr="00A93BC7" w:rsidRDefault="00F379B1" w:rsidP="00F379B1">
      <w:pPr>
        <w:spacing w:after="0" w:line="240" w:lineRule="auto"/>
        <w:rPr>
          <w:rFonts w:ascii="Verdana" w:eastAsia="Calibri" w:hAnsi="Verdana" w:cs="Times New Roman"/>
          <w:b/>
        </w:rPr>
      </w:pPr>
      <w:r w:rsidRPr="00A93BC7">
        <w:rPr>
          <w:rFonts w:ascii="Verdana" w:eastAsia="Calibri" w:hAnsi="Verdana" w:cs="Times New Roman"/>
          <w:b/>
        </w:rPr>
        <w:t>Phillipe Alexandre Maya Ortega</w:t>
      </w:r>
    </w:p>
    <w:p w14:paraId="44307A9A" w14:textId="77777777" w:rsidR="00F379B1" w:rsidRPr="005B05EA" w:rsidRDefault="00371004" w:rsidP="00F379B1">
      <w:pPr>
        <w:spacing w:after="0" w:line="240" w:lineRule="auto"/>
        <w:rPr>
          <w:rFonts w:ascii="Verdana" w:eastAsia="Calibri" w:hAnsi="Verdana" w:cs="Times New Roman"/>
        </w:rPr>
      </w:pPr>
      <w:hyperlink r:id="rId12" w:history="1">
        <w:r w:rsidR="00F379B1" w:rsidRPr="005B05EA">
          <w:rPr>
            <w:rStyle w:val="Hipervnculo"/>
            <w:rFonts w:ascii="Verdana" w:eastAsia="Calibri" w:hAnsi="Verdana" w:cs="Times New Roman"/>
          </w:rPr>
          <w:t>phillipe.maya@urosario.edu.co</w:t>
        </w:r>
      </w:hyperlink>
      <w:r w:rsidR="00F379B1" w:rsidRPr="005B05EA">
        <w:rPr>
          <w:rFonts w:ascii="Verdana" w:eastAsia="Calibri" w:hAnsi="Verdana" w:cs="Times New Roman"/>
        </w:rPr>
        <w:t xml:space="preserve"> </w:t>
      </w:r>
    </w:p>
    <w:p w14:paraId="12DC5092" w14:textId="77777777" w:rsidR="00F379B1" w:rsidRPr="005B05EA" w:rsidRDefault="00F379B1" w:rsidP="00F379B1">
      <w:pPr>
        <w:spacing w:after="0" w:line="240" w:lineRule="auto"/>
        <w:rPr>
          <w:rFonts w:ascii="Verdana" w:eastAsia="Calibri" w:hAnsi="Verdana" w:cs="Times New Roman"/>
        </w:rPr>
      </w:pPr>
      <w:r w:rsidRPr="005B05EA">
        <w:rPr>
          <w:rFonts w:ascii="Verdana" w:eastAsia="Calibri" w:hAnsi="Verdana" w:cs="Times New Roman"/>
        </w:rPr>
        <w:t>Bogotá D.C.</w:t>
      </w:r>
    </w:p>
    <w:p w14:paraId="290BB6B9" w14:textId="77777777" w:rsidR="00F379B1" w:rsidRPr="005B05EA" w:rsidRDefault="00F379B1" w:rsidP="00F379B1">
      <w:pPr>
        <w:spacing w:after="0" w:line="240" w:lineRule="auto"/>
        <w:rPr>
          <w:rFonts w:ascii="Verdana" w:eastAsia="Calibri" w:hAnsi="Verdana" w:cs="Times New Roman"/>
        </w:rPr>
      </w:pPr>
    </w:p>
    <w:p w14:paraId="416DAE33" w14:textId="77777777" w:rsidR="00F379B1" w:rsidRPr="005B05EA" w:rsidRDefault="00F379B1" w:rsidP="00F379B1">
      <w:pPr>
        <w:spacing w:after="0" w:line="240" w:lineRule="auto"/>
        <w:rPr>
          <w:rFonts w:ascii="Verdana" w:eastAsia="Calibri" w:hAnsi="Verdana" w:cs="Times New Roman"/>
        </w:rPr>
      </w:pPr>
    </w:p>
    <w:p w14:paraId="27C0AFF3" w14:textId="77777777" w:rsidR="00F379B1" w:rsidRPr="009037F6" w:rsidRDefault="00F379B1" w:rsidP="00F379B1">
      <w:pPr>
        <w:spacing w:after="0" w:line="256" w:lineRule="auto"/>
        <w:rPr>
          <w:rFonts w:ascii="Verdana" w:eastAsia="Calibri" w:hAnsi="Verdana" w:cs="Times New Roman"/>
          <w:b/>
          <w:bCs/>
          <w:lang w:val="es-ES"/>
        </w:rPr>
      </w:pPr>
      <w:r w:rsidRPr="005B05EA">
        <w:rPr>
          <w:rFonts w:ascii="Verdana" w:eastAsia="Calibri" w:hAnsi="Verdana" w:cs="Times New Roman"/>
          <w:b/>
          <w:bCs/>
        </w:rPr>
        <w:t xml:space="preserve">                                    </w:t>
      </w:r>
      <w:r w:rsidRPr="009037F6">
        <w:rPr>
          <w:rFonts w:ascii="Verdana" w:eastAsia="Calibri" w:hAnsi="Verdana" w:cs="Times New Roman"/>
          <w:b/>
          <w:bCs/>
          <w:lang w:val="es-ES"/>
        </w:rPr>
        <w:t>Concepto C–1</w:t>
      </w:r>
      <w:r>
        <w:rPr>
          <w:rFonts w:ascii="Verdana" w:eastAsia="Calibri" w:hAnsi="Verdana" w:cs="Times New Roman"/>
          <w:b/>
          <w:bCs/>
          <w:lang w:val="es-ES"/>
        </w:rPr>
        <w:t>503</w:t>
      </w:r>
      <w:r w:rsidRPr="009037F6">
        <w:rPr>
          <w:rFonts w:ascii="Verdana" w:eastAsia="Calibri" w:hAnsi="Verdana" w:cs="Times New Roman"/>
          <w:b/>
          <w:bCs/>
          <w:lang w:val="es-ES"/>
        </w:rPr>
        <w:t xml:space="preserve"> de 2025</w:t>
      </w:r>
    </w:p>
    <w:p w14:paraId="262AB374" w14:textId="77777777" w:rsidR="00F379B1" w:rsidRPr="009037F6" w:rsidRDefault="00F379B1" w:rsidP="00F379B1">
      <w:pPr>
        <w:spacing w:after="0" w:line="256"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F379B1" w:rsidRPr="009037F6" w14:paraId="04CB20CF" w14:textId="77777777" w:rsidTr="001A53D3">
        <w:trPr>
          <w:trHeight w:val="645"/>
        </w:trPr>
        <w:tc>
          <w:tcPr>
            <w:tcW w:w="2685" w:type="dxa"/>
            <w:hideMark/>
          </w:tcPr>
          <w:p w14:paraId="4F332921" w14:textId="77777777" w:rsidR="00F379B1" w:rsidRPr="009037F6" w:rsidRDefault="00F379B1" w:rsidP="001A53D3">
            <w:pPr>
              <w:spacing w:line="256" w:lineRule="auto"/>
              <w:rPr>
                <w:rFonts w:ascii="Verdana" w:hAnsi="Verdana"/>
                <w:b/>
                <w:bCs/>
                <w:lang w:val="es-ES_tradnl"/>
              </w:rPr>
            </w:pPr>
            <w:r w:rsidRPr="009037F6">
              <w:rPr>
                <w:rFonts w:ascii="Verdana" w:hAnsi="Verdana"/>
                <w:b/>
                <w:bCs/>
                <w:lang w:val="es-ES_tradnl"/>
              </w:rPr>
              <w:t xml:space="preserve">Temas:                  </w:t>
            </w:r>
          </w:p>
        </w:tc>
        <w:tc>
          <w:tcPr>
            <w:tcW w:w="6241" w:type="dxa"/>
            <w:hideMark/>
          </w:tcPr>
          <w:p w14:paraId="78BDB578" w14:textId="77777777" w:rsidR="00F379B1" w:rsidRDefault="00F379B1" w:rsidP="001A53D3">
            <w:pPr>
              <w:snapToGrid w:val="0"/>
              <w:spacing w:line="276" w:lineRule="auto"/>
              <w:contextualSpacing/>
              <w:jc w:val="both"/>
              <w:rPr>
                <w:rFonts w:ascii="Verdana" w:hAnsi="Verdana" w:cs="Arial"/>
                <w:lang w:val="es-ES_tradnl" w:eastAsia="es-ES"/>
              </w:rPr>
            </w:pPr>
            <w:r w:rsidRPr="00CC26C3">
              <w:rPr>
                <w:rFonts w:ascii="Verdana" w:hAnsi="Verdana" w:cs="Arial"/>
                <w:lang w:val="es-ES_tradnl" w:eastAsia="es-ES"/>
              </w:rPr>
              <w:t>CLÁUSULAS EXCEPCIONALES – Noción- Al</w:t>
            </w:r>
            <w:bookmarkStart w:id="1" w:name="_GoBack"/>
            <w:bookmarkEnd w:id="1"/>
            <w:r w:rsidRPr="00CC26C3">
              <w:rPr>
                <w:rFonts w:ascii="Verdana" w:hAnsi="Verdana" w:cs="Arial"/>
                <w:lang w:val="es-ES_tradnl" w:eastAsia="es-ES"/>
              </w:rPr>
              <w:t xml:space="preserve">cance / PROCEDIMIENTO ADMINISTRATIVO SANCIONATORIO CONTRACTUAL – Artículo 86 – Ley 1474 de 2011 - Etapas / PROCEDIMIENTO SANCIONATORIO CONTRACTUAL </w:t>
            </w:r>
            <w:r>
              <w:rPr>
                <w:rFonts w:ascii="Verdana" w:hAnsi="Verdana" w:cs="Arial"/>
                <w:lang w:val="es-ES_tradnl" w:eastAsia="es-ES"/>
              </w:rPr>
              <w:t xml:space="preserve">– Facultades Sancionatorias – CPACA / CADUCIDAD DE LA FACULTAD SANCIONATORIA – Procedimiento Administrativo Sancionatorio Contractual – Aplicación subsidiaria – Artículo 52 –CPACA / CADUCIDAD DE LA FACULTAD SANCIONATORIA – SECOP II – Procedimientos Aplicables. </w:t>
            </w:r>
          </w:p>
          <w:p w14:paraId="20E7BEAC" w14:textId="77777777" w:rsidR="00F379B1" w:rsidRDefault="00F379B1" w:rsidP="001A53D3">
            <w:pPr>
              <w:snapToGrid w:val="0"/>
              <w:spacing w:line="276" w:lineRule="auto"/>
              <w:contextualSpacing/>
              <w:jc w:val="both"/>
              <w:rPr>
                <w:rFonts w:ascii="Verdana" w:hAnsi="Verdana" w:cs="Arial"/>
                <w:lang w:val="es-ES_tradnl" w:eastAsia="es-ES"/>
              </w:rPr>
            </w:pPr>
          </w:p>
          <w:p w14:paraId="758A8C8C" w14:textId="77777777" w:rsidR="00F379B1" w:rsidRPr="00CC26C3" w:rsidRDefault="00F379B1" w:rsidP="001A53D3">
            <w:pPr>
              <w:snapToGrid w:val="0"/>
              <w:spacing w:line="276" w:lineRule="auto"/>
              <w:contextualSpacing/>
              <w:jc w:val="both"/>
              <w:rPr>
                <w:rFonts w:ascii="Verdana" w:hAnsi="Verdana" w:cs="Arial"/>
                <w:bCs/>
                <w:lang w:val="es-ES_tradnl" w:eastAsia="es-ES"/>
              </w:rPr>
            </w:pPr>
          </w:p>
        </w:tc>
        <w:tc>
          <w:tcPr>
            <w:tcW w:w="6237" w:type="dxa"/>
          </w:tcPr>
          <w:p w14:paraId="5F3EBC50" w14:textId="77777777" w:rsidR="00F379B1" w:rsidRPr="009037F6" w:rsidRDefault="00F379B1" w:rsidP="001A53D3">
            <w:pPr>
              <w:spacing w:line="276" w:lineRule="auto"/>
              <w:rPr>
                <w:rFonts w:ascii="Verdana" w:hAnsi="Verdana"/>
                <w:lang w:val="es-ES"/>
              </w:rPr>
            </w:pPr>
          </w:p>
        </w:tc>
      </w:tr>
      <w:tr w:rsidR="00F379B1" w:rsidRPr="009037F6" w14:paraId="730F6CAE" w14:textId="77777777" w:rsidTr="001A53D3">
        <w:tc>
          <w:tcPr>
            <w:tcW w:w="2685" w:type="dxa"/>
          </w:tcPr>
          <w:p w14:paraId="7FB64D35" w14:textId="77777777" w:rsidR="00F379B1" w:rsidRPr="009037F6" w:rsidRDefault="00F379B1" w:rsidP="001A53D3">
            <w:pPr>
              <w:spacing w:line="256" w:lineRule="auto"/>
              <w:rPr>
                <w:rFonts w:ascii="Verdana" w:hAnsi="Verdana"/>
                <w:b/>
                <w:bCs/>
                <w:lang w:val="es-ES_tradnl"/>
              </w:rPr>
            </w:pPr>
            <w:r w:rsidRPr="009037F6">
              <w:rPr>
                <w:rFonts w:ascii="Verdana" w:hAnsi="Verdana"/>
                <w:b/>
                <w:bCs/>
                <w:lang w:val="es-ES_tradnl"/>
              </w:rPr>
              <w:t xml:space="preserve">Radicación:               </w:t>
            </w:r>
          </w:p>
        </w:tc>
        <w:tc>
          <w:tcPr>
            <w:tcW w:w="6241" w:type="dxa"/>
          </w:tcPr>
          <w:p w14:paraId="0FBCEA4F" w14:textId="77777777" w:rsidR="00F379B1" w:rsidRPr="009037F6" w:rsidRDefault="00F379B1" w:rsidP="001A53D3">
            <w:pPr>
              <w:spacing w:line="257" w:lineRule="auto"/>
              <w:jc w:val="both"/>
              <w:rPr>
                <w:rFonts w:ascii="Verdana" w:hAnsi="Verdana"/>
                <w:lang w:val="es-ES_tradnl"/>
              </w:rPr>
            </w:pPr>
            <w:r w:rsidRPr="009037F6">
              <w:rPr>
                <w:rFonts w:ascii="Verdana" w:hAnsi="Verdana"/>
                <w:lang w:val="es-ES_tradnl"/>
              </w:rPr>
              <w:t>Re</w:t>
            </w:r>
            <w:r>
              <w:rPr>
                <w:rFonts w:ascii="Verdana" w:hAnsi="Verdana"/>
                <w:lang w:val="es-ES_tradnl"/>
              </w:rPr>
              <w:t xml:space="preserve">spuesta a consulta con Radicado No </w:t>
            </w:r>
            <w:r w:rsidRPr="005B05EA">
              <w:rPr>
                <w:rFonts w:ascii="Verdana" w:hAnsi="Verdana"/>
              </w:rPr>
              <w:t>1_2025_10_15_011566</w:t>
            </w:r>
          </w:p>
          <w:p w14:paraId="5D759C82" w14:textId="77777777" w:rsidR="00F379B1" w:rsidRPr="009037F6" w:rsidRDefault="00F379B1" w:rsidP="001A53D3">
            <w:pPr>
              <w:spacing w:line="257" w:lineRule="auto"/>
              <w:jc w:val="both"/>
              <w:rPr>
                <w:rFonts w:ascii="Verdana" w:hAnsi="Verdana"/>
              </w:rPr>
            </w:pPr>
          </w:p>
          <w:p w14:paraId="04020FD5" w14:textId="77777777" w:rsidR="00F379B1" w:rsidRPr="009037F6" w:rsidRDefault="00F379B1" w:rsidP="001A53D3">
            <w:pPr>
              <w:spacing w:line="257" w:lineRule="auto"/>
              <w:jc w:val="both"/>
              <w:rPr>
                <w:rFonts w:ascii="Verdana" w:hAnsi="Verdana"/>
              </w:rPr>
            </w:pPr>
          </w:p>
        </w:tc>
        <w:tc>
          <w:tcPr>
            <w:tcW w:w="6237" w:type="dxa"/>
          </w:tcPr>
          <w:p w14:paraId="5E26015E" w14:textId="77777777" w:rsidR="00F379B1" w:rsidRPr="009037F6" w:rsidRDefault="00F379B1" w:rsidP="001A53D3">
            <w:pPr>
              <w:spacing w:line="256" w:lineRule="auto"/>
              <w:rPr>
                <w:rFonts w:ascii="Verdana" w:hAnsi="Verdana"/>
              </w:rPr>
            </w:pPr>
          </w:p>
        </w:tc>
      </w:tr>
    </w:tbl>
    <w:p w14:paraId="31C940E1" w14:textId="77777777" w:rsidR="00F379B1" w:rsidRPr="009037F6" w:rsidRDefault="00F379B1" w:rsidP="00F379B1">
      <w:pPr>
        <w:spacing w:after="0" w:line="256" w:lineRule="auto"/>
        <w:rPr>
          <w:rFonts w:ascii="Verdana" w:eastAsia="Calibri" w:hAnsi="Verdana" w:cs="Times New Roman"/>
          <w:lang w:val="es-ES"/>
        </w:rPr>
      </w:pPr>
      <w:r>
        <w:rPr>
          <w:rFonts w:ascii="Verdana" w:eastAsia="Calibri" w:hAnsi="Verdana" w:cs="Times New Roman"/>
          <w:lang w:val="es-ES"/>
        </w:rPr>
        <w:t>Estimado Señor Maya Ortega</w:t>
      </w:r>
      <w:r w:rsidRPr="009037F6">
        <w:rPr>
          <w:rFonts w:ascii="Verdana" w:eastAsia="Calibri" w:hAnsi="Verdana" w:cs="Times New Roman"/>
          <w:lang w:val="es-ES"/>
        </w:rPr>
        <w:t xml:space="preserve">: </w:t>
      </w:r>
    </w:p>
    <w:p w14:paraId="10CAC059" w14:textId="77777777" w:rsidR="00F379B1" w:rsidRPr="009037F6" w:rsidRDefault="00F379B1" w:rsidP="00F379B1">
      <w:pPr>
        <w:spacing w:after="0" w:line="256" w:lineRule="auto"/>
        <w:rPr>
          <w:rFonts w:ascii="Verdana" w:eastAsia="Calibri" w:hAnsi="Verdana" w:cs="Times New Roman"/>
          <w:lang w:val="es-ES"/>
        </w:rPr>
      </w:pPr>
    </w:p>
    <w:p w14:paraId="4D41CA2F" w14:textId="77777777" w:rsidR="00F379B1" w:rsidRPr="009037F6" w:rsidRDefault="00F379B1" w:rsidP="00F379B1">
      <w:pPr>
        <w:spacing w:after="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N°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e la solicitud de consulta del 15</w:t>
      </w:r>
      <w:r w:rsidRPr="009037F6">
        <w:rPr>
          <w:rFonts w:ascii="Verdana" w:eastAsia="Calibri" w:hAnsi="Verdana" w:cs="Times New Roman"/>
          <w:bCs/>
          <w:lang w:val="es-ES" w:bidi="es-ES"/>
        </w:rPr>
        <w:t xml:space="preserve"> de octubre, en la cual manifiesta: </w:t>
      </w:r>
    </w:p>
    <w:p w14:paraId="6FF63B39" w14:textId="77777777" w:rsidR="00F379B1" w:rsidRPr="009037F6" w:rsidRDefault="00F379B1" w:rsidP="00F379B1">
      <w:pPr>
        <w:spacing w:after="0" w:line="240" w:lineRule="auto"/>
        <w:ind w:right="709"/>
        <w:jc w:val="both"/>
        <w:rPr>
          <w:rFonts w:ascii="Verdana" w:eastAsia="Calibri" w:hAnsi="Verdana" w:cs="Times New Roman"/>
          <w:bCs/>
          <w:sz w:val="20"/>
          <w:szCs w:val="20"/>
          <w:lang w:bidi="es-ES"/>
        </w:rPr>
      </w:pPr>
    </w:p>
    <w:p w14:paraId="544AE4DB" w14:textId="77777777" w:rsidR="00F379B1" w:rsidRPr="005B05EA" w:rsidRDefault="00F379B1" w:rsidP="00F379B1">
      <w:pPr>
        <w:spacing w:after="0" w:line="240" w:lineRule="auto"/>
        <w:ind w:left="709" w:right="709"/>
        <w:jc w:val="both"/>
        <w:rPr>
          <w:rFonts w:ascii="Verdana" w:eastAsia="Calibri" w:hAnsi="Verdana" w:cs="Times New Roman"/>
          <w:bCs/>
          <w:sz w:val="20"/>
          <w:szCs w:val="20"/>
          <w:lang w:bidi="es-ES"/>
        </w:rPr>
      </w:pPr>
      <w:r w:rsidRPr="005B05EA">
        <w:rPr>
          <w:rFonts w:ascii="Verdana" w:eastAsia="Calibri" w:hAnsi="Verdana" w:cs="Times New Roman"/>
          <w:bCs/>
          <w:sz w:val="20"/>
          <w:szCs w:val="20"/>
          <w:lang w:bidi="es-ES"/>
        </w:rPr>
        <w:t>Si la terminación de un contrato fue declarada el 6 de octubre de 2022 por el Director</w:t>
      </w:r>
      <w:r>
        <w:rPr>
          <w:rFonts w:ascii="Verdana" w:eastAsia="Calibri" w:hAnsi="Verdana" w:cs="Times New Roman"/>
          <w:bCs/>
          <w:sz w:val="20"/>
          <w:szCs w:val="20"/>
          <w:lang w:bidi="es-ES"/>
        </w:rPr>
        <w:t xml:space="preserve"> </w:t>
      </w:r>
      <w:r w:rsidRPr="005B05EA">
        <w:rPr>
          <w:rFonts w:ascii="Verdana" w:eastAsia="Calibri" w:hAnsi="Verdana" w:cs="Times New Roman"/>
          <w:bCs/>
          <w:sz w:val="20"/>
          <w:szCs w:val="20"/>
          <w:lang w:bidi="es-ES"/>
        </w:rPr>
        <w:t xml:space="preserve">de Oficina. Conforme al artículo 52 del CPACA, el término de </w:t>
      </w:r>
      <w:r w:rsidRPr="005B05EA">
        <w:rPr>
          <w:rFonts w:ascii="Verdana" w:eastAsia="Calibri" w:hAnsi="Verdana" w:cs="Times New Roman"/>
          <w:bCs/>
          <w:sz w:val="20"/>
          <w:szCs w:val="20"/>
          <w:lang w:bidi="es-ES"/>
        </w:rPr>
        <w:lastRenderedPageBreak/>
        <w:t>tres años se cumple</w:t>
      </w:r>
      <w:r>
        <w:rPr>
          <w:rFonts w:ascii="Verdana" w:eastAsia="Calibri" w:hAnsi="Verdana" w:cs="Times New Roman"/>
          <w:bCs/>
          <w:sz w:val="20"/>
          <w:szCs w:val="20"/>
          <w:lang w:bidi="es-ES"/>
        </w:rPr>
        <w:t xml:space="preserve"> </w:t>
      </w:r>
      <w:r w:rsidRPr="005B05EA">
        <w:rPr>
          <w:rFonts w:ascii="Verdana" w:eastAsia="Calibri" w:hAnsi="Verdana" w:cs="Times New Roman"/>
          <w:bCs/>
          <w:sz w:val="20"/>
          <w:szCs w:val="20"/>
          <w:lang w:bidi="es-ES"/>
        </w:rPr>
        <w:t>el 6 de octubre de 2025?. En consecuencia, sería procedente declarar la caducidad</w:t>
      </w:r>
      <w:r>
        <w:rPr>
          <w:rFonts w:ascii="Verdana" w:eastAsia="Calibri" w:hAnsi="Verdana" w:cs="Times New Roman"/>
          <w:bCs/>
          <w:sz w:val="20"/>
          <w:szCs w:val="20"/>
          <w:lang w:bidi="es-ES"/>
        </w:rPr>
        <w:t xml:space="preserve"> </w:t>
      </w:r>
      <w:r w:rsidRPr="005B05EA">
        <w:rPr>
          <w:rFonts w:ascii="Verdana" w:eastAsia="Calibri" w:hAnsi="Verdana" w:cs="Times New Roman"/>
          <w:bCs/>
          <w:sz w:val="20"/>
          <w:szCs w:val="20"/>
          <w:lang w:bidi="es-ES"/>
        </w:rPr>
        <w:t>de la facultad sancionatoria y la consecuente pérdida de competencia de la</w:t>
      </w:r>
      <w:r>
        <w:rPr>
          <w:rFonts w:ascii="Verdana" w:eastAsia="Calibri" w:hAnsi="Verdana" w:cs="Times New Roman"/>
          <w:bCs/>
          <w:sz w:val="20"/>
          <w:szCs w:val="20"/>
          <w:lang w:bidi="es-ES"/>
        </w:rPr>
        <w:t xml:space="preserve"> </w:t>
      </w:r>
      <w:r w:rsidRPr="005B05EA">
        <w:rPr>
          <w:rFonts w:ascii="Verdana" w:eastAsia="Calibri" w:hAnsi="Verdana" w:cs="Times New Roman"/>
          <w:bCs/>
          <w:sz w:val="20"/>
          <w:szCs w:val="20"/>
          <w:lang w:bidi="es-ES"/>
        </w:rPr>
        <w:t>Secretaría Distrital de Ambiente en un proceso sancionatorio contractual?.</w:t>
      </w:r>
    </w:p>
    <w:p w14:paraId="583A75CE" w14:textId="77777777" w:rsidR="00F379B1" w:rsidRPr="005B05EA" w:rsidRDefault="00F379B1" w:rsidP="00F379B1">
      <w:pPr>
        <w:spacing w:after="0" w:line="240" w:lineRule="auto"/>
        <w:ind w:left="709" w:right="709"/>
        <w:jc w:val="both"/>
        <w:rPr>
          <w:rFonts w:ascii="Verdana" w:eastAsia="Calibri" w:hAnsi="Verdana" w:cs="Times New Roman"/>
          <w:bCs/>
          <w:sz w:val="20"/>
          <w:szCs w:val="20"/>
          <w:lang w:bidi="es-ES"/>
        </w:rPr>
      </w:pPr>
      <w:r w:rsidRPr="005B05EA">
        <w:rPr>
          <w:rFonts w:ascii="Verdana" w:eastAsia="Calibri" w:hAnsi="Verdana" w:cs="Times New Roman"/>
          <w:bCs/>
          <w:sz w:val="20"/>
          <w:szCs w:val="20"/>
          <w:lang w:bidi="es-ES"/>
        </w:rPr>
        <w:t>1) El contratista puede solicitar la declaratoria de caducidad en cualquier etapa de</w:t>
      </w:r>
      <w:r>
        <w:rPr>
          <w:rFonts w:ascii="Verdana" w:eastAsia="Calibri" w:hAnsi="Verdana" w:cs="Times New Roman"/>
          <w:bCs/>
          <w:sz w:val="20"/>
          <w:szCs w:val="20"/>
          <w:lang w:bidi="es-ES"/>
        </w:rPr>
        <w:t xml:space="preserve"> </w:t>
      </w:r>
      <w:r w:rsidRPr="005B05EA">
        <w:rPr>
          <w:rFonts w:ascii="Verdana" w:eastAsia="Calibri" w:hAnsi="Verdana" w:cs="Times New Roman"/>
          <w:bCs/>
          <w:sz w:val="20"/>
          <w:szCs w:val="20"/>
          <w:lang w:bidi="es-ES"/>
        </w:rPr>
        <w:t>un procedimiento sancionatorio contractual?</w:t>
      </w:r>
    </w:p>
    <w:p w14:paraId="55C64E47" w14:textId="77777777" w:rsidR="00F379B1" w:rsidRPr="005B05EA" w:rsidRDefault="00F379B1" w:rsidP="00F379B1">
      <w:pPr>
        <w:spacing w:after="0" w:line="240" w:lineRule="auto"/>
        <w:ind w:left="709" w:right="709"/>
        <w:jc w:val="both"/>
        <w:rPr>
          <w:rFonts w:ascii="Verdana" w:eastAsia="Calibri" w:hAnsi="Verdana" w:cs="Times New Roman"/>
          <w:bCs/>
          <w:sz w:val="20"/>
          <w:szCs w:val="20"/>
          <w:lang w:bidi="es-ES"/>
        </w:rPr>
      </w:pPr>
      <w:r w:rsidRPr="005B05EA">
        <w:rPr>
          <w:rFonts w:ascii="Verdana" w:eastAsia="Calibri" w:hAnsi="Verdana" w:cs="Times New Roman"/>
          <w:bCs/>
          <w:sz w:val="20"/>
          <w:szCs w:val="20"/>
          <w:lang w:bidi="es-ES"/>
        </w:rPr>
        <w:t>2) Cuáles son los efectos de presentar solicitud de caducidad en etapa de alegatos</w:t>
      </w:r>
      <w:r>
        <w:rPr>
          <w:rFonts w:ascii="Verdana" w:eastAsia="Calibri" w:hAnsi="Verdana" w:cs="Times New Roman"/>
          <w:bCs/>
          <w:sz w:val="20"/>
          <w:szCs w:val="20"/>
          <w:lang w:bidi="es-ES"/>
        </w:rPr>
        <w:t xml:space="preserve"> </w:t>
      </w:r>
      <w:r w:rsidRPr="005B05EA">
        <w:rPr>
          <w:rFonts w:ascii="Verdana" w:eastAsia="Calibri" w:hAnsi="Verdana" w:cs="Times New Roman"/>
          <w:bCs/>
          <w:sz w:val="20"/>
          <w:szCs w:val="20"/>
          <w:lang w:bidi="es-ES"/>
        </w:rPr>
        <w:t>de conclusión, en un trámite sancionatorio contractual?.</w:t>
      </w:r>
    </w:p>
    <w:p w14:paraId="33B5EFF5" w14:textId="77777777" w:rsidR="00F379B1" w:rsidRPr="005B05EA" w:rsidRDefault="00F379B1" w:rsidP="00F379B1">
      <w:pPr>
        <w:spacing w:after="0" w:line="240" w:lineRule="auto"/>
        <w:ind w:left="709" w:right="709"/>
        <w:jc w:val="both"/>
        <w:rPr>
          <w:rFonts w:ascii="Verdana" w:eastAsia="Calibri" w:hAnsi="Verdana" w:cs="Times New Roman"/>
          <w:bCs/>
          <w:sz w:val="20"/>
          <w:szCs w:val="20"/>
          <w:lang w:bidi="es-ES"/>
        </w:rPr>
      </w:pPr>
      <w:r w:rsidRPr="005B05EA">
        <w:rPr>
          <w:rFonts w:ascii="Verdana" w:eastAsia="Calibri" w:hAnsi="Verdana" w:cs="Times New Roman"/>
          <w:bCs/>
          <w:sz w:val="20"/>
          <w:szCs w:val="20"/>
          <w:lang w:bidi="es-ES"/>
        </w:rPr>
        <w:t>3) Si se presenta solicitud de caducidad como argumento en un recurso de</w:t>
      </w:r>
      <w:r>
        <w:rPr>
          <w:rFonts w:ascii="Verdana" w:eastAsia="Calibri" w:hAnsi="Verdana" w:cs="Times New Roman"/>
          <w:bCs/>
          <w:sz w:val="20"/>
          <w:szCs w:val="20"/>
          <w:lang w:bidi="es-ES"/>
        </w:rPr>
        <w:t xml:space="preserve"> </w:t>
      </w:r>
      <w:r w:rsidRPr="005B05EA">
        <w:rPr>
          <w:rFonts w:ascii="Verdana" w:eastAsia="Calibri" w:hAnsi="Verdana" w:cs="Times New Roman"/>
          <w:bCs/>
          <w:sz w:val="20"/>
          <w:szCs w:val="20"/>
          <w:lang w:bidi="es-ES"/>
        </w:rPr>
        <w:t>reposición contra un fallo sancionatorio contractual, cual es el efecto procesal?,</w:t>
      </w:r>
    </w:p>
    <w:p w14:paraId="65C34EA3" w14:textId="77777777" w:rsidR="00F379B1" w:rsidRPr="005B05EA" w:rsidRDefault="00F379B1" w:rsidP="00F379B1">
      <w:pPr>
        <w:spacing w:after="0" w:line="240" w:lineRule="auto"/>
        <w:ind w:left="709" w:right="709"/>
        <w:jc w:val="both"/>
        <w:rPr>
          <w:rFonts w:ascii="Verdana" w:eastAsia="Calibri" w:hAnsi="Verdana" w:cs="Times New Roman"/>
          <w:bCs/>
          <w:sz w:val="20"/>
          <w:szCs w:val="20"/>
          <w:lang w:bidi="es-ES"/>
        </w:rPr>
      </w:pPr>
      <w:r w:rsidRPr="005B05EA">
        <w:rPr>
          <w:rFonts w:ascii="Verdana" w:eastAsia="Calibri" w:hAnsi="Verdana" w:cs="Times New Roman"/>
          <w:bCs/>
          <w:sz w:val="20"/>
          <w:szCs w:val="20"/>
          <w:lang w:bidi="es-ES"/>
        </w:rPr>
        <w:t>4) El CONTRATO registra como “ vigente, "no ha sido modificado su status de</w:t>
      </w:r>
      <w:r>
        <w:rPr>
          <w:rFonts w:ascii="Verdana" w:eastAsia="Calibri" w:hAnsi="Verdana" w:cs="Times New Roman"/>
          <w:bCs/>
          <w:sz w:val="20"/>
          <w:szCs w:val="20"/>
          <w:lang w:bidi="es-ES"/>
        </w:rPr>
        <w:t xml:space="preserve"> </w:t>
      </w:r>
      <w:r w:rsidRPr="005B05EA">
        <w:rPr>
          <w:rFonts w:ascii="Verdana" w:eastAsia="Calibri" w:hAnsi="Verdana" w:cs="Times New Roman"/>
          <w:bCs/>
          <w:sz w:val="20"/>
          <w:szCs w:val="20"/>
          <w:lang w:bidi="es-ES"/>
        </w:rPr>
        <w:t>registro", cual es el soporte normativo para la solicitud de actualización en SIGEP II.:</w:t>
      </w:r>
    </w:p>
    <w:p w14:paraId="10ACABBE" w14:textId="77777777" w:rsidR="00F379B1" w:rsidRPr="005B05EA" w:rsidRDefault="00F379B1" w:rsidP="00F379B1">
      <w:pPr>
        <w:spacing w:after="0" w:line="240" w:lineRule="auto"/>
        <w:ind w:right="709"/>
        <w:jc w:val="both"/>
        <w:rPr>
          <w:rFonts w:ascii="Verdana" w:eastAsia="Calibri" w:hAnsi="Verdana" w:cs="Times New Roman"/>
          <w:bCs/>
          <w:sz w:val="21"/>
          <w:szCs w:val="21"/>
          <w:lang w:bidi="es-ES"/>
        </w:rPr>
      </w:pPr>
    </w:p>
    <w:p w14:paraId="4B455A69" w14:textId="77777777" w:rsidR="00F379B1" w:rsidRPr="009037F6" w:rsidRDefault="00F379B1" w:rsidP="00F379B1">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EAA4570" w14:textId="77777777" w:rsidR="00F379B1" w:rsidRPr="009037F6" w:rsidRDefault="00F379B1" w:rsidP="00F379B1">
      <w:pPr>
        <w:spacing w:after="12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2536A49E" w14:textId="77777777" w:rsidR="00F379B1" w:rsidRPr="009037F6" w:rsidRDefault="00F379B1" w:rsidP="00F379B1">
      <w:pPr>
        <w:spacing w:after="0" w:line="256" w:lineRule="auto"/>
        <w:rPr>
          <w:rFonts w:ascii="Verdana" w:eastAsia="Calibri" w:hAnsi="Verdana" w:cs="Times New Roman"/>
          <w:lang w:val="es-ES"/>
        </w:rPr>
      </w:pPr>
    </w:p>
    <w:p w14:paraId="3C560D74" w14:textId="77777777" w:rsidR="00F379B1" w:rsidRPr="009037F6" w:rsidRDefault="00F379B1" w:rsidP="00F379B1">
      <w:pPr>
        <w:numPr>
          <w:ilvl w:val="0"/>
          <w:numId w:val="16"/>
        </w:numPr>
        <w:spacing w:after="0" w:line="256" w:lineRule="auto"/>
        <w:contextualSpacing/>
        <w:rPr>
          <w:rFonts w:ascii="Verdana" w:eastAsia="Calibri" w:hAnsi="Verdana" w:cs="Times New Roman"/>
          <w:b/>
          <w:bCs/>
          <w:lang w:val="es-ES"/>
        </w:rPr>
      </w:pPr>
      <w:r w:rsidRPr="009037F6">
        <w:rPr>
          <w:rFonts w:ascii="Verdana" w:eastAsia="Calibri" w:hAnsi="Verdana" w:cs="Times New Roman"/>
          <w:b/>
          <w:bCs/>
          <w:lang w:val="es-ES"/>
        </w:rPr>
        <w:t>Problema planteado:</w:t>
      </w:r>
    </w:p>
    <w:p w14:paraId="4C4EDCA1" w14:textId="77777777" w:rsidR="00F379B1" w:rsidRPr="009037F6" w:rsidRDefault="00F379B1" w:rsidP="00F379B1">
      <w:pPr>
        <w:spacing w:after="0" w:line="256" w:lineRule="auto"/>
        <w:rPr>
          <w:rFonts w:ascii="Verdana" w:eastAsia="Calibri" w:hAnsi="Verdana" w:cs="Times New Roman"/>
        </w:rPr>
      </w:pPr>
    </w:p>
    <w:p w14:paraId="0872DCE4" w14:textId="77777777" w:rsidR="00F379B1" w:rsidRPr="009037F6" w:rsidRDefault="00F379B1" w:rsidP="00F379B1">
      <w:pPr>
        <w:spacing w:after="0" w:line="276" w:lineRule="auto"/>
        <w:jc w:val="both"/>
        <w:rPr>
          <w:rFonts w:ascii="Verdana" w:eastAsia="Calibri" w:hAnsi="Verdana" w:cs="Times New Roman"/>
          <w:iCs/>
          <w:lang w:val="es-ES"/>
        </w:rPr>
      </w:pPr>
      <w:r w:rsidRPr="009037F6">
        <w:rPr>
          <w:rFonts w:ascii="Verdana" w:eastAsia="Calibri" w:hAnsi="Verdana" w:cs="Times New Roman"/>
        </w:rPr>
        <w:lastRenderedPageBreak/>
        <w:t>De acuerdo con el contenido de sus solicitudes, esta Agencia procede a resolver los siguientes problemas jurídicos</w:t>
      </w:r>
      <w:r w:rsidRPr="009037F6">
        <w:rPr>
          <w:rFonts w:ascii="Verdana" w:eastAsia="Calibri" w:hAnsi="Verdana" w:cs="Times New Roman"/>
          <w:iCs/>
          <w:lang w:val="es-ES"/>
        </w:rPr>
        <w:t xml:space="preserve">: </w:t>
      </w:r>
      <w:r>
        <w:rPr>
          <w:rFonts w:ascii="Verdana" w:eastAsia="Calibri" w:hAnsi="Verdana" w:cs="Times New Roman"/>
          <w:iCs/>
          <w:lang w:val="es-ES"/>
        </w:rPr>
        <w:t xml:space="preserve">i) </w:t>
      </w:r>
      <w:r w:rsidRPr="00A93BC7">
        <w:rPr>
          <w:rFonts w:ascii="Verdana" w:eastAsia="Calibri" w:hAnsi="Verdana" w:cs="Times New Roman"/>
          <w:iCs/>
          <w:lang w:val="es-ES"/>
        </w:rPr>
        <w:t>¿Puede el contratista solicitar la declaratoria de caducidad de la facultad sancionatoria en cualquier etapa del procedimiento sancionatorio contractual, incluyendo los alegatos de conclusión y los recursos de reposición, y cuáles son los efectos procesales de hacerlo en cada caso?</w:t>
      </w:r>
      <w:r>
        <w:rPr>
          <w:rFonts w:ascii="Verdana" w:eastAsia="Calibri" w:hAnsi="Verdana" w:cs="Times New Roman"/>
          <w:iCs/>
          <w:lang w:val="es-ES"/>
        </w:rPr>
        <w:t>; ii) ¿</w:t>
      </w:r>
      <w:r w:rsidRPr="00A93BC7">
        <w:rPr>
          <w:rFonts w:ascii="Verdana" w:eastAsia="Calibri" w:hAnsi="Verdana" w:cs="Times New Roman"/>
          <w:iCs/>
          <w:lang w:val="es-ES"/>
        </w:rPr>
        <w:t>cuál es el soporte normativo que respalda la solicitud de actualización del estado contractual en</w:t>
      </w:r>
      <w:r>
        <w:rPr>
          <w:rFonts w:ascii="Verdana" w:eastAsia="Calibri" w:hAnsi="Verdana" w:cs="Times New Roman"/>
          <w:iCs/>
          <w:lang w:val="es-ES"/>
        </w:rPr>
        <w:t xml:space="preserve"> SECOP II frente a una caducidad de la facultad sancionatoria</w:t>
      </w:r>
      <w:r w:rsidRPr="00A93BC7">
        <w:rPr>
          <w:rFonts w:ascii="Verdana" w:eastAsia="Calibri" w:hAnsi="Verdana" w:cs="Times New Roman"/>
          <w:iCs/>
          <w:lang w:val="es-ES"/>
        </w:rPr>
        <w:t>?</w:t>
      </w:r>
    </w:p>
    <w:p w14:paraId="3990C67C" w14:textId="77777777" w:rsidR="00F379B1" w:rsidRPr="009037F6" w:rsidRDefault="00F379B1" w:rsidP="00F379B1">
      <w:pPr>
        <w:spacing w:after="0" w:line="276" w:lineRule="auto"/>
        <w:jc w:val="both"/>
        <w:rPr>
          <w:rFonts w:ascii="Verdana" w:eastAsia="Calibri" w:hAnsi="Verdana" w:cs="Times New Roman"/>
          <w:i/>
          <w:iCs/>
          <w:lang w:val="es-ES"/>
        </w:rPr>
      </w:pPr>
    </w:p>
    <w:p w14:paraId="021B4A9C" w14:textId="77777777" w:rsidR="00F379B1" w:rsidRPr="009037F6" w:rsidRDefault="00F379B1" w:rsidP="00F379B1">
      <w:pPr>
        <w:numPr>
          <w:ilvl w:val="0"/>
          <w:numId w:val="16"/>
        </w:numPr>
        <w:spacing w:after="0" w:line="256" w:lineRule="auto"/>
        <w:contextualSpacing/>
        <w:rPr>
          <w:rFonts w:ascii="Verdana" w:eastAsia="Calibri" w:hAnsi="Verdana" w:cs="Times New Roman"/>
          <w:b/>
          <w:bCs/>
          <w:lang w:val="es-ES"/>
        </w:rPr>
      </w:pPr>
      <w:r w:rsidRPr="009037F6">
        <w:rPr>
          <w:rFonts w:ascii="Verdana" w:eastAsia="Calibri" w:hAnsi="Verdana" w:cs="Times New Roman"/>
          <w:b/>
          <w:bCs/>
          <w:lang w:val="es-ES"/>
        </w:rPr>
        <w:t>Respuesta:</w:t>
      </w:r>
    </w:p>
    <w:p w14:paraId="6C09E1B1" w14:textId="77777777" w:rsidR="00F379B1" w:rsidRPr="009037F6" w:rsidRDefault="00F379B1" w:rsidP="00F379B1">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F379B1" w:rsidRPr="009037F6" w14:paraId="113A4944" w14:textId="77777777" w:rsidTr="001A53D3">
        <w:trPr>
          <w:trHeight w:val="345"/>
          <w:jc w:val="center"/>
        </w:trPr>
        <w:tc>
          <w:tcPr>
            <w:tcW w:w="8784" w:type="dxa"/>
            <w:tcBorders>
              <w:bottom w:val="single" w:sz="4" w:space="0" w:color="auto"/>
            </w:tcBorders>
          </w:tcPr>
          <w:p w14:paraId="522424C9" w14:textId="77777777" w:rsidR="00F379B1" w:rsidRDefault="00F379B1" w:rsidP="001A53D3">
            <w:pPr>
              <w:widowControl w:val="0"/>
              <w:autoSpaceDE w:val="0"/>
              <w:autoSpaceDN w:val="0"/>
              <w:spacing w:before="120" w:line="276" w:lineRule="auto"/>
              <w:jc w:val="both"/>
              <w:rPr>
                <w:rFonts w:ascii="Verdana" w:hAnsi="Verdana"/>
              </w:rPr>
            </w:pPr>
            <w:r w:rsidRPr="009037F6">
              <w:rPr>
                <w:rFonts w:ascii="Verdana" w:hAnsi="Verdana"/>
              </w:rPr>
              <w:t xml:space="preserve">En cuanto a los problemas jurídicos, objeto de consulta, se expresa lo siguiente: </w:t>
            </w:r>
          </w:p>
          <w:p w14:paraId="4FA40990" w14:textId="77777777" w:rsidR="00F379B1" w:rsidRPr="009037F6" w:rsidRDefault="00F379B1" w:rsidP="001A53D3">
            <w:pPr>
              <w:widowControl w:val="0"/>
              <w:autoSpaceDE w:val="0"/>
              <w:autoSpaceDN w:val="0"/>
              <w:spacing w:line="276" w:lineRule="auto"/>
              <w:jc w:val="both"/>
              <w:rPr>
                <w:rFonts w:ascii="Verdana" w:hAnsi="Verdana"/>
              </w:rPr>
            </w:pPr>
          </w:p>
          <w:p w14:paraId="630FAB48" w14:textId="77777777" w:rsidR="00F379B1" w:rsidRDefault="00F379B1" w:rsidP="001A53D3">
            <w:pPr>
              <w:spacing w:after="120" w:line="276" w:lineRule="auto"/>
              <w:jc w:val="both"/>
              <w:rPr>
                <w:rFonts w:ascii="Verdana" w:eastAsia="Calibri" w:hAnsi="Verdana" w:cs="Arial"/>
                <w:color w:val="000000" w:themeColor="text1"/>
              </w:rPr>
            </w:pPr>
            <w:r w:rsidRPr="009037F6">
              <w:rPr>
                <w:rFonts w:ascii="Verdana" w:hAnsi="Verdana" w:cs="Arial"/>
                <w:color w:val="000000" w:themeColor="text1"/>
                <w:lang w:val="es-ES"/>
              </w:rPr>
              <w:t xml:space="preserve">i. </w:t>
            </w:r>
            <w:r>
              <w:rPr>
                <w:rFonts w:ascii="Verdana" w:eastAsia="Calibri" w:hAnsi="Verdana" w:cs="Arial"/>
                <w:color w:val="000000" w:themeColor="text1"/>
              </w:rPr>
              <w:t xml:space="preserve">A partir de la integración normativa, entre el artículo 86 de la Ley 1474 de 2011 y el artículo 52 de la Ley 1437 de 2011, se constata que </w:t>
            </w:r>
            <w:r w:rsidRPr="00D14EC0">
              <w:rPr>
                <w:rFonts w:ascii="Verdana" w:eastAsia="Calibri" w:hAnsi="Verdana" w:cs="Arial"/>
                <w:color w:val="000000" w:themeColor="text1"/>
              </w:rPr>
              <w:t xml:space="preserve">esta facultad </w:t>
            </w:r>
            <w:r>
              <w:rPr>
                <w:rFonts w:ascii="Verdana" w:eastAsia="Calibri" w:hAnsi="Verdana" w:cs="Arial"/>
                <w:color w:val="000000" w:themeColor="text1"/>
              </w:rPr>
              <w:t xml:space="preserve">sancionatoria </w:t>
            </w:r>
            <w:r w:rsidRPr="00D14EC0">
              <w:rPr>
                <w:rFonts w:ascii="Verdana" w:eastAsia="Calibri" w:hAnsi="Verdana" w:cs="Arial"/>
                <w:color w:val="000000" w:themeColor="text1"/>
              </w:rPr>
              <w:t xml:space="preserve">debe ejercerse dentro del marco temporal fijado por el artículo 52 de la Ley 1437 de 2011, lo que significa que la administración solo puede iniciar y culminar el procedimiento sancionatorio dentro de los tres años siguientes al hecho constitutivo de incumplimiento. En </w:t>
            </w:r>
            <w:r>
              <w:rPr>
                <w:rFonts w:ascii="Verdana" w:eastAsia="Calibri" w:hAnsi="Verdana" w:cs="Arial"/>
                <w:color w:val="000000" w:themeColor="text1"/>
              </w:rPr>
              <w:t>consecuencia, la caducidad actúa</w:t>
            </w:r>
            <w:r w:rsidRPr="00D14EC0">
              <w:rPr>
                <w:rFonts w:ascii="Verdana" w:eastAsia="Calibri" w:hAnsi="Verdana" w:cs="Arial"/>
                <w:color w:val="000000" w:themeColor="text1"/>
              </w:rPr>
              <w:t xml:space="preserve"> como límite material y temporal que condiciona la procedencia de las sanciones contractuales, garantizando que el ejercicio de la potestad sancionadora se ajuste a los principios de legalidad, proporcionalidad y seguridad jurídica.</w:t>
            </w:r>
          </w:p>
          <w:p w14:paraId="6B2ADE6B" w14:textId="77777777" w:rsidR="00F379B1" w:rsidRPr="00671499" w:rsidRDefault="00F379B1" w:rsidP="001A53D3">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Ahora bien, </w:t>
            </w:r>
            <w:r w:rsidRPr="00671499">
              <w:rPr>
                <w:rFonts w:ascii="Verdana" w:eastAsia="Calibri" w:hAnsi="Verdana" w:cs="Arial"/>
                <w:color w:val="000000" w:themeColor="text1"/>
              </w:rPr>
              <w:t xml:space="preserve">es posible invocar la caducidad de la facultad sancionatoria en cualquier etapa del procedimiento sancionatorio contractual regulado por el artículo 86 de la </w:t>
            </w:r>
            <w:r>
              <w:rPr>
                <w:rFonts w:ascii="Verdana" w:eastAsia="Calibri" w:hAnsi="Verdana" w:cs="Arial"/>
                <w:color w:val="000000" w:themeColor="text1"/>
              </w:rPr>
              <w:t xml:space="preserve">Ley 1474 de 2011. </w:t>
            </w:r>
            <w:r w:rsidRPr="00671499">
              <w:rPr>
                <w:rFonts w:ascii="Verdana" w:eastAsia="Calibri" w:hAnsi="Verdana" w:cs="Arial"/>
                <w:color w:val="000000" w:themeColor="text1"/>
              </w:rPr>
              <w:t xml:space="preserve">Su naturaleza es de orden público, lo que significa que no depende de la voluntad de </w:t>
            </w:r>
            <w:r>
              <w:rPr>
                <w:rFonts w:ascii="Verdana" w:eastAsia="Calibri" w:hAnsi="Verdana" w:cs="Arial"/>
                <w:color w:val="000000" w:themeColor="text1"/>
              </w:rPr>
              <w:t>las partes y puede declararse</w:t>
            </w:r>
            <w:r w:rsidRPr="00671499">
              <w:rPr>
                <w:rFonts w:ascii="Verdana" w:eastAsia="Calibri" w:hAnsi="Verdana" w:cs="Arial"/>
                <w:color w:val="000000" w:themeColor="text1"/>
              </w:rPr>
              <w:t xml:space="preserve"> en cualquier fase del trámite</w:t>
            </w:r>
            <w:r>
              <w:rPr>
                <w:rFonts w:ascii="Verdana" w:eastAsia="Calibri" w:hAnsi="Verdana" w:cs="Arial"/>
                <w:color w:val="000000" w:themeColor="text1"/>
              </w:rPr>
              <w:t xml:space="preserve"> –presentación de recurso de reposición</w:t>
            </w:r>
            <w:r w:rsidRPr="00671499">
              <w:rPr>
                <w:rFonts w:ascii="Verdana" w:eastAsia="Calibri" w:hAnsi="Verdana" w:cs="Arial"/>
                <w:color w:val="000000" w:themeColor="text1"/>
              </w:rPr>
              <w:t>,</w:t>
            </w:r>
            <w:r>
              <w:rPr>
                <w:rFonts w:ascii="Verdana" w:eastAsia="Calibri" w:hAnsi="Verdana" w:cs="Arial"/>
                <w:color w:val="000000" w:themeColor="text1"/>
              </w:rPr>
              <w:t xml:space="preserve"> alegatos de conclusión-</w:t>
            </w:r>
            <w:r w:rsidRPr="00671499">
              <w:rPr>
                <w:rFonts w:ascii="Verdana" w:eastAsia="Calibri" w:hAnsi="Verdana" w:cs="Arial"/>
                <w:color w:val="000000" w:themeColor="text1"/>
              </w:rPr>
              <w:t xml:space="preserve"> desde </w:t>
            </w:r>
            <w:r>
              <w:rPr>
                <w:rFonts w:ascii="Verdana" w:eastAsia="Calibri" w:hAnsi="Verdana" w:cs="Arial"/>
                <w:color w:val="000000" w:themeColor="text1"/>
              </w:rPr>
              <w:t xml:space="preserve">el inicio del procedimiento sancionatorio hasta su etapa final. </w:t>
            </w:r>
            <w:r w:rsidRPr="00671499">
              <w:rPr>
                <w:rFonts w:ascii="Verdana" w:eastAsia="Calibri" w:hAnsi="Verdana" w:cs="Arial"/>
                <w:color w:val="000000" w:themeColor="text1"/>
              </w:rPr>
              <w:t xml:space="preserve">En el contexto del procedimiento sancionatorio contractual, la administración debe verificar que el hecho constitutivo de incumplimiento no haya ocurrido hace más de tres años, pues de lo contrario la facultad sancionatoria estaría caducada. Si la caducidad se configura, la consecuencia es la imposibilidad jurídica de imponer sanción alguna, lo cual puede </w:t>
            </w:r>
            <w:r>
              <w:rPr>
                <w:rFonts w:ascii="Verdana" w:eastAsia="Calibri" w:hAnsi="Verdana" w:cs="Arial"/>
                <w:color w:val="000000" w:themeColor="text1"/>
              </w:rPr>
              <w:t xml:space="preserve">alegarse </w:t>
            </w:r>
            <w:r w:rsidRPr="00671499">
              <w:rPr>
                <w:rFonts w:ascii="Verdana" w:eastAsia="Calibri" w:hAnsi="Verdana" w:cs="Arial"/>
                <w:color w:val="000000" w:themeColor="text1"/>
              </w:rPr>
              <w:lastRenderedPageBreak/>
              <w:t>por el contratista en su defensa</w:t>
            </w:r>
            <w:r>
              <w:rPr>
                <w:rFonts w:ascii="Verdana" w:eastAsia="Calibri" w:hAnsi="Verdana" w:cs="Arial"/>
                <w:color w:val="000000" w:themeColor="text1"/>
              </w:rPr>
              <w:t xml:space="preserve"> en las diferentes etapas del procedimiento</w:t>
            </w:r>
            <w:r w:rsidRPr="00671499">
              <w:rPr>
                <w:rFonts w:ascii="Verdana" w:eastAsia="Calibri" w:hAnsi="Verdana" w:cs="Arial"/>
                <w:color w:val="000000" w:themeColor="text1"/>
              </w:rPr>
              <w:t xml:space="preserve"> </w:t>
            </w:r>
            <w:r w:rsidRPr="00003A8E">
              <w:rPr>
                <w:rFonts w:ascii="Verdana" w:eastAsia="Calibri" w:hAnsi="Verdana" w:cs="Arial"/>
                <w:color w:val="000000" w:themeColor="text1"/>
              </w:rPr>
              <w:t xml:space="preserve">presentación de descargos, alegatos de conclusión, interposición del recurso de reposición- </w:t>
            </w:r>
            <w:r w:rsidRPr="00671499">
              <w:rPr>
                <w:rFonts w:ascii="Verdana" w:eastAsia="Calibri" w:hAnsi="Verdana" w:cs="Arial"/>
                <w:color w:val="000000" w:themeColor="text1"/>
              </w:rPr>
              <w:t xml:space="preserve">o reconocido directamente por la entidad. </w:t>
            </w:r>
          </w:p>
          <w:p w14:paraId="66A392F9" w14:textId="77777777" w:rsidR="00F379B1" w:rsidRPr="00EC0AEA" w:rsidRDefault="00F379B1" w:rsidP="001A53D3">
            <w:pPr>
              <w:spacing w:after="120" w:line="276" w:lineRule="auto"/>
              <w:ind w:firstLine="708"/>
              <w:jc w:val="both"/>
              <w:rPr>
                <w:rFonts w:ascii="Verdana" w:eastAsia="Calibri" w:hAnsi="Verdana" w:cs="Arial"/>
                <w:color w:val="000000" w:themeColor="text1"/>
              </w:rPr>
            </w:pPr>
            <w:r w:rsidRPr="00EC0AEA">
              <w:rPr>
                <w:rFonts w:ascii="Verdana" w:eastAsia="Calibri" w:hAnsi="Verdana" w:cs="Arial"/>
                <w:color w:val="000000" w:themeColor="text1"/>
              </w:rPr>
              <w:t xml:space="preserve">La anterior interpretación guarda armonía con lo establecido en el artículo 17 de la Ley 1150 de 2007, frente al respeto por el debido proceso en las actuaciones administrativas sancionatorias. En efecto, por virtud de este derecho fundamental y de los principios de eficacia, eficiencia y legalidad de las actuaciones administrativas, aplicables a la contratación estatal, conforme al artículo 23 de la Ley 80 de 1993, no podrían aceptarse dilaciones injustificadas e inobservancia de las formas propias del procedimiento sancionatorio contractual, reglas que no permiten dejar sin definición la situación jurídica del contratista que ha sido vinculado a un procedimiento para ser sujeto pasivo de la potestad sancionatoria del Estado.  </w:t>
            </w:r>
            <w:r>
              <w:rPr>
                <w:rFonts w:ascii="Verdana" w:eastAsia="Calibri" w:hAnsi="Verdana" w:cs="Arial"/>
                <w:color w:val="000000" w:themeColor="text1"/>
              </w:rPr>
              <w:t xml:space="preserve"> </w:t>
            </w:r>
          </w:p>
          <w:p w14:paraId="2C4A4E13" w14:textId="77777777" w:rsidR="00F379B1" w:rsidRDefault="00F379B1" w:rsidP="001A53D3">
            <w:pPr>
              <w:spacing w:after="120" w:line="276" w:lineRule="auto"/>
              <w:ind w:firstLine="709"/>
              <w:jc w:val="both"/>
              <w:rPr>
                <w:rFonts w:ascii="Verdana" w:eastAsia="Calibri" w:hAnsi="Verdana" w:cs="Arial"/>
                <w:color w:val="000000" w:themeColor="text1"/>
              </w:rPr>
            </w:pPr>
            <w:r w:rsidRPr="00EC0AEA">
              <w:rPr>
                <w:rFonts w:ascii="Verdana" w:eastAsia="Calibri" w:hAnsi="Verdana" w:cs="Arial"/>
                <w:color w:val="000000" w:themeColor="text1"/>
              </w:rPr>
              <w:t xml:space="preserve">De cualquier modo, es necesario tener en cuenta que la garantías que amparan el cumplimiento en los contratos estatales están regidas por los términos de prescripción establecidos para el contrato de seguro en el artículo 1081 del Código de Comercio. En ese sentido, independientemente del término de caducidad de la facultad sancionatoria, también es necesario que la Entidad Estatal tenga en cuenta lo anterior, en aras de evitar que se declaren incumplimientos cuando se haya consolidado la prescripción de las acciones que derivan del contrato de seguro que ampara a la Entidad Estatal ante el incumplimiento del contratista y no sea posible siniestrar las garantías que respaldan el contrato estatal. </w:t>
            </w:r>
          </w:p>
          <w:p w14:paraId="39A1ECCB" w14:textId="77777777" w:rsidR="00F379B1" w:rsidRDefault="00F379B1" w:rsidP="001A53D3">
            <w:pPr>
              <w:spacing w:line="276" w:lineRule="auto"/>
              <w:jc w:val="both"/>
              <w:rPr>
                <w:rFonts w:ascii="Verdana" w:hAnsi="Verdana" w:cs="Arial"/>
                <w:lang w:eastAsia="es-ES"/>
              </w:rPr>
            </w:pPr>
          </w:p>
          <w:p w14:paraId="140602F0" w14:textId="77777777" w:rsidR="00F379B1" w:rsidRDefault="00F379B1" w:rsidP="001A53D3">
            <w:pPr>
              <w:spacing w:after="120" w:line="276" w:lineRule="auto"/>
              <w:jc w:val="both"/>
              <w:rPr>
                <w:rFonts w:ascii="Verdana" w:eastAsia="Calibri" w:hAnsi="Verdana" w:cs="Arial"/>
                <w:color w:val="000000" w:themeColor="text1"/>
              </w:rPr>
            </w:pPr>
            <w:r>
              <w:rPr>
                <w:rFonts w:ascii="Verdana" w:hAnsi="Verdana" w:cs="Arial"/>
                <w:lang w:eastAsia="es-ES"/>
              </w:rPr>
              <w:t xml:space="preserve">ii. </w:t>
            </w:r>
            <w:r>
              <w:rPr>
                <w:rFonts w:ascii="Verdana" w:eastAsia="Calibri" w:hAnsi="Verdana" w:cs="Arial"/>
                <w:color w:val="000000" w:themeColor="text1"/>
              </w:rPr>
              <w:t xml:space="preserve">Teniendo en cuenta lo expresado en las razones de la respuesta y a partir de uno de los problemas jurídico, objeto de consulta, es pertinente revisar la necesidad de modificar el estado del proceso contractual en SECOP II derivado de la caducidad de la facultad sancionatoria, ya sea con la terminación, liquidación o cierre del contrato en dicha plataforma. Para ello, la entidad estatal debe revisar cuál es el procedimiento a seguir, lo cual depende de la etapa en que se encuentra el proceso, ya sea con la terminación, liquidación o cierre del contrato en el SECOP II. </w:t>
            </w:r>
          </w:p>
          <w:p w14:paraId="45AB66D6" w14:textId="77777777" w:rsidR="00F379B1" w:rsidRPr="008E5EF9" w:rsidRDefault="00F379B1" w:rsidP="001A53D3">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Al respecto, el</w:t>
            </w:r>
            <w:r w:rsidRPr="008E5EF9">
              <w:rPr>
                <w:rFonts w:ascii="Verdana" w:eastAsia="Calibri" w:hAnsi="Verdana" w:cs="Arial"/>
              </w:rPr>
              <w:t xml:space="preserve"> usuario de la Entidad Estatal podrá gestionar la terminación, liquidación y cierre del contrato en el SECOP II así: al seleccionar </w:t>
            </w:r>
            <w:r w:rsidRPr="008E5EF9">
              <w:rPr>
                <w:rFonts w:ascii="Verdana" w:eastAsia="Calibri" w:hAnsi="Verdana" w:cs="Arial"/>
              </w:rPr>
              <w:lastRenderedPageBreak/>
              <w:t>esta modificación, el SECOP II muestra un mensaje con la pregunta “¿Requiere reconocimiento del proveedor?”. Por defecto, esta opción viene seleccionada, lo cual, indica que la modificación requiere aprobación del Proveedor. Si va a efectuar una terminación bilateral o una liquidación bilateral del contrato debe seleccionar esta opción, esto es, que requiera la aprobación del proveedor, teniendo en cuenta que el SECOP II como plataforma transaccional, es donde ambas partes –entidad estatal y proveedor- aprueban los documentos. Por tanto, no se aceptan que las actas de liquidación sean subidas en documentos de ejecución, pues no corresponden a esta etapa de la contratación estatal, salvo que por problemas técnicos en la plataforma no pueda aprobarse la liquidación. Para el caso de una terminación unilateral o caducar el contrato, deja esta opción sin marcar.</w:t>
            </w:r>
          </w:p>
          <w:p w14:paraId="5B94FBAE" w14:textId="77777777" w:rsidR="00F379B1" w:rsidRPr="009D48B3" w:rsidRDefault="00F379B1" w:rsidP="001A53D3">
            <w:pPr>
              <w:spacing w:before="120" w:line="276" w:lineRule="auto"/>
              <w:ind w:firstLine="708"/>
              <w:jc w:val="both"/>
              <w:rPr>
                <w:rFonts w:ascii="Verdana" w:eastAsia="Times New Roman" w:hAnsi="Verdana" w:cs="Arial"/>
                <w:color w:val="000000"/>
                <w:lang w:val="es-ES"/>
              </w:rPr>
            </w:pPr>
            <w:r w:rsidRPr="009D48B3">
              <w:rPr>
                <w:rFonts w:ascii="Verdana" w:eastAsia="Times New Roman" w:hAnsi="Verdana" w:cs="Arial"/>
                <w:color w:val="000000"/>
              </w:rPr>
              <w:t xml:space="preserve">Por su parte, el artículo 2.2.1.1.2.4.3 del Decreto 1082 de 2015, el </w:t>
            </w:r>
            <w:r w:rsidRPr="009D48B3">
              <w:rPr>
                <w:rFonts w:ascii="Verdana" w:eastAsia="Times New Roman" w:hAnsi="Verdana" w:cs="Arial"/>
                <w:i/>
                <w:iCs/>
                <w:color w:val="000000"/>
              </w:rPr>
              <w:t>cierre del expediente</w:t>
            </w:r>
            <w:r w:rsidRPr="009D48B3">
              <w:rPr>
                <w:rFonts w:ascii="Verdana" w:eastAsia="Times New Roman" w:hAnsi="Verdana" w:cs="Arial"/>
                <w:color w:val="000000"/>
              </w:rPr>
              <w:t xml:space="preserve"> es un acto de trámite que realiza la entidad estatal cuando han vencido, por un lado, las garantías de calidad, estabilidad y mantenimiento, o por el otro, cuando se establecieron condiciones de disposición final o recuperación ambiental de las obras o bienes. Se trata de una constancia administrativa que culmina las actuaciones contractuales. </w:t>
            </w:r>
            <w:r w:rsidRPr="009D48B3">
              <w:rPr>
                <w:rFonts w:ascii="Verdana" w:eastAsia="Times New Roman" w:hAnsi="Verdana" w:cs="Arial"/>
                <w:color w:val="000000"/>
                <w:lang w:val="es-ES"/>
              </w:rPr>
              <w:t xml:space="preserve">en el caso del cierre del expediente contractual, es importante tener presente que es un documento administrativo que busca cerrar el expediente contractual electrónico de un proceso de contratación. </w:t>
            </w:r>
          </w:p>
          <w:p w14:paraId="7D88172D" w14:textId="77777777" w:rsidR="00F379B1" w:rsidRPr="009D48B3" w:rsidRDefault="00F379B1" w:rsidP="001A53D3">
            <w:pPr>
              <w:spacing w:before="120" w:line="276" w:lineRule="auto"/>
              <w:ind w:firstLine="708"/>
              <w:jc w:val="both"/>
              <w:rPr>
                <w:rFonts w:ascii="Verdana" w:eastAsia="Calibri" w:hAnsi="Verdana" w:cs="Arial"/>
              </w:rPr>
            </w:pPr>
            <w:r w:rsidRPr="009D48B3">
              <w:rPr>
                <w:rFonts w:ascii="Verdana" w:eastAsia="Times New Roman" w:hAnsi="Verdana" w:cs="Arial"/>
                <w:color w:val="000000"/>
                <w:lang w:val="es-ES"/>
              </w:rPr>
              <w:t xml:space="preserve">Para que proceda el cierre del expediente contractual </w:t>
            </w:r>
            <w:r w:rsidRPr="009D48B3">
              <w:rPr>
                <w:rFonts w:ascii="Verdana" w:eastAsia="Calibri" w:hAnsi="Verdana" w:cs="Arial"/>
              </w:rPr>
              <w:t>en la plataforma SECOP II de los procesos es necesario que se hayan cumplido con las obligaciones post-contractuales y de los contratos cuyo plazo de ejecución haya finalizado y no requiera de liquidación o no se encuentren obligaciones postcontractuales pendientes, por lo que el cierre del proceso dependerá la causal de terminación y de las disposiciones específicas del contrato. En esta línea, la Circular Externa 05 del 1 de noviembre de 2024 expresó que el cierre del contrato puede aplicar en los siguientes supuestos:</w:t>
            </w:r>
            <w:r w:rsidRPr="009D48B3">
              <w:t xml:space="preserve"> </w:t>
            </w:r>
            <w:r w:rsidRPr="009D48B3">
              <w:rPr>
                <w:rFonts w:ascii="Verdana" w:eastAsia="Calibri" w:hAnsi="Verdana" w:cs="Arial"/>
              </w:rPr>
              <w:t xml:space="preserve">a) Cerrar los expedientes electrónicos de los contratos que hayan cumplido con las obligaciones post-contractuales, a las que prescribe el artículo 2.2.1.1.2.4.3 del Decreto 1082 de 2015; b) Cerrar los expedientes electrónicos de los contratos cuyo plazo de ejecución y término para liquidar hayan finalizado, que no se hayan incluido garantías de calidad, estabilidad y mantenimiento, ni obligaciones postcontractuales; c) Cerrar el expediente electrónico de los </w:t>
            </w:r>
            <w:r w:rsidRPr="009D48B3">
              <w:rPr>
                <w:rFonts w:ascii="Verdana" w:eastAsia="Calibri" w:hAnsi="Verdana" w:cs="Arial"/>
              </w:rPr>
              <w:lastRenderedPageBreak/>
              <w:t xml:space="preserve">contratos cuyo plazo de ejecución haya finalizado, que no requieran de liquidación o no se encuentren pendientes obligaciones postcontractuales pendientes por cumplir. Esto, sin perjuicio de otros supuestos que impliquen el cierre del contrato. </w:t>
            </w:r>
          </w:p>
          <w:p w14:paraId="68EE18CC" w14:textId="77777777" w:rsidR="00F379B1" w:rsidRPr="0082701F" w:rsidRDefault="00F379B1" w:rsidP="001A53D3">
            <w:pPr>
              <w:spacing w:before="120" w:after="120" w:line="276" w:lineRule="auto"/>
              <w:ind w:firstLine="709"/>
              <w:jc w:val="both"/>
              <w:rPr>
                <w:rFonts w:ascii="Verdana" w:hAnsi="Verdana" w:cs="Arial"/>
                <w:lang w:eastAsia="es-ES"/>
              </w:rPr>
            </w:pP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margen de la explicación precedente debe advertirse que el análisis requerido para resolver p</w:t>
            </w:r>
            <w:r>
              <w:rPr>
                <w:rFonts w:ascii="Verdana" w:hAnsi="Verdana" w:cs="Arial"/>
                <w:lang w:val="es-ES_tradnl" w:eastAsia="es-ES"/>
              </w:rPr>
              <w:t xml:space="preserve">roblemas específicos en torno a la caducidad de la facultad sancionatoria y </w:t>
            </w:r>
            <w:r w:rsidRPr="009037F6">
              <w:rPr>
                <w:rFonts w:ascii="Verdana" w:hAnsi="Verdana" w:cs="Arial"/>
                <w:lang w:val="es-ES_tradnl" w:eastAsia="es-ES"/>
              </w:rPr>
              <w:t>sus procedimientos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0419728D" w14:textId="77777777" w:rsidR="00F379B1" w:rsidRPr="009037F6" w:rsidRDefault="00F379B1" w:rsidP="00F379B1">
      <w:pPr>
        <w:spacing w:after="0" w:line="276" w:lineRule="auto"/>
        <w:jc w:val="both"/>
        <w:rPr>
          <w:rFonts w:ascii="Verdana" w:eastAsia="Calibri" w:hAnsi="Verdana" w:cs="Arial"/>
          <w:bCs/>
          <w:color w:val="000000" w:themeColor="text1"/>
        </w:rPr>
      </w:pPr>
    </w:p>
    <w:p w14:paraId="5F4C2B37" w14:textId="77777777" w:rsidR="00F379B1" w:rsidRPr="009037F6" w:rsidRDefault="00F379B1" w:rsidP="00F379B1">
      <w:pPr>
        <w:numPr>
          <w:ilvl w:val="0"/>
          <w:numId w:val="16"/>
        </w:numPr>
        <w:tabs>
          <w:tab w:val="left" w:pos="2268"/>
        </w:tabs>
        <w:spacing w:after="0" w:line="256" w:lineRule="auto"/>
        <w:rPr>
          <w:rFonts w:ascii="Verdana" w:eastAsia="Calibri" w:hAnsi="Verdana" w:cs="Times New Roman"/>
          <w:b/>
          <w:bCs/>
          <w:lang w:val="es-ES"/>
        </w:rPr>
      </w:pPr>
      <w:r w:rsidRPr="009037F6">
        <w:rPr>
          <w:rFonts w:ascii="Verdana" w:eastAsia="Calibri" w:hAnsi="Verdana" w:cs="Times New Roman"/>
          <w:b/>
          <w:bCs/>
          <w:lang w:val="es-ES"/>
        </w:rPr>
        <w:t>Razones de la respuesta:</w:t>
      </w:r>
    </w:p>
    <w:p w14:paraId="0822CC54" w14:textId="77777777" w:rsidR="00F379B1" w:rsidRPr="009037F6" w:rsidRDefault="00F379B1" w:rsidP="00F379B1">
      <w:pPr>
        <w:spacing w:after="0" w:line="256" w:lineRule="auto"/>
        <w:rPr>
          <w:rFonts w:ascii="Verdana" w:eastAsia="Calibri" w:hAnsi="Verdana" w:cs="Times New Roman"/>
          <w:b/>
          <w:bCs/>
          <w:lang w:val="es-ES"/>
        </w:rPr>
      </w:pPr>
    </w:p>
    <w:p w14:paraId="3A0562D8" w14:textId="77777777" w:rsidR="00F379B1" w:rsidRDefault="00F379B1" w:rsidP="00F379B1">
      <w:pPr>
        <w:spacing w:after="0" w:line="276" w:lineRule="auto"/>
        <w:jc w:val="both"/>
        <w:rPr>
          <w:rFonts w:ascii="Verdana" w:eastAsia="Calibri" w:hAnsi="Verdana" w:cs="Arial"/>
          <w:lang w:val="es-ES"/>
        </w:rPr>
      </w:pPr>
      <w:r w:rsidRPr="009037F6">
        <w:rPr>
          <w:rFonts w:ascii="Verdana" w:eastAsia="Calibri" w:hAnsi="Verdana" w:cs="Arial"/>
          <w:lang w:val="es-ES"/>
        </w:rPr>
        <w:t>Lo anterior se sustenta en las siguientes consideraciones:</w:t>
      </w:r>
      <w:bookmarkStart w:id="2" w:name="_Hlk78820161"/>
    </w:p>
    <w:p w14:paraId="7BADD860" w14:textId="77777777" w:rsidR="00F379B1" w:rsidRPr="00A93BC7" w:rsidRDefault="00F379B1" w:rsidP="00F379B1">
      <w:pPr>
        <w:spacing w:after="0" w:line="276" w:lineRule="auto"/>
        <w:jc w:val="both"/>
        <w:rPr>
          <w:rFonts w:ascii="Verdana" w:eastAsia="Calibri" w:hAnsi="Verdana" w:cs="Arial"/>
          <w:lang w:val="es-ES"/>
        </w:rPr>
      </w:pPr>
    </w:p>
    <w:p w14:paraId="5752C7E5" w14:textId="77777777" w:rsidR="00F379B1" w:rsidRPr="009037F6" w:rsidRDefault="00F379B1" w:rsidP="00F379B1">
      <w:pPr>
        <w:spacing w:before="120" w:after="120" w:line="276" w:lineRule="auto"/>
        <w:jc w:val="both"/>
        <w:rPr>
          <w:rFonts w:ascii="Verdana" w:eastAsia="Times New Roman" w:hAnsi="Verdana" w:cs="Arial"/>
          <w:lang w:val="es-ES" w:eastAsia="es-ES"/>
          <w14:ligatures w14:val="standardContextual"/>
        </w:rPr>
      </w:pPr>
      <w:r>
        <w:rPr>
          <w:rFonts w:ascii="Verdana" w:eastAsia="Times New Roman" w:hAnsi="Verdana" w:cs="Arial"/>
          <w:color w:val="000000" w:themeColor="text1"/>
          <w:lang w:val="es-ES" w:eastAsia="es-CO"/>
        </w:rPr>
        <w:t xml:space="preserve">i. </w:t>
      </w:r>
      <w:r w:rsidRPr="009037F6">
        <w:rPr>
          <w:rFonts w:ascii="Verdana" w:eastAsia="Times New Roman" w:hAnsi="Verdana" w:cs="Arial"/>
          <w:lang w:val="es-ES" w:eastAsia="es-ES"/>
          <w14:ligatures w14:val="standardContextual"/>
        </w:rPr>
        <w:t xml:space="preserve">Durante la ejecución de los contratos, las Entidades Estatales sometidas al Estatuto General de Contratación de la Administración Pública –en adelante EGCAP– usualmente cuentan con distintas potestades exorbitantes o excepcionales, con base en las cuales ejercen la dirección general del contrato y realizan las actividades propias de vigilancia y control. Entre dichas potestades se encuentran: a) Las cláusulas excepcionales del </w:t>
      </w:r>
      <w:r w:rsidRPr="009037F6">
        <w:rPr>
          <w:rFonts w:ascii="Verdana" w:eastAsia="Times New Roman" w:hAnsi="Verdana" w:cs="Arial"/>
          <w:i/>
          <w:iCs/>
          <w:lang w:val="es-ES" w:eastAsia="es-ES"/>
          <w14:ligatures w14:val="standardContextual"/>
        </w:rPr>
        <w:t>artículo 14</w:t>
      </w:r>
      <w:r w:rsidRPr="009037F6">
        <w:rPr>
          <w:rFonts w:ascii="Verdana" w:eastAsia="Times New Roman" w:hAnsi="Verdana" w:cs="Arial"/>
          <w:lang w:val="es-ES" w:eastAsia="es-ES"/>
          <w14:ligatures w14:val="standardContextual"/>
        </w:rPr>
        <w:t xml:space="preserve"> de la Ley 80 de 1993, concepto que incluye la terminación unilateral, la interpretación unilateral, la modificación unilateral, la caducidad y la reversión. Dichas prerrogativas se desarrollan en los artículos 15 a 19 </w:t>
      </w:r>
      <w:r w:rsidRPr="009037F6">
        <w:rPr>
          <w:rFonts w:ascii="Verdana" w:eastAsia="Times New Roman" w:hAnsi="Verdana" w:cs="Arial"/>
          <w:i/>
          <w:iCs/>
          <w:lang w:val="es-ES" w:eastAsia="es-ES"/>
          <w14:ligatures w14:val="standardContextual"/>
        </w:rPr>
        <w:t>ibidem</w:t>
      </w:r>
      <w:r w:rsidRPr="009037F6">
        <w:rPr>
          <w:rFonts w:ascii="Verdana" w:eastAsia="Times New Roman" w:hAnsi="Verdana" w:cs="Arial"/>
          <w:lang w:val="es-ES" w:eastAsia="es-ES"/>
          <w14:ligatures w14:val="standardContextual"/>
        </w:rPr>
        <w:t xml:space="preserve">; b) Las cláusulas excepcionales de </w:t>
      </w:r>
      <w:r w:rsidRPr="009037F6">
        <w:rPr>
          <w:rFonts w:ascii="Verdana" w:eastAsia="Times New Roman" w:hAnsi="Verdana" w:cs="Arial"/>
          <w:i/>
          <w:iCs/>
          <w:lang w:val="es-ES" w:eastAsia="es-ES"/>
          <w14:ligatures w14:val="standardContextual"/>
        </w:rPr>
        <w:t>imposición unilateral de las cláusulas penales y de multas</w:t>
      </w:r>
      <w:r w:rsidRPr="009037F6">
        <w:rPr>
          <w:rFonts w:ascii="Verdana" w:eastAsia="Times New Roman" w:hAnsi="Verdana" w:cs="Arial"/>
          <w:lang w:val="es-ES" w:eastAsia="es-ES"/>
          <w14:ligatures w14:val="standardContextual"/>
        </w:rPr>
        <w:t xml:space="preserve">, según lo establecido en el artículo 17 de la Ley 1150 de 2007. En este caso su exorbitancia se refiere a la facultad de imposición unilateral, no a su pacto, que es posible en virtud de las normas civiles y comerciales; c) Las potestades establecidas en otras disposiciones como la liquidación unilateral y la </w:t>
      </w:r>
      <w:r w:rsidRPr="009037F6">
        <w:rPr>
          <w:rFonts w:ascii="Verdana" w:eastAsia="Times New Roman" w:hAnsi="Verdana" w:cs="Arial"/>
          <w:i/>
          <w:iCs/>
          <w:lang w:val="es-ES" w:eastAsia="es-ES"/>
          <w14:ligatures w14:val="standardContextual"/>
        </w:rPr>
        <w:t>declaratoria unilateral del siniestro</w:t>
      </w:r>
      <w:r w:rsidRPr="009037F6">
        <w:rPr>
          <w:rFonts w:ascii="Verdana" w:eastAsia="Times New Roman" w:hAnsi="Verdana" w:cs="Arial"/>
          <w:lang w:val="es-ES" w:eastAsia="es-ES"/>
          <w14:ligatures w14:val="standardContextual"/>
        </w:rPr>
        <w:t xml:space="preserve"> –artículos 7 y 11 de la Ley 1150 de 2007–.</w:t>
      </w:r>
    </w:p>
    <w:p w14:paraId="1DCB811F" w14:textId="77777777" w:rsidR="00F379B1" w:rsidRPr="009037F6" w:rsidRDefault="00F379B1" w:rsidP="00F379B1">
      <w:pPr>
        <w:spacing w:before="120" w:after="120" w:line="276" w:lineRule="auto"/>
        <w:ind w:firstLine="709"/>
        <w:jc w:val="both"/>
        <w:rPr>
          <w:rFonts w:ascii="Verdana" w:eastAsia="Times New Roman" w:hAnsi="Verdana" w:cs="Arial"/>
          <w:iCs/>
          <w:lang w:val="es-ES"/>
        </w:rPr>
      </w:pPr>
      <w:r w:rsidRPr="009037F6">
        <w:rPr>
          <w:rFonts w:ascii="Verdana" w:eastAsia="Times New Roman" w:hAnsi="Verdana" w:cs="Arial"/>
          <w:iCs/>
          <w:lang w:val="es-ES"/>
        </w:rPr>
        <w:lastRenderedPageBreak/>
        <w:t xml:space="preserve">Las primeras, esto es, las cláusulas excepcionales del artículo 14 de la Ley 80 de 1993, son estipulaciones virtuales y obligatorias en los contratos de concesión, obra, prestación de servicios públicos, aquellos que tengan por objeto el ejercicio de una actividad que constituya monopolio estatal </w:t>
      </w:r>
      <w:r w:rsidRPr="009037F6">
        <w:rPr>
          <w:rFonts w:ascii="Verdana" w:eastAsia="Times New Roman" w:hAnsi="Verdana" w:cs="Arial"/>
          <w:lang w:val="es-ES"/>
        </w:rPr>
        <w:t>y los relacionados con el programa de alimentación escolar –según lo dispuso la modificación del artículo 52 de la Ley 2195 de 2022–</w:t>
      </w:r>
      <w:r w:rsidRPr="009037F6">
        <w:rPr>
          <w:rFonts w:ascii="Verdana" w:eastAsia="Times New Roman" w:hAnsi="Verdana" w:cs="Arial"/>
          <w:iCs/>
          <w:lang w:val="es-ES"/>
        </w:rPr>
        <w:t>. En tales contratos, sin importar si se incorporaron o no dentro de estos, las cláusulas excepcionales se entienden incluidas por el ministerio de la ley, como lo dispone el artículo 14 de la Ley 80 de 1993.</w:t>
      </w:r>
    </w:p>
    <w:p w14:paraId="23254F71" w14:textId="77777777" w:rsidR="00F379B1" w:rsidRPr="009037F6" w:rsidRDefault="00F379B1" w:rsidP="00F379B1">
      <w:pPr>
        <w:spacing w:before="120" w:after="120" w:line="276" w:lineRule="auto"/>
        <w:ind w:firstLine="709"/>
        <w:jc w:val="both"/>
        <w:rPr>
          <w:rFonts w:ascii="Verdana" w:hAnsi="Verdana" w:cs="Arial"/>
          <w:iCs/>
          <w:lang w:val="es-ES"/>
        </w:rPr>
      </w:pPr>
      <w:r w:rsidRPr="009037F6">
        <w:rPr>
          <w:rFonts w:ascii="Verdana" w:eastAsia="Times New Roman" w:hAnsi="Verdana" w:cs="Arial"/>
          <w:lang w:val="es-ES" w:eastAsia="es-ES"/>
          <w14:ligatures w14:val="standardContextual"/>
        </w:rPr>
        <w:t>Frente al segundo y tercer supuesto, la Administración cuenta con la facultad exorbitante de declarar unilateralmente el siniestro, imponer multas y hacer exigible la cláusula penal. El ejercicio de estas potestades se materializa mediante la expedición de un acto administrativo, producto del procedimiento establecido en el artículo 86 de la Ley 1474 de 2011, el cual establece sus reglas con el fin de asegurar el cumplimiento de los derechos y garantías derivadas del debido proceso en materia sancionatoria contractual. De conformidad con esta disposición, las “entidades sometidas al Estatuto General de Contratación de la Administración Pública podrán declarar el incumplimiento, cuantificando los perjuicios del mismo, imponer las multas y sanciones pactadas en el contrato, y hacer efectiva la cláusula penal</w:t>
      </w:r>
      <w:r w:rsidRPr="009037F6">
        <w:rPr>
          <w:rFonts w:ascii="Verdana" w:eastAsia="Times New Roman" w:hAnsi="Verdana" w:cs="Arial"/>
          <w:i/>
          <w:iCs/>
          <w:lang w:val="es-ES" w:eastAsia="es-ES"/>
          <w14:ligatures w14:val="standardContextual"/>
        </w:rPr>
        <w:t xml:space="preserve"> </w:t>
      </w:r>
      <w:r w:rsidRPr="009037F6">
        <w:rPr>
          <w:rFonts w:ascii="Verdana" w:eastAsia="Times New Roman" w:hAnsi="Verdana" w:cs="Arial"/>
          <w:lang w:val="es-ES" w:eastAsia="es-ES"/>
          <w14:ligatures w14:val="standardContextual"/>
        </w:rPr>
        <w:t xml:space="preserve">[…]”. </w:t>
      </w:r>
    </w:p>
    <w:p w14:paraId="696558F9" w14:textId="77777777" w:rsidR="00F379B1" w:rsidRPr="009037F6" w:rsidRDefault="00F379B1" w:rsidP="00F379B1">
      <w:pPr>
        <w:spacing w:after="120" w:line="276" w:lineRule="auto"/>
        <w:ind w:firstLine="709"/>
        <w:jc w:val="both"/>
        <w:rPr>
          <w:rFonts w:ascii="Verdana" w:eastAsia="Times New Roman" w:hAnsi="Verdana" w:cs="Arial"/>
          <w:iCs/>
          <w:lang w:val="es-ES"/>
        </w:rPr>
      </w:pPr>
      <w:r w:rsidRPr="009037F6">
        <w:rPr>
          <w:rFonts w:ascii="Verdana" w:eastAsia="Times New Roman" w:hAnsi="Verdana" w:cs="Arial"/>
          <w:iCs/>
          <w:lang w:val="es-ES"/>
        </w:rPr>
        <w:t>Las potestades exorbitantes del segundo grupo –imposición unilateral de la multa o la cláusula penal– son el resultado de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uno u otro caso se hayan pactado en el contrato</w:t>
      </w:r>
      <w:r w:rsidRPr="009037F6">
        <w:rPr>
          <w:rFonts w:ascii="Verdana" w:eastAsia="Times New Roman" w:hAnsi="Verdana" w:cs="Arial"/>
          <w:vertAlign w:val="superscript"/>
          <w:lang w:val="es-ES"/>
        </w:rPr>
        <w:footnoteReference w:id="1"/>
      </w:r>
      <w:r w:rsidRPr="009037F6">
        <w:rPr>
          <w:rFonts w:ascii="Verdana" w:eastAsia="Times New Roman" w:hAnsi="Verdana" w:cs="Arial"/>
          <w:iCs/>
          <w:lang w:val="es-ES"/>
        </w:rPr>
        <w:t xml:space="preserve">. No obstante, cumplido el requisito del pacto en el contrato, las entidades estatales sometidas al Estatuto General de Contratación de la Administración Pública –Leyes 80 de 1993 y 1150 de 2007, y sus modificaciones–, por ministerio de la ley –artículo 17 de la Ley 1150 de 2007– se entienden investidas de la prerrogativa de imposición unilateral. Se reitera que la exorbitancia de las dos cláusulas transcritas –cláusula penal y multas– se refiere a su imposición unilateral, no a su pacto. Esto último en la medida en </w:t>
      </w:r>
      <w:r w:rsidRPr="009037F6">
        <w:rPr>
          <w:rFonts w:ascii="Verdana" w:eastAsia="Times New Roman" w:hAnsi="Verdana" w:cs="Arial"/>
          <w:iCs/>
          <w:lang w:val="es-ES"/>
        </w:rPr>
        <w:lastRenderedPageBreak/>
        <w:t>que dichas cláusulas son posibles y pueden pactarse en virtud de la autonomía de la voluntad y a la regulación de las normas civiles y comerciales.</w:t>
      </w:r>
    </w:p>
    <w:p w14:paraId="701327C3" w14:textId="77777777" w:rsidR="00F379B1" w:rsidRPr="009037F6" w:rsidRDefault="00F379B1" w:rsidP="00F379B1">
      <w:pPr>
        <w:spacing w:after="240" w:line="276" w:lineRule="auto"/>
        <w:ind w:firstLine="709"/>
        <w:jc w:val="both"/>
        <w:rPr>
          <w:rFonts w:ascii="Verdana" w:eastAsia="Times New Roman" w:hAnsi="Verdana" w:cs="Arial"/>
          <w:iCs/>
          <w:lang w:val="es-ES"/>
        </w:rPr>
      </w:pPr>
      <w:r w:rsidRPr="009037F6">
        <w:rPr>
          <w:rFonts w:ascii="Verdana" w:eastAsia="Times New Roman" w:hAnsi="Verdana" w:cs="Arial"/>
          <w:iCs/>
          <w:lang w:val="es-ES"/>
        </w:rPr>
        <w:t>En efecto, tratándose de las multas y la cláusula penal, en cumplimiento del principio de tipicidad, las partes deben determinar en forma pormenorizada las acciones u omisiones objeto de sanción y el monto de la sanción a imponer, el cual, en todo caso, debe atender los criterios de proporcionalidad y razonabilidad. En esa línea, se pronunció la Sección Tercera del Consejo de Estado, indicando que:</w:t>
      </w:r>
    </w:p>
    <w:p w14:paraId="29E965D8" w14:textId="77777777" w:rsidR="00F379B1" w:rsidRPr="009037F6" w:rsidRDefault="00F379B1" w:rsidP="00F379B1">
      <w:pPr>
        <w:spacing w:after="240" w:line="240" w:lineRule="auto"/>
        <w:ind w:left="709" w:right="709"/>
        <w:contextualSpacing/>
        <w:jc w:val="both"/>
        <w:rPr>
          <w:rFonts w:ascii="Verdana" w:eastAsia="Times New Roman" w:hAnsi="Verdana" w:cs="Arial"/>
          <w:iCs/>
          <w:sz w:val="20"/>
          <w:szCs w:val="20"/>
          <w:lang w:val="es-ES"/>
        </w:rPr>
      </w:pPr>
      <w:r w:rsidRPr="009037F6">
        <w:rPr>
          <w:rFonts w:ascii="Verdana" w:eastAsia="Times New Roman" w:hAnsi="Verdana" w:cs="Arial"/>
          <w:i/>
          <w:iCs/>
          <w:sz w:val="20"/>
          <w:szCs w:val="20"/>
          <w:lang w:val="es-ES"/>
        </w:rPr>
        <w:t>“</w:t>
      </w:r>
      <w:r w:rsidRPr="009037F6">
        <w:rPr>
          <w:rFonts w:ascii="Verdana" w:eastAsia="Times New Roman" w:hAnsi="Verdana" w:cs="Arial"/>
          <w:sz w:val="20"/>
          <w:szCs w:val="20"/>
          <w:lang w:val="es-ES"/>
        </w:rPr>
        <w:t>[…]</w:t>
      </w:r>
      <w:r w:rsidRPr="009037F6">
        <w:rPr>
          <w:rFonts w:ascii="Verdana" w:eastAsia="Times New Roman" w:hAnsi="Verdana" w:cs="Arial"/>
          <w:iCs/>
          <w:sz w:val="20"/>
          <w:szCs w:val="20"/>
          <w:lang w:val="es-ES"/>
        </w:rPr>
        <w:t>la multa y la cláusula penal mantienen la libertad de pacto, es decir, que la ley no determina las conductas que las originan, y las partes pueden hacerlo con gran libertad -pero tampoco arbitrariamente-. Pese a este relajamiento del principio de legalidad fuerte, en todo caso se conserva el principio de tipicidad, según el cual las partes del negocio deben describir la conducta prohibida en la cláusula contractual. Además, también se mantiene el principio que impone que la conducta reprochable se establezca de manera previa a su realización –lex previa–, para evitar la arbitrariedad y el abuso de poder”</w:t>
      </w:r>
      <w:r w:rsidRPr="009037F6">
        <w:rPr>
          <w:rFonts w:ascii="Verdana" w:eastAsia="Times New Roman" w:hAnsi="Verdana" w:cs="Arial"/>
          <w:sz w:val="20"/>
          <w:szCs w:val="20"/>
          <w:vertAlign w:val="superscript"/>
          <w:lang w:val="es-ES"/>
        </w:rPr>
        <w:footnoteReference w:id="2"/>
      </w:r>
      <w:r w:rsidRPr="009037F6">
        <w:rPr>
          <w:rFonts w:ascii="Verdana" w:eastAsia="Times New Roman" w:hAnsi="Verdana" w:cs="Arial"/>
          <w:iCs/>
          <w:sz w:val="20"/>
          <w:szCs w:val="20"/>
          <w:lang w:val="es-ES"/>
        </w:rPr>
        <w:t xml:space="preserve">. </w:t>
      </w:r>
    </w:p>
    <w:p w14:paraId="79F4C8A3" w14:textId="77777777" w:rsidR="00F379B1" w:rsidRPr="009037F6" w:rsidRDefault="00F379B1" w:rsidP="00F379B1">
      <w:pPr>
        <w:spacing w:after="240" w:line="240" w:lineRule="auto"/>
        <w:ind w:left="709" w:right="709"/>
        <w:contextualSpacing/>
        <w:jc w:val="both"/>
        <w:rPr>
          <w:rFonts w:ascii="Verdana" w:eastAsia="Times New Roman" w:hAnsi="Verdana" w:cs="Arial"/>
          <w:iCs/>
          <w:lang w:val="es-ES"/>
        </w:rPr>
      </w:pPr>
    </w:p>
    <w:p w14:paraId="3EC205C2" w14:textId="77777777" w:rsidR="00F379B1" w:rsidRPr="009037F6" w:rsidRDefault="00F379B1" w:rsidP="00F379B1">
      <w:pPr>
        <w:spacing w:after="240" w:line="276" w:lineRule="auto"/>
        <w:ind w:firstLine="709"/>
        <w:jc w:val="both"/>
        <w:rPr>
          <w:rFonts w:ascii="Arial" w:eastAsia="Times New Roman" w:hAnsi="Arial" w:cs="Arial"/>
          <w:i/>
          <w:lang w:val="es-ES"/>
        </w:rPr>
      </w:pPr>
      <w:r w:rsidRPr="009037F6">
        <w:rPr>
          <w:rFonts w:ascii="Verdana" w:eastAsia="Times New Roman" w:hAnsi="Verdana" w:cs="Arial"/>
          <w:iCs/>
          <w:lang w:val="es-ES"/>
        </w:rPr>
        <w:t xml:space="preserve">De igual forma, en otra oportunidad, el Consejo de Estado indicó que </w:t>
      </w:r>
      <w:r w:rsidRPr="009037F6">
        <w:rPr>
          <w:rFonts w:ascii="Verdana" w:eastAsia="Times New Roman" w:hAnsi="Verdana" w:cs="Arial"/>
          <w:i/>
          <w:lang w:val="es-ES"/>
        </w:rPr>
        <w:t>“</w:t>
      </w:r>
      <w:r w:rsidRPr="009037F6">
        <w:rPr>
          <w:rFonts w:ascii="Verdana" w:eastAsia="Times New Roman" w:hAnsi="Verdana" w:cs="Arial"/>
          <w:iCs/>
          <w:lang w:val="es-ES"/>
        </w:rPr>
        <w:t>el núcleo mínimo de este derecho exige que una norma –legal o contractual– contemple la falta y la sanción. Si ni siquiera lo hace el contrato, la Administración no puede imponer sanciones, so pena de violar el debido proceso</w:t>
      </w:r>
      <w:r w:rsidRPr="009037F6">
        <w:rPr>
          <w:rFonts w:ascii="Verdana" w:eastAsia="Times New Roman" w:hAnsi="Verdana" w:cs="Arial"/>
          <w:i/>
          <w:lang w:val="es-ES"/>
        </w:rPr>
        <w:t>”</w:t>
      </w:r>
      <w:r w:rsidRPr="009037F6">
        <w:rPr>
          <w:rFonts w:ascii="Verdana" w:eastAsia="Times New Roman" w:hAnsi="Verdana" w:cs="Arial"/>
          <w:vertAlign w:val="superscript"/>
          <w:lang w:val="es-ES"/>
        </w:rPr>
        <w:footnoteReference w:id="3"/>
      </w:r>
      <w:r w:rsidRPr="009037F6">
        <w:rPr>
          <w:rFonts w:ascii="Verdana" w:eastAsia="Times New Roman" w:hAnsi="Verdana" w:cs="Arial"/>
          <w:iCs/>
          <w:lang w:val="es-ES"/>
        </w:rPr>
        <w:t>. De otro lado, la Corte Constitucional</w:t>
      </w:r>
      <w:r w:rsidRPr="009037F6">
        <w:rPr>
          <w:rFonts w:ascii="Verdana" w:eastAsia="Times New Roman" w:hAnsi="Verdana" w:cs="Arial"/>
          <w:vertAlign w:val="superscript"/>
          <w:lang w:val="es-ES"/>
        </w:rPr>
        <w:footnoteReference w:id="4"/>
      </w:r>
      <w:r w:rsidRPr="009037F6">
        <w:rPr>
          <w:rFonts w:ascii="Verdana" w:eastAsia="Times New Roman" w:hAnsi="Verdana" w:cs="Arial"/>
          <w:iCs/>
          <w:lang w:val="es-ES"/>
        </w:rPr>
        <w:t xml:space="preserve"> precisó que la tipicidad hacía referencia a “la exigencia de descripción específica y precisa por la norma creadora de las infracciones y de las sanciones, de las conductas que pueden ser sancionadas y del contenido material de las sanciones que puede imponerse por la comisión de cada conducta, así como la correlación entre unas y otras”.</w:t>
      </w:r>
      <w:r w:rsidRPr="009037F6">
        <w:rPr>
          <w:rFonts w:ascii="Arial" w:eastAsia="Times New Roman" w:hAnsi="Arial" w:cs="Arial"/>
          <w:i/>
          <w:lang w:val="es-ES"/>
        </w:rPr>
        <w:t xml:space="preserve"> </w:t>
      </w:r>
    </w:p>
    <w:p w14:paraId="3463B6B9" w14:textId="77777777" w:rsidR="00F379B1" w:rsidRPr="009037F6" w:rsidRDefault="00F379B1" w:rsidP="00F379B1">
      <w:pPr>
        <w:spacing w:after="240" w:line="276" w:lineRule="auto"/>
        <w:ind w:firstLine="709"/>
        <w:jc w:val="both"/>
        <w:rPr>
          <w:rFonts w:ascii="Arial" w:hAnsi="Arial" w:cs="Arial"/>
          <w:i/>
          <w:lang w:val="es-ES"/>
        </w:rPr>
      </w:pPr>
      <w:r w:rsidRPr="009037F6">
        <w:rPr>
          <w:rFonts w:ascii="Verdana" w:eastAsia="Calibri" w:hAnsi="Verdana" w:cs="Arial"/>
          <w:lang w:val="es-ES"/>
        </w:rPr>
        <w:t xml:space="preserve">En virtud de lo anterior, si bien el legislador autorizó a las entidades para declarar el incumplimiento con la intención de multar al contratista para conminarlo al cumplimiento o para hacer efectiva la cláusula penal, es </w:t>
      </w:r>
      <w:r w:rsidRPr="009037F6">
        <w:rPr>
          <w:rFonts w:ascii="Verdana" w:eastAsia="Calibri" w:hAnsi="Verdana" w:cs="Arial"/>
          <w:lang w:val="es-ES"/>
        </w:rPr>
        <w:lastRenderedPageBreak/>
        <w:t>indispensable que en uno u otro caso se hayan pactado en el contrato</w:t>
      </w:r>
      <w:r w:rsidRPr="009037F6">
        <w:rPr>
          <w:rFonts w:ascii="Verdana" w:eastAsia="Times New Roman" w:hAnsi="Verdana" w:cs="Arial"/>
          <w:vertAlign w:val="superscript"/>
          <w:lang w:val="es-ES" w:eastAsia="es-ES_tradnl"/>
        </w:rPr>
        <w:footnoteReference w:id="5"/>
      </w:r>
      <w:r w:rsidRPr="009037F6">
        <w:rPr>
          <w:rFonts w:ascii="Verdana" w:eastAsia="Calibri" w:hAnsi="Verdana" w:cs="Arial"/>
          <w:lang w:val="es-ES"/>
        </w:rPr>
        <w:t>. No obstante, cumplido el requisito del pacto en el contrato, las Entidades Estatales sometidas al EGCAP, por ministerio de la ley –artículo 17 de la Ley 1150 de 2007–, se entienden investidas de la prerrogativa de imposición unilateral. En efecto, tratándose de las multas, en cumplimiento del principio de tipicidad, las partes deben determinar en forma pormenorizada las acciones u omisiones objeto de sanción y el monto de la sanción a imponer, el cual, en todo caso, debe atender los criterios de proporcionalidad y razonabilidad.</w:t>
      </w:r>
    </w:p>
    <w:p w14:paraId="7065A97A" w14:textId="77777777" w:rsidR="00F379B1" w:rsidRPr="009037F6" w:rsidRDefault="00F379B1" w:rsidP="00F379B1">
      <w:pPr>
        <w:spacing w:after="120" w:line="276" w:lineRule="auto"/>
        <w:ind w:firstLine="709"/>
        <w:jc w:val="both"/>
        <w:rPr>
          <w:rFonts w:ascii="Verdana" w:eastAsia="Times New Roman" w:hAnsi="Verdana" w:cs="Arial"/>
          <w:iCs/>
          <w:lang w:val="es-ES" w:eastAsia="es-ES_tradnl"/>
        </w:rPr>
      </w:pPr>
      <w:r w:rsidRPr="009037F6">
        <w:rPr>
          <w:rFonts w:ascii="Verdana" w:eastAsia="Calibri" w:hAnsi="Verdana" w:cs="Times New Roman"/>
          <w:lang w:val="es-ES"/>
        </w:rPr>
        <w:t xml:space="preserve">En ese sentido, </w:t>
      </w:r>
      <w:r w:rsidRPr="009037F6">
        <w:rPr>
          <w:rFonts w:ascii="Verdana" w:eastAsia="Times New Roman" w:hAnsi="Verdana" w:cs="Arial"/>
          <w:iCs/>
          <w:lang w:val="es-ES" w:eastAsia="es-ES_tradnl"/>
        </w:rPr>
        <w:t>el artículo 17 de la Ley 1150 de 2007 señala lo siguiente con respecto a la imposición unilateral de multas y la potestad de hacer efectiva la cláusula penal:</w:t>
      </w:r>
    </w:p>
    <w:p w14:paraId="07239819" w14:textId="77777777" w:rsidR="00F379B1" w:rsidRPr="009037F6" w:rsidRDefault="00F379B1" w:rsidP="00F379B1">
      <w:pPr>
        <w:spacing w:after="120" w:line="276" w:lineRule="auto"/>
        <w:ind w:firstLine="709"/>
        <w:jc w:val="both"/>
        <w:rPr>
          <w:rFonts w:ascii="Verdana" w:eastAsia="Times New Roman" w:hAnsi="Verdana" w:cs="Arial"/>
          <w:iCs/>
          <w:lang w:val="es-ES" w:eastAsia="es-ES_tradnl"/>
        </w:rPr>
      </w:pPr>
    </w:p>
    <w:p w14:paraId="7B8EA469" w14:textId="77777777" w:rsidR="00F379B1" w:rsidRPr="009037F6" w:rsidRDefault="00F379B1" w:rsidP="00F379B1">
      <w:pPr>
        <w:spacing w:after="120" w:line="240" w:lineRule="auto"/>
        <w:ind w:left="709" w:right="709"/>
        <w:jc w:val="both"/>
        <w:rPr>
          <w:rFonts w:ascii="Verdana" w:eastAsia="Times New Roman" w:hAnsi="Verdana" w:cs="Arial"/>
          <w:iCs/>
          <w:sz w:val="20"/>
          <w:szCs w:val="20"/>
          <w:lang w:val="es-ES" w:eastAsia="es-ES_tradnl"/>
        </w:rPr>
      </w:pPr>
      <w:r w:rsidRPr="009037F6">
        <w:rPr>
          <w:rFonts w:ascii="Verdana" w:eastAsia="Times New Roman" w:hAnsi="Verdana" w:cs="Arial"/>
          <w:iCs/>
          <w:sz w:val="20"/>
          <w:szCs w:val="20"/>
          <w:lang w:val="es-ES" w:eastAsia="es-ES_tradnl"/>
        </w:rPr>
        <w:t>“El debido proceso será un principio rector en materia sancionatoria de las actuaciones contractuales.</w:t>
      </w:r>
    </w:p>
    <w:p w14:paraId="2A464C3A" w14:textId="77777777" w:rsidR="00F379B1" w:rsidRPr="009037F6" w:rsidRDefault="00F379B1" w:rsidP="00F379B1">
      <w:pPr>
        <w:spacing w:after="120" w:line="240" w:lineRule="auto"/>
        <w:ind w:left="709" w:right="709"/>
        <w:jc w:val="both"/>
        <w:rPr>
          <w:rFonts w:ascii="Verdana" w:eastAsia="Times New Roman" w:hAnsi="Verdana" w:cs="Arial"/>
          <w:iCs/>
          <w:sz w:val="20"/>
          <w:szCs w:val="20"/>
          <w:lang w:val="es-ES" w:eastAsia="es-ES_tradnl"/>
        </w:rPr>
      </w:pPr>
      <w:r w:rsidRPr="009037F6">
        <w:rPr>
          <w:rFonts w:ascii="Verdana" w:eastAsia="Times New Roman" w:hAnsi="Verdana" w:cs="Arial"/>
          <w:iCs/>
          <w:sz w:val="20"/>
          <w:szCs w:val="20"/>
          <w:lang w:val="es-ES" w:eastAsia="es-ES_tradnl"/>
        </w:rPr>
        <w:t xml:space="preserve">En desarrollo de lo anterior y del deber de control y vigilancia sobre los contratos que corresponde a las entidades sometidas al Estatuto General de Contratación de la Administración Pública, tendrán la facultad de imponer las multas </w:t>
      </w:r>
      <w:r w:rsidRPr="009037F6">
        <w:rPr>
          <w:rFonts w:ascii="Verdana" w:eastAsia="Times New Roman" w:hAnsi="Verdana" w:cs="Arial"/>
          <w:i/>
          <w:sz w:val="20"/>
          <w:szCs w:val="20"/>
          <w:u w:val="single"/>
          <w:lang w:val="es-ES" w:eastAsia="es-ES_tradnl"/>
        </w:rPr>
        <w:t>que hayan sido pactadas</w:t>
      </w:r>
      <w:r w:rsidRPr="009037F6">
        <w:rPr>
          <w:rFonts w:ascii="Verdana" w:eastAsia="Times New Roman" w:hAnsi="Verdana" w:cs="Arial"/>
          <w:iCs/>
          <w:sz w:val="20"/>
          <w:szCs w:val="20"/>
          <w:lang w:val="es-ES" w:eastAsia="es-ES_tradnl"/>
        </w:rPr>
        <w:t xml:space="preserve"> con el objeto de conminar al contratista a cumplir con sus obligaciones. Esta decisión deberá estar precedida de audiencia del afectado que deberá tener un procedimiento mínimo que garantice el derecho al debido proceso del contratista y procede sólo mientras se halle pendiente la ejecución de las obligaciones a cargo del contratista. Así mismo podrán declarar el incumplimiento con el propósito de hacer efectiva la cláusula penal pecuniaria </w:t>
      </w:r>
      <w:r w:rsidRPr="009037F6">
        <w:rPr>
          <w:rFonts w:ascii="Verdana" w:eastAsia="Times New Roman" w:hAnsi="Verdana" w:cs="Arial"/>
          <w:i/>
          <w:sz w:val="20"/>
          <w:szCs w:val="20"/>
          <w:u w:val="single"/>
          <w:lang w:val="es-ES" w:eastAsia="es-ES_tradnl"/>
        </w:rPr>
        <w:t>incluida en el contrato</w:t>
      </w:r>
      <w:r w:rsidRPr="009037F6">
        <w:rPr>
          <w:rFonts w:ascii="Verdana" w:eastAsia="Times New Roman" w:hAnsi="Verdana" w:cs="Arial"/>
          <w:iCs/>
          <w:sz w:val="20"/>
          <w:szCs w:val="20"/>
          <w:lang w:val="es-ES" w:eastAsia="es-ES_tradnl"/>
        </w:rPr>
        <w:t>.</w:t>
      </w:r>
    </w:p>
    <w:p w14:paraId="65E71F1D" w14:textId="77777777" w:rsidR="00F379B1" w:rsidRPr="009037F6" w:rsidRDefault="00F379B1" w:rsidP="00F379B1">
      <w:pPr>
        <w:spacing w:after="120" w:line="240" w:lineRule="auto"/>
        <w:ind w:left="709" w:right="709"/>
        <w:jc w:val="both"/>
        <w:rPr>
          <w:rFonts w:ascii="Verdana" w:eastAsia="Times New Roman" w:hAnsi="Verdana" w:cs="Arial"/>
          <w:iCs/>
          <w:sz w:val="20"/>
          <w:szCs w:val="20"/>
          <w:lang w:val="es-ES" w:eastAsia="es-ES_tradnl"/>
        </w:rPr>
      </w:pPr>
      <w:r w:rsidRPr="009037F6">
        <w:rPr>
          <w:rFonts w:ascii="Verdana" w:eastAsia="Times New Roman" w:hAnsi="Verdana" w:cs="Arial"/>
          <w:b/>
          <w:bCs/>
          <w:iCs/>
          <w:sz w:val="20"/>
          <w:szCs w:val="20"/>
          <w:lang w:val="es-ES" w:eastAsia="es-ES_tradnl"/>
        </w:rPr>
        <w:t>PARÁGRAFO.</w:t>
      </w:r>
      <w:r w:rsidRPr="009037F6">
        <w:rPr>
          <w:rFonts w:ascii="Verdana" w:eastAsia="Times New Roman" w:hAnsi="Verdana" w:cs="Arial"/>
          <w:iCs/>
          <w:sz w:val="20"/>
          <w:szCs w:val="20"/>
          <w:lang w:val="es-ES" w:eastAsia="es-ES_tradnl"/>
        </w:rPr>
        <w:t> La cláusula penal y las multas así impuestas, se harán efectivas directamente por las entidades estatales, pudiendo acudir para el efecto entre otros a los mecanismos de compensación de las sumas adeudadas al contratista, cobro de la garantía, o a cualquier otro medio para obtener el pago, incluyendo el de la jurisdicción coactiva.</w:t>
      </w:r>
    </w:p>
    <w:p w14:paraId="6EA197C4" w14:textId="77777777" w:rsidR="00F379B1" w:rsidRPr="009037F6" w:rsidRDefault="00F379B1" w:rsidP="00F379B1">
      <w:pPr>
        <w:spacing w:after="0" w:line="240" w:lineRule="auto"/>
        <w:ind w:left="709" w:right="709"/>
        <w:jc w:val="both"/>
        <w:rPr>
          <w:rFonts w:ascii="Verdana" w:eastAsia="Times New Roman" w:hAnsi="Verdana" w:cs="Arial"/>
          <w:iCs/>
          <w:sz w:val="20"/>
          <w:szCs w:val="20"/>
          <w:lang w:val="es-ES" w:eastAsia="es-ES_tradnl"/>
        </w:rPr>
      </w:pPr>
      <w:r w:rsidRPr="009037F6">
        <w:rPr>
          <w:rFonts w:ascii="Verdana" w:eastAsia="Times New Roman" w:hAnsi="Verdana" w:cs="Arial"/>
          <w:b/>
          <w:bCs/>
          <w:iCs/>
          <w:sz w:val="20"/>
          <w:szCs w:val="20"/>
          <w:lang w:val="es-ES" w:eastAsia="es-ES_tradnl"/>
        </w:rPr>
        <w:t>PARÁGRAFO</w:t>
      </w:r>
      <w:r w:rsidRPr="009037F6">
        <w:rPr>
          <w:rFonts w:ascii="Verdana" w:eastAsia="Times New Roman" w:hAnsi="Verdana" w:cs="Arial"/>
          <w:iCs/>
          <w:sz w:val="20"/>
          <w:szCs w:val="20"/>
          <w:lang w:val="es-ES" w:eastAsia="es-ES_tradnl"/>
        </w:rPr>
        <w:t> </w:t>
      </w:r>
      <w:r w:rsidRPr="009037F6">
        <w:rPr>
          <w:rFonts w:ascii="Verdana" w:eastAsia="Times New Roman" w:hAnsi="Verdana" w:cs="Arial"/>
          <w:b/>
          <w:bCs/>
          <w:iCs/>
          <w:sz w:val="20"/>
          <w:szCs w:val="20"/>
          <w:lang w:val="es-ES" w:eastAsia="es-ES_tradnl"/>
        </w:rPr>
        <w:t>TRANSITORIO.</w:t>
      </w:r>
      <w:r w:rsidRPr="009037F6">
        <w:rPr>
          <w:rFonts w:ascii="Verdana" w:eastAsia="Times New Roman" w:hAnsi="Verdana" w:cs="Arial"/>
          <w:iCs/>
          <w:sz w:val="20"/>
          <w:szCs w:val="20"/>
          <w:lang w:val="es-ES" w:eastAsia="es-ES_tradnl"/>
        </w:rPr>
        <w:t xml:space="preserve"> Las facultades previstas en este artículo se entienden atribuidas respecto de las cláusulas de multas o cláusula penal pecuniaria pactadas en los contratos celebrados con anterioridad a la expedición de esta ley y en los que por autonomía de la voluntad de las </w:t>
      </w:r>
      <w:r w:rsidRPr="009037F6">
        <w:rPr>
          <w:rFonts w:ascii="Verdana" w:eastAsia="Times New Roman" w:hAnsi="Verdana" w:cs="Arial"/>
          <w:iCs/>
          <w:sz w:val="20"/>
          <w:szCs w:val="20"/>
          <w:lang w:val="es-ES" w:eastAsia="es-ES_tradnl"/>
        </w:rPr>
        <w:lastRenderedPageBreak/>
        <w:t>partes se hubiese previsto la competencia de las entidades estatales para imponerlas y hacerlas efectivas” [Énfasis propio].</w:t>
      </w:r>
    </w:p>
    <w:p w14:paraId="48481A30" w14:textId="77777777" w:rsidR="00F379B1" w:rsidRPr="009037F6" w:rsidRDefault="00F379B1" w:rsidP="00F379B1">
      <w:pPr>
        <w:spacing w:after="0" w:line="240" w:lineRule="auto"/>
        <w:ind w:left="709" w:right="709"/>
        <w:jc w:val="both"/>
        <w:rPr>
          <w:rFonts w:ascii="Verdana" w:eastAsia="Times New Roman" w:hAnsi="Verdana" w:cs="Arial"/>
          <w:iCs/>
          <w:sz w:val="20"/>
          <w:szCs w:val="20"/>
          <w:lang w:val="es-ES" w:eastAsia="es-ES_tradnl"/>
        </w:rPr>
      </w:pPr>
    </w:p>
    <w:p w14:paraId="11217124" w14:textId="77777777" w:rsidR="00F379B1" w:rsidRPr="009037F6" w:rsidRDefault="00F379B1" w:rsidP="00F379B1">
      <w:pPr>
        <w:spacing w:after="120" w:line="276" w:lineRule="auto"/>
        <w:ind w:firstLine="708"/>
        <w:jc w:val="both"/>
        <w:rPr>
          <w:rFonts w:ascii="Verdana" w:eastAsia="Times New Roman" w:hAnsi="Verdana" w:cs="Arial"/>
          <w:iCs/>
          <w:lang w:val="es-ES" w:eastAsia="es-ES_tradnl"/>
        </w:rPr>
      </w:pPr>
      <w:r w:rsidRPr="009037F6">
        <w:rPr>
          <w:rFonts w:ascii="Verdana" w:eastAsia="Times New Roman" w:hAnsi="Verdana" w:cs="Arial"/>
          <w:iCs/>
          <w:lang w:val="es-ES" w:eastAsia="es-ES_tradnl"/>
        </w:rPr>
        <w:t>De esta manera, tal como lo ha señalado el Consejo de Estado</w:t>
      </w:r>
      <w:r w:rsidRPr="009037F6">
        <w:rPr>
          <w:rFonts w:ascii="Verdana" w:eastAsia="Times New Roman" w:hAnsi="Verdana" w:cs="Arial"/>
          <w:iCs/>
          <w:vertAlign w:val="superscript"/>
          <w:lang w:val="es-ES" w:eastAsia="es-ES_tradnl"/>
        </w:rPr>
        <w:footnoteReference w:id="6"/>
      </w:r>
      <w:r w:rsidRPr="009037F6">
        <w:rPr>
          <w:rFonts w:ascii="Verdana" w:eastAsia="Times New Roman" w:hAnsi="Verdana" w:cs="Arial"/>
          <w:iCs/>
          <w:lang w:val="es-ES" w:eastAsia="es-ES_tradnl"/>
        </w:rPr>
        <w:t xml:space="preserve">, una cosa es el pacto de las multas y cláusula penal como parte del contrato, y otra la facultad que tiene la Administración de imponerlas o hacerlas exigibles mediante acto administrativo. Mientras que la inclusión de las cláusulas es resultado de la autonomía de la voluntad, la acción unilateral de la entidad para su ejecución es producto del ejercicio de una prerrogativa exorbitante que le otorga la ley. </w:t>
      </w:r>
    </w:p>
    <w:p w14:paraId="4AFE336A" w14:textId="77777777" w:rsidR="00F379B1" w:rsidRPr="009037F6" w:rsidRDefault="00F379B1" w:rsidP="00F379B1">
      <w:pPr>
        <w:spacing w:after="120" w:line="276" w:lineRule="auto"/>
        <w:ind w:firstLine="708"/>
        <w:jc w:val="both"/>
        <w:rPr>
          <w:rFonts w:ascii="Verdana" w:eastAsia="Times New Roman" w:hAnsi="Verdana" w:cs="Arial"/>
          <w:iCs/>
          <w:sz w:val="24"/>
          <w:szCs w:val="24"/>
          <w:lang w:val="es-ES" w:eastAsia="es-ES_tradnl"/>
        </w:rPr>
      </w:pPr>
      <w:r w:rsidRPr="009037F6">
        <w:rPr>
          <w:rFonts w:ascii="Verdana" w:eastAsia="Times New Roman" w:hAnsi="Verdana" w:cs="Arial"/>
          <w:iCs/>
          <w:lang w:val="es-ES" w:eastAsia="es-ES_tradnl"/>
        </w:rPr>
        <w:t xml:space="preserve">Ambos supuestos se evidencian en el citado artículo de la </w:t>
      </w:r>
      <w:r w:rsidRPr="009037F6">
        <w:rPr>
          <w:rFonts w:ascii="Verdana" w:eastAsia="Times New Roman" w:hAnsi="Verdana" w:cs="Arial"/>
          <w:iCs/>
          <w:sz w:val="24"/>
          <w:szCs w:val="24"/>
          <w:lang w:val="es-ES" w:eastAsia="es-ES_tradnl"/>
        </w:rPr>
        <w:t>L</w:t>
      </w:r>
      <w:r w:rsidRPr="009037F6">
        <w:rPr>
          <w:rFonts w:ascii="Verdana" w:eastAsia="Times New Roman" w:hAnsi="Verdana" w:cs="Arial"/>
          <w:iCs/>
          <w:lang w:val="es-ES" w:eastAsia="es-ES_tradnl"/>
        </w:rPr>
        <w:t>ey 1150 de 2007, pues, por un lado, se refiere a la facultad en cabeza de las Entidades Estatales de imponer las multas con el objeto de conminar al contratista para que cumpla y de declarar el incumplimiento para hacer efectiva la cláusula penal; por otro, aclara que en cada caso esta faculta</w:t>
      </w:r>
      <w:r w:rsidRPr="009037F6">
        <w:rPr>
          <w:rFonts w:ascii="Verdana" w:eastAsia="Times New Roman" w:hAnsi="Verdana" w:cs="Arial"/>
          <w:iCs/>
          <w:sz w:val="24"/>
          <w:szCs w:val="24"/>
          <w:lang w:val="es-ES" w:eastAsia="es-ES_tradnl"/>
        </w:rPr>
        <w:t>d</w:t>
      </w:r>
      <w:r w:rsidRPr="009037F6">
        <w:rPr>
          <w:rFonts w:ascii="Verdana" w:eastAsia="Times New Roman" w:hAnsi="Verdana" w:cs="Arial"/>
          <w:iCs/>
          <w:lang w:val="es-ES" w:eastAsia="es-ES_tradnl"/>
        </w:rPr>
        <w:t xml:space="preserve"> la ejercerán con respecto a aquellas que hayan sido pactadas e incluidas en el contrato. En este sentido, la entidad no podrá proceder con respecto a este tipo de cláusulas si no han sido pactadas por las partes del contrato</w:t>
      </w:r>
      <w:r w:rsidRPr="009037F6">
        <w:rPr>
          <w:rFonts w:ascii="Verdana" w:eastAsia="Times New Roman" w:hAnsi="Verdana" w:cs="Arial"/>
          <w:iCs/>
          <w:vertAlign w:val="superscript"/>
          <w:lang w:val="es-ES" w:eastAsia="es-ES_tradnl"/>
        </w:rPr>
        <w:footnoteReference w:id="7"/>
      </w:r>
      <w:r w:rsidRPr="009037F6">
        <w:rPr>
          <w:rFonts w:ascii="Verdana" w:eastAsia="Times New Roman" w:hAnsi="Verdana" w:cs="Arial"/>
          <w:iCs/>
          <w:lang w:val="es-ES" w:eastAsia="es-ES_tradnl"/>
        </w:rPr>
        <w:t xml:space="preserve">. </w:t>
      </w:r>
    </w:p>
    <w:p w14:paraId="15075256" w14:textId="77777777" w:rsidR="00F379B1" w:rsidRPr="009037F6" w:rsidRDefault="00F379B1" w:rsidP="00F379B1">
      <w:pPr>
        <w:spacing w:after="120" w:line="276" w:lineRule="auto"/>
        <w:ind w:firstLine="709"/>
        <w:jc w:val="both"/>
        <w:rPr>
          <w:rFonts w:ascii="Verdana" w:eastAsia="Times New Roman" w:hAnsi="Verdana" w:cs="Arial"/>
          <w:iCs/>
          <w:lang w:val="es-ES" w:eastAsia="es-ES_tradnl"/>
        </w:rPr>
      </w:pPr>
      <w:r w:rsidRPr="009037F6">
        <w:rPr>
          <w:rFonts w:ascii="Verdana" w:eastAsia="Times New Roman" w:hAnsi="Verdana" w:cs="Arial"/>
          <w:iCs/>
          <w:sz w:val="24"/>
          <w:szCs w:val="24"/>
          <w:lang w:val="es-ES" w:eastAsia="es-ES_tradnl"/>
        </w:rPr>
        <w:t xml:space="preserve"> </w:t>
      </w:r>
      <w:r w:rsidRPr="009037F6">
        <w:rPr>
          <w:rFonts w:ascii="Verdana" w:eastAsia="Times New Roman" w:hAnsi="Verdana" w:cs="Arial"/>
          <w:iCs/>
          <w:lang w:val="es-ES" w:eastAsia="es-ES_tradnl"/>
        </w:rPr>
        <w:t>En este punto, conviene resaltar lo dicho por la Sección Tercera del Consejo de Estado</w:t>
      </w:r>
      <w:r w:rsidRPr="009037F6">
        <w:rPr>
          <w:rFonts w:ascii="Verdana" w:eastAsia="Times New Roman" w:hAnsi="Verdana" w:cs="Times New Roman"/>
          <w:vertAlign w:val="superscript"/>
          <w:lang w:val="es-ES" w:eastAsia="es-ES_tradnl"/>
        </w:rPr>
        <w:footnoteReference w:id="8"/>
      </w:r>
      <w:r w:rsidRPr="009037F6">
        <w:rPr>
          <w:rFonts w:ascii="Verdana" w:eastAsia="Times New Roman" w:hAnsi="Verdana" w:cs="Arial"/>
          <w:iCs/>
          <w:lang w:val="es-ES" w:eastAsia="es-ES_tradnl"/>
        </w:rPr>
        <w:t>, en relación con las diferencias entre las multas y la cláusula penal, esto es: “[a]unque las multas y la cláusula penal pecuniaria tienen una finalidad común –en lo sustancial–, que se concreta en el logro de los objetivos propuestos en el contrato; se diferencian en que la multa por regla general es conminatoria del cumplimiento de las obligaciones en razón al acaecimiento de incumplimientos parciales; la cláusula penal constituye en principio, una tasación anticipada de perjuicios, a raíz de la declaratoria de caducidad o del incumplimiento definitivo del contrato”</w:t>
      </w:r>
      <w:r w:rsidRPr="009037F6">
        <w:rPr>
          <w:rFonts w:ascii="Verdana" w:eastAsia="Times New Roman" w:hAnsi="Verdana" w:cs="Times New Roman"/>
          <w:vertAlign w:val="superscript"/>
          <w:lang w:val="es-ES" w:eastAsia="es-ES_tradnl"/>
        </w:rPr>
        <w:footnoteReference w:id="9"/>
      </w:r>
      <w:r w:rsidRPr="009037F6">
        <w:rPr>
          <w:rFonts w:ascii="Verdana" w:eastAsia="Times New Roman" w:hAnsi="Verdana" w:cs="Arial"/>
          <w:iCs/>
          <w:lang w:val="es-ES" w:eastAsia="es-ES_tradnl"/>
        </w:rPr>
        <w:t xml:space="preserve">. </w:t>
      </w:r>
    </w:p>
    <w:p w14:paraId="54EE6523" w14:textId="77777777" w:rsidR="00F379B1" w:rsidRPr="009037F6" w:rsidRDefault="00F379B1" w:rsidP="00F379B1">
      <w:pPr>
        <w:spacing w:after="0" w:line="276" w:lineRule="auto"/>
        <w:ind w:firstLine="709"/>
        <w:jc w:val="both"/>
        <w:rPr>
          <w:rFonts w:ascii="Verdana" w:hAnsi="Verdana" w:cs="Arial"/>
          <w:iCs/>
          <w:lang w:val="es-ES" w:eastAsia="es-ES_tradnl"/>
        </w:rPr>
      </w:pPr>
    </w:p>
    <w:p w14:paraId="58AADCE2" w14:textId="77777777" w:rsidR="00F379B1" w:rsidRPr="009037F6" w:rsidRDefault="00F379B1" w:rsidP="00F379B1">
      <w:pPr>
        <w:spacing w:after="120" w:line="276" w:lineRule="auto"/>
        <w:jc w:val="both"/>
        <w:rPr>
          <w:rFonts w:ascii="Verdana" w:eastAsia="Times New Roman" w:hAnsi="Verdana" w:cs="Arial"/>
          <w:bCs/>
          <w:iCs/>
          <w:color w:val="000000" w:themeColor="text1"/>
          <w:lang w:val="es-ES"/>
        </w:rPr>
      </w:pPr>
      <w:r>
        <w:rPr>
          <w:rFonts w:ascii="Verdana" w:eastAsia="Times New Roman" w:hAnsi="Verdana" w:cs="Arial"/>
          <w:iCs/>
          <w:lang w:val="es-ES" w:eastAsia="es-ES_tradnl"/>
        </w:rPr>
        <w:lastRenderedPageBreak/>
        <w:t>ii</w:t>
      </w:r>
      <w:r w:rsidRPr="009037F6">
        <w:rPr>
          <w:rFonts w:ascii="Verdana" w:eastAsia="Times New Roman" w:hAnsi="Verdana" w:cs="Arial"/>
          <w:iCs/>
          <w:lang w:val="es-ES" w:eastAsia="es-ES_tradnl"/>
        </w:rPr>
        <w:t xml:space="preserve">. Por su parte, </w:t>
      </w:r>
      <w:r w:rsidRPr="009037F6">
        <w:rPr>
          <w:rFonts w:ascii="Verdana" w:eastAsia="Times New Roman" w:hAnsi="Verdana" w:cs="Arial"/>
          <w:iCs/>
          <w:color w:val="000000" w:themeColor="text1"/>
          <w:lang w:val="es-ES"/>
        </w:rPr>
        <w:t>el artículo 86 de la Ley 1474 de 2011 establece las reglas del procedimiento mediante las cuales se materializan los derechos y garantías derivadas del debido proceso, para su aplicación concreta en materia sancionatoria contractual. De conformidad con esta disposición, las entidades sometidas al EGCAP observarán este procedimiento para la declaratoria unilateral del siniestro, del incumplimiento, para hacer efectiva la cláusula penal o las multas pactadas y la declaratoria de caducidad como potestad exorbitante</w:t>
      </w:r>
      <w:r w:rsidRPr="009037F6">
        <w:rPr>
          <w:rFonts w:ascii="Verdana" w:eastAsia="Calibri" w:hAnsi="Verdana" w:cs="Arial"/>
          <w:iCs/>
          <w:lang w:val="es-MX"/>
        </w:rPr>
        <w:t xml:space="preserve"> que se funda en </w:t>
      </w:r>
      <w:r w:rsidRPr="009037F6">
        <w:rPr>
          <w:rFonts w:ascii="Verdana" w:eastAsia="Times New Roman" w:hAnsi="Verdana" w:cs="Arial"/>
          <w:iCs/>
          <w:color w:val="000000" w:themeColor="text1"/>
          <w:lang w:val="es-MX"/>
        </w:rPr>
        <w:t>el incumplimiento de las obligaciones del contratista, que afecte de manera grave y directa la ejecución del contrato y evidencie que puede conducir a su paralización. En efecto, la caducidad consiste en sancionar al contratista y, a su vez, permitirle a la entidad continuar con la ejecución por otros medios, regulados en el artículo 18 de la Ley 80 de 1993</w:t>
      </w:r>
      <w:r w:rsidRPr="009037F6">
        <w:rPr>
          <w:rFonts w:ascii="Verdana" w:eastAsia="Times New Roman" w:hAnsi="Verdana" w:cs="Arial"/>
          <w:iCs/>
          <w:color w:val="000000" w:themeColor="text1"/>
          <w:vertAlign w:val="superscript"/>
          <w:lang w:val="es-MX"/>
        </w:rPr>
        <w:footnoteReference w:id="10"/>
      </w:r>
      <w:r w:rsidRPr="009037F6">
        <w:rPr>
          <w:rFonts w:ascii="Verdana" w:eastAsia="Times New Roman" w:hAnsi="Verdana" w:cs="Arial"/>
          <w:iCs/>
          <w:color w:val="000000" w:themeColor="text1"/>
          <w:lang w:val="es-MX"/>
        </w:rPr>
        <w:t xml:space="preserve">. </w:t>
      </w:r>
    </w:p>
    <w:p w14:paraId="2DE8BCE5" w14:textId="77777777" w:rsidR="00F379B1" w:rsidRPr="009037F6" w:rsidRDefault="00F379B1" w:rsidP="00F379B1">
      <w:pPr>
        <w:spacing w:after="0" w:line="276" w:lineRule="auto"/>
        <w:ind w:firstLine="709"/>
        <w:jc w:val="both"/>
        <w:rPr>
          <w:rFonts w:ascii="Verdana" w:eastAsia="Calibri" w:hAnsi="Verdana" w:cs="Arial"/>
          <w:color w:val="000000" w:themeColor="text1"/>
          <w:lang w:val="es-ES"/>
        </w:rPr>
      </w:pPr>
      <w:r w:rsidRPr="009037F6">
        <w:rPr>
          <w:rFonts w:ascii="Verdana" w:eastAsia="Times New Roman" w:hAnsi="Verdana" w:cs="Arial"/>
          <w:iCs/>
          <w:color w:val="000000" w:themeColor="text1"/>
          <w:lang w:val="es-ES"/>
        </w:rPr>
        <w:t>Como precisión previa, vale la pena aclarar que e</w:t>
      </w:r>
      <w:r w:rsidRPr="009037F6">
        <w:rPr>
          <w:rFonts w:ascii="Verdana" w:eastAsia="Calibri" w:hAnsi="Verdana" w:cs="Arial"/>
          <w:color w:val="000000" w:themeColor="text1"/>
          <w:lang w:val="es-ES"/>
        </w:rPr>
        <w:t>l artículo 86 de la Ley 1474 de 2011 regula un procedimiento administrativo sancionatorio dirigido a sujetos específicos: las entidades sometidas al Estatuto General de Contratación de la Administración Pública</w:t>
      </w:r>
      <w:r w:rsidRPr="009037F6">
        <w:rPr>
          <w:rFonts w:ascii="Verdana" w:eastAsia="Calibri" w:hAnsi="Verdana" w:cs="Arial"/>
          <w:color w:val="000000" w:themeColor="text1"/>
          <w:vertAlign w:val="superscript"/>
          <w:lang w:val="es-ES"/>
        </w:rPr>
        <w:footnoteReference w:id="11"/>
      </w:r>
      <w:r w:rsidRPr="009037F6">
        <w:rPr>
          <w:rFonts w:ascii="Verdana" w:eastAsia="Calibri" w:hAnsi="Verdana" w:cs="Arial"/>
          <w:color w:val="000000" w:themeColor="text1"/>
          <w:lang w:val="es-ES"/>
        </w:rPr>
        <w:t xml:space="preserve">. De ahí que las entidades de </w:t>
      </w:r>
      <w:r w:rsidRPr="009037F6">
        <w:rPr>
          <w:rFonts w:ascii="Verdana" w:eastAsia="Calibri" w:hAnsi="Verdana" w:cs="Arial"/>
          <w:i/>
          <w:iCs/>
          <w:color w:val="000000" w:themeColor="text1"/>
          <w:lang w:val="es-ES"/>
        </w:rPr>
        <w:t>régimen especial</w:t>
      </w:r>
      <w:r w:rsidRPr="009037F6">
        <w:rPr>
          <w:rFonts w:ascii="Verdana" w:eastAsia="Calibri" w:hAnsi="Verdana" w:cs="Arial"/>
          <w:i/>
          <w:iCs/>
          <w:color w:val="000000" w:themeColor="text1"/>
          <w:vertAlign w:val="superscript"/>
          <w:lang w:val="es-ES"/>
        </w:rPr>
        <w:footnoteReference w:id="12"/>
      </w:r>
      <w:r w:rsidRPr="009037F6">
        <w:rPr>
          <w:rFonts w:ascii="Verdana" w:eastAsia="Calibri" w:hAnsi="Verdana" w:cs="Arial"/>
          <w:color w:val="000000" w:themeColor="text1"/>
          <w:lang w:val="es-ES"/>
        </w:rPr>
        <w:t xml:space="preserve"> en materia contractual no pueden aplicar el procedimiento administrativo sancionatorio regulado en el artículo 86 de la Ley 1474 de 2011, al no ser entidades sometidas al Estatuto General de Contratación de la Administración Pública, sino, por el contrario, entidades exceptuadas de este, salvo remisiones expresas establecidas por la Ley. La norma indicada desarrolla el procedimiento de la siguiente manera:</w:t>
      </w:r>
    </w:p>
    <w:p w14:paraId="54A35B28" w14:textId="77777777" w:rsidR="00F379B1" w:rsidRPr="009037F6" w:rsidRDefault="00F379B1" w:rsidP="00F379B1">
      <w:pPr>
        <w:spacing w:after="0" w:line="276" w:lineRule="auto"/>
        <w:ind w:firstLine="709"/>
        <w:jc w:val="both"/>
        <w:rPr>
          <w:rFonts w:ascii="Verdana" w:eastAsia="Calibri" w:hAnsi="Verdana" w:cs="Arial"/>
          <w:color w:val="000000" w:themeColor="text1"/>
          <w:lang w:val="es-ES"/>
        </w:rPr>
      </w:pPr>
    </w:p>
    <w:p w14:paraId="19ECEFB1" w14:textId="77777777" w:rsidR="00F379B1" w:rsidRPr="009037F6" w:rsidRDefault="00F379B1" w:rsidP="00F379B1">
      <w:pPr>
        <w:spacing w:line="240" w:lineRule="auto"/>
        <w:ind w:left="709" w:right="709"/>
        <w:contextualSpacing/>
        <w:jc w:val="both"/>
        <w:rPr>
          <w:rFonts w:ascii="Verdana" w:hAnsi="Verdana" w:cs="Arial"/>
          <w:iCs/>
          <w:color w:val="000000" w:themeColor="text1"/>
          <w:sz w:val="20"/>
          <w:szCs w:val="20"/>
          <w:lang w:val="es-ES"/>
        </w:rPr>
      </w:pPr>
      <w:bookmarkStart w:id="3" w:name="86"/>
      <w:r w:rsidRPr="009037F6">
        <w:rPr>
          <w:rFonts w:ascii="Verdana" w:hAnsi="Verdana" w:cs="Arial"/>
          <w:iCs/>
          <w:color w:val="000000" w:themeColor="text1"/>
          <w:sz w:val="20"/>
          <w:szCs w:val="20"/>
          <w:lang w:val="es-ES"/>
        </w:rPr>
        <w:t>“Artículo 86. Imposición de multas, sanciones y declaratorias de incumplimiento.</w:t>
      </w:r>
      <w:bookmarkEnd w:id="3"/>
      <w:r w:rsidRPr="009037F6">
        <w:rPr>
          <w:rFonts w:ascii="Verdana" w:hAnsi="Verdana" w:cs="Arial"/>
          <w:iCs/>
          <w:color w:val="000000" w:themeColor="text1"/>
          <w:sz w:val="20"/>
          <w:szCs w:val="20"/>
          <w:lang w:val="es-ES"/>
        </w:rPr>
        <w:t>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w:t>
      </w:r>
    </w:p>
    <w:p w14:paraId="31B40AD4" w14:textId="77777777" w:rsidR="00F379B1" w:rsidRPr="009037F6" w:rsidRDefault="00F379B1" w:rsidP="00F379B1">
      <w:pPr>
        <w:spacing w:line="240" w:lineRule="auto"/>
        <w:ind w:left="709" w:right="709"/>
        <w:contextualSpacing/>
        <w:jc w:val="both"/>
        <w:rPr>
          <w:rFonts w:ascii="Verdana" w:hAnsi="Verdana" w:cs="Arial"/>
          <w:iCs/>
          <w:color w:val="000000" w:themeColor="text1"/>
          <w:sz w:val="20"/>
          <w:szCs w:val="20"/>
          <w:lang w:val="es-ES"/>
        </w:rPr>
      </w:pPr>
    </w:p>
    <w:p w14:paraId="63104353" w14:textId="77777777" w:rsidR="00F379B1" w:rsidRPr="009037F6" w:rsidRDefault="00F379B1" w:rsidP="00F379B1">
      <w:pPr>
        <w:spacing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a) Evidenciado un posible incumplimiento de las obligaciones a cargo del contratista, la entidad pública lo citará a audiencia para debatir lo ocurrido. En la citación, hará mención expresa y detallada de los hechos que la soportan, acompañando el informe de interventoría o de supervisión en el que se sustente la actuación y enunciará las normas o cláusulas posiblemente violadas y las consecuencias que podrían derivarse para el contratista en desarrollo de la actuación. En la misma se establecerá el lugar, fecha y hora para la realización de la audiencia, la que podrá tener lugar a la mayor brevedad posible, atendida la naturaleza del contrato y la periodicidad establecida para el cumplimiento de las obligaciones contractuales. En el evento en que la garantía de cumplimiento consista en póliza de seguros, el garante será citado de la misma manera;</w:t>
      </w:r>
    </w:p>
    <w:p w14:paraId="01F3BEF7" w14:textId="77777777" w:rsidR="00F379B1" w:rsidRPr="009037F6" w:rsidRDefault="00F379B1" w:rsidP="00F379B1">
      <w:pPr>
        <w:spacing w:line="240" w:lineRule="auto"/>
        <w:ind w:left="709" w:right="709"/>
        <w:contextualSpacing/>
        <w:jc w:val="both"/>
        <w:rPr>
          <w:rFonts w:ascii="Verdana" w:hAnsi="Verdana"/>
          <w:sz w:val="20"/>
          <w:szCs w:val="20"/>
          <w:lang w:val="es-ES"/>
        </w:rPr>
      </w:pPr>
    </w:p>
    <w:p w14:paraId="7EF1CE36" w14:textId="77777777" w:rsidR="00F379B1" w:rsidRPr="009037F6" w:rsidRDefault="00F379B1" w:rsidP="00F379B1">
      <w:pPr>
        <w:spacing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b) En desarrollo de la audiencia, el jefe de la entidad o su delegado, presentará las circunstancias de hecho que motivan la actuación, enunciará las posibles normas o cláusulas posiblemente violadas y las consecuencias que podrían derivarse para el contratista en desarrollo de la actuación. Acto seguido se concederá el uso de la palabra al representante legal del contratista o a quien lo represente, y al garante, para que presenten sus descargos, en desarrollo de lo cual podrá rendir las explicaciones del caso, aportar pruebas y controvertir las presentadas por la entidad;</w:t>
      </w:r>
    </w:p>
    <w:p w14:paraId="1D80EE93" w14:textId="77777777" w:rsidR="00F379B1" w:rsidRPr="009037F6" w:rsidRDefault="00F379B1" w:rsidP="00F379B1">
      <w:pPr>
        <w:spacing w:line="240" w:lineRule="auto"/>
        <w:ind w:left="709" w:right="709"/>
        <w:contextualSpacing/>
        <w:jc w:val="both"/>
        <w:rPr>
          <w:rFonts w:ascii="Verdana" w:hAnsi="Verdana" w:cs="Arial"/>
          <w:iCs/>
          <w:color w:val="000000" w:themeColor="text1"/>
          <w:sz w:val="20"/>
          <w:szCs w:val="20"/>
          <w:lang w:val="es-ES"/>
        </w:rPr>
      </w:pPr>
    </w:p>
    <w:p w14:paraId="764D38AB" w14:textId="77777777" w:rsidR="00F379B1" w:rsidRPr="009037F6" w:rsidRDefault="00F379B1" w:rsidP="00F379B1">
      <w:pPr>
        <w:spacing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c) Hecho lo precedente, mediante resolución motivada en la que se consigne lo ocurrido en desarrollo de la audiencia y la cual se entenderá notificada en dicho acto público, la entidad procederá a decidir sobre la imposición o no de la multa, sanción o declaratoria de incumplimiento. Contra la decisión así proferida sólo procede el recurso de reposición que se interpondrá, sustentará y decidirá en la misma audiencia. La decisión sobre el recurso se entenderá notificada en la misma audiencia;</w:t>
      </w:r>
    </w:p>
    <w:p w14:paraId="0B83EBF7" w14:textId="77777777" w:rsidR="00F379B1" w:rsidRPr="009037F6" w:rsidRDefault="00F379B1" w:rsidP="00F379B1">
      <w:pPr>
        <w:spacing w:line="240" w:lineRule="auto"/>
        <w:ind w:left="709" w:right="709"/>
        <w:contextualSpacing/>
        <w:jc w:val="both"/>
        <w:rPr>
          <w:rFonts w:ascii="Verdana" w:hAnsi="Verdana" w:cs="Arial"/>
          <w:iCs/>
          <w:color w:val="000000" w:themeColor="text1"/>
          <w:sz w:val="20"/>
          <w:szCs w:val="20"/>
          <w:lang w:val="es-ES"/>
        </w:rPr>
      </w:pPr>
    </w:p>
    <w:p w14:paraId="5F000F50" w14:textId="77777777" w:rsidR="00F379B1" w:rsidRPr="009037F6" w:rsidRDefault="00F379B1" w:rsidP="00F379B1">
      <w:pPr>
        <w:spacing w:after="0"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 xml:space="preserve">d) En cualquier momento del desarrollo de la audiencia, el jefe de la entidad o su delegado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En todo caso, al </w:t>
      </w:r>
      <w:r w:rsidRPr="009037F6">
        <w:rPr>
          <w:rFonts w:ascii="Verdana" w:hAnsi="Verdana" w:cs="Arial"/>
          <w:iCs/>
          <w:color w:val="000000" w:themeColor="text1"/>
          <w:sz w:val="20"/>
          <w:szCs w:val="20"/>
          <w:lang w:val="es-ES"/>
        </w:rPr>
        <w:lastRenderedPageBreak/>
        <w:t>adoptar la decisión, se señalará fecha y hora para reanudar la audiencia. La entidad podrá dar por terminado el procedimiento en cualquier momento, si por algún medio tiene conocimiento de la cesación de situación de incumplimiento.”</w:t>
      </w:r>
    </w:p>
    <w:p w14:paraId="20584CD3" w14:textId="77777777" w:rsidR="00F379B1" w:rsidRPr="009037F6" w:rsidRDefault="00F379B1" w:rsidP="00F379B1">
      <w:pPr>
        <w:spacing w:after="0" w:line="240" w:lineRule="auto"/>
        <w:ind w:left="709" w:right="709"/>
        <w:contextualSpacing/>
        <w:jc w:val="both"/>
        <w:rPr>
          <w:rFonts w:ascii="Verdana" w:hAnsi="Verdana" w:cs="Arial"/>
          <w:iCs/>
          <w:color w:val="000000" w:themeColor="text1"/>
          <w:sz w:val="20"/>
          <w:szCs w:val="20"/>
          <w:lang w:val="es-ES"/>
        </w:rPr>
      </w:pPr>
    </w:p>
    <w:p w14:paraId="76880F8B" w14:textId="77777777" w:rsidR="00F379B1" w:rsidRPr="00D90725" w:rsidRDefault="00F379B1" w:rsidP="00F379B1">
      <w:pPr>
        <w:spacing w:after="120" w:line="276" w:lineRule="auto"/>
        <w:ind w:firstLine="708"/>
        <w:jc w:val="both"/>
        <w:rPr>
          <w:rFonts w:ascii="Verdana" w:hAnsi="Verdana" w:cs="Arial"/>
          <w:bCs/>
          <w:iCs/>
          <w:color w:val="000000" w:themeColor="text1"/>
          <w:lang w:val="es-MX"/>
        </w:rPr>
      </w:pPr>
      <w:r w:rsidRPr="009037F6">
        <w:rPr>
          <w:rFonts w:ascii="Verdana" w:eastAsia="Times New Roman" w:hAnsi="Verdana" w:cs="Arial"/>
          <w:lang w:val="es-ES" w:eastAsia="es-ES"/>
          <w14:ligatures w14:val="standardContextual"/>
        </w:rPr>
        <w:t xml:space="preserve">De conformidad con lo anterior, el artículo 86 de la Ley 1474 de 2011 establece como etapas del procedimiento que deben seguir las Entidades Estatales: </w:t>
      </w:r>
      <w:r w:rsidRPr="009037F6">
        <w:rPr>
          <w:rFonts w:ascii="Verdana" w:hAnsi="Verdana" w:cs="Arial"/>
          <w:bCs/>
          <w:iCs/>
          <w:color w:val="000000" w:themeColor="text1"/>
          <w:lang w:val="es-MX"/>
        </w:rPr>
        <w:t>i) c</w:t>
      </w:r>
      <w:r w:rsidRPr="009037F6">
        <w:rPr>
          <w:rFonts w:ascii="Verdana" w:hAnsi="Verdana" w:cs="Arial"/>
          <w:bCs/>
          <w:i/>
          <w:iCs/>
          <w:color w:val="000000" w:themeColor="text1"/>
          <w:lang w:val="es-MX"/>
        </w:rPr>
        <w:t>itación a audiencia</w:t>
      </w:r>
      <w:r w:rsidRPr="009037F6">
        <w:rPr>
          <w:rFonts w:ascii="Verdana" w:hAnsi="Verdana" w:cs="Arial"/>
          <w:bCs/>
          <w:iCs/>
          <w:color w:val="000000" w:themeColor="text1"/>
          <w:lang w:val="es-MX"/>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En esta línea, el informe de supervisión o de interventoría sirve como insumo que debe tener en el momento de declarar el incumplimiento. En todo caso, </w:t>
      </w:r>
      <w:r w:rsidRPr="009037F6">
        <w:rPr>
          <w:rFonts w:ascii="Verdana" w:hAnsi="Verdana" w:cs="Arial"/>
          <w:bCs/>
          <w:iCs/>
          <w:color w:val="000000" w:themeColor="text1"/>
        </w:rPr>
        <w:t>el Consejo de Estado ha expresado que el informe del interventor no puede entenderse como el único o exclusivo insumo para declarar la responsabilidad del contratista, puesto que la ley no establece una tarifa probatoria sobre el particular, y porque aun existiendo, la entidad debe verificar su certeza y analizarlo con las demás pruebas allegadas al procedimiento administrativo sancionatorio</w:t>
      </w:r>
      <w:r w:rsidRPr="009037F6">
        <w:rPr>
          <w:rFonts w:ascii="Verdana" w:hAnsi="Verdana" w:cs="Arial"/>
          <w:bCs/>
          <w:iCs/>
          <w:color w:val="000000" w:themeColor="text1"/>
          <w:vertAlign w:val="superscript"/>
        </w:rPr>
        <w:footnoteReference w:id="13"/>
      </w:r>
      <w:r w:rsidRPr="009037F6">
        <w:rPr>
          <w:rFonts w:ascii="Verdana" w:hAnsi="Verdana" w:cs="Arial"/>
          <w:bCs/>
          <w:iCs/>
          <w:color w:val="000000" w:themeColor="text1"/>
        </w:rPr>
        <w:t>.</w:t>
      </w:r>
      <w:r w:rsidRPr="009037F6">
        <w:rPr>
          <w:rFonts w:ascii="Verdana" w:hAnsi="Verdana" w:cs="Arial"/>
          <w:bCs/>
          <w:iCs/>
          <w:color w:val="000000" w:themeColor="text1"/>
          <w:lang w:val="es-MX"/>
        </w:rPr>
        <w:t xml:space="preserve"> ii) </w:t>
      </w:r>
      <w:r w:rsidRPr="009037F6">
        <w:rPr>
          <w:rFonts w:ascii="Verdana" w:hAnsi="Verdana" w:cs="Arial"/>
          <w:bCs/>
          <w:i/>
          <w:iCs/>
          <w:color w:val="000000" w:themeColor="text1"/>
          <w:lang w:val="es-MX"/>
        </w:rPr>
        <w:t>Audiencia</w:t>
      </w:r>
      <w:r w:rsidRPr="009037F6">
        <w:rPr>
          <w:rFonts w:ascii="Verdana" w:hAnsi="Verdana" w:cs="Arial"/>
          <w:bCs/>
          <w:iCs/>
          <w:color w:val="000000" w:themeColor="text1"/>
          <w:lang w:val="es-MX"/>
        </w:rPr>
        <w:t>.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w:t>
      </w:r>
      <w:r>
        <w:rPr>
          <w:rFonts w:ascii="Verdana" w:hAnsi="Verdana" w:cs="Arial"/>
          <w:bCs/>
          <w:iCs/>
          <w:color w:val="000000" w:themeColor="text1"/>
          <w:lang w:val="es-MX"/>
        </w:rPr>
        <w:t>ndan las explicaciones del caso, siendo razonable que presenten alegatos de conclusión, con el fin de presentar sus argumentos finales antes de que se tome una decisión</w:t>
      </w:r>
      <w:r>
        <w:rPr>
          <w:rStyle w:val="Refdenotaalpie"/>
          <w:rFonts w:ascii="Verdana" w:hAnsi="Verdana" w:cs="Arial"/>
          <w:bCs/>
          <w:iCs/>
          <w:color w:val="000000" w:themeColor="text1"/>
          <w:lang w:val="es-MX"/>
        </w:rPr>
        <w:footnoteReference w:id="14"/>
      </w:r>
      <w:r>
        <w:rPr>
          <w:rFonts w:ascii="Verdana" w:hAnsi="Verdana" w:cs="Arial"/>
          <w:bCs/>
          <w:iCs/>
          <w:color w:val="000000" w:themeColor="text1"/>
          <w:lang w:val="es-MX"/>
        </w:rPr>
        <w:t>. Por último,</w:t>
      </w:r>
      <w:r w:rsidRPr="009037F6">
        <w:rPr>
          <w:rFonts w:ascii="Verdana" w:hAnsi="Verdana" w:cs="Arial"/>
          <w:bCs/>
          <w:iCs/>
          <w:color w:val="000000" w:themeColor="text1"/>
          <w:lang w:val="es-MX"/>
        </w:rPr>
        <w:t xml:space="preserve"> iii) </w:t>
      </w:r>
      <w:r w:rsidRPr="009037F6">
        <w:rPr>
          <w:rFonts w:ascii="Verdana" w:hAnsi="Verdana" w:cs="Arial"/>
          <w:bCs/>
          <w:i/>
          <w:iCs/>
          <w:color w:val="000000" w:themeColor="text1"/>
          <w:lang w:val="es-MX"/>
        </w:rPr>
        <w:t>Decisión</w:t>
      </w:r>
      <w:r w:rsidRPr="009037F6">
        <w:rPr>
          <w:rFonts w:ascii="Verdana" w:hAnsi="Verdana" w:cs="Arial"/>
          <w:bCs/>
          <w:iCs/>
          <w:color w:val="000000" w:themeColor="text1"/>
          <w:lang w:val="es-MX"/>
        </w:rPr>
        <w:t xml:space="preserve">. Debe estar contenida en resolución motivada donde se consigne, por un lado, lo ocurrido en el desarrollo de la diligencia y, por el otro, lo relativo a la imposición de las sanciones o la declaratoria de incumplimiento del contrato estatal. Contra la decisión únicamente procede el recurso de reposición que se interpondrá, sustentará y decidirá en la misma diligencia. Ambas decisiones se entenderán </w:t>
      </w:r>
      <w:r w:rsidRPr="009037F6">
        <w:rPr>
          <w:rFonts w:ascii="Verdana" w:hAnsi="Verdana" w:cs="Arial"/>
          <w:bCs/>
          <w:iCs/>
          <w:color w:val="000000" w:themeColor="text1"/>
          <w:lang w:val="es-MX"/>
        </w:rPr>
        <w:lastRenderedPageBreak/>
        <w:t xml:space="preserve">notificadas en audiencia. En este caso, el acto que contiene la decisión tendrá la naturaleza de ser un acto administrativo. </w:t>
      </w:r>
    </w:p>
    <w:p w14:paraId="5CC93FFB" w14:textId="77777777" w:rsidR="00F379B1" w:rsidRPr="009037F6" w:rsidRDefault="00F379B1" w:rsidP="00F379B1">
      <w:pPr>
        <w:spacing w:after="0" w:line="276" w:lineRule="auto"/>
        <w:jc w:val="both"/>
        <w:rPr>
          <w:rFonts w:ascii="Verdana" w:eastAsia="Calibri" w:hAnsi="Verdana" w:cs="Arial"/>
          <w:color w:val="000000" w:themeColor="text1"/>
          <w:lang w:val="es-ES"/>
        </w:rPr>
      </w:pPr>
      <w:bookmarkStart w:id="4" w:name="_Hlk37703813"/>
    </w:p>
    <w:bookmarkEnd w:id="2"/>
    <w:bookmarkEnd w:id="4"/>
    <w:p w14:paraId="2FA85D05" w14:textId="77777777" w:rsidR="00F379B1" w:rsidRPr="00EC0AEA" w:rsidRDefault="00F379B1" w:rsidP="00F379B1">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iii. En el marco del</w:t>
      </w:r>
      <w:r w:rsidRPr="00EC0AEA">
        <w:rPr>
          <w:rFonts w:ascii="Verdana" w:eastAsia="Calibri" w:hAnsi="Verdana" w:cs="Arial"/>
          <w:color w:val="000000" w:themeColor="text1"/>
        </w:rPr>
        <w:t xml:space="preserve"> desarrollo del procedimiento establecido en el artículo 86 de la Ley 1474 de 2011 supone la aplicación previa y concomitante de un marco normativo regido por el derecho fundamental al debido proceso previsto en el artículo 29 de la Constitución Política. Este derecho fundamental rige en todas las actuaciones judiciales y administrativas, inclusive en el procedimiento administrativo general, tal y como lo dispone el numeral 1 del artículo 3  de la Ley 1437 de 2011, que, con similar propósito, prescribe: “En virtud del principio del debido proceso, las actuaciones administrativas se adelantarán de conformidad con las normas de procedimiento y competencia establecidas en la Constitución y la ley, con plena garantía de los derechos de representación, defensa y contradicción […]”. </w:t>
      </w:r>
    </w:p>
    <w:p w14:paraId="690564AD" w14:textId="77777777" w:rsidR="00F379B1" w:rsidRPr="00EC0AEA" w:rsidRDefault="00F379B1" w:rsidP="00F379B1">
      <w:pPr>
        <w:spacing w:after="120" w:line="276" w:lineRule="auto"/>
        <w:ind w:firstLine="708"/>
        <w:jc w:val="both"/>
        <w:rPr>
          <w:rFonts w:ascii="Verdana" w:eastAsia="Calibri" w:hAnsi="Verdana" w:cs="Arial"/>
          <w:color w:val="000000" w:themeColor="text1"/>
        </w:rPr>
      </w:pPr>
      <w:r w:rsidRPr="00EC0AEA">
        <w:rPr>
          <w:rFonts w:ascii="Verdana" w:eastAsia="Calibri" w:hAnsi="Verdana" w:cs="Arial"/>
          <w:color w:val="000000" w:themeColor="text1"/>
        </w:rPr>
        <w:t xml:space="preserve">En este sentido, debe considerarse que las actuaciones contractuales de las entidades estatales sometidas al EGCAP se complementan con la regulación general de las actuaciones administrativas, pues ese es el sentido del artículo 77 de la Ley 80 de 1993 que establece que en cuanto sean compatibles con la finalidad y los principios de esa ley, las normas que rigen los procedimientos y actuaciones en la función administrativa serán aplicables en las actuaciones contractuales. A falta de estas, regirán las disposiciones del Código de Procedimiento Civil. Asimismo, establece que “los actos administrativos que se produzcan con motivo u ocasión de la actividad contractual sólo serán susceptibles de recurso de reposición y del ejercicio de la acción contractual, de acuerdo con las reglas del Código Contencioso Administrativo”, siendo posible acudir a la aplicación normativa complementaria y concordante del CPACA, sin perjuicio de la primacía de la norma especial. </w:t>
      </w:r>
    </w:p>
    <w:p w14:paraId="0EF43537" w14:textId="77777777" w:rsidR="00F379B1" w:rsidRPr="00EC0AEA" w:rsidRDefault="00F379B1" w:rsidP="00F379B1">
      <w:pPr>
        <w:spacing w:after="120" w:line="276" w:lineRule="auto"/>
        <w:ind w:firstLine="709"/>
        <w:jc w:val="both"/>
        <w:rPr>
          <w:rFonts w:ascii="Verdana" w:eastAsia="Calibri" w:hAnsi="Verdana" w:cs="Arial"/>
          <w:color w:val="000000" w:themeColor="text1"/>
        </w:rPr>
      </w:pPr>
      <w:r w:rsidRPr="00EC0AEA">
        <w:rPr>
          <w:rFonts w:ascii="Verdana" w:eastAsia="Calibri" w:hAnsi="Verdana" w:cs="Arial"/>
          <w:color w:val="000000" w:themeColor="text1"/>
        </w:rPr>
        <w:t xml:space="preserve">A su turno, los artículos 47 a 52 de la Ley 1437 de 2011 - CPACA consagran unas normas y garantías mínimas del procedimiento administrativo sancionatorio general, cuya aplicación es de carácter supletorio, tal y como se dispone en el primer artículo mencionado, cuyo texto relevante es el siguiente:  </w:t>
      </w:r>
    </w:p>
    <w:p w14:paraId="49AA35D4" w14:textId="77777777" w:rsidR="00F379B1" w:rsidRPr="00EC0AEA" w:rsidRDefault="00F379B1" w:rsidP="00F379B1">
      <w:pPr>
        <w:spacing w:after="0" w:line="240" w:lineRule="auto"/>
        <w:ind w:left="709" w:right="709"/>
        <w:jc w:val="both"/>
        <w:rPr>
          <w:rFonts w:ascii="Verdana" w:eastAsia="Calibri" w:hAnsi="Verdana" w:cs="Arial"/>
          <w:color w:val="000000" w:themeColor="text1"/>
          <w:sz w:val="20"/>
          <w:szCs w:val="20"/>
        </w:rPr>
      </w:pPr>
    </w:p>
    <w:p w14:paraId="21DFDE5C" w14:textId="77777777" w:rsidR="00F379B1" w:rsidRPr="00EC0AEA" w:rsidRDefault="00F379B1" w:rsidP="00F379B1">
      <w:pPr>
        <w:spacing w:after="0" w:line="240" w:lineRule="auto"/>
        <w:ind w:left="709" w:right="709"/>
        <w:jc w:val="both"/>
        <w:rPr>
          <w:rFonts w:ascii="Verdana" w:eastAsia="Calibri" w:hAnsi="Verdana" w:cs="Arial"/>
          <w:color w:val="000000" w:themeColor="text1"/>
          <w:sz w:val="20"/>
          <w:szCs w:val="20"/>
        </w:rPr>
      </w:pPr>
      <w:r w:rsidRPr="00EC0AEA">
        <w:rPr>
          <w:rFonts w:ascii="Verdana" w:eastAsia="Calibri" w:hAnsi="Verdana" w:cs="Arial"/>
          <w:color w:val="000000" w:themeColor="text1"/>
          <w:sz w:val="20"/>
          <w:szCs w:val="20"/>
        </w:rPr>
        <w:t xml:space="preserve">“Artículo 47. Procedimiento administrativo sancionatorio. Los procedimientos administrativos de carácter sancionatorio no regulados por leyes especiales o por el Código Disciplinario Único se sujetarán a las </w:t>
      </w:r>
      <w:r w:rsidRPr="00EC0AEA">
        <w:rPr>
          <w:rFonts w:ascii="Verdana" w:eastAsia="Calibri" w:hAnsi="Verdana" w:cs="Arial"/>
          <w:color w:val="000000" w:themeColor="text1"/>
          <w:sz w:val="20"/>
          <w:szCs w:val="20"/>
        </w:rPr>
        <w:lastRenderedPageBreak/>
        <w:t xml:space="preserve">disposiciones de esta Parte Primera del Código. Los preceptos de este Código se aplicarán también en lo no previsto por dichas leyes. </w:t>
      </w:r>
    </w:p>
    <w:p w14:paraId="246228D2" w14:textId="77777777" w:rsidR="00F379B1" w:rsidRPr="00EC0AEA" w:rsidRDefault="00F379B1" w:rsidP="00F379B1">
      <w:pPr>
        <w:spacing w:after="0" w:line="240" w:lineRule="auto"/>
        <w:ind w:left="709" w:right="709"/>
        <w:jc w:val="both"/>
        <w:rPr>
          <w:rFonts w:ascii="Verdana" w:eastAsia="Calibri" w:hAnsi="Verdana" w:cs="Arial"/>
          <w:color w:val="000000" w:themeColor="text1"/>
          <w:sz w:val="20"/>
          <w:szCs w:val="20"/>
        </w:rPr>
      </w:pPr>
      <w:r w:rsidRPr="00EC0AEA">
        <w:rPr>
          <w:rFonts w:ascii="Verdana" w:eastAsia="Calibri" w:hAnsi="Verdana" w:cs="Arial"/>
          <w:color w:val="000000" w:themeColor="text1"/>
          <w:sz w:val="20"/>
          <w:szCs w:val="20"/>
        </w:rPr>
        <w:t>[…]</w:t>
      </w:r>
    </w:p>
    <w:p w14:paraId="64C4B902" w14:textId="77777777" w:rsidR="00F379B1" w:rsidRPr="00EC0AEA" w:rsidRDefault="00F379B1" w:rsidP="00F379B1">
      <w:pPr>
        <w:spacing w:after="0" w:line="240" w:lineRule="auto"/>
        <w:ind w:left="709" w:right="709"/>
        <w:jc w:val="both"/>
        <w:rPr>
          <w:rFonts w:ascii="Verdana" w:eastAsia="Calibri" w:hAnsi="Verdana" w:cs="Arial"/>
          <w:color w:val="000000" w:themeColor="text1"/>
          <w:sz w:val="20"/>
          <w:szCs w:val="20"/>
        </w:rPr>
      </w:pPr>
      <w:r w:rsidRPr="00EC0AEA">
        <w:rPr>
          <w:rFonts w:ascii="Verdana" w:eastAsia="Calibri" w:hAnsi="Verdana" w:cs="Arial"/>
          <w:color w:val="000000" w:themeColor="text1"/>
          <w:sz w:val="20"/>
          <w:szCs w:val="20"/>
        </w:rPr>
        <w:t>PARÁGRAFO 1. Las actuaciones administrativas contractuales sancionatorias, incluyendo los recursos, se regirán por lo dispuesto en las normas especiales sobre la materia.</w:t>
      </w:r>
    </w:p>
    <w:p w14:paraId="69FA6ED2" w14:textId="77777777" w:rsidR="00F379B1" w:rsidRPr="00EC0AEA" w:rsidRDefault="00F379B1" w:rsidP="00F379B1">
      <w:pPr>
        <w:spacing w:after="0" w:line="240" w:lineRule="auto"/>
        <w:ind w:left="709" w:right="709"/>
        <w:jc w:val="both"/>
        <w:rPr>
          <w:rFonts w:ascii="Verdana" w:eastAsia="Calibri" w:hAnsi="Verdana" w:cs="Arial"/>
          <w:color w:val="000000" w:themeColor="text1"/>
          <w:sz w:val="20"/>
          <w:szCs w:val="20"/>
        </w:rPr>
      </w:pPr>
    </w:p>
    <w:p w14:paraId="477A5A1C" w14:textId="77777777" w:rsidR="00F379B1" w:rsidRPr="00EC0AEA" w:rsidRDefault="00F379B1" w:rsidP="00F379B1">
      <w:pPr>
        <w:spacing w:after="0" w:line="240" w:lineRule="auto"/>
        <w:ind w:left="709" w:right="709"/>
        <w:jc w:val="both"/>
        <w:rPr>
          <w:rFonts w:ascii="Verdana" w:eastAsia="Calibri" w:hAnsi="Verdana" w:cs="Arial"/>
          <w:color w:val="000000" w:themeColor="text1"/>
          <w:sz w:val="20"/>
          <w:szCs w:val="20"/>
        </w:rPr>
      </w:pPr>
      <w:r w:rsidRPr="00EC0AEA">
        <w:rPr>
          <w:rFonts w:ascii="Verdana" w:eastAsia="Calibri" w:hAnsi="Verdana" w:cs="Arial"/>
          <w:color w:val="000000" w:themeColor="text1"/>
          <w:sz w:val="20"/>
          <w:szCs w:val="20"/>
        </w:rPr>
        <w:t>PARÁGRAFO 2. En los procedimientos administrativos sancionatorios fiscales el término para presentar descargos y solicitar o aportar pruebas será de cinco (5) días”.</w:t>
      </w:r>
    </w:p>
    <w:p w14:paraId="3BDFCC9F" w14:textId="77777777" w:rsidR="00F379B1" w:rsidRPr="00EC0AEA" w:rsidRDefault="00F379B1" w:rsidP="00F379B1">
      <w:pPr>
        <w:spacing w:after="120" w:line="276" w:lineRule="auto"/>
        <w:jc w:val="both"/>
        <w:rPr>
          <w:rFonts w:ascii="Verdana" w:eastAsia="Calibri" w:hAnsi="Verdana" w:cs="Arial"/>
          <w:color w:val="000000" w:themeColor="text1"/>
        </w:rPr>
      </w:pPr>
    </w:p>
    <w:p w14:paraId="13B9D18C" w14:textId="77777777" w:rsidR="00F379B1" w:rsidRPr="00EC0AEA" w:rsidRDefault="00F379B1" w:rsidP="00F379B1">
      <w:pPr>
        <w:spacing w:after="120" w:line="276" w:lineRule="auto"/>
        <w:ind w:firstLine="709"/>
        <w:jc w:val="both"/>
        <w:rPr>
          <w:rFonts w:ascii="Verdana" w:eastAsia="Calibri" w:hAnsi="Verdana" w:cs="Arial"/>
          <w:color w:val="000000" w:themeColor="text1"/>
        </w:rPr>
      </w:pPr>
      <w:r w:rsidRPr="00EC0AEA">
        <w:rPr>
          <w:rFonts w:ascii="Verdana" w:eastAsia="Calibri" w:hAnsi="Verdana" w:cs="Arial"/>
          <w:color w:val="000000" w:themeColor="text1"/>
        </w:rPr>
        <w:t>Como puede verse, la norma somete la aplicación del procedimiento administrativo sancionatorio general del CPACA para asuntos que no estén regulados por normas especiales que rijan la materia, en armonía con el artículo 34 del mismo cuerpo normativo que dispone que las actuaciones administrativas se sujetarán al procedimiento administrativo común y principal que establece el CPACA, sin perjuicio de los procedimientos administrativos regulados por leyes especiales, consagrando la primacía de la aplicabilidad de las normas especiales en materia administrativa sancionatoria.</w:t>
      </w:r>
    </w:p>
    <w:p w14:paraId="5AA89CE8" w14:textId="77777777" w:rsidR="00F379B1" w:rsidRPr="00EC0AEA" w:rsidRDefault="00F379B1" w:rsidP="00F379B1">
      <w:pPr>
        <w:spacing w:after="120" w:line="276" w:lineRule="auto"/>
        <w:ind w:firstLine="709"/>
        <w:jc w:val="both"/>
        <w:rPr>
          <w:rFonts w:ascii="Verdana" w:eastAsia="Calibri" w:hAnsi="Verdana" w:cs="Arial"/>
          <w:color w:val="000000" w:themeColor="text1"/>
        </w:rPr>
      </w:pPr>
      <w:r w:rsidRPr="00EC0AEA">
        <w:rPr>
          <w:rFonts w:ascii="Verdana" w:eastAsia="Calibri" w:hAnsi="Verdana" w:cs="Arial"/>
          <w:color w:val="000000" w:themeColor="text1"/>
        </w:rPr>
        <w:t xml:space="preserve">Respecto a los procedimientos administrativos sancionatorios contractuales, el parágrafo 1 del artículo 47 del CPACA expresamente dispone que estos se rigen por las normas especiales en la materia, incluido los recursos. Por tal razón, en principio la norma aplicable para ejercer las potestades sancionatorias contractuales es el artículo 86 de la Ley 1474 de 2011 que comporta un procedimiento especial, célere, eficaz y sumario, llevado a cabo en audiencia pública y que brinda las garantías mínimas al contratista para ejercer su derecho de defensa y contradicción, justificadas en el debido proceso, en los términos del artículo 17 de la Ley 1150 de 2007. </w:t>
      </w:r>
    </w:p>
    <w:p w14:paraId="11986134" w14:textId="77777777" w:rsidR="00F379B1" w:rsidRDefault="00F379B1" w:rsidP="00F379B1">
      <w:pPr>
        <w:spacing w:after="120" w:line="276" w:lineRule="auto"/>
        <w:ind w:firstLine="709"/>
        <w:jc w:val="both"/>
        <w:rPr>
          <w:rFonts w:ascii="Verdana" w:eastAsia="Calibri" w:hAnsi="Verdana" w:cs="Arial"/>
          <w:color w:val="000000" w:themeColor="text1"/>
        </w:rPr>
      </w:pPr>
      <w:r w:rsidRPr="00EC0AEA">
        <w:rPr>
          <w:rFonts w:ascii="Verdana" w:eastAsia="Calibri" w:hAnsi="Verdana" w:cs="Arial"/>
          <w:color w:val="000000" w:themeColor="text1"/>
        </w:rPr>
        <w:t xml:space="preserve">Sin perjuicio de lo anterior, puede considerarse que, dado el carácter supletivo del procedimiento administrativo sancionatorio del CPACA, las reglas de este procedimiento pueden complementar los aspectos no previstos en las normas especiales que rigen el procedimiento administrativo sancionatorio contractual. La anterior conclusión se sustenta en lo siguiente: i) el primer inciso del artículo 77 de la Ley 80 de 1993 establece una remisión a las normas del CPACA que rigen los procedimientos administrativos, en lo que sea compatible con el Estatuto General de Contratación de la Administración Pública y ii) los artículos 2 y 47 (inciso 1) del CPACA, consagran el principio de subsidiariedad, </w:t>
      </w:r>
      <w:r w:rsidRPr="00EC0AEA">
        <w:rPr>
          <w:rFonts w:ascii="Verdana" w:eastAsia="Calibri" w:hAnsi="Verdana" w:cs="Arial"/>
          <w:color w:val="000000" w:themeColor="text1"/>
        </w:rPr>
        <w:lastRenderedPageBreak/>
        <w:t>en virtud del cual las normas de la primera parte del código se deben aplicar en aquellos casos en los cuales haya vacío en las normas especiales.</w:t>
      </w:r>
      <w:r>
        <w:rPr>
          <w:rFonts w:ascii="Verdana" w:eastAsia="Calibri" w:hAnsi="Verdana" w:cs="Arial"/>
          <w:color w:val="000000" w:themeColor="text1"/>
        </w:rPr>
        <w:t xml:space="preserve"> Al respecto, el Consejo de Estado expresó: </w:t>
      </w:r>
    </w:p>
    <w:p w14:paraId="1DD5B11B" w14:textId="77777777" w:rsidR="00F379B1" w:rsidRPr="00D92AAF" w:rsidRDefault="00F379B1" w:rsidP="00F379B1">
      <w:pPr>
        <w:spacing w:after="0" w:line="240" w:lineRule="auto"/>
        <w:ind w:left="709" w:right="709"/>
        <w:jc w:val="both"/>
        <w:rPr>
          <w:rFonts w:ascii="Verdana" w:eastAsia="Calibri" w:hAnsi="Verdana" w:cs="Arial"/>
          <w:color w:val="000000" w:themeColor="text1"/>
          <w:sz w:val="20"/>
          <w:szCs w:val="20"/>
        </w:rPr>
      </w:pPr>
      <w:r w:rsidRPr="00D92AAF">
        <w:rPr>
          <w:rFonts w:ascii="Verdana" w:eastAsia="Calibri" w:hAnsi="Verdana" w:cs="Arial"/>
          <w:color w:val="000000" w:themeColor="text1"/>
          <w:sz w:val="20"/>
          <w:szCs w:val="20"/>
        </w:rPr>
        <w:t>“[…] ante los vacíos o lagunas que se presenten en las actuaciones contractuales de carácter sancionatorio (en este caso la declaratoria de caducidad) la autoridad administrativa debe llenarlos, en primer lugar, con las disposiciones de la ley 1437 de 2011 que regulan lo referente al procedimiento administrativo sancionatorio (artículos 47 a 52) y, sólo en aquellos eventos en los que las lagunas sigan presentándose, acudir al procedimiento administrativo general consagrado en el mismo cuerpo normativo”</w:t>
      </w:r>
      <w:r w:rsidRPr="00D92AAF">
        <w:rPr>
          <w:rStyle w:val="Refdenotaalpie"/>
          <w:rFonts w:ascii="Verdana" w:eastAsia="Calibri" w:hAnsi="Verdana" w:cs="Arial"/>
          <w:color w:val="000000" w:themeColor="text1"/>
          <w:sz w:val="20"/>
          <w:szCs w:val="20"/>
        </w:rPr>
        <w:footnoteReference w:id="15"/>
      </w:r>
      <w:r w:rsidRPr="00D92AAF">
        <w:rPr>
          <w:rFonts w:ascii="Verdana" w:eastAsia="Calibri" w:hAnsi="Verdana" w:cs="Arial"/>
          <w:color w:val="000000" w:themeColor="text1"/>
          <w:sz w:val="20"/>
          <w:szCs w:val="20"/>
        </w:rPr>
        <w:t>.</w:t>
      </w:r>
    </w:p>
    <w:p w14:paraId="29F8088A" w14:textId="77777777" w:rsidR="00F379B1" w:rsidRPr="007F242A" w:rsidRDefault="00F379B1" w:rsidP="00F379B1">
      <w:pPr>
        <w:spacing w:after="0" w:line="240" w:lineRule="auto"/>
        <w:ind w:left="709" w:right="709"/>
        <w:jc w:val="both"/>
        <w:rPr>
          <w:rFonts w:ascii="Verdana" w:eastAsia="Calibri" w:hAnsi="Verdana" w:cs="Arial"/>
          <w:color w:val="000000" w:themeColor="text1"/>
        </w:rPr>
      </w:pPr>
    </w:p>
    <w:p w14:paraId="2B6C64A9" w14:textId="77777777" w:rsidR="00F379B1" w:rsidRPr="00EC0AEA" w:rsidRDefault="00F379B1" w:rsidP="00F379B1">
      <w:pPr>
        <w:spacing w:after="120" w:line="276" w:lineRule="auto"/>
        <w:ind w:firstLine="709"/>
        <w:jc w:val="both"/>
        <w:rPr>
          <w:rFonts w:ascii="Verdana" w:eastAsia="Calibri" w:hAnsi="Verdana" w:cs="Arial"/>
          <w:color w:val="000000" w:themeColor="text1"/>
        </w:rPr>
      </w:pPr>
      <w:r w:rsidRPr="00EC0AEA">
        <w:rPr>
          <w:rFonts w:ascii="Verdana" w:eastAsia="Calibri" w:hAnsi="Verdana" w:cs="Arial"/>
          <w:color w:val="000000" w:themeColor="text1"/>
        </w:rPr>
        <w:t>Definido lo anterior se observa que el artículo 52 del CPACA es la norma que consagra la caducidad de la facultad que tienen las autoridades administrativas para imponer sanciones, que opera luego de transcurridos tres (3) años de ocurrido el hecho, la conducta u omisión que pudiere ocasionarlas, plazo dentro del cual el acto administrativo sancionatorio debe quedar expedido y notificado. Además, estableció de manera independiente y autónoma el término de un (1) año para resolver los recursos procedentes contra el acto sancionatorio, contado a partir de la interposición de los mismos, so pena de la pérdida de competencia. Finalmente, dispuso que</w:t>
      </w:r>
      <w:r>
        <w:rPr>
          <w:rFonts w:ascii="Verdana" w:eastAsia="Calibri" w:hAnsi="Verdana" w:cs="Arial"/>
          <w:color w:val="000000" w:themeColor="text1"/>
        </w:rPr>
        <w:t>,</w:t>
      </w:r>
      <w:r w:rsidRPr="00EC0AEA">
        <w:rPr>
          <w:rFonts w:ascii="Verdana" w:eastAsia="Calibri" w:hAnsi="Verdana" w:cs="Arial"/>
          <w:color w:val="000000" w:themeColor="text1"/>
        </w:rPr>
        <w:t xml:space="preserve"> si los recursos no se deciden en el término fijado, se entenderán resueltos a favor del recurrente.</w:t>
      </w:r>
    </w:p>
    <w:p w14:paraId="785E68A7" w14:textId="77777777" w:rsidR="00F379B1" w:rsidRDefault="00F379B1" w:rsidP="00F379B1">
      <w:pPr>
        <w:spacing w:after="120" w:line="276" w:lineRule="auto"/>
        <w:ind w:firstLine="709"/>
        <w:jc w:val="both"/>
        <w:rPr>
          <w:rFonts w:ascii="Verdana" w:eastAsia="Calibri" w:hAnsi="Verdana" w:cs="Arial"/>
          <w:color w:val="000000" w:themeColor="text1"/>
        </w:rPr>
      </w:pPr>
      <w:r w:rsidRPr="00EC0AEA">
        <w:rPr>
          <w:rFonts w:ascii="Verdana" w:eastAsia="Calibri" w:hAnsi="Verdana" w:cs="Arial"/>
          <w:color w:val="000000" w:themeColor="text1"/>
        </w:rPr>
        <w:t>Ahora bien, en vista de que el artículo 86 de la Ley 1474 de 2011 no reguló este asunto de manera especial, resultaría posible aplicar el artículo 52 del CPACA, si las circunstancias de un caso concreto lo ameritan, porque no contradice la norma esp</w:t>
      </w:r>
      <w:r>
        <w:rPr>
          <w:rFonts w:ascii="Verdana" w:eastAsia="Calibri" w:hAnsi="Verdana" w:cs="Arial"/>
          <w:color w:val="000000" w:themeColor="text1"/>
        </w:rPr>
        <w:t>ecial, sino que la complementa.</w:t>
      </w:r>
      <w:r w:rsidRPr="00EC0AEA">
        <w:rPr>
          <w:rFonts w:ascii="Verdana" w:eastAsia="Calibri" w:hAnsi="Verdana" w:cs="Arial"/>
          <w:color w:val="000000" w:themeColor="text1"/>
        </w:rPr>
        <w:t xml:space="preserve"> Lo anterior aun cuando el artículo 86 de la Ley 1474 establece que el recurso de reposición debe resolverse en la misma audiencia; pero no regula la consecuencia de lo que ocurriría si la entidad contratante no lo resuelve en esa oportunidad, situación irregular que entraría a suplirse con lo dispuesto en la norma del procedimiento sancionatorio general. </w:t>
      </w:r>
    </w:p>
    <w:p w14:paraId="58E1D6E3" w14:textId="77777777" w:rsidR="00F379B1" w:rsidRDefault="00F379B1" w:rsidP="00F379B1">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A partir de la integración normativa, entre el artículo 86 de la Ley 1474 de 2011 y el artículo 52 de la Ley 1437 de 2011, se constata que </w:t>
      </w:r>
      <w:r w:rsidRPr="00D14EC0">
        <w:rPr>
          <w:rFonts w:ascii="Verdana" w:eastAsia="Calibri" w:hAnsi="Verdana" w:cs="Arial"/>
          <w:color w:val="000000" w:themeColor="text1"/>
        </w:rPr>
        <w:t xml:space="preserve">esta facultad </w:t>
      </w:r>
      <w:r>
        <w:rPr>
          <w:rFonts w:ascii="Verdana" w:eastAsia="Calibri" w:hAnsi="Verdana" w:cs="Arial"/>
          <w:color w:val="000000" w:themeColor="text1"/>
        </w:rPr>
        <w:t xml:space="preserve">sancionatoria </w:t>
      </w:r>
      <w:r w:rsidRPr="00D14EC0">
        <w:rPr>
          <w:rFonts w:ascii="Verdana" w:eastAsia="Calibri" w:hAnsi="Verdana" w:cs="Arial"/>
          <w:color w:val="000000" w:themeColor="text1"/>
        </w:rPr>
        <w:t xml:space="preserve">debe ejercerse dentro del marco temporal fijado por el artículo 52 </w:t>
      </w:r>
      <w:r w:rsidRPr="00D14EC0">
        <w:rPr>
          <w:rFonts w:ascii="Verdana" w:eastAsia="Calibri" w:hAnsi="Verdana" w:cs="Arial"/>
          <w:color w:val="000000" w:themeColor="text1"/>
        </w:rPr>
        <w:lastRenderedPageBreak/>
        <w:t xml:space="preserve">de la Ley 1437 de 2011, lo que significa que la administración solo puede iniciar y culminar el procedimiento sancionatorio dentro de los tres años siguientes al hecho constitutivo de incumplimiento. En </w:t>
      </w:r>
      <w:r>
        <w:rPr>
          <w:rFonts w:ascii="Verdana" w:eastAsia="Calibri" w:hAnsi="Verdana" w:cs="Arial"/>
          <w:color w:val="000000" w:themeColor="text1"/>
        </w:rPr>
        <w:t>consecuencia, la caducidad actúa</w:t>
      </w:r>
      <w:r w:rsidRPr="00D14EC0">
        <w:rPr>
          <w:rFonts w:ascii="Verdana" w:eastAsia="Calibri" w:hAnsi="Verdana" w:cs="Arial"/>
          <w:color w:val="000000" w:themeColor="text1"/>
        </w:rPr>
        <w:t xml:space="preserve"> como límite material y temporal que condiciona la procedencia de las sanciones contractuales, garantizando que el ejercicio de la potestad sancionadora se ajuste a los principios de legalidad, proporcionalidad y seguridad jurídica.</w:t>
      </w:r>
    </w:p>
    <w:p w14:paraId="6AFDA4FE" w14:textId="77777777" w:rsidR="00F379B1" w:rsidRPr="00671499" w:rsidRDefault="00F379B1" w:rsidP="00F379B1">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Ahora bien, </w:t>
      </w:r>
      <w:r w:rsidRPr="00671499">
        <w:rPr>
          <w:rFonts w:ascii="Verdana" w:eastAsia="Calibri" w:hAnsi="Verdana" w:cs="Arial"/>
          <w:color w:val="000000" w:themeColor="text1"/>
        </w:rPr>
        <w:t xml:space="preserve">es posible invocar la caducidad de la facultad sancionatoria en cualquier etapa del procedimiento sancionatorio contractual regulado por el artículo 86 de la </w:t>
      </w:r>
      <w:r>
        <w:rPr>
          <w:rFonts w:ascii="Verdana" w:eastAsia="Calibri" w:hAnsi="Verdana" w:cs="Arial"/>
          <w:color w:val="000000" w:themeColor="text1"/>
        </w:rPr>
        <w:t xml:space="preserve">Ley 1474 de 2011. </w:t>
      </w:r>
      <w:r w:rsidRPr="00671499">
        <w:rPr>
          <w:rFonts w:ascii="Verdana" w:eastAsia="Calibri" w:hAnsi="Verdana" w:cs="Arial"/>
          <w:color w:val="000000" w:themeColor="text1"/>
        </w:rPr>
        <w:t xml:space="preserve">Su naturaleza es de orden público, lo que significa que no depende de la voluntad de las partes y puede ser declarada en cualquier fase del trámite, desde </w:t>
      </w:r>
      <w:r>
        <w:rPr>
          <w:rFonts w:ascii="Verdana" w:eastAsia="Calibri" w:hAnsi="Verdana" w:cs="Arial"/>
          <w:color w:val="000000" w:themeColor="text1"/>
        </w:rPr>
        <w:t xml:space="preserve">el inicio del procedimiento sancionatorio hasta su etapa final. </w:t>
      </w:r>
      <w:r w:rsidRPr="00671499">
        <w:rPr>
          <w:rFonts w:ascii="Verdana" w:eastAsia="Calibri" w:hAnsi="Verdana" w:cs="Arial"/>
          <w:color w:val="000000" w:themeColor="text1"/>
        </w:rPr>
        <w:t xml:space="preserve">En el contexto del procedimiento sancionatorio contractual, la administración debe verificar que el hecho constitutivo de incumplimiento no haya ocurrido hace más de tres años, pues de lo contrario la facultad sancionatoria estaría caducada. Si la caducidad se configura, la consecuencia es la imposibilidad jurídica de imponer sanción alguna, lo cual puede </w:t>
      </w:r>
      <w:r>
        <w:rPr>
          <w:rFonts w:ascii="Verdana" w:eastAsia="Calibri" w:hAnsi="Verdana" w:cs="Arial"/>
          <w:color w:val="000000" w:themeColor="text1"/>
        </w:rPr>
        <w:t xml:space="preserve">alegarse </w:t>
      </w:r>
      <w:r w:rsidRPr="00671499">
        <w:rPr>
          <w:rFonts w:ascii="Verdana" w:eastAsia="Calibri" w:hAnsi="Verdana" w:cs="Arial"/>
          <w:color w:val="000000" w:themeColor="text1"/>
        </w:rPr>
        <w:t>por el contratista en su defensa</w:t>
      </w:r>
      <w:r>
        <w:rPr>
          <w:rFonts w:ascii="Verdana" w:eastAsia="Calibri" w:hAnsi="Verdana" w:cs="Arial"/>
          <w:color w:val="000000" w:themeColor="text1"/>
        </w:rPr>
        <w:t xml:space="preserve"> en las diferentes etapas del procedimiento –presentación de descargos, alegatos de conclusión, interposición del recurso de reposición-</w:t>
      </w:r>
      <w:r w:rsidRPr="00671499">
        <w:rPr>
          <w:rFonts w:ascii="Verdana" w:eastAsia="Calibri" w:hAnsi="Verdana" w:cs="Arial"/>
          <w:color w:val="000000" w:themeColor="text1"/>
        </w:rPr>
        <w:t xml:space="preserve"> o reconocido directamente por la entidad. </w:t>
      </w:r>
    </w:p>
    <w:p w14:paraId="1FAF9F02" w14:textId="77777777" w:rsidR="00F379B1" w:rsidRPr="00EC0AEA" w:rsidRDefault="00F379B1" w:rsidP="00F379B1">
      <w:pPr>
        <w:spacing w:after="120" w:line="276" w:lineRule="auto"/>
        <w:ind w:firstLine="708"/>
        <w:jc w:val="both"/>
        <w:rPr>
          <w:rFonts w:ascii="Verdana" w:eastAsia="Calibri" w:hAnsi="Verdana" w:cs="Arial"/>
          <w:color w:val="000000" w:themeColor="text1"/>
        </w:rPr>
      </w:pPr>
      <w:r w:rsidRPr="00EC0AEA">
        <w:rPr>
          <w:rFonts w:ascii="Verdana" w:eastAsia="Calibri" w:hAnsi="Verdana" w:cs="Arial"/>
          <w:color w:val="000000" w:themeColor="text1"/>
        </w:rPr>
        <w:t xml:space="preserve">La anterior interpretación guarda armonía con lo establecido en el artículo 17 de la Ley 1150 de 2007, frente al respeto por el debido proceso en las actuaciones administrativas sancionatorias. En efecto, por virtud de este derecho fundamental y de los principios de eficacia, eficiencia y legalidad de las actuaciones administrativas, aplicables a la contratación estatal, conforme al artículo 23 de la Ley 80 de 1993, no podrían aceptarse dilaciones injustificadas e inobservancia de las formas propias del procedimiento sancionatorio contractual, reglas que no permiten dejar sin definición la situación jurídica del contratista que ha sido vinculado a un procedimiento para ser sujeto pasivo de la potestad sancionatoria del Estado.  </w:t>
      </w:r>
      <w:r>
        <w:rPr>
          <w:rFonts w:ascii="Verdana" w:eastAsia="Calibri" w:hAnsi="Verdana" w:cs="Arial"/>
          <w:color w:val="000000" w:themeColor="text1"/>
        </w:rPr>
        <w:t xml:space="preserve"> </w:t>
      </w:r>
    </w:p>
    <w:p w14:paraId="2F73D796" w14:textId="77777777" w:rsidR="00F379B1" w:rsidRDefault="00F379B1" w:rsidP="00F379B1">
      <w:pPr>
        <w:spacing w:after="120" w:line="276" w:lineRule="auto"/>
        <w:ind w:firstLine="709"/>
        <w:jc w:val="both"/>
        <w:rPr>
          <w:rFonts w:ascii="Verdana" w:eastAsia="Calibri" w:hAnsi="Verdana" w:cs="Arial"/>
          <w:color w:val="000000" w:themeColor="text1"/>
        </w:rPr>
      </w:pPr>
      <w:r w:rsidRPr="00EC0AEA">
        <w:rPr>
          <w:rFonts w:ascii="Verdana" w:eastAsia="Calibri" w:hAnsi="Verdana" w:cs="Arial"/>
          <w:color w:val="000000" w:themeColor="text1"/>
        </w:rPr>
        <w:t xml:space="preserve">De cualquier modo, es necesario tener en cuenta que la garantías que amparan el cumplimiento en los contratos estatales están regidas por los términos de prescripción establecidos para el contrato de seguro en el artículo </w:t>
      </w:r>
      <w:r w:rsidRPr="00EC0AEA">
        <w:rPr>
          <w:rFonts w:ascii="Verdana" w:eastAsia="Calibri" w:hAnsi="Verdana" w:cs="Arial"/>
          <w:color w:val="000000" w:themeColor="text1"/>
        </w:rPr>
        <w:lastRenderedPageBreak/>
        <w:t>1081 del Código de Comercio</w:t>
      </w:r>
      <w:r w:rsidRPr="00EC0AEA">
        <w:rPr>
          <w:rFonts w:ascii="Verdana" w:eastAsia="Calibri" w:hAnsi="Verdana" w:cs="Arial"/>
          <w:color w:val="000000" w:themeColor="text1"/>
          <w:vertAlign w:val="superscript"/>
        </w:rPr>
        <w:footnoteReference w:id="16"/>
      </w:r>
      <w:r w:rsidRPr="00EC0AEA">
        <w:rPr>
          <w:rFonts w:ascii="Verdana" w:eastAsia="Calibri" w:hAnsi="Verdana" w:cs="Arial"/>
          <w:color w:val="000000" w:themeColor="text1"/>
        </w:rPr>
        <w:t xml:space="preserve">. En ese sentido, independientemente del término de caducidad de la facultad sancionatoria, también es necesario que la Entidad Estatal tenga en cuenta lo anterior, en aras de evitar que se declaren incumplimientos cuando se haya consolidado la prescripción de las acciones que derivan del contrato de seguro que ampara a la Entidad Estatal ante el incumplimiento del contratista y no sea posible siniestrar las garantías que respaldan el contrato estatal. </w:t>
      </w:r>
    </w:p>
    <w:p w14:paraId="0A225064" w14:textId="77777777" w:rsidR="00F379B1" w:rsidRDefault="00F379B1" w:rsidP="00F379B1">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Teniendo en cuenta lo expresado en las anteriores consideraciones y a partir de uno de los problemas jurídico, objeto de consulta, es pertinente revisar la necesidad de modificar el estado del proceso contractual en SECOP II derivado de la caducidad de la facultad sancionatoria, ya sea con la terminación, liquidación o cierre del contrato en dicha plataforma. Para ello, la entidad estatal debe revisar cuál es el procedimiento a seguir, lo cual depende de la etapa en que se encuentra el proceso, ya sea con la terminación, liquidación o cierre del contrato en el SECOP II. </w:t>
      </w:r>
    </w:p>
    <w:p w14:paraId="6172B6F6" w14:textId="77777777" w:rsidR="00F379B1" w:rsidRPr="008E5EF9" w:rsidRDefault="00F379B1" w:rsidP="00F379B1">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Al respecto, el</w:t>
      </w:r>
      <w:r w:rsidRPr="008E5EF9">
        <w:rPr>
          <w:rFonts w:ascii="Verdana" w:eastAsia="Calibri" w:hAnsi="Verdana" w:cs="Arial"/>
        </w:rPr>
        <w:t xml:space="preserve"> usuario de la Entidad Estatal podrá gestionar la terminación, liquidación y cierre del contrato en el SECOP II así: al seleccionar esta modificación, el SECOP II muestra un mensaje con la pregunta “¿Requiere reconocimiento del proveedor?”. Por defecto, esta opción viene seleccionada, lo cual, indica que la modificación requiere aprobación del Proveedor. Si va a efectuar una terminación bilateral o una liquidación bilateral del contrato debe seleccionar esta opción, esto es, que requiera la aprobación del proveedor, teniendo en cuenta que el SECOP II como plataforma transaccional, es donde ambas partes –entidad estatal y proveedor- aprueban los documentos. Por tanto, no se aceptan que las actas de liquidación sean subidas en documentos de ejecución, pues no corresponden a esta etapa de la contratación estatal, salvo que por problemas técnicos en la plataforma no pueda aprobarse la liquidación. Para el caso de una terminación unilateral o caducar el contrato, deja esta opción sin marcar.</w:t>
      </w:r>
    </w:p>
    <w:p w14:paraId="08E1E2C6" w14:textId="77777777" w:rsidR="00F379B1" w:rsidRPr="009D48B3" w:rsidRDefault="00F379B1" w:rsidP="00F379B1">
      <w:pPr>
        <w:spacing w:before="120" w:line="276" w:lineRule="auto"/>
        <w:ind w:firstLine="708"/>
        <w:jc w:val="both"/>
        <w:rPr>
          <w:rFonts w:ascii="Verdana" w:eastAsia="Times New Roman" w:hAnsi="Verdana" w:cs="Arial"/>
          <w:color w:val="000000"/>
          <w:lang w:val="es-ES"/>
        </w:rPr>
      </w:pPr>
      <w:r w:rsidRPr="009D48B3">
        <w:rPr>
          <w:rFonts w:ascii="Verdana" w:eastAsia="Times New Roman" w:hAnsi="Verdana" w:cs="Arial"/>
          <w:color w:val="000000"/>
        </w:rPr>
        <w:lastRenderedPageBreak/>
        <w:t xml:space="preserve">Por su parte, el artículo 2.2.1.1.2.4.3 del Decreto 1082 de 2015, el </w:t>
      </w:r>
      <w:r w:rsidRPr="009D48B3">
        <w:rPr>
          <w:rFonts w:ascii="Verdana" w:eastAsia="Times New Roman" w:hAnsi="Verdana" w:cs="Arial"/>
          <w:i/>
          <w:iCs/>
          <w:color w:val="000000"/>
        </w:rPr>
        <w:t>cierre del expediente</w:t>
      </w:r>
      <w:r w:rsidRPr="009D48B3">
        <w:rPr>
          <w:rFonts w:ascii="Verdana" w:eastAsia="Times New Roman" w:hAnsi="Verdana" w:cs="Arial"/>
          <w:color w:val="000000"/>
        </w:rPr>
        <w:t xml:space="preserve"> es un acto de trámite que realiza la entidad estatal cuando han vencido, por un lado, las garantías de calidad, estabilidad y mantenimiento, o por el otro, cuando se establecieron condiciones de disposición final o recuperación ambiental de las obras o bienes. Se trata de una constancia administrativa que culmina las actuaciones contractuales</w:t>
      </w:r>
      <w:r w:rsidRPr="009D48B3">
        <w:rPr>
          <w:rFonts w:ascii="Verdana" w:eastAsia="Times New Roman" w:hAnsi="Verdana" w:cs="Arial"/>
          <w:color w:val="000000"/>
          <w:vertAlign w:val="superscript"/>
        </w:rPr>
        <w:footnoteReference w:id="17"/>
      </w:r>
      <w:r w:rsidRPr="009D48B3">
        <w:rPr>
          <w:rFonts w:ascii="Verdana" w:eastAsia="Times New Roman" w:hAnsi="Verdana" w:cs="Arial"/>
          <w:color w:val="000000"/>
        </w:rPr>
        <w:t xml:space="preserve">. </w:t>
      </w:r>
      <w:r w:rsidRPr="009D48B3">
        <w:rPr>
          <w:rFonts w:ascii="Verdana" w:eastAsia="Times New Roman" w:hAnsi="Verdana" w:cs="Arial"/>
          <w:color w:val="000000"/>
          <w:lang w:val="es-ES"/>
        </w:rPr>
        <w:t xml:space="preserve">en el caso del cierre del expediente contractual, es importante tener presente que es un documento administrativo que busca cerrar el expediente contractual electrónico de un proceso de contratación. </w:t>
      </w:r>
    </w:p>
    <w:p w14:paraId="5CC56C84" w14:textId="77777777" w:rsidR="00F379B1" w:rsidRPr="009D48B3" w:rsidRDefault="00F379B1" w:rsidP="00F379B1">
      <w:pPr>
        <w:spacing w:before="120" w:line="276" w:lineRule="auto"/>
        <w:ind w:firstLine="708"/>
        <w:jc w:val="both"/>
        <w:rPr>
          <w:rFonts w:ascii="Verdana" w:eastAsia="Calibri" w:hAnsi="Verdana" w:cs="Arial"/>
        </w:rPr>
      </w:pPr>
      <w:r w:rsidRPr="009D48B3">
        <w:rPr>
          <w:rFonts w:ascii="Verdana" w:eastAsia="Times New Roman" w:hAnsi="Verdana" w:cs="Arial"/>
          <w:color w:val="000000"/>
          <w:lang w:val="es-ES"/>
        </w:rPr>
        <w:t xml:space="preserve">Para que proceda el cierre del expediente contractual </w:t>
      </w:r>
      <w:r w:rsidRPr="009D48B3">
        <w:rPr>
          <w:rFonts w:ascii="Verdana" w:eastAsia="Calibri" w:hAnsi="Verdana" w:cs="Arial"/>
        </w:rPr>
        <w:t>en la plataforma SECOP II de los procesos es necesario que se hayan cumplido con las obligaciones post-contractuales y de los contratos cuyo plazo de ejecución haya finalizado y no requiera de liquidación o no se encuentren obligaciones postcontractuales pendientes, por lo que el cierre del proceso dependerá la causal de terminación y de las disposiciones específicas del contrato. En esta línea, la Circular Externa 05 del 1 de noviembre de 2024 expresó que el cierre del contrato puede aplicar en los siguientes supuestos:</w:t>
      </w:r>
      <w:r w:rsidRPr="009D48B3">
        <w:t xml:space="preserve"> </w:t>
      </w:r>
      <w:r w:rsidRPr="009D48B3">
        <w:rPr>
          <w:rFonts w:ascii="Verdana" w:eastAsia="Calibri" w:hAnsi="Verdana" w:cs="Arial"/>
        </w:rPr>
        <w:t>a) Cerrar los expedientes electrónicos de los contratos que hayan cumplido con las obligaciones post-contractuales, a las que prescribe el artículo 2.2.1.1.2.4.3 del Decreto 1082 de 2015; b) Cerrar los expedientes electrónicos de los contratos cuyo plazo de ejecución y término para liquidar hayan finalizado, que no se hayan incluido garantías de calidad, estabilidad y mantenimiento, ni obligaciones postcontractuales; c) Cerrar el expediente electrónico de los contratos cuyo plazo de ejecución haya finalizado, que no requieran de liquidación o no se encuentren pendientes obligaciones postcontractuales pendientes por cumplir</w:t>
      </w:r>
      <w:r w:rsidRPr="009D48B3">
        <w:rPr>
          <w:rFonts w:ascii="Verdana" w:eastAsia="Calibri" w:hAnsi="Verdana" w:cs="Arial"/>
          <w:vertAlign w:val="superscript"/>
        </w:rPr>
        <w:footnoteReference w:id="18"/>
      </w:r>
      <w:r w:rsidRPr="009D48B3">
        <w:rPr>
          <w:rFonts w:ascii="Verdana" w:eastAsia="Calibri" w:hAnsi="Verdana" w:cs="Arial"/>
        </w:rPr>
        <w:t xml:space="preserve">. Esto, sin perjuicio de otros supuestos que impliquen el cierre del contrato. </w:t>
      </w:r>
    </w:p>
    <w:p w14:paraId="1CE0F2B3" w14:textId="77777777" w:rsidR="00F379B1" w:rsidRPr="009D48B3" w:rsidRDefault="00F379B1" w:rsidP="00F379B1">
      <w:pPr>
        <w:spacing w:after="120" w:line="276" w:lineRule="auto"/>
        <w:ind w:firstLine="708"/>
        <w:jc w:val="both"/>
        <w:rPr>
          <w:rFonts w:ascii="Verdana" w:eastAsia="Calibri" w:hAnsi="Verdana" w:cs="Arial"/>
        </w:rPr>
      </w:pPr>
      <w:r w:rsidRPr="009D48B3">
        <w:rPr>
          <w:rFonts w:ascii="Verdana" w:eastAsia="Calibri" w:hAnsi="Verdana" w:cs="Arial"/>
        </w:rPr>
        <w:t xml:space="preserve">Una vez se cumplan todas las obligaciones post-contractuales, independientemente del tipo de contrato celebrado por las Entidades Estatales, </w:t>
      </w:r>
      <w:r w:rsidRPr="009D48B3">
        <w:rPr>
          <w:rFonts w:ascii="Verdana" w:eastAsia="Calibri" w:hAnsi="Verdana" w:cs="Arial"/>
        </w:rPr>
        <w:lastRenderedPageBreak/>
        <w:t xml:space="preserve">las mismas proceden con el cierre del contrato en la plataforma. En el caso de que no se hayan cumplido todas las fechas asociadas al contrato, las Entidades como responsables de su actividad contractual y conforme al régimen jurídico de contratación que les resulta aplicable, les corresponde adoptar las decisiones y adelantar las actuaciones que estimen pertinentes para desarrollar y materializar dicha actividad. En ese sentido, si como resultado del análisis requieren aplicar el cierre del contrato, las Entidades deben efectuar una modificación ajustando las fechas, y posteriormente, proceder con el cierre del expediente del contrato. </w:t>
      </w:r>
    </w:p>
    <w:p w14:paraId="7CCB8255" w14:textId="77777777" w:rsidR="00F379B1" w:rsidRPr="009D48B3" w:rsidRDefault="00F379B1" w:rsidP="00F379B1">
      <w:pPr>
        <w:spacing w:after="120" w:line="276" w:lineRule="auto"/>
        <w:ind w:firstLine="708"/>
        <w:jc w:val="both"/>
        <w:rPr>
          <w:rFonts w:ascii="Verdana" w:eastAsia="Calibri" w:hAnsi="Verdana" w:cs="Arial"/>
        </w:rPr>
      </w:pPr>
      <w:r w:rsidRPr="009D48B3">
        <w:rPr>
          <w:rFonts w:ascii="Verdana" w:eastAsia="Calibri" w:hAnsi="Verdana" w:cs="Arial"/>
        </w:rPr>
        <w:t xml:space="preserve">De acuerdo con lo anterior, para cerrar el contrato en SECOP II, la Agencia ha señalado en el Anexo 1 de la Circular 05 del 30 de noviembre de 2024 este procedimiento, en el que debe crearse la modificación </w:t>
      </w:r>
      <w:r w:rsidRPr="009D48B3">
        <w:rPr>
          <w:rFonts w:ascii="Verdana" w:eastAsia="Calibri" w:hAnsi="Verdana" w:cs="Arial"/>
          <w:i/>
          <w:iCs/>
        </w:rPr>
        <w:t>“Cerrar el contrato”</w:t>
      </w:r>
      <w:r w:rsidRPr="009D48B3">
        <w:rPr>
          <w:rFonts w:ascii="Verdana" w:eastAsia="Calibri" w:hAnsi="Verdana" w:cs="Arial"/>
        </w:rPr>
        <w:t xml:space="preserve">. Al seleccionar dicha modificación se muestra un mensaje con la pregunta </w:t>
      </w:r>
      <w:r w:rsidRPr="009D48B3">
        <w:rPr>
          <w:rFonts w:ascii="Verdana" w:eastAsia="Calibri" w:hAnsi="Verdana" w:cs="Arial"/>
          <w:i/>
          <w:iCs/>
        </w:rPr>
        <w:t>“¿Requiere reconocimiento del proveedor?”</w:t>
      </w:r>
      <w:r w:rsidRPr="009D48B3">
        <w:rPr>
          <w:rFonts w:ascii="Verdana" w:eastAsia="Calibri" w:hAnsi="Verdana" w:cs="Arial"/>
        </w:rPr>
        <w:t xml:space="preserve">. Por defecto la casilla viene seleccionada, es decir, que la modificación requiere aprobación del Proveedor. Sin embargo, al ser el cierre del contrato una actuación propia de la administración, las Entidades Estatales deben quitar la selección de la casilla. Posterior a la selección de modificación que va a efectuar, el SECOP II muestra la referencia interna de la modificación y habilita las siguientes funcionalidades: i) Finalizar modificación; ii) Cancelar modificación; iii) Guardar modificación; iv) Ver modificación. </w:t>
      </w:r>
    </w:p>
    <w:p w14:paraId="2653F7C2" w14:textId="77777777" w:rsidR="00F379B1" w:rsidRPr="00193CA7" w:rsidRDefault="00F379B1" w:rsidP="00F379B1">
      <w:pPr>
        <w:spacing w:after="120" w:line="276" w:lineRule="auto"/>
        <w:ind w:firstLine="708"/>
        <w:jc w:val="both"/>
        <w:rPr>
          <w:rFonts w:ascii="Verdana" w:eastAsia="Calibri" w:hAnsi="Verdana" w:cs="Arial"/>
        </w:rPr>
      </w:pPr>
      <w:r w:rsidRPr="00193CA7">
        <w:rPr>
          <w:rFonts w:ascii="Verdana" w:eastAsia="Calibri" w:hAnsi="Verdana" w:cs="Arial"/>
        </w:rPr>
        <w:t>Después de crear la modificación y adjuntar los documentos soporte de la misma, las Entidades Estatales deben diligenciar la justificación respectiva; posteriormente deberán “Finalizar la modificación”. La aprobación final de las modificaciones la debe efectuar el Ordenador del Gasto o Representante Legal de la Entidad Estatal, ya que estas reemplazan el acuerdo inicial. Una vez aprobada la modificación, deben proceder con la publicación, para que los cambios se reflejan en la nueva versión del contrato. Las Entidades Estatales deben tener en cuenta, que una vez realizada esta modificación el contrato se cierra, en consecuencia, la plataforma bloqueará el cargue posterior de cualquier documento o actualización adicional en el contrato electrónico.</w:t>
      </w:r>
    </w:p>
    <w:p w14:paraId="7E549122" w14:textId="77777777" w:rsidR="00F379B1" w:rsidRPr="00EC0AEA" w:rsidRDefault="00F379B1" w:rsidP="00F379B1">
      <w:pPr>
        <w:spacing w:after="120" w:line="276" w:lineRule="auto"/>
        <w:jc w:val="both"/>
        <w:rPr>
          <w:rFonts w:ascii="Verdana" w:eastAsia="Calibri" w:hAnsi="Verdana" w:cs="Arial"/>
          <w:color w:val="000000" w:themeColor="text1"/>
        </w:rPr>
      </w:pPr>
    </w:p>
    <w:p w14:paraId="0D50C662" w14:textId="77777777" w:rsidR="00F379B1" w:rsidRPr="009037F6" w:rsidRDefault="00F379B1" w:rsidP="00F379B1">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iv</w:t>
      </w:r>
      <w:r w:rsidRPr="009037F6">
        <w:rPr>
          <w:rFonts w:ascii="Verdana" w:eastAsia="Calibri" w:hAnsi="Verdana" w:cs="Arial"/>
          <w:color w:val="000000" w:themeColor="text1"/>
          <w:lang w:val="es-ES"/>
        </w:rPr>
        <w:t xml:space="preserve">. Al </w:t>
      </w:r>
      <w:r w:rsidRPr="009037F6">
        <w:rPr>
          <w:rFonts w:ascii="Verdana" w:hAnsi="Verdana" w:cs="Arial"/>
          <w:lang w:val="es-ES_tradnl" w:eastAsia="es-ES"/>
        </w:rPr>
        <w:t>margen de la explicación precedente debe advertirse que el análisis requerido para resolver p</w:t>
      </w:r>
      <w:r>
        <w:rPr>
          <w:rFonts w:ascii="Verdana" w:hAnsi="Verdana" w:cs="Arial"/>
          <w:lang w:val="es-ES_tradnl" w:eastAsia="es-ES"/>
        </w:rPr>
        <w:t xml:space="preserve">roblemas específicos en torno a la caducidad de la </w:t>
      </w:r>
      <w:r>
        <w:rPr>
          <w:rFonts w:ascii="Verdana" w:hAnsi="Verdana" w:cs="Arial"/>
          <w:lang w:val="es-ES_tradnl" w:eastAsia="es-ES"/>
        </w:rPr>
        <w:lastRenderedPageBreak/>
        <w:t xml:space="preserve">facultad sancionatoria y </w:t>
      </w:r>
      <w:r w:rsidRPr="009037F6">
        <w:rPr>
          <w:rFonts w:ascii="Verdana" w:hAnsi="Verdana" w:cs="Arial"/>
          <w:lang w:val="es-ES_tradnl" w:eastAsia="es-ES"/>
        </w:rPr>
        <w:t>sus procedimientos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ED748FC" w14:textId="77777777" w:rsidR="00F379B1" w:rsidRPr="009037F6" w:rsidRDefault="00F379B1" w:rsidP="00F379B1">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417CBE7" w14:textId="77777777" w:rsidR="00F379B1" w:rsidRPr="009037F6" w:rsidRDefault="00F379B1" w:rsidP="00F379B1">
      <w:pPr>
        <w:spacing w:after="0" w:line="276" w:lineRule="auto"/>
        <w:jc w:val="both"/>
        <w:rPr>
          <w:rFonts w:ascii="Verdana" w:eastAsia="Calibri" w:hAnsi="Verdana" w:cs="Arial"/>
          <w:lang w:val="es-ES" w:eastAsia="es-MX"/>
        </w:rPr>
      </w:pPr>
    </w:p>
    <w:p w14:paraId="2FF64D89" w14:textId="77777777" w:rsidR="00F379B1" w:rsidRPr="009037F6" w:rsidRDefault="00F379B1" w:rsidP="00F379B1">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 xml:space="preserve">Referencias normativas, jurisprudenciales y otras fuentes </w:t>
      </w:r>
    </w:p>
    <w:p w14:paraId="17095AD6" w14:textId="77777777" w:rsidR="00F379B1" w:rsidRPr="009037F6" w:rsidRDefault="00F379B1" w:rsidP="00F379B1">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379B1" w:rsidRPr="009037F6" w14:paraId="1DBD2B5D" w14:textId="77777777" w:rsidTr="001A53D3">
        <w:trPr>
          <w:trHeight w:val="487"/>
          <w:jc w:val="center"/>
        </w:trPr>
        <w:tc>
          <w:tcPr>
            <w:tcW w:w="8647" w:type="dxa"/>
          </w:tcPr>
          <w:p w14:paraId="5CEE83F4" w14:textId="77777777" w:rsidR="00F379B1"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Constitución Política de 1991, artículo 29.</w:t>
            </w:r>
          </w:p>
          <w:p w14:paraId="45491B08" w14:textId="77777777" w:rsidR="00F379B1" w:rsidRPr="009037F6"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Código del Comercio, artículo 1081. </w:t>
            </w:r>
          </w:p>
          <w:p w14:paraId="209ED142" w14:textId="77777777" w:rsidR="00F379B1" w:rsidRPr="009037F6"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Ley 80 de 1993, artículos 14 y</w:t>
            </w:r>
            <w:r w:rsidRPr="009037F6">
              <w:rPr>
                <w:rFonts w:ascii="Verdana" w:eastAsia="Arial MT" w:hAnsi="Verdana" w:cs="Arial"/>
                <w:lang w:val="es-ES" w:eastAsia="es-ES" w:bidi="es-ES"/>
              </w:rPr>
              <w:t xml:space="preserve"> 77.</w:t>
            </w:r>
          </w:p>
          <w:p w14:paraId="07CE922B" w14:textId="77777777" w:rsidR="00F379B1" w:rsidRPr="009037F6"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Ley 1150 de 2007, artículo</w:t>
            </w:r>
            <w:r w:rsidRPr="009037F6">
              <w:rPr>
                <w:rFonts w:ascii="Verdana" w:eastAsia="Arial MT" w:hAnsi="Verdana" w:cs="Arial"/>
                <w:lang w:val="es-ES" w:eastAsia="es-ES" w:bidi="es-ES"/>
              </w:rPr>
              <w:t xml:space="preserve"> 17. </w:t>
            </w:r>
          </w:p>
          <w:p w14:paraId="1ACA3026" w14:textId="77777777" w:rsidR="00F379B1" w:rsidRPr="009037F6"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Ley 1437 de 2011, artículos </w:t>
            </w:r>
            <w:r>
              <w:rPr>
                <w:rFonts w:ascii="Verdana" w:eastAsia="Arial MT" w:hAnsi="Verdana" w:cs="Arial"/>
                <w:lang w:val="es-ES" w:eastAsia="es-ES" w:bidi="es-ES"/>
              </w:rPr>
              <w:t xml:space="preserve">47 y 52. </w:t>
            </w:r>
          </w:p>
          <w:p w14:paraId="59A5E1F1" w14:textId="77777777" w:rsidR="00F379B1"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Ley 1474 de 2011, artículo 86.</w:t>
            </w:r>
          </w:p>
          <w:p w14:paraId="4BD9C6F9" w14:textId="77777777" w:rsidR="00F379B1" w:rsidRPr="009037F6"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Decreto 1082 de 2015, artículo </w:t>
            </w:r>
            <w:r w:rsidRPr="002562ED">
              <w:rPr>
                <w:rFonts w:ascii="Verdana" w:eastAsia="Arial MT" w:hAnsi="Verdana" w:cs="Arial"/>
                <w:lang w:eastAsia="es-ES" w:bidi="es-ES"/>
              </w:rPr>
              <w:t>2.2.1.1.2.4.3</w:t>
            </w:r>
            <w:r>
              <w:rPr>
                <w:rFonts w:ascii="Verdana" w:eastAsia="Arial MT" w:hAnsi="Verdana" w:cs="Arial"/>
                <w:lang w:eastAsia="es-ES" w:bidi="es-ES"/>
              </w:rPr>
              <w:t>.</w:t>
            </w:r>
          </w:p>
          <w:p w14:paraId="7CB311EC" w14:textId="77777777" w:rsidR="00F379B1" w:rsidRPr="008E2B0C"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290605">
              <w:rPr>
                <w:rFonts w:ascii="Verdana" w:eastAsia="Arial MT" w:hAnsi="Verdana" w:cs="Arial"/>
                <w:lang w:val="pt-BR" w:eastAsia="es-ES" w:bidi="es-ES"/>
              </w:rPr>
              <w:t xml:space="preserve">CORTE CONSTITUCIONAL. Sentencia C-827 de 2001. </w:t>
            </w:r>
            <w:r>
              <w:rPr>
                <w:rFonts w:ascii="Verdana" w:eastAsia="Arial MT" w:hAnsi="Verdana" w:cs="Arial"/>
                <w:lang w:val="es-ES" w:eastAsia="es-ES" w:bidi="es-ES"/>
              </w:rPr>
              <w:t>M.P.</w:t>
            </w:r>
            <w:r w:rsidRPr="008E2B0C">
              <w:rPr>
                <w:rFonts w:ascii="Verdana" w:eastAsia="Arial MT" w:hAnsi="Verdana" w:cs="Arial"/>
                <w:lang w:val="es-ES" w:eastAsia="es-ES" w:bidi="es-ES"/>
              </w:rPr>
              <w:t xml:space="preserve"> Álvaro Tafur Galvis.</w:t>
            </w:r>
          </w:p>
          <w:p w14:paraId="7CC39845" w14:textId="77777777" w:rsidR="00F379B1" w:rsidRPr="008E2B0C"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E2B0C">
              <w:rPr>
                <w:rFonts w:ascii="Verdana" w:eastAsia="Arial MT" w:hAnsi="Verdana" w:cs="Arial"/>
                <w:lang w:val="es-ES" w:eastAsia="es-ES" w:bidi="es-ES"/>
              </w:rPr>
              <w:t>CONSEJO DE ESTADO. Sección Tercera. Sentencia del 13 de noviembre de 2008. Exp. 17.009. C.P. Enrique Gil Botero.</w:t>
            </w:r>
          </w:p>
          <w:p w14:paraId="76B593E9" w14:textId="77777777" w:rsidR="00F379B1" w:rsidRPr="008E2B0C"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E2B0C">
              <w:rPr>
                <w:rFonts w:ascii="Verdana" w:eastAsia="Arial MT" w:hAnsi="Verdana" w:cs="Arial"/>
                <w:lang w:val="es-ES" w:eastAsia="es-ES" w:bidi="es-ES"/>
              </w:rPr>
              <w:lastRenderedPageBreak/>
              <w:t xml:space="preserve">CONSEJO DE ESTADO. Sección Tercera. Sentencia del 23 de junio de 2010. Exp. 16.367. C.P. Enrique Gil Botero. </w:t>
            </w:r>
          </w:p>
          <w:p w14:paraId="2EF853CC" w14:textId="77777777" w:rsidR="00F379B1" w:rsidRPr="008E2B0C"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E2B0C">
              <w:rPr>
                <w:rFonts w:ascii="Verdana" w:eastAsia="Arial MT" w:hAnsi="Verdana" w:cs="Arial"/>
                <w:lang w:val="es-ES" w:eastAsia="es-ES" w:bidi="es-ES"/>
              </w:rPr>
              <w:t xml:space="preserve">CONSEJO DE ESTADO. Sección Tercera. Sentencia del 15 de noviembre de 2011. Exp. 20.916. C.P: Olga Mélida Valle de la Hoz. </w:t>
            </w:r>
          </w:p>
          <w:p w14:paraId="07B38038" w14:textId="77777777" w:rsidR="00F379B1" w:rsidRPr="008E2B0C"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E2B0C">
              <w:rPr>
                <w:rFonts w:ascii="Verdana" w:eastAsia="Arial MT" w:hAnsi="Verdana" w:cs="Arial"/>
                <w:lang w:val="es-ES" w:eastAsia="es-ES" w:bidi="es-ES"/>
              </w:rPr>
              <w:t xml:space="preserve">CONSEJO DE ESTADO. Sección Tercera, Subsección C. Sentencia del 22 de octubre de 2012. Exp. 20738. C.P. Enrique Gil Botero. </w:t>
            </w:r>
          </w:p>
          <w:p w14:paraId="0C4AA649" w14:textId="77777777" w:rsidR="00F379B1" w:rsidRPr="008E2B0C"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E2B0C">
              <w:rPr>
                <w:rFonts w:ascii="Verdana" w:eastAsia="Arial MT" w:hAnsi="Verdana" w:cs="Arial"/>
                <w:lang w:val="es-ES" w:eastAsia="es-ES" w:bidi="es-ES"/>
              </w:rPr>
              <w:t>CONSEJO DE ESTADO. Sala de Consulta y Servicio Civil. Concepto del 8 de marzo de 2017. Rad. 2298. C.P. Edgar González.</w:t>
            </w:r>
          </w:p>
          <w:p w14:paraId="26D9EC01" w14:textId="77777777" w:rsidR="00F379B1" w:rsidRPr="008E2B0C"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E2B0C">
              <w:rPr>
                <w:rFonts w:ascii="Verdana" w:eastAsia="Arial MT" w:hAnsi="Verdana" w:cs="Arial"/>
                <w:lang w:val="es-ES" w:eastAsia="es-ES" w:bidi="es-ES"/>
              </w:rPr>
              <w:t xml:space="preserve">CONSEJO DE ESTADO. Sala de Consulta y Servicio Civil. Concepto del trece (13) de diciembre de dos mil veintidós (2022). Radicación interna: 2489. Número Único: 11001-03-06-000-2022-00250-00. C.P. María del Pilar Bahamón Falla. </w:t>
            </w:r>
          </w:p>
          <w:p w14:paraId="113F9FA8" w14:textId="77777777" w:rsidR="00F379B1" w:rsidRPr="008E2B0C"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E2B0C">
              <w:rPr>
                <w:rFonts w:ascii="Verdana" w:eastAsia="Arial MT" w:hAnsi="Verdana" w:cs="Arial"/>
                <w:lang w:val="es-ES" w:eastAsia="es-ES" w:bidi="es-ES"/>
              </w:rPr>
              <w:t>CONSEJO DE ESTADO. Sección Tercera-Subsección A. Sentencia del 21 de febrero de 2025. Exp. 70099. C.P. José Roberto Sáchica Méndez.</w:t>
            </w:r>
          </w:p>
          <w:p w14:paraId="50DCB9D6" w14:textId="77777777" w:rsidR="00F379B1"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E2B0C">
              <w:rPr>
                <w:rFonts w:ascii="Verdana" w:eastAsia="Arial MT" w:hAnsi="Verdana" w:cs="Arial"/>
                <w:lang w:val="es-ES" w:eastAsia="es-ES" w:bidi="es-ES"/>
              </w:rPr>
              <w:t xml:space="preserve">AGENCIA NACIONAL DE CONTRATACIÓN PÚBLICA – COLOMBIA COMPRA EFICIENTE. Circular Externa 05 del 1 de noviembre de 2024. Disponible en línea: </w:t>
            </w:r>
            <w:hyperlink r:id="rId13" w:history="1">
              <w:r w:rsidRPr="003F4F82">
                <w:rPr>
                  <w:rStyle w:val="Hipervnculo"/>
                  <w:rFonts w:ascii="Verdana" w:eastAsia="Arial MT" w:hAnsi="Verdana" w:cs="Arial"/>
                  <w:lang w:val="es-ES" w:eastAsia="es-ES" w:bidi="es-ES"/>
                </w:rPr>
                <w:t>https://www.colombiacompra.gov.co/archivos/circular/circular-externa-no-005-de-2024</w:t>
              </w:r>
            </w:hyperlink>
            <w:r>
              <w:rPr>
                <w:rFonts w:ascii="Verdana" w:eastAsia="Arial MT" w:hAnsi="Verdana" w:cs="Arial"/>
                <w:lang w:val="es-ES" w:eastAsia="es-ES" w:bidi="es-ES"/>
              </w:rPr>
              <w:t xml:space="preserve"> </w:t>
            </w:r>
            <w:r w:rsidRPr="008E2B0C">
              <w:rPr>
                <w:rFonts w:ascii="Verdana" w:eastAsia="Arial MT" w:hAnsi="Verdana" w:cs="Arial"/>
                <w:lang w:val="es-ES" w:eastAsia="es-ES" w:bidi="es-ES"/>
              </w:rPr>
              <w:t>.</w:t>
            </w:r>
          </w:p>
          <w:p w14:paraId="3ED21D5C" w14:textId="77777777" w:rsidR="00F379B1" w:rsidRPr="008E2B0C" w:rsidRDefault="00F379B1" w:rsidP="001A53D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D90725">
              <w:rPr>
                <w:rFonts w:ascii="Verdana" w:eastAsia="Arial MT" w:hAnsi="Verdana" w:cs="Arial"/>
                <w:lang w:eastAsia="es-ES" w:bidi="es-ES"/>
              </w:rPr>
              <w:t xml:space="preserve">SUÁREZ TAMAYO, David. </w:t>
            </w:r>
            <w:r w:rsidRPr="00D90725">
              <w:rPr>
                <w:rFonts w:ascii="Verdana" w:eastAsia="Arial MT" w:hAnsi="Verdana" w:cs="Arial"/>
                <w:i/>
                <w:lang w:eastAsia="es-ES" w:bidi="es-ES"/>
              </w:rPr>
              <w:t>Cláusula de multas y penal pecuniaria</w:t>
            </w:r>
            <w:r w:rsidRPr="00D90725">
              <w:rPr>
                <w:rFonts w:ascii="Verdana" w:eastAsia="Arial MT" w:hAnsi="Verdana" w:cs="Arial"/>
                <w:lang w:eastAsia="es-ES" w:bidi="es-ES"/>
              </w:rPr>
              <w:t>. Medellín: Librería Jurídic</w:t>
            </w:r>
            <w:r>
              <w:rPr>
                <w:rFonts w:ascii="Verdana" w:eastAsia="Arial MT" w:hAnsi="Verdana" w:cs="Arial"/>
                <w:lang w:eastAsia="es-ES" w:bidi="es-ES"/>
              </w:rPr>
              <w:t>a Sánchez R. Ltda. y CEDA, 2014.</w:t>
            </w:r>
          </w:p>
        </w:tc>
      </w:tr>
    </w:tbl>
    <w:p w14:paraId="7D35598F" w14:textId="77777777" w:rsidR="00F379B1" w:rsidRPr="009037F6" w:rsidRDefault="00F379B1" w:rsidP="00F379B1">
      <w:pPr>
        <w:widowControl w:val="0"/>
        <w:autoSpaceDE w:val="0"/>
        <w:autoSpaceDN w:val="0"/>
        <w:spacing w:after="0" w:line="276" w:lineRule="auto"/>
        <w:jc w:val="both"/>
        <w:rPr>
          <w:rFonts w:ascii="Verdana" w:hAnsi="Verdana" w:cs="Arial"/>
        </w:rPr>
      </w:pPr>
    </w:p>
    <w:p w14:paraId="02B9CDCC" w14:textId="77777777" w:rsidR="00F379B1" w:rsidRPr="009037F6" w:rsidRDefault="00F379B1" w:rsidP="00F379B1">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2D18AE8D" w14:textId="77777777" w:rsidR="00F379B1" w:rsidRPr="009037F6" w:rsidRDefault="00F379B1" w:rsidP="00F379B1">
      <w:pPr>
        <w:widowControl w:val="0"/>
        <w:autoSpaceDE w:val="0"/>
        <w:autoSpaceDN w:val="0"/>
        <w:spacing w:after="0" w:line="276" w:lineRule="auto"/>
        <w:jc w:val="both"/>
        <w:rPr>
          <w:rFonts w:ascii="Verdana" w:hAnsi="Verdana" w:cs="Arial"/>
        </w:rPr>
      </w:pPr>
    </w:p>
    <w:p w14:paraId="26ED2DD8" w14:textId="77777777" w:rsidR="00F379B1" w:rsidRPr="009037F6" w:rsidRDefault="00F379B1" w:rsidP="00F379B1">
      <w:pPr>
        <w:widowControl w:val="0"/>
        <w:autoSpaceDE w:val="0"/>
        <w:autoSpaceDN w:val="0"/>
        <w:spacing w:after="0" w:line="276" w:lineRule="auto"/>
        <w:jc w:val="both"/>
        <w:rPr>
          <w:rFonts w:ascii="Verdana" w:hAnsi="Verdana" w:cs="Arial"/>
          <w:shd w:val="clear" w:color="auto" w:fill="FFFFFF"/>
        </w:rPr>
      </w:pPr>
      <w:r w:rsidRPr="009037F6">
        <w:rPr>
          <w:rFonts w:ascii="Verdana" w:eastAsia="Calibri" w:hAnsi="Verdana" w:cs="Arial"/>
          <w:lang w:val="es-ES"/>
        </w:rPr>
        <w:t xml:space="preserve">La Agencia Nacional de Contratación Pública – Colombia Compra Eficiente se ha pronunciado </w:t>
      </w:r>
      <w:r w:rsidRPr="009037F6">
        <w:rPr>
          <w:rFonts w:ascii="Verdana" w:eastAsia="Calibri" w:hAnsi="Verdana" w:cs="Arial"/>
          <w:shd w:val="clear" w:color="auto" w:fill="FFFFFF"/>
        </w:rPr>
        <w:t>sobre</w:t>
      </w:r>
      <w:r>
        <w:rPr>
          <w:rFonts w:ascii="Verdana" w:eastAsia="Calibri" w:hAnsi="Verdana" w:cs="Arial"/>
          <w:shd w:val="clear" w:color="auto" w:fill="FFFFFF"/>
        </w:rPr>
        <w:t xml:space="preserve"> la caducidad de la facultad sancionadora en los Conceptos C- 227 del 7 de julio de 2023, C-047 del 25 de abril de 2024, C- 882 del 30 de diciembre de 2024, entre otros</w:t>
      </w:r>
      <w:r w:rsidRPr="009037F6">
        <w:rPr>
          <w:rFonts w:ascii="Verdana" w:hAnsi="Verdana" w:cs="Arial"/>
          <w:bCs/>
          <w:shd w:val="clear" w:color="auto" w:fill="FFFFFF"/>
        </w:rPr>
        <w:t xml:space="preserve">. </w:t>
      </w:r>
      <w:r w:rsidRPr="009037F6">
        <w:rPr>
          <w:rFonts w:ascii="Verdana" w:eastAsia="Calibri" w:hAnsi="Verdana" w:cs="Times New Roman"/>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w:t>
      </w:r>
      <w:r w:rsidRPr="009037F6">
        <w:rPr>
          <w:rFonts w:ascii="Verdana" w:eastAsia="Calibri" w:hAnsi="Verdana" w:cs="Times New Roman"/>
        </w:rPr>
        <w:lastRenderedPageBreak/>
        <w:t>Subdirección de Gestión Contractual, accede a través del siguiente enlace:</w:t>
      </w:r>
    </w:p>
    <w:p w14:paraId="7404810C" w14:textId="77777777" w:rsidR="00F379B1" w:rsidRPr="009037F6" w:rsidRDefault="00371004" w:rsidP="00F379B1">
      <w:pPr>
        <w:spacing w:after="0" w:line="256" w:lineRule="auto"/>
        <w:jc w:val="both"/>
        <w:rPr>
          <w:rFonts w:ascii="Verdana" w:eastAsia="Calibri" w:hAnsi="Verdana" w:cs="Times New Roman"/>
        </w:rPr>
      </w:pPr>
      <w:hyperlink r:id="rId14" w:history="1">
        <w:r w:rsidR="00F379B1" w:rsidRPr="009037F6">
          <w:rPr>
            <w:rFonts w:ascii="Verdana" w:eastAsia="Calibri" w:hAnsi="Verdana" w:cs="Times New Roman"/>
            <w:color w:val="0000FF"/>
            <w:u w:val="single"/>
            <w:lang w:val="es-ES"/>
          </w:rPr>
          <w:t>https://relatoria.colombiacompra.gov.co/busqueda/conceptos</w:t>
        </w:r>
      </w:hyperlink>
      <w:r w:rsidR="00F379B1" w:rsidRPr="009037F6">
        <w:rPr>
          <w:rFonts w:ascii="Verdana" w:eastAsia="Calibri" w:hAnsi="Verdana" w:cs="Times New Roman"/>
        </w:rPr>
        <w:t xml:space="preserve">. </w:t>
      </w:r>
    </w:p>
    <w:p w14:paraId="6BD7916F" w14:textId="77777777" w:rsidR="00F379B1" w:rsidRPr="009037F6" w:rsidRDefault="00F379B1" w:rsidP="00F379B1">
      <w:pPr>
        <w:spacing w:after="0"/>
        <w:jc w:val="both"/>
        <w:rPr>
          <w:rFonts w:ascii="Verdana" w:hAnsi="Verdana"/>
        </w:rPr>
      </w:pPr>
    </w:p>
    <w:p w14:paraId="47F334B4" w14:textId="77777777" w:rsidR="00F379B1" w:rsidRPr="009037F6" w:rsidRDefault="00F379B1" w:rsidP="00F379B1">
      <w:pPr>
        <w:spacing w:after="0" w:line="256" w:lineRule="auto"/>
        <w:jc w:val="both"/>
        <w:rPr>
          <w:rFonts w:ascii="Verdana" w:eastAsia="Calibri" w:hAnsi="Verdana" w:cs="Times New Roman"/>
        </w:rPr>
      </w:pPr>
      <w:r w:rsidRPr="009037F6">
        <w:rPr>
          <w:rFonts w:ascii="Verdana" w:eastAsia="Calibri" w:hAnsi="Verdana" w:cs="Times New Roman"/>
        </w:rPr>
        <w:t xml:space="preserve">Te informamos que ya se encuentra disponible la </w:t>
      </w:r>
      <w:r w:rsidRPr="009037F6">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9037F6">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5839AE16" w14:textId="77777777" w:rsidR="00F379B1" w:rsidRPr="009037F6" w:rsidRDefault="00F379B1" w:rsidP="00F379B1">
      <w:pPr>
        <w:spacing w:after="0" w:line="240" w:lineRule="auto"/>
        <w:jc w:val="both"/>
        <w:rPr>
          <w:rFonts w:ascii="Verdana" w:hAnsi="Verdana"/>
        </w:rPr>
      </w:pPr>
    </w:p>
    <w:p w14:paraId="37D873E2" w14:textId="77777777" w:rsidR="00F379B1" w:rsidRPr="009037F6" w:rsidRDefault="00F379B1" w:rsidP="00F379B1">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5E2828A" w14:textId="77777777" w:rsidR="00F379B1" w:rsidRPr="009037F6" w:rsidRDefault="00F379B1" w:rsidP="00F379B1">
      <w:pPr>
        <w:spacing w:after="0" w:line="256" w:lineRule="auto"/>
        <w:jc w:val="both"/>
        <w:rPr>
          <w:rFonts w:ascii="Verdana" w:eastAsia="Calibri" w:hAnsi="Verdana" w:cs="Times New Roman"/>
        </w:rPr>
      </w:pPr>
    </w:p>
    <w:p w14:paraId="5DB6AF03" w14:textId="77777777" w:rsidR="00F379B1" w:rsidRPr="00FD1DDC" w:rsidRDefault="00F379B1" w:rsidP="00F379B1">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4464FFD9" w14:textId="77777777" w:rsidR="00F379B1" w:rsidRDefault="00F379B1" w:rsidP="00F379B1">
      <w:pPr>
        <w:rPr>
          <w:rFonts w:ascii="Verdana" w:hAnsi="Verdana"/>
          <w:sz w:val="16"/>
          <w:szCs w:val="16"/>
        </w:rPr>
      </w:pPr>
    </w:p>
    <w:p w14:paraId="71B8080A" w14:textId="61EFF01D" w:rsidR="00F379B1" w:rsidRPr="00D14EC0" w:rsidRDefault="002D6E05" w:rsidP="00F379B1">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4CDB7AA7" wp14:editId="1AFD24A6">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312722" cy="1229722"/>
                    </a:xfrm>
                    <a:prstGeom prst="rect">
                      <a:avLst/>
                    </a:prstGeom>
                  </pic:spPr>
                </pic:pic>
              </a:graphicData>
            </a:graphic>
          </wp:inline>
        </w:drawing>
      </w:r>
    </w:p>
    <w:p w14:paraId="3C194A2A" w14:textId="77777777" w:rsidR="00F379B1" w:rsidRPr="00D14EC0" w:rsidRDefault="00F379B1" w:rsidP="00F379B1">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F379B1" w:rsidRPr="00D14EC0" w14:paraId="2218587E" w14:textId="77777777" w:rsidTr="001A53D3">
        <w:trPr>
          <w:trHeight w:val="409"/>
        </w:trPr>
        <w:tc>
          <w:tcPr>
            <w:tcW w:w="817" w:type="dxa"/>
            <w:tcBorders>
              <w:top w:val="nil"/>
              <w:left w:val="nil"/>
              <w:bottom w:val="nil"/>
              <w:right w:val="nil"/>
            </w:tcBorders>
            <w:vAlign w:val="center"/>
            <w:hideMark/>
          </w:tcPr>
          <w:p w14:paraId="313F01B4" w14:textId="77777777" w:rsidR="00F379B1" w:rsidRPr="00D14EC0" w:rsidRDefault="00F379B1" w:rsidP="001A53D3">
            <w:pPr>
              <w:spacing w:after="0" w:line="256" w:lineRule="auto"/>
              <w:rPr>
                <w:rFonts w:ascii="Verdana" w:eastAsia="Calibri" w:hAnsi="Verdana" w:cs="Times New Roman"/>
                <w:sz w:val="16"/>
                <w:szCs w:val="16"/>
              </w:rPr>
            </w:pPr>
            <w:r w:rsidRPr="00D14EC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9312510" w14:textId="77777777" w:rsidR="00F379B1" w:rsidRPr="00D14EC0" w:rsidRDefault="00F379B1" w:rsidP="001A53D3">
            <w:pPr>
              <w:spacing w:after="0" w:line="256" w:lineRule="auto"/>
              <w:rPr>
                <w:rFonts w:ascii="Verdana" w:eastAsia="Calibri" w:hAnsi="Verdana" w:cs="Times New Roman"/>
                <w:sz w:val="16"/>
                <w:szCs w:val="16"/>
              </w:rPr>
            </w:pPr>
            <w:r w:rsidRPr="00D14EC0">
              <w:rPr>
                <w:rFonts w:ascii="Verdana" w:eastAsia="Calibri" w:hAnsi="Verdana" w:cs="Times New Roman"/>
                <w:sz w:val="16"/>
                <w:szCs w:val="16"/>
              </w:rPr>
              <w:t>José Luis Sánchez Cardona</w:t>
            </w:r>
          </w:p>
          <w:p w14:paraId="4D67CC60" w14:textId="77777777" w:rsidR="00F379B1" w:rsidRPr="00D14EC0" w:rsidRDefault="00F379B1" w:rsidP="001A53D3">
            <w:pPr>
              <w:spacing w:after="0" w:line="256" w:lineRule="auto"/>
              <w:rPr>
                <w:rFonts w:ascii="Verdana" w:eastAsia="Calibri" w:hAnsi="Verdana" w:cs="Times New Roman"/>
                <w:sz w:val="16"/>
                <w:szCs w:val="16"/>
              </w:rPr>
            </w:pPr>
            <w:r w:rsidRPr="00D14EC0">
              <w:rPr>
                <w:rFonts w:ascii="Verdana" w:eastAsia="Calibri" w:hAnsi="Verdana" w:cs="Times New Roman"/>
                <w:sz w:val="16"/>
                <w:szCs w:val="16"/>
              </w:rPr>
              <w:t>Contratista de la Subdirección de Gestión Contractual</w:t>
            </w:r>
          </w:p>
        </w:tc>
      </w:tr>
      <w:tr w:rsidR="00F379B1" w:rsidRPr="00D14EC0" w14:paraId="4863D6FE" w14:textId="77777777" w:rsidTr="001A53D3">
        <w:trPr>
          <w:trHeight w:val="409"/>
        </w:trPr>
        <w:tc>
          <w:tcPr>
            <w:tcW w:w="817" w:type="dxa"/>
            <w:tcBorders>
              <w:top w:val="nil"/>
              <w:left w:val="nil"/>
              <w:bottom w:val="nil"/>
              <w:right w:val="nil"/>
            </w:tcBorders>
            <w:vAlign w:val="center"/>
            <w:hideMark/>
          </w:tcPr>
          <w:p w14:paraId="1B07968B" w14:textId="77777777" w:rsidR="00F379B1" w:rsidRPr="00D14EC0" w:rsidRDefault="00F379B1" w:rsidP="001A53D3">
            <w:pPr>
              <w:spacing w:after="0" w:line="256" w:lineRule="auto"/>
              <w:rPr>
                <w:rFonts w:ascii="Verdana" w:eastAsia="Calibri" w:hAnsi="Verdana" w:cs="Times New Roman"/>
                <w:sz w:val="16"/>
                <w:szCs w:val="16"/>
              </w:rPr>
            </w:pPr>
            <w:r w:rsidRPr="00D14EC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D2711E4" w14:textId="77777777" w:rsidR="00F379B1" w:rsidRPr="00D14EC0" w:rsidRDefault="00F379B1" w:rsidP="001A53D3">
            <w:pPr>
              <w:spacing w:after="0" w:line="256" w:lineRule="auto"/>
              <w:rPr>
                <w:rFonts w:ascii="Verdana" w:eastAsia="Calibri" w:hAnsi="Verdana" w:cs="Times New Roman"/>
                <w:sz w:val="16"/>
                <w:szCs w:val="16"/>
              </w:rPr>
            </w:pPr>
            <w:r w:rsidRPr="00D14EC0">
              <w:rPr>
                <w:rFonts w:ascii="Verdana" w:eastAsia="Calibri" w:hAnsi="Verdana" w:cs="Times New Roman"/>
                <w:sz w:val="16"/>
                <w:szCs w:val="16"/>
              </w:rPr>
              <w:t>Alejandro Sarmiento Cantillo</w:t>
            </w:r>
          </w:p>
          <w:p w14:paraId="2EE5FE91" w14:textId="77777777" w:rsidR="00F379B1" w:rsidRPr="00D14EC0" w:rsidRDefault="00F379B1" w:rsidP="001A53D3">
            <w:pPr>
              <w:spacing w:after="0" w:line="256" w:lineRule="auto"/>
              <w:rPr>
                <w:rFonts w:ascii="Verdana" w:eastAsia="Calibri" w:hAnsi="Verdana" w:cs="Times New Roman"/>
                <w:sz w:val="16"/>
                <w:szCs w:val="16"/>
              </w:rPr>
            </w:pPr>
            <w:r w:rsidRPr="00D14EC0">
              <w:rPr>
                <w:rFonts w:ascii="Verdana" w:eastAsia="Calibri" w:hAnsi="Verdana" w:cs="Times New Roman"/>
                <w:sz w:val="16"/>
                <w:szCs w:val="16"/>
              </w:rPr>
              <w:t>Gestor T1-15 de la Subdirección de Gestión Contractual </w:t>
            </w:r>
          </w:p>
        </w:tc>
      </w:tr>
      <w:tr w:rsidR="00F379B1" w:rsidRPr="00D14EC0" w14:paraId="21BD461F" w14:textId="77777777" w:rsidTr="001A53D3">
        <w:trPr>
          <w:trHeight w:val="389"/>
        </w:trPr>
        <w:tc>
          <w:tcPr>
            <w:tcW w:w="817" w:type="dxa"/>
            <w:tcBorders>
              <w:top w:val="nil"/>
              <w:left w:val="nil"/>
              <w:bottom w:val="nil"/>
              <w:right w:val="nil"/>
            </w:tcBorders>
            <w:vAlign w:val="center"/>
            <w:hideMark/>
          </w:tcPr>
          <w:p w14:paraId="393BB1B4" w14:textId="77777777" w:rsidR="00F379B1" w:rsidRPr="00D14EC0" w:rsidRDefault="00F379B1" w:rsidP="001A53D3">
            <w:pPr>
              <w:spacing w:after="0" w:line="256" w:lineRule="auto"/>
              <w:rPr>
                <w:rFonts w:ascii="Verdana" w:eastAsia="Calibri" w:hAnsi="Verdana" w:cs="Times New Roman"/>
                <w:sz w:val="16"/>
                <w:szCs w:val="16"/>
              </w:rPr>
            </w:pPr>
            <w:r w:rsidRPr="00D14EC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21D21A7" w14:textId="77777777" w:rsidR="00F379B1" w:rsidRPr="00D14EC0" w:rsidRDefault="00F379B1" w:rsidP="001A53D3">
            <w:pPr>
              <w:spacing w:after="0" w:line="256" w:lineRule="auto"/>
              <w:rPr>
                <w:rFonts w:ascii="Verdana" w:eastAsia="Calibri" w:hAnsi="Verdana" w:cs="Times New Roman"/>
                <w:sz w:val="16"/>
                <w:szCs w:val="16"/>
              </w:rPr>
            </w:pPr>
            <w:r w:rsidRPr="00D14EC0">
              <w:rPr>
                <w:rFonts w:ascii="Verdana" w:eastAsia="Calibri" w:hAnsi="Verdana" w:cs="Times New Roman"/>
                <w:sz w:val="16"/>
                <w:szCs w:val="16"/>
              </w:rPr>
              <w:t>Carolina Quintero Gacharná</w:t>
            </w:r>
          </w:p>
          <w:p w14:paraId="72A0E6A5" w14:textId="77777777" w:rsidR="00F379B1" w:rsidRPr="00D14EC0" w:rsidRDefault="00F379B1" w:rsidP="001A53D3">
            <w:pPr>
              <w:spacing w:after="0" w:line="256" w:lineRule="auto"/>
              <w:rPr>
                <w:rFonts w:ascii="Verdana" w:eastAsia="Calibri" w:hAnsi="Verdana" w:cs="Times New Roman"/>
                <w:sz w:val="16"/>
                <w:szCs w:val="16"/>
              </w:rPr>
            </w:pPr>
            <w:r w:rsidRPr="00D14EC0">
              <w:rPr>
                <w:rFonts w:ascii="Verdana" w:eastAsia="Calibri" w:hAnsi="Verdana" w:cs="Times New Roman"/>
                <w:sz w:val="16"/>
                <w:szCs w:val="16"/>
              </w:rPr>
              <w:t>Subdirectora de Gestión Contractual ANCP – CCE</w:t>
            </w:r>
          </w:p>
        </w:tc>
      </w:tr>
    </w:tbl>
    <w:p w14:paraId="7537E89A" w14:textId="77777777" w:rsidR="00F379B1" w:rsidRPr="00FD1DDC" w:rsidRDefault="00F379B1" w:rsidP="00F379B1">
      <w:pPr>
        <w:rPr>
          <w:rFonts w:ascii="Verdana" w:hAnsi="Verdana"/>
          <w:sz w:val="16"/>
          <w:szCs w:val="16"/>
        </w:rPr>
      </w:pPr>
    </w:p>
    <w:bookmarkEnd w:id="0"/>
    <w:p w14:paraId="7CE357E0" w14:textId="77777777" w:rsidR="00F379B1" w:rsidRPr="0024624F" w:rsidRDefault="00F379B1" w:rsidP="00F379B1">
      <w:pPr>
        <w:spacing w:after="0"/>
        <w:rPr>
          <w:rFonts w:ascii="Verdana" w:hAnsi="Verdana"/>
        </w:rPr>
      </w:pPr>
    </w:p>
    <w:p w14:paraId="06943212" w14:textId="77777777" w:rsidR="00D14EC0" w:rsidRPr="00F379B1" w:rsidRDefault="00D14EC0" w:rsidP="00F379B1"/>
    <w:sectPr w:rsidR="00D14EC0" w:rsidRPr="00F379B1"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DBDA00" w14:textId="77777777" w:rsidR="00371004" w:rsidRDefault="00371004" w:rsidP="004A1847">
      <w:pPr>
        <w:spacing w:after="0" w:line="240" w:lineRule="auto"/>
      </w:pPr>
      <w:r>
        <w:separator/>
      </w:r>
    </w:p>
  </w:endnote>
  <w:endnote w:type="continuationSeparator" w:id="0">
    <w:p w14:paraId="17B3016D" w14:textId="77777777" w:rsidR="00371004" w:rsidRDefault="0037100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3332A8" w:rsidRDefault="003332A8">
    <w:pPr>
      <w:pStyle w:val="Piedepgina"/>
    </w:pPr>
  </w:p>
  <w:p w14:paraId="594D6D9F" w14:textId="0D8D694F"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896D39" w:rsidRPr="00896D39">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8855A9" w14:textId="77777777" w:rsidR="00371004" w:rsidRDefault="00371004" w:rsidP="004A1847">
      <w:pPr>
        <w:spacing w:after="0" w:line="240" w:lineRule="auto"/>
      </w:pPr>
      <w:r>
        <w:separator/>
      </w:r>
    </w:p>
  </w:footnote>
  <w:footnote w:type="continuationSeparator" w:id="0">
    <w:p w14:paraId="03BF926C" w14:textId="77777777" w:rsidR="00371004" w:rsidRDefault="00371004" w:rsidP="004A1847">
      <w:pPr>
        <w:spacing w:after="0" w:line="240" w:lineRule="auto"/>
      </w:pPr>
      <w:r>
        <w:continuationSeparator/>
      </w:r>
    </w:p>
  </w:footnote>
  <w:footnote w:id="1">
    <w:p w14:paraId="427F9070" w14:textId="77777777" w:rsidR="00F379B1" w:rsidRPr="00D8787B" w:rsidRDefault="00F379B1" w:rsidP="00F379B1">
      <w:pPr>
        <w:pStyle w:val="Textonotapie"/>
        <w:snapToGrid w:val="0"/>
        <w:ind w:firstLine="709"/>
        <w:contextualSpacing/>
        <w:jc w:val="both"/>
        <w:rPr>
          <w:rFonts w:ascii="Verdana" w:hAnsi="Verdana" w:cs="Arial"/>
          <w:iCs/>
          <w:sz w:val="16"/>
          <w:szCs w:val="16"/>
        </w:rPr>
      </w:pPr>
      <w:r w:rsidRPr="00D8787B">
        <w:rPr>
          <w:rStyle w:val="Refdenotaalpie"/>
          <w:rFonts w:ascii="Verdana" w:hAnsi="Verdana" w:cs="Arial"/>
          <w:sz w:val="16"/>
          <w:szCs w:val="16"/>
        </w:rPr>
        <w:footnoteRef/>
      </w:r>
      <w:r w:rsidRPr="00D8787B">
        <w:rPr>
          <w:rFonts w:ascii="Verdana" w:hAnsi="Verdana" w:cs="Arial"/>
          <w:iCs/>
          <w:sz w:val="16"/>
          <w:szCs w:val="16"/>
        </w:rPr>
        <w:t xml:space="preserve"> Motivo por el cual son típicas cláusulas accidentales dentro de los contratos estatales, en los términos del artículo 1501 del Código Civil.</w:t>
      </w:r>
    </w:p>
  </w:footnote>
  <w:footnote w:id="2">
    <w:p w14:paraId="32D4E9FC" w14:textId="77777777" w:rsidR="00F379B1" w:rsidRPr="00D8787B" w:rsidRDefault="00F379B1" w:rsidP="00F379B1">
      <w:pPr>
        <w:pStyle w:val="Textonotapie"/>
        <w:snapToGrid w:val="0"/>
        <w:ind w:firstLine="709"/>
        <w:contextualSpacing/>
        <w:jc w:val="both"/>
        <w:rPr>
          <w:rFonts w:ascii="Verdana" w:hAnsi="Verdana" w:cs="Arial"/>
          <w:sz w:val="16"/>
          <w:szCs w:val="16"/>
          <w:lang w:val="es-ES"/>
        </w:rPr>
      </w:pPr>
      <w:r w:rsidRPr="00D8787B">
        <w:rPr>
          <w:rStyle w:val="Refdenotaalpie"/>
          <w:rFonts w:ascii="Verdana" w:hAnsi="Verdana" w:cs="Arial"/>
          <w:sz w:val="16"/>
          <w:szCs w:val="16"/>
        </w:rPr>
        <w:footnoteRef/>
      </w:r>
      <w:r w:rsidRPr="00D8787B">
        <w:rPr>
          <w:rFonts w:ascii="Verdana" w:hAnsi="Verdana" w:cs="Arial"/>
          <w:sz w:val="16"/>
          <w:szCs w:val="16"/>
        </w:rPr>
        <w:t xml:space="preserve"> CONSEJO DE ESTADO. Sección Tercera. Sentencia del 15 de noviembre de 2011. </w:t>
      </w:r>
      <w:r>
        <w:rPr>
          <w:rFonts w:ascii="Verdana" w:hAnsi="Verdana" w:cs="Arial"/>
          <w:sz w:val="16"/>
          <w:szCs w:val="16"/>
        </w:rPr>
        <w:t>Exp</w:t>
      </w:r>
      <w:r w:rsidRPr="00D8787B">
        <w:rPr>
          <w:rFonts w:ascii="Verdana" w:hAnsi="Verdana" w:cs="Arial"/>
          <w:sz w:val="16"/>
          <w:szCs w:val="16"/>
        </w:rPr>
        <w:t>. 20.916. C</w:t>
      </w:r>
      <w:r>
        <w:rPr>
          <w:rFonts w:ascii="Verdana" w:hAnsi="Verdana" w:cs="Arial"/>
          <w:sz w:val="16"/>
          <w:szCs w:val="16"/>
        </w:rPr>
        <w:t>.P</w:t>
      </w:r>
      <w:r w:rsidRPr="00D8787B">
        <w:rPr>
          <w:rFonts w:ascii="Verdana" w:hAnsi="Verdana" w:cs="Arial"/>
          <w:sz w:val="16"/>
          <w:szCs w:val="16"/>
        </w:rPr>
        <w:t xml:space="preserve">: Olga Mélida Valle de la Hoz. </w:t>
      </w:r>
    </w:p>
  </w:footnote>
  <w:footnote w:id="3">
    <w:p w14:paraId="2D214576" w14:textId="77777777" w:rsidR="00F379B1" w:rsidRPr="00D8787B" w:rsidRDefault="00F379B1" w:rsidP="00F379B1">
      <w:pPr>
        <w:pStyle w:val="Textonotapie"/>
        <w:snapToGrid w:val="0"/>
        <w:ind w:firstLine="709"/>
        <w:contextualSpacing/>
        <w:jc w:val="both"/>
        <w:rPr>
          <w:rFonts w:ascii="Verdana" w:hAnsi="Verdana" w:cs="Arial"/>
          <w:iCs/>
          <w:sz w:val="16"/>
          <w:szCs w:val="16"/>
          <w:lang w:val="es-ES_tradnl"/>
        </w:rPr>
      </w:pPr>
      <w:r w:rsidRPr="00D8787B">
        <w:rPr>
          <w:rStyle w:val="Refdenotaalpie"/>
          <w:rFonts w:ascii="Verdana" w:hAnsi="Verdana" w:cs="Arial"/>
          <w:sz w:val="16"/>
          <w:szCs w:val="16"/>
        </w:rPr>
        <w:footnoteRef/>
      </w:r>
      <w:r w:rsidRPr="00D8787B">
        <w:rPr>
          <w:rFonts w:ascii="Verdana" w:hAnsi="Verdana" w:cs="Arial"/>
          <w:sz w:val="16"/>
          <w:szCs w:val="16"/>
        </w:rPr>
        <w:t xml:space="preserve"> CONSEJO DE ESTADO</w:t>
      </w:r>
      <w:r w:rsidRPr="00D8787B">
        <w:rPr>
          <w:rFonts w:ascii="Verdana" w:hAnsi="Verdana" w:cs="Arial"/>
          <w:iCs/>
          <w:sz w:val="16"/>
          <w:szCs w:val="16"/>
          <w:lang w:val="es-ES_tradnl"/>
        </w:rPr>
        <w:t xml:space="preserve">. Sección Tercera. Sentencia del 23 de junio </w:t>
      </w:r>
      <w:r>
        <w:rPr>
          <w:rFonts w:ascii="Verdana" w:hAnsi="Verdana" w:cs="Arial"/>
          <w:iCs/>
          <w:sz w:val="16"/>
          <w:szCs w:val="16"/>
          <w:lang w:val="es-ES_tradnl"/>
        </w:rPr>
        <w:t xml:space="preserve">de 2010. Rad. 16.367. C. P. </w:t>
      </w:r>
      <w:r w:rsidRPr="00D8787B">
        <w:rPr>
          <w:rFonts w:ascii="Verdana" w:hAnsi="Verdana" w:cs="Arial"/>
          <w:iCs/>
          <w:sz w:val="16"/>
          <w:szCs w:val="16"/>
          <w:lang w:val="es-ES_tradnl"/>
        </w:rPr>
        <w:t xml:space="preserve">Enrique Gil Botero. Véase también: </w:t>
      </w:r>
      <w:r w:rsidRPr="00D8787B">
        <w:rPr>
          <w:rFonts w:ascii="Verdana" w:hAnsi="Verdana" w:cs="Arial"/>
          <w:sz w:val="16"/>
          <w:szCs w:val="16"/>
        </w:rPr>
        <w:t>CONSEJO DE ESTADO. Sección Tercera. Sentencia del 13 de noviembre de 2008. Rad. 17.009. C</w:t>
      </w:r>
      <w:r>
        <w:rPr>
          <w:rFonts w:ascii="Verdana" w:hAnsi="Verdana" w:cs="Arial"/>
          <w:sz w:val="16"/>
          <w:szCs w:val="16"/>
        </w:rPr>
        <w:t>.P.</w:t>
      </w:r>
      <w:r w:rsidRPr="00D8787B">
        <w:rPr>
          <w:rFonts w:ascii="Verdana" w:hAnsi="Verdana" w:cs="Arial"/>
          <w:sz w:val="16"/>
          <w:szCs w:val="16"/>
        </w:rPr>
        <w:t>: Enrique Gil Botero.</w:t>
      </w:r>
    </w:p>
  </w:footnote>
  <w:footnote w:id="4">
    <w:p w14:paraId="70727C55" w14:textId="77777777" w:rsidR="00F379B1" w:rsidRPr="00D8787B" w:rsidRDefault="00F379B1" w:rsidP="00F379B1">
      <w:pPr>
        <w:pStyle w:val="Textonotapie"/>
        <w:snapToGrid w:val="0"/>
        <w:ind w:firstLine="709"/>
        <w:contextualSpacing/>
        <w:jc w:val="both"/>
        <w:rPr>
          <w:rFonts w:ascii="Verdana" w:hAnsi="Verdana" w:cs="Arial"/>
          <w:sz w:val="16"/>
          <w:szCs w:val="16"/>
        </w:rPr>
      </w:pPr>
      <w:r w:rsidRPr="00D8787B">
        <w:rPr>
          <w:rStyle w:val="Refdenotaalpie"/>
          <w:rFonts w:ascii="Verdana" w:hAnsi="Verdana" w:cs="Arial"/>
          <w:sz w:val="16"/>
          <w:szCs w:val="16"/>
        </w:rPr>
        <w:footnoteRef/>
      </w:r>
      <w:r w:rsidRPr="00290605">
        <w:rPr>
          <w:rFonts w:ascii="Verdana" w:hAnsi="Verdana" w:cs="Arial"/>
          <w:sz w:val="16"/>
          <w:szCs w:val="16"/>
          <w:lang w:val="pt-BR"/>
        </w:rPr>
        <w:t xml:space="preserve"> CORTE CONSTITUCIONAL. Sentencia C-827 de 2001. </w:t>
      </w:r>
      <w:r>
        <w:rPr>
          <w:rFonts w:ascii="Verdana" w:hAnsi="Verdana" w:cs="Arial"/>
          <w:sz w:val="16"/>
          <w:szCs w:val="16"/>
        </w:rPr>
        <w:t>M.P.</w:t>
      </w:r>
      <w:r w:rsidRPr="00D8787B">
        <w:rPr>
          <w:rFonts w:ascii="Verdana" w:hAnsi="Verdana" w:cs="Arial"/>
          <w:sz w:val="16"/>
          <w:szCs w:val="16"/>
        </w:rPr>
        <w:t xml:space="preserve"> Álvaro Tafur Galvis.</w:t>
      </w:r>
    </w:p>
  </w:footnote>
  <w:footnote w:id="5">
    <w:p w14:paraId="7318B91E" w14:textId="77777777" w:rsidR="00F379B1" w:rsidRPr="00D8787B" w:rsidRDefault="00F379B1" w:rsidP="00F379B1">
      <w:pPr>
        <w:pStyle w:val="Textonotapie"/>
        <w:snapToGrid w:val="0"/>
        <w:ind w:firstLine="709"/>
        <w:contextualSpacing/>
        <w:jc w:val="both"/>
        <w:rPr>
          <w:rFonts w:ascii="Verdana" w:hAnsi="Verdana" w:cs="Arial"/>
          <w:iCs/>
          <w:sz w:val="16"/>
          <w:szCs w:val="16"/>
        </w:rPr>
      </w:pPr>
      <w:r w:rsidRPr="00D8787B">
        <w:rPr>
          <w:rStyle w:val="Refdenotaalpie"/>
          <w:rFonts w:ascii="Verdana" w:hAnsi="Verdana" w:cs="Arial"/>
          <w:sz w:val="16"/>
          <w:szCs w:val="16"/>
        </w:rPr>
        <w:footnoteRef/>
      </w:r>
      <w:r w:rsidRPr="00D8787B">
        <w:rPr>
          <w:rFonts w:ascii="Verdana" w:hAnsi="Verdana" w:cs="Arial"/>
          <w:iCs/>
          <w:sz w:val="16"/>
          <w:szCs w:val="16"/>
        </w:rPr>
        <w:t xml:space="preserve"> Motivo por el cual son típicas cláusulas accidentales dentro de los contratos estatales, en los términos del artículo 1501 del Código Civil.</w:t>
      </w:r>
    </w:p>
    <w:p w14:paraId="1682B800" w14:textId="77777777" w:rsidR="00F379B1" w:rsidRPr="00D8787B" w:rsidRDefault="00F379B1" w:rsidP="00F379B1">
      <w:pPr>
        <w:pStyle w:val="Textonotapie"/>
        <w:snapToGrid w:val="0"/>
        <w:ind w:firstLine="709"/>
        <w:contextualSpacing/>
        <w:jc w:val="both"/>
        <w:rPr>
          <w:rFonts w:ascii="Verdana" w:hAnsi="Verdana" w:cs="Arial"/>
          <w:sz w:val="16"/>
          <w:szCs w:val="16"/>
        </w:rPr>
      </w:pPr>
    </w:p>
  </w:footnote>
  <w:footnote w:id="6">
    <w:p w14:paraId="2FD99478" w14:textId="77777777" w:rsidR="00F379B1" w:rsidRPr="00D8787B" w:rsidRDefault="00F379B1" w:rsidP="00F379B1">
      <w:pPr>
        <w:pStyle w:val="Textonotapie"/>
        <w:snapToGrid w:val="0"/>
        <w:ind w:firstLine="708"/>
        <w:contextualSpacing/>
        <w:jc w:val="both"/>
        <w:rPr>
          <w:rFonts w:ascii="Verdana" w:hAnsi="Verdana"/>
          <w:b/>
          <w:bCs/>
          <w:sz w:val="16"/>
          <w:szCs w:val="16"/>
        </w:rPr>
      </w:pPr>
      <w:r w:rsidRPr="00D8787B">
        <w:rPr>
          <w:rStyle w:val="Refdenotaalpie"/>
          <w:rFonts w:ascii="Verdana" w:hAnsi="Verdana"/>
          <w:sz w:val="16"/>
          <w:szCs w:val="16"/>
        </w:rPr>
        <w:footnoteRef/>
      </w:r>
      <w:r w:rsidRPr="00D8787B">
        <w:rPr>
          <w:rFonts w:ascii="Verdana" w:hAnsi="Verdana"/>
          <w:sz w:val="16"/>
          <w:szCs w:val="16"/>
        </w:rPr>
        <w:t xml:space="preserve"> CONSEJO DE ESTADO. Sala de Consulta y Servicio Civil.</w:t>
      </w:r>
      <w:r w:rsidRPr="00D8787B">
        <w:rPr>
          <w:rFonts w:ascii="Verdana" w:hAnsi="Verdana"/>
          <w:b/>
          <w:bCs/>
          <w:sz w:val="16"/>
          <w:szCs w:val="16"/>
        </w:rPr>
        <w:t xml:space="preserve"> </w:t>
      </w:r>
      <w:r w:rsidRPr="00D8787B">
        <w:rPr>
          <w:rFonts w:ascii="Verdana" w:hAnsi="Verdana"/>
          <w:sz w:val="16"/>
          <w:szCs w:val="16"/>
        </w:rPr>
        <w:t xml:space="preserve">Concepto del trece (13) de diciembre de dos mil veintidós (2022). Radicación interna: 2489. Número Único: 11001-03-06-000-2022-00250-00. C.P. María del Pilar Bahamón Falla. </w:t>
      </w:r>
    </w:p>
  </w:footnote>
  <w:footnote w:id="7">
    <w:p w14:paraId="49218979" w14:textId="77777777" w:rsidR="00F379B1" w:rsidRPr="00D8787B" w:rsidRDefault="00F379B1" w:rsidP="00F379B1">
      <w:pPr>
        <w:pStyle w:val="Textonotapie"/>
        <w:snapToGrid w:val="0"/>
        <w:ind w:firstLine="708"/>
        <w:contextualSpacing/>
        <w:jc w:val="both"/>
        <w:rPr>
          <w:rFonts w:ascii="Verdana" w:hAnsi="Verdana"/>
          <w:sz w:val="16"/>
          <w:szCs w:val="16"/>
        </w:rPr>
      </w:pPr>
      <w:r w:rsidRPr="00D8787B">
        <w:rPr>
          <w:rStyle w:val="Refdenotaalpie"/>
          <w:rFonts w:ascii="Verdana" w:hAnsi="Verdana"/>
          <w:sz w:val="16"/>
          <w:szCs w:val="16"/>
        </w:rPr>
        <w:footnoteRef/>
      </w:r>
      <w:r w:rsidRPr="00D8787B">
        <w:rPr>
          <w:rFonts w:ascii="Verdana" w:hAnsi="Verdana"/>
          <w:sz w:val="16"/>
          <w:szCs w:val="16"/>
        </w:rPr>
        <w:t xml:space="preserve"> Con todo, dado que una de las funciones que se atribuyen a la cláusula penal -quizás la más importante- es la de constituir una liquidación anticipada del daño producido por el incumplimiento contractual hecha por las propias partes del negocio jurídico, su fuente deviene de la autonomía de la voluntad y, en consecuencia, no podría la entidad declarar el incumplimiento para hacerla efectiva si no fue estipulada previamente, so pena de contravenir la ley del contrato. </w:t>
      </w:r>
    </w:p>
  </w:footnote>
  <w:footnote w:id="8">
    <w:p w14:paraId="26A3C48B" w14:textId="77777777" w:rsidR="00F379B1" w:rsidRPr="00D8787B" w:rsidRDefault="00F379B1" w:rsidP="00F379B1">
      <w:pPr>
        <w:pStyle w:val="Textonotapie"/>
        <w:snapToGrid w:val="0"/>
        <w:ind w:firstLine="709"/>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vertAlign w:val="superscript"/>
        </w:rPr>
        <w:t xml:space="preserve"> </w:t>
      </w:r>
      <w:r w:rsidRPr="00D8787B">
        <w:rPr>
          <w:rFonts w:ascii="Verdana" w:hAnsi="Verdana" w:cs="Arial"/>
          <w:sz w:val="16"/>
          <w:szCs w:val="16"/>
        </w:rPr>
        <w:t xml:space="preserve">CONSEJO DE ESTADO. Sección Tercera. Sentencia del 13 de noviembre de 2008. </w:t>
      </w:r>
      <w:r>
        <w:rPr>
          <w:rFonts w:ascii="Verdana" w:hAnsi="Verdana" w:cs="Arial"/>
          <w:sz w:val="16"/>
          <w:szCs w:val="16"/>
        </w:rPr>
        <w:t>Exp</w:t>
      </w:r>
      <w:r w:rsidRPr="00D8787B">
        <w:rPr>
          <w:rFonts w:ascii="Verdana" w:hAnsi="Verdana" w:cs="Arial"/>
          <w:sz w:val="16"/>
          <w:szCs w:val="16"/>
        </w:rPr>
        <w:t>. 17.009. C.P. Enrique Gil Botero.</w:t>
      </w:r>
    </w:p>
  </w:footnote>
  <w:footnote w:id="9">
    <w:p w14:paraId="73B7DD50" w14:textId="77777777" w:rsidR="00F379B1" w:rsidRPr="00D8787B" w:rsidRDefault="00F379B1" w:rsidP="00F379B1">
      <w:pPr>
        <w:pStyle w:val="Textonotapie"/>
        <w:snapToGrid w:val="0"/>
        <w:ind w:firstLine="709"/>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Ibídem.</w:t>
      </w:r>
    </w:p>
  </w:footnote>
  <w:footnote w:id="10">
    <w:p w14:paraId="6FB23794" w14:textId="77777777" w:rsidR="00F379B1" w:rsidRPr="0022231B" w:rsidRDefault="00F379B1" w:rsidP="00F379B1">
      <w:pPr>
        <w:spacing w:after="0" w:line="240" w:lineRule="auto"/>
        <w:ind w:firstLine="709"/>
        <w:jc w:val="both"/>
        <w:rPr>
          <w:rFonts w:ascii="Verdana" w:hAnsi="Verdana" w:cs="Arial"/>
          <w:iCs/>
          <w:color w:val="000000"/>
          <w:sz w:val="16"/>
          <w:szCs w:val="16"/>
        </w:rPr>
      </w:pPr>
      <w:r w:rsidRPr="0022231B">
        <w:rPr>
          <w:rStyle w:val="Refdenotaalpie"/>
          <w:rFonts w:ascii="Verdana" w:hAnsi="Verdana" w:cs="Arial"/>
          <w:sz w:val="16"/>
          <w:szCs w:val="16"/>
        </w:rPr>
        <w:footnoteRef/>
      </w:r>
      <w:r w:rsidRPr="0022231B">
        <w:rPr>
          <w:rFonts w:ascii="Verdana" w:hAnsi="Verdana" w:cs="Arial"/>
          <w:sz w:val="16"/>
          <w:szCs w:val="16"/>
        </w:rPr>
        <w:t xml:space="preserve"> </w:t>
      </w:r>
      <w:r w:rsidRPr="0022231B">
        <w:rPr>
          <w:rFonts w:ascii="Verdana" w:hAnsi="Verdana" w:cs="Arial"/>
          <w:iCs/>
          <w:color w:val="000000"/>
          <w:sz w:val="16"/>
          <w:szCs w:val="16"/>
        </w:rPr>
        <w:t xml:space="preserve">En cuanto a la oportunidad para su imposición, el Consejo de Estado ha precisado: “[…] al tenor de las normas que tipifican la caducidad, de acuerdo con los criterios de interpretación gramatical y teleológico –que aquí claramente coinciden–, constituye un requisito legal para declarar la caducidad del contrato que el plazo de ejecución correspondiente no haya expirado, puesto que si ya expiró sin que el contrato se ejecutara, la declaratoria de caducidad no lograría satisfacer uno de los propósitos principales de la norma, cual es permitir, en los términos del artículo 18 de la Ley 80, que “la entidad contratante tome posesión de la obra o continúe inmediatamente la ejecución del objeto contratado, bien sea a través del garante o de otro contratista […]” y conjure, de esta forma, la amenaza que se cierne sobre el interés general, representado en la debida ejecución del objeto contratado” Sección Tercera, Sentencia del 12 de julio de 2012, expediente 15.024 y ponencia de Danilo Rojas Betancourth. </w:t>
      </w:r>
    </w:p>
    <w:p w14:paraId="230B09CD" w14:textId="77777777" w:rsidR="00F379B1" w:rsidRPr="0022231B" w:rsidRDefault="00F379B1" w:rsidP="00F379B1">
      <w:pPr>
        <w:pStyle w:val="Textonotapie"/>
        <w:rPr>
          <w:rFonts w:ascii="Verdana" w:hAnsi="Verdana" w:cs="Arial"/>
          <w:sz w:val="16"/>
          <w:szCs w:val="16"/>
          <w:lang w:val="es-CO"/>
        </w:rPr>
      </w:pPr>
    </w:p>
  </w:footnote>
  <w:footnote w:id="11">
    <w:p w14:paraId="7983B9A3" w14:textId="77777777" w:rsidR="00F379B1" w:rsidRPr="0022231B" w:rsidRDefault="00F379B1" w:rsidP="00F379B1">
      <w:pPr>
        <w:pStyle w:val="Textonotapie"/>
        <w:snapToGrid w:val="0"/>
        <w:ind w:firstLine="709"/>
        <w:jc w:val="both"/>
        <w:rPr>
          <w:rFonts w:ascii="Verdana" w:hAnsi="Verdana" w:cs="Arial"/>
          <w:color w:val="000000" w:themeColor="text1"/>
          <w:sz w:val="16"/>
          <w:szCs w:val="16"/>
        </w:rPr>
      </w:pPr>
      <w:r w:rsidRPr="0022231B">
        <w:rPr>
          <w:rStyle w:val="Refdenotaalpie"/>
          <w:rFonts w:ascii="Verdana" w:hAnsi="Verdana" w:cs="Arial"/>
          <w:color w:val="000000" w:themeColor="text1"/>
          <w:sz w:val="16"/>
          <w:szCs w:val="16"/>
        </w:rPr>
        <w:footnoteRef/>
      </w:r>
      <w:r w:rsidRPr="0022231B">
        <w:rPr>
          <w:rFonts w:ascii="Verdana" w:hAnsi="Verdana" w:cs="Arial"/>
          <w:color w:val="000000" w:themeColor="text1"/>
          <w:sz w:val="16"/>
          <w:szCs w:val="16"/>
        </w:rPr>
        <w:t xml:space="preserve"> Así se desprende del primer inciso de aquel artículo, que dice: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 […]».</w:t>
      </w:r>
    </w:p>
    <w:p w14:paraId="4D759CF2" w14:textId="77777777" w:rsidR="00F379B1" w:rsidRPr="0022231B" w:rsidRDefault="00F379B1" w:rsidP="00F379B1">
      <w:pPr>
        <w:pStyle w:val="Textonotapie"/>
        <w:snapToGrid w:val="0"/>
        <w:ind w:firstLine="709"/>
        <w:jc w:val="both"/>
        <w:rPr>
          <w:rFonts w:ascii="Verdana" w:hAnsi="Verdana" w:cs="Arial"/>
          <w:color w:val="000000" w:themeColor="text1"/>
          <w:sz w:val="16"/>
          <w:szCs w:val="16"/>
        </w:rPr>
      </w:pPr>
    </w:p>
  </w:footnote>
  <w:footnote w:id="12">
    <w:p w14:paraId="3412DE22" w14:textId="77777777" w:rsidR="00F379B1" w:rsidRPr="0022231B" w:rsidRDefault="00F379B1" w:rsidP="00F379B1">
      <w:pPr>
        <w:pStyle w:val="Textonotapie"/>
        <w:snapToGrid w:val="0"/>
        <w:ind w:firstLine="709"/>
        <w:jc w:val="both"/>
        <w:rPr>
          <w:rFonts w:ascii="Verdana" w:hAnsi="Verdana" w:cs="Arial"/>
          <w:color w:val="000000" w:themeColor="text1"/>
          <w:sz w:val="16"/>
          <w:szCs w:val="16"/>
        </w:rPr>
      </w:pPr>
      <w:r w:rsidRPr="0022231B">
        <w:rPr>
          <w:rStyle w:val="Refdenotaalpie"/>
          <w:rFonts w:ascii="Verdana" w:hAnsi="Verdana" w:cs="Arial"/>
          <w:sz w:val="16"/>
          <w:szCs w:val="16"/>
        </w:rPr>
        <w:footnoteRef/>
      </w:r>
      <w:r w:rsidRPr="0022231B">
        <w:rPr>
          <w:rFonts w:ascii="Verdana" w:hAnsi="Verdana" w:cs="Arial"/>
          <w:sz w:val="16"/>
          <w:szCs w:val="16"/>
        </w:rPr>
        <w:t xml:space="preserve"> </w:t>
      </w:r>
      <w:r w:rsidRPr="0022231B">
        <w:rPr>
          <w:rFonts w:ascii="Verdana" w:hAnsi="Verdana" w:cs="Arial"/>
          <w:color w:val="000000" w:themeColor="text1"/>
          <w:sz w:val="16"/>
          <w:szCs w:val="16"/>
        </w:rPr>
        <w:t xml:space="preserve">Se entiende por entidades de </w:t>
      </w:r>
      <w:r w:rsidRPr="0022231B">
        <w:rPr>
          <w:rFonts w:ascii="Verdana" w:hAnsi="Verdana" w:cs="Arial"/>
          <w:i/>
          <w:iCs/>
          <w:color w:val="000000" w:themeColor="text1"/>
          <w:sz w:val="16"/>
          <w:szCs w:val="16"/>
        </w:rPr>
        <w:t xml:space="preserve">régimen especial </w:t>
      </w:r>
      <w:r w:rsidRPr="0022231B">
        <w:rPr>
          <w:rFonts w:ascii="Verdana" w:hAnsi="Verdana" w:cs="Arial"/>
          <w:color w:val="000000" w:themeColor="text1"/>
          <w:sz w:val="16"/>
          <w:szCs w:val="16"/>
        </w:rPr>
        <w:t>aquellas que tienen un régimen contractual distinto al Estatuto General de Contratación de la Administración Pública, y que por regla general se rigen por el derecho privado.</w:t>
      </w:r>
    </w:p>
    <w:p w14:paraId="52E09F9C" w14:textId="77777777" w:rsidR="00F379B1" w:rsidRPr="0022231B" w:rsidRDefault="00F379B1" w:rsidP="00F379B1">
      <w:pPr>
        <w:pStyle w:val="Textonotapie"/>
        <w:snapToGrid w:val="0"/>
        <w:ind w:firstLine="709"/>
        <w:jc w:val="both"/>
        <w:rPr>
          <w:rFonts w:ascii="Verdana" w:hAnsi="Verdana" w:cs="Arial"/>
          <w:sz w:val="16"/>
          <w:szCs w:val="16"/>
          <w:lang w:val="es-CO"/>
        </w:rPr>
      </w:pPr>
    </w:p>
  </w:footnote>
  <w:footnote w:id="13">
    <w:p w14:paraId="0E57F4AC" w14:textId="77777777" w:rsidR="00F379B1" w:rsidRPr="00D90725" w:rsidRDefault="00F379B1" w:rsidP="00F379B1">
      <w:pPr>
        <w:pStyle w:val="Textonotapie"/>
        <w:ind w:firstLine="708"/>
        <w:jc w:val="both"/>
        <w:rPr>
          <w:rFonts w:ascii="Verdana" w:hAnsi="Verdana"/>
          <w:sz w:val="16"/>
          <w:szCs w:val="16"/>
          <w:lang w:val="es-ES"/>
        </w:rPr>
      </w:pPr>
      <w:r w:rsidRPr="00D90725">
        <w:rPr>
          <w:rStyle w:val="Refdenotaalpie"/>
          <w:rFonts w:ascii="Verdana" w:hAnsi="Verdana"/>
          <w:sz w:val="16"/>
          <w:szCs w:val="16"/>
        </w:rPr>
        <w:footnoteRef/>
      </w:r>
      <w:r w:rsidRPr="00D90725">
        <w:rPr>
          <w:rFonts w:ascii="Verdana" w:hAnsi="Verdana"/>
          <w:sz w:val="16"/>
          <w:szCs w:val="16"/>
        </w:rPr>
        <w:t xml:space="preserve"> CONSEJO DE ESTADO. Sección Tercera-Subsección A. Sentencia del 21 de febrero de 2025. Exp. 70.099. C.P. José Roberto Sáchica Méndez. </w:t>
      </w:r>
    </w:p>
  </w:footnote>
  <w:footnote w:id="14">
    <w:p w14:paraId="5F522B85" w14:textId="77777777" w:rsidR="00F379B1" w:rsidRPr="00D90725" w:rsidRDefault="00F379B1" w:rsidP="00F379B1">
      <w:pPr>
        <w:pStyle w:val="Textonotapie"/>
        <w:ind w:firstLine="708"/>
        <w:jc w:val="both"/>
        <w:rPr>
          <w:lang w:val="es-ES"/>
        </w:rPr>
      </w:pPr>
      <w:r w:rsidRPr="00D90725">
        <w:rPr>
          <w:rStyle w:val="Refdenotaalpie"/>
          <w:rFonts w:ascii="Verdana" w:hAnsi="Verdana"/>
          <w:sz w:val="16"/>
          <w:szCs w:val="16"/>
        </w:rPr>
        <w:footnoteRef/>
      </w:r>
      <w:r w:rsidRPr="00D90725">
        <w:rPr>
          <w:rFonts w:ascii="Verdana" w:hAnsi="Verdana"/>
          <w:sz w:val="16"/>
          <w:szCs w:val="16"/>
        </w:rPr>
        <w:t xml:space="preserve"> Al respecto, David Suárez Tamayo expresa: “Una vez practicadas las pruebas, parece sensato y razonable que se le de nuevamente la palabra el contratista y al garante, para que presenten una especie de alegatos de conclusión, y luego si proceda la entidad a adoptar una decisión” (</w:t>
      </w:r>
      <w:r w:rsidRPr="00D90725">
        <w:rPr>
          <w:rFonts w:ascii="Verdana" w:hAnsi="Verdana"/>
          <w:sz w:val="16"/>
          <w:szCs w:val="16"/>
          <w:lang w:val="es-CO"/>
        </w:rPr>
        <w:t xml:space="preserve">SUÁREZ TAMAYO, David. </w:t>
      </w:r>
      <w:r w:rsidRPr="00D90725">
        <w:rPr>
          <w:rFonts w:ascii="Verdana" w:hAnsi="Verdana"/>
          <w:i/>
          <w:sz w:val="16"/>
          <w:szCs w:val="16"/>
          <w:lang w:val="es-CO"/>
        </w:rPr>
        <w:t>Cláusula de multas y penal pecuniaria</w:t>
      </w:r>
      <w:r w:rsidRPr="00D90725">
        <w:rPr>
          <w:rFonts w:ascii="Verdana" w:hAnsi="Verdana"/>
          <w:sz w:val="16"/>
          <w:szCs w:val="16"/>
          <w:lang w:val="es-CO"/>
        </w:rPr>
        <w:t>. Medellín: Librería Jurídica Sánchez R. Ltda. y CEDA, 2014, p. 167)</w:t>
      </w:r>
    </w:p>
  </w:footnote>
  <w:footnote w:id="15">
    <w:p w14:paraId="6E5C80A1" w14:textId="77777777" w:rsidR="00F379B1" w:rsidRPr="005B1416" w:rsidRDefault="00F379B1" w:rsidP="00F379B1">
      <w:pPr>
        <w:pStyle w:val="Textonotapie"/>
        <w:ind w:firstLine="708"/>
        <w:jc w:val="both"/>
        <w:rPr>
          <w:rFonts w:ascii="Verdana" w:hAnsi="Verdana"/>
          <w:sz w:val="16"/>
          <w:szCs w:val="16"/>
          <w:lang w:val="es-ES"/>
        </w:rPr>
      </w:pPr>
      <w:r w:rsidRPr="005B1416">
        <w:rPr>
          <w:rStyle w:val="Refdenotaalpie"/>
          <w:rFonts w:ascii="Verdana" w:hAnsi="Verdana"/>
          <w:sz w:val="16"/>
          <w:szCs w:val="16"/>
        </w:rPr>
        <w:footnoteRef/>
      </w:r>
      <w:r w:rsidRPr="005B1416">
        <w:rPr>
          <w:rFonts w:ascii="Verdana" w:hAnsi="Verdana"/>
          <w:sz w:val="16"/>
          <w:szCs w:val="16"/>
        </w:rPr>
        <w:t xml:space="preserve"> CONSEJO DE ESTADO. Sección Tercera, Subsección C. Sentencia del 22 de octubre de 2012. Exp. 20738. C.P. Enrique Gil Botero. </w:t>
      </w:r>
    </w:p>
  </w:footnote>
  <w:footnote w:id="16">
    <w:p w14:paraId="6DBF8F3B" w14:textId="77777777" w:rsidR="00F379B1" w:rsidRPr="0022231B" w:rsidRDefault="00F379B1" w:rsidP="00F379B1">
      <w:pPr>
        <w:pStyle w:val="Textonotapie"/>
        <w:ind w:firstLine="708"/>
        <w:jc w:val="both"/>
        <w:rPr>
          <w:rFonts w:ascii="Verdana" w:hAnsi="Verdana" w:cs="Arial"/>
          <w:sz w:val="16"/>
          <w:szCs w:val="16"/>
        </w:rPr>
      </w:pPr>
      <w:r w:rsidRPr="0022231B">
        <w:rPr>
          <w:rStyle w:val="Refdenotaalpie"/>
          <w:rFonts w:ascii="Verdana" w:hAnsi="Verdana" w:cs="Arial"/>
          <w:sz w:val="16"/>
          <w:szCs w:val="16"/>
        </w:rPr>
        <w:footnoteRef/>
      </w:r>
      <w:r w:rsidRPr="0022231B">
        <w:rPr>
          <w:rFonts w:ascii="Verdana" w:hAnsi="Verdana" w:cs="Arial"/>
          <w:sz w:val="16"/>
          <w:szCs w:val="16"/>
        </w:rPr>
        <w:t xml:space="preserve"> Código de Comercio: “Artículo 1081. La prescripción de las acciones que se derivan del contrato de seguro o de las disposiciones que lo rigen podrá ser ordinaria o extraordinaria.</w:t>
      </w:r>
    </w:p>
    <w:p w14:paraId="68E6B641" w14:textId="77777777" w:rsidR="00F379B1" w:rsidRPr="0022231B" w:rsidRDefault="00F379B1" w:rsidP="00F379B1">
      <w:pPr>
        <w:pStyle w:val="Textonotapie"/>
        <w:ind w:firstLine="708"/>
        <w:jc w:val="both"/>
        <w:rPr>
          <w:rFonts w:ascii="Verdana" w:hAnsi="Verdana" w:cs="Arial"/>
          <w:sz w:val="16"/>
          <w:szCs w:val="16"/>
        </w:rPr>
      </w:pPr>
      <w:r w:rsidRPr="0022231B">
        <w:rPr>
          <w:rFonts w:ascii="Verdana" w:hAnsi="Verdana" w:cs="Arial"/>
          <w:sz w:val="16"/>
          <w:szCs w:val="16"/>
        </w:rPr>
        <w:t>La prescripción ordinaria será de dos años y empezará a correr desde el momento en que el interesado haya tenido o debido tener conocimiento del hecho que da base a la acción.</w:t>
      </w:r>
    </w:p>
    <w:p w14:paraId="75EAC423" w14:textId="77777777" w:rsidR="00F379B1" w:rsidRPr="0022231B" w:rsidRDefault="00F379B1" w:rsidP="00F379B1">
      <w:pPr>
        <w:pStyle w:val="Textonotapie"/>
        <w:ind w:firstLine="708"/>
        <w:jc w:val="both"/>
        <w:rPr>
          <w:rFonts w:ascii="Verdana" w:hAnsi="Verdana" w:cs="Arial"/>
          <w:sz w:val="16"/>
          <w:szCs w:val="16"/>
        </w:rPr>
      </w:pPr>
      <w:r w:rsidRPr="0022231B">
        <w:rPr>
          <w:rFonts w:ascii="Verdana" w:hAnsi="Verdana" w:cs="Arial"/>
          <w:sz w:val="16"/>
          <w:szCs w:val="16"/>
        </w:rPr>
        <w:t>La prescripción extraordinaria será de cinco años, correrá contra toda clase de personas y empezará a contarse desde el momento en que nace el respectivo derecho.</w:t>
      </w:r>
    </w:p>
    <w:p w14:paraId="4A735B77" w14:textId="77777777" w:rsidR="00F379B1" w:rsidRPr="00341251" w:rsidRDefault="00F379B1" w:rsidP="00F379B1">
      <w:pPr>
        <w:pStyle w:val="Textonotapie"/>
        <w:ind w:firstLine="708"/>
        <w:jc w:val="both"/>
        <w:rPr>
          <w:rFonts w:ascii="Century Gothic" w:hAnsi="Century Gothic" w:cs="Arial"/>
          <w:sz w:val="18"/>
          <w:szCs w:val="18"/>
        </w:rPr>
      </w:pPr>
      <w:r w:rsidRPr="0022231B">
        <w:rPr>
          <w:rFonts w:ascii="Verdana" w:hAnsi="Verdana" w:cs="Arial"/>
          <w:sz w:val="16"/>
          <w:szCs w:val="16"/>
        </w:rPr>
        <w:t>Estos términos no pueden ser modificados por las partes”.</w:t>
      </w:r>
      <w:r w:rsidRPr="00341251">
        <w:rPr>
          <w:rFonts w:ascii="Century Gothic" w:hAnsi="Century Gothic" w:cs="Arial"/>
          <w:sz w:val="18"/>
          <w:szCs w:val="18"/>
        </w:rPr>
        <w:t xml:space="preserve"> </w:t>
      </w:r>
    </w:p>
  </w:footnote>
  <w:footnote w:id="17">
    <w:p w14:paraId="4688BBAC" w14:textId="77777777" w:rsidR="00F379B1" w:rsidRPr="005867CF" w:rsidRDefault="00F379B1" w:rsidP="00F379B1">
      <w:pPr>
        <w:spacing w:after="0" w:line="240" w:lineRule="auto"/>
        <w:ind w:firstLine="709"/>
        <w:jc w:val="both"/>
        <w:rPr>
          <w:rFonts w:ascii="Verdana" w:hAnsi="Verdana" w:cs="Arial"/>
          <w:color w:val="000000" w:themeColor="text1"/>
          <w:sz w:val="15"/>
          <w:szCs w:val="15"/>
        </w:rPr>
      </w:pPr>
      <w:r w:rsidRPr="005867CF">
        <w:rPr>
          <w:rFonts w:ascii="Verdana" w:hAnsi="Verdana" w:cs="Arial"/>
          <w:color w:val="000000" w:themeColor="text1"/>
          <w:sz w:val="15"/>
          <w:szCs w:val="15"/>
          <w:vertAlign w:val="superscript"/>
        </w:rPr>
        <w:footnoteRef/>
      </w:r>
      <w:r w:rsidRPr="005867CF">
        <w:rPr>
          <w:rFonts w:ascii="Verdana" w:hAnsi="Verdana" w:cs="Arial"/>
          <w:color w:val="000000" w:themeColor="text1"/>
          <w:sz w:val="15"/>
          <w:szCs w:val="15"/>
        </w:rPr>
        <w:t xml:space="preserve"> La Sala de Consulta y Servicio Civil del Consejo de Estado, en concepto del 8 de marzo de 2017, radicado No. 2298, y con ponencia del Consejero Édgar González, manifestó respecto del trámite del cierre del expediente del Proceso de Contratación que: “[…] procede cuando se ha efectuado la liquidación del contrato, a efectos de dejar las constancias sobre el vencimiento de las garantías y la condición de los bienes y obras desde la perspectiva ambiental, y también en los casos en los cuales no se haya efectuado dicha liquidación, a efectos de dejar constancia sobre el punto final de la actuación contractual”.</w:t>
      </w:r>
    </w:p>
  </w:footnote>
  <w:footnote w:id="18">
    <w:p w14:paraId="06948E5A" w14:textId="77777777" w:rsidR="00F379B1" w:rsidRPr="005867CF" w:rsidRDefault="00F379B1" w:rsidP="00F379B1">
      <w:pPr>
        <w:pStyle w:val="Textonotapie"/>
        <w:ind w:firstLine="709"/>
        <w:rPr>
          <w:rFonts w:ascii="Verdana" w:hAnsi="Verdana"/>
          <w:sz w:val="15"/>
          <w:szCs w:val="15"/>
        </w:rPr>
      </w:pPr>
      <w:r w:rsidRPr="005867CF">
        <w:rPr>
          <w:rStyle w:val="Refdenotaalpie"/>
          <w:rFonts w:ascii="Verdana" w:hAnsi="Verdana"/>
          <w:sz w:val="15"/>
          <w:szCs w:val="15"/>
        </w:rPr>
        <w:footnoteRef/>
      </w:r>
      <w:r w:rsidRPr="005867CF">
        <w:rPr>
          <w:rFonts w:ascii="Verdana" w:hAnsi="Verdana"/>
          <w:sz w:val="15"/>
          <w:szCs w:val="15"/>
        </w:rPr>
        <w:t xml:space="preserve"> AGENCIA NACIONAL DE CONTRATACIÓN PÚBLICA – COLOMBIA COMPRA EFICIENTE. Circular Externa 05 del 1 de noviembre de 2024. Disponible en línea: </w:t>
      </w:r>
      <w:hyperlink r:id="rId1" w:history="1">
        <w:r w:rsidRPr="005867CF">
          <w:rPr>
            <w:rStyle w:val="Hipervnculo"/>
            <w:rFonts w:ascii="Verdana" w:hAnsi="Verdana"/>
            <w:sz w:val="15"/>
            <w:szCs w:val="15"/>
          </w:rPr>
          <w:t>https://www.colombiacompra.gov.co/archivos/circular/circular-externa-no-005-de-2024</w:t>
        </w:r>
      </w:hyperlink>
      <w:r w:rsidRPr="005867CF">
        <w:rPr>
          <w:rFonts w:ascii="Verdana" w:hAnsi="Verdana"/>
          <w:sz w:val="15"/>
          <w:szCs w:val="15"/>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0"/>
  </w:num>
  <w:num w:numId="2">
    <w:abstractNumId w:val="2"/>
  </w:num>
  <w:num w:numId="3">
    <w:abstractNumId w:val="8"/>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7"/>
  </w:num>
  <w:num w:numId="7">
    <w:abstractNumId w:val="9"/>
  </w:num>
  <w:num w:numId="8">
    <w:abstractNumId w:val="16"/>
  </w:num>
  <w:num w:numId="9">
    <w:abstractNumId w:val="11"/>
  </w:num>
  <w:num w:numId="10">
    <w:abstractNumId w:val="15"/>
  </w:num>
  <w:num w:numId="11">
    <w:abstractNumId w:val="12"/>
  </w:num>
  <w:num w:numId="12">
    <w:abstractNumId w:val="0"/>
  </w:num>
  <w:num w:numId="13">
    <w:abstractNumId w:val="5"/>
  </w:num>
  <w:num w:numId="14">
    <w:abstractNumId w:val="18"/>
  </w:num>
  <w:num w:numId="15">
    <w:abstractNumId w:val="14"/>
  </w:num>
  <w:num w:numId="16">
    <w:abstractNumId w:val="6"/>
  </w:num>
  <w:num w:numId="17">
    <w:abstractNumId w:val="13"/>
  </w:num>
  <w:num w:numId="18">
    <w:abstractNumId w:val="20"/>
  </w:num>
  <w:num w:numId="19">
    <w:abstractNumId w:val="19"/>
  </w:num>
  <w:num w:numId="20">
    <w:abstractNumId w:val="1"/>
  </w:num>
  <w:num w:numId="21">
    <w:abstractNumId w:val="4"/>
  </w:num>
  <w:num w:numId="22">
    <w:abstractNumId w:val="7"/>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3A8E"/>
    <w:rsid w:val="000134D5"/>
    <w:rsid w:val="00016F78"/>
    <w:rsid w:val="00046945"/>
    <w:rsid w:val="00061B2A"/>
    <w:rsid w:val="000711CF"/>
    <w:rsid w:val="00076D52"/>
    <w:rsid w:val="00082362"/>
    <w:rsid w:val="000A683E"/>
    <w:rsid w:val="000B19B9"/>
    <w:rsid w:val="000B27F0"/>
    <w:rsid w:val="000D0334"/>
    <w:rsid w:val="000D1DC8"/>
    <w:rsid w:val="000D5DA7"/>
    <w:rsid w:val="000F078F"/>
    <w:rsid w:val="000F3444"/>
    <w:rsid w:val="000F6486"/>
    <w:rsid w:val="00105C57"/>
    <w:rsid w:val="001168F2"/>
    <w:rsid w:val="00116940"/>
    <w:rsid w:val="00125105"/>
    <w:rsid w:val="00127233"/>
    <w:rsid w:val="001328F3"/>
    <w:rsid w:val="0015699B"/>
    <w:rsid w:val="00171640"/>
    <w:rsid w:val="00174D6E"/>
    <w:rsid w:val="00193CA7"/>
    <w:rsid w:val="001A33BF"/>
    <w:rsid w:val="001C096C"/>
    <w:rsid w:val="001C5AE4"/>
    <w:rsid w:val="001E2E05"/>
    <w:rsid w:val="001E4177"/>
    <w:rsid w:val="001F0B24"/>
    <w:rsid w:val="001F7DC6"/>
    <w:rsid w:val="002209DE"/>
    <w:rsid w:val="0022231B"/>
    <w:rsid w:val="0022400B"/>
    <w:rsid w:val="002421BB"/>
    <w:rsid w:val="002562ED"/>
    <w:rsid w:val="0025796E"/>
    <w:rsid w:val="002707A2"/>
    <w:rsid w:val="00275482"/>
    <w:rsid w:val="0028551C"/>
    <w:rsid w:val="0028778F"/>
    <w:rsid w:val="002951A0"/>
    <w:rsid w:val="002962BC"/>
    <w:rsid w:val="002A093D"/>
    <w:rsid w:val="002A0DD0"/>
    <w:rsid w:val="002A49AC"/>
    <w:rsid w:val="002A64FD"/>
    <w:rsid w:val="002B730F"/>
    <w:rsid w:val="002C7A84"/>
    <w:rsid w:val="002D6E05"/>
    <w:rsid w:val="002E05EF"/>
    <w:rsid w:val="002E2BF8"/>
    <w:rsid w:val="002E4FD9"/>
    <w:rsid w:val="002F0847"/>
    <w:rsid w:val="0030657A"/>
    <w:rsid w:val="003136DC"/>
    <w:rsid w:val="00315063"/>
    <w:rsid w:val="00316053"/>
    <w:rsid w:val="00322A85"/>
    <w:rsid w:val="00322C00"/>
    <w:rsid w:val="00324168"/>
    <w:rsid w:val="00330834"/>
    <w:rsid w:val="003332A8"/>
    <w:rsid w:val="00336A15"/>
    <w:rsid w:val="003448F4"/>
    <w:rsid w:val="00371004"/>
    <w:rsid w:val="00374F5E"/>
    <w:rsid w:val="003769E1"/>
    <w:rsid w:val="00377E3E"/>
    <w:rsid w:val="00381BAB"/>
    <w:rsid w:val="003A6AEB"/>
    <w:rsid w:val="003A779E"/>
    <w:rsid w:val="003D0F4D"/>
    <w:rsid w:val="003D5B0D"/>
    <w:rsid w:val="003E0499"/>
    <w:rsid w:val="003E4F80"/>
    <w:rsid w:val="003E6439"/>
    <w:rsid w:val="003F3941"/>
    <w:rsid w:val="00403EFA"/>
    <w:rsid w:val="00406575"/>
    <w:rsid w:val="004140B3"/>
    <w:rsid w:val="00414C74"/>
    <w:rsid w:val="0042722E"/>
    <w:rsid w:val="0044528D"/>
    <w:rsid w:val="00451137"/>
    <w:rsid w:val="004555EA"/>
    <w:rsid w:val="004630FD"/>
    <w:rsid w:val="00466E39"/>
    <w:rsid w:val="0048787A"/>
    <w:rsid w:val="00494F04"/>
    <w:rsid w:val="004A0A0B"/>
    <w:rsid w:val="004A1847"/>
    <w:rsid w:val="004A305D"/>
    <w:rsid w:val="004B3DAC"/>
    <w:rsid w:val="004B6823"/>
    <w:rsid w:val="004C0DBB"/>
    <w:rsid w:val="004F2170"/>
    <w:rsid w:val="004F21C4"/>
    <w:rsid w:val="004F685F"/>
    <w:rsid w:val="00517955"/>
    <w:rsid w:val="005229DB"/>
    <w:rsid w:val="00534886"/>
    <w:rsid w:val="005566E8"/>
    <w:rsid w:val="00574867"/>
    <w:rsid w:val="00574F95"/>
    <w:rsid w:val="00591460"/>
    <w:rsid w:val="005A65E0"/>
    <w:rsid w:val="005B05EA"/>
    <w:rsid w:val="005B1416"/>
    <w:rsid w:val="005C0881"/>
    <w:rsid w:val="005C3777"/>
    <w:rsid w:val="005C5CDC"/>
    <w:rsid w:val="005D2566"/>
    <w:rsid w:val="005D476C"/>
    <w:rsid w:val="005F0B55"/>
    <w:rsid w:val="005F20A4"/>
    <w:rsid w:val="00600D92"/>
    <w:rsid w:val="00603C5B"/>
    <w:rsid w:val="006200BF"/>
    <w:rsid w:val="0062143E"/>
    <w:rsid w:val="006219F8"/>
    <w:rsid w:val="006302F7"/>
    <w:rsid w:val="00646B9F"/>
    <w:rsid w:val="00665D70"/>
    <w:rsid w:val="00671499"/>
    <w:rsid w:val="00684F67"/>
    <w:rsid w:val="006900D9"/>
    <w:rsid w:val="0069741A"/>
    <w:rsid w:val="006A2BE4"/>
    <w:rsid w:val="006B4707"/>
    <w:rsid w:val="006D3329"/>
    <w:rsid w:val="006D591D"/>
    <w:rsid w:val="007009D7"/>
    <w:rsid w:val="007025D7"/>
    <w:rsid w:val="00706C16"/>
    <w:rsid w:val="0071557C"/>
    <w:rsid w:val="007244EC"/>
    <w:rsid w:val="00731F30"/>
    <w:rsid w:val="007340C3"/>
    <w:rsid w:val="0073510E"/>
    <w:rsid w:val="007458D3"/>
    <w:rsid w:val="0075235A"/>
    <w:rsid w:val="00752CDB"/>
    <w:rsid w:val="0075557D"/>
    <w:rsid w:val="00756841"/>
    <w:rsid w:val="007649AB"/>
    <w:rsid w:val="00771D0C"/>
    <w:rsid w:val="007833AC"/>
    <w:rsid w:val="00795086"/>
    <w:rsid w:val="007A1830"/>
    <w:rsid w:val="007B268C"/>
    <w:rsid w:val="007B7171"/>
    <w:rsid w:val="007C0C0F"/>
    <w:rsid w:val="007C3DC2"/>
    <w:rsid w:val="007C4353"/>
    <w:rsid w:val="007D3058"/>
    <w:rsid w:val="007D4B12"/>
    <w:rsid w:val="007E5497"/>
    <w:rsid w:val="007F242A"/>
    <w:rsid w:val="00806F5F"/>
    <w:rsid w:val="00820278"/>
    <w:rsid w:val="008258C9"/>
    <w:rsid w:val="0082701F"/>
    <w:rsid w:val="00833286"/>
    <w:rsid w:val="00836232"/>
    <w:rsid w:val="00844AE9"/>
    <w:rsid w:val="0085545E"/>
    <w:rsid w:val="00867F95"/>
    <w:rsid w:val="008843B6"/>
    <w:rsid w:val="00891928"/>
    <w:rsid w:val="00896D39"/>
    <w:rsid w:val="008A446D"/>
    <w:rsid w:val="008B0D0F"/>
    <w:rsid w:val="008B25F1"/>
    <w:rsid w:val="008C11FD"/>
    <w:rsid w:val="008C4DD5"/>
    <w:rsid w:val="008C517A"/>
    <w:rsid w:val="008C6AE5"/>
    <w:rsid w:val="008D1660"/>
    <w:rsid w:val="008D180B"/>
    <w:rsid w:val="008E2B0C"/>
    <w:rsid w:val="008E5EF9"/>
    <w:rsid w:val="008F0EA7"/>
    <w:rsid w:val="008F17DC"/>
    <w:rsid w:val="008F4334"/>
    <w:rsid w:val="008F6705"/>
    <w:rsid w:val="009037F6"/>
    <w:rsid w:val="00923EEF"/>
    <w:rsid w:val="00934F56"/>
    <w:rsid w:val="009419F9"/>
    <w:rsid w:val="0095685E"/>
    <w:rsid w:val="00961B09"/>
    <w:rsid w:val="00964321"/>
    <w:rsid w:val="00965334"/>
    <w:rsid w:val="0097093E"/>
    <w:rsid w:val="00992E19"/>
    <w:rsid w:val="009A0486"/>
    <w:rsid w:val="009A0DFA"/>
    <w:rsid w:val="009B2D26"/>
    <w:rsid w:val="009C71FA"/>
    <w:rsid w:val="009C72E7"/>
    <w:rsid w:val="009C7F7E"/>
    <w:rsid w:val="009D3058"/>
    <w:rsid w:val="009D48B3"/>
    <w:rsid w:val="009E1F28"/>
    <w:rsid w:val="009F3A13"/>
    <w:rsid w:val="00A0334B"/>
    <w:rsid w:val="00A122D3"/>
    <w:rsid w:val="00A14468"/>
    <w:rsid w:val="00A17F13"/>
    <w:rsid w:val="00A20739"/>
    <w:rsid w:val="00A23AF9"/>
    <w:rsid w:val="00A31A76"/>
    <w:rsid w:val="00A33C78"/>
    <w:rsid w:val="00A34AB8"/>
    <w:rsid w:val="00A73F45"/>
    <w:rsid w:val="00A93BC7"/>
    <w:rsid w:val="00AB0ADB"/>
    <w:rsid w:val="00AB436E"/>
    <w:rsid w:val="00AE3513"/>
    <w:rsid w:val="00AF5A10"/>
    <w:rsid w:val="00B00C0E"/>
    <w:rsid w:val="00B01B1A"/>
    <w:rsid w:val="00B04DA1"/>
    <w:rsid w:val="00B4329F"/>
    <w:rsid w:val="00B44A47"/>
    <w:rsid w:val="00B54271"/>
    <w:rsid w:val="00B5550F"/>
    <w:rsid w:val="00B6149C"/>
    <w:rsid w:val="00B72CD3"/>
    <w:rsid w:val="00B72FFF"/>
    <w:rsid w:val="00B74092"/>
    <w:rsid w:val="00B95DAC"/>
    <w:rsid w:val="00BA703D"/>
    <w:rsid w:val="00BC3D36"/>
    <w:rsid w:val="00BC70CB"/>
    <w:rsid w:val="00BD13AC"/>
    <w:rsid w:val="00BD54A6"/>
    <w:rsid w:val="00BD7F72"/>
    <w:rsid w:val="00BF5C08"/>
    <w:rsid w:val="00BF7425"/>
    <w:rsid w:val="00C04FB3"/>
    <w:rsid w:val="00C11D8B"/>
    <w:rsid w:val="00C209A4"/>
    <w:rsid w:val="00C251B0"/>
    <w:rsid w:val="00C330EB"/>
    <w:rsid w:val="00C419DF"/>
    <w:rsid w:val="00C4305F"/>
    <w:rsid w:val="00C50D69"/>
    <w:rsid w:val="00C5365C"/>
    <w:rsid w:val="00C754BE"/>
    <w:rsid w:val="00C76B1C"/>
    <w:rsid w:val="00C925AC"/>
    <w:rsid w:val="00C94828"/>
    <w:rsid w:val="00CB39BA"/>
    <w:rsid w:val="00CB6357"/>
    <w:rsid w:val="00CC1B26"/>
    <w:rsid w:val="00CC26C3"/>
    <w:rsid w:val="00CE4026"/>
    <w:rsid w:val="00D06146"/>
    <w:rsid w:val="00D0699E"/>
    <w:rsid w:val="00D116A9"/>
    <w:rsid w:val="00D14EC0"/>
    <w:rsid w:val="00D22D2B"/>
    <w:rsid w:val="00D334DD"/>
    <w:rsid w:val="00D361FD"/>
    <w:rsid w:val="00D423A2"/>
    <w:rsid w:val="00D44E26"/>
    <w:rsid w:val="00D51A5D"/>
    <w:rsid w:val="00D520D8"/>
    <w:rsid w:val="00D62B9C"/>
    <w:rsid w:val="00D63AC2"/>
    <w:rsid w:val="00D7383B"/>
    <w:rsid w:val="00D7788A"/>
    <w:rsid w:val="00D90725"/>
    <w:rsid w:val="00D92AAF"/>
    <w:rsid w:val="00D936A2"/>
    <w:rsid w:val="00DA231B"/>
    <w:rsid w:val="00DB55DA"/>
    <w:rsid w:val="00DB58B2"/>
    <w:rsid w:val="00DC39FC"/>
    <w:rsid w:val="00DC7CCB"/>
    <w:rsid w:val="00DF5254"/>
    <w:rsid w:val="00E02524"/>
    <w:rsid w:val="00E1159D"/>
    <w:rsid w:val="00E16408"/>
    <w:rsid w:val="00E20894"/>
    <w:rsid w:val="00E245AB"/>
    <w:rsid w:val="00E2764C"/>
    <w:rsid w:val="00E27F2E"/>
    <w:rsid w:val="00E31225"/>
    <w:rsid w:val="00E50AFE"/>
    <w:rsid w:val="00E577E2"/>
    <w:rsid w:val="00E75C92"/>
    <w:rsid w:val="00E771DC"/>
    <w:rsid w:val="00E8772A"/>
    <w:rsid w:val="00E90F6B"/>
    <w:rsid w:val="00E92C27"/>
    <w:rsid w:val="00EA0E3D"/>
    <w:rsid w:val="00EA426C"/>
    <w:rsid w:val="00EB224C"/>
    <w:rsid w:val="00EC006D"/>
    <w:rsid w:val="00EC0AEA"/>
    <w:rsid w:val="00EC297F"/>
    <w:rsid w:val="00EC38A7"/>
    <w:rsid w:val="00ED4980"/>
    <w:rsid w:val="00EE1AA8"/>
    <w:rsid w:val="00EF1D4F"/>
    <w:rsid w:val="00EF5E13"/>
    <w:rsid w:val="00EF647F"/>
    <w:rsid w:val="00F23FEA"/>
    <w:rsid w:val="00F27B7B"/>
    <w:rsid w:val="00F31EDC"/>
    <w:rsid w:val="00F379B1"/>
    <w:rsid w:val="00F40769"/>
    <w:rsid w:val="00F462B3"/>
    <w:rsid w:val="00F5664F"/>
    <w:rsid w:val="00F666C4"/>
    <w:rsid w:val="00F76AFC"/>
    <w:rsid w:val="00F81BF0"/>
    <w:rsid w:val="00F82E88"/>
    <w:rsid w:val="00F86E11"/>
    <w:rsid w:val="00FA47C0"/>
    <w:rsid w:val="00FA5FFD"/>
    <w:rsid w:val="00FB5DD1"/>
    <w:rsid w:val="00FC2B5D"/>
    <w:rsid w:val="00FD1DDC"/>
    <w:rsid w:val="00FD3AD2"/>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DD1A9FAE-E6B6-4C4C-A82F-A99207250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79B1"/>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circular/circular-externa-no-005-de-2024"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hillipe.maya@urosario.edu.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circular/circular-externa-no-005-de-202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2.xml><?xml version="1.0" encoding="utf-8"?>
<ds:datastoreItem xmlns:ds="http://schemas.openxmlformats.org/officeDocument/2006/customXml" ds:itemID="{B49D0E02-1E24-4358-B136-2B0BC0409D2A}"/>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465CCEE7-541E-46A1-B20A-234967C52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26</Pages>
  <Words>8748</Words>
  <Characters>49865</Characters>
  <Application>Microsoft Office Word</Application>
  <DocSecurity>0</DocSecurity>
  <Lines>415</Lines>
  <Paragraphs>116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4</cp:revision>
  <cp:lastPrinted>2023-01-10T21:18:00Z</cp:lastPrinted>
  <dcterms:created xsi:type="dcterms:W3CDTF">2025-11-26T01:28:00Z</dcterms:created>
  <dcterms:modified xsi:type="dcterms:W3CDTF">2025-11-27T13:53:00Z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