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BA0649" w14:textId="2A54F034" w:rsidR="007B12B8" w:rsidRPr="00DD735A" w:rsidRDefault="007B12B8" w:rsidP="007B12B8">
      <w:pPr>
        <w:rPr>
          <w:rFonts w:ascii="Verdana" w:eastAsia="Calibri" w:hAnsi="Verdana" w:cs="Arial"/>
          <w:b/>
          <w:bCs/>
          <w:lang w:val="es-ES" w:eastAsia="es-ES"/>
        </w:rPr>
      </w:pPr>
      <w:bookmarkStart w:id="0" w:name="_Hlk143780582"/>
      <w:r w:rsidRPr="00DD735A">
        <w:rPr>
          <w:rFonts w:ascii="Verdana" w:eastAsia="Calibri" w:hAnsi="Verdana" w:cs="Arial"/>
          <w:b/>
          <w:bCs/>
          <w:lang w:val="es-ES" w:eastAsia="es-ES"/>
        </w:rPr>
        <w:t xml:space="preserve">EXPERIENCIA – Requisito habilitante – RUP – Plena prueba </w:t>
      </w:r>
    </w:p>
    <w:p w14:paraId="156560E1" w14:textId="77777777" w:rsidR="00DD735A" w:rsidRPr="00E84290" w:rsidRDefault="00DD735A" w:rsidP="00DD735A">
      <w:pPr>
        <w:spacing w:after="120" w:line="276" w:lineRule="auto"/>
        <w:jc w:val="both"/>
        <w:rPr>
          <w:rFonts w:ascii="Verdana" w:eastAsia="Calibri" w:hAnsi="Verdana" w:cs="Arial"/>
          <w:bCs/>
          <w:lang w:val="es-ES" w:eastAsia="es-ES_tradnl"/>
        </w:rPr>
      </w:pPr>
      <w:r>
        <w:rPr>
          <w:rFonts w:ascii="Verdana" w:eastAsia="Calibri" w:hAnsi="Verdana" w:cs="Arial"/>
          <w:lang w:val="es-ES" w:eastAsia="es-ES"/>
        </w:rPr>
        <w:t xml:space="preserve">[…] </w:t>
      </w:r>
      <w:r w:rsidRPr="00E84290">
        <w:rPr>
          <w:rFonts w:ascii="Verdana" w:eastAsia="Calibri" w:hAnsi="Verdana" w:cs="Arial"/>
          <w:bCs/>
          <w:lang w:val="es-ES" w:eastAsia="es-ES_tradnl"/>
        </w:rPr>
        <w:t xml:space="preserve">el </w:t>
      </w:r>
      <w:r>
        <w:rPr>
          <w:rFonts w:ascii="Verdana" w:eastAsia="Calibri" w:hAnsi="Verdana" w:cs="Arial"/>
          <w:bCs/>
          <w:lang w:val="es-ES" w:eastAsia="es-ES_tradnl"/>
        </w:rPr>
        <w:t>RUP</w:t>
      </w:r>
      <w:r w:rsidRPr="00E84290">
        <w:rPr>
          <w:rFonts w:ascii="Verdana" w:eastAsia="Calibri" w:hAnsi="Verdana" w:cs="Arial"/>
          <w:bCs/>
          <w:lang w:val="es-ES" w:eastAsia="es-ES_tradnl"/>
        </w:rPr>
        <w:t xml:space="preserve"> constituye plena prueba de las condiciones que en él consten y que hayan sido verificadas por las Cámaras de Comercio. En consecuencia, la acreditación de los requisitos habilitantes previstos en el numeral 1 del artículo 5 de la ley —entre ellos, </w:t>
      </w:r>
      <w:r w:rsidRPr="00E84290">
        <w:rPr>
          <w:rFonts w:ascii="Verdana" w:eastAsia="Calibri" w:hAnsi="Verdana" w:cs="Arial"/>
          <w:bCs/>
          <w:i/>
          <w:iCs/>
          <w:lang w:val="es-ES" w:eastAsia="es-ES_tradnl"/>
        </w:rPr>
        <w:t>la experiencia</w:t>
      </w:r>
      <w:r w:rsidRPr="00E84290">
        <w:rPr>
          <w:rFonts w:ascii="Verdana" w:eastAsia="Calibri" w:hAnsi="Verdana" w:cs="Arial"/>
          <w:bCs/>
          <w:lang w:val="es-ES" w:eastAsia="es-ES_tradnl"/>
        </w:rPr>
        <w:t>, la capacidad jurídica, financiera y de organización— debe efectuarse exclusivamente mediante el certificado del RUP, en el cual deben figurar dichas condiciones.</w:t>
      </w:r>
    </w:p>
    <w:p w14:paraId="6D425ED8" w14:textId="77777777" w:rsidR="00DD735A" w:rsidRDefault="00DD735A" w:rsidP="00DD735A">
      <w:pPr>
        <w:spacing w:after="120" w:line="276" w:lineRule="auto"/>
        <w:jc w:val="both"/>
        <w:rPr>
          <w:rFonts w:ascii="Verdana" w:eastAsia="Calibri" w:hAnsi="Verdana" w:cs="Arial"/>
          <w:bCs/>
          <w:lang w:val="es-ES" w:eastAsia="es-ES_tradnl"/>
        </w:rPr>
      </w:pPr>
      <w:r w:rsidRPr="00E84290">
        <w:rPr>
          <w:rFonts w:ascii="Verdana" w:eastAsia="Calibri" w:hAnsi="Verdana" w:cs="Arial"/>
          <w:bCs/>
          <w:lang w:val="es-ES" w:eastAsia="es-ES_tradnl"/>
        </w:rPr>
        <w:t>Por lo mismo, las entidades estatales no pueden exigir ni los proponentes aportar documentos adicionales destinados a soportar la información que ya fue verificada e inscrita en el Registro. No obstante, la norma admite una excepción:</w:t>
      </w:r>
      <w:r w:rsidRPr="00A424BB">
        <w:rPr>
          <w:rFonts w:ascii="Verdana" w:eastAsia="Calibri" w:hAnsi="Verdana" w:cs="Arial"/>
          <w:bCs/>
          <w:lang w:val="es-ES" w:eastAsia="es-ES_tradnl"/>
        </w:rPr>
        <w:t xml:space="preserve"> </w:t>
      </w:r>
      <w:r w:rsidRPr="00E84290">
        <w:rPr>
          <w:rFonts w:ascii="Verdana" w:eastAsia="Calibri" w:hAnsi="Verdana" w:cs="Arial"/>
          <w:bCs/>
          <w:lang w:val="es-ES" w:eastAsia="es-ES_tradnl"/>
        </w:rPr>
        <w:t>cuando las particularidades del objeto contractual hagan necesaria la comprobación de requisitos adicionales a los contenidos en el RUP, la entidad contratante podrá realizar dicha verificación directamente, con el fin de garantizar la selección objetiva y la adecuada ejecución del contrato.</w:t>
      </w:r>
    </w:p>
    <w:p w14:paraId="321D6221" w14:textId="77777777" w:rsidR="007B12B8" w:rsidRPr="00DD735A" w:rsidRDefault="007B12B8" w:rsidP="007B12B8">
      <w:pPr>
        <w:rPr>
          <w:rFonts w:eastAsia="Calibri" w:cs="Arial"/>
          <w:b/>
          <w:bCs/>
          <w:lang w:val="es-ES" w:eastAsia="es-ES"/>
        </w:rPr>
      </w:pPr>
      <w:r w:rsidRPr="00DD735A">
        <w:rPr>
          <w:rFonts w:ascii="Verdana" w:eastAsia="Calibri" w:hAnsi="Verdana" w:cs="Arial"/>
          <w:b/>
          <w:bCs/>
          <w:lang w:val="es-ES" w:eastAsia="es-ES"/>
        </w:rPr>
        <w:t xml:space="preserve">CÁMARAS DE COMERCIO – Verificación RUP </w:t>
      </w:r>
    </w:p>
    <w:p w14:paraId="44D553BB" w14:textId="1A94067C" w:rsidR="00DD735A" w:rsidRPr="00E84290" w:rsidRDefault="00DD735A" w:rsidP="00DD735A">
      <w:pPr>
        <w:spacing w:after="120" w:line="276" w:lineRule="auto"/>
        <w:jc w:val="both"/>
        <w:rPr>
          <w:rFonts w:ascii="Verdana" w:eastAsia="Calibri" w:hAnsi="Verdana" w:cs="Arial"/>
          <w:bCs/>
          <w:lang w:val="es-ES" w:eastAsia="es-ES_tradnl"/>
        </w:rPr>
      </w:pPr>
      <w:r>
        <w:rPr>
          <w:rFonts w:ascii="Verdana" w:eastAsia="Calibri" w:hAnsi="Verdana" w:cs="Arial"/>
          <w:bCs/>
          <w:lang w:val="es-ES" w:eastAsia="es-ES_tradnl"/>
        </w:rPr>
        <w:t>[…]</w:t>
      </w:r>
      <w:r w:rsidRPr="00E84290">
        <w:rPr>
          <w:rFonts w:ascii="Verdana" w:eastAsia="Calibri" w:hAnsi="Verdana" w:cs="Arial"/>
          <w:bCs/>
          <w:lang w:val="es-ES" w:eastAsia="es-ES_tradnl"/>
        </w:rPr>
        <w:t xml:space="preserve"> el </w:t>
      </w:r>
      <w:r>
        <w:rPr>
          <w:rFonts w:ascii="Verdana" w:eastAsia="Calibri" w:hAnsi="Verdana" w:cs="Arial"/>
          <w:bCs/>
          <w:lang w:val="es-ES" w:eastAsia="es-ES_tradnl"/>
        </w:rPr>
        <w:t>RUP</w:t>
      </w:r>
      <w:r w:rsidRPr="00E84290">
        <w:rPr>
          <w:rFonts w:ascii="Verdana" w:eastAsia="Calibri" w:hAnsi="Verdana" w:cs="Arial"/>
          <w:bCs/>
          <w:lang w:val="es-ES" w:eastAsia="es-ES_tradnl"/>
        </w:rPr>
        <w:t xml:space="preserve"> constituye plena prueba de las condiciones que en él consten y que hayan sido verificadas por las Cámaras de Comercio. En consecuencia, la acreditación de los requisitos habilitantes previstos en el numeral 1 del artículo 5 de la ley —entre ellos, </w:t>
      </w:r>
      <w:r w:rsidRPr="00E84290">
        <w:rPr>
          <w:rFonts w:ascii="Verdana" w:eastAsia="Calibri" w:hAnsi="Verdana" w:cs="Arial"/>
          <w:bCs/>
          <w:i/>
          <w:iCs/>
          <w:lang w:val="es-ES" w:eastAsia="es-ES_tradnl"/>
        </w:rPr>
        <w:t>la experiencia</w:t>
      </w:r>
      <w:r w:rsidRPr="00E84290">
        <w:rPr>
          <w:rFonts w:ascii="Verdana" w:eastAsia="Calibri" w:hAnsi="Verdana" w:cs="Arial"/>
          <w:bCs/>
          <w:lang w:val="es-ES" w:eastAsia="es-ES_tradnl"/>
        </w:rPr>
        <w:t>, la capacidad jurídica, financiera y de organización— debe efectuarse exclusivamente mediante el certificado del RUP, en el cual deben figurar dichas condiciones.</w:t>
      </w:r>
    </w:p>
    <w:p w14:paraId="50297290" w14:textId="2665B03A" w:rsidR="007B12B8" w:rsidRPr="00DD735A" w:rsidRDefault="007B12B8" w:rsidP="007B12B8">
      <w:pPr>
        <w:rPr>
          <w:rFonts w:eastAsia="Calibri" w:cs="Arial"/>
          <w:b/>
          <w:bCs/>
          <w:lang w:val="es-ES" w:eastAsia="es-ES"/>
        </w:rPr>
      </w:pPr>
      <w:r w:rsidRPr="00DD735A">
        <w:rPr>
          <w:rFonts w:ascii="Verdana" w:eastAsia="Calibri" w:hAnsi="Verdana" w:cs="Arial"/>
          <w:b/>
          <w:bCs/>
          <w:lang w:val="es-ES" w:eastAsia="es-ES"/>
        </w:rPr>
        <w:t>RUP – Excepciones – Deber de verificación de entidades estatales</w:t>
      </w:r>
    </w:p>
    <w:p w14:paraId="7AB5FB17" w14:textId="3BC97E77" w:rsidR="00DD735A" w:rsidRPr="00D61001" w:rsidRDefault="00DD735A" w:rsidP="00DD735A">
      <w:pPr>
        <w:spacing w:after="0" w:line="276" w:lineRule="auto"/>
        <w:jc w:val="both"/>
        <w:rPr>
          <w:rFonts w:ascii="Verdana" w:hAnsi="Verdana" w:cs="Open Sans"/>
          <w:sz w:val="20"/>
          <w:szCs w:val="20"/>
        </w:rPr>
      </w:pPr>
      <w:r w:rsidRPr="00DA67B3">
        <w:rPr>
          <w:rFonts w:ascii="Verdana" w:hAnsi="Verdana"/>
        </w:rPr>
        <w:t xml:space="preserve">No obstante, </w:t>
      </w:r>
      <w:r w:rsidRPr="00651F93">
        <w:rPr>
          <w:rFonts w:ascii="Verdana" w:hAnsi="Verdana"/>
        </w:rPr>
        <w:t xml:space="preserve">el </w:t>
      </w:r>
      <w:r w:rsidRPr="002D172F">
        <w:rPr>
          <w:rFonts w:ascii="Verdana" w:eastAsia="Calibri" w:hAnsi="Verdana" w:cs="Arial"/>
          <w:lang w:eastAsia="es-ES_tradnl"/>
        </w:rPr>
        <w:t xml:space="preserve">RUP </w:t>
      </w:r>
      <w:r w:rsidRPr="00651F93">
        <w:rPr>
          <w:rFonts w:ascii="Verdana" w:hAnsi="Verdana"/>
        </w:rPr>
        <w:t>no resulta exigible en todos los procesos de selección. El inciso segundo del artículo 6 de la Ley 1150 de 2007 establece expresamente los casos en los cuales no se requiere dicho registro</w:t>
      </w:r>
      <w:r>
        <w:rPr>
          <w:rFonts w:ascii="Verdana" w:hAnsi="Verdana"/>
        </w:rPr>
        <w:t xml:space="preserve"> […]</w:t>
      </w:r>
    </w:p>
    <w:p w14:paraId="2BDF0095" w14:textId="77777777" w:rsidR="00DD735A" w:rsidRDefault="00DD735A" w:rsidP="00DD735A">
      <w:pPr>
        <w:spacing w:after="120" w:line="276" w:lineRule="auto"/>
        <w:jc w:val="both"/>
        <w:rPr>
          <w:rFonts w:ascii="Verdana" w:hAnsi="Verdana"/>
        </w:rPr>
      </w:pPr>
    </w:p>
    <w:p w14:paraId="556488DF" w14:textId="77665530" w:rsidR="00DD735A" w:rsidRPr="00F8031F" w:rsidRDefault="00DD735A" w:rsidP="00DD735A">
      <w:pPr>
        <w:spacing w:after="120" w:line="276" w:lineRule="auto"/>
        <w:jc w:val="both"/>
        <w:rPr>
          <w:rFonts w:ascii="Verdana" w:hAnsi="Verdana" w:cs="Arial"/>
          <w:lang w:val="es-ES_tradnl"/>
        </w:rPr>
      </w:pPr>
      <w:r w:rsidRPr="00F8031F">
        <w:rPr>
          <w:rFonts w:ascii="Verdana" w:hAnsi="Verdana"/>
        </w:rPr>
        <w:t>La norma dispone que, en estos eventos, las entidades contratantes tienen del deber</w:t>
      </w:r>
      <w:r w:rsidRPr="00F8031F">
        <w:rPr>
          <w:rFonts w:ascii="Verdana" w:hAnsi="Verdana"/>
          <w:spacing w:val="-6"/>
        </w:rPr>
        <w:t xml:space="preserve"> </w:t>
      </w:r>
      <w:r w:rsidRPr="00F8031F">
        <w:rPr>
          <w:rFonts w:ascii="Verdana" w:hAnsi="Verdana"/>
        </w:rPr>
        <w:t>de</w:t>
      </w:r>
      <w:r w:rsidRPr="00F8031F">
        <w:rPr>
          <w:rFonts w:ascii="Verdana" w:hAnsi="Verdana"/>
          <w:spacing w:val="-6"/>
        </w:rPr>
        <w:t xml:space="preserve"> </w:t>
      </w:r>
      <w:r w:rsidRPr="00F8031F">
        <w:rPr>
          <w:rFonts w:ascii="Verdana" w:hAnsi="Verdana"/>
        </w:rPr>
        <w:t>verificar</w:t>
      </w:r>
      <w:r w:rsidRPr="00F8031F">
        <w:rPr>
          <w:rFonts w:ascii="Verdana" w:hAnsi="Verdana"/>
          <w:spacing w:val="-6"/>
        </w:rPr>
        <w:t xml:space="preserve"> directamente </w:t>
      </w:r>
      <w:r w:rsidRPr="00F8031F">
        <w:rPr>
          <w:rFonts w:ascii="Verdana" w:hAnsi="Verdana"/>
        </w:rPr>
        <w:t xml:space="preserve">el cumplimiento de los requisitos habilitantes o la Clasificación de Bienes y Servicios. Asimismo, el numeral 6.1. del artículo 6 de la Ley 1150 de 2007 establece que, cuando sea necesario constatar requisitos o información que no repose en el RUP, la entidad podrá solicitar información adicional exclusivamente con el propósito de complementar la contenida en dicho registro y verificar condiciones adicionales de experiencia del proponente. </w:t>
      </w:r>
      <w:r w:rsidRPr="00F8031F">
        <w:rPr>
          <w:rFonts w:ascii="Verdana" w:hAnsi="Verdana"/>
        </w:rPr>
        <w:lastRenderedPageBreak/>
        <w:t>En consecuencia, solo cuando las particularidades del objeto contractual lo exijan, la entidad podrá efectuar la verificación directa de tales requisitos y requerir documentos distintos al RUP.</w:t>
      </w:r>
    </w:p>
    <w:p w14:paraId="611CD899" w14:textId="3C0576A5" w:rsidR="007B12B8" w:rsidRDefault="007B12B8" w:rsidP="007B12B8">
      <w:pPr>
        <w:rPr>
          <w:rFonts w:ascii="Verdana" w:eastAsia="Calibri" w:hAnsi="Verdana" w:cs="Arial"/>
          <w:lang w:val="es-ES" w:eastAsia="es-ES"/>
        </w:rPr>
      </w:pPr>
    </w:p>
    <w:p w14:paraId="38A5627F" w14:textId="3BC071B6" w:rsidR="00DD735A" w:rsidRDefault="00DD735A" w:rsidP="007B12B8">
      <w:pPr>
        <w:rPr>
          <w:rFonts w:ascii="Verdana" w:eastAsia="Calibri" w:hAnsi="Verdana" w:cs="Arial"/>
          <w:lang w:val="es-ES" w:eastAsia="es-ES"/>
        </w:rPr>
      </w:pPr>
    </w:p>
    <w:p w14:paraId="60D72935" w14:textId="3954CB25" w:rsidR="00DD735A" w:rsidRDefault="00DD735A" w:rsidP="007B12B8">
      <w:pPr>
        <w:rPr>
          <w:rFonts w:ascii="Verdana" w:eastAsia="Calibri" w:hAnsi="Verdana" w:cs="Arial"/>
          <w:lang w:val="es-ES" w:eastAsia="es-ES"/>
        </w:rPr>
      </w:pPr>
    </w:p>
    <w:p w14:paraId="05020BB5" w14:textId="3A87DA3F" w:rsidR="00DD735A" w:rsidRDefault="00DD735A" w:rsidP="007B12B8">
      <w:pPr>
        <w:rPr>
          <w:rFonts w:ascii="Verdana" w:eastAsia="Calibri" w:hAnsi="Verdana" w:cs="Arial"/>
          <w:lang w:val="es-ES" w:eastAsia="es-ES"/>
        </w:rPr>
      </w:pPr>
    </w:p>
    <w:p w14:paraId="08CC8545" w14:textId="29216E80" w:rsidR="00DD735A" w:rsidRDefault="00DD735A" w:rsidP="007B12B8">
      <w:pPr>
        <w:rPr>
          <w:rFonts w:ascii="Verdana" w:eastAsia="Calibri" w:hAnsi="Verdana" w:cs="Arial"/>
          <w:lang w:val="es-ES" w:eastAsia="es-ES"/>
        </w:rPr>
      </w:pPr>
    </w:p>
    <w:p w14:paraId="0298F474" w14:textId="40E6B259" w:rsidR="00DD735A" w:rsidRDefault="00DD735A" w:rsidP="007B12B8">
      <w:pPr>
        <w:rPr>
          <w:rFonts w:ascii="Verdana" w:eastAsia="Calibri" w:hAnsi="Verdana" w:cs="Arial"/>
          <w:lang w:val="es-ES" w:eastAsia="es-ES"/>
        </w:rPr>
      </w:pPr>
    </w:p>
    <w:p w14:paraId="6D54E09D" w14:textId="6C39E789" w:rsidR="00DD735A" w:rsidRDefault="00DD735A" w:rsidP="007B12B8">
      <w:pPr>
        <w:rPr>
          <w:rFonts w:ascii="Verdana" w:eastAsia="Calibri" w:hAnsi="Verdana" w:cs="Arial"/>
          <w:lang w:val="es-ES" w:eastAsia="es-ES"/>
        </w:rPr>
      </w:pPr>
    </w:p>
    <w:p w14:paraId="04746065" w14:textId="7FA2AC46" w:rsidR="00DD735A" w:rsidRDefault="00DD735A" w:rsidP="007B12B8">
      <w:pPr>
        <w:rPr>
          <w:rFonts w:ascii="Verdana" w:eastAsia="Calibri" w:hAnsi="Verdana" w:cs="Arial"/>
          <w:lang w:val="es-ES" w:eastAsia="es-ES"/>
        </w:rPr>
      </w:pPr>
    </w:p>
    <w:p w14:paraId="1EB7F25E" w14:textId="11D9BA39" w:rsidR="00DD735A" w:rsidRDefault="00DD735A" w:rsidP="007B12B8">
      <w:pPr>
        <w:rPr>
          <w:rFonts w:ascii="Verdana" w:eastAsia="Calibri" w:hAnsi="Verdana" w:cs="Arial"/>
          <w:lang w:val="es-ES" w:eastAsia="es-ES"/>
        </w:rPr>
      </w:pPr>
    </w:p>
    <w:p w14:paraId="68C9C76A" w14:textId="1FF41BE1" w:rsidR="00DD735A" w:rsidRDefault="00DD735A" w:rsidP="007B12B8">
      <w:pPr>
        <w:rPr>
          <w:rFonts w:ascii="Verdana" w:eastAsia="Calibri" w:hAnsi="Verdana" w:cs="Arial"/>
          <w:lang w:val="es-ES" w:eastAsia="es-ES"/>
        </w:rPr>
      </w:pPr>
    </w:p>
    <w:p w14:paraId="72DE4F91" w14:textId="559F5CCB" w:rsidR="00DD735A" w:rsidRDefault="00DD735A" w:rsidP="007B12B8">
      <w:pPr>
        <w:rPr>
          <w:rFonts w:ascii="Verdana" w:eastAsia="Calibri" w:hAnsi="Verdana" w:cs="Arial"/>
          <w:lang w:val="es-ES" w:eastAsia="es-ES"/>
        </w:rPr>
      </w:pPr>
    </w:p>
    <w:p w14:paraId="5DB7BFF8" w14:textId="6D4C8055" w:rsidR="00DD735A" w:rsidRDefault="00DD735A" w:rsidP="007B12B8">
      <w:pPr>
        <w:rPr>
          <w:rFonts w:ascii="Verdana" w:eastAsia="Calibri" w:hAnsi="Verdana" w:cs="Arial"/>
          <w:lang w:val="es-ES" w:eastAsia="es-ES"/>
        </w:rPr>
      </w:pPr>
    </w:p>
    <w:p w14:paraId="2AE424A8" w14:textId="0D5F0A8A" w:rsidR="00DD735A" w:rsidRDefault="00DD735A" w:rsidP="007B12B8">
      <w:pPr>
        <w:rPr>
          <w:rFonts w:ascii="Verdana" w:eastAsia="Calibri" w:hAnsi="Verdana" w:cs="Arial"/>
          <w:lang w:val="es-ES" w:eastAsia="es-ES"/>
        </w:rPr>
      </w:pPr>
    </w:p>
    <w:p w14:paraId="12240AE1" w14:textId="0BC21CCD" w:rsidR="00DD735A" w:rsidRDefault="00DD735A" w:rsidP="007B12B8">
      <w:pPr>
        <w:rPr>
          <w:rFonts w:ascii="Verdana" w:eastAsia="Calibri" w:hAnsi="Verdana" w:cs="Arial"/>
          <w:lang w:val="es-ES" w:eastAsia="es-ES"/>
        </w:rPr>
      </w:pPr>
    </w:p>
    <w:p w14:paraId="30D7ADC1" w14:textId="5D319150" w:rsidR="00DD735A" w:rsidRDefault="00DD735A" w:rsidP="007B12B8">
      <w:pPr>
        <w:rPr>
          <w:rFonts w:ascii="Verdana" w:eastAsia="Calibri" w:hAnsi="Verdana" w:cs="Arial"/>
          <w:lang w:val="es-ES" w:eastAsia="es-ES"/>
        </w:rPr>
      </w:pPr>
    </w:p>
    <w:p w14:paraId="51A09FD9" w14:textId="1A21365B" w:rsidR="00DD735A" w:rsidRDefault="00DD735A" w:rsidP="007B12B8">
      <w:pPr>
        <w:rPr>
          <w:rFonts w:ascii="Verdana" w:eastAsia="Calibri" w:hAnsi="Verdana" w:cs="Arial"/>
          <w:lang w:val="es-ES" w:eastAsia="es-ES"/>
        </w:rPr>
      </w:pPr>
    </w:p>
    <w:p w14:paraId="072EF177" w14:textId="2EF222BF" w:rsidR="00DD735A" w:rsidRDefault="00DD735A" w:rsidP="007B12B8">
      <w:pPr>
        <w:rPr>
          <w:rFonts w:ascii="Verdana" w:eastAsia="Calibri" w:hAnsi="Verdana" w:cs="Arial"/>
          <w:lang w:val="es-ES" w:eastAsia="es-ES"/>
        </w:rPr>
      </w:pPr>
    </w:p>
    <w:p w14:paraId="1A2BBBED" w14:textId="1AD531F7" w:rsidR="00DD735A" w:rsidRDefault="00DD735A" w:rsidP="007B12B8">
      <w:pPr>
        <w:rPr>
          <w:rFonts w:ascii="Verdana" w:eastAsia="Calibri" w:hAnsi="Verdana" w:cs="Arial"/>
          <w:lang w:val="es-ES" w:eastAsia="es-ES"/>
        </w:rPr>
      </w:pPr>
    </w:p>
    <w:p w14:paraId="7FEA936A" w14:textId="77777777" w:rsidR="00DD735A" w:rsidRPr="00867EB5" w:rsidRDefault="00DD735A" w:rsidP="007B12B8">
      <w:pPr>
        <w:rPr>
          <w:rFonts w:ascii="Verdana" w:eastAsia="Calibri" w:hAnsi="Verdana" w:cs="Arial"/>
          <w:lang w:val="es-ES" w:eastAsia="es-ES"/>
        </w:rPr>
      </w:pPr>
    </w:p>
    <w:p w14:paraId="6B4845A1" w14:textId="77777777" w:rsidR="007B12B8" w:rsidRDefault="007B12B8" w:rsidP="00C15139">
      <w:pPr>
        <w:spacing w:after="0"/>
        <w:rPr>
          <w:rFonts w:ascii="Verdana" w:hAnsi="Verdana"/>
        </w:rPr>
      </w:pPr>
    </w:p>
    <w:p w14:paraId="09B78036" w14:textId="77777777" w:rsidR="007B12B8" w:rsidRDefault="007B12B8" w:rsidP="00C15139">
      <w:pPr>
        <w:spacing w:after="0"/>
        <w:rPr>
          <w:rFonts w:ascii="Verdana" w:hAnsi="Verdana"/>
        </w:rPr>
      </w:pPr>
    </w:p>
    <w:p w14:paraId="20C41B5E" w14:textId="77777777" w:rsidR="007B12B8" w:rsidRDefault="007B12B8" w:rsidP="00C15139">
      <w:pPr>
        <w:spacing w:after="0"/>
        <w:rPr>
          <w:rFonts w:ascii="Verdana" w:hAnsi="Verdana"/>
        </w:rPr>
      </w:pPr>
    </w:p>
    <w:p w14:paraId="19E7E6E3" w14:textId="77777777" w:rsidR="007B12B8" w:rsidRDefault="007B12B8" w:rsidP="00C15139">
      <w:pPr>
        <w:spacing w:after="0"/>
        <w:rPr>
          <w:rFonts w:ascii="Verdana" w:hAnsi="Verdana"/>
        </w:rPr>
      </w:pPr>
    </w:p>
    <w:p w14:paraId="12443EE0" w14:textId="1E5ABBEB" w:rsidR="00C15139" w:rsidRPr="0024624F" w:rsidRDefault="003A13E3" w:rsidP="00C15139">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208B432E" wp14:editId="24E066C3">
            <wp:simplePos x="0" y="0"/>
            <wp:positionH relativeFrom="column">
              <wp:posOffset>3276876</wp:posOffset>
            </wp:positionH>
            <wp:positionV relativeFrom="paragraph">
              <wp:posOffset>1270</wp:posOffset>
            </wp:positionV>
            <wp:extent cx="2584450" cy="787400"/>
            <wp:effectExtent l="0" t="0" r="635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584450" cy="78740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 xml:space="preserve">26 Noviembre 2025 </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5B4E6DC3" w14:textId="77777777" w:rsidR="00351D7F" w:rsidRDefault="00351D7F" w:rsidP="00351D7F">
      <w:pPr>
        <w:spacing w:after="0" w:line="240" w:lineRule="auto"/>
        <w:jc w:val="both"/>
        <w:rPr>
          <w:rFonts w:ascii="Verdana" w:eastAsia="Calibri" w:hAnsi="Verdana" w:cs="Arial"/>
          <w:lang w:val="es-ES" w:eastAsia="es-ES"/>
        </w:rPr>
      </w:pPr>
      <w:bookmarkStart w:id="1" w:name="_Hlk208479311"/>
      <w:bookmarkEnd w:id="0"/>
      <w:r>
        <w:rPr>
          <w:rFonts w:ascii="Verdana" w:eastAsia="Calibri" w:hAnsi="Verdana" w:cs="Arial"/>
          <w:lang w:val="es-ES" w:eastAsia="es-ES"/>
        </w:rPr>
        <w:t>Señor</w:t>
      </w:r>
    </w:p>
    <w:p w14:paraId="6AD5AC80" w14:textId="77777777" w:rsidR="00351D7F" w:rsidRDefault="00351D7F" w:rsidP="00351D7F">
      <w:pPr>
        <w:spacing w:after="0" w:line="240" w:lineRule="auto"/>
        <w:rPr>
          <w:rFonts w:ascii="Verdana" w:eastAsia="Calibri" w:hAnsi="Verdana" w:cs="Arial"/>
          <w:b/>
          <w:lang w:val="es-ES" w:eastAsia="es-ES"/>
        </w:rPr>
      </w:pPr>
      <w:r>
        <w:rPr>
          <w:rFonts w:ascii="Verdana" w:eastAsia="Calibri" w:hAnsi="Verdana" w:cs="Arial"/>
          <w:b/>
          <w:lang w:val="es-ES" w:eastAsia="es-ES"/>
        </w:rPr>
        <w:t>Jorge Eliecer Neira Garnica</w:t>
      </w:r>
    </w:p>
    <w:p w14:paraId="2247A276" w14:textId="77777777" w:rsidR="00351D7F" w:rsidRPr="00C53B42" w:rsidRDefault="00410770" w:rsidP="00351D7F">
      <w:pPr>
        <w:spacing w:after="0" w:line="240" w:lineRule="auto"/>
        <w:rPr>
          <w:rFonts w:ascii="Verdana" w:hAnsi="Verdana" w:cs="ArialMT"/>
        </w:rPr>
      </w:pPr>
      <w:hyperlink r:id="rId11" w:history="1">
        <w:r w:rsidR="00351D7F" w:rsidRPr="004D2A42">
          <w:rPr>
            <w:rStyle w:val="Hipervnculo"/>
            <w:rFonts w:ascii="Verdana" w:hAnsi="Verdana" w:cs="ArialMT"/>
          </w:rPr>
          <w:t>jenegar@gmail.com</w:t>
        </w:r>
      </w:hyperlink>
      <w:r w:rsidR="00351D7F" w:rsidRPr="001F3B3D">
        <w:rPr>
          <w:rFonts w:ascii="Verdana" w:hAnsi="Verdana" w:cs="ArialMT"/>
        </w:rPr>
        <w:t xml:space="preserve">   </w:t>
      </w:r>
    </w:p>
    <w:bookmarkEnd w:id="1"/>
    <w:p w14:paraId="31305B5D" w14:textId="77777777" w:rsidR="00351D7F" w:rsidRPr="00867EB5" w:rsidRDefault="00351D7F" w:rsidP="00351D7F">
      <w:pPr>
        <w:spacing w:after="0" w:line="240" w:lineRule="auto"/>
        <w:rPr>
          <w:rFonts w:ascii="Verdana" w:hAnsi="Verdana" w:cs="ArialMT"/>
        </w:rPr>
      </w:pPr>
      <w:r>
        <w:rPr>
          <w:rFonts w:ascii="Verdana" w:eastAsia="Calibri" w:hAnsi="Verdana" w:cs="Arial"/>
          <w:lang w:val="es-ES" w:eastAsia="es-ES"/>
        </w:rPr>
        <w:t>Yopal, Casanare</w:t>
      </w:r>
    </w:p>
    <w:p w14:paraId="272DD81A" w14:textId="77777777" w:rsidR="00351D7F" w:rsidRPr="00C114AA" w:rsidRDefault="00351D7F" w:rsidP="00351D7F">
      <w:pPr>
        <w:spacing w:after="0" w:line="240" w:lineRule="auto"/>
        <w:rPr>
          <w:rFonts w:ascii="Verdana" w:eastAsia="Calibri" w:hAnsi="Verdana" w:cs="Arial"/>
          <w:b/>
          <w:bCs/>
          <w:color w:val="000000"/>
          <w:highlight w:val="yellow"/>
          <w:lang w:val="es-ES_tradnl" w:eastAsia="es-ES_tradnl"/>
        </w:rPr>
      </w:pPr>
    </w:p>
    <w:p w14:paraId="24C824B4" w14:textId="77777777" w:rsidR="00351D7F" w:rsidRPr="00C114AA" w:rsidRDefault="00351D7F" w:rsidP="00351D7F">
      <w:pPr>
        <w:spacing w:after="0" w:line="240" w:lineRule="auto"/>
        <w:rPr>
          <w:rFonts w:ascii="Verdana" w:eastAsia="Calibri" w:hAnsi="Verdana" w:cs="Arial"/>
          <w:b/>
          <w:bCs/>
          <w:color w:val="000000"/>
          <w:highlight w:val="yellow"/>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51D7F" w:rsidRPr="00C114AA" w14:paraId="6CDDEEC9" w14:textId="77777777" w:rsidTr="00D43119">
        <w:trPr>
          <w:trHeight w:val="218"/>
        </w:trPr>
        <w:tc>
          <w:tcPr>
            <w:tcW w:w="2689" w:type="dxa"/>
          </w:tcPr>
          <w:p w14:paraId="2D34DD44" w14:textId="77777777" w:rsidR="00351D7F" w:rsidRPr="00C114AA" w:rsidRDefault="00351D7F" w:rsidP="00D43119">
            <w:pPr>
              <w:jc w:val="both"/>
              <w:rPr>
                <w:rFonts w:ascii="Verdana" w:eastAsia="Calibri" w:hAnsi="Verdana" w:cs="Arial"/>
                <w:b/>
                <w:bCs/>
                <w:color w:val="7030A0"/>
                <w:highlight w:val="yellow"/>
                <w:lang w:val="es-ES_tradnl" w:eastAsia="es-ES_tradnl"/>
              </w:rPr>
            </w:pPr>
          </w:p>
        </w:tc>
        <w:tc>
          <w:tcPr>
            <w:tcW w:w="6100" w:type="dxa"/>
            <w:hideMark/>
          </w:tcPr>
          <w:p w14:paraId="6019454E" w14:textId="77777777" w:rsidR="00351D7F" w:rsidRDefault="00351D7F" w:rsidP="00D43119">
            <w:pPr>
              <w:jc w:val="both"/>
              <w:rPr>
                <w:rFonts w:ascii="Verdana" w:eastAsia="Calibri" w:hAnsi="Verdana" w:cs="Arial"/>
                <w:b/>
                <w:bCs/>
                <w:lang w:val="es-ES" w:eastAsia="es-ES"/>
              </w:rPr>
            </w:pPr>
            <w:r w:rsidRPr="00867EB5">
              <w:rPr>
                <w:rFonts w:ascii="Verdana" w:eastAsia="Calibri" w:hAnsi="Verdana" w:cs="Arial"/>
                <w:b/>
                <w:bCs/>
                <w:lang w:val="es-ES" w:eastAsia="es-ES"/>
              </w:rPr>
              <w:t>Concepto C-</w:t>
            </w:r>
            <w:r>
              <w:rPr>
                <w:rFonts w:ascii="Verdana" w:eastAsia="Calibri" w:hAnsi="Verdana" w:cs="Arial"/>
                <w:b/>
                <w:bCs/>
                <w:lang w:val="es-ES" w:eastAsia="es-ES"/>
              </w:rPr>
              <w:t>1504</w:t>
            </w:r>
            <w:r w:rsidRPr="00867EB5">
              <w:rPr>
                <w:rFonts w:ascii="Verdana" w:eastAsia="Calibri" w:hAnsi="Verdana" w:cs="Arial"/>
                <w:b/>
                <w:bCs/>
                <w:lang w:val="es-ES" w:eastAsia="es-ES"/>
              </w:rPr>
              <w:t xml:space="preserve"> de 2025</w:t>
            </w:r>
          </w:p>
          <w:p w14:paraId="4484A5BD" w14:textId="77777777" w:rsidR="00351D7F" w:rsidRPr="00867EB5" w:rsidRDefault="00351D7F" w:rsidP="00D43119">
            <w:pPr>
              <w:jc w:val="both"/>
              <w:rPr>
                <w:rFonts w:ascii="Verdana" w:eastAsia="Calibri" w:hAnsi="Verdana" w:cs="Arial"/>
                <w:b/>
                <w:bCs/>
                <w:lang w:val="es-ES" w:eastAsia="es-ES"/>
              </w:rPr>
            </w:pPr>
          </w:p>
          <w:p w14:paraId="2FD72CC9" w14:textId="77777777" w:rsidR="00351D7F" w:rsidRPr="00C114AA" w:rsidRDefault="00351D7F" w:rsidP="00D43119">
            <w:pPr>
              <w:jc w:val="both"/>
              <w:rPr>
                <w:rFonts w:ascii="Verdana" w:eastAsia="Calibri" w:hAnsi="Verdana" w:cs="Arial"/>
                <w:b/>
                <w:bCs/>
                <w:highlight w:val="yellow"/>
                <w:lang w:val="es-ES" w:eastAsia="es-ES"/>
              </w:rPr>
            </w:pPr>
          </w:p>
        </w:tc>
      </w:tr>
      <w:tr w:rsidR="00351D7F" w:rsidRPr="00C114AA" w14:paraId="4DEFFF4F" w14:textId="77777777" w:rsidTr="00D43119">
        <w:trPr>
          <w:trHeight w:val="884"/>
        </w:trPr>
        <w:tc>
          <w:tcPr>
            <w:tcW w:w="2689" w:type="dxa"/>
            <w:hideMark/>
          </w:tcPr>
          <w:p w14:paraId="191E9812" w14:textId="77777777" w:rsidR="00351D7F" w:rsidRPr="00867EB5" w:rsidRDefault="00351D7F" w:rsidP="00D43119">
            <w:pPr>
              <w:jc w:val="both"/>
              <w:rPr>
                <w:rFonts w:ascii="Verdana" w:eastAsia="Calibri" w:hAnsi="Verdana" w:cs="Arial"/>
                <w:color w:val="000000"/>
                <w:lang w:val="es-ES_tradnl" w:eastAsia="es-ES_tradnl"/>
              </w:rPr>
            </w:pPr>
            <w:r w:rsidRPr="00867EB5">
              <w:rPr>
                <w:rFonts w:ascii="Verdana" w:eastAsia="Calibri" w:hAnsi="Verdana" w:cs="Arial"/>
                <w:b/>
                <w:color w:val="000000"/>
                <w:lang w:val="es-ES_tradnl" w:eastAsia="es-ES_tradnl"/>
              </w:rPr>
              <w:t>Temas:</w:t>
            </w:r>
            <w:r w:rsidRPr="00867EB5">
              <w:rPr>
                <w:rFonts w:ascii="Verdana" w:eastAsia="Calibri" w:hAnsi="Verdana" w:cs="Arial"/>
                <w:color w:val="000000"/>
                <w:lang w:val="es-ES_tradnl" w:eastAsia="es-ES_tradnl"/>
              </w:rPr>
              <w:t xml:space="preserve">                   </w:t>
            </w:r>
          </w:p>
        </w:tc>
        <w:tc>
          <w:tcPr>
            <w:tcW w:w="6100" w:type="dxa"/>
            <w:hideMark/>
          </w:tcPr>
          <w:p w14:paraId="45BCB88A" w14:textId="7F5485DA" w:rsidR="00351D7F" w:rsidRDefault="00351D7F" w:rsidP="00D43119">
            <w:pPr>
              <w:jc w:val="both"/>
              <w:rPr>
                <w:rFonts w:eastAsia="Calibri" w:cs="Arial"/>
                <w:lang w:val="es-ES" w:eastAsia="es-ES"/>
              </w:rPr>
            </w:pPr>
            <w:r w:rsidRPr="00AE7317">
              <w:rPr>
                <w:rFonts w:ascii="Verdana" w:eastAsia="Calibri" w:hAnsi="Verdana" w:cs="Arial"/>
                <w:lang w:val="es-ES" w:eastAsia="es-ES"/>
              </w:rPr>
              <w:t>EXPERIENCIA – Requisito habilitante – RUP – Plena prueba</w:t>
            </w:r>
            <w:r>
              <w:rPr>
                <w:rFonts w:ascii="Verdana" w:eastAsia="Calibri" w:hAnsi="Verdana" w:cs="Arial"/>
                <w:lang w:val="es-ES" w:eastAsia="es-ES"/>
              </w:rPr>
              <w:t xml:space="preserve"> </w:t>
            </w:r>
            <w:r>
              <w:rPr>
                <w:rFonts w:eastAsia="Calibri" w:cs="Arial"/>
                <w:lang w:val="es-ES" w:eastAsia="es-ES"/>
              </w:rPr>
              <w:t xml:space="preserve">/ </w:t>
            </w:r>
            <w:r w:rsidRPr="00AE7317">
              <w:rPr>
                <w:rFonts w:ascii="Verdana" w:eastAsia="Calibri" w:hAnsi="Verdana" w:cs="Arial"/>
                <w:lang w:val="es-ES" w:eastAsia="es-ES"/>
              </w:rPr>
              <w:t>CÁMARAS DE COMERCIO – Verificación RUP</w:t>
            </w:r>
            <w:r>
              <w:rPr>
                <w:rFonts w:ascii="Verdana" w:eastAsia="Calibri" w:hAnsi="Verdana" w:cs="Arial"/>
                <w:lang w:val="es-ES" w:eastAsia="es-ES"/>
              </w:rPr>
              <w:t xml:space="preserve"> </w:t>
            </w:r>
            <w:r>
              <w:rPr>
                <w:rFonts w:eastAsia="Calibri" w:cs="Arial"/>
                <w:lang w:val="es-ES" w:eastAsia="es-ES"/>
              </w:rPr>
              <w:t xml:space="preserve">/ </w:t>
            </w:r>
            <w:r w:rsidRPr="00AE7317">
              <w:rPr>
                <w:rFonts w:ascii="Verdana" w:eastAsia="Calibri" w:hAnsi="Verdana" w:cs="Arial"/>
                <w:lang w:val="es-ES" w:eastAsia="es-ES"/>
              </w:rPr>
              <w:t>RUP – Excepciones – Deber de verificación de entidades estatales</w:t>
            </w:r>
          </w:p>
          <w:p w14:paraId="6D411CF3" w14:textId="77777777" w:rsidR="00FF1D50" w:rsidRPr="00867EB5" w:rsidRDefault="00FF1D50" w:rsidP="00D43119">
            <w:pPr>
              <w:jc w:val="both"/>
              <w:rPr>
                <w:rFonts w:ascii="Verdana" w:eastAsia="Calibri" w:hAnsi="Verdana" w:cs="Arial"/>
                <w:lang w:val="es-ES" w:eastAsia="es-ES"/>
              </w:rPr>
            </w:pPr>
          </w:p>
          <w:p w14:paraId="74006357" w14:textId="77777777" w:rsidR="00351D7F" w:rsidRPr="00867EB5" w:rsidRDefault="00351D7F" w:rsidP="00D43119">
            <w:pPr>
              <w:jc w:val="both"/>
              <w:rPr>
                <w:rFonts w:ascii="Verdana" w:eastAsia="Calibri" w:hAnsi="Verdana" w:cs="Arial"/>
                <w:lang w:val="es-ES" w:eastAsia="es-ES"/>
              </w:rPr>
            </w:pPr>
          </w:p>
        </w:tc>
      </w:tr>
      <w:tr w:rsidR="00351D7F" w14:paraId="676C1D7A" w14:textId="77777777" w:rsidTr="00D43119">
        <w:tc>
          <w:tcPr>
            <w:tcW w:w="2689" w:type="dxa"/>
            <w:hideMark/>
          </w:tcPr>
          <w:p w14:paraId="0B225989" w14:textId="77777777" w:rsidR="00351D7F" w:rsidRPr="00867EB5" w:rsidRDefault="00351D7F" w:rsidP="00D43119">
            <w:pPr>
              <w:jc w:val="both"/>
              <w:rPr>
                <w:rFonts w:ascii="Verdana" w:eastAsia="Calibri" w:hAnsi="Verdana" w:cs="Arial"/>
                <w:b/>
                <w:color w:val="7030A0"/>
                <w:lang w:val="es-ES_tradnl" w:eastAsia="es-ES_tradnl"/>
              </w:rPr>
            </w:pPr>
            <w:r w:rsidRPr="00867EB5">
              <w:rPr>
                <w:rFonts w:ascii="Verdana" w:eastAsia="Calibri" w:hAnsi="Verdana" w:cs="Arial"/>
                <w:b/>
                <w:lang w:val="es-ES_tradnl" w:eastAsia="es-ES_tradnl"/>
              </w:rPr>
              <w:t>Radicación:</w:t>
            </w:r>
            <w:r w:rsidRPr="00867EB5">
              <w:rPr>
                <w:rFonts w:ascii="Verdana" w:eastAsia="Calibri" w:hAnsi="Verdana" w:cs="Arial"/>
                <w:lang w:val="es-ES_tradnl" w:eastAsia="es-ES_tradnl"/>
              </w:rPr>
              <w:t xml:space="preserve">               </w:t>
            </w:r>
          </w:p>
        </w:tc>
        <w:tc>
          <w:tcPr>
            <w:tcW w:w="6100" w:type="dxa"/>
          </w:tcPr>
          <w:p w14:paraId="3FD19C75" w14:textId="77777777" w:rsidR="00351D7F" w:rsidRPr="00867EB5" w:rsidRDefault="00351D7F" w:rsidP="00D43119">
            <w:pPr>
              <w:jc w:val="both"/>
              <w:rPr>
                <w:rFonts w:ascii="Verdana" w:eastAsia="Calibri" w:hAnsi="Verdana" w:cs="Arial"/>
                <w:lang w:val="es-ES_tradnl" w:eastAsia="es-ES_tradnl"/>
              </w:rPr>
            </w:pPr>
            <w:r w:rsidRPr="00867EB5">
              <w:rPr>
                <w:rFonts w:ascii="Verdana" w:eastAsia="Calibri" w:hAnsi="Verdana" w:cs="Arial"/>
                <w:lang w:val="es-ES_tradnl" w:eastAsia="es-ES_tradnl"/>
              </w:rPr>
              <w:t xml:space="preserve">Respuesta a consulta con radicado No. </w:t>
            </w:r>
            <w:r w:rsidRPr="00F8031F">
              <w:rPr>
                <w:rFonts w:ascii="Verdana" w:eastAsia="Calibri" w:hAnsi="Verdana" w:cs="Arial"/>
                <w:lang w:val="es-ES_tradnl" w:eastAsia="es-ES_tradnl"/>
              </w:rPr>
              <w:t>1_2025_10_16_011571</w:t>
            </w:r>
          </w:p>
        </w:tc>
      </w:tr>
    </w:tbl>
    <w:p w14:paraId="39B3BD84" w14:textId="77777777" w:rsidR="00351D7F" w:rsidRDefault="00351D7F" w:rsidP="00351D7F">
      <w:pPr>
        <w:spacing w:after="0" w:line="240" w:lineRule="auto"/>
        <w:jc w:val="both"/>
        <w:rPr>
          <w:rFonts w:ascii="Verdana" w:eastAsia="Calibri" w:hAnsi="Verdana" w:cs="Arial"/>
          <w:color w:val="000000"/>
          <w:lang w:val="es-ES_tradnl" w:eastAsia="es-ES_tradnl"/>
        </w:rPr>
      </w:pPr>
    </w:p>
    <w:p w14:paraId="3F7A55E2" w14:textId="77777777" w:rsidR="00351D7F" w:rsidRDefault="00351D7F" w:rsidP="00351D7F">
      <w:pPr>
        <w:spacing w:after="0" w:line="240" w:lineRule="auto"/>
        <w:jc w:val="both"/>
        <w:rPr>
          <w:rFonts w:ascii="Verdana" w:eastAsia="Calibri" w:hAnsi="Verdana" w:cs="Arial"/>
          <w:color w:val="000000"/>
          <w:lang w:val="es-ES_tradnl" w:eastAsia="es-ES_tradnl"/>
        </w:rPr>
      </w:pPr>
    </w:p>
    <w:p w14:paraId="533D8C47" w14:textId="77777777" w:rsidR="00351D7F" w:rsidRDefault="00351D7F" w:rsidP="00351D7F">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Neira,</w:t>
      </w:r>
    </w:p>
    <w:p w14:paraId="7B3B5D13" w14:textId="77777777" w:rsidR="00351D7F" w:rsidRDefault="00351D7F" w:rsidP="00351D7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F6EA793" w14:textId="77777777" w:rsidR="00351D7F" w:rsidRDefault="00351D7F" w:rsidP="00351D7F">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a la solicitud de consulta, remitida por su Despacho el 16 de octubre de 2025, en la cual manifiesta lo siguiente: </w:t>
      </w:r>
    </w:p>
    <w:p w14:paraId="431F8E0A" w14:textId="77777777" w:rsidR="00351D7F" w:rsidRDefault="00351D7F" w:rsidP="00351D7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C98F518" w14:textId="77777777" w:rsidR="00351D7F" w:rsidRPr="00F8031F" w:rsidRDefault="00351D7F" w:rsidP="00351D7F">
      <w:pPr>
        <w:autoSpaceDE w:val="0"/>
        <w:autoSpaceDN w:val="0"/>
        <w:adjustRightInd w:val="0"/>
        <w:spacing w:after="0" w:line="240" w:lineRule="auto"/>
        <w:ind w:left="709" w:right="709"/>
        <w:jc w:val="both"/>
        <w:rPr>
          <w:rFonts w:ascii="Verdana" w:hAnsi="Verdana"/>
          <w:sz w:val="20"/>
          <w:szCs w:val="20"/>
        </w:rPr>
      </w:pPr>
      <w:r w:rsidRPr="00F8031F">
        <w:rPr>
          <w:rFonts w:ascii="Verdana" w:hAnsi="Verdana" w:cs="ArialMT"/>
          <w:sz w:val="20"/>
          <w:szCs w:val="20"/>
        </w:rPr>
        <w:t>“</w:t>
      </w:r>
      <w:r w:rsidRPr="00F8031F">
        <w:rPr>
          <w:rFonts w:ascii="Verdana" w:hAnsi="Verdana"/>
          <w:sz w:val="20"/>
          <w:szCs w:val="20"/>
        </w:rPr>
        <w:t xml:space="preserve">Quiero empezar a contratar con el Estado, estoy reuniendo los requisitos para tal, soy persona natural, pero para acceder a la mayoría de las ofertas debo tener experiencia, en mi caso, mi única experiencia comercial es que hago comercio electrónico o ecommerce, desde el año 2022 he realizado ventas en plataformas como shopify y dropi, no estoy obligado a facturar, mi preguntas son: ¿ esta actividad cuenta como experiencia comercial?, ¿cómo la demuestro?, en la plataforma secop2 o en la mayoría de los procesos exigen certificar con copia  de contratos, acta de liquidación, etc. En este caso cómo la soporto?, ¿me la puede certificar mi contador?. Es un hecho que he ejercido el comercio, mi único soporte serían los informes de ventas de las plataformas que son legales en colombia, y, la otra manera sería demostrar los las guías de entrega de las transportadoras?. </w:t>
      </w:r>
    </w:p>
    <w:p w14:paraId="02FF5CEF" w14:textId="77777777" w:rsidR="00351D7F" w:rsidRPr="00F8031F" w:rsidRDefault="00351D7F" w:rsidP="00351D7F">
      <w:pPr>
        <w:autoSpaceDE w:val="0"/>
        <w:autoSpaceDN w:val="0"/>
        <w:adjustRightInd w:val="0"/>
        <w:spacing w:after="0" w:line="240" w:lineRule="auto"/>
        <w:ind w:left="709" w:right="709"/>
        <w:jc w:val="both"/>
        <w:rPr>
          <w:rFonts w:ascii="Verdana" w:hAnsi="Verdana" w:cs="ArialMT"/>
          <w:sz w:val="20"/>
          <w:szCs w:val="20"/>
        </w:rPr>
      </w:pPr>
      <w:r w:rsidRPr="00F8031F">
        <w:rPr>
          <w:rFonts w:ascii="Verdana" w:hAnsi="Verdana"/>
          <w:sz w:val="20"/>
          <w:szCs w:val="20"/>
        </w:rPr>
        <w:t>Espero aclaren mis dudas, muchas gracias.</w:t>
      </w:r>
      <w:r w:rsidRPr="00F8031F">
        <w:rPr>
          <w:rFonts w:ascii="Verdana" w:hAnsi="Verdana" w:cs="ArialMT"/>
          <w:sz w:val="20"/>
          <w:szCs w:val="20"/>
        </w:rPr>
        <w:t>”</w:t>
      </w:r>
    </w:p>
    <w:p w14:paraId="199CEDAE" w14:textId="77777777" w:rsidR="00351D7F" w:rsidRPr="00924340" w:rsidRDefault="00351D7F" w:rsidP="00351D7F">
      <w:pPr>
        <w:autoSpaceDE w:val="0"/>
        <w:autoSpaceDN w:val="0"/>
        <w:adjustRightInd w:val="0"/>
        <w:spacing w:after="0" w:line="276" w:lineRule="auto"/>
        <w:ind w:left="709" w:right="709"/>
        <w:jc w:val="both"/>
        <w:rPr>
          <w:rFonts w:ascii="Verdana" w:eastAsia="Century Gothic" w:hAnsi="Verdana" w:cs="Century Gothic"/>
          <w:b/>
        </w:rPr>
      </w:pPr>
    </w:p>
    <w:p w14:paraId="3456F02D" w14:textId="77777777" w:rsidR="00351D7F" w:rsidRDefault="00351D7F" w:rsidP="00351D7F">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0648AF2A" w14:textId="77777777" w:rsidR="00351D7F" w:rsidRDefault="00351D7F" w:rsidP="00351D7F">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2D74964E" w14:textId="77777777" w:rsidR="00351D7F" w:rsidRPr="009B0144" w:rsidRDefault="00351D7F" w:rsidP="00351D7F">
      <w:pPr>
        <w:spacing w:after="0" w:line="276" w:lineRule="auto"/>
        <w:ind w:firstLine="709"/>
        <w:jc w:val="both"/>
        <w:rPr>
          <w:rFonts w:ascii="Verdana" w:eastAsia="Calibri" w:hAnsi="Verdana" w:cs="Arial"/>
          <w:lang w:val="es-ES" w:eastAsia="es-ES"/>
        </w:rPr>
      </w:pPr>
    </w:p>
    <w:p w14:paraId="6CB70314" w14:textId="77777777" w:rsidR="00351D7F" w:rsidRDefault="00351D7F" w:rsidP="00351D7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43FE00D0" w14:textId="77777777" w:rsidR="00351D7F" w:rsidRDefault="00351D7F" w:rsidP="00351D7F">
      <w:pPr>
        <w:tabs>
          <w:tab w:val="left" w:pos="426"/>
        </w:tabs>
        <w:spacing w:after="0" w:line="276" w:lineRule="auto"/>
        <w:jc w:val="both"/>
        <w:rPr>
          <w:rFonts w:ascii="Verdana" w:eastAsia="Century Gothic" w:hAnsi="Verdana" w:cs="Century Gothic"/>
          <w:lang w:val="es-ES"/>
        </w:rPr>
      </w:pPr>
    </w:p>
    <w:p w14:paraId="027210CB" w14:textId="77777777" w:rsidR="00351D7F" w:rsidRDefault="00351D7F" w:rsidP="00351D7F">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¿Cómo puede un proponente acreditar su experiencia comercial en un proceso de contratación estatal?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6CFAFE6E" w14:textId="77777777" w:rsidR="00351D7F" w:rsidRPr="009B0144" w:rsidRDefault="00351D7F" w:rsidP="00351D7F">
      <w:pPr>
        <w:spacing w:after="0" w:line="276" w:lineRule="auto"/>
        <w:jc w:val="both"/>
        <w:rPr>
          <w:rFonts w:ascii="Verdana" w:eastAsia="Calibri" w:hAnsi="Verdana" w:cs="Arial"/>
          <w:lang w:val="es-ES"/>
        </w:rPr>
      </w:pPr>
    </w:p>
    <w:p w14:paraId="73FFB520" w14:textId="77777777" w:rsidR="00351D7F" w:rsidRDefault="00351D7F" w:rsidP="00D6100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33D48470" w14:textId="77777777" w:rsidR="00351D7F" w:rsidRDefault="00351D7F" w:rsidP="00351D7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51D7F" w:rsidRPr="001B5827" w14:paraId="3E028C1B" w14:textId="77777777" w:rsidTr="00D43119">
        <w:tc>
          <w:tcPr>
            <w:tcW w:w="8828" w:type="dxa"/>
            <w:tcBorders>
              <w:top w:val="dotted" w:sz="4" w:space="0" w:color="auto"/>
              <w:left w:val="dotted" w:sz="4" w:space="0" w:color="auto"/>
              <w:bottom w:val="dotted" w:sz="4" w:space="0" w:color="auto"/>
              <w:right w:val="dotted" w:sz="4" w:space="0" w:color="auto"/>
            </w:tcBorders>
          </w:tcPr>
          <w:p w14:paraId="7AE9813E" w14:textId="77777777" w:rsidR="00351D7F" w:rsidRDefault="00351D7F" w:rsidP="00D43119">
            <w:pPr>
              <w:spacing w:after="120" w:line="276" w:lineRule="auto"/>
              <w:jc w:val="both"/>
              <w:rPr>
                <w:rFonts w:ascii="Verdana" w:hAnsi="Verdana" w:cs="Arial"/>
                <w:color w:val="000000" w:themeColor="text1"/>
                <w:lang w:val="es-ES_tradnl"/>
              </w:rPr>
            </w:pPr>
            <w:r w:rsidRPr="00886F14">
              <w:rPr>
                <w:rFonts w:ascii="Verdana" w:hAnsi="Verdana" w:cs="Arial"/>
                <w:color w:val="000000" w:themeColor="text1"/>
                <w:lang w:val="es-ES_tradnl"/>
              </w:rPr>
              <w:t xml:space="preserve">Los </w:t>
            </w:r>
            <w:r w:rsidRPr="00886F14">
              <w:rPr>
                <w:rFonts w:ascii="Verdana" w:hAnsi="Verdana" w:cs="Arial"/>
                <w:i/>
                <w:iCs/>
                <w:color w:val="000000" w:themeColor="text1"/>
                <w:lang w:val="es-ES_tradnl"/>
              </w:rPr>
              <w:t>requisitos habilitantes</w:t>
            </w:r>
            <w:r w:rsidRPr="00886F14">
              <w:rPr>
                <w:rFonts w:ascii="Verdana" w:hAnsi="Verdana" w:cs="Arial"/>
                <w:color w:val="000000" w:themeColor="text1"/>
                <w:lang w:val="es-ES_tradnl"/>
              </w:rPr>
              <w:t xml:space="preserve">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documento equivalente a este. Se diferencian de los </w:t>
            </w:r>
            <w:r w:rsidRPr="00886F14">
              <w:rPr>
                <w:rFonts w:ascii="Verdana" w:hAnsi="Verdana" w:cs="Arial"/>
                <w:i/>
                <w:iCs/>
                <w:color w:val="000000" w:themeColor="text1"/>
                <w:lang w:val="es-ES_tradnl"/>
              </w:rPr>
              <w:t>criterios de evaluación</w:t>
            </w:r>
            <w:r w:rsidRPr="00886F14">
              <w:rPr>
                <w:rFonts w:ascii="Verdana" w:hAnsi="Verdana" w:cs="Arial"/>
                <w:color w:val="000000" w:themeColor="text1"/>
                <w:lang w:val="es-ES_tradnl"/>
              </w:rPr>
              <w:t xml:space="preserve"> –también conocidos como </w:t>
            </w:r>
            <w:r w:rsidRPr="00886F14">
              <w:rPr>
                <w:rFonts w:ascii="Verdana" w:hAnsi="Verdana" w:cs="Arial"/>
                <w:i/>
                <w:iCs/>
                <w:color w:val="000000" w:themeColor="text1"/>
                <w:lang w:val="es-ES_tradnl"/>
              </w:rPr>
              <w:t>criterios de calificación</w:t>
            </w:r>
            <w:r w:rsidRPr="00886F14">
              <w:rPr>
                <w:rFonts w:ascii="Verdana" w:hAnsi="Verdana" w:cs="Arial"/>
                <w:color w:val="000000" w:themeColor="text1"/>
                <w:lang w:val="es-ES_tradnl"/>
              </w:rPr>
              <w:t>– en que estos son los factores definidos por la Entidad Estatal para la asignación de puntaje en el momento de la comparación de las ofertas, y que, a partir de su ponderación, permiten establecer el orden de elegibilidad y, por ende, la propuesta ganadora</w:t>
            </w:r>
            <w:r>
              <w:rPr>
                <w:rFonts w:ascii="Verdana" w:hAnsi="Verdana" w:cs="Arial"/>
                <w:color w:val="000000" w:themeColor="text1"/>
                <w:lang w:val="es-ES_tradnl"/>
              </w:rPr>
              <w:t>.</w:t>
            </w:r>
          </w:p>
          <w:p w14:paraId="6B102F71" w14:textId="77777777" w:rsidR="00351D7F" w:rsidRDefault="00351D7F" w:rsidP="00D43119">
            <w:pPr>
              <w:spacing w:after="120" w:line="276" w:lineRule="auto"/>
              <w:ind w:firstLine="740"/>
              <w:jc w:val="both"/>
              <w:rPr>
                <w:rFonts w:ascii="Verdana" w:eastAsia="Calibri" w:hAnsi="Verdana" w:cs="Arial"/>
                <w:bCs/>
                <w:lang w:val="es-ES" w:eastAsia="es-ES_tradnl"/>
              </w:rPr>
            </w:pPr>
            <w:r w:rsidRPr="00DA67B3">
              <w:rPr>
                <w:rFonts w:ascii="Verdana" w:eastAsia="Calibri" w:hAnsi="Verdana" w:cs="Arial"/>
                <w:bCs/>
                <w:lang w:val="es-ES" w:eastAsia="es-ES_tradnl"/>
              </w:rPr>
              <w:lastRenderedPageBreak/>
              <w:t>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–por expresa disposición legal– no otorgan puntaje, salvo que excepcionalmente se permita lo contrario. Esto comoquiera dichos requisitos no se refieren a la oferta misma sino a la idoneidad del oferente para asumir adecuadamente la ejecución del contrato</w:t>
            </w:r>
            <w:r>
              <w:rPr>
                <w:rFonts w:ascii="Verdana" w:eastAsia="Calibri" w:hAnsi="Verdana" w:cs="Arial"/>
                <w:bCs/>
                <w:lang w:val="es-ES" w:eastAsia="es-ES_tradnl"/>
              </w:rPr>
              <w:t>.</w:t>
            </w:r>
          </w:p>
          <w:p w14:paraId="66F8EF12" w14:textId="10617E94" w:rsidR="00351D7F" w:rsidRDefault="00351D7F" w:rsidP="00D43119">
            <w:pPr>
              <w:spacing w:after="120" w:line="276" w:lineRule="auto"/>
              <w:ind w:firstLine="740"/>
              <w:jc w:val="both"/>
              <w:rPr>
                <w:rFonts w:ascii="Verdana" w:eastAsia="Calibri" w:hAnsi="Verdana" w:cs="Arial"/>
                <w:bCs/>
                <w:lang w:eastAsia="es-ES_tradnl"/>
              </w:rPr>
            </w:pPr>
            <w:r>
              <w:rPr>
                <w:rFonts w:ascii="Verdana" w:eastAsia="Calibri" w:hAnsi="Verdana" w:cs="Arial"/>
                <w:bCs/>
                <w:lang w:val="es-ES" w:eastAsia="es-ES_tradnl"/>
              </w:rPr>
              <w:t>Justamente, l</w:t>
            </w:r>
            <w:r w:rsidRPr="00F16FF6">
              <w:rPr>
                <w:rFonts w:ascii="Verdana" w:eastAsia="Calibri" w:hAnsi="Verdana" w:cs="Arial"/>
                <w:bCs/>
                <w:lang w:val="es-ES" w:eastAsia="es-ES_tradnl"/>
              </w:rPr>
              <w:t xml:space="preserve">a experiencia, </w:t>
            </w:r>
            <w:r w:rsidRPr="005419C6">
              <w:rPr>
                <w:rFonts w:ascii="Verdana" w:eastAsia="Calibri" w:hAnsi="Verdana" w:cs="Arial"/>
                <w:bCs/>
                <w:lang w:eastAsia="es-ES_tradnl"/>
              </w:rPr>
              <w:t xml:space="preserve">constituye uno de los requisitos habilitantes y se deriva de los contratos que el proponente ha celebrado y ejecutado con distintos contratantes, sin que la naturaleza pública o privada de estos sea determinante. Su verificación se realiza </w:t>
            </w:r>
            <w:r>
              <w:rPr>
                <w:rFonts w:ascii="Verdana" w:eastAsia="Calibri" w:hAnsi="Verdana" w:cs="Arial"/>
                <w:bCs/>
                <w:lang w:eastAsia="es-ES_tradnl"/>
              </w:rPr>
              <w:t xml:space="preserve">por regla general </w:t>
            </w:r>
            <w:r w:rsidRPr="005419C6">
              <w:rPr>
                <w:rFonts w:ascii="Verdana" w:eastAsia="Calibri" w:hAnsi="Verdana" w:cs="Arial"/>
                <w:bCs/>
                <w:lang w:eastAsia="es-ES_tradnl"/>
              </w:rPr>
              <w:t xml:space="preserve">a través del </w:t>
            </w:r>
            <w:r w:rsidRPr="005419C6">
              <w:rPr>
                <w:rFonts w:ascii="Verdana" w:eastAsia="Calibri" w:hAnsi="Verdana" w:cs="Arial"/>
                <w:lang w:eastAsia="es-ES_tradnl"/>
              </w:rPr>
              <w:t xml:space="preserve">Registro Único de Proponentes </w:t>
            </w:r>
            <w:r w:rsidRPr="00C5378D">
              <w:rPr>
                <w:rFonts w:ascii="Verdana" w:eastAsia="Calibri" w:hAnsi="Verdana" w:cs="Arial"/>
                <w:lang w:val="es-ES" w:eastAsia="es-ES"/>
              </w:rPr>
              <w:t xml:space="preserve">– </w:t>
            </w:r>
            <w:r w:rsidR="00791F47">
              <w:rPr>
                <w:rFonts w:ascii="Verdana" w:eastAsia="Calibri" w:hAnsi="Verdana" w:cs="Arial"/>
                <w:lang w:val="es-ES" w:eastAsia="es-ES"/>
              </w:rPr>
              <w:t xml:space="preserve">en adelante </w:t>
            </w:r>
            <w:r w:rsidRPr="005419C6">
              <w:rPr>
                <w:rFonts w:ascii="Verdana" w:eastAsia="Calibri" w:hAnsi="Verdana" w:cs="Arial"/>
                <w:lang w:eastAsia="es-ES_tradnl"/>
              </w:rPr>
              <w:t>RUP</w:t>
            </w:r>
            <w:r w:rsidRPr="005419C6">
              <w:rPr>
                <w:rFonts w:ascii="Verdana" w:eastAsia="Calibri" w:hAnsi="Verdana" w:cs="Arial"/>
                <w:bCs/>
                <w:lang w:eastAsia="es-ES_tradnl"/>
              </w:rPr>
              <w:t>, cuando este sea exigible conforme a la ley.</w:t>
            </w:r>
          </w:p>
          <w:p w14:paraId="33194AC5" w14:textId="29FE7724" w:rsidR="00351D7F" w:rsidRDefault="00351D7F" w:rsidP="00D61001">
            <w:pPr>
              <w:spacing w:after="120" w:line="276" w:lineRule="auto"/>
              <w:ind w:firstLine="740"/>
              <w:jc w:val="both"/>
              <w:rPr>
                <w:rFonts w:ascii="Verdana" w:eastAsia="Calibri" w:hAnsi="Verdana" w:cs="Arial"/>
                <w:color w:val="000000" w:themeColor="text1"/>
              </w:rPr>
            </w:pPr>
            <w:r>
              <w:rPr>
                <w:rFonts w:ascii="Verdana" w:hAnsi="Verdana" w:cs="Arial"/>
                <w:color w:val="000000" w:themeColor="text1"/>
                <w:lang w:val="es-ES_tradnl"/>
              </w:rPr>
              <w:t xml:space="preserve">En consecuencia, para acreditar la experiencia comercial </w:t>
            </w:r>
            <w:r w:rsidRPr="00DA67B3">
              <w:rPr>
                <w:rFonts w:ascii="Verdana" w:hAnsi="Verdana" w:cs="Arial"/>
                <w:color w:val="000000" w:themeColor="text1"/>
                <w:lang w:val="es-ES"/>
              </w:rPr>
              <w:t>se tiene que la obligación de inscribirse en el RUP es extensible a toda persona natural o jurídica, interesada en participar en un proceso de contratación estatal, cuando este no esté exceptuado de esta obligación, conforme con lo previsto en el inciso 2 del artículo 6 de la Ley 1150 de 2007.</w:t>
            </w:r>
            <w:r>
              <w:rPr>
                <w:rFonts w:ascii="Verdana" w:hAnsi="Verdana" w:cs="Arial"/>
                <w:color w:val="000000" w:themeColor="text1"/>
                <w:lang w:val="es-ES"/>
              </w:rPr>
              <w:t xml:space="preserve"> Así, </w:t>
            </w:r>
            <w:r w:rsidRPr="00017B69">
              <w:rPr>
                <w:rFonts w:ascii="Verdana" w:eastAsia="Calibri" w:hAnsi="Verdana" w:cs="Arial"/>
                <w:color w:val="000000" w:themeColor="text1"/>
              </w:rPr>
              <w:t>cuando el RUP es exigible, las entidades estatales deben verificar la experiencia y demás condiciones habilitantes exclusivamente a través de dicho certificado, sin que puedan requerir documentos adicionales destinados a soportar la información que ya fue verificada en el Registro. Únicamente de manera excepcional —cuando las características del objeto contractual lo exijan— la entidad podrá verificar de forma directa requisitos o condiciones adicionales a las contenidas en el RUP, conforme lo permite el inciso final del artículo 6 de la citada ley.</w:t>
            </w:r>
          </w:p>
          <w:p w14:paraId="6C564500" w14:textId="77777777" w:rsidR="00351D7F" w:rsidRDefault="00351D7F" w:rsidP="00D43119">
            <w:pPr>
              <w:spacing w:after="120" w:line="276" w:lineRule="auto"/>
              <w:ind w:firstLine="708"/>
              <w:jc w:val="both"/>
              <w:rPr>
                <w:rFonts w:ascii="Verdana" w:eastAsia="Calibri" w:hAnsi="Verdana" w:cs="Arial"/>
                <w:color w:val="000000" w:themeColor="text1"/>
              </w:rPr>
            </w:pPr>
            <w:r>
              <w:rPr>
                <w:rFonts w:ascii="Verdana" w:hAnsi="Verdana" w:cs="Arial"/>
                <w:color w:val="000000" w:themeColor="text1"/>
                <w:lang w:val="es-ES"/>
              </w:rPr>
              <w:t xml:space="preserve">En caso de que el proceso esté exceptuado del requisito del RUP para acreditar experiencia, es decir - </w:t>
            </w:r>
            <w:r w:rsidRPr="00651F93">
              <w:rPr>
                <w:rFonts w:ascii="Verdana" w:hAnsi="Verdana"/>
              </w:rPr>
              <w:t xml:space="preserve">procesos de contratación directa, los contratos para la prestación de servicios de salud, los contratos de mínima cuantía, la enajenación de bienes del Estado, los contratos que tengan por objeto la adquisición de productos de origen o destinación agropecuaria ofrecidos en bolsas de productos legalmente constituidas, así como los actos y contratos que tengan por objeto directo las actividades comerciales e industriales propias de las empresas industriales y comerciales del Estado y de las sociedades de economía mixta, y los contratos de concesión de cualquier </w:t>
            </w:r>
            <w:r w:rsidRPr="00651F93">
              <w:rPr>
                <w:rFonts w:ascii="Verdana" w:hAnsi="Verdana"/>
              </w:rPr>
              <w:lastRenderedPageBreak/>
              <w:t>índole</w:t>
            </w:r>
            <w:r>
              <w:rPr>
                <w:rFonts w:ascii="Verdana" w:hAnsi="Verdana"/>
              </w:rPr>
              <w:t xml:space="preserve">-, </w:t>
            </w:r>
            <w:r>
              <w:rPr>
                <w:rFonts w:ascii="Verdana" w:hAnsi="Verdana" w:cs="Arial"/>
                <w:color w:val="000000" w:themeColor="text1"/>
                <w:lang w:val="es-ES"/>
              </w:rPr>
              <w:t xml:space="preserve"> el proponente podrá acreditar su experiencia acudiendo a diferentes medios de prueba como certificaciones, facturas, entre otros y en todo caso, ateniéndose </w:t>
            </w:r>
            <w:r w:rsidRPr="004C543B">
              <w:rPr>
                <w:rFonts w:ascii="Verdana" w:hAnsi="Verdana"/>
                <w:lang w:val="es-ES"/>
              </w:rPr>
              <w:t>los documentos o medios de prueba que exi</w:t>
            </w:r>
            <w:r>
              <w:rPr>
                <w:rFonts w:ascii="Verdana" w:hAnsi="Verdana"/>
                <w:lang w:val="es-ES"/>
              </w:rPr>
              <w:t>ja la entidad contratante</w:t>
            </w:r>
            <w:r w:rsidRPr="004C543B">
              <w:rPr>
                <w:rFonts w:ascii="Verdana" w:hAnsi="Verdana"/>
                <w:lang w:val="es-ES"/>
              </w:rPr>
              <w:t xml:space="preserve"> a los proponentes para acreditar l</w:t>
            </w:r>
            <w:r>
              <w:rPr>
                <w:rFonts w:ascii="Verdana" w:hAnsi="Verdana"/>
                <w:lang w:val="es-ES"/>
              </w:rPr>
              <w:t>os requisitos habilitantes, que deberán precisarse en los Documentos del Proceso -</w:t>
            </w:r>
            <w:r w:rsidRPr="00981378">
              <w:rPr>
                <w:rFonts w:ascii="Verdana" w:hAnsi="Verdana"/>
                <w:lang w:val="es-ES"/>
              </w:rPr>
              <w:t xml:space="preserve"> </w:t>
            </w:r>
            <w:r w:rsidRPr="004C543B">
              <w:rPr>
                <w:rFonts w:ascii="Verdana" w:hAnsi="Verdana"/>
                <w:lang w:val="es-ES"/>
              </w:rPr>
              <w:t>particularmente en el pliego de condiciones o la invitación</w:t>
            </w:r>
            <w:r>
              <w:rPr>
                <w:rFonts w:ascii="Verdana" w:hAnsi="Verdana"/>
                <w:lang w:val="es-ES"/>
              </w:rPr>
              <w:t xml:space="preserve"> – por parte de la entidad estatal, en ejercicio de su autonomía y potestad de dirección en materia contractual, así como teniendo en cuenta que permitan </w:t>
            </w:r>
            <w:r w:rsidRPr="00017B69">
              <w:rPr>
                <w:rFonts w:ascii="Verdana" w:eastAsia="Calibri" w:hAnsi="Verdana" w:cs="Arial"/>
                <w:color w:val="000000" w:themeColor="text1"/>
              </w:rPr>
              <w:t>garantizar los principios de selección objetiva, transparencia y libre concurrencia.</w:t>
            </w:r>
          </w:p>
          <w:p w14:paraId="15A38A6F" w14:textId="326C81EA" w:rsidR="00351D7F" w:rsidRPr="00AF62EC" w:rsidRDefault="00351D7F" w:rsidP="00D61001">
            <w:pPr>
              <w:spacing w:line="276" w:lineRule="auto"/>
              <w:ind w:firstLine="708"/>
              <w:jc w:val="both"/>
              <w:rPr>
                <w:rFonts w:ascii="Verdana" w:hAnsi="Verdana" w:cs="Arial"/>
                <w:color w:val="000000" w:themeColor="text1"/>
                <w:lang w:val="es-ES_tradnl"/>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tc>
      </w:tr>
    </w:tbl>
    <w:p w14:paraId="02C5C21A" w14:textId="77777777" w:rsidR="00351D7F" w:rsidRPr="001B5827" w:rsidRDefault="00351D7F" w:rsidP="00351D7F">
      <w:pPr>
        <w:tabs>
          <w:tab w:val="left" w:pos="142"/>
          <w:tab w:val="left" w:pos="284"/>
        </w:tabs>
        <w:spacing w:after="0" w:line="276" w:lineRule="auto"/>
        <w:jc w:val="both"/>
        <w:rPr>
          <w:rFonts w:ascii="Verdana" w:eastAsia="Century Gothic" w:hAnsi="Verdana" w:cs="Century Gothic"/>
          <w:b/>
          <w:bCs/>
          <w:lang w:val="es-ES"/>
        </w:rPr>
      </w:pPr>
    </w:p>
    <w:p w14:paraId="77B40E33" w14:textId="77777777" w:rsidR="00351D7F" w:rsidRPr="001B5827" w:rsidRDefault="00351D7F" w:rsidP="00351D7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B5827">
        <w:rPr>
          <w:rFonts w:ascii="Verdana" w:eastAsia="Century Gothic" w:hAnsi="Verdana" w:cs="Century Gothic"/>
          <w:b/>
          <w:bCs/>
        </w:rPr>
        <w:t>Razones de la respuesta:</w:t>
      </w:r>
    </w:p>
    <w:p w14:paraId="5191A18E" w14:textId="77777777" w:rsidR="00351D7F" w:rsidRPr="001B5827" w:rsidRDefault="00351D7F" w:rsidP="00351D7F">
      <w:pPr>
        <w:spacing w:after="0" w:line="276" w:lineRule="auto"/>
        <w:jc w:val="both"/>
        <w:rPr>
          <w:rFonts w:ascii="Verdana" w:eastAsia="Calibri" w:hAnsi="Verdana" w:cs="Arial"/>
          <w:lang w:val="es-ES"/>
        </w:rPr>
      </w:pPr>
    </w:p>
    <w:p w14:paraId="5AEFAC10" w14:textId="77777777" w:rsidR="00351D7F" w:rsidRDefault="00351D7F" w:rsidP="00351D7F">
      <w:pPr>
        <w:spacing w:after="0" w:line="276" w:lineRule="auto"/>
        <w:jc w:val="both"/>
        <w:rPr>
          <w:rFonts w:ascii="Verdana" w:eastAsia="Calibri" w:hAnsi="Verdana" w:cs="Arial"/>
          <w:lang w:val="es-ES"/>
        </w:rPr>
      </w:pPr>
      <w:r w:rsidRPr="001B5827">
        <w:rPr>
          <w:rFonts w:ascii="Verdana" w:eastAsia="Calibri" w:hAnsi="Verdana" w:cs="Arial"/>
          <w:lang w:val="es-ES"/>
        </w:rPr>
        <w:t xml:space="preserve">Lo anterior se sustenta en las siguientes consideraciones: </w:t>
      </w:r>
    </w:p>
    <w:p w14:paraId="37A8B5BC" w14:textId="77777777" w:rsidR="00351D7F" w:rsidRDefault="00351D7F" w:rsidP="00351D7F">
      <w:pPr>
        <w:spacing w:after="0" w:line="276" w:lineRule="auto"/>
        <w:jc w:val="both"/>
        <w:rPr>
          <w:rFonts w:ascii="Verdana" w:eastAsia="Calibri" w:hAnsi="Verdana" w:cs="Arial"/>
          <w:lang w:val="es-ES"/>
        </w:rPr>
      </w:pPr>
    </w:p>
    <w:p w14:paraId="5E50B18E" w14:textId="77777777" w:rsidR="00351D7F" w:rsidRPr="00886F14" w:rsidRDefault="00351D7F" w:rsidP="00351D7F">
      <w:pPr>
        <w:spacing w:after="120" w:line="276" w:lineRule="auto"/>
        <w:jc w:val="both"/>
        <w:rPr>
          <w:rFonts w:ascii="Verdana" w:hAnsi="Verdana" w:cs="Arial"/>
          <w:color w:val="000000" w:themeColor="text1"/>
          <w:lang w:val="es-ES_tradnl"/>
        </w:rPr>
      </w:pPr>
      <w:r w:rsidRPr="00886F14">
        <w:rPr>
          <w:rFonts w:ascii="Verdana" w:hAnsi="Verdana" w:cs="Arial"/>
          <w:color w:val="000000" w:themeColor="text1"/>
          <w:lang w:val="es-ES_tradnl"/>
        </w:rPr>
        <w:t xml:space="preserve">Los </w:t>
      </w:r>
      <w:r w:rsidRPr="00886F14">
        <w:rPr>
          <w:rFonts w:ascii="Verdana" w:hAnsi="Verdana" w:cs="Arial"/>
          <w:i/>
          <w:iCs/>
          <w:color w:val="000000" w:themeColor="text1"/>
          <w:lang w:val="es-ES_tradnl"/>
        </w:rPr>
        <w:t>requisitos habilitantes</w:t>
      </w:r>
      <w:r w:rsidRPr="00886F14">
        <w:rPr>
          <w:rFonts w:ascii="Verdana" w:hAnsi="Verdana" w:cs="Arial"/>
          <w:color w:val="000000" w:themeColor="text1"/>
          <w:lang w:val="es-ES_tradnl"/>
        </w:rPr>
        <w:t xml:space="preserve">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documento equivalente a este. Se diferencian de los </w:t>
      </w:r>
      <w:r w:rsidRPr="00886F14">
        <w:rPr>
          <w:rFonts w:ascii="Verdana" w:hAnsi="Verdana" w:cs="Arial"/>
          <w:i/>
          <w:iCs/>
          <w:color w:val="000000" w:themeColor="text1"/>
          <w:lang w:val="es-ES_tradnl"/>
        </w:rPr>
        <w:t>criterios de evaluación</w:t>
      </w:r>
      <w:r w:rsidRPr="00886F14">
        <w:rPr>
          <w:rFonts w:ascii="Verdana" w:hAnsi="Verdana" w:cs="Arial"/>
          <w:color w:val="000000" w:themeColor="text1"/>
          <w:lang w:val="es-ES_tradnl"/>
        </w:rPr>
        <w:t xml:space="preserve"> –también conocidos como </w:t>
      </w:r>
      <w:r w:rsidRPr="00886F14">
        <w:rPr>
          <w:rFonts w:ascii="Verdana" w:hAnsi="Verdana" w:cs="Arial"/>
          <w:i/>
          <w:iCs/>
          <w:color w:val="000000" w:themeColor="text1"/>
          <w:lang w:val="es-ES_tradnl"/>
        </w:rPr>
        <w:t>criterios de calificación</w:t>
      </w:r>
      <w:r w:rsidRPr="00886F14">
        <w:rPr>
          <w:rFonts w:ascii="Verdana" w:hAnsi="Verdana" w:cs="Arial"/>
          <w:color w:val="000000" w:themeColor="text1"/>
          <w:lang w:val="es-ES_tradnl"/>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58B880A2" w14:textId="77777777" w:rsidR="00351D7F" w:rsidRPr="00886F14" w:rsidRDefault="00351D7F" w:rsidP="00351D7F">
      <w:pPr>
        <w:spacing w:after="120" w:line="276" w:lineRule="auto"/>
        <w:ind w:firstLine="708"/>
        <w:jc w:val="both"/>
        <w:rPr>
          <w:rFonts w:ascii="Verdana" w:hAnsi="Verdana" w:cs="Arial"/>
          <w:color w:val="000000" w:themeColor="text1"/>
          <w:lang w:val="es-ES"/>
        </w:rPr>
      </w:pPr>
      <w:r w:rsidRPr="26496D74">
        <w:rPr>
          <w:rFonts w:ascii="Verdana" w:hAnsi="Verdana" w:cs="Arial"/>
          <w:color w:val="000000" w:themeColor="text1"/>
          <w:lang w:val="es-ES"/>
        </w:rPr>
        <w:t xml:space="preserve">A partir de lo dicho se deduce que los requisitos habilitantes, si bien constituyen obligaciones que los proponentes deben cumplir y acreditar para participar en el procedimiento de selección, no se valoran con un puntaje que </w:t>
      </w:r>
      <w:r w:rsidRPr="26496D74">
        <w:rPr>
          <w:rFonts w:ascii="Verdana" w:hAnsi="Verdana" w:cs="Arial"/>
          <w:color w:val="000000" w:themeColor="text1"/>
          <w:lang w:val="es-ES"/>
        </w:rPr>
        <w:lastRenderedPageBreak/>
        <w:t>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6F41A8CD" w14:textId="77777777" w:rsidR="00BC678A" w:rsidRDefault="00351D7F" w:rsidP="00D61001">
      <w:pPr>
        <w:spacing w:after="120" w:line="276" w:lineRule="auto"/>
        <w:ind w:firstLine="708"/>
        <w:jc w:val="both"/>
        <w:rPr>
          <w:rFonts w:ascii="Verdana" w:hAnsi="Verdana" w:cs="Arial"/>
          <w:color w:val="000000" w:themeColor="text1"/>
          <w:lang w:val="es-ES"/>
        </w:rPr>
      </w:pPr>
      <w:r w:rsidRPr="26496D74">
        <w:rPr>
          <w:rFonts w:ascii="Verdana" w:hAnsi="Verdana" w:cs="Arial"/>
          <w:color w:val="000000" w:themeColor="text1"/>
          <w:lang w:val="es-ES"/>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26496D74">
        <w:rPr>
          <w:rFonts w:ascii="Verdana" w:hAnsi="Verdana" w:cs="Arial"/>
          <w:i/>
          <w:color w:val="000000" w:themeColor="text1"/>
          <w:lang w:val="es-ES"/>
        </w:rPr>
        <w:t>.</w:t>
      </w:r>
      <w:r w:rsidRPr="26496D74">
        <w:rPr>
          <w:rFonts w:ascii="Verdana" w:hAnsi="Verdana" w:cs="Arial"/>
          <w:color w:val="000000" w:themeColor="text1"/>
          <w:lang w:val="es-ES"/>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392B9DD8" w14:textId="687BC501" w:rsidR="00351D7F" w:rsidRPr="00886F14" w:rsidRDefault="00351D7F" w:rsidP="00351D7F">
      <w:pPr>
        <w:spacing w:after="0" w:line="276" w:lineRule="auto"/>
        <w:ind w:firstLine="708"/>
        <w:jc w:val="both"/>
        <w:rPr>
          <w:rFonts w:ascii="Verdana" w:hAnsi="Verdana" w:cs="Arial"/>
          <w:color w:val="000000" w:themeColor="text1"/>
          <w:lang w:val="es-ES"/>
        </w:rPr>
      </w:pPr>
      <w:r w:rsidRPr="26496D74">
        <w:rPr>
          <w:rFonts w:ascii="Verdana" w:hAnsi="Verdana" w:cs="Arial"/>
          <w:color w:val="000000" w:themeColor="text1"/>
          <w:lang w:val="es-ES"/>
        </w:rPr>
        <w:t xml:space="preserve">Específicamente, el numeral 1º del artículo referido establece que en los procesos de selección de contratistas serán objeto de verificación, como requisitos habilitantes, </w:t>
      </w:r>
      <w:r w:rsidRPr="26496D74">
        <w:rPr>
          <w:rFonts w:ascii="Verdana" w:hAnsi="Verdana" w:cs="Arial"/>
          <w:i/>
          <w:color w:val="000000" w:themeColor="text1"/>
          <w:lang w:val="es-ES"/>
        </w:rPr>
        <w:t>entre otros</w:t>
      </w:r>
      <w:r w:rsidRPr="26496D74">
        <w:rPr>
          <w:rFonts w:ascii="Verdana" w:hAnsi="Verdana" w:cs="Arial"/>
          <w:color w:val="000000" w:themeColor="text1"/>
          <w:lang w:val="es-ES"/>
        </w:rPr>
        <w:t xml:space="preserve">, los siguientes: i) la capacidad jurídica; ii) </w:t>
      </w:r>
      <w:r w:rsidRPr="00D61001">
        <w:rPr>
          <w:rFonts w:ascii="Verdana" w:hAnsi="Verdana" w:cs="Arial"/>
          <w:i/>
          <w:color w:val="000000" w:themeColor="text1"/>
          <w:lang w:val="es-ES"/>
        </w:rPr>
        <w:t>la experiencia</w:t>
      </w:r>
      <w:r w:rsidRPr="26496D74">
        <w:rPr>
          <w:rFonts w:ascii="Verdana" w:hAnsi="Verdana" w:cs="Arial"/>
          <w:color w:val="000000" w:themeColor="text1"/>
          <w:lang w:val="es-ES"/>
        </w:rPr>
        <w:t xml:space="preserve">; iii) la capacidad financiera y iv) la capacidad de organización. En efecto, la normativa citada prescribe lo siguiente: </w:t>
      </w:r>
    </w:p>
    <w:p w14:paraId="59533CE3" w14:textId="77777777" w:rsidR="00351D7F" w:rsidRPr="00886F14" w:rsidRDefault="00351D7F" w:rsidP="00351D7F">
      <w:pPr>
        <w:spacing w:after="0" w:line="276" w:lineRule="auto"/>
        <w:ind w:firstLine="708"/>
        <w:jc w:val="both"/>
        <w:rPr>
          <w:rFonts w:ascii="Verdana" w:hAnsi="Verdana" w:cs="Arial"/>
          <w:color w:val="000000" w:themeColor="text1"/>
          <w:lang w:val="es-ES_tradnl"/>
        </w:rPr>
      </w:pPr>
    </w:p>
    <w:p w14:paraId="6953AD00" w14:textId="77777777" w:rsidR="00351D7F" w:rsidRPr="00D61001" w:rsidRDefault="00351D7F" w:rsidP="00351D7F">
      <w:pPr>
        <w:spacing w:after="0" w:line="240" w:lineRule="auto"/>
        <w:ind w:left="709" w:right="709"/>
        <w:rPr>
          <w:rFonts w:ascii="Verdana" w:hAnsi="Verdana" w:cs="Arial"/>
          <w:color w:val="000000" w:themeColor="text1"/>
          <w:sz w:val="20"/>
          <w:szCs w:val="20"/>
          <w:lang w:val="es-ES_tradnl"/>
        </w:rPr>
      </w:pPr>
      <w:r w:rsidRPr="00D61001">
        <w:rPr>
          <w:rFonts w:ascii="Verdana" w:hAnsi="Verdana" w:cs="Arial"/>
          <w:i/>
          <w:color w:val="000000" w:themeColor="text1"/>
          <w:sz w:val="20"/>
          <w:szCs w:val="20"/>
          <w:lang w:val="es-ES_tradnl"/>
        </w:rPr>
        <w:t>“</w:t>
      </w:r>
      <w:r w:rsidRPr="00D61001">
        <w:rPr>
          <w:rFonts w:ascii="Verdana" w:hAnsi="Verdana" w:cs="Arial"/>
          <w:color w:val="000000" w:themeColor="text1"/>
          <w:sz w:val="20"/>
          <w:szCs w:val="20"/>
          <w:lang w:val="es-ES_tradnl"/>
        </w:rPr>
        <w:t xml:space="preserve">Artículo 5. De la Selección Objetiva. </w:t>
      </w:r>
    </w:p>
    <w:p w14:paraId="4A20BF5A" w14:textId="77777777" w:rsidR="00351D7F" w:rsidRPr="00D61001" w:rsidRDefault="00351D7F" w:rsidP="00D61001">
      <w:pPr>
        <w:spacing w:after="0" w:line="240" w:lineRule="auto"/>
        <w:ind w:left="709" w:right="709"/>
        <w:rPr>
          <w:rFonts w:ascii="Verdana" w:hAnsi="Verdana" w:cs="Arial"/>
          <w:color w:val="000000" w:themeColor="text1"/>
          <w:sz w:val="20"/>
          <w:szCs w:val="20"/>
          <w:lang w:val="es-ES_tradnl"/>
        </w:rPr>
      </w:pPr>
      <w:r w:rsidRPr="00D61001">
        <w:rPr>
          <w:rFonts w:ascii="Verdana" w:hAnsi="Verdana" w:cs="Arial"/>
          <w:color w:val="000000" w:themeColor="text1"/>
          <w:sz w:val="20"/>
          <w:szCs w:val="20"/>
          <w:lang w:val="es-ES_tradnl"/>
        </w:rPr>
        <w:t>[…]</w:t>
      </w:r>
    </w:p>
    <w:p w14:paraId="6559BE2E" w14:textId="77777777" w:rsidR="00351D7F" w:rsidRPr="00D61001" w:rsidRDefault="00351D7F" w:rsidP="00D61001">
      <w:pPr>
        <w:pStyle w:val="Prrafodelista"/>
        <w:spacing w:after="0" w:line="240" w:lineRule="auto"/>
        <w:ind w:left="709" w:right="709"/>
        <w:jc w:val="both"/>
        <w:rPr>
          <w:rFonts w:ascii="Verdana" w:eastAsia="Calibri" w:hAnsi="Verdana" w:cs="Arial"/>
          <w:color w:val="000000" w:themeColor="text1"/>
          <w:sz w:val="20"/>
          <w:szCs w:val="20"/>
        </w:rPr>
      </w:pPr>
      <w:r w:rsidRPr="00D61001">
        <w:rPr>
          <w:rFonts w:ascii="Verdana" w:eastAsia="Calibri" w:hAnsi="Verdana" w:cs="Arial"/>
          <w:color w:val="000000" w:themeColor="text1"/>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r w:rsidRPr="00D61001">
        <w:rPr>
          <w:rFonts w:ascii="Verdana" w:eastAsia="Calibri" w:hAnsi="Verdana" w:cs="Arial"/>
          <w:i/>
          <w:color w:val="000000" w:themeColor="text1"/>
          <w:sz w:val="20"/>
          <w:szCs w:val="20"/>
        </w:rPr>
        <w:t>”</w:t>
      </w:r>
      <w:r w:rsidRPr="00D61001">
        <w:rPr>
          <w:rFonts w:ascii="Verdana" w:eastAsia="Calibri" w:hAnsi="Verdana" w:cs="Arial"/>
          <w:color w:val="000000" w:themeColor="text1"/>
          <w:sz w:val="20"/>
          <w:szCs w:val="20"/>
        </w:rPr>
        <w:t>.</w:t>
      </w:r>
    </w:p>
    <w:p w14:paraId="3EE1C66C" w14:textId="77777777" w:rsidR="00351D7F" w:rsidRPr="00D61001" w:rsidRDefault="00351D7F" w:rsidP="00351D7F">
      <w:pPr>
        <w:spacing w:after="0" w:line="276" w:lineRule="auto"/>
        <w:ind w:right="709"/>
        <w:jc w:val="both"/>
        <w:rPr>
          <w:rFonts w:ascii="Verdana" w:eastAsia="Calibri" w:hAnsi="Verdana" w:cs="Arial"/>
          <w:color w:val="000000" w:themeColor="text1"/>
          <w:lang w:val="es-ES_tradnl"/>
        </w:rPr>
      </w:pPr>
    </w:p>
    <w:p w14:paraId="768603A9" w14:textId="77777777" w:rsidR="00351D7F" w:rsidRDefault="00351D7F" w:rsidP="00351D7F">
      <w:pPr>
        <w:spacing w:after="120" w:line="276" w:lineRule="auto"/>
        <w:jc w:val="both"/>
        <w:rPr>
          <w:rFonts w:ascii="Verdana" w:eastAsia="Calibri" w:hAnsi="Verdana" w:cs="Arial"/>
          <w:bCs/>
          <w:lang w:val="es-ES" w:eastAsia="es-ES_tradnl"/>
        </w:rPr>
      </w:pPr>
      <w:r w:rsidRPr="00886F14">
        <w:rPr>
          <w:rFonts w:ascii="Verdana" w:hAnsi="Verdana" w:cs="Arial"/>
          <w:color w:val="000000" w:themeColor="text1"/>
          <w:lang w:val="es-ES_tradnl"/>
        </w:rPr>
        <w:tab/>
      </w:r>
      <w:bookmarkStart w:id="2" w:name="_Hlk75296202"/>
      <w:r w:rsidRPr="00DA67B3">
        <w:rPr>
          <w:rFonts w:ascii="Verdana" w:eastAsia="Calibri" w:hAnsi="Verdana" w:cs="Arial"/>
          <w:bCs/>
          <w:lang w:val="es-ES" w:eastAsia="es-ES_tradnl"/>
        </w:rPr>
        <w:t xml:space="preserve">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–por expresa disposición legal– no otorgan puntaje, salvo que excepcionalmente se permita lo contrario. Esto comoquiera dichos requisitos </w:t>
      </w:r>
      <w:r w:rsidRPr="00DA67B3">
        <w:rPr>
          <w:rFonts w:ascii="Verdana" w:eastAsia="Calibri" w:hAnsi="Verdana" w:cs="Arial"/>
          <w:bCs/>
          <w:lang w:val="es-ES" w:eastAsia="es-ES_tradnl"/>
        </w:rPr>
        <w:lastRenderedPageBreak/>
        <w:t>no se refieren a la oferta misma sino a la idoneidad del oferente para asumir adecuadamente la ejecución del contrato</w:t>
      </w:r>
      <w:r w:rsidRPr="00DA67B3">
        <w:rPr>
          <w:rFonts w:ascii="Verdana" w:hAnsi="Verdana"/>
          <w:vertAlign w:val="superscript"/>
          <w:lang w:val="es-ES" w:eastAsia="es-ES_tradnl"/>
        </w:rPr>
        <w:footnoteReference w:id="2"/>
      </w:r>
      <w:r w:rsidRPr="00DA67B3">
        <w:rPr>
          <w:rFonts w:ascii="Verdana" w:eastAsia="Calibri" w:hAnsi="Verdana" w:cs="Arial"/>
          <w:bCs/>
          <w:lang w:val="es-ES" w:eastAsia="es-ES_tradnl"/>
        </w:rPr>
        <w:t xml:space="preserve">. </w:t>
      </w:r>
    </w:p>
    <w:p w14:paraId="0E474FDA" w14:textId="77777777" w:rsidR="00351D7F" w:rsidRDefault="00351D7F" w:rsidP="00351D7F">
      <w:pPr>
        <w:spacing w:after="120" w:line="276" w:lineRule="auto"/>
        <w:ind w:firstLine="708"/>
        <w:jc w:val="both"/>
        <w:rPr>
          <w:rFonts w:ascii="Verdana" w:eastAsia="Calibri" w:hAnsi="Verdana" w:cs="Arial"/>
          <w:bCs/>
          <w:lang w:val="es-ES" w:eastAsia="es-ES_tradnl"/>
        </w:rPr>
      </w:pPr>
      <w:r>
        <w:rPr>
          <w:rFonts w:ascii="Verdana" w:eastAsia="Calibri" w:hAnsi="Verdana" w:cs="Arial"/>
          <w:bCs/>
          <w:lang w:val="es-ES" w:eastAsia="es-ES_tradnl"/>
        </w:rPr>
        <w:t>En ese marco, l</w:t>
      </w:r>
      <w:r w:rsidRPr="00DA67B3">
        <w:rPr>
          <w:rFonts w:ascii="Verdana" w:eastAsia="Calibri" w:hAnsi="Verdana" w:cs="Arial"/>
          <w:bCs/>
          <w:lang w:val="es-ES" w:eastAsia="es-ES_tradnl"/>
        </w:rPr>
        <w:t xml:space="preserve">os oferentes que cumplan estos requisitos habilitantes son considerados idóneos para ejecutar el objeto contractual, de manera que sus ofertas pueden ser consideradas en la evaluación dirigida a determinar cuál es la más favorable para la entidad y los fines de la contratación. En este sentido, los </w:t>
      </w:r>
      <w:r w:rsidRPr="00FB4027">
        <w:rPr>
          <w:rFonts w:ascii="Verdana" w:eastAsia="Calibri" w:hAnsi="Verdana" w:cs="Arial"/>
          <w:bCs/>
          <w:i/>
          <w:iCs/>
          <w:lang w:val="es-ES" w:eastAsia="es-ES_tradnl"/>
        </w:rPr>
        <w:t>requisitos</w:t>
      </w:r>
      <w:r w:rsidRPr="00DA67B3">
        <w:rPr>
          <w:rFonts w:ascii="Verdana" w:eastAsia="Calibri" w:hAnsi="Verdana" w:cs="Arial"/>
          <w:bCs/>
          <w:lang w:val="es-ES" w:eastAsia="es-ES_tradnl"/>
        </w:rPr>
        <w:t xml:space="preserve"> </w:t>
      </w:r>
      <w:r w:rsidRPr="00DA67B3">
        <w:rPr>
          <w:rFonts w:ascii="Verdana" w:eastAsia="Calibri" w:hAnsi="Verdana" w:cs="Arial"/>
          <w:bCs/>
          <w:i/>
          <w:iCs/>
          <w:lang w:val="es-ES" w:eastAsia="es-ES_tradnl"/>
        </w:rPr>
        <w:t xml:space="preserve">habilitantes </w:t>
      </w:r>
      <w:r w:rsidRPr="00DA67B3">
        <w:rPr>
          <w:rFonts w:ascii="Verdana" w:eastAsia="Calibri" w:hAnsi="Verdana" w:cs="Arial"/>
          <w:bCs/>
          <w:lang w:val="es-ES" w:eastAsia="es-ES_tradnl"/>
        </w:rPr>
        <w:t>son aquellos que deben cumplir en igualdad de condiciones los proponentes y cumplido el mínimo establecido en el pliego de condiciones o documento equivalente hacen que los proponentes se habiliten en el procedimiento de selección y sean susceptibles de ser seleccionados como futuros contratistas.</w:t>
      </w:r>
      <w:bookmarkEnd w:id="2"/>
    </w:p>
    <w:p w14:paraId="60CF0F92" w14:textId="1B5B4431" w:rsidR="00351D7F" w:rsidRDefault="00351D7F" w:rsidP="00351D7F">
      <w:pPr>
        <w:spacing w:after="0" w:line="276" w:lineRule="auto"/>
        <w:ind w:firstLine="708"/>
        <w:jc w:val="both"/>
        <w:rPr>
          <w:rFonts w:ascii="Verdana" w:eastAsia="Calibri" w:hAnsi="Verdana" w:cs="Arial"/>
          <w:bCs/>
          <w:lang w:val="es-ES" w:eastAsia="es-ES_tradnl"/>
        </w:rPr>
      </w:pPr>
      <w:r>
        <w:rPr>
          <w:rFonts w:ascii="Verdana" w:eastAsia="Calibri" w:hAnsi="Verdana" w:cs="Arial"/>
          <w:bCs/>
          <w:lang w:val="es-ES" w:eastAsia="es-ES_tradnl"/>
        </w:rPr>
        <w:t>Justamente, l</w:t>
      </w:r>
      <w:r w:rsidRPr="00F16FF6">
        <w:rPr>
          <w:rFonts w:ascii="Verdana" w:eastAsia="Calibri" w:hAnsi="Verdana" w:cs="Arial"/>
          <w:bCs/>
          <w:lang w:val="es-ES" w:eastAsia="es-ES_tradnl"/>
        </w:rPr>
        <w:t>a experiencia</w:t>
      </w:r>
      <w:r w:rsidR="00BC678A">
        <w:rPr>
          <w:rFonts w:ascii="Verdana" w:eastAsia="Calibri" w:hAnsi="Verdana" w:cs="Arial"/>
          <w:bCs/>
          <w:lang w:val="es-ES" w:eastAsia="es-ES_tradnl"/>
        </w:rPr>
        <w:t xml:space="preserve"> </w:t>
      </w:r>
      <w:r w:rsidRPr="005419C6">
        <w:rPr>
          <w:rFonts w:ascii="Verdana" w:eastAsia="Calibri" w:hAnsi="Verdana" w:cs="Arial"/>
          <w:bCs/>
          <w:lang w:eastAsia="es-ES_tradnl"/>
        </w:rPr>
        <w:t xml:space="preserve">constituye uno de los requisitos habilitantes y se deriva de los contratos que el proponente ha celebrado y ejecutado con distintos contratantes, sin que la naturaleza pública o privada de estos sea determinante. Su verificación se realiza </w:t>
      </w:r>
      <w:r>
        <w:rPr>
          <w:rFonts w:ascii="Verdana" w:eastAsia="Calibri" w:hAnsi="Verdana" w:cs="Arial"/>
          <w:bCs/>
          <w:lang w:eastAsia="es-ES_tradnl"/>
        </w:rPr>
        <w:t xml:space="preserve">por regla general </w:t>
      </w:r>
      <w:r w:rsidRPr="005419C6">
        <w:rPr>
          <w:rFonts w:ascii="Verdana" w:eastAsia="Calibri" w:hAnsi="Verdana" w:cs="Arial"/>
          <w:bCs/>
          <w:lang w:eastAsia="es-ES_tradnl"/>
        </w:rPr>
        <w:t xml:space="preserve">a través del </w:t>
      </w:r>
      <w:r w:rsidRPr="005419C6">
        <w:rPr>
          <w:rFonts w:ascii="Verdana" w:eastAsia="Calibri" w:hAnsi="Verdana" w:cs="Arial"/>
          <w:lang w:eastAsia="es-ES_tradnl"/>
        </w:rPr>
        <w:t>RUP</w:t>
      </w:r>
      <w:r w:rsidRPr="005419C6">
        <w:rPr>
          <w:rFonts w:ascii="Verdana" w:eastAsia="Calibri" w:hAnsi="Verdana" w:cs="Arial"/>
          <w:bCs/>
          <w:lang w:eastAsia="es-ES_tradnl"/>
        </w:rPr>
        <w:t>, cuando este sea exigible conforme a la ley.</w:t>
      </w:r>
      <w:r w:rsidRPr="00F16FF6">
        <w:rPr>
          <w:rFonts w:ascii="Verdana" w:eastAsia="Calibri" w:hAnsi="Verdana" w:cs="Arial"/>
          <w:bCs/>
          <w:lang w:val="es-ES" w:eastAsia="es-ES_tradnl"/>
        </w:rPr>
        <w:t xml:space="preserve"> </w:t>
      </w:r>
      <w:r w:rsidRPr="004A272A">
        <w:rPr>
          <w:rFonts w:ascii="Verdana" w:eastAsia="Calibri" w:hAnsi="Verdana" w:cs="Arial"/>
          <w:bCs/>
          <w:lang w:val="es-ES" w:eastAsia="es-ES_tradnl"/>
        </w:rPr>
        <w:t>El artículo 6 de la Ley 1150 de 2007 dispone que los requisitos habilitantes antes mencionados, entre ellos la experiencia, se acreditan mediante el RUP</w:t>
      </w:r>
      <w:r>
        <w:rPr>
          <w:rFonts w:ascii="Verdana" w:eastAsia="Calibri" w:hAnsi="Verdana" w:cs="Arial"/>
          <w:bCs/>
          <w:lang w:val="es-ES" w:eastAsia="es-ES_tradnl"/>
        </w:rPr>
        <w:t>: “</w:t>
      </w:r>
    </w:p>
    <w:p w14:paraId="029548C8" w14:textId="77777777" w:rsidR="00351D7F" w:rsidRDefault="00351D7F" w:rsidP="00351D7F">
      <w:pPr>
        <w:spacing w:after="0" w:line="276" w:lineRule="auto"/>
        <w:ind w:firstLine="708"/>
        <w:jc w:val="both"/>
        <w:rPr>
          <w:rFonts w:ascii="Verdana" w:eastAsia="Calibri" w:hAnsi="Verdana" w:cs="Arial"/>
          <w:bCs/>
          <w:lang w:val="es-ES" w:eastAsia="es-ES_tradnl"/>
        </w:rPr>
      </w:pPr>
    </w:p>
    <w:p w14:paraId="3415D3FC" w14:textId="77777777" w:rsidR="00351D7F" w:rsidRPr="00D61001" w:rsidRDefault="00351D7F" w:rsidP="00D61001">
      <w:pPr>
        <w:spacing w:after="0" w:line="240" w:lineRule="auto"/>
        <w:ind w:left="709" w:right="709"/>
        <w:jc w:val="both"/>
        <w:rPr>
          <w:rFonts w:ascii="Verdana" w:hAnsi="Verdana" w:cs="Open Sans"/>
          <w:sz w:val="20"/>
          <w:szCs w:val="20"/>
        </w:rPr>
      </w:pPr>
      <w:r w:rsidRPr="00D61001">
        <w:rPr>
          <w:rFonts w:ascii="Verdana" w:hAnsi="Verdana" w:cs="Open Sans"/>
          <w:sz w:val="20"/>
          <w:szCs w:val="20"/>
        </w:rPr>
        <w:t>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44722E49" w14:textId="77777777" w:rsidR="00351D7F" w:rsidRPr="00D61001" w:rsidRDefault="00351D7F" w:rsidP="00D61001">
      <w:pPr>
        <w:spacing w:after="0" w:line="240" w:lineRule="auto"/>
        <w:ind w:left="709" w:right="709"/>
        <w:jc w:val="both"/>
        <w:rPr>
          <w:rFonts w:ascii="Open Sans" w:hAnsi="Open Sans" w:cs="Open Sans"/>
          <w:sz w:val="20"/>
          <w:szCs w:val="20"/>
        </w:rPr>
      </w:pPr>
    </w:p>
    <w:p w14:paraId="6B6678CA" w14:textId="77777777" w:rsidR="00351D7F" w:rsidRPr="00D61001" w:rsidRDefault="00351D7F" w:rsidP="00D61001">
      <w:pPr>
        <w:spacing w:after="0" w:line="240" w:lineRule="auto"/>
        <w:ind w:left="709" w:right="709"/>
        <w:contextualSpacing/>
        <w:jc w:val="both"/>
        <w:rPr>
          <w:rFonts w:ascii="Verdana" w:eastAsia="Arial" w:hAnsi="Verdana" w:cs="Arial"/>
          <w:sz w:val="20"/>
          <w:szCs w:val="20"/>
          <w:lang w:val="es-ES"/>
        </w:rPr>
      </w:pPr>
      <w:r w:rsidRPr="00D61001">
        <w:rPr>
          <w:rFonts w:ascii="Verdana" w:eastAsia="Arial" w:hAnsi="Verdana" w:cs="Arial"/>
          <w:sz w:val="20"/>
          <w:szCs w:val="20"/>
          <w:lang w:val="es-ES"/>
        </w:rPr>
        <w:t xml:space="preserve">[...]será plena prueba de las circunstancias que en ella se hagan constar y que hayan sido </w:t>
      </w:r>
      <w:r w:rsidRPr="00D61001">
        <w:rPr>
          <w:rFonts w:ascii="Verdana" w:eastAsia="Arial" w:hAnsi="Verdana" w:cs="Arial"/>
          <w:i/>
          <w:sz w:val="20"/>
          <w:szCs w:val="20"/>
          <w:lang w:val="es-ES"/>
        </w:rPr>
        <w:t>verificadas por las Cámaras de Comercio</w:t>
      </w:r>
      <w:r w:rsidRPr="00D61001">
        <w:rPr>
          <w:rFonts w:ascii="Verdana" w:eastAsia="Arial" w:hAnsi="Verdana" w:cs="Arial"/>
          <w:sz w:val="20"/>
          <w:szCs w:val="20"/>
          <w:lang w:val="es-ES"/>
        </w:rPr>
        <w:t>. En tal sentido, la verificación de las condiciones establecidas en el numeral 1 del artículo 5 de la presente ley, se demostrará exclusivamente con el respectivo certificado del RUP en donde deberán constar dichas condiciones.</w:t>
      </w:r>
      <w:r w:rsidRPr="00D61001">
        <w:rPr>
          <w:rFonts w:ascii="Verdana" w:hAnsi="Verdana"/>
          <w:sz w:val="20"/>
          <w:szCs w:val="20"/>
          <w:lang w:val="es-ES"/>
        </w:rPr>
        <w:t xml:space="preserve"> </w:t>
      </w:r>
      <w:r w:rsidRPr="00D61001">
        <w:rPr>
          <w:rFonts w:ascii="Verdana" w:eastAsia="Arial" w:hAnsi="Verdana" w:cs="Arial"/>
          <w:sz w:val="20"/>
          <w:szCs w:val="20"/>
          <w:lang w:val="es-ES"/>
        </w:rPr>
        <w:t xml:space="preserve">En consecuencia, las entidades estatales en los procesos de contratación no podrán exigir, ni los proponentes aportar documentación que deba utilizarse para efectuar la inscripción en el registro. </w:t>
      </w:r>
      <w:r w:rsidRPr="00D61001">
        <w:rPr>
          <w:rFonts w:ascii="Verdana" w:eastAsia="Arial" w:hAnsi="Verdana" w:cs="Arial"/>
          <w:i/>
          <w:sz w:val="20"/>
          <w:szCs w:val="20"/>
          <w:lang w:val="es-ES"/>
        </w:rPr>
        <w:t xml:space="preserve">No obstante, lo anterior, sólo en aquellos casos en que por las características del objeto a contratar se requiera la verificación de requisitos del proponente </w:t>
      </w:r>
      <w:r w:rsidRPr="00D61001">
        <w:rPr>
          <w:rFonts w:ascii="Verdana" w:eastAsia="Arial" w:hAnsi="Verdana" w:cs="Arial"/>
          <w:i/>
          <w:sz w:val="20"/>
          <w:szCs w:val="20"/>
          <w:lang w:val="es-ES"/>
        </w:rPr>
        <w:lastRenderedPageBreak/>
        <w:t>adicionales a los contenidos en el Registro, la entidad podrá hacer tal verificación en forma directa</w:t>
      </w:r>
      <w:r w:rsidRPr="00D61001">
        <w:rPr>
          <w:rFonts w:ascii="Verdana" w:eastAsia="Arial" w:hAnsi="Verdana" w:cs="Arial"/>
          <w:sz w:val="20"/>
          <w:szCs w:val="20"/>
          <w:lang w:val="es-ES"/>
        </w:rPr>
        <w:t>”. [Énfasis fuera de texto]</w:t>
      </w:r>
    </w:p>
    <w:p w14:paraId="5534C828" w14:textId="77777777" w:rsidR="00351D7F" w:rsidRDefault="00351D7F" w:rsidP="00351D7F">
      <w:pPr>
        <w:spacing w:after="0" w:line="276" w:lineRule="auto"/>
        <w:ind w:left="708"/>
        <w:jc w:val="both"/>
        <w:rPr>
          <w:rFonts w:ascii="Open Sans" w:hAnsi="Open Sans" w:cs="Open Sans"/>
          <w:color w:val="4B4949"/>
          <w:sz w:val="18"/>
          <w:szCs w:val="18"/>
        </w:rPr>
      </w:pPr>
    </w:p>
    <w:p w14:paraId="64EF7A39" w14:textId="062DD251" w:rsidR="00351D7F" w:rsidRPr="00E84290" w:rsidRDefault="00351D7F" w:rsidP="00351D7F">
      <w:pPr>
        <w:spacing w:after="120" w:line="276" w:lineRule="auto"/>
        <w:ind w:firstLine="708"/>
        <w:jc w:val="both"/>
        <w:rPr>
          <w:rFonts w:ascii="Verdana" w:eastAsia="Calibri" w:hAnsi="Verdana" w:cs="Arial"/>
          <w:bCs/>
          <w:lang w:val="es-ES" w:eastAsia="es-ES_tradnl"/>
        </w:rPr>
      </w:pPr>
      <w:r w:rsidRPr="00E84290">
        <w:rPr>
          <w:rFonts w:ascii="Verdana" w:eastAsia="Calibri" w:hAnsi="Verdana" w:cs="Arial"/>
          <w:bCs/>
          <w:lang w:val="es-ES" w:eastAsia="es-ES_tradnl"/>
        </w:rPr>
        <w:t xml:space="preserve">De acuerdo con la </w:t>
      </w:r>
      <w:r>
        <w:rPr>
          <w:rFonts w:ascii="Verdana" w:eastAsia="Calibri" w:hAnsi="Verdana" w:cs="Arial"/>
          <w:bCs/>
          <w:lang w:val="es-ES" w:eastAsia="es-ES_tradnl"/>
        </w:rPr>
        <w:t>norma en cita</w:t>
      </w:r>
      <w:r w:rsidRPr="00E84290">
        <w:rPr>
          <w:rFonts w:ascii="Verdana" w:eastAsia="Calibri" w:hAnsi="Verdana" w:cs="Arial"/>
          <w:bCs/>
          <w:lang w:val="es-ES" w:eastAsia="es-ES_tradnl"/>
        </w:rPr>
        <w:t xml:space="preserve">, el </w:t>
      </w:r>
      <w:r w:rsidR="00BC678A">
        <w:rPr>
          <w:rFonts w:ascii="Verdana" w:eastAsia="Calibri" w:hAnsi="Verdana" w:cs="Arial"/>
          <w:bCs/>
          <w:lang w:val="es-ES" w:eastAsia="es-ES_tradnl"/>
        </w:rPr>
        <w:t>RUP</w:t>
      </w:r>
      <w:r w:rsidRPr="00E84290">
        <w:rPr>
          <w:rFonts w:ascii="Verdana" w:eastAsia="Calibri" w:hAnsi="Verdana" w:cs="Arial"/>
          <w:bCs/>
          <w:lang w:val="es-ES" w:eastAsia="es-ES_tradnl"/>
        </w:rPr>
        <w:t xml:space="preserve"> constituye plena prueba de las condiciones que en él consten y que hayan sido verificadas por las Cámaras de Comercio. En consecuencia, la acreditación de los requisitos habilitantes previstos en el numeral 1 del artículo 5 de la ley —entre ellos, </w:t>
      </w:r>
      <w:r w:rsidRPr="00E84290">
        <w:rPr>
          <w:rFonts w:ascii="Verdana" w:eastAsia="Calibri" w:hAnsi="Verdana" w:cs="Arial"/>
          <w:bCs/>
          <w:i/>
          <w:iCs/>
          <w:lang w:val="es-ES" w:eastAsia="es-ES_tradnl"/>
        </w:rPr>
        <w:t>la experiencia</w:t>
      </w:r>
      <w:r w:rsidRPr="00E84290">
        <w:rPr>
          <w:rFonts w:ascii="Verdana" w:eastAsia="Calibri" w:hAnsi="Verdana" w:cs="Arial"/>
          <w:bCs/>
          <w:lang w:val="es-ES" w:eastAsia="es-ES_tradnl"/>
        </w:rPr>
        <w:t>, la capacidad jurídica, financiera y de organización— debe efectuarse exclusivamente mediante el certificado del RUP, en el cual deben figurar dichas condiciones.</w:t>
      </w:r>
    </w:p>
    <w:p w14:paraId="5230D8CA" w14:textId="77777777" w:rsidR="00351D7F" w:rsidRDefault="00351D7F" w:rsidP="00351D7F">
      <w:pPr>
        <w:spacing w:after="120" w:line="276" w:lineRule="auto"/>
        <w:ind w:firstLine="708"/>
        <w:jc w:val="both"/>
        <w:rPr>
          <w:rFonts w:ascii="Verdana" w:eastAsia="Calibri" w:hAnsi="Verdana" w:cs="Arial"/>
          <w:bCs/>
          <w:lang w:val="es-ES" w:eastAsia="es-ES_tradnl"/>
        </w:rPr>
      </w:pPr>
      <w:r w:rsidRPr="00E84290">
        <w:rPr>
          <w:rFonts w:ascii="Verdana" w:eastAsia="Calibri" w:hAnsi="Verdana" w:cs="Arial"/>
          <w:bCs/>
          <w:lang w:val="es-ES" w:eastAsia="es-ES_tradnl"/>
        </w:rPr>
        <w:t>Por lo mismo, las entidades estatales no pueden exigir ni los proponentes aportar documentos adicionales destinados a soportar la información que ya fue verificada e inscrita en el Registro. No obstante, la norma admite una excepción:</w:t>
      </w:r>
      <w:r w:rsidRPr="00A424BB">
        <w:rPr>
          <w:rFonts w:ascii="Verdana" w:eastAsia="Calibri" w:hAnsi="Verdana" w:cs="Arial"/>
          <w:bCs/>
          <w:lang w:val="es-ES" w:eastAsia="es-ES_tradnl"/>
        </w:rPr>
        <w:t xml:space="preserve"> </w:t>
      </w:r>
      <w:r w:rsidRPr="00E84290">
        <w:rPr>
          <w:rFonts w:ascii="Verdana" w:eastAsia="Calibri" w:hAnsi="Verdana" w:cs="Arial"/>
          <w:bCs/>
          <w:lang w:val="es-ES" w:eastAsia="es-ES_tradnl"/>
        </w:rPr>
        <w:t>cuando las particularidades del objeto contractual hagan necesaria la comprobación de requisitos adicionales a los contenidos en el RUP, la entidad contratante podrá realizar dicha verificación directamente, con el fin de garantizar la selección objetiva y la adecuada ejecución del contrato.</w:t>
      </w:r>
    </w:p>
    <w:p w14:paraId="36F98F6E" w14:textId="35613684" w:rsidR="00351D7F" w:rsidRPr="002D172F" w:rsidRDefault="00351D7F" w:rsidP="00351D7F">
      <w:pPr>
        <w:spacing w:after="120" w:line="276" w:lineRule="auto"/>
        <w:ind w:firstLine="708"/>
        <w:jc w:val="both"/>
        <w:rPr>
          <w:rFonts w:ascii="Verdana" w:eastAsia="Calibri" w:hAnsi="Verdana" w:cs="Arial"/>
          <w:lang w:eastAsia="es-ES_tradnl"/>
        </w:rPr>
      </w:pPr>
      <w:r>
        <w:rPr>
          <w:rFonts w:ascii="Verdana" w:eastAsia="Calibri" w:hAnsi="Verdana" w:cs="Arial"/>
          <w:bCs/>
          <w:lang w:val="es-ES" w:eastAsia="es-ES_tradnl"/>
        </w:rPr>
        <w:t xml:space="preserve">En ese sentido, </w:t>
      </w:r>
      <w:r w:rsidRPr="002D172F">
        <w:rPr>
          <w:rFonts w:ascii="Verdana" w:eastAsia="Calibri" w:hAnsi="Verdana" w:cs="Arial"/>
          <w:bCs/>
          <w:lang w:eastAsia="es-ES_tradnl"/>
        </w:rPr>
        <w:t xml:space="preserve">el </w:t>
      </w:r>
      <w:r w:rsidRPr="002D172F">
        <w:rPr>
          <w:rFonts w:ascii="Verdana" w:eastAsia="Calibri" w:hAnsi="Verdana" w:cs="Arial"/>
          <w:lang w:eastAsia="es-ES_tradnl"/>
        </w:rPr>
        <w:t>RUP es el instrumento en el cual reposa la información relativa a las personas naturales y jurídicas interesadas en participar en los procedimientos de contratación que adelantan las entidades estatales. Su finalidad es consolidar en un único documento los aspectos relacionados con la</w:t>
      </w:r>
      <w:r>
        <w:rPr>
          <w:rFonts w:ascii="Verdana" w:eastAsia="Calibri" w:hAnsi="Verdana" w:cs="Arial"/>
          <w:lang w:eastAsia="es-ES_tradnl"/>
        </w:rPr>
        <w:t xml:space="preserve"> </w:t>
      </w:r>
      <w:r w:rsidRPr="002D172F">
        <w:rPr>
          <w:rFonts w:ascii="Verdana" w:eastAsia="Calibri" w:hAnsi="Verdana" w:cs="Arial"/>
          <w:i/>
          <w:iCs/>
          <w:lang w:eastAsia="es-ES_tradnl"/>
        </w:rPr>
        <w:t>experiencia</w:t>
      </w:r>
      <w:r>
        <w:rPr>
          <w:rFonts w:ascii="Verdana" w:eastAsia="Calibri" w:hAnsi="Verdana" w:cs="Arial"/>
          <w:lang w:eastAsia="es-ES_tradnl"/>
        </w:rPr>
        <w:t xml:space="preserve">, </w:t>
      </w:r>
      <w:r w:rsidRPr="002D172F">
        <w:rPr>
          <w:rFonts w:ascii="Verdana" w:eastAsia="Calibri" w:hAnsi="Verdana" w:cs="Arial"/>
          <w:lang w:eastAsia="es-ES_tradnl"/>
        </w:rPr>
        <w:t>capacidad jurídica, técnica, financiera y organizacional de los posibles oferentes, con el propósito de facilitar la verificación de sus condiciones de idoneidad.</w:t>
      </w:r>
    </w:p>
    <w:p w14:paraId="1F0044D5" w14:textId="77777777" w:rsidR="00351D7F" w:rsidRDefault="00351D7F" w:rsidP="00351D7F">
      <w:pPr>
        <w:spacing w:after="0" w:line="276" w:lineRule="auto"/>
        <w:ind w:firstLine="708"/>
        <w:jc w:val="both"/>
        <w:rPr>
          <w:rFonts w:ascii="Verdana" w:eastAsia="Calibri" w:hAnsi="Verdana" w:cs="Arial"/>
          <w:lang w:eastAsia="es-ES_tradnl"/>
        </w:rPr>
      </w:pPr>
      <w:r>
        <w:rPr>
          <w:rFonts w:ascii="Verdana" w:eastAsia="Calibri" w:hAnsi="Verdana" w:cs="Arial"/>
          <w:lang w:eastAsia="es-ES_tradnl"/>
        </w:rPr>
        <w:t>En línea con lo anterior, e</w:t>
      </w:r>
      <w:r w:rsidRPr="002D172F">
        <w:rPr>
          <w:rFonts w:ascii="Verdana" w:eastAsia="Calibri" w:hAnsi="Verdana" w:cs="Arial"/>
          <w:lang w:eastAsia="es-ES_tradnl"/>
        </w:rPr>
        <w:t>l Consejo de Estado ha precisado la naturaleza y finalidad del RUP en los siguientes términos:</w:t>
      </w:r>
    </w:p>
    <w:p w14:paraId="685D58FF" w14:textId="77777777" w:rsidR="00351D7F" w:rsidRPr="002D172F" w:rsidRDefault="00351D7F" w:rsidP="00351D7F">
      <w:pPr>
        <w:spacing w:after="0" w:line="276" w:lineRule="auto"/>
        <w:ind w:firstLine="708"/>
        <w:jc w:val="both"/>
        <w:rPr>
          <w:rFonts w:ascii="Verdana" w:eastAsia="Calibri" w:hAnsi="Verdana" w:cs="Arial"/>
          <w:lang w:eastAsia="es-ES_tradnl"/>
        </w:rPr>
      </w:pPr>
    </w:p>
    <w:p w14:paraId="602C22A0" w14:textId="77777777" w:rsidR="00351D7F" w:rsidRPr="00D61001" w:rsidRDefault="00351D7F" w:rsidP="00D61001">
      <w:pPr>
        <w:tabs>
          <w:tab w:val="left" w:pos="8505"/>
        </w:tabs>
        <w:spacing w:after="0" w:line="240" w:lineRule="auto"/>
        <w:ind w:left="709" w:right="709"/>
        <w:contextualSpacing/>
        <w:jc w:val="both"/>
        <w:rPr>
          <w:rFonts w:ascii="Verdana" w:hAnsi="Verdana" w:cs="Arial"/>
          <w:color w:val="000000" w:themeColor="text1"/>
          <w:sz w:val="20"/>
          <w:szCs w:val="20"/>
        </w:rPr>
      </w:pPr>
      <w:r w:rsidRPr="00D61001">
        <w:rPr>
          <w:rFonts w:ascii="Verdana" w:eastAsia="Calibri" w:hAnsi="Verdana" w:cs="Arial"/>
          <w:sz w:val="20"/>
          <w:szCs w:val="20"/>
        </w:rPr>
        <w:t>“</w:t>
      </w:r>
      <w:r w:rsidRPr="00D61001">
        <w:rPr>
          <w:rFonts w:ascii="Verdana" w:hAnsi="Verdana" w:cs="Arial"/>
          <w:color w:val="000000" w:themeColor="text1"/>
          <w:sz w:val="20"/>
          <w:szCs w:val="20"/>
        </w:rPr>
        <w:t xml:space="preserve">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w:t>
      </w:r>
      <w:r w:rsidRPr="00D61001">
        <w:rPr>
          <w:rFonts w:ascii="Verdana" w:hAnsi="Verdana" w:cs="Arial"/>
          <w:i/>
          <w:color w:val="000000" w:themeColor="text1"/>
          <w:sz w:val="20"/>
          <w:szCs w:val="20"/>
        </w:rPr>
        <w:t>experiencia</w:t>
      </w:r>
      <w:r w:rsidRPr="00D61001">
        <w:rPr>
          <w:rFonts w:ascii="Verdana" w:hAnsi="Verdana" w:cs="Arial"/>
          <w:color w:val="000000" w:themeColor="text1"/>
          <w:sz w:val="20"/>
          <w:szCs w:val="20"/>
        </w:rPr>
        <w:t xml:space="preserve">, capacidad jurídica, capacidad técnica, capacidad de organización y capacidad financiera. En los términos del artículo 22 de la Ley 80 de 1993, todas las </w:t>
      </w:r>
      <w:r w:rsidRPr="00D61001">
        <w:rPr>
          <w:rFonts w:ascii="Verdana" w:hAnsi="Verdana" w:cs="Arial"/>
          <w:i/>
          <w:color w:val="000000" w:themeColor="text1"/>
          <w:sz w:val="20"/>
          <w:szCs w:val="20"/>
        </w:rPr>
        <w:t>personas naturales</w:t>
      </w:r>
      <w:r w:rsidRPr="00D61001">
        <w:rPr>
          <w:rFonts w:ascii="Verdana" w:hAnsi="Verdana" w:cs="Arial"/>
          <w:color w:val="000000" w:themeColor="text1"/>
          <w:sz w:val="20"/>
          <w:szCs w:val="20"/>
        </w:rPr>
        <w:t xml:space="preserve"> o jurídicas </w:t>
      </w:r>
      <w:r w:rsidRPr="00D61001">
        <w:rPr>
          <w:rFonts w:ascii="Verdana" w:hAnsi="Verdana" w:cs="Arial"/>
          <w:i/>
          <w:color w:val="000000" w:themeColor="text1"/>
          <w:sz w:val="20"/>
          <w:szCs w:val="20"/>
        </w:rPr>
        <w:t xml:space="preserve">que aspiren a celebrar dichos contratos con las entidades estatales deberán inscribirse en el Registro de Proponentes de la Cámara de Comercio de su jurisdicción </w:t>
      </w:r>
      <w:r w:rsidRPr="00D61001">
        <w:rPr>
          <w:rFonts w:ascii="Verdana" w:hAnsi="Verdana" w:cs="Arial"/>
          <w:i/>
          <w:color w:val="000000" w:themeColor="text1"/>
          <w:sz w:val="20"/>
          <w:szCs w:val="20"/>
        </w:rPr>
        <w:lastRenderedPageBreak/>
        <w:t>y deberán estar clasificadas y calificadas según lo dispuesto en esta norma</w:t>
      </w:r>
      <w:r w:rsidRPr="00D61001">
        <w:rPr>
          <w:rFonts w:ascii="Verdana" w:hAnsi="Verdana" w:cs="Arial"/>
          <w:color w:val="000000" w:themeColor="text1"/>
          <w:sz w:val="20"/>
          <w:szCs w:val="20"/>
        </w:rPr>
        <w:t>”</w:t>
      </w:r>
      <w:r w:rsidRPr="00D61001">
        <w:rPr>
          <w:rFonts w:ascii="Verdana" w:hAnsi="Verdana" w:cs="Arial"/>
          <w:color w:val="000000" w:themeColor="text1"/>
          <w:sz w:val="20"/>
          <w:szCs w:val="20"/>
          <w:vertAlign w:val="superscript"/>
        </w:rPr>
        <w:footnoteReference w:id="3"/>
      </w:r>
      <w:r w:rsidRPr="00D61001">
        <w:rPr>
          <w:rFonts w:ascii="Verdana" w:hAnsi="Verdana" w:cs="Arial"/>
          <w:color w:val="000000" w:themeColor="text1"/>
          <w:sz w:val="20"/>
          <w:szCs w:val="20"/>
        </w:rPr>
        <w:t>.</w:t>
      </w:r>
      <w:r w:rsidRPr="00D61001">
        <w:rPr>
          <w:rFonts w:ascii="Verdana" w:eastAsia="Arial" w:hAnsi="Verdana" w:cs="Arial"/>
          <w:sz w:val="20"/>
          <w:szCs w:val="20"/>
          <w:lang w:val="es-ES"/>
        </w:rPr>
        <w:t xml:space="preserve"> [Énfasis fuera de texto]</w:t>
      </w:r>
    </w:p>
    <w:p w14:paraId="183934DC" w14:textId="77777777" w:rsidR="00351D7F" w:rsidRDefault="00351D7F" w:rsidP="00351D7F">
      <w:pPr>
        <w:tabs>
          <w:tab w:val="left" w:pos="8505"/>
        </w:tabs>
        <w:ind w:left="709" w:right="709"/>
        <w:contextualSpacing/>
        <w:jc w:val="both"/>
        <w:rPr>
          <w:rFonts w:ascii="Verdana" w:hAnsi="Verdana" w:cs="Arial"/>
          <w:color w:val="000000" w:themeColor="text1"/>
          <w:sz w:val="21"/>
          <w:szCs w:val="21"/>
        </w:rPr>
      </w:pPr>
    </w:p>
    <w:p w14:paraId="65ADA281" w14:textId="77777777" w:rsidR="00351D7F" w:rsidRDefault="00351D7F" w:rsidP="00351D7F">
      <w:pPr>
        <w:spacing w:after="120" w:line="276" w:lineRule="auto"/>
        <w:ind w:firstLine="708"/>
        <w:jc w:val="both"/>
        <w:rPr>
          <w:rFonts w:ascii="Verdana" w:eastAsia="Calibri" w:hAnsi="Verdana" w:cs="Arial"/>
          <w:bCs/>
          <w:lang w:val="es-ES" w:eastAsia="es-ES_tradnl"/>
        </w:rPr>
      </w:pPr>
      <w:r>
        <w:rPr>
          <w:rFonts w:ascii="Verdana" w:eastAsia="Calibri" w:hAnsi="Verdana" w:cs="Arial"/>
          <w:bCs/>
          <w:lang w:val="es-ES" w:eastAsia="es-ES_tradnl"/>
        </w:rPr>
        <w:t xml:space="preserve">Al marco normativo expuesto se le suma lo contemplado en </w:t>
      </w:r>
      <w:r w:rsidRPr="00ED0DB3">
        <w:rPr>
          <w:rFonts w:ascii="Verdana" w:eastAsia="Calibri" w:hAnsi="Verdana" w:cs="Arial"/>
          <w:bCs/>
          <w:lang w:val="es-ES" w:eastAsia="es-ES_tradnl"/>
        </w:rPr>
        <w:t xml:space="preserve">el artículo 5.1 de la Ley 1150 de 2007, </w:t>
      </w:r>
      <w:r>
        <w:rPr>
          <w:rFonts w:ascii="Verdana" w:eastAsia="Calibri" w:hAnsi="Verdana" w:cs="Arial"/>
          <w:bCs/>
          <w:lang w:val="es-ES" w:eastAsia="es-ES_tradnl"/>
        </w:rPr>
        <w:t>a</w:t>
      </w:r>
      <w:r w:rsidRPr="00ED0DB3">
        <w:rPr>
          <w:rFonts w:ascii="Verdana" w:eastAsia="Calibri" w:hAnsi="Verdana" w:cs="Arial"/>
          <w:bCs/>
          <w:lang w:val="es-ES" w:eastAsia="es-ES_tradnl"/>
        </w:rPr>
        <w:t>l fijar los criterios que deben tener en cuenta las entidades estatales para garantizar la selección objetiva</w:t>
      </w:r>
      <w:r>
        <w:rPr>
          <w:rFonts w:ascii="Verdana" w:eastAsia="Calibri" w:hAnsi="Verdana" w:cs="Arial"/>
          <w:bCs/>
          <w:lang w:val="es-ES" w:eastAsia="es-ES_tradnl"/>
        </w:rPr>
        <w:t xml:space="preserve">. La disposición </w:t>
      </w:r>
      <w:r w:rsidRPr="00ED0DB3">
        <w:rPr>
          <w:rFonts w:ascii="Verdana" w:eastAsia="Calibri" w:hAnsi="Verdana" w:cs="Arial"/>
          <w:bCs/>
          <w:lang w:val="es-ES" w:eastAsia="es-ES_tradnl"/>
        </w:rPr>
        <w:t>dispone que las Cámaras de Comercio verificarán la información suministrada por las personas naturales o jurídicas para la inscripción en el Registro. Esta información debe tenerse en cuenta por las entidades en los procedimientos de contratación en los que es exigible el RUP</w:t>
      </w:r>
      <w:r w:rsidRPr="00B17ED1">
        <w:rPr>
          <w:rFonts w:ascii="Verdana" w:eastAsia="Calibri" w:hAnsi="Verdana" w:cs="Arial"/>
          <w:bCs/>
          <w:vertAlign w:val="superscript"/>
          <w:lang w:val="es-ES" w:eastAsia="es-ES_tradnl"/>
        </w:rPr>
        <w:footnoteReference w:id="4"/>
      </w:r>
      <w:r w:rsidRPr="00ED0DB3">
        <w:rPr>
          <w:rFonts w:ascii="Verdana" w:eastAsia="Calibri" w:hAnsi="Verdana" w:cs="Arial"/>
          <w:bCs/>
          <w:lang w:val="es-ES" w:eastAsia="es-ES_tradnl"/>
        </w:rPr>
        <w:t>. De esta forma, la capacidad jurídica y las condiciones de experiencia, capacidad financiera y de organización de los proponentes deberán ser verificadas exclusivamente a través del RUP, pues de acuerdo con lo expuesto, este documento es plena prueba de la información financiera, de experiencia y de capacidad acreditada por la persona natural o jurídica</w:t>
      </w:r>
      <w:r w:rsidRPr="00ED0DB3">
        <w:rPr>
          <w:rFonts w:ascii="Verdana" w:eastAsia="Calibri" w:hAnsi="Verdana" w:cs="Arial"/>
          <w:bCs/>
          <w:vertAlign w:val="superscript"/>
          <w:lang w:val="es-ES" w:eastAsia="es-ES_tradnl"/>
        </w:rPr>
        <w:footnoteReference w:id="5"/>
      </w:r>
      <w:r w:rsidRPr="00ED0DB3">
        <w:rPr>
          <w:rFonts w:ascii="Verdana" w:eastAsia="Calibri" w:hAnsi="Verdana" w:cs="Arial"/>
          <w:bCs/>
          <w:lang w:val="es-ES" w:eastAsia="es-ES_tradnl"/>
        </w:rPr>
        <w:t>.</w:t>
      </w:r>
    </w:p>
    <w:p w14:paraId="51400CBF" w14:textId="4736DF3F" w:rsidR="00351D7F" w:rsidRDefault="00351D7F" w:rsidP="00351D7F">
      <w:pPr>
        <w:spacing w:after="0" w:line="276" w:lineRule="auto"/>
        <w:ind w:firstLine="708"/>
        <w:jc w:val="both"/>
        <w:rPr>
          <w:rFonts w:ascii="Verdana" w:hAnsi="Verdana"/>
        </w:rPr>
      </w:pPr>
      <w:r w:rsidRPr="00DA67B3">
        <w:rPr>
          <w:rFonts w:ascii="Verdana" w:hAnsi="Verdana"/>
        </w:rPr>
        <w:t xml:space="preserve">No obstante, </w:t>
      </w:r>
      <w:r w:rsidRPr="00651F93">
        <w:rPr>
          <w:rFonts w:ascii="Verdana" w:hAnsi="Verdana"/>
        </w:rPr>
        <w:t xml:space="preserve">el </w:t>
      </w:r>
      <w:r w:rsidRPr="002D172F">
        <w:rPr>
          <w:rFonts w:ascii="Verdana" w:eastAsia="Calibri" w:hAnsi="Verdana" w:cs="Arial"/>
          <w:lang w:eastAsia="es-ES_tradnl"/>
        </w:rPr>
        <w:t xml:space="preserve">RUP </w:t>
      </w:r>
      <w:r w:rsidRPr="00651F93">
        <w:rPr>
          <w:rFonts w:ascii="Verdana" w:hAnsi="Verdana"/>
        </w:rPr>
        <w:t>no resulta exigible en todos los procesos de selección. El inciso segundo del artículo 6 de la Ley 1150 de 2007 establece expresamente los casos en los cuales no se requiere dicho registro</w:t>
      </w:r>
      <w:r>
        <w:rPr>
          <w:rFonts w:ascii="Verdana" w:hAnsi="Verdana"/>
        </w:rPr>
        <w:t>:</w:t>
      </w:r>
    </w:p>
    <w:p w14:paraId="2135EC15" w14:textId="77777777" w:rsidR="00351D7F" w:rsidRDefault="00351D7F" w:rsidP="00351D7F">
      <w:pPr>
        <w:spacing w:after="0" w:line="276" w:lineRule="auto"/>
        <w:ind w:left="708"/>
        <w:jc w:val="both"/>
        <w:rPr>
          <w:rFonts w:ascii="Open Sans" w:hAnsi="Open Sans" w:cs="Open Sans"/>
          <w:color w:val="4B4949"/>
          <w:sz w:val="18"/>
          <w:szCs w:val="18"/>
        </w:rPr>
      </w:pPr>
    </w:p>
    <w:p w14:paraId="2CAE9C4D" w14:textId="77777777" w:rsidR="00351D7F" w:rsidRPr="00D61001" w:rsidRDefault="00351D7F" w:rsidP="00D61001">
      <w:pPr>
        <w:spacing w:after="0" w:line="240" w:lineRule="auto"/>
        <w:ind w:left="709" w:right="709"/>
        <w:jc w:val="both"/>
        <w:rPr>
          <w:rFonts w:ascii="Verdana" w:hAnsi="Verdana" w:cs="Open Sans"/>
          <w:sz w:val="20"/>
          <w:szCs w:val="20"/>
        </w:rPr>
      </w:pPr>
      <w:r w:rsidRPr="00D61001">
        <w:rPr>
          <w:rFonts w:ascii="Verdana" w:hAnsi="Verdana" w:cs="Open Sans"/>
          <w:sz w:val="20"/>
          <w:szCs w:val="20"/>
        </w:rPr>
        <w:t xml:space="preserve">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w:t>
      </w:r>
      <w:r w:rsidRPr="00D61001">
        <w:rPr>
          <w:rFonts w:ascii="Verdana" w:hAnsi="Verdana" w:cs="Open Sans"/>
          <w:sz w:val="20"/>
          <w:szCs w:val="20"/>
        </w:rPr>
        <w:lastRenderedPageBreak/>
        <w:t>contratos de concesión de cualquier índole. En los casos anteriormente señalados, corresponderá a las entidades contratantes cumplir con la labor de verificación de las condiciones de los proponentes.</w:t>
      </w:r>
    </w:p>
    <w:p w14:paraId="41AEF211" w14:textId="77777777" w:rsidR="00351D7F" w:rsidRPr="00F8031F" w:rsidRDefault="00351D7F" w:rsidP="00351D7F">
      <w:pPr>
        <w:spacing w:after="0" w:line="276" w:lineRule="auto"/>
        <w:ind w:firstLine="708"/>
        <w:jc w:val="both"/>
        <w:rPr>
          <w:rFonts w:ascii="Verdana" w:eastAsia="Calibri" w:hAnsi="Verdana" w:cs="Arial"/>
          <w:bCs/>
          <w:lang w:val="es-ES" w:eastAsia="es-ES_tradnl"/>
        </w:rPr>
      </w:pPr>
    </w:p>
    <w:p w14:paraId="7FF25097" w14:textId="0B8FCEAA" w:rsidR="00351D7F" w:rsidRPr="00F8031F" w:rsidRDefault="00351D7F" w:rsidP="00D61001">
      <w:pPr>
        <w:spacing w:after="120" w:line="276" w:lineRule="auto"/>
        <w:ind w:firstLine="708"/>
        <w:jc w:val="both"/>
        <w:rPr>
          <w:rFonts w:ascii="Verdana" w:hAnsi="Verdana" w:cs="Arial"/>
          <w:lang w:val="es-ES_tradnl"/>
        </w:rPr>
      </w:pPr>
      <w:r w:rsidRPr="00F8031F">
        <w:rPr>
          <w:rFonts w:ascii="Verdana" w:hAnsi="Verdana"/>
        </w:rPr>
        <w:t>La norma dispone que, en estos eventos, las entidades contratantes tienen del deber</w:t>
      </w:r>
      <w:r w:rsidRPr="00F8031F">
        <w:rPr>
          <w:rFonts w:ascii="Verdana" w:hAnsi="Verdana"/>
          <w:spacing w:val="-6"/>
        </w:rPr>
        <w:t xml:space="preserve"> </w:t>
      </w:r>
      <w:r w:rsidRPr="00F8031F">
        <w:rPr>
          <w:rFonts w:ascii="Verdana" w:hAnsi="Verdana"/>
        </w:rPr>
        <w:t>de</w:t>
      </w:r>
      <w:r w:rsidRPr="00F8031F">
        <w:rPr>
          <w:rFonts w:ascii="Verdana" w:hAnsi="Verdana"/>
          <w:spacing w:val="-6"/>
        </w:rPr>
        <w:t xml:space="preserve"> </w:t>
      </w:r>
      <w:r w:rsidRPr="00F8031F">
        <w:rPr>
          <w:rFonts w:ascii="Verdana" w:hAnsi="Verdana"/>
        </w:rPr>
        <w:t>verificar</w:t>
      </w:r>
      <w:r w:rsidRPr="00F8031F">
        <w:rPr>
          <w:rFonts w:ascii="Verdana" w:hAnsi="Verdana"/>
          <w:spacing w:val="-6"/>
        </w:rPr>
        <w:t xml:space="preserve"> directamente </w:t>
      </w:r>
      <w:r w:rsidRPr="00F8031F">
        <w:rPr>
          <w:rFonts w:ascii="Verdana" w:hAnsi="Verdana"/>
        </w:rPr>
        <w:t>el cumplimiento de los requisitos habilitantes o la Clasificación de Bienes y Servicios. Asimismo, el numeral 6.1. del artículo 6 de la Ley 1150 de 2007 establece que, cuando sea necesario constatar requisitos o información que no repose en el RUP, la entidad podrá solicitar información adicional exclusivamente con el propósito de complementar la contenida en dicho registro y verificar condiciones adicionales de experiencia del proponente. En consecuencia, solo cuando las particularidades del objeto contractual lo exijan, la entidad podrá efectuar la verificación directa de tales requisitos y requerir documentos distintos al RUP.</w:t>
      </w:r>
    </w:p>
    <w:p w14:paraId="0E0AAA2B" w14:textId="77777777" w:rsidR="00351D7F" w:rsidRPr="00F8031F" w:rsidRDefault="00351D7F" w:rsidP="00351D7F">
      <w:pPr>
        <w:spacing w:after="120" w:line="276" w:lineRule="auto"/>
        <w:ind w:firstLine="708"/>
        <w:jc w:val="both"/>
        <w:rPr>
          <w:rFonts w:ascii="Verdana" w:hAnsi="Verdana" w:cs="Arial"/>
          <w:lang w:val="es-ES"/>
        </w:rPr>
      </w:pPr>
      <w:r w:rsidRPr="00F8031F">
        <w:rPr>
          <w:rFonts w:ascii="Verdana" w:hAnsi="Verdana" w:cs="Arial"/>
          <w:lang w:val="es-ES"/>
        </w:rPr>
        <w:t>Así las cosas, cuando se trata de procesos de selección exceptuados de la obligación de inscripción en el RUP, las entidades estatales no pueden exigir dicho registro y, en consecuencia, deben verificar directamente las condiciones de experiencia, capacidad financiera y organizacional de los proponentes. Para ello, pueden acudir a otros medios de prueba idóneos, siempre que sean adecuados, proporcionales y garanticen los principios de selección objetiva y libre concurrencia. Esta interpretación ha sido ratificada por el Consejo de Estado, al precisar que en los eventos exceptuados del RUP las entidades conservan el deber de verificar los requisitos habilitantes del proponente por medios distintos al mencionado registro</w:t>
      </w:r>
      <w:r w:rsidRPr="00F8031F">
        <w:rPr>
          <w:rFonts w:ascii="Verdana" w:hAnsi="Verdana" w:cs="Arial"/>
          <w:vertAlign w:val="superscript"/>
          <w:lang w:val="es-ES"/>
        </w:rPr>
        <w:footnoteReference w:id="6"/>
      </w:r>
      <w:r w:rsidRPr="00F8031F">
        <w:rPr>
          <w:rFonts w:ascii="Verdana" w:hAnsi="Verdana" w:cs="Arial"/>
          <w:lang w:val="es-ES"/>
        </w:rPr>
        <w:t>.</w:t>
      </w:r>
    </w:p>
    <w:p w14:paraId="4A2EEA18" w14:textId="77777777" w:rsidR="00351D7F" w:rsidRPr="00F8031F" w:rsidRDefault="00351D7F" w:rsidP="00D61001">
      <w:pPr>
        <w:spacing w:after="120" w:line="276" w:lineRule="auto"/>
        <w:jc w:val="both"/>
        <w:rPr>
          <w:rFonts w:ascii="Verdana" w:hAnsi="Verdana" w:cs="Arial"/>
          <w:lang w:val="es-ES"/>
        </w:rPr>
      </w:pPr>
      <w:r w:rsidRPr="00F8031F">
        <w:rPr>
          <w:rFonts w:ascii="Verdana" w:hAnsi="Verdana" w:cs="Arial"/>
          <w:lang w:val="es-ES_tradnl"/>
        </w:rPr>
        <w:tab/>
        <w:t xml:space="preserve">En consecuencia, para acreditar la experiencia comercial </w:t>
      </w:r>
      <w:r w:rsidRPr="00F8031F">
        <w:rPr>
          <w:rFonts w:ascii="Verdana" w:hAnsi="Verdana" w:cs="Arial"/>
          <w:lang w:val="es-ES"/>
        </w:rPr>
        <w:t>se tiene que la obligación de inscribirse en el RUP es extensible a toda persona natural o jurídica, interesada en participar en un proceso de contratación estatal, cuando este no esté exceptuado de esta obligación, conforme con lo previsto en el inciso 2 del artículo 6 de la Ley 1150 de 2007.</w:t>
      </w:r>
    </w:p>
    <w:p w14:paraId="04D77696" w14:textId="77777777" w:rsidR="00351D7F" w:rsidRDefault="00351D7F" w:rsidP="00351D7F">
      <w:pPr>
        <w:spacing w:after="120" w:line="276" w:lineRule="auto"/>
        <w:ind w:firstLine="708"/>
        <w:jc w:val="both"/>
        <w:rPr>
          <w:rFonts w:ascii="Verdana" w:hAnsi="Verdana" w:cs="Arial"/>
          <w:color w:val="000000" w:themeColor="text1"/>
          <w:lang w:val="es-ES_tradnl"/>
        </w:rPr>
      </w:pPr>
      <w:r w:rsidRPr="00F8031F">
        <w:rPr>
          <w:rFonts w:ascii="Verdana" w:hAnsi="Verdana" w:cs="Arial"/>
          <w:lang w:val="es-ES"/>
        </w:rPr>
        <w:t xml:space="preserve">En caso de que el proceso esté exceptuado del requisito del RUP para acreditar experiencia, es decir - </w:t>
      </w:r>
      <w:r w:rsidRPr="00F8031F">
        <w:rPr>
          <w:rFonts w:ascii="Verdana" w:hAnsi="Verdana"/>
        </w:rPr>
        <w:t xml:space="preserve">procesos de contratación directa, los contratos para la prestación de servicios de salud, los contratos de mínima cuantía, la enajenación de bienes del Estado, los contratos </w:t>
      </w:r>
      <w:r w:rsidRPr="00651F93">
        <w:rPr>
          <w:rFonts w:ascii="Verdana" w:hAnsi="Verdana"/>
        </w:rPr>
        <w:t xml:space="preserve">que tengan por objeto la </w:t>
      </w:r>
      <w:r w:rsidRPr="00651F93">
        <w:rPr>
          <w:rFonts w:ascii="Verdana" w:hAnsi="Verdana"/>
        </w:rPr>
        <w:lastRenderedPageBreak/>
        <w:t>adquisición de productos de origen o destinación agropecuaria ofrecidos en bolsas de productos legalmente constituidas, así como los actos y contratos que tengan por objeto directo las actividades comerciales e industriales propias de las empresas industriales y comerciales del Estado y de las sociedades de economía mixta, y los contratos de concesión de cualquier índole</w:t>
      </w:r>
      <w:r>
        <w:rPr>
          <w:rFonts w:ascii="Verdana" w:hAnsi="Verdana"/>
        </w:rPr>
        <w:t xml:space="preserve">-, </w:t>
      </w:r>
      <w:r>
        <w:rPr>
          <w:rFonts w:ascii="Verdana" w:hAnsi="Verdana" w:cs="Arial"/>
          <w:color w:val="000000" w:themeColor="text1"/>
          <w:lang w:val="es-ES"/>
        </w:rPr>
        <w:t xml:space="preserve"> el proponente podrá acreditar su experiencia acudiendo a diferentes medios de prueba como certificaciones, facturas, entre otros y en todo caso, ateniéndose </w:t>
      </w:r>
      <w:r w:rsidRPr="004C543B">
        <w:rPr>
          <w:rFonts w:ascii="Verdana" w:hAnsi="Verdana"/>
          <w:lang w:val="es-ES"/>
        </w:rPr>
        <w:t>los documentos o medios de prueba que exi</w:t>
      </w:r>
      <w:r>
        <w:rPr>
          <w:rFonts w:ascii="Verdana" w:hAnsi="Verdana"/>
          <w:lang w:val="es-ES"/>
        </w:rPr>
        <w:t>ja la entidad contratante</w:t>
      </w:r>
      <w:r w:rsidRPr="004C543B">
        <w:rPr>
          <w:rFonts w:ascii="Verdana" w:hAnsi="Verdana"/>
          <w:lang w:val="es-ES"/>
        </w:rPr>
        <w:t xml:space="preserve"> a los proponentes para acreditar l</w:t>
      </w:r>
      <w:r>
        <w:rPr>
          <w:rFonts w:ascii="Verdana" w:hAnsi="Verdana"/>
          <w:lang w:val="es-ES"/>
        </w:rPr>
        <w:t>os requisitos habilitantes, que deberán precisarse en los Documentos del Proceso -</w:t>
      </w:r>
      <w:r w:rsidRPr="00981378">
        <w:rPr>
          <w:rFonts w:ascii="Verdana" w:hAnsi="Verdana"/>
          <w:lang w:val="es-ES"/>
        </w:rPr>
        <w:t xml:space="preserve"> </w:t>
      </w:r>
      <w:r w:rsidRPr="004C543B">
        <w:rPr>
          <w:rFonts w:ascii="Verdana" w:hAnsi="Verdana"/>
          <w:lang w:val="es-ES"/>
        </w:rPr>
        <w:t>particularmente en el pliego de condiciones o la invitación</w:t>
      </w:r>
      <w:r>
        <w:rPr>
          <w:rFonts w:ascii="Verdana" w:hAnsi="Verdana"/>
          <w:lang w:val="es-ES"/>
        </w:rPr>
        <w:t xml:space="preserve"> – por parte de la entidad estatal, en ejercicio de su autonomía y potestad de dirección en materia contractual, así como teniendo en cuenta que permitan </w:t>
      </w:r>
      <w:r w:rsidRPr="00017B69">
        <w:rPr>
          <w:rFonts w:ascii="Verdana" w:eastAsia="Calibri" w:hAnsi="Verdana" w:cs="Arial"/>
          <w:color w:val="000000" w:themeColor="text1"/>
        </w:rPr>
        <w:t>garantizar los principios de selección objetiva, transparencia y libre concurrencia.</w:t>
      </w:r>
    </w:p>
    <w:p w14:paraId="58ED0021" w14:textId="77777777" w:rsidR="00351D7F" w:rsidRDefault="00351D7F" w:rsidP="00351D7F">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72ACF34" w14:textId="77777777" w:rsidR="00351D7F" w:rsidRPr="00185EE9" w:rsidRDefault="00351D7F" w:rsidP="00351D7F">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605BAFDE" w14:textId="77777777" w:rsidR="00351D7F" w:rsidRPr="00182C89" w:rsidRDefault="00351D7F" w:rsidP="00351D7F">
      <w:pPr>
        <w:tabs>
          <w:tab w:val="left" w:pos="709"/>
        </w:tabs>
        <w:spacing w:after="0" w:line="276" w:lineRule="auto"/>
        <w:jc w:val="both"/>
        <w:rPr>
          <w:rFonts w:ascii="Verdana" w:eastAsia="Calibri" w:hAnsi="Verdana" w:cs="Arial"/>
          <w:color w:val="000000" w:themeColor="text1"/>
        </w:rPr>
      </w:pPr>
    </w:p>
    <w:p w14:paraId="3876B768" w14:textId="77777777" w:rsidR="00351D7F" w:rsidRPr="00593A5F" w:rsidRDefault="00351D7F" w:rsidP="00351D7F">
      <w:pPr>
        <w:pStyle w:val="Prrafodelista"/>
        <w:numPr>
          <w:ilvl w:val="0"/>
          <w:numId w:val="17"/>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3D66EFDE" w14:textId="77777777" w:rsidR="00351D7F" w:rsidRPr="00593A5F" w:rsidRDefault="00351D7F" w:rsidP="00351D7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51D7F" w:rsidRPr="002407CE" w14:paraId="6CF839A7" w14:textId="77777777" w:rsidTr="00D43119">
        <w:trPr>
          <w:trHeight w:val="870"/>
          <w:jc w:val="center"/>
        </w:trPr>
        <w:tc>
          <w:tcPr>
            <w:tcW w:w="8647" w:type="dxa"/>
          </w:tcPr>
          <w:p w14:paraId="310CDE62" w14:textId="77777777" w:rsidR="00351D7F" w:rsidRPr="00DA67B3" w:rsidRDefault="00351D7F" w:rsidP="00351D7F">
            <w:pPr>
              <w:widowControl w:val="0"/>
              <w:numPr>
                <w:ilvl w:val="0"/>
                <w:numId w:val="18"/>
              </w:numPr>
              <w:autoSpaceDE w:val="0"/>
              <w:autoSpaceDN w:val="0"/>
              <w:spacing w:line="276" w:lineRule="auto"/>
              <w:contextualSpacing/>
              <w:jc w:val="both"/>
              <w:rPr>
                <w:rFonts w:ascii="Verdana" w:hAnsi="Verdana" w:cs="Arial"/>
                <w:lang w:val="es-ES"/>
              </w:rPr>
            </w:pPr>
            <w:r w:rsidRPr="00DA67B3">
              <w:rPr>
                <w:rFonts w:ascii="Verdana" w:hAnsi="Verdana" w:cs="Arial"/>
                <w:lang w:val="es-ES"/>
              </w:rPr>
              <w:t>Ley 1150 de 2007, artículos 5 y 6.</w:t>
            </w:r>
          </w:p>
          <w:p w14:paraId="55BC1B0F" w14:textId="58AFA372" w:rsidR="00351D7F" w:rsidRPr="00DA67B3" w:rsidRDefault="00351D7F" w:rsidP="00351D7F">
            <w:pPr>
              <w:widowControl w:val="0"/>
              <w:numPr>
                <w:ilvl w:val="0"/>
                <w:numId w:val="18"/>
              </w:numPr>
              <w:autoSpaceDE w:val="0"/>
              <w:autoSpaceDN w:val="0"/>
              <w:spacing w:line="276" w:lineRule="auto"/>
              <w:contextualSpacing/>
              <w:jc w:val="both"/>
              <w:rPr>
                <w:rFonts w:ascii="Verdana" w:hAnsi="Verdana" w:cs="Arial"/>
                <w:lang w:val="es-ES"/>
              </w:rPr>
            </w:pPr>
            <w:r w:rsidRPr="00DA67B3">
              <w:rPr>
                <w:rFonts w:ascii="Verdana" w:hAnsi="Verdana" w:cs="Arial"/>
                <w:lang w:val="es-ES"/>
              </w:rPr>
              <w:t xml:space="preserve">Consejo de Estado. </w:t>
            </w:r>
            <w:r w:rsidR="00791F47" w:rsidRPr="00DA67B3">
              <w:rPr>
                <w:rFonts w:ascii="Verdana" w:hAnsi="Verdana" w:cs="Arial"/>
                <w:lang w:val="es-ES"/>
              </w:rPr>
              <w:t>Sala de Consulta y Servicio Civil. Consulta del 20 de mayo de 2010. Exp.1992. C. P. Enrique José Arboleda Perdomo</w:t>
            </w:r>
            <w:r w:rsidR="00791F47" w:rsidRPr="00DA67B3">
              <w:rPr>
                <w:rFonts w:ascii="Verdana" w:hAnsi="Verdana" w:cs="Arial"/>
              </w:rPr>
              <w:t xml:space="preserve"> </w:t>
            </w:r>
            <w:r w:rsidRPr="00DA67B3">
              <w:rPr>
                <w:rFonts w:ascii="Verdana" w:hAnsi="Verdana" w:cs="Arial"/>
              </w:rPr>
              <w:t>Consejo de Estado. Sección Tercera. Subsección B. Sentencia del 6 de junio de 2013. Exp. 25151. C.P. Stella Conto Díaz del Castillo.</w:t>
            </w:r>
          </w:p>
          <w:p w14:paraId="051AB757" w14:textId="482EB30E" w:rsidR="00351D7F" w:rsidRPr="00981378" w:rsidRDefault="00351D7F" w:rsidP="00351D7F">
            <w:pPr>
              <w:widowControl w:val="0"/>
              <w:numPr>
                <w:ilvl w:val="0"/>
                <w:numId w:val="18"/>
              </w:numPr>
              <w:autoSpaceDE w:val="0"/>
              <w:autoSpaceDN w:val="0"/>
              <w:spacing w:line="276" w:lineRule="auto"/>
              <w:contextualSpacing/>
              <w:jc w:val="both"/>
              <w:rPr>
                <w:rFonts w:ascii="Verdana" w:hAnsi="Verdana" w:cs="Arial"/>
                <w:lang w:val="es-ES"/>
              </w:rPr>
            </w:pPr>
            <w:r w:rsidRPr="00DA67B3">
              <w:rPr>
                <w:rFonts w:ascii="Verdana" w:hAnsi="Verdana" w:cs="Arial"/>
                <w:lang w:val="es-ES"/>
              </w:rPr>
              <w:t>Consejo de Estado. Sección Tercera. Subsección A. Sentencia del 12 de febrero de 2014. Exp. 31.753. C.P. Mauricio Fajardo Gómez.</w:t>
            </w:r>
          </w:p>
        </w:tc>
      </w:tr>
    </w:tbl>
    <w:p w14:paraId="09C8AC97" w14:textId="77777777" w:rsidR="00351D7F" w:rsidRPr="002407CE" w:rsidRDefault="00351D7F" w:rsidP="00351D7F">
      <w:pPr>
        <w:widowControl w:val="0"/>
        <w:autoSpaceDE w:val="0"/>
        <w:autoSpaceDN w:val="0"/>
        <w:spacing w:after="0" w:line="276" w:lineRule="auto"/>
        <w:jc w:val="both"/>
        <w:rPr>
          <w:rFonts w:ascii="Verdana" w:hAnsi="Verdana" w:cs="Arial"/>
        </w:rPr>
      </w:pPr>
    </w:p>
    <w:p w14:paraId="7291C623" w14:textId="77777777" w:rsidR="00351D7F" w:rsidRPr="00593A5F" w:rsidRDefault="00351D7F" w:rsidP="00351D7F">
      <w:pPr>
        <w:pStyle w:val="Prrafodelista"/>
        <w:numPr>
          <w:ilvl w:val="0"/>
          <w:numId w:val="17"/>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D6B3023" w14:textId="77777777" w:rsidR="00351D7F" w:rsidRPr="00593A5F" w:rsidRDefault="00351D7F" w:rsidP="00351D7F">
      <w:pPr>
        <w:widowControl w:val="0"/>
        <w:autoSpaceDE w:val="0"/>
        <w:autoSpaceDN w:val="0"/>
        <w:spacing w:after="0" w:line="276" w:lineRule="auto"/>
        <w:jc w:val="both"/>
        <w:rPr>
          <w:rFonts w:ascii="Verdana" w:hAnsi="Verdana" w:cs="Arial"/>
        </w:rPr>
      </w:pPr>
    </w:p>
    <w:p w14:paraId="74229FA1" w14:textId="77777777" w:rsidR="00351D7F" w:rsidRPr="00ED0098" w:rsidRDefault="00351D7F" w:rsidP="00351D7F">
      <w:pPr>
        <w:widowControl w:val="0"/>
        <w:autoSpaceDE w:val="0"/>
        <w:autoSpaceDN w:val="0"/>
        <w:spacing w:after="0" w:line="276" w:lineRule="auto"/>
        <w:jc w:val="both"/>
        <w:rPr>
          <w:rStyle w:val="normaltextrun"/>
          <w:rFonts w:ascii="Verdana" w:hAnsi="Verdana" w:cs="Arial"/>
          <w:shd w:val="clear" w:color="auto" w:fill="FFFFFF"/>
        </w:rPr>
      </w:pPr>
      <w:r w:rsidRPr="00010325">
        <w:rPr>
          <w:rFonts w:ascii="Verdana" w:hAnsi="Verdana" w:cs="Arial"/>
          <w:shd w:val="clear" w:color="auto" w:fill="FFFFFF"/>
        </w:rPr>
        <w:t>Esta Subdirección se ha pronunciado sobre</w:t>
      </w:r>
      <w:r>
        <w:rPr>
          <w:rFonts w:ascii="Verdana" w:hAnsi="Verdana" w:cs="Arial"/>
          <w:shd w:val="clear" w:color="auto" w:fill="FFFFFF"/>
        </w:rPr>
        <w:t xml:space="preserve"> </w:t>
      </w:r>
      <w:r>
        <w:rPr>
          <w:rFonts w:ascii="Verdana" w:hAnsi="Verdana"/>
        </w:rPr>
        <w:t xml:space="preserve">las problemáticas asociadas al RUP en los Conceptos </w:t>
      </w:r>
      <w:r w:rsidRPr="002F7E54">
        <w:rPr>
          <w:rFonts w:ascii="Verdana" w:hAnsi="Verdana"/>
        </w:rPr>
        <w:t>4201713000001182 del 24 de marzo de 2017, 4201814000002165 del 23 de abril de 2017, 4201713000001647 del 27 de abril de 2017, 4201711000001879 del 11 de mayo de 2017, 4201714000002097 del 24 de mayo de 2017, 4201814000002927 del 11 de abril de 2018, 4201814000002917 del 11 de mayo de 2018, 4201813000003018 del 11 de mayo de 2018, , 4201814000004174 del 18 de mayo de 2018, 4201814000004014 del 20 de junio de 2018, 4201813000004073 del 21 de junio de 2018, 4201912000003350 del 4 de julio de 2019, 4201912000007418 del 11 de diciembre de 2019, y C-005  del 14 de febrero de 2020, C-454 del 06 de julio de 2020 2020, C-466 del 24 de julio de 2020, C-420 del 28 de julio de 2020, C-534 del 12 de agosto de 2020, C-553 del 24 de agosto de 2021, C-576 del 31 de agosto de 2021, C-786 de 2020 del 19 de enero de 2021, C-800 del 1 de febrero de 2021, C-703 del 11 de enero de 2022, C-328 del 22 de julio de 2022, entre otros</w:t>
      </w:r>
      <w:r>
        <w:rPr>
          <w:rFonts w:ascii="Verdana" w:hAnsi="Verdana"/>
        </w:rPr>
        <w:t>.</w:t>
      </w:r>
      <w:r>
        <w:rPr>
          <w:rFonts w:ascii="Verdana" w:hAnsi="Verdana" w:cs="Arial"/>
          <w:shd w:val="clear" w:color="auto" w:fill="FFFFFF"/>
        </w:rPr>
        <w:t xml:space="preserve"> </w:t>
      </w:r>
      <w:r w:rsidRPr="00DA67B3">
        <w:rPr>
          <w:rFonts w:ascii="Verdana" w:eastAsia="Calibri" w:hAnsi="Verdana" w:cs="Arial"/>
          <w:lang w:val="es-ES_tradnl" w:eastAsia="es-ES_tradnl"/>
        </w:rPr>
        <w:t xml:space="preserve">Sobre la experiencia </w:t>
      </w:r>
      <w:r>
        <w:rPr>
          <w:rFonts w:ascii="Verdana" w:eastAsia="Calibri" w:hAnsi="Verdana" w:cs="Arial"/>
          <w:lang w:val="es-ES_tradnl" w:eastAsia="es-ES_tradnl"/>
        </w:rPr>
        <w:t xml:space="preserve">y requisitos habilitantes, esta Subdirección se ha pronunciado en los conceptos </w:t>
      </w:r>
      <w:r w:rsidRPr="00D870F2">
        <w:rPr>
          <w:rFonts w:ascii="Verdana" w:hAnsi="Verdana" w:cs="Arial"/>
          <w:bCs/>
          <w:shd w:val="clear" w:color="auto" w:fill="FFFFFF"/>
          <w:lang w:val="es-ES"/>
        </w:rPr>
        <w:t xml:space="preserve">C-868 del 19 de diciembre de 2022, C-877 del 26 de diciembre de 2022, C-417 del 27 de septiembre de 2023, C-432 del 23 de octubre de 2023, C-174 del 23 de julio de 2024, C- 530 del 4 de octubre de 2024, C-595 del 24 de octubre 2024, C-648 del 6 de noviembre 2024, C-116 del 11 de marzo de 2025, </w:t>
      </w:r>
      <w:r>
        <w:rPr>
          <w:rFonts w:ascii="Verdana" w:hAnsi="Verdana" w:cs="Arial"/>
          <w:bCs/>
          <w:shd w:val="clear" w:color="auto" w:fill="FFFFFF"/>
          <w:lang w:val="es-ES"/>
        </w:rPr>
        <w:t xml:space="preserve">C-275 del 10 de abril de 2025, </w:t>
      </w:r>
      <w:r w:rsidRPr="00D870F2">
        <w:rPr>
          <w:rFonts w:ascii="Verdana" w:hAnsi="Verdana" w:cs="Arial"/>
          <w:bCs/>
          <w:shd w:val="clear" w:color="auto" w:fill="FFFFFF"/>
          <w:lang w:val="es-ES"/>
        </w:rPr>
        <w:t xml:space="preserve">C- 397 del 7 de mayo de 2025, </w:t>
      </w:r>
      <w:r>
        <w:rPr>
          <w:rFonts w:ascii="Verdana" w:hAnsi="Verdana" w:cs="Arial"/>
          <w:bCs/>
          <w:shd w:val="clear" w:color="auto" w:fill="FFFFFF"/>
          <w:lang w:val="es-ES"/>
        </w:rPr>
        <w:t>C-659 del 7 de julio de 2025, entre otros</w:t>
      </w:r>
      <w:r w:rsidRPr="00DA67B3">
        <w:rPr>
          <w:rFonts w:ascii="Verdana" w:eastAsia="Calibri" w:hAnsi="Verdana" w:cs="Arial"/>
          <w:lang w:val="es-ES" w:eastAsia="es-ES_tradnl"/>
        </w:rPr>
        <w:t>.</w:t>
      </w:r>
      <w:r>
        <w:rPr>
          <w:rFonts w:ascii="Verdana" w:eastAsia="Calibri" w:hAnsi="Verdana" w:cs="Arial"/>
          <w:lang w:val="es-ES" w:eastAsia="es-ES_tradnl"/>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F52D96C" w14:textId="77777777" w:rsidR="00351D7F" w:rsidRPr="00125A1D" w:rsidRDefault="00351D7F" w:rsidP="00351D7F">
      <w:pPr>
        <w:spacing w:after="0" w:line="276" w:lineRule="auto"/>
        <w:jc w:val="both"/>
        <w:rPr>
          <w:rFonts w:ascii="Verdana" w:hAnsi="Verdana"/>
        </w:rPr>
      </w:pPr>
    </w:p>
    <w:p w14:paraId="586C00D7" w14:textId="77777777" w:rsidR="00351D7F" w:rsidRPr="00125A1D" w:rsidRDefault="00351D7F" w:rsidP="00351D7F">
      <w:pPr>
        <w:spacing w:after="0" w:line="276" w:lineRule="auto"/>
        <w:jc w:val="both"/>
        <w:rPr>
          <w:rFonts w:ascii="Verdana" w:hAnsi="Verdana"/>
        </w:rPr>
      </w:pPr>
      <w:r w:rsidRPr="00125A1D">
        <w:rPr>
          <w:rFonts w:ascii="Verdana" w:hAnsi="Verdana"/>
        </w:rPr>
        <w:lastRenderedPageBreak/>
        <w:t xml:space="preserve">Por último, lo invitamos a seguirnos en las redes sociales en las cuales se difunde información institucional: </w:t>
      </w:r>
    </w:p>
    <w:p w14:paraId="426914A4" w14:textId="77777777" w:rsidR="00351D7F" w:rsidRPr="00125A1D" w:rsidRDefault="00351D7F" w:rsidP="00351D7F">
      <w:pPr>
        <w:spacing w:after="0" w:line="276" w:lineRule="auto"/>
        <w:jc w:val="both"/>
        <w:rPr>
          <w:rFonts w:ascii="Verdana" w:hAnsi="Verdana"/>
        </w:rPr>
      </w:pPr>
    </w:p>
    <w:p w14:paraId="5449BDEE" w14:textId="77777777" w:rsidR="00351D7F" w:rsidRPr="00125A1D" w:rsidRDefault="00351D7F" w:rsidP="00351D7F">
      <w:pPr>
        <w:spacing w:after="0" w:line="276" w:lineRule="auto"/>
        <w:jc w:val="both"/>
        <w:rPr>
          <w:rFonts w:ascii="Verdana" w:hAnsi="Verdana"/>
        </w:rPr>
      </w:pPr>
      <w:r w:rsidRPr="00125A1D">
        <w:rPr>
          <w:rFonts w:ascii="Verdana" w:hAnsi="Verdana"/>
        </w:rPr>
        <w:t xml:space="preserve">Twitter: </w:t>
      </w:r>
      <w:r w:rsidRPr="00125A1D">
        <w:rPr>
          <w:rStyle w:val="Hipervnculo"/>
          <w:rFonts w:ascii="Verdana" w:hAnsi="Verdana"/>
          <w:color w:val="4472C4" w:themeColor="accent1"/>
        </w:rPr>
        <w:t>@colombiacompra</w:t>
      </w:r>
      <w:r w:rsidRPr="00125A1D">
        <w:rPr>
          <w:rFonts w:ascii="Verdana" w:hAnsi="Verdana"/>
          <w:color w:val="4472C4" w:themeColor="accent1"/>
        </w:rPr>
        <w:t xml:space="preserve"> </w:t>
      </w:r>
    </w:p>
    <w:p w14:paraId="2C0831F2" w14:textId="77777777" w:rsidR="00351D7F" w:rsidRPr="00125A1D" w:rsidRDefault="00351D7F" w:rsidP="00351D7F">
      <w:pPr>
        <w:spacing w:after="0" w:line="276" w:lineRule="auto"/>
        <w:jc w:val="both"/>
        <w:rPr>
          <w:rFonts w:ascii="Verdana" w:hAnsi="Verdana"/>
        </w:rPr>
      </w:pPr>
      <w:r w:rsidRPr="00125A1D">
        <w:rPr>
          <w:rFonts w:ascii="Verdana" w:hAnsi="Verdana"/>
        </w:rPr>
        <w:t xml:space="preserve">Facebook: </w:t>
      </w:r>
      <w:r w:rsidRPr="00125A1D">
        <w:rPr>
          <w:rStyle w:val="Hipervnculo"/>
          <w:rFonts w:ascii="Verdana" w:hAnsi="Verdana"/>
          <w:color w:val="4472C4" w:themeColor="accent1"/>
        </w:rPr>
        <w:t>ColombiaCompraEficiente</w:t>
      </w:r>
    </w:p>
    <w:p w14:paraId="5170ECA0" w14:textId="77777777" w:rsidR="00351D7F" w:rsidRPr="00125A1D" w:rsidRDefault="00351D7F" w:rsidP="00351D7F">
      <w:pPr>
        <w:spacing w:after="0" w:line="276" w:lineRule="auto"/>
        <w:jc w:val="both"/>
        <w:rPr>
          <w:rFonts w:ascii="Verdana" w:hAnsi="Verdana"/>
        </w:rPr>
      </w:pPr>
      <w:r w:rsidRPr="00125A1D">
        <w:rPr>
          <w:rFonts w:ascii="Verdana" w:hAnsi="Verdana"/>
        </w:rPr>
        <w:t xml:space="preserve">LinkedIn: </w:t>
      </w:r>
      <w:r w:rsidRPr="00125A1D">
        <w:rPr>
          <w:rStyle w:val="Hipervnculo"/>
          <w:rFonts w:ascii="Verdana" w:hAnsi="Verdana"/>
          <w:color w:val="4472C4" w:themeColor="accent1"/>
        </w:rPr>
        <w:t>Agencia Nacional de Contratación Pública - Colombia Compra Eficiente</w:t>
      </w:r>
      <w:r w:rsidRPr="00125A1D">
        <w:rPr>
          <w:rFonts w:ascii="Verdana" w:hAnsi="Verdana"/>
          <w:color w:val="4472C4" w:themeColor="accent1"/>
        </w:rPr>
        <w:t xml:space="preserve"> </w:t>
      </w:r>
      <w:r w:rsidRPr="00125A1D">
        <w:rPr>
          <w:rFonts w:ascii="Verdana" w:hAnsi="Verdana"/>
        </w:rPr>
        <w:t xml:space="preserve">Instagram: </w:t>
      </w:r>
      <w:r w:rsidRPr="00125A1D">
        <w:rPr>
          <w:rStyle w:val="Hipervnculo"/>
          <w:rFonts w:ascii="Verdana" w:hAnsi="Verdana"/>
          <w:color w:val="4472C4" w:themeColor="accent1"/>
        </w:rPr>
        <w:t>@colombiacompraeficiente_cce</w:t>
      </w:r>
    </w:p>
    <w:p w14:paraId="74329C8D" w14:textId="77777777" w:rsidR="00351D7F" w:rsidRPr="00125A1D" w:rsidRDefault="00351D7F" w:rsidP="00351D7F">
      <w:pPr>
        <w:widowControl w:val="0"/>
        <w:autoSpaceDE w:val="0"/>
        <w:autoSpaceDN w:val="0"/>
        <w:spacing w:after="0" w:line="276" w:lineRule="auto"/>
        <w:jc w:val="both"/>
        <w:rPr>
          <w:rFonts w:ascii="Verdana" w:hAnsi="Verdana" w:cs="Arial"/>
        </w:rPr>
      </w:pPr>
    </w:p>
    <w:p w14:paraId="54ACB2AD" w14:textId="77777777" w:rsidR="00351D7F" w:rsidRPr="00125A1D" w:rsidRDefault="00351D7F" w:rsidP="00351D7F">
      <w:pPr>
        <w:widowControl w:val="0"/>
        <w:autoSpaceDE w:val="0"/>
        <w:autoSpaceDN w:val="0"/>
        <w:spacing w:after="0" w:line="276" w:lineRule="auto"/>
        <w:jc w:val="both"/>
        <w:rPr>
          <w:rFonts w:ascii="Verdana" w:hAnsi="Verdana" w:cs="Arial"/>
          <w:lang w:val="es-ES_tradnl"/>
        </w:rPr>
      </w:pPr>
      <w:r w:rsidRPr="00125A1D">
        <w:rPr>
          <w:rFonts w:ascii="Verdana" w:hAnsi="Verdana" w:cs="Arial"/>
        </w:rPr>
        <w:t xml:space="preserve">Este concepto tiene el alcance previsto en el artículo 28 del Código de Procedimiento Administrativo y de lo Contencioso Administrativo </w:t>
      </w:r>
      <w:r w:rsidRPr="00125A1D">
        <w:rPr>
          <w:rFonts w:ascii="Verdana" w:hAnsi="Verdana" w:cs="Arial"/>
          <w:lang w:val="es-ES_tradnl"/>
        </w:rPr>
        <w:t>y las expresiones aquí utilizadas con mayúscula inicial deben ser entendidas con el significado que les otorga el artículo 2.2.1.1.1.3.1. del Decreto 1082 de 2015.</w:t>
      </w:r>
    </w:p>
    <w:p w14:paraId="004F6E98" w14:textId="77777777" w:rsidR="00351D7F" w:rsidRPr="00125A1D" w:rsidRDefault="00351D7F" w:rsidP="00351D7F">
      <w:pPr>
        <w:widowControl w:val="0"/>
        <w:autoSpaceDE w:val="0"/>
        <w:autoSpaceDN w:val="0"/>
        <w:spacing w:after="0" w:line="276" w:lineRule="auto"/>
        <w:jc w:val="both"/>
        <w:rPr>
          <w:rFonts w:ascii="Verdana" w:hAnsi="Verdana" w:cs="Arial"/>
        </w:rPr>
      </w:pPr>
    </w:p>
    <w:p w14:paraId="0252653C" w14:textId="77777777" w:rsidR="00351D7F" w:rsidRPr="00125A1D" w:rsidRDefault="00351D7F" w:rsidP="00351D7F">
      <w:pPr>
        <w:spacing w:after="0" w:line="276" w:lineRule="auto"/>
        <w:rPr>
          <w:rFonts w:ascii="Verdana" w:hAnsi="Verdana" w:cs="Arial"/>
          <w:lang w:eastAsia="es-CO"/>
        </w:rPr>
      </w:pPr>
      <w:bookmarkStart w:id="3" w:name="_Hlk208479366"/>
      <w:r w:rsidRPr="00125A1D">
        <w:rPr>
          <w:rFonts w:ascii="Verdana" w:eastAsia="Times New Roman" w:hAnsi="Verdana" w:cs="Arial"/>
          <w:lang w:eastAsia="es-CO"/>
        </w:rPr>
        <w:t>Atentamente,</w:t>
      </w:r>
      <w:r w:rsidRPr="00125A1D">
        <w:rPr>
          <w:rFonts w:ascii="Verdana" w:hAnsi="Verdana" w:cs="Arial"/>
          <w:lang w:eastAsia="es-CO"/>
        </w:rPr>
        <w:t xml:space="preserve"> </w:t>
      </w:r>
    </w:p>
    <w:p w14:paraId="2E026220" w14:textId="4AEE8C66" w:rsidR="00351D7F" w:rsidRDefault="00DD735A" w:rsidP="00351D7F">
      <w:pPr>
        <w:spacing w:line="276" w:lineRule="auto"/>
        <w:jc w:val="center"/>
        <w:rPr>
          <w:rFonts w:ascii="Verdana" w:hAnsi="Verdana" w:cs="Arial"/>
          <w:color w:val="000000"/>
          <w:lang w:val="es-ES_tradnl" w:eastAsia="es-CO"/>
        </w:rPr>
      </w:pPr>
      <w:r>
        <w:rPr>
          <w:noProof/>
        </w:rPr>
        <w:drawing>
          <wp:inline distT="0" distB="0" distL="0" distR="0" wp14:anchorId="3C8CF4B4" wp14:editId="06947A75">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51D7F" w14:paraId="0C7972D2" w14:textId="77777777" w:rsidTr="00D43119">
        <w:trPr>
          <w:trHeight w:val="315"/>
        </w:trPr>
        <w:tc>
          <w:tcPr>
            <w:tcW w:w="893" w:type="dxa"/>
            <w:vAlign w:val="center"/>
            <w:hideMark/>
          </w:tcPr>
          <w:p w14:paraId="2C7B37BC" w14:textId="77777777" w:rsidR="00351D7F" w:rsidRDefault="00351D7F" w:rsidP="00D43119">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E160440" w14:textId="77777777" w:rsidR="00351D7F" w:rsidRDefault="00351D7F" w:rsidP="00D43119">
            <w:pPr>
              <w:spacing w:after="255"/>
              <w:contextualSpacing/>
              <w:rPr>
                <w:rFonts w:ascii="Verdana" w:eastAsia="Arial" w:hAnsi="Verdana" w:cs="Arial"/>
                <w:sz w:val="16"/>
                <w:szCs w:val="16"/>
              </w:rPr>
            </w:pPr>
            <w:r>
              <w:rPr>
                <w:rStyle w:val="normaltextrun"/>
                <w:rFonts w:ascii="Verdana" w:hAnsi="Verdana"/>
                <w:sz w:val="16"/>
                <w:szCs w:val="16"/>
              </w:rPr>
              <w:t>Catalina Cubides Estupiñan</w:t>
            </w:r>
          </w:p>
          <w:p w14:paraId="7DADB804" w14:textId="77777777" w:rsidR="00351D7F" w:rsidRDefault="00351D7F" w:rsidP="00D43119">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351D7F" w14:paraId="20E43361" w14:textId="77777777" w:rsidTr="00D43119">
        <w:trPr>
          <w:trHeight w:val="330"/>
        </w:trPr>
        <w:tc>
          <w:tcPr>
            <w:tcW w:w="893" w:type="dxa"/>
            <w:vAlign w:val="center"/>
            <w:hideMark/>
          </w:tcPr>
          <w:p w14:paraId="2A3699D0" w14:textId="77777777" w:rsidR="00351D7F" w:rsidRDefault="00351D7F" w:rsidP="00D43119">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BB78AE5" w14:textId="77777777" w:rsidR="00351D7F" w:rsidRDefault="00351D7F" w:rsidP="00D43119">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Lucía Saavedra Castañeda</w:t>
            </w:r>
          </w:p>
          <w:p w14:paraId="1B582DDD" w14:textId="77777777" w:rsidR="00351D7F" w:rsidRDefault="00351D7F" w:rsidP="00D43119">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351D7F" w14:paraId="43F06C55" w14:textId="77777777" w:rsidTr="00D43119">
        <w:trPr>
          <w:trHeight w:val="300"/>
        </w:trPr>
        <w:tc>
          <w:tcPr>
            <w:tcW w:w="893" w:type="dxa"/>
            <w:vAlign w:val="center"/>
            <w:hideMark/>
          </w:tcPr>
          <w:p w14:paraId="6D93DDA3" w14:textId="77777777" w:rsidR="00351D7F" w:rsidRDefault="00351D7F" w:rsidP="00D43119">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CAAA867" w14:textId="77777777" w:rsidR="00351D7F" w:rsidRDefault="00351D7F" w:rsidP="00D43119">
            <w:pPr>
              <w:spacing w:after="255"/>
              <w:contextualSpacing/>
              <w:rPr>
                <w:rFonts w:ascii="Verdana" w:eastAsia="Calibri" w:hAnsi="Verdana" w:cs="Arial"/>
                <w:sz w:val="16"/>
                <w:szCs w:val="16"/>
                <w:lang w:val="pt-BR" w:eastAsia="es-ES"/>
              </w:rPr>
            </w:pPr>
            <w:r w:rsidRPr="00D61001">
              <w:rPr>
                <w:rFonts w:ascii="Verdana" w:eastAsia="Calibri" w:hAnsi="Verdana" w:cs="Arial"/>
                <w:sz w:val="16"/>
                <w:szCs w:val="16"/>
                <w:lang w:val="pt-BR" w:eastAsia="es-ES"/>
              </w:rPr>
              <w:t>Carolina Quintero Gacharná</w:t>
            </w:r>
          </w:p>
          <w:p w14:paraId="1A0B70BB" w14:textId="77777777" w:rsidR="00351D7F" w:rsidRDefault="00351D7F" w:rsidP="00D43119">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Contractual ANCP – CCE</w:t>
            </w:r>
          </w:p>
        </w:tc>
      </w:tr>
      <w:bookmarkEnd w:id="3"/>
    </w:tbl>
    <w:p w14:paraId="7978CDC5" w14:textId="77777777" w:rsidR="00351D7F" w:rsidRPr="00AA7021" w:rsidRDefault="00351D7F" w:rsidP="00351D7F"/>
    <w:p w14:paraId="0F293BF4" w14:textId="32CF590F" w:rsidR="00127233" w:rsidRPr="0015699B" w:rsidRDefault="00127233" w:rsidP="00351D7F">
      <w:pPr>
        <w:spacing w:after="0"/>
        <w:rPr>
          <w:rFonts w:ascii="Verdana" w:eastAsia="Times New Roman" w:hAnsi="Verdana" w:cs="Segoe UI"/>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EC0C64" w14:textId="77777777" w:rsidR="00410770" w:rsidRDefault="00410770" w:rsidP="004A1847">
      <w:pPr>
        <w:spacing w:after="0" w:line="240" w:lineRule="auto"/>
      </w:pPr>
      <w:r>
        <w:separator/>
      </w:r>
    </w:p>
  </w:endnote>
  <w:endnote w:type="continuationSeparator" w:id="0">
    <w:p w14:paraId="247C82F7" w14:textId="77777777" w:rsidR="00410770" w:rsidRDefault="00410770" w:rsidP="004A1847">
      <w:pPr>
        <w:spacing w:after="0" w:line="240" w:lineRule="auto"/>
      </w:pPr>
      <w:r>
        <w:continuationSeparator/>
      </w:r>
    </w:p>
  </w:endnote>
  <w:endnote w:type="continuationNotice" w:id="1">
    <w:p w14:paraId="704ECA4A" w14:textId="77777777" w:rsidR="00410770" w:rsidRDefault="004107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A257C2" w14:textId="77777777" w:rsidR="00410770" w:rsidRDefault="00410770" w:rsidP="004A1847">
      <w:pPr>
        <w:spacing w:after="0" w:line="240" w:lineRule="auto"/>
      </w:pPr>
      <w:r>
        <w:separator/>
      </w:r>
    </w:p>
  </w:footnote>
  <w:footnote w:type="continuationSeparator" w:id="0">
    <w:p w14:paraId="37AED268" w14:textId="77777777" w:rsidR="00410770" w:rsidRDefault="00410770" w:rsidP="004A1847">
      <w:pPr>
        <w:spacing w:after="0" w:line="240" w:lineRule="auto"/>
      </w:pPr>
      <w:r>
        <w:continuationSeparator/>
      </w:r>
    </w:p>
  </w:footnote>
  <w:footnote w:type="continuationNotice" w:id="1">
    <w:p w14:paraId="22F5494F" w14:textId="77777777" w:rsidR="00410770" w:rsidRDefault="00410770">
      <w:pPr>
        <w:spacing w:after="0" w:line="240" w:lineRule="auto"/>
      </w:pPr>
    </w:p>
  </w:footnote>
  <w:footnote w:id="2">
    <w:p w14:paraId="2A7AF70E" w14:textId="05663665" w:rsidR="00351D7F" w:rsidRDefault="00351D7F" w:rsidP="00351D7F">
      <w:pPr>
        <w:pStyle w:val="Textonotapie"/>
        <w:ind w:firstLine="708"/>
        <w:jc w:val="both"/>
        <w:rPr>
          <w:rFonts w:ascii="Verdana" w:hAnsi="Verdana" w:cs="Arial"/>
          <w:sz w:val="14"/>
          <w:szCs w:val="14"/>
          <w:lang w:val="es-CO"/>
        </w:rPr>
      </w:pPr>
      <w:r w:rsidRPr="00D61001">
        <w:rPr>
          <w:rStyle w:val="Refdenotaalpie"/>
          <w:rFonts w:ascii="Verdana" w:hAnsi="Verdana" w:cs="Arial"/>
          <w:sz w:val="14"/>
          <w:szCs w:val="14"/>
        </w:rPr>
        <w:footnoteRef/>
      </w:r>
      <w:r w:rsidRPr="00D61001">
        <w:rPr>
          <w:rFonts w:ascii="Verdana" w:hAnsi="Verdana" w:cs="Arial"/>
          <w:sz w:val="14"/>
          <w:szCs w:val="14"/>
        </w:rPr>
        <w:t xml:space="preserve"> </w:t>
      </w:r>
      <w:r w:rsidRPr="00D61001">
        <w:rPr>
          <w:rFonts w:ascii="Verdana" w:hAnsi="Verdana" w:cs="Arial"/>
          <w:sz w:val="14"/>
          <w:szCs w:val="14"/>
          <w:lang w:val="es-CO"/>
        </w:rPr>
        <w:t>DÁVILA VINUEZA, Luis Guillermo. Régimen jurídico de la contratación estatal. Tercera edición, Bogotá: Legis, 2016. p. 355.</w:t>
      </w:r>
    </w:p>
    <w:p w14:paraId="3D418327" w14:textId="77777777" w:rsidR="00351D7F" w:rsidRPr="00D61001" w:rsidRDefault="00351D7F" w:rsidP="00351D7F">
      <w:pPr>
        <w:pStyle w:val="Textonotapie"/>
        <w:ind w:firstLine="708"/>
        <w:jc w:val="both"/>
        <w:rPr>
          <w:rFonts w:ascii="Verdana" w:hAnsi="Verdana" w:cs="Arial"/>
          <w:sz w:val="14"/>
          <w:szCs w:val="14"/>
          <w:lang w:val="es-CO"/>
        </w:rPr>
      </w:pPr>
    </w:p>
  </w:footnote>
  <w:footnote w:id="3">
    <w:p w14:paraId="0E246BD1" w14:textId="760D35CA" w:rsidR="00351D7F" w:rsidRPr="00D61001" w:rsidRDefault="00351D7F" w:rsidP="00351D7F">
      <w:pPr>
        <w:pStyle w:val="Textonotapie"/>
        <w:ind w:firstLine="709"/>
        <w:contextualSpacing/>
        <w:jc w:val="both"/>
        <w:rPr>
          <w:rFonts w:ascii="Verdana" w:hAnsi="Verdana" w:cs="Arial"/>
          <w:sz w:val="14"/>
          <w:szCs w:val="14"/>
        </w:rPr>
      </w:pPr>
      <w:r w:rsidRPr="00D61001">
        <w:rPr>
          <w:rStyle w:val="Refdenotaalpie"/>
          <w:rFonts w:ascii="Verdana" w:hAnsi="Verdana" w:cs="Arial"/>
          <w:sz w:val="14"/>
          <w:szCs w:val="14"/>
        </w:rPr>
        <w:footnoteRef/>
      </w:r>
      <w:r w:rsidRPr="00D61001">
        <w:rPr>
          <w:rStyle w:val="Refdenotaalpie"/>
          <w:rFonts w:ascii="Verdana" w:hAnsi="Verdana" w:cs="Arial"/>
          <w:sz w:val="14"/>
          <w:szCs w:val="14"/>
        </w:rPr>
        <w:t xml:space="preserve"> </w:t>
      </w:r>
      <w:r w:rsidRPr="00D61001">
        <w:rPr>
          <w:rFonts w:ascii="Verdana" w:hAnsi="Verdana" w:cs="Arial"/>
          <w:sz w:val="14"/>
          <w:szCs w:val="14"/>
        </w:rPr>
        <w:t>CONSEJO DE ESTADO. Sección Tercera. Subsección B. Sentencia del 6 de junio de 2013. Exp. 25151. C.P. Stella Conto Díaz del Castillo.</w:t>
      </w:r>
    </w:p>
  </w:footnote>
  <w:footnote w:id="4">
    <w:p w14:paraId="2648D891" w14:textId="77777777" w:rsidR="00351D7F" w:rsidRPr="00D61001" w:rsidRDefault="00351D7F" w:rsidP="00351D7F">
      <w:pPr>
        <w:pStyle w:val="Textonotapie"/>
        <w:ind w:firstLine="709"/>
        <w:contextualSpacing/>
        <w:jc w:val="both"/>
        <w:rPr>
          <w:rFonts w:ascii="Verdana" w:hAnsi="Verdana" w:cs="Arial"/>
          <w:color w:val="000000" w:themeColor="text1"/>
          <w:sz w:val="14"/>
          <w:szCs w:val="14"/>
        </w:rPr>
      </w:pPr>
    </w:p>
    <w:p w14:paraId="53A8E986" w14:textId="77777777" w:rsidR="00351D7F" w:rsidRPr="00D61001" w:rsidRDefault="00351D7F" w:rsidP="00351D7F">
      <w:pPr>
        <w:pStyle w:val="Textonotapie"/>
        <w:ind w:firstLine="709"/>
        <w:contextualSpacing/>
        <w:jc w:val="both"/>
        <w:rPr>
          <w:rFonts w:ascii="Verdana" w:hAnsi="Verdana" w:cs="Arial"/>
          <w:color w:val="000000" w:themeColor="text1"/>
          <w:sz w:val="14"/>
          <w:szCs w:val="14"/>
          <w:lang w:eastAsia="es-CO"/>
        </w:rPr>
      </w:pPr>
      <w:r w:rsidRPr="00D61001">
        <w:rPr>
          <w:rStyle w:val="Refdenotaalpie"/>
          <w:rFonts w:ascii="Verdana" w:hAnsi="Verdana" w:cs="Arial"/>
          <w:color w:val="000000" w:themeColor="text1"/>
          <w:sz w:val="14"/>
          <w:szCs w:val="14"/>
        </w:rPr>
        <w:footnoteRef/>
      </w:r>
      <w:r w:rsidRPr="00D61001">
        <w:rPr>
          <w:rFonts w:ascii="Verdana" w:hAnsi="Verdana" w:cs="Arial"/>
          <w:color w:val="000000" w:themeColor="text1"/>
          <w:sz w:val="14"/>
          <w:szCs w:val="14"/>
        </w:rPr>
        <w:t xml:space="preserve"> Ley 1150 de 2007: «Artículo 5. De la selección objetiva.</w:t>
      </w:r>
      <w:r w:rsidRPr="00D61001">
        <w:rPr>
          <w:rFonts w:ascii="Verdana" w:hAnsi="Verdana" w:cs="Arial"/>
          <w:color w:val="000000" w:themeColor="text1"/>
          <w:sz w:val="14"/>
          <w:szCs w:val="14"/>
          <w:lang w:eastAsia="es-CO"/>
        </w:rPr>
        <w:t xml:space="preserve"> </w:t>
      </w:r>
    </w:p>
    <w:p w14:paraId="12139206" w14:textId="77777777" w:rsidR="00351D7F" w:rsidRPr="00D61001" w:rsidRDefault="00351D7F" w:rsidP="00351D7F">
      <w:pPr>
        <w:pStyle w:val="Textonotapie"/>
        <w:ind w:firstLine="709"/>
        <w:contextualSpacing/>
        <w:jc w:val="both"/>
        <w:rPr>
          <w:rFonts w:ascii="Verdana" w:hAnsi="Verdana" w:cs="Arial"/>
          <w:color w:val="000000" w:themeColor="text1"/>
          <w:sz w:val="14"/>
          <w:szCs w:val="14"/>
          <w:lang w:eastAsia="es-CO"/>
        </w:rPr>
      </w:pPr>
      <w:r w:rsidRPr="00D61001">
        <w:rPr>
          <w:rFonts w:ascii="Verdana" w:hAnsi="Verdana" w:cs="Arial"/>
          <w:color w:val="000000" w:themeColor="text1"/>
          <w:sz w:val="14"/>
          <w:szCs w:val="14"/>
          <w:lang w:eastAsia="es-CO"/>
        </w:rPr>
        <w:t>[…]</w:t>
      </w:r>
    </w:p>
    <w:p w14:paraId="13D5A994" w14:textId="77777777" w:rsidR="00351D7F" w:rsidRPr="00D61001" w:rsidRDefault="00351D7F" w:rsidP="00351D7F">
      <w:pPr>
        <w:pStyle w:val="Textonotapie"/>
        <w:ind w:firstLine="709"/>
        <w:contextualSpacing/>
        <w:jc w:val="both"/>
        <w:rPr>
          <w:rFonts w:ascii="Verdana" w:hAnsi="Verdana" w:cs="Arial"/>
          <w:color w:val="000000" w:themeColor="text1"/>
          <w:sz w:val="14"/>
          <w:szCs w:val="14"/>
          <w:lang w:eastAsia="es-CO"/>
        </w:rPr>
      </w:pPr>
      <w:r w:rsidRPr="00D61001">
        <w:rPr>
          <w:rFonts w:ascii="Verdana" w:hAnsi="Verdana" w:cs="Arial"/>
          <w:color w:val="000000" w:themeColor="text1"/>
          <w:sz w:val="14"/>
          <w:szCs w:val="14"/>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06D74B7D" w14:textId="77777777" w:rsidR="00351D7F" w:rsidRPr="00D61001" w:rsidRDefault="00351D7F" w:rsidP="00351D7F">
      <w:pPr>
        <w:pStyle w:val="Textonotapie"/>
        <w:ind w:firstLine="709"/>
        <w:contextualSpacing/>
        <w:jc w:val="both"/>
        <w:rPr>
          <w:rFonts w:ascii="Verdana" w:hAnsi="Verdana" w:cs="Arial"/>
          <w:color w:val="000000" w:themeColor="text1"/>
          <w:sz w:val="14"/>
          <w:szCs w:val="14"/>
          <w:lang w:eastAsia="es-CO"/>
        </w:rPr>
      </w:pPr>
      <w:r w:rsidRPr="00D61001">
        <w:rPr>
          <w:rFonts w:ascii="Verdana" w:hAnsi="Verdana" w:cs="Arial"/>
          <w:color w:val="000000" w:themeColor="text1"/>
          <w:sz w:val="14"/>
          <w:szCs w:val="14"/>
          <w:lang w:eastAsia="es-CO"/>
        </w:rPr>
        <w:t>[…]”.</w:t>
      </w:r>
    </w:p>
    <w:p w14:paraId="0C77C125" w14:textId="77777777" w:rsidR="00351D7F" w:rsidRPr="00D61001" w:rsidRDefault="00351D7F" w:rsidP="00351D7F">
      <w:pPr>
        <w:pStyle w:val="Textonotapie"/>
        <w:ind w:firstLine="709"/>
        <w:contextualSpacing/>
        <w:jc w:val="both"/>
        <w:rPr>
          <w:rFonts w:ascii="Verdana" w:hAnsi="Verdana" w:cs="Arial"/>
          <w:color w:val="000000" w:themeColor="text1"/>
          <w:sz w:val="14"/>
          <w:szCs w:val="14"/>
          <w:lang w:eastAsia="es-CO"/>
        </w:rPr>
      </w:pPr>
    </w:p>
  </w:footnote>
  <w:footnote w:id="5">
    <w:p w14:paraId="69396DE6" w14:textId="15514D6E" w:rsidR="00351D7F" w:rsidRDefault="00351D7F" w:rsidP="00351D7F">
      <w:pPr>
        <w:pStyle w:val="Textonotapie"/>
        <w:ind w:firstLine="709"/>
        <w:contextualSpacing/>
        <w:jc w:val="both"/>
        <w:rPr>
          <w:rFonts w:ascii="Verdana" w:hAnsi="Verdana" w:cs="Arial"/>
          <w:color w:val="000000" w:themeColor="text1"/>
          <w:sz w:val="14"/>
          <w:szCs w:val="14"/>
          <w:lang w:eastAsia="es-CO"/>
        </w:rPr>
      </w:pPr>
      <w:r w:rsidRPr="00D61001">
        <w:rPr>
          <w:rStyle w:val="Refdenotaalpie"/>
          <w:rFonts w:ascii="Verdana" w:hAnsi="Verdana" w:cs="Arial"/>
          <w:color w:val="000000" w:themeColor="text1"/>
          <w:sz w:val="14"/>
          <w:szCs w:val="14"/>
        </w:rPr>
        <w:footnoteRef/>
      </w:r>
      <w:r w:rsidRPr="00D61001">
        <w:rPr>
          <w:rFonts w:ascii="Verdana" w:hAnsi="Verdana" w:cs="Arial"/>
          <w:color w:val="000000" w:themeColor="text1"/>
          <w:sz w:val="14"/>
          <w:szCs w:val="14"/>
        </w:rPr>
        <w:t xml:space="preserve"> </w:t>
      </w:r>
      <w:r w:rsidRPr="00D61001">
        <w:rPr>
          <w:rFonts w:ascii="Verdana" w:hAnsi="Verdana" w:cs="Arial"/>
          <w:color w:val="000000" w:themeColor="text1"/>
          <w:sz w:val="14"/>
          <w:szCs w:val="14"/>
          <w:lang w:eastAsia="es-CO"/>
        </w:rPr>
        <w:t>CONSEJO DE ESTADO. Sección Tercera. Subsección A. Sentencia del 12 de febrero de 2014. Exp. 31.753. C.P. Mauricio Fajardo Gómez: “El certificado del Registro Único de Proponentes se erigió como “plena prueba” de las circunstancias sometidas al mismo, además de que se estableció que en el procedimiento de contratación no se pueden solicitar de nuevo los mismos documentos verificados por las Cámaras de Comercio según se observa de la disposición contenida en el artículo 5º de la Ley 1150”.</w:t>
      </w:r>
    </w:p>
    <w:p w14:paraId="6B143BC4" w14:textId="77777777" w:rsidR="00351D7F" w:rsidRPr="00D61001" w:rsidRDefault="00351D7F" w:rsidP="00351D7F">
      <w:pPr>
        <w:pStyle w:val="Textonotapie"/>
        <w:ind w:firstLine="709"/>
        <w:contextualSpacing/>
        <w:jc w:val="both"/>
        <w:rPr>
          <w:rFonts w:ascii="Verdana" w:hAnsi="Verdana" w:cs="Arial"/>
          <w:color w:val="000000" w:themeColor="text1"/>
          <w:sz w:val="14"/>
          <w:szCs w:val="14"/>
        </w:rPr>
      </w:pPr>
    </w:p>
  </w:footnote>
  <w:footnote w:id="6">
    <w:p w14:paraId="5B39F901" w14:textId="0245C0FF" w:rsidR="00351D7F" w:rsidRDefault="00351D7F" w:rsidP="00351D7F">
      <w:pPr>
        <w:pStyle w:val="Textonotapie"/>
        <w:ind w:firstLine="709"/>
        <w:contextualSpacing/>
        <w:jc w:val="both"/>
        <w:rPr>
          <w:rFonts w:ascii="Verdana" w:hAnsi="Verdana" w:cs="Arial"/>
          <w:color w:val="000000" w:themeColor="text1"/>
          <w:sz w:val="14"/>
          <w:szCs w:val="14"/>
          <w:lang w:eastAsia="es-CO"/>
        </w:rPr>
      </w:pPr>
      <w:r w:rsidRPr="00D61001">
        <w:rPr>
          <w:rStyle w:val="Refdenotaalpie"/>
          <w:rFonts w:ascii="Verdana" w:hAnsi="Verdana" w:cs="Arial"/>
          <w:color w:val="000000" w:themeColor="text1"/>
          <w:sz w:val="14"/>
          <w:szCs w:val="14"/>
        </w:rPr>
        <w:footnoteRef/>
      </w:r>
      <w:r w:rsidRPr="00D61001">
        <w:rPr>
          <w:rFonts w:ascii="Verdana" w:hAnsi="Verdana" w:cs="Arial"/>
          <w:color w:val="000000" w:themeColor="text1"/>
          <w:sz w:val="14"/>
          <w:szCs w:val="14"/>
        </w:rPr>
        <w:t xml:space="preserve"> </w:t>
      </w:r>
      <w:r w:rsidRPr="00D61001">
        <w:rPr>
          <w:rFonts w:ascii="Verdana" w:hAnsi="Verdana" w:cs="Arial"/>
          <w:color w:val="000000" w:themeColor="text1"/>
          <w:sz w:val="14"/>
          <w:szCs w:val="14"/>
          <w:lang w:eastAsia="es-CO"/>
        </w:rPr>
        <w:t>Consejo de Estado. Sala de Consulta y Servicio Civil. Consulta del 20 de mayo de 2010. Exp.1992. C. P. Enrique José Arboleda Perdomo.</w:t>
      </w:r>
    </w:p>
    <w:p w14:paraId="4909B49A" w14:textId="77777777" w:rsidR="00351D7F" w:rsidRPr="00D61001" w:rsidRDefault="00351D7F" w:rsidP="00351D7F">
      <w:pPr>
        <w:pStyle w:val="Textonotapie"/>
        <w:ind w:firstLine="709"/>
        <w:contextualSpacing/>
        <w:jc w:val="both"/>
        <w:rPr>
          <w:rFonts w:ascii="Verdana" w:hAnsi="Verdana" w:cs="Arial"/>
          <w:color w:val="000000" w:themeColor="text1"/>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11"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1D7F"/>
    <w:rsid w:val="00374F5E"/>
    <w:rsid w:val="00377E3E"/>
    <w:rsid w:val="003A13E3"/>
    <w:rsid w:val="003A779E"/>
    <w:rsid w:val="003D0F4D"/>
    <w:rsid w:val="003D5B0D"/>
    <w:rsid w:val="003E0499"/>
    <w:rsid w:val="003E4F80"/>
    <w:rsid w:val="003E6439"/>
    <w:rsid w:val="003F3941"/>
    <w:rsid w:val="00406575"/>
    <w:rsid w:val="00410770"/>
    <w:rsid w:val="00414C74"/>
    <w:rsid w:val="0042722E"/>
    <w:rsid w:val="0044528D"/>
    <w:rsid w:val="00466E39"/>
    <w:rsid w:val="004A1847"/>
    <w:rsid w:val="004A305D"/>
    <w:rsid w:val="004F21C4"/>
    <w:rsid w:val="004F685F"/>
    <w:rsid w:val="005566E8"/>
    <w:rsid w:val="00574867"/>
    <w:rsid w:val="00591460"/>
    <w:rsid w:val="005A0590"/>
    <w:rsid w:val="005A65E0"/>
    <w:rsid w:val="005C3777"/>
    <w:rsid w:val="005C5CDC"/>
    <w:rsid w:val="005D476C"/>
    <w:rsid w:val="005E5414"/>
    <w:rsid w:val="006200BF"/>
    <w:rsid w:val="006219F8"/>
    <w:rsid w:val="006302F7"/>
    <w:rsid w:val="00646B9F"/>
    <w:rsid w:val="00665D70"/>
    <w:rsid w:val="006900D9"/>
    <w:rsid w:val="00706C16"/>
    <w:rsid w:val="007340C3"/>
    <w:rsid w:val="0075235A"/>
    <w:rsid w:val="00756841"/>
    <w:rsid w:val="007649AB"/>
    <w:rsid w:val="00771D0C"/>
    <w:rsid w:val="007833AC"/>
    <w:rsid w:val="00791F47"/>
    <w:rsid w:val="007B12B8"/>
    <w:rsid w:val="007B268C"/>
    <w:rsid w:val="007B7171"/>
    <w:rsid w:val="007C0C0F"/>
    <w:rsid w:val="007C3DC2"/>
    <w:rsid w:val="007E5497"/>
    <w:rsid w:val="00806873"/>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770B0"/>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C678A"/>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1001"/>
    <w:rsid w:val="00D63AC2"/>
    <w:rsid w:val="00D7383B"/>
    <w:rsid w:val="00D7788A"/>
    <w:rsid w:val="00DA231B"/>
    <w:rsid w:val="00DC39FC"/>
    <w:rsid w:val="00DD735A"/>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1D50"/>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51D7F"/>
    <w:rPr>
      <w:rFonts w:ascii="Geomanist Light" w:hAnsi="Geomanist Light"/>
      <w:lang w:val="es-ES"/>
    </w:rPr>
  </w:style>
  <w:style w:type="paragraph" w:customStyle="1" w:styleId="Appelnotedebasde">
    <w:name w:val="Appel note de bas de..."/>
    <w:basedOn w:val="Normal"/>
    <w:link w:val="Refdenotaalpie"/>
    <w:uiPriority w:val="99"/>
    <w:rsid w:val="00351D7F"/>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enegar@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FF2652BF-88C4-4F1A-B8FC-B957A733915C}"/>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14</Pages>
  <Words>4365</Words>
  <Characters>24011</Characters>
  <Application>Microsoft Office Word</Application>
  <DocSecurity>0</DocSecurity>
  <Lines>200</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2025-11-26T20:46:00Z</dcterms:created>
  <dcterms:modified xsi:type="dcterms:W3CDTF">2025-11-27T23:25:00Z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