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14DDA" w14:textId="77777777" w:rsidR="001643EF" w:rsidRPr="00416BDB" w:rsidRDefault="001643EF" w:rsidP="001643EF">
      <w:pPr>
        <w:spacing w:after="0" w:line="240" w:lineRule="auto"/>
        <w:jc w:val="both"/>
        <w:rPr>
          <w:rFonts w:ascii="Verdana" w:eastAsia="Calibri" w:hAnsi="Verdana" w:cs="Arial"/>
          <w:b/>
          <w:lang w:val="es-ES_tradnl" w:eastAsia="es-ES_tradnl"/>
        </w:rPr>
      </w:pPr>
      <w:bookmarkStart w:id="0" w:name="_Hlk143780582"/>
      <w:r w:rsidRPr="00416BDB">
        <w:rPr>
          <w:rFonts w:ascii="Verdana" w:eastAsia="Calibri" w:hAnsi="Verdana" w:cs="Arial"/>
          <w:b/>
          <w:lang w:val="es-ES_tradnl" w:eastAsia="es-ES_tradnl"/>
        </w:rPr>
        <w:t xml:space="preserve">PROPONENTES EXTRANJEROS – Registro RUP – Obligatoriedad en procesos sometidos a EGCAP – </w:t>
      </w:r>
    </w:p>
    <w:p w14:paraId="775468AD" w14:textId="77777777" w:rsidR="001643EF" w:rsidRPr="00416BDB" w:rsidRDefault="001643EF" w:rsidP="001643EF">
      <w:pPr>
        <w:spacing w:after="0" w:line="240" w:lineRule="auto"/>
        <w:jc w:val="both"/>
        <w:rPr>
          <w:rFonts w:ascii="Verdana" w:eastAsia="Calibri" w:hAnsi="Verdana" w:cs="Arial"/>
          <w:color w:val="000000" w:themeColor="text1"/>
        </w:rPr>
      </w:pPr>
    </w:p>
    <w:p w14:paraId="7C40B5CC"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r w:rsidRPr="00DE74E5">
        <w:rPr>
          <w:rFonts w:ascii="Verdana" w:eastAsia="Calibri" w:hAnsi="Verdana" w:cs="Arial"/>
          <w:color w:val="000000" w:themeColor="text1"/>
          <w:sz w:val="20"/>
          <w:szCs w:val="20"/>
        </w:rPr>
        <w:t xml:space="preserve">Las personas extranjeras con sucursal en Colombia deberán cumplir siempre con los requisitos habilitantes establecidos por la entidad estatal en los procesos de selección de contratistas en los que se presenten. Ahora bien, la acreditación de tales requisitos habilitantes dependerá del procedimiento de selección y la naturaleza del objeto a contratar. En ese sentido, la acreditación deberá efectuarse mediante el RUP si el procedimiento de contratación en el que participarán es parte de aquellos en los cuales no se exceptúa el RUP y resulta obligatoria su exigencia. Por otro lado, si el procedimiento de contratación hace parte de los procedimientos exceptuados a los que hace referencia el inciso segundo del artículo 6 de la Ley 1150 de 2007, la entidad estatal deberá verificar directamente el cumplimiento de los requisitos habilitantes mediante documentos adicionales que acrediten la información referente a experiencia, capacidad jurídica, financiera y de organización. </w:t>
      </w:r>
    </w:p>
    <w:p w14:paraId="598B442D"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p>
    <w:p w14:paraId="4EC34FEF"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r w:rsidRPr="00DE74E5">
        <w:rPr>
          <w:rFonts w:ascii="Verdana" w:eastAsia="Calibri" w:hAnsi="Verdana" w:cs="Arial"/>
          <w:color w:val="000000" w:themeColor="text1"/>
          <w:sz w:val="20"/>
          <w:szCs w:val="20"/>
        </w:rPr>
        <w:t>De otro lado, si la entidad estatal adjudicará el contrato al proponente de origen extranjero, es deber de aquellas verificar que dichas personas extranjeras, con sucursal en Colombia, cuenten con RUP y acrediten que su duración no será inferior a la del plazo del contrato y un año más.</w:t>
      </w:r>
    </w:p>
    <w:p w14:paraId="35DE58A5" w14:textId="77777777" w:rsidR="001643EF" w:rsidRPr="00416BDB" w:rsidRDefault="001643EF" w:rsidP="001643EF">
      <w:pPr>
        <w:spacing w:after="0" w:line="240" w:lineRule="auto"/>
        <w:jc w:val="both"/>
        <w:rPr>
          <w:rFonts w:ascii="Verdana" w:eastAsia="Calibri" w:hAnsi="Verdana" w:cs="Arial"/>
          <w:color w:val="000000" w:themeColor="text1"/>
        </w:rPr>
      </w:pPr>
    </w:p>
    <w:p w14:paraId="2DFB7D19" w14:textId="77777777" w:rsidR="001643EF" w:rsidRPr="00416BDB" w:rsidRDefault="001643EF" w:rsidP="001643EF">
      <w:pPr>
        <w:spacing w:after="0" w:line="240" w:lineRule="auto"/>
        <w:jc w:val="both"/>
        <w:rPr>
          <w:rFonts w:ascii="Verdana" w:eastAsia="Calibri" w:hAnsi="Verdana" w:cs="Arial"/>
          <w:b/>
          <w:lang w:val="es-ES_tradnl" w:eastAsia="es-ES_tradnl"/>
        </w:rPr>
      </w:pPr>
      <w:r w:rsidRPr="00416BDB">
        <w:rPr>
          <w:rFonts w:ascii="Verdana" w:eastAsia="Calibri" w:hAnsi="Verdana" w:cs="Arial"/>
          <w:b/>
          <w:lang w:val="es-ES_tradnl" w:eastAsia="es-ES_tradnl"/>
        </w:rPr>
        <w:t>ADJUDICATARIOS EXTRANJEROS – Requisitos para celebrar contratos - Sociedades extranjeras con negocio permanente en el país – Obligación de constituir sucursal</w:t>
      </w:r>
    </w:p>
    <w:p w14:paraId="23FAE2AE" w14:textId="77777777" w:rsidR="001643EF" w:rsidRPr="00416BDB" w:rsidRDefault="001643EF" w:rsidP="001643EF">
      <w:pPr>
        <w:spacing w:after="0" w:line="240" w:lineRule="auto"/>
        <w:jc w:val="both"/>
        <w:rPr>
          <w:rFonts w:ascii="Verdana" w:eastAsia="Calibri" w:hAnsi="Verdana" w:cs="Arial"/>
          <w:bCs/>
          <w:lang w:val="es-ES_tradnl" w:eastAsia="es-ES_tradnl"/>
        </w:rPr>
      </w:pPr>
    </w:p>
    <w:p w14:paraId="6AD6E255"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r w:rsidRPr="00DE74E5">
        <w:rPr>
          <w:rFonts w:ascii="Verdana" w:eastAsia="Calibri" w:hAnsi="Verdana" w:cs="Arial"/>
          <w:color w:val="000000" w:themeColor="text1"/>
          <w:sz w:val="20"/>
          <w:szCs w:val="20"/>
        </w:rPr>
        <w:t xml:space="preserve">Si un proponente extranjero resultó adjudicatario en un proceso de compra pública sometido a las reglas del EGCAP, es importante tener en cuenta lo siguiente: i) el contrato estatal debe constar por escrito y estar firmado por las dos partes; </w:t>
      </w:r>
      <w:proofErr w:type="spellStart"/>
      <w:r w:rsidRPr="00DE74E5">
        <w:rPr>
          <w:rFonts w:ascii="Verdana" w:eastAsia="Calibri" w:hAnsi="Verdana" w:cs="Arial"/>
          <w:color w:val="000000" w:themeColor="text1"/>
          <w:sz w:val="20"/>
          <w:szCs w:val="20"/>
        </w:rPr>
        <w:t>ii</w:t>
      </w:r>
      <w:proofErr w:type="spellEnd"/>
      <w:r w:rsidRPr="00DE74E5">
        <w:rPr>
          <w:rFonts w:ascii="Verdana" w:eastAsia="Calibri" w:hAnsi="Verdana" w:cs="Arial"/>
          <w:color w:val="000000" w:themeColor="text1"/>
          <w:sz w:val="20"/>
          <w:szCs w:val="20"/>
        </w:rPr>
        <w:t xml:space="preserve">) la entidad estatal debe verificar que el adjudicatario constituya una sucursal, en el evento en que el objeto contractual sea la construcción de obras, la prestación de servicios o la entrega de una concesión y acreditar que su duración no será inferior a la del plazo del contrato y un año más; </w:t>
      </w:r>
      <w:proofErr w:type="spellStart"/>
      <w:r w:rsidRPr="00DE74E5">
        <w:rPr>
          <w:rFonts w:ascii="Verdana" w:eastAsia="Calibri" w:hAnsi="Verdana" w:cs="Arial"/>
          <w:color w:val="000000" w:themeColor="text1"/>
          <w:sz w:val="20"/>
          <w:szCs w:val="20"/>
        </w:rPr>
        <w:t>iii</w:t>
      </w:r>
      <w:proofErr w:type="spellEnd"/>
      <w:r w:rsidRPr="00DE74E5">
        <w:rPr>
          <w:rFonts w:ascii="Verdana" w:eastAsia="Calibri" w:hAnsi="Verdana" w:cs="Arial"/>
          <w:color w:val="000000" w:themeColor="text1"/>
          <w:sz w:val="20"/>
          <w:szCs w:val="20"/>
        </w:rPr>
        <w:t xml:space="preserve">) el adjudicatario debe presentar la traducción oficial de los documentos que presentó con su propuesta, que se encuentren en idioma extranjero y que se hubieran presentado con traducciones simples; </w:t>
      </w:r>
      <w:proofErr w:type="spellStart"/>
      <w:r w:rsidRPr="00DE74E5">
        <w:rPr>
          <w:rFonts w:ascii="Verdana" w:eastAsia="Calibri" w:hAnsi="Verdana" w:cs="Arial"/>
          <w:color w:val="000000" w:themeColor="text1"/>
          <w:sz w:val="20"/>
          <w:szCs w:val="20"/>
        </w:rPr>
        <w:t>iv</w:t>
      </w:r>
      <w:proofErr w:type="spellEnd"/>
      <w:r w:rsidRPr="00DE74E5">
        <w:rPr>
          <w:rFonts w:ascii="Verdana" w:eastAsia="Calibri" w:hAnsi="Verdana" w:cs="Arial"/>
          <w:color w:val="000000" w:themeColor="text1"/>
          <w:sz w:val="20"/>
          <w:szCs w:val="20"/>
        </w:rPr>
        <w:t xml:space="preserve">) el adjudicatario debe presentar los documentos apostillados que requieran esa formalidad y que se hubieran presentado con su oferta sin cumplirla; v) la minuta del contrato a suscribir es la misma que fue publicada con los pliegos de condiciones, la cual en principio no es modificada en esta etapa; vi) para iniciar la ejecución del contrato se requiere que la entidad estatal realice el registro presupuestal del contrato, y apruebe la garantía exigida de acuerdo con los amparos y vigencias establecidos en el mismo, por lo que el adjudicatario tiene la obligación de constituir la póliza de cumplimiento en los términos pactados; </w:t>
      </w:r>
      <w:proofErr w:type="spellStart"/>
      <w:r w:rsidRPr="00DE74E5">
        <w:rPr>
          <w:rFonts w:ascii="Verdana" w:eastAsia="Calibri" w:hAnsi="Verdana" w:cs="Arial"/>
          <w:color w:val="000000" w:themeColor="text1"/>
          <w:sz w:val="20"/>
          <w:szCs w:val="20"/>
        </w:rPr>
        <w:t>vii</w:t>
      </w:r>
      <w:proofErr w:type="spellEnd"/>
      <w:r w:rsidRPr="00DE74E5">
        <w:rPr>
          <w:rFonts w:ascii="Verdana" w:eastAsia="Calibri" w:hAnsi="Verdana" w:cs="Arial"/>
          <w:color w:val="000000" w:themeColor="text1"/>
          <w:sz w:val="20"/>
          <w:szCs w:val="20"/>
        </w:rPr>
        <w:t xml:space="preserve">) el adjudicatario tendrá la obligación de constituir la fiducia mercantil con una sociedad autorizada para tal fin por la Superintendencia Financiera cuando se hubiera pactado el pago de un anticipo o pago anticipado y </w:t>
      </w:r>
      <w:proofErr w:type="spellStart"/>
      <w:r w:rsidRPr="00DE74E5">
        <w:rPr>
          <w:rFonts w:ascii="Verdana" w:eastAsia="Calibri" w:hAnsi="Verdana" w:cs="Arial"/>
          <w:color w:val="000000" w:themeColor="text1"/>
          <w:sz w:val="20"/>
          <w:szCs w:val="20"/>
        </w:rPr>
        <w:t>viii</w:t>
      </w:r>
      <w:proofErr w:type="spellEnd"/>
      <w:r w:rsidRPr="00DE74E5">
        <w:rPr>
          <w:rFonts w:ascii="Verdana" w:eastAsia="Calibri" w:hAnsi="Verdana" w:cs="Arial"/>
          <w:color w:val="000000" w:themeColor="text1"/>
          <w:sz w:val="20"/>
          <w:szCs w:val="20"/>
        </w:rPr>
        <w:t>) en caso de que el adjudicatario no suscriba el contrato, la entidad estatal podrá hacer efectiva la garantía de seriedad de la oferta.</w:t>
      </w:r>
    </w:p>
    <w:p w14:paraId="50B5CEC3"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p>
    <w:p w14:paraId="69CA00A7"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r w:rsidRPr="00DE74E5">
        <w:rPr>
          <w:rFonts w:ascii="Verdana" w:eastAsia="Calibri" w:hAnsi="Verdana" w:cs="Arial"/>
          <w:color w:val="000000" w:themeColor="text1"/>
          <w:sz w:val="20"/>
          <w:szCs w:val="20"/>
        </w:rPr>
        <w:t>De otro lado, para aquellos contratos sometidos a regímenes especiales, los requisitos para su celebración serán los comprendidos en las normas de creación de las entidades de régimen especial y lo establecido en los manuales de contratación.</w:t>
      </w:r>
    </w:p>
    <w:p w14:paraId="05880381" w14:textId="77777777" w:rsidR="001643EF" w:rsidRPr="00416BDB" w:rsidRDefault="001643EF" w:rsidP="001643EF">
      <w:pPr>
        <w:spacing w:after="0" w:line="240" w:lineRule="auto"/>
        <w:jc w:val="both"/>
        <w:rPr>
          <w:rFonts w:ascii="Verdana" w:eastAsia="Calibri" w:hAnsi="Verdana" w:cs="Arial"/>
          <w:color w:val="000000" w:themeColor="text1"/>
        </w:rPr>
      </w:pPr>
    </w:p>
    <w:p w14:paraId="4DFB1081" w14:textId="77777777" w:rsidR="001643EF" w:rsidRPr="00416BDB" w:rsidRDefault="001643EF" w:rsidP="001643EF">
      <w:pPr>
        <w:spacing w:after="0" w:line="240" w:lineRule="auto"/>
        <w:jc w:val="both"/>
        <w:rPr>
          <w:rFonts w:ascii="Verdana" w:eastAsia="Calibri" w:hAnsi="Verdana" w:cs="Arial"/>
          <w:b/>
          <w:lang w:val="es-ES_tradnl" w:eastAsia="es-ES_tradnl"/>
        </w:rPr>
      </w:pPr>
      <w:r w:rsidRPr="00416BDB">
        <w:rPr>
          <w:rFonts w:ascii="Verdana" w:eastAsia="Calibri" w:hAnsi="Verdana" w:cs="Arial"/>
          <w:b/>
          <w:lang w:val="es-ES_tradnl" w:eastAsia="es-ES_tradnl"/>
        </w:rPr>
        <w:t xml:space="preserve">PROPONENTE PLURAL ‒ Consorcio ‒ Unión temporal ‒ Concepto – Posibilidad de integración </w:t>
      </w:r>
    </w:p>
    <w:p w14:paraId="33B4F7E3" w14:textId="77777777" w:rsidR="001643EF" w:rsidRPr="00416BDB" w:rsidRDefault="001643EF" w:rsidP="001643EF">
      <w:pPr>
        <w:spacing w:after="0" w:line="240" w:lineRule="auto"/>
        <w:jc w:val="both"/>
        <w:rPr>
          <w:rFonts w:ascii="Verdana" w:eastAsia="Calibri" w:hAnsi="Verdana" w:cs="Arial"/>
          <w:color w:val="000000" w:themeColor="text1"/>
        </w:rPr>
      </w:pPr>
    </w:p>
    <w:p w14:paraId="40967CD5"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r w:rsidRPr="00DE74E5">
        <w:rPr>
          <w:rFonts w:ascii="Verdana" w:eastAsia="Calibri" w:hAnsi="Verdana" w:cs="Arial"/>
          <w:color w:val="000000" w:themeColor="text1"/>
          <w:sz w:val="20"/>
          <w:szCs w:val="20"/>
        </w:rPr>
        <w:t xml:space="preserve">Las personas naturales o jurídicas extranjeras podrán integrar proponentes plurales a través de las figuras asociativas tales como consorcios o uniones temporales. Lo anterior, en concordancia con el numeral 1 del artículo 1502 del Código Civil y el inciso primero del artículo 6 de la Ley 80 de 1993 –modificado por el artículo 1 de la Ley 2160 de 2021– el cual dispone que “Pueden celebrar contratos con las entidades estatales las personas consideradas legalmente capaces en las disposiciones vigentes […]”. Esta norma es acorde al reconocimiento de la personalidad jurídica del artículo 16 constitucional, de donde se infiere que las personas extranjeras –al igual que las nacionales– pueden concurrir en la celebración de contratos estatales, siempre que no se encuentren en alguna causal de inhabilidad o incompatibilidad que la afecte.  </w:t>
      </w:r>
    </w:p>
    <w:p w14:paraId="683FC826"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p>
    <w:p w14:paraId="71EE52A9" w14:textId="77777777" w:rsidR="001643EF" w:rsidRPr="00DE74E5" w:rsidRDefault="001643EF" w:rsidP="001643EF">
      <w:pPr>
        <w:spacing w:after="0" w:line="240" w:lineRule="auto"/>
        <w:jc w:val="both"/>
        <w:rPr>
          <w:rFonts w:ascii="Verdana" w:eastAsia="Calibri" w:hAnsi="Verdana" w:cs="Arial"/>
          <w:color w:val="000000" w:themeColor="text1"/>
          <w:sz w:val="20"/>
          <w:szCs w:val="20"/>
        </w:rPr>
      </w:pPr>
      <w:r w:rsidRPr="00DE74E5">
        <w:rPr>
          <w:rFonts w:ascii="Verdana" w:eastAsia="Calibri" w:hAnsi="Verdana" w:cs="Arial"/>
          <w:color w:val="000000" w:themeColor="text1"/>
          <w:sz w:val="20"/>
          <w:szCs w:val="20"/>
        </w:rPr>
        <w:t>Desde esta perspectiva, si los proponentes extranjeros pueden presentarse al proceso de selección de forma individual, con mayor razón podrán hacerlo a través de un consorcio o una unión temporal.</w:t>
      </w:r>
    </w:p>
    <w:p w14:paraId="5EE61D12" w14:textId="77777777" w:rsidR="001643EF" w:rsidRDefault="001643EF" w:rsidP="001643EF">
      <w:pPr>
        <w:spacing w:after="0" w:line="240" w:lineRule="auto"/>
        <w:rPr>
          <w:rFonts w:ascii="Verdana" w:eastAsia="Geomanist Light" w:hAnsi="Verdana" w:cs="Arial"/>
          <w:color w:val="000000" w:themeColor="text1"/>
          <w:lang w:val="es-MX"/>
        </w:rPr>
      </w:pPr>
    </w:p>
    <w:p w14:paraId="3CF62929" w14:textId="77777777" w:rsidR="001643EF" w:rsidRDefault="001643EF" w:rsidP="001643EF">
      <w:pPr>
        <w:spacing w:after="0" w:line="240" w:lineRule="auto"/>
        <w:rPr>
          <w:rFonts w:ascii="Verdana" w:eastAsia="Geomanist Light" w:hAnsi="Verdana" w:cs="Arial"/>
          <w:color w:val="000000" w:themeColor="text1"/>
          <w:lang w:val="es-MX"/>
        </w:rPr>
      </w:pPr>
    </w:p>
    <w:p w14:paraId="4A95D9C5" w14:textId="77777777" w:rsidR="001643EF" w:rsidRDefault="001643EF" w:rsidP="001643EF">
      <w:pPr>
        <w:spacing w:after="0" w:line="240" w:lineRule="auto"/>
        <w:rPr>
          <w:rFonts w:ascii="Verdana" w:eastAsia="Geomanist Light" w:hAnsi="Verdana" w:cs="Arial"/>
          <w:color w:val="000000" w:themeColor="text1"/>
          <w:lang w:val="es-MX"/>
        </w:rPr>
      </w:pPr>
    </w:p>
    <w:p w14:paraId="71D0262B" w14:textId="77777777" w:rsidR="001643EF" w:rsidRDefault="001643EF" w:rsidP="001643EF">
      <w:pPr>
        <w:spacing w:after="0" w:line="240" w:lineRule="auto"/>
        <w:rPr>
          <w:rFonts w:ascii="Verdana" w:eastAsia="Geomanist Light" w:hAnsi="Verdana" w:cs="Arial"/>
          <w:color w:val="000000" w:themeColor="text1"/>
          <w:lang w:val="es-MX"/>
        </w:rPr>
      </w:pPr>
    </w:p>
    <w:p w14:paraId="59552406" w14:textId="77777777" w:rsidR="001643EF" w:rsidRDefault="001643EF" w:rsidP="001643EF">
      <w:pPr>
        <w:spacing w:after="0" w:line="240" w:lineRule="auto"/>
        <w:rPr>
          <w:rFonts w:ascii="Verdana" w:eastAsia="Geomanist Light" w:hAnsi="Verdana" w:cs="Arial"/>
          <w:color w:val="000000" w:themeColor="text1"/>
          <w:lang w:val="es-MX"/>
        </w:rPr>
      </w:pPr>
    </w:p>
    <w:p w14:paraId="3253E34E" w14:textId="77777777" w:rsidR="001643EF" w:rsidRDefault="001643EF" w:rsidP="001643EF">
      <w:pPr>
        <w:spacing w:after="0" w:line="240" w:lineRule="auto"/>
        <w:rPr>
          <w:rFonts w:ascii="Verdana" w:eastAsia="Geomanist Light" w:hAnsi="Verdana" w:cs="Arial"/>
          <w:color w:val="000000" w:themeColor="text1"/>
          <w:lang w:val="es-MX"/>
        </w:rPr>
      </w:pPr>
    </w:p>
    <w:p w14:paraId="0F993327" w14:textId="77777777" w:rsidR="001643EF" w:rsidRDefault="001643EF" w:rsidP="00C15139">
      <w:pPr>
        <w:spacing w:after="0"/>
        <w:rPr>
          <w:rFonts w:ascii="Verdana" w:hAnsi="Verdana"/>
          <w:lang w:val="es-MX"/>
        </w:rPr>
      </w:pPr>
    </w:p>
    <w:p w14:paraId="1793DFB4" w14:textId="77777777" w:rsidR="001643EF" w:rsidRDefault="001643EF" w:rsidP="00C15139">
      <w:pPr>
        <w:spacing w:after="0"/>
        <w:rPr>
          <w:rFonts w:ascii="Verdana" w:hAnsi="Verdana"/>
          <w:lang w:val="es-MX"/>
        </w:rPr>
      </w:pPr>
    </w:p>
    <w:p w14:paraId="6DF92802" w14:textId="77777777" w:rsidR="001643EF" w:rsidRDefault="001643EF" w:rsidP="00C15139">
      <w:pPr>
        <w:spacing w:after="0"/>
        <w:rPr>
          <w:rFonts w:ascii="Verdana" w:hAnsi="Verdana"/>
          <w:lang w:val="es-MX"/>
        </w:rPr>
      </w:pPr>
    </w:p>
    <w:p w14:paraId="08E8FD7E" w14:textId="77777777" w:rsidR="001643EF" w:rsidRDefault="001643EF" w:rsidP="00C15139">
      <w:pPr>
        <w:spacing w:after="0"/>
        <w:rPr>
          <w:rFonts w:ascii="Verdana" w:hAnsi="Verdana"/>
          <w:lang w:val="es-MX"/>
        </w:rPr>
      </w:pPr>
    </w:p>
    <w:p w14:paraId="6C8A3638" w14:textId="77777777" w:rsidR="001643EF" w:rsidRDefault="001643EF" w:rsidP="00C15139">
      <w:pPr>
        <w:spacing w:after="0"/>
        <w:rPr>
          <w:rFonts w:ascii="Verdana" w:hAnsi="Verdana"/>
          <w:lang w:val="es-MX"/>
        </w:rPr>
      </w:pPr>
    </w:p>
    <w:p w14:paraId="28196987" w14:textId="77777777" w:rsidR="001643EF" w:rsidRDefault="001643EF" w:rsidP="00C15139">
      <w:pPr>
        <w:spacing w:after="0"/>
        <w:rPr>
          <w:rFonts w:ascii="Verdana" w:hAnsi="Verdana"/>
          <w:lang w:val="es-MX"/>
        </w:rPr>
      </w:pPr>
    </w:p>
    <w:p w14:paraId="6FE37B7A" w14:textId="77777777" w:rsidR="001643EF" w:rsidRDefault="001643EF" w:rsidP="00C15139">
      <w:pPr>
        <w:spacing w:after="0"/>
        <w:rPr>
          <w:rFonts w:ascii="Verdana" w:hAnsi="Verdana"/>
          <w:lang w:val="es-MX"/>
        </w:rPr>
      </w:pPr>
    </w:p>
    <w:p w14:paraId="27514731" w14:textId="77777777" w:rsidR="001643EF" w:rsidRDefault="001643EF" w:rsidP="00C15139">
      <w:pPr>
        <w:spacing w:after="0"/>
        <w:rPr>
          <w:rFonts w:ascii="Verdana" w:hAnsi="Verdana"/>
          <w:lang w:val="es-MX"/>
        </w:rPr>
      </w:pPr>
    </w:p>
    <w:p w14:paraId="4753AFE6" w14:textId="77777777" w:rsidR="001643EF" w:rsidRDefault="001643EF" w:rsidP="00C15139">
      <w:pPr>
        <w:spacing w:after="0"/>
        <w:rPr>
          <w:rFonts w:ascii="Verdana" w:hAnsi="Verdana"/>
          <w:lang w:val="es-MX"/>
        </w:rPr>
      </w:pPr>
    </w:p>
    <w:p w14:paraId="5DCEEA9E" w14:textId="77777777" w:rsidR="001643EF" w:rsidRDefault="001643EF" w:rsidP="00C15139">
      <w:pPr>
        <w:spacing w:after="0"/>
        <w:rPr>
          <w:rFonts w:ascii="Verdana" w:hAnsi="Verdana"/>
          <w:lang w:val="es-MX"/>
        </w:rPr>
      </w:pPr>
    </w:p>
    <w:p w14:paraId="653AA835" w14:textId="77777777" w:rsidR="001643EF" w:rsidRDefault="001643EF" w:rsidP="00C15139">
      <w:pPr>
        <w:spacing w:after="0"/>
        <w:rPr>
          <w:rFonts w:ascii="Verdana" w:hAnsi="Verdana"/>
          <w:lang w:val="es-MX"/>
        </w:rPr>
      </w:pPr>
    </w:p>
    <w:p w14:paraId="2BD2AEFE" w14:textId="77777777" w:rsidR="001643EF" w:rsidRDefault="001643EF" w:rsidP="00C15139">
      <w:pPr>
        <w:spacing w:after="0"/>
        <w:rPr>
          <w:rFonts w:ascii="Verdana" w:hAnsi="Verdana"/>
          <w:lang w:val="es-MX"/>
        </w:rPr>
      </w:pPr>
    </w:p>
    <w:p w14:paraId="4CCE7101" w14:textId="77777777" w:rsidR="001643EF" w:rsidRDefault="001643EF" w:rsidP="00C15139">
      <w:pPr>
        <w:spacing w:after="0"/>
        <w:rPr>
          <w:rFonts w:ascii="Verdana" w:hAnsi="Verdana"/>
          <w:lang w:val="es-MX"/>
        </w:rPr>
      </w:pPr>
    </w:p>
    <w:p w14:paraId="1468C46D" w14:textId="4C9009A2" w:rsidR="00C15139" w:rsidRPr="00542544" w:rsidRDefault="00E81C82" w:rsidP="00C15139">
      <w:pPr>
        <w:spacing w:after="0"/>
        <w:rPr>
          <w:rFonts w:ascii="Verdana" w:hAnsi="Verdana"/>
        </w:rPr>
      </w:pPr>
      <w:r w:rsidRPr="00E81C82">
        <w:rPr>
          <w:rFonts w:ascii="Verdana" w:eastAsia="Geomanist Light" w:hAnsi="Verdana" w:cs="Arial"/>
          <w:color w:val="000000" w:themeColor="text1"/>
          <w:lang w:val="es-MX"/>
        </w:rPr>
        <w:drawing>
          <wp:anchor distT="0" distB="0" distL="114300" distR="114300" simplePos="0" relativeHeight="251658240" behindDoc="1" locked="0" layoutInCell="1" allowOverlap="1" wp14:anchorId="7F24A4E0" wp14:editId="3C373AF5">
            <wp:simplePos x="0" y="0"/>
            <wp:positionH relativeFrom="column">
              <wp:posOffset>3257194</wp:posOffset>
            </wp:positionH>
            <wp:positionV relativeFrom="paragraph">
              <wp:posOffset>359156</wp:posOffset>
            </wp:positionV>
            <wp:extent cx="2574951" cy="814674"/>
            <wp:effectExtent l="0" t="0" r="0" b="5080"/>
            <wp:wrapNone/>
            <wp:docPr id="34182184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82184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74951" cy="814674"/>
                    </a:xfrm>
                    <a:prstGeom prst="rect">
                      <a:avLst/>
                    </a:prstGeom>
                  </pic:spPr>
                </pic:pic>
              </a:graphicData>
            </a:graphic>
            <wp14:sizeRelH relativeFrom="margin">
              <wp14:pctWidth>0</wp14:pctWidth>
            </wp14:sizeRelH>
            <wp14:sizeRelV relativeFrom="margin">
              <wp14:pctHeight>0</wp14:pctHeight>
            </wp14:sizeRelV>
          </wp:anchor>
        </w:drawing>
      </w:r>
      <w:r w:rsidR="00C15139" w:rsidRPr="00542544">
        <w:rPr>
          <w:rFonts w:ascii="Verdana" w:hAnsi="Verdana"/>
        </w:rPr>
        <w:t xml:space="preserve">Bogotá D.C., </w:t>
      </w:r>
      <w:r>
        <w:rPr>
          <w:rFonts w:ascii="Verdana" w:hAnsi="Verdana"/>
        </w:rPr>
        <w:t>25 de noviembre de 2025</w:t>
      </w:r>
      <w:r w:rsidR="00C15139" w:rsidRPr="00542544">
        <w:rPr>
          <w:rFonts w:ascii="Verdana" w:hAnsi="Verdana"/>
        </w:rPr>
        <w:br/>
      </w:r>
      <w:r w:rsidR="00C15139" w:rsidRPr="00542544">
        <w:rPr>
          <w:rFonts w:ascii="Verdana" w:hAnsi="Verdana"/>
        </w:rPr>
        <w:tab/>
      </w:r>
    </w:p>
    <w:p w14:paraId="4FF3FD18" w14:textId="4595B3BA" w:rsidR="007C5F7B" w:rsidRPr="00542544" w:rsidRDefault="007C5F7B" w:rsidP="007C5F7B">
      <w:pPr>
        <w:spacing w:after="0" w:line="240" w:lineRule="auto"/>
        <w:rPr>
          <w:rFonts w:ascii="Verdana" w:eastAsia="Geomanist Light" w:hAnsi="Verdana" w:cs="Arial"/>
          <w:color w:val="000000" w:themeColor="text1"/>
          <w:lang w:val="es-MX"/>
        </w:rPr>
      </w:pPr>
    </w:p>
    <w:p w14:paraId="0175DEE6" w14:textId="0A17AE15" w:rsidR="007C5F7B" w:rsidRPr="00542544" w:rsidRDefault="007C5F7B" w:rsidP="00542544">
      <w:pPr>
        <w:spacing w:after="0" w:line="240" w:lineRule="auto"/>
        <w:jc w:val="both"/>
        <w:rPr>
          <w:rFonts w:ascii="Verdana" w:eastAsia="Calibri" w:hAnsi="Verdana" w:cs="Arial"/>
          <w:lang w:val="es-ES" w:eastAsia="es-ES"/>
        </w:rPr>
      </w:pPr>
      <w:r w:rsidRPr="00542544">
        <w:rPr>
          <w:rFonts w:ascii="Verdana" w:eastAsia="Calibri" w:hAnsi="Verdana" w:cs="Arial"/>
          <w:lang w:val="es-ES" w:eastAsia="es-ES"/>
        </w:rPr>
        <w:t>Señor</w:t>
      </w:r>
    </w:p>
    <w:p w14:paraId="21F4D561" w14:textId="77777777" w:rsidR="007C5F7B" w:rsidRPr="00542544" w:rsidRDefault="007C5F7B" w:rsidP="00542544">
      <w:pPr>
        <w:spacing w:after="0" w:line="240" w:lineRule="auto"/>
        <w:rPr>
          <w:rFonts w:ascii="Verdana" w:eastAsia="Calibri" w:hAnsi="Verdana" w:cs="Arial"/>
          <w:b/>
          <w:lang w:eastAsia="es-ES_tradnl"/>
        </w:rPr>
      </w:pPr>
      <w:r w:rsidRPr="00542544">
        <w:rPr>
          <w:rFonts w:ascii="Verdana" w:eastAsia="Calibri" w:hAnsi="Verdana" w:cs="Arial"/>
          <w:b/>
          <w:lang w:eastAsia="es-ES_tradnl"/>
        </w:rPr>
        <w:t xml:space="preserve">MENGFEI WANG </w:t>
      </w:r>
    </w:p>
    <w:p w14:paraId="48AAAA14" w14:textId="77777777" w:rsidR="007C5F7B" w:rsidRPr="00542544" w:rsidRDefault="007C5F7B" w:rsidP="00542544">
      <w:pPr>
        <w:spacing w:after="0" w:line="240" w:lineRule="auto"/>
        <w:rPr>
          <w:rFonts w:ascii="Verdana" w:eastAsia="Calibri" w:hAnsi="Verdana" w:cs="Arial"/>
          <w:b/>
          <w:lang w:eastAsia="es-ES_tradnl"/>
        </w:rPr>
      </w:pPr>
      <w:hyperlink r:id="rId11" w:history="1">
        <w:r w:rsidRPr="00542544">
          <w:rPr>
            <w:rStyle w:val="Hipervnculo"/>
            <w:rFonts w:ascii="Verdana" w:eastAsia="Calibri" w:hAnsi="Verdana" w:cs="Arial"/>
            <w:b/>
            <w:lang w:eastAsia="es-ES_tradnl"/>
          </w:rPr>
          <w:t>mengfei.wang@silverstone-electric.com</w:t>
        </w:r>
      </w:hyperlink>
      <w:r w:rsidRPr="00542544">
        <w:rPr>
          <w:rFonts w:ascii="Verdana" w:eastAsia="Calibri" w:hAnsi="Verdana" w:cs="Arial"/>
          <w:b/>
          <w:lang w:eastAsia="es-ES_tradnl"/>
        </w:rPr>
        <w:t xml:space="preserve"> </w:t>
      </w:r>
    </w:p>
    <w:p w14:paraId="564B9D50" w14:textId="77777777" w:rsidR="007C5F7B" w:rsidRPr="00542544" w:rsidRDefault="007C5F7B" w:rsidP="00542544">
      <w:pPr>
        <w:spacing w:after="0" w:line="240" w:lineRule="auto"/>
        <w:rPr>
          <w:rFonts w:ascii="Verdana" w:eastAsia="Calibri" w:hAnsi="Verdana" w:cs="Arial"/>
          <w:lang w:val="pt-PT" w:eastAsia="es-ES"/>
        </w:rPr>
      </w:pPr>
      <w:r w:rsidRPr="00542544">
        <w:rPr>
          <w:rFonts w:ascii="Verdana" w:eastAsia="Calibri" w:hAnsi="Verdana" w:cs="Arial"/>
          <w:lang w:val="pt-PT" w:eastAsia="es-ES"/>
        </w:rPr>
        <w:t>Bogotá, D.C.</w:t>
      </w:r>
    </w:p>
    <w:p w14:paraId="2DDEF8B4" w14:textId="77777777" w:rsidR="007C5F7B" w:rsidRPr="00542544" w:rsidRDefault="007C5F7B" w:rsidP="00542544">
      <w:pPr>
        <w:spacing w:after="0" w:line="240" w:lineRule="auto"/>
        <w:rPr>
          <w:rFonts w:ascii="Verdana" w:eastAsia="Calibri" w:hAnsi="Verdana" w:cs="Arial"/>
          <w:lang w:val="pt-PT" w:eastAsia="es-ES"/>
        </w:rPr>
      </w:pPr>
    </w:p>
    <w:p w14:paraId="37FA2201" w14:textId="77777777" w:rsidR="005726A5" w:rsidRDefault="005726A5">
      <w:pPr>
        <w:spacing w:after="0" w:line="240" w:lineRule="auto"/>
        <w:ind w:left="4248"/>
        <w:rPr>
          <w:rFonts w:ascii="Verdana" w:eastAsia="Calibri" w:hAnsi="Verdana" w:cs="Arial"/>
          <w:b/>
          <w:bCs/>
          <w:lang w:val="es-ES" w:eastAsia="es-ES"/>
        </w:rPr>
      </w:pPr>
    </w:p>
    <w:p w14:paraId="5DF7E7C8" w14:textId="34478D07" w:rsidR="007C5F7B" w:rsidRDefault="007037F3">
      <w:pPr>
        <w:spacing w:after="0" w:line="240" w:lineRule="auto"/>
        <w:ind w:left="4248"/>
        <w:rPr>
          <w:rFonts w:ascii="Verdana" w:eastAsia="Calibri" w:hAnsi="Verdana" w:cs="Arial"/>
          <w:b/>
          <w:bCs/>
          <w:lang w:val="es-ES" w:eastAsia="es-ES"/>
        </w:rPr>
      </w:pPr>
      <w:r w:rsidRPr="00542544">
        <w:rPr>
          <w:rFonts w:ascii="Verdana" w:eastAsia="Calibri" w:hAnsi="Verdana" w:cs="Arial"/>
          <w:b/>
          <w:bCs/>
          <w:lang w:val="es-ES" w:eastAsia="es-ES"/>
        </w:rPr>
        <w:t>Concepto C</w:t>
      </w:r>
      <w:r w:rsidR="007C5F7B" w:rsidRPr="00542544">
        <w:rPr>
          <w:rFonts w:ascii="Verdana" w:eastAsia="Calibri" w:hAnsi="Verdana" w:cs="Arial"/>
          <w:b/>
          <w:bCs/>
          <w:lang w:val="es-ES" w:eastAsia="es-ES"/>
        </w:rPr>
        <w:t>-</w:t>
      </w:r>
      <w:r w:rsidR="00AB6320" w:rsidRPr="00542544">
        <w:rPr>
          <w:rFonts w:ascii="Verdana" w:eastAsia="Calibri" w:hAnsi="Verdana" w:cs="Arial"/>
          <w:b/>
          <w:bCs/>
          <w:lang w:val="es-ES" w:eastAsia="es-ES"/>
        </w:rPr>
        <w:t>1506</w:t>
      </w:r>
      <w:r w:rsidR="007C5F7B" w:rsidRPr="00542544">
        <w:rPr>
          <w:rFonts w:ascii="Verdana" w:eastAsia="Calibri" w:hAnsi="Verdana" w:cs="Arial"/>
          <w:b/>
          <w:bCs/>
          <w:lang w:val="es-ES" w:eastAsia="es-ES"/>
        </w:rPr>
        <w:t xml:space="preserve"> de 2025</w:t>
      </w:r>
    </w:p>
    <w:p w14:paraId="795CE6DC" w14:textId="77777777" w:rsidR="00D92AED" w:rsidRPr="00542544" w:rsidRDefault="00D92AED">
      <w:pPr>
        <w:spacing w:after="0" w:line="240" w:lineRule="auto"/>
        <w:ind w:left="4248"/>
        <w:rPr>
          <w:rFonts w:ascii="Verdana" w:eastAsia="Calibri" w:hAnsi="Verdana" w:cs="Arial"/>
          <w:b/>
          <w:bCs/>
          <w:lang w:val="pt-PT" w:eastAsia="es-ES"/>
        </w:rPr>
      </w:pPr>
    </w:p>
    <w:p w14:paraId="0A83CE0F" w14:textId="77777777" w:rsidR="007C5F7B" w:rsidRPr="00542544" w:rsidRDefault="007C5F7B">
      <w:pPr>
        <w:spacing w:after="0" w:line="240" w:lineRule="auto"/>
        <w:rPr>
          <w:rFonts w:ascii="Verdana" w:eastAsia="Calibri" w:hAnsi="Verdana" w:cs="Arial"/>
          <w:b/>
          <w:bCs/>
          <w:lang w:val="pt-PT" w:eastAsia="es-ES_tradnl"/>
        </w:rPr>
      </w:pPr>
    </w:p>
    <w:tbl>
      <w:tblPr>
        <w:tblStyle w:val="Tablaconcuadrcula"/>
        <w:tblW w:w="9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36"/>
        <w:gridCol w:w="6652"/>
      </w:tblGrid>
      <w:tr w:rsidR="007C5F7B" w:rsidRPr="00542544" w14:paraId="475FC8AC" w14:textId="77777777" w:rsidTr="000236A5">
        <w:trPr>
          <w:trHeight w:val="987"/>
        </w:trPr>
        <w:tc>
          <w:tcPr>
            <w:tcW w:w="2436" w:type="dxa"/>
          </w:tcPr>
          <w:p w14:paraId="7D84C639" w14:textId="77777777" w:rsidR="007C5F7B" w:rsidRPr="00542544" w:rsidRDefault="007C5F7B">
            <w:pPr>
              <w:jc w:val="both"/>
              <w:rPr>
                <w:rFonts w:ascii="Verdana" w:eastAsia="Calibri" w:hAnsi="Verdana" w:cs="Arial"/>
                <w:lang w:val="es-ES_tradnl" w:eastAsia="es-ES_tradnl"/>
              </w:rPr>
            </w:pPr>
            <w:r w:rsidRPr="00542544">
              <w:rPr>
                <w:rFonts w:ascii="Verdana" w:eastAsia="Calibri" w:hAnsi="Verdana" w:cs="Arial"/>
                <w:b/>
                <w:lang w:val="es-ES_tradnl" w:eastAsia="es-ES_tradnl"/>
              </w:rPr>
              <w:t>Temas:</w:t>
            </w:r>
            <w:r w:rsidRPr="00542544">
              <w:rPr>
                <w:rFonts w:ascii="Verdana" w:eastAsia="Calibri" w:hAnsi="Verdana" w:cs="Arial"/>
                <w:lang w:val="es-ES_tradnl" w:eastAsia="es-ES_tradnl"/>
              </w:rPr>
              <w:t xml:space="preserve">                   </w:t>
            </w:r>
          </w:p>
        </w:tc>
        <w:tc>
          <w:tcPr>
            <w:tcW w:w="6652" w:type="dxa"/>
          </w:tcPr>
          <w:p w14:paraId="69B5826C" w14:textId="77777777" w:rsidR="007C5F7B" w:rsidRPr="00542544" w:rsidRDefault="007C5F7B">
            <w:pPr>
              <w:jc w:val="both"/>
              <w:rPr>
                <w:rFonts w:ascii="Verdana" w:eastAsia="Times New Roman" w:hAnsi="Verdana" w:cs="Arial"/>
                <w:lang w:val="es-ES" w:eastAsia="es-ES_tradnl"/>
              </w:rPr>
            </w:pPr>
            <w:r w:rsidRPr="00542544">
              <w:rPr>
                <w:rFonts w:ascii="Verdana" w:eastAsia="Times New Roman" w:hAnsi="Verdana" w:cs="Arial"/>
                <w:lang w:val="es-ES" w:eastAsia="es-ES_tradnl"/>
              </w:rPr>
              <w:t>PROPONENTES EXTRANJEROS – Registro RUP – Obligatoriedad en procesos sometidos a EGCAP – No exigible en procedimientos de régimen especial / ADJUDICATARIOS EXTRANJEROS – Requisitos para celebrar contratos - Sociedades extranjeras con negocio permanente en el país – Obligación de constituir sucursal / PROPONENTE PLURAL ‒ Consorcio ‒ Unión temporal ‒ Concepto – Posibilidad de integración – Diferencias</w:t>
            </w:r>
          </w:p>
          <w:p w14:paraId="7359640A" w14:textId="77777777" w:rsidR="007C5F7B" w:rsidRPr="00542544" w:rsidRDefault="007C5F7B">
            <w:pPr>
              <w:jc w:val="both"/>
              <w:rPr>
                <w:rFonts w:ascii="Verdana" w:eastAsia="Calibri" w:hAnsi="Verdana" w:cs="Arial"/>
                <w:lang w:val="es-ES" w:eastAsia="es-ES"/>
              </w:rPr>
            </w:pPr>
          </w:p>
        </w:tc>
      </w:tr>
      <w:tr w:rsidR="007C5F7B" w:rsidRPr="00542544" w14:paraId="2B0FB45A" w14:textId="77777777" w:rsidTr="000236A5">
        <w:trPr>
          <w:trHeight w:val="603"/>
        </w:trPr>
        <w:tc>
          <w:tcPr>
            <w:tcW w:w="2436" w:type="dxa"/>
          </w:tcPr>
          <w:p w14:paraId="40A23DD5" w14:textId="77777777" w:rsidR="007C5F7B" w:rsidRPr="00542544" w:rsidRDefault="007C5F7B" w:rsidP="00542544">
            <w:pPr>
              <w:jc w:val="both"/>
              <w:rPr>
                <w:rFonts w:ascii="Verdana" w:eastAsia="Calibri" w:hAnsi="Verdana" w:cs="Arial"/>
                <w:b/>
                <w:lang w:val="es-ES_tradnl" w:eastAsia="es-ES_tradnl"/>
              </w:rPr>
            </w:pPr>
            <w:r w:rsidRPr="00542544">
              <w:rPr>
                <w:rFonts w:ascii="Verdana" w:eastAsia="Calibri" w:hAnsi="Verdana" w:cs="Arial"/>
                <w:b/>
                <w:lang w:val="es-ES_tradnl" w:eastAsia="es-ES_tradnl"/>
              </w:rPr>
              <w:t>Radicación:</w:t>
            </w:r>
            <w:r w:rsidRPr="00542544">
              <w:rPr>
                <w:rFonts w:ascii="Verdana" w:eastAsia="Calibri" w:hAnsi="Verdana" w:cs="Arial"/>
                <w:lang w:val="es-ES_tradnl" w:eastAsia="es-ES_tradnl"/>
              </w:rPr>
              <w:t xml:space="preserve">               </w:t>
            </w:r>
          </w:p>
        </w:tc>
        <w:tc>
          <w:tcPr>
            <w:tcW w:w="6652" w:type="dxa"/>
          </w:tcPr>
          <w:p w14:paraId="2B2AFBEE" w14:textId="77777777" w:rsidR="007C5F7B" w:rsidRPr="00542544" w:rsidRDefault="007C5F7B" w:rsidP="00542544">
            <w:pPr>
              <w:jc w:val="both"/>
              <w:rPr>
                <w:rFonts w:ascii="Verdana" w:eastAsia="Calibri" w:hAnsi="Verdana" w:cs="Arial"/>
                <w:lang w:val="es-ES_tradnl" w:eastAsia="es-ES_tradnl"/>
              </w:rPr>
            </w:pPr>
            <w:r w:rsidRPr="00542544">
              <w:rPr>
                <w:rFonts w:ascii="Verdana" w:eastAsia="Calibri" w:hAnsi="Verdana" w:cs="Arial"/>
                <w:lang w:val="es-ES_tradnl" w:eastAsia="es-ES_tradnl"/>
              </w:rPr>
              <w:t>Respuesta a consulta con radicado Nro. 1_2025_10_15_011557</w:t>
            </w:r>
          </w:p>
        </w:tc>
      </w:tr>
    </w:tbl>
    <w:p w14:paraId="1486A0D6" w14:textId="77777777" w:rsidR="007C5F7B" w:rsidRPr="00542544" w:rsidRDefault="007C5F7B" w:rsidP="00542544">
      <w:pPr>
        <w:spacing w:after="0" w:line="240" w:lineRule="auto"/>
        <w:jc w:val="both"/>
        <w:rPr>
          <w:rFonts w:ascii="Verdana" w:eastAsia="Calibri" w:hAnsi="Verdana" w:cs="Arial"/>
          <w:lang w:val="es-ES_tradnl" w:eastAsia="es-ES_tradnl"/>
        </w:rPr>
      </w:pPr>
    </w:p>
    <w:p w14:paraId="0BD4F7CE" w14:textId="20B9826E" w:rsidR="007C5F7B" w:rsidRPr="00542544" w:rsidRDefault="007C5F7B" w:rsidP="007C5F7B">
      <w:pPr>
        <w:spacing w:after="0" w:line="276" w:lineRule="auto"/>
        <w:jc w:val="both"/>
        <w:rPr>
          <w:rFonts w:ascii="Verdana" w:eastAsia="Calibri" w:hAnsi="Verdana" w:cs="Arial"/>
          <w:lang w:val="es-ES" w:eastAsia="es-ES"/>
        </w:rPr>
      </w:pPr>
      <w:r w:rsidRPr="00542544">
        <w:rPr>
          <w:rFonts w:ascii="Verdana" w:eastAsia="Calibri" w:hAnsi="Verdana" w:cs="Arial"/>
          <w:lang w:val="es-ES" w:eastAsia="es-ES"/>
        </w:rPr>
        <w:t xml:space="preserve">Estimado señor </w:t>
      </w:r>
      <w:proofErr w:type="spellStart"/>
      <w:r w:rsidRPr="00542544">
        <w:rPr>
          <w:rFonts w:ascii="Verdana" w:eastAsia="Calibri" w:hAnsi="Verdana" w:cs="Arial"/>
          <w:lang w:val="es-ES" w:eastAsia="es-ES"/>
        </w:rPr>
        <w:t>Mengfei</w:t>
      </w:r>
      <w:proofErr w:type="spellEnd"/>
      <w:r w:rsidRPr="00542544">
        <w:rPr>
          <w:rFonts w:ascii="Verdana" w:eastAsia="Calibri" w:hAnsi="Verdana" w:cs="Arial"/>
          <w:lang w:val="es-ES" w:eastAsia="es-ES"/>
        </w:rPr>
        <w:t xml:space="preserve"> Wang: </w:t>
      </w:r>
    </w:p>
    <w:p w14:paraId="043346F2" w14:textId="77777777" w:rsidR="007C5F7B" w:rsidRPr="00542544" w:rsidRDefault="007C5F7B" w:rsidP="007C5F7B">
      <w:pPr>
        <w:tabs>
          <w:tab w:val="left" w:pos="3768"/>
        </w:tabs>
        <w:spacing w:after="0" w:line="276" w:lineRule="auto"/>
        <w:jc w:val="both"/>
        <w:rPr>
          <w:rFonts w:ascii="Verdana" w:eastAsia="Calibri" w:hAnsi="Verdana" w:cs="Arial"/>
          <w:lang w:val="es-ES" w:eastAsia="es-ES"/>
        </w:rPr>
      </w:pPr>
      <w:r w:rsidRPr="00542544">
        <w:rPr>
          <w:rFonts w:ascii="Verdana" w:eastAsia="Calibri" w:hAnsi="Verdana" w:cs="Arial"/>
          <w:lang w:val="es-ES" w:eastAsia="es-ES"/>
        </w:rPr>
        <w:tab/>
      </w:r>
    </w:p>
    <w:p w14:paraId="3E3572BA" w14:textId="3D82C063" w:rsidR="007C5F7B" w:rsidRPr="00542544" w:rsidRDefault="00EE5528" w:rsidP="007C5F7B">
      <w:pPr>
        <w:spacing w:after="120" w:line="276" w:lineRule="auto"/>
        <w:jc w:val="both"/>
        <w:rPr>
          <w:rFonts w:ascii="Verdana" w:eastAsia="Century Gothic" w:hAnsi="Verdana" w:cs="Century Gothic"/>
          <w:i/>
          <w:iCs/>
          <w:lang w:val="es-ES"/>
        </w:rPr>
      </w:pPr>
      <w:r w:rsidRPr="00EE5528">
        <w:rPr>
          <w:rFonts w:ascii="Verdana" w:eastAsia="Calibri" w:hAnsi="Verdana" w:cs="Arial"/>
          <w:lang w:val="es-ES" w:eastAsia="es-ES"/>
        </w:rPr>
        <w:t xml:space="preserve">En ejercicio de la competencia otorgada por los artículos 3, numeral 5º, y 11, numeral 8º, del Decreto Ley 4170 de 2011, así como lo establecido en el artículo 4 de la Resolución 469 de 2025 expedida por esta Entidad, la Agencia Nacional de Contratación Pública – Colombia Compra Eficiente responde su solicitud </w:t>
      </w:r>
      <w:proofErr w:type="gramStart"/>
      <w:r w:rsidRPr="00EE5528">
        <w:rPr>
          <w:rFonts w:ascii="Verdana" w:eastAsia="Calibri" w:hAnsi="Verdana" w:cs="Arial"/>
          <w:lang w:val="es-ES" w:eastAsia="es-ES"/>
        </w:rPr>
        <w:t xml:space="preserve">de </w:t>
      </w:r>
      <w:r w:rsidR="007C5F7B" w:rsidRPr="00542544">
        <w:rPr>
          <w:rFonts w:ascii="Verdana" w:eastAsia="Calibri" w:hAnsi="Verdana" w:cs="Arial"/>
          <w:lang w:val="es-ES" w:eastAsia="es-ES"/>
        </w:rPr>
        <w:t xml:space="preserve"> consulta</w:t>
      </w:r>
      <w:proofErr w:type="gramEnd"/>
      <w:r w:rsidR="007C5F7B" w:rsidRPr="00542544">
        <w:rPr>
          <w:rFonts w:ascii="Verdana" w:eastAsia="Calibri" w:hAnsi="Verdana" w:cs="Arial"/>
          <w:lang w:val="es-ES" w:eastAsia="es-ES"/>
        </w:rPr>
        <w:t xml:space="preserve"> de fecha 15 de octubre de 2025, en la cual manifiesta lo siguiente: </w:t>
      </w:r>
    </w:p>
    <w:p w14:paraId="57EB8A7D" w14:textId="77777777" w:rsidR="004C00E1" w:rsidRDefault="007C5F7B" w:rsidP="007037F3">
      <w:pPr>
        <w:spacing w:after="0" w:line="240" w:lineRule="auto"/>
        <w:ind w:left="709" w:right="709"/>
        <w:jc w:val="both"/>
        <w:rPr>
          <w:rFonts w:ascii="Verdana" w:eastAsia="Century Gothic" w:hAnsi="Verdana" w:cs="Century Gothic"/>
          <w:i/>
          <w:iCs/>
          <w:sz w:val="20"/>
          <w:szCs w:val="20"/>
        </w:rPr>
      </w:pPr>
      <w:r w:rsidRPr="007037F3">
        <w:rPr>
          <w:rFonts w:ascii="Verdana" w:eastAsia="Century Gothic" w:hAnsi="Verdana" w:cs="Century Gothic"/>
          <w:i/>
          <w:iCs/>
          <w:sz w:val="20"/>
          <w:szCs w:val="20"/>
        </w:rPr>
        <w:t xml:space="preserve">“[…] </w:t>
      </w:r>
    </w:p>
    <w:p w14:paraId="484F09B6" w14:textId="77777777" w:rsidR="00D92AED" w:rsidRPr="007037F3" w:rsidRDefault="00D92AED" w:rsidP="007037F3">
      <w:pPr>
        <w:spacing w:after="0" w:line="240" w:lineRule="auto"/>
        <w:ind w:left="709" w:right="709"/>
        <w:jc w:val="both"/>
        <w:rPr>
          <w:rFonts w:ascii="Verdana" w:eastAsia="Century Gothic" w:hAnsi="Verdana" w:cs="Century Gothic"/>
          <w:i/>
          <w:iCs/>
          <w:sz w:val="20"/>
          <w:szCs w:val="20"/>
        </w:rPr>
      </w:pPr>
    </w:p>
    <w:p w14:paraId="237F27FB" w14:textId="111CADC5" w:rsidR="007C5F7B" w:rsidRDefault="007C5F7B" w:rsidP="00542544">
      <w:pPr>
        <w:spacing w:after="0" w:line="240" w:lineRule="auto"/>
        <w:ind w:left="709" w:right="709"/>
        <w:jc w:val="both"/>
        <w:rPr>
          <w:rFonts w:ascii="Verdana" w:hAnsi="Verdana"/>
          <w:sz w:val="20"/>
          <w:szCs w:val="20"/>
          <w:lang w:val="es-MX"/>
        </w:rPr>
      </w:pPr>
      <w:r w:rsidRPr="007037F3">
        <w:rPr>
          <w:rFonts w:ascii="Verdana" w:hAnsi="Verdana"/>
          <w:sz w:val="20"/>
          <w:szCs w:val="20"/>
          <w:lang w:val="es-MX"/>
        </w:rPr>
        <w:t>Somos una empresa China que no tiene ni sucursal constituida en Colombia y deseamos participar en futuras licitaciones públicas en su país por ello le escribimos para consultar si el siguiente plan sería válido;</w:t>
      </w:r>
    </w:p>
    <w:p w14:paraId="14431857" w14:textId="77777777" w:rsidR="00542544" w:rsidRPr="007037F3" w:rsidRDefault="00542544" w:rsidP="007037F3">
      <w:pPr>
        <w:spacing w:after="0" w:line="240" w:lineRule="auto"/>
        <w:ind w:left="709" w:right="709"/>
        <w:jc w:val="both"/>
        <w:rPr>
          <w:rFonts w:ascii="Verdana" w:hAnsi="Verdana"/>
          <w:sz w:val="20"/>
          <w:szCs w:val="20"/>
          <w:lang w:val="es-MX"/>
        </w:rPr>
      </w:pPr>
    </w:p>
    <w:p w14:paraId="602D9CED" w14:textId="6D0976CD" w:rsidR="007C5F7B" w:rsidRDefault="007C5F7B" w:rsidP="00542544">
      <w:pPr>
        <w:spacing w:after="0" w:line="240" w:lineRule="auto"/>
        <w:ind w:left="709" w:right="709"/>
        <w:jc w:val="both"/>
        <w:rPr>
          <w:rFonts w:ascii="Verdana" w:hAnsi="Verdana"/>
          <w:sz w:val="20"/>
          <w:szCs w:val="20"/>
          <w:lang w:val="es-MX"/>
        </w:rPr>
      </w:pPr>
      <w:r w:rsidRPr="007037F3">
        <w:rPr>
          <w:rFonts w:ascii="Verdana" w:hAnsi="Verdana"/>
          <w:sz w:val="20"/>
          <w:szCs w:val="20"/>
          <w:lang w:val="es-MX"/>
        </w:rPr>
        <w:t xml:space="preserve">1. Una empresa con RUT vigente actuaría como nuestro representante local o agente de licitación presentaríamos la oferta utilizando el NIT de dicha empresa colombiana pero el nombre del licitante figuraría como nuestra empresa China en caso de resultar adjudicatarios el cliente emitiría la carta de crédito a nombre de nuestra empresa China el punto </w:t>
      </w:r>
      <w:r w:rsidRPr="007037F3">
        <w:rPr>
          <w:rFonts w:ascii="Verdana" w:hAnsi="Verdana"/>
          <w:sz w:val="20"/>
          <w:szCs w:val="20"/>
          <w:lang w:val="es-MX"/>
        </w:rPr>
        <w:lastRenderedPageBreak/>
        <w:t>clave es que esperamos que la entidad ofertante sea nuestra entidad China.</w:t>
      </w:r>
    </w:p>
    <w:p w14:paraId="1F1F9554" w14:textId="77777777" w:rsidR="00542544" w:rsidRPr="007037F3" w:rsidRDefault="00542544" w:rsidP="007037F3">
      <w:pPr>
        <w:spacing w:after="0" w:line="240" w:lineRule="auto"/>
        <w:ind w:left="709" w:right="709"/>
        <w:jc w:val="both"/>
        <w:rPr>
          <w:rFonts w:ascii="Verdana" w:hAnsi="Verdana"/>
          <w:sz w:val="20"/>
          <w:szCs w:val="20"/>
          <w:lang w:val="es-MX"/>
        </w:rPr>
      </w:pPr>
    </w:p>
    <w:p w14:paraId="50EA1AA5" w14:textId="77777777" w:rsidR="007C5F7B" w:rsidRPr="007037F3" w:rsidRDefault="007C5F7B" w:rsidP="007037F3">
      <w:pPr>
        <w:spacing w:after="0" w:line="240" w:lineRule="auto"/>
        <w:ind w:left="709" w:right="709"/>
        <w:jc w:val="both"/>
        <w:rPr>
          <w:rFonts w:ascii="Verdana" w:hAnsi="Verdana"/>
          <w:sz w:val="20"/>
          <w:szCs w:val="20"/>
        </w:rPr>
      </w:pPr>
      <w:r w:rsidRPr="007037F3">
        <w:rPr>
          <w:rFonts w:ascii="Verdana" w:hAnsi="Verdana"/>
          <w:sz w:val="20"/>
          <w:szCs w:val="20"/>
          <w:lang w:val="es-MX"/>
        </w:rPr>
        <w:t>2. Si la solución anterior no es viable sólo podremos ser oferentes si registramos una sucursal en Colombia. Aclaramos que no existe relación jurídica de subordinación entre la empresa colombiana propuesta y nuestra compañía.</w:t>
      </w:r>
    </w:p>
    <w:p w14:paraId="28D4781B" w14:textId="77777777" w:rsidR="00542544" w:rsidRDefault="00542544" w:rsidP="00542544">
      <w:pPr>
        <w:spacing w:after="0" w:line="240" w:lineRule="auto"/>
        <w:ind w:left="709" w:right="709"/>
        <w:jc w:val="both"/>
        <w:rPr>
          <w:rFonts w:ascii="Verdana" w:eastAsia="Century Gothic" w:hAnsi="Verdana" w:cs="Century Gothic"/>
          <w:i/>
          <w:iCs/>
          <w:sz w:val="20"/>
          <w:szCs w:val="20"/>
        </w:rPr>
      </w:pPr>
    </w:p>
    <w:p w14:paraId="400D1105" w14:textId="07CD744E" w:rsidR="007C5F7B" w:rsidRPr="007037F3" w:rsidRDefault="007C5F7B" w:rsidP="007037F3">
      <w:pPr>
        <w:spacing w:after="0" w:line="240" w:lineRule="auto"/>
        <w:ind w:left="709" w:right="709"/>
        <w:jc w:val="both"/>
        <w:rPr>
          <w:rFonts w:ascii="Verdana" w:eastAsia="Century Gothic" w:hAnsi="Verdana" w:cs="Century Gothic"/>
          <w:i/>
          <w:iCs/>
          <w:sz w:val="20"/>
          <w:szCs w:val="20"/>
        </w:rPr>
      </w:pPr>
      <w:r w:rsidRPr="007037F3">
        <w:rPr>
          <w:rFonts w:ascii="Verdana" w:eastAsia="Century Gothic" w:hAnsi="Verdana" w:cs="Century Gothic"/>
          <w:i/>
          <w:iCs/>
          <w:sz w:val="20"/>
          <w:szCs w:val="20"/>
        </w:rPr>
        <w:t>[…]” (sic)</w:t>
      </w:r>
    </w:p>
    <w:p w14:paraId="5052C7EE" w14:textId="77777777" w:rsidR="007C5F7B" w:rsidRPr="00542544" w:rsidRDefault="007C5F7B" w:rsidP="007C5F7B">
      <w:pPr>
        <w:spacing w:after="0" w:line="276" w:lineRule="auto"/>
        <w:ind w:left="709" w:right="758"/>
        <w:jc w:val="both"/>
        <w:rPr>
          <w:rFonts w:ascii="Verdana" w:eastAsia="Century Gothic" w:hAnsi="Verdana" w:cs="Century Gothic"/>
          <w:i/>
          <w:iCs/>
          <w:sz w:val="21"/>
          <w:szCs w:val="21"/>
          <w:lang w:val="es-ES"/>
        </w:rPr>
      </w:pPr>
    </w:p>
    <w:p w14:paraId="12CCCA82" w14:textId="77777777" w:rsidR="007C5F7B" w:rsidRPr="00542544" w:rsidRDefault="007C5F7B" w:rsidP="007C5F7B">
      <w:pPr>
        <w:spacing w:after="120" w:line="276" w:lineRule="auto"/>
        <w:ind w:firstLine="709"/>
        <w:jc w:val="both"/>
        <w:rPr>
          <w:rFonts w:ascii="Verdana" w:eastAsia="Calibri" w:hAnsi="Verdana" w:cs="Arial"/>
          <w:szCs w:val="24"/>
          <w:lang w:val="es-ES_tradnl" w:eastAsia="es-ES_tradnl"/>
        </w:rPr>
      </w:pPr>
      <w:r w:rsidRPr="00542544">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w:t>
      </w:r>
      <w:r w:rsidRPr="00964AB2">
        <w:rPr>
          <w:rFonts w:ascii="Verdana" w:eastAsia="Calibri" w:hAnsi="Verdana" w:cs="Arial"/>
          <w:lang w:val="es-ES" w:eastAsia="es-ES"/>
        </w:rPr>
        <w:t xml:space="preserve">orda las atribuciones asignadas por el legislador extraordinario, que no concibió a Colombia Compra Eficiente como una autoridad para solucionar problemas jurídicos particulares de todos los partícipes del sistema de compra pública. La competencia de esta </w:t>
      </w:r>
      <w:r w:rsidRPr="00542544">
        <w:rPr>
          <w:rFonts w:ascii="Verdana" w:eastAsia="Calibri" w:hAnsi="Verdana" w:cs="Arial"/>
          <w:lang w:val="es-ES" w:eastAsia="es-ES"/>
        </w:rPr>
        <w:t xml:space="preserve">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42544">
        <w:rPr>
          <w:rFonts w:ascii="Verdana" w:eastAsia="Calibri" w:hAnsi="Verdana" w:cs="Arial"/>
          <w:szCs w:val="24"/>
          <w:lang w:val="es-ES_tradnl" w:eastAsia="es-ES_tradnl"/>
        </w:rPr>
        <w:tab/>
      </w:r>
    </w:p>
    <w:p w14:paraId="558196EC" w14:textId="6FF38C9B" w:rsidR="007C5F7B" w:rsidRPr="00542544" w:rsidRDefault="007C5F7B" w:rsidP="007C5F7B">
      <w:pPr>
        <w:spacing w:after="0" w:line="276" w:lineRule="auto"/>
        <w:ind w:firstLine="709"/>
        <w:jc w:val="both"/>
        <w:rPr>
          <w:rFonts w:ascii="Verdana" w:eastAsia="Calibri" w:hAnsi="Verdana" w:cs="Arial"/>
          <w:lang w:val="es-ES" w:eastAsia="es-ES"/>
        </w:rPr>
      </w:pPr>
      <w:r w:rsidRPr="00542544">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l</w:t>
      </w:r>
      <w:r w:rsidR="00542544">
        <w:rPr>
          <w:rFonts w:ascii="Verdana" w:eastAsia="Calibri" w:hAnsi="Verdana" w:cs="Arial"/>
          <w:lang w:val="es-ES" w:eastAsia="es-ES"/>
        </w:rPr>
        <w:t>os</w:t>
      </w:r>
      <w:r w:rsidRPr="00542544">
        <w:rPr>
          <w:rFonts w:ascii="Verdana" w:eastAsia="Calibri" w:hAnsi="Verdana" w:cs="Arial"/>
          <w:lang w:val="es-ES" w:eastAsia="es-ES"/>
        </w:rPr>
        <w:t xml:space="preserve"> problema</w:t>
      </w:r>
      <w:r w:rsidR="00542544">
        <w:rPr>
          <w:rFonts w:ascii="Verdana" w:eastAsia="Calibri" w:hAnsi="Verdana" w:cs="Arial"/>
          <w:lang w:val="es-ES" w:eastAsia="es-ES"/>
        </w:rPr>
        <w:t>s</w:t>
      </w:r>
      <w:r w:rsidRPr="00542544">
        <w:rPr>
          <w:rFonts w:ascii="Verdana" w:eastAsia="Calibri" w:hAnsi="Verdana" w:cs="Arial"/>
          <w:lang w:val="es-ES" w:eastAsia="es-ES"/>
        </w:rPr>
        <w:t xml:space="preserve"> jurídico</w:t>
      </w:r>
      <w:r w:rsidR="00542544">
        <w:rPr>
          <w:rFonts w:ascii="Verdana" w:eastAsia="Calibri" w:hAnsi="Verdana" w:cs="Arial"/>
          <w:lang w:val="es-ES" w:eastAsia="es-ES"/>
        </w:rPr>
        <w:t>s</w:t>
      </w:r>
      <w:r w:rsidRPr="00542544">
        <w:rPr>
          <w:rFonts w:ascii="Verdana" w:eastAsia="Calibri" w:hAnsi="Verdana" w:cs="Arial"/>
          <w:lang w:val="es-ES" w:eastAsia="es-ES"/>
        </w:rPr>
        <w:t xml:space="preserve"> de su consulta. </w:t>
      </w:r>
    </w:p>
    <w:p w14:paraId="6787B054" w14:textId="77777777" w:rsidR="007C5F7B" w:rsidRPr="00964AB2" w:rsidRDefault="007C5F7B" w:rsidP="007C5F7B">
      <w:pPr>
        <w:spacing w:after="0" w:line="276" w:lineRule="auto"/>
        <w:ind w:firstLine="709"/>
        <w:jc w:val="both"/>
        <w:rPr>
          <w:rFonts w:ascii="Verdana" w:eastAsia="Calibri" w:hAnsi="Verdana" w:cs="Arial"/>
          <w:lang w:val="es-ES" w:eastAsia="es-ES"/>
        </w:rPr>
      </w:pPr>
    </w:p>
    <w:p w14:paraId="5B846320" w14:textId="77777777" w:rsidR="007C5F7B" w:rsidRPr="00542544" w:rsidRDefault="007C5F7B" w:rsidP="007C5F7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42544">
        <w:rPr>
          <w:rFonts w:ascii="Verdana" w:eastAsia="Century Gothic" w:hAnsi="Verdana" w:cs="Century Gothic"/>
          <w:b/>
          <w:bCs/>
        </w:rPr>
        <w:t>Problema planteado:</w:t>
      </w:r>
    </w:p>
    <w:p w14:paraId="00DBAFF3" w14:textId="77777777" w:rsidR="007C5F7B" w:rsidRPr="00542544" w:rsidRDefault="007C5F7B" w:rsidP="007C5F7B">
      <w:pPr>
        <w:tabs>
          <w:tab w:val="left" w:pos="426"/>
        </w:tabs>
        <w:spacing w:after="0" w:line="276" w:lineRule="auto"/>
        <w:jc w:val="both"/>
        <w:rPr>
          <w:rFonts w:ascii="Verdana" w:eastAsia="Century Gothic" w:hAnsi="Verdana" w:cs="Century Gothic"/>
          <w:lang w:val="es-ES"/>
        </w:rPr>
      </w:pPr>
    </w:p>
    <w:p w14:paraId="06F9B148" w14:textId="7D193856" w:rsidR="007C5F7B" w:rsidRPr="00542544" w:rsidRDefault="007C5F7B" w:rsidP="007C5F7B">
      <w:pPr>
        <w:spacing w:after="0" w:line="276" w:lineRule="auto"/>
        <w:jc w:val="both"/>
        <w:rPr>
          <w:rFonts w:ascii="Verdana" w:eastAsia="Century Gothic" w:hAnsi="Verdana" w:cs="Century Gothic"/>
        </w:rPr>
      </w:pPr>
      <w:r w:rsidRPr="00542544">
        <w:rPr>
          <w:rFonts w:ascii="Verdana" w:eastAsia="Century Gothic" w:hAnsi="Verdana" w:cs="Century Gothic"/>
        </w:rPr>
        <w:t>De acuerdo con el contenido de su solicitud, esta Agencia resolverá l</w:t>
      </w:r>
      <w:r w:rsidR="00542544">
        <w:rPr>
          <w:rFonts w:ascii="Verdana" w:eastAsia="Century Gothic" w:hAnsi="Verdana" w:cs="Century Gothic"/>
        </w:rPr>
        <w:t>os</w:t>
      </w:r>
      <w:r w:rsidRPr="00542544">
        <w:rPr>
          <w:rFonts w:ascii="Verdana" w:eastAsia="Century Gothic" w:hAnsi="Verdana" w:cs="Century Gothic"/>
        </w:rPr>
        <w:t xml:space="preserve"> siguiente</w:t>
      </w:r>
      <w:r w:rsidR="00542544">
        <w:rPr>
          <w:rFonts w:ascii="Verdana" w:eastAsia="Century Gothic" w:hAnsi="Verdana" w:cs="Century Gothic"/>
        </w:rPr>
        <w:t>s</w:t>
      </w:r>
      <w:r w:rsidRPr="00542544">
        <w:rPr>
          <w:rFonts w:ascii="Verdana" w:eastAsia="Century Gothic" w:hAnsi="Verdana" w:cs="Century Gothic"/>
        </w:rPr>
        <w:t xml:space="preserve"> problema</w:t>
      </w:r>
      <w:r w:rsidR="00542544">
        <w:rPr>
          <w:rFonts w:ascii="Verdana" w:eastAsia="Century Gothic" w:hAnsi="Verdana" w:cs="Century Gothic"/>
        </w:rPr>
        <w:t>s</w:t>
      </w:r>
      <w:r w:rsidRPr="00542544">
        <w:rPr>
          <w:rFonts w:ascii="Verdana" w:eastAsia="Century Gothic" w:hAnsi="Verdana" w:cs="Century Gothic"/>
        </w:rPr>
        <w:t xml:space="preserve"> jurídico</w:t>
      </w:r>
      <w:r w:rsidR="00542544">
        <w:rPr>
          <w:rFonts w:ascii="Verdana" w:eastAsia="Century Gothic" w:hAnsi="Verdana" w:cs="Century Gothic"/>
        </w:rPr>
        <w:t>s</w:t>
      </w:r>
      <w:r w:rsidRPr="00542544">
        <w:rPr>
          <w:rFonts w:ascii="Verdana" w:eastAsia="Century Gothic" w:hAnsi="Verdana" w:cs="Century Gothic"/>
        </w:rPr>
        <w:t xml:space="preserve">: </w:t>
      </w:r>
      <w:r w:rsidR="00542544">
        <w:rPr>
          <w:rFonts w:ascii="Verdana" w:eastAsia="Century Gothic" w:hAnsi="Verdana" w:cs="Century Gothic"/>
        </w:rPr>
        <w:t xml:space="preserve">i. </w:t>
      </w:r>
      <w:r w:rsidRPr="00542544">
        <w:rPr>
          <w:rFonts w:ascii="Verdana" w:eastAsia="Century Gothic" w:hAnsi="Verdana" w:cs="Century Gothic"/>
        </w:rPr>
        <w:t xml:space="preserve">¿Un proponente extranjero necesariamente debe constituir una sucursal en Colombia para participar en un </w:t>
      </w:r>
      <w:r w:rsidR="00542544">
        <w:rPr>
          <w:rFonts w:ascii="Verdana" w:eastAsia="Century Gothic" w:hAnsi="Verdana" w:cs="Century Gothic"/>
        </w:rPr>
        <w:t>p</w:t>
      </w:r>
      <w:r w:rsidRPr="00542544">
        <w:rPr>
          <w:rFonts w:ascii="Verdana" w:eastAsia="Century Gothic" w:hAnsi="Verdana" w:cs="Century Gothic"/>
        </w:rPr>
        <w:t>roceso de contratación y posteriormente celebrar un contrato estatal?</w:t>
      </w:r>
      <w:r w:rsidR="00542544">
        <w:rPr>
          <w:rFonts w:ascii="Verdana" w:eastAsia="Century Gothic" w:hAnsi="Verdana" w:cs="Century Gothic"/>
        </w:rPr>
        <w:t>;</w:t>
      </w:r>
      <w:r w:rsidRPr="00542544">
        <w:rPr>
          <w:rFonts w:ascii="Verdana" w:eastAsia="Century Gothic" w:hAnsi="Verdana" w:cs="Century Gothic"/>
        </w:rPr>
        <w:t xml:space="preserve"> </w:t>
      </w:r>
      <w:r w:rsidRPr="00964AB2">
        <w:rPr>
          <w:rFonts w:ascii="Verdana" w:eastAsia="Century Gothic" w:hAnsi="Verdana" w:cs="Century Gothic"/>
        </w:rPr>
        <w:t>ii. ¿</w:t>
      </w:r>
      <w:r w:rsidRPr="00AA7FE8">
        <w:rPr>
          <w:rFonts w:ascii="Verdana" w:eastAsia="Century Gothic" w:hAnsi="Verdana" w:cs="Century Gothic"/>
        </w:rPr>
        <w:t>Las personas naturales o jurídicas extranjeras pueden integrar proponentes plurales a través de las figuras asociativas tales como consorcios o uniones temporales para contratar co</w:t>
      </w:r>
      <w:r w:rsidRPr="00542544">
        <w:rPr>
          <w:rFonts w:ascii="Verdana" w:eastAsia="Century Gothic" w:hAnsi="Verdana" w:cs="Century Gothic"/>
        </w:rPr>
        <w:t>n el Estado?</w:t>
      </w:r>
    </w:p>
    <w:p w14:paraId="3412CCE2" w14:textId="77777777" w:rsidR="007C5F7B" w:rsidRPr="00542544" w:rsidRDefault="007C5F7B" w:rsidP="007C5F7B">
      <w:pPr>
        <w:spacing w:after="0" w:line="276" w:lineRule="auto"/>
        <w:jc w:val="both"/>
        <w:rPr>
          <w:rFonts w:ascii="Verdana" w:eastAsia="Calibri" w:hAnsi="Verdana" w:cs="Arial"/>
          <w:lang w:val="es-ES"/>
        </w:rPr>
      </w:pPr>
    </w:p>
    <w:p w14:paraId="504AC225" w14:textId="77777777" w:rsidR="007C5F7B" w:rsidRPr="00542544" w:rsidRDefault="007C5F7B" w:rsidP="007C5F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544">
        <w:rPr>
          <w:rFonts w:ascii="Verdana" w:eastAsia="Century Gothic" w:hAnsi="Verdana" w:cs="Century Gothic"/>
          <w:b/>
          <w:bCs/>
        </w:rPr>
        <w:t>Respuesta:</w:t>
      </w:r>
    </w:p>
    <w:p w14:paraId="5F06E4F0" w14:textId="77777777" w:rsidR="007C5F7B" w:rsidRPr="00542544" w:rsidRDefault="007C5F7B" w:rsidP="007C5F7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5F7B" w:rsidRPr="00542544" w14:paraId="07BD48A8" w14:textId="77777777" w:rsidTr="000236A5">
        <w:tc>
          <w:tcPr>
            <w:tcW w:w="8828" w:type="dxa"/>
          </w:tcPr>
          <w:p w14:paraId="2689A51A" w14:textId="0138C336" w:rsidR="007C5F7B" w:rsidRPr="00542544" w:rsidRDefault="007C5F7B" w:rsidP="007037F3">
            <w:pPr>
              <w:spacing w:after="120" w:line="276" w:lineRule="auto"/>
              <w:jc w:val="both"/>
              <w:rPr>
                <w:rFonts w:ascii="Verdana" w:eastAsia="Calibri" w:hAnsi="Verdana" w:cs="Arial"/>
                <w:color w:val="000000" w:themeColor="text1"/>
                <w:lang w:val="es-MX"/>
              </w:rPr>
            </w:pPr>
            <w:r w:rsidRPr="00542544">
              <w:rPr>
                <w:rFonts w:ascii="Verdana" w:eastAsia="Calibri" w:hAnsi="Verdana" w:cs="Arial"/>
                <w:color w:val="000000" w:themeColor="text1"/>
              </w:rPr>
              <w:t>i. El acápite IV</w:t>
            </w:r>
            <w:r w:rsidRPr="00542544">
              <w:rPr>
                <w:rFonts w:ascii="Verdana" w:hAnsi="Verdana" w:cs="Arial"/>
                <w:color w:val="000000" w:themeColor="text1"/>
              </w:rPr>
              <w:t xml:space="preserve"> de la “Guía de Asuntos Corporativos en los Procesos de Contratación”, expedida por la </w:t>
            </w:r>
            <w:r w:rsidRPr="00542544">
              <w:rPr>
                <w:rFonts w:ascii="Verdana" w:eastAsia="Calibri" w:hAnsi="Verdana" w:cs="Arial"/>
                <w:color w:val="000000" w:themeColor="text1"/>
              </w:rPr>
              <w:t xml:space="preserve">Agencia Nacional de Contratación Pública – Colombia Compra Eficiente, precisa que </w:t>
            </w:r>
            <w:r w:rsidRPr="007037F3">
              <w:rPr>
                <w:rFonts w:ascii="Verdana" w:eastAsia="Calibri" w:hAnsi="Verdana" w:cs="Arial"/>
                <w:i/>
                <w:iCs/>
                <w:color w:val="000000" w:themeColor="text1"/>
              </w:rPr>
              <w:t>“</w:t>
            </w:r>
            <w:r w:rsidRPr="007037F3">
              <w:rPr>
                <w:rFonts w:ascii="Verdana" w:eastAsia="Calibri" w:hAnsi="Verdana" w:cs="Arial"/>
                <w:i/>
                <w:iCs/>
                <w:color w:val="000000" w:themeColor="text1"/>
                <w:lang w:val="es-MX"/>
              </w:rPr>
              <w:t xml:space="preserve">Para la presentación de la oferta no será necesario que se constituya una sucursal en Colombia </w:t>
            </w:r>
            <w:r w:rsidRPr="00964AB2">
              <w:rPr>
                <w:rFonts w:ascii="Verdana" w:eastAsia="Calibri" w:hAnsi="Verdana" w:cs="Arial"/>
                <w:i/>
                <w:iCs/>
                <w:color w:val="000000" w:themeColor="text1"/>
                <w:lang w:val="es-MX"/>
              </w:rPr>
              <w:t>pues esto solo es obligatorio si se resulta adjudicatario en Procesos de Contratación que tengan por objeto la construcción de obras o la prestación de servicios</w:t>
            </w:r>
            <w:r w:rsidRPr="00AA7FE8">
              <w:rPr>
                <w:rFonts w:ascii="Verdana" w:eastAsia="Calibri" w:hAnsi="Verdana" w:cs="Arial"/>
                <w:i/>
                <w:iCs/>
                <w:color w:val="000000" w:themeColor="text1"/>
                <w:lang w:val="es-MX"/>
              </w:rPr>
              <w:t>, pues en estos dos casos, se entiende que la persona jurídica extranjera está ejerciendo negocios permanentes en Colombia</w:t>
            </w:r>
            <w:r w:rsidRPr="007037F3">
              <w:rPr>
                <w:rFonts w:ascii="Verdana" w:eastAsia="Calibri" w:hAnsi="Verdana" w:cs="Arial"/>
                <w:i/>
                <w:iCs/>
                <w:color w:val="000000" w:themeColor="text1"/>
                <w:lang w:val="es-MX"/>
              </w:rPr>
              <w:t>”</w:t>
            </w:r>
            <w:r w:rsidRPr="00542544">
              <w:rPr>
                <w:rStyle w:val="Refdenotaalpie"/>
                <w:rFonts w:ascii="Verdana" w:hAnsi="Verdana" w:cs="Arial"/>
                <w:color w:val="000000" w:themeColor="text1"/>
              </w:rPr>
              <w:footnoteReference w:id="1"/>
            </w:r>
            <w:r w:rsidRPr="00542544">
              <w:rPr>
                <w:rFonts w:ascii="Verdana" w:eastAsia="Calibri" w:hAnsi="Verdana" w:cs="Arial"/>
                <w:color w:val="000000" w:themeColor="text1"/>
                <w:lang w:val="es-MX"/>
              </w:rPr>
              <w:t>.</w:t>
            </w:r>
            <w:r w:rsidR="00124973">
              <w:rPr>
                <w:rFonts w:ascii="Verdana" w:eastAsia="Calibri" w:hAnsi="Verdana" w:cs="Arial"/>
                <w:color w:val="000000" w:themeColor="text1"/>
                <w:lang w:val="es-MX"/>
              </w:rPr>
              <w:t xml:space="preserve"> </w:t>
            </w:r>
            <w:r w:rsidR="00964AB2">
              <w:rPr>
                <w:rFonts w:ascii="Verdana" w:eastAsia="Calibri" w:hAnsi="Verdana" w:cs="Arial"/>
                <w:color w:val="000000" w:themeColor="text1"/>
                <w:lang w:val="es-MX"/>
              </w:rPr>
              <w:t>Así las co</w:t>
            </w:r>
            <w:r w:rsidR="00AB214E">
              <w:rPr>
                <w:rFonts w:ascii="Verdana" w:eastAsia="Calibri" w:hAnsi="Verdana" w:cs="Arial"/>
                <w:color w:val="000000" w:themeColor="text1"/>
                <w:lang w:val="es-MX"/>
              </w:rPr>
              <w:t>s</w:t>
            </w:r>
            <w:r w:rsidR="00964AB2">
              <w:rPr>
                <w:rFonts w:ascii="Verdana" w:eastAsia="Calibri" w:hAnsi="Verdana" w:cs="Arial"/>
                <w:color w:val="000000" w:themeColor="text1"/>
                <w:lang w:val="es-MX"/>
              </w:rPr>
              <w:t xml:space="preserve">as, para la presentación de la oferta no será necesario que una sociedad extranjera establezca una sucursal. </w:t>
            </w:r>
          </w:p>
          <w:p w14:paraId="098FAF17" w14:textId="79A592BB" w:rsidR="007C5F7B" w:rsidRPr="00542544" w:rsidRDefault="00964AB2" w:rsidP="00542544">
            <w:pPr>
              <w:spacing w:after="120" w:line="276" w:lineRule="auto"/>
              <w:ind w:firstLine="708"/>
              <w:jc w:val="both"/>
              <w:rPr>
                <w:rFonts w:ascii="Verdana" w:eastAsia="Arial MT" w:hAnsi="Verdana" w:cs="Arial"/>
                <w:lang w:eastAsia="es-ES" w:bidi="es-ES"/>
              </w:rPr>
            </w:pPr>
            <w:r>
              <w:rPr>
                <w:rFonts w:ascii="Verdana" w:hAnsi="Verdana" w:cs="Arial"/>
                <w:color w:val="000000" w:themeColor="text1"/>
              </w:rPr>
              <w:t>Ahora bien, r</w:t>
            </w:r>
            <w:r w:rsidR="007C5F7B" w:rsidRPr="00542544">
              <w:rPr>
                <w:rFonts w:ascii="Verdana" w:hAnsi="Verdana" w:cs="Arial"/>
                <w:color w:val="000000" w:themeColor="text1"/>
              </w:rPr>
              <w:t>evisadas estas normas del derecho comercial, para que una sociedad extranjera celebre un contrato estatal en Colombia que tenga por objeto la ejecución de obras o la prestación de servicios, o corresponda a la tipología de concesión para explotación, actividades que, según lo expuesto, tienen el carácter de</w:t>
            </w:r>
            <w:r w:rsidR="007C5F7B" w:rsidRPr="00964AB2">
              <w:rPr>
                <w:rFonts w:ascii="Verdana" w:hAnsi="Verdana" w:cs="Arial"/>
                <w:color w:val="000000" w:themeColor="text1"/>
              </w:rPr>
              <w:t xml:space="preserve"> permanentes según el artículo 474 del Código de Comercio, deberá establecer una sucursal con domicilio en el territorio nacional –art. 471 </w:t>
            </w:r>
            <w:r w:rsidR="007C5F7B" w:rsidRPr="00964AB2">
              <w:rPr>
                <w:rFonts w:ascii="Verdana" w:hAnsi="Verdana" w:cs="Arial"/>
                <w:i/>
                <w:iCs/>
                <w:color w:val="000000" w:themeColor="text1"/>
              </w:rPr>
              <w:t>ibidem</w:t>
            </w:r>
            <w:r w:rsidR="007C5F7B" w:rsidRPr="00AA7FE8">
              <w:rPr>
                <w:rFonts w:ascii="Verdana" w:hAnsi="Verdana" w:cs="Arial"/>
                <w:color w:val="000000" w:themeColor="text1"/>
              </w:rPr>
              <w:t>–</w:t>
            </w:r>
            <w:r w:rsidR="007C5F7B" w:rsidRPr="007C1489">
              <w:rPr>
                <w:rFonts w:ascii="Verdana" w:hAnsi="Verdana" w:cs="Arial"/>
                <w:color w:val="000000" w:themeColor="text1"/>
              </w:rPr>
              <w:t xml:space="preserve">. </w:t>
            </w:r>
            <w:r w:rsidR="007C5F7B" w:rsidRPr="00542544">
              <w:rPr>
                <w:rFonts w:ascii="Verdana" w:eastAsia="Arial MT" w:hAnsi="Verdana" w:cs="Arial"/>
                <w:lang w:eastAsia="es-ES" w:bidi="es-ES"/>
              </w:rPr>
              <w:t>Adicionalmente, en virtud del inciso tercero del artículo 6 de la Ley 80 de 1993, las personas jurídicas nacionales y extranjeras deberán acreditar que su duración no será inferior a la del plazo del contrato y un año más.</w:t>
            </w:r>
          </w:p>
          <w:p w14:paraId="7BDC3CF0" w14:textId="34757875" w:rsidR="007C5F7B" w:rsidRPr="00542544" w:rsidRDefault="007C5F7B" w:rsidP="007037F3">
            <w:pPr>
              <w:spacing w:after="120" w:line="276" w:lineRule="auto"/>
              <w:ind w:firstLine="708"/>
              <w:jc w:val="both"/>
              <w:rPr>
                <w:rFonts w:ascii="Verdana" w:hAnsi="Verdana" w:cs="Arial"/>
                <w:color w:val="000000" w:themeColor="text1"/>
              </w:rPr>
            </w:pPr>
            <w:r w:rsidRPr="00542544">
              <w:rPr>
                <w:rFonts w:ascii="Verdana" w:hAnsi="Verdana" w:cs="Arial"/>
                <w:color w:val="000000" w:themeColor="text1"/>
              </w:rPr>
              <w:t xml:space="preserve">Así mismo, la presencia de la sucursal en el territorio colombiano supone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obligatoria tanto a los nacionales como a los extranjeros residentes en Colombia” –art. 18 del Código Civil–. </w:t>
            </w:r>
          </w:p>
          <w:p w14:paraId="4B1AB1C8" w14:textId="199AF2B4" w:rsidR="007C5F7B" w:rsidRPr="00542544" w:rsidRDefault="007C5F7B" w:rsidP="007037F3">
            <w:pPr>
              <w:spacing w:line="276" w:lineRule="auto"/>
              <w:ind w:firstLine="708"/>
              <w:jc w:val="both"/>
              <w:rPr>
                <w:rFonts w:ascii="Verdana" w:eastAsia="Arial MT" w:hAnsi="Verdana" w:cs="Arial"/>
                <w:lang w:eastAsia="es-ES" w:bidi="es-ES"/>
              </w:rPr>
            </w:pPr>
            <w:r w:rsidRPr="00542544">
              <w:rPr>
                <w:rFonts w:ascii="Verdana" w:eastAsia="Arial MT" w:hAnsi="Verdana" w:cs="Arial"/>
                <w:lang w:eastAsia="es-ES" w:bidi="es-ES"/>
              </w:rPr>
              <w:t>No obstante, vale señalar que la Superintendencia de Sociedades ha interpretado que la enumeración que hace el artículo 474 del Código de Comercio es una mención “</w:t>
            </w:r>
            <w:r w:rsidRPr="00542544">
              <w:rPr>
                <w:rFonts w:ascii="Verdana" w:eastAsia="Arial MT" w:hAnsi="Verdana" w:cs="Arial"/>
                <w:i/>
                <w:iCs/>
                <w:lang w:eastAsia="es-ES" w:bidi="es-ES"/>
              </w:rPr>
              <w:t>ilustrativa o enunciativa más no taxativa</w:t>
            </w:r>
            <w:r w:rsidRPr="00542544">
              <w:rPr>
                <w:rFonts w:ascii="Verdana" w:eastAsia="Arial MT" w:hAnsi="Verdana" w:cs="Arial"/>
                <w:lang w:eastAsia="es-ES" w:bidi="es-ES"/>
              </w:rPr>
              <w:t xml:space="preserve">”. Lo anterior se justificó en que, según se desprende del </w:t>
            </w:r>
            <w:r w:rsidR="00AA7FE8">
              <w:rPr>
                <w:rFonts w:ascii="Verdana" w:eastAsia="Arial MT" w:hAnsi="Verdana" w:cs="Arial"/>
                <w:lang w:eastAsia="es-ES" w:bidi="es-ES"/>
              </w:rPr>
              <w:t>c</w:t>
            </w:r>
            <w:r w:rsidRPr="00542544">
              <w:rPr>
                <w:rFonts w:ascii="Verdana" w:eastAsia="Arial MT" w:hAnsi="Verdana" w:cs="Arial"/>
                <w:lang w:eastAsia="es-ES" w:bidi="es-ES"/>
              </w:rPr>
              <w:t>oncepto emitido, “</w:t>
            </w:r>
            <w:r w:rsidRPr="00542544">
              <w:rPr>
                <w:rFonts w:ascii="Verdana" w:eastAsia="Arial MT" w:hAnsi="Verdana" w:cs="Arial"/>
                <w:i/>
                <w:iCs/>
                <w:lang w:eastAsia="es-ES" w:bidi="es-ES"/>
              </w:rPr>
              <w:t>dentro de</w:t>
            </w:r>
            <w:r w:rsidRPr="00542544">
              <w:rPr>
                <w:rFonts w:ascii="Verdana" w:eastAsia="Arial MT" w:hAnsi="Verdana" w:cs="Arial"/>
                <w:lang w:eastAsia="es-ES" w:bidi="es-ES"/>
              </w:rPr>
              <w:t xml:space="preserve"> </w:t>
            </w:r>
            <w:r w:rsidRPr="00542544">
              <w:rPr>
                <w:rFonts w:ascii="Verdana" w:eastAsia="Arial MT" w:hAnsi="Verdana" w:cs="Arial"/>
                <w:i/>
                <w:iCs/>
                <w:lang w:eastAsia="es-ES" w:bidi="es-ES"/>
              </w:rPr>
              <w:t>la dinámica de la actividad comercial y particularmente de los negocios, muchas son las actividades que pueden involucrar la permanencia en su desarrollo</w:t>
            </w:r>
            <w:r w:rsidRPr="00542544">
              <w:rPr>
                <w:rFonts w:ascii="Verdana" w:eastAsia="Arial MT" w:hAnsi="Verdana" w:cs="Arial"/>
                <w:lang w:eastAsia="es-ES" w:bidi="es-ES"/>
              </w:rPr>
              <w:t>”</w:t>
            </w:r>
            <w:r w:rsidRPr="00542544">
              <w:rPr>
                <w:rStyle w:val="Refdenotaalpie"/>
                <w:rFonts w:ascii="Verdana" w:eastAsia="Arial MT" w:hAnsi="Verdana" w:cs="Arial"/>
                <w:lang w:eastAsia="es-ES" w:bidi="es-ES"/>
              </w:rPr>
              <w:footnoteReference w:id="2"/>
            </w:r>
            <w:r w:rsidRPr="00542544">
              <w:rPr>
                <w:rFonts w:ascii="Verdana" w:eastAsia="Arial MT" w:hAnsi="Verdana" w:cs="Arial"/>
                <w:lang w:eastAsia="es-ES" w:bidi="es-ES"/>
              </w:rPr>
              <w:t xml:space="preserve">. Por lo que cada entidad estatal deberá examinar, en la etapa de planeación, si el objeto contractual podría comportar actividades que deban considerarse como permanentes y, en su defecto, establecer la exigencia de constitución de sucursal con domicilio en el territorio nacional, en caso de que el proponente extranjero sea el adjudicatario. </w:t>
            </w:r>
          </w:p>
          <w:p w14:paraId="5A232364" w14:textId="77777777" w:rsidR="007C5F7B" w:rsidRPr="00542544" w:rsidRDefault="007C5F7B" w:rsidP="007037F3">
            <w:pPr>
              <w:spacing w:line="276" w:lineRule="auto"/>
              <w:ind w:firstLine="708"/>
              <w:jc w:val="both"/>
              <w:rPr>
                <w:rFonts w:ascii="Verdana" w:hAnsi="Verdana" w:cs="Arial"/>
                <w:color w:val="000000" w:themeColor="text1"/>
              </w:rPr>
            </w:pPr>
          </w:p>
          <w:p w14:paraId="6AB78CE7" w14:textId="77777777" w:rsidR="007C5F7B" w:rsidRPr="00542544" w:rsidRDefault="007C5F7B" w:rsidP="007037F3">
            <w:pPr>
              <w:spacing w:after="120" w:line="276" w:lineRule="auto"/>
              <w:jc w:val="both"/>
              <w:rPr>
                <w:rFonts w:ascii="Verdana" w:eastAsia="Century Gothic" w:hAnsi="Verdana" w:cs="Century Gothic"/>
              </w:rPr>
            </w:pPr>
            <w:r w:rsidRPr="00542544">
              <w:rPr>
                <w:rFonts w:ascii="Verdana" w:hAnsi="Verdana" w:cs="Arial"/>
                <w:color w:val="000000" w:themeColor="text1"/>
              </w:rPr>
              <w:t xml:space="preserve">ii. </w:t>
            </w:r>
            <w:r w:rsidRPr="00542544">
              <w:rPr>
                <w:rFonts w:ascii="Verdana" w:eastAsia="Arial MT" w:hAnsi="Verdana" w:cs="Arial"/>
                <w:lang w:eastAsia="es-ES" w:bidi="es-ES"/>
              </w:rPr>
              <w:t>Respecto a su planteamiento sobre la participación de una empresa colombiana como representante —o, según sus propios términos, “agente de licitación”— que presentaría la oferta utilizando su NIT —el de la empresa colombiana</w:t>
            </w:r>
            <w:r w:rsidRPr="00964AB2">
              <w:rPr>
                <w:rFonts w:ascii="Verdana" w:eastAsia="Arial MT" w:hAnsi="Verdana" w:cs="Arial"/>
                <w:lang w:eastAsia="es-ES" w:bidi="es-ES"/>
              </w:rPr>
              <w:t>—, mientras que el nombre del proponente correspondería a su empresa extranjera, es necesario aclarar que el régimen de contratación pública en Colombia permite la presentación de ofertas por parte de proponentes plurales mediante figu</w:t>
            </w:r>
            <w:r w:rsidRPr="00AA7FE8">
              <w:rPr>
                <w:rFonts w:ascii="Verdana" w:eastAsia="Arial MT" w:hAnsi="Verdana" w:cs="Arial"/>
                <w:lang w:eastAsia="es-ES" w:bidi="es-ES"/>
              </w:rPr>
              <w:t>ras asociativas reconocidas en el ordenamiento jurídico, tales como el consorcio y la unión temporal</w:t>
            </w:r>
            <w:r w:rsidRPr="00542544">
              <w:rPr>
                <w:rFonts w:ascii="Verdana" w:eastAsia="Century Gothic" w:hAnsi="Verdana" w:cs="Century Gothic"/>
              </w:rPr>
              <w:t xml:space="preserve">, por lo que es importante abordar la naturaleza jurídica de este tipo de estructuras. </w:t>
            </w:r>
          </w:p>
          <w:p w14:paraId="1EA55BA0" w14:textId="757E490D" w:rsidR="007C5F7B" w:rsidRPr="00542544" w:rsidRDefault="007C5F7B" w:rsidP="00542544">
            <w:pPr>
              <w:spacing w:after="120" w:line="276" w:lineRule="auto"/>
              <w:ind w:firstLine="708"/>
              <w:jc w:val="both"/>
              <w:rPr>
                <w:rFonts w:ascii="Verdana" w:eastAsia="Calibri" w:hAnsi="Verdana" w:cs="Arial"/>
              </w:rPr>
            </w:pPr>
            <w:r w:rsidRPr="00542544">
              <w:rPr>
                <w:rFonts w:ascii="Verdana" w:hAnsi="Verdana" w:cs="Arial"/>
              </w:rPr>
              <w:t>En primer lugar, como se señal</w:t>
            </w:r>
            <w:r w:rsidR="00542544">
              <w:rPr>
                <w:rFonts w:ascii="Verdana" w:hAnsi="Verdana" w:cs="Arial"/>
              </w:rPr>
              <w:t>ar</w:t>
            </w:r>
            <w:r w:rsidR="00E90B0A">
              <w:rPr>
                <w:rFonts w:ascii="Verdana" w:hAnsi="Verdana" w:cs="Arial"/>
              </w:rPr>
              <w:t>á</w:t>
            </w:r>
            <w:r w:rsidR="00542544">
              <w:rPr>
                <w:rFonts w:ascii="Verdana" w:hAnsi="Verdana" w:cs="Arial"/>
              </w:rPr>
              <w:t xml:space="preserve"> en este concepto</w:t>
            </w:r>
            <w:r w:rsidRPr="00542544">
              <w:rPr>
                <w:rFonts w:ascii="Verdana" w:hAnsi="Verdana" w:cs="Arial"/>
              </w:rPr>
              <w:t xml:space="preserve">, la capacidad jurídica hace parte de los requisitos habilitantes que deberán acreditarse </w:t>
            </w:r>
            <w:r w:rsidR="00AA7FE8">
              <w:rPr>
                <w:rFonts w:ascii="Verdana" w:hAnsi="Verdana" w:cs="Arial"/>
              </w:rPr>
              <w:t>dentro de un proceso de contratación</w:t>
            </w:r>
            <w:r w:rsidRPr="00AA7FE8">
              <w:rPr>
                <w:rFonts w:ascii="Verdana" w:hAnsi="Verdana" w:cs="Arial"/>
              </w:rPr>
              <w:t xml:space="preserve"> y comporta uno de los presupuestos del contrato estatal, pues se entiende como la aptitud de un sujeto para ser titular de derechos y obligaciones, de ejercer o exigir los primeros y contraer las segundas en forma personal, sumada la posibilidad de comparecer en juicio. La capacidad jurídica permite crear, modificar o extinguir relaciones jurídicas de forma voluntaria </w:t>
            </w:r>
            <w:r w:rsidRPr="00542544">
              <w:rPr>
                <w:rFonts w:ascii="Verdana" w:eastAsia="Calibri" w:hAnsi="Verdana" w:cs="Arial"/>
              </w:rPr>
              <w:t>y autónoma.</w:t>
            </w:r>
          </w:p>
          <w:p w14:paraId="48B8DD92" w14:textId="77777777" w:rsidR="007C5F7B" w:rsidRPr="00542544" w:rsidRDefault="007C5F7B" w:rsidP="00964AB2">
            <w:pPr>
              <w:spacing w:after="120" w:line="276" w:lineRule="auto"/>
              <w:ind w:firstLine="709"/>
              <w:jc w:val="both"/>
              <w:rPr>
                <w:rFonts w:ascii="Verdana" w:hAnsi="Verdana"/>
              </w:rPr>
            </w:pPr>
            <w:r w:rsidRPr="00542544">
              <w:rPr>
                <w:rFonts w:ascii="Verdana" w:eastAsia="Calibri" w:hAnsi="Verdana" w:cs="Arial"/>
              </w:rPr>
              <w:t>D</w:t>
            </w:r>
            <w:r w:rsidRPr="00542544">
              <w:rPr>
                <w:rFonts w:ascii="Verdana" w:hAnsi="Verdana" w:cs="Arial"/>
              </w:rPr>
              <w:t xml:space="preserve">e acuerdo con el Código Civil, la capacidad se refiere a la facultad que la ley le confiere a la persona para ejercer derechos y contraer obligaciones, partiendo del supuesto de que todas las personas naturales mayores de edad son capaces, con excepción de aquellas que la ley expresamente excluye de esta presunción –artículos 1502, 1503 y 1504 </w:t>
            </w:r>
            <w:r w:rsidRPr="00542544">
              <w:rPr>
                <w:rFonts w:ascii="Verdana" w:hAnsi="Verdana" w:cs="Arial"/>
                <w:i/>
                <w:iCs/>
              </w:rPr>
              <w:t>ibidem</w:t>
            </w:r>
            <w:r w:rsidRPr="00542544">
              <w:rPr>
                <w:rFonts w:ascii="Verdana" w:hAnsi="Verdana" w:cs="Arial"/>
              </w:rPr>
              <w:t>–, y de que la capacidad de las personas jurídicas se circunscribe a su objeto social –artículo 99 del Código de Comercio–.</w:t>
            </w:r>
            <w:r w:rsidRPr="00542544">
              <w:rPr>
                <w:rFonts w:ascii="Verdana" w:hAnsi="Verdana"/>
              </w:rPr>
              <w:t xml:space="preserve"> </w:t>
            </w:r>
            <w:r w:rsidRPr="00542544">
              <w:rPr>
                <w:rFonts w:ascii="Verdana" w:hAnsi="Verdana" w:cs="Arial"/>
              </w:rPr>
              <w:t>Al respecto, el artículo 6 de la Ley 80 de 1993 –modificado por</w:t>
            </w:r>
            <w:r w:rsidRPr="00542544">
              <w:rPr>
                <w:rFonts w:ascii="Verdana" w:hAnsi="Verdana"/>
              </w:rPr>
              <w:t xml:space="preserve"> </w:t>
            </w:r>
            <w:r w:rsidRPr="00542544">
              <w:rPr>
                <w:rFonts w:ascii="Verdana" w:hAnsi="Verdana" w:cs="Arial"/>
              </w:rPr>
              <w:t>el art.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7718F8B6" w14:textId="77777777" w:rsidR="007C5F7B" w:rsidRPr="00542544" w:rsidRDefault="007C5F7B" w:rsidP="00AA7FE8">
            <w:pPr>
              <w:spacing w:after="120" w:line="276" w:lineRule="auto"/>
              <w:ind w:firstLine="708"/>
              <w:jc w:val="both"/>
              <w:rPr>
                <w:rFonts w:ascii="Verdana" w:eastAsia="Century Gothic" w:hAnsi="Verdana" w:cs="Century Gothic"/>
              </w:rPr>
            </w:pPr>
            <w:r w:rsidRPr="00542544">
              <w:rPr>
                <w:rFonts w:ascii="Verdana" w:hAnsi="Verdana" w:cs="Arial"/>
              </w:rPr>
              <w:t>En consecuencia, pueden celebrar contratos estatales las personas naturales mayores de edad, las personas jurídicas que tengan dentro de su objeto</w:t>
            </w:r>
            <w:r w:rsidRPr="00542544">
              <w:rPr>
                <w:rFonts w:ascii="Verdana" w:hAnsi="Verdana" w:cs="Arial"/>
                <w:spacing w:val="43"/>
              </w:rPr>
              <w:t xml:space="preserve"> </w:t>
            </w:r>
            <w:r w:rsidRPr="00542544">
              <w:rPr>
                <w:rFonts w:ascii="Verdana" w:hAnsi="Verdana" w:cs="Arial"/>
              </w:rPr>
              <w:t>social</w:t>
            </w:r>
            <w:r w:rsidRPr="00542544">
              <w:rPr>
                <w:rFonts w:ascii="Verdana" w:hAnsi="Verdana" w:cs="Arial"/>
                <w:spacing w:val="44"/>
              </w:rPr>
              <w:t xml:space="preserve"> </w:t>
            </w:r>
            <w:r w:rsidRPr="00542544">
              <w:rPr>
                <w:rFonts w:ascii="Verdana" w:hAnsi="Verdana" w:cs="Arial"/>
              </w:rPr>
              <w:t>actividades</w:t>
            </w:r>
            <w:r w:rsidRPr="00542544">
              <w:rPr>
                <w:rFonts w:ascii="Verdana" w:hAnsi="Verdana" w:cs="Arial"/>
                <w:spacing w:val="44"/>
              </w:rPr>
              <w:t xml:space="preserve"> </w:t>
            </w:r>
            <w:r w:rsidRPr="00542544">
              <w:rPr>
                <w:rFonts w:ascii="Verdana" w:hAnsi="Verdana" w:cs="Arial"/>
              </w:rPr>
              <w:t>relacionadas</w:t>
            </w:r>
            <w:r w:rsidRPr="00542544">
              <w:rPr>
                <w:rFonts w:ascii="Verdana" w:hAnsi="Verdana" w:cs="Arial"/>
                <w:spacing w:val="44"/>
              </w:rPr>
              <w:t xml:space="preserve"> </w:t>
            </w:r>
            <w:r w:rsidRPr="00542544">
              <w:rPr>
                <w:rFonts w:ascii="Verdana" w:hAnsi="Verdana" w:cs="Arial"/>
              </w:rPr>
              <w:t>con</w:t>
            </w:r>
            <w:r w:rsidRPr="00542544">
              <w:rPr>
                <w:rFonts w:ascii="Verdana" w:hAnsi="Verdana" w:cs="Arial"/>
                <w:spacing w:val="43"/>
              </w:rPr>
              <w:t xml:space="preserve"> </w:t>
            </w:r>
            <w:r w:rsidRPr="00542544">
              <w:rPr>
                <w:rFonts w:ascii="Verdana" w:hAnsi="Verdana" w:cs="Arial"/>
              </w:rPr>
              <w:t>el</w:t>
            </w:r>
            <w:r w:rsidRPr="00542544">
              <w:rPr>
                <w:rFonts w:ascii="Verdana" w:hAnsi="Verdana" w:cs="Arial"/>
                <w:spacing w:val="45"/>
              </w:rPr>
              <w:t xml:space="preserve"> </w:t>
            </w:r>
            <w:r w:rsidRPr="00542544">
              <w:rPr>
                <w:rFonts w:ascii="Verdana" w:hAnsi="Verdana" w:cs="Arial"/>
              </w:rPr>
              <w:t>objeto</w:t>
            </w:r>
            <w:r w:rsidRPr="00542544">
              <w:rPr>
                <w:rFonts w:ascii="Verdana" w:hAnsi="Verdana" w:cs="Arial"/>
                <w:spacing w:val="43"/>
              </w:rPr>
              <w:t xml:space="preserve"> </w:t>
            </w:r>
            <w:r w:rsidRPr="00542544">
              <w:rPr>
                <w:rFonts w:ascii="Verdana" w:hAnsi="Verdana" w:cs="Arial"/>
              </w:rPr>
              <w:t>a</w:t>
            </w:r>
            <w:r w:rsidRPr="00542544">
              <w:rPr>
                <w:rFonts w:ascii="Verdana" w:hAnsi="Verdana" w:cs="Arial"/>
                <w:spacing w:val="44"/>
              </w:rPr>
              <w:t xml:space="preserve"> </w:t>
            </w:r>
            <w:r w:rsidRPr="00542544">
              <w:rPr>
                <w:rFonts w:ascii="Verdana" w:hAnsi="Verdana" w:cs="Arial"/>
              </w:rPr>
              <w:t>contratar</w:t>
            </w:r>
            <w:r w:rsidRPr="00542544">
              <w:rPr>
                <w:rFonts w:ascii="Verdana" w:hAnsi="Verdana" w:cs="Arial"/>
                <w:spacing w:val="47"/>
              </w:rPr>
              <w:t xml:space="preserve"> </w:t>
            </w:r>
            <w:r w:rsidRPr="00542544">
              <w:rPr>
                <w:rFonts w:ascii="Verdana" w:hAnsi="Verdana" w:cs="Arial"/>
              </w:rPr>
              <w:t>y,</w:t>
            </w:r>
            <w:r w:rsidRPr="00542544">
              <w:rPr>
                <w:rFonts w:ascii="Verdana" w:hAnsi="Verdana" w:cs="Arial"/>
                <w:spacing w:val="44"/>
              </w:rPr>
              <w:t xml:space="preserve"> </w:t>
            </w:r>
            <w:r w:rsidRPr="00542544">
              <w:rPr>
                <w:rFonts w:ascii="Verdana" w:hAnsi="Verdana" w:cs="Arial"/>
              </w:rPr>
              <w:t>en</w:t>
            </w:r>
            <w:r w:rsidRPr="00542544">
              <w:rPr>
                <w:rFonts w:ascii="Verdana" w:hAnsi="Verdana" w:cs="Arial"/>
                <w:spacing w:val="46"/>
              </w:rPr>
              <w:t xml:space="preserve"> </w:t>
            </w:r>
            <w:r w:rsidRPr="00542544">
              <w:rPr>
                <w:rFonts w:ascii="Verdana" w:hAnsi="Verdana" w:cs="Arial"/>
              </w:rPr>
              <w:t>virtud</w:t>
            </w:r>
            <w:r w:rsidRPr="00542544">
              <w:rPr>
                <w:rFonts w:ascii="Verdana" w:hAnsi="Verdana" w:cs="Arial"/>
                <w:spacing w:val="43"/>
              </w:rPr>
              <w:t xml:space="preserve"> </w:t>
            </w:r>
            <w:r w:rsidRPr="00542544">
              <w:rPr>
                <w:rFonts w:ascii="Verdana" w:hAnsi="Verdana" w:cs="Arial"/>
              </w:rPr>
              <w:t>de</w:t>
            </w:r>
            <w:r w:rsidRPr="00542544">
              <w:rPr>
                <w:rFonts w:ascii="Verdana" w:hAnsi="Verdana" w:cs="Arial"/>
                <w:spacing w:val="44"/>
              </w:rPr>
              <w:t xml:space="preserve"> </w:t>
            </w:r>
            <w:r w:rsidRPr="00542544">
              <w:rPr>
                <w:rFonts w:ascii="Verdana" w:hAnsi="Verdana" w:cs="Arial"/>
              </w:rPr>
              <w:t>la</w:t>
            </w:r>
            <w:r w:rsidRPr="00542544">
              <w:rPr>
                <w:rFonts w:ascii="Verdana" w:hAnsi="Verdana" w:cs="Arial"/>
                <w:spacing w:val="43"/>
              </w:rPr>
              <w:t xml:space="preserve"> </w:t>
            </w:r>
            <w:r w:rsidRPr="00542544">
              <w:rPr>
                <w:rFonts w:ascii="Verdana" w:hAnsi="Verdana" w:cs="Arial"/>
              </w:rPr>
              <w:t>ley, también pueden hacerlo los consorcios y las uniones temporales.</w:t>
            </w:r>
          </w:p>
          <w:p w14:paraId="6B3913E6" w14:textId="0AC64357" w:rsidR="007C5F7B" w:rsidRPr="00542544" w:rsidRDefault="007C5F7B" w:rsidP="007037F3">
            <w:pPr>
              <w:spacing w:line="276" w:lineRule="auto"/>
              <w:ind w:firstLine="709"/>
              <w:jc w:val="both"/>
              <w:rPr>
                <w:rFonts w:ascii="Verdana" w:hAnsi="Verdana" w:cs="Arial"/>
              </w:rPr>
            </w:pPr>
            <w:r w:rsidRPr="00542544">
              <w:rPr>
                <w:rFonts w:ascii="Verdana" w:eastAsia="Calibri" w:hAnsi="Verdana" w:cs="Arial"/>
                <w:color w:val="000000" w:themeColor="text1"/>
              </w:rPr>
              <w:t>Finalmente</w:t>
            </w:r>
            <w:r w:rsidRPr="00542544">
              <w:rPr>
                <w:rFonts w:ascii="Verdana" w:eastAsia="Calibri" w:hAnsi="Verdana" w:cs="Arial"/>
                <w:lang w:val="es-ES"/>
              </w:rPr>
              <w:t>, es importante aclarar que, teniendo</w:t>
            </w:r>
            <w:r w:rsidRPr="007037F3">
              <w:rPr>
                <w:rFonts w:ascii="Verdana" w:hAnsi="Verdana"/>
              </w:rPr>
              <w:t xml:space="preserve"> </w:t>
            </w:r>
            <w:r w:rsidRPr="00542544">
              <w:rPr>
                <w:rFonts w:ascii="Verdana" w:eastAsia="Calibri" w:hAnsi="Verdana" w:cs="Arial"/>
                <w:lang w:val="es-ES"/>
              </w:rPr>
              <w:t xml:space="preserve">en cuenta que esta entidad solo tiene competencia para responder solicitudes sobre la aplicación de normas de carácter general en materia de compras y contratación pública, </w:t>
            </w:r>
            <w:r w:rsidRPr="00542544">
              <w:rPr>
                <w:rFonts w:ascii="Verdana" w:eastAsia="Calibri" w:hAnsi="Verdana" w:cs="Arial"/>
                <w:i/>
                <w:lang w:val="es-ES"/>
              </w:rPr>
              <w:t xml:space="preserve">NO es la idónea para establecer la validez de la situación descrita en su consulta. </w:t>
            </w:r>
            <w:r w:rsidRPr="00542544">
              <w:rPr>
                <w:rFonts w:ascii="Verdana" w:eastAsia="Calibri" w:hAnsi="Verdana" w:cs="Arial"/>
                <w:lang w:val="es-ES"/>
              </w:rPr>
              <w:t>Lo anterior</w:t>
            </w:r>
            <w:r w:rsidRPr="00AA7FE8">
              <w:rPr>
                <w:rFonts w:ascii="Verdana" w:eastAsia="Calibri" w:hAnsi="Verdana" w:cs="Arial"/>
                <w:color w:val="000000" w:themeColor="text1"/>
              </w:rPr>
              <w:t xml:space="preserve"> </w:t>
            </w:r>
            <w:r w:rsidRPr="007C1489">
              <w:rPr>
                <w:rFonts w:ascii="Verdana" w:eastAsia="Calibri" w:hAnsi="Verdana" w:cs="Arial"/>
                <w:color w:val="000000" w:themeColor="text1"/>
              </w:rPr>
              <w:t>debido a que la competencia consultiva se fija con límites claros, con el objeto de</w:t>
            </w:r>
            <w:r w:rsidRPr="00542544">
              <w:rPr>
                <w:rFonts w:ascii="Verdana" w:eastAsia="Calibri" w:hAnsi="Verdana" w:cs="Arial"/>
                <w:color w:val="000000" w:themeColor="text1"/>
              </w:rPr>
              <w:t xml:space="preserv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tc>
      </w:tr>
    </w:tbl>
    <w:p w14:paraId="0399104E" w14:textId="77777777" w:rsidR="007C5F7B" w:rsidRPr="00542544" w:rsidRDefault="007C5F7B" w:rsidP="007C5F7B">
      <w:pPr>
        <w:tabs>
          <w:tab w:val="left" w:pos="142"/>
          <w:tab w:val="left" w:pos="284"/>
        </w:tabs>
        <w:spacing w:after="0" w:line="276" w:lineRule="auto"/>
        <w:jc w:val="both"/>
        <w:rPr>
          <w:rFonts w:ascii="Verdana" w:eastAsia="Century Gothic" w:hAnsi="Verdana" w:cs="Century Gothic"/>
          <w:b/>
          <w:bCs/>
          <w:lang w:val="es-ES"/>
        </w:rPr>
      </w:pPr>
    </w:p>
    <w:p w14:paraId="22132773" w14:textId="77777777" w:rsidR="007C5F7B" w:rsidRPr="00542544" w:rsidRDefault="007C5F7B" w:rsidP="007C5F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544">
        <w:rPr>
          <w:rFonts w:ascii="Verdana" w:eastAsia="Century Gothic" w:hAnsi="Verdana" w:cs="Century Gothic"/>
          <w:b/>
          <w:bCs/>
        </w:rPr>
        <w:t>Razones de la respuesta:</w:t>
      </w:r>
    </w:p>
    <w:p w14:paraId="53DD3992" w14:textId="77777777" w:rsidR="007C5F7B" w:rsidRPr="00AA7FE8" w:rsidRDefault="007C5F7B" w:rsidP="007C5F7B">
      <w:pPr>
        <w:spacing w:after="0" w:line="276" w:lineRule="auto"/>
        <w:jc w:val="both"/>
        <w:rPr>
          <w:rFonts w:ascii="Verdana" w:eastAsia="Calibri" w:hAnsi="Verdana" w:cs="Arial"/>
          <w:lang w:val="es-ES"/>
        </w:rPr>
      </w:pPr>
    </w:p>
    <w:p w14:paraId="68F68B3A" w14:textId="77777777" w:rsidR="007C5F7B" w:rsidRPr="00542544" w:rsidRDefault="007C5F7B" w:rsidP="007C5F7B">
      <w:pPr>
        <w:spacing w:after="0" w:line="276" w:lineRule="auto"/>
        <w:jc w:val="both"/>
        <w:rPr>
          <w:rFonts w:ascii="Verdana" w:eastAsia="Calibri" w:hAnsi="Verdana" w:cs="Arial"/>
          <w:lang w:val="es-ES"/>
        </w:rPr>
      </w:pPr>
      <w:r w:rsidRPr="00542544">
        <w:rPr>
          <w:rFonts w:ascii="Verdana" w:eastAsia="Calibri" w:hAnsi="Verdana" w:cs="Arial"/>
          <w:lang w:val="es-ES"/>
        </w:rPr>
        <w:t xml:space="preserve">Lo anterior se sustenta en las siguientes consideraciones: </w:t>
      </w:r>
    </w:p>
    <w:p w14:paraId="55480D35" w14:textId="77777777" w:rsidR="007C5F7B" w:rsidRPr="00542544" w:rsidRDefault="007C5F7B" w:rsidP="007C5F7B">
      <w:pPr>
        <w:spacing w:after="0" w:line="276" w:lineRule="auto"/>
        <w:jc w:val="both"/>
        <w:rPr>
          <w:rFonts w:ascii="Verdana" w:eastAsia="Calibri" w:hAnsi="Verdana" w:cs="Arial"/>
          <w:lang w:val="es-ES"/>
        </w:rPr>
      </w:pPr>
    </w:p>
    <w:p w14:paraId="482F7BA0" w14:textId="77777777" w:rsidR="007C5F7B" w:rsidRPr="00542544" w:rsidRDefault="007C5F7B" w:rsidP="007037F3">
      <w:pPr>
        <w:spacing w:after="120" w:line="276" w:lineRule="auto"/>
        <w:jc w:val="both"/>
        <w:rPr>
          <w:rFonts w:ascii="Verdana" w:hAnsi="Verdana" w:cs="Arial"/>
          <w:lang w:val="es-ES"/>
        </w:rPr>
      </w:pPr>
      <w:r w:rsidRPr="00542544">
        <w:rPr>
          <w:rFonts w:ascii="Verdana" w:hAnsi="Verdana" w:cs="Arial"/>
          <w:lang w:val="es-ES"/>
        </w:rPr>
        <w:t>En relación con los procesos de selección sometidos al EGCAP, la Agencia Nacional de Contratación Pública – Colombia Compra Eficiente emitió el “</w:t>
      </w:r>
      <w:r w:rsidRPr="00542544">
        <w:rPr>
          <w:rFonts w:ascii="Verdana" w:hAnsi="Verdana" w:cs="Arial"/>
          <w:i/>
          <w:iCs/>
          <w:lang w:val="es-ES"/>
        </w:rPr>
        <w:t>Manual para determinar y verificar los requisitos habilitantes en los Procesos de Contratación”</w:t>
      </w:r>
      <w:r w:rsidRPr="00542544">
        <w:rPr>
          <w:rFonts w:ascii="Verdana" w:hAnsi="Verdana" w:cs="Arial"/>
          <w:lang w:val="es-ES"/>
        </w:rPr>
        <w:t xml:space="preserve">, donde precisó que estos tienen como fin primordial medir </w:t>
      </w:r>
      <w:r w:rsidRPr="00542544">
        <w:rPr>
          <w:rFonts w:ascii="Verdana" w:hAnsi="Verdana" w:cs="Arial"/>
        </w:rPr>
        <w:t>“</w:t>
      </w:r>
      <w:r w:rsidRPr="00542544">
        <w:rPr>
          <w:rFonts w:ascii="Verdana" w:hAnsi="Verdana" w:cs="Arial"/>
          <w:lang w:val="es-ES"/>
        </w:rPr>
        <w:t>la aptitud del proponente para participar en un proceso de contratación como oferente y están referidos a su capacidad jurídica, financiera, organizacional y su experiencia”. Su propósito es establecer unas condiciones mínimas para los proponentes de tal manera que la entidad estatal sólo evalúe las ofertas de aquellos que están en condiciones de cumplir con el objeto del proceso de contratación.</w:t>
      </w:r>
    </w:p>
    <w:p w14:paraId="60A68D01" w14:textId="77777777" w:rsidR="007C5F7B" w:rsidRPr="00542544" w:rsidRDefault="007C5F7B" w:rsidP="0079021F">
      <w:pPr>
        <w:spacing w:after="120" w:line="276" w:lineRule="auto"/>
        <w:ind w:firstLine="709"/>
        <w:jc w:val="both"/>
        <w:rPr>
          <w:rFonts w:ascii="Verdana" w:hAnsi="Verdana" w:cs="Arial"/>
          <w:lang w:val="es-ES"/>
        </w:rPr>
      </w:pPr>
      <w:r w:rsidRPr="00542544">
        <w:rPr>
          <w:rFonts w:ascii="Verdana" w:hAnsi="Verdana" w:cs="Arial"/>
          <w:lang w:val="es-ES"/>
        </w:rPr>
        <w:t>Las entidades estatales, durante la etapa de planeación del contrato, deben estudiar y determinar los requisitos habilitantes que establecerán en los pliegos de condiciones, los cuales deben ser adecuados y proporcionales a la naturaleza, al valor del contrato, a la forma de pago, a los riesgos, al plazo y a la complejidad de la ejecución del objeto, como lo prevén el numeral 1 del artículo 5 de la Ley 1150 de 2007 y el artículo 2.2.1.1.1.6.2 del Decreto 1082 de 2015</w:t>
      </w:r>
      <w:r w:rsidRPr="00542544">
        <w:rPr>
          <w:rFonts w:ascii="Verdana" w:hAnsi="Verdana" w:cs="Arial"/>
          <w:vertAlign w:val="superscript"/>
          <w:lang w:val="es-ES"/>
        </w:rPr>
        <w:footnoteReference w:id="3"/>
      </w:r>
      <w:r w:rsidRPr="00542544">
        <w:rPr>
          <w:rFonts w:ascii="Verdana" w:hAnsi="Verdana" w:cs="Arial"/>
          <w:lang w:val="es-ES"/>
        </w:rPr>
        <w:t xml:space="preserve">. En consecuencia, una vez los requisitos de habilitación son fijados por la </w:t>
      </w:r>
      <w:r w:rsidRPr="00AA7FE8">
        <w:rPr>
          <w:rFonts w:ascii="Verdana" w:hAnsi="Verdana" w:cs="Arial"/>
          <w:lang w:val="es-ES"/>
        </w:rPr>
        <w:t>e</w:t>
      </w:r>
      <w:r w:rsidRPr="007C1489">
        <w:rPr>
          <w:rFonts w:ascii="Verdana" w:hAnsi="Verdana" w:cs="Arial"/>
          <w:lang w:val="es-ES"/>
        </w:rPr>
        <w:t xml:space="preserve">ntidad </w:t>
      </w:r>
      <w:r w:rsidRPr="00542544">
        <w:rPr>
          <w:rFonts w:ascii="Verdana" w:hAnsi="Verdana" w:cs="Arial"/>
          <w:lang w:val="es-ES"/>
        </w:rPr>
        <w:t>estatal, quienes presenten ofertas deben acreditar que los cumplen. En caso contrario, las propuestas deberán rechazarse.</w:t>
      </w:r>
    </w:p>
    <w:p w14:paraId="707C3E12" w14:textId="77777777" w:rsidR="007C5F7B" w:rsidRPr="00542544" w:rsidRDefault="007C5F7B" w:rsidP="0079021F">
      <w:pPr>
        <w:spacing w:after="120" w:line="276" w:lineRule="auto"/>
        <w:ind w:firstLine="709"/>
        <w:jc w:val="both"/>
        <w:rPr>
          <w:rFonts w:ascii="Verdana" w:hAnsi="Verdana" w:cs="Arial"/>
          <w:lang w:val="es-ES"/>
        </w:rPr>
      </w:pPr>
      <w:r w:rsidRPr="00542544">
        <w:rPr>
          <w:rFonts w:ascii="Verdana" w:hAnsi="Verdana" w:cs="Arial"/>
          <w:lang w:val="es-ES"/>
        </w:rPr>
        <w:t>Ahora bien, en Colombia existe el Registro Único de Proponentes – RUP que se exige para un gran número de procesos de contratación. Dicho registro se convierte en el instrumento a través del cual los proponentes acreditan la capacidad financiera, jurídica, organizacional y la experiencia, y es plena prueba de las circunstancias que se hagan constar</w:t>
      </w:r>
      <w:r w:rsidRPr="00542544">
        <w:rPr>
          <w:rFonts w:ascii="Verdana" w:hAnsi="Verdana" w:cs="Arial"/>
          <w:vertAlign w:val="superscript"/>
          <w:lang w:val="es-ES"/>
        </w:rPr>
        <w:footnoteReference w:id="4"/>
      </w:r>
      <w:r w:rsidRPr="00542544">
        <w:rPr>
          <w:rFonts w:ascii="Verdana" w:hAnsi="Verdana" w:cs="Arial"/>
          <w:lang w:val="es-ES"/>
        </w:rPr>
        <w:t xml:space="preserve">. </w:t>
      </w:r>
      <w:r w:rsidRPr="00542544">
        <w:rPr>
          <w:rFonts w:ascii="Verdana" w:hAnsi="Verdana" w:cs="Arial"/>
        </w:rPr>
        <w:t xml:space="preserve">El propósito del RUP es contar </w:t>
      </w:r>
      <w:r w:rsidRPr="00542544">
        <w:rPr>
          <w:rFonts w:ascii="Verdana" w:hAnsi="Verdana" w:cs="Arial"/>
          <w:i/>
          <w:iCs/>
        </w:rPr>
        <w:t>ex-ante</w:t>
      </w:r>
      <w:r w:rsidRPr="00AA7FE8">
        <w:rPr>
          <w:rFonts w:ascii="Verdana" w:hAnsi="Verdana" w:cs="Arial"/>
        </w:rPr>
        <w:t xml:space="preserve"> con la información de los posibles interesados en procesos de compra y tener en único registro la información estándar que los interesados deben presentar en los </w:t>
      </w:r>
      <w:r w:rsidRPr="007C1489">
        <w:rPr>
          <w:rFonts w:ascii="Verdana" w:hAnsi="Verdana" w:cs="Arial"/>
        </w:rPr>
        <w:t>p</w:t>
      </w:r>
      <w:r w:rsidRPr="00542544">
        <w:rPr>
          <w:rFonts w:ascii="Verdana" w:hAnsi="Verdana" w:cs="Arial"/>
        </w:rPr>
        <w:t>rocesos de contratación</w:t>
      </w:r>
      <w:r w:rsidRPr="00542544">
        <w:rPr>
          <w:rStyle w:val="Refdenotaalpie"/>
          <w:rFonts w:ascii="Verdana" w:hAnsi="Verdana" w:cs="Arial"/>
        </w:rPr>
        <w:footnoteReference w:id="5"/>
      </w:r>
      <w:r w:rsidRPr="00542544">
        <w:rPr>
          <w:rFonts w:ascii="Verdana" w:hAnsi="Verdana" w:cs="Arial"/>
        </w:rPr>
        <w:t>.</w:t>
      </w:r>
    </w:p>
    <w:p w14:paraId="69662927" w14:textId="77777777" w:rsidR="007C5F7B" w:rsidRPr="007C1489" w:rsidRDefault="007C5F7B" w:rsidP="007037F3">
      <w:pPr>
        <w:spacing w:after="0" w:line="276" w:lineRule="auto"/>
        <w:ind w:firstLine="709"/>
        <w:jc w:val="both"/>
        <w:rPr>
          <w:rFonts w:ascii="Verdana" w:hAnsi="Verdana" w:cs="Arial"/>
          <w:lang w:val="es-ES"/>
        </w:rPr>
      </w:pPr>
      <w:r w:rsidRPr="00AA7FE8">
        <w:rPr>
          <w:rFonts w:ascii="Verdana" w:hAnsi="Verdana" w:cs="Arial"/>
          <w:lang w:val="es-ES"/>
        </w:rPr>
        <w:t xml:space="preserve">En efecto, el artículo 6 de la Ley 1150 de 2007 prevé </w:t>
      </w:r>
      <w:r w:rsidRPr="007C1489">
        <w:rPr>
          <w:rFonts w:ascii="Verdana" w:hAnsi="Verdana" w:cs="Arial"/>
          <w:lang w:val="es-ES"/>
        </w:rPr>
        <w:t>lo siguiente:</w:t>
      </w:r>
    </w:p>
    <w:p w14:paraId="0F45BDAC" w14:textId="77777777" w:rsidR="007C5F7B" w:rsidRPr="00542544" w:rsidRDefault="007C5F7B" w:rsidP="007C5F7B">
      <w:pPr>
        <w:spacing w:after="0" w:line="276" w:lineRule="auto"/>
        <w:ind w:firstLine="708"/>
        <w:jc w:val="both"/>
        <w:rPr>
          <w:rFonts w:ascii="Verdana" w:hAnsi="Verdana" w:cs="Arial"/>
          <w:lang w:val="es-ES"/>
        </w:rPr>
      </w:pPr>
    </w:p>
    <w:p w14:paraId="018A36AC" w14:textId="77777777" w:rsidR="007C5F7B" w:rsidRPr="00542544" w:rsidRDefault="007C5F7B" w:rsidP="007C1489">
      <w:pPr>
        <w:spacing w:after="0" w:line="240" w:lineRule="auto"/>
        <w:ind w:left="709" w:right="709"/>
        <w:jc w:val="both"/>
        <w:rPr>
          <w:rFonts w:ascii="Verdana" w:hAnsi="Verdana" w:cs="Arial"/>
          <w:sz w:val="20"/>
          <w:szCs w:val="20"/>
        </w:rPr>
      </w:pPr>
      <w:r w:rsidRPr="00542544">
        <w:rPr>
          <w:rFonts w:ascii="Verdana" w:hAnsi="Verdana" w:cs="Arial"/>
          <w:sz w:val="20"/>
          <w:szCs w:val="20"/>
        </w:rPr>
        <w:t>Artículo 6. </w:t>
      </w:r>
      <w:r w:rsidRPr="00542544">
        <w:rPr>
          <w:rFonts w:ascii="Verdana" w:hAnsi="Verdana" w:cs="Arial"/>
          <w:i/>
          <w:iCs/>
          <w:sz w:val="20"/>
          <w:szCs w:val="20"/>
        </w:rPr>
        <w:t xml:space="preserve">De la verificación de las condiciones de los proponentes. </w:t>
      </w:r>
      <w:r w:rsidRPr="00542544">
        <w:rPr>
          <w:rFonts w:ascii="Verdana" w:hAnsi="Verdana" w:cs="Arial"/>
          <w:b/>
          <w:bCs/>
          <w:sz w:val="20"/>
          <w:szCs w:val="20"/>
        </w:rPr>
        <w:t>Todas las personas naturales o jurídicas</w:t>
      </w:r>
      <w:r w:rsidRPr="00542544">
        <w:rPr>
          <w:rFonts w:ascii="Verdana" w:hAnsi="Verdana" w:cs="Arial"/>
          <w:sz w:val="20"/>
          <w:szCs w:val="20"/>
        </w:rPr>
        <w:t xml:space="preserve"> nacionales o </w:t>
      </w:r>
      <w:r w:rsidRPr="00542544">
        <w:rPr>
          <w:rFonts w:ascii="Verdana" w:hAnsi="Verdana" w:cs="Arial"/>
          <w:b/>
          <w:bCs/>
          <w:sz w:val="20"/>
          <w:szCs w:val="20"/>
        </w:rPr>
        <w:t>extranjeras</w:t>
      </w:r>
      <w:r w:rsidRPr="00542544">
        <w:rPr>
          <w:rFonts w:ascii="Verdana" w:hAnsi="Verdana" w:cs="Arial"/>
          <w:sz w:val="20"/>
          <w:szCs w:val="20"/>
        </w:rPr>
        <w:t xml:space="preserve"> </w:t>
      </w:r>
      <w:r w:rsidRPr="00542544">
        <w:rPr>
          <w:rFonts w:ascii="Verdana" w:hAnsi="Verdana" w:cs="Arial"/>
          <w:b/>
          <w:bCs/>
          <w:sz w:val="20"/>
          <w:szCs w:val="20"/>
        </w:rPr>
        <w:t>domiciliadas o con sucursal en Colombia, que aspiren a celebrar contratos con las entidades estatales, se inscribirán en el Registro Único de Proponentes del Registro Único Empresarial de la Cámara de Comercio con jurisdicción en su domicilio principal.</w:t>
      </w:r>
      <w:r w:rsidRPr="00542544">
        <w:rPr>
          <w:rFonts w:ascii="Verdana" w:hAnsi="Verdana" w:cs="Arial"/>
          <w:sz w:val="20"/>
          <w:szCs w:val="20"/>
        </w:rPr>
        <w:t>  </w:t>
      </w:r>
    </w:p>
    <w:p w14:paraId="2E600707" w14:textId="77777777" w:rsidR="007C5F7B" w:rsidRPr="00542544" w:rsidRDefault="007C5F7B">
      <w:pPr>
        <w:spacing w:after="0" w:line="240" w:lineRule="auto"/>
        <w:ind w:left="709" w:right="709"/>
        <w:jc w:val="both"/>
        <w:rPr>
          <w:rFonts w:ascii="Verdana" w:hAnsi="Verdana" w:cs="Arial"/>
          <w:sz w:val="20"/>
          <w:szCs w:val="20"/>
        </w:rPr>
      </w:pPr>
      <w:r w:rsidRPr="00542544">
        <w:rPr>
          <w:rFonts w:ascii="Verdana" w:hAnsi="Verdana" w:cs="Arial"/>
          <w:sz w:val="20"/>
          <w:szCs w:val="20"/>
        </w:rPr>
        <w:t>  </w:t>
      </w:r>
    </w:p>
    <w:p w14:paraId="34FA6745" w14:textId="77777777" w:rsidR="007C5F7B" w:rsidRPr="00542544" w:rsidRDefault="007C5F7B">
      <w:pPr>
        <w:spacing w:after="0" w:line="240" w:lineRule="auto"/>
        <w:ind w:left="709" w:right="709"/>
        <w:jc w:val="both"/>
        <w:rPr>
          <w:rFonts w:ascii="Verdana" w:hAnsi="Verdana" w:cs="Arial"/>
          <w:sz w:val="20"/>
          <w:szCs w:val="20"/>
        </w:rPr>
      </w:pPr>
      <w:r w:rsidRPr="00542544">
        <w:rPr>
          <w:rFonts w:ascii="Verdana" w:hAnsi="Verdana" w:cs="Arial"/>
          <w:sz w:val="20"/>
          <w:szCs w:val="20"/>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05588B3D" w14:textId="77777777" w:rsidR="007C5F7B" w:rsidRPr="00542544" w:rsidRDefault="007C5F7B">
      <w:pPr>
        <w:spacing w:after="0" w:line="240" w:lineRule="auto"/>
        <w:ind w:left="709" w:right="709"/>
        <w:jc w:val="both"/>
        <w:rPr>
          <w:rFonts w:ascii="Verdana" w:hAnsi="Verdana" w:cs="Arial"/>
          <w:sz w:val="20"/>
          <w:szCs w:val="20"/>
        </w:rPr>
      </w:pPr>
      <w:r w:rsidRPr="00542544">
        <w:rPr>
          <w:rFonts w:ascii="Verdana" w:hAnsi="Verdana" w:cs="Arial"/>
          <w:sz w:val="20"/>
          <w:szCs w:val="20"/>
        </w:rPr>
        <w:t>  </w:t>
      </w:r>
    </w:p>
    <w:p w14:paraId="30E251BB" w14:textId="77777777" w:rsidR="007C5F7B" w:rsidRPr="00542544" w:rsidRDefault="007C5F7B">
      <w:pPr>
        <w:spacing w:after="0" w:line="240" w:lineRule="auto"/>
        <w:ind w:left="709" w:right="709"/>
        <w:jc w:val="both"/>
        <w:rPr>
          <w:rFonts w:ascii="Verdana" w:hAnsi="Verdana" w:cs="Arial"/>
          <w:sz w:val="20"/>
          <w:szCs w:val="20"/>
          <w:lang w:val="es-ES"/>
        </w:rPr>
      </w:pPr>
      <w:r w:rsidRPr="00542544">
        <w:rPr>
          <w:rFonts w:ascii="Verdana" w:hAnsi="Verdana" w:cs="Arial"/>
          <w:sz w:val="20"/>
          <w:szCs w:val="20"/>
        </w:rPr>
        <w:t xml:space="preserve">En dicho registro constará la información relacionada con la experiencia, capacidad jurídica, financiera y de organización del proponente y su clasificación </w:t>
      </w:r>
      <w:r w:rsidRPr="00542544">
        <w:rPr>
          <w:rFonts w:ascii="Verdana" w:hAnsi="Verdana" w:cs="Arial"/>
          <w:sz w:val="20"/>
          <w:szCs w:val="20"/>
          <w:lang w:val="es-ES"/>
        </w:rPr>
        <w:t>[…]</w:t>
      </w:r>
      <w:r w:rsidRPr="00542544">
        <w:rPr>
          <w:rFonts w:ascii="Verdana" w:hAnsi="Verdana" w:cs="Arial"/>
          <w:sz w:val="20"/>
          <w:szCs w:val="20"/>
        </w:rPr>
        <w:t>”</w:t>
      </w:r>
      <w:r w:rsidRPr="00542544">
        <w:rPr>
          <w:rFonts w:ascii="Verdana" w:hAnsi="Verdana" w:cs="Arial"/>
          <w:sz w:val="20"/>
          <w:szCs w:val="20"/>
          <w:lang w:val="es-ES"/>
        </w:rPr>
        <w:t>. [Énfasis por fuera de texto legal]</w:t>
      </w:r>
    </w:p>
    <w:p w14:paraId="7566355B" w14:textId="77777777" w:rsidR="007C5F7B" w:rsidRPr="00542544" w:rsidRDefault="007C5F7B" w:rsidP="007C5F7B">
      <w:pPr>
        <w:spacing w:after="0" w:line="240" w:lineRule="auto"/>
        <w:ind w:left="709" w:right="709"/>
        <w:jc w:val="both"/>
        <w:rPr>
          <w:rFonts w:ascii="Verdana" w:hAnsi="Verdana" w:cs="Arial"/>
          <w:lang w:val="es-ES"/>
        </w:rPr>
      </w:pPr>
    </w:p>
    <w:p w14:paraId="6D19D203" w14:textId="77777777" w:rsidR="007C5F7B" w:rsidRPr="00542544" w:rsidRDefault="007C5F7B" w:rsidP="0079021F">
      <w:pPr>
        <w:spacing w:after="120" w:line="276" w:lineRule="auto"/>
        <w:ind w:firstLine="709"/>
        <w:jc w:val="both"/>
        <w:rPr>
          <w:rFonts w:ascii="Verdana" w:hAnsi="Verdana" w:cs="Arial"/>
          <w:lang w:val="es-ES"/>
        </w:rPr>
      </w:pPr>
      <w:r w:rsidRPr="00542544">
        <w:rPr>
          <w:rFonts w:ascii="Verdana" w:hAnsi="Verdana" w:cs="Arial"/>
          <w:lang w:val="es-ES"/>
        </w:rPr>
        <w:t>Así mismo, la misma norma establece que el RUP</w:t>
      </w:r>
      <w:r w:rsidRPr="007037F3">
        <w:rPr>
          <w:rFonts w:ascii="Verdana" w:hAnsi="Verdana" w:cs="Arial"/>
          <w:color w:val="000000"/>
          <w:sz w:val="21"/>
          <w:szCs w:val="21"/>
        </w:rPr>
        <w:t xml:space="preserve"> </w:t>
      </w:r>
      <w:r w:rsidRPr="00542544">
        <w:rPr>
          <w:rFonts w:ascii="Verdana" w:hAnsi="Verdana" w:cs="Arial"/>
        </w:rPr>
        <w:t>será plena prueba de las circunstancias que en ella se hagan constar y que hayan sido verificadas por las cámaras de c</w:t>
      </w:r>
      <w:r w:rsidRPr="007C1489">
        <w:rPr>
          <w:rFonts w:ascii="Verdana" w:hAnsi="Verdana" w:cs="Arial"/>
        </w:rPr>
        <w:t>omercio. En consecuencia</w:t>
      </w:r>
      <w:r w:rsidRPr="00542544">
        <w:rPr>
          <w:rFonts w:ascii="Verdana" w:hAnsi="Verdana" w:cs="Arial"/>
        </w:rPr>
        <w:t>, la verificación de las condiciones establecidas en el numeral 1 del artículo 5 de la Ley 1150 de 2007, se demostrará exclusivamente con el respectivo certificado del RUP donde consten las condiciones del proponente extranjero. En ese orden, las entidades estatales no pueden ni tienen autorizado la exigencia de documentos distintos al RUP, así como también tienen los proponentes proscritos la posibilidad de aportar documentación que deba presentarse para la inscripción en el RUP. </w:t>
      </w:r>
    </w:p>
    <w:p w14:paraId="129ABF8B" w14:textId="08C56FC3" w:rsidR="007C5F7B" w:rsidRPr="00542544" w:rsidRDefault="007C5F7B" w:rsidP="0079021F">
      <w:pPr>
        <w:spacing w:after="120" w:line="276" w:lineRule="auto"/>
        <w:ind w:firstLine="709"/>
        <w:jc w:val="both"/>
        <w:rPr>
          <w:rFonts w:ascii="Verdana" w:hAnsi="Verdana" w:cs="Arial"/>
          <w:lang w:val="es-ES"/>
        </w:rPr>
      </w:pPr>
      <w:r w:rsidRPr="00542544">
        <w:rPr>
          <w:rFonts w:ascii="Verdana" w:hAnsi="Verdana" w:cs="Arial"/>
          <w:lang w:val="es-ES"/>
        </w:rPr>
        <w:t xml:space="preserve">No obstante, lo anterior, las personas naturales o jurídicas extranjeras, con domicilio o sucursal en Colombia, están obligadas a inscribirse en el Registro </w:t>
      </w:r>
      <w:r w:rsidR="007C1489">
        <w:rPr>
          <w:rFonts w:ascii="Verdana" w:hAnsi="Verdana" w:cs="Arial"/>
          <w:lang w:val="es-ES"/>
        </w:rPr>
        <w:t>Ú</w:t>
      </w:r>
      <w:r w:rsidRPr="00542544">
        <w:rPr>
          <w:rFonts w:ascii="Verdana" w:hAnsi="Verdana" w:cs="Arial"/>
          <w:lang w:val="es-ES"/>
        </w:rPr>
        <w:t xml:space="preserve">nico de Proponentes – RUP, con excepción de aquellos proponentes o proveedores </w:t>
      </w:r>
      <w:r w:rsidRPr="00542544">
        <w:rPr>
          <w:rFonts w:ascii="Verdana" w:hAnsi="Verdana" w:cs="Arial"/>
        </w:rPr>
        <w:t xml:space="preserve">extranjeros sin domicilio ni sucursal en Colombia, de manera que estos últimos deben acreditar esta información directamente ante la entidad estatal que adelanta el proceso de contratación en la forma indicada en los pliegos de condiciones. </w:t>
      </w:r>
      <w:r w:rsidRPr="00542544">
        <w:rPr>
          <w:rFonts w:ascii="Verdana" w:hAnsi="Verdana" w:cs="Arial"/>
          <w:lang w:val="es-ES"/>
        </w:rPr>
        <w:t xml:space="preserve">Sobre este punto, como lo expuso la Agencia Nacional de Contratación Pública – Colombia Compra Eficiente, en el </w:t>
      </w:r>
      <w:r w:rsidRPr="00542544">
        <w:rPr>
          <w:rFonts w:ascii="Verdana" w:hAnsi="Verdana" w:cs="Arial"/>
          <w:i/>
          <w:iCs/>
          <w:lang w:val="es-ES"/>
        </w:rPr>
        <w:t>“Manual para Determinar y Verificar los Requisitos Habilitantes en los Procesos de Contratación”</w:t>
      </w:r>
      <w:r w:rsidRPr="00542544">
        <w:rPr>
          <w:rFonts w:ascii="Verdana" w:hAnsi="Verdana" w:cs="Arial"/>
          <w:lang w:val="es-ES"/>
        </w:rPr>
        <w:t>, se sugiere “incluir en los pliegos de condiciones modelos de certificados con los cuales los proponentes acrediten los requisitos habilitantes”</w:t>
      </w:r>
      <w:r w:rsidRPr="00542544">
        <w:rPr>
          <w:rStyle w:val="Refdenotaalpie"/>
          <w:rFonts w:ascii="Verdana" w:hAnsi="Verdana" w:cs="Arial"/>
          <w:lang w:val="es-ES"/>
        </w:rPr>
        <w:footnoteReference w:id="6"/>
      </w:r>
      <w:r w:rsidRPr="00542544">
        <w:rPr>
          <w:rFonts w:ascii="Verdana" w:hAnsi="Verdana" w:cs="Arial"/>
          <w:lang w:val="es-ES"/>
        </w:rPr>
        <w:t>.</w:t>
      </w:r>
    </w:p>
    <w:p w14:paraId="55B2F41D" w14:textId="77777777" w:rsidR="007C5F7B" w:rsidRPr="00542544" w:rsidRDefault="007C5F7B" w:rsidP="0079021F">
      <w:pPr>
        <w:spacing w:after="120" w:line="276" w:lineRule="auto"/>
        <w:ind w:firstLine="709"/>
        <w:jc w:val="both"/>
        <w:rPr>
          <w:rFonts w:ascii="Verdana" w:eastAsia="Arial MT" w:hAnsi="Verdana" w:cs="Arial"/>
          <w:lang w:eastAsia="es-ES" w:bidi="es-ES"/>
        </w:rPr>
      </w:pPr>
      <w:r w:rsidRPr="007C1489">
        <w:rPr>
          <w:rFonts w:ascii="Verdana" w:eastAsia="Arial MT" w:hAnsi="Verdana" w:cs="Arial"/>
          <w:lang w:eastAsia="es-ES" w:bidi="es-ES"/>
        </w:rPr>
        <w:t xml:space="preserve">Lo expuesto se encuentra en consonancia con lo regulado en el artículo </w:t>
      </w:r>
      <w:r w:rsidRPr="00542544">
        <w:rPr>
          <w:rFonts w:ascii="Verdana" w:eastAsia="Arial MT" w:hAnsi="Verdana" w:cs="Arial"/>
          <w:lang w:eastAsia="es-ES" w:bidi="es-ES"/>
        </w:rPr>
        <w:t>2.2.1.1.1.5.1. del Decreto 1082 de 2015, según el cual,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4D4BD45A" w14:textId="77777777" w:rsidR="007C5F7B" w:rsidRPr="00542544" w:rsidRDefault="007C5F7B" w:rsidP="0079021F">
      <w:pPr>
        <w:spacing w:after="120" w:line="276" w:lineRule="auto"/>
        <w:ind w:firstLine="709"/>
        <w:jc w:val="both"/>
        <w:rPr>
          <w:rFonts w:ascii="Verdana" w:eastAsia="Arial MT" w:hAnsi="Verdana" w:cs="Arial"/>
          <w:lang w:eastAsia="es-ES" w:bidi="es-ES"/>
        </w:rPr>
      </w:pPr>
      <w:r w:rsidRPr="00542544">
        <w:rPr>
          <w:rFonts w:ascii="Verdana" w:eastAsia="Arial MT" w:hAnsi="Verdana" w:cs="Arial"/>
          <w:lang w:eastAsia="es-ES" w:bidi="es-ES"/>
        </w:rPr>
        <w:t xml:space="preserve">En suma, de conformidad con el artículo 6 de la Ley 1150 de 2007 y el artículo 2.2.1.1.1.5.1. del Decreto 1082 de 2015, dentro de los sujetos obligados a inscribirse en el </w:t>
      </w:r>
      <w:r w:rsidRPr="00542544">
        <w:rPr>
          <w:rFonts w:ascii="Verdana" w:eastAsia="Arial MT" w:hAnsi="Verdana" w:cs="Arial"/>
          <w:lang w:val="es-ES" w:eastAsia="es-ES" w:bidi="es-ES"/>
        </w:rPr>
        <w:t xml:space="preserve">Registro Único de Proponentes – RUP del Registro Único Empresarial de la Cámara de Comercio </w:t>
      </w:r>
      <w:r w:rsidRPr="00542544">
        <w:rPr>
          <w:rFonts w:ascii="Verdana" w:eastAsia="Arial MT" w:hAnsi="Verdana" w:cs="Arial"/>
          <w:lang w:eastAsia="es-ES" w:bidi="es-ES"/>
        </w:rPr>
        <w:t xml:space="preserve">se encuentran las personas naturales o jurídicas extranjeras con domicilio o con sucursal en Colombia, en los siguientes dos casos: a) cuando el procedimiento de contratación en el que participarán sea de aquellos en los cuales no se exceptúa el RUP, de acuerdo con el inciso segundo del artículo 6 de la Ley 1150 de 2007 y b) cuando pretendan celebrar contratos estatales. De manera que solo quedarían exceptuadas de esta obligación de inscripción en el RUP las personas extranjeras sin domicilio o sucursal en Colombia. </w:t>
      </w:r>
    </w:p>
    <w:p w14:paraId="119BCF99" w14:textId="195D3F05" w:rsidR="007C1489" w:rsidRDefault="007C5F7B" w:rsidP="0079021F">
      <w:pPr>
        <w:spacing w:after="120" w:line="276" w:lineRule="auto"/>
        <w:ind w:firstLine="709"/>
        <w:jc w:val="both"/>
        <w:rPr>
          <w:rFonts w:ascii="Verdana" w:eastAsia="Arial MT" w:hAnsi="Verdana" w:cs="Arial"/>
          <w:lang w:eastAsia="es-ES" w:bidi="es-ES"/>
        </w:rPr>
      </w:pPr>
      <w:r w:rsidRPr="00542544">
        <w:rPr>
          <w:rFonts w:ascii="Verdana" w:eastAsia="Arial MT" w:hAnsi="Verdana" w:cs="Arial"/>
          <w:lang w:eastAsia="es-ES" w:bidi="es-ES"/>
        </w:rPr>
        <w:t xml:space="preserve">En otras palabras, las personas extranjeras con sucursal en Colombia deberán cumplir siempre con los requisitos habilitantes establecidos por la entidad estatal en los procesos de selección de contratistas en los que se presenten. Ahora bien, la acreditación de tales requisitos habilitantes dependerá del procedimiento de selección y la naturaleza del objeto a contratar. En ese sentido, la acreditación deberá efectuarse mediante el RUP si el procedimiento de contratación en el que participarán es parte de aquellos en los cuales no se exceptúa el RUP y resulta obligatoria su exigencia. </w:t>
      </w:r>
    </w:p>
    <w:p w14:paraId="711E5609" w14:textId="033B3639" w:rsidR="007C5F7B" w:rsidRPr="00542544" w:rsidRDefault="007C5F7B" w:rsidP="0079021F">
      <w:pPr>
        <w:spacing w:after="120" w:line="276" w:lineRule="auto"/>
        <w:ind w:firstLine="709"/>
        <w:jc w:val="both"/>
        <w:rPr>
          <w:rFonts w:ascii="Verdana" w:eastAsia="Arial MT" w:hAnsi="Verdana" w:cs="Arial"/>
          <w:lang w:eastAsia="es-ES" w:bidi="es-ES"/>
        </w:rPr>
      </w:pPr>
      <w:r w:rsidRPr="007C1489">
        <w:rPr>
          <w:rFonts w:ascii="Verdana" w:eastAsia="Arial MT" w:hAnsi="Verdana" w:cs="Arial"/>
          <w:lang w:eastAsia="es-ES" w:bidi="es-ES"/>
        </w:rPr>
        <w:t>Por otro lado, si el procedimiento de contratación hace parte de los procedimientos exceptuados a los que hace referencia el inciso segundo del artículo 6 de la Ley 1150 de 2007, la entidad estatal deberá verificar directamente el cumplimiento de los requisitos habilitantes mediante documentos adicionales</w:t>
      </w:r>
      <w:r w:rsidRPr="00542544">
        <w:rPr>
          <w:rFonts w:ascii="Verdana" w:eastAsia="Arial MT" w:hAnsi="Verdana" w:cs="Arial"/>
          <w:lang w:eastAsia="es-ES" w:bidi="es-ES"/>
        </w:rPr>
        <w:t xml:space="preserve"> que acrediten la información referente a experiencia, capacidad jurídica, financiera y de organización. Adicionalmente, es deber de las entidades estatales verificar que dichas personas extranjeras, con sucursal en Colombia, acrediten que su duración no será inferior a la del plazo del contrato y un año más.</w:t>
      </w:r>
    </w:p>
    <w:p w14:paraId="33D79334" w14:textId="77777777" w:rsidR="007C5F7B" w:rsidRPr="00542544" w:rsidRDefault="007C5F7B" w:rsidP="0079021F">
      <w:pPr>
        <w:spacing w:after="120" w:line="276" w:lineRule="auto"/>
        <w:ind w:firstLine="709"/>
        <w:jc w:val="both"/>
        <w:rPr>
          <w:rFonts w:ascii="Verdana" w:eastAsia="Arial MT" w:hAnsi="Verdana" w:cs="Arial"/>
          <w:lang w:eastAsia="es-ES" w:bidi="es-ES"/>
        </w:rPr>
      </w:pPr>
      <w:r w:rsidRPr="00542544">
        <w:rPr>
          <w:rFonts w:ascii="Verdana" w:eastAsia="Calibri" w:hAnsi="Verdana" w:cs="Arial"/>
          <w:color w:val="000000" w:themeColor="text1"/>
          <w:lang w:val="es-ES"/>
        </w:rPr>
        <w:t xml:space="preserve"> </w:t>
      </w:r>
      <w:r w:rsidRPr="00542544">
        <w:rPr>
          <w:rFonts w:ascii="Verdana" w:eastAsia="Arial MT" w:hAnsi="Verdana" w:cs="Arial"/>
          <w:lang w:eastAsia="es-ES" w:bidi="es-ES"/>
        </w:rPr>
        <w:t>Explicado lo anterior, y de acuerdo con los problemas jurídicos propuestos, a continuación, abordamos los requisitos existentes para la celebración de contratos sometidos al EGCAP. En ese orden, el proponente extranjero que ha cumplido con los requisitos habilitantes establecidos por la entidad estatal en el pliego de condiciones, y luego de que la entidad estatal ha finalizado la etapa de evaluación de las propuestas, si la oferta del proponente extranjero resulta ser la mejor oferta, aquello se traduce en que será adjudicatorio en un proceso de contratación. De manera que vale la pena revisar los requisitos dispuestos por la normativa para que el adjudicatario extranjero celebre el contrato estatal, en los términos del artículo 41 de la Ley 80 de 1993.</w:t>
      </w:r>
    </w:p>
    <w:p w14:paraId="7036F626" w14:textId="77777777" w:rsidR="007C5F7B" w:rsidRPr="00542544" w:rsidRDefault="007C5F7B" w:rsidP="0079021F">
      <w:pPr>
        <w:spacing w:after="120" w:line="276" w:lineRule="auto"/>
        <w:ind w:firstLine="709"/>
        <w:jc w:val="both"/>
        <w:rPr>
          <w:rFonts w:ascii="Verdana" w:hAnsi="Verdana" w:cs="Arial"/>
        </w:rPr>
      </w:pPr>
      <w:r w:rsidRPr="00542544">
        <w:rPr>
          <w:rFonts w:ascii="Verdana" w:eastAsia="Calibri" w:hAnsi="Verdana" w:cs="Arial"/>
          <w:bCs/>
          <w:color w:val="000000" w:themeColor="text1"/>
          <w:lang w:val="es-ES_tradnl"/>
        </w:rPr>
        <w:t xml:space="preserve">Al respecto, </w:t>
      </w:r>
      <w:r w:rsidRPr="00542544">
        <w:rPr>
          <w:rFonts w:ascii="Verdana" w:hAnsi="Verdana" w:cs="Arial"/>
          <w:color w:val="000000" w:themeColor="text1"/>
        </w:rPr>
        <w:t>es necesario tener en cuenta que el artículo 469 del Código de Comercio define a la sociedad extrajera como “aquella constituida conforme a la ley de otro país y con domicilio principal en el exterior”. A su vez, el artículo 471 del Código de Comercio dispone que “Para que una sociedad extranjera pueda emprender negocios permanentes en Colombia, establecerá una sucursal con domicilio en el territorio nacional […]”, cumpliendo con los siguientes requisitos: i</w:t>
      </w:r>
      <w:r w:rsidRPr="00542544">
        <w:rPr>
          <w:rFonts w:ascii="Verdana" w:hAnsi="Verdana" w:cs="Arial"/>
        </w:rPr>
        <w:t>) p</w:t>
      </w:r>
      <w:r w:rsidRPr="00542544">
        <w:rPr>
          <w:rFonts w:ascii="Verdana" w:hAnsi="Verdana" w:cs="Arial"/>
          <w:color w:val="000000"/>
        </w:rPr>
        <w:t xml:space="preserve">rotocolizar en una notaría del lugar elegido para su domicilio en el país copias auténticas del documento de su fundación, de sus estatutos, la resolución o el acto que acordó su establecimiento en Colombia y de los que acrediten que existe la sociedad y la personería de sus representantes y; ii) obtener permiso para funcionar en el país de parte de la Superintendencia de Sociedades o de la Superintendencia Bancaria, según el caso. </w:t>
      </w:r>
    </w:p>
    <w:p w14:paraId="078DFBDB" w14:textId="77777777" w:rsidR="007C5F7B" w:rsidRPr="00542544" w:rsidRDefault="007C5F7B" w:rsidP="007037F3">
      <w:pPr>
        <w:spacing w:after="0" w:line="276" w:lineRule="auto"/>
        <w:ind w:right="51" w:firstLine="709"/>
        <w:jc w:val="both"/>
        <w:rPr>
          <w:rFonts w:ascii="Verdana" w:hAnsi="Verdana" w:cs="Arial"/>
          <w:color w:val="000000" w:themeColor="text1"/>
          <w:lang w:val="es-MX"/>
        </w:rPr>
      </w:pPr>
      <w:r w:rsidRPr="00542544">
        <w:rPr>
          <w:rFonts w:ascii="Verdana" w:hAnsi="Verdana" w:cs="Arial"/>
          <w:color w:val="000000" w:themeColor="text1"/>
          <w:lang w:val="es-MX"/>
        </w:rPr>
        <w:t xml:space="preserve">Por su parte, el artículo 474 del Código de Comercio entiende por actividades permanentes para efectos del artículo 471: </w:t>
      </w:r>
    </w:p>
    <w:p w14:paraId="6D03B156" w14:textId="77777777" w:rsidR="007C5F7B" w:rsidRPr="00542544" w:rsidRDefault="007C5F7B" w:rsidP="007C5F7B">
      <w:pPr>
        <w:spacing w:after="0" w:line="276" w:lineRule="auto"/>
        <w:ind w:right="49"/>
        <w:jc w:val="both"/>
        <w:rPr>
          <w:rFonts w:ascii="Verdana" w:hAnsi="Verdana" w:cs="Arial"/>
          <w:color w:val="000000" w:themeColor="text1"/>
        </w:rPr>
      </w:pPr>
    </w:p>
    <w:p w14:paraId="41B71399" w14:textId="77777777" w:rsidR="007C5F7B" w:rsidRPr="00542544" w:rsidRDefault="007C5F7B" w:rsidP="007037F3">
      <w:pPr>
        <w:spacing w:after="0" w:line="240" w:lineRule="auto"/>
        <w:ind w:left="709" w:right="709"/>
        <w:jc w:val="both"/>
        <w:rPr>
          <w:rFonts w:ascii="Verdana" w:hAnsi="Verdana" w:cs="Arial"/>
          <w:color w:val="000000" w:themeColor="text1"/>
          <w:sz w:val="20"/>
          <w:szCs w:val="20"/>
          <w:lang w:val="es-MX"/>
        </w:rPr>
      </w:pPr>
      <w:r w:rsidRPr="00542544">
        <w:rPr>
          <w:rFonts w:ascii="Verdana" w:hAnsi="Verdana" w:cs="Arial"/>
          <w:color w:val="000000" w:themeColor="text1"/>
          <w:sz w:val="20"/>
          <w:szCs w:val="20"/>
        </w:rPr>
        <w:t>“1) Abrir dentro del territorio de la República establecimientos mercantiles u oficinas de negocios aunque éstas solamente tengan un carácter técnico o de asesoría;</w:t>
      </w:r>
    </w:p>
    <w:p w14:paraId="2777A907" w14:textId="77777777" w:rsidR="007C5F7B" w:rsidRPr="00542544" w:rsidRDefault="007C5F7B" w:rsidP="007037F3">
      <w:pPr>
        <w:spacing w:after="0" w:line="240" w:lineRule="auto"/>
        <w:ind w:left="709" w:right="709"/>
        <w:jc w:val="both"/>
        <w:rPr>
          <w:rFonts w:ascii="Verdana" w:hAnsi="Verdana" w:cs="Arial"/>
          <w:color w:val="000000" w:themeColor="text1"/>
          <w:sz w:val="20"/>
          <w:szCs w:val="20"/>
        </w:rPr>
      </w:pPr>
      <w:r w:rsidRPr="00542544">
        <w:rPr>
          <w:rFonts w:ascii="Verdana" w:hAnsi="Verdana" w:cs="Arial"/>
          <w:b/>
          <w:bCs/>
          <w:color w:val="000000" w:themeColor="text1"/>
          <w:sz w:val="20"/>
          <w:szCs w:val="20"/>
        </w:rPr>
        <w:t>2)</w:t>
      </w:r>
      <w:r w:rsidRPr="00542544">
        <w:rPr>
          <w:rFonts w:ascii="Verdana" w:hAnsi="Verdana" w:cs="Arial"/>
          <w:color w:val="000000" w:themeColor="text1"/>
          <w:sz w:val="20"/>
          <w:szCs w:val="20"/>
        </w:rPr>
        <w:t xml:space="preserve"> </w:t>
      </w:r>
      <w:r w:rsidRPr="00542544">
        <w:rPr>
          <w:rFonts w:ascii="Verdana" w:hAnsi="Verdana" w:cs="Arial"/>
          <w:b/>
          <w:bCs/>
          <w:color w:val="000000" w:themeColor="text1"/>
          <w:sz w:val="20"/>
          <w:szCs w:val="20"/>
        </w:rPr>
        <w:t>Intervenir como contratista en la ejecución de obras o en la prestación de servicios</w:t>
      </w:r>
      <w:r w:rsidRPr="00542544">
        <w:rPr>
          <w:rFonts w:ascii="Verdana" w:hAnsi="Verdana" w:cs="Arial"/>
          <w:color w:val="000000" w:themeColor="text1"/>
          <w:sz w:val="20"/>
          <w:szCs w:val="20"/>
        </w:rPr>
        <w:t>;</w:t>
      </w:r>
    </w:p>
    <w:p w14:paraId="349C4038" w14:textId="77777777" w:rsidR="007C5F7B" w:rsidRPr="00542544" w:rsidRDefault="007C5F7B" w:rsidP="007037F3">
      <w:pPr>
        <w:spacing w:after="0" w:line="240" w:lineRule="auto"/>
        <w:ind w:left="709" w:right="709"/>
        <w:jc w:val="both"/>
        <w:rPr>
          <w:rFonts w:ascii="Verdana" w:hAnsi="Verdana" w:cs="Arial"/>
          <w:color w:val="000000" w:themeColor="text1"/>
          <w:sz w:val="20"/>
          <w:szCs w:val="20"/>
        </w:rPr>
      </w:pPr>
      <w:r w:rsidRPr="00542544">
        <w:rPr>
          <w:rFonts w:ascii="Verdana" w:hAnsi="Verdana" w:cs="Arial"/>
          <w:color w:val="000000" w:themeColor="text1"/>
          <w:sz w:val="20"/>
          <w:szCs w:val="20"/>
        </w:rPr>
        <w:t>3) Participar en cualquier forma en actividades que tengan por objeto el manejo, aprovechamiento o inversión de fondos provenientes del ahorro privado;</w:t>
      </w:r>
    </w:p>
    <w:p w14:paraId="6958738A" w14:textId="77777777" w:rsidR="007C5F7B" w:rsidRPr="00542544" w:rsidRDefault="007C5F7B" w:rsidP="007037F3">
      <w:pPr>
        <w:spacing w:after="0" w:line="240" w:lineRule="auto"/>
        <w:ind w:left="709" w:right="709"/>
        <w:jc w:val="both"/>
        <w:rPr>
          <w:rFonts w:ascii="Verdana" w:hAnsi="Verdana" w:cs="Arial"/>
          <w:color w:val="000000" w:themeColor="text1"/>
          <w:sz w:val="20"/>
          <w:szCs w:val="20"/>
        </w:rPr>
      </w:pPr>
      <w:r w:rsidRPr="00542544">
        <w:rPr>
          <w:rFonts w:ascii="Verdana" w:hAnsi="Verdana" w:cs="Arial"/>
          <w:color w:val="000000" w:themeColor="text1"/>
          <w:sz w:val="20"/>
          <w:szCs w:val="20"/>
        </w:rPr>
        <w:t>4) Dedicarse a la industria extractiva en cualquiera de sus ramas o servicios;</w:t>
      </w:r>
    </w:p>
    <w:p w14:paraId="0155751D" w14:textId="77777777" w:rsidR="007C5F7B" w:rsidRPr="00542544" w:rsidRDefault="007C5F7B" w:rsidP="007037F3">
      <w:pPr>
        <w:spacing w:after="0" w:line="240" w:lineRule="auto"/>
        <w:ind w:left="709" w:right="709"/>
        <w:jc w:val="both"/>
        <w:rPr>
          <w:rFonts w:ascii="Verdana" w:hAnsi="Verdana" w:cs="Arial"/>
          <w:b/>
          <w:bCs/>
          <w:color w:val="000000" w:themeColor="text1"/>
          <w:sz w:val="20"/>
          <w:szCs w:val="20"/>
        </w:rPr>
      </w:pPr>
      <w:r w:rsidRPr="00542544">
        <w:rPr>
          <w:rFonts w:ascii="Verdana" w:hAnsi="Verdana" w:cs="Arial"/>
          <w:b/>
          <w:bCs/>
          <w:color w:val="000000" w:themeColor="text1"/>
          <w:sz w:val="20"/>
          <w:szCs w:val="20"/>
        </w:rPr>
        <w:t>5) Obtener del Estado colombiano una concesión o que ésta le hubiere sido cedida a cualquier título, o que en alguna forma participe en la explotación de la misma y,</w:t>
      </w:r>
    </w:p>
    <w:p w14:paraId="467A964D" w14:textId="77777777" w:rsidR="007C5F7B" w:rsidRPr="00542544" w:rsidRDefault="007C5F7B" w:rsidP="007C1489">
      <w:pPr>
        <w:spacing w:after="0" w:line="240" w:lineRule="auto"/>
        <w:ind w:left="709" w:right="709"/>
        <w:jc w:val="both"/>
        <w:rPr>
          <w:rFonts w:ascii="Verdana" w:hAnsi="Verdana" w:cs="Arial"/>
          <w:color w:val="000000" w:themeColor="text1"/>
          <w:sz w:val="20"/>
          <w:szCs w:val="20"/>
        </w:rPr>
      </w:pPr>
      <w:r w:rsidRPr="00542544">
        <w:rPr>
          <w:rFonts w:ascii="Verdana" w:hAnsi="Verdana" w:cs="Arial"/>
          <w:color w:val="000000" w:themeColor="text1"/>
          <w:sz w:val="20"/>
          <w:szCs w:val="20"/>
        </w:rPr>
        <w:t>6) El funcionamiento de sus asambleas de asociados, juntas directivas, gerencia o administración en el territorio nacional”. [Énfasis por fuera de texto legal]</w:t>
      </w:r>
    </w:p>
    <w:p w14:paraId="67E4EDB9" w14:textId="77777777" w:rsidR="007C5F7B" w:rsidRPr="00542544" w:rsidRDefault="007C5F7B" w:rsidP="007C5F7B">
      <w:pPr>
        <w:spacing w:after="0" w:line="276" w:lineRule="auto"/>
        <w:ind w:right="49"/>
        <w:jc w:val="both"/>
        <w:rPr>
          <w:rFonts w:ascii="Verdana" w:hAnsi="Verdana" w:cs="Arial"/>
          <w:color w:val="000000" w:themeColor="text1"/>
          <w:sz w:val="20"/>
          <w:szCs w:val="20"/>
        </w:rPr>
      </w:pPr>
    </w:p>
    <w:p w14:paraId="5480D122" w14:textId="77777777" w:rsidR="007C5F7B" w:rsidRPr="00542544" w:rsidRDefault="007C5F7B" w:rsidP="0079021F">
      <w:pPr>
        <w:spacing w:after="120" w:line="276" w:lineRule="auto"/>
        <w:ind w:right="51" w:firstLine="709"/>
        <w:jc w:val="both"/>
        <w:rPr>
          <w:rFonts w:ascii="Verdana" w:eastAsia="Calibri" w:hAnsi="Verdana" w:cs="Arial"/>
          <w:color w:val="000000" w:themeColor="text1"/>
          <w:lang w:val="es-MX"/>
        </w:rPr>
      </w:pPr>
      <w:r w:rsidRPr="00542544">
        <w:rPr>
          <w:rFonts w:ascii="Verdana" w:hAnsi="Verdana" w:cs="Arial"/>
          <w:color w:val="000000" w:themeColor="text1"/>
        </w:rPr>
        <w:t xml:space="preserve">A su vez, </w:t>
      </w:r>
      <w:r w:rsidRPr="00542544">
        <w:rPr>
          <w:rFonts w:ascii="Verdana" w:eastAsia="Calibri" w:hAnsi="Verdana" w:cs="Arial"/>
          <w:color w:val="000000" w:themeColor="text1"/>
        </w:rPr>
        <w:t>el acápite IV</w:t>
      </w:r>
      <w:r w:rsidRPr="00542544">
        <w:rPr>
          <w:rFonts w:ascii="Verdana" w:hAnsi="Verdana" w:cs="Arial"/>
          <w:color w:val="000000" w:themeColor="text1"/>
        </w:rPr>
        <w:t xml:space="preserve"> de la “Guía de Asuntos Corporativos en los Procesos de Contratación”, expedida por la </w:t>
      </w:r>
      <w:r w:rsidRPr="00542544">
        <w:rPr>
          <w:rFonts w:ascii="Verdana" w:eastAsia="Calibri" w:hAnsi="Verdana" w:cs="Arial"/>
          <w:color w:val="000000" w:themeColor="text1"/>
        </w:rPr>
        <w:t>Agencia Nacional de Contratación Pública – Colombia Compra Eficiente, precisa que “</w:t>
      </w:r>
      <w:r w:rsidRPr="00542544">
        <w:rPr>
          <w:rFonts w:ascii="Verdana" w:eastAsia="Calibri" w:hAnsi="Verdana" w:cs="Arial"/>
          <w:color w:val="000000" w:themeColor="text1"/>
          <w:lang w:val="es-MX"/>
        </w:rPr>
        <w:t xml:space="preserve">Para la presentación de la oferta no será necesario que se constituya una sucursal en Colombia </w:t>
      </w:r>
      <w:r w:rsidRPr="00542544">
        <w:rPr>
          <w:rFonts w:ascii="Verdana" w:eastAsia="Calibri" w:hAnsi="Verdana" w:cs="Arial"/>
          <w:i/>
          <w:iCs/>
          <w:color w:val="000000" w:themeColor="text1"/>
          <w:lang w:val="es-MX"/>
        </w:rPr>
        <w:t>pues esto solo es obligatorio si se resulta adjudicatario en Procesos de Contratación que tengan por objeto la construcción de obras o la prestación de servicios, pues en estos dos casos, se entiende que la persona jurídica extranjera está ejerciendo negocios permanentes en Colombia</w:t>
      </w:r>
      <w:r w:rsidRPr="00542544">
        <w:rPr>
          <w:rFonts w:ascii="Verdana" w:eastAsia="Calibri" w:hAnsi="Verdana" w:cs="Arial"/>
          <w:color w:val="000000" w:themeColor="text1"/>
          <w:lang w:val="es-MX"/>
        </w:rPr>
        <w:t>”</w:t>
      </w:r>
      <w:r w:rsidRPr="00542544">
        <w:rPr>
          <w:rStyle w:val="Refdenotaalpie"/>
          <w:rFonts w:ascii="Verdana" w:hAnsi="Verdana" w:cs="Arial"/>
          <w:color w:val="000000" w:themeColor="text1"/>
        </w:rPr>
        <w:footnoteReference w:id="7"/>
      </w:r>
      <w:r w:rsidRPr="00542544">
        <w:rPr>
          <w:rFonts w:ascii="Verdana" w:eastAsia="Calibri" w:hAnsi="Verdana" w:cs="Arial"/>
          <w:color w:val="000000" w:themeColor="text1"/>
          <w:lang w:val="es-MX"/>
        </w:rPr>
        <w:t>.</w:t>
      </w:r>
    </w:p>
    <w:p w14:paraId="6CE3FA03" w14:textId="77777777" w:rsidR="007C5F7B" w:rsidRPr="00542544" w:rsidRDefault="007C5F7B" w:rsidP="0079021F">
      <w:pPr>
        <w:spacing w:after="120" w:line="276" w:lineRule="auto"/>
        <w:ind w:firstLine="709"/>
        <w:jc w:val="both"/>
        <w:rPr>
          <w:rFonts w:ascii="Verdana" w:eastAsia="Arial MT" w:hAnsi="Verdana" w:cs="Arial"/>
          <w:lang w:eastAsia="es-ES" w:bidi="es-ES"/>
        </w:rPr>
      </w:pPr>
      <w:r w:rsidRPr="00542544">
        <w:rPr>
          <w:rFonts w:ascii="Verdana" w:hAnsi="Verdana" w:cs="Arial"/>
          <w:color w:val="000000" w:themeColor="text1"/>
        </w:rPr>
        <w:t>Revisadas estas normas del derecho comercial</w:t>
      </w:r>
      <w:r w:rsidRPr="007C1489">
        <w:rPr>
          <w:rFonts w:ascii="Verdana" w:hAnsi="Verdana" w:cs="Arial"/>
          <w:color w:val="000000" w:themeColor="text1"/>
        </w:rPr>
        <w:t xml:space="preserve">, </w:t>
      </w:r>
      <w:r w:rsidRPr="00542544">
        <w:rPr>
          <w:rFonts w:ascii="Verdana" w:hAnsi="Verdana" w:cs="Arial"/>
          <w:color w:val="000000" w:themeColor="text1"/>
        </w:rPr>
        <w:t xml:space="preserve">para que una sociedad extranjera celebre un contrato estatal en Colombia que tenga por objeto la ejecución de obras o la prestación de servicios, o corresponda a la tipología de concesión para explotación, actividades que, según lo expuesto, tienen el carácter de permanentes según el artículo 474 del Código de Comercio, deberá establecer una sucursal con domicilio en el territorio nacional –art. 471 </w:t>
      </w:r>
      <w:r w:rsidRPr="00542544">
        <w:rPr>
          <w:rFonts w:ascii="Verdana" w:hAnsi="Verdana" w:cs="Arial"/>
          <w:i/>
          <w:iCs/>
          <w:color w:val="000000" w:themeColor="text1"/>
        </w:rPr>
        <w:t>ibidem</w:t>
      </w:r>
      <w:r w:rsidRPr="00542544">
        <w:rPr>
          <w:rFonts w:ascii="Verdana" w:hAnsi="Verdana" w:cs="Arial"/>
          <w:color w:val="000000" w:themeColor="text1"/>
        </w:rPr>
        <w:t xml:space="preserve">–. </w:t>
      </w:r>
      <w:r w:rsidRPr="00542544">
        <w:rPr>
          <w:rFonts w:ascii="Verdana" w:eastAsia="Arial MT" w:hAnsi="Verdana" w:cs="Arial"/>
          <w:lang w:eastAsia="es-ES" w:bidi="es-ES"/>
        </w:rPr>
        <w:t>Adicionalmente, en virtud del inciso tercero del artículo 6 de la Ley 80 de 1993, las personas jurídicas nacionales y extranjeras deberán acreditar que su duración no será inferior a la del plazo del contrato y un año más.</w:t>
      </w:r>
    </w:p>
    <w:p w14:paraId="00FB3E2E" w14:textId="77777777" w:rsidR="007C5F7B" w:rsidRPr="00542544" w:rsidRDefault="007C5F7B" w:rsidP="0079021F">
      <w:pPr>
        <w:spacing w:after="120" w:line="276" w:lineRule="auto"/>
        <w:ind w:right="49" w:firstLine="709"/>
        <w:jc w:val="both"/>
        <w:rPr>
          <w:rFonts w:ascii="Verdana" w:hAnsi="Verdana" w:cs="Arial"/>
          <w:color w:val="000000" w:themeColor="text1"/>
        </w:rPr>
      </w:pPr>
      <w:r w:rsidRPr="00542544">
        <w:rPr>
          <w:rFonts w:ascii="Verdana" w:hAnsi="Verdana" w:cs="Arial"/>
          <w:color w:val="000000" w:themeColor="text1"/>
        </w:rPr>
        <w:t xml:space="preserve">Así mismo, la presencia de la sucursal en el territorio colombiano supone el cumplimiento de las obligaciones previstas en el ordenamiento jurídico, ya que “Es deber de los nacionales y de los extranjeros en Colombia acatar la Constitución y las leyes, y respetar y obedecer a las autoridades” –art. 3, inc. 2, de la Constitución Política–, por lo que “La ley es obligatoria tanto a los nacionales como a los extranjeros residentes en Colombia” –art. 18 del Código Civil–. </w:t>
      </w:r>
    </w:p>
    <w:p w14:paraId="418D0C34" w14:textId="77777777" w:rsidR="007C5F7B" w:rsidRPr="00542544" w:rsidRDefault="007C5F7B" w:rsidP="0079021F">
      <w:pPr>
        <w:spacing w:after="120" w:line="276" w:lineRule="auto"/>
        <w:ind w:firstLine="709"/>
        <w:jc w:val="both"/>
        <w:rPr>
          <w:rFonts w:ascii="Verdana" w:eastAsia="Arial MT" w:hAnsi="Verdana" w:cs="Arial"/>
          <w:lang w:eastAsia="es-ES" w:bidi="es-ES"/>
        </w:rPr>
      </w:pPr>
      <w:r w:rsidRPr="00542544">
        <w:rPr>
          <w:rFonts w:ascii="Verdana" w:eastAsia="Arial MT" w:hAnsi="Verdana" w:cs="Arial"/>
          <w:lang w:eastAsia="es-ES" w:bidi="es-ES"/>
        </w:rPr>
        <w:t>No obstante, vale señalar que la Superintendencia de Sociedades ha interpretado que la enumeración que hace el artículo 474 del Código de Comercio es una mención “</w:t>
      </w:r>
      <w:r w:rsidRPr="00542544">
        <w:rPr>
          <w:rFonts w:ascii="Verdana" w:eastAsia="Arial MT" w:hAnsi="Verdana" w:cs="Arial"/>
          <w:i/>
          <w:iCs/>
          <w:lang w:eastAsia="es-ES" w:bidi="es-ES"/>
        </w:rPr>
        <w:t>ilustrativa o enunciativa más no taxativa</w:t>
      </w:r>
      <w:r w:rsidRPr="00542544">
        <w:rPr>
          <w:rFonts w:ascii="Verdana" w:eastAsia="Arial MT" w:hAnsi="Verdana" w:cs="Arial"/>
          <w:lang w:eastAsia="es-ES" w:bidi="es-ES"/>
        </w:rPr>
        <w:t>”. Lo anterior se justificó en que, según se desprende del Concepto emitido, “</w:t>
      </w:r>
      <w:r w:rsidRPr="00542544">
        <w:rPr>
          <w:rFonts w:ascii="Verdana" w:eastAsia="Arial MT" w:hAnsi="Verdana" w:cs="Arial"/>
          <w:i/>
          <w:iCs/>
          <w:lang w:eastAsia="es-ES" w:bidi="es-ES"/>
        </w:rPr>
        <w:t>dentro de</w:t>
      </w:r>
      <w:r w:rsidRPr="00542544">
        <w:rPr>
          <w:rFonts w:ascii="Verdana" w:eastAsia="Arial MT" w:hAnsi="Verdana" w:cs="Arial"/>
          <w:lang w:eastAsia="es-ES" w:bidi="es-ES"/>
        </w:rPr>
        <w:t xml:space="preserve"> </w:t>
      </w:r>
      <w:r w:rsidRPr="00542544">
        <w:rPr>
          <w:rFonts w:ascii="Verdana" w:eastAsia="Arial MT" w:hAnsi="Verdana" w:cs="Arial"/>
          <w:i/>
          <w:iCs/>
          <w:lang w:eastAsia="es-ES" w:bidi="es-ES"/>
        </w:rPr>
        <w:t>la dinámica de la actividad comercial y particularmente de los negocios, muchas son las actividades que pueden involucrar la permanencia en su desarrollo</w:t>
      </w:r>
      <w:r w:rsidRPr="00542544">
        <w:rPr>
          <w:rFonts w:ascii="Verdana" w:eastAsia="Arial MT" w:hAnsi="Verdana" w:cs="Arial"/>
          <w:lang w:eastAsia="es-ES" w:bidi="es-ES"/>
        </w:rPr>
        <w:t>”</w:t>
      </w:r>
      <w:r w:rsidRPr="00542544">
        <w:rPr>
          <w:rStyle w:val="Refdenotaalpie"/>
          <w:rFonts w:ascii="Verdana" w:eastAsia="Arial MT" w:hAnsi="Verdana" w:cs="Arial"/>
          <w:lang w:eastAsia="es-ES" w:bidi="es-ES"/>
        </w:rPr>
        <w:footnoteReference w:id="8"/>
      </w:r>
      <w:r w:rsidRPr="00542544">
        <w:rPr>
          <w:rFonts w:ascii="Verdana" w:eastAsia="Arial MT" w:hAnsi="Verdana" w:cs="Arial"/>
          <w:lang w:eastAsia="es-ES" w:bidi="es-ES"/>
        </w:rPr>
        <w:t>. Por lo que cada entidad estatal deberá examinar, en la etapa de planeación, si el objeto contractual podría comportar actividades que deban considerarse como permanentes y, en su defecto, establecer la exigencia de constitución de sucursal con domicilio e</w:t>
      </w:r>
      <w:r w:rsidRPr="007C1489">
        <w:rPr>
          <w:rFonts w:ascii="Verdana" w:eastAsia="Arial MT" w:hAnsi="Verdana" w:cs="Arial"/>
          <w:lang w:eastAsia="es-ES" w:bidi="es-ES"/>
        </w:rPr>
        <w:t xml:space="preserve">n el territorio nacional, en caso de que el proponente extranjero sea el adjudicatario. </w:t>
      </w:r>
    </w:p>
    <w:p w14:paraId="5B1A0826" w14:textId="77777777" w:rsidR="007C5F7B" w:rsidRPr="00542544" w:rsidRDefault="007C5F7B" w:rsidP="0079021F">
      <w:pPr>
        <w:spacing w:after="120" w:line="276" w:lineRule="auto"/>
        <w:ind w:right="51" w:firstLine="709"/>
        <w:jc w:val="both"/>
        <w:rPr>
          <w:rFonts w:ascii="Verdana" w:hAnsi="Verdana" w:cs="Arial"/>
          <w:color w:val="000000" w:themeColor="text1"/>
        </w:rPr>
      </w:pPr>
      <w:r w:rsidRPr="00542544">
        <w:rPr>
          <w:rFonts w:ascii="Verdana" w:hAnsi="Verdana" w:cs="Arial"/>
          <w:color w:val="000000" w:themeColor="text1"/>
        </w:rPr>
        <w:t xml:space="preserve">Adicionalmente, para las sociedades extranjeras que pretendan realizar actividades permanentes en el territorio nacional, el artículo 482 del Código de Comercio dispone que “Quienes actúen a nombre y representación de personas extranjeras sin dar cumplimiento a las normas del presente Título, responderán solidariamente con dichas personas de las obligaciones que contraigan en Colombia”. De esta manera, el artículo 483 </w:t>
      </w:r>
      <w:r w:rsidRPr="00542544">
        <w:rPr>
          <w:rFonts w:ascii="Verdana" w:hAnsi="Verdana" w:cs="Arial"/>
          <w:i/>
          <w:iCs/>
          <w:color w:val="000000" w:themeColor="text1"/>
        </w:rPr>
        <w:t>ibidem</w:t>
      </w:r>
      <w:r w:rsidRPr="00542544">
        <w:rPr>
          <w:rFonts w:ascii="Verdana" w:hAnsi="Verdana" w:cs="Arial"/>
          <w:color w:val="000000" w:themeColor="text1"/>
          <w:lang w:val="es-MX"/>
        </w:rPr>
        <w:t xml:space="preserve"> también dispone que “</w:t>
      </w:r>
      <w:r w:rsidRPr="00542544">
        <w:rPr>
          <w:rFonts w:ascii="Verdana" w:hAnsi="Verdana" w:cs="Arial"/>
          <w:color w:val="000000" w:themeColor="text1"/>
        </w:rPr>
        <w:t>El Superintendente de Sociedades o el Bancario, según el caso, podrá sancionar con multas sucesivas hasta de cincuenta mil pesos a las personas extranjeras que inicien o desarrollen actividades sin dar cumplimiento a las normas del presente Título, así como a sus representantes, gerentes, apoderados, directores o gestores. El respectivo superintendente tendrá, respecto de las sucursales, las atribuciones que le confieren las leyes en relación con la vigilancia de las sociedades nacionales”.</w:t>
      </w:r>
    </w:p>
    <w:p w14:paraId="10B77645" w14:textId="77777777" w:rsidR="007C5F7B" w:rsidRPr="00542544" w:rsidRDefault="007C5F7B" w:rsidP="0079021F">
      <w:pPr>
        <w:spacing w:after="120" w:line="276" w:lineRule="auto"/>
        <w:ind w:firstLine="709"/>
        <w:jc w:val="both"/>
        <w:rPr>
          <w:rFonts w:ascii="Verdana" w:hAnsi="Verdana" w:cs="Arial"/>
          <w:color w:val="000000" w:themeColor="text1"/>
        </w:rPr>
      </w:pPr>
      <w:r w:rsidRPr="00542544">
        <w:rPr>
          <w:rFonts w:ascii="Verdana" w:eastAsia="Arial MT" w:hAnsi="Verdana" w:cs="Arial"/>
          <w:lang w:eastAsia="es-ES" w:bidi="es-ES"/>
        </w:rPr>
        <w:t xml:space="preserve">De otro lado, para aquellos contratos sometidos a regímenes especiales, los requisitos para su celebración serán los comprendidos en las normas de creación de las entidades de régimen especial y lo establecido en los manuales de contratación. </w:t>
      </w:r>
    </w:p>
    <w:p w14:paraId="6940EE16" w14:textId="77777777" w:rsidR="007C5F7B" w:rsidRPr="00542544" w:rsidRDefault="007C5F7B" w:rsidP="0079021F">
      <w:pPr>
        <w:spacing w:after="120" w:line="276" w:lineRule="auto"/>
        <w:ind w:firstLine="709"/>
        <w:jc w:val="both"/>
        <w:rPr>
          <w:rFonts w:ascii="Verdana" w:eastAsia="Century Gothic" w:hAnsi="Verdana" w:cs="Century Gothic"/>
        </w:rPr>
      </w:pPr>
      <w:r w:rsidRPr="00542544">
        <w:rPr>
          <w:rFonts w:ascii="Verdana" w:eastAsia="Arial MT" w:hAnsi="Verdana" w:cs="Arial"/>
          <w:lang w:eastAsia="es-ES" w:bidi="es-ES"/>
        </w:rPr>
        <w:t>En relación con su manifestación sobre la participación de una empresa colombiana como representante —o, según sus propios términos, “agente de licitación”— que presentaría la oferta utilizando su NIT —el de la empresa colombiana—, mientras que el nombre del proponente correspondería a su empresa extranjera, es necesario aclarar que el régimen de contratación pública en Colombia permite la presentación de ofertas por parte de proponentes plurales mediante figuras asociativas reconocidas en el ordenamiento jurídico, tales como el consorcio y la unión temporal, por lo que es importante abordar la naturaleza jurídica de este tipo de estructuras</w:t>
      </w:r>
      <w:r w:rsidRPr="00542544">
        <w:rPr>
          <w:rFonts w:ascii="Verdana" w:eastAsia="Century Gothic" w:hAnsi="Verdana" w:cs="Century Gothic"/>
        </w:rPr>
        <w:t xml:space="preserve">. </w:t>
      </w:r>
    </w:p>
    <w:p w14:paraId="7AFAA498" w14:textId="77777777" w:rsidR="007C5F7B" w:rsidRPr="00542544" w:rsidRDefault="007C5F7B" w:rsidP="0079021F">
      <w:pPr>
        <w:spacing w:after="120" w:line="276" w:lineRule="auto"/>
        <w:ind w:firstLine="709"/>
        <w:jc w:val="both"/>
        <w:rPr>
          <w:rFonts w:ascii="Verdana" w:eastAsia="Calibri" w:hAnsi="Verdana" w:cs="Arial"/>
        </w:rPr>
      </w:pPr>
      <w:r w:rsidRPr="00542544">
        <w:rPr>
          <w:rFonts w:ascii="Verdana" w:hAnsi="Verdana" w:cs="Arial"/>
        </w:rPr>
        <w:t xml:space="preserve">En primer lugar, como se señaló atrás, la capacidad jurídica hace parte de los requisitos habilitantes que deberán acreditarse en los términos expuestos antes y comporta uno de los presupuestos del contrato estatal, pues se entiende como la aptitud de un sujeto para ser titular de derechos y obligaciones, de ejercer o exigir los primeros y contraer las segundas en forma personal, sumada la posibilidad de comparecer en juicio. La capacidad jurídica permite crear, modificar o extinguir relaciones jurídicas de forma voluntaria </w:t>
      </w:r>
      <w:r w:rsidRPr="00542544">
        <w:rPr>
          <w:rFonts w:ascii="Verdana" w:eastAsia="Calibri" w:hAnsi="Verdana" w:cs="Arial"/>
        </w:rPr>
        <w:t>y autónoma.</w:t>
      </w:r>
    </w:p>
    <w:p w14:paraId="7C895CEB" w14:textId="77777777" w:rsidR="007C5F7B" w:rsidRPr="00542544" w:rsidRDefault="007C5F7B" w:rsidP="0079021F">
      <w:pPr>
        <w:spacing w:after="120" w:line="276" w:lineRule="auto"/>
        <w:ind w:firstLine="709"/>
        <w:jc w:val="both"/>
        <w:rPr>
          <w:rFonts w:ascii="Verdana" w:hAnsi="Verdana"/>
        </w:rPr>
      </w:pPr>
      <w:r w:rsidRPr="00542544">
        <w:rPr>
          <w:rFonts w:ascii="Verdana" w:eastAsia="Calibri" w:hAnsi="Verdana" w:cs="Arial"/>
        </w:rPr>
        <w:t>D</w:t>
      </w:r>
      <w:r w:rsidRPr="00542544">
        <w:rPr>
          <w:rFonts w:ascii="Verdana" w:hAnsi="Verdana" w:cs="Arial"/>
        </w:rPr>
        <w:t xml:space="preserve">e acuerdo con el Código Civil, la capacidad se refiere a la facultad que la ley le confiere a la persona para ejercer derechos y contraer obligaciones, partiendo del supuesto de que todas las personas naturales mayores de edad son capaces, con excepción de aquellas que la ley expresamente excluye de esta presunción –artículos 1502, 1503 y 1504 </w:t>
      </w:r>
      <w:r w:rsidRPr="00542544">
        <w:rPr>
          <w:rFonts w:ascii="Verdana" w:hAnsi="Verdana" w:cs="Arial"/>
          <w:i/>
          <w:iCs/>
        </w:rPr>
        <w:t>ibidem</w:t>
      </w:r>
      <w:r w:rsidRPr="00542544">
        <w:rPr>
          <w:rFonts w:ascii="Verdana" w:hAnsi="Verdana" w:cs="Arial"/>
        </w:rPr>
        <w:t>–, y de que la capacidad de las personas jurídicas se circunscribe a su objeto social –artículo 99 del Código de Comercio–.</w:t>
      </w:r>
      <w:r w:rsidRPr="00542544">
        <w:rPr>
          <w:rFonts w:ascii="Verdana" w:hAnsi="Verdana"/>
        </w:rPr>
        <w:t xml:space="preserve"> </w:t>
      </w:r>
      <w:r w:rsidRPr="00542544">
        <w:rPr>
          <w:rFonts w:ascii="Verdana" w:hAnsi="Verdana" w:cs="Arial"/>
        </w:rPr>
        <w:t>Al respecto, el artículo 6 de la Ley 80 de 1993 –modificado por</w:t>
      </w:r>
      <w:r w:rsidRPr="00542544">
        <w:rPr>
          <w:rFonts w:ascii="Verdana" w:hAnsi="Verdana"/>
        </w:rPr>
        <w:t xml:space="preserve"> </w:t>
      </w:r>
      <w:r w:rsidRPr="00542544">
        <w:rPr>
          <w:rFonts w:ascii="Verdana" w:hAnsi="Verdana" w:cs="Arial"/>
        </w:rPr>
        <w:t>el art.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3CBE8D65" w14:textId="77777777" w:rsidR="007C5F7B" w:rsidRPr="00542544" w:rsidRDefault="007C5F7B" w:rsidP="0079021F">
      <w:pPr>
        <w:spacing w:after="120" w:line="276" w:lineRule="auto"/>
        <w:ind w:firstLine="709"/>
        <w:jc w:val="both"/>
        <w:rPr>
          <w:rFonts w:ascii="Verdana" w:hAnsi="Verdana" w:cs="Arial"/>
        </w:rPr>
      </w:pPr>
      <w:r w:rsidRPr="00542544">
        <w:rPr>
          <w:rFonts w:ascii="Verdana" w:hAnsi="Verdana" w:cs="Arial"/>
        </w:rPr>
        <w:t>En consecuencia, pueden celebrar contratos estatales las personas naturales mayores de edad, las personas jurídicas que tengan dentro de su objeto</w:t>
      </w:r>
      <w:r w:rsidRPr="00542544">
        <w:rPr>
          <w:rFonts w:ascii="Verdana" w:hAnsi="Verdana" w:cs="Arial"/>
          <w:spacing w:val="43"/>
        </w:rPr>
        <w:t xml:space="preserve"> </w:t>
      </w:r>
      <w:r w:rsidRPr="00542544">
        <w:rPr>
          <w:rFonts w:ascii="Verdana" w:hAnsi="Verdana" w:cs="Arial"/>
        </w:rPr>
        <w:t>social</w:t>
      </w:r>
      <w:r w:rsidRPr="00542544">
        <w:rPr>
          <w:rFonts w:ascii="Verdana" w:hAnsi="Verdana" w:cs="Arial"/>
          <w:spacing w:val="44"/>
        </w:rPr>
        <w:t xml:space="preserve"> </w:t>
      </w:r>
      <w:r w:rsidRPr="00542544">
        <w:rPr>
          <w:rFonts w:ascii="Verdana" w:hAnsi="Verdana" w:cs="Arial"/>
        </w:rPr>
        <w:t>actividades</w:t>
      </w:r>
      <w:r w:rsidRPr="00542544">
        <w:rPr>
          <w:rFonts w:ascii="Verdana" w:hAnsi="Verdana" w:cs="Arial"/>
          <w:spacing w:val="44"/>
        </w:rPr>
        <w:t xml:space="preserve"> </w:t>
      </w:r>
      <w:r w:rsidRPr="00542544">
        <w:rPr>
          <w:rFonts w:ascii="Verdana" w:hAnsi="Verdana" w:cs="Arial"/>
        </w:rPr>
        <w:t>relacionadas</w:t>
      </w:r>
      <w:r w:rsidRPr="00542544">
        <w:rPr>
          <w:rFonts w:ascii="Verdana" w:hAnsi="Verdana" w:cs="Arial"/>
          <w:spacing w:val="44"/>
        </w:rPr>
        <w:t xml:space="preserve"> </w:t>
      </w:r>
      <w:r w:rsidRPr="00542544">
        <w:rPr>
          <w:rFonts w:ascii="Verdana" w:hAnsi="Verdana" w:cs="Arial"/>
        </w:rPr>
        <w:t>con</w:t>
      </w:r>
      <w:r w:rsidRPr="00542544">
        <w:rPr>
          <w:rFonts w:ascii="Verdana" w:hAnsi="Verdana" w:cs="Arial"/>
          <w:spacing w:val="43"/>
        </w:rPr>
        <w:t xml:space="preserve"> </w:t>
      </w:r>
      <w:r w:rsidRPr="00542544">
        <w:rPr>
          <w:rFonts w:ascii="Verdana" w:hAnsi="Verdana" w:cs="Arial"/>
        </w:rPr>
        <w:t>el</w:t>
      </w:r>
      <w:r w:rsidRPr="00542544">
        <w:rPr>
          <w:rFonts w:ascii="Verdana" w:hAnsi="Verdana" w:cs="Arial"/>
          <w:spacing w:val="45"/>
        </w:rPr>
        <w:t xml:space="preserve"> </w:t>
      </w:r>
      <w:r w:rsidRPr="00542544">
        <w:rPr>
          <w:rFonts w:ascii="Verdana" w:hAnsi="Verdana" w:cs="Arial"/>
        </w:rPr>
        <w:t>objeto</w:t>
      </w:r>
      <w:r w:rsidRPr="00542544">
        <w:rPr>
          <w:rFonts w:ascii="Verdana" w:hAnsi="Verdana" w:cs="Arial"/>
          <w:spacing w:val="43"/>
        </w:rPr>
        <w:t xml:space="preserve"> </w:t>
      </w:r>
      <w:r w:rsidRPr="00542544">
        <w:rPr>
          <w:rFonts w:ascii="Verdana" w:hAnsi="Verdana" w:cs="Arial"/>
        </w:rPr>
        <w:t>a</w:t>
      </w:r>
      <w:r w:rsidRPr="00542544">
        <w:rPr>
          <w:rFonts w:ascii="Verdana" w:hAnsi="Verdana" w:cs="Arial"/>
          <w:spacing w:val="44"/>
        </w:rPr>
        <w:t xml:space="preserve"> </w:t>
      </w:r>
      <w:r w:rsidRPr="00542544">
        <w:rPr>
          <w:rFonts w:ascii="Verdana" w:hAnsi="Verdana" w:cs="Arial"/>
        </w:rPr>
        <w:t>contratar</w:t>
      </w:r>
      <w:r w:rsidRPr="00542544">
        <w:rPr>
          <w:rFonts w:ascii="Verdana" w:hAnsi="Verdana" w:cs="Arial"/>
          <w:spacing w:val="47"/>
        </w:rPr>
        <w:t xml:space="preserve"> </w:t>
      </w:r>
      <w:r w:rsidRPr="00542544">
        <w:rPr>
          <w:rFonts w:ascii="Verdana" w:hAnsi="Verdana" w:cs="Arial"/>
        </w:rPr>
        <w:t>y,</w:t>
      </w:r>
      <w:r w:rsidRPr="00542544">
        <w:rPr>
          <w:rFonts w:ascii="Verdana" w:hAnsi="Verdana" w:cs="Arial"/>
          <w:spacing w:val="44"/>
        </w:rPr>
        <w:t xml:space="preserve"> </w:t>
      </w:r>
      <w:r w:rsidRPr="00542544">
        <w:rPr>
          <w:rFonts w:ascii="Verdana" w:hAnsi="Verdana" w:cs="Arial"/>
        </w:rPr>
        <w:t>en</w:t>
      </w:r>
      <w:r w:rsidRPr="00542544">
        <w:rPr>
          <w:rFonts w:ascii="Verdana" w:hAnsi="Verdana" w:cs="Arial"/>
          <w:spacing w:val="46"/>
        </w:rPr>
        <w:t xml:space="preserve"> </w:t>
      </w:r>
      <w:r w:rsidRPr="00542544">
        <w:rPr>
          <w:rFonts w:ascii="Verdana" w:hAnsi="Verdana" w:cs="Arial"/>
        </w:rPr>
        <w:t>virtud</w:t>
      </w:r>
      <w:r w:rsidRPr="00542544">
        <w:rPr>
          <w:rFonts w:ascii="Verdana" w:hAnsi="Verdana" w:cs="Arial"/>
          <w:spacing w:val="43"/>
        </w:rPr>
        <w:t xml:space="preserve"> </w:t>
      </w:r>
      <w:r w:rsidRPr="00542544">
        <w:rPr>
          <w:rFonts w:ascii="Verdana" w:hAnsi="Verdana" w:cs="Arial"/>
        </w:rPr>
        <w:t>de</w:t>
      </w:r>
      <w:r w:rsidRPr="00542544">
        <w:rPr>
          <w:rFonts w:ascii="Verdana" w:hAnsi="Verdana" w:cs="Arial"/>
          <w:spacing w:val="44"/>
        </w:rPr>
        <w:t xml:space="preserve"> </w:t>
      </w:r>
      <w:r w:rsidRPr="00542544">
        <w:rPr>
          <w:rFonts w:ascii="Verdana" w:hAnsi="Verdana" w:cs="Arial"/>
        </w:rPr>
        <w:t>la</w:t>
      </w:r>
      <w:r w:rsidRPr="00542544">
        <w:rPr>
          <w:rFonts w:ascii="Verdana" w:hAnsi="Verdana" w:cs="Arial"/>
          <w:spacing w:val="43"/>
        </w:rPr>
        <w:t xml:space="preserve"> </w:t>
      </w:r>
      <w:r w:rsidRPr="00542544">
        <w:rPr>
          <w:rFonts w:ascii="Verdana" w:hAnsi="Verdana" w:cs="Arial"/>
        </w:rPr>
        <w:t>ley, también pueden hacerlo los consorcios y las uniones temporales. Si bien no son personas jurídicas, el artículo 7 de la Ley 80 de 1993 define estos sujetos para la presentación de ofertas por un número plural de interesados. En lo pertinente, con las modificaciones del art. 3 de la Ley 2160 de 2021, la norma dispone lo siguiente:</w:t>
      </w:r>
    </w:p>
    <w:p w14:paraId="7543366D" w14:textId="77777777" w:rsidR="007C5F7B" w:rsidRPr="00542544" w:rsidRDefault="007C5F7B" w:rsidP="007C5F7B">
      <w:pPr>
        <w:pStyle w:val="Textoindependiente"/>
        <w:rPr>
          <w:rFonts w:ascii="Verdana" w:hAnsi="Verdana"/>
          <w:lang w:val="es-CO"/>
        </w:rPr>
      </w:pPr>
    </w:p>
    <w:p w14:paraId="2E8BF287" w14:textId="77777777" w:rsidR="007C5F7B" w:rsidRPr="00542544" w:rsidRDefault="007C5F7B" w:rsidP="007C5F7B">
      <w:pPr>
        <w:pStyle w:val="Textoindependiente"/>
        <w:ind w:left="709" w:right="709"/>
        <w:jc w:val="both"/>
        <w:rPr>
          <w:rFonts w:ascii="Verdana" w:hAnsi="Verdana"/>
          <w:sz w:val="20"/>
          <w:szCs w:val="20"/>
          <w:lang w:val="es-CO"/>
        </w:rPr>
      </w:pPr>
      <w:r w:rsidRPr="00542544">
        <w:rPr>
          <w:rFonts w:ascii="Verdana" w:hAnsi="Verdana"/>
          <w:sz w:val="20"/>
          <w:szCs w:val="20"/>
          <w:lang w:val="es-CO"/>
        </w:rPr>
        <w:t>“Para los efectos de esta ley se entiende por:</w:t>
      </w:r>
    </w:p>
    <w:p w14:paraId="49E3F37E" w14:textId="77777777" w:rsidR="007C5F7B" w:rsidRPr="00542544" w:rsidRDefault="007C5F7B" w:rsidP="007C5F7B">
      <w:pPr>
        <w:pStyle w:val="Textoindependiente"/>
        <w:ind w:left="709" w:right="709"/>
        <w:jc w:val="both"/>
        <w:rPr>
          <w:rFonts w:ascii="Verdana" w:hAnsi="Verdana"/>
          <w:sz w:val="20"/>
          <w:szCs w:val="20"/>
          <w:lang w:val="es-CO"/>
        </w:rPr>
      </w:pPr>
    </w:p>
    <w:p w14:paraId="4901096E" w14:textId="77777777" w:rsidR="007C5F7B" w:rsidRPr="00542544" w:rsidRDefault="007C5F7B" w:rsidP="007C5F7B">
      <w:pPr>
        <w:pStyle w:val="Textoindependiente"/>
        <w:spacing w:after="120"/>
        <w:ind w:left="709" w:right="709"/>
        <w:jc w:val="both"/>
        <w:rPr>
          <w:rFonts w:ascii="Verdana" w:hAnsi="Verdana"/>
          <w:sz w:val="20"/>
          <w:szCs w:val="20"/>
          <w:lang w:val="es-CO"/>
        </w:rPr>
      </w:pPr>
      <w:r w:rsidRPr="00542544">
        <w:rPr>
          <w:rFonts w:ascii="Verdana" w:hAnsi="Verdana"/>
          <w:sz w:val="20"/>
          <w:szCs w:val="20"/>
          <w:lang w:val="es-CO"/>
        </w:rPr>
        <w:t>[…]</w:t>
      </w:r>
    </w:p>
    <w:p w14:paraId="47D3A6F0" w14:textId="77777777" w:rsidR="007C5F7B" w:rsidRPr="00542544" w:rsidRDefault="007C5F7B" w:rsidP="007C5F7B">
      <w:pPr>
        <w:pStyle w:val="Textoindependiente"/>
        <w:spacing w:after="120"/>
        <w:ind w:left="709" w:right="709"/>
        <w:jc w:val="both"/>
        <w:rPr>
          <w:rFonts w:ascii="Verdana" w:hAnsi="Verdana"/>
          <w:sz w:val="20"/>
          <w:szCs w:val="20"/>
          <w:lang w:val="es-CO"/>
        </w:rPr>
      </w:pPr>
      <w:r w:rsidRPr="00542544">
        <w:rPr>
          <w:rFonts w:ascii="Verdana" w:hAnsi="Verdana"/>
          <w:sz w:val="20"/>
          <w:szCs w:val="20"/>
          <w:lang w:val="es-CO"/>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1DB82732" w14:textId="77777777" w:rsidR="007C5F7B" w:rsidRPr="00542544" w:rsidRDefault="007C5F7B" w:rsidP="007C5F7B">
      <w:pPr>
        <w:pStyle w:val="Textoindependiente"/>
        <w:spacing w:after="120"/>
        <w:ind w:left="709" w:right="709"/>
        <w:jc w:val="both"/>
        <w:rPr>
          <w:rFonts w:ascii="Verdana" w:hAnsi="Verdana"/>
          <w:sz w:val="20"/>
          <w:szCs w:val="20"/>
          <w:lang w:val="es-CO"/>
        </w:rPr>
      </w:pPr>
      <w:r w:rsidRPr="00542544">
        <w:rPr>
          <w:rFonts w:ascii="Verdana" w:hAnsi="Verdana"/>
          <w:sz w:val="20"/>
          <w:szCs w:val="20"/>
          <w:lang w:val="es-CO"/>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3CC4731E" w14:textId="77777777" w:rsidR="007C5F7B" w:rsidRPr="00542544" w:rsidRDefault="007C5F7B" w:rsidP="007C5F7B">
      <w:pPr>
        <w:pStyle w:val="Textoindependiente"/>
        <w:ind w:left="709" w:right="709"/>
        <w:jc w:val="both"/>
        <w:rPr>
          <w:rFonts w:ascii="Verdana" w:hAnsi="Verdana"/>
          <w:sz w:val="20"/>
          <w:szCs w:val="20"/>
          <w:lang w:val="es-CO"/>
        </w:rPr>
      </w:pPr>
      <w:r w:rsidRPr="00542544">
        <w:rPr>
          <w:rFonts w:ascii="Verdana" w:hAnsi="Verdana"/>
          <w:sz w:val="20"/>
          <w:szCs w:val="20"/>
          <w:lang w:val="es-CO"/>
        </w:rPr>
        <w:t>[…]”.</w:t>
      </w:r>
    </w:p>
    <w:p w14:paraId="57812A73" w14:textId="77777777" w:rsidR="007C5F7B" w:rsidRPr="00542544" w:rsidRDefault="007C5F7B" w:rsidP="007C5F7B">
      <w:pPr>
        <w:pStyle w:val="Textoindependiente"/>
        <w:spacing w:line="276" w:lineRule="auto"/>
        <w:ind w:left="709" w:right="736"/>
        <w:jc w:val="both"/>
        <w:rPr>
          <w:rFonts w:ascii="Verdana" w:hAnsi="Verdana"/>
          <w:lang w:val="es-CO"/>
        </w:rPr>
      </w:pPr>
    </w:p>
    <w:p w14:paraId="114674D7" w14:textId="77777777" w:rsidR="007C5F7B" w:rsidRPr="00542544" w:rsidRDefault="007C5F7B" w:rsidP="0079021F">
      <w:pPr>
        <w:pStyle w:val="Textoindependiente"/>
        <w:spacing w:after="120" w:line="276" w:lineRule="auto"/>
        <w:ind w:right="306" w:firstLine="709"/>
        <w:jc w:val="both"/>
        <w:rPr>
          <w:rFonts w:ascii="Verdana" w:hAnsi="Verdana"/>
          <w:sz w:val="21"/>
          <w:szCs w:val="21"/>
          <w:lang w:val="es-CO"/>
        </w:rPr>
      </w:pPr>
      <w:r w:rsidRPr="00542544">
        <w:rPr>
          <w:rFonts w:ascii="Verdana" w:hAnsi="Verdana"/>
          <w:lang w:val="es-CO"/>
        </w:rPr>
        <w:t>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w:t>
      </w:r>
      <w:r w:rsidRPr="00542544">
        <w:rPr>
          <w:rStyle w:val="Refdenotaalpie"/>
          <w:rFonts w:ascii="Verdana" w:hAnsi="Verdana"/>
          <w:lang w:val="es-CO"/>
        </w:rPr>
        <w:footnoteReference w:id="9"/>
      </w:r>
      <w:r w:rsidRPr="00542544">
        <w:rPr>
          <w:rFonts w:ascii="Verdana" w:hAnsi="Verdana"/>
          <w:lang w:val="es-CO"/>
        </w:rPr>
        <w:t xml:space="preserve">. La diferencia radica en la responsabilidad frente a las eventuales sanciones por el incumplimiento de las obligaciones, toda vez que tratándose de una unión temporal, estas se individualizan según la participación de sus miembros, mientras que en el consorcio </w:t>
      </w:r>
      <w:r w:rsidRPr="007C1489">
        <w:rPr>
          <w:rFonts w:ascii="Verdana" w:hAnsi="Verdana"/>
          <w:lang w:val="es-CO"/>
        </w:rPr>
        <w:t>los miembros responden solidariamente, con independencia de este aspecto</w:t>
      </w:r>
      <w:r w:rsidRPr="00542544">
        <w:rPr>
          <w:rStyle w:val="Refdenotaalpie"/>
          <w:rFonts w:ascii="Verdana" w:hAnsi="Verdana"/>
          <w:lang w:val="es-CO"/>
        </w:rPr>
        <w:footnoteReference w:id="10"/>
      </w:r>
      <w:r w:rsidRPr="00542544">
        <w:rPr>
          <w:rFonts w:ascii="Verdana" w:hAnsi="Verdana"/>
          <w:lang w:val="es-CO"/>
        </w:rPr>
        <w:t xml:space="preserve">. </w:t>
      </w:r>
    </w:p>
    <w:p w14:paraId="56FD27A2" w14:textId="77777777" w:rsidR="007C5F7B" w:rsidRPr="00542544" w:rsidRDefault="007C5F7B" w:rsidP="0079021F">
      <w:pPr>
        <w:spacing w:after="120" w:line="276" w:lineRule="auto"/>
        <w:ind w:firstLine="709"/>
        <w:jc w:val="both"/>
        <w:rPr>
          <w:rFonts w:ascii="Verdana" w:hAnsi="Verdana" w:cs="Arial"/>
        </w:rPr>
      </w:pPr>
      <w:r w:rsidRPr="007C1489">
        <w:rPr>
          <w:rFonts w:ascii="Verdana" w:hAnsi="Verdana" w:cs="Arial"/>
        </w:rPr>
        <w:t xml:space="preserve">En la medida en que los consorcios y las uniones temporales no son personas jurídicas, su creación depende de un acuerdo privado en el que concurre la voluntad de sus integrantes para regular su objeto, la participación de los miembros, las obligaciones frente al proyecto, la responsabilidad de los miembros, la forma en que regirán sus relaciones internas y el relacionamiento con la entidad contratante, mediante la designación de un representante, conforme el parágrafo 1 del artículo 7 de la Ley 80 de 1993. Por lo anterior, la constitución del consorcio o unión temporal supone la asignación de facultades al </w:t>
      </w:r>
      <w:r w:rsidRPr="00542544">
        <w:rPr>
          <w:rFonts w:ascii="Verdana" w:hAnsi="Verdana" w:cs="Arial"/>
          <w:shd w:val="clear" w:color="auto" w:fill="FFFFFF"/>
        </w:rPr>
        <w:t>“</w:t>
      </w:r>
      <w:r w:rsidRPr="00542544">
        <w:rPr>
          <w:rFonts w:ascii="Verdana" w:hAnsi="Verdana" w:cs="Arial"/>
        </w:rPr>
        <w:t>representante</w:t>
      </w:r>
      <w:r w:rsidRPr="00542544">
        <w:rPr>
          <w:rFonts w:ascii="Verdana" w:hAnsi="Verdana" w:cs="Arial"/>
          <w:shd w:val="clear" w:color="auto" w:fill="FFFFFF"/>
        </w:rPr>
        <w:t>”</w:t>
      </w:r>
      <w:r w:rsidRPr="00542544">
        <w:rPr>
          <w:rFonts w:ascii="Verdana" w:hAnsi="Verdana" w:cs="Arial"/>
        </w:rPr>
        <w:t xml:space="preserve"> del proponente plural, pues –para efectos del artículo 1505 del Código Civil– </w:t>
      </w:r>
      <w:r w:rsidRPr="00542544">
        <w:rPr>
          <w:rFonts w:ascii="Verdana" w:hAnsi="Verdana" w:cs="Arial"/>
          <w:shd w:val="clear" w:color="auto" w:fill="FFFFFF"/>
        </w:rPr>
        <w:t>“</w:t>
      </w:r>
      <w:r w:rsidRPr="00542544">
        <w:rPr>
          <w:rFonts w:ascii="Verdana" w:hAnsi="Verdana" w:cs="Arial"/>
        </w:rPr>
        <w:t>Lo que una persona ejecuta a nombre de otra, estando facultada por ella o por la ley para representarla, produce respecto del representado iguales efectos que si hubiese contratado él</w:t>
      </w:r>
      <w:r w:rsidRPr="00542544">
        <w:rPr>
          <w:rFonts w:ascii="Verdana" w:hAnsi="Verdana" w:cs="Arial"/>
          <w:spacing w:val="-3"/>
        </w:rPr>
        <w:t xml:space="preserve"> </w:t>
      </w:r>
      <w:r w:rsidRPr="00542544">
        <w:rPr>
          <w:rFonts w:ascii="Verdana" w:hAnsi="Verdana" w:cs="Arial"/>
        </w:rPr>
        <w:t>mismo”.</w:t>
      </w:r>
    </w:p>
    <w:p w14:paraId="48E64F49" w14:textId="77777777" w:rsidR="007C5F7B" w:rsidRPr="00542544" w:rsidRDefault="007C5F7B" w:rsidP="0079021F">
      <w:pPr>
        <w:spacing w:after="120" w:line="276" w:lineRule="auto"/>
        <w:ind w:firstLine="709"/>
        <w:jc w:val="both"/>
        <w:rPr>
          <w:rFonts w:ascii="Verdana" w:hAnsi="Verdana" w:cs="Arial"/>
        </w:rPr>
      </w:pPr>
      <w:r w:rsidRPr="00542544">
        <w:rPr>
          <w:rFonts w:ascii="Verdana" w:hAnsi="Verdana" w:cs="Arial"/>
        </w:rPr>
        <w:t>En el derecho privado, el acuerdo de voluntades que constituye el consorcio o unión temporal es un contrato principal, oneroso, conmutativo, bilateral o plurilateral</w:t>
      </w:r>
      <w:r w:rsidRPr="00542544">
        <w:rPr>
          <w:rStyle w:val="Refdenotaalpie"/>
          <w:rFonts w:ascii="Verdana" w:hAnsi="Verdana" w:cs="Arial"/>
        </w:rPr>
        <w:footnoteReference w:id="11"/>
      </w:r>
      <w:r w:rsidRPr="00542544">
        <w:rPr>
          <w:rFonts w:ascii="Verdana" w:hAnsi="Verdana" w:cs="Arial"/>
        </w:rPr>
        <w:t>. En el derecho público, el ente debidamente constituido será un sujeto con capacidad para contratar, para ejecutar las obligaciones y ejercer los derechos que derivan del contrato, así como para interrelacionarse con la entidad estatal contratante en todo lo referente a la ejecución del objeto contractual. Inclusive, los conso</w:t>
      </w:r>
      <w:r w:rsidRPr="007C1489">
        <w:rPr>
          <w:rFonts w:ascii="Verdana" w:hAnsi="Verdana" w:cs="Arial"/>
        </w:rPr>
        <w:t>rcios y uniones temporales, a través de su representante, tienen capacidad y están legitimados para comparecer al proceso, en orden de proteger sus derechos o responder por el incumplimiento de sus</w:t>
      </w:r>
      <w:r w:rsidRPr="00542544">
        <w:rPr>
          <w:rFonts w:ascii="Verdana" w:hAnsi="Verdana" w:cs="Arial"/>
          <w:spacing w:val="-5"/>
        </w:rPr>
        <w:t xml:space="preserve"> </w:t>
      </w:r>
      <w:r w:rsidRPr="00542544">
        <w:rPr>
          <w:rFonts w:ascii="Verdana" w:hAnsi="Verdana" w:cs="Arial"/>
        </w:rPr>
        <w:t>obligaciones</w:t>
      </w:r>
      <w:r w:rsidRPr="00542544">
        <w:rPr>
          <w:rStyle w:val="Refdenotaalpie"/>
          <w:rFonts w:ascii="Verdana" w:hAnsi="Verdana" w:cs="Arial"/>
        </w:rPr>
        <w:footnoteReference w:id="12"/>
      </w:r>
      <w:r w:rsidRPr="00542544">
        <w:rPr>
          <w:rFonts w:ascii="Verdana" w:hAnsi="Verdana" w:cs="Arial"/>
        </w:rPr>
        <w:t xml:space="preserve">. </w:t>
      </w:r>
      <w:r w:rsidRPr="007C1489">
        <w:rPr>
          <w:rFonts w:ascii="Verdana" w:hAnsi="Verdana" w:cs="Arial"/>
        </w:rPr>
        <w:t xml:space="preserve"> </w:t>
      </w:r>
    </w:p>
    <w:p w14:paraId="467C90C4" w14:textId="77777777" w:rsidR="007C5F7B" w:rsidRPr="00542544" w:rsidRDefault="007C5F7B" w:rsidP="0079021F">
      <w:pPr>
        <w:spacing w:after="120" w:line="276" w:lineRule="auto"/>
        <w:ind w:firstLine="709"/>
        <w:jc w:val="both"/>
        <w:rPr>
          <w:rFonts w:ascii="Verdana" w:eastAsia="Century Gothic" w:hAnsi="Verdana" w:cs="Century Gothic"/>
        </w:rPr>
      </w:pPr>
      <w:r w:rsidRPr="00542544">
        <w:rPr>
          <w:rFonts w:ascii="Verdana" w:hAnsi="Verdana"/>
        </w:rPr>
        <w:t>En tal sentido, los consorcios y uniones temporales no son personas jurídicas, pero son entes creados por el acuerdo de voluntades de sus miembros que están facultados, en virtud de la ley, para celebrar y ejecutar contratos con entidades estatales y para ser parte en procesos administrativos y judiciales derivados de su celebración y ejecución</w:t>
      </w:r>
      <w:r w:rsidRPr="00542544">
        <w:rPr>
          <w:rFonts w:ascii="Verdana" w:eastAsia="Calibri" w:hAnsi="Verdana" w:cs="Arial"/>
          <w:color w:val="000000" w:themeColor="text1"/>
        </w:rPr>
        <w:t xml:space="preserve">. </w:t>
      </w:r>
    </w:p>
    <w:p w14:paraId="33CA8299" w14:textId="77777777" w:rsidR="007C5F7B" w:rsidRPr="00542544" w:rsidRDefault="007C5F7B" w:rsidP="0079021F">
      <w:pPr>
        <w:spacing w:after="120" w:line="276" w:lineRule="auto"/>
        <w:ind w:firstLine="709"/>
        <w:jc w:val="both"/>
        <w:rPr>
          <w:rFonts w:ascii="Verdana" w:eastAsia="Arial MT" w:hAnsi="Verdana" w:cs="Arial"/>
          <w:lang w:eastAsia="es-ES" w:bidi="es-ES"/>
        </w:rPr>
      </w:pPr>
      <w:r w:rsidRPr="00542544">
        <w:rPr>
          <w:rFonts w:ascii="Verdana" w:eastAsia="Arial MT" w:hAnsi="Verdana" w:cs="Arial"/>
          <w:lang w:eastAsia="es-ES" w:bidi="es-ES"/>
        </w:rPr>
        <w:t xml:space="preserve">Bajo esa premisa, los miembros de los proponentes plurales podrán ser </w:t>
      </w:r>
      <w:r w:rsidRPr="00542544">
        <w:rPr>
          <w:rFonts w:ascii="Verdana" w:eastAsia="Century Gothic" w:hAnsi="Verdana" w:cs="Century Gothic"/>
        </w:rPr>
        <w:t xml:space="preserve">personas naturales o jurídicas extranjeras. </w:t>
      </w:r>
      <w:r w:rsidRPr="00542544">
        <w:rPr>
          <w:rFonts w:ascii="Verdana" w:eastAsia="Arial MT" w:hAnsi="Verdana" w:cs="Arial"/>
          <w:lang w:eastAsia="es-ES" w:bidi="es-ES"/>
        </w:rPr>
        <w:t xml:space="preserve">Lo anterior, en concordancia con el numeral 1 del artículo 1502 del Código Civil y el inciso primero del artículo 6 de la Ley 80 de 1993 –modificado por el artículo 1 de la Ley 2160 de 2021– el cual dispone que “Pueden celebrar contratos con las entidades estatales las personas consideradas legalmente capaces en las disposiciones vigentes […]”. Esta norma es acorde al reconocimiento de la personalidad jurídica del artículo 16 constitucional, de donde se infiere que las personas extranjeras –al igual que las nacionales– pueden concurrir en la celebración de contratos estatales, siempre que no se encuentren en alguna causal de inhabilidad o incompatibilidad que la afecte. </w:t>
      </w:r>
    </w:p>
    <w:p w14:paraId="7B0107C9" w14:textId="77777777" w:rsidR="007C5F7B" w:rsidRPr="00542544" w:rsidRDefault="007C5F7B" w:rsidP="0079021F">
      <w:pPr>
        <w:spacing w:after="120" w:line="276" w:lineRule="auto"/>
        <w:ind w:right="142" w:firstLine="709"/>
        <w:jc w:val="both"/>
        <w:rPr>
          <w:rFonts w:ascii="Verdana" w:hAnsi="Verdana" w:cs="Arial"/>
          <w:lang w:eastAsia="es-ES_tradnl"/>
        </w:rPr>
      </w:pPr>
      <w:r w:rsidRPr="00542544">
        <w:rPr>
          <w:rFonts w:ascii="Verdana" w:hAnsi="Verdana" w:cs="Arial"/>
          <w:lang w:eastAsia="es-ES_tradnl"/>
        </w:rPr>
        <w:t>De igual manera, se debe tener en cuenta que cualquier sociedad extranjera que celebre contratos en Colombia está sujeta al cumplimiento de obligaciones en materia de seguridad social, aportes parafiscales, tributos e impuestos, de acuerdo con la naturaleza del negocio jurídico que se lleve a cabo en el territorio nacional</w:t>
      </w:r>
    </w:p>
    <w:p w14:paraId="7194B2E9" w14:textId="77777777" w:rsidR="007C5F7B" w:rsidRPr="00542544" w:rsidRDefault="007C5F7B" w:rsidP="0079021F">
      <w:pPr>
        <w:spacing w:after="120" w:line="276" w:lineRule="auto"/>
        <w:ind w:right="142" w:firstLine="709"/>
        <w:jc w:val="both"/>
        <w:rPr>
          <w:rFonts w:ascii="Verdana" w:hAnsi="Verdana" w:cs="Arial"/>
        </w:rPr>
      </w:pPr>
      <w:bookmarkStart w:id="1" w:name="_1fob9te" w:colFirst="0" w:colLast="0"/>
      <w:bookmarkEnd w:id="1"/>
      <w:r w:rsidRPr="00542544">
        <w:rPr>
          <w:rFonts w:ascii="Verdana" w:eastAsia="Calibri" w:hAnsi="Verdana" w:cs="Arial"/>
          <w:bCs/>
        </w:rPr>
        <w:t>En conclusión</w:t>
      </w:r>
      <w:r w:rsidRPr="00542544">
        <w:rPr>
          <w:rFonts w:ascii="Verdana" w:hAnsi="Verdana" w:cs="Arial"/>
        </w:rPr>
        <w:t>, los proponentes extranjeros tienen la obligación de constituir una sucursal con domicilio en el territorio nacional, en caso de que les sea adjudicado un contrato para la ejecución de obras, prestación de servicios, concesión o cualquier otro contrato que represente el ejercicio de negocios permanentes en el país. En consecuencia, un proponente, proveedor o sociedad extranjera puede intervenir en la presentación de una oferta para que le sea adjudicado un contrato sin que ello, por sí mismo, genere obligación alguna de incorporar sucursal en el territorio nacional, pues esta obligación surge únicamente en el evento de serle adjudicado el contrato para la ejecución de obras o prestación de servicios.</w:t>
      </w:r>
    </w:p>
    <w:p w14:paraId="70A08F73" w14:textId="77777777" w:rsidR="007C5F7B" w:rsidRPr="00542544" w:rsidRDefault="007C5F7B" w:rsidP="0079021F">
      <w:pPr>
        <w:spacing w:after="120" w:line="276" w:lineRule="auto"/>
        <w:ind w:right="142" w:firstLine="709"/>
        <w:jc w:val="both"/>
        <w:rPr>
          <w:rFonts w:ascii="Verdana" w:eastAsia="Calibri" w:hAnsi="Verdana" w:cs="Arial"/>
          <w:color w:val="000000" w:themeColor="text1"/>
        </w:rPr>
      </w:pPr>
      <w:r w:rsidRPr="00542544">
        <w:rPr>
          <w:rFonts w:ascii="Verdana" w:eastAsia="Calibri" w:hAnsi="Verdana" w:cs="Arial"/>
          <w:color w:val="000000" w:themeColor="text1"/>
        </w:rPr>
        <w:t>Finalmente</w:t>
      </w:r>
      <w:r w:rsidRPr="00542544">
        <w:rPr>
          <w:rFonts w:ascii="Verdana" w:eastAsia="Calibri" w:hAnsi="Verdana" w:cs="Arial"/>
          <w:lang w:val="es-ES"/>
        </w:rPr>
        <w:t>, es importante aclarar que, teniendo</w:t>
      </w:r>
      <w:r w:rsidRPr="00542544">
        <w:rPr>
          <w:rFonts w:ascii="Verdana" w:hAnsi="Verdana"/>
        </w:rPr>
        <w:t xml:space="preserve"> </w:t>
      </w:r>
      <w:r w:rsidRPr="00542544">
        <w:rPr>
          <w:rFonts w:ascii="Verdana" w:eastAsia="Calibri" w:hAnsi="Verdana" w:cs="Arial"/>
          <w:lang w:val="es-ES"/>
        </w:rPr>
        <w:t xml:space="preserve">en cuenta que esta entidad solo tiene competencia para responder solicitudes sobre la aplicación de normas de carácter general en materia de compras y contratación pública, </w:t>
      </w:r>
      <w:r w:rsidRPr="00542544">
        <w:rPr>
          <w:rFonts w:ascii="Verdana" w:eastAsia="Calibri" w:hAnsi="Verdana" w:cs="Arial"/>
          <w:i/>
          <w:lang w:val="es-ES"/>
        </w:rPr>
        <w:t xml:space="preserve">NO es la idónea para establecer la validez de la situación descrita en su consulta. </w:t>
      </w:r>
      <w:r w:rsidRPr="00542544">
        <w:rPr>
          <w:rFonts w:ascii="Verdana" w:eastAsia="Calibri" w:hAnsi="Verdana" w:cs="Arial"/>
          <w:lang w:val="es-ES"/>
        </w:rPr>
        <w:t>Lo anterior</w:t>
      </w:r>
      <w:r w:rsidRPr="00542544">
        <w:rPr>
          <w:rFonts w:ascii="Verdana" w:eastAsia="Calibri" w:hAnsi="Verdana" w:cs="Arial"/>
          <w:color w:val="000000" w:themeColor="text1"/>
        </w:rPr>
        <w:t xml:space="preserve"> debido a que la competencia consultiva se fija con límites claros, con el objeto de evitar que se actúe como una instancia de validación de las actuaciones de las entidades sujetas a la Ley 80 de 1993 o de los demás participantes en la contratación pública, lo cual corresponde a la competencia de los entes de control y los jueces de la República.</w:t>
      </w:r>
    </w:p>
    <w:p w14:paraId="59476700" w14:textId="77777777" w:rsidR="007C5F7B" w:rsidRPr="00542544" w:rsidRDefault="007C5F7B" w:rsidP="007C5F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544">
        <w:rPr>
          <w:rFonts w:ascii="Verdana" w:eastAsia="Century Gothic" w:hAnsi="Verdana" w:cs="Century Gothic"/>
          <w:b/>
          <w:bCs/>
        </w:rPr>
        <w:t>Referencias normativas, jurisprudenciales y otras fuentes:</w:t>
      </w:r>
    </w:p>
    <w:p w14:paraId="23474A63" w14:textId="77777777" w:rsidR="007C5F7B" w:rsidRPr="00542544" w:rsidRDefault="007C5F7B" w:rsidP="007C5F7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5F7B" w:rsidRPr="00542544" w14:paraId="26572B00" w14:textId="77777777" w:rsidTr="000236A5">
        <w:trPr>
          <w:trHeight w:val="870"/>
        </w:trPr>
        <w:tc>
          <w:tcPr>
            <w:tcW w:w="8647" w:type="dxa"/>
          </w:tcPr>
          <w:p w14:paraId="00FD7436" w14:textId="77777777" w:rsidR="007C5F7B" w:rsidRPr="00542544" w:rsidRDefault="007C5F7B" w:rsidP="007C5F7B">
            <w:pPr>
              <w:pStyle w:val="Prrafodelista"/>
              <w:numPr>
                <w:ilvl w:val="0"/>
                <w:numId w:val="17"/>
              </w:numPr>
              <w:spacing w:line="276" w:lineRule="auto"/>
              <w:jc w:val="both"/>
              <w:rPr>
                <w:rFonts w:ascii="Verdana" w:hAnsi="Verdana"/>
              </w:rPr>
            </w:pPr>
            <w:r w:rsidRPr="00542544">
              <w:rPr>
                <w:rFonts w:ascii="Verdana" w:hAnsi="Verdana" w:cs="Arial"/>
                <w:color w:val="000000" w:themeColor="text1"/>
              </w:rPr>
              <w:t>Constitución Política, Preámbulo y artículos 1, 2 y 3 inciso 2</w:t>
            </w:r>
          </w:p>
          <w:p w14:paraId="165FF098" w14:textId="77777777" w:rsidR="007C5F7B" w:rsidRPr="00542544" w:rsidRDefault="007C5F7B" w:rsidP="007C5F7B">
            <w:pPr>
              <w:pStyle w:val="Prrafodelista"/>
              <w:numPr>
                <w:ilvl w:val="0"/>
                <w:numId w:val="17"/>
              </w:numPr>
              <w:spacing w:line="276" w:lineRule="auto"/>
              <w:jc w:val="both"/>
              <w:rPr>
                <w:rFonts w:ascii="Verdana" w:hAnsi="Verdana"/>
              </w:rPr>
            </w:pPr>
            <w:r w:rsidRPr="00542544">
              <w:rPr>
                <w:rFonts w:ascii="Verdana" w:hAnsi="Verdana" w:cs="Arial"/>
                <w:color w:val="000000" w:themeColor="text1"/>
              </w:rPr>
              <w:t xml:space="preserve">Código Civil, artículos 18, </w:t>
            </w:r>
            <w:r w:rsidRPr="00542544">
              <w:rPr>
                <w:rFonts w:ascii="Verdana" w:hAnsi="Verdana" w:cs="Arial"/>
              </w:rPr>
              <w:t>1502, 1503 1504 y 1505</w:t>
            </w:r>
          </w:p>
          <w:p w14:paraId="799DBACD" w14:textId="77777777" w:rsidR="007C5F7B" w:rsidRPr="00542544" w:rsidRDefault="007C5F7B" w:rsidP="007C5F7B">
            <w:pPr>
              <w:pStyle w:val="Prrafodelista"/>
              <w:numPr>
                <w:ilvl w:val="0"/>
                <w:numId w:val="17"/>
              </w:numPr>
              <w:spacing w:line="276" w:lineRule="auto"/>
              <w:jc w:val="both"/>
              <w:rPr>
                <w:rFonts w:ascii="Verdana" w:hAnsi="Verdana"/>
              </w:rPr>
            </w:pPr>
            <w:r w:rsidRPr="00542544">
              <w:rPr>
                <w:rFonts w:ascii="Verdana" w:eastAsia="Arial MT" w:hAnsi="Verdana" w:cs="Arial"/>
                <w:lang w:eastAsia="es-ES" w:bidi="es-ES"/>
              </w:rPr>
              <w:t xml:space="preserve">Ley 80 de 1993, artículos 6 y 7 </w:t>
            </w:r>
          </w:p>
          <w:p w14:paraId="33145009"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rPr>
              <w:t>Ley 1150 de 2007, artículos 5 y 6</w:t>
            </w:r>
          </w:p>
          <w:p w14:paraId="2D4F2763"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rPr>
              <w:t xml:space="preserve">Decreto 1082 de 2015, artículos 2.2.1.1.1.6.2 y </w:t>
            </w:r>
            <w:r w:rsidRPr="00542544">
              <w:rPr>
                <w:rFonts w:ascii="Verdana" w:eastAsia="Arial MT" w:hAnsi="Verdana" w:cs="Arial"/>
                <w:lang w:eastAsia="es-ES" w:bidi="es-ES"/>
              </w:rPr>
              <w:t>2.2.1.1.1.5.1.</w:t>
            </w:r>
          </w:p>
          <w:p w14:paraId="50A6CAB2"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color w:val="000000" w:themeColor="text1"/>
              </w:rPr>
              <w:t>Código de Comercio, artículo 469, 471, 474 y 482</w:t>
            </w:r>
          </w:p>
          <w:p w14:paraId="29BADE51"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rPr>
              <w:t>Ley 2160 de 2021, artículo 1 y 3</w:t>
            </w:r>
          </w:p>
          <w:p w14:paraId="00EF8021"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lang w:val="pt-BR"/>
              </w:rPr>
              <w:t xml:space="preserve">CORTE CONSTITUCIONAL. Sentencia C-414 de 1994. </w:t>
            </w:r>
            <w:r w:rsidRPr="00542544">
              <w:rPr>
                <w:rFonts w:ascii="Verdana" w:hAnsi="Verdana" w:cs="Arial"/>
              </w:rPr>
              <w:t>M.P. Antonio Barrera Carbonell</w:t>
            </w:r>
          </w:p>
          <w:p w14:paraId="7F131606"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lang w:val="pt-BR"/>
              </w:rPr>
              <w:t xml:space="preserve">CORTE CONSTITUCIONAL. Sentencia C-949 de 2001. </w:t>
            </w:r>
            <w:r w:rsidRPr="00542544">
              <w:rPr>
                <w:rFonts w:ascii="Verdana" w:hAnsi="Verdana" w:cs="Arial"/>
              </w:rPr>
              <w:t>M.P. Clara Inés Vargas Hernández</w:t>
            </w:r>
          </w:p>
          <w:p w14:paraId="1A40F28C"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rPr>
              <w:t>CONSEJO DE ESTADO. Sección Tercera. Sala Plena. Sentencia de Unificación del 25 de septiembre de 2013. Rad. 19.933. C.P. Mauricio Fajardo Gómez</w:t>
            </w:r>
          </w:p>
          <w:p w14:paraId="48A5A85F" w14:textId="77777777" w:rsidR="007C5F7B" w:rsidRPr="00542544" w:rsidRDefault="007C5F7B" w:rsidP="007C5F7B">
            <w:pPr>
              <w:pStyle w:val="Prrafodelista"/>
              <w:numPr>
                <w:ilvl w:val="0"/>
                <w:numId w:val="17"/>
              </w:numPr>
              <w:spacing w:line="276" w:lineRule="auto"/>
              <w:jc w:val="both"/>
              <w:rPr>
                <w:rFonts w:ascii="Verdana" w:hAnsi="Verdana" w:cs="Arial"/>
              </w:rPr>
            </w:pPr>
            <w:r w:rsidRPr="00542544">
              <w:rPr>
                <w:rFonts w:ascii="Verdana" w:hAnsi="Verdana" w:cs="Arial"/>
              </w:rPr>
              <w:t>Manual para determinar y verificar los requisitos habilitantes en los Procesos de Contratación</w:t>
            </w:r>
          </w:p>
          <w:p w14:paraId="1639113E" w14:textId="77777777" w:rsidR="007C5F7B" w:rsidRPr="00542544" w:rsidRDefault="007C5F7B" w:rsidP="007C5F7B">
            <w:pPr>
              <w:pStyle w:val="Prrafodelista"/>
              <w:numPr>
                <w:ilvl w:val="0"/>
                <w:numId w:val="17"/>
              </w:numPr>
              <w:spacing w:line="276" w:lineRule="auto"/>
              <w:jc w:val="both"/>
              <w:rPr>
                <w:rFonts w:ascii="Verdana" w:hAnsi="Verdana" w:cs="Arial"/>
                <w:iCs/>
              </w:rPr>
            </w:pPr>
            <w:r w:rsidRPr="00542544">
              <w:rPr>
                <w:rFonts w:ascii="Verdana" w:hAnsi="Verdana" w:cs="Arial"/>
              </w:rPr>
              <w:t>Guía para la participación de Proveedores Extranjeros en Procesos de Contratación.</w:t>
            </w:r>
          </w:p>
        </w:tc>
      </w:tr>
    </w:tbl>
    <w:p w14:paraId="791970AB" w14:textId="77777777" w:rsidR="007C5F7B" w:rsidRPr="00542544" w:rsidRDefault="007C5F7B" w:rsidP="007C1489">
      <w:pPr>
        <w:widowControl w:val="0"/>
        <w:autoSpaceDE w:val="0"/>
        <w:autoSpaceDN w:val="0"/>
        <w:spacing w:after="0" w:line="276" w:lineRule="auto"/>
        <w:jc w:val="both"/>
        <w:rPr>
          <w:rFonts w:ascii="Verdana" w:hAnsi="Verdana" w:cs="Arial"/>
        </w:rPr>
      </w:pPr>
    </w:p>
    <w:p w14:paraId="60044FDF" w14:textId="77777777" w:rsidR="007C5F7B" w:rsidRPr="007C1489" w:rsidRDefault="007C5F7B" w:rsidP="007037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544">
        <w:rPr>
          <w:rFonts w:ascii="Verdana" w:eastAsia="Century Gothic" w:hAnsi="Verdana" w:cs="Century Gothic"/>
          <w:b/>
          <w:bCs/>
        </w:rPr>
        <w:t>Doctrina de la Agencia Nacional de Contratación Pública:</w:t>
      </w:r>
    </w:p>
    <w:p w14:paraId="207912AD" w14:textId="77777777" w:rsidR="007C5F7B" w:rsidRPr="007C1489" w:rsidRDefault="007C5F7B">
      <w:pPr>
        <w:widowControl w:val="0"/>
        <w:autoSpaceDE w:val="0"/>
        <w:autoSpaceDN w:val="0"/>
        <w:spacing w:after="0" w:line="276" w:lineRule="auto"/>
        <w:jc w:val="both"/>
        <w:rPr>
          <w:rFonts w:ascii="Verdana" w:hAnsi="Verdana" w:cs="Arial"/>
        </w:rPr>
      </w:pPr>
    </w:p>
    <w:p w14:paraId="5FCE4991" w14:textId="77777777" w:rsidR="007C5F7B" w:rsidRPr="00542544" w:rsidRDefault="007C5F7B">
      <w:pPr>
        <w:widowControl w:val="0"/>
        <w:autoSpaceDE w:val="0"/>
        <w:autoSpaceDN w:val="0"/>
        <w:spacing w:after="0" w:line="276" w:lineRule="auto"/>
        <w:jc w:val="both"/>
        <w:rPr>
          <w:rStyle w:val="normaltextrun"/>
          <w:rFonts w:ascii="Verdana" w:hAnsi="Verdana" w:cs="Arial"/>
          <w:shd w:val="clear" w:color="auto" w:fill="FFFFFF"/>
          <w:lang w:val="es-ES"/>
        </w:rPr>
      </w:pPr>
      <w:r w:rsidRPr="007C1489">
        <w:rPr>
          <w:rFonts w:ascii="Verdana" w:eastAsia="Aptos" w:hAnsi="Verdana" w:cs="Arial"/>
          <w:shd w:val="clear" w:color="auto" w:fill="FFFFFF"/>
          <w:lang w:val="es-ES"/>
        </w:rPr>
        <w:t xml:space="preserve">Sobre los requisitos habilitantes en los procesos de contratación pública, esta Subdirección se ha referido en los Conceptos </w:t>
      </w:r>
      <w:r w:rsidRPr="00542544">
        <w:rPr>
          <w:rFonts w:ascii="Verdana" w:eastAsia="Calibri" w:hAnsi="Verdana" w:cs="Arial"/>
          <w:lang w:val="es-ES_tradnl" w:eastAsia="es-MX"/>
        </w:rPr>
        <w:t xml:space="preserve">C-120 del 3 de marzo de 2020, C-099 del 6 de abril de 2020, C-195 del 13 de abril de 2020, C-142 del 30 de marzo de 2022, C-337 del 18 de agosto de 2023, </w:t>
      </w:r>
      <w:r w:rsidRPr="00542544">
        <w:rPr>
          <w:rFonts w:ascii="Verdana" w:eastAsia="Aptos" w:hAnsi="Verdana" w:cs="Arial"/>
          <w:shd w:val="clear" w:color="auto" w:fill="FFFFFF"/>
          <w:lang w:val="es-ES"/>
        </w:rPr>
        <w:t xml:space="preserve">C-246 del 16 de julio de 2024, C-277 del 16 de julio de 2024, C-193 del 19 de julio de 2024, C-178 del 29 de julio de 2024, C-204 del 29 de julio de 2024, C-278 del 31 de julio de 2024, C-201 del 02 de agosto de 2024, C-349 del 15 de agosto de 2024, C-291 del 20 de agosto de 2024, </w:t>
      </w:r>
      <w:r w:rsidRPr="00542544">
        <w:rPr>
          <w:rFonts w:ascii="Verdana" w:eastAsia="Calibri" w:hAnsi="Verdana" w:cs="Arial"/>
          <w:lang w:eastAsia="es-ES_tradnl"/>
        </w:rPr>
        <w:t>entre otros. Así mismo, se ha pronunciado sobre la participación de proponentes extranjeros en procesos de selección de contratistas del Estado en los conceptos C-102 del 8 de julio de 2024,</w:t>
      </w:r>
      <w:r w:rsidRPr="00542544">
        <w:rPr>
          <w:rFonts w:ascii="Verdana" w:hAnsi="Verdana" w:cs="Arial"/>
          <w:lang w:val="es-ES_tradnl"/>
        </w:rPr>
        <w:t xml:space="preserve"> C-973 del 7 de diciembre de 2024, C- 445 del 16 de mayo de 2025 y C-1200 del 3 de octubre de 2025, C-1256 del 16 de octubre de 2025</w:t>
      </w:r>
      <w:r w:rsidRPr="007037F3">
        <w:rPr>
          <w:rFonts w:ascii="Verdana" w:hAnsi="Verdana"/>
          <w:lang w:val="es-ES_tradnl"/>
        </w:rPr>
        <w:t xml:space="preserve">. </w:t>
      </w:r>
      <w:r w:rsidRPr="00542544">
        <w:rPr>
          <w:rFonts w:ascii="Verdana" w:hAnsi="Verdana"/>
        </w:rPr>
        <w:t>Estos y otros conceptos se encuentran disponibles para consulta en el Sistema de relatoría de la Agencia, al cual se puede acceder a través del siguiente enlace:</w:t>
      </w:r>
      <w:r w:rsidRPr="00542544">
        <w:rPr>
          <w:rStyle w:val="normaltextrun"/>
          <w:rFonts w:ascii="Verdana" w:hAnsi="Verdana" w:cs="Arial"/>
          <w:shd w:val="clear" w:color="auto" w:fill="FFFFFF"/>
          <w:lang w:val="es-ES"/>
        </w:rPr>
        <w:t xml:space="preserve"> </w:t>
      </w:r>
      <w:hyperlink r:id="rId12" w:history="1">
        <w:r w:rsidRPr="00542544">
          <w:rPr>
            <w:rStyle w:val="Hipervnculo"/>
            <w:rFonts w:ascii="Verdana" w:hAnsi="Verdana" w:cs="Arial"/>
            <w:shd w:val="clear" w:color="auto" w:fill="FFFFFF"/>
            <w:lang w:val="es-ES"/>
          </w:rPr>
          <w:t>https://relatoria.colombiacompra.gov.co/busqueda/conceptos</w:t>
        </w:r>
      </w:hyperlink>
      <w:r w:rsidRPr="00542544">
        <w:rPr>
          <w:rStyle w:val="normaltextrun"/>
          <w:rFonts w:ascii="Verdana" w:hAnsi="Verdana" w:cs="Arial"/>
          <w:shd w:val="clear" w:color="auto" w:fill="FFFFFF"/>
          <w:lang w:val="es-ES"/>
        </w:rPr>
        <w:t xml:space="preserve"> </w:t>
      </w:r>
    </w:p>
    <w:p w14:paraId="07E92DE6" w14:textId="77777777" w:rsidR="007C5F7B" w:rsidRPr="00542544" w:rsidRDefault="007C5F7B">
      <w:pPr>
        <w:widowControl w:val="0"/>
        <w:autoSpaceDE w:val="0"/>
        <w:autoSpaceDN w:val="0"/>
        <w:spacing w:after="0" w:line="276" w:lineRule="auto"/>
        <w:jc w:val="both"/>
        <w:rPr>
          <w:rStyle w:val="normaltextrun"/>
          <w:rFonts w:ascii="Verdana" w:hAnsi="Verdana" w:cs="Arial"/>
          <w:shd w:val="clear" w:color="auto" w:fill="FFFFFF"/>
          <w:lang w:val="es-ES"/>
        </w:rPr>
      </w:pPr>
    </w:p>
    <w:p w14:paraId="17928B73" w14:textId="77777777" w:rsidR="007C5F7B" w:rsidRPr="00542544" w:rsidRDefault="007C5F7B">
      <w:pPr>
        <w:widowControl w:val="0"/>
        <w:autoSpaceDE w:val="0"/>
        <w:autoSpaceDN w:val="0"/>
        <w:spacing w:after="0" w:line="276" w:lineRule="auto"/>
        <w:jc w:val="both"/>
        <w:rPr>
          <w:rFonts w:ascii="Verdana" w:hAnsi="Verdana"/>
        </w:rPr>
      </w:pPr>
      <w:r w:rsidRPr="00542544">
        <w:rPr>
          <w:rFonts w:ascii="Verdana" w:hAnsi="Verdana" w:cs="Arial"/>
          <w:color w:val="000000" w:themeColor="text1"/>
          <w:shd w:val="clear" w:color="auto" w:fill="FFFFFF"/>
        </w:rPr>
        <w:t>T</w:t>
      </w:r>
      <w:r w:rsidRPr="007C1489">
        <w:rPr>
          <w:rFonts w:ascii="Verdana" w:hAnsi="Verdana" w:cs="Arial"/>
          <w:color w:val="000000" w:themeColor="text1"/>
          <w:shd w:val="clear" w:color="auto" w:fill="FFFFFF"/>
        </w:rPr>
        <w:t xml:space="preserve">e contamos que ya publicamos la nueva </w:t>
      </w:r>
      <w:r w:rsidRPr="007C1489">
        <w:rPr>
          <w:rFonts w:ascii="Verdana" w:hAnsi="Verdana" w:cs="Arial"/>
          <w:b/>
          <w:bCs/>
          <w:color w:val="000000" w:themeColor="text1"/>
          <w:shd w:val="clear" w:color="auto" w:fill="FFFFFF"/>
        </w:rPr>
        <w:t>Guía de Contratación Pública Sostenible y Socialmente Responsable</w:t>
      </w:r>
      <w:r w:rsidRPr="00542544">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42544">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542544">
        <w:rPr>
          <w:rFonts w:ascii="Verdana" w:hAnsi="Verdana"/>
        </w:rPr>
        <w:t>.</w:t>
      </w:r>
    </w:p>
    <w:p w14:paraId="6BFC8BC6" w14:textId="77777777" w:rsidR="007C5F7B" w:rsidRPr="007C1489" w:rsidRDefault="007C5F7B">
      <w:pPr>
        <w:widowControl w:val="0"/>
        <w:autoSpaceDE w:val="0"/>
        <w:autoSpaceDN w:val="0"/>
        <w:spacing w:after="0" w:line="276" w:lineRule="auto"/>
        <w:jc w:val="both"/>
        <w:rPr>
          <w:rFonts w:ascii="Verdana" w:hAnsi="Verdana"/>
        </w:rPr>
      </w:pPr>
    </w:p>
    <w:p w14:paraId="7E689C3E" w14:textId="3D553695" w:rsidR="002A0DD0" w:rsidRPr="00542544" w:rsidRDefault="00C76B1C" w:rsidP="007037F3">
      <w:pPr>
        <w:spacing w:after="0" w:line="276" w:lineRule="auto"/>
        <w:jc w:val="both"/>
        <w:rPr>
          <w:rFonts w:ascii="Verdana" w:hAnsi="Verdana"/>
        </w:rPr>
      </w:pPr>
      <w:r w:rsidRPr="007C1489">
        <w:rPr>
          <w:rFonts w:ascii="Verdana" w:hAnsi="Verdana"/>
        </w:rPr>
        <w:t>Por último, a</w:t>
      </w:r>
      <w:r w:rsidR="00DA231B" w:rsidRPr="007C1489">
        <w:rPr>
          <w:rFonts w:ascii="Verdana" w:hAnsi="Verdana"/>
        </w:rPr>
        <w:t xml:space="preserve">provechamos la oportunidad </w:t>
      </w:r>
      <w:r w:rsidR="002707A2" w:rsidRPr="007C1489">
        <w:rPr>
          <w:rFonts w:ascii="Verdana" w:hAnsi="Verdana"/>
        </w:rPr>
        <w:t xml:space="preserve">de </w:t>
      </w:r>
      <w:r w:rsidR="00DA231B" w:rsidRPr="00542544">
        <w:rPr>
          <w:rFonts w:ascii="Verdana" w:hAnsi="Verdana"/>
        </w:rPr>
        <w:t>manifestar la entera disposición de la Agencia Nacional de Contratación Pública –Colombia Compra Eficiente– para atender l</w:t>
      </w:r>
      <w:r w:rsidR="00322A85" w:rsidRPr="00542544">
        <w:rPr>
          <w:rFonts w:ascii="Verdana" w:hAnsi="Verdana"/>
        </w:rPr>
        <w:t>as peticiones</w:t>
      </w:r>
      <w:r w:rsidR="00771D0C" w:rsidRPr="00542544">
        <w:rPr>
          <w:rFonts w:ascii="Verdana" w:hAnsi="Verdana"/>
        </w:rPr>
        <w:t xml:space="preserve"> o solicitudes</w:t>
      </w:r>
      <w:r w:rsidR="00DA231B" w:rsidRPr="00542544">
        <w:rPr>
          <w:rFonts w:ascii="Verdana" w:hAnsi="Verdana"/>
        </w:rPr>
        <w:t>, así como para brindar el apoyo que se requiera en el marco de nuestras funciones</w:t>
      </w:r>
      <w:r w:rsidR="002A0DD0" w:rsidRPr="00542544">
        <w:rPr>
          <w:rFonts w:ascii="Verdana" w:hAnsi="Verdana"/>
        </w:rPr>
        <w:t xml:space="preserve"> a través de </w:t>
      </w:r>
      <w:r w:rsidR="002707A2" w:rsidRPr="00542544">
        <w:rPr>
          <w:rFonts w:ascii="Verdana" w:hAnsi="Verdana"/>
        </w:rPr>
        <w:t>nuestros diferentes canales de</w:t>
      </w:r>
      <w:r w:rsidR="002A0DD0" w:rsidRPr="00542544">
        <w:rPr>
          <w:rFonts w:ascii="Verdana" w:hAnsi="Verdana"/>
        </w:rPr>
        <w:t xml:space="preserve"> atención: </w:t>
      </w:r>
    </w:p>
    <w:p w14:paraId="069DC861" w14:textId="4F32C71A" w:rsidR="7BB183BC" w:rsidRPr="00542544" w:rsidRDefault="7BB183BC" w:rsidP="007037F3">
      <w:pPr>
        <w:spacing w:after="0" w:line="276" w:lineRule="auto"/>
        <w:jc w:val="both"/>
        <w:rPr>
          <w:rFonts w:ascii="Verdana" w:hAnsi="Verdana"/>
        </w:rPr>
      </w:pPr>
    </w:p>
    <w:p w14:paraId="6517DADA" w14:textId="25D0771C" w:rsidR="2859CA1B" w:rsidRPr="00542544" w:rsidRDefault="2859CA1B" w:rsidP="007037F3">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542544">
        <w:rPr>
          <w:rFonts w:ascii="Verdana" w:eastAsia="Verdana" w:hAnsi="Verdana" w:cs="Verdana"/>
          <w:lang w:val="es-MX"/>
        </w:rPr>
        <w:t xml:space="preserve">Línea nacional gratuita o servicio a la ciudadanía (Mesa de servicio): </w:t>
      </w:r>
      <w:r w:rsidRPr="00542544">
        <w:rPr>
          <w:rStyle w:val="Hipervnculo"/>
          <w:rFonts w:ascii="Verdana" w:hAnsi="Verdana"/>
        </w:rPr>
        <w:t>01800 0520808</w:t>
      </w:r>
    </w:p>
    <w:p w14:paraId="07E438E0" w14:textId="0F16C806" w:rsidR="2859CA1B" w:rsidRPr="00542544" w:rsidRDefault="2859CA1B" w:rsidP="007037F3">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542544">
        <w:rPr>
          <w:rFonts w:ascii="Verdana" w:eastAsia="Verdana" w:hAnsi="Verdana" w:cs="Verdana"/>
          <w:lang w:val="es-MX"/>
        </w:rPr>
        <w:t>Línea en Bogotá (Mesa de servicio):</w:t>
      </w:r>
      <w:r w:rsidRPr="00542544">
        <w:rPr>
          <w:rStyle w:val="Hipervnculo"/>
          <w:rFonts w:ascii="Verdana" w:hAnsi="Verdana"/>
        </w:rPr>
        <w:t>+57 601 7456788</w:t>
      </w:r>
    </w:p>
    <w:p w14:paraId="7945A7C5" w14:textId="26D6647F" w:rsidR="2859CA1B" w:rsidRPr="00542544" w:rsidRDefault="2859CA1B" w:rsidP="007037F3">
      <w:pPr>
        <w:pStyle w:val="Prrafodelista"/>
        <w:numPr>
          <w:ilvl w:val="0"/>
          <w:numId w:val="15"/>
        </w:numPr>
        <w:spacing w:after="0" w:line="276" w:lineRule="auto"/>
        <w:contextualSpacing w:val="0"/>
        <w:rPr>
          <w:rFonts w:ascii="Verdana" w:eastAsia="Verdana" w:hAnsi="Verdana" w:cs="Verdana"/>
          <w:color w:val="0000FF"/>
          <w:u w:val="single"/>
          <w:lang w:val="es-MX"/>
        </w:rPr>
      </w:pPr>
      <w:r w:rsidRPr="00542544">
        <w:rPr>
          <w:rFonts w:ascii="Verdana" w:eastAsia="Verdana" w:hAnsi="Verdana" w:cs="Verdana"/>
          <w:lang w:val="es-MX"/>
        </w:rPr>
        <w:t xml:space="preserve">Correo de radicación de correspondencia: </w:t>
      </w:r>
      <w:hyperlink r:id="rId14">
        <w:r w:rsidRPr="00542544">
          <w:rPr>
            <w:rStyle w:val="Hipervnculo"/>
            <w:rFonts w:ascii="Verdana" w:eastAsia="Verdana" w:hAnsi="Verdana" w:cs="Verdana"/>
            <w:lang w:val="es-MX"/>
          </w:rPr>
          <w:t>ventanilladeradicacion@colombiacompra.gov.co</w:t>
        </w:r>
      </w:hyperlink>
    </w:p>
    <w:p w14:paraId="25415399" w14:textId="47FE78B8" w:rsidR="2859CA1B" w:rsidRPr="00542544" w:rsidRDefault="2859CA1B" w:rsidP="007037F3">
      <w:pPr>
        <w:pStyle w:val="Prrafodelista"/>
        <w:numPr>
          <w:ilvl w:val="0"/>
          <w:numId w:val="15"/>
        </w:numPr>
        <w:spacing w:after="0" w:line="276" w:lineRule="auto"/>
        <w:contextualSpacing w:val="0"/>
        <w:rPr>
          <w:rFonts w:ascii="Verdana" w:eastAsia="Verdana" w:hAnsi="Verdana" w:cs="Verdana"/>
          <w:color w:val="0000FF"/>
          <w:u w:val="single"/>
          <w:lang w:val="es-MX"/>
        </w:rPr>
      </w:pPr>
      <w:r w:rsidRPr="00542544">
        <w:rPr>
          <w:rFonts w:ascii="Verdana" w:eastAsia="Verdana" w:hAnsi="Verdana" w:cs="Verdana"/>
        </w:rPr>
        <w:t>Formulario web para</w:t>
      </w:r>
      <w:r w:rsidRPr="007C1489">
        <w:rPr>
          <w:rFonts w:ascii="Verdana" w:eastAsia="Verdana" w:hAnsi="Verdana" w:cs="Verdana"/>
          <w:lang w:val="es"/>
        </w:rPr>
        <w:t xml:space="preserve"> PQRSD: </w:t>
      </w:r>
      <w:hyperlink r:id="rId15">
        <w:r w:rsidRPr="00542544">
          <w:rPr>
            <w:rStyle w:val="Hipervnculo"/>
            <w:rFonts w:ascii="Verdana" w:eastAsia="Verdana" w:hAnsi="Verdana" w:cs="Verdana"/>
            <w:lang w:val="es-MX"/>
          </w:rPr>
          <w:t>https://www.colombiacompra.gov.co/pqrsd/informacion-importante-antes-de-formular-una-pqrsd</w:t>
        </w:r>
      </w:hyperlink>
    </w:p>
    <w:p w14:paraId="2D232D95" w14:textId="1D08DC67" w:rsidR="7BB183BC" w:rsidRPr="00542544" w:rsidRDefault="7BB183BC" w:rsidP="007037F3">
      <w:pPr>
        <w:spacing w:after="0" w:line="276" w:lineRule="auto"/>
        <w:ind w:left="720"/>
        <w:jc w:val="both"/>
        <w:rPr>
          <w:rFonts w:ascii="Verdana" w:hAnsi="Verdana"/>
        </w:rPr>
      </w:pPr>
    </w:p>
    <w:p w14:paraId="5242CF58" w14:textId="63C6ABFE" w:rsidR="00330834" w:rsidRPr="00542544" w:rsidRDefault="002E2BF8" w:rsidP="007037F3">
      <w:pPr>
        <w:spacing w:after="0" w:line="276" w:lineRule="auto"/>
        <w:rPr>
          <w:rFonts w:ascii="Verdana" w:hAnsi="Verdana"/>
        </w:rPr>
      </w:pPr>
      <w:r w:rsidRPr="007C1489">
        <w:rPr>
          <w:rFonts w:ascii="Verdana" w:hAnsi="Verdana"/>
        </w:rPr>
        <w:t xml:space="preserve">Evalúa el servicio que ofrece la Agencia por el canal de atención de PQRSD en el siguiente </w:t>
      </w:r>
      <w:proofErr w:type="gramStart"/>
      <w:r w:rsidRPr="007C1489">
        <w:rPr>
          <w:rFonts w:ascii="Verdana" w:hAnsi="Verdana"/>
        </w:rPr>
        <w:t>enlace :</w:t>
      </w:r>
      <w:proofErr w:type="gramEnd"/>
      <w:hyperlink r:id="rId16" w:tgtFrame="_blank" w:tooltip="https://forms.office.com/r/pphywvs2sz" w:history="1">
        <w:r w:rsidRPr="00542544">
          <w:rPr>
            <w:rStyle w:val="Hipervnculo"/>
            <w:rFonts w:ascii="Verdana" w:hAnsi="Verdana"/>
          </w:rPr>
          <w:t>https://forms.office.com/r/pPHyWVs2SZ</w:t>
        </w:r>
      </w:hyperlink>
      <w:r w:rsidRPr="00542544">
        <w:rPr>
          <w:rFonts w:ascii="Verdana" w:hAnsi="Verdana"/>
        </w:rPr>
        <w:t xml:space="preserve"> .¡Ayúdanos a mejorar porque el compromiso es de todos!</w:t>
      </w:r>
    </w:p>
    <w:p w14:paraId="56C7873D" w14:textId="77777777" w:rsidR="002E2BF8" w:rsidRPr="007C1489" w:rsidRDefault="002E2BF8" w:rsidP="007037F3">
      <w:pPr>
        <w:spacing w:after="0" w:line="276" w:lineRule="auto"/>
        <w:rPr>
          <w:rFonts w:ascii="Verdana" w:hAnsi="Verdana"/>
        </w:rPr>
      </w:pPr>
    </w:p>
    <w:p w14:paraId="2DFF8948" w14:textId="091BC035" w:rsidR="002A0DD0" w:rsidRPr="00542544" w:rsidRDefault="002707A2" w:rsidP="007037F3">
      <w:pPr>
        <w:spacing w:after="0" w:line="276" w:lineRule="auto"/>
        <w:jc w:val="both"/>
        <w:rPr>
          <w:rFonts w:ascii="Verdana" w:hAnsi="Verdana"/>
        </w:rPr>
      </w:pPr>
      <w:r w:rsidRPr="007C1489">
        <w:rPr>
          <w:rFonts w:ascii="Verdana" w:hAnsi="Verdana"/>
        </w:rPr>
        <w:t xml:space="preserve">Por último, lo invitamos a seguirnos en las </w:t>
      </w:r>
      <w:r w:rsidR="002A0DD0" w:rsidRPr="007C1489">
        <w:rPr>
          <w:rFonts w:ascii="Verdana" w:hAnsi="Verdana"/>
        </w:rPr>
        <w:t xml:space="preserve">redes sociales en las cuales se </w:t>
      </w:r>
      <w:r w:rsidRPr="00542544">
        <w:rPr>
          <w:rFonts w:ascii="Verdana" w:hAnsi="Verdana"/>
        </w:rPr>
        <w:t xml:space="preserve">difunde </w:t>
      </w:r>
      <w:r w:rsidR="002A0DD0" w:rsidRPr="00542544">
        <w:rPr>
          <w:rFonts w:ascii="Verdana" w:hAnsi="Verdana"/>
        </w:rPr>
        <w:t>información institucional</w:t>
      </w:r>
      <w:r w:rsidRPr="00542544">
        <w:rPr>
          <w:rFonts w:ascii="Verdana" w:hAnsi="Verdana"/>
        </w:rPr>
        <w:t xml:space="preserve">: </w:t>
      </w:r>
    </w:p>
    <w:p w14:paraId="3F42646D" w14:textId="77777777" w:rsidR="002A0DD0" w:rsidRPr="00542544" w:rsidRDefault="002A0DD0" w:rsidP="007037F3">
      <w:pPr>
        <w:spacing w:after="0" w:line="276" w:lineRule="auto"/>
        <w:jc w:val="both"/>
        <w:rPr>
          <w:rFonts w:ascii="Verdana" w:hAnsi="Verdana"/>
        </w:rPr>
      </w:pPr>
    </w:p>
    <w:p w14:paraId="71137832" w14:textId="77777777" w:rsidR="002A0DD0" w:rsidRPr="00542544" w:rsidRDefault="002A0DD0" w:rsidP="007037F3">
      <w:pPr>
        <w:spacing w:after="0" w:line="276" w:lineRule="auto"/>
        <w:jc w:val="both"/>
        <w:rPr>
          <w:rFonts w:ascii="Verdana" w:hAnsi="Verdana"/>
        </w:rPr>
      </w:pPr>
      <w:r w:rsidRPr="00542544">
        <w:rPr>
          <w:rFonts w:ascii="Verdana" w:hAnsi="Verdana"/>
        </w:rPr>
        <w:t xml:space="preserve">Twitter: </w:t>
      </w:r>
      <w:r w:rsidRPr="00542544">
        <w:rPr>
          <w:rStyle w:val="Hipervnculo"/>
          <w:rFonts w:ascii="Verdana" w:hAnsi="Verdana"/>
        </w:rPr>
        <w:t>@colombiacompra</w:t>
      </w:r>
      <w:r w:rsidRPr="00542544">
        <w:rPr>
          <w:rFonts w:ascii="Verdana" w:hAnsi="Verdana"/>
        </w:rPr>
        <w:t xml:space="preserve"> </w:t>
      </w:r>
    </w:p>
    <w:p w14:paraId="12F704C3" w14:textId="77777777" w:rsidR="002A0DD0" w:rsidRPr="00542544" w:rsidRDefault="002A0DD0" w:rsidP="007037F3">
      <w:pPr>
        <w:spacing w:after="0" w:line="276" w:lineRule="auto"/>
        <w:jc w:val="both"/>
        <w:rPr>
          <w:rFonts w:ascii="Verdana" w:hAnsi="Verdana"/>
        </w:rPr>
      </w:pPr>
      <w:r w:rsidRPr="00542544">
        <w:rPr>
          <w:rFonts w:ascii="Verdana" w:hAnsi="Verdana"/>
        </w:rPr>
        <w:t xml:space="preserve">Facebook: </w:t>
      </w:r>
      <w:r w:rsidRPr="00542544">
        <w:rPr>
          <w:rStyle w:val="Hipervnculo"/>
          <w:rFonts w:ascii="Verdana" w:hAnsi="Verdana"/>
        </w:rPr>
        <w:t>ColombiaCompraEficiente</w:t>
      </w:r>
    </w:p>
    <w:p w14:paraId="297E6437" w14:textId="77777777" w:rsidR="002A0DD0" w:rsidRPr="00542544" w:rsidRDefault="002A0DD0" w:rsidP="007037F3">
      <w:pPr>
        <w:spacing w:after="0" w:line="276" w:lineRule="auto"/>
        <w:jc w:val="both"/>
        <w:rPr>
          <w:rFonts w:ascii="Verdana" w:hAnsi="Verdana"/>
        </w:rPr>
      </w:pPr>
      <w:r w:rsidRPr="00542544">
        <w:rPr>
          <w:rFonts w:ascii="Verdana" w:hAnsi="Verdana"/>
        </w:rPr>
        <w:t xml:space="preserve">LinkedIn: </w:t>
      </w:r>
      <w:r w:rsidRPr="00542544">
        <w:rPr>
          <w:rStyle w:val="Hipervnculo"/>
          <w:rFonts w:ascii="Verdana" w:hAnsi="Verdana"/>
        </w:rPr>
        <w:t>Agencia Nacional de Contratación Pública - Colombia Compra Eficiente</w:t>
      </w:r>
      <w:r w:rsidRPr="00542544">
        <w:rPr>
          <w:rFonts w:ascii="Verdana" w:hAnsi="Verdana"/>
        </w:rPr>
        <w:t xml:space="preserve"> Instagram: </w:t>
      </w:r>
      <w:r w:rsidRPr="00542544">
        <w:rPr>
          <w:rStyle w:val="Hipervnculo"/>
          <w:rFonts w:ascii="Verdana" w:hAnsi="Verdana"/>
        </w:rPr>
        <w:t>@colombiacompraeficiente_cce</w:t>
      </w:r>
    </w:p>
    <w:p w14:paraId="70D74E5F" w14:textId="77777777" w:rsidR="002A0DD0" w:rsidRPr="00542544" w:rsidRDefault="002A0DD0" w:rsidP="007037F3">
      <w:pPr>
        <w:spacing w:after="0" w:line="276" w:lineRule="auto"/>
        <w:jc w:val="both"/>
        <w:rPr>
          <w:rFonts w:ascii="Verdana" w:hAnsi="Verdana"/>
        </w:rPr>
      </w:pPr>
    </w:p>
    <w:p w14:paraId="2C09D3FC" w14:textId="77777777" w:rsidR="00E85F1A" w:rsidRPr="00542544" w:rsidRDefault="00E85F1A" w:rsidP="007C1489">
      <w:pPr>
        <w:widowControl w:val="0"/>
        <w:autoSpaceDE w:val="0"/>
        <w:autoSpaceDN w:val="0"/>
        <w:spacing w:after="0" w:line="276" w:lineRule="auto"/>
        <w:jc w:val="both"/>
        <w:rPr>
          <w:rFonts w:ascii="Verdana" w:hAnsi="Verdana" w:cs="Arial"/>
          <w:lang w:val="es-ES_tradnl"/>
        </w:rPr>
      </w:pPr>
      <w:r w:rsidRPr="00542544">
        <w:rPr>
          <w:rFonts w:ascii="Verdana" w:hAnsi="Verdana" w:cs="Arial"/>
        </w:rPr>
        <w:t xml:space="preserve">Este concepto tiene el alcance previsto en el artículo 28 del Código de Procedimiento Administrativo y de lo Contencioso Administrativo </w:t>
      </w:r>
      <w:r w:rsidRPr="00542544">
        <w:rPr>
          <w:rFonts w:ascii="Verdana" w:hAnsi="Verdana" w:cs="Arial"/>
          <w:lang w:val="es-ES_tradnl"/>
        </w:rPr>
        <w:t>y las expresiones aquí utilizadas con mayúscula inicial deben ser entendidas con el significado que les otorga el artículo 2.2.1.1.1.3.1. del Decreto 1082 de 2015.</w:t>
      </w:r>
    </w:p>
    <w:p w14:paraId="2D09A8CA" w14:textId="77777777" w:rsidR="00E85F1A" w:rsidRPr="00542544" w:rsidRDefault="00E85F1A" w:rsidP="007C1489">
      <w:pPr>
        <w:widowControl w:val="0"/>
        <w:autoSpaceDE w:val="0"/>
        <w:autoSpaceDN w:val="0"/>
        <w:spacing w:after="0" w:line="276" w:lineRule="auto"/>
        <w:jc w:val="both"/>
        <w:rPr>
          <w:rFonts w:ascii="Verdana" w:hAnsi="Verdana" w:cs="Arial"/>
        </w:rPr>
      </w:pPr>
    </w:p>
    <w:p w14:paraId="669D07C0" w14:textId="77777777" w:rsidR="00E85F1A" w:rsidRPr="00542544" w:rsidRDefault="00E85F1A">
      <w:pPr>
        <w:spacing w:after="0" w:line="276" w:lineRule="auto"/>
        <w:jc w:val="both"/>
        <w:rPr>
          <w:rFonts w:ascii="Verdana" w:eastAsia="Times New Roman" w:hAnsi="Verdana" w:cs="Arial"/>
          <w:lang w:eastAsia="es-CO"/>
        </w:rPr>
      </w:pPr>
      <w:bookmarkStart w:id="2" w:name="_Hlk117695077"/>
      <w:r w:rsidRPr="00542544">
        <w:rPr>
          <w:rFonts w:ascii="Verdana" w:eastAsia="Times New Roman" w:hAnsi="Verdana" w:cs="Arial"/>
          <w:lang w:eastAsia="es-CO"/>
        </w:rPr>
        <w:t>Atentamente,</w:t>
      </w:r>
    </w:p>
    <w:bookmarkEnd w:id="2"/>
    <w:p w14:paraId="313F3DB2" w14:textId="617334AD" w:rsidR="00E85F1A" w:rsidRPr="00542544" w:rsidRDefault="00854B43" w:rsidP="00E85F1A">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1BB8AA3D" wp14:editId="1667B46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622EB38C" w14:textId="77777777" w:rsidR="00E85F1A" w:rsidRPr="00542544" w:rsidRDefault="00E85F1A" w:rsidP="00E85F1A">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5F1A" w:rsidRPr="00542544" w14:paraId="3F9BEBF1" w14:textId="77777777" w:rsidTr="000236A5">
        <w:trPr>
          <w:trHeight w:val="315"/>
        </w:trPr>
        <w:tc>
          <w:tcPr>
            <w:tcW w:w="893" w:type="dxa"/>
            <w:vAlign w:val="center"/>
            <w:hideMark/>
          </w:tcPr>
          <w:p w14:paraId="34AAF28D" w14:textId="77777777" w:rsidR="00E85F1A" w:rsidRPr="00542544" w:rsidRDefault="00E85F1A" w:rsidP="000236A5">
            <w:pPr>
              <w:spacing w:line="276" w:lineRule="auto"/>
              <w:rPr>
                <w:rFonts w:ascii="Verdana" w:eastAsia="Times New Roman" w:hAnsi="Verdana" w:cs="Arial"/>
                <w:color w:val="000000"/>
                <w:sz w:val="16"/>
                <w:szCs w:val="16"/>
                <w:lang w:val="es-ES" w:eastAsia="es-ES"/>
              </w:rPr>
            </w:pPr>
            <w:r w:rsidRPr="007C1489">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1D27EC42" w14:textId="77777777" w:rsidR="00E85F1A" w:rsidRPr="00542544" w:rsidRDefault="00E85F1A" w:rsidP="000236A5">
            <w:pPr>
              <w:spacing w:line="276" w:lineRule="auto"/>
              <w:rPr>
                <w:rFonts w:ascii="Verdana" w:eastAsia="Arial" w:hAnsi="Verdana" w:cs="Arial"/>
                <w:color w:val="000000"/>
                <w:sz w:val="16"/>
                <w:szCs w:val="16"/>
              </w:rPr>
            </w:pPr>
            <w:r w:rsidRPr="00542544">
              <w:rPr>
                <w:rFonts w:ascii="Verdana" w:eastAsia="Times New Roman" w:hAnsi="Verdana" w:cs="Arial"/>
                <w:color w:val="000000"/>
                <w:sz w:val="16"/>
                <w:szCs w:val="16"/>
              </w:rPr>
              <w:t>María Joshira Nieto Manzano</w:t>
            </w:r>
          </w:p>
          <w:p w14:paraId="1F9F5C12" w14:textId="77777777" w:rsidR="00E85F1A" w:rsidRPr="00542544" w:rsidRDefault="00E85F1A" w:rsidP="000236A5">
            <w:pPr>
              <w:spacing w:line="276" w:lineRule="auto"/>
              <w:rPr>
                <w:rFonts w:ascii="Verdana" w:eastAsia="Arial" w:hAnsi="Verdana" w:cs="Arial"/>
                <w:color w:val="000000"/>
                <w:sz w:val="16"/>
                <w:szCs w:val="16"/>
              </w:rPr>
            </w:pPr>
            <w:r w:rsidRPr="00542544">
              <w:rPr>
                <w:rFonts w:ascii="Verdana" w:eastAsia="Arial" w:hAnsi="Verdana" w:cs="Arial"/>
                <w:color w:val="000000"/>
                <w:sz w:val="16"/>
                <w:szCs w:val="16"/>
              </w:rPr>
              <w:t>Contratista de la Subdirección de Gestión Contractual</w:t>
            </w:r>
          </w:p>
        </w:tc>
      </w:tr>
      <w:tr w:rsidR="00E85F1A" w:rsidRPr="00542544" w14:paraId="57ED75A3" w14:textId="77777777" w:rsidTr="000236A5">
        <w:trPr>
          <w:trHeight w:val="330"/>
        </w:trPr>
        <w:tc>
          <w:tcPr>
            <w:tcW w:w="893" w:type="dxa"/>
            <w:vAlign w:val="center"/>
            <w:hideMark/>
          </w:tcPr>
          <w:p w14:paraId="5BB74860" w14:textId="77777777" w:rsidR="00E85F1A" w:rsidRPr="00542544" w:rsidRDefault="00E85F1A" w:rsidP="000236A5">
            <w:pPr>
              <w:spacing w:line="276" w:lineRule="auto"/>
              <w:rPr>
                <w:rFonts w:ascii="Verdana" w:eastAsia="Times New Roman" w:hAnsi="Verdana" w:cs="Arial"/>
                <w:color w:val="000000"/>
                <w:sz w:val="16"/>
                <w:szCs w:val="16"/>
                <w:lang w:val="es-ES" w:eastAsia="es-ES"/>
              </w:rPr>
            </w:pPr>
            <w:r w:rsidRPr="00542544">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1608430" w14:textId="77777777" w:rsidR="00E85F1A" w:rsidRPr="00542544" w:rsidRDefault="00E85F1A" w:rsidP="000236A5">
            <w:pPr>
              <w:spacing w:line="276" w:lineRule="auto"/>
              <w:rPr>
                <w:rFonts w:ascii="Verdana" w:eastAsia="Times New Roman" w:hAnsi="Verdana" w:cs="Arial"/>
                <w:color w:val="000000"/>
                <w:sz w:val="16"/>
                <w:szCs w:val="16"/>
              </w:rPr>
            </w:pPr>
            <w:r w:rsidRPr="007C1489">
              <w:rPr>
                <w:rFonts w:ascii="Verdana" w:eastAsia="Times New Roman" w:hAnsi="Verdana" w:cs="Arial"/>
                <w:color w:val="000000"/>
                <w:sz w:val="16"/>
                <w:szCs w:val="16"/>
              </w:rPr>
              <w:t xml:space="preserve">Diana Lucia Saavedra Castañeda </w:t>
            </w:r>
          </w:p>
          <w:p w14:paraId="0EBBDBD7" w14:textId="77777777" w:rsidR="00E85F1A" w:rsidRPr="00542544" w:rsidRDefault="00E85F1A" w:rsidP="000236A5">
            <w:pPr>
              <w:spacing w:line="276" w:lineRule="auto"/>
              <w:textAlignment w:val="baseline"/>
              <w:rPr>
                <w:rFonts w:ascii="Verdana" w:eastAsia="Times New Roman" w:hAnsi="Verdana" w:cs="Arial"/>
                <w:color w:val="000000"/>
                <w:sz w:val="16"/>
                <w:szCs w:val="16"/>
              </w:rPr>
            </w:pPr>
            <w:r w:rsidRPr="00542544">
              <w:rPr>
                <w:rFonts w:ascii="Verdana" w:eastAsia="Times New Roman" w:hAnsi="Verdana" w:cs="Arial"/>
                <w:color w:val="000000"/>
                <w:sz w:val="16"/>
                <w:szCs w:val="16"/>
              </w:rPr>
              <w:t>Contratista de la Subdirección de Gestión Contractual</w:t>
            </w:r>
          </w:p>
        </w:tc>
      </w:tr>
      <w:tr w:rsidR="00E85F1A" w:rsidRPr="00542544" w14:paraId="552FCEFD" w14:textId="77777777" w:rsidTr="000236A5">
        <w:trPr>
          <w:trHeight w:val="300"/>
        </w:trPr>
        <w:tc>
          <w:tcPr>
            <w:tcW w:w="893" w:type="dxa"/>
            <w:vAlign w:val="center"/>
          </w:tcPr>
          <w:p w14:paraId="4BC6C056" w14:textId="77777777" w:rsidR="00E85F1A" w:rsidRPr="00542544" w:rsidRDefault="00E85F1A" w:rsidP="000236A5">
            <w:pPr>
              <w:spacing w:line="276" w:lineRule="auto"/>
              <w:rPr>
                <w:rFonts w:ascii="Verdana" w:eastAsia="Times New Roman" w:hAnsi="Verdana" w:cs="Arial"/>
                <w:color w:val="000000"/>
                <w:sz w:val="16"/>
                <w:szCs w:val="16"/>
                <w:lang w:val="es-ES" w:eastAsia="es-ES"/>
              </w:rPr>
            </w:pPr>
            <w:r w:rsidRPr="00542544">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22CD8015" w14:textId="77777777" w:rsidR="00E85F1A" w:rsidRPr="00542544" w:rsidRDefault="00E85F1A" w:rsidP="000236A5">
            <w:pPr>
              <w:spacing w:line="276" w:lineRule="auto"/>
              <w:rPr>
                <w:rFonts w:ascii="Verdana" w:eastAsia="Times New Roman" w:hAnsi="Verdana" w:cs="Arial"/>
                <w:color w:val="000000"/>
                <w:sz w:val="16"/>
                <w:szCs w:val="16"/>
              </w:rPr>
            </w:pPr>
            <w:r w:rsidRPr="007C1489">
              <w:rPr>
                <w:rFonts w:ascii="Verdana" w:eastAsia="Times New Roman" w:hAnsi="Verdana" w:cs="Arial"/>
                <w:color w:val="000000"/>
                <w:sz w:val="16"/>
                <w:szCs w:val="16"/>
              </w:rPr>
              <w:t xml:space="preserve">Carolina Quintero </w:t>
            </w:r>
            <w:proofErr w:type="spellStart"/>
            <w:r w:rsidRPr="007C1489">
              <w:rPr>
                <w:rFonts w:ascii="Verdana" w:eastAsia="Times New Roman" w:hAnsi="Verdana" w:cs="Arial"/>
                <w:color w:val="000000"/>
                <w:sz w:val="16"/>
                <w:szCs w:val="16"/>
              </w:rPr>
              <w:t>Gacharná</w:t>
            </w:r>
            <w:proofErr w:type="spellEnd"/>
          </w:p>
          <w:p w14:paraId="40B75B21" w14:textId="77777777" w:rsidR="00E85F1A" w:rsidRPr="00542544" w:rsidRDefault="00E85F1A" w:rsidP="000236A5">
            <w:pPr>
              <w:spacing w:line="276" w:lineRule="auto"/>
              <w:rPr>
                <w:rFonts w:ascii="Verdana" w:eastAsia="Times New Roman" w:hAnsi="Verdana" w:cs="Arial"/>
                <w:color w:val="000000"/>
                <w:sz w:val="16"/>
                <w:szCs w:val="16"/>
              </w:rPr>
            </w:pPr>
            <w:r w:rsidRPr="00542544">
              <w:rPr>
                <w:rFonts w:ascii="Verdana" w:eastAsia="Times New Roman" w:hAnsi="Verdana" w:cs="Arial"/>
                <w:color w:val="000000"/>
                <w:sz w:val="16"/>
                <w:szCs w:val="16"/>
              </w:rPr>
              <w:t>Subdirectora de Gestión Contractual ANCP – CCE</w:t>
            </w:r>
          </w:p>
        </w:tc>
      </w:tr>
    </w:tbl>
    <w:p w14:paraId="26249D1F" w14:textId="77777777" w:rsidR="00E85F1A" w:rsidRPr="00542544" w:rsidRDefault="00E85F1A" w:rsidP="00E85F1A">
      <w:pPr>
        <w:widowControl w:val="0"/>
        <w:autoSpaceDE w:val="0"/>
        <w:autoSpaceDN w:val="0"/>
        <w:spacing w:after="0" w:line="276" w:lineRule="auto"/>
        <w:jc w:val="both"/>
        <w:rPr>
          <w:rFonts w:ascii="Verdana" w:hAnsi="Verdana" w:cs="Arial"/>
        </w:rPr>
      </w:pPr>
    </w:p>
    <w:bookmarkEnd w:id="0"/>
    <w:sectPr w:rsidR="00E85F1A" w:rsidRPr="0054254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7684B" w14:textId="77777777" w:rsidR="009A1C6F" w:rsidRDefault="009A1C6F" w:rsidP="004A1847">
      <w:pPr>
        <w:spacing w:after="0" w:line="240" w:lineRule="auto"/>
      </w:pPr>
      <w:r>
        <w:separator/>
      </w:r>
    </w:p>
  </w:endnote>
  <w:endnote w:type="continuationSeparator" w:id="0">
    <w:p w14:paraId="34E3A772"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836A" w14:textId="77777777" w:rsidR="009A1C6F" w:rsidRDefault="009A1C6F" w:rsidP="004A1847">
      <w:pPr>
        <w:spacing w:after="0" w:line="240" w:lineRule="auto"/>
      </w:pPr>
      <w:r>
        <w:separator/>
      </w:r>
    </w:p>
  </w:footnote>
  <w:footnote w:type="continuationSeparator" w:id="0">
    <w:p w14:paraId="6329C139" w14:textId="77777777" w:rsidR="009A1C6F" w:rsidRDefault="009A1C6F" w:rsidP="004A1847">
      <w:pPr>
        <w:spacing w:after="0" w:line="240" w:lineRule="auto"/>
      </w:pPr>
      <w:r>
        <w:continuationSeparator/>
      </w:r>
    </w:p>
  </w:footnote>
  <w:footnote w:id="1">
    <w:p w14:paraId="5FE9E97B" w14:textId="77777777" w:rsidR="007C5F7B" w:rsidRPr="004B36AC" w:rsidRDefault="007C5F7B" w:rsidP="007C5F7B">
      <w:pPr>
        <w:pStyle w:val="Textonotapie"/>
        <w:ind w:firstLine="709"/>
        <w:contextualSpacing/>
        <w:rPr>
          <w:rFonts w:ascii="Verdana" w:hAnsi="Verdana" w:cs="Arial"/>
          <w:sz w:val="16"/>
          <w:szCs w:val="16"/>
        </w:rPr>
      </w:pPr>
      <w:r w:rsidRPr="004B36AC">
        <w:rPr>
          <w:rStyle w:val="Refdenotaalpie"/>
          <w:rFonts w:ascii="Verdana" w:hAnsi="Verdana" w:cs="Arial"/>
          <w:sz w:val="16"/>
          <w:szCs w:val="16"/>
        </w:rPr>
        <w:footnoteRef/>
      </w:r>
      <w:r>
        <w:rPr>
          <w:rFonts w:ascii="Verdana" w:hAnsi="Verdana" w:cs="Arial"/>
          <w:sz w:val="16"/>
          <w:szCs w:val="16"/>
        </w:rPr>
        <w:t xml:space="preserve"> </w:t>
      </w:r>
      <w:r w:rsidRPr="004B36AC">
        <w:rPr>
          <w:rFonts w:ascii="Verdana" w:hAnsi="Verdana" w:cs="Arial"/>
          <w:sz w:val="16"/>
          <w:szCs w:val="16"/>
        </w:rPr>
        <w:t xml:space="preserve"> </w:t>
      </w:r>
      <w:hyperlink r:id="rId1" w:history="1">
        <w:r w:rsidRPr="002E7EBC">
          <w:rPr>
            <w:rStyle w:val="Hipervnculo"/>
            <w:rFonts w:ascii="Verdana" w:hAnsi="Verdana" w:cs="Arial"/>
            <w:sz w:val="16"/>
            <w:szCs w:val="16"/>
          </w:rPr>
          <w:t>https://operaciones.colombiacompra.gov.co/sites/cce_public/files/cce_documents/cce_guia_asuntos_corporativos.pdf</w:t>
        </w:r>
      </w:hyperlink>
    </w:p>
    <w:p w14:paraId="2BAEFD09" w14:textId="77777777" w:rsidR="007C5F7B" w:rsidRPr="004B36AC" w:rsidRDefault="007C5F7B" w:rsidP="007C5F7B">
      <w:pPr>
        <w:pStyle w:val="Textonotapie"/>
        <w:ind w:firstLine="709"/>
        <w:contextualSpacing/>
        <w:rPr>
          <w:rFonts w:ascii="Verdana" w:hAnsi="Verdana" w:cs="Arial"/>
          <w:sz w:val="16"/>
          <w:szCs w:val="16"/>
          <w:lang w:val="es-ES_tradnl"/>
        </w:rPr>
      </w:pPr>
    </w:p>
  </w:footnote>
  <w:footnote w:id="2">
    <w:p w14:paraId="732E0494" w14:textId="77777777" w:rsidR="007C5F7B" w:rsidRPr="004B36AC" w:rsidRDefault="007C5F7B" w:rsidP="007C5F7B">
      <w:pPr>
        <w:pStyle w:val="Textonotapi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lang w:val="es-CO"/>
        </w:rPr>
        <w:t>Superintendencia de Sociedades. Concepto OFICIO 220-114329 del 27 de julio de 2018 REF.: Aspectos sobre las sucursales de sociedad extranjera.</w:t>
      </w:r>
    </w:p>
  </w:footnote>
  <w:footnote w:id="3">
    <w:p w14:paraId="47729874" w14:textId="77777777" w:rsidR="007C5F7B" w:rsidRPr="004B36AC" w:rsidRDefault="007C5F7B" w:rsidP="007C5F7B">
      <w:pPr>
        <w:spacing w:after="0" w:line="240" w:lineRule="auto"/>
        <w:ind w:left="100" w:right="105"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Así, por ejemplo, en un proceso de contratación de obra pública con un “presupuesto oficial de 100 SMMLV, la experiencia exigida es proporcional si la Entidad Estatal exige que los proponentes hayan participado en Procesos de Contratación de 50 SMMLV del mismo tipo de obra”, como lo indicó la Agencia Nacional de Contratación Pública – Colombia Compra Eficiente en el Manual para determinar y verificar los requisitos habilitantes en los Procesos de Contratación.</w:t>
      </w:r>
    </w:p>
    <w:p w14:paraId="124F6931" w14:textId="77777777" w:rsidR="007C5F7B" w:rsidRPr="004B36AC" w:rsidRDefault="007C5F7B" w:rsidP="007C5F7B">
      <w:pPr>
        <w:pStyle w:val="Textonotapie"/>
        <w:ind w:firstLine="709"/>
        <w:contextualSpacing/>
        <w:jc w:val="both"/>
        <w:rPr>
          <w:rFonts w:ascii="Verdana" w:hAnsi="Verdana"/>
          <w:sz w:val="16"/>
          <w:szCs w:val="16"/>
        </w:rPr>
      </w:pPr>
    </w:p>
  </w:footnote>
  <w:footnote w:id="4">
    <w:p w14:paraId="0B83487B" w14:textId="77777777" w:rsidR="007C5F7B" w:rsidRPr="004B36AC" w:rsidRDefault="007C5F7B" w:rsidP="007C5F7B">
      <w:pPr>
        <w:pStyle w:val="Textonotapie"/>
        <w:ind w:firstLine="709"/>
        <w:contextualSpacing/>
        <w:jc w:val="both"/>
        <w:rPr>
          <w:rFonts w:ascii="Verdana" w:hAnsi="Verdana"/>
          <w:sz w:val="16"/>
          <w:szCs w:val="16"/>
        </w:rPr>
      </w:pPr>
      <w:r w:rsidRPr="004B36AC">
        <w:rPr>
          <w:rStyle w:val="Refdenotaalpie"/>
          <w:rFonts w:ascii="Verdana" w:hAnsi="Verdana"/>
          <w:sz w:val="16"/>
          <w:szCs w:val="16"/>
        </w:rPr>
        <w:footnoteRef/>
      </w:r>
      <w:r w:rsidRPr="004B36AC">
        <w:rPr>
          <w:rFonts w:ascii="Verdana" w:hAnsi="Verdana"/>
          <w:sz w:val="16"/>
          <w:szCs w:val="16"/>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p w14:paraId="46805BB1" w14:textId="77777777" w:rsidR="007C5F7B" w:rsidRPr="004B36AC" w:rsidRDefault="007C5F7B" w:rsidP="007C5F7B">
      <w:pPr>
        <w:pStyle w:val="Textonotapie"/>
        <w:ind w:firstLine="709"/>
        <w:contextualSpacing/>
        <w:jc w:val="both"/>
        <w:rPr>
          <w:rFonts w:ascii="Verdana" w:hAnsi="Verdana"/>
          <w:sz w:val="16"/>
          <w:szCs w:val="16"/>
        </w:rPr>
      </w:pPr>
    </w:p>
  </w:footnote>
  <w:footnote w:id="5">
    <w:p w14:paraId="454A7A4E" w14:textId="77777777" w:rsidR="007C5F7B" w:rsidRPr="004B36AC" w:rsidRDefault="007C5F7B" w:rsidP="007C5F7B">
      <w:pPr>
        <w:pStyle w:val="Textonotapie"/>
        <w:ind w:firstLine="709"/>
        <w:contextualSpacing/>
        <w:jc w:val="both"/>
        <w:rPr>
          <w:rFonts w:ascii="Verdana" w:hAnsi="Verdana"/>
          <w:sz w:val="16"/>
          <w:szCs w:val="16"/>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cs="Arial"/>
          <w:sz w:val="16"/>
          <w:szCs w:val="16"/>
          <w:lang w:val="es-ES"/>
        </w:rPr>
        <w:t xml:space="preserve">Guía para la participación de Proveedores Extranjeros en Procesos de Contratación: </w:t>
      </w:r>
      <w:hyperlink r:id="rId2" w:history="1">
        <w:r w:rsidRPr="004B36AC">
          <w:rPr>
            <w:rStyle w:val="Hipervnculo"/>
            <w:rFonts w:ascii="Verdana" w:hAnsi="Verdana" w:cs="Arial"/>
            <w:sz w:val="16"/>
            <w:szCs w:val="16"/>
            <w:lang w:val="es-ES"/>
          </w:rPr>
          <w:t>https://www.colombiacompra.gov.co/sites/cce_public/files/cce_documents/cce_guia_proveedores_extranjeros.pdf</w:t>
        </w:r>
      </w:hyperlink>
      <w:r w:rsidRPr="004B36AC">
        <w:rPr>
          <w:rFonts w:ascii="Verdana" w:hAnsi="Verdana" w:cs="Arial"/>
          <w:sz w:val="16"/>
          <w:szCs w:val="16"/>
          <w:lang w:val="es-ES"/>
        </w:rPr>
        <w:t xml:space="preserve"> Pág. 8.</w:t>
      </w:r>
    </w:p>
  </w:footnote>
  <w:footnote w:id="6">
    <w:p w14:paraId="5542D67B" w14:textId="77777777" w:rsidR="007C5F7B" w:rsidRPr="004B36AC" w:rsidRDefault="007C5F7B" w:rsidP="007C5F7B">
      <w:pPr>
        <w:pStyle w:val="Textonotapi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lang w:val="es-CO"/>
        </w:rPr>
        <w:t xml:space="preserve">Manual Para Determinar y Verificar los Requisitos Habilitantes en los Procesos de Contratación: </w:t>
      </w:r>
      <w:hyperlink r:id="rId3" w:history="1">
        <w:r w:rsidRPr="004B36AC">
          <w:rPr>
            <w:rStyle w:val="Hipervnculo"/>
            <w:rFonts w:ascii="Verdana" w:hAnsi="Verdana"/>
            <w:sz w:val="16"/>
            <w:szCs w:val="16"/>
            <w:lang w:val="es-CO"/>
          </w:rPr>
          <w:t>https://www.colombiacompra.gov.co/sites/cce_public/files/cce_documents/cce-eicp-ma-04._manual_requisitos_habilitantes_v3_29-09-2023.pdf</w:t>
        </w:r>
      </w:hyperlink>
      <w:r w:rsidRPr="004B36AC">
        <w:rPr>
          <w:rFonts w:ascii="Verdana" w:hAnsi="Verdana"/>
          <w:sz w:val="16"/>
          <w:szCs w:val="16"/>
          <w:lang w:val="es-CO"/>
        </w:rPr>
        <w:t xml:space="preserve"> Pág. 9.</w:t>
      </w:r>
    </w:p>
  </w:footnote>
  <w:footnote w:id="7">
    <w:p w14:paraId="002B05DA" w14:textId="77777777" w:rsidR="007C5F7B" w:rsidRPr="004B36AC" w:rsidRDefault="007C5F7B" w:rsidP="007C5F7B">
      <w:pPr>
        <w:pStyle w:val="Textonotapie"/>
        <w:ind w:firstLine="709"/>
        <w:contextualSpacing/>
        <w:rPr>
          <w:rFonts w:ascii="Verdana" w:hAnsi="Verdana" w:cs="Arial"/>
          <w:sz w:val="16"/>
          <w:szCs w:val="16"/>
        </w:rPr>
      </w:pPr>
      <w:r w:rsidRPr="004B36AC">
        <w:rPr>
          <w:rStyle w:val="Refdenotaalpie"/>
          <w:rFonts w:ascii="Verdana" w:hAnsi="Verdana" w:cs="Arial"/>
          <w:sz w:val="16"/>
          <w:szCs w:val="16"/>
        </w:rPr>
        <w:footnoteRef/>
      </w:r>
      <w:r>
        <w:rPr>
          <w:rFonts w:ascii="Verdana" w:hAnsi="Verdana" w:cs="Arial"/>
          <w:sz w:val="16"/>
          <w:szCs w:val="16"/>
        </w:rPr>
        <w:t xml:space="preserve"> </w:t>
      </w:r>
      <w:r w:rsidRPr="004B36AC">
        <w:rPr>
          <w:rFonts w:ascii="Verdana" w:hAnsi="Verdana" w:cs="Arial"/>
          <w:sz w:val="16"/>
          <w:szCs w:val="16"/>
        </w:rPr>
        <w:t xml:space="preserve"> </w:t>
      </w:r>
      <w:hyperlink r:id="rId4" w:history="1">
        <w:r w:rsidRPr="002E7EBC">
          <w:rPr>
            <w:rStyle w:val="Hipervnculo"/>
            <w:rFonts w:ascii="Verdana" w:hAnsi="Verdana" w:cs="Arial"/>
            <w:sz w:val="16"/>
            <w:szCs w:val="16"/>
          </w:rPr>
          <w:t>https://operaciones.colombiacompra.gov.co/sites/cce_public/files/cce_documents/cce_guia_asuntos_corporativos.pdf</w:t>
        </w:r>
      </w:hyperlink>
    </w:p>
    <w:p w14:paraId="0D8C3585" w14:textId="77777777" w:rsidR="007C5F7B" w:rsidRPr="004B36AC" w:rsidRDefault="007C5F7B" w:rsidP="007C5F7B">
      <w:pPr>
        <w:pStyle w:val="Textonotapie"/>
        <w:ind w:firstLine="709"/>
        <w:contextualSpacing/>
        <w:rPr>
          <w:rFonts w:ascii="Verdana" w:hAnsi="Verdana" w:cs="Arial"/>
          <w:sz w:val="16"/>
          <w:szCs w:val="16"/>
          <w:lang w:val="es-ES_tradnl"/>
        </w:rPr>
      </w:pPr>
    </w:p>
  </w:footnote>
  <w:footnote w:id="8">
    <w:p w14:paraId="56EDE112" w14:textId="77777777" w:rsidR="007C5F7B" w:rsidRPr="004B36AC" w:rsidRDefault="007C5F7B" w:rsidP="007C5F7B">
      <w:pPr>
        <w:pStyle w:val="Textonotapi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lang w:val="es-CO"/>
        </w:rPr>
        <w:t>Superintendencia de Sociedades. Concepto OFICIO 220-114329 del 27 de julio de 2018 REF.: Aspectos sobre las sucursales de sociedad extranjera.</w:t>
      </w:r>
    </w:p>
  </w:footnote>
  <w:footnote w:id="9">
    <w:p w14:paraId="7EE048C2" w14:textId="77777777" w:rsidR="007C5F7B" w:rsidRPr="004B36AC" w:rsidRDefault="007C5F7B" w:rsidP="007C5F7B">
      <w:pPr>
        <w:pStyle w:val="Textonotapie"/>
        <w:ind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w:t>
      </w:r>
      <w:r w:rsidRPr="004B36AC">
        <w:rPr>
          <w:rFonts w:ascii="Verdana" w:hAnsi="Verdana" w:cs="Arial"/>
          <w:sz w:val="16"/>
          <w:szCs w:val="16"/>
          <w:shd w:val="clear" w:color="auto" w:fill="FFFFFF"/>
        </w:rPr>
        <w:t>Para la jurisprudencia, “</w:t>
      </w:r>
      <w:r w:rsidRPr="004B36AC">
        <w:rPr>
          <w:rFonts w:ascii="Verdana" w:hAnsi="Verdana" w:cs="Arial"/>
          <w:sz w:val="16"/>
          <w:szCs w:val="16"/>
        </w:rPr>
        <w:t>El consorcio es una figura propia del derecho privado, utilizado ordinariamente como un instrumento de cooperación entre empresas, cuando requieren asumir una tarea económica particularmente importante, que les permita distribuirse de algún modo los riesgos que pueda implicar la actividad que se acomete, aunar recursos financieros y tecnológicos, y mejorar la disponibilidad de equipos, según el caso, pero conservando los consorciados su independencia jurídica</w:t>
      </w:r>
      <w:r w:rsidRPr="004B36AC">
        <w:rPr>
          <w:rFonts w:ascii="Verdana" w:hAnsi="Verdana" w:cs="Arial"/>
          <w:color w:val="000000" w:themeColor="text1"/>
          <w:sz w:val="16"/>
          <w:szCs w:val="16"/>
          <w:shd w:val="clear" w:color="auto" w:fill="FFFFFF"/>
        </w:rPr>
        <w:t>”</w:t>
      </w:r>
      <w:r w:rsidRPr="004B36AC">
        <w:rPr>
          <w:rFonts w:ascii="Verdana" w:hAnsi="Verdana" w:cs="Arial"/>
          <w:sz w:val="16"/>
          <w:szCs w:val="16"/>
        </w:rPr>
        <w:t xml:space="preserve"> (CORTE CONSTITUCIONAL. Sentencia C-414 de 1994. M.P. Antonio Barrera</w:t>
      </w:r>
      <w:r w:rsidRPr="004B36AC">
        <w:rPr>
          <w:rFonts w:ascii="Verdana" w:hAnsi="Verdana" w:cs="Arial"/>
          <w:spacing w:val="-2"/>
          <w:sz w:val="16"/>
          <w:szCs w:val="16"/>
        </w:rPr>
        <w:t xml:space="preserve"> </w:t>
      </w:r>
      <w:r w:rsidRPr="004B36AC">
        <w:rPr>
          <w:rFonts w:ascii="Verdana" w:hAnsi="Verdana" w:cs="Arial"/>
          <w:sz w:val="16"/>
          <w:szCs w:val="16"/>
        </w:rPr>
        <w:t>Carbonell).</w:t>
      </w:r>
    </w:p>
  </w:footnote>
  <w:footnote w:id="10">
    <w:p w14:paraId="7D5428FE" w14:textId="77777777" w:rsidR="007C5F7B" w:rsidRPr="004B36AC" w:rsidRDefault="007C5F7B" w:rsidP="007C5F7B">
      <w:pPr>
        <w:pStyle w:val="Textoindependient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shd w:val="clear" w:color="auto" w:fill="FFFFFF"/>
          <w:lang w:val="es-CO"/>
        </w:rPr>
        <w:t>Para estos efectos, “</w:t>
      </w:r>
      <w:r w:rsidRPr="004B36AC">
        <w:rPr>
          <w:rFonts w:ascii="Verdana" w:hAnsi="Verdana"/>
          <w:sz w:val="16"/>
          <w:szCs w:val="16"/>
          <w:lang w:val="es-CO"/>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w:t>
      </w:r>
      <w:r w:rsidRPr="004B36AC">
        <w:rPr>
          <w:rFonts w:ascii="Verdana" w:hAnsi="Verdana"/>
          <w:spacing w:val="-2"/>
          <w:sz w:val="16"/>
          <w:szCs w:val="16"/>
          <w:lang w:val="es-CO"/>
        </w:rPr>
        <w:t xml:space="preserve"> </w:t>
      </w:r>
      <w:r w:rsidRPr="004B36AC">
        <w:rPr>
          <w:rFonts w:ascii="Verdana" w:hAnsi="Verdana"/>
          <w:sz w:val="16"/>
          <w:szCs w:val="16"/>
          <w:lang w:val="es-CO"/>
        </w:rPr>
        <w:t>contractuales.</w:t>
      </w:r>
    </w:p>
    <w:p w14:paraId="20B5957B" w14:textId="77777777" w:rsidR="007C5F7B" w:rsidRPr="004B36AC" w:rsidRDefault="007C5F7B" w:rsidP="007C5F7B">
      <w:pPr>
        <w:pStyle w:val="Textoindependiente"/>
        <w:ind w:left="709" w:right="709" w:firstLine="709"/>
        <w:contextualSpacing/>
        <w:rPr>
          <w:rFonts w:ascii="Verdana" w:hAnsi="Verdana"/>
          <w:sz w:val="16"/>
          <w:szCs w:val="16"/>
          <w:lang w:val="es-CO"/>
        </w:rPr>
      </w:pPr>
      <w:r w:rsidRPr="004B36AC">
        <w:rPr>
          <w:rFonts w:ascii="Verdana" w:hAnsi="Verdana"/>
          <w:sz w:val="16"/>
          <w:szCs w:val="16"/>
          <w:lang w:val="es-CO"/>
        </w:rPr>
        <w:t>[…]</w:t>
      </w:r>
    </w:p>
    <w:p w14:paraId="7134573D" w14:textId="77777777" w:rsidR="007C5F7B" w:rsidRPr="004B36AC" w:rsidRDefault="007C5F7B" w:rsidP="007C5F7B">
      <w:pPr>
        <w:pStyle w:val="Textoindependiente"/>
        <w:ind w:firstLine="709"/>
        <w:contextualSpacing/>
        <w:jc w:val="both"/>
        <w:rPr>
          <w:rFonts w:ascii="Verdana" w:hAnsi="Verdana"/>
          <w:sz w:val="16"/>
          <w:szCs w:val="16"/>
          <w:lang w:val="es-CO"/>
        </w:rPr>
      </w:pPr>
      <w:r w:rsidRPr="004B36AC">
        <w:rPr>
          <w:rFonts w:ascii="Verdana" w:hAnsi="Verdana"/>
          <w:sz w:val="16"/>
          <w:szCs w:val="16"/>
          <w:lang w:val="es-CO"/>
        </w:rPr>
        <w:t>Cabe apreciar que la única diferencia entre las dos figuras radica en que en la unión temporal la imposición de sanciones por incumplimiento de las obligaciones derivadas de la propuesta o del contrato, se individualiza en cabeza de los integrantes de aquélla, según el grado de participación de cada uno de ellos en la ejecución de tales obligaciones, mientras que en el consorcio no se da dicha individualización y responderán por tanto solidariamente todos los miembros del consorcio frente a las correspondientes sanciones.</w:t>
      </w:r>
    </w:p>
    <w:p w14:paraId="0003AAE9" w14:textId="77777777" w:rsidR="007C5F7B" w:rsidRPr="004B36AC" w:rsidRDefault="007C5F7B" w:rsidP="007C5F7B">
      <w:pPr>
        <w:pStyle w:val="Textoindependiente"/>
        <w:ind w:left="709" w:right="709" w:firstLine="709"/>
        <w:contextualSpacing/>
        <w:rPr>
          <w:rFonts w:ascii="Verdana" w:hAnsi="Verdana"/>
          <w:sz w:val="16"/>
          <w:szCs w:val="16"/>
          <w:lang w:val="es-CO"/>
        </w:rPr>
      </w:pPr>
      <w:r w:rsidRPr="004B36AC">
        <w:rPr>
          <w:rFonts w:ascii="Verdana" w:hAnsi="Verdana"/>
          <w:sz w:val="16"/>
          <w:szCs w:val="16"/>
          <w:lang w:val="es-CO"/>
        </w:rPr>
        <w:t>[…]</w:t>
      </w:r>
    </w:p>
    <w:p w14:paraId="27C067EA" w14:textId="77777777" w:rsidR="007C5F7B" w:rsidRPr="004B36AC" w:rsidRDefault="007C5F7B" w:rsidP="007C5F7B">
      <w:pPr>
        <w:pStyle w:val="Textonotapie"/>
        <w:ind w:firstLine="709"/>
        <w:contextualSpacing/>
        <w:jc w:val="both"/>
        <w:rPr>
          <w:rFonts w:ascii="Verdana" w:hAnsi="Verdana" w:cs="Arial"/>
          <w:sz w:val="16"/>
          <w:szCs w:val="16"/>
        </w:rPr>
      </w:pPr>
      <w:r w:rsidRPr="004B36AC">
        <w:rPr>
          <w:rFonts w:ascii="Verdana" w:hAnsi="Verdana" w:cs="Arial"/>
          <w:sz w:val="16"/>
          <w:szCs w:val="16"/>
          <w:lang w:val="es-CO"/>
        </w:rPr>
        <w:t xml:space="preserve">La Ley 80 de 1993, al crear las figuras de los consorcios y uniones temporales y constituirlas como sujetos de la contratación administrativa, reconoce una realidad del mundo negocial que son los denominados </w:t>
      </w:r>
      <w:r w:rsidRPr="004B36AC">
        <w:rPr>
          <w:rFonts w:ascii="Verdana" w:hAnsi="Verdana" w:cs="Arial"/>
          <w:sz w:val="16"/>
          <w:szCs w:val="16"/>
          <w:shd w:val="clear" w:color="auto" w:fill="FFFFFF"/>
          <w:lang w:val="es-CO"/>
        </w:rPr>
        <w:t>“</w:t>
      </w:r>
      <w:r w:rsidRPr="004B36AC">
        <w:rPr>
          <w:rFonts w:ascii="Verdana" w:hAnsi="Verdana" w:cs="Arial"/>
          <w:sz w:val="16"/>
          <w:szCs w:val="16"/>
          <w:lang w:val="es-CO"/>
        </w:rPr>
        <w:t>contratos de colaboración económica</w:t>
      </w:r>
      <w:r w:rsidRPr="004B36AC">
        <w:rPr>
          <w:rFonts w:ascii="Verdana" w:hAnsi="Verdana" w:cs="Arial"/>
          <w:sz w:val="16"/>
          <w:szCs w:val="16"/>
          <w:shd w:val="clear" w:color="auto" w:fill="FFFFFF"/>
          <w:lang w:val="es-CO"/>
        </w:rPr>
        <w:t>”</w:t>
      </w:r>
      <w:r w:rsidRPr="004B36AC">
        <w:rPr>
          <w:rFonts w:ascii="Verdana" w:hAnsi="Verdana" w:cs="Arial"/>
          <w:sz w:val="16"/>
          <w:szCs w:val="16"/>
          <w:lang w:val="es-CO"/>
        </w:rPr>
        <w:t>, que en la hora actual se celebran para la efectiva realización de proyectos de contratación pública altamente especializados e intensivos en capital y así mismo indispensables para que el Estado Social de Derecho, cumpla los cometidos para los cuales fue instituido [Preámbulo y artículos 1 y 2</w:t>
      </w:r>
      <w:r w:rsidRPr="004B36AC">
        <w:rPr>
          <w:rFonts w:ascii="Verdana" w:hAnsi="Verdana" w:cs="Arial"/>
          <w:spacing w:val="-7"/>
          <w:sz w:val="16"/>
          <w:szCs w:val="16"/>
          <w:lang w:val="es-CO"/>
        </w:rPr>
        <w:t xml:space="preserve"> </w:t>
      </w:r>
      <w:r w:rsidRPr="004B36AC">
        <w:rPr>
          <w:rFonts w:ascii="Verdana" w:hAnsi="Verdana" w:cs="Arial"/>
          <w:sz w:val="16"/>
          <w:szCs w:val="16"/>
          <w:lang w:val="es-CO"/>
        </w:rPr>
        <w:t>Superiores]</w:t>
      </w:r>
      <w:r w:rsidRPr="004B36AC">
        <w:rPr>
          <w:rFonts w:ascii="Verdana" w:hAnsi="Verdana" w:cs="Arial"/>
          <w:sz w:val="16"/>
          <w:szCs w:val="16"/>
          <w:shd w:val="clear" w:color="auto" w:fill="FFFFFF"/>
          <w:lang w:val="es-CO"/>
        </w:rPr>
        <w:t xml:space="preserve">” </w:t>
      </w:r>
      <w:r w:rsidRPr="004B36AC">
        <w:rPr>
          <w:rFonts w:ascii="Verdana" w:hAnsi="Verdana" w:cs="Arial"/>
          <w:sz w:val="16"/>
          <w:szCs w:val="16"/>
        </w:rPr>
        <w:t>(CORTE CONSTITUCIONAL. Sentencia C-949 de 2001. M.P. Clara Inés Vargas Hernández).</w:t>
      </w:r>
    </w:p>
    <w:p w14:paraId="1B5F497D" w14:textId="77777777" w:rsidR="007C5F7B" w:rsidRPr="004B36AC" w:rsidRDefault="007C5F7B" w:rsidP="007C5F7B">
      <w:pPr>
        <w:pStyle w:val="Textonotapie"/>
        <w:ind w:firstLine="709"/>
        <w:contextualSpacing/>
        <w:jc w:val="both"/>
        <w:rPr>
          <w:rFonts w:ascii="Verdana" w:hAnsi="Verdana" w:cs="Arial"/>
          <w:sz w:val="16"/>
          <w:szCs w:val="16"/>
        </w:rPr>
      </w:pPr>
    </w:p>
  </w:footnote>
  <w:footnote w:id="11">
    <w:p w14:paraId="3192FAAB" w14:textId="77777777" w:rsidR="007C5F7B" w:rsidRPr="004B36AC" w:rsidRDefault="007C5F7B" w:rsidP="007C5F7B">
      <w:pPr>
        <w:spacing w:after="0" w:line="240" w:lineRule="auto"/>
        <w:ind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LAFONT PIANETTA, Pedro. Manual de contratos. Tomo I. Bogotá: Ediciones Librería del Profesional, 2001. p. 508.</w:t>
      </w:r>
    </w:p>
  </w:footnote>
  <w:footnote w:id="12">
    <w:p w14:paraId="6EA7416E" w14:textId="77777777" w:rsidR="007C5F7B" w:rsidRPr="004B36AC" w:rsidRDefault="007C5F7B" w:rsidP="007C5F7B">
      <w:pPr>
        <w:spacing w:after="0" w:line="240" w:lineRule="auto"/>
        <w:ind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Al respecto, la jurisprudencia explica lo siguiente: </w:t>
      </w:r>
      <w:r w:rsidRPr="004B36AC">
        <w:rPr>
          <w:rFonts w:ascii="Verdana" w:hAnsi="Verdana" w:cs="Arial"/>
          <w:sz w:val="16"/>
          <w:szCs w:val="16"/>
          <w:shd w:val="clear" w:color="auto" w:fill="FFFFFF"/>
        </w:rPr>
        <w:t>“</w:t>
      </w:r>
      <w:r w:rsidRPr="004B36AC">
        <w:rPr>
          <w:rFonts w:ascii="Verdana" w:hAnsi="Verdana" w:cs="Arial"/>
          <w:sz w:val="16"/>
          <w:szCs w:val="16"/>
        </w:rPr>
        <w:t>A juicio de la Sala, en esta ocasión debe retomarse el asunto para efectos de modificar la tesis jurisprudencial que se ha venido siguiendo y, por tanto, debe puntualizarse que si bien las uniones temporales y los consorcios no constituyen personas jurídicas distintas de quienes integran la respectiva figura plural de oferentes o de contratistas, lo cierto es que además de contar con la aptitud para ser parte en el correspondiente procedimiento administrativo de selección de contratistas –comoquiera que por ley cuentan con capacidad suficiente para ser titulares de los derechos y obligaciones derivadas tanto de los procedimientos administrativos de selección contractual como de los propios contratos estatales</w:t>
      </w:r>
      <w:r w:rsidRPr="004B36AC">
        <w:rPr>
          <w:rFonts w:ascii="Verdana" w:hAnsi="Verdana" w:cs="Arial"/>
          <w:b/>
          <w:bCs/>
          <w:sz w:val="16"/>
          <w:szCs w:val="16"/>
        </w:rPr>
        <w:t>–</w:t>
      </w:r>
      <w:r w:rsidRPr="004B36AC">
        <w:rPr>
          <w:rFonts w:ascii="Verdana" w:hAnsi="Verdana" w:cs="Arial"/>
          <w:sz w:val="16"/>
          <w:szCs w:val="16"/>
        </w:rPr>
        <w:t>, también se encuentran facultados para concurrir a los procesos judiciales que pudieren tener origen en controversias surgidas del mencionado procedimiento administrativo de selección de contratistas o de la celebración y ejecución del contrato estatal respectivo –</w:t>
      </w:r>
      <w:proofErr w:type="spellStart"/>
      <w:r w:rsidRPr="004B36AC">
        <w:rPr>
          <w:rFonts w:ascii="Verdana" w:hAnsi="Verdana" w:cs="Arial"/>
          <w:i/>
          <w:sz w:val="16"/>
          <w:szCs w:val="16"/>
        </w:rPr>
        <w:t>legitimatio</w:t>
      </w:r>
      <w:proofErr w:type="spellEnd"/>
      <w:r w:rsidRPr="004B36AC">
        <w:rPr>
          <w:rFonts w:ascii="Verdana" w:hAnsi="Verdana" w:cs="Arial"/>
          <w:i/>
          <w:sz w:val="16"/>
          <w:szCs w:val="16"/>
        </w:rPr>
        <w:t xml:space="preserve"> ad </w:t>
      </w:r>
      <w:proofErr w:type="spellStart"/>
      <w:r w:rsidRPr="004B36AC">
        <w:rPr>
          <w:rFonts w:ascii="Verdana" w:hAnsi="Verdana" w:cs="Arial"/>
          <w:i/>
          <w:sz w:val="16"/>
          <w:szCs w:val="16"/>
        </w:rPr>
        <w:t>processum</w:t>
      </w:r>
      <w:proofErr w:type="spellEnd"/>
      <w:r w:rsidRPr="004B36AC">
        <w:rPr>
          <w:rFonts w:ascii="Verdana" w:hAnsi="Verdana" w:cs="Arial"/>
          <w:sz w:val="16"/>
          <w:szCs w:val="16"/>
        </w:rPr>
        <w:t>-, por intermedio de su</w:t>
      </w:r>
      <w:r w:rsidRPr="004B36AC">
        <w:rPr>
          <w:rFonts w:ascii="Verdana" w:hAnsi="Verdana" w:cs="Arial"/>
          <w:spacing w:val="-8"/>
          <w:sz w:val="16"/>
          <w:szCs w:val="16"/>
        </w:rPr>
        <w:t xml:space="preserve"> </w:t>
      </w:r>
      <w:r w:rsidRPr="004B36AC">
        <w:rPr>
          <w:rFonts w:ascii="Verdana" w:hAnsi="Verdana" w:cs="Arial"/>
          <w:sz w:val="16"/>
          <w:szCs w:val="16"/>
        </w:rPr>
        <w:t xml:space="preserve">representante” (CONSEJO DE ESTADO. Sección Tercera. Sala Plena. Sentencia de Unificación del 25 de septiembre de 2013. Rad. 19.933. C.P. Mauricio Fajardo Gómez).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pt;height:12.1pt" o:bullet="t">
        <v:imagedata r:id="rId1" o:title="mso1B13"/>
      </v:shape>
    </w:pict>
  </w:numPicBullet>
  <w:abstractNum w:abstractNumId="0" w15:restartNumberingAfterBreak="0">
    <w:nsid w:val="01C06310"/>
    <w:multiLevelType w:val="multilevel"/>
    <w:tmpl w:val="33F4A4F8"/>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B51F74"/>
    <w:multiLevelType w:val="hybridMultilevel"/>
    <w:tmpl w:val="AB5A16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4678073">
    <w:abstractNumId w:val="7"/>
  </w:num>
  <w:num w:numId="2" w16cid:durableId="121924600">
    <w:abstractNumId w:val="2"/>
  </w:num>
  <w:num w:numId="3" w16cid:durableId="400098729">
    <w:abstractNumId w:val="5"/>
  </w:num>
  <w:num w:numId="4" w16cid:durableId="131637608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1614109">
    <w:abstractNumId w:val="2"/>
  </w:num>
  <w:num w:numId="6" w16cid:durableId="482428889">
    <w:abstractNumId w:val="13"/>
  </w:num>
  <w:num w:numId="7" w16cid:durableId="419760974">
    <w:abstractNumId w:val="6"/>
  </w:num>
  <w:num w:numId="8" w16cid:durableId="616376875">
    <w:abstractNumId w:val="12"/>
  </w:num>
  <w:num w:numId="9" w16cid:durableId="1615164621">
    <w:abstractNumId w:val="8"/>
  </w:num>
  <w:num w:numId="10" w16cid:durableId="539364049">
    <w:abstractNumId w:val="11"/>
  </w:num>
  <w:num w:numId="11" w16cid:durableId="707266904">
    <w:abstractNumId w:val="9"/>
  </w:num>
  <w:num w:numId="12" w16cid:durableId="344795610">
    <w:abstractNumId w:val="1"/>
  </w:num>
  <w:num w:numId="13" w16cid:durableId="1624380932">
    <w:abstractNumId w:val="4"/>
  </w:num>
  <w:num w:numId="14" w16cid:durableId="2030135419">
    <w:abstractNumId w:val="14"/>
  </w:num>
  <w:num w:numId="15" w16cid:durableId="611938962">
    <w:abstractNumId w:val="10"/>
  </w:num>
  <w:num w:numId="16" w16cid:durableId="596714810">
    <w:abstractNumId w:val="0"/>
  </w:num>
  <w:num w:numId="17" w16cid:durableId="1972772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C7F"/>
    <w:rsid w:val="00016F78"/>
    <w:rsid w:val="00046945"/>
    <w:rsid w:val="00061B2A"/>
    <w:rsid w:val="00082362"/>
    <w:rsid w:val="000A3B6C"/>
    <w:rsid w:val="000A683E"/>
    <w:rsid w:val="000B19B9"/>
    <w:rsid w:val="000D0334"/>
    <w:rsid w:val="000D5DA7"/>
    <w:rsid w:val="000F6486"/>
    <w:rsid w:val="00116940"/>
    <w:rsid w:val="00124973"/>
    <w:rsid w:val="00125105"/>
    <w:rsid w:val="00127233"/>
    <w:rsid w:val="0015699B"/>
    <w:rsid w:val="001643EF"/>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00E1"/>
    <w:rsid w:val="004F21C4"/>
    <w:rsid w:val="004F685F"/>
    <w:rsid w:val="00512E2C"/>
    <w:rsid w:val="00542544"/>
    <w:rsid w:val="005566E8"/>
    <w:rsid w:val="005726A5"/>
    <w:rsid w:val="00574867"/>
    <w:rsid w:val="00591460"/>
    <w:rsid w:val="005A65E0"/>
    <w:rsid w:val="005C3777"/>
    <w:rsid w:val="005C5CDC"/>
    <w:rsid w:val="005D476C"/>
    <w:rsid w:val="006200BF"/>
    <w:rsid w:val="006219F8"/>
    <w:rsid w:val="006302F7"/>
    <w:rsid w:val="00646B9F"/>
    <w:rsid w:val="00653428"/>
    <w:rsid w:val="00665D70"/>
    <w:rsid w:val="006900D9"/>
    <w:rsid w:val="007037F3"/>
    <w:rsid w:val="00706C16"/>
    <w:rsid w:val="00725EC0"/>
    <w:rsid w:val="007340C3"/>
    <w:rsid w:val="0075235A"/>
    <w:rsid w:val="00756841"/>
    <w:rsid w:val="007649AB"/>
    <w:rsid w:val="00771D0C"/>
    <w:rsid w:val="007833AC"/>
    <w:rsid w:val="0079021F"/>
    <w:rsid w:val="007B268C"/>
    <w:rsid w:val="007B7171"/>
    <w:rsid w:val="007C0C0F"/>
    <w:rsid w:val="007C1489"/>
    <w:rsid w:val="007C3DC2"/>
    <w:rsid w:val="007C5F7B"/>
    <w:rsid w:val="007E5497"/>
    <w:rsid w:val="00806F5F"/>
    <w:rsid w:val="00820278"/>
    <w:rsid w:val="008258C9"/>
    <w:rsid w:val="00844AE9"/>
    <w:rsid w:val="00854B43"/>
    <w:rsid w:val="00867F95"/>
    <w:rsid w:val="008843B6"/>
    <w:rsid w:val="00891928"/>
    <w:rsid w:val="008A446D"/>
    <w:rsid w:val="008B25F1"/>
    <w:rsid w:val="008D180B"/>
    <w:rsid w:val="008F0EA7"/>
    <w:rsid w:val="00923EEF"/>
    <w:rsid w:val="009419F9"/>
    <w:rsid w:val="0095685E"/>
    <w:rsid w:val="00961B09"/>
    <w:rsid w:val="00964AB2"/>
    <w:rsid w:val="00965334"/>
    <w:rsid w:val="0097093E"/>
    <w:rsid w:val="009A0DFA"/>
    <w:rsid w:val="009A1C6F"/>
    <w:rsid w:val="009B2D26"/>
    <w:rsid w:val="009C71FA"/>
    <w:rsid w:val="009C72E7"/>
    <w:rsid w:val="009C7F7E"/>
    <w:rsid w:val="009D3058"/>
    <w:rsid w:val="009E32D0"/>
    <w:rsid w:val="009F3A13"/>
    <w:rsid w:val="00A122D3"/>
    <w:rsid w:val="00A14468"/>
    <w:rsid w:val="00A17F13"/>
    <w:rsid w:val="00A20739"/>
    <w:rsid w:val="00A23AF9"/>
    <w:rsid w:val="00A33C78"/>
    <w:rsid w:val="00A43592"/>
    <w:rsid w:val="00AA7FE8"/>
    <w:rsid w:val="00AB0ADB"/>
    <w:rsid w:val="00AB214E"/>
    <w:rsid w:val="00AB6320"/>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41EC"/>
    <w:rsid w:val="00D361FD"/>
    <w:rsid w:val="00D423A2"/>
    <w:rsid w:val="00D44E26"/>
    <w:rsid w:val="00D520D8"/>
    <w:rsid w:val="00D63AC2"/>
    <w:rsid w:val="00D7383B"/>
    <w:rsid w:val="00D7788A"/>
    <w:rsid w:val="00D92AED"/>
    <w:rsid w:val="00DA231B"/>
    <w:rsid w:val="00DC39FC"/>
    <w:rsid w:val="00DF5254"/>
    <w:rsid w:val="00E02524"/>
    <w:rsid w:val="00E16408"/>
    <w:rsid w:val="00E20894"/>
    <w:rsid w:val="00E245AB"/>
    <w:rsid w:val="00E2764C"/>
    <w:rsid w:val="00E27F2E"/>
    <w:rsid w:val="00E50AFE"/>
    <w:rsid w:val="00E75C92"/>
    <w:rsid w:val="00E771DC"/>
    <w:rsid w:val="00E81C82"/>
    <w:rsid w:val="00E85F1A"/>
    <w:rsid w:val="00E8772A"/>
    <w:rsid w:val="00E90B0A"/>
    <w:rsid w:val="00E90F6B"/>
    <w:rsid w:val="00E92C27"/>
    <w:rsid w:val="00EA0E3D"/>
    <w:rsid w:val="00EC38A7"/>
    <w:rsid w:val="00EE1AA8"/>
    <w:rsid w:val="00EE552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5F7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5F7B"/>
    <w:rPr>
      <w:rFonts w:ascii="Geomanist Light" w:hAnsi="Geomanist Light"/>
      <w:lang w:val="es-ES"/>
    </w:rPr>
  </w:style>
  <w:style w:type="paragraph" w:styleId="Textoindependiente">
    <w:name w:val="Body Text"/>
    <w:basedOn w:val="Normal"/>
    <w:link w:val="TextoindependienteCar"/>
    <w:uiPriority w:val="1"/>
    <w:qFormat/>
    <w:rsid w:val="007C5F7B"/>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7C5F7B"/>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engfei.wang@silverstone-electric.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documents/cce-eicp-ma-04._manual_requisitos_habilitantes_v3_29-09-2023.pdf" TargetMode="External"/><Relationship Id="rId2" Type="http://schemas.openxmlformats.org/officeDocument/2006/relationships/hyperlink" Target="https://www.colombiacompra.gov.co/sites/cce_public/files/cce_documents/cce_guia_proveedores_extranjeros.pdf" TargetMode="External"/><Relationship Id="rId1" Type="http://schemas.openxmlformats.org/officeDocument/2006/relationships/hyperlink" Target="https://operaciones.colombiacompra.gov.co/sites/cce_public/files/cce_documents/cce_guia_asuntos_corporativos.pdf" TargetMode="External"/><Relationship Id="rId4" Type="http://schemas.openxmlformats.org/officeDocument/2006/relationships/hyperlink" Target="https://operaciones.colombiacompra.gov.co/sites/cce_public/files/cce_documents/cce_guia_asuntos_corporativ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5E4A9B-E47E-475E-805C-C556D5E9EAE9}"/>
</file>

<file path=customXml/itemProps2.xml><?xml version="1.0" encoding="utf-8"?>
<ds:datastoreItem xmlns:ds="http://schemas.openxmlformats.org/officeDocument/2006/customXml" ds:itemID="{163618BE-28CB-4D69-955E-CDA788483BED}">
  <ds:schemaRefs>
    <ds:schemaRef ds:uri="http://purl.org/dc/dcmitype/"/>
    <ds:schemaRef ds:uri="http://purl.org/dc/elements/1.1/"/>
    <ds:schemaRef ds:uri="http://schemas.openxmlformats.org/package/2006/metadata/core-properties"/>
    <ds:schemaRef ds:uri="8ae15d26-076e-464e-81a7-6f76a0fb3917"/>
    <ds:schemaRef ds:uri="7fd6426d-c0fc-47b5-a6b8-86becfa1e099"/>
    <ds:schemaRef ds:uri="http://purl.org/dc/terms/"/>
    <ds:schemaRef ds:uri="http://schemas.microsoft.com/office/2006/metadata/properties"/>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20</Pages>
  <Words>6466</Words>
  <Characters>35568</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MARIA JOSHIRA NIETO MANZANO</cp:lastModifiedBy>
  <cp:revision>8</cp:revision>
  <cp:lastPrinted>2023-01-10T21:18:00Z</cp:lastPrinted>
  <dcterms:created xsi:type="dcterms:W3CDTF">2025-11-26T01:23:00Z</dcterms:created>
  <dcterms:modified xsi:type="dcterms:W3CDTF">2025-11-26T12:34:00Z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