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6561A" w14:textId="77777777" w:rsidR="00522A94" w:rsidRDefault="00522A94" w:rsidP="00522A94">
      <w:pPr>
        <w:tabs>
          <w:tab w:val="left" w:pos="1085"/>
        </w:tabs>
        <w:jc w:val="both"/>
        <w:rPr>
          <w:rFonts w:ascii="Verdana" w:hAnsi="Verdana" w:cs="Arial"/>
          <w:b/>
          <w:bCs/>
          <w:lang w:val="es-ES" w:eastAsia="es-ES"/>
        </w:rPr>
      </w:pPr>
      <w:bookmarkStart w:id="0" w:name="_Hlk143780582"/>
      <w:r w:rsidRPr="00522A94">
        <w:rPr>
          <w:rFonts w:ascii="Verdana" w:hAnsi="Verdana" w:cs="Arial"/>
          <w:b/>
          <w:bCs/>
          <w:lang w:val="es-ES" w:eastAsia="es-ES"/>
        </w:rPr>
        <w:t xml:space="preserve">LICITACIÓN PÚBLICA –Modalidad de selección –regla general </w:t>
      </w:r>
    </w:p>
    <w:p w14:paraId="5BDC1C62" w14:textId="77777777" w:rsidR="00466713" w:rsidRDefault="00466713" w:rsidP="00466713">
      <w:pPr>
        <w:spacing w:after="0" w:line="240" w:lineRule="auto"/>
        <w:jc w:val="both"/>
        <w:rPr>
          <w:rFonts w:ascii="Verdana" w:eastAsia="Calibri" w:hAnsi="Verdana" w:cs="Arial"/>
          <w:bCs/>
          <w:sz w:val="20"/>
          <w:szCs w:val="20"/>
          <w:lang w:val="es-MX" w:eastAsia="es-ES_tradnl"/>
        </w:rPr>
      </w:pPr>
      <w:r w:rsidRPr="00466713">
        <w:rPr>
          <w:rFonts w:ascii="Verdana" w:eastAsia="Calibri" w:hAnsi="Verdana" w:cs="Arial"/>
          <w:color w:val="000000"/>
          <w:sz w:val="20"/>
          <w:szCs w:val="20"/>
          <w:lang w:val="es-ES_tradnl" w:eastAsia="es-ES_tradnl"/>
        </w:rPr>
        <w:t>P</w:t>
      </w:r>
      <w:r w:rsidRPr="00466713">
        <w:rPr>
          <w:rFonts w:ascii="Verdana" w:hAnsi="Verdana" w:cs="Arial"/>
          <w:sz w:val="20"/>
          <w:szCs w:val="20"/>
          <w:lang w:val="es-ES"/>
        </w:rPr>
        <w:t xml:space="preserve">ara las entidades sometidas al Estatuto General de Contratación de la Administración Pública, los procesos de selección se rigen por </w:t>
      </w:r>
      <w:r w:rsidRPr="00466713">
        <w:rPr>
          <w:rFonts w:ascii="Verdana" w:hAnsi="Verdana" w:cs="Arial"/>
          <w:bCs/>
          <w:sz w:val="20"/>
          <w:szCs w:val="20"/>
          <w:lang w:val="es-ES_tradnl"/>
        </w:rPr>
        <w:t>el artículo 2 de la Ley 1150 de 2007</w:t>
      </w:r>
      <w:r w:rsidRPr="00466713">
        <w:rPr>
          <w:rFonts w:ascii="Verdana" w:hAnsi="Verdana" w:cs="Arial"/>
          <w:sz w:val="20"/>
          <w:szCs w:val="20"/>
          <w:lang w:val="es-ES"/>
        </w:rPr>
        <w:t xml:space="preserve">. El </w:t>
      </w:r>
      <w:r w:rsidRPr="00466713">
        <w:rPr>
          <w:rFonts w:ascii="Verdana" w:eastAsia="Calibri" w:hAnsi="Verdana" w:cs="Arial"/>
          <w:bCs/>
          <w:sz w:val="20"/>
          <w:szCs w:val="20"/>
          <w:lang w:val="es-MX" w:eastAsia="es-ES_tradnl"/>
        </w:rPr>
        <w:t>numeral uno, inciso primero, de la norma citada</w:t>
      </w:r>
      <w:r w:rsidRPr="00466713">
        <w:rPr>
          <w:rFonts w:ascii="Verdana" w:hAnsi="Verdana" w:cs="Arial"/>
          <w:bCs/>
          <w:sz w:val="20"/>
          <w:szCs w:val="20"/>
          <w:lang w:val="es-ES_tradnl"/>
        </w:rPr>
        <w:t xml:space="preserve"> </w:t>
      </w:r>
      <w:r w:rsidRPr="00466713">
        <w:rPr>
          <w:rFonts w:ascii="Verdana" w:eastAsia="Calibri" w:hAnsi="Verdana" w:cs="Arial"/>
          <w:bCs/>
          <w:sz w:val="20"/>
          <w:szCs w:val="20"/>
          <w:lang w:val="es-MX" w:eastAsia="es-ES_tradnl"/>
        </w:rPr>
        <w:t xml:space="preserve">dispone que “La escogencia del contratista se efectuará por </w:t>
      </w:r>
      <w:r w:rsidRPr="00466713">
        <w:rPr>
          <w:rFonts w:ascii="Verdana" w:eastAsia="Calibri" w:hAnsi="Verdana" w:cs="Arial"/>
          <w:bCs/>
          <w:i/>
          <w:iCs/>
          <w:sz w:val="20"/>
          <w:szCs w:val="20"/>
          <w:lang w:val="es-MX" w:eastAsia="es-ES_tradnl"/>
        </w:rPr>
        <w:t>regla general</w:t>
      </w:r>
      <w:r w:rsidRPr="00466713">
        <w:rPr>
          <w:rFonts w:ascii="Verdana" w:eastAsia="Calibri" w:hAnsi="Verdana" w:cs="Arial"/>
          <w:bCs/>
          <w:sz w:val="20"/>
          <w:szCs w:val="20"/>
          <w:lang w:val="es-MX" w:eastAsia="es-ES_tradnl"/>
        </w:rPr>
        <w:t xml:space="preserve"> a través de licitación pública, con las </w:t>
      </w:r>
      <w:r w:rsidRPr="00466713">
        <w:rPr>
          <w:rFonts w:ascii="Verdana" w:eastAsia="Calibri" w:hAnsi="Verdana" w:cs="Arial"/>
          <w:bCs/>
          <w:i/>
          <w:iCs/>
          <w:sz w:val="20"/>
          <w:szCs w:val="20"/>
          <w:lang w:val="es-MX" w:eastAsia="es-ES_tradnl"/>
        </w:rPr>
        <w:t>excepciones</w:t>
      </w:r>
      <w:r w:rsidRPr="00466713">
        <w:rPr>
          <w:rFonts w:ascii="Verdana" w:eastAsia="Calibri" w:hAnsi="Verdana" w:cs="Arial"/>
          <w:bCs/>
          <w:sz w:val="20"/>
          <w:szCs w:val="20"/>
          <w:lang w:val="es-MX" w:eastAsia="es-ES_tradnl"/>
        </w:rPr>
        <w:t xml:space="preserve"> que se señalan en los numerales 2, 3 y 4 del presente artículo”, norma que sustituye el derogado numeral 1 del artículo 24 de la Ley 80 de 1993 sobre el principio de transparencia. </w:t>
      </w:r>
    </w:p>
    <w:p w14:paraId="0FD87761" w14:textId="77777777" w:rsidR="00466713" w:rsidRDefault="00466713" w:rsidP="00466713">
      <w:pPr>
        <w:spacing w:after="0" w:line="240" w:lineRule="auto"/>
        <w:jc w:val="both"/>
        <w:rPr>
          <w:rFonts w:ascii="Verdana" w:eastAsia="Calibri" w:hAnsi="Verdana" w:cs="Arial"/>
          <w:bCs/>
          <w:sz w:val="20"/>
          <w:szCs w:val="20"/>
          <w:lang w:val="es-MX" w:eastAsia="es-ES_tradnl"/>
        </w:rPr>
      </w:pPr>
    </w:p>
    <w:p w14:paraId="5EB6BDAB" w14:textId="2639BB70" w:rsidR="00466713" w:rsidRPr="00466713" w:rsidRDefault="00466713" w:rsidP="00466713">
      <w:pPr>
        <w:spacing w:after="0" w:line="240" w:lineRule="auto"/>
        <w:jc w:val="both"/>
        <w:rPr>
          <w:rFonts w:ascii="Verdana" w:eastAsia="Calibri" w:hAnsi="Verdana" w:cs="Arial"/>
          <w:bCs/>
          <w:sz w:val="20"/>
          <w:szCs w:val="20"/>
          <w:lang w:val="es-MX" w:eastAsia="es-ES_tradnl"/>
        </w:rPr>
      </w:pPr>
      <w:r w:rsidRPr="00466713">
        <w:rPr>
          <w:rFonts w:ascii="Verdana" w:eastAsia="Calibri" w:hAnsi="Verdana" w:cs="Arial"/>
          <w:bCs/>
          <w:sz w:val="20"/>
          <w:szCs w:val="20"/>
          <w:lang w:val="es-MX" w:eastAsia="es-ES_tradnl"/>
        </w:rPr>
        <w:t>Salvo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78D458F4" w14:textId="77777777" w:rsidR="00522A94" w:rsidRPr="00466713" w:rsidRDefault="00522A94" w:rsidP="00522A94">
      <w:pPr>
        <w:tabs>
          <w:tab w:val="left" w:pos="1085"/>
        </w:tabs>
        <w:spacing w:after="0" w:line="240" w:lineRule="auto"/>
        <w:jc w:val="both"/>
        <w:rPr>
          <w:rFonts w:ascii="Verdana" w:hAnsi="Verdana" w:cs="Arial"/>
          <w:lang w:val="es-MX" w:eastAsia="es-ES"/>
        </w:rPr>
      </w:pPr>
    </w:p>
    <w:p w14:paraId="2B1BEF4F" w14:textId="77777777" w:rsidR="00522A94" w:rsidRDefault="00522A94" w:rsidP="00522A94">
      <w:pPr>
        <w:tabs>
          <w:tab w:val="left" w:pos="1085"/>
        </w:tabs>
        <w:jc w:val="both"/>
        <w:rPr>
          <w:rFonts w:ascii="Verdana" w:hAnsi="Verdana" w:cs="Arial"/>
          <w:b/>
          <w:bCs/>
          <w:lang w:val="es-ES" w:eastAsia="es-ES"/>
        </w:rPr>
      </w:pPr>
      <w:r w:rsidRPr="00522A94">
        <w:rPr>
          <w:rFonts w:ascii="Verdana" w:hAnsi="Verdana" w:cs="Arial"/>
          <w:b/>
          <w:bCs/>
          <w:lang w:val="es-ES" w:eastAsia="es-ES"/>
        </w:rPr>
        <w:t xml:space="preserve">BIENES Y SERVICIOS DE CARACTERÍSTICAS TÉCNICAS UNIFORMES – Definición - Formas de adquisición </w:t>
      </w:r>
    </w:p>
    <w:p w14:paraId="289C4DF0" w14:textId="3C3A834F" w:rsidR="00522A94" w:rsidRPr="00466713" w:rsidRDefault="00466713" w:rsidP="00466713">
      <w:pPr>
        <w:tabs>
          <w:tab w:val="left" w:pos="1085"/>
        </w:tabs>
        <w:spacing w:after="0" w:line="240" w:lineRule="auto"/>
        <w:jc w:val="both"/>
        <w:rPr>
          <w:rFonts w:ascii="Verdana" w:eastAsia="Calibri" w:hAnsi="Verdana" w:cs="Arial"/>
          <w:color w:val="000000"/>
          <w:sz w:val="20"/>
          <w:szCs w:val="20"/>
          <w:lang w:val="es-ES_tradnl" w:eastAsia="es-ES_tradnl"/>
        </w:rPr>
      </w:pPr>
      <w:r w:rsidRPr="00466713">
        <w:rPr>
          <w:rFonts w:ascii="Verdana" w:eastAsia="Calibri" w:hAnsi="Verdana" w:cs="Arial"/>
          <w:color w:val="000000"/>
          <w:sz w:val="20"/>
          <w:szCs w:val="20"/>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w:t>
      </w:r>
    </w:p>
    <w:p w14:paraId="05388849" w14:textId="77777777" w:rsidR="00466713" w:rsidRPr="00466713" w:rsidRDefault="00466713" w:rsidP="00466713">
      <w:pPr>
        <w:tabs>
          <w:tab w:val="left" w:pos="1085"/>
        </w:tabs>
        <w:spacing w:after="0" w:line="240" w:lineRule="auto"/>
        <w:jc w:val="both"/>
        <w:rPr>
          <w:rFonts w:ascii="Verdana" w:eastAsia="Calibri" w:hAnsi="Verdana" w:cs="Arial"/>
          <w:color w:val="000000"/>
          <w:sz w:val="20"/>
          <w:szCs w:val="20"/>
          <w:lang w:val="es-ES_tradnl" w:eastAsia="es-ES_tradnl"/>
        </w:rPr>
      </w:pPr>
    </w:p>
    <w:p w14:paraId="0E833FCE" w14:textId="0EA9052F" w:rsidR="00466713" w:rsidRPr="00466713" w:rsidRDefault="00466713" w:rsidP="00466713">
      <w:pPr>
        <w:tabs>
          <w:tab w:val="left" w:pos="1085"/>
        </w:tabs>
        <w:spacing w:after="0" w:line="240" w:lineRule="auto"/>
        <w:jc w:val="both"/>
        <w:rPr>
          <w:rFonts w:ascii="Verdana" w:eastAsia="Calibri" w:hAnsi="Verdana" w:cs="Arial"/>
          <w:color w:val="000000"/>
          <w:sz w:val="20"/>
          <w:szCs w:val="20"/>
          <w:lang w:val="es-ES_tradnl" w:eastAsia="es-ES_tradnl"/>
        </w:rPr>
      </w:pPr>
      <w:r w:rsidRPr="00466713">
        <w:rPr>
          <w:rFonts w:ascii="Verdana" w:eastAsia="Calibri" w:hAnsi="Verdana" w:cs="Arial"/>
          <w:color w:val="000000"/>
          <w:sz w:val="20"/>
          <w:szCs w:val="20"/>
          <w:lang w:val="es-ES_tradnl" w:eastAsia="es-ES_tradnl"/>
        </w:rPr>
        <w:t>[…]</w:t>
      </w:r>
    </w:p>
    <w:p w14:paraId="684DE076" w14:textId="77777777" w:rsidR="00466713" w:rsidRPr="00466713" w:rsidRDefault="00466713" w:rsidP="00466713">
      <w:pPr>
        <w:spacing w:after="0" w:line="240" w:lineRule="auto"/>
        <w:jc w:val="both"/>
        <w:rPr>
          <w:rFonts w:ascii="Verdana" w:eastAsia="Calibri" w:hAnsi="Verdana" w:cs="Arial"/>
          <w:bCs/>
          <w:color w:val="000000" w:themeColor="text1"/>
          <w:sz w:val="20"/>
          <w:szCs w:val="20"/>
        </w:rPr>
      </w:pPr>
    </w:p>
    <w:p w14:paraId="6866F225" w14:textId="1BCED1A8" w:rsidR="00466713" w:rsidRDefault="00466713" w:rsidP="00466713">
      <w:pPr>
        <w:spacing w:after="0" w:line="240" w:lineRule="auto"/>
        <w:jc w:val="both"/>
        <w:rPr>
          <w:rFonts w:ascii="Verdana" w:eastAsia="Calibri" w:hAnsi="Verdana" w:cs="Arial"/>
          <w:bCs/>
          <w:color w:val="000000" w:themeColor="text1"/>
          <w:sz w:val="20"/>
          <w:szCs w:val="20"/>
        </w:rPr>
      </w:pPr>
      <w:r w:rsidRPr="00466713">
        <w:rPr>
          <w:rFonts w:ascii="Verdana" w:eastAsia="Calibri" w:hAnsi="Verdana" w:cs="Arial"/>
          <w:bCs/>
          <w:color w:val="000000" w:themeColor="text1"/>
          <w:sz w:val="20"/>
          <w:szCs w:val="20"/>
        </w:rPr>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6D354CEC" w14:textId="77777777" w:rsidR="00466713" w:rsidRDefault="00466713" w:rsidP="00466713">
      <w:pPr>
        <w:spacing w:after="0" w:line="240" w:lineRule="auto"/>
        <w:jc w:val="both"/>
        <w:rPr>
          <w:rFonts w:ascii="Verdana" w:eastAsia="Calibri" w:hAnsi="Verdana" w:cs="Arial"/>
          <w:bCs/>
          <w:color w:val="000000" w:themeColor="text1"/>
          <w:sz w:val="20"/>
          <w:szCs w:val="20"/>
        </w:rPr>
      </w:pPr>
    </w:p>
    <w:p w14:paraId="3A778C30" w14:textId="77777777" w:rsidR="00466713" w:rsidRDefault="00466713" w:rsidP="00466713">
      <w:pPr>
        <w:spacing w:after="0" w:line="240" w:lineRule="auto"/>
        <w:jc w:val="both"/>
        <w:rPr>
          <w:rFonts w:ascii="Verdana" w:eastAsia="Calibri" w:hAnsi="Verdana" w:cs="Arial"/>
          <w:bCs/>
          <w:color w:val="000000" w:themeColor="text1"/>
          <w:sz w:val="20"/>
          <w:szCs w:val="20"/>
        </w:rPr>
      </w:pPr>
      <w:r w:rsidRPr="00466713">
        <w:rPr>
          <w:rFonts w:ascii="Verdana" w:eastAsia="Calibri" w:hAnsi="Verdana" w:cs="Arial"/>
          <w:bCs/>
          <w:color w:val="000000" w:themeColor="text1"/>
          <w:sz w:val="20"/>
          <w:szCs w:val="20"/>
        </w:rPr>
        <w:t xml:space="preserve">Para identificar los bienes y servicios que corresponden a este tipo, se destacan dos (2) aspectos importantes: la común utilización y la homogeneidad. Para la doctrina, la </w:t>
      </w:r>
      <w:r w:rsidRPr="00466713">
        <w:rPr>
          <w:rFonts w:ascii="Verdana" w:eastAsia="Calibri" w:hAnsi="Verdana" w:cs="Arial"/>
          <w:bCs/>
          <w:i/>
          <w:iCs/>
          <w:color w:val="000000" w:themeColor="text1"/>
          <w:sz w:val="20"/>
          <w:szCs w:val="20"/>
        </w:rPr>
        <w:t>común utilización</w:t>
      </w:r>
      <w:r w:rsidRPr="00466713">
        <w:rPr>
          <w:rFonts w:ascii="Verdana" w:eastAsia="Calibri" w:hAnsi="Verdana" w:cs="Arial"/>
          <w:bCs/>
          <w:color w:val="000000" w:themeColor="text1"/>
          <w:sz w:val="20"/>
          <w:szCs w:val="20"/>
        </w:rPr>
        <w:t xml:space="preserve"> “(…) busca que los bienes o servicios que se compren en esta categoría sean de los que se ofrecen en un mercado con un estándar para quienes los demandan, o lo que es igual, que la oferta de </w:t>
      </w:r>
      <w:proofErr w:type="gramStart"/>
      <w:r w:rsidRPr="00466713">
        <w:rPr>
          <w:rFonts w:ascii="Verdana" w:eastAsia="Calibri" w:hAnsi="Verdana" w:cs="Arial"/>
          <w:bCs/>
          <w:color w:val="000000" w:themeColor="text1"/>
          <w:sz w:val="20"/>
          <w:szCs w:val="20"/>
        </w:rPr>
        <w:t>los mismos</w:t>
      </w:r>
      <w:proofErr w:type="gramEnd"/>
      <w:r w:rsidRPr="00466713">
        <w:rPr>
          <w:rFonts w:ascii="Verdana" w:eastAsia="Calibri" w:hAnsi="Verdana" w:cs="Arial"/>
          <w:bCs/>
          <w:color w:val="000000" w:themeColor="text1"/>
          <w:sz w:val="20"/>
          <w:szCs w:val="20"/>
        </w:rPr>
        <w:t xml:space="preserve"> en el mercado ocurriese en condiciones equivalentes para todo interesado en adquirirlos”. Por su parte, la </w:t>
      </w:r>
      <w:r w:rsidRPr="00466713">
        <w:rPr>
          <w:rFonts w:ascii="Verdana" w:eastAsia="Calibri" w:hAnsi="Verdana" w:cs="Arial"/>
          <w:bCs/>
          <w:i/>
          <w:iCs/>
          <w:color w:val="000000" w:themeColor="text1"/>
          <w:sz w:val="20"/>
          <w:szCs w:val="20"/>
        </w:rPr>
        <w:t>homogeneidad</w:t>
      </w:r>
      <w:r w:rsidRPr="00466713">
        <w:rPr>
          <w:rFonts w:ascii="Verdana" w:eastAsia="Calibri" w:hAnsi="Verdana" w:cs="Arial"/>
          <w:bCs/>
          <w:color w:val="000000" w:themeColor="text1"/>
          <w:sz w:val="20"/>
          <w:szCs w:val="20"/>
        </w:rPr>
        <w:t xml:space="preserve"> se refiere a que “(…) sean fácilmente describibles por características mínimas comunes a los de su tipo, excluyendo elementos no esenciales, tales como los de diseño o cualquier </w:t>
      </w:r>
      <w:r w:rsidRPr="00466713">
        <w:rPr>
          <w:rFonts w:ascii="Verdana" w:eastAsia="Calibri" w:hAnsi="Verdana" w:cs="Arial"/>
          <w:bCs/>
          <w:color w:val="000000" w:themeColor="text1"/>
          <w:sz w:val="20"/>
          <w:szCs w:val="20"/>
        </w:rPr>
        <w:lastRenderedPageBreak/>
        <w:t>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p>
    <w:p w14:paraId="090F4269" w14:textId="77777777" w:rsidR="00466713" w:rsidRDefault="00466713" w:rsidP="00466713">
      <w:pPr>
        <w:spacing w:after="0" w:line="240" w:lineRule="auto"/>
        <w:jc w:val="both"/>
        <w:rPr>
          <w:rFonts w:ascii="Verdana" w:eastAsia="Calibri" w:hAnsi="Verdana" w:cs="Arial"/>
          <w:bCs/>
          <w:color w:val="000000" w:themeColor="text1"/>
          <w:sz w:val="20"/>
          <w:szCs w:val="20"/>
        </w:rPr>
      </w:pPr>
    </w:p>
    <w:p w14:paraId="24D94699" w14:textId="1749E628" w:rsidR="00466713" w:rsidRPr="00466713" w:rsidRDefault="00466713" w:rsidP="00466713">
      <w:pPr>
        <w:spacing w:after="0" w:line="240" w:lineRule="auto"/>
        <w:jc w:val="both"/>
        <w:rPr>
          <w:rFonts w:ascii="Verdana" w:eastAsia="Calibri" w:hAnsi="Verdana" w:cs="Arial"/>
          <w:bCs/>
          <w:color w:val="000000" w:themeColor="text1"/>
          <w:sz w:val="20"/>
          <w:szCs w:val="20"/>
        </w:rPr>
      </w:pPr>
      <w:r w:rsidRPr="00466713">
        <w:rPr>
          <w:rFonts w:ascii="Verdana" w:eastAsia="Calibri" w:hAnsi="Verdana" w:cs="Arial"/>
          <w:bCs/>
          <w:color w:val="000000" w:themeColor="text1"/>
          <w:sz w:val="20"/>
          <w:szCs w:val="20"/>
        </w:rPr>
        <w:t>Los elementos centrales para definir si un bien o servicio se considera de características técnicas uniformes consiste en que posea las mismas especificaciones técnicas y compartan patrones de desempeño y calidad objetivamente definidos. Por tanto, es posible adquirirlos en el mercado en condiciones estandarizadas u homogéneas, con independencia de su diseño o de sus características descriptivas, pues no afectan su funcionalidad. La forma cómo se adquieren en el mercado determina si un bien o servicio encaja en esta categoría, de ahí que el Decreto 1082 de 2015 prescribe: “(…) pueden ser agrupados como bienes y servicios homogéneos para su adquisición (…)”, dado que cuentan con especificaciones técnicas y patrones de desempeño y calidad similares.</w:t>
      </w:r>
    </w:p>
    <w:p w14:paraId="7537A159" w14:textId="77777777" w:rsidR="00466713" w:rsidRDefault="00466713" w:rsidP="00466713">
      <w:pPr>
        <w:spacing w:after="0" w:line="240" w:lineRule="auto"/>
        <w:jc w:val="both"/>
        <w:rPr>
          <w:rFonts w:ascii="Verdana" w:eastAsia="Calibri" w:hAnsi="Verdana" w:cs="Arial"/>
          <w:bCs/>
          <w:color w:val="000000" w:themeColor="text1"/>
          <w:sz w:val="20"/>
          <w:szCs w:val="20"/>
        </w:rPr>
      </w:pPr>
    </w:p>
    <w:p w14:paraId="7FBB43CF" w14:textId="735D2FEE" w:rsidR="00466713" w:rsidRDefault="00466713" w:rsidP="00466713">
      <w:pPr>
        <w:spacing w:after="0" w:line="240" w:lineRule="auto"/>
        <w:jc w:val="both"/>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 xml:space="preserve">[…] </w:t>
      </w:r>
    </w:p>
    <w:p w14:paraId="23F5EB10" w14:textId="77777777" w:rsidR="00466713" w:rsidRDefault="00466713" w:rsidP="00466713">
      <w:pPr>
        <w:spacing w:after="0" w:line="240" w:lineRule="auto"/>
        <w:jc w:val="both"/>
        <w:rPr>
          <w:rFonts w:ascii="Verdana" w:eastAsia="Calibri" w:hAnsi="Verdana" w:cs="Arial"/>
          <w:bCs/>
          <w:color w:val="000000" w:themeColor="text1"/>
          <w:sz w:val="20"/>
          <w:szCs w:val="20"/>
        </w:rPr>
      </w:pPr>
    </w:p>
    <w:p w14:paraId="27CF52EA" w14:textId="77777777" w:rsidR="00466713" w:rsidRPr="00466713" w:rsidRDefault="00466713" w:rsidP="00466713">
      <w:pPr>
        <w:spacing w:after="0" w:line="240" w:lineRule="auto"/>
        <w:jc w:val="both"/>
        <w:rPr>
          <w:rFonts w:ascii="Verdana" w:eastAsia="Calibri" w:hAnsi="Verdana" w:cs="Arial"/>
          <w:bCs/>
          <w:color w:val="000000" w:themeColor="text1"/>
          <w:sz w:val="20"/>
          <w:szCs w:val="20"/>
        </w:rPr>
      </w:pPr>
      <w:r w:rsidRPr="00466713">
        <w:rPr>
          <w:rFonts w:ascii="Verdana" w:eastAsia="Calibri" w:hAnsi="Verdana" w:cs="Arial"/>
          <w:bCs/>
          <w:color w:val="000000" w:themeColor="text1"/>
          <w:sz w:val="20"/>
          <w:szCs w:val="20"/>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 numeral 2 de la Ley 1150 de 2007 dispone: “</w:t>
      </w:r>
      <w:r w:rsidRPr="00466713">
        <w:rPr>
          <w:rFonts w:ascii="Verdana" w:eastAsia="Calibri" w:hAnsi="Verdana" w:cs="Arial"/>
          <w:bCs/>
          <w:i/>
          <w:iCs/>
          <w:color w:val="000000" w:themeColor="text1"/>
          <w:sz w:val="20"/>
          <w:szCs w:val="20"/>
        </w:rPr>
        <w:t>Para la adquisición de estos bienes y servicios las entidades deberán</w:t>
      </w:r>
      <w:r w:rsidRPr="00466713">
        <w:rPr>
          <w:rFonts w:ascii="Verdana" w:eastAsia="Calibri" w:hAnsi="Verdana" w:cs="Arial"/>
          <w:bCs/>
          <w:color w:val="000000" w:themeColor="text1"/>
          <w:sz w:val="20"/>
          <w:szCs w:val="20"/>
        </w:rPr>
        <w:t xml:space="preserve">, siempre que el reglamento así lo señale, </w:t>
      </w:r>
      <w:r w:rsidRPr="00466713">
        <w:rPr>
          <w:rFonts w:ascii="Verdana" w:eastAsia="Calibri" w:hAnsi="Verdana" w:cs="Arial"/>
          <w:bCs/>
          <w:i/>
          <w:iCs/>
          <w:color w:val="000000" w:themeColor="text1"/>
          <w:sz w:val="20"/>
          <w:szCs w:val="20"/>
        </w:rPr>
        <w:t>hacer uso</w:t>
      </w:r>
      <w:r w:rsidRPr="00466713">
        <w:rPr>
          <w:rFonts w:ascii="Verdana" w:eastAsia="Calibri" w:hAnsi="Verdana" w:cs="Arial"/>
          <w:bCs/>
          <w:color w:val="000000" w:themeColor="text1"/>
          <w:sz w:val="20"/>
          <w:szCs w:val="20"/>
        </w:rPr>
        <w:t xml:space="preserve"> de procedimientos de subasta inversa o de instrumentos de compra por catálogo derivados de la celebración de acuerdos marco de precios o </w:t>
      </w:r>
      <w:r w:rsidRPr="00466713">
        <w:rPr>
          <w:rFonts w:ascii="Verdana" w:eastAsia="Calibri" w:hAnsi="Verdana" w:cs="Arial"/>
          <w:bCs/>
          <w:i/>
          <w:iCs/>
          <w:color w:val="000000" w:themeColor="text1"/>
          <w:sz w:val="20"/>
          <w:szCs w:val="20"/>
        </w:rPr>
        <w:t>de procedimientos de adquisición en bolsas de productos</w:t>
      </w:r>
      <w:r w:rsidRPr="00466713">
        <w:rPr>
          <w:rFonts w:ascii="Verdana" w:eastAsia="Calibri" w:hAnsi="Verdana" w:cs="Arial"/>
          <w:bCs/>
          <w:color w:val="000000" w:themeColor="text1"/>
          <w:sz w:val="20"/>
          <w:szCs w:val="20"/>
        </w:rPr>
        <w:t>” (Énfasis fuera de texto). Estos mecanismos se aplicarán en la forma que disponga el Decreto 1082 de 2015 para para cada uno de ellos.</w:t>
      </w:r>
    </w:p>
    <w:p w14:paraId="5164EC70" w14:textId="77777777" w:rsidR="00466713" w:rsidRPr="00466713" w:rsidRDefault="00466713" w:rsidP="00466713">
      <w:pPr>
        <w:spacing w:after="0" w:line="240" w:lineRule="auto"/>
        <w:jc w:val="both"/>
        <w:rPr>
          <w:rFonts w:ascii="Verdana" w:eastAsia="Calibri" w:hAnsi="Verdana" w:cs="Arial"/>
          <w:bCs/>
          <w:color w:val="000000" w:themeColor="text1"/>
          <w:sz w:val="20"/>
          <w:szCs w:val="20"/>
        </w:rPr>
      </w:pPr>
    </w:p>
    <w:p w14:paraId="21C25057" w14:textId="7C74D1A9" w:rsidR="00522A94" w:rsidRDefault="00522A94" w:rsidP="00522A94">
      <w:pPr>
        <w:tabs>
          <w:tab w:val="left" w:pos="1085"/>
        </w:tabs>
        <w:jc w:val="both"/>
        <w:rPr>
          <w:rFonts w:ascii="Verdana" w:hAnsi="Verdana" w:cs="Arial"/>
          <w:b/>
          <w:bCs/>
          <w:lang w:val="es-ES" w:eastAsia="es-ES"/>
        </w:rPr>
      </w:pPr>
      <w:r w:rsidRPr="00522A94">
        <w:rPr>
          <w:rFonts w:ascii="Verdana" w:hAnsi="Verdana" w:cs="Arial"/>
          <w:b/>
          <w:bCs/>
          <w:lang w:val="es-ES" w:eastAsia="es-ES"/>
        </w:rPr>
        <w:t xml:space="preserve">ACUERDOS MARCO DE PRECIOS – Obligatoriedad –Bienes y servicios de características uniformes y común utilización – Bienes y servicios no uniformes de común utilización </w:t>
      </w:r>
    </w:p>
    <w:p w14:paraId="3ACD6C93" w14:textId="77777777" w:rsidR="00466713" w:rsidRPr="00466713" w:rsidRDefault="00466713" w:rsidP="00466713">
      <w:pPr>
        <w:spacing w:after="0" w:line="240" w:lineRule="auto"/>
        <w:jc w:val="both"/>
        <w:rPr>
          <w:rFonts w:ascii="Verdana" w:eastAsia="Calibri" w:hAnsi="Verdana" w:cs="Arial"/>
          <w:bCs/>
          <w:color w:val="000000" w:themeColor="text1"/>
          <w:sz w:val="20"/>
          <w:szCs w:val="20"/>
          <w:lang w:val="es-ES_tradnl"/>
        </w:rPr>
      </w:pPr>
      <w:r w:rsidRPr="00466713">
        <w:rPr>
          <w:rFonts w:ascii="Verdana" w:eastAsia="Calibri" w:hAnsi="Verdana" w:cs="Arial"/>
          <w:bCs/>
          <w:color w:val="000000" w:themeColor="text1"/>
          <w:sz w:val="20"/>
          <w:szCs w:val="20"/>
        </w:rPr>
        <w:t xml:space="preserve">Por otro lado, </w:t>
      </w:r>
      <w:r w:rsidRPr="00466713">
        <w:rPr>
          <w:rFonts w:ascii="Verdana" w:eastAsia="Calibri" w:hAnsi="Verdana" w:cs="Arial"/>
          <w:bCs/>
          <w:color w:val="000000" w:themeColor="text1"/>
          <w:sz w:val="20"/>
          <w:szCs w:val="20"/>
          <w:lang w:val="es-ES"/>
        </w:rPr>
        <w:t>e</w:t>
      </w:r>
      <w:r w:rsidRPr="00466713">
        <w:rPr>
          <w:rFonts w:ascii="Verdana" w:eastAsia="Calibri" w:hAnsi="Verdana" w:cs="Arial"/>
          <w:bCs/>
          <w:color w:val="000000" w:themeColor="text1"/>
          <w:sz w:val="20"/>
          <w:szCs w:val="20"/>
          <w:lang w:val="es-ES_tradnl"/>
        </w:rPr>
        <w:t>l artículo 54 de la Ley 2195 de 2022 adiciona el literal j) al numeral 2 del artículo 2 de la Ley 1150 de 2007, creando una nueva casual de selección abreviada. De esta manera, establece que, para la contratación de bienes y servicios no uniformes de común utilización por parte de las entidades públicas, la Agencia Nacional de Contratación Pública –Colombia Compra Eficiente– podrá celebrar acuerdos marco de precios y demás instrumentos de agregación de demanda. En armonía con lo anterior, prescribe que estos acuerdos marco de precios serán de uso obligatorio para las entidades del Estado a las que se refiere el parágrafo 5 del artículo 2 de la Ley 1150 de 2007, que fue modificado por el artículo 41 de la Ley 1955 de 2019.</w:t>
      </w:r>
    </w:p>
    <w:p w14:paraId="690869DE" w14:textId="77777777" w:rsidR="00466713" w:rsidRDefault="00466713" w:rsidP="00466713">
      <w:pPr>
        <w:spacing w:after="0" w:line="240" w:lineRule="auto"/>
        <w:jc w:val="both"/>
        <w:rPr>
          <w:rFonts w:ascii="Verdana" w:eastAsia="Calibri" w:hAnsi="Verdana" w:cs="Arial"/>
          <w:sz w:val="20"/>
          <w:szCs w:val="20"/>
        </w:rPr>
      </w:pPr>
    </w:p>
    <w:p w14:paraId="3A68FB9F" w14:textId="77777777" w:rsidR="00466713" w:rsidRDefault="00466713" w:rsidP="00466713">
      <w:pPr>
        <w:spacing w:after="0" w:line="240" w:lineRule="auto"/>
        <w:jc w:val="both"/>
        <w:rPr>
          <w:rFonts w:ascii="Verdana" w:eastAsia="Calibri" w:hAnsi="Verdana" w:cs="Arial"/>
          <w:sz w:val="20"/>
          <w:szCs w:val="20"/>
        </w:rPr>
      </w:pPr>
      <w:r w:rsidRPr="00466713">
        <w:rPr>
          <w:rFonts w:ascii="Verdana" w:eastAsia="Calibri" w:hAnsi="Verdana" w:cs="Arial"/>
          <w:sz w:val="20"/>
          <w:szCs w:val="20"/>
        </w:rPr>
        <w:t xml:space="preserve">Adicionalmente la Circular Externa No. 004 de 2021 de Colombia Compra Eficiente (CCE) refuerza la aplicación de la Ley 1150 de 2007 y el Decreto 1082 de 2015, en especial lo referente a la obligatoriedad de las entidades estatales de adquirir bienes y servicios de </w:t>
      </w:r>
      <w:r w:rsidRPr="00466713">
        <w:rPr>
          <w:rFonts w:ascii="Verdana" w:eastAsia="Calibri" w:hAnsi="Verdana" w:cs="Arial"/>
          <w:sz w:val="20"/>
          <w:szCs w:val="20"/>
        </w:rPr>
        <w:lastRenderedPageBreak/>
        <w:t>características técnicas uniformes y de común utilización a través de los AMP cuando estos existan.</w:t>
      </w:r>
    </w:p>
    <w:p w14:paraId="0890D7C6" w14:textId="77777777" w:rsidR="00466713" w:rsidRDefault="00466713" w:rsidP="00466713">
      <w:pPr>
        <w:spacing w:after="0" w:line="240" w:lineRule="auto"/>
        <w:jc w:val="both"/>
        <w:rPr>
          <w:rFonts w:ascii="Verdana" w:eastAsia="Calibri" w:hAnsi="Verdana" w:cs="Arial"/>
          <w:sz w:val="20"/>
          <w:szCs w:val="20"/>
        </w:rPr>
      </w:pPr>
    </w:p>
    <w:p w14:paraId="64D96984" w14:textId="77777777" w:rsidR="007275A9" w:rsidRDefault="00466713" w:rsidP="007275A9">
      <w:pPr>
        <w:spacing w:after="0" w:line="240" w:lineRule="auto"/>
        <w:jc w:val="both"/>
        <w:rPr>
          <w:rFonts w:ascii="Verdana" w:eastAsia="Calibri" w:hAnsi="Verdana" w:cs="Arial"/>
          <w:sz w:val="20"/>
          <w:szCs w:val="20"/>
          <w:lang w:val="es-ES"/>
        </w:rPr>
      </w:pPr>
      <w:r w:rsidRPr="00466713">
        <w:rPr>
          <w:rFonts w:ascii="Verdana" w:eastAsia="Calibri" w:hAnsi="Verdana" w:cs="Arial"/>
          <w:bCs/>
          <w:color w:val="000000" w:themeColor="text1"/>
          <w:sz w:val="20"/>
          <w:szCs w:val="20"/>
          <w:lang w:val="es-ES"/>
        </w:rPr>
        <w:t xml:space="preserve">Esta justificación se origina porque en la actualidad, las entidades estatales adelantan procesos de contratación independientes para adquirir bienes o servicios de forma recurrente, lo cual genera una carga administrativa innecesaria y asimetrías en la compra pública en cuanto a los términos, condiciones y precios a los que se sujetan esos procesos de selección. </w:t>
      </w:r>
    </w:p>
    <w:p w14:paraId="3C0B6EA7" w14:textId="77777777" w:rsidR="007275A9" w:rsidRDefault="007275A9" w:rsidP="007275A9">
      <w:pPr>
        <w:spacing w:after="0" w:line="240" w:lineRule="auto"/>
        <w:jc w:val="both"/>
        <w:rPr>
          <w:rFonts w:ascii="Verdana" w:eastAsia="Calibri" w:hAnsi="Verdana" w:cs="Arial"/>
          <w:sz w:val="20"/>
          <w:szCs w:val="20"/>
          <w:lang w:val="es-ES"/>
        </w:rPr>
      </w:pPr>
    </w:p>
    <w:p w14:paraId="5BC72A7F" w14:textId="01087209" w:rsidR="007275A9" w:rsidRPr="007275A9" w:rsidRDefault="007275A9" w:rsidP="007275A9">
      <w:pPr>
        <w:spacing w:after="0" w:line="240" w:lineRule="auto"/>
        <w:jc w:val="both"/>
        <w:rPr>
          <w:rFonts w:ascii="Verdana" w:eastAsia="Calibri" w:hAnsi="Verdana" w:cs="Arial"/>
          <w:sz w:val="20"/>
          <w:szCs w:val="20"/>
          <w:lang w:val="es-ES"/>
        </w:rPr>
      </w:pPr>
      <w:r w:rsidRPr="007275A9">
        <w:rPr>
          <w:rFonts w:ascii="Verdana" w:eastAsia="Calibri" w:hAnsi="Verdana" w:cs="Arial"/>
          <w:sz w:val="20"/>
          <w:szCs w:val="20"/>
          <w:lang w:val="es-ES"/>
        </w:rPr>
        <w:t xml:space="preserve">[…] </w:t>
      </w:r>
    </w:p>
    <w:p w14:paraId="3F4C2B1D" w14:textId="77777777" w:rsidR="007275A9" w:rsidRPr="007275A9" w:rsidRDefault="007275A9" w:rsidP="007275A9">
      <w:pPr>
        <w:spacing w:after="0" w:line="240" w:lineRule="auto"/>
        <w:jc w:val="both"/>
        <w:rPr>
          <w:rFonts w:ascii="Verdana" w:eastAsia="Calibri" w:hAnsi="Verdana" w:cs="Arial"/>
          <w:bCs/>
          <w:color w:val="000000" w:themeColor="text1"/>
          <w:sz w:val="20"/>
          <w:szCs w:val="20"/>
          <w:lang w:val="es-ES"/>
        </w:rPr>
      </w:pPr>
    </w:p>
    <w:p w14:paraId="3508E4A7" w14:textId="681EBBA5" w:rsidR="007275A9" w:rsidRPr="007275A9" w:rsidRDefault="007275A9" w:rsidP="007275A9">
      <w:pPr>
        <w:spacing w:after="0" w:line="240" w:lineRule="auto"/>
        <w:jc w:val="both"/>
        <w:rPr>
          <w:rFonts w:ascii="Verdana" w:eastAsia="Calibri" w:hAnsi="Verdana" w:cs="Arial"/>
          <w:sz w:val="20"/>
          <w:szCs w:val="20"/>
        </w:rPr>
      </w:pPr>
      <w:r w:rsidRPr="007275A9">
        <w:rPr>
          <w:rFonts w:ascii="Verdana" w:eastAsia="Calibri" w:hAnsi="Verdana" w:cs="Arial"/>
          <w:bCs/>
          <w:color w:val="000000" w:themeColor="text1"/>
          <w:sz w:val="20"/>
          <w:szCs w:val="20"/>
          <w:lang w:val="es-ES"/>
        </w:rPr>
        <w:t xml:space="preserve">Se precisa pues, que los Acuerdos Marco de Precios como instrumentos de agregación de demanda se aplican de forma obligatoria con la condición de que esté un acuerdo marco vigente para la adquisición de bienes y servicios de características uniformes y servicios no uniformes de común utilización, de conformidad con lo dispuesto en el artículo </w:t>
      </w:r>
      <w:r w:rsidRPr="007275A9">
        <w:rPr>
          <w:rFonts w:ascii="Verdana" w:eastAsia="Calibri" w:hAnsi="Verdana" w:cs="Arial"/>
          <w:bCs/>
          <w:color w:val="000000" w:themeColor="text1"/>
          <w:sz w:val="20"/>
          <w:szCs w:val="20"/>
        </w:rPr>
        <w:t>2.2.1.2.1.2.7. del Decreto 1082 de 2015. En tal sentido, el artículo 2.2.1.2.1.2.9. del Decreto 1082 de 2015 dispone: “(…) Colombia Compra Eficiente debe publicar el Catálogo para Acuerdos Marco de Precios, y la Entidad Estatal en la etapa de planeación del Proceso de Contratación está obligada a verificar si existe un Acuerdo Marco de Precios vigente con el cual la Entidad Estatal pueda satisfacer la necesidad identificada (…)”.</w:t>
      </w:r>
    </w:p>
    <w:p w14:paraId="3061DA85" w14:textId="77777777" w:rsidR="007275A9" w:rsidRPr="007275A9" w:rsidRDefault="007275A9" w:rsidP="00522A94">
      <w:pPr>
        <w:tabs>
          <w:tab w:val="left" w:pos="1085"/>
        </w:tabs>
        <w:spacing w:after="0" w:line="240" w:lineRule="auto"/>
        <w:jc w:val="both"/>
        <w:rPr>
          <w:rFonts w:ascii="Verdana" w:hAnsi="Verdana" w:cs="Arial"/>
          <w:b/>
          <w:bCs/>
          <w:lang w:eastAsia="es-ES"/>
        </w:rPr>
      </w:pPr>
    </w:p>
    <w:p w14:paraId="7EF3AC1B" w14:textId="3A5C514A" w:rsidR="00522A94" w:rsidRDefault="00522A94" w:rsidP="00522A94">
      <w:pPr>
        <w:tabs>
          <w:tab w:val="left" w:pos="1085"/>
        </w:tabs>
        <w:jc w:val="both"/>
        <w:rPr>
          <w:rFonts w:ascii="Verdana" w:hAnsi="Verdana" w:cs="Arial"/>
          <w:b/>
          <w:lang w:val="es-ES" w:eastAsia="es-ES"/>
        </w:rPr>
      </w:pPr>
      <w:r w:rsidRPr="00522A94">
        <w:rPr>
          <w:rFonts w:ascii="Verdana" w:hAnsi="Verdana" w:cs="Arial"/>
          <w:b/>
          <w:lang w:val="es-ES" w:eastAsia="es-ES"/>
        </w:rPr>
        <w:t>ACUERDOS MARCO DE PRECIOS – Vigencia – Aplicación de las demás modalidades de selección</w:t>
      </w:r>
    </w:p>
    <w:p w14:paraId="6189C4EF" w14:textId="77777777" w:rsidR="007275A9" w:rsidRPr="007275A9" w:rsidRDefault="007275A9" w:rsidP="007275A9">
      <w:pPr>
        <w:spacing w:after="0" w:line="240" w:lineRule="auto"/>
        <w:jc w:val="both"/>
        <w:rPr>
          <w:rFonts w:ascii="Verdana" w:eastAsia="Calibri" w:hAnsi="Verdana" w:cs="Arial"/>
          <w:bCs/>
          <w:color w:val="000000" w:themeColor="text1"/>
          <w:sz w:val="20"/>
          <w:szCs w:val="20"/>
        </w:rPr>
      </w:pPr>
      <w:r w:rsidRPr="007275A9">
        <w:rPr>
          <w:rFonts w:ascii="Verdana" w:eastAsia="Calibri" w:hAnsi="Verdana" w:cs="Arial"/>
          <w:bCs/>
          <w:color w:val="000000" w:themeColor="text1"/>
          <w:sz w:val="20"/>
          <w:szCs w:val="20"/>
          <w:lang w:val="es-ES"/>
        </w:rPr>
        <w:t xml:space="preserve">En los eventos que no exista un Acuerdo Marco de Precios vigente debe acudirse a la modalidad de selección abreviada mediante subasta inversa o de procedimientos de adquisición en bolsa de productos, de acuerdo a lo dispuesto por el Decreto 1082 de 2015, cuando sea para la adquisición de bienes y servicios de características uniformes y común utilización; y de licitación pública por regla general o en su defecto selección abreviada </w:t>
      </w:r>
      <w:r w:rsidRPr="007275A9">
        <w:rPr>
          <w:rFonts w:ascii="Verdana" w:eastAsia="Calibri" w:hAnsi="Verdana" w:cs="Arial"/>
          <w:bCs/>
          <w:color w:val="000000" w:themeColor="text1"/>
          <w:sz w:val="20"/>
          <w:szCs w:val="20"/>
        </w:rPr>
        <w:t xml:space="preserve">de menor cuantía cuando se requiera contratar bienes o servicios no uniformes de común utilización por valores que se ubiquen dentro de la menor cuantía de la respectiva Entidad Estatal, teniendo en cuenta los rangos establecidos en el literal b) del numeral 2 del artículo 2 de la Ley 1150 de 2007. En la modalidad de selección abreviada de menor cuantía al igual que en la licitación, la oferta más favorable se determina de acuerdo con lo establecido en el numeral 2 del artículo 5 de la Ley 1150 de 2007, esto es, en atención a la mejor relación calidad-precio. </w:t>
      </w:r>
    </w:p>
    <w:p w14:paraId="480777BF" w14:textId="77777777" w:rsidR="007275A9" w:rsidRPr="007275A9" w:rsidRDefault="007275A9" w:rsidP="00522A94">
      <w:pPr>
        <w:tabs>
          <w:tab w:val="left" w:pos="1085"/>
        </w:tabs>
        <w:spacing w:after="0" w:line="240" w:lineRule="auto"/>
        <w:jc w:val="both"/>
        <w:rPr>
          <w:rFonts w:ascii="Verdana" w:hAnsi="Verdana" w:cs="Arial"/>
          <w:b/>
          <w:color w:val="000000" w:themeColor="text1"/>
        </w:rPr>
      </w:pPr>
    </w:p>
    <w:p w14:paraId="03A75695" w14:textId="77777777" w:rsidR="00522A94" w:rsidRPr="00522A94" w:rsidRDefault="00522A94" w:rsidP="00522A94">
      <w:pPr>
        <w:spacing w:after="0" w:line="240" w:lineRule="auto"/>
        <w:jc w:val="right"/>
        <w:rPr>
          <w:rFonts w:ascii="Verdana" w:eastAsia="Calibri" w:hAnsi="Verdana" w:cs="Arial"/>
          <w:lang w:val="es-ES" w:eastAsia="es-ES"/>
        </w:rPr>
      </w:pPr>
    </w:p>
    <w:p w14:paraId="3D43B76B" w14:textId="77777777" w:rsidR="00522A94" w:rsidRDefault="00522A94" w:rsidP="00522A94">
      <w:pPr>
        <w:spacing w:after="0" w:line="240" w:lineRule="auto"/>
        <w:jc w:val="right"/>
        <w:rPr>
          <w:rFonts w:ascii="Verdana" w:eastAsia="Calibri" w:hAnsi="Verdana" w:cs="Arial"/>
          <w:lang w:eastAsia="es-ES"/>
        </w:rPr>
      </w:pPr>
    </w:p>
    <w:p w14:paraId="32FE99D2" w14:textId="77777777" w:rsidR="007275A9" w:rsidRDefault="007275A9" w:rsidP="00522A94">
      <w:pPr>
        <w:spacing w:after="0" w:line="240" w:lineRule="auto"/>
        <w:jc w:val="right"/>
        <w:rPr>
          <w:rFonts w:ascii="Verdana" w:eastAsia="Calibri" w:hAnsi="Verdana" w:cs="Arial"/>
          <w:lang w:eastAsia="es-ES"/>
        </w:rPr>
      </w:pPr>
    </w:p>
    <w:p w14:paraId="61972858" w14:textId="77777777" w:rsidR="00522A94" w:rsidRDefault="00522A94" w:rsidP="00522A94">
      <w:pPr>
        <w:spacing w:after="0" w:line="240" w:lineRule="auto"/>
        <w:jc w:val="right"/>
        <w:rPr>
          <w:rFonts w:ascii="Verdana" w:eastAsia="Calibri" w:hAnsi="Verdana" w:cs="Arial"/>
          <w:lang w:eastAsia="es-ES"/>
        </w:rPr>
      </w:pPr>
    </w:p>
    <w:p w14:paraId="6E0EC671" w14:textId="69E06BDF" w:rsidR="00522A94" w:rsidRDefault="00522A94" w:rsidP="00522A94">
      <w:pPr>
        <w:spacing w:after="0" w:line="240" w:lineRule="auto"/>
        <w:jc w:val="right"/>
        <w:rPr>
          <w:rFonts w:ascii="Verdana" w:eastAsia="Calibri" w:hAnsi="Verdana" w:cs="Arial"/>
          <w:lang w:eastAsia="es-ES"/>
        </w:rPr>
      </w:pPr>
      <w:r w:rsidRPr="00522A94">
        <w:rPr>
          <w:rFonts w:ascii="Verdana" w:eastAsia="Calibri" w:hAnsi="Verdana" w:cs="Arial"/>
          <w:noProof/>
          <w:lang w:eastAsia="es-ES"/>
        </w:rPr>
        <w:lastRenderedPageBreak/>
        <w:drawing>
          <wp:inline distT="0" distB="0" distL="0" distR="0" wp14:anchorId="515CEFC2" wp14:editId="4AEB19F5">
            <wp:extent cx="2648102" cy="723705"/>
            <wp:effectExtent l="0" t="0" r="0" b="635"/>
            <wp:docPr id="8140379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037995" name=""/>
                    <pic:cNvPicPr/>
                  </pic:nvPicPr>
                  <pic:blipFill>
                    <a:blip r:embed="rId10"/>
                    <a:stretch>
                      <a:fillRect/>
                    </a:stretch>
                  </pic:blipFill>
                  <pic:spPr>
                    <a:xfrm>
                      <a:off x="0" y="0"/>
                      <a:ext cx="2687575" cy="734493"/>
                    </a:xfrm>
                    <a:prstGeom prst="rect">
                      <a:avLst/>
                    </a:prstGeom>
                  </pic:spPr>
                </pic:pic>
              </a:graphicData>
            </a:graphic>
          </wp:inline>
        </w:drawing>
      </w:r>
    </w:p>
    <w:p w14:paraId="6D9D5B0B" w14:textId="16EBC5C5" w:rsidR="00225AC7" w:rsidRDefault="00225AC7" w:rsidP="00225AC7">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48BA9F3F" w14:textId="77777777" w:rsidR="00225AC7" w:rsidRDefault="00225AC7" w:rsidP="00225AC7">
      <w:pPr>
        <w:spacing w:after="0" w:line="240" w:lineRule="auto"/>
        <w:jc w:val="both"/>
        <w:rPr>
          <w:rFonts w:ascii="Verdana" w:eastAsia="Calibri" w:hAnsi="Verdana" w:cs="Arial"/>
          <w:b/>
          <w:bCs/>
          <w:lang w:eastAsia="es-ES"/>
        </w:rPr>
      </w:pPr>
      <w:r w:rsidRPr="008E5B36">
        <w:rPr>
          <w:rFonts w:ascii="Verdana" w:eastAsia="Calibri" w:hAnsi="Verdana" w:cs="Arial"/>
          <w:b/>
          <w:bCs/>
          <w:lang w:eastAsia="es-ES"/>
        </w:rPr>
        <w:t>Juan Sebastián</w:t>
      </w:r>
      <w:r>
        <w:rPr>
          <w:rFonts w:ascii="Verdana" w:eastAsia="Calibri" w:hAnsi="Verdana" w:cs="Arial"/>
          <w:b/>
          <w:bCs/>
          <w:lang w:eastAsia="es-ES"/>
        </w:rPr>
        <w:t xml:space="preserve"> </w:t>
      </w:r>
      <w:r w:rsidRPr="008E5B36">
        <w:rPr>
          <w:rFonts w:ascii="Verdana" w:eastAsia="Calibri" w:hAnsi="Verdana" w:cs="Arial"/>
          <w:b/>
          <w:bCs/>
          <w:lang w:eastAsia="es-ES"/>
        </w:rPr>
        <w:t>Olaya Perdomo</w:t>
      </w:r>
    </w:p>
    <w:p w14:paraId="3A7BFD3E" w14:textId="77777777" w:rsidR="00225AC7" w:rsidRPr="00225AC7" w:rsidRDefault="00225AC7" w:rsidP="00225AC7">
      <w:pPr>
        <w:spacing w:after="0" w:line="240" w:lineRule="auto"/>
        <w:jc w:val="both"/>
        <w:rPr>
          <w:rFonts w:ascii="Verdana" w:eastAsia="Calibri" w:hAnsi="Verdana" w:cs="Arial"/>
          <w:b/>
          <w:bCs/>
          <w:lang w:eastAsia="es-ES"/>
        </w:rPr>
      </w:pPr>
      <w:hyperlink r:id="rId11" w:history="1">
        <w:r w:rsidRPr="00225AC7">
          <w:rPr>
            <w:rStyle w:val="Hipervnculo"/>
            <w:rFonts w:ascii="Verdana" w:eastAsia="Calibri" w:hAnsi="Verdana" w:cs="Arial"/>
            <w:b/>
            <w:bCs/>
            <w:lang w:eastAsia="es-ES"/>
          </w:rPr>
          <w:t>juanseolaya@gmail.com</w:t>
        </w:r>
      </w:hyperlink>
    </w:p>
    <w:p w14:paraId="41AF06B2" w14:textId="77777777" w:rsidR="00225AC7" w:rsidRPr="00A87E6E" w:rsidRDefault="00225AC7" w:rsidP="00225AC7">
      <w:pPr>
        <w:spacing w:after="0" w:line="240" w:lineRule="auto"/>
        <w:jc w:val="both"/>
        <w:rPr>
          <w:rFonts w:ascii="Verdana" w:hAnsi="Verdana"/>
          <w:lang w:val="it-CH"/>
        </w:rPr>
      </w:pPr>
      <w:r w:rsidRPr="00A87E6E">
        <w:rPr>
          <w:rFonts w:ascii="Verdana" w:hAnsi="Verdana"/>
          <w:lang w:val="it-CH"/>
        </w:rPr>
        <w:t xml:space="preserve">Cali – Valle del Cauca </w:t>
      </w:r>
    </w:p>
    <w:p w14:paraId="72A0A5F7" w14:textId="77777777" w:rsidR="00225AC7" w:rsidRPr="00A87E6E" w:rsidRDefault="00225AC7" w:rsidP="00225AC7">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25AC7" w:rsidRPr="005644FE" w14:paraId="40E45D6E" w14:textId="77777777" w:rsidTr="007A1D3C">
        <w:trPr>
          <w:trHeight w:val="162"/>
        </w:trPr>
        <w:tc>
          <w:tcPr>
            <w:tcW w:w="3119" w:type="dxa"/>
          </w:tcPr>
          <w:p w14:paraId="180BE3A1" w14:textId="77777777" w:rsidR="00225AC7" w:rsidRPr="00A87E6E" w:rsidRDefault="00225AC7" w:rsidP="007A1D3C">
            <w:pPr>
              <w:jc w:val="both"/>
              <w:rPr>
                <w:rFonts w:ascii="Verdana" w:eastAsia="Calibri" w:hAnsi="Verdana" w:cs="Arial"/>
                <w:b/>
                <w:bCs/>
                <w:color w:val="7030A0"/>
                <w:lang w:val="it-CH" w:eastAsia="es-ES_tradnl"/>
              </w:rPr>
            </w:pPr>
          </w:p>
        </w:tc>
        <w:tc>
          <w:tcPr>
            <w:tcW w:w="5670" w:type="dxa"/>
          </w:tcPr>
          <w:p w14:paraId="1B28445F" w14:textId="77777777" w:rsidR="00225AC7" w:rsidRPr="005644FE" w:rsidRDefault="00225AC7" w:rsidP="007A1D3C">
            <w:pPr>
              <w:jc w:val="both"/>
              <w:rPr>
                <w:rFonts w:ascii="Verdana" w:eastAsia="Calibri" w:hAnsi="Verdana" w:cs="Arial"/>
                <w:b/>
                <w:bCs/>
                <w:lang w:eastAsia="es-ES"/>
              </w:rPr>
            </w:pPr>
            <w:r w:rsidRPr="005644FE">
              <w:rPr>
                <w:rFonts w:ascii="Verdana" w:eastAsia="Calibri" w:hAnsi="Verdana" w:cs="Arial"/>
                <w:b/>
                <w:bCs/>
                <w:lang w:eastAsia="es-ES"/>
              </w:rPr>
              <w:t>Concepto C-1</w:t>
            </w:r>
            <w:r>
              <w:rPr>
                <w:rFonts w:ascii="Verdana" w:eastAsia="Calibri" w:hAnsi="Verdana" w:cs="Arial"/>
                <w:b/>
                <w:bCs/>
                <w:lang w:eastAsia="es-ES"/>
              </w:rPr>
              <w:t>517</w:t>
            </w:r>
            <w:r w:rsidRPr="005644FE">
              <w:rPr>
                <w:rFonts w:ascii="Verdana" w:eastAsia="Calibri" w:hAnsi="Verdana" w:cs="Arial"/>
                <w:b/>
                <w:bCs/>
                <w:lang w:eastAsia="es-ES"/>
              </w:rPr>
              <w:t xml:space="preserve"> de 2025</w:t>
            </w:r>
          </w:p>
          <w:p w14:paraId="72D3C2C8" w14:textId="77777777" w:rsidR="00225AC7" w:rsidRPr="005644FE" w:rsidRDefault="00225AC7" w:rsidP="007A1D3C">
            <w:pPr>
              <w:jc w:val="both"/>
              <w:rPr>
                <w:rFonts w:ascii="Verdana" w:eastAsia="Calibri" w:hAnsi="Verdana" w:cs="Arial"/>
                <w:b/>
                <w:bCs/>
                <w:color w:val="7030A0"/>
                <w:lang w:eastAsia="es-ES"/>
              </w:rPr>
            </w:pPr>
          </w:p>
        </w:tc>
      </w:tr>
      <w:tr w:rsidR="00225AC7" w:rsidRPr="005644FE" w14:paraId="0A284CFB" w14:textId="77777777" w:rsidTr="007A1D3C">
        <w:trPr>
          <w:trHeight w:val="884"/>
        </w:trPr>
        <w:tc>
          <w:tcPr>
            <w:tcW w:w="3119" w:type="dxa"/>
          </w:tcPr>
          <w:p w14:paraId="13E118A9" w14:textId="77777777" w:rsidR="00225AC7" w:rsidRPr="005644FE" w:rsidRDefault="00225AC7" w:rsidP="007A1D3C">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3D7BBAC0" w14:textId="1F6C199F" w:rsidR="00225AC7" w:rsidRPr="00C27319" w:rsidRDefault="00225AC7" w:rsidP="007A1D3C">
            <w:pPr>
              <w:tabs>
                <w:tab w:val="left" w:pos="1085"/>
              </w:tabs>
              <w:spacing w:line="276" w:lineRule="auto"/>
              <w:jc w:val="both"/>
              <w:rPr>
                <w:rFonts w:ascii="Verdana" w:hAnsi="Verdana" w:cs="Arial"/>
                <w:color w:val="000000" w:themeColor="text1"/>
                <w:lang w:val="es-ES"/>
              </w:rPr>
            </w:pPr>
            <w:r>
              <w:rPr>
                <w:rFonts w:ascii="Verdana" w:hAnsi="Verdana" w:cs="Arial"/>
                <w:lang w:val="es-ES" w:eastAsia="es-ES"/>
              </w:rPr>
              <w:t>LICITACIÓN PÚBLICA –Modalidad de selección –</w:t>
            </w:r>
            <w:r w:rsidR="00A3307F">
              <w:rPr>
                <w:rFonts w:ascii="Verdana" w:hAnsi="Verdana" w:cs="Arial"/>
                <w:lang w:val="es-ES" w:eastAsia="es-ES"/>
              </w:rPr>
              <w:t>R</w:t>
            </w:r>
            <w:r>
              <w:rPr>
                <w:rFonts w:ascii="Verdana" w:hAnsi="Verdana" w:cs="Arial"/>
                <w:lang w:val="es-ES" w:eastAsia="es-ES"/>
              </w:rPr>
              <w:t xml:space="preserve">egla general </w:t>
            </w:r>
            <w:r w:rsidRPr="00185EE9">
              <w:rPr>
                <w:rFonts w:ascii="Verdana" w:hAnsi="Verdana" w:cs="Arial"/>
                <w:lang w:val="es-ES" w:eastAsia="es-ES"/>
              </w:rPr>
              <w:t>/ BIENES Y SERVICIOS DE CARACTERÍSTICAS TÉCNICAS UNIFORMES – Definición</w:t>
            </w:r>
            <w:r>
              <w:rPr>
                <w:rFonts w:ascii="Verdana" w:hAnsi="Verdana" w:cs="Arial"/>
                <w:lang w:val="es-ES" w:eastAsia="es-ES"/>
              </w:rPr>
              <w:t xml:space="preserve"> - Formas de adquisición </w:t>
            </w:r>
            <w:r w:rsidRPr="00185EE9">
              <w:rPr>
                <w:rFonts w:ascii="Verdana" w:hAnsi="Verdana" w:cs="Arial"/>
                <w:lang w:val="es-ES" w:eastAsia="es-ES"/>
              </w:rPr>
              <w:t xml:space="preserve">/ </w:t>
            </w:r>
            <w:r>
              <w:rPr>
                <w:rFonts w:ascii="Verdana" w:hAnsi="Verdana" w:cs="Arial"/>
                <w:lang w:val="es-ES" w:eastAsia="es-ES"/>
              </w:rPr>
              <w:t xml:space="preserve">ACUERDOS MARCO DE PRECIOS – Obligatoriedad –Bienes y servicios de características uniformes y común utilización – Bienes y servicios no uniformes de común utilización / </w:t>
            </w:r>
            <w:r w:rsidRPr="00A104A4">
              <w:rPr>
                <w:rFonts w:ascii="Verdana" w:hAnsi="Verdana" w:cs="Arial"/>
                <w:bCs/>
                <w:lang w:val="es-ES" w:eastAsia="es-ES"/>
              </w:rPr>
              <w:t>ACUERDOS MARCO DE PRECIOS – Vigencia – Aplicación de las demás modalidades de selección</w:t>
            </w:r>
          </w:p>
          <w:p w14:paraId="4EB829CC" w14:textId="77777777" w:rsidR="00225AC7" w:rsidRPr="00C27319" w:rsidRDefault="00225AC7" w:rsidP="007A1D3C">
            <w:pPr>
              <w:spacing w:line="276" w:lineRule="auto"/>
              <w:jc w:val="both"/>
              <w:rPr>
                <w:rFonts w:ascii="Verdana" w:hAnsi="Verdana" w:cs="Arial"/>
                <w:color w:val="000000" w:themeColor="text1"/>
                <w:lang w:val="es-ES"/>
              </w:rPr>
            </w:pPr>
          </w:p>
        </w:tc>
      </w:tr>
      <w:tr w:rsidR="00225AC7" w:rsidRPr="005644FE" w14:paraId="75B10D99" w14:textId="77777777" w:rsidTr="007A1D3C">
        <w:tc>
          <w:tcPr>
            <w:tcW w:w="3119" w:type="dxa"/>
          </w:tcPr>
          <w:p w14:paraId="471DF2CE" w14:textId="77777777" w:rsidR="00225AC7" w:rsidRPr="005644FE" w:rsidRDefault="00225AC7" w:rsidP="007A1D3C">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2F89676" w14:textId="77777777" w:rsidR="00225AC7" w:rsidRPr="005644FE" w:rsidRDefault="00225AC7" w:rsidP="007A1D3C">
            <w:pPr>
              <w:jc w:val="both"/>
              <w:rPr>
                <w:rFonts w:ascii="Verdana" w:eastAsia="Calibri" w:hAnsi="Verdana" w:cs="Arial"/>
                <w:lang w:eastAsia="es-ES_tradnl"/>
              </w:rPr>
            </w:pPr>
            <w:r w:rsidRPr="005644FE">
              <w:rPr>
                <w:rFonts w:ascii="Verdana" w:eastAsia="Calibri" w:hAnsi="Verdana" w:cs="Arial"/>
                <w:lang w:eastAsia="es-ES_tradnl"/>
              </w:rPr>
              <w:t xml:space="preserve">Respuesta a consulta con radicado </w:t>
            </w:r>
            <w:r w:rsidRPr="008E5B36">
              <w:rPr>
                <w:rFonts w:ascii="Verdana" w:eastAsia="Calibri" w:hAnsi="Verdana" w:cs="Arial"/>
                <w:lang w:eastAsia="es-ES_tradnl"/>
              </w:rPr>
              <w:t>1_2025_10_17_011650</w:t>
            </w:r>
          </w:p>
        </w:tc>
      </w:tr>
    </w:tbl>
    <w:p w14:paraId="24639388" w14:textId="77777777" w:rsidR="00225AC7" w:rsidRPr="005644FE" w:rsidRDefault="00225AC7" w:rsidP="00225AC7">
      <w:pPr>
        <w:spacing w:after="0" w:line="276" w:lineRule="auto"/>
        <w:jc w:val="both"/>
        <w:rPr>
          <w:rFonts w:ascii="Verdana" w:eastAsia="Calibri" w:hAnsi="Verdana" w:cs="Arial"/>
          <w:lang w:eastAsia="es-ES_tradnl"/>
        </w:rPr>
      </w:pPr>
    </w:p>
    <w:p w14:paraId="1B1F8015" w14:textId="77777777" w:rsidR="00225AC7" w:rsidRPr="005644FE" w:rsidRDefault="00225AC7" w:rsidP="00225AC7">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o señor Olaya</w:t>
      </w:r>
      <w:r w:rsidRPr="005644FE">
        <w:rPr>
          <w:rFonts w:ascii="Verdana" w:eastAsia="Calibri" w:hAnsi="Verdana" w:cs="Arial"/>
          <w:lang w:eastAsia="es-ES"/>
        </w:rPr>
        <w:t>:</w:t>
      </w:r>
    </w:p>
    <w:p w14:paraId="22815789" w14:textId="77777777" w:rsidR="00225AC7" w:rsidRPr="00E02524" w:rsidRDefault="00225AC7" w:rsidP="00225AC7">
      <w:pPr>
        <w:spacing w:after="0"/>
        <w:jc w:val="both"/>
        <w:rPr>
          <w:rFonts w:ascii="Verdana" w:hAnsi="Verdana"/>
          <w:lang w:val="es-MX"/>
        </w:rPr>
      </w:pPr>
    </w:p>
    <w:p w14:paraId="5707D532" w14:textId="77777777" w:rsidR="00225AC7" w:rsidRDefault="00225AC7" w:rsidP="00225AC7">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17 </w:t>
      </w:r>
      <w:r w:rsidRPr="005644FE">
        <w:rPr>
          <w:rFonts w:ascii="Verdana" w:eastAsia="Calibri" w:hAnsi="Verdana" w:cs="Arial"/>
          <w:lang w:eastAsia="es-ES"/>
        </w:rPr>
        <w:t>de octubre de 2025, en la cual manifiesta lo siguiente:</w:t>
      </w:r>
    </w:p>
    <w:p w14:paraId="628AC25E" w14:textId="77777777" w:rsidR="00225AC7" w:rsidRPr="00E02524" w:rsidRDefault="00225AC7" w:rsidP="00225AC7">
      <w:pPr>
        <w:spacing w:after="0"/>
        <w:jc w:val="both"/>
        <w:rPr>
          <w:rFonts w:ascii="Verdana" w:hAnsi="Verdana"/>
        </w:rPr>
      </w:pPr>
      <w:r w:rsidRPr="00E02524">
        <w:rPr>
          <w:rFonts w:ascii="Verdana" w:hAnsi="Verdana"/>
        </w:rPr>
        <w:t xml:space="preserve">PETICIÓN REALIZADA </w:t>
      </w:r>
    </w:p>
    <w:p w14:paraId="004F7CE0" w14:textId="77777777" w:rsidR="00225AC7" w:rsidRPr="008E5B36" w:rsidRDefault="00225AC7" w:rsidP="00225AC7">
      <w:pPr>
        <w:spacing w:after="0"/>
        <w:jc w:val="both"/>
        <w:rPr>
          <w:rFonts w:ascii="Verdana" w:hAnsi="Verdana"/>
        </w:rPr>
      </w:pPr>
    </w:p>
    <w:p w14:paraId="04763FFF" w14:textId="77777777" w:rsidR="00225AC7" w:rsidRPr="00A87E6E" w:rsidRDefault="00225AC7" w:rsidP="00225AC7">
      <w:pPr>
        <w:spacing w:after="0"/>
        <w:ind w:left="567" w:right="758"/>
        <w:jc w:val="both"/>
        <w:rPr>
          <w:rFonts w:ascii="Verdana" w:hAnsi="Verdana"/>
          <w:sz w:val="20"/>
          <w:szCs w:val="20"/>
        </w:rPr>
      </w:pPr>
      <w:r w:rsidRPr="008E5B36">
        <w:rPr>
          <w:rFonts w:ascii="Verdana" w:hAnsi="Verdana"/>
          <w:sz w:val="20"/>
          <w:szCs w:val="20"/>
        </w:rPr>
        <w:lastRenderedPageBreak/>
        <w:t xml:space="preserve">“(…) Cual </w:t>
      </w:r>
      <w:r>
        <w:rPr>
          <w:rFonts w:ascii="Verdana" w:hAnsi="Verdana"/>
          <w:sz w:val="20"/>
          <w:szCs w:val="20"/>
        </w:rPr>
        <w:t xml:space="preserve">(sic) </w:t>
      </w:r>
      <w:r w:rsidRPr="008E5B36">
        <w:rPr>
          <w:rFonts w:ascii="Verdana" w:hAnsi="Verdana"/>
          <w:sz w:val="20"/>
          <w:szCs w:val="20"/>
        </w:rPr>
        <w:t xml:space="preserve">es el indicativo o la forma que le permite </w:t>
      </w:r>
      <w:proofErr w:type="spellStart"/>
      <w:r w:rsidRPr="008E5B36">
        <w:rPr>
          <w:rFonts w:ascii="Verdana" w:hAnsi="Verdana"/>
          <w:sz w:val="20"/>
          <w:szCs w:val="20"/>
        </w:rPr>
        <w:t>indentificar</w:t>
      </w:r>
      <w:proofErr w:type="spellEnd"/>
      <w:r w:rsidRPr="008E5B36">
        <w:rPr>
          <w:rFonts w:ascii="Verdana" w:hAnsi="Verdana"/>
          <w:sz w:val="20"/>
          <w:szCs w:val="20"/>
        </w:rPr>
        <w:t xml:space="preserve"> </w:t>
      </w:r>
      <w:r>
        <w:rPr>
          <w:rFonts w:ascii="Verdana" w:hAnsi="Verdana"/>
          <w:sz w:val="20"/>
          <w:szCs w:val="20"/>
        </w:rPr>
        <w:t xml:space="preserve">(sic) </w:t>
      </w:r>
      <w:r w:rsidRPr="008E5B36">
        <w:rPr>
          <w:rFonts w:ascii="Verdana" w:hAnsi="Verdana"/>
          <w:sz w:val="20"/>
          <w:szCs w:val="20"/>
        </w:rPr>
        <w:t xml:space="preserve">a una entidad que la adquisición o suministro de bienes y servicios no son de características técnicas uniformes y de común utilización. Y puede </w:t>
      </w:r>
      <w:proofErr w:type="spellStart"/>
      <w:r w:rsidRPr="008E5B36">
        <w:rPr>
          <w:rFonts w:ascii="Verdana" w:hAnsi="Verdana"/>
          <w:sz w:val="20"/>
          <w:szCs w:val="20"/>
        </w:rPr>
        <w:t>utlizar</w:t>
      </w:r>
      <w:proofErr w:type="spellEnd"/>
      <w:r w:rsidRPr="008E5B36">
        <w:rPr>
          <w:rFonts w:ascii="Verdana" w:hAnsi="Verdana"/>
          <w:sz w:val="20"/>
          <w:szCs w:val="20"/>
        </w:rPr>
        <w:t xml:space="preserve"> </w:t>
      </w:r>
      <w:r>
        <w:rPr>
          <w:rFonts w:ascii="Verdana" w:hAnsi="Verdana"/>
          <w:sz w:val="20"/>
          <w:szCs w:val="20"/>
        </w:rPr>
        <w:t xml:space="preserve">(sic) </w:t>
      </w:r>
      <w:r w:rsidRPr="008E5B36">
        <w:rPr>
          <w:rFonts w:ascii="Verdana" w:hAnsi="Verdana"/>
          <w:sz w:val="20"/>
          <w:szCs w:val="20"/>
        </w:rPr>
        <w:t xml:space="preserve">una modalidad distinta a </w:t>
      </w:r>
      <w:proofErr w:type="spellStart"/>
      <w:r w:rsidRPr="008E5B36">
        <w:rPr>
          <w:rFonts w:ascii="Verdana" w:hAnsi="Verdana"/>
          <w:sz w:val="20"/>
          <w:szCs w:val="20"/>
        </w:rPr>
        <w:t>Seleccion</w:t>
      </w:r>
      <w:proofErr w:type="spellEnd"/>
      <w:r w:rsidRPr="008E5B36">
        <w:rPr>
          <w:rFonts w:ascii="Verdana" w:hAnsi="Verdana"/>
          <w:sz w:val="20"/>
          <w:szCs w:val="20"/>
        </w:rPr>
        <w:t xml:space="preserve"> </w:t>
      </w:r>
      <w:r>
        <w:rPr>
          <w:rFonts w:ascii="Verdana" w:hAnsi="Verdana"/>
          <w:sz w:val="20"/>
          <w:szCs w:val="20"/>
        </w:rPr>
        <w:t xml:space="preserve">(sic) </w:t>
      </w:r>
      <w:r w:rsidRPr="008E5B36">
        <w:rPr>
          <w:rFonts w:ascii="Verdana" w:hAnsi="Verdana"/>
          <w:sz w:val="20"/>
          <w:szCs w:val="20"/>
        </w:rPr>
        <w:t>Abreviada por Subasta Inversa (…)”.</w:t>
      </w:r>
    </w:p>
    <w:p w14:paraId="3701A559" w14:textId="77777777" w:rsidR="007275A9" w:rsidRDefault="007275A9" w:rsidP="007275A9">
      <w:pPr>
        <w:spacing w:after="0" w:line="240" w:lineRule="auto"/>
        <w:ind w:firstLine="709"/>
        <w:jc w:val="both"/>
        <w:rPr>
          <w:rFonts w:ascii="Verdana" w:eastAsia="Calibri" w:hAnsi="Verdana" w:cs="Arial"/>
          <w:color w:val="000000"/>
          <w:lang w:eastAsia="es-ES"/>
        </w:rPr>
      </w:pPr>
    </w:p>
    <w:p w14:paraId="4781C9F8" w14:textId="6C5FEC85" w:rsidR="00225AC7" w:rsidRPr="005644FE" w:rsidRDefault="00225AC7" w:rsidP="00225AC7">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92DF702" w14:textId="77777777" w:rsidR="00225AC7" w:rsidRPr="00944AEB" w:rsidRDefault="00225AC7" w:rsidP="00225AC7">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Pr>
          <w:rFonts w:ascii="Verdana" w:eastAsia="Calibri" w:hAnsi="Verdana" w:cs="Arial"/>
          <w:color w:val="000000"/>
          <w:lang w:eastAsia="es-ES"/>
        </w:rPr>
        <w:t>el problema jurídico de su consulta.</w:t>
      </w:r>
      <w:r w:rsidRPr="00944AEB">
        <w:rPr>
          <w:rFonts w:ascii="Verdana" w:eastAsia="Calibri" w:hAnsi="Verdana" w:cs="Arial"/>
          <w:lang w:eastAsia="es-ES"/>
        </w:rPr>
        <w:t xml:space="preserve">  </w:t>
      </w:r>
    </w:p>
    <w:p w14:paraId="5369FF76" w14:textId="77777777" w:rsidR="00225AC7" w:rsidRPr="00944AEB" w:rsidRDefault="00225AC7" w:rsidP="00225AC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44AEB">
        <w:rPr>
          <w:rFonts w:ascii="Verdana" w:eastAsia="Century Gothic" w:hAnsi="Verdana" w:cs="Century Gothic"/>
          <w:b/>
          <w:bCs/>
          <w:lang w:val="es-CO"/>
        </w:rPr>
        <w:t>Problema planteado:</w:t>
      </w:r>
    </w:p>
    <w:p w14:paraId="247A35C0" w14:textId="77777777" w:rsidR="00225AC7" w:rsidRPr="00944AEB" w:rsidRDefault="00225AC7" w:rsidP="00225AC7">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7F6CBF18" w14:textId="77777777" w:rsidR="00225AC7" w:rsidRDefault="00225AC7" w:rsidP="00225AC7">
      <w:pPr>
        <w:spacing w:after="0" w:line="276" w:lineRule="auto"/>
        <w:jc w:val="both"/>
        <w:rPr>
          <w:rFonts w:ascii="Verdana" w:eastAsia="Calibri" w:hAnsi="Verdana" w:cs="Arial"/>
          <w:color w:val="000000"/>
          <w:lang w:eastAsia="es-ES"/>
        </w:rPr>
      </w:pPr>
      <w:r w:rsidRPr="00322D64">
        <w:rPr>
          <w:rFonts w:ascii="Verdana" w:eastAsia="Calibri" w:hAnsi="Verdana" w:cs="Arial"/>
          <w:color w:val="000000"/>
          <w:lang w:eastAsia="es-ES"/>
        </w:rPr>
        <w:t>De acuerdo con el contenido de su solicitud, esta Agencia resolverá el siguiente problema jurídico: ¿Cuáles son las particularidades que permiten que una entidad pública identifique o no que un bien o servicio sea de características</w:t>
      </w:r>
      <w:r>
        <w:rPr>
          <w:rFonts w:ascii="Verdana" w:eastAsia="Calibri" w:hAnsi="Verdana" w:cs="Arial"/>
          <w:color w:val="000000"/>
          <w:lang w:eastAsia="es-ES"/>
        </w:rPr>
        <w:t xml:space="preserve"> técnicas uniformes y de común utilización y por ende deba utilizar alguna de las modalidades de selección contempladas en el artículo 2 de la Ley 1150 de 2007?</w:t>
      </w:r>
    </w:p>
    <w:p w14:paraId="09EBEC57" w14:textId="77777777" w:rsidR="00225AC7" w:rsidRDefault="00225AC7" w:rsidP="00225AC7">
      <w:pPr>
        <w:spacing w:after="0" w:line="240" w:lineRule="auto"/>
        <w:jc w:val="both"/>
        <w:rPr>
          <w:rFonts w:ascii="Verdana" w:eastAsia="Calibri" w:hAnsi="Verdana" w:cs="Arial"/>
          <w:color w:val="000000"/>
          <w:lang w:eastAsia="es-ES"/>
        </w:rPr>
      </w:pPr>
    </w:p>
    <w:p w14:paraId="3AD67962" w14:textId="77777777" w:rsidR="00225AC7" w:rsidRDefault="00225AC7" w:rsidP="00225AC7">
      <w:pPr>
        <w:spacing w:after="0" w:line="276" w:lineRule="auto"/>
        <w:jc w:val="both"/>
        <w:rPr>
          <w:rFonts w:ascii="Verdana" w:eastAsia="Century Gothic" w:hAnsi="Verdana" w:cs="Century Gothic"/>
          <w:b/>
          <w:bCs/>
        </w:rPr>
      </w:pPr>
      <w:r>
        <w:rPr>
          <w:rFonts w:ascii="Verdana" w:eastAsia="Century Gothic" w:hAnsi="Verdana" w:cs="Century Gothic"/>
          <w:b/>
          <w:bCs/>
        </w:rPr>
        <w:t>2</w:t>
      </w:r>
      <w:r w:rsidRPr="005644FE">
        <w:rPr>
          <w:rFonts w:ascii="Verdana" w:eastAsia="Century Gothic" w:hAnsi="Verdana" w:cs="Century Gothic"/>
          <w:b/>
          <w:bCs/>
        </w:rPr>
        <w:t>. Respuesta:</w:t>
      </w:r>
    </w:p>
    <w:p w14:paraId="50FB6BC8" w14:textId="77777777" w:rsidR="00225AC7" w:rsidRPr="005644FE" w:rsidRDefault="00225AC7" w:rsidP="00225AC7">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25AC7" w:rsidRPr="005644FE" w14:paraId="00D21DE9" w14:textId="77777777" w:rsidTr="007A1D3C">
        <w:tc>
          <w:tcPr>
            <w:tcW w:w="8828" w:type="dxa"/>
          </w:tcPr>
          <w:p w14:paraId="5862C6EC" w14:textId="77777777" w:rsidR="00225AC7" w:rsidRDefault="00225AC7" w:rsidP="007A1D3C">
            <w:pPr>
              <w:spacing w:after="120" w:line="276" w:lineRule="auto"/>
              <w:jc w:val="both"/>
              <w:rPr>
                <w:rFonts w:ascii="Verdana" w:eastAsia="Calibri" w:hAnsi="Verdana" w:cs="Arial"/>
                <w:bCs/>
                <w:lang w:val="es-MX" w:eastAsia="es-ES_tradnl"/>
              </w:rPr>
            </w:pPr>
            <w:r w:rsidRPr="00185EE9">
              <w:rPr>
                <w:rFonts w:ascii="Verdana" w:eastAsia="Calibri" w:hAnsi="Verdana" w:cs="Arial"/>
                <w:bCs/>
                <w:lang w:val="es-MX" w:eastAsia="es-ES_tradnl"/>
              </w:rPr>
              <w:t xml:space="preserve">Salvo norma especial que ordene la celebración del negocio jurídico por otra modalidad de selección, debe aplicarse la regla general de licitación pública. </w:t>
            </w:r>
            <w:r w:rsidRPr="00185EE9">
              <w:rPr>
                <w:rFonts w:ascii="Verdana" w:eastAsia="Calibri" w:hAnsi="Verdana" w:cs="Arial"/>
                <w:bCs/>
                <w:lang w:val="es-MX" w:eastAsia="es-ES_tradnl"/>
              </w:rPr>
              <w:lastRenderedPageBreak/>
              <w:t xml:space="preserve">Por ello, dependiendo del objeto o el valor de presupuesto oficial, es posible la aplicación de otros procedimientos contractuales. </w:t>
            </w:r>
          </w:p>
          <w:p w14:paraId="607641D2" w14:textId="77777777" w:rsidR="00225AC7" w:rsidRDefault="00225AC7" w:rsidP="007A1D3C">
            <w:pPr>
              <w:spacing w:after="120" w:line="276" w:lineRule="auto"/>
              <w:ind w:firstLine="708"/>
              <w:jc w:val="both"/>
              <w:rPr>
                <w:rFonts w:ascii="Verdana" w:eastAsia="Calibri" w:hAnsi="Verdana" w:cs="Arial"/>
              </w:rPr>
            </w:pPr>
            <w:r w:rsidRPr="00185EE9">
              <w:rPr>
                <w:rFonts w:ascii="Verdana" w:eastAsia="Calibri" w:hAnsi="Verdana" w:cs="Arial"/>
                <w:bCs/>
                <w:lang w:val="es-MX" w:eastAsia="es-ES_tradnl"/>
              </w:rPr>
              <w:t xml:space="preserve">Respecto a la selección abreviada, </w:t>
            </w:r>
            <w:r w:rsidRPr="00185EE9">
              <w:rPr>
                <w:rFonts w:ascii="Verdana" w:eastAsia="Calibri" w:hAnsi="Verdana" w:cs="Arial"/>
              </w:rPr>
              <w:t>el numeral 2 del artículo 2 de la Ley 1150 de 2007 dispone</w:t>
            </w:r>
            <w:r>
              <w:rPr>
                <w:rFonts w:ascii="Verdana" w:eastAsia="Calibri" w:hAnsi="Verdana" w:cs="Arial"/>
              </w:rPr>
              <w:t>:</w:t>
            </w:r>
            <w:r w:rsidRPr="00185EE9">
              <w:rPr>
                <w:rFonts w:ascii="Verdana" w:eastAsia="Calibri" w:hAnsi="Verdana" w:cs="Arial"/>
              </w:rPr>
              <w:t xml:space="preserve"> “</w:t>
            </w:r>
            <w:r>
              <w:rPr>
                <w:rFonts w:ascii="Verdana" w:eastAsia="Calibri" w:hAnsi="Verdana" w:cs="Arial"/>
              </w:rPr>
              <w:t xml:space="preserve">(…) </w:t>
            </w:r>
            <w:r w:rsidRPr="00185EE9">
              <w:rPr>
                <w:rFonts w:ascii="Verdana" w:eastAsia="Calibri" w:hAnsi="Verdana" w:cs="Arial"/>
              </w:rPr>
              <w:t xml:space="preserve">corresponde a la modalidad de selección objetiva prevista para aquellos casos en </w:t>
            </w:r>
            <w:proofErr w:type="gramStart"/>
            <w:r w:rsidRPr="00185EE9">
              <w:rPr>
                <w:rFonts w:ascii="Verdana" w:eastAsia="Calibri" w:hAnsi="Verdana" w:cs="Arial"/>
              </w:rPr>
              <w:t>que</w:t>
            </w:r>
            <w:proofErr w:type="gramEnd"/>
            <w:r w:rsidRPr="00185EE9">
              <w:rPr>
                <w:rFonts w:ascii="Verdana" w:eastAsia="Calibri" w:hAnsi="Verdana" w:cs="Arial"/>
                <w:color w:val="000000"/>
                <w:szCs w:val="24"/>
                <w:lang w:val="es-ES_tradnl" w:eastAsia="es-ES_tradnl"/>
              </w:rPr>
              <w:t xml:space="preserve"> </w:t>
            </w:r>
            <w:r w:rsidRPr="00185EE9">
              <w:rPr>
                <w:rFonts w:ascii="Verdana" w:eastAsia="Calibri" w:hAnsi="Verdana" w:cs="Arial"/>
              </w:rPr>
              <w:t>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p>
          <w:p w14:paraId="33C7F952" w14:textId="77777777" w:rsidR="00225AC7" w:rsidRDefault="00225AC7" w:rsidP="007A1D3C">
            <w:pPr>
              <w:spacing w:after="120" w:line="276" w:lineRule="auto"/>
              <w:ind w:firstLine="708"/>
              <w:jc w:val="both"/>
              <w:rPr>
                <w:rFonts w:ascii="Verdana" w:eastAsia="Calibri" w:hAnsi="Verdana" w:cs="Arial"/>
                <w:bCs/>
                <w:color w:val="000000" w:themeColor="text1"/>
              </w:rPr>
            </w:pPr>
            <w:r>
              <w:rPr>
                <w:rFonts w:ascii="Verdana" w:eastAsia="Calibri" w:hAnsi="Verdana" w:cs="Arial"/>
                <w:color w:val="000000"/>
                <w:szCs w:val="24"/>
                <w:lang w:eastAsia="es-ES_tradnl"/>
              </w:rPr>
              <w:t>E</w:t>
            </w:r>
            <w:r w:rsidRPr="00185EE9">
              <w:rPr>
                <w:rFonts w:ascii="Verdana" w:eastAsia="Calibri" w:hAnsi="Verdana" w:cs="Arial"/>
                <w:color w:val="000000"/>
                <w:szCs w:val="24"/>
                <w:lang w:val="es-ES_tradnl" w:eastAsia="es-ES_tradnl"/>
              </w:rPr>
              <w:t>l literal a) del artículo 2.2 de la Ley 1150 de 2007 regula la adquisición o suministro de bienes y servicios de características técnicas uniformes y de común utilización como causal de selección abreviada.</w:t>
            </w:r>
            <w:r>
              <w:rPr>
                <w:rFonts w:ascii="Verdana" w:eastAsia="Calibri" w:hAnsi="Verdana" w:cs="Arial"/>
                <w:color w:val="000000"/>
                <w:szCs w:val="24"/>
                <w:lang w:val="es-ES_tradnl" w:eastAsia="es-ES_tradnl"/>
              </w:rPr>
              <w:t xml:space="preserve"> </w:t>
            </w:r>
            <w:r w:rsidRPr="00185EE9">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185EE9">
              <w:rPr>
                <w:rFonts w:ascii="Verdana" w:eastAsia="Calibri" w:hAnsi="Verdana" w:cs="Arial"/>
                <w:bCs/>
                <w:i/>
                <w:iCs/>
                <w:color w:val="000000" w:themeColor="text1"/>
              </w:rPr>
              <w:t>común utilización</w:t>
            </w:r>
            <w:r w:rsidRPr="00185EE9">
              <w:rPr>
                <w:rFonts w:ascii="Verdana" w:eastAsia="Calibri" w:hAnsi="Verdana" w:cs="Arial"/>
                <w:bCs/>
                <w:color w:val="000000" w:themeColor="text1"/>
              </w:rPr>
              <w:t xml:space="preserve"> “</w:t>
            </w:r>
            <w:r>
              <w:rPr>
                <w:rFonts w:ascii="Verdana" w:eastAsia="Calibri" w:hAnsi="Verdana" w:cs="Arial"/>
                <w:bCs/>
                <w:color w:val="000000" w:themeColor="text1"/>
              </w:rPr>
              <w:t>(…)</w:t>
            </w:r>
            <w:r w:rsidRPr="00185EE9">
              <w:rPr>
                <w:rFonts w:ascii="Verdana" w:eastAsia="Calibri" w:hAnsi="Verdana" w:cs="Arial"/>
                <w:bCs/>
                <w:color w:val="000000" w:themeColor="text1"/>
              </w:rPr>
              <w:t xml:space="preserve"> busca que los bienes o servicios que se compren en esta categoría sean de los que se ofrecen en un mercado con un estándar para quienes los demandan, o lo que es igual, que la oferta de </w:t>
            </w:r>
            <w:proofErr w:type="gramStart"/>
            <w:r w:rsidRPr="00185EE9">
              <w:rPr>
                <w:rFonts w:ascii="Verdana" w:eastAsia="Calibri" w:hAnsi="Verdana" w:cs="Arial"/>
                <w:bCs/>
                <w:color w:val="000000" w:themeColor="text1"/>
              </w:rPr>
              <w:t>los mismos</w:t>
            </w:r>
            <w:proofErr w:type="gramEnd"/>
            <w:r w:rsidRPr="00185EE9">
              <w:rPr>
                <w:rFonts w:ascii="Verdana" w:eastAsia="Calibri" w:hAnsi="Verdana" w:cs="Arial"/>
                <w:bCs/>
                <w:color w:val="000000" w:themeColor="text1"/>
              </w:rPr>
              <w:t xml:space="preserve"> en el mercado ocurriese en condiciones equivalentes para todo interesado en adquirirlos”. Por su parte, la </w:t>
            </w:r>
            <w:r w:rsidRPr="00185EE9">
              <w:rPr>
                <w:rFonts w:ascii="Verdana" w:eastAsia="Calibri" w:hAnsi="Verdana" w:cs="Arial"/>
                <w:bCs/>
                <w:i/>
                <w:iCs/>
                <w:color w:val="000000" w:themeColor="text1"/>
              </w:rPr>
              <w:t>homogeneidad</w:t>
            </w:r>
            <w:r w:rsidRPr="00185EE9">
              <w:rPr>
                <w:rFonts w:ascii="Verdana" w:eastAsia="Calibri" w:hAnsi="Verdana" w:cs="Arial"/>
                <w:bCs/>
                <w:color w:val="000000" w:themeColor="text1"/>
              </w:rPr>
              <w:t xml:space="preserve"> se refiere a que “</w:t>
            </w:r>
            <w:r>
              <w:rPr>
                <w:rFonts w:ascii="Verdana" w:eastAsia="Calibri" w:hAnsi="Verdana" w:cs="Arial"/>
                <w:bCs/>
                <w:color w:val="000000" w:themeColor="text1"/>
              </w:rPr>
              <w:t xml:space="preserve">(…) </w:t>
            </w:r>
            <w:r w:rsidRPr="00185EE9">
              <w:rPr>
                <w:rFonts w:ascii="Verdana" w:eastAsia="Calibri" w:hAnsi="Verdana" w:cs="Arial"/>
                <w:bCs/>
                <w:color w:val="000000" w:themeColor="text1"/>
              </w:rPr>
              <w:t>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Pr>
                <w:rFonts w:ascii="Verdana" w:eastAsia="Calibri" w:hAnsi="Verdana" w:cs="Arial"/>
                <w:bCs/>
                <w:color w:val="000000" w:themeColor="text1"/>
              </w:rPr>
              <w:t>.</w:t>
            </w:r>
          </w:p>
          <w:p w14:paraId="19B48513" w14:textId="77777777" w:rsidR="00225AC7" w:rsidRPr="00A87E6E" w:rsidRDefault="00225AC7" w:rsidP="007A1D3C">
            <w:pPr>
              <w:spacing w:after="120" w:line="276" w:lineRule="auto"/>
              <w:ind w:firstLine="708"/>
              <w:jc w:val="both"/>
              <w:rPr>
                <w:rFonts w:ascii="Verdana" w:eastAsia="Calibri" w:hAnsi="Verdana" w:cs="Arial"/>
              </w:rPr>
            </w:pPr>
            <w:r w:rsidRPr="00185EE9">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w:t>
            </w:r>
            <w:r>
              <w:rPr>
                <w:rFonts w:ascii="Verdana" w:eastAsia="Calibri" w:hAnsi="Verdana" w:cs="Arial"/>
                <w:bCs/>
                <w:color w:val="000000" w:themeColor="text1"/>
              </w:rPr>
              <w:t>tanto</w:t>
            </w:r>
            <w:r w:rsidRPr="00185EE9">
              <w:rPr>
                <w:rFonts w:ascii="Verdana" w:eastAsia="Calibri" w:hAnsi="Verdana" w:cs="Arial"/>
                <w:bCs/>
                <w:color w:val="000000" w:themeColor="text1"/>
              </w:rPr>
              <w:t>, es posible adquirirlos en el mercado en condiciones estandarizadas u homogéneas, con independencia de su diseño o de sus características descriptivas, pues no afectan su funcionalidad.</w:t>
            </w:r>
          </w:p>
          <w:p w14:paraId="3D61EBEA" w14:textId="77777777" w:rsidR="00225AC7" w:rsidRDefault="00225AC7" w:rsidP="007A1D3C">
            <w:pPr>
              <w:spacing w:after="12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rPr>
              <w:t xml:space="preserve">Por otro lado, </w:t>
            </w:r>
            <w:r>
              <w:rPr>
                <w:rFonts w:ascii="Verdana" w:eastAsia="Calibri" w:hAnsi="Verdana" w:cs="Arial"/>
                <w:bCs/>
                <w:color w:val="000000" w:themeColor="text1"/>
                <w:lang w:val="es-ES"/>
              </w:rPr>
              <w:t>e</w:t>
            </w:r>
            <w:r w:rsidRPr="00FA1110">
              <w:rPr>
                <w:rFonts w:ascii="Verdana" w:eastAsia="Calibri" w:hAnsi="Verdana" w:cs="Arial"/>
                <w:bCs/>
                <w:color w:val="000000" w:themeColor="text1"/>
                <w:lang w:val="es-ES_tradnl"/>
              </w:rPr>
              <w:t xml:space="preserve">l artículo 54 de la Ley 2195 de 2022 adiciona el literal j) al numeral 2 del artículo 2 de la Ley 1150 de 2007, creando una nueva casual de selección abreviada. De esta manera, establece que, para la contratación </w:t>
            </w:r>
            <w:r w:rsidRPr="00FA1110">
              <w:rPr>
                <w:rFonts w:ascii="Verdana" w:eastAsia="Calibri" w:hAnsi="Verdana" w:cs="Arial"/>
                <w:bCs/>
                <w:color w:val="000000" w:themeColor="text1"/>
                <w:lang w:val="es-ES_tradnl"/>
              </w:rPr>
              <w:lastRenderedPageBreak/>
              <w:t xml:space="preserve">de bienes y servicios no uniformes de común utilización por parte de las entidades públicas, la Agencia Nacional de Contratación Pública –Colombia Compra Eficiente– podrá celebrar acuerdos marco de precios y demás instrumentos de agregación de demanda. En armonía con lo anterior, prescribe que estos acuerdos marco de precios serán de uso obligatorio para las entidades del Estado a las que se refiere el parágrafo 5 del artículo 2 de la </w:t>
            </w:r>
            <w:r>
              <w:rPr>
                <w:rFonts w:ascii="Verdana" w:eastAsia="Calibri" w:hAnsi="Verdana" w:cs="Arial"/>
                <w:bCs/>
                <w:color w:val="000000" w:themeColor="text1"/>
                <w:lang w:val="es-ES_tradnl"/>
              </w:rPr>
              <w:t>Ley 1150 de 2007, que fue modifi</w:t>
            </w:r>
            <w:r w:rsidRPr="00FA1110">
              <w:rPr>
                <w:rFonts w:ascii="Verdana" w:eastAsia="Calibri" w:hAnsi="Verdana" w:cs="Arial"/>
                <w:bCs/>
                <w:color w:val="000000" w:themeColor="text1"/>
                <w:lang w:val="es-ES_tradnl"/>
              </w:rPr>
              <w:t>cado por el artículo 41 de la Ley 1955 de 2019.</w:t>
            </w:r>
          </w:p>
          <w:p w14:paraId="70A44AD1" w14:textId="77777777" w:rsidR="00225AC7" w:rsidRPr="00A87E6E" w:rsidRDefault="00225AC7" w:rsidP="007A1D3C">
            <w:pPr>
              <w:spacing w:after="12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
              </w:rPr>
              <w:t xml:space="preserve">Se precisa pues, que los Acuerdos Marco de Precios como instrumentos de agregación de demanda se aplican de forma obligatoria con la condición de que esté un acuerdo marco vigente para la adquisición de bienes y servicios de características uniformes y servicios no uniformes de común utilización, de conformidad con lo dispuesto en el artículo </w:t>
            </w:r>
            <w:r w:rsidRPr="00A94D14">
              <w:rPr>
                <w:rFonts w:ascii="Verdana" w:eastAsia="Calibri" w:hAnsi="Verdana" w:cs="Arial"/>
                <w:bCs/>
                <w:color w:val="000000" w:themeColor="text1"/>
              </w:rPr>
              <w:t>2.2.1.2.1.2.7. del Decreto 1082 de 2015.</w:t>
            </w:r>
            <w:r>
              <w:rPr>
                <w:rFonts w:ascii="Verdana" w:eastAsia="Calibri" w:hAnsi="Verdana" w:cs="Arial"/>
                <w:bCs/>
                <w:color w:val="000000" w:themeColor="text1"/>
              </w:rPr>
              <w:t xml:space="preserve"> En tal sentido, el artículo 2.2.1.2.1.2.9. del Decreto 1082 de 2015 dispone: “(…) </w:t>
            </w:r>
            <w:r w:rsidRPr="00A94D14">
              <w:rPr>
                <w:rFonts w:ascii="Verdana" w:eastAsia="Calibri" w:hAnsi="Verdana" w:cs="Arial"/>
                <w:bCs/>
                <w:color w:val="000000" w:themeColor="text1"/>
              </w:rPr>
              <w:t>Colombia Compra Eficiente debe publicar el Catálogo para Acuerdos Marco de Precios, y la Entidad Estatal en la etapa de planeación del Proceso de Contratación está obligada a verificar si existe un Acuerdo Marco de Precios vigente con el cual la Entidad Estatal pueda satisfacer la necesidad identificada</w:t>
            </w:r>
            <w:r>
              <w:rPr>
                <w:rFonts w:ascii="Verdana" w:eastAsia="Calibri" w:hAnsi="Verdana" w:cs="Arial"/>
                <w:bCs/>
                <w:color w:val="000000" w:themeColor="text1"/>
              </w:rPr>
              <w:t xml:space="preserve"> (…)”</w:t>
            </w:r>
            <w:r w:rsidRPr="00A94D14">
              <w:rPr>
                <w:rFonts w:ascii="Verdana" w:eastAsia="Calibri" w:hAnsi="Verdana" w:cs="Arial"/>
                <w:bCs/>
                <w:color w:val="000000" w:themeColor="text1"/>
              </w:rPr>
              <w:t>.</w:t>
            </w:r>
          </w:p>
          <w:p w14:paraId="69D739D2" w14:textId="77777777" w:rsidR="00225AC7" w:rsidRPr="00A87E6E" w:rsidRDefault="00225AC7" w:rsidP="007A1D3C">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lang w:val="es-ES"/>
              </w:rPr>
              <w:t xml:space="preserve">En los eventos que no exista un Acuerdo Marco de Precios vigente debe acudirse a la modalidad de selección abreviada mediante subasta inversa o de procedimientos de adquisición en bolsa de productos, de acuerdo a lo dispuesto por el Decreto 1082 de 2015, cuando sea para la adquisición de bienes y servicios de características uniformes y común utilización; y de licitación pública por regla general o en su defecto selección abreviada </w:t>
            </w:r>
            <w:r w:rsidRPr="00853978">
              <w:rPr>
                <w:rFonts w:ascii="Verdana" w:eastAsia="Calibri" w:hAnsi="Verdana" w:cs="Arial"/>
                <w:bCs/>
                <w:color w:val="000000" w:themeColor="text1"/>
              </w:rPr>
              <w:t xml:space="preserve">de menor cuantía cuando </w:t>
            </w:r>
            <w:r>
              <w:rPr>
                <w:rFonts w:ascii="Verdana" w:eastAsia="Calibri" w:hAnsi="Verdana" w:cs="Arial"/>
                <w:bCs/>
                <w:color w:val="000000" w:themeColor="text1"/>
              </w:rPr>
              <w:t xml:space="preserve">se requiera contratar bienes o servicios no uniformes de común utilización </w:t>
            </w:r>
            <w:r w:rsidRPr="00853978">
              <w:rPr>
                <w:rFonts w:ascii="Verdana" w:eastAsia="Calibri" w:hAnsi="Verdana" w:cs="Arial"/>
                <w:bCs/>
                <w:color w:val="000000" w:themeColor="text1"/>
              </w:rPr>
              <w:t xml:space="preserve">por valores que se ubiquen dentro de la menor cuantía de la respectiva Entidad Estatal, </w:t>
            </w:r>
            <w:r>
              <w:rPr>
                <w:rFonts w:ascii="Verdana" w:eastAsia="Calibri" w:hAnsi="Verdana" w:cs="Arial"/>
                <w:bCs/>
                <w:color w:val="000000" w:themeColor="text1"/>
              </w:rPr>
              <w:t xml:space="preserve">teniendo en cuenta </w:t>
            </w:r>
            <w:r w:rsidRPr="00853978">
              <w:rPr>
                <w:rFonts w:ascii="Verdana" w:eastAsia="Calibri" w:hAnsi="Verdana" w:cs="Arial"/>
                <w:bCs/>
                <w:color w:val="000000" w:themeColor="text1"/>
              </w:rPr>
              <w:t xml:space="preserve">los rangos establecidos en el literal b) del numeral 2 del artículo 2 de la Ley 1150 de 2007. En </w:t>
            </w:r>
            <w:r>
              <w:rPr>
                <w:rFonts w:ascii="Verdana" w:eastAsia="Calibri" w:hAnsi="Verdana" w:cs="Arial"/>
                <w:bCs/>
                <w:color w:val="000000" w:themeColor="text1"/>
              </w:rPr>
              <w:t xml:space="preserve">la modalidad de selección abreviada de menor cuantía </w:t>
            </w:r>
            <w:r w:rsidRPr="00853978">
              <w:rPr>
                <w:rFonts w:ascii="Verdana" w:eastAsia="Calibri" w:hAnsi="Verdana" w:cs="Arial"/>
                <w:bCs/>
                <w:color w:val="000000" w:themeColor="text1"/>
              </w:rPr>
              <w:t xml:space="preserve">al igual que en la licitación, la oferta más favorable se determina de acuerdo con lo establecido en el numeral 2 del artículo 5 de la Ley 1150 de 2007, esto es, en atención a la mejor relación calidad-precio. </w:t>
            </w:r>
          </w:p>
        </w:tc>
      </w:tr>
    </w:tbl>
    <w:p w14:paraId="17D22759" w14:textId="77777777" w:rsidR="00225AC7" w:rsidRDefault="00225AC7" w:rsidP="00225AC7">
      <w:pPr>
        <w:tabs>
          <w:tab w:val="left" w:pos="142"/>
          <w:tab w:val="left" w:pos="284"/>
        </w:tabs>
        <w:spacing w:after="0" w:line="276" w:lineRule="auto"/>
        <w:jc w:val="both"/>
        <w:rPr>
          <w:rFonts w:ascii="Verdana" w:eastAsia="Century Gothic" w:hAnsi="Verdana" w:cs="Century Gothic"/>
          <w:b/>
          <w:bCs/>
        </w:rPr>
      </w:pPr>
    </w:p>
    <w:p w14:paraId="743C418B" w14:textId="77777777" w:rsidR="00225AC7" w:rsidRPr="005644FE" w:rsidRDefault="00225AC7" w:rsidP="00225AC7">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A036400" w14:textId="77777777" w:rsidR="00225AC7" w:rsidRDefault="00225AC7" w:rsidP="00225AC7">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lastRenderedPageBreak/>
        <w:t>Lo anterior se sustenta en las siguientes consideraciones:</w:t>
      </w:r>
    </w:p>
    <w:p w14:paraId="2F202C44" w14:textId="77777777" w:rsidR="00225AC7" w:rsidRDefault="00225AC7" w:rsidP="00225AC7">
      <w:pPr>
        <w:tabs>
          <w:tab w:val="left" w:pos="142"/>
          <w:tab w:val="left" w:pos="284"/>
        </w:tabs>
        <w:spacing w:after="0" w:line="240" w:lineRule="auto"/>
        <w:jc w:val="both"/>
        <w:rPr>
          <w:rFonts w:ascii="Verdana" w:eastAsia="Calibri" w:hAnsi="Verdana" w:cs="Arial"/>
        </w:rPr>
      </w:pPr>
    </w:p>
    <w:p w14:paraId="004F057F" w14:textId="77777777" w:rsidR="00225AC7" w:rsidRPr="00185EE9" w:rsidRDefault="00225AC7" w:rsidP="00225AC7">
      <w:pPr>
        <w:spacing w:after="120" w:line="276" w:lineRule="auto"/>
        <w:jc w:val="both"/>
        <w:rPr>
          <w:rFonts w:ascii="Verdana" w:eastAsia="Calibri" w:hAnsi="Verdana" w:cs="Arial"/>
          <w:bCs/>
          <w:lang w:val="es-MX" w:eastAsia="es-ES_tradnl"/>
        </w:rPr>
      </w:pPr>
      <w:r w:rsidRPr="00185EE9">
        <w:rPr>
          <w:rFonts w:ascii="Verdana" w:eastAsia="Calibri" w:hAnsi="Verdana" w:cs="Arial"/>
          <w:color w:val="000000"/>
          <w:szCs w:val="24"/>
          <w:lang w:val="es-ES_tradnl" w:eastAsia="es-ES_tradnl"/>
        </w:rPr>
        <w:t>P</w:t>
      </w:r>
      <w:r w:rsidRPr="00185EE9">
        <w:rPr>
          <w:rFonts w:ascii="Verdana" w:hAnsi="Verdana" w:cs="Arial"/>
          <w:lang w:val="es-ES"/>
        </w:rPr>
        <w:t xml:space="preserve">ara las entidades sometidas al Estatuto General de Contratación de la Administración Pública, los procesos de selección se rigen por </w:t>
      </w:r>
      <w:r w:rsidRPr="00185EE9">
        <w:rPr>
          <w:rFonts w:ascii="Verdana" w:hAnsi="Verdana" w:cs="Arial"/>
          <w:bCs/>
          <w:lang w:val="es-ES_tradnl"/>
        </w:rPr>
        <w:t>el artículo 2 de la Ley 1150 de 2007</w:t>
      </w:r>
      <w:r w:rsidRPr="00185EE9">
        <w:rPr>
          <w:rFonts w:ascii="Verdana" w:hAnsi="Verdana" w:cs="Arial"/>
          <w:lang w:val="es-ES"/>
        </w:rPr>
        <w:t xml:space="preserve">. El </w:t>
      </w:r>
      <w:r w:rsidRPr="00185EE9">
        <w:rPr>
          <w:rFonts w:ascii="Verdana" w:eastAsia="Calibri" w:hAnsi="Verdana" w:cs="Arial"/>
          <w:bCs/>
          <w:lang w:val="es-MX" w:eastAsia="es-ES_tradnl"/>
        </w:rPr>
        <w:t>numeral uno, inciso primero, de la norma citada</w:t>
      </w:r>
      <w:r w:rsidRPr="00185EE9">
        <w:rPr>
          <w:rFonts w:ascii="Verdana" w:hAnsi="Verdana" w:cs="Arial"/>
          <w:bCs/>
          <w:lang w:val="es-ES_tradnl"/>
        </w:rPr>
        <w:t xml:space="preserve"> </w:t>
      </w:r>
      <w:r w:rsidRPr="00185EE9">
        <w:rPr>
          <w:rFonts w:ascii="Verdana" w:eastAsia="Calibri" w:hAnsi="Verdana" w:cs="Arial"/>
          <w:bCs/>
          <w:lang w:val="es-MX" w:eastAsia="es-ES_tradnl"/>
        </w:rPr>
        <w:t xml:space="preserve">dispone que “La escogencia del contratista se efectuará por </w:t>
      </w:r>
      <w:r w:rsidRPr="00185EE9">
        <w:rPr>
          <w:rFonts w:ascii="Verdana" w:eastAsia="Calibri" w:hAnsi="Verdana" w:cs="Arial"/>
          <w:bCs/>
          <w:i/>
          <w:iCs/>
          <w:lang w:val="es-MX" w:eastAsia="es-ES_tradnl"/>
        </w:rPr>
        <w:t>regla general</w:t>
      </w:r>
      <w:r w:rsidRPr="00185EE9">
        <w:rPr>
          <w:rFonts w:ascii="Verdana" w:eastAsia="Calibri" w:hAnsi="Verdana" w:cs="Arial"/>
          <w:bCs/>
          <w:lang w:val="es-MX" w:eastAsia="es-ES_tradnl"/>
        </w:rPr>
        <w:t xml:space="preserve"> a través de licitación pública, con las </w:t>
      </w:r>
      <w:r w:rsidRPr="00185EE9">
        <w:rPr>
          <w:rFonts w:ascii="Verdana" w:eastAsia="Calibri" w:hAnsi="Verdana" w:cs="Arial"/>
          <w:bCs/>
          <w:i/>
          <w:iCs/>
          <w:lang w:val="es-MX" w:eastAsia="es-ES_tradnl"/>
        </w:rPr>
        <w:t>excepciones</w:t>
      </w:r>
      <w:r w:rsidRPr="00185EE9">
        <w:rPr>
          <w:rFonts w:ascii="Verdana" w:eastAsia="Calibri" w:hAnsi="Verdana" w:cs="Arial"/>
          <w:bCs/>
          <w:lang w:val="es-MX" w:eastAsia="es-ES_tradnl"/>
        </w:rPr>
        <w:t xml:space="preserve"> que se señalan en los numerales 2, 3 y 4 del presente artículo”, norma que sustituye el derogado numeral 1 del artículo 24 de la Ley 80 de 1993 sobre el principio de transparencia</w:t>
      </w:r>
      <w:r w:rsidRPr="00185EE9">
        <w:rPr>
          <w:rStyle w:val="Refdenotaalpie"/>
          <w:rFonts w:ascii="Verdana" w:eastAsia="Calibri" w:hAnsi="Verdana" w:cs="Arial"/>
          <w:bCs/>
          <w:lang w:val="es-MX" w:eastAsia="es-ES_tradnl"/>
        </w:rPr>
        <w:footnoteReference w:id="1"/>
      </w:r>
      <w:r w:rsidRPr="00185EE9">
        <w:rPr>
          <w:rFonts w:ascii="Verdana" w:eastAsia="Calibri" w:hAnsi="Verdana" w:cs="Arial"/>
          <w:bCs/>
          <w:lang w:val="es-MX" w:eastAsia="es-ES_tradnl"/>
        </w:rPr>
        <w:t xml:space="preserve">. </w:t>
      </w:r>
    </w:p>
    <w:p w14:paraId="729295FA" w14:textId="77777777" w:rsidR="00225AC7" w:rsidRPr="00185EE9" w:rsidRDefault="00225AC7" w:rsidP="00225AC7">
      <w:pPr>
        <w:spacing w:after="120" w:line="276" w:lineRule="auto"/>
        <w:ind w:firstLine="708"/>
        <w:jc w:val="both"/>
        <w:rPr>
          <w:rFonts w:ascii="Verdana" w:eastAsia="Calibri" w:hAnsi="Verdana" w:cs="Arial"/>
          <w:bCs/>
          <w:lang w:val="es-MX" w:eastAsia="es-ES_tradnl"/>
        </w:rPr>
      </w:pPr>
      <w:r w:rsidRPr="00185EE9">
        <w:rPr>
          <w:rFonts w:ascii="Verdana" w:eastAsia="Calibri" w:hAnsi="Verdana" w:cs="Arial"/>
          <w:bCs/>
          <w:lang w:val="es-MX" w:eastAsia="es-ES_tradnl"/>
        </w:rPr>
        <w:t>Salvo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7C90848A" w14:textId="77777777" w:rsidR="00225AC7" w:rsidRPr="00185EE9" w:rsidRDefault="00225AC7" w:rsidP="00225AC7">
      <w:pPr>
        <w:spacing w:after="120" w:line="276" w:lineRule="auto"/>
        <w:ind w:firstLine="708"/>
        <w:jc w:val="both"/>
        <w:rPr>
          <w:rFonts w:ascii="Verdana" w:eastAsia="Calibri" w:hAnsi="Verdana" w:cs="Arial"/>
        </w:rPr>
      </w:pPr>
      <w:r w:rsidRPr="00185EE9">
        <w:rPr>
          <w:rFonts w:ascii="Verdana" w:eastAsia="Calibri" w:hAnsi="Verdana" w:cs="Arial"/>
          <w:bCs/>
          <w:lang w:val="es-MX" w:eastAsia="es-ES_tradnl"/>
        </w:rPr>
        <w:t xml:space="preserve">Respecto a la selección abreviada, </w:t>
      </w:r>
      <w:r w:rsidRPr="00185EE9">
        <w:rPr>
          <w:rFonts w:ascii="Verdana" w:eastAsia="Calibri" w:hAnsi="Verdana" w:cs="Arial"/>
        </w:rPr>
        <w:t>el numeral 2 del artículo 2 de la Ley 1150 de 2007 dispone</w:t>
      </w:r>
      <w:r>
        <w:rPr>
          <w:rFonts w:ascii="Verdana" w:eastAsia="Calibri" w:hAnsi="Verdana" w:cs="Arial"/>
        </w:rPr>
        <w:t>:</w:t>
      </w:r>
      <w:r w:rsidRPr="00185EE9">
        <w:rPr>
          <w:rFonts w:ascii="Verdana" w:eastAsia="Calibri" w:hAnsi="Verdana" w:cs="Arial"/>
        </w:rPr>
        <w:t xml:space="preserve"> “</w:t>
      </w:r>
      <w:r>
        <w:rPr>
          <w:rFonts w:ascii="Verdana" w:eastAsia="Calibri" w:hAnsi="Verdana" w:cs="Arial"/>
        </w:rPr>
        <w:t xml:space="preserve">(…) </w:t>
      </w:r>
      <w:r w:rsidRPr="00185EE9">
        <w:rPr>
          <w:rFonts w:ascii="Verdana" w:eastAsia="Calibri" w:hAnsi="Verdana" w:cs="Arial"/>
        </w:rPr>
        <w:t>corresponde a la modalidad de selección objetiva prevista para aquellos casos en que</w:t>
      </w:r>
      <w:r>
        <w:rPr>
          <w:rStyle w:val="Refdenotaalpie"/>
          <w:rFonts w:ascii="Verdana" w:eastAsia="Calibri" w:hAnsi="Verdana" w:cs="Arial"/>
        </w:rPr>
        <w:footnoteReference w:id="2"/>
      </w:r>
      <w:r w:rsidRPr="00185EE9">
        <w:rPr>
          <w:rFonts w:ascii="Verdana" w:eastAsia="Calibri" w:hAnsi="Verdana" w:cs="Arial"/>
        </w:rPr>
        <w:t xml:space="preserve"> por las características del objeto a </w:t>
      </w:r>
      <w:r w:rsidRPr="00185EE9">
        <w:rPr>
          <w:rFonts w:ascii="Verdana" w:eastAsia="Calibri" w:hAnsi="Verdana" w:cs="Arial"/>
        </w:rPr>
        <w:lastRenderedPageBreak/>
        <w:t xml:space="preserve">contratar, las circunstancias de la contratación o la cuantía o destinación del bien, obra o servicio puedan adelantarse procesos simplificados para garantizar la eficiencia de la gestión contractual”, regulando cada una de las causales. </w:t>
      </w:r>
    </w:p>
    <w:p w14:paraId="4F399FF0" w14:textId="77777777" w:rsidR="00225AC7" w:rsidRPr="00185EE9" w:rsidRDefault="00225AC7" w:rsidP="00225AC7">
      <w:pPr>
        <w:spacing w:after="0" w:line="276" w:lineRule="auto"/>
        <w:ind w:firstLine="708"/>
        <w:jc w:val="both"/>
        <w:rPr>
          <w:rFonts w:ascii="Verdana" w:eastAsia="Calibri" w:hAnsi="Verdana" w:cs="Arial"/>
        </w:rPr>
      </w:pPr>
      <w:r w:rsidRPr="00185EE9">
        <w:rPr>
          <w:rFonts w:ascii="Verdana" w:eastAsia="Calibri" w:hAnsi="Verdana" w:cs="Arial"/>
        </w:rPr>
        <w:t>Se trata de un procedimiento que, conforme a la reglamentación que expida el Gobierno Nacional, agiliza la contratación estatal en los eventos en que no se justifica adelantar una licitación pública, pero tampoco limita la participación de los proponentes como en la contratación directa, de forma tal que es un mecanismo de selección objetiva que asegura una mayor concurrencia de participantes sin sacrificar los principios de eficacia y eficiencia en el proceso de selección. En la exposición de motivos se explica lo siguiente:</w:t>
      </w:r>
    </w:p>
    <w:p w14:paraId="70B99320" w14:textId="77777777" w:rsidR="00225AC7" w:rsidRPr="00044A5B" w:rsidRDefault="00225AC7" w:rsidP="00225AC7">
      <w:pPr>
        <w:spacing w:after="0" w:line="240" w:lineRule="auto"/>
        <w:jc w:val="both"/>
        <w:rPr>
          <w:rFonts w:ascii="Verdana" w:eastAsia="Calibri" w:hAnsi="Verdana" w:cs="Arial"/>
          <w:sz w:val="20"/>
          <w:szCs w:val="20"/>
        </w:rPr>
      </w:pPr>
    </w:p>
    <w:p w14:paraId="1A4E23C5" w14:textId="77777777" w:rsidR="00225AC7" w:rsidRPr="00D941FF" w:rsidRDefault="00225AC7" w:rsidP="00225AC7">
      <w:pPr>
        <w:spacing w:after="120" w:line="240" w:lineRule="auto"/>
        <w:ind w:left="709" w:right="709"/>
        <w:jc w:val="both"/>
        <w:rPr>
          <w:rFonts w:ascii="Verdana" w:eastAsia="Calibri" w:hAnsi="Verdana" w:cs="Arial"/>
          <w:sz w:val="20"/>
          <w:szCs w:val="20"/>
        </w:rPr>
      </w:pPr>
      <w:r w:rsidRPr="00D941FF">
        <w:rPr>
          <w:rFonts w:ascii="Verdana" w:eastAsia="Calibri" w:hAnsi="Verdana" w:cs="Arial"/>
          <w:sz w:val="20"/>
          <w:szCs w:val="20"/>
        </w:rPr>
        <w:t xml:space="preserve">“– Si bien la Licitación Pública sigue siendo la regla general, la misma pasa a reservarse para los procesos en los que la complejidad del objeto a contratar amerita la larga y cuidadosa ponderación de factores técnicos y económicos de las propuestas </w:t>
      </w:r>
      <w:r>
        <w:rPr>
          <w:rFonts w:ascii="Verdana" w:eastAsia="Calibri" w:hAnsi="Verdana" w:cs="Arial"/>
          <w:sz w:val="20"/>
          <w:szCs w:val="20"/>
        </w:rPr>
        <w:t>(…)</w:t>
      </w:r>
      <w:r w:rsidRPr="00D941FF">
        <w:rPr>
          <w:rFonts w:ascii="Verdana" w:eastAsia="Calibri" w:hAnsi="Verdana" w:cs="Arial"/>
          <w:sz w:val="20"/>
          <w:szCs w:val="20"/>
        </w:rPr>
        <w:t>.</w:t>
      </w:r>
    </w:p>
    <w:p w14:paraId="42BEFAD5" w14:textId="77777777" w:rsidR="00225AC7" w:rsidRPr="00D941FF" w:rsidRDefault="00225AC7" w:rsidP="00225AC7">
      <w:pPr>
        <w:spacing w:after="0" w:line="240" w:lineRule="auto"/>
        <w:ind w:left="709" w:right="709"/>
        <w:jc w:val="both"/>
        <w:rPr>
          <w:rFonts w:ascii="Verdana" w:eastAsia="Calibri" w:hAnsi="Verdana" w:cs="Arial"/>
          <w:sz w:val="20"/>
          <w:szCs w:val="20"/>
        </w:rPr>
      </w:pPr>
      <w:r w:rsidRPr="00D941FF">
        <w:rPr>
          <w:rFonts w:ascii="Verdana" w:eastAsia="Calibri" w:hAnsi="Verdana" w:cs="Arial"/>
          <w:sz w:val="20"/>
          <w:szCs w:val="20"/>
        </w:rPr>
        <w:t xml:space="preserve">– Se crea la llamada ‘selección abreviada’, para permitir la existencia de procedimientos de selección que, basados estrictamente en los principios cardinales de la contratación pública, permitan de manera ágil la adopción de decisiones de selección </w:t>
      </w:r>
      <w:r>
        <w:rPr>
          <w:rFonts w:ascii="Verdana" w:eastAsia="Calibri" w:hAnsi="Verdana" w:cs="Arial"/>
          <w:sz w:val="20"/>
          <w:szCs w:val="20"/>
        </w:rPr>
        <w:t>(…)</w:t>
      </w:r>
      <w:r w:rsidRPr="00D941FF">
        <w:rPr>
          <w:rFonts w:ascii="Verdana" w:eastAsia="Calibri" w:hAnsi="Verdana" w:cs="Arial"/>
          <w:sz w:val="20"/>
          <w:szCs w:val="20"/>
        </w:rPr>
        <w:t>”</w:t>
      </w:r>
      <w:r w:rsidRPr="00D941FF">
        <w:rPr>
          <w:rStyle w:val="Refdenotaalpie"/>
          <w:rFonts w:ascii="Verdana" w:eastAsia="Calibri" w:hAnsi="Verdana" w:cs="Arial"/>
          <w:sz w:val="20"/>
          <w:szCs w:val="20"/>
        </w:rPr>
        <w:footnoteReference w:id="3"/>
      </w:r>
      <w:r w:rsidRPr="00D941FF">
        <w:rPr>
          <w:rFonts w:ascii="Verdana" w:eastAsia="Calibri" w:hAnsi="Verdana" w:cs="Arial"/>
          <w:sz w:val="20"/>
          <w:szCs w:val="20"/>
        </w:rPr>
        <w:t>.</w:t>
      </w:r>
    </w:p>
    <w:p w14:paraId="33A9950C" w14:textId="77777777" w:rsidR="00225AC7" w:rsidRPr="00D941FF" w:rsidRDefault="00225AC7" w:rsidP="00225AC7">
      <w:pPr>
        <w:spacing w:after="0" w:line="240" w:lineRule="auto"/>
        <w:ind w:left="709" w:right="709"/>
        <w:jc w:val="both"/>
        <w:rPr>
          <w:rFonts w:ascii="Verdana" w:eastAsia="Calibri" w:hAnsi="Verdana" w:cs="Arial"/>
          <w:sz w:val="20"/>
          <w:szCs w:val="20"/>
        </w:rPr>
      </w:pPr>
    </w:p>
    <w:p w14:paraId="0BC7B4C5" w14:textId="77777777" w:rsidR="00225AC7" w:rsidRPr="00185EE9" w:rsidRDefault="00225AC7" w:rsidP="00225AC7">
      <w:pPr>
        <w:spacing w:after="120" w:line="276" w:lineRule="auto"/>
        <w:ind w:firstLine="709"/>
        <w:jc w:val="both"/>
        <w:rPr>
          <w:rFonts w:ascii="Verdana" w:eastAsia="Calibri" w:hAnsi="Verdana" w:cs="Arial"/>
        </w:rPr>
      </w:pPr>
      <w:r w:rsidRPr="00185EE9">
        <w:rPr>
          <w:rFonts w:ascii="Verdana" w:eastAsia="Calibri" w:hAnsi="Verdana" w:cs="Arial"/>
        </w:rPr>
        <w:lastRenderedPageBreak/>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185EE9">
        <w:rPr>
          <w:rStyle w:val="Refdenotaalpie"/>
          <w:rFonts w:ascii="Verdana" w:eastAsia="Calibri" w:hAnsi="Verdana" w:cs="Arial"/>
        </w:rPr>
        <w:footnoteReference w:id="4"/>
      </w:r>
      <w:r w:rsidRPr="00185EE9">
        <w:rPr>
          <w:rFonts w:ascii="Verdana" w:eastAsia="Calibri" w:hAnsi="Verdana" w:cs="Arial"/>
        </w:rPr>
        <w:t xml:space="preserve">. </w:t>
      </w:r>
    </w:p>
    <w:p w14:paraId="076EA104" w14:textId="77777777" w:rsidR="00225AC7" w:rsidRPr="00185EE9" w:rsidRDefault="00225AC7" w:rsidP="00225AC7">
      <w:pPr>
        <w:spacing w:after="120" w:line="276" w:lineRule="auto"/>
        <w:ind w:firstLine="709"/>
        <w:jc w:val="both"/>
        <w:rPr>
          <w:rFonts w:ascii="Verdana" w:eastAsia="Calibri" w:hAnsi="Verdana" w:cs="Arial"/>
          <w:color w:val="000000"/>
          <w:szCs w:val="24"/>
          <w:lang w:val="es-ES_tradnl" w:eastAsia="es-ES_tradnl"/>
        </w:rPr>
      </w:pPr>
      <w:r w:rsidRPr="00185EE9">
        <w:rPr>
          <w:rFonts w:ascii="Verdana" w:eastAsia="Calibri" w:hAnsi="Verdana" w:cs="Arial"/>
          <w:color w:val="000000"/>
          <w:szCs w:val="24"/>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185EE9">
        <w:rPr>
          <w:rFonts w:ascii="Verdana" w:eastAsia="Calibri" w:hAnsi="Verdana" w:cs="Arial"/>
          <w:bCs/>
          <w:color w:val="000000" w:themeColor="text1"/>
        </w:rPr>
        <w:t>el artículo 28 del Código Civil dispone</w:t>
      </w:r>
      <w:r>
        <w:rPr>
          <w:rFonts w:ascii="Verdana" w:eastAsia="Calibri" w:hAnsi="Verdana" w:cs="Arial"/>
          <w:bCs/>
          <w:color w:val="000000" w:themeColor="text1"/>
        </w:rPr>
        <w:t>:</w:t>
      </w:r>
      <w:r w:rsidRPr="00185EE9">
        <w:rPr>
          <w:rFonts w:ascii="Verdana" w:eastAsia="Calibri" w:hAnsi="Verdana" w:cs="Arial"/>
          <w:bCs/>
          <w:color w:val="000000" w:themeColor="text1"/>
        </w:rPr>
        <w:t xml:space="preserv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185EE9">
        <w:rPr>
          <w:rFonts w:ascii="Verdana" w:eastAsia="Calibri" w:hAnsi="Verdana" w:cs="Arial"/>
          <w:bCs/>
          <w:i/>
          <w:iCs/>
          <w:color w:val="000000" w:themeColor="text1"/>
        </w:rPr>
        <w:t>ibidem</w:t>
      </w:r>
      <w:r w:rsidRPr="00185EE9">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185EE9">
        <w:rPr>
          <w:rStyle w:val="Refdenotaalpie"/>
          <w:rFonts w:ascii="Verdana" w:eastAsia="Calibri" w:hAnsi="Verdana" w:cs="Arial"/>
          <w:bCs/>
          <w:color w:val="000000" w:themeColor="text1"/>
        </w:rPr>
        <w:footnoteReference w:id="5"/>
      </w:r>
      <w:r w:rsidRPr="00185EE9">
        <w:rPr>
          <w:rFonts w:ascii="Verdana" w:eastAsia="Calibri" w:hAnsi="Verdana" w:cs="Arial"/>
          <w:bCs/>
          <w:color w:val="000000" w:themeColor="text1"/>
        </w:rPr>
        <w:t xml:space="preserve">. </w:t>
      </w:r>
    </w:p>
    <w:p w14:paraId="3A23D9D0" w14:textId="77777777" w:rsidR="00225AC7" w:rsidRPr="00185EE9" w:rsidRDefault="00225AC7" w:rsidP="00225AC7">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Por ello, según el literal a) del artículo 2, numeral 2 de la Ley 1150 de 2007, los bienes y servicios de características técnicas uniformes “</w:t>
      </w:r>
      <w:r>
        <w:rPr>
          <w:rFonts w:ascii="Verdana" w:eastAsia="Calibri" w:hAnsi="Verdana" w:cs="Arial"/>
          <w:bCs/>
          <w:color w:val="000000" w:themeColor="text1"/>
        </w:rPr>
        <w:t xml:space="preserve">(…) </w:t>
      </w:r>
      <w:r w:rsidRPr="00185EE9">
        <w:rPr>
          <w:rFonts w:ascii="Verdana" w:eastAsia="Calibri" w:hAnsi="Verdana" w:cs="Arial"/>
          <w:bCs/>
          <w:color w:val="000000" w:themeColor="text1"/>
        </w:rPr>
        <w:t xml:space="preserve">corresponden a aquellos que poseen las mismas especificaciones técnicas, con independencia de su diseño o de sus características descriptivas, y comparten </w:t>
      </w:r>
      <w:r w:rsidRPr="00185EE9">
        <w:rPr>
          <w:rFonts w:ascii="Verdana" w:eastAsia="Calibri" w:hAnsi="Verdana" w:cs="Arial"/>
          <w:bCs/>
          <w:color w:val="000000" w:themeColor="text1"/>
        </w:rPr>
        <w:lastRenderedPageBreak/>
        <w:t xml:space="preserve">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0C67E5B8" w14:textId="77777777" w:rsidR="00225AC7" w:rsidRPr="00185EE9" w:rsidRDefault="00225AC7" w:rsidP="00225AC7">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185EE9">
        <w:rPr>
          <w:rFonts w:ascii="Verdana" w:eastAsia="Calibri" w:hAnsi="Verdana" w:cs="Arial"/>
          <w:bCs/>
          <w:i/>
          <w:iCs/>
          <w:color w:val="000000" w:themeColor="text1"/>
        </w:rPr>
        <w:t>común utilización</w:t>
      </w:r>
      <w:r w:rsidRPr="00185EE9">
        <w:rPr>
          <w:rFonts w:ascii="Verdana" w:eastAsia="Calibri" w:hAnsi="Verdana" w:cs="Arial"/>
          <w:bCs/>
          <w:color w:val="000000" w:themeColor="text1"/>
        </w:rPr>
        <w:t xml:space="preserve"> “</w:t>
      </w:r>
      <w:r>
        <w:rPr>
          <w:rFonts w:ascii="Verdana" w:eastAsia="Calibri" w:hAnsi="Verdana" w:cs="Arial"/>
          <w:bCs/>
          <w:color w:val="000000" w:themeColor="text1"/>
        </w:rPr>
        <w:t>(…)</w:t>
      </w:r>
      <w:r w:rsidRPr="00185EE9">
        <w:rPr>
          <w:rFonts w:ascii="Verdana" w:eastAsia="Calibri" w:hAnsi="Verdana" w:cs="Arial"/>
          <w:bCs/>
          <w:color w:val="000000" w:themeColor="text1"/>
        </w:rPr>
        <w:t xml:space="preserve"> busca que los bienes o servicios que se compren en esta categoría sean de los que se ofrecen en un mercado con un estándar para quienes los demandan, o lo que es igual, que la oferta de </w:t>
      </w:r>
      <w:proofErr w:type="gramStart"/>
      <w:r w:rsidRPr="00185EE9">
        <w:rPr>
          <w:rFonts w:ascii="Verdana" w:eastAsia="Calibri" w:hAnsi="Verdana" w:cs="Arial"/>
          <w:bCs/>
          <w:color w:val="000000" w:themeColor="text1"/>
        </w:rPr>
        <w:t>los mismos</w:t>
      </w:r>
      <w:proofErr w:type="gramEnd"/>
      <w:r w:rsidRPr="00185EE9">
        <w:rPr>
          <w:rFonts w:ascii="Verdana" w:eastAsia="Calibri" w:hAnsi="Verdana" w:cs="Arial"/>
          <w:bCs/>
          <w:color w:val="000000" w:themeColor="text1"/>
        </w:rPr>
        <w:t xml:space="preserve"> en el mercado ocurriese en condiciones equivalentes para todo interesado en adquirirlos”</w:t>
      </w:r>
      <w:r w:rsidRPr="00185EE9">
        <w:rPr>
          <w:rStyle w:val="Refdenotaalpie"/>
          <w:rFonts w:ascii="Verdana" w:eastAsia="Calibri" w:hAnsi="Verdana" w:cs="Arial"/>
          <w:bCs/>
          <w:color w:val="000000" w:themeColor="text1"/>
        </w:rPr>
        <w:footnoteReference w:id="6"/>
      </w:r>
      <w:r w:rsidRPr="00185EE9">
        <w:rPr>
          <w:rFonts w:ascii="Verdana" w:eastAsia="Calibri" w:hAnsi="Verdana" w:cs="Arial"/>
          <w:bCs/>
          <w:color w:val="000000" w:themeColor="text1"/>
        </w:rPr>
        <w:t xml:space="preserve">. Por su parte, la </w:t>
      </w:r>
      <w:r w:rsidRPr="00185EE9">
        <w:rPr>
          <w:rFonts w:ascii="Verdana" w:eastAsia="Calibri" w:hAnsi="Verdana" w:cs="Arial"/>
          <w:bCs/>
          <w:i/>
          <w:iCs/>
          <w:color w:val="000000" w:themeColor="text1"/>
        </w:rPr>
        <w:t>homogeneidad</w:t>
      </w:r>
      <w:r w:rsidRPr="00185EE9">
        <w:rPr>
          <w:rFonts w:ascii="Verdana" w:eastAsia="Calibri" w:hAnsi="Verdana" w:cs="Arial"/>
          <w:bCs/>
          <w:color w:val="000000" w:themeColor="text1"/>
        </w:rPr>
        <w:t xml:space="preserve"> se refiere a que “</w:t>
      </w:r>
      <w:r>
        <w:rPr>
          <w:rFonts w:ascii="Verdana" w:eastAsia="Calibri" w:hAnsi="Verdana" w:cs="Arial"/>
          <w:bCs/>
          <w:color w:val="000000" w:themeColor="text1"/>
        </w:rPr>
        <w:t xml:space="preserve">(…) </w:t>
      </w:r>
      <w:r w:rsidRPr="00185EE9">
        <w:rPr>
          <w:rFonts w:ascii="Verdana" w:eastAsia="Calibri" w:hAnsi="Verdana" w:cs="Arial"/>
          <w:bCs/>
          <w:color w:val="000000" w:themeColor="text1"/>
        </w:rPr>
        <w:t>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185EE9">
        <w:rPr>
          <w:rStyle w:val="Refdenotaalpie"/>
          <w:rFonts w:ascii="Verdana" w:eastAsia="Calibri" w:hAnsi="Verdana" w:cs="Arial"/>
          <w:bCs/>
          <w:color w:val="000000" w:themeColor="text1"/>
        </w:rPr>
        <w:footnoteReference w:id="7"/>
      </w:r>
      <w:r w:rsidRPr="00185EE9">
        <w:rPr>
          <w:rFonts w:ascii="Verdana" w:eastAsia="Calibri" w:hAnsi="Verdana" w:cs="Arial"/>
          <w:bCs/>
          <w:color w:val="000000" w:themeColor="text1"/>
        </w:rPr>
        <w:t>.</w:t>
      </w:r>
    </w:p>
    <w:p w14:paraId="08E47F91" w14:textId="77777777" w:rsidR="00225AC7" w:rsidRPr="00185EE9" w:rsidRDefault="00225AC7" w:rsidP="00225AC7">
      <w:pPr>
        <w:spacing w:after="0" w:line="276" w:lineRule="auto"/>
        <w:ind w:firstLine="708"/>
        <w:jc w:val="both"/>
        <w:rPr>
          <w:rFonts w:ascii="Verdana" w:eastAsia="Calibri" w:hAnsi="Verdana" w:cs="Arial"/>
        </w:rPr>
      </w:pPr>
      <w:r w:rsidRPr="00185EE9">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w:t>
      </w:r>
      <w:r>
        <w:rPr>
          <w:rFonts w:ascii="Verdana" w:eastAsia="Calibri" w:hAnsi="Verdana" w:cs="Arial"/>
          <w:bCs/>
          <w:color w:val="000000" w:themeColor="text1"/>
        </w:rPr>
        <w:t>tanto</w:t>
      </w:r>
      <w:r w:rsidRPr="00185EE9">
        <w:rPr>
          <w:rFonts w:ascii="Verdana" w:eastAsia="Calibri" w:hAnsi="Verdana" w:cs="Arial"/>
          <w:bCs/>
          <w:color w:val="000000" w:themeColor="text1"/>
        </w:rPr>
        <w:t xml:space="preserve">, es posible adquirirlos en el mercado en condiciones estandarizadas u homogéneas, con independencia de su diseño o de sus características descriptivas, pues no afectan su funcionalidad. La forma cómo se adquieren en el mercado determina si un bien o servicio encaja en esta categoría, de ahí que el Decreto 1082 de 2015 </w:t>
      </w:r>
      <w:r>
        <w:rPr>
          <w:rFonts w:ascii="Verdana" w:eastAsia="Calibri" w:hAnsi="Verdana" w:cs="Arial"/>
          <w:bCs/>
          <w:color w:val="000000" w:themeColor="text1"/>
        </w:rPr>
        <w:t>prescribe:</w:t>
      </w:r>
      <w:r w:rsidRPr="00185EE9">
        <w:rPr>
          <w:rFonts w:ascii="Verdana" w:eastAsia="Calibri" w:hAnsi="Verdana" w:cs="Arial"/>
          <w:bCs/>
          <w:color w:val="000000" w:themeColor="text1"/>
        </w:rPr>
        <w:t xml:space="preserve"> “</w:t>
      </w:r>
      <w:r>
        <w:rPr>
          <w:rFonts w:ascii="Verdana" w:eastAsia="Calibri" w:hAnsi="Verdana" w:cs="Arial"/>
          <w:bCs/>
          <w:color w:val="000000" w:themeColor="text1"/>
        </w:rPr>
        <w:t>(…)</w:t>
      </w:r>
      <w:r w:rsidRPr="00185EE9">
        <w:rPr>
          <w:rFonts w:ascii="Verdana" w:eastAsia="Calibri" w:hAnsi="Verdana" w:cs="Arial"/>
          <w:bCs/>
          <w:color w:val="000000" w:themeColor="text1"/>
        </w:rPr>
        <w:t xml:space="preserve"> pueden ser agrupados como bienes y servicios homogéneos para su adquisición </w:t>
      </w:r>
      <w:r>
        <w:rPr>
          <w:rFonts w:ascii="Verdana" w:eastAsia="Calibri" w:hAnsi="Verdana" w:cs="Arial"/>
          <w:bCs/>
          <w:color w:val="000000" w:themeColor="text1"/>
        </w:rPr>
        <w:t>(…)”</w:t>
      </w:r>
      <w:r w:rsidRPr="00185EE9">
        <w:rPr>
          <w:rFonts w:ascii="Verdana" w:eastAsia="Calibri" w:hAnsi="Verdana" w:cs="Arial"/>
          <w:bCs/>
          <w:color w:val="000000" w:themeColor="text1"/>
        </w:rPr>
        <w:t xml:space="preserve">, dado que cuentan con especificaciones técnicas y patrones de desempeño y calidad similares. Al respecto, la exposición de motivos de la Ley 1150 de 2007 explica que: </w:t>
      </w:r>
    </w:p>
    <w:p w14:paraId="40FE883C" w14:textId="77777777" w:rsidR="00225AC7" w:rsidRPr="00904F85" w:rsidRDefault="00225AC7" w:rsidP="00225AC7">
      <w:pPr>
        <w:spacing w:after="0" w:line="240" w:lineRule="auto"/>
        <w:ind w:left="709" w:right="709"/>
        <w:jc w:val="both"/>
        <w:rPr>
          <w:rFonts w:ascii="Verdana" w:eastAsia="Calibri" w:hAnsi="Verdana" w:cs="Arial"/>
          <w:sz w:val="20"/>
          <w:szCs w:val="20"/>
        </w:rPr>
      </w:pPr>
      <w:r w:rsidRPr="00904F85">
        <w:rPr>
          <w:rFonts w:ascii="Verdana" w:eastAsia="Calibri" w:hAnsi="Verdana" w:cs="Arial"/>
          <w:sz w:val="20"/>
          <w:szCs w:val="20"/>
        </w:rPr>
        <w:lastRenderedPageBreak/>
        <w:t>“</w:t>
      </w:r>
      <w:r>
        <w:rPr>
          <w:rFonts w:ascii="Verdana" w:eastAsia="Calibri" w:hAnsi="Verdana" w:cs="Arial"/>
          <w:sz w:val="20"/>
          <w:szCs w:val="20"/>
        </w:rPr>
        <w:t>(…)</w:t>
      </w:r>
      <w:r w:rsidRPr="00904F85">
        <w:rPr>
          <w:rFonts w:ascii="Verdana" w:eastAsia="Calibri" w:hAnsi="Verdana" w:cs="Arial"/>
          <w:sz w:val="20"/>
          <w:szCs w:val="20"/>
        </w:rPr>
        <w:t xml:space="preserve"> las innovaciones del proceso de selección abreviada empiezan por una medida trascendental, para llevar a sólo horas los contratos referidos a la adquisición de bienes de ‘características técnicas uniformes y de común utilización’ </w:t>
      </w:r>
      <w:proofErr w:type="gramStart"/>
      <w:r w:rsidRPr="00904F85">
        <w:rPr>
          <w:rFonts w:ascii="Verdana" w:eastAsia="Calibri" w:hAnsi="Verdana" w:cs="Arial"/>
          <w:sz w:val="20"/>
          <w:szCs w:val="20"/>
        </w:rPr>
        <w:t>que</w:t>
      </w:r>
      <w:proofErr w:type="gramEnd"/>
      <w:r w:rsidRPr="00904F85">
        <w:rPr>
          <w:rFonts w:ascii="Verdana" w:eastAsia="Calibri" w:hAnsi="Verdana" w:cs="Arial"/>
          <w:sz w:val="20"/>
          <w:szCs w:val="20"/>
        </w:rPr>
        <w:t xml:space="preserve"> según cálculos del Departamento Nacional de Planeación, corresponden a más del 80% en número de contratos. </w:t>
      </w:r>
      <w:r w:rsidRPr="00904F85">
        <w:rPr>
          <w:rFonts w:ascii="Verdana" w:eastAsia="Calibri" w:hAnsi="Verdana" w:cs="Arial"/>
          <w:i/>
          <w:iCs/>
          <w:sz w:val="20"/>
          <w:szCs w:val="20"/>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904F85">
        <w:rPr>
          <w:rFonts w:ascii="Verdana" w:eastAsia="Calibri" w:hAnsi="Verdana" w:cs="Arial"/>
          <w:sz w:val="20"/>
          <w:szCs w:val="20"/>
        </w:rPr>
        <w:t xml:space="preserve"> </w:t>
      </w:r>
      <w:r>
        <w:rPr>
          <w:rFonts w:ascii="Verdana" w:eastAsia="Calibri" w:hAnsi="Verdana" w:cs="Arial"/>
          <w:sz w:val="20"/>
          <w:szCs w:val="20"/>
        </w:rPr>
        <w:t>(…)</w:t>
      </w:r>
      <w:r w:rsidRPr="00904F85">
        <w:rPr>
          <w:rFonts w:ascii="Verdana" w:eastAsia="Calibri" w:hAnsi="Verdana" w:cs="Arial"/>
          <w:sz w:val="20"/>
          <w:szCs w:val="20"/>
        </w:rPr>
        <w:t>”</w:t>
      </w:r>
      <w:r w:rsidRPr="00904F85">
        <w:rPr>
          <w:rStyle w:val="Refdenotaalpie"/>
          <w:rFonts w:ascii="Verdana" w:eastAsia="Calibri" w:hAnsi="Verdana" w:cs="Arial"/>
          <w:sz w:val="20"/>
          <w:szCs w:val="20"/>
        </w:rPr>
        <w:footnoteReference w:id="8"/>
      </w:r>
      <w:r w:rsidRPr="00904F85">
        <w:rPr>
          <w:rFonts w:ascii="Verdana" w:eastAsia="Calibri" w:hAnsi="Verdana" w:cs="Arial"/>
          <w:sz w:val="20"/>
          <w:szCs w:val="20"/>
        </w:rPr>
        <w:t>. (Énfasis fuera de texto)</w:t>
      </w:r>
    </w:p>
    <w:p w14:paraId="7FBD463A" w14:textId="77777777" w:rsidR="00225AC7" w:rsidRPr="00185EE9" w:rsidRDefault="00225AC7" w:rsidP="00225AC7">
      <w:pPr>
        <w:spacing w:after="0" w:line="276" w:lineRule="auto"/>
        <w:jc w:val="both"/>
        <w:rPr>
          <w:rFonts w:ascii="Verdana" w:eastAsia="Calibri" w:hAnsi="Verdana" w:cs="Arial"/>
        </w:rPr>
      </w:pPr>
    </w:p>
    <w:p w14:paraId="1B3C1682" w14:textId="77777777" w:rsidR="00225AC7" w:rsidRPr="00185EE9" w:rsidRDefault="00225AC7" w:rsidP="00225AC7">
      <w:pPr>
        <w:spacing w:after="120" w:line="276" w:lineRule="auto"/>
        <w:ind w:firstLine="709"/>
        <w:jc w:val="both"/>
        <w:rPr>
          <w:rFonts w:ascii="Verdana" w:eastAsia="Calibri" w:hAnsi="Verdana" w:cs="Arial"/>
        </w:rPr>
      </w:pPr>
      <w:r w:rsidRPr="00185EE9">
        <w:rPr>
          <w:rFonts w:ascii="Verdana" w:eastAsia="Calibri" w:hAnsi="Verdana" w:cs="Arial"/>
        </w:rPr>
        <w:t xml:space="preserve">En este contexto, la doctrina identifica como bienes o servicios de características </w:t>
      </w:r>
      <w:proofErr w:type="gramStart"/>
      <w:r w:rsidRPr="00185EE9">
        <w:rPr>
          <w:rFonts w:ascii="Verdana" w:eastAsia="Calibri" w:hAnsi="Verdana" w:cs="Arial"/>
        </w:rPr>
        <w:t>técnicas</w:t>
      </w:r>
      <w:proofErr w:type="gramEnd"/>
      <w:r w:rsidRPr="00185EE9">
        <w:rPr>
          <w:rFonts w:ascii="Verdana" w:eastAsia="Calibri" w:hAnsi="Verdana" w:cs="Arial"/>
        </w:rPr>
        <w:t xml:space="preserve"> </w:t>
      </w:r>
      <w:r>
        <w:rPr>
          <w:rFonts w:ascii="Verdana" w:eastAsia="Calibri" w:hAnsi="Verdana" w:cs="Arial"/>
        </w:rPr>
        <w:t xml:space="preserve">por ejemplo, </w:t>
      </w:r>
      <w:r w:rsidRPr="00185EE9">
        <w:rPr>
          <w:rFonts w:ascii="Verdana" w:eastAsia="Calibri" w:hAnsi="Verdana" w:cs="Arial"/>
        </w:rPr>
        <w:t>los insumos de oficina –bolígrafos,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w:t>
      </w:r>
      <w:r>
        <w:rPr>
          <w:rFonts w:ascii="Verdana" w:eastAsia="Calibri" w:hAnsi="Verdana" w:cs="Arial"/>
        </w:rPr>
        <w:t>ntre otros</w:t>
      </w:r>
      <w:r w:rsidRPr="00185EE9">
        <w:rPr>
          <w:rFonts w:ascii="Verdana" w:eastAsia="Calibri" w:hAnsi="Verdana" w:cs="Arial"/>
        </w:rPr>
        <w:t>.</w:t>
      </w:r>
      <w:r w:rsidRPr="00185EE9">
        <w:rPr>
          <w:rStyle w:val="Refdenotaalpie"/>
          <w:rFonts w:ascii="Verdana" w:eastAsia="Calibri" w:hAnsi="Verdana" w:cs="Arial"/>
        </w:rPr>
        <w:footnoteReference w:id="9"/>
      </w:r>
    </w:p>
    <w:p w14:paraId="6B384161" w14:textId="77777777" w:rsidR="00225AC7" w:rsidRDefault="00225AC7" w:rsidP="00225AC7">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 numeral 2 de la Ley 1150 de 2007 dis</w:t>
      </w:r>
      <w:r>
        <w:rPr>
          <w:rFonts w:ascii="Verdana" w:eastAsia="Calibri" w:hAnsi="Verdana" w:cs="Arial"/>
          <w:bCs/>
          <w:color w:val="000000" w:themeColor="text1"/>
        </w:rPr>
        <w:t xml:space="preserve">pone: </w:t>
      </w:r>
      <w:r w:rsidRPr="00185EE9">
        <w:rPr>
          <w:rFonts w:ascii="Verdana" w:eastAsia="Calibri" w:hAnsi="Verdana" w:cs="Arial"/>
          <w:bCs/>
          <w:color w:val="000000" w:themeColor="text1"/>
        </w:rPr>
        <w:t>“</w:t>
      </w:r>
      <w:r w:rsidRPr="00185EE9">
        <w:rPr>
          <w:rFonts w:ascii="Verdana" w:eastAsia="Calibri" w:hAnsi="Verdana" w:cs="Arial"/>
          <w:bCs/>
          <w:i/>
          <w:iCs/>
          <w:color w:val="000000" w:themeColor="text1"/>
        </w:rPr>
        <w:t>Para la adquisición de estos bienes y servicios las entidades deberán</w:t>
      </w:r>
      <w:r w:rsidRPr="00185EE9">
        <w:rPr>
          <w:rFonts w:ascii="Verdana" w:eastAsia="Calibri" w:hAnsi="Verdana" w:cs="Arial"/>
          <w:bCs/>
          <w:color w:val="000000" w:themeColor="text1"/>
        </w:rPr>
        <w:t xml:space="preserve">, siempre que el reglamento así lo señale, </w:t>
      </w:r>
      <w:r w:rsidRPr="00185EE9">
        <w:rPr>
          <w:rFonts w:ascii="Verdana" w:eastAsia="Calibri" w:hAnsi="Verdana" w:cs="Arial"/>
          <w:bCs/>
          <w:i/>
          <w:iCs/>
          <w:color w:val="000000" w:themeColor="text1"/>
        </w:rPr>
        <w:t>hacer uso</w:t>
      </w:r>
      <w:r w:rsidRPr="00185EE9">
        <w:rPr>
          <w:rFonts w:ascii="Verdana" w:eastAsia="Calibri" w:hAnsi="Verdana" w:cs="Arial"/>
          <w:bCs/>
          <w:color w:val="000000" w:themeColor="text1"/>
        </w:rPr>
        <w:t xml:space="preserve"> de procedimientos de subasta inversa o de instrumentos de compra por catálogo derivados de la celebración de acuerdos marco de precios o </w:t>
      </w:r>
      <w:r w:rsidRPr="00185EE9">
        <w:rPr>
          <w:rFonts w:ascii="Verdana" w:eastAsia="Calibri" w:hAnsi="Verdana" w:cs="Arial"/>
          <w:bCs/>
          <w:i/>
          <w:iCs/>
          <w:color w:val="000000" w:themeColor="text1"/>
        </w:rPr>
        <w:t>de procedimientos de adquisición en bolsas de productos</w:t>
      </w:r>
      <w:r w:rsidRPr="00185EE9">
        <w:rPr>
          <w:rFonts w:ascii="Verdana" w:eastAsia="Calibri" w:hAnsi="Verdana" w:cs="Arial"/>
          <w:bCs/>
          <w:color w:val="000000" w:themeColor="text1"/>
        </w:rPr>
        <w:t>” (Énfasis fuera de texto). Estos mecanismos se aplicarán en la forma que disponga el Decreto 1082 de 2015 para para cada uno de ellos.</w:t>
      </w:r>
    </w:p>
    <w:p w14:paraId="6831235E" w14:textId="77777777" w:rsidR="00225AC7" w:rsidRDefault="00225AC7" w:rsidP="00225AC7">
      <w:pPr>
        <w:spacing w:after="12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rPr>
        <w:lastRenderedPageBreak/>
        <w:t xml:space="preserve">Por otro lado, </w:t>
      </w:r>
      <w:r>
        <w:rPr>
          <w:rFonts w:ascii="Verdana" w:eastAsia="Calibri" w:hAnsi="Verdana" w:cs="Arial"/>
          <w:bCs/>
          <w:color w:val="000000" w:themeColor="text1"/>
          <w:lang w:val="es-ES"/>
        </w:rPr>
        <w:t>e</w:t>
      </w:r>
      <w:r w:rsidRPr="00FA1110">
        <w:rPr>
          <w:rFonts w:ascii="Verdana" w:eastAsia="Calibri" w:hAnsi="Verdana" w:cs="Arial"/>
          <w:bCs/>
          <w:color w:val="000000" w:themeColor="text1"/>
          <w:lang w:val="es-ES_tradnl"/>
        </w:rPr>
        <w:t xml:space="preserve">l artículo 54 de la Ley 2195 de 2022 adiciona el literal j) al numeral 2 del artículo 2 de la Ley 1150 de 2007, creando una nueva casual de selección abreviada. De esta manera, establece que, para la contratación de bienes y servicios no uniformes de común utilización por parte de las entidades públicas, la Agencia Nacional de Contratación Pública –Colombia Compra Eficiente– podrá celebrar acuerdos marco de precios y demás instrumentos de agregación de demanda. En armonía con lo anterior, prescribe que estos acuerdos marco de precios serán de uso obligatorio para las entidades del Estado a las que se refiere el parágrafo 5 del artículo 2 de la </w:t>
      </w:r>
      <w:r>
        <w:rPr>
          <w:rFonts w:ascii="Verdana" w:eastAsia="Calibri" w:hAnsi="Verdana" w:cs="Arial"/>
          <w:bCs/>
          <w:color w:val="000000" w:themeColor="text1"/>
          <w:lang w:val="es-ES_tradnl"/>
        </w:rPr>
        <w:t>Ley 1150 de 2007, que fue modifi</w:t>
      </w:r>
      <w:r w:rsidRPr="00FA1110">
        <w:rPr>
          <w:rFonts w:ascii="Verdana" w:eastAsia="Calibri" w:hAnsi="Verdana" w:cs="Arial"/>
          <w:bCs/>
          <w:color w:val="000000" w:themeColor="text1"/>
          <w:lang w:val="es-ES_tradnl"/>
        </w:rPr>
        <w:t>cado por el artículo 41 de la Ley 1955 de 2019.</w:t>
      </w:r>
    </w:p>
    <w:p w14:paraId="4026B42D" w14:textId="77777777" w:rsidR="00225AC7" w:rsidRDefault="00225AC7" w:rsidP="00225AC7">
      <w:pPr>
        <w:spacing w:after="0" w:line="276" w:lineRule="auto"/>
        <w:ind w:firstLine="708"/>
        <w:jc w:val="both"/>
        <w:rPr>
          <w:rFonts w:ascii="Verdana" w:eastAsia="Calibri" w:hAnsi="Verdana" w:cs="Arial"/>
        </w:rPr>
      </w:pPr>
      <w:r>
        <w:rPr>
          <w:rFonts w:ascii="Verdana" w:eastAsia="Calibri" w:hAnsi="Verdana" w:cs="Arial"/>
        </w:rPr>
        <w:t>Adicionalmente l</w:t>
      </w:r>
      <w:r w:rsidRPr="005E4A9B">
        <w:rPr>
          <w:rFonts w:ascii="Verdana" w:eastAsia="Calibri" w:hAnsi="Verdana" w:cs="Arial"/>
        </w:rPr>
        <w:t>a Circular Externa No. 004 de 2021 de Colombia Compra Eficiente</w:t>
      </w:r>
      <w:r>
        <w:rPr>
          <w:rStyle w:val="Refdenotaalpie"/>
          <w:rFonts w:ascii="Verdana" w:eastAsia="Calibri" w:hAnsi="Verdana" w:cs="Arial"/>
        </w:rPr>
        <w:footnoteReference w:id="10"/>
      </w:r>
      <w:r w:rsidRPr="005E4A9B">
        <w:rPr>
          <w:rFonts w:ascii="Verdana" w:eastAsia="Calibri" w:hAnsi="Verdana" w:cs="Arial"/>
        </w:rPr>
        <w:t xml:space="preserve"> (CCE) ref</w:t>
      </w:r>
      <w:r>
        <w:rPr>
          <w:rFonts w:ascii="Verdana" w:eastAsia="Calibri" w:hAnsi="Verdana" w:cs="Arial"/>
        </w:rPr>
        <w:t>uerza</w:t>
      </w:r>
      <w:r w:rsidRPr="005E4A9B">
        <w:rPr>
          <w:rFonts w:ascii="Verdana" w:eastAsia="Calibri" w:hAnsi="Verdana" w:cs="Arial"/>
        </w:rPr>
        <w:t xml:space="preserve"> la aplicación de la Ley 1150 de 2007 y el Decreto 1082 de 2015, en especial lo referente a la obligatoriedad de las entidades estatales de adquirir bienes y servicios de características técnicas uniformes y de común utilización a través de los AMP cuando estos existan.</w:t>
      </w:r>
    </w:p>
    <w:p w14:paraId="27DAF2D3" w14:textId="77777777" w:rsidR="00225AC7" w:rsidRDefault="00225AC7" w:rsidP="00225AC7">
      <w:pPr>
        <w:spacing w:after="0" w:line="240" w:lineRule="auto"/>
        <w:ind w:firstLine="709"/>
        <w:jc w:val="both"/>
        <w:rPr>
          <w:rFonts w:ascii="Verdana" w:eastAsia="Calibri" w:hAnsi="Verdana" w:cs="Arial"/>
        </w:rPr>
      </w:pPr>
    </w:p>
    <w:p w14:paraId="15A23F47" w14:textId="77777777" w:rsidR="00225AC7" w:rsidRDefault="00225AC7" w:rsidP="00225AC7">
      <w:pPr>
        <w:spacing w:after="0" w:line="276" w:lineRule="auto"/>
        <w:ind w:firstLine="708"/>
        <w:jc w:val="both"/>
        <w:rPr>
          <w:rFonts w:ascii="Verdana" w:eastAsia="Calibri" w:hAnsi="Verdana" w:cs="Arial"/>
          <w:bCs/>
          <w:color w:val="000000" w:themeColor="text1"/>
          <w:lang w:val="es-ES"/>
        </w:rPr>
      </w:pPr>
      <w:r w:rsidRPr="00FA1110">
        <w:rPr>
          <w:rFonts w:ascii="Verdana" w:eastAsia="Calibri" w:hAnsi="Verdana" w:cs="Arial"/>
          <w:bCs/>
          <w:color w:val="000000" w:themeColor="text1"/>
          <w:lang w:val="es-ES"/>
        </w:rPr>
        <w:t xml:space="preserve">Esta justificación se origina porque en la actualidad, las entidades estatales adelantan procesos de contratación independientes para adquirir bienes o servicios de forma recurrente, lo cual genera una carga administrativa innecesaria y asimetrías en la compra pública en cuanto a los términos, condiciones y precios a los que se sujetan esos procesos de selección. </w:t>
      </w:r>
    </w:p>
    <w:p w14:paraId="0C624A3B" w14:textId="77777777" w:rsidR="00225AC7" w:rsidRDefault="00225AC7" w:rsidP="00225AC7">
      <w:pPr>
        <w:spacing w:after="0" w:line="240" w:lineRule="auto"/>
        <w:ind w:firstLine="709"/>
        <w:jc w:val="both"/>
        <w:rPr>
          <w:rFonts w:ascii="Verdana" w:eastAsia="Calibri" w:hAnsi="Verdana" w:cs="Arial"/>
          <w:bCs/>
          <w:color w:val="000000" w:themeColor="text1"/>
          <w:lang w:val="es-ES"/>
        </w:rPr>
      </w:pPr>
    </w:p>
    <w:p w14:paraId="31C67F31" w14:textId="77777777" w:rsidR="00225AC7" w:rsidRDefault="00225AC7" w:rsidP="00225AC7">
      <w:pPr>
        <w:spacing w:after="0" w:line="276" w:lineRule="auto"/>
        <w:ind w:firstLine="708"/>
        <w:jc w:val="both"/>
        <w:rPr>
          <w:rFonts w:ascii="Verdana" w:eastAsia="Calibri" w:hAnsi="Verdana" w:cs="Arial"/>
          <w:bCs/>
          <w:color w:val="000000" w:themeColor="text1"/>
          <w:lang w:val="es-ES"/>
        </w:rPr>
      </w:pPr>
      <w:r w:rsidRPr="00FA1110">
        <w:rPr>
          <w:rFonts w:ascii="Verdana" w:eastAsia="Calibri" w:hAnsi="Verdana" w:cs="Arial"/>
          <w:bCs/>
          <w:color w:val="000000" w:themeColor="text1"/>
          <w:lang w:val="es-ES"/>
        </w:rPr>
        <w:t>Esto no p</w:t>
      </w:r>
      <w:r>
        <w:rPr>
          <w:rFonts w:ascii="Verdana" w:eastAsia="Calibri" w:hAnsi="Verdana" w:cs="Arial"/>
          <w:bCs/>
          <w:color w:val="000000" w:themeColor="text1"/>
          <w:lang w:val="es-ES"/>
        </w:rPr>
        <w:t>osibilita</w:t>
      </w:r>
      <w:r w:rsidRPr="00FA1110">
        <w:rPr>
          <w:rFonts w:ascii="Verdana" w:eastAsia="Calibri" w:hAnsi="Verdana" w:cs="Arial"/>
          <w:bCs/>
          <w:color w:val="000000" w:themeColor="text1"/>
          <w:lang w:val="es-ES"/>
        </w:rPr>
        <w:t xml:space="preserve"> que el Estado negocie como un solo comprador y crea condiciones contractuales distintas para la adquisición de los mismos bienes o servicios. Para hacer frente a esta imperfección del mercado de compra pública, los Acuerdos Marco de Precios </w:t>
      </w:r>
      <w:r>
        <w:rPr>
          <w:rFonts w:ascii="Verdana" w:eastAsia="Calibri" w:hAnsi="Verdana" w:cs="Arial"/>
          <w:bCs/>
          <w:color w:val="000000" w:themeColor="text1"/>
          <w:lang w:val="es-ES"/>
        </w:rPr>
        <w:t xml:space="preserve">son una especie de un instrumento de agregación de demanda, para la adquisición de bienes o servicios de características técnicas uniformes o bienes y servicios no uniformes de común utilización que </w:t>
      </w:r>
      <w:r w:rsidRPr="00FA1110">
        <w:rPr>
          <w:rFonts w:ascii="Verdana" w:eastAsia="Calibri" w:hAnsi="Verdana" w:cs="Arial"/>
          <w:bCs/>
          <w:color w:val="000000" w:themeColor="text1"/>
          <w:lang w:val="es-ES"/>
        </w:rPr>
        <w:t xml:space="preserve">han sido concebidos como una de las herramientas para que el Estado como comprador que es, agregue demanda y centralice las decisiones de adquisición de bienes, obras o servicios, </w:t>
      </w:r>
      <w:r>
        <w:rPr>
          <w:rFonts w:ascii="Verdana" w:eastAsia="Calibri" w:hAnsi="Verdana" w:cs="Arial"/>
          <w:bCs/>
          <w:color w:val="000000" w:themeColor="text1"/>
          <w:lang w:val="es-ES"/>
        </w:rPr>
        <w:t xml:space="preserve">con el fin de </w:t>
      </w:r>
      <w:r w:rsidRPr="00FA1110">
        <w:rPr>
          <w:rFonts w:ascii="Verdana" w:eastAsia="Calibri" w:hAnsi="Verdana" w:cs="Arial"/>
          <w:bCs/>
          <w:color w:val="000000" w:themeColor="text1"/>
          <w:lang w:val="es-ES"/>
        </w:rPr>
        <w:t>producir economías de escala</w:t>
      </w:r>
      <w:r>
        <w:rPr>
          <w:rFonts w:ascii="Verdana" w:eastAsia="Calibri" w:hAnsi="Verdana" w:cs="Arial"/>
          <w:bCs/>
          <w:color w:val="000000" w:themeColor="text1"/>
          <w:lang w:val="es-ES"/>
        </w:rPr>
        <w:t>,</w:t>
      </w:r>
      <w:r w:rsidRPr="00FA1110">
        <w:rPr>
          <w:rFonts w:ascii="Verdana" w:eastAsia="Calibri" w:hAnsi="Verdana" w:cs="Arial"/>
          <w:bCs/>
          <w:color w:val="000000" w:themeColor="text1"/>
          <w:lang w:val="es-ES"/>
        </w:rPr>
        <w:t xml:space="preserve"> incrementar el poder de negociación del Estado; y compartir costos y conocimiento entre las diferentes agencias y en general, todos los partícipes del sistema. </w:t>
      </w:r>
      <w:r>
        <w:rPr>
          <w:rFonts w:ascii="Verdana" w:eastAsia="Calibri" w:hAnsi="Verdana" w:cs="Arial"/>
          <w:bCs/>
          <w:color w:val="000000" w:themeColor="text1"/>
          <w:lang w:val="es-ES"/>
        </w:rPr>
        <w:t xml:space="preserve">Al respecto, </w:t>
      </w:r>
      <w:r>
        <w:rPr>
          <w:rFonts w:ascii="Verdana" w:eastAsia="Calibri" w:hAnsi="Verdana" w:cs="Arial"/>
          <w:bCs/>
          <w:color w:val="000000" w:themeColor="text1"/>
          <w:lang w:val="es-ES"/>
        </w:rPr>
        <w:lastRenderedPageBreak/>
        <w:t>Colombia Compra Eficiente en la “Guía para entender acuerdos marco de precios”</w:t>
      </w:r>
      <w:r>
        <w:rPr>
          <w:rStyle w:val="Refdenotaalpie"/>
          <w:rFonts w:ascii="Verdana" w:eastAsia="Calibri" w:hAnsi="Verdana" w:cs="Arial"/>
          <w:bCs/>
          <w:color w:val="000000" w:themeColor="text1"/>
          <w:lang w:val="es-ES"/>
        </w:rPr>
        <w:footnoteReference w:id="11"/>
      </w:r>
      <w:r>
        <w:rPr>
          <w:rFonts w:ascii="Verdana" w:eastAsia="Calibri" w:hAnsi="Verdana" w:cs="Arial"/>
          <w:bCs/>
          <w:color w:val="000000" w:themeColor="text1"/>
          <w:lang w:val="es-ES"/>
        </w:rPr>
        <w:t xml:space="preserve">, establece los siguientes beneficios: </w:t>
      </w:r>
    </w:p>
    <w:p w14:paraId="270A58C3" w14:textId="77777777" w:rsidR="00225AC7" w:rsidRPr="00BF5426" w:rsidRDefault="00225AC7" w:rsidP="00225AC7">
      <w:pPr>
        <w:spacing w:after="0" w:line="240" w:lineRule="auto"/>
        <w:ind w:firstLine="709"/>
        <w:jc w:val="both"/>
        <w:rPr>
          <w:rFonts w:ascii="Verdana" w:eastAsia="Calibri" w:hAnsi="Verdana" w:cs="Arial"/>
        </w:rPr>
      </w:pPr>
    </w:p>
    <w:p w14:paraId="52FC0223" w14:textId="77777777" w:rsidR="00225AC7" w:rsidRPr="00A94D14" w:rsidRDefault="00225AC7" w:rsidP="00225AC7">
      <w:pPr>
        <w:pStyle w:val="Prrafodelista"/>
        <w:numPr>
          <w:ilvl w:val="0"/>
          <w:numId w:val="18"/>
        </w:numPr>
        <w:spacing w:after="120" w:line="240" w:lineRule="auto"/>
        <w:ind w:left="1069" w:right="709"/>
        <w:jc w:val="both"/>
        <w:rPr>
          <w:rFonts w:ascii="Verdana" w:eastAsia="Calibri" w:hAnsi="Verdana" w:cs="Arial"/>
          <w:bCs/>
          <w:color w:val="000000" w:themeColor="text1"/>
          <w:sz w:val="21"/>
          <w:szCs w:val="21"/>
        </w:rPr>
      </w:pPr>
      <w:r w:rsidRPr="00A94D14">
        <w:rPr>
          <w:rFonts w:ascii="Verdana" w:eastAsia="Calibri" w:hAnsi="Verdana" w:cs="Arial"/>
          <w:bCs/>
          <w:color w:val="000000" w:themeColor="text1"/>
          <w:sz w:val="21"/>
          <w:szCs w:val="21"/>
        </w:rPr>
        <w:t xml:space="preserve">Reduce el número de procesos de contratación por parte de las Entidades compradoras. </w:t>
      </w:r>
    </w:p>
    <w:p w14:paraId="28EAD5A1" w14:textId="77777777" w:rsidR="00225AC7" w:rsidRPr="00A94D14" w:rsidRDefault="00225AC7" w:rsidP="00225AC7">
      <w:pPr>
        <w:pStyle w:val="Prrafodelista"/>
        <w:numPr>
          <w:ilvl w:val="0"/>
          <w:numId w:val="18"/>
        </w:numPr>
        <w:spacing w:after="120" w:line="240" w:lineRule="auto"/>
        <w:ind w:left="1069" w:right="709"/>
        <w:jc w:val="both"/>
        <w:rPr>
          <w:rFonts w:ascii="Verdana" w:eastAsia="Calibri" w:hAnsi="Verdana" w:cs="Arial"/>
          <w:bCs/>
          <w:color w:val="000000" w:themeColor="text1"/>
          <w:sz w:val="21"/>
          <w:szCs w:val="21"/>
        </w:rPr>
      </w:pPr>
      <w:r w:rsidRPr="00A94D14">
        <w:rPr>
          <w:rFonts w:ascii="Verdana" w:eastAsia="Calibri" w:hAnsi="Verdana" w:cs="Arial"/>
          <w:bCs/>
          <w:color w:val="000000" w:themeColor="text1"/>
          <w:sz w:val="21"/>
          <w:szCs w:val="21"/>
        </w:rPr>
        <w:t>El Estado actúa como un único comprador unificando términos y condiciones para el suministro de bienes y servicios para el Estado.</w:t>
      </w:r>
    </w:p>
    <w:p w14:paraId="54123DF4" w14:textId="77777777" w:rsidR="00225AC7" w:rsidRPr="00A94D14" w:rsidRDefault="00225AC7" w:rsidP="00225AC7">
      <w:pPr>
        <w:pStyle w:val="Prrafodelista"/>
        <w:numPr>
          <w:ilvl w:val="0"/>
          <w:numId w:val="18"/>
        </w:numPr>
        <w:spacing w:after="120" w:line="240" w:lineRule="auto"/>
        <w:ind w:left="1069" w:right="709"/>
        <w:jc w:val="both"/>
        <w:rPr>
          <w:rFonts w:ascii="Verdana" w:eastAsia="Calibri" w:hAnsi="Verdana" w:cs="Arial"/>
          <w:bCs/>
          <w:color w:val="000000" w:themeColor="text1"/>
          <w:sz w:val="21"/>
          <w:szCs w:val="21"/>
        </w:rPr>
      </w:pPr>
      <w:r w:rsidRPr="00A94D14">
        <w:rPr>
          <w:rFonts w:ascii="Verdana" w:eastAsia="Calibri" w:hAnsi="Verdana" w:cs="Arial"/>
          <w:bCs/>
          <w:color w:val="000000" w:themeColor="text1"/>
          <w:sz w:val="21"/>
          <w:szCs w:val="21"/>
        </w:rPr>
        <w:t xml:space="preserve">Permite a la Entidad manejar inventarios con mayor flexibilidad. </w:t>
      </w:r>
    </w:p>
    <w:p w14:paraId="5ADFA9E2" w14:textId="77777777" w:rsidR="00225AC7" w:rsidRPr="00A94D14" w:rsidRDefault="00225AC7" w:rsidP="00225AC7">
      <w:pPr>
        <w:pStyle w:val="Prrafodelista"/>
        <w:numPr>
          <w:ilvl w:val="0"/>
          <w:numId w:val="18"/>
        </w:numPr>
        <w:spacing w:after="120" w:line="240" w:lineRule="auto"/>
        <w:ind w:left="1069" w:right="709"/>
        <w:jc w:val="both"/>
        <w:rPr>
          <w:rFonts w:ascii="Verdana" w:eastAsia="Calibri" w:hAnsi="Verdana" w:cs="Arial"/>
          <w:bCs/>
          <w:color w:val="000000" w:themeColor="text1"/>
          <w:sz w:val="21"/>
          <w:szCs w:val="21"/>
        </w:rPr>
      </w:pPr>
      <w:r w:rsidRPr="00A94D14">
        <w:rPr>
          <w:rFonts w:ascii="Verdana" w:eastAsia="Calibri" w:hAnsi="Verdana" w:cs="Arial"/>
          <w:bCs/>
          <w:color w:val="000000" w:themeColor="text1"/>
          <w:sz w:val="21"/>
          <w:szCs w:val="21"/>
        </w:rPr>
        <w:t xml:space="preserve">Libera tiempo del comprador público para destinar el cumplimiento de la misión de la entidad. </w:t>
      </w:r>
    </w:p>
    <w:p w14:paraId="518520B0" w14:textId="77777777" w:rsidR="00225AC7" w:rsidRPr="00BF5426" w:rsidRDefault="00225AC7" w:rsidP="00225AC7">
      <w:pPr>
        <w:pStyle w:val="Prrafodelista"/>
        <w:numPr>
          <w:ilvl w:val="0"/>
          <w:numId w:val="18"/>
        </w:numPr>
        <w:spacing w:after="120" w:line="240" w:lineRule="auto"/>
        <w:ind w:left="1069" w:right="709"/>
        <w:jc w:val="both"/>
        <w:rPr>
          <w:rFonts w:ascii="Verdana" w:eastAsia="Calibri" w:hAnsi="Verdana" w:cs="Arial"/>
          <w:bCs/>
          <w:color w:val="000000" w:themeColor="text1"/>
          <w:sz w:val="21"/>
          <w:szCs w:val="21"/>
        </w:rPr>
      </w:pPr>
      <w:r w:rsidRPr="00A94D14">
        <w:rPr>
          <w:rFonts w:ascii="Verdana" w:eastAsia="Calibri" w:hAnsi="Verdana" w:cs="Arial"/>
          <w:bCs/>
          <w:color w:val="000000" w:themeColor="text1"/>
          <w:sz w:val="21"/>
          <w:szCs w:val="21"/>
        </w:rPr>
        <w:t xml:space="preserve">Ayuda a obtener mayor valor de los recursos públicos.  </w:t>
      </w:r>
    </w:p>
    <w:p w14:paraId="7B43D4C1" w14:textId="77777777" w:rsidR="00225AC7" w:rsidRPr="00FA1110" w:rsidRDefault="00225AC7" w:rsidP="00225AC7">
      <w:pPr>
        <w:spacing w:after="120" w:line="276" w:lineRule="auto"/>
        <w:ind w:firstLine="709"/>
        <w:jc w:val="both"/>
        <w:rPr>
          <w:rFonts w:ascii="Verdana" w:eastAsia="Calibri" w:hAnsi="Verdana" w:cs="Arial"/>
          <w:bCs/>
          <w:color w:val="000000" w:themeColor="text1"/>
          <w:lang w:val="es-ES"/>
        </w:rPr>
      </w:pPr>
      <w:r w:rsidRPr="00FA1110">
        <w:rPr>
          <w:rFonts w:ascii="Verdana" w:eastAsia="Calibri" w:hAnsi="Verdana" w:cs="Arial"/>
          <w:bCs/>
          <w:color w:val="000000" w:themeColor="text1"/>
          <w:lang w:val="es-ES"/>
        </w:rPr>
        <w:t xml:space="preserve">En esta orientación, el Estado mediante Colombia Compra Eficiente negocia como un solo comprador y establece condiciones que reducen precios. De este modo, este proceso de contratación puede garantizar mayor nivel de eficiencia que la realización de los distintos procesos de selección, toda vez que posibilita el diseño y celebración de acuerdos marco de precios de aquellos bienes y servicios que son de común utilización, pero que no tienen la calidad de tener características técnicas y uniformes. </w:t>
      </w:r>
    </w:p>
    <w:p w14:paraId="7445E1A0" w14:textId="77777777" w:rsidR="00225AC7" w:rsidRPr="00A94D14" w:rsidRDefault="00225AC7" w:rsidP="00225AC7">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lang w:val="es-ES"/>
        </w:rPr>
        <w:t xml:space="preserve">Se precisa pues, que los Acuerdos Marco de Precios como instrumentos de agregación de demanda se aplican de forma obligatoria con la condición de que esté un acuerdo marco vigente para la adquisición de bienes y servicios de características uniformes y servicios no uniformes de común utilización, de conformidad con lo dispuesto en el artículo </w:t>
      </w:r>
      <w:r w:rsidRPr="00A94D14">
        <w:rPr>
          <w:rFonts w:ascii="Verdana" w:eastAsia="Calibri" w:hAnsi="Verdana" w:cs="Arial"/>
          <w:bCs/>
          <w:color w:val="000000" w:themeColor="text1"/>
        </w:rPr>
        <w:t>2.2.1.2.1.2.7. del Decreto 1082 de 2015</w:t>
      </w:r>
      <w:r>
        <w:rPr>
          <w:rStyle w:val="Refdenotaalpie"/>
          <w:rFonts w:ascii="Verdana" w:eastAsia="Calibri" w:hAnsi="Verdana" w:cs="Arial"/>
          <w:bCs/>
          <w:color w:val="000000" w:themeColor="text1"/>
        </w:rPr>
        <w:footnoteReference w:id="12"/>
      </w:r>
      <w:r w:rsidRPr="00A94D14">
        <w:rPr>
          <w:rFonts w:ascii="Verdana" w:eastAsia="Calibri" w:hAnsi="Verdana" w:cs="Arial"/>
          <w:bCs/>
          <w:color w:val="000000" w:themeColor="text1"/>
        </w:rPr>
        <w:t>.</w:t>
      </w:r>
      <w:r>
        <w:rPr>
          <w:rFonts w:ascii="Verdana" w:eastAsia="Calibri" w:hAnsi="Verdana" w:cs="Arial"/>
          <w:bCs/>
          <w:color w:val="000000" w:themeColor="text1"/>
        </w:rPr>
        <w:t xml:space="preserve"> En tal sentido, el artículo 2.2.1.2.1.2.9. del Decreto 1082 de 2015 dispone: “(…) </w:t>
      </w:r>
      <w:r w:rsidRPr="00A94D14">
        <w:rPr>
          <w:rFonts w:ascii="Verdana" w:eastAsia="Calibri" w:hAnsi="Verdana" w:cs="Arial"/>
          <w:bCs/>
          <w:color w:val="000000" w:themeColor="text1"/>
        </w:rPr>
        <w:t xml:space="preserve">Colombia Compra Eficiente debe publicar el Catálogo para Acuerdos Marco de Precios, y la Entidad Estatal en la etapa de planeación del </w:t>
      </w:r>
      <w:r w:rsidRPr="00A94D14">
        <w:rPr>
          <w:rFonts w:ascii="Verdana" w:eastAsia="Calibri" w:hAnsi="Verdana" w:cs="Arial"/>
          <w:bCs/>
          <w:color w:val="000000" w:themeColor="text1"/>
        </w:rPr>
        <w:lastRenderedPageBreak/>
        <w:t>Proceso de Contratación está obligada a verificar si existe un Acuerdo Marco de Precios vigente con el cual la Entidad Estatal pueda satisfacer la necesidad identificada</w:t>
      </w:r>
      <w:r>
        <w:rPr>
          <w:rFonts w:ascii="Verdana" w:eastAsia="Calibri" w:hAnsi="Verdana" w:cs="Arial"/>
          <w:bCs/>
          <w:color w:val="000000" w:themeColor="text1"/>
        </w:rPr>
        <w:t xml:space="preserve"> (…)”</w:t>
      </w:r>
      <w:r w:rsidRPr="00A94D14">
        <w:rPr>
          <w:rFonts w:ascii="Verdana" w:eastAsia="Calibri" w:hAnsi="Verdana" w:cs="Arial"/>
          <w:bCs/>
          <w:color w:val="000000" w:themeColor="text1"/>
        </w:rPr>
        <w:t>.</w:t>
      </w:r>
    </w:p>
    <w:p w14:paraId="37EDBE85" w14:textId="77777777" w:rsidR="00225AC7" w:rsidRDefault="00225AC7" w:rsidP="00225AC7">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lang w:val="es-ES"/>
        </w:rPr>
        <w:t xml:space="preserve">En los eventos que no exista un Acuerdo Marco de Precios vigente debe acudirse a la modalidad de selección abreviada mediante subasta inversa o de procedimientos de adquisición en bolsa de productos, de acuerdo a lo dispuesto por el Decreto 1082 de 2015, cuando sea para la adquisición de bienes y servicios de características uniformes y común utilización; y de licitación pública por regla general o en su defecto selección abreviada </w:t>
      </w:r>
      <w:r w:rsidRPr="00853978">
        <w:rPr>
          <w:rFonts w:ascii="Verdana" w:eastAsia="Calibri" w:hAnsi="Verdana" w:cs="Arial"/>
          <w:bCs/>
          <w:color w:val="000000" w:themeColor="text1"/>
        </w:rPr>
        <w:t xml:space="preserve">de menor cuantía cuando </w:t>
      </w:r>
      <w:r>
        <w:rPr>
          <w:rFonts w:ascii="Verdana" w:eastAsia="Calibri" w:hAnsi="Verdana" w:cs="Arial"/>
          <w:bCs/>
          <w:color w:val="000000" w:themeColor="text1"/>
        </w:rPr>
        <w:t xml:space="preserve">se requiera contratar bienes o servicios no uniformes de común utilización </w:t>
      </w:r>
      <w:r w:rsidRPr="00853978">
        <w:rPr>
          <w:rFonts w:ascii="Verdana" w:eastAsia="Calibri" w:hAnsi="Verdana" w:cs="Arial"/>
          <w:bCs/>
          <w:color w:val="000000" w:themeColor="text1"/>
        </w:rPr>
        <w:t xml:space="preserve">por valores que se ubiquen dentro de la menor cuantía de la respectiva Entidad Estatal, </w:t>
      </w:r>
      <w:r>
        <w:rPr>
          <w:rFonts w:ascii="Verdana" w:eastAsia="Calibri" w:hAnsi="Verdana" w:cs="Arial"/>
          <w:bCs/>
          <w:color w:val="000000" w:themeColor="text1"/>
        </w:rPr>
        <w:t xml:space="preserve">teniendo en cuenta </w:t>
      </w:r>
      <w:r w:rsidRPr="00853978">
        <w:rPr>
          <w:rFonts w:ascii="Verdana" w:eastAsia="Calibri" w:hAnsi="Verdana" w:cs="Arial"/>
          <w:bCs/>
          <w:color w:val="000000" w:themeColor="text1"/>
        </w:rPr>
        <w:t xml:space="preserve">los rangos establecidos en el literal b) del numeral 2 del artículo 2 de la Ley 1150 de 2007. En </w:t>
      </w:r>
      <w:r>
        <w:rPr>
          <w:rFonts w:ascii="Verdana" w:eastAsia="Calibri" w:hAnsi="Verdana" w:cs="Arial"/>
          <w:bCs/>
          <w:color w:val="000000" w:themeColor="text1"/>
        </w:rPr>
        <w:t xml:space="preserve">la modalidad de selección abreviada de menor cuantía </w:t>
      </w:r>
      <w:r w:rsidRPr="00853978">
        <w:rPr>
          <w:rFonts w:ascii="Verdana" w:eastAsia="Calibri" w:hAnsi="Verdana" w:cs="Arial"/>
          <w:bCs/>
          <w:color w:val="000000" w:themeColor="text1"/>
        </w:rPr>
        <w:t xml:space="preserve">al igual que en la licitación, la oferta más favorable se determina de acuerdo con lo establecido en el numeral 2 del artículo 5 de la Ley 1150 de 2007, esto es, en atención a la mejor relación calidad-precio. </w:t>
      </w:r>
    </w:p>
    <w:p w14:paraId="36B2D6D9" w14:textId="77777777" w:rsidR="00225AC7" w:rsidRDefault="00225AC7" w:rsidP="00225AC7">
      <w:pPr>
        <w:spacing w:after="0" w:line="276" w:lineRule="auto"/>
        <w:ind w:firstLine="708"/>
        <w:contextualSpacing/>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para resolver problemas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CD211E">
        <w:rPr>
          <w:rFonts w:ascii="Verdana" w:eastAsia="Calibri" w:hAnsi="Verdana" w:cs="Times New Roman"/>
          <w:lang w:val="es-ES"/>
        </w:rPr>
        <w:t>.</w:t>
      </w:r>
    </w:p>
    <w:p w14:paraId="05E91735" w14:textId="77777777" w:rsidR="00225AC7" w:rsidRDefault="00225AC7" w:rsidP="00225AC7">
      <w:pPr>
        <w:spacing w:after="0" w:line="240" w:lineRule="auto"/>
        <w:ind w:firstLine="709"/>
        <w:contextualSpacing/>
        <w:jc w:val="both"/>
        <w:rPr>
          <w:rFonts w:ascii="Verdana" w:eastAsia="Calibri" w:hAnsi="Verdana" w:cs="Times New Roman"/>
          <w:lang w:val="es-ES"/>
        </w:rPr>
      </w:pPr>
    </w:p>
    <w:p w14:paraId="5A2BED99" w14:textId="77777777" w:rsidR="00225AC7" w:rsidRPr="006C50C1" w:rsidRDefault="00225AC7" w:rsidP="00225AC7">
      <w:pPr>
        <w:spacing w:after="0" w:line="276" w:lineRule="auto"/>
        <w:ind w:firstLine="708"/>
        <w:contextualSpacing/>
        <w:jc w:val="both"/>
        <w:rPr>
          <w:rFonts w:ascii="Verdana" w:eastAsia="Calibri" w:hAnsi="Verdana" w:cs="Times New Roman"/>
          <w:lang w:val="es-ES"/>
        </w:rPr>
      </w:pPr>
      <w:r w:rsidRPr="00AE7E03">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6246D9E7" w14:textId="77777777" w:rsidR="00225AC7" w:rsidRDefault="00225AC7" w:rsidP="00225AC7">
      <w:pPr>
        <w:pStyle w:val="Prrafodelista"/>
        <w:tabs>
          <w:tab w:val="left" w:pos="142"/>
          <w:tab w:val="left" w:pos="284"/>
          <w:tab w:val="left" w:pos="3828"/>
          <w:tab w:val="left" w:pos="6900"/>
        </w:tabs>
        <w:spacing w:after="0" w:line="240" w:lineRule="auto"/>
        <w:ind w:left="0"/>
        <w:contextualSpacing w:val="0"/>
        <w:jc w:val="both"/>
        <w:rPr>
          <w:rFonts w:ascii="Verdana" w:eastAsia="Calibri" w:hAnsi="Verdana" w:cs="Arial"/>
          <w:lang w:val="es-CO"/>
        </w:rPr>
      </w:pPr>
    </w:p>
    <w:p w14:paraId="53224C28" w14:textId="77777777" w:rsidR="00225AC7" w:rsidRDefault="00225AC7" w:rsidP="00225AC7">
      <w:pPr>
        <w:tabs>
          <w:tab w:val="left" w:pos="142"/>
          <w:tab w:val="left" w:pos="284"/>
          <w:tab w:val="left" w:pos="3828"/>
        </w:tabs>
        <w:spacing w:after="0" w:line="240" w:lineRule="auto"/>
        <w:rPr>
          <w:rFonts w:ascii="Verdana" w:eastAsia="Century Gothic" w:hAnsi="Verdana" w:cs="Century Gothic"/>
          <w:b/>
          <w:bCs/>
        </w:rPr>
      </w:pPr>
      <w:bookmarkStart w:id="1"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
    </w:p>
    <w:p w14:paraId="65D0812E" w14:textId="77777777" w:rsidR="00225AC7" w:rsidRPr="005644FE" w:rsidRDefault="00225AC7" w:rsidP="00225AC7">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25AC7" w:rsidRPr="005644FE" w14:paraId="7F086AA3" w14:textId="77777777" w:rsidTr="007A1D3C">
        <w:trPr>
          <w:trHeight w:val="1288"/>
          <w:jc w:val="center"/>
        </w:trPr>
        <w:tc>
          <w:tcPr>
            <w:tcW w:w="8647" w:type="dxa"/>
          </w:tcPr>
          <w:p w14:paraId="0AF8BC13" w14:textId="77777777" w:rsidR="00225AC7" w:rsidRDefault="00225AC7" w:rsidP="00225AC7">
            <w:pPr>
              <w:pStyle w:val="Prrafodelista"/>
              <w:numPr>
                <w:ilvl w:val="0"/>
                <w:numId w:val="17"/>
              </w:numPr>
              <w:spacing w:line="276" w:lineRule="auto"/>
              <w:jc w:val="both"/>
              <w:rPr>
                <w:rFonts w:ascii="Verdana" w:eastAsia="Aptos" w:hAnsi="Verdana" w:cs="Arial"/>
              </w:rPr>
            </w:pPr>
            <w:r>
              <w:rPr>
                <w:rFonts w:ascii="Verdana" w:eastAsia="Aptos" w:hAnsi="Verdana" w:cs="Arial"/>
              </w:rPr>
              <w:lastRenderedPageBreak/>
              <w:t xml:space="preserve">Ley 1150 de 2007. Artículo 2 numeral 2 literal a. </w:t>
            </w:r>
          </w:p>
          <w:p w14:paraId="0353C9C5" w14:textId="77777777" w:rsidR="00225AC7" w:rsidRPr="00A87E6E" w:rsidRDefault="00225AC7" w:rsidP="00225AC7">
            <w:pPr>
              <w:pStyle w:val="Prrafodelista"/>
              <w:numPr>
                <w:ilvl w:val="0"/>
                <w:numId w:val="17"/>
              </w:numPr>
              <w:spacing w:line="276" w:lineRule="auto"/>
              <w:jc w:val="both"/>
              <w:rPr>
                <w:rFonts w:ascii="Verdana" w:eastAsia="Aptos" w:hAnsi="Verdana" w:cs="Arial"/>
              </w:rPr>
            </w:pPr>
            <w:r w:rsidRPr="00FA1110">
              <w:rPr>
                <w:rFonts w:ascii="Verdana" w:eastAsia="Calibri" w:hAnsi="Verdana" w:cs="Arial"/>
                <w:bCs/>
                <w:color w:val="000000" w:themeColor="text1"/>
                <w:lang w:val="es-ES_tradnl"/>
              </w:rPr>
              <w:t>Ley 2195 de 2022</w:t>
            </w:r>
            <w:r>
              <w:rPr>
                <w:rFonts w:ascii="Verdana" w:eastAsia="Calibri" w:hAnsi="Verdana" w:cs="Arial"/>
                <w:bCs/>
                <w:color w:val="000000" w:themeColor="text1"/>
                <w:lang w:val="es-ES_tradnl"/>
              </w:rPr>
              <w:t>. Artículo 54.</w:t>
            </w:r>
          </w:p>
          <w:p w14:paraId="40704C21" w14:textId="77777777" w:rsidR="00225AC7" w:rsidRPr="00A87E6E" w:rsidRDefault="00225AC7" w:rsidP="00225AC7">
            <w:pPr>
              <w:pStyle w:val="Prrafodelista"/>
              <w:numPr>
                <w:ilvl w:val="0"/>
                <w:numId w:val="17"/>
              </w:numPr>
              <w:spacing w:line="276" w:lineRule="auto"/>
              <w:jc w:val="both"/>
              <w:rPr>
                <w:rFonts w:ascii="Verdana" w:eastAsia="Aptos" w:hAnsi="Verdana" w:cs="Arial"/>
              </w:rPr>
            </w:pPr>
            <w:r w:rsidRPr="00FA1110">
              <w:rPr>
                <w:rFonts w:ascii="Verdana" w:eastAsia="Calibri" w:hAnsi="Verdana" w:cs="Arial"/>
                <w:bCs/>
                <w:color w:val="000000" w:themeColor="text1"/>
                <w:lang w:val="es-ES_tradnl"/>
              </w:rPr>
              <w:t>Ley 1955 de 2019</w:t>
            </w:r>
            <w:r>
              <w:rPr>
                <w:rFonts w:ascii="Verdana" w:eastAsia="Calibri" w:hAnsi="Verdana" w:cs="Arial"/>
                <w:bCs/>
                <w:color w:val="000000" w:themeColor="text1"/>
                <w:lang w:val="es-ES_tradnl"/>
              </w:rPr>
              <w:t>. Artículo 41.</w:t>
            </w:r>
          </w:p>
          <w:p w14:paraId="2F25655C" w14:textId="77777777" w:rsidR="00225AC7" w:rsidRDefault="00225AC7" w:rsidP="00225AC7">
            <w:pPr>
              <w:pStyle w:val="Prrafodelista"/>
              <w:numPr>
                <w:ilvl w:val="0"/>
                <w:numId w:val="17"/>
              </w:numPr>
              <w:spacing w:line="276" w:lineRule="auto"/>
              <w:jc w:val="both"/>
              <w:rPr>
                <w:rFonts w:ascii="Verdana" w:eastAsia="Aptos" w:hAnsi="Verdana" w:cs="Arial"/>
              </w:rPr>
            </w:pPr>
            <w:r w:rsidRPr="00A94D14">
              <w:rPr>
                <w:rFonts w:ascii="Verdana" w:eastAsia="Calibri" w:hAnsi="Verdana" w:cs="Arial"/>
                <w:bCs/>
                <w:color w:val="000000" w:themeColor="text1"/>
              </w:rPr>
              <w:t>Decreto 1082 de 2015</w:t>
            </w:r>
            <w:r>
              <w:rPr>
                <w:rFonts w:ascii="Verdana" w:eastAsia="Calibri" w:hAnsi="Verdana" w:cs="Arial"/>
                <w:bCs/>
                <w:color w:val="000000" w:themeColor="text1"/>
              </w:rPr>
              <w:t xml:space="preserve">. Artículos </w:t>
            </w:r>
            <w:r w:rsidRPr="00A94D14">
              <w:rPr>
                <w:rFonts w:ascii="Verdana" w:eastAsia="Calibri" w:hAnsi="Verdana" w:cs="Arial"/>
                <w:bCs/>
                <w:color w:val="000000" w:themeColor="text1"/>
              </w:rPr>
              <w:t>2.2.1.2.1.2.7</w:t>
            </w:r>
            <w:r>
              <w:rPr>
                <w:rFonts w:ascii="Verdana" w:eastAsia="Calibri" w:hAnsi="Verdana" w:cs="Arial"/>
                <w:bCs/>
                <w:color w:val="000000" w:themeColor="text1"/>
              </w:rPr>
              <w:t>, 2.2.1.2.1.2.9.</w:t>
            </w:r>
          </w:p>
          <w:p w14:paraId="48AE3CF5" w14:textId="77777777" w:rsidR="00225AC7" w:rsidRDefault="00225AC7" w:rsidP="00225AC7">
            <w:pPr>
              <w:pStyle w:val="Prrafodelista"/>
              <w:numPr>
                <w:ilvl w:val="0"/>
                <w:numId w:val="17"/>
              </w:numPr>
              <w:spacing w:line="276" w:lineRule="auto"/>
              <w:jc w:val="both"/>
              <w:rPr>
                <w:rFonts w:ascii="Verdana" w:eastAsia="Aptos" w:hAnsi="Verdana" w:cs="Arial"/>
              </w:rPr>
            </w:pPr>
            <w:r w:rsidRPr="00A87E6E">
              <w:rPr>
                <w:rFonts w:ascii="Verdana" w:eastAsia="Aptos" w:hAnsi="Verdana" w:cs="Arial"/>
              </w:rPr>
              <w:t>Consejo de Estado. Sala de lo Contencioso Administrativo. Sección Tercera. Subsección A. Sentencia del 23 de julio de 2015. Radicado: 11001-03-26-000-2009-00043-00 (36.805). C. P: Hernán Andrade Rincón.</w:t>
            </w:r>
          </w:p>
          <w:p w14:paraId="5F65683B" w14:textId="77777777" w:rsidR="00225AC7" w:rsidRDefault="00225AC7" w:rsidP="00225AC7">
            <w:pPr>
              <w:pStyle w:val="Prrafodelista"/>
              <w:numPr>
                <w:ilvl w:val="0"/>
                <w:numId w:val="17"/>
              </w:numPr>
              <w:spacing w:line="276" w:lineRule="auto"/>
              <w:jc w:val="both"/>
              <w:rPr>
                <w:rFonts w:ascii="Verdana" w:eastAsia="Aptos" w:hAnsi="Verdana" w:cs="Arial"/>
              </w:rPr>
            </w:pPr>
            <w:r w:rsidRPr="00A87E6E">
              <w:rPr>
                <w:rFonts w:ascii="Verdana" w:eastAsia="Aptos" w:hAnsi="Verdana" w:cs="Arial"/>
              </w:rPr>
              <w:t>SUÁREZ BELTRÁN, Gonzalo. Estudios de derecho contractual público. Colombia: Bogotá, 2014.</w:t>
            </w:r>
          </w:p>
          <w:p w14:paraId="505C887B" w14:textId="77777777" w:rsidR="00225AC7" w:rsidRPr="00A87E6E" w:rsidRDefault="00225AC7" w:rsidP="00225AC7">
            <w:pPr>
              <w:pStyle w:val="Prrafodelista"/>
              <w:numPr>
                <w:ilvl w:val="0"/>
                <w:numId w:val="17"/>
              </w:numPr>
              <w:spacing w:line="276" w:lineRule="auto"/>
              <w:jc w:val="both"/>
              <w:rPr>
                <w:rFonts w:ascii="Verdana" w:eastAsia="Aptos" w:hAnsi="Verdana" w:cs="Arial"/>
              </w:rPr>
            </w:pPr>
            <w:r w:rsidRPr="00A87E6E">
              <w:rPr>
                <w:rFonts w:ascii="Verdana" w:eastAsia="Calibri" w:hAnsi="Verdana" w:cs="Arial"/>
              </w:rPr>
              <w:t>Circular Externa No. 004 de 2021 de Colombia Compra Eficiente</w:t>
            </w:r>
            <w:r w:rsidRPr="00A87E6E">
              <w:rPr>
                <w:rFonts w:ascii="Verdana" w:hAnsi="Verdana"/>
              </w:rPr>
              <w:t xml:space="preserve">. Disponible en </w:t>
            </w:r>
            <w:hyperlink r:id="rId12" w:history="1">
              <w:r w:rsidRPr="00A87E6E">
                <w:rPr>
                  <w:rStyle w:val="Hipervnculo"/>
                  <w:rFonts w:ascii="Verdana" w:hAnsi="Verdana"/>
                  <w:lang w:val="es-CO"/>
                </w:rPr>
                <w:t>Circular Externa 004 -2021-Colombiacompraeficiente – ANCP Colombia Compra Eficiente</w:t>
              </w:r>
            </w:hyperlink>
          </w:p>
          <w:p w14:paraId="08ECC9DA" w14:textId="77777777" w:rsidR="00225AC7" w:rsidRPr="00A87E6E" w:rsidRDefault="00225AC7" w:rsidP="00225AC7">
            <w:pPr>
              <w:pStyle w:val="Prrafodelista"/>
              <w:numPr>
                <w:ilvl w:val="0"/>
                <w:numId w:val="17"/>
              </w:numPr>
              <w:spacing w:line="276" w:lineRule="auto"/>
              <w:jc w:val="both"/>
              <w:rPr>
                <w:rFonts w:ascii="Verdana" w:eastAsia="Aptos" w:hAnsi="Verdana" w:cs="Arial"/>
              </w:rPr>
            </w:pPr>
            <w:r w:rsidRPr="00A87E6E">
              <w:rPr>
                <w:rFonts w:ascii="Verdana" w:hAnsi="Verdana"/>
              </w:rPr>
              <w:t xml:space="preserve">Colombia Compra Eficiente. </w:t>
            </w:r>
            <w:r w:rsidRPr="00A87E6E">
              <w:rPr>
                <w:rFonts w:ascii="Verdana" w:hAnsi="Verdana"/>
                <w:bCs/>
              </w:rPr>
              <w:t xml:space="preserve">Guía para entender los instrumentos de agregación de demanda y acuerdos marco de precios. Disponible en </w:t>
            </w:r>
            <w:hyperlink r:id="rId13" w:history="1">
              <w:r w:rsidRPr="00A87E6E">
                <w:rPr>
                  <w:rStyle w:val="Hipervnculo"/>
                  <w:rFonts w:ascii="Verdana" w:hAnsi="Verdana"/>
                  <w:bCs/>
                  <w:lang w:val="es-CO"/>
                </w:rPr>
                <w:t>acuerdos_marco_0.pdf</w:t>
              </w:r>
            </w:hyperlink>
          </w:p>
        </w:tc>
      </w:tr>
    </w:tbl>
    <w:p w14:paraId="00EFE322" w14:textId="77777777" w:rsidR="00225AC7" w:rsidRPr="005644FE" w:rsidRDefault="00225AC7" w:rsidP="00225AC7">
      <w:pPr>
        <w:widowControl w:val="0"/>
        <w:tabs>
          <w:tab w:val="left" w:pos="3828"/>
        </w:tabs>
        <w:autoSpaceDE w:val="0"/>
        <w:autoSpaceDN w:val="0"/>
        <w:spacing w:after="0" w:line="276" w:lineRule="auto"/>
        <w:jc w:val="both"/>
        <w:rPr>
          <w:rFonts w:ascii="Verdana" w:hAnsi="Verdana" w:cs="Arial"/>
        </w:rPr>
      </w:pPr>
    </w:p>
    <w:p w14:paraId="0DE942D5" w14:textId="77777777" w:rsidR="00225AC7" w:rsidRPr="005644FE" w:rsidRDefault="00225AC7" w:rsidP="00225AC7">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48B590B0" w14:textId="77777777" w:rsidR="00225AC7" w:rsidRPr="005644FE" w:rsidRDefault="00225AC7" w:rsidP="00225AC7">
      <w:pPr>
        <w:widowControl w:val="0"/>
        <w:tabs>
          <w:tab w:val="left" w:pos="3828"/>
        </w:tabs>
        <w:autoSpaceDE w:val="0"/>
        <w:autoSpaceDN w:val="0"/>
        <w:spacing w:after="0" w:line="276" w:lineRule="auto"/>
        <w:jc w:val="both"/>
        <w:rPr>
          <w:rFonts w:ascii="Verdana" w:hAnsi="Verdana" w:cs="Arial"/>
          <w:shd w:val="clear" w:color="auto" w:fill="FFFFFF"/>
        </w:rPr>
      </w:pPr>
    </w:p>
    <w:p w14:paraId="787C94D3" w14:textId="77777777" w:rsidR="00225AC7" w:rsidRPr="00C27319" w:rsidRDefault="00225AC7" w:rsidP="00225AC7">
      <w:pPr>
        <w:widowControl w:val="0"/>
        <w:autoSpaceDE w:val="0"/>
        <w:autoSpaceDN w:val="0"/>
        <w:spacing w:after="0" w:line="276" w:lineRule="auto"/>
        <w:jc w:val="both"/>
        <w:rPr>
          <w:rFonts w:ascii="Verdana" w:hAnsi="Verdana" w:cs="Arial"/>
          <w:shd w:val="clear" w:color="auto" w:fill="FFFFFF"/>
          <w:lang w:val="es-ES"/>
        </w:rPr>
      </w:pPr>
      <w:r w:rsidRPr="006C50C1">
        <w:rPr>
          <w:rFonts w:ascii="Verdana" w:eastAsia="Calibri" w:hAnsi="Verdana" w:cs="Arial"/>
        </w:rPr>
        <w:t xml:space="preserve">La Agencia Nacional de Contratación Pública – Colombia Compra Eficiente se ha referido </w:t>
      </w:r>
      <w:r w:rsidRPr="006C50C1">
        <w:rPr>
          <w:rFonts w:ascii="Verdana" w:hAnsi="Verdana" w:cs="Arial"/>
          <w:shd w:val="clear" w:color="auto" w:fill="FFFFFF"/>
        </w:rPr>
        <w:t xml:space="preserve">sobre las particulares de los bienes y servicios de características técnicas uniformes y de común utilización en los conceptos </w:t>
      </w:r>
      <w:r w:rsidRPr="006C50C1">
        <w:rPr>
          <w:rFonts w:ascii="Verdana" w:eastAsia="Calibri" w:hAnsi="Verdana" w:cs="Times New Roman"/>
        </w:rPr>
        <w:t xml:space="preserve">C-597 </w:t>
      </w:r>
      <w:proofErr w:type="gramStart"/>
      <w:r w:rsidRPr="006C50C1">
        <w:rPr>
          <w:rFonts w:ascii="Verdana" w:eastAsia="Calibri" w:hAnsi="Verdana" w:cs="Times New Roman"/>
        </w:rPr>
        <w:t>del  6</w:t>
      </w:r>
      <w:proofErr w:type="gramEnd"/>
      <w:r w:rsidRPr="006C50C1">
        <w:rPr>
          <w:rFonts w:ascii="Verdana" w:eastAsia="Calibri" w:hAnsi="Verdana" w:cs="Times New Roman"/>
        </w:rPr>
        <w:t xml:space="preserve"> de noviembre de 2024, C-108 del 5 de marzo de 2025, C-529 del 10 de junio de 2025, </w:t>
      </w:r>
      <w:r w:rsidRPr="006C50C1">
        <w:rPr>
          <w:rFonts w:ascii="Verdana" w:hAnsi="Verdana" w:cs="Arial"/>
          <w:shd w:val="clear" w:color="auto" w:fill="FFFFFF"/>
        </w:rPr>
        <w:t>entre otros.</w:t>
      </w:r>
      <w:r w:rsidRPr="006C50C1">
        <w:rPr>
          <w:rStyle w:val="normaltextrun"/>
          <w:rFonts w:ascii="Verdana" w:hAnsi="Verdana" w:cs="Arial"/>
          <w:shd w:val="clear" w:color="auto" w:fill="FFFFFF"/>
          <w:lang w:val="es-ES"/>
        </w:rPr>
        <w:t xml:space="preserve"> </w:t>
      </w:r>
      <w:r w:rsidRPr="006C50C1">
        <w:rPr>
          <w:rFonts w:ascii="Verdana" w:hAnsi="Verdana" w:cs="Arial"/>
        </w:rPr>
        <w:t xml:space="preserve">Estos y otros </w:t>
      </w:r>
      <w:r w:rsidRPr="006C50C1">
        <w:rPr>
          <w:rFonts w:ascii="Verdana" w:hAnsi="Verdana"/>
        </w:rPr>
        <w:t>conceptos se encuentran disponibles para consulta en el Sistema de relatoría de la Agencia, al cual se puede acceder a través del siguiente enlace:</w:t>
      </w:r>
      <w:r w:rsidRPr="006C50C1">
        <w:rPr>
          <w:rFonts w:ascii="Verdana" w:hAnsi="Verdana" w:cs="Arial"/>
          <w:shd w:val="clear" w:color="auto" w:fill="FFFFFF"/>
        </w:rPr>
        <w:t xml:space="preserve"> </w:t>
      </w:r>
      <w:hyperlink r:id="rId14" w:history="1">
        <w:r w:rsidRPr="006C50C1">
          <w:rPr>
            <w:rStyle w:val="Hipervnculo"/>
            <w:rFonts w:ascii="Verdana" w:hAnsi="Verdana" w:cs="Arial"/>
            <w:shd w:val="clear" w:color="auto" w:fill="FFFFFF"/>
          </w:rPr>
          <w:t>https://relatoria.colombiacompra.gov.co/busqueda/conceptos</w:t>
        </w:r>
      </w:hyperlink>
      <w:r w:rsidRPr="006C50C1">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5E6665ED" w14:textId="77777777" w:rsidR="00225AC7" w:rsidRPr="006B4FA1" w:rsidRDefault="00225AC7" w:rsidP="00225AC7">
      <w:pPr>
        <w:spacing w:after="0" w:line="276" w:lineRule="auto"/>
        <w:jc w:val="both"/>
        <w:rPr>
          <w:rFonts w:ascii="Verdana" w:eastAsia="Century Gothic" w:hAnsi="Verdana" w:cs="Century Gothic"/>
        </w:rPr>
      </w:pPr>
    </w:p>
    <w:p w14:paraId="196117EE" w14:textId="77777777" w:rsidR="00225AC7" w:rsidRPr="00116940" w:rsidRDefault="00225AC7" w:rsidP="00225AC7">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CDFCF57" w14:textId="77777777" w:rsidR="00225AC7" w:rsidRPr="00116940" w:rsidRDefault="00225AC7" w:rsidP="00225AC7">
      <w:pPr>
        <w:spacing w:after="0"/>
        <w:jc w:val="both"/>
        <w:rPr>
          <w:rFonts w:ascii="Verdana" w:hAnsi="Verdana"/>
        </w:rPr>
      </w:pPr>
    </w:p>
    <w:p w14:paraId="71221A30" w14:textId="77777777" w:rsidR="00225AC7" w:rsidRPr="00116940" w:rsidRDefault="00225AC7" w:rsidP="00225AC7">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4539E9F" w14:textId="77777777" w:rsidR="00225AC7" w:rsidRPr="00116940" w:rsidRDefault="00225AC7" w:rsidP="00225AC7">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6F904EA" w14:textId="77777777" w:rsidR="00225AC7" w:rsidRPr="00116940" w:rsidRDefault="00225AC7" w:rsidP="00225AC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lastRenderedPageBreak/>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2A3E65F7" w14:textId="77777777" w:rsidR="00225AC7" w:rsidRPr="00116940" w:rsidRDefault="00225AC7" w:rsidP="00225AC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36DA9038" w14:textId="77777777" w:rsidR="00225AC7" w:rsidRPr="00116940" w:rsidRDefault="00225AC7" w:rsidP="00225AC7">
      <w:pPr>
        <w:spacing w:after="0" w:line="240" w:lineRule="auto"/>
        <w:ind w:left="720"/>
        <w:jc w:val="both"/>
        <w:rPr>
          <w:rFonts w:ascii="Verdana" w:hAnsi="Verdana"/>
        </w:rPr>
      </w:pPr>
    </w:p>
    <w:p w14:paraId="79DB85DD" w14:textId="77777777" w:rsidR="00225AC7" w:rsidRPr="00116940" w:rsidRDefault="00225AC7" w:rsidP="00225AC7">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5AB6119" w14:textId="77777777" w:rsidR="00225AC7" w:rsidRPr="00116940" w:rsidRDefault="00225AC7" w:rsidP="00225AC7">
      <w:pPr>
        <w:spacing w:after="0" w:line="240" w:lineRule="auto"/>
        <w:rPr>
          <w:rFonts w:ascii="Verdana" w:hAnsi="Verdana"/>
        </w:rPr>
      </w:pPr>
    </w:p>
    <w:p w14:paraId="4AB8F8FD" w14:textId="77777777" w:rsidR="00225AC7" w:rsidRPr="00116940" w:rsidRDefault="00225AC7" w:rsidP="00225AC7">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534D3F5" w14:textId="77777777" w:rsidR="00225AC7" w:rsidRPr="00116940" w:rsidRDefault="00225AC7" w:rsidP="00225AC7">
      <w:pPr>
        <w:spacing w:after="0" w:line="240" w:lineRule="auto"/>
        <w:jc w:val="both"/>
        <w:rPr>
          <w:rFonts w:ascii="Verdana" w:hAnsi="Verdana"/>
        </w:rPr>
      </w:pPr>
    </w:p>
    <w:p w14:paraId="46B433DF" w14:textId="77777777" w:rsidR="00225AC7" w:rsidRPr="00116940" w:rsidRDefault="00225AC7" w:rsidP="00225AC7">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A36D200" w14:textId="77777777" w:rsidR="00225AC7" w:rsidRPr="00116940" w:rsidRDefault="00225AC7" w:rsidP="00225AC7">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422F142" w14:textId="77777777" w:rsidR="00225AC7" w:rsidRPr="00116940" w:rsidRDefault="00225AC7" w:rsidP="00225AC7">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B8E7812" w14:textId="77777777" w:rsidR="00225AC7" w:rsidRPr="00116940" w:rsidRDefault="00225AC7" w:rsidP="00225AC7">
      <w:pPr>
        <w:spacing w:after="0" w:line="240" w:lineRule="auto"/>
        <w:jc w:val="both"/>
        <w:rPr>
          <w:rFonts w:ascii="Verdana" w:hAnsi="Verdana"/>
        </w:rPr>
      </w:pPr>
    </w:p>
    <w:p w14:paraId="23A13790" w14:textId="77777777" w:rsidR="00225AC7" w:rsidRDefault="00225AC7" w:rsidP="00225AC7">
      <w:pPr>
        <w:spacing w:after="0" w:line="240" w:lineRule="auto"/>
        <w:jc w:val="both"/>
        <w:rPr>
          <w:rFonts w:ascii="Verdana" w:hAnsi="Verdana"/>
          <w:lang w:val="es-MX"/>
        </w:rPr>
      </w:pPr>
    </w:p>
    <w:p w14:paraId="7ADD4DE0" w14:textId="77777777" w:rsidR="00225AC7" w:rsidRPr="00E02524" w:rsidRDefault="00225AC7" w:rsidP="00225AC7">
      <w:pPr>
        <w:spacing w:after="0" w:line="240" w:lineRule="auto"/>
        <w:jc w:val="both"/>
        <w:rPr>
          <w:rFonts w:ascii="Verdana" w:hAnsi="Verdana"/>
          <w:lang w:val="es-MX"/>
        </w:rPr>
      </w:pPr>
      <w:r w:rsidRPr="00E02524">
        <w:rPr>
          <w:rFonts w:ascii="Verdana" w:hAnsi="Verdana"/>
          <w:lang w:val="es-MX"/>
        </w:rPr>
        <w:t>Cordialmente,</w:t>
      </w:r>
    </w:p>
    <w:p w14:paraId="17017DEB" w14:textId="77777777" w:rsidR="00225AC7" w:rsidRPr="005644FE" w:rsidRDefault="00225AC7" w:rsidP="00225AC7">
      <w:pPr>
        <w:spacing w:after="0" w:line="276" w:lineRule="auto"/>
        <w:jc w:val="both"/>
        <w:rPr>
          <w:rFonts w:ascii="Verdana" w:eastAsia="Calibri" w:hAnsi="Verdana" w:cs="Times New Roman"/>
        </w:rPr>
      </w:pPr>
    </w:p>
    <w:p w14:paraId="2F485772" w14:textId="5534D948" w:rsidR="00225AC7" w:rsidRDefault="00522A94" w:rsidP="00225AC7">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67808774" wp14:editId="48D96759">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8"/>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225AC7" w:rsidRPr="005644FE" w14:paraId="51E57392" w14:textId="77777777" w:rsidTr="007A1D3C">
        <w:trPr>
          <w:trHeight w:val="315"/>
        </w:trPr>
        <w:tc>
          <w:tcPr>
            <w:tcW w:w="893" w:type="dxa"/>
            <w:vAlign w:val="center"/>
            <w:hideMark/>
          </w:tcPr>
          <w:p w14:paraId="054F774D" w14:textId="77777777" w:rsidR="00225AC7" w:rsidRPr="005644FE" w:rsidRDefault="00225AC7" w:rsidP="007A1D3C">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54A07201" w14:textId="77777777" w:rsidR="00225AC7" w:rsidRPr="005644FE" w:rsidRDefault="00225AC7" w:rsidP="007A1D3C">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2A427093" w14:textId="77777777" w:rsidR="00225AC7" w:rsidRPr="005644FE" w:rsidRDefault="00225AC7" w:rsidP="007A1D3C">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225AC7" w:rsidRPr="005644FE" w14:paraId="3022AE32" w14:textId="77777777" w:rsidTr="007A1D3C">
        <w:trPr>
          <w:trHeight w:val="330"/>
        </w:trPr>
        <w:tc>
          <w:tcPr>
            <w:tcW w:w="893" w:type="dxa"/>
            <w:vAlign w:val="center"/>
            <w:hideMark/>
          </w:tcPr>
          <w:p w14:paraId="6A8F7C68" w14:textId="77777777" w:rsidR="00225AC7" w:rsidRPr="005644FE" w:rsidRDefault="00225AC7" w:rsidP="007A1D3C">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DA48FDA" w14:textId="77777777" w:rsidR="00225AC7" w:rsidRPr="006C50C1" w:rsidRDefault="00225AC7" w:rsidP="007A1D3C">
            <w:pPr>
              <w:pStyle w:val="paragraph"/>
              <w:spacing w:before="0" w:beforeAutospacing="0" w:after="0" w:afterAutospacing="0"/>
              <w:contextualSpacing/>
              <w:textAlignment w:val="baseline"/>
              <w:rPr>
                <w:rStyle w:val="normaltextrun"/>
                <w:rFonts w:ascii="Verdana" w:hAnsi="Verdana"/>
                <w:sz w:val="16"/>
                <w:szCs w:val="16"/>
              </w:rPr>
            </w:pPr>
            <w:r w:rsidRPr="006C50C1">
              <w:rPr>
                <w:rStyle w:val="normaltextrun"/>
                <w:rFonts w:ascii="Verdana" w:hAnsi="Verdana"/>
                <w:sz w:val="16"/>
                <w:szCs w:val="16"/>
              </w:rPr>
              <w:t>Juan Carlos González Vásquez</w:t>
            </w:r>
          </w:p>
          <w:p w14:paraId="4D2F7184" w14:textId="77777777" w:rsidR="00225AC7" w:rsidRPr="005644FE" w:rsidRDefault="00225AC7" w:rsidP="007A1D3C">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225AC7" w:rsidRPr="005644FE" w14:paraId="72D1F479" w14:textId="77777777" w:rsidTr="007A1D3C">
        <w:trPr>
          <w:trHeight w:val="300"/>
        </w:trPr>
        <w:tc>
          <w:tcPr>
            <w:tcW w:w="893" w:type="dxa"/>
            <w:vAlign w:val="center"/>
          </w:tcPr>
          <w:p w14:paraId="3D817474" w14:textId="77777777" w:rsidR="00225AC7" w:rsidRPr="005644FE" w:rsidRDefault="00225AC7" w:rsidP="007A1D3C">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A5D5A23" w14:textId="77777777" w:rsidR="00225AC7" w:rsidRPr="005644FE" w:rsidRDefault="00225AC7" w:rsidP="007A1D3C">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 xml:space="preserve">Carolina Quintero </w:t>
            </w:r>
            <w:proofErr w:type="spellStart"/>
            <w:r w:rsidRPr="005644FE">
              <w:rPr>
                <w:rFonts w:ascii="Verdana" w:eastAsia="Calibri" w:hAnsi="Verdana" w:cs="Arial"/>
                <w:sz w:val="16"/>
                <w:szCs w:val="16"/>
                <w:lang w:eastAsia="es-ES"/>
              </w:rPr>
              <w:t>Gacharná</w:t>
            </w:r>
            <w:proofErr w:type="spellEnd"/>
          </w:p>
          <w:p w14:paraId="5A57BBF1" w14:textId="77777777" w:rsidR="00225AC7" w:rsidRPr="005644FE" w:rsidRDefault="00225AC7" w:rsidP="007A1D3C">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7B9CC3AF" w14:textId="77777777" w:rsidR="00225AC7" w:rsidRDefault="00225AC7" w:rsidP="00225AC7"/>
    <w:p w14:paraId="480C08FC" w14:textId="77777777" w:rsidR="00225AC7" w:rsidRPr="005644FE" w:rsidRDefault="00225AC7" w:rsidP="00225AC7"/>
    <w:bookmarkEnd w:id="0"/>
    <w:p w14:paraId="0F293BF4" w14:textId="0EDAEABA" w:rsidR="00127233" w:rsidRPr="00351C8A" w:rsidRDefault="00127233" w:rsidP="00351C8A"/>
    <w:sectPr w:rsidR="00127233" w:rsidRPr="00351C8A"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4D880" w14:textId="77777777" w:rsidR="001925AD" w:rsidRDefault="001925AD" w:rsidP="004A1847">
      <w:pPr>
        <w:spacing w:after="0" w:line="240" w:lineRule="auto"/>
      </w:pPr>
      <w:r>
        <w:separator/>
      </w:r>
    </w:p>
  </w:endnote>
  <w:endnote w:type="continuationSeparator" w:id="0">
    <w:p w14:paraId="266A2EBE" w14:textId="77777777" w:rsidR="001925AD" w:rsidRDefault="001925A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C6F94" w14:textId="77777777" w:rsidR="001925AD" w:rsidRDefault="001925AD" w:rsidP="004A1847">
      <w:pPr>
        <w:spacing w:after="0" w:line="240" w:lineRule="auto"/>
      </w:pPr>
      <w:r>
        <w:separator/>
      </w:r>
    </w:p>
  </w:footnote>
  <w:footnote w:type="continuationSeparator" w:id="0">
    <w:p w14:paraId="6D98257F" w14:textId="77777777" w:rsidR="001925AD" w:rsidRDefault="001925AD" w:rsidP="004A1847">
      <w:pPr>
        <w:spacing w:after="0" w:line="240" w:lineRule="auto"/>
      </w:pPr>
      <w:r>
        <w:continuationSeparator/>
      </w:r>
    </w:p>
  </w:footnote>
  <w:footnote w:id="1">
    <w:p w14:paraId="78314A55" w14:textId="77777777" w:rsidR="00225AC7" w:rsidRDefault="00225AC7" w:rsidP="00225AC7">
      <w:pPr>
        <w:pStyle w:val="Textonotapie"/>
        <w:ind w:firstLine="708"/>
        <w:jc w:val="both"/>
        <w:rPr>
          <w:rFonts w:ascii="Verdana" w:hAnsi="Verdana" w:cs="Arial"/>
          <w:sz w:val="16"/>
          <w:szCs w:val="16"/>
        </w:rPr>
      </w:pPr>
      <w:r w:rsidRPr="006755D1">
        <w:rPr>
          <w:rStyle w:val="Refdenotaalpie"/>
          <w:rFonts w:ascii="Verdana" w:hAnsi="Verdana" w:cs="Arial"/>
          <w:sz w:val="16"/>
          <w:szCs w:val="16"/>
        </w:rPr>
        <w:footnoteRef/>
      </w:r>
      <w:r w:rsidRPr="006755D1">
        <w:rPr>
          <w:rFonts w:ascii="Verdana" w:hAnsi="Verdana" w:cs="Arial"/>
          <w:sz w:val="16"/>
          <w:szCs w:val="16"/>
        </w:rPr>
        <w:t xml:space="preserve"> El inciso primero de norma disponía que, conforme al principio de transparencia, “</w:t>
      </w:r>
      <w:r w:rsidRPr="006755D1">
        <w:rPr>
          <w:rFonts w:ascii="Verdana" w:hAnsi="Verdana" w:cs="Arial"/>
          <w:i/>
          <w:iCs/>
          <w:sz w:val="16"/>
          <w:szCs w:val="16"/>
        </w:rPr>
        <w:t>La escogencia del contratista se efectuará siempre a través de licitación o concurso públicos</w:t>
      </w:r>
      <w:r w:rsidRPr="006755D1">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p w14:paraId="15FD8E86" w14:textId="77777777" w:rsidR="00225AC7" w:rsidRPr="006755D1" w:rsidRDefault="00225AC7" w:rsidP="00225AC7">
      <w:pPr>
        <w:pStyle w:val="Textonotapie"/>
        <w:ind w:firstLine="708"/>
        <w:jc w:val="both"/>
        <w:rPr>
          <w:rFonts w:ascii="Verdana" w:hAnsi="Verdana" w:cs="Arial"/>
          <w:sz w:val="16"/>
          <w:szCs w:val="16"/>
        </w:rPr>
      </w:pPr>
    </w:p>
  </w:footnote>
  <w:footnote w:id="2">
    <w:p w14:paraId="3B517708" w14:textId="77777777" w:rsidR="00225AC7" w:rsidRPr="006755D1" w:rsidRDefault="00225AC7" w:rsidP="00225AC7">
      <w:pPr>
        <w:pStyle w:val="Textonotapie"/>
        <w:ind w:firstLine="708"/>
        <w:jc w:val="both"/>
        <w:rPr>
          <w:rFonts w:ascii="Verdana" w:hAnsi="Verdana" w:cs="Arial"/>
          <w:sz w:val="16"/>
          <w:szCs w:val="16"/>
        </w:rPr>
      </w:pPr>
      <w:r w:rsidRPr="006755D1">
        <w:rPr>
          <w:rStyle w:val="Refdenotaalpie"/>
          <w:sz w:val="16"/>
          <w:szCs w:val="16"/>
        </w:rPr>
        <w:footnoteRef/>
      </w:r>
      <w:r w:rsidRPr="006755D1">
        <w:rPr>
          <w:sz w:val="16"/>
          <w:szCs w:val="16"/>
        </w:rPr>
        <w:t xml:space="preserve"> </w:t>
      </w:r>
      <w:r w:rsidRPr="006755D1">
        <w:rPr>
          <w:rFonts w:ascii="Verdana" w:hAnsi="Verdana" w:cs="Arial"/>
          <w:sz w:val="16"/>
          <w:szCs w:val="16"/>
        </w:rPr>
        <w:t xml:space="preserve">El numeral 2 del artículo 2 de la Ley 1150 de 2007 prescribe: </w:t>
      </w:r>
      <w:r w:rsidRPr="006755D1">
        <w:rPr>
          <w:rFonts w:ascii="Verdana" w:hAnsi="Verdana"/>
          <w:sz w:val="16"/>
          <w:szCs w:val="16"/>
        </w:rPr>
        <w:t xml:space="preserve">“[…] </w:t>
      </w:r>
      <w:r w:rsidRPr="006755D1">
        <w:rPr>
          <w:rFonts w:ascii="Verdana" w:hAnsi="Verdana" w:cs="Arial"/>
          <w:sz w:val="16"/>
          <w:szCs w:val="16"/>
        </w:rPr>
        <w:t>Serán causales de selección abreviada las siguientes:</w:t>
      </w:r>
    </w:p>
    <w:p w14:paraId="3F504B44"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066455FC"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524355B3"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7C3B93DB"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w:t>
      </w:r>
    </w:p>
    <w:p w14:paraId="14A444FA"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7CF6ED94"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280540E7"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e) La enajenación de bienes del Estado, con excepción de aquellos a que se refiere la Ley 226 de 1995.</w:t>
      </w:r>
    </w:p>
    <w:p w14:paraId="6C979463"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 xml:space="preserve">[…]; </w:t>
      </w:r>
    </w:p>
    <w:p w14:paraId="0E249C32"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 xml:space="preserve">f) Productos de origen o destinación agropecuarios que se ofrezcan en las bolsas de productos legalmente constituidas; </w:t>
      </w:r>
    </w:p>
    <w:p w14:paraId="2D88D1F4"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74EB426C"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00601FB3" w14:textId="77777777" w:rsidR="00225AC7" w:rsidRPr="006755D1"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i) La contratación de bienes y servicios que se requieran para la defensa y seguridad nacional.</w:t>
      </w:r>
    </w:p>
    <w:p w14:paraId="02ACD040" w14:textId="77777777" w:rsidR="00225AC7" w:rsidRDefault="00225AC7" w:rsidP="00225AC7">
      <w:pPr>
        <w:pStyle w:val="Textonotapie"/>
        <w:ind w:firstLine="708"/>
        <w:jc w:val="both"/>
        <w:rPr>
          <w:rFonts w:ascii="Verdana" w:hAnsi="Verdana" w:cs="Arial"/>
          <w:sz w:val="16"/>
          <w:szCs w:val="16"/>
        </w:rPr>
      </w:pPr>
      <w:r w:rsidRPr="006755D1">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p w14:paraId="3ABDDFE6" w14:textId="77777777" w:rsidR="00225AC7" w:rsidRPr="006755D1" w:rsidRDefault="00225AC7" w:rsidP="00225AC7">
      <w:pPr>
        <w:pStyle w:val="Textonotapie"/>
        <w:ind w:firstLine="708"/>
        <w:jc w:val="both"/>
        <w:rPr>
          <w:rFonts w:ascii="Verdana" w:hAnsi="Verdana" w:cs="Arial"/>
          <w:sz w:val="16"/>
          <w:szCs w:val="16"/>
        </w:rPr>
      </w:pPr>
    </w:p>
  </w:footnote>
  <w:footnote w:id="3">
    <w:p w14:paraId="214348B2" w14:textId="77777777" w:rsidR="00225AC7" w:rsidRDefault="00225AC7" w:rsidP="00225AC7">
      <w:pPr>
        <w:pStyle w:val="Textonotapie"/>
        <w:ind w:firstLine="708"/>
        <w:jc w:val="both"/>
        <w:rPr>
          <w:rFonts w:ascii="Verdana" w:hAnsi="Verdana" w:cs="Arial"/>
          <w:sz w:val="16"/>
          <w:szCs w:val="16"/>
        </w:rPr>
      </w:pPr>
      <w:r w:rsidRPr="006755D1">
        <w:rPr>
          <w:rStyle w:val="Refdenotaalpie"/>
          <w:rFonts w:ascii="Verdana" w:hAnsi="Verdana"/>
          <w:sz w:val="16"/>
          <w:szCs w:val="16"/>
        </w:rPr>
        <w:footnoteRef/>
      </w:r>
      <w:r w:rsidRPr="006755D1">
        <w:rPr>
          <w:rFonts w:ascii="Verdana" w:hAnsi="Verdana"/>
          <w:sz w:val="16"/>
          <w:szCs w:val="16"/>
        </w:rPr>
        <w:t xml:space="preserve"> </w:t>
      </w:r>
      <w:r w:rsidRPr="006755D1">
        <w:rPr>
          <w:rFonts w:ascii="Verdana" w:hAnsi="Verdana" w:cs="Arial"/>
          <w:sz w:val="16"/>
          <w:szCs w:val="16"/>
        </w:rPr>
        <w:t xml:space="preserve">CONGRESO DE LA REPÚBLICA. Exposición de motivos de la Ley 1150 de 2007. Gaceta del Congreso No. 458 del 1º de agosto de 2005. p. 8. </w:t>
      </w:r>
    </w:p>
    <w:p w14:paraId="2D489986" w14:textId="77777777" w:rsidR="00225AC7" w:rsidRPr="006755D1" w:rsidRDefault="00225AC7" w:rsidP="00225AC7">
      <w:pPr>
        <w:pStyle w:val="Textonotapie"/>
        <w:ind w:firstLine="708"/>
        <w:jc w:val="both"/>
        <w:rPr>
          <w:rFonts w:ascii="Verdana" w:hAnsi="Verdana" w:cs="Arial"/>
          <w:sz w:val="16"/>
          <w:szCs w:val="16"/>
        </w:rPr>
      </w:pPr>
    </w:p>
  </w:footnote>
  <w:footnote w:id="4">
    <w:p w14:paraId="553680BF" w14:textId="77777777" w:rsidR="00225AC7" w:rsidRDefault="00225AC7" w:rsidP="00225AC7">
      <w:pPr>
        <w:pStyle w:val="Textonotapie"/>
        <w:ind w:firstLine="708"/>
        <w:jc w:val="both"/>
        <w:rPr>
          <w:rFonts w:ascii="Verdana" w:hAnsi="Verdana" w:cs="Arial"/>
          <w:sz w:val="16"/>
          <w:szCs w:val="16"/>
        </w:rPr>
      </w:pPr>
      <w:r w:rsidRPr="006755D1">
        <w:rPr>
          <w:rStyle w:val="Refdenotaalpie"/>
          <w:rFonts w:ascii="Verdana" w:hAnsi="Verdana"/>
          <w:sz w:val="16"/>
          <w:szCs w:val="16"/>
        </w:rPr>
        <w:footnoteRef/>
      </w:r>
      <w:r w:rsidRPr="006755D1">
        <w:rPr>
          <w:rFonts w:ascii="Verdana" w:hAnsi="Verdana"/>
          <w:sz w:val="16"/>
          <w:szCs w:val="16"/>
        </w:rPr>
        <w:t xml:space="preserve"> </w:t>
      </w:r>
      <w:r>
        <w:rPr>
          <w:rFonts w:ascii="Verdana" w:hAnsi="Verdana" w:cs="Arial"/>
          <w:sz w:val="16"/>
          <w:szCs w:val="16"/>
        </w:rPr>
        <w:t>Consejo de Estado. Sala de lo Contencioso Administrativo</w:t>
      </w:r>
      <w:r w:rsidRPr="006755D1">
        <w:rPr>
          <w:rFonts w:ascii="Verdana" w:hAnsi="Verdana" w:cs="Arial"/>
          <w:sz w:val="16"/>
          <w:szCs w:val="16"/>
        </w:rPr>
        <w:t xml:space="preserve">. Sección Tercera. Subsección A. Sentencia del 23 de julio de 2015. </w:t>
      </w:r>
      <w:r>
        <w:rPr>
          <w:rFonts w:ascii="Verdana" w:hAnsi="Verdana" w:cs="Arial"/>
          <w:sz w:val="16"/>
          <w:szCs w:val="16"/>
        </w:rPr>
        <w:t xml:space="preserve">Radicado: </w:t>
      </w:r>
      <w:r w:rsidRPr="00D941FF">
        <w:rPr>
          <w:rFonts w:ascii="Verdana" w:hAnsi="Verdana" w:cs="Arial"/>
          <w:sz w:val="16"/>
          <w:szCs w:val="16"/>
          <w:lang w:val="es-CO"/>
        </w:rPr>
        <w:t>11001-03-26-000-2009-00043-00</w:t>
      </w:r>
      <w:r>
        <w:rPr>
          <w:rFonts w:ascii="Verdana" w:hAnsi="Verdana" w:cs="Arial"/>
          <w:sz w:val="16"/>
          <w:szCs w:val="16"/>
          <w:lang w:val="es-CO"/>
        </w:rPr>
        <w:t xml:space="preserve"> (</w:t>
      </w:r>
      <w:r w:rsidRPr="006755D1">
        <w:rPr>
          <w:rFonts w:ascii="Verdana" w:hAnsi="Verdana" w:cs="Arial"/>
          <w:sz w:val="16"/>
          <w:szCs w:val="16"/>
        </w:rPr>
        <w:t>36.805</w:t>
      </w:r>
      <w:r>
        <w:rPr>
          <w:rFonts w:ascii="Verdana" w:hAnsi="Verdana" w:cs="Arial"/>
          <w:sz w:val="16"/>
          <w:szCs w:val="16"/>
        </w:rPr>
        <w:t>)</w:t>
      </w:r>
      <w:r w:rsidRPr="006755D1">
        <w:rPr>
          <w:rFonts w:ascii="Verdana" w:hAnsi="Verdana" w:cs="Arial"/>
          <w:sz w:val="16"/>
          <w:szCs w:val="16"/>
        </w:rPr>
        <w:t>. C. P</w:t>
      </w:r>
      <w:r>
        <w:rPr>
          <w:rFonts w:ascii="Verdana" w:hAnsi="Verdana" w:cs="Arial"/>
          <w:sz w:val="16"/>
          <w:szCs w:val="16"/>
        </w:rPr>
        <w:t>:</w:t>
      </w:r>
      <w:r w:rsidRPr="006755D1">
        <w:rPr>
          <w:rFonts w:ascii="Verdana" w:hAnsi="Verdana" w:cs="Arial"/>
          <w:sz w:val="16"/>
          <w:szCs w:val="16"/>
        </w:rPr>
        <w:t xml:space="preserve"> Hernán Andrade Rincón. </w:t>
      </w:r>
    </w:p>
    <w:p w14:paraId="26F5FBC6" w14:textId="77777777" w:rsidR="00225AC7" w:rsidRPr="006755D1" w:rsidRDefault="00225AC7" w:rsidP="00225AC7">
      <w:pPr>
        <w:pStyle w:val="Textonotapie"/>
        <w:ind w:firstLine="708"/>
        <w:jc w:val="both"/>
        <w:rPr>
          <w:rFonts w:ascii="Verdana" w:hAnsi="Verdana" w:cs="Arial"/>
          <w:sz w:val="16"/>
          <w:szCs w:val="16"/>
        </w:rPr>
      </w:pPr>
    </w:p>
  </w:footnote>
  <w:footnote w:id="5">
    <w:p w14:paraId="45C8B358" w14:textId="77777777" w:rsidR="00225AC7" w:rsidRPr="006755D1" w:rsidRDefault="00225AC7" w:rsidP="00225AC7">
      <w:pPr>
        <w:pStyle w:val="Textonotapie"/>
        <w:ind w:firstLine="708"/>
        <w:jc w:val="both"/>
        <w:rPr>
          <w:rFonts w:ascii="Verdana" w:hAnsi="Verdana"/>
          <w:sz w:val="16"/>
          <w:szCs w:val="16"/>
          <w:lang w:val="es-CO"/>
        </w:rPr>
      </w:pPr>
      <w:r w:rsidRPr="006755D1">
        <w:rPr>
          <w:rStyle w:val="Refdenotaalpie"/>
          <w:rFonts w:ascii="Verdana" w:hAnsi="Verdana"/>
          <w:sz w:val="16"/>
          <w:szCs w:val="16"/>
        </w:rPr>
        <w:footnoteRef/>
      </w:r>
      <w:r w:rsidRPr="006755D1">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6755D1">
        <w:rPr>
          <w:rFonts w:ascii="Verdana" w:hAnsi="Verdana"/>
          <w:i/>
          <w:iCs/>
          <w:sz w:val="16"/>
          <w:szCs w:val="16"/>
        </w:rPr>
        <w:t>las palabras de la ley se entenderán en su sentido natural y obvio, según el uso general de las mismas palabras</w:t>
      </w:r>
      <w:r w:rsidRPr="006755D1">
        <w:rPr>
          <w:rFonts w:ascii="Verdana" w:hAnsi="Verdana"/>
          <w:sz w:val="16"/>
          <w:szCs w:val="16"/>
        </w:rPr>
        <w:t>’, es decir, el uso de la gente educada. El Diccionario de la Lengua publicado por la Real Academia Española goza a este respecto de gran autoridad. ‘</w:t>
      </w:r>
      <w:r w:rsidRPr="006755D1">
        <w:rPr>
          <w:rFonts w:ascii="Verdana" w:hAnsi="Verdana"/>
          <w:i/>
          <w:iCs/>
          <w:sz w:val="16"/>
          <w:szCs w:val="16"/>
        </w:rPr>
        <w:t>Pero cuando el legislador</w:t>
      </w:r>
      <w:r w:rsidRPr="006755D1">
        <w:rPr>
          <w:rFonts w:ascii="Verdana" w:hAnsi="Verdana"/>
          <w:sz w:val="16"/>
          <w:szCs w:val="16"/>
        </w:rPr>
        <w:t xml:space="preserve">, agrega el artículo 20, </w:t>
      </w:r>
      <w:r w:rsidRPr="006755D1">
        <w:rPr>
          <w:rFonts w:ascii="Verdana" w:hAnsi="Verdana"/>
          <w:i/>
          <w:iCs/>
          <w:sz w:val="16"/>
          <w:szCs w:val="16"/>
        </w:rPr>
        <w:t>las haya definido expresamente para ciertas materias se les dará en éstas su significado legal</w:t>
      </w:r>
      <w:r w:rsidRPr="006755D1">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6">
    <w:p w14:paraId="3F951DB2" w14:textId="77777777" w:rsidR="00225AC7" w:rsidRPr="006755D1" w:rsidRDefault="00225AC7" w:rsidP="00225AC7">
      <w:pPr>
        <w:pStyle w:val="Textonotapie"/>
        <w:ind w:firstLine="708"/>
        <w:jc w:val="both"/>
        <w:rPr>
          <w:rFonts w:ascii="Verdana" w:hAnsi="Verdana"/>
          <w:sz w:val="16"/>
          <w:szCs w:val="16"/>
        </w:rPr>
      </w:pPr>
      <w:r w:rsidRPr="006755D1">
        <w:rPr>
          <w:rStyle w:val="Refdenotaalpie"/>
          <w:rFonts w:ascii="Verdana" w:hAnsi="Verdana"/>
          <w:sz w:val="16"/>
          <w:szCs w:val="16"/>
        </w:rPr>
        <w:footnoteRef/>
      </w:r>
      <w:r w:rsidRPr="006755D1">
        <w:rPr>
          <w:rFonts w:ascii="Verdana" w:hAnsi="Verdana"/>
          <w:sz w:val="16"/>
          <w:szCs w:val="16"/>
        </w:rPr>
        <w:t xml:space="preserve"> SUÁREZ BELTRÁN, Gonzalo. Estudios de derecho contractual público. Colombia: Bogotá, 2014. p. 72.</w:t>
      </w:r>
    </w:p>
  </w:footnote>
  <w:footnote w:id="7">
    <w:p w14:paraId="56A110A0" w14:textId="77777777" w:rsidR="00225AC7" w:rsidRPr="006755D1" w:rsidRDefault="00225AC7" w:rsidP="00225AC7">
      <w:pPr>
        <w:pStyle w:val="Textonotapie"/>
        <w:ind w:firstLine="708"/>
        <w:jc w:val="both"/>
        <w:rPr>
          <w:rFonts w:ascii="Verdana" w:hAnsi="Verdana"/>
          <w:sz w:val="16"/>
          <w:szCs w:val="16"/>
          <w:lang w:val="es-CO"/>
        </w:rPr>
      </w:pPr>
      <w:r w:rsidRPr="006755D1">
        <w:rPr>
          <w:rStyle w:val="Refdenotaalpie"/>
          <w:rFonts w:ascii="Verdana" w:hAnsi="Verdana"/>
          <w:sz w:val="16"/>
          <w:szCs w:val="16"/>
        </w:rPr>
        <w:footnoteRef/>
      </w:r>
      <w:r w:rsidRPr="006755D1">
        <w:rPr>
          <w:rFonts w:ascii="Verdana" w:hAnsi="Verdana"/>
          <w:sz w:val="16"/>
          <w:szCs w:val="16"/>
        </w:rPr>
        <w:t xml:space="preserve"> </w:t>
      </w:r>
      <w:r w:rsidRPr="006755D1">
        <w:rPr>
          <w:rFonts w:ascii="Verdana" w:hAnsi="Verdana"/>
          <w:i/>
          <w:iCs/>
          <w:sz w:val="16"/>
          <w:szCs w:val="16"/>
        </w:rPr>
        <w:t>Ibidem</w:t>
      </w:r>
      <w:r w:rsidRPr="006755D1">
        <w:rPr>
          <w:rFonts w:ascii="Verdana" w:hAnsi="Verdana"/>
          <w:sz w:val="16"/>
          <w:szCs w:val="16"/>
        </w:rPr>
        <w:t>.</w:t>
      </w:r>
    </w:p>
  </w:footnote>
  <w:footnote w:id="8">
    <w:p w14:paraId="7C07B798" w14:textId="77777777" w:rsidR="00225AC7" w:rsidRDefault="00225AC7" w:rsidP="00225AC7">
      <w:pPr>
        <w:pStyle w:val="Textonotapie"/>
        <w:ind w:firstLine="708"/>
        <w:jc w:val="both"/>
        <w:rPr>
          <w:rFonts w:ascii="Verdana" w:hAnsi="Verdana" w:cs="Arial"/>
          <w:sz w:val="16"/>
          <w:szCs w:val="16"/>
        </w:rPr>
      </w:pPr>
      <w:r w:rsidRPr="006755D1">
        <w:rPr>
          <w:rStyle w:val="Refdenotaalpie"/>
          <w:rFonts w:ascii="Verdana" w:hAnsi="Verdana"/>
          <w:sz w:val="16"/>
          <w:szCs w:val="16"/>
        </w:rPr>
        <w:footnoteRef/>
      </w:r>
      <w:r w:rsidRPr="006755D1">
        <w:rPr>
          <w:rFonts w:ascii="Verdana" w:hAnsi="Verdana"/>
          <w:sz w:val="16"/>
          <w:szCs w:val="16"/>
        </w:rPr>
        <w:t xml:space="preserve"> </w:t>
      </w:r>
      <w:r w:rsidRPr="006755D1">
        <w:rPr>
          <w:rFonts w:ascii="Verdana" w:hAnsi="Verdana" w:cs="Arial"/>
          <w:sz w:val="16"/>
          <w:szCs w:val="16"/>
        </w:rPr>
        <w:t xml:space="preserve">CONGRESO DE LA REPÚBLICA. Exposición de motivos de la Ley 1150 de 2007. Gaceta del Congreso No. 458 del 1º de agosto de 2005. p. 8. </w:t>
      </w:r>
    </w:p>
    <w:p w14:paraId="4F1B2A85" w14:textId="77777777" w:rsidR="00225AC7" w:rsidRPr="006755D1" w:rsidRDefault="00225AC7" w:rsidP="00225AC7">
      <w:pPr>
        <w:pStyle w:val="Textonotapie"/>
        <w:ind w:firstLine="708"/>
        <w:jc w:val="both"/>
        <w:rPr>
          <w:rFonts w:ascii="Verdana" w:hAnsi="Verdana" w:cs="Arial"/>
          <w:sz w:val="16"/>
          <w:szCs w:val="16"/>
        </w:rPr>
      </w:pPr>
    </w:p>
  </w:footnote>
  <w:footnote w:id="9">
    <w:p w14:paraId="603B0429" w14:textId="77777777" w:rsidR="00225AC7" w:rsidRPr="006755D1" w:rsidRDefault="00225AC7" w:rsidP="00225AC7">
      <w:pPr>
        <w:pStyle w:val="Textonotapie"/>
        <w:ind w:firstLine="708"/>
        <w:jc w:val="both"/>
        <w:rPr>
          <w:rFonts w:ascii="Verdana" w:hAnsi="Verdana"/>
          <w:sz w:val="16"/>
          <w:szCs w:val="16"/>
          <w:lang w:val="es-CO"/>
        </w:rPr>
      </w:pPr>
      <w:r w:rsidRPr="006755D1">
        <w:rPr>
          <w:rStyle w:val="Refdenotaalpie"/>
          <w:rFonts w:ascii="Verdana" w:hAnsi="Verdana"/>
          <w:sz w:val="16"/>
          <w:szCs w:val="16"/>
        </w:rPr>
        <w:footnoteRef/>
      </w:r>
      <w:r w:rsidRPr="006755D1">
        <w:rPr>
          <w:rFonts w:ascii="Verdana" w:hAnsi="Verdana"/>
          <w:sz w:val="16"/>
          <w:szCs w:val="16"/>
        </w:rPr>
        <w:t xml:space="preserve"> DÁVILA VINUEZA, Luis Guillermo. Régimen jurídico de la contratación estatal. </w:t>
      </w:r>
      <w:r w:rsidRPr="006755D1">
        <w:rPr>
          <w:rFonts w:ascii="Verdana" w:hAnsi="Verdana" w:cs="Arial"/>
          <w:sz w:val="16"/>
          <w:szCs w:val="16"/>
          <w:lang w:val="es-CO"/>
        </w:rPr>
        <w:t>Tercera Edición</w:t>
      </w:r>
      <w:r w:rsidRPr="006755D1">
        <w:rPr>
          <w:rFonts w:ascii="Verdana" w:hAnsi="Verdana"/>
          <w:sz w:val="16"/>
          <w:szCs w:val="16"/>
          <w:lang w:val="es-CO"/>
        </w:rPr>
        <w:t>. Bogotá: Legis, 2016. pp. 466-467.</w:t>
      </w:r>
    </w:p>
  </w:footnote>
  <w:footnote w:id="10">
    <w:p w14:paraId="531B7C8C" w14:textId="77777777" w:rsidR="00225AC7" w:rsidRPr="00DD7402" w:rsidRDefault="00225AC7" w:rsidP="00225AC7">
      <w:pPr>
        <w:pStyle w:val="Textonotapie"/>
        <w:ind w:firstLine="709"/>
        <w:rPr>
          <w:rFonts w:ascii="Verdana" w:hAnsi="Verdana"/>
          <w:sz w:val="16"/>
          <w:szCs w:val="16"/>
          <w:lang w:val="es-ES"/>
        </w:rPr>
      </w:pPr>
      <w:r w:rsidRPr="00DD7402">
        <w:rPr>
          <w:rStyle w:val="Refdenotaalpie"/>
          <w:rFonts w:ascii="Verdana" w:hAnsi="Verdana"/>
          <w:sz w:val="16"/>
          <w:szCs w:val="16"/>
        </w:rPr>
        <w:footnoteRef/>
      </w:r>
      <w:r w:rsidRPr="00DD7402">
        <w:rPr>
          <w:rFonts w:ascii="Verdana" w:hAnsi="Verdana"/>
          <w:sz w:val="16"/>
          <w:szCs w:val="16"/>
        </w:rPr>
        <w:t xml:space="preserve"> </w:t>
      </w:r>
      <w:r w:rsidRPr="00DD7402">
        <w:rPr>
          <w:rFonts w:ascii="Verdana" w:eastAsia="Calibri" w:hAnsi="Verdana" w:cs="Arial"/>
          <w:sz w:val="16"/>
          <w:szCs w:val="16"/>
        </w:rPr>
        <w:t>Circular Externa No. 004 de 2021 de Colombia Compra Eficiente</w:t>
      </w:r>
      <w:r w:rsidRPr="00DD7402">
        <w:rPr>
          <w:rFonts w:ascii="Verdana" w:hAnsi="Verdana"/>
          <w:sz w:val="16"/>
          <w:szCs w:val="16"/>
          <w:lang w:val="es-ES"/>
        </w:rPr>
        <w:t xml:space="preserve">. Disponible en </w:t>
      </w:r>
      <w:hyperlink r:id="rId1" w:history="1">
        <w:r w:rsidRPr="00DD7402">
          <w:rPr>
            <w:rStyle w:val="Hipervnculo"/>
            <w:rFonts w:ascii="Verdana" w:hAnsi="Verdana"/>
            <w:sz w:val="16"/>
            <w:szCs w:val="16"/>
            <w:lang w:val="es-CO"/>
          </w:rPr>
          <w:t>Circular Externa 004 -2021-Colombiacompraeficiente – ANCP Colombia Compra Eficiente</w:t>
        </w:r>
      </w:hyperlink>
    </w:p>
    <w:p w14:paraId="6085F706" w14:textId="77777777" w:rsidR="00225AC7" w:rsidRPr="00DD7402" w:rsidRDefault="00225AC7" w:rsidP="00225AC7">
      <w:pPr>
        <w:pStyle w:val="Textonotapie"/>
        <w:rPr>
          <w:lang w:val="es-ES"/>
        </w:rPr>
      </w:pPr>
    </w:p>
  </w:footnote>
  <w:footnote w:id="11">
    <w:p w14:paraId="0E629E2A" w14:textId="77777777" w:rsidR="00225AC7" w:rsidRDefault="00225AC7" w:rsidP="00225AC7">
      <w:pPr>
        <w:pStyle w:val="Textonotapie"/>
        <w:ind w:firstLine="708"/>
        <w:jc w:val="both"/>
        <w:rPr>
          <w:rFonts w:ascii="Verdana" w:hAnsi="Verdana"/>
          <w:bCs/>
          <w:sz w:val="16"/>
          <w:szCs w:val="16"/>
          <w:lang w:val="es-ES"/>
        </w:rPr>
      </w:pPr>
      <w:r w:rsidRPr="006755D1">
        <w:rPr>
          <w:rStyle w:val="Refdenotaalpie"/>
          <w:rFonts w:ascii="Verdana" w:hAnsi="Verdana"/>
          <w:sz w:val="16"/>
          <w:szCs w:val="16"/>
        </w:rPr>
        <w:footnoteRef/>
      </w:r>
      <w:r w:rsidRPr="006755D1">
        <w:rPr>
          <w:rFonts w:ascii="Verdana" w:hAnsi="Verdana"/>
          <w:sz w:val="16"/>
          <w:szCs w:val="16"/>
        </w:rPr>
        <w:t xml:space="preserve"> Colombia Compra Eficiente. </w:t>
      </w:r>
      <w:r w:rsidRPr="006755D1">
        <w:rPr>
          <w:rFonts w:ascii="Verdana" w:hAnsi="Verdana"/>
          <w:bCs/>
          <w:sz w:val="16"/>
          <w:szCs w:val="16"/>
          <w:lang w:val="es-ES"/>
        </w:rPr>
        <w:t xml:space="preserve">Guía para entender los instrumentos de agregación de demanda y acuerdos marco de precios. </w:t>
      </w:r>
      <w:r>
        <w:rPr>
          <w:rFonts w:ascii="Verdana" w:hAnsi="Verdana"/>
          <w:bCs/>
          <w:sz w:val="16"/>
          <w:szCs w:val="16"/>
          <w:lang w:val="es-ES"/>
        </w:rPr>
        <w:t xml:space="preserve">Disponible en </w:t>
      </w:r>
      <w:hyperlink r:id="rId2" w:history="1">
        <w:r w:rsidRPr="00DD7402">
          <w:rPr>
            <w:rStyle w:val="Hipervnculo"/>
            <w:rFonts w:ascii="Verdana" w:hAnsi="Verdana"/>
            <w:bCs/>
            <w:sz w:val="16"/>
            <w:szCs w:val="16"/>
            <w:lang w:val="es-CO"/>
          </w:rPr>
          <w:t>acuerdos_marco_0.pdf</w:t>
        </w:r>
      </w:hyperlink>
    </w:p>
    <w:p w14:paraId="785A63D5" w14:textId="77777777" w:rsidR="00225AC7" w:rsidRPr="006755D1" w:rsidRDefault="00225AC7" w:rsidP="00225AC7">
      <w:pPr>
        <w:pStyle w:val="Textonotapie"/>
        <w:ind w:firstLine="708"/>
        <w:rPr>
          <w:rFonts w:ascii="Verdana" w:hAnsi="Verdana"/>
          <w:sz w:val="16"/>
          <w:szCs w:val="16"/>
          <w:lang w:val="es-ES"/>
        </w:rPr>
      </w:pPr>
    </w:p>
  </w:footnote>
  <w:footnote w:id="12">
    <w:p w14:paraId="3EB4D385" w14:textId="77777777" w:rsidR="00225AC7" w:rsidRPr="006755D1" w:rsidRDefault="00225AC7" w:rsidP="00225AC7">
      <w:pPr>
        <w:pStyle w:val="Textonotapie"/>
        <w:ind w:firstLine="708"/>
        <w:jc w:val="both"/>
        <w:rPr>
          <w:rFonts w:ascii="Verdana" w:hAnsi="Verdana"/>
          <w:sz w:val="16"/>
          <w:szCs w:val="16"/>
          <w:lang w:val="es-CO"/>
        </w:rPr>
      </w:pPr>
      <w:r w:rsidRPr="006755D1">
        <w:rPr>
          <w:rStyle w:val="Refdenotaalpie"/>
          <w:rFonts w:ascii="Verdana" w:hAnsi="Verdana"/>
          <w:sz w:val="16"/>
          <w:szCs w:val="16"/>
        </w:rPr>
        <w:footnoteRef/>
      </w:r>
      <w:r w:rsidRPr="006755D1">
        <w:rPr>
          <w:rFonts w:ascii="Verdana" w:hAnsi="Verdana"/>
          <w:sz w:val="16"/>
          <w:szCs w:val="16"/>
        </w:rPr>
        <w:t xml:space="preserve"> Decreto 1082 de 2015: “</w:t>
      </w:r>
      <w:r w:rsidRPr="006755D1">
        <w:rPr>
          <w:rFonts w:ascii="Verdana" w:hAnsi="Verdana"/>
          <w:bCs/>
          <w:sz w:val="16"/>
          <w:szCs w:val="16"/>
          <w:lang w:val="es-CO"/>
        </w:rPr>
        <w:t>Artículo 2.2.1.2.1.2.7. Procedencia del Acuerdo Marco de Precios.</w:t>
      </w:r>
      <w:r w:rsidRPr="006755D1">
        <w:rPr>
          <w:rFonts w:ascii="Verdana" w:hAnsi="Verdana"/>
          <w:sz w:val="16"/>
          <w:szCs w:val="16"/>
          <w:lang w:val="es-CO"/>
        </w:rPr>
        <w:t> Las entidades estatales sometidas al Estatuto General de Contratación de la administración pública están obligadas a adquirir Bienes y Servicios Uniformes y No Uniformes de Común Utilización, a través de los Acuerdos Marco de Precios previamente justificados, diseñados, organizados y celebrados por la Agencia Nacional de Contratación Pública -Colombia Compra Eficiente-. </w:t>
      </w:r>
    </w:p>
    <w:p w14:paraId="3A2379F2" w14:textId="77777777" w:rsidR="00225AC7" w:rsidRPr="006755D1" w:rsidRDefault="00225AC7" w:rsidP="00225AC7">
      <w:pPr>
        <w:pStyle w:val="Textonotapie"/>
        <w:ind w:firstLine="708"/>
        <w:jc w:val="both"/>
        <w:rPr>
          <w:rFonts w:ascii="Verdana" w:hAnsi="Verdana"/>
          <w:sz w:val="16"/>
          <w:szCs w:val="16"/>
          <w:lang w:val="es-CO"/>
        </w:rPr>
      </w:pPr>
      <w:r w:rsidRPr="006755D1">
        <w:rPr>
          <w:rFonts w:ascii="Verdana" w:hAnsi="Verdana"/>
          <w:sz w:val="16"/>
          <w:szCs w:val="16"/>
          <w:lang w:val="es-CO"/>
        </w:rPr>
        <w:t>La implementación de nuevos Acuerdos Marco de Precios organizados y celebrados por la Agencia Nacional de Contratación Pública -Colombia Compra Eficiente- de uso obligatorio por parte de las entidades territoriales estará precedida de un estudio de agregación de demanda, en el que se tendrá en cuenta las particularidades propias de los mercados regionales, la necesidad de promover el desarrollo empresarial en las entidades territoriales a través de las Mipymes y evitar en lo posible, la concentración de proveedores en ciertas ciudades del país, salvo que exista la respectiva justificación técnica, económica y/o jurídica”.</w:t>
      </w:r>
    </w:p>
    <w:p w14:paraId="7E0A1094" w14:textId="77777777" w:rsidR="00225AC7" w:rsidRPr="006755D1" w:rsidRDefault="00225AC7" w:rsidP="00225AC7">
      <w:pPr>
        <w:pStyle w:val="Textonotapie"/>
        <w:rPr>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FD188E"/>
    <w:multiLevelType w:val="hybridMultilevel"/>
    <w:tmpl w:val="88882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436632662">
    <w:abstractNumId w:val="3"/>
  </w:num>
  <w:num w:numId="18" w16cid:durableId="15808683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D74FC"/>
    <w:rsid w:val="000F6486"/>
    <w:rsid w:val="00116940"/>
    <w:rsid w:val="00125105"/>
    <w:rsid w:val="00127233"/>
    <w:rsid w:val="0015699B"/>
    <w:rsid w:val="00175DA4"/>
    <w:rsid w:val="001925AD"/>
    <w:rsid w:val="001A33BF"/>
    <w:rsid w:val="001E4177"/>
    <w:rsid w:val="001F0B24"/>
    <w:rsid w:val="001F7DC6"/>
    <w:rsid w:val="0022400B"/>
    <w:rsid w:val="00225AC7"/>
    <w:rsid w:val="0024065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1C8A"/>
    <w:rsid w:val="00374F5E"/>
    <w:rsid w:val="00377E3E"/>
    <w:rsid w:val="00381A52"/>
    <w:rsid w:val="003A779E"/>
    <w:rsid w:val="003D0F4D"/>
    <w:rsid w:val="003D5B0D"/>
    <w:rsid w:val="003E0499"/>
    <w:rsid w:val="003E4F80"/>
    <w:rsid w:val="003E6439"/>
    <w:rsid w:val="003F3941"/>
    <w:rsid w:val="00406575"/>
    <w:rsid w:val="00414C74"/>
    <w:rsid w:val="0042722E"/>
    <w:rsid w:val="0044528D"/>
    <w:rsid w:val="00466713"/>
    <w:rsid w:val="00466E39"/>
    <w:rsid w:val="004A1847"/>
    <w:rsid w:val="004A305D"/>
    <w:rsid w:val="004F21C4"/>
    <w:rsid w:val="004F685F"/>
    <w:rsid w:val="00522A94"/>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275A9"/>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07F"/>
    <w:rsid w:val="00A33C78"/>
    <w:rsid w:val="00AB0ADB"/>
    <w:rsid w:val="00B00C0E"/>
    <w:rsid w:val="00B01B1A"/>
    <w:rsid w:val="00B0381D"/>
    <w:rsid w:val="00B17C59"/>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4088"/>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07E4"/>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25AC7"/>
    <w:rPr>
      <w:rFonts w:ascii="Geomanist Light" w:hAnsi="Geomanist Light"/>
      <w:lang w:val="es-ES"/>
    </w:rPr>
  </w:style>
  <w:style w:type="paragraph" w:customStyle="1" w:styleId="Appelnotedebasde">
    <w:name w:val="Appel note de bas de..."/>
    <w:basedOn w:val="Normal"/>
    <w:link w:val="Refdenotaalpie"/>
    <w:uiPriority w:val="99"/>
    <w:rsid w:val="00225AC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operaciones.colombiacompra.gov.co/sites/cce_public/files/cce_documentos/acuerdos_marco_0.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archivos/circular/cce-circular-externa-004-2021-obligatoriedad-de-los-acuerdos-marco-de-precios-estructurados-por-la-agencia-nacional-de-contratacion-publica-colombia-compra-eficiente"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seolaya@g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operaciones.colombiacompra.gov.co/sites/cce_public/files/cce_documentos/acuerdos_marco_0.pdf" TargetMode="External"/><Relationship Id="rId1" Type="http://schemas.openxmlformats.org/officeDocument/2006/relationships/hyperlink" Target="https://www.colombiacompra.gov.co/archivos/circular/cce-circular-externa-004-2021-obligatoriedad-de-los-acuerdos-marco-de-precios-estructurados-por-la-agencia-nacional-de-contratacion-publica-colombia-compra-eficient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4553541-40CB-40EB-92B9-4D0A99D76B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31</TotalTime>
  <Pages>17</Pages>
  <Words>5482</Words>
  <Characters>30157</Characters>
  <Application>Microsoft Office Word</Application>
  <DocSecurity>0</DocSecurity>
  <Lines>641</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2025-11-13T21:04:00Z</dcterms:created>
  <dcterms:modified xsi:type="dcterms:W3CDTF">2025-11-21T18:17:00Z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