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63907" w14:textId="77777777" w:rsidR="00F96C2D" w:rsidRPr="009647D2" w:rsidRDefault="00F96C2D" w:rsidP="008E6050">
      <w:pPr>
        <w:spacing w:after="0" w:line="240" w:lineRule="auto"/>
        <w:jc w:val="both"/>
        <w:rPr>
          <w:rFonts w:ascii="Verdana" w:eastAsia="Calibri" w:hAnsi="Verdana" w:cs="Arial"/>
          <w:b/>
          <w:lang w:val="es-ES" w:eastAsia="es-ES"/>
        </w:rPr>
      </w:pPr>
      <w:bookmarkStart w:id="0" w:name="_Hlk143780582"/>
      <w:r w:rsidRPr="009647D2">
        <w:rPr>
          <w:rFonts w:ascii="Verdana" w:eastAsia="Calibri" w:hAnsi="Verdana" w:cs="Arial"/>
          <w:b/>
          <w:lang w:val="es-ES" w:eastAsia="es-ES"/>
        </w:rPr>
        <w:t xml:space="preserve">CONTRATO ESTATAL – Régimen jurídico </w:t>
      </w:r>
    </w:p>
    <w:p w14:paraId="6A268A72" w14:textId="77777777" w:rsidR="00F96C2D" w:rsidRDefault="00F96C2D" w:rsidP="008E6050">
      <w:pPr>
        <w:spacing w:after="0" w:line="240" w:lineRule="auto"/>
        <w:jc w:val="both"/>
        <w:rPr>
          <w:rFonts w:ascii="Verdana" w:eastAsia="Calibri" w:hAnsi="Verdana" w:cs="Arial"/>
          <w:b/>
          <w:lang w:val="es-ES" w:eastAsia="es-ES"/>
        </w:rPr>
      </w:pPr>
    </w:p>
    <w:p w14:paraId="639A2D80" w14:textId="77777777" w:rsidR="00F96C2D" w:rsidRPr="000B3A5B" w:rsidRDefault="00F96C2D" w:rsidP="008E6050">
      <w:pPr>
        <w:spacing w:after="0" w:line="240" w:lineRule="auto"/>
        <w:jc w:val="both"/>
        <w:rPr>
          <w:rFonts w:ascii="Verdana" w:eastAsia="Calibri" w:hAnsi="Verdana" w:cs="Arial"/>
          <w:sz w:val="20"/>
          <w:lang w:eastAsia="es-ES"/>
        </w:rPr>
      </w:pPr>
      <w:r w:rsidRPr="000B3A5B">
        <w:rPr>
          <w:rFonts w:ascii="Verdana" w:eastAsia="Calibri" w:hAnsi="Verdana" w:cs="Arial"/>
          <w:sz w:val="20"/>
          <w:lang w:val="es-ES" w:eastAsia="es-ES"/>
        </w:rPr>
        <w:t xml:space="preserve">Respecto al régimen jurídico de las </w:t>
      </w:r>
      <w:r w:rsidRPr="000B3A5B">
        <w:rPr>
          <w:rFonts w:ascii="Verdana" w:eastAsia="Calibri" w:hAnsi="Verdana" w:cs="Arial"/>
          <w:i/>
          <w:iCs/>
          <w:sz w:val="20"/>
          <w:lang w:val="es-ES" w:eastAsia="es-ES"/>
        </w:rPr>
        <w:t>entidades sometidas</w:t>
      </w:r>
      <w:r w:rsidRPr="000B3A5B">
        <w:rPr>
          <w:rFonts w:ascii="Verdana" w:eastAsia="Calibri" w:hAnsi="Verdana" w:cs="Arial"/>
          <w:sz w:val="20"/>
          <w:lang w:val="es-ES" w:eastAsia="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B3A5B">
        <w:rPr>
          <w:rFonts w:ascii="Verdana" w:eastAsia="Calibri" w:hAnsi="Verdana" w:cs="Arial"/>
          <w:sz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2CD06B88" w14:textId="77777777" w:rsidR="00F96C2D" w:rsidRPr="009647D2" w:rsidRDefault="00F96C2D" w:rsidP="008E6050">
      <w:pPr>
        <w:spacing w:after="0" w:line="240" w:lineRule="auto"/>
        <w:jc w:val="both"/>
        <w:rPr>
          <w:rFonts w:ascii="Verdana" w:eastAsia="Calibri" w:hAnsi="Verdana" w:cs="Arial"/>
          <w:b/>
          <w:lang w:val="es-ES" w:eastAsia="es-ES"/>
        </w:rPr>
      </w:pPr>
    </w:p>
    <w:p w14:paraId="52BA06B0" w14:textId="77777777" w:rsidR="00F96C2D" w:rsidRPr="009647D2" w:rsidRDefault="00F96C2D" w:rsidP="008E6050">
      <w:pPr>
        <w:spacing w:after="0" w:line="240" w:lineRule="auto"/>
        <w:jc w:val="both"/>
        <w:rPr>
          <w:rFonts w:ascii="Verdana" w:eastAsia="Calibri" w:hAnsi="Verdana" w:cs="Arial"/>
          <w:b/>
          <w:lang w:val="es-ES" w:eastAsia="es-ES"/>
        </w:rPr>
      </w:pPr>
      <w:r w:rsidRPr="009647D2">
        <w:rPr>
          <w:rFonts w:ascii="Verdana" w:eastAsia="Calibri" w:hAnsi="Verdana" w:cs="Arial"/>
          <w:b/>
          <w:lang w:val="es-ES" w:eastAsia="es-ES"/>
        </w:rPr>
        <w:t xml:space="preserve">RÉGIMEN EXCEPCIONAL – Justificación – Criterios de clasificación </w:t>
      </w:r>
    </w:p>
    <w:p w14:paraId="459F7650" w14:textId="77777777" w:rsidR="00F96C2D" w:rsidRDefault="00F96C2D" w:rsidP="008E6050">
      <w:pPr>
        <w:spacing w:after="0" w:line="240" w:lineRule="auto"/>
        <w:jc w:val="both"/>
        <w:rPr>
          <w:rFonts w:ascii="Verdana" w:eastAsia="Calibri" w:hAnsi="Verdana" w:cs="Arial"/>
          <w:b/>
          <w:lang w:val="es-ES" w:eastAsia="es-ES"/>
        </w:rPr>
      </w:pPr>
    </w:p>
    <w:p w14:paraId="118AB5E1" w14:textId="77777777" w:rsidR="00F96C2D" w:rsidRPr="000876F0" w:rsidRDefault="00F96C2D" w:rsidP="008E6050">
      <w:pPr>
        <w:spacing w:after="0" w:line="240" w:lineRule="auto"/>
        <w:jc w:val="both"/>
        <w:rPr>
          <w:rFonts w:ascii="Verdana" w:hAnsi="Verdana" w:cs="Arial"/>
          <w:color w:val="000000" w:themeColor="text1"/>
          <w:sz w:val="20"/>
          <w:szCs w:val="20"/>
          <w:lang w:val="es-ES_tradnl"/>
        </w:rPr>
      </w:pPr>
      <w:r w:rsidRPr="000876F0">
        <w:rPr>
          <w:rFonts w:ascii="Verdana" w:hAnsi="Verdana" w:cs="Arial"/>
          <w:color w:val="000000" w:themeColor="text1"/>
          <w:sz w:val="20"/>
          <w:szCs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flexibilizar el ejercicio de la función administrativa –como en los contratos del Banco de la República o los de ciencia y tecnología– o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la asignación de un esquema legal especial,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el objeto del contrato celebrado y </w:t>
      </w:r>
      <w:proofErr w:type="spellStart"/>
      <w:r w:rsidRPr="000876F0">
        <w:rPr>
          <w:rFonts w:ascii="Verdana" w:hAnsi="Verdana" w:cs="Arial"/>
          <w:color w:val="000000" w:themeColor="text1"/>
          <w:sz w:val="20"/>
          <w:szCs w:val="20"/>
        </w:rPr>
        <w:t>iv</w:t>
      </w:r>
      <w:proofErr w:type="spellEnd"/>
      <w:r w:rsidRPr="000876F0">
        <w:rPr>
          <w:rFonts w:ascii="Verdana" w:hAnsi="Verdana" w:cs="Arial"/>
          <w:color w:val="000000" w:themeColor="text1"/>
          <w:sz w:val="20"/>
          <w:szCs w:val="20"/>
        </w:rPr>
        <w:t>) la existencia de fondos que administran recursos públicos</w:t>
      </w:r>
      <w:r w:rsidRPr="000876F0">
        <w:rPr>
          <w:rFonts w:ascii="Verdana" w:hAnsi="Verdana" w:cs="Arial"/>
          <w:color w:val="000000" w:themeColor="text1"/>
          <w:sz w:val="20"/>
          <w:szCs w:val="20"/>
          <w:lang w:val="es-ES_tradnl"/>
        </w:rPr>
        <w:t>.</w:t>
      </w:r>
    </w:p>
    <w:p w14:paraId="117031E9" w14:textId="77777777" w:rsidR="00F96C2D" w:rsidRPr="007A1830" w:rsidRDefault="00F96C2D" w:rsidP="008E6050">
      <w:pPr>
        <w:spacing w:after="0" w:line="240" w:lineRule="auto"/>
        <w:rPr>
          <w:rFonts w:ascii="Verdana" w:hAnsi="Verdana"/>
          <w:lang w:val="es-ES_tradnl"/>
        </w:rPr>
      </w:pPr>
    </w:p>
    <w:p w14:paraId="183781D4" w14:textId="77777777" w:rsidR="00F96C2D" w:rsidRPr="00F27B7B" w:rsidRDefault="00F96C2D" w:rsidP="008E6050">
      <w:pPr>
        <w:spacing w:after="0" w:line="240" w:lineRule="auto"/>
        <w:rPr>
          <w:rFonts w:ascii="Verdana" w:hAnsi="Verdana"/>
          <w:b/>
        </w:rPr>
      </w:pPr>
      <w:r w:rsidRPr="00F27B7B">
        <w:rPr>
          <w:rFonts w:ascii="Verdana" w:hAnsi="Verdana"/>
          <w:b/>
        </w:rPr>
        <w:t xml:space="preserve">EMPRESAS DE SERVICIOS PÚBLICOS – Naturaleza – régimen especial </w:t>
      </w:r>
    </w:p>
    <w:p w14:paraId="247C4EC0" w14:textId="77777777" w:rsidR="00F96C2D" w:rsidRDefault="00F96C2D" w:rsidP="008E6050">
      <w:pPr>
        <w:spacing w:after="0" w:line="240" w:lineRule="auto"/>
        <w:rPr>
          <w:rFonts w:ascii="Verdana" w:hAnsi="Verdana"/>
        </w:rPr>
      </w:pPr>
    </w:p>
    <w:p w14:paraId="4FE5E015" w14:textId="77777777" w:rsidR="00F96C2D" w:rsidRPr="00F27B7B" w:rsidRDefault="00F96C2D" w:rsidP="008E6050">
      <w:pPr>
        <w:spacing w:after="0" w:line="240" w:lineRule="auto"/>
        <w:jc w:val="both"/>
        <w:rPr>
          <w:rFonts w:ascii="Verdana" w:hAnsi="Verdana"/>
          <w:bCs/>
          <w:sz w:val="20"/>
          <w:lang w:val="es-ES_tradnl"/>
        </w:rPr>
      </w:pPr>
      <w:r w:rsidRPr="00F27B7B">
        <w:rPr>
          <w:rFonts w:ascii="Verdana" w:hAnsi="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F27B7B">
        <w:rPr>
          <w:rFonts w:ascii="Verdana" w:hAnsi="Verdana"/>
          <w:bCs/>
          <w:i/>
          <w:iCs/>
          <w:sz w:val="20"/>
          <w:lang w:val="es-ES_tradnl"/>
        </w:rPr>
        <w:t>oficiales</w:t>
      </w:r>
      <w:r w:rsidRPr="00F27B7B">
        <w:rPr>
          <w:rFonts w:ascii="Verdana" w:hAnsi="Verdana"/>
          <w:bCs/>
          <w:sz w:val="20"/>
          <w:lang w:val="es-ES_tradnl"/>
        </w:rPr>
        <w:t xml:space="preserve">, </w:t>
      </w:r>
      <w:r w:rsidRPr="00F27B7B">
        <w:rPr>
          <w:rFonts w:ascii="Verdana" w:hAnsi="Verdana"/>
          <w:bCs/>
          <w:i/>
          <w:iCs/>
          <w:sz w:val="20"/>
          <w:lang w:val="es-ES_tradnl"/>
        </w:rPr>
        <w:t>mixtas</w:t>
      </w:r>
      <w:r w:rsidRPr="00F27B7B">
        <w:rPr>
          <w:rFonts w:ascii="Verdana" w:hAnsi="Verdana"/>
          <w:bCs/>
          <w:sz w:val="20"/>
          <w:lang w:val="es-ES_tradnl"/>
        </w:rPr>
        <w:t xml:space="preserve"> o </w:t>
      </w:r>
      <w:r w:rsidRPr="00F27B7B">
        <w:rPr>
          <w:rFonts w:ascii="Verdana" w:hAnsi="Verdana"/>
          <w:bCs/>
          <w:i/>
          <w:iCs/>
          <w:sz w:val="20"/>
          <w:lang w:val="es-ES_tradnl"/>
        </w:rPr>
        <w:t>privadas</w:t>
      </w:r>
      <w:r w:rsidRPr="00F27B7B">
        <w:rPr>
          <w:rFonts w:ascii="Verdana" w:hAnsi="Verdana"/>
          <w:bCs/>
          <w:sz w:val="20"/>
          <w:lang w:val="es-ES_tradnl"/>
        </w:rPr>
        <w:t xml:space="preserve">, estas tres especies ingresan en la categoría de las </w:t>
      </w:r>
      <w:r w:rsidRPr="00F27B7B">
        <w:rPr>
          <w:rFonts w:ascii="Verdana" w:hAnsi="Verdana"/>
          <w:bCs/>
          <w:i/>
          <w:iCs/>
          <w:sz w:val="20"/>
          <w:lang w:val="es-ES_tradnl"/>
        </w:rPr>
        <w:t>entidades descentralizadas por servicios</w:t>
      </w:r>
      <w:r w:rsidRPr="00F27B7B">
        <w:rPr>
          <w:rFonts w:ascii="Verdana" w:hAnsi="Verdana"/>
          <w:bCs/>
          <w:sz w:val="20"/>
          <w:lang w:val="es-ES_tradnl"/>
        </w:rPr>
        <w:t xml:space="preserve">, es decir, hacen parte de la Rama Ejecutiva del Orden Público.  </w:t>
      </w:r>
    </w:p>
    <w:p w14:paraId="40D278A5" w14:textId="77777777" w:rsidR="00F96C2D" w:rsidRPr="00F27B7B" w:rsidRDefault="00F96C2D" w:rsidP="008E6050">
      <w:pPr>
        <w:spacing w:after="0" w:line="240" w:lineRule="auto"/>
        <w:rPr>
          <w:rFonts w:ascii="Verdana" w:hAnsi="Verdana"/>
          <w:b/>
          <w:lang w:val="es-ES_tradnl"/>
        </w:rPr>
      </w:pPr>
    </w:p>
    <w:p w14:paraId="656B24CF" w14:textId="77777777" w:rsidR="00F96C2D" w:rsidRPr="00F27B7B" w:rsidRDefault="00F96C2D" w:rsidP="008E6050">
      <w:pPr>
        <w:spacing w:after="0" w:line="240" w:lineRule="auto"/>
        <w:jc w:val="both"/>
        <w:rPr>
          <w:rFonts w:ascii="Verdana" w:hAnsi="Verdana"/>
          <w:b/>
        </w:rPr>
      </w:pPr>
      <w:r w:rsidRPr="00F27B7B">
        <w:rPr>
          <w:rFonts w:ascii="Verdana" w:hAnsi="Verdana"/>
          <w:b/>
        </w:rPr>
        <w:t xml:space="preserve">EMPRESAS DE SERVICIOS PÚBLICOS – Mixtas – Privadas con participación estatal – Entidades descentralizadas por servicios – Sentencia C-637 de 2007 </w:t>
      </w:r>
    </w:p>
    <w:p w14:paraId="5A70155B" w14:textId="77777777" w:rsidR="00F96C2D" w:rsidRDefault="00F96C2D" w:rsidP="008E6050">
      <w:pPr>
        <w:spacing w:after="0" w:line="240" w:lineRule="auto"/>
        <w:rPr>
          <w:rFonts w:ascii="Verdana" w:hAnsi="Verdana"/>
        </w:rPr>
      </w:pPr>
    </w:p>
    <w:p w14:paraId="18F01D13" w14:textId="77777777" w:rsidR="00F96C2D" w:rsidRPr="00F27B7B" w:rsidRDefault="00F96C2D" w:rsidP="008E6050">
      <w:pPr>
        <w:spacing w:after="0" w:line="240" w:lineRule="auto"/>
        <w:jc w:val="both"/>
        <w:rPr>
          <w:rFonts w:ascii="Verdana" w:hAnsi="Verdana"/>
          <w:sz w:val="20"/>
          <w:lang w:val="es-ES"/>
        </w:rPr>
      </w:pPr>
      <w:r w:rsidRPr="00F27B7B">
        <w:rPr>
          <w:rFonts w:ascii="Verdana" w:hAnsi="Verdana"/>
          <w:bCs/>
          <w:sz w:val="20"/>
          <w:lang w:val="es-ES_tradnl"/>
        </w:rPr>
        <w:t xml:space="preserve">Al respecto, debe recordarse que en dicha Sentencia el alto tribunal afirmó que las empresas prestadoras de servicios públicos domiciliarios </w:t>
      </w:r>
      <w:r w:rsidRPr="00F27B7B">
        <w:rPr>
          <w:rFonts w:ascii="Verdana" w:hAnsi="Verdana"/>
          <w:bCs/>
          <w:i/>
          <w:iCs/>
          <w:sz w:val="20"/>
          <w:lang w:val="es-ES_tradnl"/>
        </w:rPr>
        <w:t>mixtas y privadas</w:t>
      </w:r>
      <w:r w:rsidRPr="00F27B7B">
        <w:rPr>
          <w:rFonts w:ascii="Verdana" w:hAnsi="Verdana"/>
          <w:bCs/>
          <w:sz w:val="20"/>
          <w:lang w:val="es-ES_tradnl"/>
        </w:rPr>
        <w:t xml:space="preserve"> con aportes estatales son tipos </w:t>
      </w:r>
      <w:r w:rsidRPr="00F27B7B">
        <w:rPr>
          <w:rFonts w:ascii="Verdana" w:hAnsi="Verdana"/>
          <w:bCs/>
          <w:i/>
          <w:iCs/>
          <w:sz w:val="20"/>
          <w:lang w:val="es-ES_tradnl"/>
        </w:rPr>
        <w:t>especiales</w:t>
      </w:r>
      <w:r w:rsidRPr="00F27B7B">
        <w:rPr>
          <w:rFonts w:ascii="Verdana" w:hAnsi="Verdana"/>
          <w:bCs/>
          <w:sz w:val="20"/>
          <w:lang w:val="es-ES_tradnl"/>
        </w:rPr>
        <w:t xml:space="preserve"> de entidades descentralizadas por servicios que, por tanto, no pueden enmarcarse en las otras especies de entidades descentralizadas por servicios </w:t>
      </w:r>
      <w:r w:rsidRPr="00F27B7B">
        <w:rPr>
          <w:rFonts w:ascii="Verdana" w:hAnsi="Verdana"/>
          <w:bCs/>
          <w:sz w:val="20"/>
          <w:lang w:val="es-ES_tradnl"/>
        </w:rPr>
        <w:lastRenderedPageBreak/>
        <w:t xml:space="preserve">enlistadas en el artículo 38 de la Ley 489 de 1998, es decir, que no cabe considerarlas, verbigracia, dentro de las sociedades públicas ni en las sociedades de economía mixta. </w:t>
      </w:r>
    </w:p>
    <w:p w14:paraId="4E9833A6" w14:textId="77777777" w:rsidR="00F96C2D" w:rsidRPr="00F27B7B" w:rsidRDefault="00F96C2D" w:rsidP="008E6050">
      <w:pPr>
        <w:spacing w:after="0" w:line="240" w:lineRule="auto"/>
        <w:jc w:val="both"/>
        <w:rPr>
          <w:rFonts w:ascii="Verdana" w:hAnsi="Verdana"/>
          <w:sz w:val="20"/>
          <w:lang w:val="es-ES"/>
        </w:rPr>
      </w:pPr>
    </w:p>
    <w:p w14:paraId="400247AA" w14:textId="77777777" w:rsidR="00F96C2D" w:rsidRDefault="00F96C2D" w:rsidP="008E6050">
      <w:pPr>
        <w:spacing w:after="0" w:line="240" w:lineRule="auto"/>
        <w:jc w:val="both"/>
        <w:rPr>
          <w:rFonts w:ascii="Verdana" w:hAnsi="Verdana"/>
          <w:sz w:val="20"/>
          <w:lang w:val="es-ES"/>
        </w:rPr>
      </w:pPr>
      <w:r w:rsidRPr="00F27B7B">
        <w:rPr>
          <w:rFonts w:ascii="Verdana" w:hAnsi="Verdana"/>
          <w:sz w:val="20"/>
          <w:lang w:val="es-ES"/>
        </w:rPr>
        <w:t>Lo expuesto, permite resaltar la flexibilidad constitucional al legislador colombiano de incorporar empresas de servicios públicos —ya sean públicas, mixtas o privadas con participación estatal— dentro de la estructura de la Rama Ejecutiva. Esta posibilidad se justifica en el numeral 7° del artículo 150 de la Constitución, que otorga la competencia al Congreso la facultad de organizar la administración nacional. De esta manera, no es necesario que la empresa sea completamente pública para que pueda considerarse parte del Estado.</w:t>
      </w:r>
    </w:p>
    <w:p w14:paraId="63947978" w14:textId="6AB947D7" w:rsidR="00F96C2D" w:rsidRDefault="00F96C2D" w:rsidP="008E6050">
      <w:pPr>
        <w:spacing w:after="0" w:line="240" w:lineRule="auto"/>
        <w:jc w:val="both"/>
        <w:rPr>
          <w:rFonts w:ascii="Verdana" w:hAnsi="Verdana"/>
          <w:lang w:val="es-ES"/>
        </w:rPr>
      </w:pPr>
    </w:p>
    <w:p w14:paraId="2A3BFA1E" w14:textId="77777777" w:rsidR="00F96C2D" w:rsidRPr="00F96C2D" w:rsidRDefault="00F96C2D" w:rsidP="008E6050">
      <w:pPr>
        <w:spacing w:after="0" w:line="240" w:lineRule="auto"/>
        <w:jc w:val="both"/>
        <w:rPr>
          <w:rFonts w:ascii="Verdana" w:hAnsi="Verdana"/>
          <w:b/>
          <w:lang w:val="es-ES"/>
        </w:rPr>
      </w:pPr>
      <w:r w:rsidRPr="00F96C2D">
        <w:rPr>
          <w:rFonts w:ascii="Verdana" w:hAnsi="Verdana"/>
          <w:b/>
          <w:lang w:val="es-ES"/>
        </w:rPr>
        <w:t xml:space="preserve">EMPRESAS DE SERVICIOS PÚBLICOS – Entidades de Régimen Especial – Principios de la Función Administrativa – Principios de la Gestión Fiscal </w:t>
      </w:r>
    </w:p>
    <w:p w14:paraId="591BE274" w14:textId="7D100B47" w:rsidR="00F96C2D" w:rsidRDefault="00F96C2D" w:rsidP="008E6050">
      <w:pPr>
        <w:spacing w:after="0" w:line="240" w:lineRule="auto"/>
        <w:jc w:val="both"/>
        <w:rPr>
          <w:rFonts w:ascii="Verdana" w:hAnsi="Verdana"/>
          <w:lang w:val="es-ES"/>
        </w:rPr>
      </w:pPr>
    </w:p>
    <w:p w14:paraId="55760E28" w14:textId="77777777" w:rsidR="008E6050" w:rsidRPr="008E6050" w:rsidRDefault="008E6050" w:rsidP="008E6050">
      <w:pPr>
        <w:spacing w:after="0" w:line="240" w:lineRule="auto"/>
        <w:jc w:val="both"/>
        <w:rPr>
          <w:rFonts w:ascii="Verdana" w:hAnsi="Verdana"/>
          <w:sz w:val="20"/>
          <w:szCs w:val="20"/>
        </w:rPr>
      </w:pPr>
      <w:r w:rsidRPr="008E6050">
        <w:rPr>
          <w:rFonts w:ascii="Verdana" w:hAnsi="Verdana"/>
          <w:sz w:val="20"/>
          <w:szCs w:val="20"/>
          <w:lang w:val="es-ES"/>
        </w:rPr>
        <w:t xml:space="preserve">En esta perspectiva, se destaca que los principios de la función administrativa </w:t>
      </w:r>
      <w:r w:rsidRPr="008E6050">
        <w:rPr>
          <w:rFonts w:ascii="Verdana" w:hAnsi="Verdana"/>
          <w:sz w:val="20"/>
          <w:szCs w:val="20"/>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3A4000F5" w14:textId="77777777" w:rsidR="008E6050" w:rsidRDefault="008E6050" w:rsidP="008E6050">
      <w:pPr>
        <w:spacing w:after="0" w:line="240" w:lineRule="auto"/>
        <w:jc w:val="both"/>
        <w:rPr>
          <w:rFonts w:ascii="Verdana" w:hAnsi="Verdana"/>
          <w:bCs/>
          <w:sz w:val="20"/>
          <w:szCs w:val="20"/>
        </w:rPr>
      </w:pPr>
    </w:p>
    <w:p w14:paraId="2D09E7B4" w14:textId="3C058159" w:rsidR="008E6050" w:rsidRPr="008E6050" w:rsidRDefault="008E6050" w:rsidP="008E6050">
      <w:pPr>
        <w:spacing w:after="0" w:line="240" w:lineRule="auto"/>
        <w:jc w:val="both"/>
        <w:rPr>
          <w:rFonts w:ascii="Verdana" w:hAnsi="Verdana"/>
          <w:sz w:val="20"/>
          <w:szCs w:val="20"/>
          <w:lang w:val="es-ES"/>
        </w:rPr>
      </w:pPr>
      <w:r w:rsidRPr="008E6050">
        <w:rPr>
          <w:rFonts w:ascii="Verdana" w:hAnsi="Verdana"/>
          <w:sz w:val="20"/>
          <w:szCs w:val="20"/>
          <w:lang w:val="es-ES"/>
        </w:rPr>
        <w:t xml:space="preserve">En efecto, la estructura de los procedimientos de las entidades sometidas no es asimilable a los de las entidades exceptuadas. Sin bien en estas últimas rigen por los principios de la función administrativa, la gestión fiscal y el régimen de inhabilidades e incompatibilidades,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7DB61041" w14:textId="5DE3F687" w:rsidR="00F96C2D" w:rsidRPr="006E6B21" w:rsidRDefault="00F96C2D" w:rsidP="008E6050">
      <w:pPr>
        <w:spacing w:after="0" w:line="240" w:lineRule="auto"/>
        <w:jc w:val="both"/>
        <w:rPr>
          <w:rFonts w:ascii="Verdana" w:hAnsi="Verdana"/>
          <w:b/>
          <w:lang w:val="es-ES"/>
        </w:rPr>
      </w:pPr>
    </w:p>
    <w:p w14:paraId="160F1AD8" w14:textId="77777777" w:rsidR="00F96C2D" w:rsidRPr="006E6B21" w:rsidRDefault="00F96C2D" w:rsidP="008E6050">
      <w:pPr>
        <w:spacing w:after="0" w:line="240" w:lineRule="auto"/>
        <w:jc w:val="both"/>
        <w:rPr>
          <w:rFonts w:ascii="Verdana" w:hAnsi="Verdana"/>
          <w:b/>
          <w:lang w:val="es-ES"/>
        </w:rPr>
      </w:pPr>
      <w:r w:rsidRPr="006E6B21">
        <w:rPr>
          <w:rFonts w:ascii="Verdana" w:hAnsi="Verdana"/>
          <w:b/>
          <w:lang w:val="es-ES"/>
        </w:rPr>
        <w:t xml:space="preserve">EMPRESAS DE SERVICIOS PÚBLICOS – Guía para la Gestión Contractual de Entidades de Régimen Especial -Lineamientos </w:t>
      </w:r>
    </w:p>
    <w:p w14:paraId="4A453599" w14:textId="144598C1" w:rsidR="00F96C2D" w:rsidRPr="006E6B21" w:rsidRDefault="00F96C2D" w:rsidP="008E6050">
      <w:pPr>
        <w:spacing w:after="0" w:line="240" w:lineRule="auto"/>
        <w:jc w:val="both"/>
        <w:rPr>
          <w:rFonts w:ascii="Verdana" w:hAnsi="Verdana"/>
          <w:sz w:val="20"/>
          <w:lang w:val="es-ES"/>
        </w:rPr>
      </w:pPr>
    </w:p>
    <w:p w14:paraId="4D01DE08" w14:textId="46B0ACFC" w:rsidR="006E6B21" w:rsidRPr="006E6B21" w:rsidRDefault="006E6B21" w:rsidP="008E6050">
      <w:pPr>
        <w:spacing w:after="0" w:line="240" w:lineRule="auto"/>
        <w:jc w:val="both"/>
        <w:rPr>
          <w:rFonts w:ascii="Verdana" w:hAnsi="Verdana"/>
          <w:sz w:val="20"/>
        </w:rPr>
      </w:pPr>
      <w:r w:rsidRPr="006E6B21">
        <w:rPr>
          <w:rFonts w:ascii="Verdana" w:hAnsi="Verdana"/>
          <w:sz w:val="20"/>
        </w:rPr>
        <w:t xml:space="preserve">A pesar que las Entidades Estatales con régimen especial de contratación desarrollan su gestión contractual, de conformidad con sus normas de creación, manuales de contratación y al régimen privado, la Agencia Nacional en la Guía ya precitada previamente sobre entidades de régimen especial expresa que tendrán la obligación de cumplir las disposiciones generales del Sistema de Compra y Contratación Pública que de manera transversal les resulten aplicables, como lo son: i) los principios de la función administrativa; </w:t>
      </w:r>
      <w:proofErr w:type="spellStart"/>
      <w:r w:rsidRPr="006E6B21">
        <w:rPr>
          <w:rFonts w:ascii="Verdana" w:hAnsi="Verdana"/>
          <w:sz w:val="20"/>
        </w:rPr>
        <w:t>ii</w:t>
      </w:r>
      <w:proofErr w:type="spellEnd"/>
      <w:r w:rsidRPr="006E6B21">
        <w:rPr>
          <w:rFonts w:ascii="Verdana" w:hAnsi="Verdana"/>
          <w:sz w:val="20"/>
        </w:rPr>
        <w:t xml:space="preserve">) los principios de la gestión fiscal; y </w:t>
      </w:r>
      <w:proofErr w:type="spellStart"/>
      <w:r w:rsidRPr="006E6B21">
        <w:rPr>
          <w:rFonts w:ascii="Verdana" w:hAnsi="Verdana"/>
          <w:sz w:val="20"/>
        </w:rPr>
        <w:t>iii</w:t>
      </w:r>
      <w:proofErr w:type="spellEnd"/>
      <w:r w:rsidRPr="006E6B21">
        <w:rPr>
          <w:rFonts w:ascii="Verdana" w:hAnsi="Verdana"/>
          <w:sz w:val="20"/>
        </w:rPr>
        <w:t xml:space="preserve">) el régimen de inhabilidades e </w:t>
      </w:r>
      <w:r w:rsidRPr="006E6B21">
        <w:rPr>
          <w:rFonts w:ascii="Verdana" w:hAnsi="Verdana"/>
          <w:sz w:val="20"/>
        </w:rPr>
        <w:lastRenderedPageBreak/>
        <w:t xml:space="preserve">incompatibilidades; </w:t>
      </w:r>
      <w:proofErr w:type="spellStart"/>
      <w:r w:rsidRPr="006E6B21">
        <w:rPr>
          <w:rFonts w:ascii="Verdana" w:hAnsi="Verdana"/>
          <w:sz w:val="20"/>
        </w:rPr>
        <w:t>iv</w:t>
      </w:r>
      <w:proofErr w:type="spellEnd"/>
      <w:r w:rsidRPr="006E6B21">
        <w:rPr>
          <w:rFonts w:ascii="Verdana" w:hAnsi="Verdana"/>
          <w:sz w:val="20"/>
        </w:rPr>
        <w:t xml:space="preserve">) el uso obligatorio de SECOP II o la plataforma que haga sus veces; v) la promoción y acceso de las </w:t>
      </w:r>
      <w:proofErr w:type="spellStart"/>
      <w:r w:rsidRPr="006E6B21">
        <w:rPr>
          <w:rFonts w:ascii="Verdana" w:hAnsi="Verdana"/>
          <w:sz w:val="20"/>
        </w:rPr>
        <w:t>Mipymes</w:t>
      </w:r>
      <w:proofErr w:type="spellEnd"/>
      <w:r w:rsidRPr="006E6B21">
        <w:rPr>
          <w:rFonts w:ascii="Verdana" w:hAnsi="Verdana"/>
          <w:sz w:val="20"/>
        </w:rPr>
        <w:t xml:space="preserve"> a las compras públicas, entre otras disposiciones normativas indistintamente. Así mismo, alude a la aplicación por parte de entidades de régimen especial de acuerdos comerciales, la restricción de Ley de Garantías Electorales, entre otros aspectos.</w:t>
      </w:r>
    </w:p>
    <w:p w14:paraId="02E90E60" w14:textId="77777777" w:rsidR="006E6B21" w:rsidRDefault="006E6B21" w:rsidP="008E6050">
      <w:pPr>
        <w:spacing w:after="0" w:line="240" w:lineRule="auto"/>
        <w:jc w:val="both"/>
        <w:rPr>
          <w:rFonts w:ascii="Verdana" w:hAnsi="Verdana"/>
          <w:lang w:val="es-ES"/>
        </w:rPr>
      </w:pPr>
    </w:p>
    <w:p w14:paraId="03166A9E" w14:textId="77777777" w:rsidR="00F96C2D" w:rsidRPr="006E6B21" w:rsidRDefault="00F96C2D" w:rsidP="008E6050">
      <w:pPr>
        <w:spacing w:after="0" w:line="240" w:lineRule="auto"/>
        <w:jc w:val="both"/>
        <w:rPr>
          <w:rFonts w:ascii="Verdana" w:hAnsi="Verdana"/>
          <w:b/>
          <w:lang w:val="es-ES"/>
        </w:rPr>
      </w:pPr>
      <w:r w:rsidRPr="006E6B21">
        <w:rPr>
          <w:rFonts w:ascii="Verdana" w:hAnsi="Verdana"/>
          <w:b/>
          <w:lang w:val="es-ES"/>
        </w:rPr>
        <w:t xml:space="preserve">EMPRESAS DE SERVICIOS PÚBLICOS – Visitas en Obra – Proporcionalidad – No discriminación. </w:t>
      </w:r>
    </w:p>
    <w:p w14:paraId="610602C8" w14:textId="627DE6FC" w:rsidR="00F96C2D" w:rsidRDefault="00F96C2D" w:rsidP="008E6050">
      <w:pPr>
        <w:spacing w:after="0" w:line="240" w:lineRule="auto"/>
        <w:rPr>
          <w:rFonts w:ascii="Verdana" w:hAnsi="Verdana"/>
          <w:b/>
          <w:lang w:val="es-ES"/>
        </w:rPr>
      </w:pPr>
    </w:p>
    <w:p w14:paraId="374DE7F4" w14:textId="29FBA103" w:rsidR="006E6B21" w:rsidRPr="006E6B21" w:rsidRDefault="006E6B21" w:rsidP="008E6050">
      <w:pPr>
        <w:spacing w:after="0" w:line="240" w:lineRule="auto"/>
        <w:jc w:val="both"/>
        <w:rPr>
          <w:rFonts w:ascii="Verdana" w:hAnsi="Verdana"/>
          <w:bCs/>
          <w:sz w:val="20"/>
          <w:szCs w:val="20"/>
          <w:lang w:val="es-ES_tradnl"/>
        </w:rPr>
      </w:pPr>
      <w:r w:rsidRPr="006E6B21">
        <w:rPr>
          <w:rFonts w:ascii="Verdana" w:hAnsi="Verdana"/>
          <w:sz w:val="20"/>
          <w:szCs w:val="20"/>
        </w:rPr>
        <w:t xml:space="preserve">En consecuencia, la estructuración de las visitas obligatorias en procedimientos de contratación </w:t>
      </w:r>
      <w:r w:rsidRPr="006E6B21">
        <w:rPr>
          <w:rFonts w:ascii="Verdana" w:hAnsi="Verdana"/>
          <w:bCs/>
          <w:sz w:val="20"/>
          <w:szCs w:val="20"/>
          <w:lang w:val="es-ES_tradnl"/>
        </w:rPr>
        <w:t xml:space="preserve">no constituye per se una práctica restrictiva de la libre competencia, con la condición de que no tenga efectos excluyentes injustificados ni se utilice para favorecer a determinados oferentes. El artículo 1 de la Ley 155 de 1959 prohíbe prácticas que limiten la competencia o determinen precios inequitativos, pero admite restricciones legítimas cuando se orienten a proteger el interés público, garantizar la calidad técnica o prevenir riesgos dentro del proceso de contratación. </w:t>
      </w:r>
    </w:p>
    <w:p w14:paraId="73B51703" w14:textId="7F570005" w:rsidR="008E6050" w:rsidRDefault="008E6050" w:rsidP="008E6050">
      <w:pPr>
        <w:spacing w:after="0" w:line="240" w:lineRule="auto"/>
        <w:jc w:val="both"/>
        <w:rPr>
          <w:rFonts w:ascii="Verdana" w:hAnsi="Verdana"/>
          <w:bCs/>
          <w:sz w:val="20"/>
          <w:szCs w:val="20"/>
          <w:lang w:val="es-ES_tradnl"/>
        </w:rPr>
      </w:pPr>
      <w:r>
        <w:rPr>
          <w:rFonts w:ascii="Verdana" w:hAnsi="Verdana"/>
          <w:bCs/>
          <w:sz w:val="20"/>
          <w:szCs w:val="20"/>
          <w:lang w:val="es-ES_tradnl"/>
        </w:rPr>
        <w:t>[…]</w:t>
      </w:r>
    </w:p>
    <w:p w14:paraId="42C83C14" w14:textId="6ED81BF2" w:rsidR="006E6B21" w:rsidRPr="006E6B21" w:rsidRDefault="006E6B21" w:rsidP="008E6050">
      <w:pPr>
        <w:spacing w:after="0" w:line="240" w:lineRule="auto"/>
        <w:jc w:val="both"/>
        <w:rPr>
          <w:rFonts w:ascii="Verdana" w:hAnsi="Verdana"/>
          <w:sz w:val="20"/>
          <w:szCs w:val="20"/>
          <w:lang w:val="es-ES"/>
        </w:rPr>
      </w:pPr>
      <w:r w:rsidRPr="006E6B21">
        <w:rPr>
          <w:rFonts w:ascii="Verdana" w:hAnsi="Verdana"/>
          <w:sz w:val="20"/>
          <w:szCs w:val="20"/>
          <w:lang w:val="es-MX"/>
        </w:rPr>
        <w:t>Por su parte, en Sentencia del 28 de junio de 2019, el Consejo de Estado reconoció que la visita tiene como propósito que los oferentes conozcan el lugar físico donde se ejecutará el contrato,</w:t>
      </w:r>
      <w:r w:rsidRPr="006E6B21">
        <w:rPr>
          <w:rFonts w:ascii="Verdana" w:hAnsi="Verdana"/>
          <w:sz w:val="20"/>
          <w:szCs w:val="20"/>
        </w:rPr>
        <w:t xml:space="preserve"> pero el</w:t>
      </w:r>
      <w:r w:rsidRPr="006E6B21">
        <w:rPr>
          <w:rFonts w:ascii="Verdana" w:hAnsi="Verdana"/>
          <w:sz w:val="20"/>
          <w:szCs w:val="20"/>
          <w:lang w:val="es-MX"/>
        </w:rPr>
        <w:t xml:space="preserve"> rechazo de la oferta presentada por un proponente plural se fundamentó en la supuesta inasistencia válida a la visita a esta, dado que el ingeniero que acudió no contaba con un poder formalmente válido para representar a una de las firmas integrantes de la unión temporal. Aunque las condiciones de participación establecían que la inasistencia conlleva el rechazo de la propuesta, el análisis jurídico del Consejo de Estado cuestiona la finalidad de esta exigencia, señalando que la visita busca garantizar el conocimiento técnico del terreno y no necesariamente requiere representación legal para cumplir ese propósito. Por tanto, exigir un poder con facultades de representación para asistir a la visita es desproporcionado y contraviene principios fundamentales del derecho contractual como la buena fe, la transparencia y la economía. Incluso si se aceptara dicha exigencia, las propias reglas de participación reconocen que la presentación de la propuesta prueba el conocimiento suficiente del proyecto, lo que hace innecesaria la formalidad del poder en esa etapa. Por tanto, la decisión administrativa de rechazar la oferta por este motivo se considera ilegal, al aplicar de manera irreflexiva una regla que no respondía a una causa esencial ni impeditiva para la contratación</w:t>
      </w:r>
      <w:r w:rsidRPr="006E6B21">
        <w:rPr>
          <w:rFonts w:ascii="Verdana" w:hAnsi="Verdana"/>
          <w:sz w:val="20"/>
          <w:szCs w:val="20"/>
          <w:lang w:val="es-ES"/>
        </w:rPr>
        <w:t xml:space="preserve">. </w:t>
      </w:r>
    </w:p>
    <w:p w14:paraId="1BF8DDA6" w14:textId="77777777" w:rsidR="006E6B21" w:rsidRPr="006E6B21" w:rsidRDefault="006E6B21" w:rsidP="008E6050">
      <w:pPr>
        <w:spacing w:after="0" w:line="240" w:lineRule="auto"/>
        <w:jc w:val="both"/>
        <w:rPr>
          <w:rFonts w:ascii="Verdana" w:hAnsi="Verdana"/>
          <w:sz w:val="20"/>
          <w:szCs w:val="20"/>
          <w:lang w:val="es-MX"/>
        </w:rPr>
      </w:pPr>
    </w:p>
    <w:p w14:paraId="16B5AD33" w14:textId="77777777" w:rsidR="006E6B21" w:rsidRPr="006E6B21" w:rsidRDefault="006E6B21" w:rsidP="008E6050">
      <w:pPr>
        <w:spacing w:after="0" w:line="240" w:lineRule="auto"/>
        <w:jc w:val="both"/>
        <w:rPr>
          <w:rFonts w:ascii="Verdana" w:hAnsi="Verdana"/>
          <w:sz w:val="20"/>
          <w:szCs w:val="20"/>
        </w:rPr>
      </w:pPr>
      <w:r w:rsidRPr="006E6B21">
        <w:rPr>
          <w:rFonts w:ascii="Verdana" w:hAnsi="Verdana"/>
          <w:sz w:val="20"/>
          <w:szCs w:val="20"/>
          <w:lang w:val="es-ES"/>
        </w:rPr>
        <w:t>Así las cosas, la exigencia de visitas obligatorias deben fundarse en el principio de proporcionalidad, que sujetan las actuaciones de las entidades públicas, independiente del régimen de contratación. Ello implica que debe estar orientada a garantizar la idoneidad de las propuestas, la correcta ejecución contractual, y siempre que no tenga efectos excluyentes ni discriminatorios que limiten el acceso de oferentes idóneos, en garantía de los principios de igualdad y transparencia en los procesos de contratación.</w:t>
      </w:r>
      <w:r w:rsidRPr="006E6B21">
        <w:rPr>
          <w:rFonts w:ascii="Verdana" w:hAnsi="Verdana"/>
          <w:sz w:val="20"/>
          <w:szCs w:val="20"/>
        </w:rPr>
        <w:t xml:space="preserve"> </w:t>
      </w:r>
    </w:p>
    <w:p w14:paraId="13133A60" w14:textId="007375C9" w:rsidR="006E6B21" w:rsidRDefault="006E6B21" w:rsidP="006E6B21">
      <w:pPr>
        <w:spacing w:after="0" w:line="240" w:lineRule="auto"/>
        <w:rPr>
          <w:rFonts w:ascii="Verdana" w:hAnsi="Verdana"/>
          <w:b/>
          <w:sz w:val="20"/>
          <w:szCs w:val="20"/>
        </w:rPr>
      </w:pPr>
    </w:p>
    <w:p w14:paraId="687A5AB0" w14:textId="2FFA2D1C" w:rsidR="008E6050" w:rsidRDefault="008E6050" w:rsidP="006E6B21">
      <w:pPr>
        <w:spacing w:after="0" w:line="240" w:lineRule="auto"/>
        <w:rPr>
          <w:rFonts w:ascii="Verdana" w:hAnsi="Verdana"/>
          <w:b/>
          <w:sz w:val="20"/>
          <w:szCs w:val="20"/>
        </w:rPr>
      </w:pPr>
    </w:p>
    <w:p w14:paraId="2BA165B0" w14:textId="77777777" w:rsidR="008E6050" w:rsidRPr="006E6B21" w:rsidRDefault="008E6050" w:rsidP="006E6B21">
      <w:pPr>
        <w:spacing w:after="0" w:line="240" w:lineRule="auto"/>
        <w:rPr>
          <w:rFonts w:ascii="Verdana" w:hAnsi="Verdana"/>
          <w:b/>
          <w:sz w:val="20"/>
          <w:szCs w:val="20"/>
        </w:rPr>
      </w:pPr>
    </w:p>
    <w:p w14:paraId="3BDEFEF4" w14:textId="02986A34" w:rsidR="003D6F94" w:rsidRDefault="003D6F94" w:rsidP="003D6F94">
      <w:pPr>
        <w:spacing w:after="0"/>
        <w:rPr>
          <w:rFonts w:ascii="Verdana" w:hAnsi="Verdana"/>
        </w:rPr>
      </w:pPr>
      <w:r w:rsidRPr="0024624F">
        <w:rPr>
          <w:rFonts w:ascii="Verdana" w:hAnsi="Verdana"/>
        </w:rPr>
        <w:lastRenderedPageBreak/>
        <w:t>Bogotá D.C.,</w:t>
      </w:r>
      <w:r w:rsidR="00F96C2D">
        <w:rPr>
          <w:rFonts w:ascii="Verdana" w:hAnsi="Verdana"/>
        </w:rPr>
        <w:t xml:space="preserve"> 19 de noviembre de 2025</w:t>
      </w:r>
      <w:r>
        <w:rPr>
          <w:rFonts w:ascii="Verdana" w:hAnsi="Verdana"/>
        </w:rPr>
        <w:tab/>
      </w:r>
    </w:p>
    <w:p w14:paraId="74E7A649" w14:textId="2C2EF069" w:rsidR="003D6F94" w:rsidRDefault="008E6050" w:rsidP="003D6F94">
      <w:pPr>
        <w:spacing w:after="0"/>
        <w:rPr>
          <w:rFonts w:ascii="Verdana" w:hAnsi="Verdana"/>
        </w:rPr>
      </w:pPr>
      <w:r w:rsidRPr="008E6050">
        <w:rPr>
          <w:rFonts w:ascii="Verdana" w:hAnsi="Verdana"/>
          <w:noProof/>
          <w:lang w:val="en-US"/>
        </w:rPr>
        <w:drawing>
          <wp:anchor distT="0" distB="0" distL="114300" distR="114300" simplePos="0" relativeHeight="251658240" behindDoc="0" locked="0" layoutInCell="1" allowOverlap="1" wp14:anchorId="39A47086" wp14:editId="0FD9DF0B">
            <wp:simplePos x="0" y="0"/>
            <wp:positionH relativeFrom="margin">
              <wp:posOffset>2691765</wp:posOffset>
            </wp:positionH>
            <wp:positionV relativeFrom="paragraph">
              <wp:posOffset>11430</wp:posOffset>
            </wp:positionV>
            <wp:extent cx="2898775" cy="78867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98775" cy="788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E341F1" w14:textId="520A3EC6" w:rsidR="003D6F94" w:rsidRDefault="003D6F94" w:rsidP="003D6F94">
      <w:pPr>
        <w:spacing w:after="0"/>
        <w:rPr>
          <w:rFonts w:ascii="Verdana" w:hAnsi="Verdana"/>
        </w:rPr>
      </w:pPr>
    </w:p>
    <w:p w14:paraId="6E1717C1" w14:textId="77777777" w:rsidR="008E6050" w:rsidRPr="00B57A1B" w:rsidRDefault="008E6050" w:rsidP="003D6F94">
      <w:pPr>
        <w:spacing w:after="0"/>
        <w:rPr>
          <w:rFonts w:ascii="Verdana" w:hAnsi="Verdana"/>
        </w:rPr>
      </w:pPr>
    </w:p>
    <w:p w14:paraId="2A65AB78" w14:textId="77777777" w:rsidR="003D6F94" w:rsidRPr="00EA2220" w:rsidRDefault="003D6F94" w:rsidP="008E6050">
      <w:pPr>
        <w:spacing w:after="0" w:line="240" w:lineRule="auto"/>
        <w:rPr>
          <w:rFonts w:ascii="Verdana" w:eastAsia="Calibri" w:hAnsi="Verdana" w:cs="Times New Roman"/>
          <w:lang w:val="es-MX"/>
        </w:rPr>
      </w:pPr>
      <w:r w:rsidRPr="00EA2220">
        <w:rPr>
          <w:rFonts w:ascii="Verdana" w:eastAsia="Calibri" w:hAnsi="Verdana" w:cs="Times New Roman"/>
          <w:lang w:val="es-MX"/>
        </w:rPr>
        <w:t>Señor</w:t>
      </w:r>
    </w:p>
    <w:p w14:paraId="196FEA3F" w14:textId="2D5C99FE" w:rsidR="003D6F94" w:rsidRPr="008F51F1" w:rsidRDefault="008E6050" w:rsidP="008E6050">
      <w:pPr>
        <w:spacing w:after="0" w:line="240" w:lineRule="auto"/>
        <w:rPr>
          <w:rFonts w:ascii="Verdana" w:eastAsia="Calibri" w:hAnsi="Verdana" w:cs="Times New Roman"/>
          <w:b/>
          <w:bCs/>
        </w:rPr>
      </w:pPr>
      <w:r w:rsidRPr="008E6050">
        <w:rPr>
          <w:rFonts w:ascii="Verdana" w:eastAsia="Calibri" w:hAnsi="Verdana" w:cs="Times New Roman"/>
          <w:noProof/>
          <w:lang w:val="en-US"/>
        </w:rPr>
        <w:drawing>
          <wp:anchor distT="0" distB="0" distL="114300" distR="114300" simplePos="0" relativeHeight="251659264" behindDoc="0" locked="0" layoutInCell="1" allowOverlap="1" wp14:anchorId="71BB2A39" wp14:editId="50DB796E">
            <wp:simplePos x="0" y="0"/>
            <wp:positionH relativeFrom="margin">
              <wp:align>right</wp:align>
            </wp:positionH>
            <wp:positionV relativeFrom="paragraph">
              <wp:posOffset>154305</wp:posOffset>
            </wp:positionV>
            <wp:extent cx="2919730" cy="778510"/>
            <wp:effectExtent l="0" t="0" r="0" b="254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9730" cy="778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6F94" w:rsidRPr="008F51F1">
        <w:rPr>
          <w:rFonts w:ascii="Verdana" w:eastAsia="Calibri" w:hAnsi="Verdana" w:cs="Times New Roman"/>
          <w:b/>
          <w:bCs/>
        </w:rPr>
        <w:t>Luis Alfredo Carballo Gutiérrez</w:t>
      </w:r>
    </w:p>
    <w:p w14:paraId="757A2995" w14:textId="4AA4BFBD" w:rsidR="003D6F94" w:rsidRDefault="000C31DD" w:rsidP="008E6050">
      <w:pPr>
        <w:spacing w:after="0" w:line="240" w:lineRule="auto"/>
        <w:rPr>
          <w:rFonts w:ascii="Verdana" w:eastAsia="Calibri" w:hAnsi="Verdana" w:cs="Times New Roman"/>
        </w:rPr>
      </w:pPr>
      <w:hyperlink r:id="rId12" w:history="1">
        <w:r w:rsidR="003D6F94" w:rsidRPr="002D19B0">
          <w:rPr>
            <w:rStyle w:val="Hipervnculo"/>
            <w:rFonts w:ascii="Verdana" w:eastAsia="Calibri" w:hAnsi="Verdana" w:cs="Times New Roman"/>
          </w:rPr>
          <w:t>luis.carballog@electrohuila.co</w:t>
        </w:r>
      </w:hyperlink>
    </w:p>
    <w:p w14:paraId="6A9A29E5" w14:textId="45DFCC66" w:rsidR="003D6F94" w:rsidRDefault="003D6F94" w:rsidP="008E6050">
      <w:pPr>
        <w:spacing w:after="0" w:line="240" w:lineRule="auto"/>
        <w:rPr>
          <w:rFonts w:ascii="Verdana" w:eastAsia="Calibri" w:hAnsi="Verdana" w:cs="Times New Roman"/>
        </w:rPr>
      </w:pPr>
      <w:r>
        <w:rPr>
          <w:rFonts w:ascii="Verdana" w:eastAsia="Calibri" w:hAnsi="Verdana" w:cs="Times New Roman"/>
        </w:rPr>
        <w:t>Bogotá D.C.</w:t>
      </w:r>
    </w:p>
    <w:p w14:paraId="37461E45" w14:textId="054D3616" w:rsidR="003D6F94" w:rsidRPr="00B57A1B" w:rsidRDefault="003D6F94" w:rsidP="003D6F94">
      <w:pPr>
        <w:spacing w:after="0" w:line="256" w:lineRule="auto"/>
        <w:rPr>
          <w:rFonts w:ascii="Verdana" w:eastAsia="Calibri" w:hAnsi="Verdana" w:cs="Times New Roman"/>
        </w:rPr>
      </w:pPr>
    </w:p>
    <w:p w14:paraId="56FF3273" w14:textId="7D965B3E" w:rsidR="008E6050" w:rsidRDefault="008E6050" w:rsidP="003D6F94">
      <w:pPr>
        <w:spacing w:after="0" w:line="256" w:lineRule="auto"/>
        <w:rPr>
          <w:rFonts w:ascii="Verdana" w:eastAsia="Calibri" w:hAnsi="Verdana" w:cs="Times New Roman"/>
        </w:rPr>
      </w:pPr>
    </w:p>
    <w:p w14:paraId="0C376771" w14:textId="77777777" w:rsidR="008E6050" w:rsidRPr="00B57A1B" w:rsidRDefault="008E6050" w:rsidP="003D6F94">
      <w:pPr>
        <w:spacing w:after="0" w:line="256" w:lineRule="auto"/>
        <w:rPr>
          <w:rFonts w:ascii="Verdana" w:eastAsia="Calibri" w:hAnsi="Verdana" w:cs="Times New Roman"/>
        </w:rPr>
      </w:pPr>
    </w:p>
    <w:p w14:paraId="6BE7A261" w14:textId="77777777" w:rsidR="003D6F94" w:rsidRPr="00B57A1B" w:rsidRDefault="003D6F94" w:rsidP="003D6F94">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C–1519</w:t>
      </w:r>
      <w:r w:rsidRPr="00B57A1B">
        <w:rPr>
          <w:rFonts w:ascii="Verdana" w:eastAsia="Calibri" w:hAnsi="Verdana" w:cs="Times New Roman"/>
          <w:b/>
          <w:bCs/>
          <w:lang w:val="es-ES"/>
        </w:rPr>
        <w:t xml:space="preserve"> de 2025</w:t>
      </w:r>
    </w:p>
    <w:p w14:paraId="304D5249" w14:textId="77777777" w:rsidR="003D6F94" w:rsidRPr="00B57A1B" w:rsidRDefault="003D6F94" w:rsidP="003D6F94">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D6F94" w:rsidRPr="00B57A1B" w14:paraId="711F30B8" w14:textId="77777777" w:rsidTr="002305CE">
        <w:trPr>
          <w:trHeight w:val="645"/>
        </w:trPr>
        <w:tc>
          <w:tcPr>
            <w:tcW w:w="2685" w:type="dxa"/>
            <w:hideMark/>
          </w:tcPr>
          <w:p w14:paraId="215A757E" w14:textId="77777777" w:rsidR="003D6F94" w:rsidRPr="00B57A1B" w:rsidRDefault="003D6F94" w:rsidP="002305CE">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265A1461" w14:textId="77777777" w:rsidR="003D6F94" w:rsidRDefault="003D6F94" w:rsidP="002305CE">
            <w:pPr>
              <w:spacing w:line="276" w:lineRule="auto"/>
              <w:jc w:val="both"/>
              <w:rPr>
                <w:rFonts w:ascii="Verdana" w:hAnsi="Verdana" w:cs="Arial"/>
                <w:lang w:val="es-ES" w:eastAsia="es-ES"/>
              </w:rPr>
            </w:pPr>
            <w:r w:rsidRPr="00D91306">
              <w:rPr>
                <w:rFonts w:ascii="Verdana" w:hAnsi="Verdana" w:cs="Arial"/>
                <w:lang w:val="es-ES" w:eastAsia="es-ES"/>
              </w:rPr>
              <w:t xml:space="preserve">CONTRATO ESTATAL – Régimen jurídico / RÉGIMEN EXCEPCIONAL – Justificación – Criterios de clasificación / EMPRESAS DE SERVICIOS PÚBLICOS – Naturaleza – régimen especial / EMPRESAS DE SERVICIOS PÚBLICOS – Mixtas – Privadas con participación estatal – Entidades descentralizadas por servicios – Sentencia C-637 de 2007 / </w:t>
            </w:r>
            <w:r>
              <w:rPr>
                <w:rFonts w:ascii="Verdana" w:hAnsi="Verdana" w:cs="Arial"/>
                <w:lang w:val="es-ES" w:eastAsia="es-ES"/>
              </w:rPr>
              <w:t xml:space="preserve">EMPRESAS DE SERVICIOS PÚBLICOS – Entidades de Régimen Especial – Principios de la Función Administrativa – Principios de la Gestión Fiscal / EMPRESAS DE SERVICIOS PÚBLICOS – Guía para la Gestión Contractual de Entidades de Régimen Especial -Lineamientos / EMPRESAS DE SERVICIOS PÚBLICOS – Visitas en Obra – Proporcionalidad – No discriminación.   </w:t>
            </w:r>
          </w:p>
          <w:p w14:paraId="68CC8A27" w14:textId="77777777" w:rsidR="003D6F94" w:rsidRPr="00B57A1B" w:rsidRDefault="003D6F94" w:rsidP="002305CE">
            <w:pPr>
              <w:spacing w:line="276" w:lineRule="auto"/>
              <w:jc w:val="both"/>
              <w:rPr>
                <w:rFonts w:ascii="Verdana" w:hAnsi="Verdana" w:cs="Arial"/>
                <w:bCs/>
                <w:lang w:val="es-ES_tradnl" w:eastAsia="es-ES"/>
              </w:rPr>
            </w:pPr>
            <w:r>
              <w:rPr>
                <w:rFonts w:ascii="Verdana" w:hAnsi="Verdana" w:cs="Arial"/>
                <w:lang w:val="es-ES" w:eastAsia="es-ES"/>
              </w:rPr>
              <w:t xml:space="preserve"> </w:t>
            </w:r>
          </w:p>
          <w:p w14:paraId="09DCEDDC" w14:textId="77777777" w:rsidR="003D6F94" w:rsidRPr="00B57A1B" w:rsidRDefault="003D6F94" w:rsidP="002305CE">
            <w:pPr>
              <w:spacing w:line="276" w:lineRule="auto"/>
              <w:jc w:val="both"/>
              <w:rPr>
                <w:rFonts w:ascii="Verdana" w:hAnsi="Verdana" w:cs="Arial"/>
                <w:lang w:val="es-ES" w:eastAsia="es-ES"/>
              </w:rPr>
            </w:pPr>
          </w:p>
        </w:tc>
        <w:tc>
          <w:tcPr>
            <w:tcW w:w="6237" w:type="dxa"/>
          </w:tcPr>
          <w:p w14:paraId="7B9DD5C7" w14:textId="77777777" w:rsidR="003D6F94" w:rsidRPr="00C732BA" w:rsidRDefault="003D6F94" w:rsidP="002305CE">
            <w:pPr>
              <w:spacing w:line="256" w:lineRule="auto"/>
              <w:rPr>
                <w:rFonts w:ascii="Verdana" w:hAnsi="Verdana"/>
                <w:lang w:val="es-ES"/>
              </w:rPr>
            </w:pPr>
          </w:p>
        </w:tc>
      </w:tr>
      <w:tr w:rsidR="003D6F94" w:rsidRPr="00B57A1B" w14:paraId="541ED71D" w14:textId="77777777" w:rsidTr="002305CE">
        <w:tc>
          <w:tcPr>
            <w:tcW w:w="2685" w:type="dxa"/>
          </w:tcPr>
          <w:p w14:paraId="549D05BE" w14:textId="77777777" w:rsidR="003D6F94" w:rsidRPr="00B57A1B" w:rsidRDefault="003D6F94" w:rsidP="002305CE">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26F23074" w14:textId="77777777" w:rsidR="003D6F94" w:rsidRPr="005D244D" w:rsidRDefault="003D6F94" w:rsidP="002305CE">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8F51F1">
              <w:rPr>
                <w:rFonts w:ascii="Verdana" w:hAnsi="Verdana"/>
              </w:rPr>
              <w:t>1_2025_10_17_011690</w:t>
            </w:r>
            <w:r>
              <w:rPr>
                <w:rFonts w:ascii="Verdana" w:hAnsi="Verdana"/>
              </w:rPr>
              <w:t xml:space="preserve"> y </w:t>
            </w:r>
            <w:r w:rsidRPr="008F51F1">
              <w:rPr>
                <w:rFonts w:ascii="Verdana" w:hAnsi="Verdana"/>
              </w:rPr>
              <w:t>1_2025_10_20_011717</w:t>
            </w:r>
            <w:r>
              <w:rPr>
                <w:rFonts w:ascii="Verdana" w:hAnsi="Verdana"/>
              </w:rPr>
              <w:t xml:space="preserve"> (acumulados)</w:t>
            </w:r>
          </w:p>
          <w:p w14:paraId="3439913B" w14:textId="77777777" w:rsidR="003D6F94" w:rsidRPr="00B57A1B" w:rsidRDefault="003D6F94" w:rsidP="002305CE">
            <w:pPr>
              <w:spacing w:line="257" w:lineRule="auto"/>
              <w:jc w:val="both"/>
              <w:rPr>
                <w:rFonts w:ascii="Verdana" w:hAnsi="Verdana"/>
              </w:rPr>
            </w:pPr>
          </w:p>
          <w:p w14:paraId="1F855C07" w14:textId="77777777" w:rsidR="003D6F94" w:rsidRPr="00B57A1B" w:rsidRDefault="003D6F94" w:rsidP="002305CE">
            <w:pPr>
              <w:spacing w:line="257" w:lineRule="auto"/>
              <w:jc w:val="both"/>
              <w:rPr>
                <w:rFonts w:ascii="Verdana" w:hAnsi="Verdana"/>
              </w:rPr>
            </w:pPr>
          </w:p>
        </w:tc>
        <w:tc>
          <w:tcPr>
            <w:tcW w:w="6237" w:type="dxa"/>
          </w:tcPr>
          <w:p w14:paraId="5A2838FB" w14:textId="77777777" w:rsidR="003D6F94" w:rsidRPr="00B57A1B" w:rsidRDefault="003D6F94" w:rsidP="002305CE">
            <w:pPr>
              <w:spacing w:line="256" w:lineRule="auto"/>
              <w:rPr>
                <w:rFonts w:ascii="Verdana" w:hAnsi="Verdana"/>
                <w:lang w:val="es-ES_tradnl"/>
              </w:rPr>
            </w:pPr>
          </w:p>
        </w:tc>
      </w:tr>
    </w:tbl>
    <w:p w14:paraId="3E2F5CE3" w14:textId="77777777" w:rsidR="003D6F94" w:rsidRPr="00B57A1B" w:rsidRDefault="003D6F94" w:rsidP="003D6F94">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Carballo</w:t>
      </w:r>
      <w:r w:rsidRPr="00B57A1B">
        <w:rPr>
          <w:rFonts w:ascii="Verdana" w:eastAsia="Calibri" w:hAnsi="Verdana" w:cs="Times New Roman"/>
          <w:lang w:val="es-ES"/>
        </w:rPr>
        <w:t xml:space="preserve">: </w:t>
      </w:r>
    </w:p>
    <w:p w14:paraId="3A0B32C7" w14:textId="77777777" w:rsidR="003D6F94" w:rsidRPr="00B57A1B" w:rsidRDefault="003D6F94" w:rsidP="003D6F94">
      <w:pPr>
        <w:spacing w:after="0" w:line="256" w:lineRule="auto"/>
        <w:rPr>
          <w:rFonts w:ascii="Verdana" w:eastAsia="Calibri" w:hAnsi="Verdana" w:cs="Times New Roman"/>
          <w:lang w:val="es-ES"/>
        </w:rPr>
      </w:pPr>
    </w:p>
    <w:p w14:paraId="5AA7CC9D" w14:textId="77777777" w:rsidR="003D6F94" w:rsidRDefault="003D6F94" w:rsidP="003D6F94">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 xml:space="preserve">la Agencia Nacional de </w:t>
      </w:r>
      <w:r w:rsidRPr="00B57A1B">
        <w:rPr>
          <w:rFonts w:ascii="Verdana" w:eastAsia="Calibri" w:hAnsi="Verdana" w:cs="Times New Roman"/>
          <w:bCs/>
          <w:lang w:val="es-ES" w:bidi="es-ES"/>
        </w:rPr>
        <w:lastRenderedPageBreak/>
        <w:t>Contratación Pública – Colombia Compra Eficien</w:t>
      </w:r>
      <w:r>
        <w:rPr>
          <w:rFonts w:ascii="Verdana" w:eastAsia="Calibri" w:hAnsi="Verdana" w:cs="Times New Roman"/>
          <w:bCs/>
          <w:lang w:val="es-ES" w:bidi="es-ES"/>
        </w:rPr>
        <w:t>te– responde la solicitud de consulta del 17 de octubre de 2025</w:t>
      </w:r>
      <w:r w:rsidRPr="00B57A1B">
        <w:rPr>
          <w:rFonts w:ascii="Verdana" w:eastAsia="Calibri" w:hAnsi="Verdana" w:cs="Times New Roman"/>
          <w:bCs/>
          <w:lang w:val="es-ES" w:bidi="es-ES"/>
        </w:rPr>
        <w:t xml:space="preserve">, en la cual manifiesta: </w:t>
      </w:r>
    </w:p>
    <w:p w14:paraId="72619872" w14:textId="77777777" w:rsidR="003D6F94" w:rsidRPr="00586328" w:rsidRDefault="003D6F94" w:rsidP="003D6F94">
      <w:pPr>
        <w:spacing w:after="0" w:line="240" w:lineRule="auto"/>
        <w:jc w:val="both"/>
        <w:rPr>
          <w:rFonts w:ascii="Verdana" w:eastAsia="Calibri" w:hAnsi="Verdana" w:cs="Times New Roman"/>
          <w:bCs/>
          <w:lang w:bidi="es-ES"/>
        </w:rPr>
      </w:pPr>
    </w:p>
    <w:p w14:paraId="25223F75" w14:textId="77777777" w:rsidR="003D6F94" w:rsidRPr="003B13B8" w:rsidRDefault="003D6F94" w:rsidP="003D6F94">
      <w:pPr>
        <w:spacing w:after="0" w:line="240" w:lineRule="auto"/>
        <w:ind w:left="709" w:right="709"/>
        <w:jc w:val="both"/>
        <w:rPr>
          <w:rFonts w:ascii="Verdana" w:eastAsia="Calibri" w:hAnsi="Verdana" w:cs="Times New Roman"/>
          <w:bCs/>
          <w:sz w:val="20"/>
          <w:szCs w:val="20"/>
          <w:lang w:bidi="es-ES"/>
        </w:rPr>
      </w:pPr>
      <w:r w:rsidRPr="008F51F1">
        <w:rPr>
          <w:rFonts w:ascii="Verdana" w:eastAsia="Calibri" w:hAnsi="Verdana" w:cs="Times New Roman"/>
          <w:bCs/>
          <w:sz w:val="20"/>
          <w:szCs w:val="20"/>
          <w:lang w:bidi="es-ES"/>
        </w:rPr>
        <w:t>“</w:t>
      </w:r>
      <w:r w:rsidRPr="003B13B8">
        <w:rPr>
          <w:rFonts w:ascii="Verdana" w:eastAsia="Calibri" w:hAnsi="Verdana" w:cs="Times New Roman"/>
          <w:bCs/>
          <w:sz w:val="20"/>
          <w:szCs w:val="20"/>
          <w:lang w:bidi="es-ES"/>
        </w:rPr>
        <w:t xml:space="preserve">Muy respetuosamente solicito su colaboración en el sentido de emitirnos concepto relacionado con la viabilidad legal de incorporar en los términos de referencia de un proceso precontractual para contratar la construcción de una obra eléctrica la obligatoriedad para los proponentes de asistir a las visitas de obra que programa la entidad contratante, en el mismo sentido, si es viable incorporar como requisito habilitante o casual de rechazo o en su defecto dar puntaje por su asistencia. </w:t>
      </w:r>
    </w:p>
    <w:p w14:paraId="2DE930AA" w14:textId="77777777" w:rsidR="003D6F94" w:rsidRPr="008F51F1" w:rsidRDefault="003D6F94" w:rsidP="003D6F94">
      <w:pPr>
        <w:spacing w:after="0" w:line="240" w:lineRule="auto"/>
        <w:ind w:left="709" w:right="709"/>
        <w:jc w:val="both"/>
        <w:rPr>
          <w:rFonts w:ascii="Verdana" w:eastAsia="Calibri" w:hAnsi="Verdana" w:cs="Times New Roman"/>
          <w:bCs/>
          <w:sz w:val="20"/>
          <w:szCs w:val="20"/>
          <w:lang w:bidi="es-ES"/>
        </w:rPr>
      </w:pPr>
      <w:r w:rsidRPr="008F51F1">
        <w:rPr>
          <w:rFonts w:ascii="Verdana" w:eastAsia="Calibri" w:hAnsi="Verdana" w:cs="Times New Roman"/>
          <w:bCs/>
          <w:sz w:val="20"/>
          <w:szCs w:val="20"/>
          <w:lang w:bidi="es-ES"/>
        </w:rPr>
        <w:t>La anterior consulta se debe enmarcar en las empresas con Régimen Especial (exceptuadas de Ley 80 de 1993), como son las empresas de servicios de energía públicas mixtas del orden nacional con más del 90% de recursos del gobierno nacional, vinculadas al Sector de Minas y Energías</w:t>
      </w:r>
    </w:p>
    <w:p w14:paraId="65FCB655" w14:textId="77777777" w:rsidR="003D6F94" w:rsidRPr="008F51F1" w:rsidRDefault="003D6F94" w:rsidP="003D6F94">
      <w:pPr>
        <w:spacing w:after="0" w:line="240" w:lineRule="auto"/>
        <w:ind w:left="709" w:right="709"/>
        <w:jc w:val="both"/>
        <w:rPr>
          <w:rFonts w:ascii="Verdana" w:eastAsia="Calibri" w:hAnsi="Verdana" w:cs="Times New Roman"/>
          <w:bCs/>
          <w:sz w:val="20"/>
          <w:szCs w:val="20"/>
          <w:lang w:bidi="es-ES"/>
        </w:rPr>
      </w:pPr>
      <w:r w:rsidRPr="008F51F1">
        <w:rPr>
          <w:rFonts w:ascii="Verdana" w:eastAsia="Calibri" w:hAnsi="Verdana" w:cs="Times New Roman"/>
          <w:bCs/>
          <w:sz w:val="20"/>
          <w:szCs w:val="20"/>
          <w:lang w:bidi="es-ES"/>
        </w:rPr>
        <w:t xml:space="preserve">De considerarse viable, no iría en </w:t>
      </w:r>
      <w:r w:rsidRPr="003B13B8">
        <w:rPr>
          <w:rFonts w:ascii="Verdana" w:eastAsia="Calibri" w:hAnsi="Verdana" w:cs="Times New Roman"/>
          <w:bCs/>
          <w:sz w:val="20"/>
          <w:szCs w:val="20"/>
          <w:lang w:bidi="es-ES"/>
        </w:rPr>
        <w:t>contravía del Art. 1 de la Ley 155 de 1959 (prohibición de prácticas, procedimientos o sistemas tendientes a limitar la libre competencia y a mantener o determinar precios inequitativos)</w:t>
      </w:r>
      <w:r w:rsidRPr="008F51F1">
        <w:rPr>
          <w:rFonts w:ascii="Verdana" w:eastAsia="Calibri" w:hAnsi="Verdana" w:cs="Times New Roman"/>
          <w:bCs/>
          <w:sz w:val="20"/>
          <w:szCs w:val="20"/>
          <w:lang w:bidi="es-ES"/>
        </w:rPr>
        <w:t>”</w:t>
      </w:r>
    </w:p>
    <w:p w14:paraId="2AEBCD25" w14:textId="77777777" w:rsidR="003D6F94" w:rsidRPr="00812F2C" w:rsidRDefault="003D6F94" w:rsidP="003D6F94">
      <w:pPr>
        <w:spacing w:after="0" w:line="240" w:lineRule="auto"/>
        <w:ind w:left="709" w:right="709"/>
        <w:jc w:val="both"/>
        <w:rPr>
          <w:rFonts w:ascii="Verdana" w:eastAsia="Calibri" w:hAnsi="Verdana" w:cs="Times New Roman"/>
          <w:bCs/>
          <w:sz w:val="21"/>
          <w:szCs w:val="21"/>
          <w:lang w:bidi="es-ES"/>
        </w:rPr>
      </w:pPr>
    </w:p>
    <w:p w14:paraId="3329DE5B" w14:textId="77777777" w:rsidR="003D6F94" w:rsidRPr="00B57A1B" w:rsidRDefault="003D6F94" w:rsidP="003D6F94">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84421B2" w14:textId="77777777" w:rsidR="003D6F94" w:rsidRPr="00B57A1B" w:rsidRDefault="003D6F94" w:rsidP="003D6F94">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 </w:t>
      </w:r>
    </w:p>
    <w:p w14:paraId="18CDA54C" w14:textId="77777777" w:rsidR="003D6F94" w:rsidRPr="00B57A1B" w:rsidRDefault="003D6F94" w:rsidP="003D6F94">
      <w:pPr>
        <w:spacing w:after="0" w:line="256" w:lineRule="auto"/>
        <w:rPr>
          <w:rFonts w:ascii="Verdana" w:eastAsia="Calibri" w:hAnsi="Verdana" w:cs="Times New Roman"/>
          <w:lang w:val="es-ES"/>
        </w:rPr>
      </w:pPr>
    </w:p>
    <w:p w14:paraId="244B2336" w14:textId="77777777" w:rsidR="003D6F94" w:rsidRPr="00B57A1B" w:rsidRDefault="003D6F94" w:rsidP="003D6F94">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719296D8" w14:textId="77777777" w:rsidR="003D6F94" w:rsidRPr="00B57A1B" w:rsidRDefault="003D6F94" w:rsidP="003D6F94">
      <w:pPr>
        <w:spacing w:after="0" w:line="256" w:lineRule="auto"/>
        <w:rPr>
          <w:rFonts w:ascii="Verdana" w:eastAsia="Calibri" w:hAnsi="Verdana" w:cs="Times New Roman"/>
        </w:rPr>
      </w:pPr>
    </w:p>
    <w:p w14:paraId="1FB1E092" w14:textId="77777777" w:rsidR="003D6F94" w:rsidRDefault="003D6F94" w:rsidP="003D6F94">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xml:space="preserve">: </w:t>
      </w:r>
      <w:r w:rsidRPr="003B13B8">
        <w:rPr>
          <w:rFonts w:ascii="Verdana" w:eastAsia="Calibri" w:hAnsi="Verdana" w:cs="Times New Roman"/>
          <w:iCs/>
          <w:lang w:val="es-ES"/>
        </w:rPr>
        <w:t xml:space="preserve">¿Es </w:t>
      </w:r>
      <w:r>
        <w:rPr>
          <w:rFonts w:ascii="Verdana" w:eastAsia="Calibri" w:hAnsi="Verdana" w:cs="Times New Roman"/>
          <w:iCs/>
          <w:lang w:val="es-ES"/>
        </w:rPr>
        <w:t xml:space="preserve">procedente </w:t>
      </w:r>
      <w:r w:rsidRPr="003B13B8">
        <w:rPr>
          <w:rFonts w:ascii="Verdana" w:eastAsia="Calibri" w:hAnsi="Verdana" w:cs="Times New Roman"/>
          <w:iCs/>
          <w:lang w:val="es-ES"/>
        </w:rPr>
        <w:t>que una empresa de servicios públicos</w:t>
      </w:r>
      <w:r>
        <w:rPr>
          <w:rFonts w:ascii="Verdana" w:eastAsia="Calibri" w:hAnsi="Verdana" w:cs="Times New Roman"/>
          <w:iCs/>
          <w:lang w:val="es-ES"/>
        </w:rPr>
        <w:t xml:space="preserve"> mixta</w:t>
      </w:r>
      <w:r w:rsidRPr="003B13B8">
        <w:rPr>
          <w:rFonts w:ascii="Verdana" w:eastAsia="Calibri" w:hAnsi="Verdana" w:cs="Times New Roman"/>
          <w:iCs/>
          <w:lang w:val="es-ES"/>
        </w:rPr>
        <w:t xml:space="preserve"> de energía incorpore en l</w:t>
      </w:r>
      <w:r>
        <w:rPr>
          <w:rFonts w:ascii="Verdana" w:eastAsia="Calibri" w:hAnsi="Verdana" w:cs="Times New Roman"/>
          <w:iCs/>
          <w:lang w:val="es-ES"/>
        </w:rPr>
        <w:t xml:space="preserve">as condiciones </w:t>
      </w:r>
      <w:r w:rsidRPr="003B13B8">
        <w:rPr>
          <w:rFonts w:ascii="Verdana" w:eastAsia="Calibri" w:hAnsi="Verdana" w:cs="Times New Roman"/>
          <w:iCs/>
          <w:lang w:val="es-ES"/>
        </w:rPr>
        <w:t xml:space="preserve">de referencia </w:t>
      </w:r>
      <w:r>
        <w:rPr>
          <w:rFonts w:ascii="Verdana" w:eastAsia="Calibri" w:hAnsi="Verdana" w:cs="Times New Roman"/>
          <w:iCs/>
          <w:lang w:val="es-ES"/>
        </w:rPr>
        <w:t xml:space="preserve">para un contrato de </w:t>
      </w:r>
      <w:r w:rsidRPr="003B13B8">
        <w:rPr>
          <w:rFonts w:ascii="Verdana" w:eastAsia="Calibri" w:hAnsi="Verdana" w:cs="Times New Roman"/>
          <w:iCs/>
          <w:lang w:val="es-ES"/>
        </w:rPr>
        <w:t xml:space="preserve">obra la obligatoriedad de asistir a visitas programadas por la entidad, ya sea como requisito habilitante, causal de rechazo o criterio de evaluación, sin que ello </w:t>
      </w:r>
      <w:r>
        <w:rPr>
          <w:rFonts w:ascii="Verdana" w:eastAsia="Calibri" w:hAnsi="Verdana" w:cs="Times New Roman"/>
          <w:iCs/>
          <w:lang w:val="es-ES"/>
        </w:rPr>
        <w:t xml:space="preserve">implique </w:t>
      </w:r>
      <w:r w:rsidRPr="003B13B8">
        <w:rPr>
          <w:rFonts w:ascii="Verdana" w:eastAsia="Calibri" w:hAnsi="Verdana" w:cs="Times New Roman"/>
          <w:iCs/>
          <w:lang w:val="es-ES"/>
        </w:rPr>
        <w:t>prácticas restrictivas de la libre competencia?</w:t>
      </w:r>
    </w:p>
    <w:p w14:paraId="0600FD83" w14:textId="77777777" w:rsidR="003D6F94" w:rsidRPr="00B57A1B" w:rsidRDefault="003D6F94" w:rsidP="003D6F94">
      <w:pPr>
        <w:spacing w:after="0" w:line="276" w:lineRule="auto"/>
        <w:jc w:val="both"/>
        <w:rPr>
          <w:rFonts w:ascii="Verdana" w:eastAsia="Calibri" w:hAnsi="Verdana" w:cs="Times New Roman"/>
          <w:i/>
          <w:iCs/>
          <w:lang w:val="es-ES"/>
        </w:rPr>
      </w:pPr>
    </w:p>
    <w:p w14:paraId="6F0A2E1A" w14:textId="77777777" w:rsidR="003D6F94" w:rsidRPr="00B57A1B" w:rsidRDefault="003D6F94" w:rsidP="003D6F94">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74979F64" w14:textId="77777777" w:rsidR="003D6F94" w:rsidRPr="00B57A1B" w:rsidRDefault="003D6F94" w:rsidP="003D6F94">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D6F94" w:rsidRPr="00B57A1B" w14:paraId="3EB70DA8" w14:textId="77777777" w:rsidTr="002305CE">
        <w:trPr>
          <w:trHeight w:val="345"/>
          <w:jc w:val="center"/>
        </w:trPr>
        <w:tc>
          <w:tcPr>
            <w:tcW w:w="8784" w:type="dxa"/>
            <w:tcBorders>
              <w:bottom w:val="single" w:sz="4" w:space="0" w:color="auto"/>
            </w:tcBorders>
          </w:tcPr>
          <w:p w14:paraId="77CABA95" w14:textId="77777777" w:rsidR="003D6F94" w:rsidRDefault="003D6F94" w:rsidP="002305CE">
            <w:pPr>
              <w:widowControl w:val="0"/>
              <w:autoSpaceDE w:val="0"/>
              <w:autoSpaceDN w:val="0"/>
              <w:spacing w:before="120" w:after="120" w:line="276" w:lineRule="auto"/>
              <w:jc w:val="both"/>
              <w:rPr>
                <w:rFonts w:ascii="Verdana" w:eastAsia="Verdana" w:hAnsi="Verdana" w:cs="Verdana"/>
                <w:bCs/>
                <w:lang w:val="es-ES"/>
              </w:rPr>
            </w:pPr>
            <w:r w:rsidRPr="00B57A1B">
              <w:rPr>
                <w:rFonts w:ascii="Verdana" w:eastAsia="Calibri" w:hAnsi="Verdana" w:cs="Times New Roman"/>
              </w:rPr>
              <w:t xml:space="preserve">En cuanto al problema jurídico, objeto de consulta, </w:t>
            </w:r>
            <w:r>
              <w:rPr>
                <w:rFonts w:ascii="Verdana" w:eastAsia="Verdana" w:hAnsi="Verdana" w:cs="Verdana"/>
                <w:bCs/>
                <w:lang w:val="es-ES_tradnl"/>
              </w:rPr>
              <w:t xml:space="preserve">es importante precisar que la incorporación de visitas obligatorias en las condiciones de referencia </w:t>
            </w:r>
            <w:r w:rsidRPr="0027572F">
              <w:rPr>
                <w:rFonts w:ascii="Verdana" w:eastAsia="Verdana" w:hAnsi="Verdana" w:cs="Verdana"/>
                <w:bCs/>
                <w:lang w:val="es-ES_tradnl"/>
              </w:rPr>
              <w:t xml:space="preserve">de un contrato de obra por parte de una empresa de servicios públicos mixta de energía con régimen especial es procedente, </w:t>
            </w:r>
            <w:r>
              <w:rPr>
                <w:rFonts w:ascii="Verdana" w:eastAsia="Verdana" w:hAnsi="Verdana" w:cs="Verdana"/>
                <w:bCs/>
                <w:lang w:val="es-ES_tradnl"/>
              </w:rPr>
              <w:t xml:space="preserve">siempre de que </w:t>
            </w:r>
            <w:r w:rsidRPr="0027572F">
              <w:rPr>
                <w:rFonts w:ascii="Verdana" w:eastAsia="Verdana" w:hAnsi="Verdana" w:cs="Verdana"/>
                <w:bCs/>
                <w:lang w:val="es-ES_tradnl"/>
              </w:rPr>
              <w:t>se fundamente en criterios técnicos y operativos que justifiquen su necesidad. Estas entidades, al estar exceptuadas de la Ley 80 de 1993, se rigen por el derecho privado y por sus propios manuales de contratación, lo que les otorga mayor flexibilidad para estructurar sus procesos precontractuales</w:t>
            </w:r>
            <w:r>
              <w:rPr>
                <w:rFonts w:ascii="Verdana" w:eastAsia="Verdana" w:hAnsi="Verdana" w:cs="Verdana"/>
                <w:bCs/>
                <w:lang w:val="es-ES_tradnl"/>
              </w:rPr>
              <w:t xml:space="preserve">. Esto, sin perjuicio del deber de garantizar los principios de la función administrativa y la gestión fiscal, </w:t>
            </w:r>
            <w:r w:rsidRPr="00571CB1">
              <w:rPr>
                <w:rFonts w:ascii="Verdana" w:eastAsia="Verdana" w:hAnsi="Verdana" w:cs="Verdana"/>
                <w:bCs/>
                <w:lang w:val="es-ES"/>
              </w:rPr>
              <w:t>como la igualdad, moralidad, eficacia, economía, celeridad, imparcialidad y publicidad, así como los principios de la gestión fiscal, como eficiencia, economía, equidad y v</w:t>
            </w:r>
            <w:r>
              <w:rPr>
                <w:rFonts w:ascii="Verdana" w:eastAsia="Verdana" w:hAnsi="Verdana" w:cs="Verdana"/>
                <w:bCs/>
                <w:lang w:val="es-ES"/>
              </w:rPr>
              <w:t xml:space="preserve">aloración de costos ambientales, que actúan como su </w:t>
            </w:r>
            <w:r w:rsidRPr="00571CB1">
              <w:rPr>
                <w:rFonts w:ascii="Verdana" w:eastAsia="Verdana" w:hAnsi="Verdana" w:cs="Verdana"/>
                <w:bCs/>
                <w:lang w:val="es-ES"/>
              </w:rPr>
              <w:t xml:space="preserve">norte metodológico. </w:t>
            </w:r>
          </w:p>
          <w:p w14:paraId="3764DEB0" w14:textId="77777777" w:rsidR="003D6F94" w:rsidRPr="009C01DF" w:rsidRDefault="003D6F94" w:rsidP="002305CE">
            <w:pPr>
              <w:widowControl w:val="0"/>
              <w:autoSpaceDE w:val="0"/>
              <w:autoSpaceDN w:val="0"/>
              <w:spacing w:before="120" w:after="120" w:line="276" w:lineRule="auto"/>
              <w:ind w:firstLine="708"/>
              <w:jc w:val="both"/>
              <w:rPr>
                <w:rFonts w:ascii="Verdana" w:eastAsia="Verdana" w:hAnsi="Verdana" w:cs="Verdana"/>
                <w:bCs/>
              </w:rPr>
            </w:pPr>
            <w:r>
              <w:rPr>
                <w:rFonts w:ascii="Verdana" w:eastAsia="Verdana" w:hAnsi="Verdana" w:cs="Verdana"/>
                <w:bCs/>
                <w:lang w:val="es-ES_tradnl"/>
              </w:rPr>
              <w:t>De tal modo</w:t>
            </w:r>
            <w:r w:rsidRPr="001B2DC3">
              <w:rPr>
                <w:rFonts w:ascii="Verdana" w:eastAsia="Verdana" w:hAnsi="Verdana" w:cs="Verdana"/>
                <w:bCs/>
                <w:lang w:val="es-ES_tradnl"/>
              </w:rPr>
              <w:t>, la exigencia de asistir a visitas de obra puede establecerse como requisito habilitante o criterio de evaluación, siempre que se garantice su razonabilidad, proporcionalidad y no discriminación de los diferentes proveedores que participan dentro del proceso de contratación.</w:t>
            </w:r>
            <w:r>
              <w:rPr>
                <w:rFonts w:ascii="Verdana" w:eastAsia="Verdana" w:hAnsi="Verdana" w:cs="Verdana"/>
                <w:bCs/>
                <w:lang w:val="es-ES_tradnl"/>
              </w:rPr>
              <w:t xml:space="preserve"> Ahora bien, frente a </w:t>
            </w:r>
            <w:r w:rsidRPr="00880497">
              <w:rPr>
                <w:rFonts w:ascii="Verdana" w:eastAsia="Verdana" w:hAnsi="Verdana" w:cs="Verdana"/>
                <w:bCs/>
                <w:lang w:val="es-ES"/>
              </w:rPr>
              <w:t xml:space="preserve">la regulación de causales de rechazo en procedimientos competitivos deben estar necesariamente nominadas en la Ley o en el pliego de condiciones, y no puede realizarse, frente a su redacción, ninguna interpretación extensiva. </w:t>
            </w:r>
            <w:r>
              <w:rPr>
                <w:rFonts w:ascii="Verdana" w:eastAsia="Verdana" w:hAnsi="Verdana" w:cs="Verdana"/>
                <w:bCs/>
                <w:lang w:val="es-ES"/>
              </w:rPr>
              <w:t>Ad</w:t>
            </w:r>
            <w:proofErr w:type="spellStart"/>
            <w:r w:rsidRPr="009C01DF">
              <w:rPr>
                <w:rFonts w:ascii="Verdana" w:eastAsia="Verdana" w:hAnsi="Verdana" w:cs="Verdana"/>
                <w:bCs/>
                <w:lang w:val="es-ES_tradnl"/>
              </w:rPr>
              <w:t>emás</w:t>
            </w:r>
            <w:proofErr w:type="spellEnd"/>
            <w:r>
              <w:rPr>
                <w:rFonts w:ascii="Verdana" w:eastAsia="Verdana" w:hAnsi="Verdana" w:cs="Verdana"/>
                <w:bCs/>
                <w:lang w:val="es-ES_tradnl"/>
              </w:rPr>
              <w:t xml:space="preserve">, el Consejo de Estado expresa en el </w:t>
            </w:r>
            <w:proofErr w:type="spellStart"/>
            <w:r>
              <w:rPr>
                <w:rFonts w:ascii="Verdana" w:eastAsia="Verdana" w:hAnsi="Verdana" w:cs="Verdana"/>
                <w:bCs/>
                <w:lang w:val="es-ES_tradnl"/>
              </w:rPr>
              <w:t>Exp</w:t>
            </w:r>
            <w:proofErr w:type="spellEnd"/>
            <w:r>
              <w:rPr>
                <w:rFonts w:ascii="Verdana" w:eastAsia="Verdana" w:hAnsi="Verdana" w:cs="Verdana"/>
                <w:bCs/>
                <w:lang w:val="es-ES_tradnl"/>
              </w:rPr>
              <w:t xml:space="preserve">. 17.113 que las causales de rechazo deben </w:t>
            </w:r>
            <w:r w:rsidRPr="009C01DF">
              <w:rPr>
                <w:rFonts w:ascii="Verdana" w:eastAsia="Verdana" w:hAnsi="Verdana" w:cs="Verdana"/>
                <w:bCs/>
              </w:rPr>
              <w:t xml:space="preserve">referirse a </w:t>
            </w:r>
            <w:r w:rsidRPr="009C01DF">
              <w:rPr>
                <w:rFonts w:ascii="Verdana" w:eastAsia="Verdana" w:hAnsi="Verdana" w:cs="Verdana"/>
                <w:bCs/>
                <w:i/>
              </w:rPr>
              <w:t xml:space="preserve">“defectos, omisiones o circunstancias esenciales y de carácter impeditivo que permiten deducir </w:t>
            </w:r>
            <w:r w:rsidRPr="009C01DF">
              <w:rPr>
                <w:rFonts w:ascii="Verdana" w:eastAsia="Verdana" w:hAnsi="Verdana" w:cs="Verdana"/>
                <w:bCs/>
                <w:i/>
              </w:rPr>
              <w:lastRenderedPageBreak/>
              <w:t>razonadamente que la misma no resulta favorable para los intereses de la entidad y los fines de la contratación y que de soslayarse se comprometería el cumplimiento de los principios de transparencia, economía y responsabilidad, así como el deber de selección objetiva”</w:t>
            </w:r>
            <w:r>
              <w:rPr>
                <w:rFonts w:ascii="Verdana" w:eastAsia="Verdana" w:hAnsi="Verdana" w:cs="Verdana"/>
                <w:bCs/>
                <w:i/>
              </w:rPr>
              <w:t xml:space="preserve"> </w:t>
            </w:r>
            <w:r w:rsidRPr="008C3A1A">
              <w:rPr>
                <w:rFonts w:ascii="Verdana" w:eastAsia="Verdana" w:hAnsi="Verdana" w:cs="Verdana"/>
                <w:bCs/>
                <w:iCs/>
              </w:rPr>
              <w:t xml:space="preserve">(énfasis fuera de texto).  </w:t>
            </w:r>
          </w:p>
          <w:p w14:paraId="33BFE9D1" w14:textId="77777777" w:rsidR="003D6F94" w:rsidRPr="009C01DF" w:rsidRDefault="003D6F94" w:rsidP="002305CE">
            <w:pPr>
              <w:spacing w:before="120" w:after="120" w:line="276" w:lineRule="auto"/>
              <w:ind w:firstLine="708"/>
              <w:jc w:val="both"/>
              <w:rPr>
                <w:rFonts w:ascii="Verdana" w:eastAsia="Calibri" w:hAnsi="Verdana" w:cs="Arial"/>
                <w:lang w:val="es-MX" w:eastAsia="es-ES_tradnl"/>
              </w:rPr>
            </w:pPr>
            <w:r>
              <w:rPr>
                <w:rFonts w:ascii="Verdana" w:eastAsia="Calibri" w:hAnsi="Verdana" w:cs="Arial"/>
                <w:bCs/>
                <w:lang w:val="es-ES_tradnl" w:eastAsia="es-ES_tradnl"/>
              </w:rPr>
              <w:t>Al respecto, el Consejo de Estado hizo un análisis sobre la</w:t>
            </w:r>
            <w:r w:rsidRPr="003B6246">
              <w:rPr>
                <w:rFonts w:ascii="Verdana" w:eastAsia="Calibri" w:hAnsi="Verdana" w:cs="Arial"/>
                <w:lang w:val="es-MX" w:eastAsia="es-ES_tradnl"/>
              </w:rPr>
              <w:t xml:space="preserve"> posibilidad de exigir la visita al sitio de la obra en los pliegos de condiciones como requisito para presentar la oferta, el Consejo de Estado –en Sentencia del 5 de junio de 2008</w:t>
            </w:r>
            <w:r>
              <w:rPr>
                <w:rFonts w:ascii="Verdana" w:eastAsia="Calibri" w:hAnsi="Verdana" w:cs="Arial"/>
                <w:lang w:val="es-MX" w:eastAsia="es-ES_tradnl"/>
              </w:rPr>
              <w:t xml:space="preserve"> con </w:t>
            </w:r>
            <w:proofErr w:type="spellStart"/>
            <w:r>
              <w:rPr>
                <w:rFonts w:ascii="Verdana" w:eastAsia="Calibri" w:hAnsi="Verdana" w:cs="Arial"/>
                <w:lang w:val="es-MX" w:eastAsia="es-ES_tradnl"/>
              </w:rPr>
              <w:t>Exp</w:t>
            </w:r>
            <w:proofErr w:type="spellEnd"/>
            <w:r>
              <w:rPr>
                <w:rFonts w:ascii="Verdana" w:eastAsia="Calibri" w:hAnsi="Verdana" w:cs="Arial"/>
                <w:lang w:val="es-MX" w:eastAsia="es-ES_tradnl"/>
              </w:rPr>
              <w:t>. 8431</w:t>
            </w:r>
            <w:r w:rsidRPr="003B6246">
              <w:rPr>
                <w:rFonts w:ascii="Verdana" w:eastAsia="Calibri" w:hAnsi="Verdana" w:cs="Arial"/>
                <w:lang w:val="es-MX" w:eastAsia="es-ES_tradnl"/>
              </w:rPr>
              <w:t>– se pronunció sobre su legalidad. Señaló que esta exigencia garantiza la consistencia económica de las ofertas, así como la cumplida ejecución del objeto contractual y, por lo tanto, es posible incluirla en los pliegos de condiciones. Además, explicó que es una medida idónea, necesaria y ponderada para la estructuración de las ofertas por parte de los proponentes</w:t>
            </w:r>
            <w:r w:rsidRPr="003B6246">
              <w:rPr>
                <w:rFonts w:ascii="Verdana" w:eastAsia="Calibri" w:hAnsi="Verdana" w:cs="Arial"/>
                <w:iCs/>
                <w:lang w:val="es-ES" w:eastAsia="es-ES_tradnl"/>
              </w:rPr>
              <w:t>.</w:t>
            </w:r>
            <w:r w:rsidRPr="003B6246">
              <w:rPr>
                <w:rFonts w:ascii="Verdana" w:eastAsia="Calibri" w:hAnsi="Verdana" w:cs="Arial"/>
                <w:i/>
                <w:lang w:val="es-ES" w:eastAsia="es-ES_tradnl"/>
              </w:rPr>
              <w:t xml:space="preserve"> </w:t>
            </w:r>
            <w:r w:rsidRPr="003B6246">
              <w:rPr>
                <w:rFonts w:ascii="Verdana" w:eastAsia="Calibri" w:hAnsi="Verdana" w:cs="Arial"/>
                <w:lang w:val="es-MX" w:eastAsia="es-ES_tradnl"/>
              </w:rPr>
              <w:t>Por su parte, en Sentencia del 28 de junio de 2019</w:t>
            </w:r>
            <w:r>
              <w:rPr>
                <w:rFonts w:ascii="Verdana" w:eastAsia="Calibri" w:hAnsi="Verdana" w:cs="Arial"/>
                <w:lang w:val="es-MX" w:eastAsia="es-ES_tradnl"/>
              </w:rPr>
              <w:t xml:space="preserve"> con </w:t>
            </w:r>
            <w:proofErr w:type="spellStart"/>
            <w:r>
              <w:rPr>
                <w:rFonts w:ascii="Verdana" w:eastAsia="Calibri" w:hAnsi="Verdana" w:cs="Arial"/>
                <w:lang w:val="es-MX" w:eastAsia="es-ES_tradnl"/>
              </w:rPr>
              <w:t>Exp</w:t>
            </w:r>
            <w:proofErr w:type="spellEnd"/>
            <w:r>
              <w:rPr>
                <w:rFonts w:ascii="Verdana" w:eastAsia="Calibri" w:hAnsi="Verdana" w:cs="Arial"/>
                <w:lang w:val="es-MX" w:eastAsia="es-ES_tradnl"/>
              </w:rPr>
              <w:t>. 42.326</w:t>
            </w:r>
            <w:r w:rsidRPr="003B6246">
              <w:rPr>
                <w:rFonts w:ascii="Verdana" w:eastAsia="Calibri" w:hAnsi="Verdana" w:cs="Arial"/>
                <w:lang w:val="es-MX" w:eastAsia="es-ES_tradnl"/>
              </w:rPr>
              <w:t>, el Consejo de Estado reconoció que la visita</w:t>
            </w:r>
            <w:r>
              <w:rPr>
                <w:rFonts w:ascii="Verdana" w:eastAsia="Calibri" w:hAnsi="Verdana" w:cs="Arial"/>
                <w:lang w:val="es-MX" w:eastAsia="es-ES_tradnl"/>
              </w:rPr>
              <w:t xml:space="preserve"> </w:t>
            </w:r>
            <w:r w:rsidRPr="003B6246">
              <w:rPr>
                <w:rFonts w:ascii="Verdana" w:eastAsia="Calibri" w:hAnsi="Verdana" w:cs="Arial"/>
                <w:lang w:val="es-MX" w:eastAsia="es-ES_tradnl"/>
              </w:rPr>
              <w:t>tiene como propósito que los oferentes conozcan el lugar físico donde se ejecutará el contrato,</w:t>
            </w:r>
            <w:r w:rsidRPr="00D65A94">
              <w:t xml:space="preserve"> </w:t>
            </w:r>
            <w:r>
              <w:rPr>
                <w:rFonts w:ascii="Verdana" w:eastAsia="Calibri" w:hAnsi="Verdana" w:cs="Arial"/>
                <w:lang w:eastAsia="es-ES_tradnl"/>
              </w:rPr>
              <w:t>pero el</w:t>
            </w:r>
            <w:r w:rsidRPr="00D65A94">
              <w:rPr>
                <w:rFonts w:ascii="Verdana" w:eastAsia="Calibri" w:hAnsi="Verdana" w:cs="Arial"/>
                <w:lang w:val="es-MX" w:eastAsia="es-ES_tradnl"/>
              </w:rPr>
              <w:t xml:space="preserve"> rechazo de la oferta presentada por </w:t>
            </w:r>
            <w:r>
              <w:rPr>
                <w:rFonts w:ascii="Verdana" w:eastAsia="Calibri" w:hAnsi="Verdana" w:cs="Arial"/>
                <w:lang w:val="es-MX" w:eastAsia="es-ES_tradnl"/>
              </w:rPr>
              <w:t xml:space="preserve">un proponente plural </w:t>
            </w:r>
            <w:r w:rsidRPr="00D65A94">
              <w:rPr>
                <w:rFonts w:ascii="Verdana" w:eastAsia="Calibri" w:hAnsi="Verdana" w:cs="Arial"/>
                <w:lang w:val="es-MX" w:eastAsia="es-ES_tradnl"/>
              </w:rPr>
              <w:t>se fundamentó en la supuesta inasistencia válida a la visita a</w:t>
            </w:r>
            <w:r>
              <w:rPr>
                <w:rFonts w:ascii="Verdana" w:eastAsia="Calibri" w:hAnsi="Verdana" w:cs="Arial"/>
                <w:lang w:val="es-MX" w:eastAsia="es-ES_tradnl"/>
              </w:rPr>
              <w:t xml:space="preserve"> esta</w:t>
            </w:r>
            <w:r w:rsidRPr="00D65A94">
              <w:rPr>
                <w:rFonts w:ascii="Verdana" w:eastAsia="Calibri" w:hAnsi="Verdana" w:cs="Arial"/>
                <w:lang w:val="es-MX" w:eastAsia="es-ES_tradnl"/>
              </w:rPr>
              <w:t xml:space="preserve">, dado que el ingeniero que acudió no contaba con un poder formalmente válido para representar a una de las firmas integrantes de la unión temporal. Aunque las condiciones de participación establecían que la inasistencia conlleva el rechazo de la propuesta, el análisis jurídico </w:t>
            </w:r>
            <w:r>
              <w:rPr>
                <w:rFonts w:ascii="Verdana" w:eastAsia="Calibri" w:hAnsi="Verdana" w:cs="Arial"/>
                <w:lang w:val="es-MX" w:eastAsia="es-ES_tradnl"/>
              </w:rPr>
              <w:t xml:space="preserve">del Consejo de Estado </w:t>
            </w:r>
            <w:r w:rsidRPr="00D65A94">
              <w:rPr>
                <w:rFonts w:ascii="Verdana" w:eastAsia="Calibri" w:hAnsi="Verdana" w:cs="Arial"/>
                <w:lang w:val="es-MX" w:eastAsia="es-ES_tradnl"/>
              </w:rPr>
              <w:t xml:space="preserve">cuestiona la finalidad de esta exigencia, señalando que la visita busca garantizar el conocimiento técnico del terreno y no necesariamente requiere representación legal para cumplir ese propósito. </w:t>
            </w:r>
            <w:r>
              <w:rPr>
                <w:rFonts w:ascii="Verdana" w:eastAsia="Calibri" w:hAnsi="Verdana" w:cs="Arial"/>
                <w:lang w:val="es-MX" w:eastAsia="es-ES_tradnl"/>
              </w:rPr>
              <w:t xml:space="preserve">Por tanto, </w:t>
            </w:r>
            <w:r w:rsidRPr="00D65A94">
              <w:rPr>
                <w:rFonts w:ascii="Verdana" w:eastAsia="Calibri" w:hAnsi="Verdana" w:cs="Arial"/>
                <w:lang w:val="es-MX" w:eastAsia="es-ES_tradnl"/>
              </w:rPr>
              <w:t>exigir un poder con facultades de representación para asistir a la visita es desproporcionado y contraviene principios fundamentales del derecho contractual como la buena fe, la transparencia y la economía. Incluso si se aceptara dicha exigencia, las propias reglas de participación reconocen que la presentación de la propuesta prueba el conocimiento suficiente del proyecto, lo que hace innecesaria la formalidad del poder en esa etapa. Por tanto, la decisión administrativa de rechazar la oferta por este motivo se considera ilegal, al aplicar de manera irreflexiva una regla que no respondía a una causa esencial ni impeditiva para la contratación</w:t>
            </w:r>
            <w:r w:rsidRPr="003B6246">
              <w:rPr>
                <w:rFonts w:ascii="Verdana" w:eastAsia="Calibri" w:hAnsi="Verdana" w:cs="Arial"/>
                <w:lang w:val="es-ES" w:eastAsia="es-ES_tradnl"/>
              </w:rPr>
              <w:t xml:space="preserve">. </w:t>
            </w:r>
          </w:p>
          <w:p w14:paraId="6479D5A2" w14:textId="77777777" w:rsidR="003D6F94" w:rsidRPr="004E209A" w:rsidRDefault="003D6F94" w:rsidP="002305CE">
            <w:pPr>
              <w:spacing w:before="120" w:after="120" w:line="276" w:lineRule="auto"/>
              <w:ind w:firstLine="708"/>
              <w:jc w:val="both"/>
              <w:rPr>
                <w:rFonts w:ascii="Verdana" w:eastAsia="Calibri" w:hAnsi="Verdana" w:cs="Arial"/>
                <w:lang w:eastAsia="es-ES_tradnl"/>
              </w:rPr>
            </w:pPr>
            <w:r>
              <w:rPr>
                <w:rFonts w:ascii="Verdana" w:eastAsia="Calibri" w:hAnsi="Verdana" w:cs="Arial"/>
                <w:lang w:val="es-ES" w:eastAsia="es-ES_tradnl"/>
              </w:rPr>
              <w:lastRenderedPageBreak/>
              <w:t>Así las cosas,</w:t>
            </w:r>
            <w:r w:rsidRPr="00B771E6">
              <w:rPr>
                <w:rFonts w:ascii="Verdana" w:eastAsia="Calibri" w:hAnsi="Verdana" w:cs="Arial"/>
                <w:lang w:val="es-ES" w:eastAsia="es-ES_tradnl"/>
              </w:rPr>
              <w:t xml:space="preserve"> </w:t>
            </w:r>
            <w:r>
              <w:rPr>
                <w:rFonts w:ascii="Verdana" w:eastAsia="Calibri" w:hAnsi="Verdana" w:cs="Arial"/>
                <w:lang w:val="es-ES" w:eastAsia="es-ES_tradnl"/>
              </w:rPr>
              <w:t xml:space="preserve">la exigencia de visitas obligatorias deben fundarse en el principio de proporcionalidad, que sujetan las actuaciones de las entidades públicas, independiente del régimen de contratación. Ello implica que debe estar orientada </w:t>
            </w:r>
            <w:r w:rsidRPr="00B771E6">
              <w:rPr>
                <w:rFonts w:ascii="Verdana" w:eastAsia="Calibri" w:hAnsi="Verdana" w:cs="Arial"/>
                <w:lang w:val="es-ES" w:eastAsia="es-ES_tradnl"/>
              </w:rPr>
              <w:t>a garantizar la idoneidad de las propuestas</w:t>
            </w:r>
            <w:r>
              <w:rPr>
                <w:rFonts w:ascii="Verdana" w:eastAsia="Calibri" w:hAnsi="Verdana" w:cs="Arial"/>
                <w:lang w:val="es-ES" w:eastAsia="es-ES_tradnl"/>
              </w:rPr>
              <w:t xml:space="preserve">, </w:t>
            </w:r>
            <w:r w:rsidRPr="00B771E6">
              <w:rPr>
                <w:rFonts w:ascii="Verdana" w:eastAsia="Calibri" w:hAnsi="Verdana" w:cs="Arial"/>
                <w:lang w:val="es-ES" w:eastAsia="es-ES_tradnl"/>
              </w:rPr>
              <w:t xml:space="preserve">la correcta ejecución contractual, </w:t>
            </w:r>
            <w:r>
              <w:rPr>
                <w:rFonts w:ascii="Verdana" w:eastAsia="Calibri" w:hAnsi="Verdana" w:cs="Arial"/>
                <w:lang w:val="es-ES" w:eastAsia="es-ES_tradnl"/>
              </w:rPr>
              <w:t xml:space="preserve">y </w:t>
            </w:r>
            <w:r w:rsidRPr="00D91306">
              <w:rPr>
                <w:rFonts w:ascii="Verdana" w:eastAsia="Calibri" w:hAnsi="Verdana" w:cs="Arial"/>
                <w:lang w:val="es-ES" w:eastAsia="es-ES_tradnl"/>
              </w:rPr>
              <w:t>siempre que no tenga efectos excluyentes ni discriminatorios que limiten el acceso de oferentes idóneos</w:t>
            </w:r>
            <w:r>
              <w:rPr>
                <w:rFonts w:ascii="Verdana" w:eastAsia="Calibri" w:hAnsi="Verdana" w:cs="Arial"/>
                <w:lang w:val="es-ES" w:eastAsia="es-ES_tradnl"/>
              </w:rPr>
              <w:t>, en garantía de los principios de igualdad y transparencia en los procesos de contratación.</w:t>
            </w:r>
            <w:r w:rsidRPr="0094448B">
              <w:rPr>
                <w:rFonts w:ascii="Verdana" w:eastAsia="Calibri" w:hAnsi="Verdana" w:cs="Arial"/>
                <w:lang w:eastAsia="es-ES_tradnl"/>
              </w:rPr>
              <w:t xml:space="preserve"> </w:t>
            </w:r>
          </w:p>
          <w:p w14:paraId="31059878" w14:textId="77777777" w:rsidR="003D6F94" w:rsidRPr="00CD0DCD" w:rsidRDefault="003D6F94" w:rsidP="002305CE">
            <w:pPr>
              <w:spacing w:before="120"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w:t>
            </w:r>
            <w:r w:rsidRPr="00485C44">
              <w:rPr>
                <w:rFonts w:ascii="Verdana" w:hAnsi="Verdana" w:cs="Arial"/>
                <w:lang w:val="es-ES" w:eastAsia="es-ES"/>
              </w:rPr>
              <w:t>la empresa de servicios públicos</w:t>
            </w:r>
            <w:r>
              <w:rPr>
                <w:rFonts w:ascii="Verdana" w:hAnsi="Verdana" w:cs="Arial"/>
                <w:lang w:val="es-ES" w:eastAsia="es-ES"/>
              </w:rPr>
              <w:t xml:space="preserve"> 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F93CC9D" w14:textId="77777777" w:rsidR="003D6F94" w:rsidRPr="00B57A1B" w:rsidRDefault="003D6F94" w:rsidP="003D6F94">
      <w:pPr>
        <w:spacing w:after="0" w:line="276" w:lineRule="auto"/>
        <w:jc w:val="both"/>
        <w:rPr>
          <w:rFonts w:ascii="Verdana" w:eastAsia="Calibri" w:hAnsi="Verdana" w:cs="Arial"/>
          <w:bCs/>
          <w:color w:val="000000" w:themeColor="text1"/>
        </w:rPr>
      </w:pPr>
    </w:p>
    <w:p w14:paraId="341D49B3" w14:textId="77777777" w:rsidR="003D6F94" w:rsidRPr="00B57A1B" w:rsidRDefault="003D6F94" w:rsidP="003D6F94">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2A12760" w14:textId="77777777" w:rsidR="003D6F94" w:rsidRPr="00B57A1B" w:rsidRDefault="003D6F94" w:rsidP="003D6F94">
      <w:pPr>
        <w:spacing w:after="0" w:line="256" w:lineRule="auto"/>
        <w:rPr>
          <w:rFonts w:ascii="Verdana" w:eastAsia="Calibri" w:hAnsi="Verdana" w:cs="Times New Roman"/>
          <w:b/>
          <w:bCs/>
          <w:lang w:val="es-ES"/>
        </w:rPr>
      </w:pPr>
    </w:p>
    <w:p w14:paraId="5B70756D" w14:textId="77777777" w:rsidR="003D6F94" w:rsidRPr="00B57A1B" w:rsidRDefault="003D6F94" w:rsidP="003D6F94">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0455B17D" w14:textId="77777777" w:rsidR="003D6F94" w:rsidRPr="00415608" w:rsidRDefault="003D6F94" w:rsidP="003D6F94">
      <w:pPr>
        <w:spacing w:after="0" w:line="276" w:lineRule="auto"/>
        <w:jc w:val="both"/>
        <w:rPr>
          <w:rFonts w:ascii="Verdana" w:eastAsia="Calibri" w:hAnsi="Verdana" w:cs="Arial"/>
          <w:lang w:val="es-ES"/>
        </w:rPr>
      </w:pPr>
      <w:bookmarkStart w:id="1" w:name="_Hlk78820161"/>
    </w:p>
    <w:p w14:paraId="6686C88C" w14:textId="77777777" w:rsidR="003D6F94" w:rsidRPr="00501E29" w:rsidRDefault="003D6F94" w:rsidP="003D6F94">
      <w:pPr>
        <w:spacing w:after="120" w:line="276" w:lineRule="auto"/>
        <w:jc w:val="both"/>
        <w:rPr>
          <w:rFonts w:ascii="Verdana" w:hAnsi="Verdana" w:cs="Arial"/>
        </w:rPr>
      </w:pPr>
      <w:r w:rsidRPr="00501E29">
        <w:rPr>
          <w:rFonts w:ascii="Verdana" w:eastAsia="Calibri" w:hAnsi="Verdana" w:cs="Arial"/>
          <w:bCs/>
          <w:lang w:val="es-ES_tradnl"/>
        </w:rPr>
        <w:t xml:space="preserve">i. </w:t>
      </w:r>
      <w:r w:rsidRPr="00501E29">
        <w:rPr>
          <w:rFonts w:ascii="Verdana" w:eastAsia="Calibri" w:hAnsi="Verdana" w:cs="Arial"/>
          <w:lang w:val="es-ES"/>
        </w:rPr>
        <w:t>Respecto al régimen jurídico</w:t>
      </w:r>
      <w:r>
        <w:rPr>
          <w:rFonts w:ascii="Verdana" w:eastAsia="Calibri" w:hAnsi="Verdana" w:cs="Arial"/>
          <w:lang w:val="es-ES"/>
        </w:rPr>
        <w:t xml:space="preserve"> de las </w:t>
      </w:r>
      <w:r w:rsidRPr="0089671A">
        <w:rPr>
          <w:rFonts w:ascii="Verdana" w:eastAsia="Calibri" w:hAnsi="Verdana" w:cs="Arial"/>
          <w:lang w:val="es-ES"/>
        </w:rPr>
        <w:t>Entidades Estatales</w:t>
      </w:r>
      <w:r w:rsidRPr="00501E29">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501E29">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5BC88F47" w14:textId="77777777" w:rsidR="003D6F94" w:rsidRPr="00501E29" w:rsidRDefault="003D6F94" w:rsidP="003D6F94">
      <w:pPr>
        <w:spacing w:after="120" w:line="276" w:lineRule="auto"/>
        <w:ind w:firstLine="709"/>
        <w:jc w:val="both"/>
        <w:rPr>
          <w:rFonts w:ascii="Verdana" w:hAnsi="Verdana" w:cs="Arial"/>
        </w:rPr>
      </w:pPr>
      <w:r w:rsidRPr="00501E29">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w:t>
      </w:r>
      <w:r>
        <w:rPr>
          <w:rFonts w:ascii="Verdana" w:hAnsi="Verdana" w:cs="Arial"/>
        </w:rPr>
        <w:t>tonomía de la voluntad” –art. 32</w:t>
      </w:r>
      <w:r w:rsidRPr="00501E29">
        <w:rPr>
          <w:rFonts w:ascii="Verdana" w:hAnsi="Verdana" w:cs="Arial"/>
        </w:rPr>
        <w:t xml:space="preserve">, inciso primero–. Asimismo, dispone que “Las </w:t>
      </w:r>
      <w:r w:rsidRPr="00501E29">
        <w:rPr>
          <w:rFonts w:ascii="Verdana" w:hAnsi="Verdana" w:cs="Arial"/>
        </w:rPr>
        <w:lastRenderedPageBreak/>
        <w:t>estipulaciones de los contratos serán las que</w:t>
      </w:r>
      <w:r>
        <w:rPr>
          <w:rFonts w:ascii="Verdana" w:hAnsi="Verdana" w:cs="Arial"/>
        </w:rPr>
        <w:t>,</w:t>
      </w:r>
      <w:r w:rsidRPr="00501E29">
        <w:rPr>
          <w:rFonts w:ascii="Verdana" w:hAnsi="Verdana" w:cs="Arial"/>
        </w:rPr>
        <w:t xml:space="preserve"> de acuerdo con las normas civiles, comerciales y las previstas en esta ley, correspondan a su esencia y naturaleza” –art. 40, inciso primero–.</w:t>
      </w:r>
    </w:p>
    <w:p w14:paraId="382D90A1" w14:textId="77777777" w:rsidR="003D6F94" w:rsidRPr="00501E29" w:rsidRDefault="003D6F94" w:rsidP="003D6F94">
      <w:pPr>
        <w:spacing w:after="0" w:line="276" w:lineRule="auto"/>
        <w:ind w:firstLine="708"/>
        <w:jc w:val="both"/>
        <w:rPr>
          <w:rFonts w:ascii="Verdana" w:hAnsi="Verdana" w:cs="Arial"/>
        </w:rPr>
      </w:pPr>
      <w:r w:rsidRPr="00501E29">
        <w:rPr>
          <w:rFonts w:ascii="Verdana" w:hAnsi="Verdana" w:cs="Arial"/>
        </w:rPr>
        <w:t>De esta manera, los contratos de las entidades s</w:t>
      </w:r>
      <w:r>
        <w:rPr>
          <w:rFonts w:ascii="Verdana" w:hAnsi="Verdana" w:cs="Arial"/>
        </w:rPr>
        <w:t>ujetas</w:t>
      </w:r>
      <w:r w:rsidRPr="00501E29">
        <w:rPr>
          <w:rFonts w:ascii="Verdana" w:hAnsi="Verdana" w:cs="Arial"/>
        </w:rPr>
        <w:t xml:space="preserve"> al Estatuto General de Contratación se rigen generalmente por el derecho privado y excepcionalmente por el derecho público, pues las normas civiles y comerciales son el derecho común de los contratos estatales</w:t>
      </w:r>
      <w:r w:rsidRPr="00501E29">
        <w:rPr>
          <w:rStyle w:val="Refdenotaalpie"/>
          <w:rFonts w:ascii="Verdana" w:hAnsi="Verdana" w:cs="Arial"/>
        </w:rPr>
        <w:footnoteReference w:id="1"/>
      </w:r>
      <w:r w:rsidRPr="00501E29">
        <w:rPr>
          <w:rFonts w:ascii="Verdana" w:hAnsi="Verdana" w:cs="Arial"/>
        </w:rPr>
        <w:t>. Para la doctrina, la mixtura del régimen contractual:</w:t>
      </w:r>
    </w:p>
    <w:p w14:paraId="4712314D" w14:textId="77777777" w:rsidR="003D6F94" w:rsidRPr="00501E29" w:rsidRDefault="003D6F94" w:rsidP="003D6F94">
      <w:pPr>
        <w:spacing w:after="0" w:line="276" w:lineRule="auto"/>
        <w:ind w:firstLine="709"/>
        <w:jc w:val="both"/>
        <w:rPr>
          <w:rFonts w:ascii="Verdana" w:hAnsi="Verdana" w:cs="Arial"/>
        </w:rPr>
      </w:pPr>
    </w:p>
    <w:p w14:paraId="1FFA3562" w14:textId="77777777" w:rsidR="003D6F94" w:rsidRPr="00033F5A" w:rsidRDefault="003D6F94" w:rsidP="003D6F94">
      <w:pPr>
        <w:spacing w:after="0" w:line="240" w:lineRule="auto"/>
        <w:ind w:left="709" w:right="709"/>
        <w:jc w:val="both"/>
        <w:rPr>
          <w:rFonts w:ascii="Verdana" w:hAnsi="Verdana" w:cs="Arial"/>
          <w:sz w:val="20"/>
          <w:szCs w:val="20"/>
        </w:rPr>
      </w:pPr>
      <w:r w:rsidRPr="00033F5A">
        <w:rPr>
          <w:rFonts w:ascii="Verdana" w:hAnsi="Verdana" w:cs="Arial"/>
          <w:sz w:val="20"/>
          <w:szCs w:val="20"/>
        </w:rPr>
        <w:t xml:space="preserve">“[…] no hace otra cosa que aprovechar ciertos principios rectores de la contratación general </w:t>
      </w:r>
      <w:proofErr w:type="gramStart"/>
      <w:r w:rsidRPr="00033F5A">
        <w:rPr>
          <w:rFonts w:ascii="Verdana" w:hAnsi="Verdana" w:cs="Arial"/>
          <w:sz w:val="20"/>
          <w:szCs w:val="20"/>
        </w:rPr>
        <w:t>que</w:t>
      </w:r>
      <w:proofErr w:type="gramEnd"/>
      <w:r w:rsidRPr="00033F5A">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5CDEC558" w14:textId="77777777" w:rsidR="003D6F94" w:rsidRPr="00033F5A" w:rsidRDefault="003D6F94" w:rsidP="003D6F94">
      <w:pPr>
        <w:spacing w:after="0" w:line="240" w:lineRule="auto"/>
        <w:ind w:left="709" w:right="709"/>
        <w:jc w:val="both"/>
        <w:rPr>
          <w:rFonts w:ascii="Verdana" w:hAnsi="Verdana" w:cs="Arial"/>
          <w:sz w:val="20"/>
          <w:szCs w:val="20"/>
        </w:rPr>
      </w:pPr>
    </w:p>
    <w:p w14:paraId="6945AB84" w14:textId="77777777" w:rsidR="003D6F94" w:rsidRPr="00033F5A" w:rsidRDefault="003D6F94" w:rsidP="003D6F94">
      <w:pPr>
        <w:spacing w:after="0" w:line="240" w:lineRule="auto"/>
        <w:ind w:left="709" w:right="709"/>
        <w:jc w:val="both"/>
        <w:rPr>
          <w:rFonts w:ascii="Verdana" w:hAnsi="Verdana" w:cs="Arial"/>
          <w:sz w:val="20"/>
          <w:szCs w:val="20"/>
        </w:rPr>
      </w:pPr>
      <w:r w:rsidRPr="00033F5A">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33F5A">
        <w:rPr>
          <w:rStyle w:val="Refdenotaalpie"/>
          <w:rFonts w:ascii="Verdana" w:hAnsi="Verdana" w:cs="Arial"/>
          <w:sz w:val="20"/>
          <w:szCs w:val="20"/>
        </w:rPr>
        <w:footnoteReference w:id="2"/>
      </w:r>
      <w:r w:rsidRPr="00033F5A">
        <w:rPr>
          <w:rFonts w:ascii="Verdana" w:hAnsi="Verdana" w:cs="Arial"/>
          <w:sz w:val="20"/>
          <w:szCs w:val="20"/>
        </w:rPr>
        <w:t xml:space="preserve">. </w:t>
      </w:r>
    </w:p>
    <w:p w14:paraId="30D1CC08" w14:textId="77777777" w:rsidR="003D6F94" w:rsidRPr="00501E29" w:rsidRDefault="003D6F94" w:rsidP="003D6F94">
      <w:pPr>
        <w:spacing w:after="0" w:line="276" w:lineRule="auto"/>
        <w:ind w:left="709" w:right="709"/>
        <w:jc w:val="both"/>
        <w:rPr>
          <w:rFonts w:ascii="Verdana" w:hAnsi="Verdana" w:cs="Arial"/>
        </w:rPr>
      </w:pPr>
      <w:r w:rsidRPr="00501E29">
        <w:rPr>
          <w:rFonts w:ascii="Verdana" w:hAnsi="Verdana" w:cs="Arial"/>
        </w:rPr>
        <w:t xml:space="preserve"> </w:t>
      </w:r>
    </w:p>
    <w:p w14:paraId="7B8D2A04" w14:textId="77777777" w:rsidR="003D6F94" w:rsidRDefault="003D6F94" w:rsidP="003D6F94">
      <w:pPr>
        <w:spacing w:after="120" w:line="276" w:lineRule="auto"/>
        <w:jc w:val="both"/>
        <w:rPr>
          <w:rFonts w:ascii="Verdana" w:hAnsi="Verdana" w:cs="Arial"/>
        </w:rPr>
      </w:pPr>
      <w:r w:rsidRPr="00501E29">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7191D6DB" w14:textId="77777777" w:rsidR="003D6F94" w:rsidRPr="00D4240A" w:rsidRDefault="003D6F94" w:rsidP="003D6F94">
      <w:pPr>
        <w:spacing w:after="120" w:line="276" w:lineRule="auto"/>
        <w:ind w:firstLine="709"/>
        <w:jc w:val="both"/>
        <w:rPr>
          <w:rFonts w:ascii="Verdana" w:hAnsi="Verdana" w:cs="Arial"/>
        </w:rPr>
      </w:pPr>
      <w:r w:rsidRPr="00D4240A">
        <w:rPr>
          <w:rFonts w:ascii="Verdana" w:hAnsi="Verdana" w:cs="Arial"/>
        </w:rPr>
        <w:lastRenderedPageBreak/>
        <w:t xml:space="preserve">No obstante, aunque tenga una influencia limitada, las </w:t>
      </w:r>
      <w:r w:rsidRPr="00D4240A">
        <w:rPr>
          <w:rFonts w:ascii="Verdana" w:hAnsi="Verdana" w:cs="Arial"/>
          <w:i/>
          <w:iCs/>
        </w:rPr>
        <w:t>entidades del régimen exceptuado</w:t>
      </w:r>
      <w:r w:rsidRPr="00D4240A">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02EC960F" w14:textId="77777777" w:rsidR="003D6F94" w:rsidRPr="00772D28" w:rsidRDefault="003D6F94" w:rsidP="003D6F94">
      <w:pPr>
        <w:spacing w:after="0" w:line="276" w:lineRule="auto"/>
        <w:ind w:firstLine="708"/>
        <w:jc w:val="both"/>
        <w:rPr>
          <w:rFonts w:ascii="Verdana" w:hAnsi="Verdana" w:cs="Arial"/>
        </w:rPr>
      </w:pPr>
      <w:r w:rsidRPr="00D4240A">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D4240A">
        <w:rPr>
          <w:rFonts w:ascii="Verdana" w:hAnsi="Verdana" w:cs="Arial"/>
        </w:rPr>
        <w:t>ii</w:t>
      </w:r>
      <w:proofErr w:type="spellEnd"/>
      <w:r w:rsidRPr="00D4240A">
        <w:rPr>
          <w:rFonts w:ascii="Verdana" w:hAnsi="Verdana" w:cs="Arial"/>
        </w:rPr>
        <w:t xml:space="preserve">) flexibilizar el ejercicio de la función administrativa –como en los contratos del Banco de la República o los de ciencia y tecnología– o </w:t>
      </w:r>
      <w:proofErr w:type="spellStart"/>
      <w:r w:rsidRPr="00D4240A">
        <w:rPr>
          <w:rFonts w:ascii="Verdana" w:hAnsi="Verdana" w:cs="Arial"/>
        </w:rPr>
        <w:t>iii</w:t>
      </w:r>
      <w:proofErr w:type="spellEnd"/>
      <w:r w:rsidRPr="00D4240A">
        <w:rPr>
          <w:rFonts w:ascii="Verdana" w:hAnsi="Verdana" w:cs="Arial"/>
        </w:rPr>
        <w:t>) establecer un régimen especial sin excluir por completo la aplicación de la Ley 80 de 1993 –como ocurre en la operaciones del crédito público–</w:t>
      </w:r>
      <w:r w:rsidRPr="00D4240A">
        <w:rPr>
          <w:rStyle w:val="Refdenotaalpie"/>
          <w:rFonts w:ascii="Verdana" w:hAnsi="Verdana" w:cs="Arial"/>
        </w:rPr>
        <w:footnoteReference w:id="3"/>
      </w:r>
      <w:r w:rsidRPr="00D4240A">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D4240A">
        <w:rPr>
          <w:rFonts w:ascii="Verdana" w:hAnsi="Verdana" w:cs="Arial"/>
        </w:rPr>
        <w:t>ii</w:t>
      </w:r>
      <w:proofErr w:type="spellEnd"/>
      <w:r w:rsidRPr="00D4240A">
        <w:rPr>
          <w:rFonts w:ascii="Verdana" w:hAnsi="Verdana" w:cs="Arial"/>
        </w:rPr>
        <w:t xml:space="preserve">) la asignación de un esquema legal especial, </w:t>
      </w:r>
      <w:proofErr w:type="spellStart"/>
      <w:r w:rsidRPr="00D4240A">
        <w:rPr>
          <w:rFonts w:ascii="Verdana" w:hAnsi="Verdana" w:cs="Arial"/>
        </w:rPr>
        <w:t>iii</w:t>
      </w:r>
      <w:proofErr w:type="spellEnd"/>
      <w:r w:rsidRPr="00D4240A">
        <w:rPr>
          <w:rFonts w:ascii="Verdana" w:hAnsi="Verdana" w:cs="Arial"/>
        </w:rPr>
        <w:t xml:space="preserve">) el objeto del contrato celebrado y </w:t>
      </w:r>
      <w:proofErr w:type="spellStart"/>
      <w:r w:rsidRPr="00D4240A">
        <w:rPr>
          <w:rFonts w:ascii="Verdana" w:hAnsi="Verdana" w:cs="Arial"/>
        </w:rPr>
        <w:t>iv</w:t>
      </w:r>
      <w:proofErr w:type="spellEnd"/>
      <w:r w:rsidRPr="00D4240A">
        <w:rPr>
          <w:rFonts w:ascii="Verdana" w:hAnsi="Verdana" w:cs="Arial"/>
        </w:rPr>
        <w:t>) la existencia de fondos que administran recursos públicos</w:t>
      </w:r>
      <w:r w:rsidRPr="00D4240A">
        <w:rPr>
          <w:rStyle w:val="Refdenotaalpie"/>
          <w:rFonts w:ascii="Verdana" w:hAnsi="Verdana" w:cs="Arial"/>
        </w:rPr>
        <w:footnoteReference w:id="4"/>
      </w:r>
      <w:r w:rsidRPr="00D4240A">
        <w:rPr>
          <w:rFonts w:ascii="Verdana" w:hAnsi="Verdana" w:cs="Arial"/>
        </w:rPr>
        <w:t>.</w:t>
      </w:r>
    </w:p>
    <w:p w14:paraId="494572B9" w14:textId="77777777" w:rsidR="003D6F94" w:rsidRDefault="003D6F94" w:rsidP="003D6F94">
      <w:pPr>
        <w:spacing w:after="120" w:line="276" w:lineRule="auto"/>
        <w:jc w:val="both"/>
        <w:rPr>
          <w:rFonts w:ascii="Verdana" w:eastAsia="Arial MT" w:hAnsi="Verdana" w:cs="Arial MT"/>
          <w:lang w:val="es-ES"/>
        </w:rPr>
      </w:pPr>
    </w:p>
    <w:p w14:paraId="084F02AC" w14:textId="77777777" w:rsidR="003D6F94" w:rsidRDefault="003D6F94" w:rsidP="003D6F94">
      <w:pPr>
        <w:spacing w:after="0" w:line="276" w:lineRule="auto"/>
        <w:jc w:val="both"/>
        <w:rPr>
          <w:rFonts w:ascii="Verdana" w:eastAsia="Calibri" w:hAnsi="Verdana" w:cs="Arial"/>
          <w:color w:val="000000" w:themeColor="text1"/>
          <w:lang w:val="es-ES"/>
        </w:rPr>
      </w:pPr>
      <w:proofErr w:type="spellStart"/>
      <w:r>
        <w:rPr>
          <w:rFonts w:ascii="Verdana" w:hAnsi="Verdana" w:cs="Arial"/>
          <w:bCs/>
          <w:lang w:val="es-ES"/>
        </w:rPr>
        <w:t>ii</w:t>
      </w:r>
      <w:proofErr w:type="spellEnd"/>
      <w:r>
        <w:rPr>
          <w:rFonts w:ascii="Verdana" w:hAnsi="Verdana" w:cs="Arial"/>
          <w:bCs/>
          <w:lang w:val="es-ES"/>
        </w:rPr>
        <w:t xml:space="preserve">. </w:t>
      </w:r>
      <w:r>
        <w:rPr>
          <w:rFonts w:ascii="Verdana" w:hAnsi="Verdana" w:cs="Arial"/>
          <w:bCs/>
          <w:lang w:val="es-MX"/>
        </w:rPr>
        <w:t>En contraste, el inciso segundo del 365 constitucional dispone que “</w:t>
      </w:r>
      <w:r w:rsidRPr="002A30BA">
        <w:rPr>
          <w:rFonts w:ascii="Verdana" w:hAnsi="Verdana" w:cs="Arial"/>
          <w:bCs/>
          <w:lang w:val="es-MX"/>
        </w:rPr>
        <w:t>Los servicios públicos estarán sometidos al régimen jurídico que fije la ley, podrán ser prestados por el Estado, directa o indirectamente, por comunidades organizadas, o por particulares</w:t>
      </w:r>
      <w:r>
        <w:rPr>
          <w:rFonts w:ascii="Verdana" w:hAnsi="Verdana" w:cs="Arial"/>
          <w:bCs/>
          <w:lang w:val="es-MX"/>
        </w:rPr>
        <w:t xml:space="preserve"> […]”. Por ello, </w:t>
      </w:r>
      <w:r w:rsidRPr="002A30BA">
        <w:rPr>
          <w:rFonts w:ascii="Verdana" w:hAnsi="Verdana" w:cs="Arial"/>
          <w:bCs/>
          <w:lang w:val="es-MX"/>
        </w:rPr>
        <w:t xml:space="preserve">el </w:t>
      </w:r>
      <w:r>
        <w:rPr>
          <w:rFonts w:ascii="Verdana" w:hAnsi="Verdana" w:cs="Arial"/>
          <w:bCs/>
          <w:lang w:val="es-MX"/>
        </w:rPr>
        <w:t xml:space="preserve">inciso primero del </w:t>
      </w:r>
      <w:r w:rsidRPr="002A30BA">
        <w:rPr>
          <w:rFonts w:ascii="Verdana" w:hAnsi="Verdana" w:cs="Arial"/>
          <w:bCs/>
          <w:lang w:val="es-MX"/>
        </w:rPr>
        <w:t xml:space="preserve">artículo 31 de la Ley 142 de 1994 </w:t>
      </w:r>
      <w:r>
        <w:rPr>
          <w:rFonts w:ascii="Verdana" w:hAnsi="Verdana" w:cs="Arial"/>
          <w:bCs/>
          <w:lang w:val="es-MX"/>
        </w:rPr>
        <w:t>dispuso expresamente que</w:t>
      </w:r>
      <w:r w:rsidRPr="002A30BA">
        <w:rPr>
          <w:rFonts w:ascii="Verdana" w:hAnsi="Verdana" w:cs="Arial"/>
          <w:bCs/>
          <w:lang w:val="es-MX"/>
        </w:rPr>
        <w:t xml:space="preserve"> </w:t>
      </w:r>
      <w:r>
        <w:rPr>
          <w:rFonts w:ascii="Verdana" w:hAnsi="Verdana" w:cs="Arial"/>
          <w:bCs/>
          <w:lang w:val="es-MX"/>
        </w:rPr>
        <w:t>“</w:t>
      </w:r>
      <w:r w:rsidRPr="002A30BA">
        <w:rPr>
          <w:rFonts w:ascii="Verdana" w:hAnsi="Verdana" w:cs="Arial"/>
          <w:bCs/>
          <w:lang w:val="es-MX"/>
        </w:rPr>
        <w:t xml:space="preserve">Los contratos que celebren las </w:t>
      </w:r>
      <w:r w:rsidRPr="00C87D7C">
        <w:rPr>
          <w:rFonts w:ascii="Verdana" w:hAnsi="Verdana" w:cs="Arial"/>
          <w:bCs/>
          <w:i/>
          <w:iCs/>
          <w:lang w:val="es-MX"/>
        </w:rPr>
        <w:t>entidades estatales que prestan los servicios públicos</w:t>
      </w:r>
      <w:r w:rsidRPr="002A30BA">
        <w:rPr>
          <w:rFonts w:ascii="Verdana" w:hAnsi="Verdana" w:cs="Arial"/>
          <w:bCs/>
          <w:lang w:val="es-MX"/>
        </w:rPr>
        <w:t xml:space="preserve"> a los que se refiere esta ley no estarán sujetos a las disposiciones del Estatuto General de Contratación de la Administración Pública, salvo en lo que la presente ley dispong</w:t>
      </w:r>
      <w:r w:rsidRPr="008638A5">
        <w:rPr>
          <w:rFonts w:ascii="Verdana" w:hAnsi="Verdana" w:cs="Arial"/>
          <w:bCs/>
          <w:lang w:val="es-MX"/>
        </w:rPr>
        <w:t>a otra cosa”</w:t>
      </w:r>
      <w:r>
        <w:rPr>
          <w:rFonts w:ascii="Verdana" w:hAnsi="Verdana" w:cs="Arial"/>
          <w:bCs/>
          <w:lang w:val="es-MX"/>
        </w:rPr>
        <w:t xml:space="preserve"> (Énfasis fuera de texto)</w:t>
      </w:r>
      <w:r w:rsidRPr="008638A5">
        <w:rPr>
          <w:rFonts w:ascii="Verdana" w:hAnsi="Verdana" w:cs="Arial"/>
          <w:bCs/>
          <w:lang w:val="es-MX"/>
        </w:rPr>
        <w:t xml:space="preserve">. </w:t>
      </w:r>
      <w:r>
        <w:rPr>
          <w:rFonts w:ascii="Verdana" w:hAnsi="Verdana" w:cs="Arial"/>
          <w:bCs/>
          <w:lang w:val="es-MX"/>
        </w:rPr>
        <w:t>Asimismo,</w:t>
      </w:r>
      <w:r w:rsidRPr="00C87D7C">
        <w:rPr>
          <w:rFonts w:ascii="Verdana" w:hAnsi="Verdana" w:cs="Arial"/>
          <w:bCs/>
          <w:lang w:val="es-MX"/>
        </w:rPr>
        <w:t xml:space="preserve"> </w:t>
      </w:r>
      <w:r>
        <w:rPr>
          <w:rFonts w:ascii="Verdana" w:hAnsi="Verdana" w:cs="Arial"/>
          <w:bCs/>
          <w:lang w:val="es-MX"/>
        </w:rPr>
        <w:t>el inciso primero del</w:t>
      </w:r>
      <w:r w:rsidRPr="00C87D7C">
        <w:rPr>
          <w:rFonts w:ascii="Verdana" w:hAnsi="Verdana" w:cs="Arial"/>
          <w:bCs/>
          <w:lang w:val="es-MX"/>
        </w:rPr>
        <w:t xml:space="preserve"> </w:t>
      </w:r>
      <w:r w:rsidRPr="00C87D7C">
        <w:rPr>
          <w:rFonts w:ascii="Verdana" w:hAnsi="Verdana" w:cs="Arial"/>
          <w:bCs/>
          <w:lang w:val="es-MX"/>
        </w:rPr>
        <w:lastRenderedPageBreak/>
        <w:t xml:space="preserve">artículo 32 </w:t>
      </w:r>
      <w:r w:rsidRPr="00C87D7C">
        <w:rPr>
          <w:rFonts w:ascii="Verdana" w:hAnsi="Verdana" w:cs="Arial"/>
          <w:bCs/>
          <w:i/>
          <w:iCs/>
          <w:lang w:val="es-MX"/>
        </w:rPr>
        <w:t>ibidem</w:t>
      </w:r>
      <w:r>
        <w:rPr>
          <w:rFonts w:ascii="Verdana" w:hAnsi="Verdana" w:cs="Arial"/>
          <w:bCs/>
          <w:lang w:val="es-MX"/>
        </w:rPr>
        <w:t xml:space="preserve"> precisa lo siguiente: “</w:t>
      </w:r>
      <w:r w:rsidRPr="00C87D7C">
        <w:rPr>
          <w:rFonts w:ascii="Verdana" w:hAnsi="Verdana" w:cs="Arial"/>
          <w:bCs/>
          <w:lang w:val="es-MX"/>
        </w:rPr>
        <w:t xml:space="preserve">Salvo en cuanto la Constitución Política o esta Ley dispongan expresamente lo contrario, la constitución, y los actos de todas las </w:t>
      </w:r>
      <w:r w:rsidRPr="00C87D7C">
        <w:rPr>
          <w:rFonts w:ascii="Verdana" w:hAnsi="Verdana" w:cs="Arial"/>
          <w:bCs/>
          <w:i/>
          <w:iCs/>
          <w:lang w:val="es-MX"/>
        </w:rPr>
        <w:t>empresas de servicios públicos</w:t>
      </w:r>
      <w:r w:rsidRPr="00C87D7C">
        <w:rPr>
          <w:rFonts w:ascii="Verdana" w:hAnsi="Verdana" w:cs="Arial"/>
          <w:bCs/>
          <w:lang w:val="es-MX"/>
        </w:rPr>
        <w:t>, así como los requeridos para la administración y el ejercicio de los derechos de todas las personas que sean socias de ellas, en lo no dispuesto en esta Ley, se regirán exclusivamente por las reglas del derecho privado</w:t>
      </w:r>
      <w:r>
        <w:rPr>
          <w:rFonts w:ascii="Verdana" w:hAnsi="Verdana" w:cs="Arial"/>
          <w:bCs/>
          <w:lang w:val="es-MX"/>
        </w:rPr>
        <w:t>” (Énfasis fuera de texto)</w:t>
      </w:r>
      <w:r w:rsidRPr="00C87D7C">
        <w:rPr>
          <w:rFonts w:ascii="Verdana" w:hAnsi="Verdana" w:cs="Arial"/>
          <w:bCs/>
          <w:lang w:val="es-MX"/>
        </w:rPr>
        <w:t>.</w:t>
      </w:r>
      <w:r>
        <w:rPr>
          <w:rFonts w:ascii="Verdana" w:hAnsi="Verdana" w:cs="Arial"/>
          <w:bCs/>
          <w:lang w:val="es-MX"/>
        </w:rPr>
        <w:t xml:space="preserve"> </w:t>
      </w:r>
      <w:r>
        <w:rPr>
          <w:rFonts w:ascii="Verdana" w:eastAsia="Calibri" w:hAnsi="Verdana" w:cs="Arial"/>
          <w:color w:val="000000" w:themeColor="text1"/>
          <w:lang w:val="es-ES"/>
        </w:rPr>
        <w:t>De esta manera, el</w:t>
      </w:r>
      <w:r w:rsidRPr="00060C87">
        <w:rPr>
          <w:rFonts w:ascii="Verdana" w:eastAsia="Calibri" w:hAnsi="Verdana" w:cs="Arial"/>
          <w:color w:val="000000" w:themeColor="text1"/>
          <w:lang w:val="es-ES"/>
        </w:rPr>
        <w:t xml:space="preserve"> máximo órgano de la Jurisdicción de lo Contencioso Administrativo</w:t>
      </w:r>
      <w:r>
        <w:rPr>
          <w:rFonts w:ascii="Verdana" w:eastAsia="Calibri" w:hAnsi="Verdana" w:cs="Arial"/>
          <w:color w:val="000000" w:themeColor="text1"/>
          <w:lang w:val="es-ES"/>
        </w:rPr>
        <w:t xml:space="preserve"> considera que</w:t>
      </w:r>
      <w:r w:rsidRPr="00060C87">
        <w:rPr>
          <w:rFonts w:ascii="Verdana" w:eastAsia="Calibri" w:hAnsi="Verdana" w:cs="Arial"/>
          <w:color w:val="000000" w:themeColor="text1"/>
          <w:lang w:val="es-ES"/>
        </w:rPr>
        <w:t xml:space="preserve">: </w:t>
      </w:r>
    </w:p>
    <w:p w14:paraId="5A263455" w14:textId="77777777" w:rsidR="003D6F94" w:rsidRPr="008F51F1" w:rsidRDefault="003D6F94" w:rsidP="003D6F94">
      <w:pPr>
        <w:spacing w:after="0" w:line="276" w:lineRule="auto"/>
        <w:jc w:val="both"/>
        <w:rPr>
          <w:rFonts w:ascii="Verdana" w:hAnsi="Verdana" w:cs="Arial"/>
        </w:rPr>
      </w:pPr>
    </w:p>
    <w:p w14:paraId="06B29565" w14:textId="77777777" w:rsidR="003D6F94" w:rsidRPr="00033F5A" w:rsidRDefault="003D6F94" w:rsidP="003D6F94">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0C1A087B" w14:textId="77777777" w:rsidR="003D6F94" w:rsidRPr="00033F5A" w:rsidRDefault="003D6F94" w:rsidP="003D6F94">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5DC4006B" w14:textId="77777777" w:rsidR="003D6F94" w:rsidRDefault="003D6F94" w:rsidP="003D6F94">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033F5A">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033F5A">
        <w:rPr>
          <w:rStyle w:val="Refdenotaalpie"/>
          <w:rFonts w:ascii="Verdana" w:eastAsia="Calibri" w:hAnsi="Verdana" w:cs="Arial"/>
          <w:color w:val="000000" w:themeColor="text1"/>
          <w:sz w:val="20"/>
          <w:szCs w:val="20"/>
          <w:lang w:val="es-ES"/>
        </w:rPr>
        <w:footnoteReference w:id="5"/>
      </w:r>
      <w:r w:rsidRPr="00033F5A">
        <w:rPr>
          <w:rFonts w:ascii="Verdana" w:eastAsia="Calibri" w:hAnsi="Verdana" w:cs="Arial"/>
          <w:color w:val="000000" w:themeColor="text1"/>
          <w:sz w:val="20"/>
          <w:szCs w:val="20"/>
          <w:lang w:val="es-ES"/>
        </w:rPr>
        <w:t>.</w:t>
      </w:r>
    </w:p>
    <w:p w14:paraId="4350E961" w14:textId="77777777" w:rsidR="003D6F94" w:rsidRPr="008F51F1" w:rsidRDefault="003D6F94" w:rsidP="003D6F94">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12160648" w14:textId="77777777" w:rsidR="003D6F94" w:rsidRDefault="003D6F94" w:rsidP="003D6F94">
      <w:pPr>
        <w:tabs>
          <w:tab w:val="left" w:pos="0"/>
        </w:tabs>
        <w:spacing w:after="120" w:line="276" w:lineRule="auto"/>
        <w:ind w:firstLine="709"/>
        <w:jc w:val="both"/>
        <w:rPr>
          <w:rFonts w:ascii="Verdana" w:eastAsia="Calibri" w:hAnsi="Verdana" w:cs="Arial"/>
          <w:bCs/>
          <w:color w:val="000000" w:themeColor="text1"/>
          <w:lang w:val="es-ES_tradnl"/>
        </w:rPr>
      </w:pPr>
      <w:r w:rsidRPr="008638A5">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638A5">
        <w:rPr>
          <w:rStyle w:val="Refdenotaalpie"/>
          <w:rFonts w:ascii="Verdana" w:eastAsia="Calibri" w:hAnsi="Verdana" w:cs="Arial"/>
          <w:bCs/>
          <w:color w:val="000000" w:themeColor="text1"/>
          <w:lang w:val="es-ES_tradnl"/>
        </w:rPr>
        <w:footnoteReference w:id="6"/>
      </w:r>
      <w:r w:rsidRPr="008638A5">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638A5">
        <w:rPr>
          <w:rFonts w:ascii="Verdana" w:eastAsia="Calibri" w:hAnsi="Verdana" w:cs="Arial"/>
          <w:bCs/>
          <w:i/>
          <w:iCs/>
          <w:color w:val="000000" w:themeColor="text1"/>
          <w:lang w:val="es-ES_tradnl"/>
        </w:rPr>
        <w:t>oficiales</w:t>
      </w:r>
      <w:r w:rsidRPr="008638A5">
        <w:rPr>
          <w:rFonts w:ascii="Verdana" w:eastAsia="Calibri" w:hAnsi="Verdana" w:cs="Arial"/>
          <w:bCs/>
          <w:color w:val="000000" w:themeColor="text1"/>
          <w:lang w:val="es-ES_tradnl"/>
        </w:rPr>
        <w:t xml:space="preserve">, </w:t>
      </w:r>
      <w:r w:rsidRPr="008638A5">
        <w:rPr>
          <w:rFonts w:ascii="Verdana" w:eastAsia="Calibri" w:hAnsi="Verdana" w:cs="Arial"/>
          <w:bCs/>
          <w:i/>
          <w:iCs/>
          <w:color w:val="000000" w:themeColor="text1"/>
          <w:lang w:val="es-ES_tradnl"/>
        </w:rPr>
        <w:t>mixtas</w:t>
      </w:r>
      <w:r w:rsidRPr="008638A5">
        <w:rPr>
          <w:rFonts w:ascii="Verdana" w:eastAsia="Calibri" w:hAnsi="Verdana" w:cs="Arial"/>
          <w:bCs/>
          <w:color w:val="000000" w:themeColor="text1"/>
          <w:lang w:val="es-ES_tradnl"/>
        </w:rPr>
        <w:t xml:space="preserve"> o </w:t>
      </w:r>
      <w:r w:rsidRPr="008638A5">
        <w:rPr>
          <w:rFonts w:ascii="Verdana" w:eastAsia="Calibri" w:hAnsi="Verdana" w:cs="Arial"/>
          <w:bCs/>
          <w:i/>
          <w:iCs/>
          <w:color w:val="000000" w:themeColor="text1"/>
          <w:lang w:val="es-ES_tradnl"/>
        </w:rPr>
        <w:t>privadas</w:t>
      </w:r>
      <w:r w:rsidRPr="008638A5">
        <w:rPr>
          <w:rFonts w:ascii="Verdana" w:eastAsia="Calibri" w:hAnsi="Verdana" w:cs="Arial"/>
          <w:bCs/>
          <w:color w:val="000000" w:themeColor="text1"/>
          <w:lang w:val="es-ES_tradnl"/>
        </w:rPr>
        <w:t xml:space="preserve">, estas tres especies ingresan en la categoría de las </w:t>
      </w:r>
      <w:r w:rsidRPr="008638A5">
        <w:rPr>
          <w:rFonts w:ascii="Verdana" w:eastAsia="Calibri" w:hAnsi="Verdana" w:cs="Arial"/>
          <w:bCs/>
          <w:i/>
          <w:iCs/>
          <w:color w:val="000000" w:themeColor="text1"/>
          <w:lang w:val="es-ES_tradnl"/>
        </w:rPr>
        <w:t>entidades descentralizadas por servicios</w:t>
      </w:r>
      <w:r>
        <w:rPr>
          <w:rFonts w:ascii="Verdana" w:eastAsia="Calibri" w:hAnsi="Verdana" w:cs="Arial"/>
          <w:bCs/>
          <w:color w:val="000000" w:themeColor="text1"/>
          <w:lang w:val="es-ES_tradnl"/>
        </w:rPr>
        <w:t xml:space="preserve">, es decir, hacen parte de la Rama Ejecutiva del Orden Público. </w:t>
      </w:r>
      <w:r w:rsidRPr="008638A5">
        <w:rPr>
          <w:rFonts w:ascii="Verdana" w:eastAsia="Calibri" w:hAnsi="Verdana" w:cs="Arial"/>
          <w:bCs/>
          <w:color w:val="000000" w:themeColor="text1"/>
          <w:lang w:val="es-ES_tradnl"/>
        </w:rPr>
        <w:t xml:space="preserve"> </w:t>
      </w:r>
    </w:p>
    <w:p w14:paraId="71FBBC0A" w14:textId="77777777" w:rsidR="003D6F94" w:rsidRDefault="003D6F94" w:rsidP="003D6F94">
      <w:pPr>
        <w:tabs>
          <w:tab w:val="left" w:pos="0"/>
        </w:tabs>
        <w:spacing w:before="120" w:after="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lastRenderedPageBreak/>
        <w:t>Al respecto</w:t>
      </w:r>
      <w:r w:rsidRPr="008638A5">
        <w:rPr>
          <w:rFonts w:ascii="Verdana" w:eastAsia="Calibri" w:hAnsi="Verdana" w:cs="Arial"/>
          <w:bCs/>
          <w:color w:val="000000" w:themeColor="text1"/>
          <w:lang w:val="es-ES_tradnl"/>
        </w:rPr>
        <w:t xml:space="preserve">, debe recordarse que en dicha Sentencia el alto tribunal afirmó que las empresas prestadoras de servicios públicos domiciliarios </w:t>
      </w:r>
      <w:r w:rsidRPr="008638A5">
        <w:rPr>
          <w:rFonts w:ascii="Verdana" w:eastAsia="Calibri" w:hAnsi="Verdana" w:cs="Arial"/>
          <w:bCs/>
          <w:i/>
          <w:iCs/>
          <w:color w:val="000000" w:themeColor="text1"/>
          <w:lang w:val="es-ES_tradnl"/>
        </w:rPr>
        <w:t>mixtas y privadas</w:t>
      </w:r>
      <w:r w:rsidRPr="008638A5">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 xml:space="preserve">con aportes estatales </w:t>
      </w:r>
      <w:r w:rsidRPr="008638A5">
        <w:rPr>
          <w:rFonts w:ascii="Verdana" w:eastAsia="Calibri" w:hAnsi="Verdana" w:cs="Arial"/>
          <w:bCs/>
          <w:color w:val="000000" w:themeColor="text1"/>
          <w:lang w:val="es-ES_tradnl"/>
        </w:rPr>
        <w:t xml:space="preserve">son tipos </w:t>
      </w:r>
      <w:r w:rsidRPr="008638A5">
        <w:rPr>
          <w:rFonts w:ascii="Verdana" w:eastAsia="Calibri" w:hAnsi="Verdana" w:cs="Arial"/>
          <w:bCs/>
          <w:i/>
          <w:iCs/>
          <w:color w:val="000000" w:themeColor="text1"/>
          <w:lang w:val="es-ES_tradnl"/>
        </w:rPr>
        <w:t>especiales</w:t>
      </w:r>
      <w:r w:rsidRPr="008638A5">
        <w:rPr>
          <w:rFonts w:ascii="Verdana" w:eastAsia="Calibri" w:hAnsi="Verdana" w:cs="Arial"/>
          <w:bCs/>
          <w:color w:val="000000" w:themeColor="text1"/>
          <w:lang w:val="es-ES_tradnl"/>
        </w:rPr>
        <w:t xml:space="preserve"> de entidades descentralizadas por servicios que, por tanto, no pueden e</w:t>
      </w:r>
      <w:r>
        <w:rPr>
          <w:rFonts w:ascii="Verdana" w:eastAsia="Calibri" w:hAnsi="Verdana" w:cs="Arial"/>
          <w:bCs/>
          <w:color w:val="000000" w:themeColor="text1"/>
          <w:lang w:val="es-ES_tradnl"/>
        </w:rPr>
        <w:t>nmarcarse</w:t>
      </w:r>
      <w:r w:rsidRPr="008638A5">
        <w:rPr>
          <w:rFonts w:ascii="Verdana" w:eastAsia="Calibri" w:hAnsi="Verdana" w:cs="Arial"/>
          <w:bCs/>
          <w:color w:val="000000" w:themeColor="text1"/>
          <w:lang w:val="es-ES_tradnl"/>
        </w:rPr>
        <w:t xml:space="preserve"> en las otras especies de entidades descentralizadas por servicios enlistadas en el artículo 38 de la Ley 489 de 1998, es decir, que no cabe considerarlas, verbigracia, dentro de las sociedades públicas ni en las sociedades de economía mixta.</w:t>
      </w:r>
      <w:r>
        <w:rPr>
          <w:rFonts w:ascii="Verdana" w:eastAsia="Calibri" w:hAnsi="Verdana" w:cs="Arial"/>
          <w:bCs/>
          <w:color w:val="000000" w:themeColor="text1"/>
          <w:lang w:val="es-ES_tradnl"/>
        </w:rPr>
        <w:t xml:space="preserve"> En dicho sentido, en el numeral 5.3. de la precitada Sentencia expresa: </w:t>
      </w:r>
    </w:p>
    <w:p w14:paraId="6169BB33" w14:textId="77777777" w:rsidR="003D6F94" w:rsidRDefault="003D6F94" w:rsidP="003D6F94">
      <w:pPr>
        <w:tabs>
          <w:tab w:val="left" w:pos="0"/>
        </w:tabs>
        <w:spacing w:before="120" w:after="0" w:line="276" w:lineRule="auto"/>
        <w:jc w:val="both"/>
        <w:rPr>
          <w:rFonts w:ascii="Verdana" w:eastAsia="Calibri" w:hAnsi="Verdana" w:cs="Arial"/>
          <w:bCs/>
          <w:color w:val="000000" w:themeColor="text1"/>
          <w:lang w:val="es-ES_tradnl"/>
        </w:rPr>
      </w:pPr>
    </w:p>
    <w:p w14:paraId="303F7F33" w14:textId="77777777" w:rsidR="003D6F94" w:rsidRDefault="003D6F94" w:rsidP="003D6F94">
      <w:pPr>
        <w:tabs>
          <w:tab w:val="left" w:pos="0"/>
        </w:tabs>
        <w:spacing w:before="120" w:after="0" w:line="240"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7"/>
      </w:r>
    </w:p>
    <w:p w14:paraId="0EFFA20B" w14:textId="77777777" w:rsidR="003D6F94" w:rsidRDefault="003D6F94" w:rsidP="003D6F94">
      <w:pPr>
        <w:tabs>
          <w:tab w:val="left" w:pos="0"/>
        </w:tabs>
        <w:spacing w:before="120" w:after="0" w:line="276" w:lineRule="auto"/>
        <w:ind w:right="709"/>
        <w:jc w:val="both"/>
        <w:rPr>
          <w:rFonts w:ascii="Verdana" w:eastAsia="Times New Roman" w:hAnsi="Verdana" w:cs="Arial"/>
          <w:sz w:val="20"/>
          <w:szCs w:val="20"/>
          <w:lang w:val="es-ES" w:eastAsia="es-ES"/>
        </w:rPr>
      </w:pPr>
    </w:p>
    <w:p w14:paraId="7FF843A7" w14:textId="77777777" w:rsidR="003D6F94" w:rsidRPr="00270257" w:rsidRDefault="003D6F94" w:rsidP="003D6F94">
      <w:pPr>
        <w:tabs>
          <w:tab w:val="left" w:pos="0"/>
        </w:tabs>
        <w:spacing w:before="120" w:after="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al Congreso la facultad de organizar la 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considerarse parte del Estado.</w:t>
      </w:r>
    </w:p>
    <w:p w14:paraId="72485EB1" w14:textId="77777777" w:rsidR="003D6F94" w:rsidRPr="00270257" w:rsidRDefault="003D6F94" w:rsidP="003D6F94">
      <w:pPr>
        <w:tabs>
          <w:tab w:val="left" w:pos="0"/>
        </w:tabs>
        <w:spacing w:before="120" w:after="0" w:line="276" w:lineRule="auto"/>
        <w:ind w:firstLine="709"/>
        <w:jc w:val="both"/>
        <w:rPr>
          <w:rFonts w:ascii="Verdana" w:eastAsia="Times New Roman" w:hAnsi="Verdana" w:cs="Arial"/>
          <w:sz w:val="20"/>
          <w:szCs w:val="20"/>
          <w:lang w:val="es-ES" w:eastAsia="es-ES"/>
        </w:rPr>
      </w:pPr>
      <w:r>
        <w:rPr>
          <w:rFonts w:ascii="Verdana" w:eastAsia="Times New Roman" w:hAnsi="Verdana" w:cs="Times New Roman"/>
          <w:lang w:val="es-ES" w:eastAsia="es-ES"/>
        </w:rPr>
        <w:lastRenderedPageBreak/>
        <w:t>Posteriormente, en la Sentencia precitada haciendo un análisis de los artículos 38</w:t>
      </w:r>
      <w:r>
        <w:rPr>
          <w:rStyle w:val="Refdenotaalpie"/>
          <w:rFonts w:ascii="Verdana" w:eastAsia="Times New Roman" w:hAnsi="Verdana" w:cs="Times New Roman"/>
          <w:lang w:val="es-ES" w:eastAsia="es-ES"/>
        </w:rPr>
        <w:footnoteReference w:id="8"/>
      </w:r>
      <w:r>
        <w:rPr>
          <w:rFonts w:ascii="Verdana" w:eastAsia="Times New Roman" w:hAnsi="Verdana" w:cs="Times New Roman"/>
          <w:lang w:val="es-ES" w:eastAsia="es-ES"/>
        </w:rPr>
        <w:t xml:space="preserve"> y 68</w:t>
      </w:r>
      <w:r>
        <w:rPr>
          <w:rStyle w:val="Refdenotaalpie"/>
          <w:rFonts w:ascii="Verdana" w:eastAsia="Times New Roman" w:hAnsi="Verdana" w:cs="Times New Roman"/>
          <w:lang w:val="es-ES" w:eastAsia="es-ES"/>
        </w:rPr>
        <w:footnoteReference w:id="9"/>
      </w:r>
      <w:r>
        <w:rPr>
          <w:rFonts w:ascii="Verdana" w:eastAsia="Times New Roman" w:hAnsi="Verdana" w:cs="Times New Roman"/>
          <w:lang w:val="es-ES" w:eastAsia="es-ES"/>
        </w:rPr>
        <w:t xml:space="preserve">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w:t>
      </w:r>
      <w:r>
        <w:rPr>
          <w:rFonts w:ascii="Verdana" w:eastAsia="Times New Roman" w:hAnsi="Verdana" w:cs="Times New Roman"/>
          <w:lang w:val="es-ES" w:eastAsia="es-ES"/>
        </w:rPr>
        <w:lastRenderedPageBreak/>
        <w:t>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5D65A469" w14:textId="77777777" w:rsidR="003D6F94" w:rsidRDefault="003D6F94" w:rsidP="003D6F94">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1F613094" w14:textId="77777777" w:rsidR="003D6F94" w:rsidRPr="00585A53" w:rsidRDefault="003D6F94" w:rsidP="003D6F94">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6E916ED6" w14:textId="77777777" w:rsidR="003D6F94" w:rsidRPr="00585A53" w:rsidRDefault="003D6F94" w:rsidP="003D6F94">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5C55F61C" w14:textId="77777777" w:rsidR="003D6F94" w:rsidRPr="00585A53" w:rsidRDefault="003D6F94" w:rsidP="003D6F94">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68CF7F70" w14:textId="77777777" w:rsidR="003D6F94" w:rsidRPr="00585A53" w:rsidRDefault="003D6F94" w:rsidP="003D6F94">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7B58E1C5" w14:textId="77777777" w:rsidR="003D6F94" w:rsidRDefault="003D6F94" w:rsidP="003D6F94">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1BDA4CF6" w14:textId="77777777" w:rsidR="003D6F94" w:rsidRPr="00FF6C85" w:rsidRDefault="003D6F94" w:rsidP="003D6F94">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 xml:space="preserve">la </w:t>
      </w:r>
      <w:proofErr w:type="spellStart"/>
      <w:r w:rsidRPr="008B3502">
        <w:rPr>
          <w:rFonts w:ascii="Verdana" w:eastAsia="Calibri" w:hAnsi="Verdana" w:cs="Arial"/>
          <w:bCs/>
          <w:color w:val="000000" w:themeColor="text1"/>
          <w:lang w:val="es-ES"/>
        </w:rPr>
        <w:t>exequibilidad</w:t>
      </w:r>
      <w:proofErr w:type="spellEnd"/>
      <w:r w:rsidRPr="008B3502">
        <w:rPr>
          <w:rFonts w:ascii="Verdana" w:eastAsia="Calibri" w:hAnsi="Verdana" w:cs="Arial"/>
          <w:bCs/>
          <w:color w:val="000000" w:themeColor="text1"/>
          <w:lang w:val="es-ES"/>
        </w:rPr>
        <w:t xml:space="preserve"> de la norma demandada.</w:t>
      </w:r>
    </w:p>
    <w:p w14:paraId="20C73FBA" w14:textId="77777777" w:rsidR="003D6F94" w:rsidRDefault="003D6F94" w:rsidP="003D6F94">
      <w:pPr>
        <w:tabs>
          <w:tab w:val="left" w:pos="0"/>
        </w:tabs>
        <w:spacing w:before="120"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w:t>
      </w:r>
      <w:r w:rsidRPr="008B3502">
        <w:rPr>
          <w:rFonts w:ascii="Verdana" w:eastAsia="Calibri" w:hAnsi="Verdana" w:cs="Arial"/>
          <w:bCs/>
          <w:color w:val="000000" w:themeColor="text1"/>
          <w:lang w:val="es-ES"/>
        </w:rPr>
        <w:lastRenderedPageBreak/>
        <w:t xml:space="preserve">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w:t>
      </w:r>
    </w:p>
    <w:p w14:paraId="16E48B8E" w14:textId="77777777" w:rsidR="003D6F94" w:rsidRDefault="003D6F94" w:rsidP="003D6F94">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 xml:space="preserve">Con respecto a este tema, hay doctrina que tiene sus observaciones frente a dicha Sentencia de Constitucionalidad, expresando: </w:t>
      </w:r>
    </w:p>
    <w:p w14:paraId="58CA76EA" w14:textId="77777777" w:rsidR="003D6F94" w:rsidRDefault="003D6F94" w:rsidP="003D6F94">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ab/>
      </w:r>
    </w:p>
    <w:p w14:paraId="6A40CEEA" w14:textId="77777777" w:rsidR="003D6F94" w:rsidRPr="00435AFF" w:rsidRDefault="003D6F94" w:rsidP="003D6F94">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534ED407" w14:textId="77777777" w:rsidR="003D6F94" w:rsidRPr="00435AFF" w:rsidRDefault="003D6F94" w:rsidP="003D6F94">
      <w:pPr>
        <w:tabs>
          <w:tab w:val="left" w:pos="0"/>
        </w:tabs>
        <w:spacing w:after="0" w:line="240" w:lineRule="auto"/>
        <w:ind w:left="709" w:right="709"/>
        <w:jc w:val="both"/>
        <w:rPr>
          <w:rFonts w:ascii="Verdana" w:eastAsia="Calibri" w:hAnsi="Verdana" w:cs="Arial"/>
          <w:bCs/>
          <w:color w:val="000000" w:themeColor="text1"/>
          <w:sz w:val="20"/>
        </w:rPr>
      </w:pPr>
    </w:p>
    <w:p w14:paraId="1228F566" w14:textId="77777777" w:rsidR="003D6F94" w:rsidRPr="00435AFF" w:rsidRDefault="003D6F94" w:rsidP="003D6F94">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485B1043" w14:textId="77777777" w:rsidR="003D6F94" w:rsidRPr="00435AFF" w:rsidRDefault="003D6F94" w:rsidP="003D6F94">
      <w:pPr>
        <w:tabs>
          <w:tab w:val="left" w:pos="0"/>
        </w:tabs>
        <w:spacing w:after="0" w:line="240" w:lineRule="auto"/>
        <w:ind w:left="709" w:right="709"/>
        <w:jc w:val="both"/>
        <w:rPr>
          <w:rFonts w:ascii="Verdana" w:eastAsia="Calibri" w:hAnsi="Verdana" w:cs="Arial"/>
          <w:bCs/>
          <w:color w:val="000000" w:themeColor="text1"/>
          <w:sz w:val="20"/>
        </w:rPr>
      </w:pPr>
    </w:p>
    <w:p w14:paraId="688BBBBF" w14:textId="77777777" w:rsidR="003D6F94" w:rsidRDefault="003D6F94" w:rsidP="003D6F94">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10"/>
      </w:r>
      <w:r w:rsidRPr="00435AFF">
        <w:rPr>
          <w:rFonts w:ascii="Verdana" w:eastAsia="Calibri" w:hAnsi="Verdana" w:cs="Arial"/>
          <w:bCs/>
          <w:color w:val="000000" w:themeColor="text1"/>
          <w:sz w:val="20"/>
        </w:rPr>
        <w:t>.</w:t>
      </w:r>
    </w:p>
    <w:p w14:paraId="53AE6D52" w14:textId="77777777" w:rsidR="003D6F94" w:rsidRPr="00435AFF" w:rsidRDefault="003D6F94" w:rsidP="003D6F94">
      <w:pPr>
        <w:tabs>
          <w:tab w:val="left" w:pos="0"/>
        </w:tabs>
        <w:spacing w:after="0" w:line="240" w:lineRule="auto"/>
        <w:ind w:left="709" w:right="709"/>
        <w:jc w:val="both"/>
        <w:rPr>
          <w:rFonts w:ascii="Verdana" w:eastAsia="Calibri" w:hAnsi="Verdana" w:cs="Arial"/>
          <w:bCs/>
          <w:color w:val="000000" w:themeColor="text1"/>
          <w:sz w:val="20"/>
        </w:rPr>
      </w:pPr>
    </w:p>
    <w:p w14:paraId="65A4C1F2" w14:textId="77777777" w:rsidR="003D6F94" w:rsidRDefault="003D6F94" w:rsidP="003D6F94">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7CB154F9" w14:textId="77777777" w:rsidR="003D6F94" w:rsidRDefault="003D6F94" w:rsidP="003D6F94">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primera postura es la que resalta la doctrina</w:t>
      </w:r>
      <w:r>
        <w:rPr>
          <w:rStyle w:val="Refdenotaalpie"/>
          <w:rFonts w:ascii="Verdana" w:eastAsia="Calibri" w:hAnsi="Verdana" w:cs="Arial"/>
          <w:color w:val="000000" w:themeColor="text1"/>
          <w:lang w:val="es-ES"/>
        </w:rPr>
        <w:footnoteReference w:id="11"/>
      </w:r>
      <w:r>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3A15E286" w14:textId="77777777" w:rsidR="003D6F94" w:rsidRDefault="003D6F94" w:rsidP="003D6F94">
      <w:pPr>
        <w:spacing w:after="0" w:line="276" w:lineRule="auto"/>
        <w:ind w:firstLine="709"/>
        <w:jc w:val="both"/>
        <w:rPr>
          <w:rFonts w:ascii="Verdana" w:eastAsia="Calibri" w:hAnsi="Verdana" w:cs="Arial"/>
          <w:color w:val="000000" w:themeColor="text1"/>
        </w:rPr>
      </w:pPr>
    </w:p>
    <w:p w14:paraId="749FF123" w14:textId="77777777" w:rsidR="003D6F94" w:rsidRDefault="003D6F94" w:rsidP="003D6F94">
      <w:pPr>
        <w:spacing w:after="0" w:line="240" w:lineRule="auto"/>
        <w:ind w:left="709" w:right="709"/>
        <w:jc w:val="both"/>
        <w:rPr>
          <w:rFonts w:ascii="Verdana" w:eastAsia="Calibri" w:hAnsi="Verdana" w:cs="Arial"/>
          <w:color w:val="000000" w:themeColor="text1"/>
          <w:sz w:val="20"/>
          <w:szCs w:val="20"/>
        </w:rPr>
      </w:pPr>
      <w:r w:rsidRPr="008719EC">
        <w:rPr>
          <w:rFonts w:ascii="Verdana" w:eastAsia="Calibri" w:hAnsi="Verdana" w:cs="Arial"/>
          <w:color w:val="000000" w:themeColor="text1"/>
          <w:sz w:val="20"/>
          <w:szCs w:val="20"/>
        </w:rPr>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8719EC">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8719EC">
        <w:rPr>
          <w:rFonts w:ascii="Verdana" w:eastAsia="Calibri" w:hAnsi="Verdana" w:cs="Arial"/>
          <w:i/>
          <w:iCs/>
          <w:color w:val="000000" w:themeColor="text1"/>
          <w:sz w:val="20"/>
          <w:szCs w:val="20"/>
          <w:u w:val="single"/>
        </w:rPr>
        <w:t>la prestación de servicios públicos</w:t>
      </w:r>
      <w:r w:rsidRPr="008719EC">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Pr="008719EC">
        <w:rPr>
          <w:rFonts w:ascii="Verdana" w:eastAsia="Calibri" w:hAnsi="Verdana" w:cs="Arial"/>
          <w:color w:val="000000" w:themeColor="text1"/>
          <w:sz w:val="20"/>
          <w:szCs w:val="20"/>
        </w:rPr>
        <w:t>(Subraya la Corte)</w:t>
      </w:r>
      <w:r>
        <w:rPr>
          <w:rStyle w:val="Refdenotaalpie"/>
          <w:rFonts w:ascii="Verdana" w:eastAsia="Calibri" w:hAnsi="Verdana" w:cs="Arial"/>
          <w:color w:val="000000" w:themeColor="text1"/>
          <w:sz w:val="20"/>
          <w:szCs w:val="20"/>
        </w:rPr>
        <w:footnoteReference w:id="12"/>
      </w:r>
      <w:r w:rsidRPr="008719EC">
        <w:rPr>
          <w:rFonts w:ascii="Verdana" w:eastAsia="Calibri" w:hAnsi="Verdana" w:cs="Arial"/>
          <w:color w:val="000000" w:themeColor="text1"/>
          <w:sz w:val="20"/>
          <w:szCs w:val="20"/>
        </w:rPr>
        <w:t>.</w:t>
      </w:r>
    </w:p>
    <w:p w14:paraId="36F2D057" w14:textId="77777777" w:rsidR="003D6F94" w:rsidRPr="008719EC" w:rsidRDefault="003D6F94" w:rsidP="003D6F94">
      <w:pPr>
        <w:spacing w:after="0" w:line="240" w:lineRule="auto"/>
        <w:jc w:val="both"/>
        <w:rPr>
          <w:rFonts w:ascii="Verdana" w:eastAsia="Calibri" w:hAnsi="Verdana" w:cs="Arial"/>
          <w:color w:val="000000" w:themeColor="text1"/>
          <w:sz w:val="20"/>
          <w:szCs w:val="20"/>
        </w:rPr>
      </w:pPr>
    </w:p>
    <w:p w14:paraId="1C2F6091" w14:textId="77777777" w:rsidR="003D6F94" w:rsidRPr="00D50C4E" w:rsidRDefault="003D6F94" w:rsidP="003D6F94">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
        </w:rPr>
        <w:t>La segunda postura que también se deriva de la interpretación de la sentencia es que la Corte Constitucional</w:t>
      </w:r>
      <w:r w:rsidRPr="008719EC">
        <w:t xml:space="preserve"> </w:t>
      </w:r>
      <w:r w:rsidRPr="008719EC">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w:t>
      </w:r>
      <w:r>
        <w:rPr>
          <w:rFonts w:ascii="Verdana" w:eastAsia="Calibri" w:hAnsi="Verdana" w:cs="Arial"/>
          <w:color w:val="000000" w:themeColor="text1"/>
          <w:lang w:val="es-ES"/>
        </w:rPr>
        <w:t xml:space="preserve">En esta línea, se destaca que el encabezado de la consideración 5.3. alude expresamente, así </w:t>
      </w:r>
      <w:r>
        <w:rPr>
          <w:rFonts w:ascii="Verdana" w:eastAsia="Calibri" w:hAnsi="Verdana" w:cs="Arial"/>
          <w:color w:val="000000" w:themeColor="text1"/>
          <w:lang w:val="es-ES"/>
        </w:rPr>
        <w:lastRenderedPageBreak/>
        <w:t xml:space="preserve">como en varios apartes que son entidades descentralizadas por servicios las </w:t>
      </w:r>
      <w:r w:rsidRPr="00D50C4E">
        <w:rPr>
          <w:rFonts w:ascii="Verdana" w:eastAsia="Calibri" w:hAnsi="Verdana" w:cs="Arial"/>
          <w:bCs/>
          <w:color w:val="000000" w:themeColor="text1"/>
          <w:lang w:val="es-ES"/>
        </w:rPr>
        <w:t>empresas de servicios públicos mixtas y privadas en las cuales haya cualquier porc</w:t>
      </w:r>
      <w:r>
        <w:rPr>
          <w:rFonts w:ascii="Verdana" w:eastAsia="Calibri" w:hAnsi="Verdana" w:cs="Arial"/>
          <w:bCs/>
          <w:color w:val="000000" w:themeColor="text1"/>
          <w:lang w:val="es-ES"/>
        </w:rPr>
        <w:t xml:space="preserve">entaje de participación pública. </w:t>
      </w:r>
      <w:r w:rsidRPr="008719EC">
        <w:rPr>
          <w:rFonts w:ascii="Verdana" w:eastAsia="Calibri" w:hAnsi="Verdana" w:cs="Arial"/>
          <w:color w:val="000000" w:themeColor="text1"/>
          <w:lang w:val="es-ES"/>
        </w:rPr>
        <w:t>Esta interpretación se complementa con la Ley 142 de 1994, que define los tipos societarios según la proporción de capital estatal y privado</w:t>
      </w:r>
      <w:r>
        <w:rPr>
          <w:rFonts w:ascii="Verdana" w:eastAsia="Calibri" w:hAnsi="Verdana" w:cs="Arial"/>
          <w:color w:val="000000" w:themeColor="text1"/>
          <w:lang w:val="es-ES"/>
        </w:rPr>
        <w:t xml:space="preserve">, entendiendo como empresa privada de servicios públicos como </w:t>
      </w:r>
      <w:r w:rsidRPr="00D50C4E">
        <w:rPr>
          <w:rFonts w:ascii="Verdana" w:eastAsia="Calibri" w:hAnsi="Verdana" w:cs="Arial"/>
          <w:color w:val="000000" w:themeColor="text1"/>
        </w:rPr>
        <w:t>aquella cuyo capital pertenece mayoritariamente a particulares o a entidades internacionales que se acogen al régimen privado</w:t>
      </w:r>
      <w:r>
        <w:rPr>
          <w:rFonts w:ascii="Verdana" w:eastAsia="Calibri" w:hAnsi="Verdana" w:cs="Arial"/>
          <w:color w:val="000000" w:themeColor="text1"/>
        </w:rPr>
        <w:t>, lo que implica</w:t>
      </w:r>
      <w:r w:rsidRPr="00D50C4E">
        <w:rPr>
          <w:rFonts w:ascii="Verdana" w:eastAsia="Calibri" w:hAnsi="Verdana" w:cs="Arial"/>
          <w:color w:val="000000" w:themeColor="text1"/>
        </w:rPr>
        <w:t xml:space="preserve"> una participación minoritaria del Estado.</w:t>
      </w:r>
    </w:p>
    <w:p w14:paraId="60984EAD" w14:textId="77777777" w:rsidR="003D6F94" w:rsidRDefault="003D6F94" w:rsidP="003D6F94">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Así mismo, es importante señalar </w:t>
      </w:r>
      <w:r w:rsidRPr="00A11176">
        <w:rPr>
          <w:rFonts w:ascii="Verdana" w:eastAsia="Calibri" w:hAnsi="Verdana" w:cs="Arial"/>
          <w:color w:val="000000" w:themeColor="text1"/>
          <w:lang w:val="es-ES"/>
        </w:rPr>
        <w:t xml:space="preserve">que la naturaleza jurídica de una entidad no depende </w:t>
      </w:r>
      <w:r>
        <w:rPr>
          <w:rFonts w:ascii="Verdana" w:eastAsia="Calibri" w:hAnsi="Verdana" w:cs="Arial"/>
          <w:color w:val="000000" w:themeColor="text1"/>
          <w:lang w:val="es-ES"/>
        </w:rPr>
        <w:t xml:space="preserve">solo </w:t>
      </w:r>
      <w:r w:rsidRPr="00A11176">
        <w:rPr>
          <w:rFonts w:ascii="Verdana" w:eastAsia="Calibri" w:hAnsi="Verdana" w:cs="Arial"/>
          <w:color w:val="000000" w:themeColor="text1"/>
          <w:lang w:val="es-ES"/>
        </w:rPr>
        <w:t>de la función que cumple.</w:t>
      </w:r>
      <w:r>
        <w:rPr>
          <w:rFonts w:ascii="Verdana" w:eastAsia="Calibri" w:hAnsi="Verdana" w:cs="Arial"/>
          <w:color w:val="000000" w:themeColor="text1"/>
          <w:lang w:val="es-ES"/>
        </w:rPr>
        <w:t xml:space="preserve"> En otras palabras</w:t>
      </w:r>
      <w:r w:rsidRPr="00A11176">
        <w:rPr>
          <w:rFonts w:ascii="Verdana" w:eastAsia="Calibri" w:hAnsi="Verdana" w:cs="Arial"/>
          <w:color w:val="000000" w:themeColor="text1"/>
          <w:lang w:val="es-ES"/>
        </w:rPr>
        <w:t>, prestar un servicio público no convierte a una empresa en entidad pública. Lo determinante es su origen legal, su régimen jurídico y su vinculación con e</w:t>
      </w:r>
      <w:r>
        <w:rPr>
          <w:rFonts w:ascii="Verdana" w:eastAsia="Calibri" w:hAnsi="Verdana" w:cs="Arial"/>
          <w:color w:val="000000" w:themeColor="text1"/>
          <w:lang w:val="es-ES"/>
        </w:rPr>
        <w:t xml:space="preserve">l Estado. Aunque </w:t>
      </w:r>
      <w:r w:rsidRPr="00A11176">
        <w:rPr>
          <w:rFonts w:ascii="Verdana" w:eastAsia="Calibri" w:hAnsi="Verdana" w:cs="Arial"/>
          <w:color w:val="000000" w:themeColor="text1"/>
          <w:lang w:val="es-ES"/>
        </w:rPr>
        <w:t>las empresas privadas</w:t>
      </w:r>
      <w:r>
        <w:rPr>
          <w:rFonts w:ascii="Verdana" w:eastAsia="Calibri" w:hAnsi="Verdana" w:cs="Arial"/>
          <w:color w:val="000000" w:themeColor="text1"/>
          <w:lang w:val="es-ES"/>
        </w:rPr>
        <w:t xml:space="preserve"> con capital 100% privado</w:t>
      </w:r>
      <w:r w:rsidRPr="00A11176">
        <w:rPr>
          <w:rFonts w:ascii="Verdana" w:eastAsia="Calibri" w:hAnsi="Verdana" w:cs="Arial"/>
          <w:color w:val="000000" w:themeColor="text1"/>
          <w:lang w:val="es-ES"/>
        </w:rPr>
        <w:t xml:space="preserve"> de servicios públicos cumplen una función pública, siguen siendo entidades privadas en cuanto a su estructura, ges</w:t>
      </w:r>
      <w:r>
        <w:rPr>
          <w:rFonts w:ascii="Verdana" w:eastAsia="Calibri" w:hAnsi="Verdana" w:cs="Arial"/>
          <w:color w:val="000000" w:themeColor="text1"/>
          <w:lang w:val="es-ES"/>
        </w:rPr>
        <w:t xml:space="preserve">tión y responsabilidad jurídica. Esto, sin dejar de lado que las empresas de servicios públicos domiciliarios mixtas y las empresas privadas con participación minoritaria del Estado son comprendidas como entidades descentralizadas por servicios. </w:t>
      </w:r>
    </w:p>
    <w:bookmarkEnd w:id="1"/>
    <w:p w14:paraId="4E0F1EEF" w14:textId="77777777" w:rsidR="003D6F94" w:rsidRPr="00DD5CC8" w:rsidRDefault="003D6F94" w:rsidP="003D6F94">
      <w:pPr>
        <w:spacing w:after="120" w:line="276" w:lineRule="auto"/>
        <w:ind w:firstLine="709"/>
        <w:jc w:val="both"/>
        <w:rPr>
          <w:rFonts w:ascii="Verdana" w:eastAsia="Calibri" w:hAnsi="Verdana" w:cs="Arial"/>
          <w:color w:val="000000" w:themeColor="text1"/>
          <w:lang w:val="es-ES"/>
        </w:rPr>
      </w:pPr>
    </w:p>
    <w:p w14:paraId="352299BB" w14:textId="77777777" w:rsidR="003D6F94" w:rsidRPr="0094448B" w:rsidRDefault="003D6F94" w:rsidP="003D6F94">
      <w:pPr>
        <w:spacing w:after="120" w:line="276" w:lineRule="auto"/>
        <w:jc w:val="both"/>
        <w:rPr>
          <w:rFonts w:ascii="Verdana" w:eastAsia="Calibri" w:hAnsi="Verdana" w:cs="Times New Roman"/>
          <w:lang w:val="es-ES"/>
        </w:rPr>
      </w:pPr>
      <w:proofErr w:type="spellStart"/>
      <w:r>
        <w:rPr>
          <w:rFonts w:ascii="Verdana" w:eastAsia="Verdana" w:hAnsi="Verdana" w:cs="Verdana"/>
          <w:lang w:val="es-ES"/>
        </w:rPr>
        <w:t>iii</w:t>
      </w:r>
      <w:proofErr w:type="spellEnd"/>
      <w:r>
        <w:rPr>
          <w:rFonts w:ascii="Verdana" w:eastAsia="Verdana" w:hAnsi="Verdana" w:cs="Verdana"/>
          <w:lang w:val="es-ES"/>
        </w:rPr>
        <w:t xml:space="preserve">. </w:t>
      </w:r>
      <w:r w:rsidRPr="0094448B">
        <w:rPr>
          <w:rFonts w:ascii="Verdana" w:eastAsia="Verdana" w:hAnsi="Verdana" w:cs="Verdana"/>
          <w:lang w:val="es-ES"/>
        </w:rPr>
        <w:t xml:space="preserve">Teniendo en cuenta que las </w:t>
      </w:r>
      <w:r>
        <w:rPr>
          <w:rFonts w:ascii="Verdana" w:eastAsia="Verdana" w:hAnsi="Verdana" w:cs="Verdana"/>
          <w:lang w:val="es-ES"/>
        </w:rPr>
        <w:t xml:space="preserve">empresas mixtas de servicios públicos domiciliarios del Estado </w:t>
      </w:r>
      <w:r w:rsidRPr="0094448B">
        <w:rPr>
          <w:rFonts w:ascii="Verdana" w:eastAsia="Verdana" w:hAnsi="Verdana" w:cs="Verdana"/>
          <w:lang w:val="es-ES"/>
        </w:rPr>
        <w:t>como entidades de régimen especial están facultadas legalmente para aplicar reglas distintas a las establecidas en la Ley</w:t>
      </w:r>
      <w:r w:rsidRPr="0094448B">
        <w:rPr>
          <w:rFonts w:ascii="Verdana" w:eastAsia="Calibri" w:hAnsi="Verdana" w:cs="Times New Roman"/>
          <w:lang w:val="es-ES"/>
        </w:rPr>
        <w:t xml:space="preserve"> </w:t>
      </w:r>
      <w:r w:rsidRPr="0094448B">
        <w:rPr>
          <w:rFonts w:ascii="Verdana" w:eastAsia="Verdana" w:hAnsi="Verdana" w:cs="Verdana"/>
          <w:lang w:val="es-ES"/>
        </w:rPr>
        <w:t xml:space="preserve">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w:t>
      </w:r>
      <w:r w:rsidRPr="00AC3E40">
        <w:rPr>
          <w:rFonts w:ascii="Verdana" w:eastAsia="Verdana" w:hAnsi="Verdana" w:cs="Verdana"/>
          <w:lang w:val="es-ES"/>
        </w:rPr>
        <w:t>“Guía para la Gestión Contractual de entidades estatales con régimen especial”</w:t>
      </w:r>
      <w:r>
        <w:rPr>
          <w:rFonts w:ascii="Verdana" w:eastAsia="Verdana" w:hAnsi="Verdana" w:cs="Verdana"/>
          <w:lang w:val="es-ES"/>
        </w:rPr>
        <w:t xml:space="preserve"> de septiembre de 2025, en el que se expresa que l</w:t>
      </w:r>
      <w:r w:rsidRPr="00457BC3">
        <w:rPr>
          <w:rFonts w:ascii="Verdana" w:eastAsia="Verdana" w:hAnsi="Verdana" w:cs="Verdana"/>
        </w:rPr>
        <w:t xml:space="preserve">as entidades de régimen especial </w:t>
      </w:r>
      <w:r>
        <w:rPr>
          <w:rFonts w:ascii="Verdana" w:eastAsia="Verdana" w:hAnsi="Verdana" w:cs="Verdana"/>
        </w:rPr>
        <w:t xml:space="preserve">“[…] son </w:t>
      </w:r>
      <w:r w:rsidRPr="00457BC3">
        <w:rPr>
          <w:rFonts w:ascii="Verdana" w:eastAsia="Verdana" w:hAnsi="Verdana" w:cs="Verdana"/>
        </w:rPr>
        <w:t xml:space="preserve">aquellas que, por </w:t>
      </w:r>
      <w:r w:rsidRPr="00457BC3">
        <w:rPr>
          <w:rFonts w:ascii="Verdana" w:eastAsia="Verdana" w:hAnsi="Verdana" w:cs="Verdana"/>
        </w:rPr>
        <w:lastRenderedPageBreak/>
        <w:t>expresa disposición legal y</w:t>
      </w:r>
      <w:r>
        <w:rPr>
          <w:rFonts w:ascii="Verdana" w:eastAsia="Verdana" w:hAnsi="Verdana" w:cs="Verdana"/>
        </w:rPr>
        <w:t xml:space="preserve"> </w:t>
      </w:r>
      <w:r w:rsidRPr="00457BC3">
        <w:rPr>
          <w:rFonts w:ascii="Verdana" w:eastAsia="Verdana" w:hAnsi="Verdana" w:cs="Verdana"/>
        </w:rPr>
        <w:t>por su naturaleza o situación de competencia,</w:t>
      </w:r>
      <w:r>
        <w:rPr>
          <w:rFonts w:ascii="Verdana" w:eastAsia="Verdana" w:hAnsi="Verdana" w:cs="Verdana"/>
        </w:rPr>
        <w:t xml:space="preserve"> </w:t>
      </w:r>
      <w:r w:rsidRPr="00457BC3">
        <w:rPr>
          <w:rFonts w:ascii="Verdana" w:eastAsia="Verdana" w:hAnsi="Verdana" w:cs="Verdana"/>
        </w:rPr>
        <w:t>tienen condiciones diferenciales respecto a la</w:t>
      </w:r>
      <w:r>
        <w:rPr>
          <w:rFonts w:ascii="Verdana" w:eastAsia="Verdana" w:hAnsi="Verdana" w:cs="Verdana"/>
        </w:rPr>
        <w:t xml:space="preserve"> </w:t>
      </w:r>
      <w:r w:rsidRPr="00457BC3">
        <w:rPr>
          <w:rFonts w:ascii="Verdana" w:eastAsia="Verdana" w:hAnsi="Verdana" w:cs="Verdana"/>
        </w:rPr>
        <w:t>aplicación de la normativa en contratación</w:t>
      </w:r>
      <w:r>
        <w:rPr>
          <w:rFonts w:ascii="Verdana" w:eastAsia="Verdana" w:hAnsi="Verdana" w:cs="Verdana"/>
        </w:rPr>
        <w:t xml:space="preserve"> </w:t>
      </w:r>
      <w:r w:rsidRPr="00457BC3">
        <w:rPr>
          <w:rFonts w:ascii="Verdana" w:eastAsia="Verdana" w:hAnsi="Verdana" w:cs="Verdana"/>
        </w:rPr>
        <w:t>pública</w:t>
      </w:r>
      <w:r>
        <w:rPr>
          <w:rFonts w:ascii="Verdana" w:eastAsia="Verdana" w:hAnsi="Verdana" w:cs="Verdana"/>
        </w:rPr>
        <w:t>”</w:t>
      </w:r>
      <w:r>
        <w:rPr>
          <w:rStyle w:val="Refdenotaalpie"/>
          <w:rFonts w:ascii="Verdana" w:eastAsia="Verdana" w:hAnsi="Verdana" w:cs="Verdana"/>
        </w:rPr>
        <w:footnoteReference w:id="13"/>
      </w:r>
      <w:r>
        <w:rPr>
          <w:rFonts w:ascii="Verdana" w:eastAsia="Verdana" w:hAnsi="Verdana" w:cs="Verdana"/>
        </w:rPr>
        <w:t xml:space="preserve">. </w:t>
      </w:r>
    </w:p>
    <w:p w14:paraId="0B706BC9" w14:textId="77777777" w:rsidR="003D6F94" w:rsidRPr="0094448B" w:rsidRDefault="003D6F94" w:rsidP="003D6F94">
      <w:pPr>
        <w:spacing w:after="120" w:line="276" w:lineRule="auto"/>
        <w:ind w:firstLine="708"/>
        <w:jc w:val="both"/>
        <w:rPr>
          <w:rFonts w:ascii="Verdana" w:eastAsia="Verdana" w:hAnsi="Verdana" w:cs="Verdana"/>
          <w:lang w:val="es-ES"/>
        </w:rPr>
      </w:pPr>
      <w:r w:rsidRPr="0094448B">
        <w:rPr>
          <w:rFonts w:ascii="Verdana" w:eastAsia="Verdana" w:hAnsi="Verdana" w:cs="Verdana"/>
          <w:lang w:val="es-ES"/>
        </w:rPr>
        <w:t>No obstante, las entidades de régimen contractual</w:t>
      </w:r>
      <w:r>
        <w:rPr>
          <w:rFonts w:ascii="Verdana" w:eastAsia="Verdana" w:hAnsi="Verdana" w:cs="Verdana"/>
          <w:lang w:val="es-ES"/>
        </w:rPr>
        <w:t xml:space="preserve"> tienen </w:t>
      </w:r>
      <w:r w:rsidRPr="0094448B">
        <w:rPr>
          <w:rFonts w:ascii="Verdana" w:eastAsia="Verdana" w:hAnsi="Verdana" w:cs="Verdana"/>
          <w:lang w:val="es-ES"/>
        </w:rPr>
        <w:t>una finalidad pública</w:t>
      </w:r>
      <w:r w:rsidRPr="0094448B">
        <w:rPr>
          <w:rFonts w:ascii="Verdana" w:eastAsia="Verdana" w:hAnsi="Verdana" w:cs="Verdana"/>
          <w:spacing w:val="-2"/>
          <w:lang w:val="es-ES"/>
        </w:rPr>
        <w:t xml:space="preserve"> </w:t>
      </w:r>
      <w:r w:rsidRPr="0094448B">
        <w:rPr>
          <w:rFonts w:ascii="Verdana" w:eastAsia="Verdana" w:hAnsi="Verdana" w:cs="Verdana"/>
          <w:lang w:val="es-ES"/>
        </w:rPr>
        <w:t>y</w:t>
      </w:r>
      <w:r w:rsidRPr="0094448B">
        <w:rPr>
          <w:rFonts w:ascii="Verdana" w:eastAsia="Verdana" w:hAnsi="Verdana" w:cs="Verdana"/>
          <w:spacing w:val="-4"/>
          <w:lang w:val="es-ES"/>
        </w:rPr>
        <w:t xml:space="preserve"> </w:t>
      </w:r>
      <w:r w:rsidRPr="0094448B">
        <w:rPr>
          <w:rFonts w:ascii="Verdana" w:eastAsia="Verdana" w:hAnsi="Verdana" w:cs="Verdana"/>
          <w:lang w:val="es-ES"/>
        </w:rPr>
        <w:t>utilizan</w:t>
      </w:r>
      <w:r w:rsidRPr="0094448B">
        <w:rPr>
          <w:rFonts w:ascii="Verdana" w:eastAsia="Verdana" w:hAnsi="Verdana" w:cs="Verdana"/>
          <w:spacing w:val="-2"/>
          <w:lang w:val="es-ES"/>
        </w:rPr>
        <w:t xml:space="preserve"> </w:t>
      </w:r>
      <w:r w:rsidRPr="0094448B">
        <w:rPr>
          <w:rFonts w:ascii="Verdana" w:eastAsia="Verdana" w:hAnsi="Verdana" w:cs="Verdana"/>
          <w:lang w:val="es-ES"/>
        </w:rPr>
        <w:t>recursos</w:t>
      </w:r>
      <w:r w:rsidRPr="0094448B">
        <w:rPr>
          <w:rFonts w:ascii="Verdana" w:eastAsia="Verdana" w:hAnsi="Verdana" w:cs="Verdana"/>
          <w:spacing w:val="-1"/>
          <w:lang w:val="es-ES"/>
        </w:rPr>
        <w:t xml:space="preserve"> </w:t>
      </w:r>
      <w:r w:rsidRPr="0094448B">
        <w:rPr>
          <w:rFonts w:ascii="Verdana" w:eastAsia="Verdana" w:hAnsi="Verdana" w:cs="Verdana"/>
          <w:lang w:val="es-ES"/>
        </w:rPr>
        <w:t>públicos</w:t>
      </w:r>
      <w:r w:rsidRPr="0094448B">
        <w:rPr>
          <w:rFonts w:ascii="Verdana" w:eastAsia="Verdana" w:hAnsi="Verdana" w:cs="Verdana"/>
          <w:spacing w:val="-2"/>
          <w:lang w:val="es-ES"/>
        </w:rPr>
        <w:t xml:space="preserve"> </w:t>
      </w:r>
      <w:r w:rsidRPr="0094448B">
        <w:rPr>
          <w:rFonts w:ascii="Verdana" w:eastAsia="Verdana" w:hAnsi="Verdana" w:cs="Verdana"/>
          <w:lang w:val="es-ES"/>
        </w:rPr>
        <w:t>para</w:t>
      </w:r>
      <w:r w:rsidRPr="0094448B">
        <w:rPr>
          <w:rFonts w:ascii="Verdana" w:eastAsia="Verdana" w:hAnsi="Verdana" w:cs="Verdana"/>
          <w:spacing w:val="-3"/>
          <w:lang w:val="es-ES"/>
        </w:rPr>
        <w:t xml:space="preserve"> </w:t>
      </w:r>
      <w:r w:rsidRPr="0094448B">
        <w:rPr>
          <w:rFonts w:ascii="Verdana" w:eastAsia="Verdana" w:hAnsi="Verdana" w:cs="Verdana"/>
          <w:lang w:val="es-ES"/>
        </w:rPr>
        <w:t>lograrlo,</w:t>
      </w:r>
      <w:r w:rsidRPr="0094448B">
        <w:rPr>
          <w:rFonts w:ascii="Verdana" w:eastAsia="Verdana" w:hAnsi="Verdana" w:cs="Verdana"/>
          <w:spacing w:val="-1"/>
          <w:lang w:val="es-ES"/>
        </w:rPr>
        <w:t xml:space="preserve"> </w:t>
      </w:r>
      <w:r w:rsidRPr="0094448B">
        <w:rPr>
          <w:rFonts w:ascii="Verdana" w:eastAsia="Verdana" w:hAnsi="Verdana" w:cs="Verdana"/>
          <w:lang w:val="es-ES"/>
        </w:rPr>
        <w:t>por</w:t>
      </w:r>
      <w:r w:rsidRPr="0094448B">
        <w:rPr>
          <w:rFonts w:ascii="Verdana" w:eastAsia="Verdana" w:hAnsi="Verdana" w:cs="Verdana"/>
          <w:spacing w:val="-3"/>
          <w:lang w:val="es-ES"/>
        </w:rPr>
        <w:t xml:space="preserve"> </w:t>
      </w:r>
      <w:r w:rsidRPr="0094448B">
        <w:rPr>
          <w:rFonts w:ascii="Verdana" w:eastAsia="Verdana" w:hAnsi="Verdana" w:cs="Verdana"/>
          <w:lang w:val="es-ES"/>
        </w:rPr>
        <w:t>lo</w:t>
      </w:r>
      <w:r w:rsidRPr="0094448B">
        <w:rPr>
          <w:rFonts w:ascii="Verdana" w:eastAsia="Verdana" w:hAnsi="Verdana" w:cs="Verdana"/>
          <w:spacing w:val="-3"/>
          <w:lang w:val="es-ES"/>
        </w:rPr>
        <w:t xml:space="preserve"> </w:t>
      </w:r>
      <w:r w:rsidRPr="0094448B">
        <w:rPr>
          <w:rFonts w:ascii="Verdana" w:eastAsia="Verdana" w:hAnsi="Verdana" w:cs="Verdana"/>
          <w:lang w:val="es-ES"/>
        </w:rPr>
        <w:t>que</w:t>
      </w:r>
      <w:r w:rsidRPr="0094448B">
        <w:rPr>
          <w:rFonts w:ascii="Verdana" w:eastAsia="Verdana" w:hAnsi="Verdana" w:cs="Verdana"/>
          <w:spacing w:val="-3"/>
          <w:lang w:val="es-ES"/>
        </w:rPr>
        <w:t xml:space="preserve"> </w:t>
      </w:r>
      <w:r w:rsidRPr="0094448B">
        <w:rPr>
          <w:rFonts w:ascii="Verdana" w:eastAsia="Verdana" w:hAnsi="Verdana" w:cs="Verdana"/>
          <w:lang w:val="es-ES"/>
        </w:rPr>
        <w:t>no</w:t>
      </w:r>
      <w:r w:rsidRPr="0094448B">
        <w:rPr>
          <w:rFonts w:ascii="Verdana" w:eastAsia="Verdana" w:hAnsi="Verdana" w:cs="Verdana"/>
          <w:spacing w:val="-4"/>
          <w:lang w:val="es-ES"/>
        </w:rPr>
        <w:t xml:space="preserve"> </w:t>
      </w:r>
      <w:r w:rsidRPr="0094448B">
        <w:rPr>
          <w:rFonts w:ascii="Verdana" w:eastAsia="Verdana" w:hAnsi="Verdana" w:cs="Verdana"/>
          <w:lang w:val="es-ES"/>
        </w:rPr>
        <w:t>son</w:t>
      </w:r>
      <w:r w:rsidRPr="0094448B">
        <w:rPr>
          <w:rFonts w:ascii="Verdana" w:eastAsia="Verdana" w:hAnsi="Verdana" w:cs="Verdana"/>
          <w:spacing w:val="-3"/>
          <w:lang w:val="es-ES"/>
        </w:rPr>
        <w:t xml:space="preserve"> </w:t>
      </w:r>
      <w:r w:rsidRPr="0094448B">
        <w:rPr>
          <w:rFonts w:ascii="Verdana" w:eastAsia="Verdana" w:hAnsi="Verdana" w:cs="Verdana"/>
          <w:lang w:val="es-ES"/>
        </w:rPr>
        <w:t>ajenas</w:t>
      </w:r>
      <w:r w:rsidRPr="0094448B">
        <w:rPr>
          <w:rFonts w:ascii="Verdana" w:eastAsia="Verdana" w:hAnsi="Verdana" w:cs="Verdana"/>
          <w:spacing w:val="-3"/>
          <w:lang w:val="es-ES"/>
        </w:rPr>
        <w:t xml:space="preserve"> </w:t>
      </w:r>
      <w:r w:rsidRPr="0094448B">
        <w:rPr>
          <w:rFonts w:ascii="Verdana" w:eastAsia="Verdana" w:hAnsi="Verdana" w:cs="Verdana"/>
          <w:lang w:val="es-ES"/>
        </w:rPr>
        <w:t>a</w:t>
      </w:r>
      <w:r w:rsidRPr="0094448B">
        <w:rPr>
          <w:rFonts w:ascii="Verdana" w:eastAsia="Verdana" w:hAnsi="Verdana" w:cs="Verdana"/>
          <w:spacing w:val="-4"/>
          <w:lang w:val="es-ES"/>
        </w:rPr>
        <w:t xml:space="preserve"> </w:t>
      </w:r>
      <w:r w:rsidRPr="0094448B">
        <w:rPr>
          <w:rFonts w:ascii="Verdana" w:eastAsia="Verdana" w:hAnsi="Verdana" w:cs="Verdana"/>
          <w:lang w:val="es-ES"/>
        </w:rPr>
        <w:t>los principios de la función administrativa y de la gestión fiscal, entre otras reglas dispuestas</w:t>
      </w:r>
      <w:r w:rsidRPr="0094448B">
        <w:rPr>
          <w:rFonts w:ascii="Verdana" w:eastAsia="Verdana" w:hAnsi="Verdana" w:cs="Verdana"/>
          <w:spacing w:val="-20"/>
          <w:lang w:val="es-ES"/>
        </w:rPr>
        <w:t xml:space="preserve"> </w:t>
      </w:r>
      <w:r w:rsidRPr="0094448B">
        <w:rPr>
          <w:rFonts w:ascii="Verdana" w:eastAsia="Verdana" w:hAnsi="Verdana" w:cs="Verdana"/>
          <w:lang w:val="es-ES"/>
        </w:rPr>
        <w:t>en</w:t>
      </w:r>
      <w:r w:rsidRPr="0094448B">
        <w:rPr>
          <w:rFonts w:ascii="Verdana" w:eastAsia="Verdana" w:hAnsi="Verdana" w:cs="Verdana"/>
          <w:spacing w:val="-19"/>
          <w:lang w:val="es-ES"/>
        </w:rPr>
        <w:t xml:space="preserve"> </w:t>
      </w:r>
      <w:r w:rsidRPr="0094448B">
        <w:rPr>
          <w:rFonts w:ascii="Verdana" w:eastAsia="Verdana" w:hAnsi="Verdana" w:cs="Verdana"/>
          <w:lang w:val="es-ES"/>
        </w:rPr>
        <w:t>la</w:t>
      </w:r>
      <w:r w:rsidRPr="0094448B">
        <w:rPr>
          <w:rFonts w:ascii="Verdana" w:eastAsia="Verdana" w:hAnsi="Verdana" w:cs="Verdana"/>
          <w:spacing w:val="-19"/>
          <w:lang w:val="es-ES"/>
        </w:rPr>
        <w:t xml:space="preserve"> </w:t>
      </w:r>
      <w:r w:rsidRPr="0094448B">
        <w:rPr>
          <w:rFonts w:ascii="Verdana" w:eastAsia="Verdana" w:hAnsi="Verdana" w:cs="Verdana"/>
          <w:lang w:val="es-ES"/>
        </w:rPr>
        <w:t>normativa</w:t>
      </w:r>
      <w:r w:rsidRPr="0094448B">
        <w:rPr>
          <w:rFonts w:ascii="Verdana" w:eastAsia="Verdana" w:hAnsi="Verdana" w:cs="Verdana"/>
          <w:spacing w:val="-20"/>
          <w:lang w:val="es-ES"/>
        </w:rPr>
        <w:t xml:space="preserve"> </w:t>
      </w:r>
      <w:r w:rsidRPr="0094448B">
        <w:rPr>
          <w:rFonts w:ascii="Verdana" w:eastAsia="Verdana" w:hAnsi="Verdana" w:cs="Verdana"/>
          <w:lang w:val="es-ES"/>
        </w:rPr>
        <w:t>de</w:t>
      </w:r>
      <w:r w:rsidRPr="0094448B">
        <w:rPr>
          <w:rFonts w:ascii="Verdana" w:eastAsia="Verdana" w:hAnsi="Verdana" w:cs="Verdana"/>
          <w:spacing w:val="-19"/>
          <w:lang w:val="es-ES"/>
        </w:rPr>
        <w:t xml:space="preserve"> </w:t>
      </w:r>
      <w:r w:rsidRPr="0094448B">
        <w:rPr>
          <w:rFonts w:ascii="Verdana" w:eastAsia="Verdana" w:hAnsi="Verdana" w:cs="Verdana"/>
          <w:lang w:val="es-ES"/>
        </w:rPr>
        <w:t>contratación</w:t>
      </w:r>
      <w:r w:rsidRPr="0094448B">
        <w:rPr>
          <w:rFonts w:ascii="Verdana" w:eastAsia="Verdana" w:hAnsi="Verdana" w:cs="Verdana"/>
          <w:spacing w:val="-20"/>
          <w:lang w:val="es-ES"/>
        </w:rPr>
        <w:t xml:space="preserve"> </w:t>
      </w:r>
      <w:r w:rsidRPr="0094448B">
        <w:rPr>
          <w:rFonts w:ascii="Verdana" w:eastAsia="Verdana" w:hAnsi="Verdana" w:cs="Verdana"/>
          <w:lang w:val="es-ES"/>
        </w:rPr>
        <w:t>pública</w:t>
      </w:r>
      <w:r w:rsidRPr="0094448B">
        <w:rPr>
          <w:rFonts w:ascii="Verdana" w:eastAsia="Verdana" w:hAnsi="Verdana" w:cs="Verdana"/>
          <w:spacing w:val="-19"/>
          <w:lang w:val="es-ES"/>
        </w:rPr>
        <w:t xml:space="preserve"> </w:t>
      </w:r>
      <w:r w:rsidRPr="0094448B">
        <w:rPr>
          <w:rFonts w:ascii="Verdana" w:eastAsia="Verdana" w:hAnsi="Verdana" w:cs="Verdana"/>
          <w:lang w:val="es-ES"/>
        </w:rPr>
        <w:t>que</w:t>
      </w:r>
      <w:r w:rsidRPr="0094448B">
        <w:rPr>
          <w:rFonts w:ascii="Verdana" w:eastAsia="Verdana" w:hAnsi="Verdana" w:cs="Verdana"/>
          <w:spacing w:val="-19"/>
          <w:lang w:val="es-ES"/>
        </w:rPr>
        <w:t xml:space="preserve"> </w:t>
      </w:r>
      <w:r w:rsidRPr="0094448B">
        <w:rPr>
          <w:rFonts w:ascii="Verdana" w:eastAsia="Verdana" w:hAnsi="Verdana" w:cs="Verdana"/>
          <w:lang w:val="es-ES"/>
        </w:rPr>
        <w:t>son</w:t>
      </w:r>
      <w:r w:rsidRPr="0094448B">
        <w:rPr>
          <w:rFonts w:ascii="Verdana" w:eastAsia="Verdana" w:hAnsi="Verdana" w:cs="Verdana"/>
          <w:spacing w:val="-20"/>
          <w:lang w:val="es-ES"/>
        </w:rPr>
        <w:t xml:space="preserve"> </w:t>
      </w:r>
      <w:r w:rsidRPr="0094448B">
        <w:rPr>
          <w:rFonts w:ascii="Verdana" w:eastAsia="Verdana" w:hAnsi="Verdana" w:cs="Verdana"/>
          <w:lang w:val="es-ES"/>
        </w:rPr>
        <w:t>transversales</w:t>
      </w:r>
      <w:r w:rsidRPr="0094448B">
        <w:rPr>
          <w:rFonts w:ascii="Verdana" w:eastAsia="Verdana" w:hAnsi="Verdana" w:cs="Verdana"/>
          <w:spacing w:val="-19"/>
          <w:lang w:val="es-ES"/>
        </w:rPr>
        <w:t xml:space="preserve"> </w:t>
      </w:r>
      <w:r w:rsidRPr="0094448B">
        <w:rPr>
          <w:rFonts w:ascii="Verdana" w:eastAsia="Verdana" w:hAnsi="Verdana" w:cs="Verdana"/>
          <w:lang w:val="es-ES"/>
        </w:rPr>
        <w:t>a</w:t>
      </w:r>
      <w:r w:rsidRPr="0094448B">
        <w:rPr>
          <w:rFonts w:ascii="Verdana" w:eastAsia="Verdana" w:hAnsi="Verdana" w:cs="Verdana"/>
          <w:spacing w:val="-19"/>
          <w:lang w:val="es-ES"/>
        </w:rPr>
        <w:t xml:space="preserve"> </w:t>
      </w:r>
      <w:r w:rsidRPr="0094448B">
        <w:rPr>
          <w:rFonts w:ascii="Verdana" w:eastAsia="Verdana" w:hAnsi="Verdana" w:cs="Verdana"/>
          <w:lang w:val="es-ES"/>
        </w:rPr>
        <w:t>todas las entidades, sin importar su régimen contractual.</w:t>
      </w:r>
      <w:r w:rsidRPr="0094448B">
        <w:rPr>
          <w:rFonts w:ascii="Verdana" w:eastAsia="Calibri" w:hAnsi="Verdana" w:cs="Arial"/>
          <w:lang w:val="es-ES_tradnl"/>
        </w:rPr>
        <w:t xml:space="preserve"> Lo anterior es reafirmado por el Consejo de Estado, que destaca las reglas que sigue la contratación de las entidades de régimen especial:</w:t>
      </w:r>
    </w:p>
    <w:p w14:paraId="72E3B11E" w14:textId="77777777" w:rsidR="003D6F94" w:rsidRPr="002D7231" w:rsidRDefault="003D6F94" w:rsidP="003D6F94">
      <w:pPr>
        <w:spacing w:after="0" w:line="240" w:lineRule="auto"/>
        <w:jc w:val="both"/>
        <w:rPr>
          <w:rFonts w:ascii="Arial" w:eastAsia="Calibri" w:hAnsi="Arial" w:cs="Arial"/>
          <w:sz w:val="20"/>
          <w:szCs w:val="20"/>
          <w:lang w:val="es-ES_tradnl"/>
        </w:rPr>
      </w:pPr>
    </w:p>
    <w:p w14:paraId="240EC775" w14:textId="77777777" w:rsidR="003D6F94" w:rsidRPr="008F51F1" w:rsidRDefault="003D6F94" w:rsidP="003D6F94">
      <w:pPr>
        <w:spacing w:after="0" w:line="240" w:lineRule="auto"/>
        <w:ind w:left="709" w:right="709"/>
        <w:jc w:val="both"/>
        <w:rPr>
          <w:rFonts w:ascii="Verdana" w:eastAsia="Calibri" w:hAnsi="Verdana" w:cs="Arial"/>
          <w:sz w:val="20"/>
          <w:szCs w:val="20"/>
          <w:lang w:val="es-ES_tradnl"/>
        </w:rPr>
      </w:pPr>
      <w:r w:rsidRPr="008F51F1">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6069B35" w14:textId="77777777" w:rsidR="003D6F94" w:rsidRPr="008F51F1" w:rsidRDefault="003D6F94" w:rsidP="003D6F94">
      <w:pPr>
        <w:spacing w:after="0" w:line="240" w:lineRule="auto"/>
        <w:ind w:left="709" w:right="709"/>
        <w:jc w:val="both"/>
        <w:rPr>
          <w:rFonts w:ascii="Verdana" w:eastAsia="Calibri" w:hAnsi="Verdana" w:cs="Arial"/>
          <w:sz w:val="20"/>
          <w:szCs w:val="20"/>
          <w:lang w:val="es-ES_tradnl"/>
        </w:rPr>
      </w:pPr>
    </w:p>
    <w:p w14:paraId="267D39F0" w14:textId="77777777" w:rsidR="003D6F94" w:rsidRPr="008F51F1" w:rsidRDefault="003D6F94" w:rsidP="003D6F94">
      <w:pPr>
        <w:spacing w:after="0" w:line="240" w:lineRule="auto"/>
        <w:ind w:left="709" w:right="709"/>
        <w:jc w:val="both"/>
        <w:rPr>
          <w:rFonts w:ascii="Verdana" w:eastAsia="Calibri" w:hAnsi="Verdana" w:cs="Arial"/>
          <w:sz w:val="20"/>
          <w:szCs w:val="20"/>
          <w:lang w:val="es-ES"/>
        </w:rPr>
      </w:pPr>
      <w:r w:rsidRPr="008F51F1">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w:t>
      </w:r>
      <w:proofErr w:type="gramStart"/>
      <w:r w:rsidRPr="008F51F1">
        <w:rPr>
          <w:rFonts w:ascii="Verdana" w:eastAsia="Calibri" w:hAnsi="Verdana" w:cs="Arial"/>
          <w:sz w:val="20"/>
          <w:szCs w:val="20"/>
          <w:lang w:val="es-ES"/>
        </w:rPr>
        <w:t>interpretar</w:t>
      </w:r>
      <w:proofErr w:type="gramEnd"/>
      <w:r w:rsidRPr="008F51F1">
        <w:rPr>
          <w:rFonts w:ascii="Verdana" w:eastAsia="Calibri" w:hAnsi="Verdana" w:cs="Arial"/>
          <w:sz w:val="20"/>
          <w:szCs w:val="20"/>
          <w:lang w:val="es-ES"/>
        </w:rPr>
        <w:t xml:space="preserve"> pero también transforma parte de esas instituciones, porque se suma a ellas, lo que no siempre se logra conservando intacta la institución privada sino introduciéndole modificaciones. </w:t>
      </w:r>
    </w:p>
    <w:p w14:paraId="2D24856E" w14:textId="77777777" w:rsidR="003D6F94" w:rsidRPr="008F51F1" w:rsidRDefault="003D6F94" w:rsidP="003D6F94">
      <w:pPr>
        <w:spacing w:after="0" w:line="240" w:lineRule="auto"/>
        <w:ind w:left="709" w:right="709"/>
        <w:jc w:val="both"/>
        <w:rPr>
          <w:rFonts w:ascii="Verdana" w:eastAsia="Calibri" w:hAnsi="Verdana" w:cs="Arial"/>
          <w:sz w:val="20"/>
          <w:szCs w:val="20"/>
          <w:lang w:val="es-ES_tradnl"/>
        </w:rPr>
      </w:pPr>
    </w:p>
    <w:p w14:paraId="6D1F8D3F" w14:textId="77777777" w:rsidR="003D6F94" w:rsidRPr="008F51F1" w:rsidRDefault="003D6F94" w:rsidP="003D6F94">
      <w:pPr>
        <w:spacing w:after="0" w:line="240" w:lineRule="auto"/>
        <w:ind w:left="709" w:right="709"/>
        <w:jc w:val="both"/>
        <w:rPr>
          <w:rFonts w:ascii="Verdana" w:eastAsia="Calibri" w:hAnsi="Verdana" w:cs="Arial"/>
          <w:sz w:val="20"/>
          <w:szCs w:val="20"/>
          <w:lang w:val="es-ES_tradnl"/>
        </w:rPr>
      </w:pPr>
      <w:r w:rsidRPr="008F51F1">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8F51F1">
        <w:rPr>
          <w:rFonts w:ascii="Verdana" w:eastAsia="Calibri" w:hAnsi="Verdana" w:cs="Arial"/>
          <w:sz w:val="20"/>
          <w:szCs w:val="20"/>
          <w:vertAlign w:val="superscript"/>
          <w:lang w:val="es-ES_tradnl"/>
        </w:rPr>
        <w:footnoteReference w:id="14"/>
      </w:r>
      <w:r w:rsidRPr="008F51F1">
        <w:rPr>
          <w:rFonts w:ascii="Verdana" w:eastAsia="Calibri" w:hAnsi="Verdana" w:cs="Arial"/>
          <w:sz w:val="20"/>
          <w:szCs w:val="20"/>
          <w:lang w:val="es-ES_tradnl"/>
        </w:rPr>
        <w:t>.</w:t>
      </w:r>
    </w:p>
    <w:p w14:paraId="6E7AA43E" w14:textId="77777777" w:rsidR="003D6F94" w:rsidRPr="00D01D12" w:rsidRDefault="003D6F94" w:rsidP="003D6F94">
      <w:pPr>
        <w:spacing w:after="120" w:line="276" w:lineRule="auto"/>
        <w:ind w:firstLine="708"/>
        <w:jc w:val="both"/>
        <w:rPr>
          <w:rFonts w:ascii="Verdana" w:eastAsia="Verdana" w:hAnsi="Verdana" w:cs="Verdana"/>
          <w:lang w:val="es-ES"/>
        </w:rPr>
      </w:pPr>
    </w:p>
    <w:p w14:paraId="71FBD030" w14:textId="77777777" w:rsidR="003D6F94" w:rsidRPr="0094448B" w:rsidRDefault="003D6F94" w:rsidP="003D6F94">
      <w:pPr>
        <w:spacing w:after="120" w:line="276" w:lineRule="auto"/>
        <w:ind w:firstLine="708"/>
        <w:jc w:val="both"/>
        <w:rPr>
          <w:rFonts w:ascii="Verdana" w:eastAsia="Calibri" w:hAnsi="Verdana" w:cs="Times New Roman"/>
          <w:lang w:val="es-ES"/>
        </w:rPr>
      </w:pPr>
      <w:r w:rsidRPr="0094448B">
        <w:rPr>
          <w:rFonts w:ascii="Verdana" w:eastAsia="Verdana" w:hAnsi="Verdana" w:cs="Verdana"/>
          <w:lang w:val="es-ES"/>
        </w:rPr>
        <w:lastRenderedPageBreak/>
        <w:t xml:space="preserve">Ahora bien, </w:t>
      </w:r>
      <w:r>
        <w:rPr>
          <w:rFonts w:ascii="Verdana" w:eastAsia="Verdana" w:hAnsi="Verdana" w:cs="Verdana"/>
          <w:lang w:val="es-ES"/>
        </w:rPr>
        <w:t xml:space="preserve">las empresas </w:t>
      </w:r>
      <w:r w:rsidRPr="00D01D12">
        <w:rPr>
          <w:rFonts w:ascii="Verdana" w:eastAsia="Verdana" w:hAnsi="Verdana" w:cs="Verdana"/>
          <w:lang w:val="es-ES"/>
        </w:rPr>
        <w:t>de servicios públicos domiciliarios</w:t>
      </w:r>
      <w:r>
        <w:rPr>
          <w:rFonts w:ascii="Verdana" w:eastAsia="Verdana" w:hAnsi="Verdana" w:cs="Verdana"/>
          <w:lang w:val="es-ES"/>
        </w:rPr>
        <w:t xml:space="preserve"> del Estado </w:t>
      </w:r>
      <w:r w:rsidRPr="0094448B">
        <w:rPr>
          <w:rFonts w:ascii="Verdana" w:eastAsia="Verdana" w:hAnsi="Verdana" w:cs="Verdana"/>
          <w:lang w:val="es-ES"/>
        </w:rPr>
        <w:t>que cuenten con un régimen especial de contratación deben adelantar su contratación, mediante los procedimiento</w:t>
      </w:r>
      <w:r>
        <w:rPr>
          <w:rFonts w:ascii="Verdana" w:eastAsia="Verdana" w:hAnsi="Verdana" w:cs="Verdana"/>
          <w:lang w:val="es-ES"/>
        </w:rPr>
        <w:t>s</w:t>
      </w:r>
      <w:r w:rsidRPr="0094448B">
        <w:rPr>
          <w:rFonts w:ascii="Verdana" w:eastAsia="Verdana" w:hAnsi="Verdana" w:cs="Verdana"/>
          <w:lang w:val="es-ES"/>
        </w:rPr>
        <w:t xml:space="preserve"> y reglas propias del manual de contratación institucional y\o cumplir la normativa de carácter especial, si procede. Haciendo claridad que el manual, así como los pliegos de condiciones deben contener los principios de la función administrativa y de la gestión fiscal, determinándose la manera concreta como dichos principios moldearán el derecho privado en el ejercicio de la actividad contractual. </w:t>
      </w:r>
    </w:p>
    <w:p w14:paraId="646EB068" w14:textId="77777777" w:rsidR="003D6F94" w:rsidRDefault="003D6F94" w:rsidP="003D6F94">
      <w:pPr>
        <w:spacing w:after="120" w:line="276" w:lineRule="auto"/>
        <w:ind w:firstLine="709"/>
        <w:jc w:val="both"/>
        <w:rPr>
          <w:rFonts w:ascii="Verdana" w:eastAsia="Calibri" w:hAnsi="Verdana" w:cs="Times New Roman"/>
          <w:lang w:val="es-ES"/>
        </w:rPr>
      </w:pPr>
      <w:r w:rsidRPr="0094448B">
        <w:rPr>
          <w:rFonts w:ascii="Verdana" w:eastAsia="Verdana" w:hAnsi="Verdana" w:cs="Verdana"/>
          <w:spacing w:val="-2"/>
          <w:lang w:val="es-ES"/>
        </w:rPr>
        <w:t>Sobre</w:t>
      </w:r>
      <w:r w:rsidRPr="0094448B">
        <w:rPr>
          <w:rFonts w:ascii="Verdana" w:eastAsia="Verdana" w:hAnsi="Verdana" w:cs="Verdana"/>
          <w:spacing w:val="-10"/>
          <w:lang w:val="es-ES"/>
        </w:rPr>
        <w:t xml:space="preserve"> </w:t>
      </w:r>
      <w:r w:rsidRPr="0094448B">
        <w:rPr>
          <w:rFonts w:ascii="Verdana" w:eastAsia="Verdana" w:hAnsi="Verdana" w:cs="Verdana"/>
          <w:spacing w:val="-2"/>
          <w:lang w:val="es-ES"/>
        </w:rPr>
        <w:t>este</w:t>
      </w:r>
      <w:r w:rsidRPr="0094448B">
        <w:rPr>
          <w:rFonts w:ascii="Verdana" w:eastAsia="Verdana" w:hAnsi="Verdana" w:cs="Verdana"/>
          <w:spacing w:val="-11"/>
          <w:lang w:val="es-ES"/>
        </w:rPr>
        <w:t xml:space="preserve"> </w:t>
      </w:r>
      <w:r w:rsidRPr="0094448B">
        <w:rPr>
          <w:rFonts w:ascii="Verdana" w:eastAsia="Verdana" w:hAnsi="Verdana" w:cs="Verdana"/>
          <w:spacing w:val="-2"/>
          <w:lang w:val="es-ES"/>
        </w:rPr>
        <w:t>punto</w:t>
      </w:r>
      <w:r w:rsidRPr="0094448B">
        <w:rPr>
          <w:rFonts w:ascii="Verdana" w:eastAsia="Verdana" w:hAnsi="Verdana" w:cs="Verdana"/>
          <w:spacing w:val="-11"/>
          <w:lang w:val="es-ES"/>
        </w:rPr>
        <w:t xml:space="preserve"> </w:t>
      </w:r>
      <w:r w:rsidRPr="0094448B">
        <w:rPr>
          <w:rFonts w:ascii="Verdana" w:eastAsia="Verdana" w:hAnsi="Verdana" w:cs="Verdana"/>
          <w:spacing w:val="-2"/>
          <w:lang w:val="es-ES"/>
        </w:rPr>
        <w:t>particular</w:t>
      </w:r>
      <w:r w:rsidRPr="0094448B">
        <w:rPr>
          <w:rFonts w:ascii="Verdana" w:eastAsia="Verdana" w:hAnsi="Verdana" w:cs="Verdana"/>
          <w:spacing w:val="-8"/>
          <w:lang w:val="es-ES"/>
        </w:rPr>
        <w:t xml:space="preserve"> </w:t>
      </w:r>
      <w:r w:rsidRPr="0094448B">
        <w:rPr>
          <w:rFonts w:ascii="Verdana" w:eastAsia="Verdana" w:hAnsi="Verdana" w:cs="Verdana"/>
          <w:spacing w:val="-2"/>
          <w:lang w:val="es-ES"/>
        </w:rPr>
        <w:t>es</w:t>
      </w:r>
      <w:r w:rsidRPr="0094448B">
        <w:rPr>
          <w:rFonts w:ascii="Verdana" w:eastAsia="Verdana" w:hAnsi="Verdana" w:cs="Verdana"/>
          <w:spacing w:val="-11"/>
          <w:lang w:val="es-ES"/>
        </w:rPr>
        <w:t xml:space="preserve"> </w:t>
      </w:r>
      <w:r w:rsidRPr="0094448B">
        <w:rPr>
          <w:rFonts w:ascii="Verdana" w:eastAsia="Verdana" w:hAnsi="Verdana" w:cs="Verdana"/>
          <w:spacing w:val="-2"/>
          <w:lang w:val="es-ES"/>
        </w:rPr>
        <w:t>preciso</w:t>
      </w:r>
      <w:r w:rsidRPr="0094448B">
        <w:rPr>
          <w:rFonts w:ascii="Verdana" w:eastAsia="Verdana" w:hAnsi="Verdana" w:cs="Verdana"/>
          <w:spacing w:val="-8"/>
          <w:lang w:val="es-ES"/>
        </w:rPr>
        <w:t xml:space="preserve"> </w:t>
      </w:r>
      <w:r w:rsidRPr="0094448B">
        <w:rPr>
          <w:rFonts w:ascii="Verdana" w:eastAsia="Verdana" w:hAnsi="Verdana" w:cs="Verdana"/>
          <w:spacing w:val="-2"/>
          <w:lang w:val="es-ES"/>
        </w:rPr>
        <w:t>destacar</w:t>
      </w:r>
      <w:r w:rsidRPr="0094448B">
        <w:rPr>
          <w:rFonts w:ascii="Verdana" w:eastAsia="Verdana" w:hAnsi="Verdana" w:cs="Verdana"/>
          <w:spacing w:val="-10"/>
          <w:lang w:val="es-ES"/>
        </w:rPr>
        <w:t xml:space="preserve"> </w:t>
      </w:r>
      <w:r w:rsidRPr="0094448B">
        <w:rPr>
          <w:rFonts w:ascii="Verdana" w:eastAsia="Verdana" w:hAnsi="Verdana" w:cs="Verdana"/>
          <w:spacing w:val="-2"/>
          <w:lang w:val="es-ES"/>
        </w:rPr>
        <w:t>que</w:t>
      </w:r>
      <w:r w:rsidRPr="0094448B">
        <w:rPr>
          <w:rFonts w:ascii="Verdana" w:eastAsia="Verdana" w:hAnsi="Verdana" w:cs="Verdana"/>
          <w:spacing w:val="-11"/>
          <w:lang w:val="es-ES"/>
        </w:rPr>
        <w:t xml:space="preserve"> </w:t>
      </w:r>
      <w:r w:rsidRPr="0094448B">
        <w:rPr>
          <w:rFonts w:ascii="Verdana" w:eastAsia="Verdana" w:hAnsi="Verdana" w:cs="Verdana"/>
          <w:spacing w:val="-2"/>
          <w:lang w:val="es-ES"/>
        </w:rPr>
        <w:t>las</w:t>
      </w:r>
      <w:r w:rsidRPr="0094448B">
        <w:rPr>
          <w:rFonts w:ascii="Verdana" w:eastAsia="Verdana" w:hAnsi="Verdana" w:cs="Verdana"/>
          <w:spacing w:val="-11"/>
          <w:lang w:val="es-ES"/>
        </w:rPr>
        <w:t xml:space="preserve"> </w:t>
      </w:r>
      <w:r w:rsidRPr="0094448B">
        <w:rPr>
          <w:rFonts w:ascii="Verdana" w:eastAsia="Verdana" w:hAnsi="Verdana" w:cs="Verdana"/>
          <w:spacing w:val="-2"/>
          <w:lang w:val="es-ES"/>
        </w:rPr>
        <w:t>entidades</w:t>
      </w:r>
      <w:r w:rsidRPr="0094448B">
        <w:rPr>
          <w:rFonts w:ascii="Verdana" w:eastAsia="Verdana" w:hAnsi="Verdana" w:cs="Verdana"/>
          <w:spacing w:val="-10"/>
          <w:lang w:val="es-ES"/>
        </w:rPr>
        <w:t xml:space="preserve"> </w:t>
      </w:r>
      <w:r w:rsidRPr="0094448B">
        <w:rPr>
          <w:rFonts w:ascii="Verdana" w:eastAsia="Verdana" w:hAnsi="Verdana" w:cs="Verdana"/>
          <w:spacing w:val="-2"/>
          <w:lang w:val="es-ES"/>
        </w:rPr>
        <w:t xml:space="preserve">estatales </w:t>
      </w:r>
      <w:r w:rsidRPr="0094448B">
        <w:rPr>
          <w:rFonts w:ascii="Verdana" w:eastAsia="Verdana" w:hAnsi="Verdana" w:cs="Verdana"/>
          <w:lang w:val="es-ES"/>
        </w:rPr>
        <w:t>sometidas</w:t>
      </w:r>
      <w:r w:rsidRPr="0094448B">
        <w:rPr>
          <w:rFonts w:ascii="Verdana" w:eastAsia="Verdana" w:hAnsi="Verdana" w:cs="Verdana"/>
          <w:spacing w:val="-15"/>
          <w:lang w:val="es-ES"/>
        </w:rPr>
        <w:t xml:space="preserve"> </w:t>
      </w:r>
      <w:r w:rsidRPr="0094448B">
        <w:rPr>
          <w:rFonts w:ascii="Verdana" w:eastAsia="Verdana" w:hAnsi="Verdana" w:cs="Verdana"/>
          <w:lang w:val="es-ES"/>
        </w:rPr>
        <w:t>a</w:t>
      </w:r>
      <w:r w:rsidRPr="0094448B">
        <w:rPr>
          <w:rFonts w:ascii="Verdana" w:eastAsia="Verdana" w:hAnsi="Verdana" w:cs="Verdana"/>
          <w:spacing w:val="-17"/>
          <w:lang w:val="es-ES"/>
        </w:rPr>
        <w:t xml:space="preserve"> </w:t>
      </w:r>
      <w:r w:rsidRPr="0094448B">
        <w:rPr>
          <w:rFonts w:ascii="Verdana" w:eastAsia="Verdana" w:hAnsi="Verdana" w:cs="Verdana"/>
          <w:lang w:val="es-ES"/>
        </w:rPr>
        <w:t>regímenes</w:t>
      </w:r>
      <w:r w:rsidRPr="0094448B">
        <w:rPr>
          <w:rFonts w:ascii="Verdana" w:eastAsia="Verdana" w:hAnsi="Verdana" w:cs="Verdana"/>
          <w:spacing w:val="-15"/>
          <w:lang w:val="es-ES"/>
        </w:rPr>
        <w:t xml:space="preserve"> </w:t>
      </w:r>
      <w:r w:rsidRPr="0094448B">
        <w:rPr>
          <w:rFonts w:ascii="Verdana" w:eastAsia="Verdana" w:hAnsi="Verdana" w:cs="Verdana"/>
          <w:lang w:val="es-ES"/>
        </w:rPr>
        <w:t>especiales</w:t>
      </w:r>
      <w:r w:rsidRPr="0094448B">
        <w:rPr>
          <w:rFonts w:ascii="Verdana" w:eastAsia="Verdana" w:hAnsi="Verdana" w:cs="Verdana"/>
          <w:spacing w:val="-14"/>
          <w:lang w:val="es-ES"/>
        </w:rPr>
        <w:t xml:space="preserve"> </w:t>
      </w:r>
      <w:r w:rsidRPr="0094448B">
        <w:rPr>
          <w:rFonts w:ascii="Verdana" w:eastAsia="Verdana" w:hAnsi="Verdana" w:cs="Verdana"/>
          <w:lang w:val="es-ES"/>
        </w:rPr>
        <w:t>de</w:t>
      </w:r>
      <w:r w:rsidRPr="0094448B">
        <w:rPr>
          <w:rFonts w:ascii="Verdana" w:eastAsia="Verdana" w:hAnsi="Verdana" w:cs="Verdana"/>
          <w:spacing w:val="-17"/>
          <w:lang w:val="es-ES"/>
        </w:rPr>
        <w:t xml:space="preserve"> </w:t>
      </w:r>
      <w:r w:rsidRPr="0094448B">
        <w:rPr>
          <w:rFonts w:ascii="Verdana" w:eastAsia="Verdana" w:hAnsi="Verdana" w:cs="Verdana"/>
          <w:lang w:val="es-ES"/>
        </w:rPr>
        <w:t>derecho</w:t>
      </w:r>
      <w:r w:rsidRPr="0094448B">
        <w:rPr>
          <w:rFonts w:ascii="Verdana" w:eastAsia="Verdana" w:hAnsi="Verdana" w:cs="Verdana"/>
          <w:spacing w:val="-14"/>
          <w:lang w:val="es-ES"/>
        </w:rPr>
        <w:t xml:space="preserve"> </w:t>
      </w:r>
      <w:r w:rsidRPr="0094448B">
        <w:rPr>
          <w:rFonts w:ascii="Verdana" w:eastAsia="Verdana" w:hAnsi="Verdana" w:cs="Verdana"/>
          <w:lang w:val="es-ES"/>
        </w:rPr>
        <w:t>privado</w:t>
      </w:r>
      <w:r w:rsidRPr="0094448B">
        <w:rPr>
          <w:rFonts w:ascii="Verdana" w:eastAsia="Verdana" w:hAnsi="Verdana" w:cs="Verdana"/>
          <w:spacing w:val="-15"/>
          <w:lang w:val="es-ES"/>
        </w:rPr>
        <w:t xml:space="preserve"> </w:t>
      </w:r>
      <w:r w:rsidRPr="0094448B">
        <w:rPr>
          <w:rFonts w:ascii="Verdana" w:eastAsia="Verdana" w:hAnsi="Verdana" w:cs="Verdana"/>
          <w:lang w:val="es-ES"/>
        </w:rPr>
        <w:t>tienen</w:t>
      </w:r>
      <w:r w:rsidRPr="0094448B">
        <w:rPr>
          <w:rFonts w:ascii="Verdana" w:eastAsia="Verdana" w:hAnsi="Verdana" w:cs="Verdana"/>
          <w:spacing w:val="-16"/>
          <w:lang w:val="es-ES"/>
        </w:rPr>
        <w:t xml:space="preserve"> </w:t>
      </w:r>
      <w:r w:rsidRPr="0094448B">
        <w:rPr>
          <w:rFonts w:ascii="Verdana" w:eastAsia="Verdana" w:hAnsi="Verdana" w:cs="Verdana"/>
          <w:lang w:val="es-ES"/>
        </w:rPr>
        <w:t>una</w:t>
      </w:r>
      <w:r w:rsidRPr="0094448B">
        <w:rPr>
          <w:rFonts w:ascii="Verdana" w:eastAsia="Verdana" w:hAnsi="Verdana" w:cs="Verdana"/>
          <w:spacing w:val="-17"/>
          <w:lang w:val="es-ES"/>
        </w:rPr>
        <w:t xml:space="preserve"> </w:t>
      </w:r>
      <w:r w:rsidRPr="0094448B">
        <w:rPr>
          <w:rFonts w:ascii="Verdana" w:eastAsia="Verdana" w:hAnsi="Verdana" w:cs="Verdana"/>
          <w:lang w:val="es-ES"/>
        </w:rPr>
        <w:t>amplia</w:t>
      </w:r>
      <w:r w:rsidRPr="0094448B">
        <w:rPr>
          <w:rFonts w:ascii="Verdana" w:eastAsia="Verdana" w:hAnsi="Verdana" w:cs="Verdana"/>
          <w:spacing w:val="-16"/>
          <w:lang w:val="es-ES"/>
        </w:rPr>
        <w:t xml:space="preserve"> </w:t>
      </w:r>
      <w:r w:rsidRPr="0094448B">
        <w:rPr>
          <w:rFonts w:ascii="Verdana" w:eastAsia="Verdana" w:hAnsi="Verdana" w:cs="Verdana"/>
          <w:lang w:val="es-ES"/>
        </w:rPr>
        <w:t>libertad</w:t>
      </w:r>
      <w:r w:rsidRPr="0094448B">
        <w:rPr>
          <w:rFonts w:ascii="Verdana" w:eastAsia="Calibri" w:hAnsi="Verdana" w:cs="Times New Roman"/>
          <w:lang w:val="es-ES"/>
        </w:rPr>
        <w:t xml:space="preserve"> d</w:t>
      </w:r>
      <w:r w:rsidRPr="0094448B">
        <w:rPr>
          <w:rFonts w:ascii="Verdana" w:eastAsia="Verdana" w:hAnsi="Verdana" w:cs="Verdana"/>
          <w:lang w:val="es-ES"/>
        </w:rPr>
        <w:t>e configuración del contenido del manual de contratación. Esta libertad se deriva del principio de autonomía de la voluntad reconocida a estas entidades, que les permite establecer la manera en que adelantarán sus procesos de contratación. Ahora bien, dicha libertad es similar a la reconocida a los particulares por el</w:t>
      </w:r>
      <w:r w:rsidRPr="0094448B">
        <w:rPr>
          <w:rFonts w:ascii="Verdana" w:eastAsia="Verdana" w:hAnsi="Verdana" w:cs="Verdana"/>
          <w:spacing w:val="-1"/>
          <w:lang w:val="es-ES"/>
        </w:rPr>
        <w:t xml:space="preserve"> </w:t>
      </w:r>
      <w:r w:rsidRPr="0094448B">
        <w:rPr>
          <w:rFonts w:ascii="Verdana" w:eastAsia="Verdana" w:hAnsi="Verdana" w:cs="Verdana"/>
          <w:lang w:val="es-ES"/>
        </w:rPr>
        <w:t>derecho privado, pero no</w:t>
      </w:r>
      <w:r w:rsidRPr="0094448B">
        <w:rPr>
          <w:rFonts w:ascii="Verdana" w:eastAsia="Verdana" w:hAnsi="Verdana" w:cs="Verdana"/>
          <w:spacing w:val="-1"/>
          <w:lang w:val="es-ES"/>
        </w:rPr>
        <w:t xml:space="preserve"> </w:t>
      </w:r>
      <w:r w:rsidRPr="0094448B">
        <w:rPr>
          <w:rFonts w:ascii="Verdana" w:eastAsia="Verdana" w:hAnsi="Verdana" w:cs="Verdana"/>
          <w:lang w:val="es-ES"/>
        </w:rPr>
        <w:t>es</w:t>
      </w:r>
      <w:r w:rsidRPr="0094448B">
        <w:rPr>
          <w:rFonts w:ascii="Verdana" w:eastAsia="Verdana" w:hAnsi="Verdana" w:cs="Verdana"/>
          <w:spacing w:val="-1"/>
          <w:lang w:val="es-ES"/>
        </w:rPr>
        <w:t xml:space="preserve"> </w:t>
      </w:r>
      <w:r w:rsidRPr="0094448B">
        <w:rPr>
          <w:rFonts w:ascii="Verdana" w:eastAsia="Verdana" w:hAnsi="Verdana" w:cs="Verdana"/>
          <w:lang w:val="es-ES"/>
        </w:rPr>
        <w:t>idéntica a</w:t>
      </w:r>
      <w:r w:rsidRPr="0094448B">
        <w:rPr>
          <w:rFonts w:ascii="Verdana" w:eastAsia="Verdana" w:hAnsi="Verdana" w:cs="Verdana"/>
          <w:spacing w:val="-1"/>
          <w:lang w:val="es-ES"/>
        </w:rPr>
        <w:t xml:space="preserve"> </w:t>
      </w:r>
      <w:r w:rsidRPr="0094448B">
        <w:rPr>
          <w:rFonts w:ascii="Verdana" w:eastAsia="Verdana" w:hAnsi="Verdana" w:cs="Verdana"/>
          <w:lang w:val="es-ES"/>
        </w:rPr>
        <w:t>aquella, en</w:t>
      </w:r>
      <w:r w:rsidRPr="0094448B">
        <w:rPr>
          <w:rFonts w:ascii="Verdana" w:eastAsia="Verdana" w:hAnsi="Verdana" w:cs="Verdana"/>
          <w:spacing w:val="-1"/>
          <w:lang w:val="es-ES"/>
        </w:rPr>
        <w:t xml:space="preserve"> </w:t>
      </w:r>
      <w:r w:rsidRPr="0094448B">
        <w:rPr>
          <w:rFonts w:ascii="Verdana" w:eastAsia="Verdana" w:hAnsi="Verdana" w:cs="Verdana"/>
          <w:lang w:val="es-ES"/>
        </w:rPr>
        <w:t>la</w:t>
      </w:r>
      <w:r w:rsidRPr="0094448B">
        <w:rPr>
          <w:rFonts w:ascii="Verdana" w:eastAsia="Verdana" w:hAnsi="Verdana" w:cs="Verdana"/>
          <w:spacing w:val="-1"/>
          <w:lang w:val="es-ES"/>
        </w:rPr>
        <w:t xml:space="preserve"> </w:t>
      </w:r>
      <w:r w:rsidRPr="0094448B">
        <w:rPr>
          <w:rFonts w:ascii="Verdana" w:eastAsia="Verdana" w:hAnsi="Verdana" w:cs="Verdana"/>
          <w:lang w:val="es-ES"/>
        </w:rPr>
        <w:t>medida en que encuentra importantes limitantes.</w:t>
      </w:r>
      <w:r w:rsidRPr="0094448B">
        <w:rPr>
          <w:rFonts w:ascii="Verdana" w:eastAsia="Calibri" w:hAnsi="Verdana" w:cs="Times New Roman"/>
          <w:lang w:val="es-ES"/>
        </w:rPr>
        <w:t xml:space="preserve"> </w:t>
      </w:r>
      <w:r>
        <w:rPr>
          <w:rFonts w:ascii="Verdana" w:eastAsia="Calibri" w:hAnsi="Verdana" w:cs="Times New Roman"/>
          <w:lang w:val="es-ES"/>
        </w:rPr>
        <w:t xml:space="preserve">En efecto, las </w:t>
      </w:r>
      <w:r w:rsidRPr="00B10A8C">
        <w:rPr>
          <w:rFonts w:ascii="Verdana" w:eastAsia="Calibri" w:hAnsi="Verdana" w:cs="Times New Roman"/>
          <w:lang w:val="es-ES"/>
        </w:rPr>
        <w:t>entidades de régimen especial, como las empresas de servicios públicos mixtas con participación mayoritaria estatal, deben adelantar su gestión contractual conforme a sus propios procedimientos, regidos por el derecho privado y definidos en sus normas de creación y manuales de contratación. Solo de manera excepcional aplican el Estatuto General de Contratación de la Administración Pública, dado que su régimen jurídico es distinto al previsto en las Leyes 80 de 1993 y 1150 de 2007.</w:t>
      </w:r>
    </w:p>
    <w:p w14:paraId="05726013" w14:textId="77777777" w:rsidR="003D6F94" w:rsidRPr="00903928" w:rsidRDefault="003D6F94" w:rsidP="003D6F94">
      <w:pPr>
        <w:spacing w:after="120" w:line="276" w:lineRule="auto"/>
        <w:ind w:firstLine="709"/>
        <w:jc w:val="both"/>
        <w:rPr>
          <w:rFonts w:ascii="Verdana" w:eastAsia="Verdana" w:hAnsi="Verdana" w:cs="Verdana"/>
        </w:rPr>
      </w:pPr>
      <w:r w:rsidRPr="00097F93">
        <w:rPr>
          <w:rFonts w:ascii="Verdana" w:eastAsia="Verdana" w:hAnsi="Verdana" w:cs="Verdana"/>
        </w:rPr>
        <w:t xml:space="preserve">A pesar que las </w:t>
      </w:r>
      <w:r w:rsidRPr="006E0A02">
        <w:rPr>
          <w:rFonts w:ascii="Verdana" w:eastAsia="Verdana" w:hAnsi="Verdana" w:cs="Verdana"/>
        </w:rPr>
        <w:t>Entidades Estatales con régimen</w:t>
      </w:r>
      <w:r w:rsidRPr="00097F93">
        <w:rPr>
          <w:rFonts w:ascii="Verdana" w:eastAsia="Verdana" w:hAnsi="Verdana" w:cs="Verdana"/>
        </w:rPr>
        <w:t xml:space="preserve"> </w:t>
      </w:r>
      <w:r w:rsidRPr="006E0A02">
        <w:rPr>
          <w:rFonts w:ascii="Verdana" w:eastAsia="Verdana" w:hAnsi="Verdana" w:cs="Verdana"/>
        </w:rPr>
        <w:t>especial de contratación desarrollan su gestión</w:t>
      </w:r>
      <w:r w:rsidRPr="00097F93">
        <w:rPr>
          <w:rFonts w:ascii="Verdana" w:eastAsia="Verdana" w:hAnsi="Verdana" w:cs="Verdana"/>
        </w:rPr>
        <w:t xml:space="preserve"> contractual, de conformidad con sus normas de creación, manuales de contratación y al régimen privado, la Agencia Nacional en la Guía ya precitada previamente sobre entidades de régimen especial expresa que tendrán la obligación de cumplir las disposiciones </w:t>
      </w:r>
      <w:r w:rsidRPr="006E0A02">
        <w:rPr>
          <w:rFonts w:ascii="Verdana" w:eastAsia="Verdana" w:hAnsi="Verdana" w:cs="Verdana"/>
        </w:rPr>
        <w:t>generales del Sistema</w:t>
      </w:r>
      <w:r w:rsidRPr="00097F93">
        <w:rPr>
          <w:rFonts w:ascii="Verdana" w:eastAsia="Verdana" w:hAnsi="Verdana" w:cs="Verdana"/>
        </w:rPr>
        <w:t xml:space="preserve"> </w:t>
      </w:r>
      <w:r w:rsidRPr="006E0A02">
        <w:rPr>
          <w:rFonts w:ascii="Verdana" w:eastAsia="Verdana" w:hAnsi="Verdana" w:cs="Verdana"/>
        </w:rPr>
        <w:t>de Compra y Contratación Pública que de manera</w:t>
      </w:r>
      <w:r w:rsidRPr="00097F93">
        <w:rPr>
          <w:rFonts w:ascii="Verdana" w:eastAsia="Verdana" w:hAnsi="Verdana" w:cs="Verdana"/>
        </w:rPr>
        <w:t xml:space="preserve"> </w:t>
      </w:r>
      <w:r w:rsidRPr="006E0A02">
        <w:rPr>
          <w:rFonts w:ascii="Verdana" w:eastAsia="Verdana" w:hAnsi="Verdana" w:cs="Verdana"/>
        </w:rPr>
        <w:t>transversal les resulten aplicables, como lo son:</w:t>
      </w:r>
      <w:r w:rsidRPr="00097F93">
        <w:rPr>
          <w:rFonts w:ascii="Verdana" w:eastAsia="Verdana" w:hAnsi="Verdana" w:cs="Verdana"/>
        </w:rPr>
        <w:t xml:space="preserve"> i) los principios de la función administrativa; </w:t>
      </w:r>
      <w:proofErr w:type="spellStart"/>
      <w:r w:rsidRPr="00097F93">
        <w:rPr>
          <w:rFonts w:ascii="Verdana" w:eastAsia="Verdana" w:hAnsi="Verdana" w:cs="Verdana"/>
        </w:rPr>
        <w:t>ii</w:t>
      </w:r>
      <w:proofErr w:type="spellEnd"/>
      <w:r w:rsidRPr="00097F93">
        <w:rPr>
          <w:rFonts w:ascii="Verdana" w:eastAsia="Verdana" w:hAnsi="Verdana" w:cs="Verdana"/>
        </w:rPr>
        <w:t xml:space="preserve">) los principios de la gestión fiscal; y </w:t>
      </w:r>
      <w:proofErr w:type="spellStart"/>
      <w:r w:rsidRPr="00097F93">
        <w:rPr>
          <w:rFonts w:ascii="Verdana" w:eastAsia="Verdana" w:hAnsi="Verdana" w:cs="Verdana"/>
        </w:rPr>
        <w:t>iii</w:t>
      </w:r>
      <w:proofErr w:type="spellEnd"/>
      <w:r w:rsidRPr="00097F93">
        <w:rPr>
          <w:rFonts w:ascii="Verdana" w:eastAsia="Verdana" w:hAnsi="Verdana" w:cs="Verdana"/>
        </w:rPr>
        <w:t xml:space="preserve">) el régimen de inhabilidades e incompatibilidades; </w:t>
      </w:r>
      <w:proofErr w:type="spellStart"/>
      <w:r w:rsidRPr="00097F93">
        <w:rPr>
          <w:rFonts w:ascii="Verdana" w:eastAsia="Verdana" w:hAnsi="Verdana" w:cs="Verdana"/>
        </w:rPr>
        <w:t>iv</w:t>
      </w:r>
      <w:proofErr w:type="spellEnd"/>
      <w:r w:rsidRPr="00097F93">
        <w:rPr>
          <w:rFonts w:ascii="Verdana" w:eastAsia="Verdana" w:hAnsi="Verdana" w:cs="Verdana"/>
        </w:rPr>
        <w:t xml:space="preserve">) el uso obligatorio de SECOP II o la plataforma que haga sus veces; </w:t>
      </w:r>
      <w:r w:rsidRPr="006E0A02">
        <w:rPr>
          <w:rFonts w:ascii="Verdana" w:eastAsia="Verdana" w:hAnsi="Verdana" w:cs="Verdana"/>
        </w:rPr>
        <w:t>v</w:t>
      </w:r>
      <w:r w:rsidRPr="00097F93">
        <w:rPr>
          <w:rFonts w:ascii="Verdana" w:eastAsia="Verdana" w:hAnsi="Verdana" w:cs="Verdana"/>
        </w:rPr>
        <w:t>)</w:t>
      </w:r>
      <w:r w:rsidRPr="006E0A02">
        <w:rPr>
          <w:rFonts w:ascii="Verdana" w:eastAsia="Verdana" w:hAnsi="Verdana" w:cs="Verdana"/>
        </w:rPr>
        <w:t xml:space="preserve"> la promoción y acceso de las </w:t>
      </w:r>
      <w:proofErr w:type="spellStart"/>
      <w:r w:rsidRPr="006E0A02">
        <w:rPr>
          <w:rFonts w:ascii="Verdana" w:eastAsia="Verdana" w:hAnsi="Verdana" w:cs="Verdana"/>
        </w:rPr>
        <w:t>Mipymes</w:t>
      </w:r>
      <w:proofErr w:type="spellEnd"/>
      <w:r w:rsidRPr="00097F93">
        <w:rPr>
          <w:rFonts w:ascii="Verdana" w:eastAsia="Verdana" w:hAnsi="Verdana" w:cs="Verdana"/>
        </w:rPr>
        <w:t xml:space="preserve"> </w:t>
      </w:r>
      <w:r w:rsidRPr="006E0A02">
        <w:rPr>
          <w:rFonts w:ascii="Verdana" w:eastAsia="Verdana" w:hAnsi="Verdana" w:cs="Verdana"/>
        </w:rPr>
        <w:t xml:space="preserve">a las compras públicas, </w:t>
      </w:r>
      <w:r w:rsidRPr="006E0A02">
        <w:rPr>
          <w:rFonts w:ascii="Verdana" w:eastAsia="Verdana" w:hAnsi="Verdana" w:cs="Verdana"/>
        </w:rPr>
        <w:lastRenderedPageBreak/>
        <w:t>entre otras</w:t>
      </w:r>
      <w:r w:rsidRPr="00097F93">
        <w:rPr>
          <w:rFonts w:ascii="Verdana" w:eastAsia="Verdana" w:hAnsi="Verdana" w:cs="Verdana"/>
        </w:rPr>
        <w:t xml:space="preserve"> </w:t>
      </w:r>
      <w:r w:rsidRPr="006E0A02">
        <w:rPr>
          <w:rFonts w:ascii="Verdana" w:eastAsia="Verdana" w:hAnsi="Verdana" w:cs="Verdana"/>
        </w:rPr>
        <w:t>disposiciones normativas indistintamente</w:t>
      </w:r>
      <w:r>
        <w:rPr>
          <w:rStyle w:val="Refdenotaalpie"/>
          <w:rFonts w:ascii="Verdana" w:eastAsia="Verdana" w:hAnsi="Verdana" w:cs="Verdana"/>
        </w:rPr>
        <w:footnoteReference w:id="15"/>
      </w:r>
      <w:r w:rsidRPr="00097F93">
        <w:rPr>
          <w:rFonts w:ascii="Verdana" w:eastAsia="Verdana" w:hAnsi="Verdana" w:cs="Verdana"/>
        </w:rPr>
        <w:t xml:space="preserve">. Así mismo, alude a la aplicación por parte de entidades de régimen especial de acuerdos comerciales, la restricción de Ley de Garantías Electorales, entre otros aspectos. </w:t>
      </w:r>
    </w:p>
    <w:p w14:paraId="0FDC67A9" w14:textId="77777777" w:rsidR="003D6F94" w:rsidRPr="00993665" w:rsidRDefault="003D6F94" w:rsidP="003D6F94">
      <w:pPr>
        <w:widowControl w:val="0"/>
        <w:autoSpaceDE w:val="0"/>
        <w:autoSpaceDN w:val="0"/>
        <w:spacing w:after="120" w:line="276" w:lineRule="auto"/>
        <w:jc w:val="both"/>
        <w:rPr>
          <w:rFonts w:ascii="Verdana" w:eastAsia="Verdana" w:hAnsi="Verdana" w:cs="Verdana"/>
          <w:lang w:val="es-ES"/>
        </w:rPr>
      </w:pPr>
      <w:r w:rsidRPr="00097F93">
        <w:rPr>
          <w:rFonts w:ascii="Verdana" w:eastAsia="Verdana" w:hAnsi="Verdana" w:cs="Verdana"/>
          <w:lang w:val="es-ES"/>
        </w:rPr>
        <w:tab/>
        <w:t>Así mismo, l</w:t>
      </w:r>
      <w:r w:rsidRPr="00097F93">
        <w:rPr>
          <w:rFonts w:ascii="Verdana" w:eastAsia="Verdana" w:hAnsi="Verdana" w:cs="Verdana"/>
        </w:rPr>
        <w:t>a Circular Externa Única expedida por la Agencia Nacional de</w:t>
      </w:r>
      <w:r w:rsidRPr="00993665">
        <w:rPr>
          <w:rFonts w:ascii="Verdana" w:eastAsia="Verdana" w:hAnsi="Verdana" w:cs="Verdana"/>
        </w:rPr>
        <w:t xml:space="preserve"> Contratación Pública - Colombia Compra Eficiente - estableció que todas las entidades del Estado tienen el deber de publicar oportunamente la información oficial de la contratación en el SECOP, sin distinción de su régimen jurídico, naturaleza jurídica o la pertenencia a una u otra rama del poder público</w:t>
      </w:r>
      <w:r w:rsidRPr="00993665">
        <w:rPr>
          <w:rFonts w:ascii="Verdana" w:eastAsia="Verdana" w:hAnsi="Verdana" w:cs="Verdana"/>
          <w:vertAlign w:val="superscript"/>
        </w:rPr>
        <w:footnoteReference w:id="16"/>
      </w:r>
      <w:r w:rsidRPr="00993665">
        <w:rPr>
          <w:rFonts w:ascii="Verdana" w:eastAsia="Verdana" w:hAnsi="Verdana" w:cs="Verdana"/>
        </w:rPr>
        <w:t>. De igual forma, en la Circular Externa No. 002 del 23 de agosto de 2024, estableció los lineamientos para la aplicación del artículo 53 de la Ley 2195 de 2022 que modificó el artículo 13 de la Ley 1150 de 2007 por parte de las Entidades Estales que por disposición legal cuentan con un régimen contractual excepcional al del Estatuto General de Contratación de la Administración Pública. En dicha Circular también expresó: “[…] el término que tienen las Entidades Estatales que por disposición legal cuenten con un régimen contractual excepcional al del Estatuto General de Contratación de la Administración Pública para publicar en el SECOP II es de tres (3) días posterior a su expedición”. Es decir que, a tales entidades, les aplica la regla de publicación de los tres (3) días siguientes a la expedición de acto administrativo o Documento del Proceso, dispuesta en el artículo 2.2.1.1.1.7.1 del Decreto 1082 de 2015 por remisión expresa del artículo 2.1.1.2.1.7 del Decreto 1081 de 2015.</w:t>
      </w:r>
    </w:p>
    <w:p w14:paraId="15817F10" w14:textId="77777777" w:rsidR="003D6F94" w:rsidRPr="0094448B" w:rsidRDefault="003D6F94" w:rsidP="003D6F94">
      <w:pPr>
        <w:widowControl w:val="0"/>
        <w:autoSpaceDE w:val="0"/>
        <w:autoSpaceDN w:val="0"/>
        <w:spacing w:after="120" w:line="276" w:lineRule="auto"/>
        <w:ind w:firstLine="708"/>
        <w:jc w:val="both"/>
        <w:rPr>
          <w:rFonts w:ascii="Verdana" w:eastAsia="Verdana" w:hAnsi="Verdana" w:cs="Verdana"/>
          <w:lang w:val="es-ES"/>
        </w:rPr>
      </w:pPr>
      <w:r>
        <w:rPr>
          <w:rFonts w:ascii="Verdana" w:eastAsia="Verdana" w:hAnsi="Verdana" w:cs="Verdana"/>
          <w:lang w:val="es-ES"/>
        </w:rPr>
        <w:t>Es importante destacar que</w:t>
      </w:r>
      <w:r w:rsidRPr="0094448B">
        <w:rPr>
          <w:rFonts w:ascii="Verdana" w:eastAsia="Verdana" w:hAnsi="Verdana" w:cs="Verdana"/>
          <w:lang w:val="es-ES"/>
        </w:rPr>
        <w:t xml:space="preserve"> la entidad contratante debe contemplar procedimientos de selección públicos, en los cuales se garantice la imparcialidad de la entidad contratante, la igualdad entre los oferentes, y en los cuales se respeten los principios constitucionales de la función administrativa, así como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23F432ED" w14:textId="77777777" w:rsidR="003D6F94" w:rsidRPr="0094448B" w:rsidRDefault="003D6F94" w:rsidP="003D6F94">
      <w:pPr>
        <w:widowControl w:val="0"/>
        <w:autoSpaceDE w:val="0"/>
        <w:autoSpaceDN w:val="0"/>
        <w:spacing w:after="120" w:line="276" w:lineRule="auto"/>
        <w:jc w:val="both"/>
        <w:rPr>
          <w:rFonts w:ascii="Verdana" w:eastAsia="Verdana" w:hAnsi="Verdana" w:cs="Verdana"/>
        </w:rPr>
      </w:pPr>
      <w:r w:rsidRPr="0094448B">
        <w:rPr>
          <w:rFonts w:ascii="Verdana" w:eastAsia="Verdana" w:hAnsi="Verdana" w:cs="Verdana"/>
          <w:lang w:val="es-ES"/>
        </w:rPr>
        <w:tab/>
        <w:t xml:space="preserve">En esta perspectiva, se destaca que los principios de la función administrativa </w:t>
      </w:r>
      <w:r w:rsidRPr="0094448B">
        <w:rPr>
          <w:rFonts w:ascii="Verdana" w:eastAsia="Verdana" w:hAnsi="Verdana" w:cs="Verdana"/>
        </w:rPr>
        <w:t xml:space="preserve">como la igualdad, moralidad, eficacia, economía, celeridad, </w:t>
      </w:r>
      <w:r w:rsidRPr="0094448B">
        <w:rPr>
          <w:rFonts w:ascii="Verdana" w:eastAsia="Verdana" w:hAnsi="Verdana" w:cs="Verdana"/>
        </w:rPr>
        <w:lastRenderedPageBreak/>
        <w:t xml:space="preserve">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especial pueden escoger entre una variedad de alternativas para el cumplimiento de estos, por lo que no implica que deban sujetarse a la forma cómo es aplicado en el EGCAP. </w:t>
      </w:r>
    </w:p>
    <w:p w14:paraId="6A5264B8" w14:textId="77777777" w:rsidR="003D6F94" w:rsidRDefault="003D6F94" w:rsidP="003D6F94">
      <w:pPr>
        <w:widowControl w:val="0"/>
        <w:autoSpaceDE w:val="0"/>
        <w:autoSpaceDN w:val="0"/>
        <w:spacing w:after="120" w:line="276" w:lineRule="auto"/>
        <w:jc w:val="both"/>
        <w:rPr>
          <w:rFonts w:ascii="Verdana" w:eastAsia="Verdana" w:hAnsi="Verdana" w:cs="Verdana"/>
          <w:lang w:val="es-ES"/>
        </w:rPr>
      </w:pPr>
      <w:r w:rsidRPr="0094448B">
        <w:rPr>
          <w:rFonts w:ascii="Verdana" w:eastAsia="Verdana" w:hAnsi="Verdana" w:cs="Verdana"/>
          <w:bCs/>
          <w:lang w:val="es-ES_tradnl"/>
        </w:rPr>
        <w:tab/>
      </w:r>
      <w:r w:rsidRPr="6DE303AB">
        <w:rPr>
          <w:rFonts w:ascii="Verdana" w:eastAsia="Verdana" w:hAnsi="Verdana" w:cs="Verdana"/>
          <w:lang w:val="es-ES"/>
        </w:rPr>
        <w:t xml:space="preserve">En efecto, la estructura de los procedimientos de las entidades sometidas no es asimilable a los de las entidades exceptuadas. Sin bien en estas últimas rigen por los principios de la función administrativa, la gestión fiscal y el régimen de inhabilidades e incompatibilidades,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75EED0A4" w14:textId="77777777" w:rsidR="003D6F94" w:rsidRPr="0094448B" w:rsidRDefault="003D6F94" w:rsidP="003D6F94">
      <w:pPr>
        <w:spacing w:after="120" w:line="276" w:lineRule="auto"/>
        <w:ind w:firstLine="708"/>
        <w:jc w:val="both"/>
        <w:rPr>
          <w:rFonts w:ascii="Verdana" w:eastAsia="Calibri" w:hAnsi="Verdana" w:cs="Arial"/>
          <w:lang w:eastAsia="es-ES_tradnl"/>
        </w:rPr>
      </w:pPr>
      <w:r w:rsidRPr="0094448B">
        <w:rPr>
          <w:rFonts w:ascii="Verdana" w:eastAsia="Calibri" w:hAnsi="Verdana" w:cs="Arial"/>
          <w:lang w:eastAsia="es-ES_tradnl"/>
        </w:rPr>
        <w:t>En este escenario, dentro de l</w:t>
      </w:r>
      <w:r>
        <w:rPr>
          <w:rFonts w:ascii="Verdana" w:eastAsia="Calibri" w:hAnsi="Verdana" w:cs="Arial"/>
          <w:lang w:eastAsia="es-ES_tradnl"/>
        </w:rPr>
        <w:t xml:space="preserve">as entidades de régimen especial, como las empresas mixtas de servicios públicos domiciliarios </w:t>
      </w:r>
      <w:r w:rsidRPr="0094448B">
        <w:rPr>
          <w:rFonts w:ascii="Verdana" w:eastAsia="Calibri" w:hAnsi="Verdana" w:cs="Arial"/>
          <w:lang w:eastAsia="es-ES_tradnl"/>
        </w:rPr>
        <w:t xml:space="preserve">pueden establecer modalidades o procesos de selección en: i) competitivas y </w:t>
      </w:r>
      <w:proofErr w:type="spellStart"/>
      <w:r w:rsidRPr="0094448B">
        <w:rPr>
          <w:rFonts w:ascii="Verdana" w:eastAsia="Calibri" w:hAnsi="Verdana" w:cs="Arial"/>
          <w:lang w:eastAsia="es-ES_tradnl"/>
        </w:rPr>
        <w:t>ii</w:t>
      </w:r>
      <w:proofErr w:type="spellEnd"/>
      <w:r w:rsidRPr="0094448B">
        <w:rPr>
          <w:rFonts w:ascii="Verdana" w:eastAsia="Calibri" w:hAnsi="Verdana" w:cs="Arial"/>
          <w:lang w:eastAsia="es-ES_tradnl"/>
        </w:rPr>
        <w:t>)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94448B">
        <w:rPr>
          <w:rFonts w:ascii="Verdana" w:eastAsia="Calibri" w:hAnsi="Verdana" w:cs="Arial"/>
          <w:vertAlign w:val="superscript"/>
          <w:lang w:eastAsia="es-ES_tradnl"/>
        </w:rPr>
        <w:footnoteReference w:id="17"/>
      </w:r>
      <w:r w:rsidRPr="0094448B">
        <w:rPr>
          <w:rFonts w:ascii="Verdana" w:eastAsia="Calibri" w:hAnsi="Verdana" w:cs="Arial"/>
          <w:lang w:eastAsia="es-ES_tradnl"/>
        </w:rPr>
        <w:t xml:space="preserve">. </w:t>
      </w:r>
    </w:p>
    <w:p w14:paraId="65C70FB3" w14:textId="77777777" w:rsidR="003D6F94" w:rsidRPr="00162864" w:rsidRDefault="003D6F94" w:rsidP="003D6F94">
      <w:pPr>
        <w:spacing w:after="120" w:line="276" w:lineRule="auto"/>
        <w:ind w:firstLine="709"/>
        <w:jc w:val="both"/>
        <w:rPr>
          <w:rFonts w:ascii="Verdana" w:eastAsia="Calibri" w:hAnsi="Verdana" w:cs="Arial"/>
          <w:lang w:eastAsia="es-ES_tradnl"/>
        </w:rPr>
      </w:pPr>
      <w:r w:rsidRPr="0094448B">
        <w:rPr>
          <w:rFonts w:ascii="Verdana" w:eastAsia="Calibri" w:hAnsi="Verdana" w:cs="Arial"/>
          <w:lang w:eastAsia="es-ES_tradnl"/>
        </w:rPr>
        <w:t xml:space="preserve">Por tanto, en las manuales de contratación pueden establecer las modalidades como competitivas o abiertas a competencia, ya que en ellas tiene lugar la participación de varios proponentes en una fase pública de presentación de ofertas. Esto permite que todas las personas interesadas concurran al proceso en igualdad de condiciones y compitan en el mismo, sin perjuicio de criterios o </w:t>
      </w:r>
      <w:r w:rsidRPr="0094448B">
        <w:rPr>
          <w:rFonts w:ascii="Verdana" w:eastAsia="Calibri" w:hAnsi="Verdana" w:cs="Arial"/>
          <w:lang w:eastAsia="es-ES_tradnl"/>
        </w:rPr>
        <w:lastRenderedPageBreak/>
        <w:t xml:space="preserve">exigencias diferenciales dispuestas por la ley para fortalecer determinado tipo de empresas, sujetos o mercado. </w:t>
      </w:r>
      <w:r>
        <w:rPr>
          <w:rFonts w:ascii="Verdana" w:eastAsia="Calibri" w:hAnsi="Verdana" w:cs="Arial"/>
          <w:lang w:eastAsia="es-ES_tradnl"/>
        </w:rPr>
        <w:t>P</w:t>
      </w:r>
      <w:r w:rsidRPr="0094448B">
        <w:rPr>
          <w:rFonts w:ascii="Verdana" w:eastAsia="Calibri" w:hAnsi="Verdana" w:cs="Arial"/>
          <w:lang w:eastAsia="es-ES_tradnl"/>
        </w:rPr>
        <w:t xml:space="preserve">or otro lado, dentro del Manual de Contratación pueden regularse modalidades no competitivas, es decir, que no es abierta a los proponentes para que los interesados presenten sus ofertas. En esta, es la entidad la que determina, de forma directa, la persona que puede participar y que será seleccionada. Esto significa que de acuerdo con lo regulado no es necesario que la entidad reciba más de una oferta, la cual proviene de la persona que la entidad escoge directamente, </w:t>
      </w:r>
      <w:proofErr w:type="gramStart"/>
      <w:r w:rsidRPr="0094448B">
        <w:rPr>
          <w:rFonts w:ascii="Verdana" w:eastAsia="Calibri" w:hAnsi="Verdana" w:cs="Arial"/>
          <w:lang w:eastAsia="es-ES_tradnl"/>
        </w:rPr>
        <w:t>y</w:t>
      </w:r>
      <w:proofErr w:type="gramEnd"/>
      <w:r w:rsidRPr="0094448B">
        <w:rPr>
          <w:rFonts w:ascii="Verdana" w:eastAsia="Calibri" w:hAnsi="Verdana" w:cs="Arial"/>
          <w:lang w:eastAsia="es-ES_tradnl"/>
        </w:rPr>
        <w:t xml:space="preserve"> por ende, invita a ofertar el bien o servicio que se requiere. Ello no exime a las entidades estatales de garantizar los principios de la función administrativa. </w:t>
      </w:r>
    </w:p>
    <w:p w14:paraId="20B22411" w14:textId="77777777" w:rsidR="003D6F94" w:rsidRDefault="003D6F94" w:rsidP="003D6F94">
      <w:pPr>
        <w:widowControl w:val="0"/>
        <w:autoSpaceDE w:val="0"/>
        <w:autoSpaceDN w:val="0"/>
        <w:spacing w:after="120" w:line="276" w:lineRule="auto"/>
        <w:ind w:firstLine="708"/>
        <w:jc w:val="both"/>
        <w:rPr>
          <w:rFonts w:ascii="Verdana" w:eastAsia="Verdana" w:hAnsi="Verdana" w:cs="Verdana"/>
          <w:bCs/>
          <w:lang w:val="es-ES"/>
        </w:rPr>
      </w:pPr>
      <w:r>
        <w:rPr>
          <w:rFonts w:ascii="Verdana" w:eastAsia="Verdana" w:hAnsi="Verdana" w:cs="Verdana"/>
          <w:bCs/>
          <w:lang w:val="es-ES_tradnl"/>
        </w:rPr>
        <w:t xml:space="preserve">Teniendo en cuenta lo expuesto, y a partir del problema jurídico, es importante precisar que la incorporación de visitas obligatorias en las condiciones de referencia </w:t>
      </w:r>
      <w:r w:rsidRPr="0027572F">
        <w:rPr>
          <w:rFonts w:ascii="Verdana" w:eastAsia="Verdana" w:hAnsi="Verdana" w:cs="Verdana"/>
          <w:bCs/>
          <w:lang w:val="es-ES_tradnl"/>
        </w:rPr>
        <w:t xml:space="preserve">de un contrato de obra por parte de una empresa de servicios públicos mixta de energía con régimen especial es procedente, </w:t>
      </w:r>
      <w:r>
        <w:rPr>
          <w:rFonts w:ascii="Verdana" w:eastAsia="Verdana" w:hAnsi="Verdana" w:cs="Verdana"/>
          <w:bCs/>
          <w:lang w:val="es-ES_tradnl"/>
        </w:rPr>
        <w:t xml:space="preserve">siempre de que </w:t>
      </w:r>
      <w:r w:rsidRPr="0027572F">
        <w:rPr>
          <w:rFonts w:ascii="Verdana" w:eastAsia="Verdana" w:hAnsi="Verdana" w:cs="Verdana"/>
          <w:bCs/>
          <w:lang w:val="es-ES_tradnl"/>
        </w:rPr>
        <w:t>se fundamente en criterios técnicos y operativos que justifiquen su necesidad. Estas entidades, al estar exceptuadas de la Ley 80 de 1993, se rigen por el derecho privado y por sus propios manuales de contratación, lo que les otorga mayor flexibilidad para estructurar sus procesos precontractuales</w:t>
      </w:r>
      <w:r>
        <w:rPr>
          <w:rFonts w:ascii="Verdana" w:eastAsia="Verdana" w:hAnsi="Verdana" w:cs="Verdana"/>
          <w:bCs/>
          <w:lang w:val="es-ES_tradnl"/>
        </w:rPr>
        <w:t xml:space="preserve">. Esto, sin perjuicio del deber de garantizar los principios de la función administrativa y la gestión fiscal, </w:t>
      </w:r>
      <w:r w:rsidRPr="00571CB1">
        <w:rPr>
          <w:rFonts w:ascii="Verdana" w:eastAsia="Verdana" w:hAnsi="Verdana" w:cs="Verdana"/>
          <w:bCs/>
          <w:lang w:val="es-ES"/>
        </w:rPr>
        <w:t>como la igualdad, moralidad, eficacia, economía, celeridad, imparcialidad y publicidad, así como los principios de la gestión fiscal, como eficiencia, economía, equidad y v</w:t>
      </w:r>
      <w:r>
        <w:rPr>
          <w:rFonts w:ascii="Verdana" w:eastAsia="Verdana" w:hAnsi="Verdana" w:cs="Verdana"/>
          <w:bCs/>
          <w:lang w:val="es-ES"/>
        </w:rPr>
        <w:t xml:space="preserve">aloración de costos ambientales, que actúan como su </w:t>
      </w:r>
      <w:r w:rsidRPr="00571CB1">
        <w:rPr>
          <w:rFonts w:ascii="Verdana" w:eastAsia="Verdana" w:hAnsi="Verdana" w:cs="Verdana"/>
          <w:bCs/>
          <w:lang w:val="es-ES"/>
        </w:rPr>
        <w:t xml:space="preserve">norte metodológico. </w:t>
      </w:r>
    </w:p>
    <w:p w14:paraId="6D1E5213" w14:textId="77777777" w:rsidR="003D6F94" w:rsidRPr="009C01DF" w:rsidRDefault="003D6F94" w:rsidP="003D6F94">
      <w:pPr>
        <w:widowControl w:val="0"/>
        <w:autoSpaceDE w:val="0"/>
        <w:autoSpaceDN w:val="0"/>
        <w:spacing w:after="120" w:line="276" w:lineRule="auto"/>
        <w:ind w:firstLine="708"/>
        <w:jc w:val="both"/>
        <w:rPr>
          <w:rFonts w:ascii="Verdana" w:eastAsia="Verdana" w:hAnsi="Verdana" w:cs="Verdana"/>
          <w:bCs/>
        </w:rPr>
      </w:pPr>
      <w:r>
        <w:rPr>
          <w:rFonts w:ascii="Verdana" w:eastAsia="Verdana" w:hAnsi="Verdana" w:cs="Verdana"/>
          <w:bCs/>
          <w:lang w:val="es-ES_tradnl"/>
        </w:rPr>
        <w:t>De tal modo</w:t>
      </w:r>
      <w:r w:rsidRPr="001B2DC3">
        <w:rPr>
          <w:rFonts w:ascii="Verdana" w:eastAsia="Verdana" w:hAnsi="Verdana" w:cs="Verdana"/>
          <w:bCs/>
          <w:lang w:val="es-ES_tradnl"/>
        </w:rPr>
        <w:t>, la exigencia de asistir a visitas de obra puede establecerse como requisito habilitante o criterio de evaluación, siempre que se garantice su razonabilidad, proporcionalidad y no discriminación de los diferentes proveedores que participan dentro del proceso de contratación.</w:t>
      </w:r>
      <w:r>
        <w:rPr>
          <w:rFonts w:ascii="Verdana" w:eastAsia="Verdana" w:hAnsi="Verdana" w:cs="Verdana"/>
          <w:bCs/>
          <w:lang w:val="es-ES_tradnl"/>
        </w:rPr>
        <w:t xml:space="preserve"> Ahora bien, frente a </w:t>
      </w:r>
      <w:r w:rsidRPr="00880497">
        <w:rPr>
          <w:rFonts w:ascii="Verdana" w:eastAsia="Verdana" w:hAnsi="Verdana" w:cs="Verdana"/>
          <w:bCs/>
          <w:lang w:val="es-ES"/>
        </w:rPr>
        <w:t xml:space="preserve">la regulación de causales de rechazo en procedimientos competitivos deben estar necesariamente nominadas en la Ley o en el pliego de condiciones, y no puede realizarse, frente a su redacción, ninguna interpretación extensiva. </w:t>
      </w:r>
      <w:proofErr w:type="gramStart"/>
      <w:r>
        <w:rPr>
          <w:rFonts w:ascii="Verdana" w:eastAsia="Verdana" w:hAnsi="Verdana" w:cs="Verdana"/>
          <w:bCs/>
          <w:lang w:val="es-ES"/>
        </w:rPr>
        <w:t>Ad</w:t>
      </w:r>
      <w:proofErr w:type="spellStart"/>
      <w:r w:rsidRPr="009C01DF">
        <w:rPr>
          <w:rFonts w:ascii="Verdana" w:eastAsia="Verdana" w:hAnsi="Verdana" w:cs="Verdana"/>
          <w:bCs/>
          <w:lang w:val="es-ES_tradnl"/>
        </w:rPr>
        <w:t>emás</w:t>
      </w:r>
      <w:proofErr w:type="spellEnd"/>
      <w:proofErr w:type="gramEnd"/>
      <w:r w:rsidRPr="009C01DF">
        <w:rPr>
          <w:rFonts w:ascii="Verdana" w:eastAsia="Verdana" w:hAnsi="Verdana" w:cs="Verdana"/>
          <w:bCs/>
          <w:lang w:val="es-ES_tradnl"/>
        </w:rPr>
        <w:t xml:space="preserve"> d</w:t>
      </w:r>
      <w:r>
        <w:rPr>
          <w:rFonts w:ascii="Verdana" w:eastAsia="Verdana" w:hAnsi="Verdana" w:cs="Verdana"/>
          <w:bCs/>
          <w:lang w:val="es-ES_tradnl"/>
        </w:rPr>
        <w:t xml:space="preserve">ichas causales de rechazo deben </w:t>
      </w:r>
      <w:r w:rsidRPr="009C01DF">
        <w:rPr>
          <w:rFonts w:ascii="Verdana" w:eastAsia="Verdana" w:hAnsi="Verdana" w:cs="Verdana"/>
          <w:bCs/>
        </w:rPr>
        <w:t xml:space="preserve">referirse a </w:t>
      </w:r>
      <w:r w:rsidRPr="009C01DF">
        <w:rPr>
          <w:rFonts w:ascii="Verdana" w:eastAsia="Verdana" w:hAnsi="Verdana" w:cs="Verdana"/>
          <w:bCs/>
          <w:i/>
        </w:rPr>
        <w:t xml:space="preserve">“defectos, omisiones o circunstancias esenciales y de carácter impeditivo que permiten deducir razonadamente que la misma no resulta favorable para los intereses de la entidad y los fines de la contratación y que de soslayarse se comprometería el cumplimiento de los principios de transparencia, economía y responsabilidad, así </w:t>
      </w:r>
      <w:r w:rsidRPr="009C01DF">
        <w:rPr>
          <w:rFonts w:ascii="Verdana" w:eastAsia="Verdana" w:hAnsi="Verdana" w:cs="Verdana"/>
          <w:bCs/>
          <w:i/>
        </w:rPr>
        <w:lastRenderedPageBreak/>
        <w:t>como el deber de selección objetiva”</w:t>
      </w:r>
      <w:r w:rsidRPr="009C01DF">
        <w:rPr>
          <w:rFonts w:ascii="Verdana" w:eastAsia="Verdana" w:hAnsi="Verdana" w:cs="Verdana"/>
          <w:bCs/>
          <w:i/>
          <w:vertAlign w:val="superscript"/>
        </w:rPr>
        <w:footnoteReference w:id="18"/>
      </w:r>
      <w:r>
        <w:rPr>
          <w:rFonts w:ascii="Verdana" w:eastAsia="Verdana" w:hAnsi="Verdana" w:cs="Verdana"/>
          <w:bCs/>
          <w:i/>
        </w:rPr>
        <w:t xml:space="preserve"> </w:t>
      </w:r>
      <w:r w:rsidRPr="008C3A1A">
        <w:rPr>
          <w:rFonts w:ascii="Verdana" w:eastAsia="Verdana" w:hAnsi="Verdana" w:cs="Verdana"/>
          <w:bCs/>
          <w:iCs/>
        </w:rPr>
        <w:t xml:space="preserve">(énfasis fuera de texto).  </w:t>
      </w:r>
    </w:p>
    <w:p w14:paraId="3F3FA20E" w14:textId="77777777" w:rsidR="003D6F94" w:rsidRDefault="003D6F94" w:rsidP="003D6F94">
      <w:pPr>
        <w:spacing w:after="120" w:line="276" w:lineRule="auto"/>
        <w:ind w:firstLine="708"/>
        <w:jc w:val="both"/>
        <w:rPr>
          <w:rFonts w:ascii="Verdana" w:eastAsia="Calibri" w:hAnsi="Verdana" w:cs="Arial"/>
          <w:bCs/>
          <w:lang w:val="es-ES_tradnl" w:eastAsia="es-ES_tradnl"/>
        </w:rPr>
      </w:pPr>
      <w:r>
        <w:rPr>
          <w:rFonts w:ascii="Verdana" w:eastAsia="Calibri" w:hAnsi="Verdana" w:cs="Arial"/>
          <w:lang w:eastAsia="es-ES_tradnl"/>
        </w:rPr>
        <w:t xml:space="preserve">En consecuencia, la estructuración de las visitas obligatorias en procedimientos de contratación </w:t>
      </w:r>
      <w:r w:rsidRPr="004E209A">
        <w:rPr>
          <w:rFonts w:ascii="Verdana" w:eastAsia="Calibri" w:hAnsi="Verdana" w:cs="Arial"/>
          <w:bCs/>
          <w:lang w:val="es-ES_tradnl" w:eastAsia="es-ES_tradnl"/>
        </w:rPr>
        <w:t xml:space="preserve">no constituye per se una práctica restrictiva de la libre competencia, </w:t>
      </w:r>
      <w:r>
        <w:rPr>
          <w:rFonts w:ascii="Verdana" w:eastAsia="Calibri" w:hAnsi="Verdana" w:cs="Arial"/>
          <w:bCs/>
          <w:lang w:val="es-ES_tradnl" w:eastAsia="es-ES_tradnl"/>
        </w:rPr>
        <w:t xml:space="preserve">con la condición de que </w:t>
      </w:r>
      <w:r w:rsidRPr="004E209A">
        <w:rPr>
          <w:rFonts w:ascii="Verdana" w:eastAsia="Calibri" w:hAnsi="Verdana" w:cs="Arial"/>
          <w:bCs/>
          <w:lang w:val="es-ES_tradnl" w:eastAsia="es-ES_tradnl"/>
        </w:rPr>
        <w:t xml:space="preserve">no tenga efectos excluyentes injustificados ni se utilice para favorecer a determinados oferentes. </w:t>
      </w:r>
      <w:r>
        <w:rPr>
          <w:rFonts w:ascii="Verdana" w:eastAsia="Calibri" w:hAnsi="Verdana" w:cs="Arial"/>
          <w:bCs/>
          <w:lang w:val="es-ES_tradnl" w:eastAsia="es-ES_tradnl"/>
        </w:rPr>
        <w:t>El artículo 1 de la Ley 155 de 1959</w:t>
      </w:r>
      <w:r>
        <w:rPr>
          <w:rStyle w:val="Refdenotaalpie"/>
          <w:rFonts w:ascii="Verdana" w:eastAsia="Calibri" w:hAnsi="Verdana" w:cs="Arial"/>
          <w:bCs/>
          <w:lang w:val="es-ES_tradnl" w:eastAsia="es-ES_tradnl"/>
        </w:rPr>
        <w:footnoteReference w:id="19"/>
      </w:r>
      <w:r>
        <w:rPr>
          <w:rFonts w:ascii="Verdana" w:eastAsia="Calibri" w:hAnsi="Verdana" w:cs="Arial"/>
          <w:bCs/>
          <w:lang w:val="es-ES_tradnl" w:eastAsia="es-ES_tradnl"/>
        </w:rPr>
        <w:t xml:space="preserve"> </w:t>
      </w:r>
      <w:r w:rsidRPr="004E209A">
        <w:rPr>
          <w:rFonts w:ascii="Verdana" w:eastAsia="Calibri" w:hAnsi="Verdana" w:cs="Arial"/>
          <w:bCs/>
          <w:lang w:val="es-ES_tradnl" w:eastAsia="es-ES_tradnl"/>
        </w:rPr>
        <w:t xml:space="preserve">prohíbe prácticas que limiten la competencia o determinen precios inequitativos, pero admite restricciones legítimas cuando </w:t>
      </w:r>
      <w:r>
        <w:rPr>
          <w:rFonts w:ascii="Verdana" w:eastAsia="Calibri" w:hAnsi="Verdana" w:cs="Arial"/>
          <w:bCs/>
          <w:lang w:val="es-ES_tradnl" w:eastAsia="es-ES_tradnl"/>
        </w:rPr>
        <w:t xml:space="preserve">se orienten a proteger </w:t>
      </w:r>
      <w:r w:rsidRPr="004E209A">
        <w:rPr>
          <w:rFonts w:ascii="Verdana" w:eastAsia="Calibri" w:hAnsi="Verdana" w:cs="Arial"/>
          <w:bCs/>
          <w:lang w:val="es-ES_tradnl" w:eastAsia="es-ES_tradnl"/>
        </w:rPr>
        <w:t>el interés público, garantizar la calidad técnica o prevenir riesgos</w:t>
      </w:r>
      <w:r>
        <w:rPr>
          <w:rFonts w:ascii="Verdana" w:eastAsia="Calibri" w:hAnsi="Verdana" w:cs="Arial"/>
          <w:bCs/>
          <w:lang w:val="es-ES_tradnl" w:eastAsia="es-ES_tradnl"/>
        </w:rPr>
        <w:t xml:space="preserve"> dentro del proceso de contratación</w:t>
      </w:r>
      <w:r w:rsidRPr="004E209A">
        <w:rPr>
          <w:rFonts w:ascii="Verdana" w:eastAsia="Calibri" w:hAnsi="Verdana" w:cs="Arial"/>
          <w:bCs/>
          <w:lang w:val="es-ES_tradnl" w:eastAsia="es-ES_tradnl"/>
        </w:rPr>
        <w:t xml:space="preserve">. </w:t>
      </w:r>
    </w:p>
    <w:p w14:paraId="0738D65F" w14:textId="77777777" w:rsidR="003D6F94" w:rsidRPr="009C01DF" w:rsidRDefault="003D6F94" w:rsidP="003D6F94">
      <w:pPr>
        <w:spacing w:after="120" w:line="276" w:lineRule="auto"/>
        <w:ind w:firstLine="708"/>
        <w:jc w:val="both"/>
        <w:rPr>
          <w:rFonts w:ascii="Verdana" w:eastAsia="Calibri" w:hAnsi="Verdana" w:cs="Arial"/>
          <w:lang w:val="es-MX" w:eastAsia="es-ES_tradnl"/>
        </w:rPr>
      </w:pPr>
      <w:r>
        <w:rPr>
          <w:rFonts w:ascii="Verdana" w:eastAsia="Calibri" w:hAnsi="Verdana" w:cs="Arial"/>
          <w:bCs/>
          <w:lang w:val="es-ES_tradnl" w:eastAsia="es-ES_tradnl"/>
        </w:rPr>
        <w:t>Al respecto, el Consejo de Estado hizo un análisis sobre la</w:t>
      </w:r>
      <w:r w:rsidRPr="003B6246">
        <w:rPr>
          <w:rFonts w:ascii="Verdana" w:eastAsia="Calibri" w:hAnsi="Verdana" w:cs="Arial"/>
          <w:lang w:val="es-MX" w:eastAsia="es-ES_tradnl"/>
        </w:rPr>
        <w:t xml:space="preserve"> posibilidad de exigir la visita al sitio de la obra en los pliegos de condiciones como requisito para presentar la oferta, el Consejo de Estado –en Sentencia del 5 de junio de 2008– se pronunció sobre su legalidad. Señaló que esta exigencia garantiza la consistencia económica de las ofertas, así como la cumplida ejecución del objeto contractual y, por lo tanto, es posible incluirla en los pliegos de condiciones. Además, explicó que es una medida idónea, necesaria y ponderada para la estructuración de las ofertas por parte de los proponentes</w:t>
      </w:r>
      <w:r w:rsidRPr="003B6246">
        <w:rPr>
          <w:rFonts w:ascii="Verdana" w:eastAsia="Calibri" w:hAnsi="Verdana" w:cs="Arial"/>
          <w:vertAlign w:val="superscript"/>
          <w:lang w:val="es-ES" w:eastAsia="es-ES_tradnl"/>
        </w:rPr>
        <w:footnoteReference w:id="20"/>
      </w:r>
      <w:r w:rsidRPr="003B6246">
        <w:rPr>
          <w:rFonts w:ascii="Verdana" w:eastAsia="Calibri" w:hAnsi="Verdana" w:cs="Arial"/>
          <w:iCs/>
          <w:lang w:val="es-ES" w:eastAsia="es-ES_tradnl"/>
        </w:rPr>
        <w:t>.</w:t>
      </w:r>
      <w:r w:rsidRPr="003B6246">
        <w:rPr>
          <w:rFonts w:ascii="Verdana" w:eastAsia="Calibri" w:hAnsi="Verdana" w:cs="Arial"/>
          <w:i/>
          <w:lang w:val="es-ES" w:eastAsia="es-ES_tradnl"/>
        </w:rPr>
        <w:t xml:space="preserve"> </w:t>
      </w:r>
      <w:r w:rsidRPr="003B6246">
        <w:rPr>
          <w:rFonts w:ascii="Verdana" w:eastAsia="Calibri" w:hAnsi="Verdana" w:cs="Arial"/>
          <w:lang w:val="es-MX" w:eastAsia="es-ES_tradnl"/>
        </w:rPr>
        <w:t>Por su parte, en Sentencia del 28 de junio de 2019, el Consejo de Estado reconoció que la visita tiene como propósito que los oferentes conozcan el lugar físico donde se ejecutará el contrato,</w:t>
      </w:r>
      <w:r w:rsidRPr="00D65A94">
        <w:t xml:space="preserve"> </w:t>
      </w:r>
      <w:r>
        <w:rPr>
          <w:rFonts w:ascii="Verdana" w:eastAsia="Calibri" w:hAnsi="Verdana" w:cs="Arial"/>
          <w:lang w:eastAsia="es-ES_tradnl"/>
        </w:rPr>
        <w:t>pero el</w:t>
      </w:r>
      <w:r w:rsidRPr="00D65A94">
        <w:rPr>
          <w:rFonts w:ascii="Verdana" w:eastAsia="Calibri" w:hAnsi="Verdana" w:cs="Arial"/>
          <w:lang w:val="es-MX" w:eastAsia="es-ES_tradnl"/>
        </w:rPr>
        <w:t xml:space="preserve"> rechazo de la oferta presentada por </w:t>
      </w:r>
      <w:r>
        <w:rPr>
          <w:rFonts w:ascii="Verdana" w:eastAsia="Calibri" w:hAnsi="Verdana" w:cs="Arial"/>
          <w:lang w:val="es-MX" w:eastAsia="es-ES_tradnl"/>
        </w:rPr>
        <w:t xml:space="preserve">un proponente plural </w:t>
      </w:r>
      <w:r w:rsidRPr="00D65A94">
        <w:rPr>
          <w:rFonts w:ascii="Verdana" w:eastAsia="Calibri" w:hAnsi="Verdana" w:cs="Arial"/>
          <w:lang w:val="es-MX" w:eastAsia="es-ES_tradnl"/>
        </w:rPr>
        <w:t>se fundamentó en la supuesta inasistencia válida a la visita a</w:t>
      </w:r>
      <w:r>
        <w:rPr>
          <w:rFonts w:ascii="Verdana" w:eastAsia="Calibri" w:hAnsi="Verdana" w:cs="Arial"/>
          <w:lang w:val="es-MX" w:eastAsia="es-ES_tradnl"/>
        </w:rPr>
        <w:t xml:space="preserve"> esta</w:t>
      </w:r>
      <w:r w:rsidRPr="00D65A94">
        <w:rPr>
          <w:rFonts w:ascii="Verdana" w:eastAsia="Calibri" w:hAnsi="Verdana" w:cs="Arial"/>
          <w:lang w:val="es-MX" w:eastAsia="es-ES_tradnl"/>
        </w:rPr>
        <w:t xml:space="preserve">, dado que el ingeniero que acudió no contaba con un poder formalmente válido para </w:t>
      </w:r>
      <w:r w:rsidRPr="00D65A94">
        <w:rPr>
          <w:rFonts w:ascii="Verdana" w:eastAsia="Calibri" w:hAnsi="Verdana" w:cs="Arial"/>
          <w:lang w:val="es-MX" w:eastAsia="es-ES_tradnl"/>
        </w:rPr>
        <w:lastRenderedPageBreak/>
        <w:t xml:space="preserve">representar a una de las firmas integrantes de la unión temporal. Aunque las condiciones de participación establecían que la inasistencia conlleva el rechazo de la propuesta, el análisis jurídico </w:t>
      </w:r>
      <w:r>
        <w:rPr>
          <w:rFonts w:ascii="Verdana" w:eastAsia="Calibri" w:hAnsi="Verdana" w:cs="Arial"/>
          <w:lang w:val="es-MX" w:eastAsia="es-ES_tradnl"/>
        </w:rPr>
        <w:t xml:space="preserve">del Consejo de Estado </w:t>
      </w:r>
      <w:r w:rsidRPr="00D65A94">
        <w:rPr>
          <w:rFonts w:ascii="Verdana" w:eastAsia="Calibri" w:hAnsi="Verdana" w:cs="Arial"/>
          <w:lang w:val="es-MX" w:eastAsia="es-ES_tradnl"/>
        </w:rPr>
        <w:t xml:space="preserve">cuestiona la finalidad de esta exigencia, señalando que la visita busca garantizar el conocimiento técnico del terreno y no necesariamente requiere representación legal para cumplir ese propósito. </w:t>
      </w:r>
      <w:r>
        <w:rPr>
          <w:rFonts w:ascii="Verdana" w:eastAsia="Calibri" w:hAnsi="Verdana" w:cs="Arial"/>
          <w:lang w:val="es-MX" w:eastAsia="es-ES_tradnl"/>
        </w:rPr>
        <w:t xml:space="preserve">Por tanto, </w:t>
      </w:r>
      <w:r w:rsidRPr="00D65A94">
        <w:rPr>
          <w:rFonts w:ascii="Verdana" w:eastAsia="Calibri" w:hAnsi="Verdana" w:cs="Arial"/>
          <w:lang w:val="es-MX" w:eastAsia="es-ES_tradnl"/>
        </w:rPr>
        <w:t>exigir un poder con facultades de representación para asistir a la visita es desproporcionado y contraviene principios fundamentales del derecho contractual como la buena fe, la transparencia y la economía. Incluso si se aceptara dicha exigencia, las propias reglas de participación reconocen que la presentación de la propuesta prueba el conocimiento suficiente del proyecto, lo que hace innecesaria la formalidad del poder en esa etapa. Por tanto, la decisión administrativa de rechazar la oferta por este motivo se considera ilegal, al aplicar de manera irreflexiva una regla que no respondía a una causa esencial ni impeditiva para la contratación</w:t>
      </w:r>
      <w:r w:rsidRPr="003B6246">
        <w:rPr>
          <w:rFonts w:ascii="Verdana" w:eastAsia="Calibri" w:hAnsi="Verdana" w:cs="Arial"/>
          <w:vertAlign w:val="superscript"/>
          <w:lang w:val="es-ES" w:eastAsia="es-ES_tradnl"/>
        </w:rPr>
        <w:footnoteReference w:id="21"/>
      </w:r>
      <w:r w:rsidRPr="003B6246">
        <w:rPr>
          <w:rFonts w:ascii="Verdana" w:eastAsia="Calibri" w:hAnsi="Verdana" w:cs="Arial"/>
          <w:lang w:val="es-ES" w:eastAsia="es-ES_tradnl"/>
        </w:rPr>
        <w:t xml:space="preserve">. </w:t>
      </w:r>
    </w:p>
    <w:p w14:paraId="2A84A17A" w14:textId="77777777" w:rsidR="003D6F94" w:rsidRPr="004E209A" w:rsidRDefault="003D6F94" w:rsidP="003D6F94">
      <w:pPr>
        <w:spacing w:after="120" w:line="276" w:lineRule="auto"/>
        <w:ind w:firstLine="708"/>
        <w:jc w:val="both"/>
        <w:rPr>
          <w:rFonts w:ascii="Verdana" w:eastAsia="Calibri" w:hAnsi="Verdana" w:cs="Arial"/>
          <w:lang w:eastAsia="es-ES_tradnl"/>
        </w:rPr>
      </w:pPr>
      <w:r>
        <w:rPr>
          <w:rFonts w:ascii="Verdana" w:eastAsia="Calibri" w:hAnsi="Verdana" w:cs="Arial"/>
          <w:lang w:val="es-ES" w:eastAsia="es-ES_tradnl"/>
        </w:rPr>
        <w:t>Así las cosas,</w:t>
      </w:r>
      <w:r w:rsidRPr="00B771E6">
        <w:rPr>
          <w:rFonts w:ascii="Verdana" w:eastAsia="Calibri" w:hAnsi="Verdana" w:cs="Arial"/>
          <w:lang w:val="es-ES" w:eastAsia="es-ES_tradnl"/>
        </w:rPr>
        <w:t xml:space="preserve"> </w:t>
      </w:r>
      <w:r>
        <w:rPr>
          <w:rFonts w:ascii="Verdana" w:eastAsia="Calibri" w:hAnsi="Verdana" w:cs="Arial"/>
          <w:lang w:val="es-ES" w:eastAsia="es-ES_tradnl"/>
        </w:rPr>
        <w:t xml:space="preserve">la exigencia de visitas obligatorias deben fundarse en el principio de proporcionalidad, que sujetan las actuaciones de las entidades públicas, independiente del régimen de contratación. Ello implica que debe estar orientada </w:t>
      </w:r>
      <w:r w:rsidRPr="00B771E6">
        <w:rPr>
          <w:rFonts w:ascii="Verdana" w:eastAsia="Calibri" w:hAnsi="Verdana" w:cs="Arial"/>
          <w:lang w:val="es-ES" w:eastAsia="es-ES_tradnl"/>
        </w:rPr>
        <w:t>a garantizar la idoneidad de las propuestas</w:t>
      </w:r>
      <w:r>
        <w:rPr>
          <w:rFonts w:ascii="Verdana" w:eastAsia="Calibri" w:hAnsi="Verdana" w:cs="Arial"/>
          <w:lang w:val="es-ES" w:eastAsia="es-ES_tradnl"/>
        </w:rPr>
        <w:t xml:space="preserve">, </w:t>
      </w:r>
      <w:r w:rsidRPr="00B771E6">
        <w:rPr>
          <w:rFonts w:ascii="Verdana" w:eastAsia="Calibri" w:hAnsi="Verdana" w:cs="Arial"/>
          <w:lang w:val="es-ES" w:eastAsia="es-ES_tradnl"/>
        </w:rPr>
        <w:t xml:space="preserve">la correcta ejecución contractual, </w:t>
      </w:r>
      <w:r>
        <w:rPr>
          <w:rFonts w:ascii="Verdana" w:eastAsia="Calibri" w:hAnsi="Verdana" w:cs="Arial"/>
          <w:lang w:val="es-ES" w:eastAsia="es-ES_tradnl"/>
        </w:rPr>
        <w:t xml:space="preserve">y </w:t>
      </w:r>
      <w:r w:rsidRPr="00D91306">
        <w:rPr>
          <w:rFonts w:ascii="Verdana" w:eastAsia="Calibri" w:hAnsi="Verdana" w:cs="Arial"/>
          <w:lang w:val="es-ES" w:eastAsia="es-ES_tradnl"/>
        </w:rPr>
        <w:t>siempre que no tenga efectos excluyentes ni discriminatorios que limiten el acceso de oferentes idóneos</w:t>
      </w:r>
      <w:r>
        <w:rPr>
          <w:rFonts w:ascii="Verdana" w:eastAsia="Calibri" w:hAnsi="Verdana" w:cs="Arial"/>
          <w:lang w:val="es-ES" w:eastAsia="es-ES_tradnl"/>
        </w:rPr>
        <w:t>, en garantía de los principios de igualdad y transparencia en los procesos de contratación.</w:t>
      </w:r>
      <w:r w:rsidRPr="0094448B">
        <w:rPr>
          <w:rFonts w:ascii="Verdana" w:eastAsia="Calibri" w:hAnsi="Verdana" w:cs="Arial"/>
          <w:lang w:eastAsia="es-ES_tradnl"/>
        </w:rPr>
        <w:t xml:space="preserve"> </w:t>
      </w:r>
    </w:p>
    <w:p w14:paraId="3D338A2E" w14:textId="77777777" w:rsidR="003D6F94" w:rsidRPr="00324D11" w:rsidRDefault="003D6F94" w:rsidP="003D6F94">
      <w:pPr>
        <w:spacing w:after="120" w:line="276" w:lineRule="auto"/>
        <w:jc w:val="both"/>
        <w:rPr>
          <w:rFonts w:ascii="Verdana" w:eastAsia="Calibri" w:hAnsi="Verdana" w:cs="Arial"/>
          <w:color w:val="000000" w:themeColor="text1"/>
        </w:rPr>
      </w:pPr>
    </w:p>
    <w:p w14:paraId="7D48DDC6" w14:textId="77777777" w:rsidR="003D6F94" w:rsidRPr="00B16AC6" w:rsidRDefault="003D6F94" w:rsidP="003D6F94">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en torno a la procedencia de las visitas obligatorias </w:t>
      </w:r>
      <w:r w:rsidRPr="00B17041">
        <w:rPr>
          <w:rFonts w:ascii="Verdana" w:hAnsi="Verdana" w:cs="Arial"/>
          <w:lang w:val="es-ES_tradnl" w:eastAsia="es-ES"/>
        </w:rPr>
        <w:t xml:space="preserve">debe </w:t>
      </w:r>
      <w:r>
        <w:rPr>
          <w:rFonts w:ascii="Verdana" w:hAnsi="Verdana" w:cs="Arial"/>
          <w:lang w:val="es-ES_tradnl" w:eastAsia="es-ES"/>
        </w:rPr>
        <w:t xml:space="preserve">realizarse </w:t>
      </w:r>
      <w:r w:rsidRPr="00B17041">
        <w:rPr>
          <w:rFonts w:ascii="Verdana" w:hAnsi="Verdana" w:cs="Arial"/>
          <w:lang w:val="es-ES_tradnl" w:eastAsia="es-ES"/>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F70F7AD" w14:textId="77777777" w:rsidR="003D6F94" w:rsidRPr="00B17041" w:rsidRDefault="003D6F94" w:rsidP="003D6F94">
      <w:pPr>
        <w:spacing w:after="0" w:line="276" w:lineRule="auto"/>
        <w:ind w:firstLine="709"/>
        <w:jc w:val="both"/>
        <w:rPr>
          <w:rFonts w:ascii="Verdana" w:hAnsi="Verdana" w:cs="Arial"/>
          <w:lang w:val="es-ES" w:eastAsia="es-ES"/>
        </w:rPr>
      </w:pPr>
      <w:r w:rsidRPr="00B17041">
        <w:rPr>
          <w:rFonts w:ascii="Verdana" w:hAnsi="Verdana" w:cs="Arial"/>
          <w:lang w:val="es-ES" w:eastAsia="es-ES"/>
        </w:rPr>
        <w:lastRenderedPageBreak/>
        <w:t xml:space="preserve">Dentro de este marco, </w:t>
      </w:r>
      <w:r w:rsidRPr="00485C44">
        <w:rPr>
          <w:rFonts w:ascii="Verdana" w:hAnsi="Verdana" w:cs="Arial"/>
          <w:lang w:val="es-ES" w:eastAsia="es-ES"/>
        </w:rPr>
        <w:t>la empresa de servicios públicos</w:t>
      </w:r>
      <w:r>
        <w:rPr>
          <w:rFonts w:ascii="Verdana" w:hAnsi="Verdana" w:cs="Arial"/>
          <w:lang w:val="es-ES" w:eastAsia="es-ES"/>
        </w:rPr>
        <w:t xml:space="preserve"> 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BDAA6B3" w14:textId="77777777" w:rsidR="003D6F94" w:rsidRPr="00CD0DCD" w:rsidRDefault="003D6F94" w:rsidP="003D6F94">
      <w:pPr>
        <w:spacing w:after="0" w:line="276" w:lineRule="auto"/>
        <w:jc w:val="both"/>
        <w:rPr>
          <w:rFonts w:ascii="Verdana" w:eastAsia="Calibri" w:hAnsi="Verdana" w:cs="Arial"/>
          <w:lang w:val="es-ES" w:eastAsia="es-MX"/>
        </w:rPr>
      </w:pPr>
    </w:p>
    <w:p w14:paraId="6E3A0ECB" w14:textId="77777777" w:rsidR="003D6F94" w:rsidRPr="00B57A1B" w:rsidRDefault="003D6F94" w:rsidP="003D6F94">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445685EB" w14:textId="77777777" w:rsidR="003D6F94" w:rsidRPr="00B57A1B" w:rsidRDefault="003D6F94" w:rsidP="003D6F9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D6F94" w:rsidRPr="00B57A1B" w14:paraId="709FE544" w14:textId="77777777" w:rsidTr="002305CE">
        <w:trPr>
          <w:trHeight w:val="487"/>
          <w:jc w:val="center"/>
        </w:trPr>
        <w:tc>
          <w:tcPr>
            <w:tcW w:w="8647" w:type="dxa"/>
          </w:tcPr>
          <w:p w14:paraId="465C7218" w14:textId="77777777" w:rsidR="003D6F94" w:rsidRDefault="003D6F94" w:rsidP="002305C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155 de 1959, artículo 1. </w:t>
            </w:r>
          </w:p>
          <w:p w14:paraId="6391E7DF" w14:textId="77777777" w:rsidR="003D6F94" w:rsidRPr="008F51F1" w:rsidRDefault="003D6F94" w:rsidP="002305C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 xml:space="preserve">artículo 32 y 40. </w:t>
            </w:r>
          </w:p>
          <w:p w14:paraId="6F793817" w14:textId="77777777" w:rsidR="003D6F94" w:rsidRDefault="003D6F94" w:rsidP="002305C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142 de 1994, artículos 14, 17. 31, 32, 39. </w:t>
            </w:r>
          </w:p>
          <w:p w14:paraId="1869C1A5" w14:textId="77777777" w:rsidR="003D6F94" w:rsidRDefault="003D6F94" w:rsidP="002305C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489 de 1998, artículos 38, 68, 95 y 96. </w:t>
            </w:r>
          </w:p>
          <w:p w14:paraId="2C369103" w14:textId="77777777" w:rsidR="003D6F94" w:rsidRPr="00903928" w:rsidRDefault="003D6F94" w:rsidP="002305CE">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 13. </w:t>
            </w:r>
          </w:p>
          <w:p w14:paraId="4465F12A" w14:textId="77777777" w:rsidR="003D6F94"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03928">
              <w:rPr>
                <w:rFonts w:ascii="Verdana" w:eastAsia="Arial MT" w:hAnsi="Verdana" w:cs="Arial"/>
                <w:lang w:val="es-ES" w:eastAsia="es-ES" w:bidi="es-ES"/>
              </w:rPr>
              <w:t xml:space="preserve">Consejo de Estado. Sección Tercera. Sentencia del 5 de junio de 2008. </w:t>
            </w:r>
            <w:proofErr w:type="spellStart"/>
            <w:r w:rsidRPr="00903928">
              <w:rPr>
                <w:rFonts w:ascii="Verdana" w:eastAsia="Arial MT" w:hAnsi="Verdana" w:cs="Arial"/>
                <w:lang w:val="es-ES" w:eastAsia="es-ES" w:bidi="es-ES"/>
              </w:rPr>
              <w:t>Exp</w:t>
            </w:r>
            <w:proofErr w:type="spellEnd"/>
            <w:r w:rsidRPr="00903928">
              <w:rPr>
                <w:rFonts w:ascii="Verdana" w:eastAsia="Arial MT" w:hAnsi="Verdana" w:cs="Arial"/>
                <w:lang w:val="es-ES" w:eastAsia="es-ES" w:bidi="es-ES"/>
              </w:rPr>
              <w:t>. 8431. C.P. Mauricio Fajardo Gómez.</w:t>
            </w:r>
          </w:p>
          <w:p w14:paraId="15E1A044" w14:textId="77777777" w:rsidR="003D6F94" w:rsidRPr="007B7B6A"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Consejo De Estado. Sección Tercera. Subsección C. Sentencia del 13 de abril de 2011. </w:t>
            </w:r>
            <w:proofErr w:type="spellStart"/>
            <w:r w:rsidRPr="007B7B6A">
              <w:rPr>
                <w:rFonts w:ascii="Verdana" w:eastAsia="Arial MT" w:hAnsi="Verdana" w:cs="Arial"/>
                <w:lang w:val="es-ES" w:eastAsia="es-ES" w:bidi="es-ES"/>
              </w:rPr>
              <w:t>Exp</w:t>
            </w:r>
            <w:proofErr w:type="spellEnd"/>
            <w:r w:rsidRPr="007B7B6A">
              <w:rPr>
                <w:rFonts w:ascii="Verdana" w:eastAsia="Arial MT" w:hAnsi="Verdana" w:cs="Arial"/>
                <w:lang w:val="es-ES" w:eastAsia="es-ES" w:bidi="es-ES"/>
              </w:rPr>
              <w:t>. 37423. C.P. Jaime Orlando Santofimio Gamboa.</w:t>
            </w:r>
          </w:p>
          <w:p w14:paraId="0BCE1989" w14:textId="77777777" w:rsidR="003D6F94" w:rsidRPr="008C3A1A"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8C3A1A">
              <w:rPr>
                <w:rFonts w:ascii="Verdana" w:eastAsia="Arial MT" w:hAnsi="Verdana" w:cs="Arial"/>
                <w:lang w:eastAsia="es-ES" w:bidi="es-ES"/>
              </w:rPr>
              <w:t xml:space="preserve">Consejo de Estado. Sección Tercera, Subsección B. Sentencia del 11 de mayo de 2011. </w:t>
            </w:r>
            <w:proofErr w:type="spellStart"/>
            <w:r w:rsidRPr="008C3A1A">
              <w:rPr>
                <w:rFonts w:ascii="Verdana" w:eastAsia="Arial MT" w:hAnsi="Verdana" w:cs="Arial"/>
                <w:lang w:eastAsia="es-ES" w:bidi="es-ES"/>
              </w:rPr>
              <w:t>Exp</w:t>
            </w:r>
            <w:proofErr w:type="spellEnd"/>
            <w:r w:rsidRPr="008C3A1A">
              <w:rPr>
                <w:rFonts w:ascii="Verdana" w:eastAsia="Arial MT" w:hAnsi="Verdana" w:cs="Arial"/>
                <w:lang w:eastAsia="es-ES" w:bidi="es-ES"/>
              </w:rPr>
              <w:t xml:space="preserve">. 17.113. C.P. Ruth Stella Correa Palacios. </w:t>
            </w:r>
          </w:p>
          <w:p w14:paraId="7CB66586" w14:textId="77777777" w:rsidR="003D6F94" w:rsidRPr="00903928"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Consejo </w:t>
            </w:r>
            <w:r>
              <w:rPr>
                <w:rFonts w:ascii="Verdana" w:eastAsia="Arial MT" w:hAnsi="Verdana" w:cs="Arial"/>
                <w:lang w:val="es-ES" w:eastAsia="es-ES" w:bidi="es-ES"/>
              </w:rPr>
              <w:t>d</w:t>
            </w:r>
            <w:r w:rsidRPr="007B7B6A">
              <w:rPr>
                <w:rFonts w:ascii="Verdana" w:eastAsia="Arial MT" w:hAnsi="Verdana" w:cs="Arial"/>
                <w:lang w:val="es-ES" w:eastAsia="es-ES" w:bidi="es-ES"/>
              </w:rPr>
              <w:t xml:space="preserve">e Estado. Sección Tercera. Subsección B. Sentencia del 15 de noviembre de 2011. </w:t>
            </w:r>
            <w:proofErr w:type="spellStart"/>
            <w:r w:rsidRPr="007B7B6A">
              <w:rPr>
                <w:rFonts w:ascii="Verdana" w:eastAsia="Arial MT" w:hAnsi="Verdana" w:cs="Arial"/>
                <w:lang w:val="es-ES" w:eastAsia="es-ES" w:bidi="es-ES"/>
              </w:rPr>
              <w:t>Exp</w:t>
            </w:r>
            <w:proofErr w:type="spellEnd"/>
            <w:r w:rsidRPr="007B7B6A">
              <w:rPr>
                <w:rFonts w:ascii="Verdana" w:eastAsia="Arial MT" w:hAnsi="Verdana" w:cs="Arial"/>
                <w:lang w:val="es-ES" w:eastAsia="es-ES" w:bidi="es-ES"/>
              </w:rPr>
              <w:t>. 21178. C.P. Ruth Stella Correa Palacio.</w:t>
            </w:r>
            <w:r w:rsidRPr="00903928">
              <w:rPr>
                <w:rFonts w:ascii="Verdana" w:eastAsia="Arial MT" w:hAnsi="Verdana" w:cs="Arial"/>
                <w:lang w:val="es-ES" w:eastAsia="es-ES" w:bidi="es-ES"/>
              </w:rPr>
              <w:t xml:space="preserve"> </w:t>
            </w:r>
          </w:p>
          <w:p w14:paraId="7C61ADD4" w14:textId="77777777" w:rsidR="003D6F94" w:rsidRPr="00DD5CC8"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pt-BR" w:eastAsia="es-ES" w:bidi="es-ES"/>
              </w:rPr>
            </w:pPr>
            <w:proofErr w:type="spellStart"/>
            <w:r w:rsidRPr="00DD5CC8">
              <w:rPr>
                <w:rFonts w:ascii="Verdana" w:eastAsia="Arial MT" w:hAnsi="Verdana" w:cs="Arial"/>
                <w:lang w:val="pt-BR" w:eastAsia="es-ES" w:bidi="es-ES"/>
              </w:rPr>
              <w:t>Consejo</w:t>
            </w:r>
            <w:proofErr w:type="spellEnd"/>
            <w:r w:rsidRPr="00DD5CC8">
              <w:rPr>
                <w:rFonts w:ascii="Verdana" w:eastAsia="Arial MT" w:hAnsi="Verdana" w:cs="Arial"/>
                <w:lang w:val="pt-BR" w:eastAsia="es-ES" w:bidi="es-ES"/>
              </w:rPr>
              <w:t xml:space="preserve"> de Estado. </w:t>
            </w:r>
            <w:proofErr w:type="spellStart"/>
            <w:r w:rsidRPr="00DD5CC8">
              <w:rPr>
                <w:rFonts w:ascii="Verdana" w:eastAsia="Arial MT" w:hAnsi="Verdana" w:cs="Arial"/>
                <w:lang w:val="pt-BR" w:eastAsia="es-ES" w:bidi="es-ES"/>
              </w:rPr>
              <w:t>Sección</w:t>
            </w:r>
            <w:proofErr w:type="spellEnd"/>
            <w:r w:rsidRPr="00DD5CC8">
              <w:rPr>
                <w:rFonts w:ascii="Verdana" w:eastAsia="Arial MT" w:hAnsi="Verdana" w:cs="Arial"/>
                <w:lang w:val="pt-BR" w:eastAsia="es-ES" w:bidi="es-ES"/>
              </w:rPr>
              <w:t xml:space="preserve"> </w:t>
            </w:r>
            <w:proofErr w:type="spellStart"/>
            <w:r w:rsidRPr="00DD5CC8">
              <w:rPr>
                <w:rFonts w:ascii="Verdana" w:eastAsia="Arial MT" w:hAnsi="Verdana" w:cs="Arial"/>
                <w:lang w:val="pt-BR" w:eastAsia="es-ES" w:bidi="es-ES"/>
              </w:rPr>
              <w:t>Tercera</w:t>
            </w:r>
            <w:proofErr w:type="spellEnd"/>
            <w:r w:rsidRPr="00DD5CC8">
              <w:rPr>
                <w:rFonts w:ascii="Verdana" w:eastAsia="Arial MT" w:hAnsi="Verdana" w:cs="Arial"/>
                <w:lang w:val="pt-BR" w:eastAsia="es-ES" w:bidi="es-ES"/>
              </w:rPr>
              <w:t xml:space="preserve">, </w:t>
            </w:r>
            <w:proofErr w:type="spellStart"/>
            <w:r w:rsidRPr="00DD5CC8">
              <w:rPr>
                <w:rFonts w:ascii="Verdana" w:eastAsia="Arial MT" w:hAnsi="Verdana" w:cs="Arial"/>
                <w:lang w:val="pt-BR" w:eastAsia="es-ES" w:bidi="es-ES"/>
              </w:rPr>
              <w:t>Subsección</w:t>
            </w:r>
            <w:proofErr w:type="spellEnd"/>
            <w:r w:rsidRPr="00DD5CC8">
              <w:rPr>
                <w:rFonts w:ascii="Verdana" w:eastAsia="Arial MT" w:hAnsi="Verdana" w:cs="Arial"/>
                <w:lang w:val="pt-BR" w:eastAsia="es-ES" w:bidi="es-ES"/>
              </w:rPr>
              <w:t xml:space="preserve"> A. Sentencia </w:t>
            </w:r>
            <w:proofErr w:type="spellStart"/>
            <w:r w:rsidRPr="00DD5CC8">
              <w:rPr>
                <w:rFonts w:ascii="Verdana" w:eastAsia="Arial MT" w:hAnsi="Verdana" w:cs="Arial"/>
                <w:lang w:val="pt-BR" w:eastAsia="es-ES" w:bidi="es-ES"/>
              </w:rPr>
              <w:t>del</w:t>
            </w:r>
            <w:proofErr w:type="spellEnd"/>
            <w:r w:rsidRPr="00DD5CC8">
              <w:rPr>
                <w:rFonts w:ascii="Verdana" w:eastAsia="Arial MT" w:hAnsi="Verdana" w:cs="Arial"/>
                <w:lang w:val="pt-BR" w:eastAsia="es-ES" w:bidi="es-ES"/>
              </w:rPr>
              <w:t xml:space="preserve"> 24 de </w:t>
            </w:r>
            <w:proofErr w:type="spellStart"/>
            <w:r w:rsidRPr="00DD5CC8">
              <w:rPr>
                <w:rFonts w:ascii="Verdana" w:eastAsia="Arial MT" w:hAnsi="Verdana" w:cs="Arial"/>
                <w:lang w:val="pt-BR" w:eastAsia="es-ES" w:bidi="es-ES"/>
              </w:rPr>
              <w:t>octubre</w:t>
            </w:r>
            <w:proofErr w:type="spellEnd"/>
            <w:r w:rsidRPr="00DD5CC8">
              <w:rPr>
                <w:rFonts w:ascii="Verdana" w:eastAsia="Arial MT" w:hAnsi="Verdana" w:cs="Arial"/>
                <w:lang w:val="pt-BR" w:eastAsia="es-ES" w:bidi="es-ES"/>
              </w:rPr>
              <w:t xml:space="preserve"> de 2016. Exp.  45.607. C.P. Martha Nubia Velásquez Rico.</w:t>
            </w:r>
          </w:p>
          <w:p w14:paraId="4A568A70" w14:textId="77777777" w:rsidR="003D6F94" w:rsidRPr="00DD5CC8"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proofErr w:type="spellStart"/>
            <w:r w:rsidRPr="00DD5CC8">
              <w:rPr>
                <w:rFonts w:ascii="Verdana" w:eastAsia="Arial MT" w:hAnsi="Verdana" w:cs="Arial"/>
                <w:lang w:val="pt-BR" w:eastAsia="es-ES" w:bidi="es-ES"/>
              </w:rPr>
              <w:t>Consejo</w:t>
            </w:r>
            <w:proofErr w:type="spellEnd"/>
            <w:r w:rsidRPr="00DD5CC8">
              <w:rPr>
                <w:rFonts w:ascii="Verdana" w:eastAsia="Arial MT" w:hAnsi="Verdana" w:cs="Arial"/>
                <w:lang w:val="pt-BR" w:eastAsia="es-ES" w:bidi="es-ES"/>
              </w:rPr>
              <w:t xml:space="preserve"> de Estado. </w:t>
            </w:r>
            <w:proofErr w:type="spellStart"/>
            <w:r w:rsidRPr="00DD5CC8">
              <w:rPr>
                <w:rFonts w:ascii="Verdana" w:eastAsia="Arial MT" w:hAnsi="Verdana" w:cs="Arial"/>
                <w:lang w:val="pt-BR" w:eastAsia="es-ES" w:bidi="es-ES"/>
              </w:rPr>
              <w:t>Sección</w:t>
            </w:r>
            <w:proofErr w:type="spellEnd"/>
            <w:r w:rsidRPr="00DD5CC8">
              <w:rPr>
                <w:rFonts w:ascii="Verdana" w:eastAsia="Arial MT" w:hAnsi="Verdana" w:cs="Arial"/>
                <w:lang w:val="pt-BR" w:eastAsia="es-ES" w:bidi="es-ES"/>
              </w:rPr>
              <w:t xml:space="preserve"> </w:t>
            </w:r>
            <w:proofErr w:type="spellStart"/>
            <w:r w:rsidRPr="00DD5CC8">
              <w:rPr>
                <w:rFonts w:ascii="Verdana" w:eastAsia="Arial MT" w:hAnsi="Verdana" w:cs="Arial"/>
                <w:lang w:val="pt-BR" w:eastAsia="es-ES" w:bidi="es-ES"/>
              </w:rPr>
              <w:t>Tercera</w:t>
            </w:r>
            <w:proofErr w:type="spellEnd"/>
            <w:r w:rsidRPr="00DD5CC8">
              <w:rPr>
                <w:rFonts w:ascii="Verdana" w:eastAsia="Arial MT" w:hAnsi="Verdana" w:cs="Arial"/>
                <w:lang w:val="pt-BR" w:eastAsia="es-ES" w:bidi="es-ES"/>
              </w:rPr>
              <w:t xml:space="preserve">, </w:t>
            </w:r>
            <w:proofErr w:type="spellStart"/>
            <w:r w:rsidRPr="00DD5CC8">
              <w:rPr>
                <w:rFonts w:ascii="Verdana" w:eastAsia="Arial MT" w:hAnsi="Verdana" w:cs="Arial"/>
                <w:lang w:val="pt-BR" w:eastAsia="es-ES" w:bidi="es-ES"/>
              </w:rPr>
              <w:t>Subsección</w:t>
            </w:r>
            <w:proofErr w:type="spellEnd"/>
            <w:r w:rsidRPr="00DD5CC8">
              <w:rPr>
                <w:rFonts w:ascii="Verdana" w:eastAsia="Arial MT" w:hAnsi="Verdana" w:cs="Arial"/>
                <w:lang w:val="pt-BR" w:eastAsia="es-ES" w:bidi="es-ES"/>
              </w:rPr>
              <w:t xml:space="preserve"> C. Sentencia </w:t>
            </w:r>
            <w:proofErr w:type="spellStart"/>
            <w:r w:rsidRPr="00DD5CC8">
              <w:rPr>
                <w:rFonts w:ascii="Verdana" w:eastAsia="Arial MT" w:hAnsi="Verdana" w:cs="Arial"/>
                <w:lang w:val="pt-BR" w:eastAsia="es-ES" w:bidi="es-ES"/>
              </w:rPr>
              <w:t>del</w:t>
            </w:r>
            <w:proofErr w:type="spellEnd"/>
            <w:r w:rsidRPr="00DD5CC8">
              <w:rPr>
                <w:rFonts w:ascii="Verdana" w:eastAsia="Arial MT" w:hAnsi="Verdana" w:cs="Arial"/>
                <w:lang w:val="pt-BR" w:eastAsia="es-ES" w:bidi="es-ES"/>
              </w:rPr>
              <w:t xml:space="preserve"> 28 de </w:t>
            </w:r>
            <w:proofErr w:type="spellStart"/>
            <w:r w:rsidRPr="00DD5CC8">
              <w:rPr>
                <w:rFonts w:ascii="Verdana" w:eastAsia="Arial MT" w:hAnsi="Verdana" w:cs="Arial"/>
                <w:lang w:val="pt-BR" w:eastAsia="es-ES" w:bidi="es-ES"/>
              </w:rPr>
              <w:t>junio</w:t>
            </w:r>
            <w:proofErr w:type="spellEnd"/>
            <w:r w:rsidRPr="00DD5CC8">
              <w:rPr>
                <w:rFonts w:ascii="Verdana" w:eastAsia="Arial MT" w:hAnsi="Verdana" w:cs="Arial"/>
                <w:lang w:val="pt-BR" w:eastAsia="es-ES" w:bidi="es-ES"/>
              </w:rPr>
              <w:t xml:space="preserve"> de 2019. Exp. 42.326. C.P. Jaime Enrique Rodríguez Navas.</w:t>
            </w:r>
          </w:p>
          <w:p w14:paraId="7509BE3B" w14:textId="77777777" w:rsidR="003D6F94"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9359D">
              <w:rPr>
                <w:rFonts w:ascii="Verdana" w:eastAsia="Arial MT" w:hAnsi="Verdana" w:cs="Arial"/>
                <w:lang w:val="pt-BR" w:eastAsia="es-ES" w:bidi="es-ES"/>
              </w:rPr>
              <w:t xml:space="preserve">Corte Constitucional. Sentencia C-736 de 2007. </w:t>
            </w:r>
            <w:r w:rsidRPr="007B7B6A">
              <w:rPr>
                <w:rFonts w:ascii="Verdana" w:eastAsia="Arial MT" w:hAnsi="Verdana" w:cs="Arial"/>
                <w:lang w:val="es-ES" w:eastAsia="es-ES" w:bidi="es-ES"/>
              </w:rPr>
              <w:t>M.P. Marco Gerardo Monroy Cabra.</w:t>
            </w:r>
          </w:p>
          <w:p w14:paraId="11D3CB95" w14:textId="77777777" w:rsidR="003D6F94" w:rsidRPr="007B7B6A"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lastRenderedPageBreak/>
              <w:t>BARRETO MORENO, Antonio Alejandro. El derecho de la compra pública: estudio jurídico de un mercado imperfecto. Bogotá: Legis, 2019. pp. 281 y ss.</w:t>
            </w:r>
          </w:p>
          <w:p w14:paraId="0535C735" w14:textId="77777777" w:rsidR="003D6F94" w:rsidRPr="007B7B6A"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BENAVIDES, José Luis. El contrato estatal: entre el derecho público y el derecho privado. Segunda edición. Bogotá: Universidad Externado de Colombia, 2009. pp. 78-79.      </w:t>
            </w:r>
          </w:p>
          <w:p w14:paraId="7B27F8F1" w14:textId="77777777" w:rsidR="003D6F94" w:rsidRPr="007B7B6A"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BETANCUR JARAMILLO, Carlos. Derecho procesal administrativo. Octava edición. Medellín: Señal Editora, 2013. </w:t>
            </w:r>
          </w:p>
          <w:p w14:paraId="47863AB3" w14:textId="77777777" w:rsidR="003D6F94" w:rsidRPr="007B7B6A"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JOJOA BOLAÑOS, Alexander. Los regímenes exceptuados en los contratos estatales. Bogotá: Grupo Editorial Ibáñez, 2012. p. 89.</w:t>
            </w:r>
          </w:p>
          <w:p w14:paraId="0386B654" w14:textId="77777777" w:rsidR="003D6F94"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MARÍN CORTES, Fabián Gonzalo. Los servicios semipúblicos domiciliarios. Bogotá: Temis, 2010.</w:t>
            </w:r>
          </w:p>
          <w:p w14:paraId="620D6B10" w14:textId="77777777" w:rsidR="003D6F94" w:rsidRPr="00DD5CC8"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eastAsia="es-ES" w:bidi="es-ES"/>
              </w:rPr>
              <w:t>LUQUE, Guillermo Sánchez. ¿</w:t>
            </w:r>
            <w:r w:rsidRPr="00A14813">
              <w:rPr>
                <w:rFonts w:ascii="Verdana" w:eastAsia="Arial MT" w:hAnsi="Verdana" w:cs="Arial"/>
                <w:lang w:eastAsia="es-ES" w:bidi="es-ES"/>
              </w:rPr>
              <w:t>Las empresas prestadoras de servicios públicos privadas son entidades estatales? A propósito de la Sentencia C 736 de 2007. </w:t>
            </w:r>
            <w:r w:rsidRPr="00A14813">
              <w:rPr>
                <w:rFonts w:ascii="Verdana" w:eastAsia="Arial MT" w:hAnsi="Verdana" w:cs="Arial"/>
                <w:i/>
                <w:iCs/>
                <w:lang w:eastAsia="es-ES" w:bidi="es-ES"/>
              </w:rPr>
              <w:t>Con-texto</w:t>
            </w:r>
            <w:r w:rsidRPr="00A14813">
              <w:rPr>
                <w:rFonts w:ascii="Verdana" w:eastAsia="Arial MT" w:hAnsi="Verdana" w:cs="Arial"/>
                <w:lang w:eastAsia="es-ES" w:bidi="es-ES"/>
              </w:rPr>
              <w:t xml:space="preserve"> Revista de Derecho y Economía, 2008. </w:t>
            </w:r>
            <w:proofErr w:type="spellStart"/>
            <w:r w:rsidRPr="00A14813">
              <w:rPr>
                <w:rFonts w:ascii="Verdana" w:eastAsia="Arial MT" w:hAnsi="Verdana" w:cs="Arial"/>
                <w:lang w:eastAsia="es-ES" w:bidi="es-ES"/>
              </w:rPr>
              <w:t>Vol</w:t>
            </w:r>
            <w:proofErr w:type="spellEnd"/>
            <w:r w:rsidRPr="00A14813">
              <w:rPr>
                <w:rFonts w:ascii="Verdana" w:eastAsia="Arial MT" w:hAnsi="Verdana" w:cs="Arial"/>
                <w:lang w:eastAsia="es-ES" w:bidi="es-ES"/>
              </w:rPr>
              <w:t xml:space="preserve"> 25.</w:t>
            </w:r>
          </w:p>
          <w:p w14:paraId="37D127A5" w14:textId="77777777" w:rsidR="003D6F94" w:rsidRPr="00DD5CC8"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DD5CC8">
              <w:rPr>
                <w:rFonts w:ascii="Verdana" w:eastAsia="Arial MT" w:hAnsi="Verdana" w:cs="Arial"/>
                <w:lang w:val="es-ES" w:eastAsia="es-ES" w:bidi="es-ES"/>
              </w:rPr>
              <w:t xml:space="preserve">Agencia Nacional de Contratación Pública –Colombia Compra Eficiente. Guía de competencia en las compras públicas, 2018. Disponible en línea: https://www.colombiacompra.gov.co/archivos/manual/guia-de-competencia-en-las-compras-publicas </w:t>
            </w:r>
          </w:p>
          <w:p w14:paraId="6DEAAED1" w14:textId="77777777" w:rsidR="003D6F94" w:rsidRPr="00DD5CC8"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DD5CC8">
              <w:rPr>
                <w:rFonts w:ascii="Verdana" w:eastAsia="Arial MT" w:hAnsi="Verdana" w:cs="Arial"/>
                <w:lang w:val="es-ES" w:eastAsia="es-ES" w:bidi="es-ES"/>
              </w:rPr>
              <w:t xml:space="preserve">Agencia Nacional de Contratación Pública –Colombia Compra Eficiente. Circular Externa Única, 2023. </w:t>
            </w:r>
          </w:p>
          <w:p w14:paraId="5F418BDF" w14:textId="77777777" w:rsidR="003D6F94" w:rsidRPr="00B57A1B" w:rsidRDefault="003D6F94" w:rsidP="002305C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DD5CC8">
              <w:rPr>
                <w:rFonts w:ascii="Verdana" w:eastAsia="Arial MT" w:hAnsi="Verdana" w:cs="Arial"/>
                <w:lang w:val="es-ES" w:eastAsia="es-ES" w:bidi="es-ES"/>
              </w:rPr>
              <w:t xml:space="preserve">Agencia Nacional de Contratación Pública – Colombia Compra Eficiente. Guía para la Gestión Contractual de entidades estatales con régimen especial. 2025. Disponible en línea: https://www.colombiacompra.gov.co/archivos/manual/guia-para-la-gestion-contractual-de-entidades-estatales-con-regimen-especial.  </w:t>
            </w:r>
          </w:p>
        </w:tc>
      </w:tr>
    </w:tbl>
    <w:p w14:paraId="412B5A30" w14:textId="77777777" w:rsidR="003D6F94" w:rsidRPr="00B57A1B" w:rsidRDefault="003D6F94" w:rsidP="003D6F94">
      <w:pPr>
        <w:widowControl w:val="0"/>
        <w:autoSpaceDE w:val="0"/>
        <w:autoSpaceDN w:val="0"/>
        <w:spacing w:after="0" w:line="276" w:lineRule="auto"/>
        <w:jc w:val="both"/>
        <w:rPr>
          <w:rFonts w:ascii="Verdana" w:hAnsi="Verdana" w:cs="Arial"/>
        </w:rPr>
      </w:pPr>
    </w:p>
    <w:p w14:paraId="372FC046" w14:textId="77777777" w:rsidR="003D6F94" w:rsidRPr="00B57A1B" w:rsidRDefault="003D6F94" w:rsidP="003D6F94">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3DF0194B" w14:textId="77777777" w:rsidR="003D6F94" w:rsidRPr="00B57A1B" w:rsidRDefault="003D6F94" w:rsidP="003D6F94">
      <w:pPr>
        <w:widowControl w:val="0"/>
        <w:autoSpaceDE w:val="0"/>
        <w:autoSpaceDN w:val="0"/>
        <w:spacing w:after="0" w:line="276" w:lineRule="auto"/>
        <w:jc w:val="both"/>
        <w:rPr>
          <w:rFonts w:ascii="Verdana" w:hAnsi="Verdana" w:cs="Arial"/>
        </w:rPr>
      </w:pPr>
    </w:p>
    <w:p w14:paraId="3F07203F" w14:textId="77777777" w:rsidR="003D6F94" w:rsidRPr="007D6CC8" w:rsidRDefault="003D6F94" w:rsidP="003D6F94">
      <w:pPr>
        <w:widowControl w:val="0"/>
        <w:autoSpaceDE w:val="0"/>
        <w:autoSpaceDN w:val="0"/>
        <w:spacing w:after="0" w:line="276" w:lineRule="auto"/>
        <w:jc w:val="both"/>
        <w:rPr>
          <w:rFonts w:ascii="Verdana" w:hAnsi="Verdana" w:cs="Arial"/>
          <w:shd w:val="clear" w:color="auto" w:fill="FFFFFF"/>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las empresas de servicios públicos en los Conceptos C- 792 del 28 de noviembre de 2024, C- 429 del 13 de mayo de 2025, C-477 del 20 de mayo de 2025, C-1004 del 29 de agosto de 2025, C- </w:t>
      </w:r>
      <w:r>
        <w:rPr>
          <w:rFonts w:ascii="Verdana" w:hAnsi="Verdana" w:cs="Arial"/>
          <w:shd w:val="clear" w:color="auto" w:fill="FFFFFF"/>
        </w:rPr>
        <w:lastRenderedPageBreak/>
        <w:t>1012 del 4 de septiembre de 2025, C-1368 del 5 de noviembre de 2025, entre otras.</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F6CEE1A" w14:textId="77777777" w:rsidR="003D6F94" w:rsidRPr="00185EE9" w:rsidRDefault="000C31DD" w:rsidP="003D6F94">
      <w:pPr>
        <w:spacing w:after="0" w:line="256" w:lineRule="auto"/>
        <w:jc w:val="both"/>
        <w:rPr>
          <w:rFonts w:ascii="Verdana" w:eastAsia="Calibri" w:hAnsi="Verdana" w:cs="Times New Roman"/>
        </w:rPr>
      </w:pPr>
      <w:hyperlink r:id="rId13" w:history="1">
        <w:r w:rsidR="003D6F94" w:rsidRPr="00F14AAD">
          <w:rPr>
            <w:rStyle w:val="Hipervnculo"/>
            <w:rFonts w:ascii="Verdana" w:eastAsia="Calibri" w:hAnsi="Verdana" w:cs="Times New Roman"/>
            <w:lang w:val="es-ES"/>
          </w:rPr>
          <w:t>https://relatoria.colombiacompra.gov.co/busqueda/conceptos</w:t>
        </w:r>
      </w:hyperlink>
      <w:r w:rsidR="003D6F94" w:rsidRPr="00185EE9">
        <w:rPr>
          <w:rFonts w:ascii="Verdana" w:eastAsia="Calibri" w:hAnsi="Verdana" w:cs="Times New Roman"/>
        </w:rPr>
        <w:t xml:space="preserve">. </w:t>
      </w:r>
    </w:p>
    <w:p w14:paraId="60F70D6C" w14:textId="77777777" w:rsidR="003D6F94" w:rsidRPr="00B57A1B" w:rsidRDefault="003D6F94" w:rsidP="003D6F94">
      <w:pPr>
        <w:spacing w:after="0"/>
        <w:jc w:val="both"/>
        <w:rPr>
          <w:rFonts w:ascii="Verdana" w:hAnsi="Verdana"/>
        </w:rPr>
      </w:pPr>
    </w:p>
    <w:p w14:paraId="00CAC7FF" w14:textId="77777777" w:rsidR="003D6F94" w:rsidRPr="00B57A1B" w:rsidRDefault="003D6F94" w:rsidP="003D6F94">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7E673A5B" w14:textId="77777777" w:rsidR="003D6F94" w:rsidRPr="00B57A1B" w:rsidRDefault="003D6F94" w:rsidP="003D6F94">
      <w:pPr>
        <w:spacing w:after="0" w:line="240" w:lineRule="auto"/>
        <w:jc w:val="both"/>
        <w:rPr>
          <w:rFonts w:ascii="Verdana" w:hAnsi="Verdana"/>
        </w:rPr>
      </w:pPr>
    </w:p>
    <w:p w14:paraId="5936A227" w14:textId="77777777" w:rsidR="003D6F94" w:rsidRPr="00B57A1B" w:rsidRDefault="003D6F94" w:rsidP="003D6F94">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FF7A988" w14:textId="77777777" w:rsidR="003D6F94" w:rsidRPr="00B57A1B" w:rsidRDefault="003D6F94" w:rsidP="003D6F94">
      <w:pPr>
        <w:spacing w:after="0" w:line="256" w:lineRule="auto"/>
        <w:jc w:val="both"/>
        <w:rPr>
          <w:rFonts w:ascii="Verdana" w:eastAsia="Calibri" w:hAnsi="Verdana" w:cs="Times New Roman"/>
        </w:rPr>
      </w:pPr>
    </w:p>
    <w:p w14:paraId="696BED5D" w14:textId="064B07EE" w:rsidR="003D6F94" w:rsidRPr="008E6050" w:rsidRDefault="003D6F94" w:rsidP="008E6050">
      <w:pPr>
        <w:spacing w:after="0" w:line="256" w:lineRule="auto"/>
        <w:jc w:val="both"/>
        <w:rPr>
          <w:rFonts w:ascii="Verdana" w:eastAsia="Calibri" w:hAnsi="Verdana" w:cs="Times New Roman"/>
          <w:noProof/>
        </w:rPr>
      </w:pPr>
      <w:r w:rsidRPr="2AC31FC9">
        <w:rPr>
          <w:rFonts w:ascii="Verdana" w:eastAsia="Calibri" w:hAnsi="Verdana" w:cs="Times New Roman"/>
        </w:rPr>
        <w:t>Atentamente,</w:t>
      </w:r>
    </w:p>
    <w:p w14:paraId="240BD9B3" w14:textId="638BB28C" w:rsidR="006E6B21" w:rsidRPr="008E6050" w:rsidRDefault="006E6B21" w:rsidP="008E6050">
      <w:pPr>
        <w:spacing w:after="0" w:line="256" w:lineRule="auto"/>
        <w:jc w:val="center"/>
        <w:rPr>
          <w:noProof/>
          <w:lang w:val="en-US"/>
        </w:rPr>
      </w:pPr>
      <w:r>
        <w:rPr>
          <w:noProof/>
          <w:lang w:val="en-US"/>
        </w:rPr>
        <w:drawing>
          <wp:inline distT="0" distB="0" distL="0" distR="0" wp14:anchorId="2C06C5F0" wp14:editId="058764AD">
            <wp:extent cx="3314700" cy="1339816"/>
            <wp:effectExtent l="0" t="0" r="0" b="0"/>
            <wp:docPr id="2" name="Imagen 2" descr="C:\Users\José Luis\OneDrive\Documentos\COLOMBIA COMPRA EFICIENTE\2025\REPARTO\C-800 PAGO DE LA SEGURIDAD SOCIAL- REFORMA PENSIONAL 14-07-2025\thumbnail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é Luis\OneDrive\Documentos\COLOMBIA COMPRA EFICIENTE\2025\REPARTO\C-800 PAGO DE LA SEGURIDAD SOCIAL- REFORMA PENSIONAL 14-07-2025\thumbnail_imag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43185" cy="1391750"/>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D6F94" w:rsidRPr="00624164" w14:paraId="330D213E" w14:textId="77777777" w:rsidTr="002305CE">
        <w:trPr>
          <w:trHeight w:val="409"/>
        </w:trPr>
        <w:tc>
          <w:tcPr>
            <w:tcW w:w="817" w:type="dxa"/>
            <w:tcBorders>
              <w:top w:val="nil"/>
              <w:left w:val="nil"/>
              <w:bottom w:val="nil"/>
              <w:right w:val="nil"/>
            </w:tcBorders>
            <w:vAlign w:val="center"/>
            <w:hideMark/>
          </w:tcPr>
          <w:p w14:paraId="6C7DF79A"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790C196"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José Luis Sánchez Cardona</w:t>
            </w:r>
          </w:p>
          <w:p w14:paraId="475F6E09"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Contratista de la Subdirección de Gestión Contractual</w:t>
            </w:r>
          </w:p>
        </w:tc>
      </w:tr>
      <w:tr w:rsidR="003D6F94" w:rsidRPr="00624164" w14:paraId="3324CCD0" w14:textId="77777777" w:rsidTr="002305CE">
        <w:trPr>
          <w:trHeight w:val="409"/>
        </w:trPr>
        <w:tc>
          <w:tcPr>
            <w:tcW w:w="817" w:type="dxa"/>
            <w:tcBorders>
              <w:top w:val="nil"/>
              <w:left w:val="nil"/>
              <w:bottom w:val="nil"/>
              <w:right w:val="nil"/>
            </w:tcBorders>
            <w:vAlign w:val="center"/>
            <w:hideMark/>
          </w:tcPr>
          <w:p w14:paraId="19C1166D"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F861157"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Alejandro Sarmiento Cantillo</w:t>
            </w:r>
          </w:p>
          <w:p w14:paraId="755403DB"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Gestor T1-15 de la Subdirección de Gestión Contractual </w:t>
            </w:r>
          </w:p>
        </w:tc>
      </w:tr>
      <w:tr w:rsidR="003D6F94" w:rsidRPr="00624164" w14:paraId="5B3B9EAA" w14:textId="77777777" w:rsidTr="002305CE">
        <w:trPr>
          <w:trHeight w:val="389"/>
        </w:trPr>
        <w:tc>
          <w:tcPr>
            <w:tcW w:w="817" w:type="dxa"/>
            <w:tcBorders>
              <w:top w:val="nil"/>
              <w:left w:val="nil"/>
              <w:bottom w:val="nil"/>
              <w:right w:val="nil"/>
            </w:tcBorders>
            <w:vAlign w:val="center"/>
            <w:hideMark/>
          </w:tcPr>
          <w:p w14:paraId="25D222E7"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991BB82"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Ana María Tolosa Rico</w:t>
            </w:r>
          </w:p>
          <w:p w14:paraId="36D3178F" w14:textId="77777777" w:rsidR="003D6F94" w:rsidRPr="00624164" w:rsidRDefault="003D6F94" w:rsidP="002305CE">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 xml:space="preserve">Subdirectora de Gestión Contractual ANCP – CCE </w:t>
            </w:r>
            <w:proofErr w:type="gramStart"/>
            <w:r w:rsidRPr="00624164">
              <w:rPr>
                <w:rFonts w:ascii="Verdana" w:eastAsia="Calibri" w:hAnsi="Verdana" w:cs="Times New Roman"/>
                <w:sz w:val="16"/>
                <w:szCs w:val="16"/>
              </w:rPr>
              <w:t>( E</w:t>
            </w:r>
            <w:proofErr w:type="gramEnd"/>
            <w:r w:rsidRPr="00624164">
              <w:rPr>
                <w:rFonts w:ascii="Verdana" w:eastAsia="Calibri" w:hAnsi="Verdana" w:cs="Times New Roman"/>
                <w:sz w:val="16"/>
                <w:szCs w:val="16"/>
              </w:rPr>
              <w:t xml:space="preserve"> ) </w:t>
            </w:r>
          </w:p>
        </w:tc>
      </w:tr>
      <w:bookmarkEnd w:id="0"/>
    </w:tbl>
    <w:p w14:paraId="0F293BF4" w14:textId="2F184265" w:rsidR="00127233" w:rsidRPr="003D6F94" w:rsidRDefault="00127233" w:rsidP="008E6050"/>
    <w:sectPr w:rsidR="00127233" w:rsidRPr="003D6F94"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33EAA" w14:textId="77777777" w:rsidR="00EB7205" w:rsidRDefault="00EB7205" w:rsidP="004A1847">
      <w:pPr>
        <w:spacing w:after="0" w:line="240" w:lineRule="auto"/>
      </w:pPr>
      <w:r>
        <w:separator/>
      </w:r>
    </w:p>
  </w:endnote>
  <w:endnote w:type="continuationSeparator" w:id="0">
    <w:p w14:paraId="16D1CE40" w14:textId="77777777" w:rsidR="00EB7205" w:rsidRDefault="00EB72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4236E60C"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E6050" w:rsidRPr="008E6050">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D44E26">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D44E26">
      <w:rPr>
        <w:rFonts w:ascii="Century Gothic" w:eastAsia="Geo" w:hAnsi="Century Gothic" w:cs="Geo"/>
        <w:sz w:val="16"/>
        <w:szCs w:val="16"/>
        <w:lang w:eastAsia="es-CO"/>
      </w:rPr>
      <w:t>3</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 xml:space="preserve">Fecha: </w:t>
    </w:r>
    <w:r w:rsidR="00D44E26">
      <w:rPr>
        <w:rFonts w:ascii="Century Gothic" w:eastAsia="Geo" w:hAnsi="Century Gothic" w:cs="Geo"/>
        <w:sz w:val="16"/>
        <w:szCs w:val="16"/>
        <w:lang w:eastAsia="es-CO"/>
      </w:rPr>
      <w:t>21</w:t>
    </w:r>
    <w:r w:rsidR="0025796E">
      <w:rPr>
        <w:rFonts w:ascii="Century Gothic" w:eastAsia="Geo" w:hAnsi="Century Gothic" w:cs="Geo"/>
        <w:sz w:val="16"/>
        <w:szCs w:val="16"/>
        <w:lang w:eastAsia="es-CO"/>
      </w:rPr>
      <w:t>-</w:t>
    </w:r>
    <w:r w:rsidR="00D44E26">
      <w:rPr>
        <w:rFonts w:ascii="Century Gothic" w:eastAsia="Geo" w:hAnsi="Century Gothic" w:cs="Geo"/>
        <w:sz w:val="16"/>
        <w:szCs w:val="16"/>
        <w:lang w:eastAsia="es-CO"/>
      </w:rPr>
      <w:t>10</w:t>
    </w:r>
    <w:r w:rsidR="0025796E">
      <w:rPr>
        <w:rFonts w:ascii="Century Gothic" w:eastAsia="Geo" w:hAnsi="Century Gothic" w:cs="Geo"/>
        <w:sz w:val="16"/>
        <w:szCs w:val="16"/>
        <w:lang w:eastAsia="es-CO"/>
      </w:rPr>
      <w:t>-202</w:t>
    </w:r>
    <w:r w:rsidR="00D44E26">
      <w:rPr>
        <w:rFonts w:ascii="Century Gothic" w:eastAsia="Geo" w:hAnsi="Century Gothic" w:cs="Geo"/>
        <w:sz w:val="16"/>
        <w:szCs w:val="16"/>
        <w:lang w:eastAsia="es-CO"/>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FC809" w14:textId="77777777" w:rsidR="00EB7205" w:rsidRDefault="00EB7205" w:rsidP="004A1847">
      <w:pPr>
        <w:spacing w:after="0" w:line="240" w:lineRule="auto"/>
      </w:pPr>
      <w:r>
        <w:separator/>
      </w:r>
    </w:p>
  </w:footnote>
  <w:footnote w:type="continuationSeparator" w:id="0">
    <w:p w14:paraId="71A4F35C" w14:textId="77777777" w:rsidR="00EB7205" w:rsidRDefault="00EB7205" w:rsidP="004A1847">
      <w:pPr>
        <w:spacing w:after="0" w:line="240" w:lineRule="auto"/>
      </w:pPr>
      <w:r>
        <w:continuationSeparator/>
      </w:r>
    </w:p>
  </w:footnote>
  <w:footnote w:id="1">
    <w:p w14:paraId="5C353651" w14:textId="77777777" w:rsidR="003D6F94" w:rsidRPr="008F51F1" w:rsidRDefault="003D6F94" w:rsidP="003D6F94">
      <w:pPr>
        <w:pStyle w:val="Textonotapie"/>
        <w:ind w:firstLine="708"/>
        <w:jc w:val="both"/>
        <w:rPr>
          <w:rFonts w:ascii="Verdana" w:hAnsi="Verdana" w:cs="Arial"/>
          <w:sz w:val="16"/>
          <w:szCs w:val="16"/>
          <w:lang w:val="es-ES"/>
        </w:rPr>
      </w:pPr>
      <w:r w:rsidRPr="008F51F1">
        <w:rPr>
          <w:rStyle w:val="Refdenotaalpie"/>
          <w:rFonts w:ascii="Verdana" w:hAnsi="Verdana" w:cs="Arial"/>
          <w:sz w:val="16"/>
          <w:szCs w:val="16"/>
          <w:vertAlign w:val="baseline"/>
        </w:rPr>
        <w:footnoteRef/>
      </w:r>
      <w:r w:rsidRPr="008F51F1">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0071A22A" w14:textId="77777777" w:rsidR="003D6F94" w:rsidRPr="008F51F1" w:rsidRDefault="003D6F94" w:rsidP="003D6F94">
      <w:pPr>
        <w:pStyle w:val="Textonotapie"/>
        <w:ind w:firstLine="708"/>
        <w:jc w:val="both"/>
        <w:rPr>
          <w:rFonts w:ascii="Verdana" w:hAnsi="Verdana" w:cs="Arial"/>
          <w:sz w:val="16"/>
          <w:szCs w:val="16"/>
          <w:lang w:val="es-ES"/>
        </w:rPr>
      </w:pPr>
      <w:r w:rsidRPr="008F51F1">
        <w:rPr>
          <w:rStyle w:val="Refdenotaalpie"/>
          <w:rFonts w:ascii="Verdana" w:hAnsi="Verdana" w:cs="Arial"/>
          <w:sz w:val="16"/>
          <w:szCs w:val="16"/>
          <w:vertAlign w:val="baseline"/>
        </w:rPr>
        <w:footnoteRef/>
      </w:r>
      <w:r w:rsidRPr="008F51F1">
        <w:rPr>
          <w:rFonts w:ascii="Verdana" w:hAnsi="Verdana" w:cs="Arial"/>
          <w:sz w:val="16"/>
          <w:szCs w:val="16"/>
        </w:rPr>
        <w:t xml:space="preserve"> BETANCUR JARAMILLO, Carlos. Derecho procesal administrativo. Octava edición. Medellín: Señal Editora, 2013. p. 627. </w:t>
      </w:r>
    </w:p>
  </w:footnote>
  <w:footnote w:id="3">
    <w:p w14:paraId="2266C57B" w14:textId="77777777" w:rsidR="003D6F94" w:rsidRPr="008F51F1" w:rsidRDefault="003D6F94" w:rsidP="003D6F94">
      <w:pPr>
        <w:pStyle w:val="Textonotapie"/>
        <w:ind w:firstLine="708"/>
        <w:jc w:val="both"/>
        <w:rPr>
          <w:rFonts w:ascii="Verdana" w:hAnsi="Verdana" w:cs="Arial"/>
          <w:sz w:val="16"/>
          <w:szCs w:val="16"/>
        </w:rPr>
      </w:pPr>
      <w:r w:rsidRPr="008F51F1">
        <w:rPr>
          <w:rStyle w:val="Refdenotaalpie"/>
          <w:rFonts w:ascii="Verdana" w:hAnsi="Verdana" w:cs="Arial"/>
          <w:sz w:val="16"/>
          <w:szCs w:val="16"/>
          <w:vertAlign w:val="baseline"/>
        </w:rPr>
        <w:footnoteRef/>
      </w:r>
      <w:r w:rsidRPr="008F51F1">
        <w:rPr>
          <w:rFonts w:ascii="Verdana" w:hAnsi="Verdana" w:cs="Arial"/>
          <w:sz w:val="16"/>
          <w:szCs w:val="16"/>
        </w:rPr>
        <w:t xml:space="preserve"> JOJOA BOLAÑOS, Alexander. Los regímenes exceptuados en los contratos estatales. Bogotá: Grupo Editorial Ibáñez, 2012. p. 89.</w:t>
      </w:r>
    </w:p>
  </w:footnote>
  <w:footnote w:id="4">
    <w:p w14:paraId="5BB2B735" w14:textId="77777777" w:rsidR="003D6F94" w:rsidRPr="008F51F1" w:rsidRDefault="003D6F94" w:rsidP="003D6F94">
      <w:pPr>
        <w:pStyle w:val="Textonotapie"/>
        <w:ind w:firstLine="708"/>
        <w:jc w:val="both"/>
        <w:rPr>
          <w:rFonts w:ascii="Verdana" w:hAnsi="Verdana" w:cs="Arial"/>
          <w:sz w:val="16"/>
          <w:szCs w:val="16"/>
        </w:rPr>
      </w:pPr>
      <w:r w:rsidRPr="008F51F1">
        <w:rPr>
          <w:rStyle w:val="Refdenotaalpie"/>
          <w:rFonts w:ascii="Verdana" w:hAnsi="Verdana" w:cs="Arial"/>
          <w:sz w:val="16"/>
          <w:szCs w:val="16"/>
          <w:vertAlign w:val="baseline"/>
        </w:rPr>
        <w:footnoteRef/>
      </w:r>
      <w:r w:rsidRPr="008F51F1">
        <w:rPr>
          <w:rFonts w:ascii="Verdana" w:hAnsi="Verdana" w:cs="Arial"/>
          <w:sz w:val="16"/>
          <w:szCs w:val="16"/>
        </w:rPr>
        <w:t xml:space="preserve"> BARRETO MORENO, Antonio Alejandro. El derecho de la compra pública: estudio jurídico de un mercado imperfecto. Bogotá: Legis, 2019. pp. 281 y ss.</w:t>
      </w:r>
    </w:p>
  </w:footnote>
  <w:footnote w:id="5">
    <w:p w14:paraId="722B4215" w14:textId="77777777" w:rsidR="003D6F94" w:rsidRPr="008F51F1" w:rsidRDefault="003D6F94" w:rsidP="003D6F94">
      <w:pPr>
        <w:pStyle w:val="Textonotapie"/>
        <w:ind w:firstLine="709"/>
        <w:jc w:val="both"/>
        <w:rPr>
          <w:rFonts w:ascii="Verdana" w:hAnsi="Verdana" w:cs="Arial"/>
          <w:color w:val="000000" w:themeColor="text1"/>
          <w:sz w:val="16"/>
          <w:szCs w:val="16"/>
        </w:rPr>
      </w:pPr>
      <w:r w:rsidRPr="008F51F1">
        <w:rPr>
          <w:rStyle w:val="Refdenotaalpie"/>
          <w:rFonts w:ascii="Verdana" w:hAnsi="Verdana" w:cs="Arial"/>
          <w:color w:val="000000" w:themeColor="text1"/>
          <w:sz w:val="16"/>
          <w:szCs w:val="16"/>
        </w:rPr>
        <w:footnoteRef/>
      </w:r>
      <w:r w:rsidRPr="008F51F1">
        <w:rPr>
          <w:rFonts w:ascii="Verdana" w:hAnsi="Verdana" w:cs="Arial"/>
          <w:color w:val="000000" w:themeColor="text1"/>
          <w:sz w:val="16"/>
          <w:szCs w:val="16"/>
        </w:rPr>
        <w:t xml:space="preserve"> Consejo de Estado. Sección Tercera. Subsección C. Sentencia del 13 de abril de 2011. </w:t>
      </w:r>
      <w:proofErr w:type="spellStart"/>
      <w:r w:rsidRPr="008F51F1">
        <w:rPr>
          <w:rFonts w:ascii="Verdana" w:hAnsi="Verdana" w:cs="Arial"/>
          <w:color w:val="000000" w:themeColor="text1"/>
          <w:sz w:val="16"/>
          <w:szCs w:val="16"/>
        </w:rPr>
        <w:t>Exp</w:t>
      </w:r>
      <w:proofErr w:type="spellEnd"/>
      <w:r w:rsidRPr="008F51F1">
        <w:rPr>
          <w:rFonts w:ascii="Verdana" w:hAnsi="Verdana" w:cs="Arial"/>
          <w:color w:val="000000" w:themeColor="text1"/>
          <w:sz w:val="16"/>
          <w:szCs w:val="16"/>
        </w:rPr>
        <w:t xml:space="preserve">. 37423. C.P. Jaime Orlando Santofimio Gamboa. En similar sentido, puede verse: Consejo de Estado. Sección Tercera. Subsección B. Sentencia del 15 de noviembre de 2011. </w:t>
      </w:r>
      <w:proofErr w:type="spellStart"/>
      <w:r w:rsidRPr="008F51F1">
        <w:rPr>
          <w:rFonts w:ascii="Verdana" w:hAnsi="Verdana" w:cs="Arial"/>
          <w:color w:val="000000" w:themeColor="text1"/>
          <w:sz w:val="16"/>
          <w:szCs w:val="16"/>
        </w:rPr>
        <w:t>Exp</w:t>
      </w:r>
      <w:proofErr w:type="spellEnd"/>
      <w:r w:rsidRPr="008F51F1">
        <w:rPr>
          <w:rFonts w:ascii="Verdana" w:hAnsi="Verdana" w:cs="Arial"/>
          <w:color w:val="000000" w:themeColor="text1"/>
          <w:sz w:val="16"/>
          <w:szCs w:val="16"/>
        </w:rPr>
        <w:t>. 21178. C.P. Ruth Stella Correa Palacio.</w:t>
      </w:r>
    </w:p>
  </w:footnote>
  <w:footnote w:id="6">
    <w:p w14:paraId="00930F47" w14:textId="77777777" w:rsidR="003D6F94" w:rsidRPr="008F51F1" w:rsidRDefault="003D6F94" w:rsidP="003D6F94">
      <w:pPr>
        <w:pStyle w:val="Textonotapie"/>
        <w:ind w:firstLine="709"/>
        <w:jc w:val="both"/>
        <w:rPr>
          <w:rFonts w:ascii="Verdana" w:hAnsi="Verdana" w:cs="Arial"/>
          <w:color w:val="000000" w:themeColor="text1"/>
          <w:sz w:val="16"/>
          <w:szCs w:val="16"/>
          <w:lang w:val="es-ES"/>
        </w:rPr>
      </w:pPr>
      <w:r w:rsidRPr="008F51F1">
        <w:rPr>
          <w:rStyle w:val="Refdenotaalpie"/>
          <w:rFonts w:ascii="Verdana" w:hAnsi="Verdana" w:cs="Arial"/>
          <w:color w:val="000000" w:themeColor="text1"/>
          <w:sz w:val="16"/>
          <w:szCs w:val="16"/>
        </w:rPr>
        <w:footnoteRef/>
      </w:r>
      <w:r w:rsidRPr="008F51F1">
        <w:rPr>
          <w:rFonts w:ascii="Verdana" w:hAnsi="Verdana" w:cs="Arial"/>
          <w:color w:val="000000" w:themeColor="text1"/>
          <w:sz w:val="16"/>
          <w:szCs w:val="16"/>
          <w:lang w:val="pt-BR"/>
        </w:rPr>
        <w:t xml:space="preserve"> Corte Constitucional. Sentencia C-736 de 2007. </w:t>
      </w:r>
      <w:r w:rsidRPr="008F51F1">
        <w:rPr>
          <w:rFonts w:ascii="Verdana" w:hAnsi="Verdana" w:cs="Arial"/>
          <w:color w:val="000000" w:themeColor="text1"/>
          <w:sz w:val="16"/>
          <w:szCs w:val="16"/>
        </w:rPr>
        <w:t>M.P. Marco Gerardo Monroy Cabra.</w:t>
      </w:r>
    </w:p>
  </w:footnote>
  <w:footnote w:id="7">
    <w:p w14:paraId="24BDBCC9" w14:textId="77777777" w:rsidR="003D6F94" w:rsidRPr="008F51F1" w:rsidRDefault="003D6F94" w:rsidP="003D6F94">
      <w:pPr>
        <w:pStyle w:val="Textonotapie"/>
        <w:ind w:firstLine="708"/>
        <w:rPr>
          <w:rFonts w:ascii="Verdana" w:hAnsi="Verdana"/>
          <w:sz w:val="16"/>
          <w:szCs w:val="16"/>
          <w:lang w:val="es-ES"/>
        </w:rPr>
      </w:pPr>
      <w:r w:rsidRPr="008F51F1">
        <w:rPr>
          <w:rStyle w:val="Refdenotaalpie"/>
          <w:rFonts w:ascii="Verdana" w:hAnsi="Verdana"/>
          <w:sz w:val="16"/>
          <w:szCs w:val="16"/>
        </w:rPr>
        <w:footnoteRef/>
      </w:r>
      <w:r w:rsidRPr="008F51F1">
        <w:rPr>
          <w:rFonts w:ascii="Verdana" w:hAnsi="Verdana"/>
          <w:sz w:val="16"/>
          <w:szCs w:val="16"/>
        </w:rPr>
        <w:t xml:space="preserve"> </w:t>
      </w:r>
      <w:proofErr w:type="spellStart"/>
      <w:r w:rsidRPr="008F51F1">
        <w:rPr>
          <w:rFonts w:ascii="Verdana" w:hAnsi="Verdana"/>
          <w:sz w:val="16"/>
          <w:szCs w:val="16"/>
        </w:rPr>
        <w:t>Ibídem</w:t>
      </w:r>
      <w:proofErr w:type="spellEnd"/>
      <w:r w:rsidRPr="008F51F1">
        <w:rPr>
          <w:rFonts w:ascii="Verdana" w:hAnsi="Verdana"/>
          <w:sz w:val="16"/>
          <w:szCs w:val="16"/>
        </w:rPr>
        <w:t xml:space="preserve">. </w:t>
      </w:r>
    </w:p>
  </w:footnote>
  <w:footnote w:id="8">
    <w:p w14:paraId="1E002205" w14:textId="77777777" w:rsidR="003D6F94" w:rsidRPr="008F51F1" w:rsidRDefault="003D6F94" w:rsidP="003D6F94">
      <w:pPr>
        <w:pStyle w:val="Textonotapie"/>
        <w:ind w:firstLine="708"/>
        <w:jc w:val="both"/>
        <w:rPr>
          <w:rFonts w:ascii="Verdana" w:hAnsi="Verdana"/>
          <w:sz w:val="16"/>
          <w:szCs w:val="16"/>
          <w:lang w:val="es-CO"/>
        </w:rPr>
      </w:pPr>
      <w:r w:rsidRPr="008F51F1">
        <w:rPr>
          <w:rStyle w:val="Refdenotaalpie"/>
          <w:rFonts w:ascii="Verdana" w:hAnsi="Verdana"/>
          <w:sz w:val="16"/>
          <w:szCs w:val="16"/>
        </w:rPr>
        <w:footnoteRef/>
      </w:r>
      <w:r w:rsidRPr="008F51F1">
        <w:rPr>
          <w:rFonts w:ascii="Verdana" w:hAnsi="Verdana"/>
          <w:sz w:val="16"/>
          <w:szCs w:val="16"/>
        </w:rPr>
        <w:t xml:space="preserve"> </w:t>
      </w:r>
      <w:r w:rsidRPr="008F51F1">
        <w:rPr>
          <w:rFonts w:ascii="Verdana" w:hAnsi="Verdana"/>
          <w:bCs/>
          <w:sz w:val="16"/>
          <w:szCs w:val="16"/>
          <w:lang w:val="es-CO"/>
        </w:rPr>
        <w:t xml:space="preserve">Artículo 38. </w:t>
      </w:r>
      <w:r w:rsidRPr="008F51F1">
        <w:rPr>
          <w:rFonts w:ascii="Verdana" w:hAnsi="Verdana"/>
          <w:i/>
          <w:iCs/>
          <w:sz w:val="16"/>
          <w:szCs w:val="16"/>
          <w:lang w:val="es-CO"/>
        </w:rPr>
        <w:t>Integración de la Rama Ejecutiva del Poder Público en el orden nacional. </w:t>
      </w:r>
      <w:r w:rsidRPr="008F51F1">
        <w:rPr>
          <w:rFonts w:ascii="Verdana" w:hAnsi="Verdana"/>
          <w:sz w:val="16"/>
          <w:szCs w:val="16"/>
          <w:lang w:val="es-CO"/>
        </w:rPr>
        <w:t>La Rama Ejecutiva del Poder Público en el orden nacional, está integrada por los siguientes organismos y entidades: </w:t>
      </w:r>
    </w:p>
    <w:p w14:paraId="0625E53C"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1. Del Sector Central:  </w:t>
      </w:r>
    </w:p>
    <w:p w14:paraId="76D7EE98"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a) La Presidencia de la República; </w:t>
      </w:r>
    </w:p>
    <w:p w14:paraId="54E943D4"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b) La Vicepresidencia de la República; </w:t>
      </w:r>
    </w:p>
    <w:p w14:paraId="13DBEEF7"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c) Los Consejos Superiores de la administración; </w:t>
      </w:r>
    </w:p>
    <w:p w14:paraId="776B3020"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d) Los ministerios y departamentos administrativos; </w:t>
      </w:r>
    </w:p>
    <w:p w14:paraId="662236E1"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e) Las superintendencias y unidades administrativas especiales sin personería jurídica. </w:t>
      </w:r>
    </w:p>
    <w:p w14:paraId="49A04E4C"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2. Del Sector descentralizado por servicios: </w:t>
      </w:r>
    </w:p>
    <w:p w14:paraId="25E89D6A"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a) Los establecimientos públicos; </w:t>
      </w:r>
    </w:p>
    <w:p w14:paraId="67EBC33F"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b) Las empresas industriales y comerciales del Estado; </w:t>
      </w:r>
    </w:p>
    <w:p w14:paraId="5AAE3CA0"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c) Las superintendencias y las unidades administrativas especiales con personería jurídica; </w:t>
      </w:r>
    </w:p>
    <w:p w14:paraId="69589FD0"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d) Las empresas sociales del Estado y las empresas oficiales de servicios públicos domiciliarios; </w:t>
      </w:r>
    </w:p>
    <w:p w14:paraId="07F7D8AA"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e) Los institutos científicos y tecnológicos; </w:t>
      </w:r>
    </w:p>
    <w:p w14:paraId="4A3FAD07"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f) Las sociedades públicas y las sociedades de economía mixta; </w:t>
      </w:r>
    </w:p>
    <w:p w14:paraId="07DDB306"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g) Las demás entidades administrativas nacionales con personería jurídica que cree, organice o autorice la ley para que formen parte de la Rama Ejecutiva del Poder Público. </w:t>
      </w:r>
    </w:p>
    <w:p w14:paraId="5F29999C"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bCs/>
          <w:sz w:val="16"/>
          <w:szCs w:val="16"/>
          <w:lang w:val="es-CO"/>
        </w:rPr>
        <w:t>Parágrafo 1°.</w:t>
      </w:r>
      <w:r w:rsidRPr="008F51F1">
        <w:rPr>
          <w:rFonts w:ascii="Verdana" w:hAnsi="Verdana"/>
          <w:sz w:val="16"/>
          <w:szCs w:val="16"/>
          <w:lang w:val="es-CO"/>
        </w:rPr>
        <w:t> Las sociedades públicas y las sociedades de economía mixta en las que el Estado posea el noventa por ciento (90%) o más de su capital social, se someten al régimen previsto para las empresas industriales y comerciales del Estado. </w:t>
      </w:r>
    </w:p>
    <w:p w14:paraId="59F6EADC"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bCs/>
          <w:sz w:val="16"/>
          <w:szCs w:val="16"/>
          <w:lang w:val="es-CO"/>
        </w:rPr>
        <w:t>Parágrafo 2°.</w:t>
      </w:r>
      <w:r w:rsidRPr="008F51F1">
        <w:rPr>
          <w:rFonts w:ascii="Verdana" w:hAnsi="Verdana"/>
          <w:sz w:val="16"/>
          <w:szCs w:val="16"/>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quedaren adscritos tales organismos.</w:t>
      </w:r>
    </w:p>
  </w:footnote>
  <w:footnote w:id="9">
    <w:p w14:paraId="709CD70E" w14:textId="77777777" w:rsidR="003D6F94" w:rsidRPr="008F51F1" w:rsidRDefault="003D6F94" w:rsidP="003D6F94">
      <w:pPr>
        <w:pStyle w:val="Textonotapie"/>
        <w:ind w:firstLine="708"/>
        <w:jc w:val="both"/>
        <w:rPr>
          <w:rFonts w:ascii="Verdana" w:hAnsi="Verdana"/>
          <w:sz w:val="16"/>
          <w:szCs w:val="16"/>
          <w:lang w:val="es-CO"/>
        </w:rPr>
      </w:pPr>
      <w:r w:rsidRPr="008F51F1">
        <w:rPr>
          <w:rStyle w:val="Refdenotaalpie"/>
          <w:rFonts w:ascii="Verdana" w:hAnsi="Verdana"/>
          <w:sz w:val="16"/>
          <w:szCs w:val="16"/>
        </w:rPr>
        <w:footnoteRef/>
      </w:r>
      <w:r w:rsidRPr="008F51F1">
        <w:rPr>
          <w:rFonts w:ascii="Verdana" w:hAnsi="Verdana"/>
          <w:sz w:val="16"/>
          <w:szCs w:val="16"/>
        </w:rPr>
        <w:t xml:space="preserve"> </w:t>
      </w:r>
      <w:r w:rsidRPr="008F51F1">
        <w:rPr>
          <w:rFonts w:ascii="Verdana" w:hAnsi="Verdana"/>
          <w:bCs/>
          <w:sz w:val="16"/>
          <w:szCs w:val="16"/>
          <w:lang w:val="es-CO"/>
        </w:rPr>
        <w:t xml:space="preserve">Artículo 68. </w:t>
      </w:r>
      <w:r w:rsidRPr="008F51F1">
        <w:rPr>
          <w:rFonts w:ascii="Verdana" w:hAnsi="Verdana"/>
          <w:i/>
          <w:iCs/>
          <w:sz w:val="16"/>
          <w:szCs w:val="16"/>
          <w:lang w:val="es-CO"/>
        </w:rPr>
        <w:t>Entidades descentralizadas. </w:t>
      </w:r>
      <w:r w:rsidRPr="008F51F1">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4BF32BD2"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4AE4FB51"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4D8A3F12"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p>
    <w:p w14:paraId="4BA27DEA"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bCs/>
          <w:sz w:val="16"/>
          <w:szCs w:val="16"/>
          <w:lang w:val="es-CO"/>
        </w:rPr>
        <w:t>Parágrafo 1°.</w:t>
      </w:r>
      <w:r w:rsidRPr="008F51F1">
        <w:rPr>
          <w:rFonts w:ascii="Verdana" w:hAnsi="Verdana"/>
          <w:sz w:val="16"/>
          <w:szCs w:val="16"/>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autoridades del orden territorial.</w:t>
      </w:r>
    </w:p>
    <w:p w14:paraId="33C554D2"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bCs/>
          <w:sz w:val="16"/>
          <w:szCs w:val="16"/>
          <w:lang w:val="es-CO"/>
        </w:rPr>
        <w:t>Parágrafo 2°.</w:t>
      </w:r>
      <w:r w:rsidRPr="008F51F1">
        <w:rPr>
          <w:rFonts w:ascii="Verdana" w:hAnsi="Verdana"/>
          <w:sz w:val="16"/>
          <w:szCs w:val="16"/>
          <w:lang w:val="es-CO"/>
        </w:rPr>
        <w:t> Los organismos o entidades del Sector Descentralizado que tengan como objetivo desarrollar actividades científicas y tecnológicas, se sujetarán a la Legislación de Ciencia y Tecnología y su organización será determinada por el Gobierno Nacional. </w:t>
      </w:r>
    </w:p>
    <w:p w14:paraId="3453DBD3"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bCs/>
          <w:sz w:val="16"/>
          <w:szCs w:val="16"/>
          <w:lang w:val="es-CO"/>
        </w:rPr>
        <w:t>Parágrafo 3°.</w:t>
      </w:r>
      <w:r w:rsidRPr="008F51F1">
        <w:rPr>
          <w:rFonts w:ascii="Verdana" w:hAnsi="Verdana"/>
          <w:sz w:val="16"/>
          <w:szCs w:val="16"/>
          <w:lang w:val="es-CO"/>
        </w:rPr>
        <w:t> Lo dispuesto en el presente artículo no se aplica a las corporaciones civiles sin ánimo de lucro de derecho privado, vinculadas al Ministerio del Medio Ambiente, creadas por la Ley 99 de 1993. </w:t>
      </w:r>
    </w:p>
    <w:p w14:paraId="1024F7D6" w14:textId="77777777" w:rsidR="003D6F94" w:rsidRPr="008F51F1" w:rsidRDefault="003D6F94" w:rsidP="003D6F94">
      <w:pPr>
        <w:pStyle w:val="Textonotapie"/>
        <w:ind w:firstLine="708"/>
        <w:rPr>
          <w:rFonts w:ascii="Verdana" w:hAnsi="Verdana"/>
          <w:sz w:val="16"/>
          <w:szCs w:val="16"/>
          <w:lang w:val="es-ES"/>
        </w:rPr>
      </w:pPr>
    </w:p>
  </w:footnote>
  <w:footnote w:id="10">
    <w:p w14:paraId="75447979" w14:textId="77777777" w:rsidR="003D6F94" w:rsidRPr="008F51F1" w:rsidRDefault="003D6F94" w:rsidP="003D6F94">
      <w:pPr>
        <w:pStyle w:val="Textonotapie"/>
        <w:ind w:firstLine="708"/>
        <w:jc w:val="both"/>
        <w:rPr>
          <w:rFonts w:ascii="Verdana" w:hAnsi="Verdana"/>
          <w:sz w:val="16"/>
          <w:szCs w:val="16"/>
          <w:lang w:val="es-CO"/>
        </w:rPr>
      </w:pPr>
      <w:r w:rsidRPr="008F51F1">
        <w:rPr>
          <w:rStyle w:val="Refdenotaalpie"/>
          <w:rFonts w:ascii="Verdana" w:hAnsi="Verdana"/>
          <w:sz w:val="16"/>
          <w:szCs w:val="16"/>
        </w:rPr>
        <w:footnoteRef/>
      </w:r>
      <w:r w:rsidRPr="008F51F1">
        <w:rPr>
          <w:rFonts w:ascii="Verdana" w:hAnsi="Verdana"/>
          <w:sz w:val="16"/>
          <w:szCs w:val="16"/>
        </w:rPr>
        <w:t xml:space="preserve"> MARÍN CORTES, Fabián Gonzalo. Los servicios semipúblicos domiciliarios. Bogotá: Temis, 2010. p. 160. Al respecto, la Doctrina también ha expresado frente a la Sentencia C-736 de 2007: </w:t>
      </w:r>
      <w:r w:rsidRPr="008F51F1">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8F51F1">
        <w:rPr>
          <w:rFonts w:ascii="Verdana" w:hAnsi="Verdana"/>
          <w:i/>
          <w:iCs/>
          <w:sz w:val="16"/>
          <w:szCs w:val="16"/>
          <w:lang w:val="es-CO"/>
        </w:rPr>
        <w:t>“entidad estatal”</w:t>
      </w:r>
      <w:r w:rsidRPr="008F51F1">
        <w:rPr>
          <w:rFonts w:ascii="Verdana" w:hAnsi="Verdana"/>
          <w:sz w:val="16"/>
          <w:szCs w:val="16"/>
          <w:lang w:val="es-CO"/>
        </w:rPr>
        <w:t>.  En esta oportunidad la Sala se limitó a obedecer el pronunciamiento de constitucionalidad.</w:t>
      </w:r>
    </w:p>
    <w:p w14:paraId="5EF501A7" w14:textId="77777777" w:rsidR="003D6F94" w:rsidRPr="008F51F1" w:rsidRDefault="003D6F94" w:rsidP="003D6F94">
      <w:pPr>
        <w:pStyle w:val="Textonotapie"/>
        <w:ind w:firstLine="708"/>
        <w:jc w:val="both"/>
        <w:rPr>
          <w:rFonts w:ascii="Verdana" w:hAnsi="Verdana"/>
          <w:i/>
          <w:iCs/>
          <w:sz w:val="16"/>
          <w:szCs w:val="16"/>
          <w:lang w:val="es-CO"/>
        </w:rPr>
      </w:pPr>
      <w:r w:rsidRPr="008F51F1">
        <w:rPr>
          <w:rFonts w:ascii="Verdana" w:hAnsi="Verdana"/>
          <w:sz w:val="16"/>
          <w:szCs w:val="16"/>
          <w:lang w:val="es-CO"/>
        </w:rPr>
        <w:t xml:space="preserve">Sin embargo, el Señor Consejero de Estado Mauricio Fajardo Gómez, al aclarar su voto en esta última sentencia, rectificó lo afirmado en tres providencias de la Sala con ponencia suya y manifestó que resultaba innecesario e inútil invocar ese fallo de constitucionalidad para determinar la competencia del juez administrativo, </w:t>
      </w:r>
      <w:r w:rsidRPr="008F51F1">
        <w:rPr>
          <w:rFonts w:ascii="Verdana" w:hAnsi="Verdana"/>
          <w:i/>
          <w:iCs/>
          <w:sz w:val="16"/>
          <w:szCs w:val="16"/>
          <w:lang w:val="es-CO"/>
        </w:rPr>
        <w:t>“puesto que</w:t>
      </w:r>
      <w:r w:rsidRPr="008F51F1">
        <w:rPr>
          <w:rFonts w:ascii="Verdana" w:hAnsi="Verdana"/>
          <w:sz w:val="16"/>
          <w:szCs w:val="16"/>
          <w:lang w:val="es-CO"/>
        </w:rPr>
        <w:t xml:space="preserve"> </w:t>
      </w:r>
      <w:r w:rsidRPr="008F51F1">
        <w:rPr>
          <w:rFonts w:ascii="Verdana" w:hAnsi="Verdana"/>
          <w:i/>
          <w:iCs/>
          <w:sz w:val="16"/>
          <w:szCs w:val="16"/>
          <w:lang w:val="es-CO"/>
        </w:rPr>
        <w:t>las consideraciones que le sirvieron de soporte acerca</w:t>
      </w:r>
      <w:r w:rsidRPr="008F51F1">
        <w:rPr>
          <w:rFonts w:ascii="Verdana" w:hAnsi="Verdana"/>
          <w:sz w:val="16"/>
          <w:szCs w:val="16"/>
          <w:lang w:val="es-CO"/>
        </w:rPr>
        <w:t xml:space="preserve"> </w:t>
      </w:r>
      <w:r w:rsidRPr="008F51F1">
        <w:rPr>
          <w:rFonts w:ascii="Verdana" w:hAnsi="Verdana"/>
          <w:i/>
          <w:iCs/>
          <w:sz w:val="16"/>
          <w:szCs w:val="16"/>
          <w:lang w:val="es-CO"/>
        </w:rPr>
        <w:t>de la naturaleza jurídica de las empresas de servicios</w:t>
      </w:r>
      <w:r w:rsidRPr="008F51F1">
        <w:rPr>
          <w:rFonts w:ascii="Verdana" w:hAnsi="Verdana"/>
          <w:sz w:val="16"/>
          <w:szCs w:val="16"/>
          <w:lang w:val="es-CO"/>
        </w:rPr>
        <w:t xml:space="preserve"> </w:t>
      </w:r>
      <w:r w:rsidRPr="008F51F1">
        <w:rPr>
          <w:rFonts w:ascii="Verdana" w:hAnsi="Verdana"/>
          <w:i/>
          <w:iCs/>
          <w:sz w:val="16"/>
          <w:szCs w:val="16"/>
          <w:lang w:val="es-CO"/>
        </w:rPr>
        <w:t>públicos domiciliarios de carácter mixto no resultan</w:t>
      </w:r>
      <w:r w:rsidRPr="008F51F1">
        <w:rPr>
          <w:rFonts w:ascii="Verdana" w:hAnsi="Verdana"/>
          <w:sz w:val="16"/>
          <w:szCs w:val="16"/>
          <w:lang w:val="es-CO"/>
        </w:rPr>
        <w:t xml:space="preserve"> </w:t>
      </w:r>
      <w:r w:rsidRPr="008F51F1">
        <w:rPr>
          <w:rFonts w:ascii="Verdana" w:hAnsi="Verdana"/>
          <w:i/>
          <w:iCs/>
          <w:sz w:val="16"/>
          <w:szCs w:val="16"/>
          <w:lang w:val="es-CO"/>
        </w:rPr>
        <w:t>vinculantes y desafortunadamente no aportan claridad</w:t>
      </w:r>
      <w:r w:rsidRPr="008F51F1">
        <w:rPr>
          <w:rFonts w:ascii="Verdana" w:hAnsi="Verdana"/>
          <w:sz w:val="16"/>
          <w:szCs w:val="16"/>
          <w:lang w:val="es-CO"/>
        </w:rPr>
        <w:t xml:space="preserve"> </w:t>
      </w:r>
      <w:r w:rsidRPr="008F51F1">
        <w:rPr>
          <w:rFonts w:ascii="Verdana" w:hAnsi="Verdana"/>
          <w:i/>
          <w:iCs/>
          <w:sz w:val="16"/>
          <w:szCs w:val="16"/>
          <w:lang w:val="es-CO"/>
        </w:rPr>
        <w:t>en esa materia”.</w:t>
      </w:r>
    </w:p>
    <w:p w14:paraId="784D56AE"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i/>
          <w:iCs/>
          <w:sz w:val="16"/>
          <w:szCs w:val="16"/>
          <w:lang w:val="es-CO"/>
        </w:rPr>
        <w:t xml:space="preserve"> </w:t>
      </w:r>
      <w:r w:rsidRPr="008F51F1">
        <w:rPr>
          <w:rFonts w:ascii="Verdana" w:hAnsi="Verdana"/>
          <w:sz w:val="16"/>
          <w:szCs w:val="16"/>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8F51F1">
        <w:rPr>
          <w:rFonts w:ascii="Verdana" w:hAnsi="Verdana"/>
          <w:i/>
          <w:iCs/>
          <w:sz w:val="16"/>
          <w:szCs w:val="16"/>
          <w:lang w:val="es-CO"/>
        </w:rPr>
        <w:t>“la misma que sin fundamentación alguna calificó de</w:t>
      </w:r>
      <w:r w:rsidRPr="008F51F1">
        <w:rPr>
          <w:rFonts w:ascii="Verdana" w:hAnsi="Verdana"/>
          <w:sz w:val="16"/>
          <w:szCs w:val="16"/>
          <w:lang w:val="es-CO"/>
        </w:rPr>
        <w:t xml:space="preserve"> </w:t>
      </w:r>
      <w:r w:rsidRPr="008F51F1">
        <w:rPr>
          <w:rFonts w:ascii="Verdana" w:hAnsi="Verdana"/>
          <w:i/>
          <w:iCs/>
          <w:sz w:val="16"/>
          <w:szCs w:val="16"/>
          <w:lang w:val="es-CO"/>
        </w:rPr>
        <w:t>inconstitucional”</w:t>
      </w:r>
      <w:r w:rsidRPr="008F51F1">
        <w:rPr>
          <w:rFonts w:ascii="Verdana" w:hAnsi="Verdana"/>
          <w:sz w:val="16"/>
          <w:szCs w:val="16"/>
          <w:lang w:val="es-CO"/>
        </w:rPr>
        <w:t xml:space="preserve">, al sostener y anunciar que las empresas de servicios públicos mixtas y privadas son entidades descentralizadas, sobre la base de </w:t>
      </w:r>
      <w:r w:rsidRPr="008F51F1">
        <w:rPr>
          <w:rFonts w:ascii="Verdana" w:hAnsi="Verdana"/>
          <w:i/>
          <w:iCs/>
          <w:sz w:val="16"/>
          <w:szCs w:val="16"/>
          <w:lang w:val="es-CO"/>
        </w:rPr>
        <w:t>“un análisis eminentemente legal, que no</w:t>
      </w:r>
      <w:r w:rsidRPr="008F51F1">
        <w:rPr>
          <w:rFonts w:ascii="Verdana" w:hAnsi="Verdana"/>
          <w:sz w:val="16"/>
          <w:szCs w:val="16"/>
          <w:lang w:val="es-CO"/>
        </w:rPr>
        <w:t xml:space="preserve"> </w:t>
      </w:r>
      <w:r w:rsidRPr="008F51F1">
        <w:rPr>
          <w:rFonts w:ascii="Verdana" w:hAnsi="Verdana"/>
          <w:i/>
          <w:iCs/>
          <w:sz w:val="16"/>
          <w:szCs w:val="16"/>
          <w:lang w:val="es-CO"/>
        </w:rPr>
        <w:t xml:space="preserve">constitucional” </w:t>
      </w:r>
      <w:r w:rsidRPr="008F51F1">
        <w:rPr>
          <w:rFonts w:ascii="Verdana" w:hAnsi="Verdana"/>
          <w:sz w:val="16"/>
          <w:szCs w:val="16"/>
          <w:lang w:val="es-CO"/>
        </w:rPr>
        <w:t>a partir de lo dispuesto por el artículo 38 de la Ley 489 de 1998.</w:t>
      </w:r>
    </w:p>
    <w:p w14:paraId="4A034A72" w14:textId="77777777" w:rsidR="003D6F94" w:rsidRPr="008F51F1" w:rsidRDefault="003D6F94" w:rsidP="003D6F94">
      <w:pPr>
        <w:pStyle w:val="Textonotapie"/>
        <w:ind w:firstLine="708"/>
        <w:jc w:val="both"/>
        <w:rPr>
          <w:rFonts w:ascii="Verdana" w:hAnsi="Verdana"/>
          <w:sz w:val="16"/>
          <w:szCs w:val="16"/>
          <w:lang w:val="es-CO"/>
        </w:rPr>
      </w:pPr>
      <w:r w:rsidRPr="008F51F1">
        <w:rPr>
          <w:rFonts w:ascii="Verdana" w:hAnsi="Verdana"/>
          <w:sz w:val="16"/>
          <w:szCs w:val="16"/>
          <w:lang w:val="es-CO"/>
        </w:rPr>
        <w:t xml:space="preserve">Al concluir el Señor Magistrado Fajardo Gómez anotó que las normas acusadas </w:t>
      </w:r>
      <w:r w:rsidRPr="008F51F1">
        <w:rPr>
          <w:rFonts w:ascii="Verdana" w:hAnsi="Verdana"/>
          <w:i/>
          <w:iCs/>
          <w:sz w:val="16"/>
          <w:szCs w:val="16"/>
          <w:lang w:val="es-CO"/>
        </w:rPr>
        <w:t>“no sufrieron alteración alguna en cuanto a su contenido</w:t>
      </w:r>
      <w:r w:rsidRPr="008F51F1">
        <w:rPr>
          <w:rFonts w:ascii="Verdana" w:hAnsi="Verdana"/>
          <w:sz w:val="16"/>
          <w:szCs w:val="16"/>
          <w:lang w:val="es-CO"/>
        </w:rPr>
        <w:t xml:space="preserve"> </w:t>
      </w:r>
      <w:r w:rsidRPr="008F51F1">
        <w:rPr>
          <w:rFonts w:ascii="Verdana" w:hAnsi="Verdana"/>
          <w:i/>
          <w:iCs/>
          <w:sz w:val="16"/>
          <w:szCs w:val="16"/>
          <w:lang w:val="es-CO"/>
        </w:rPr>
        <w:t>y, por tanto, seguirán rigiendo normalmente</w:t>
      </w:r>
      <w:r w:rsidRPr="008F51F1">
        <w:rPr>
          <w:rFonts w:ascii="Verdana" w:hAnsi="Verdana"/>
          <w:sz w:val="16"/>
          <w:szCs w:val="16"/>
          <w:lang w:val="es-CO"/>
        </w:rPr>
        <w:t xml:space="preserve"> </w:t>
      </w:r>
      <w:r w:rsidRPr="008F51F1">
        <w:rPr>
          <w:rFonts w:ascii="Verdana" w:hAnsi="Verdana"/>
          <w:i/>
          <w:iCs/>
          <w:sz w:val="16"/>
          <w:szCs w:val="16"/>
          <w:lang w:val="es-CO"/>
        </w:rPr>
        <w:t>hacia el futuro”</w:t>
      </w:r>
      <w:r w:rsidRPr="008F51F1">
        <w:rPr>
          <w:rFonts w:ascii="Verdana" w:hAnsi="Verdana"/>
          <w:sz w:val="16"/>
          <w:szCs w:val="16"/>
          <w:lang w:val="es-CO"/>
        </w:rPr>
        <w:t xml:space="preserve">, dado que se trata de una sentencia de constitucionalidad pura y simple y que –a su juicio– todo lo demás expuesto por la Corte </w:t>
      </w:r>
      <w:r w:rsidRPr="008F51F1">
        <w:rPr>
          <w:rFonts w:ascii="Verdana" w:hAnsi="Verdana"/>
          <w:i/>
          <w:iCs/>
          <w:sz w:val="16"/>
          <w:szCs w:val="16"/>
          <w:lang w:val="es-CO"/>
        </w:rPr>
        <w:t xml:space="preserve">“no pasa de ser un </w:t>
      </w:r>
      <w:proofErr w:type="spellStart"/>
      <w:r w:rsidRPr="008F51F1">
        <w:rPr>
          <w:rFonts w:ascii="Verdana" w:hAnsi="Verdana"/>
          <w:i/>
          <w:iCs/>
          <w:sz w:val="16"/>
          <w:szCs w:val="16"/>
          <w:lang w:val="es-CO"/>
        </w:rPr>
        <w:t>obiter</w:t>
      </w:r>
      <w:proofErr w:type="spellEnd"/>
      <w:r w:rsidRPr="008F51F1">
        <w:rPr>
          <w:rFonts w:ascii="Verdana" w:hAnsi="Verdana"/>
          <w:i/>
          <w:iCs/>
          <w:sz w:val="16"/>
          <w:szCs w:val="16"/>
          <w:lang w:val="es-CO"/>
        </w:rPr>
        <w:t xml:space="preserve"> </w:t>
      </w:r>
      <w:proofErr w:type="spellStart"/>
      <w:r w:rsidRPr="008F51F1">
        <w:rPr>
          <w:rFonts w:ascii="Verdana" w:hAnsi="Verdana"/>
          <w:i/>
          <w:iCs/>
          <w:sz w:val="16"/>
          <w:szCs w:val="16"/>
          <w:lang w:val="es-CO"/>
        </w:rPr>
        <w:t>dictum</w:t>
      </w:r>
      <w:proofErr w:type="spellEnd"/>
      <w:r w:rsidRPr="008F51F1">
        <w:rPr>
          <w:rFonts w:ascii="Verdana" w:hAnsi="Verdana"/>
          <w:i/>
          <w:iCs/>
          <w:sz w:val="16"/>
          <w:szCs w:val="16"/>
          <w:lang w:val="es-CO"/>
        </w:rPr>
        <w:t xml:space="preserve"> que</w:t>
      </w:r>
      <w:r w:rsidRPr="008F51F1">
        <w:rPr>
          <w:rFonts w:ascii="Verdana" w:hAnsi="Verdana"/>
          <w:sz w:val="16"/>
          <w:szCs w:val="16"/>
          <w:lang w:val="es-CO"/>
        </w:rPr>
        <w:t xml:space="preserve"> </w:t>
      </w:r>
      <w:r w:rsidRPr="008F51F1">
        <w:rPr>
          <w:rFonts w:ascii="Verdana" w:hAnsi="Verdana"/>
          <w:i/>
          <w:iCs/>
          <w:sz w:val="16"/>
          <w:szCs w:val="16"/>
          <w:lang w:val="es-CO"/>
        </w:rPr>
        <w:t>en cada caso concreto podría ser valorado por el juez</w:t>
      </w:r>
      <w:r w:rsidRPr="008F51F1">
        <w:rPr>
          <w:rFonts w:ascii="Verdana" w:hAnsi="Verdana"/>
          <w:sz w:val="16"/>
          <w:szCs w:val="16"/>
          <w:lang w:val="es-CO"/>
        </w:rPr>
        <w:t xml:space="preserve"> </w:t>
      </w:r>
      <w:r w:rsidRPr="008F51F1">
        <w:rPr>
          <w:rFonts w:ascii="Verdana" w:hAnsi="Verdana"/>
          <w:i/>
          <w:iCs/>
          <w:sz w:val="16"/>
          <w:szCs w:val="16"/>
          <w:lang w:val="es-CO"/>
        </w:rPr>
        <w:t>de la respectiva causa</w:t>
      </w:r>
      <w:r w:rsidRPr="008F51F1">
        <w:rPr>
          <w:rFonts w:ascii="Verdana" w:hAnsi="Verdana"/>
          <w:sz w:val="16"/>
          <w:szCs w:val="16"/>
          <w:lang w:val="es-CO"/>
        </w:rPr>
        <w:t>” (LUQUE, Guillermo Sánchez. ¿Las empresas prestadoras de servicios públicos privadas son entidades estatales? A propósito de la Sentencia C 736 de 2007. </w:t>
      </w:r>
      <w:r w:rsidRPr="008F51F1">
        <w:rPr>
          <w:rFonts w:ascii="Verdana" w:hAnsi="Verdana"/>
          <w:i/>
          <w:iCs/>
          <w:sz w:val="16"/>
          <w:szCs w:val="16"/>
          <w:lang w:val="es-CO"/>
        </w:rPr>
        <w:t>Con-texto</w:t>
      </w:r>
      <w:r w:rsidRPr="008F51F1">
        <w:rPr>
          <w:rFonts w:ascii="Verdana" w:hAnsi="Verdana"/>
          <w:sz w:val="16"/>
          <w:szCs w:val="16"/>
          <w:lang w:val="es-CO"/>
        </w:rPr>
        <w:t xml:space="preserve"> Revista de Derecho y Economía, 2008. </w:t>
      </w:r>
      <w:proofErr w:type="spellStart"/>
      <w:r w:rsidRPr="008F51F1">
        <w:rPr>
          <w:rFonts w:ascii="Verdana" w:hAnsi="Verdana"/>
          <w:sz w:val="16"/>
          <w:szCs w:val="16"/>
          <w:lang w:val="es-CO"/>
        </w:rPr>
        <w:t>Vol</w:t>
      </w:r>
      <w:proofErr w:type="spellEnd"/>
      <w:r w:rsidRPr="008F51F1">
        <w:rPr>
          <w:rFonts w:ascii="Verdana" w:hAnsi="Verdana"/>
          <w:sz w:val="16"/>
          <w:szCs w:val="16"/>
          <w:lang w:val="es-CO"/>
        </w:rPr>
        <w:t xml:space="preserve"> 25. p. 88)</w:t>
      </w:r>
    </w:p>
  </w:footnote>
  <w:footnote w:id="11">
    <w:p w14:paraId="7B4BCD5B" w14:textId="77777777" w:rsidR="003D6F94" w:rsidRPr="008F51F1" w:rsidRDefault="003D6F94" w:rsidP="003D6F94">
      <w:pPr>
        <w:pStyle w:val="Textonotapie"/>
        <w:ind w:firstLine="708"/>
        <w:jc w:val="both"/>
        <w:rPr>
          <w:rFonts w:ascii="Verdana" w:hAnsi="Verdana"/>
          <w:sz w:val="16"/>
          <w:szCs w:val="16"/>
          <w:lang w:val="es-ES"/>
        </w:rPr>
      </w:pPr>
      <w:r w:rsidRPr="008F51F1">
        <w:rPr>
          <w:rStyle w:val="Refdenotaalpie"/>
          <w:rFonts w:ascii="Verdana" w:hAnsi="Verdana"/>
          <w:sz w:val="16"/>
          <w:szCs w:val="16"/>
        </w:rPr>
        <w:footnoteRef/>
      </w:r>
      <w:r w:rsidRPr="008F51F1">
        <w:rPr>
          <w:rFonts w:ascii="Verdana" w:hAnsi="Verdana"/>
          <w:sz w:val="16"/>
          <w:szCs w:val="16"/>
        </w:rPr>
        <w:t xml:space="preserve"> </w:t>
      </w:r>
      <w:r w:rsidRPr="008F51F1">
        <w:rPr>
          <w:rFonts w:ascii="Verdana" w:hAnsi="Verdana"/>
          <w:sz w:val="16"/>
          <w:szCs w:val="16"/>
          <w:lang w:val="es-CO"/>
        </w:rPr>
        <w:t>LUQUE, Guillermo Sánchez. ¿Las empresas prestadoras de servicios públicos privadas son entidades estatales? A propósito de la Sentencia C 736 de 2007. </w:t>
      </w:r>
      <w:r w:rsidRPr="008F51F1">
        <w:rPr>
          <w:rFonts w:ascii="Verdana" w:hAnsi="Verdana"/>
          <w:i/>
          <w:iCs/>
          <w:sz w:val="16"/>
          <w:szCs w:val="16"/>
          <w:lang w:val="es-CO"/>
        </w:rPr>
        <w:t>Con-texto</w:t>
      </w:r>
      <w:r w:rsidRPr="008F51F1">
        <w:rPr>
          <w:rFonts w:ascii="Verdana" w:hAnsi="Verdana"/>
          <w:sz w:val="16"/>
          <w:szCs w:val="16"/>
          <w:lang w:val="es-CO"/>
        </w:rPr>
        <w:t xml:space="preserve"> Revista de Derecho y Economía, 2008. </w:t>
      </w:r>
      <w:proofErr w:type="spellStart"/>
      <w:r w:rsidRPr="008F51F1">
        <w:rPr>
          <w:rFonts w:ascii="Verdana" w:hAnsi="Verdana"/>
          <w:sz w:val="16"/>
          <w:szCs w:val="16"/>
          <w:lang w:val="es-CO"/>
        </w:rPr>
        <w:t>Vol</w:t>
      </w:r>
      <w:proofErr w:type="spellEnd"/>
      <w:r w:rsidRPr="008F51F1">
        <w:rPr>
          <w:rFonts w:ascii="Verdana" w:hAnsi="Verdana"/>
          <w:sz w:val="16"/>
          <w:szCs w:val="16"/>
          <w:lang w:val="es-CO"/>
        </w:rPr>
        <w:t xml:space="preserve"> 25. p. 87. </w:t>
      </w:r>
    </w:p>
  </w:footnote>
  <w:footnote w:id="12">
    <w:p w14:paraId="26120303" w14:textId="77777777" w:rsidR="003D6F94" w:rsidRPr="008F51F1" w:rsidRDefault="003D6F94" w:rsidP="003D6F94">
      <w:pPr>
        <w:pStyle w:val="Textonotapie"/>
        <w:ind w:firstLine="708"/>
        <w:rPr>
          <w:rFonts w:ascii="Verdana" w:hAnsi="Verdana"/>
          <w:sz w:val="16"/>
          <w:szCs w:val="16"/>
          <w:lang w:val="es-ES"/>
        </w:rPr>
      </w:pPr>
      <w:r w:rsidRPr="008F51F1">
        <w:rPr>
          <w:rStyle w:val="Refdenotaalpie"/>
          <w:rFonts w:ascii="Verdana" w:hAnsi="Verdana"/>
          <w:sz w:val="16"/>
          <w:szCs w:val="16"/>
        </w:rPr>
        <w:footnoteRef/>
      </w:r>
      <w:r w:rsidRPr="008F51F1">
        <w:rPr>
          <w:rFonts w:ascii="Verdana" w:hAnsi="Verdana"/>
          <w:sz w:val="16"/>
          <w:szCs w:val="16"/>
        </w:rPr>
        <w:t xml:space="preserve"> </w:t>
      </w:r>
      <w:r w:rsidRPr="008F51F1">
        <w:rPr>
          <w:rFonts w:ascii="Verdana" w:hAnsi="Verdana"/>
          <w:sz w:val="16"/>
          <w:szCs w:val="16"/>
          <w:lang w:val="es-CO"/>
        </w:rPr>
        <w:t>CORTE CONSTITUCIONAL. Sentencia C-736 de 2007. M.P. Marco Gerardo Monroy Cabra.</w:t>
      </w:r>
    </w:p>
  </w:footnote>
  <w:footnote w:id="13">
    <w:p w14:paraId="1C0A53BF" w14:textId="77777777" w:rsidR="003D6F94" w:rsidRPr="008F51F1" w:rsidRDefault="003D6F94" w:rsidP="003D6F94">
      <w:pPr>
        <w:pStyle w:val="Textonotapie"/>
        <w:ind w:firstLine="708"/>
        <w:jc w:val="both"/>
        <w:rPr>
          <w:rFonts w:ascii="Verdana" w:hAnsi="Verdana"/>
          <w:sz w:val="16"/>
          <w:szCs w:val="16"/>
          <w:lang w:val="es-CO"/>
        </w:rPr>
      </w:pPr>
      <w:r w:rsidRPr="008F51F1">
        <w:rPr>
          <w:rStyle w:val="Refdenotaalpie"/>
          <w:rFonts w:ascii="Verdana" w:hAnsi="Verdana"/>
          <w:sz w:val="16"/>
          <w:szCs w:val="16"/>
        </w:rPr>
        <w:footnoteRef/>
      </w:r>
      <w:r w:rsidRPr="008F51F1">
        <w:rPr>
          <w:rFonts w:ascii="Verdana" w:hAnsi="Verdana"/>
          <w:sz w:val="16"/>
          <w:szCs w:val="16"/>
        </w:rPr>
        <w:t xml:space="preserve"> Agencia Nacional de Contratación Pública – Colombia Compra Eficiente. </w:t>
      </w:r>
      <w:r w:rsidRPr="008F51F1">
        <w:rPr>
          <w:rFonts w:ascii="Verdana" w:hAnsi="Verdana"/>
          <w:sz w:val="16"/>
          <w:szCs w:val="16"/>
          <w:lang w:val="es-ES"/>
        </w:rPr>
        <w:t>Guía para la Gestión Contractual de entidades estatales con régimen especial. 2025. Disponible en línea:</w:t>
      </w:r>
      <w:r w:rsidRPr="008F51F1">
        <w:rPr>
          <w:rFonts w:ascii="Verdana" w:hAnsi="Verdana"/>
          <w:sz w:val="16"/>
          <w:szCs w:val="16"/>
        </w:rPr>
        <w:t xml:space="preserve"> </w:t>
      </w:r>
      <w:hyperlink r:id="rId1" w:history="1">
        <w:r w:rsidRPr="008F51F1">
          <w:rPr>
            <w:rStyle w:val="Hipervnculo"/>
            <w:rFonts w:ascii="Verdana" w:hAnsi="Verdana"/>
            <w:sz w:val="16"/>
            <w:szCs w:val="16"/>
            <w:lang w:val="es-ES"/>
          </w:rPr>
          <w:t>https://www.colombiacompra.gov.co/archivos/manual/guia-para-la-gestion-contractual-de-entidades-estatales-con-regimen-especial</w:t>
        </w:r>
      </w:hyperlink>
      <w:r w:rsidRPr="008F51F1">
        <w:rPr>
          <w:rFonts w:ascii="Verdana" w:hAnsi="Verdana"/>
          <w:sz w:val="16"/>
          <w:szCs w:val="16"/>
          <w:lang w:val="es-ES"/>
        </w:rPr>
        <w:t xml:space="preserve">.  p. 9. </w:t>
      </w:r>
    </w:p>
  </w:footnote>
  <w:footnote w:id="14">
    <w:p w14:paraId="533B8F11" w14:textId="77777777" w:rsidR="003D6F94" w:rsidRPr="008F51F1" w:rsidRDefault="003D6F94" w:rsidP="003D6F94">
      <w:pPr>
        <w:pStyle w:val="Textonotapie"/>
        <w:ind w:firstLine="709"/>
        <w:jc w:val="both"/>
        <w:rPr>
          <w:rFonts w:ascii="Verdana" w:hAnsi="Verdana" w:cs="Arial"/>
          <w:color w:val="000000"/>
          <w:sz w:val="16"/>
          <w:szCs w:val="16"/>
        </w:rPr>
      </w:pPr>
      <w:r w:rsidRPr="008F51F1">
        <w:rPr>
          <w:rStyle w:val="Refdenotaalpie"/>
          <w:rFonts w:ascii="Verdana" w:hAnsi="Verdana" w:cs="Arial"/>
          <w:color w:val="000000"/>
          <w:sz w:val="16"/>
          <w:szCs w:val="16"/>
        </w:rPr>
        <w:footnoteRef/>
      </w:r>
      <w:r w:rsidRPr="008F51F1">
        <w:rPr>
          <w:rFonts w:ascii="Verdana" w:hAnsi="Verdana" w:cs="Arial"/>
          <w:color w:val="000000"/>
          <w:sz w:val="16"/>
          <w:szCs w:val="16"/>
        </w:rPr>
        <w:t xml:space="preserve"> Consejo de Estado. Sección Tercera, Subsección A. Sentencia del 24 de octubre de 2016. </w:t>
      </w:r>
      <w:proofErr w:type="spellStart"/>
      <w:r w:rsidRPr="008F51F1">
        <w:rPr>
          <w:rFonts w:ascii="Verdana" w:hAnsi="Verdana" w:cs="Arial"/>
          <w:color w:val="000000"/>
          <w:sz w:val="16"/>
          <w:szCs w:val="16"/>
        </w:rPr>
        <w:t>Exp</w:t>
      </w:r>
      <w:proofErr w:type="spellEnd"/>
      <w:r w:rsidRPr="008F51F1">
        <w:rPr>
          <w:rFonts w:ascii="Verdana" w:hAnsi="Verdana" w:cs="Arial"/>
          <w:color w:val="000000"/>
          <w:sz w:val="16"/>
          <w:szCs w:val="16"/>
        </w:rPr>
        <w:t>.  45.607. C.P. Martha Nubia Velásquez Rico.</w:t>
      </w:r>
    </w:p>
    <w:p w14:paraId="2EEC605C" w14:textId="77777777" w:rsidR="003D6F94" w:rsidRPr="008F51F1" w:rsidRDefault="003D6F94" w:rsidP="003D6F94">
      <w:pPr>
        <w:pStyle w:val="Textonotapie"/>
        <w:ind w:firstLine="709"/>
        <w:jc w:val="both"/>
        <w:rPr>
          <w:rFonts w:ascii="Verdana" w:hAnsi="Verdana" w:cs="Arial"/>
          <w:color w:val="000000"/>
          <w:sz w:val="16"/>
          <w:szCs w:val="16"/>
          <w:lang w:val="es-ES"/>
        </w:rPr>
      </w:pPr>
    </w:p>
  </w:footnote>
  <w:footnote w:id="15">
    <w:p w14:paraId="3D397374" w14:textId="77777777" w:rsidR="003D6F94" w:rsidRPr="008F51F1" w:rsidRDefault="003D6F94" w:rsidP="003D6F94">
      <w:pPr>
        <w:pStyle w:val="Textonotapie"/>
        <w:ind w:firstLine="708"/>
        <w:jc w:val="both"/>
        <w:rPr>
          <w:rFonts w:ascii="Verdana" w:hAnsi="Verdana"/>
          <w:sz w:val="16"/>
          <w:szCs w:val="16"/>
        </w:rPr>
      </w:pPr>
      <w:r w:rsidRPr="008F51F1">
        <w:rPr>
          <w:rStyle w:val="Refdenotaalpie"/>
          <w:rFonts w:ascii="Verdana" w:hAnsi="Verdana"/>
          <w:sz w:val="16"/>
          <w:szCs w:val="16"/>
        </w:rPr>
        <w:footnoteRef/>
      </w:r>
      <w:r w:rsidRPr="008F51F1">
        <w:rPr>
          <w:rFonts w:ascii="Verdana" w:hAnsi="Verdana"/>
          <w:sz w:val="16"/>
          <w:szCs w:val="16"/>
        </w:rPr>
        <w:t xml:space="preserve"> </w:t>
      </w:r>
      <w:r w:rsidRPr="008F51F1">
        <w:rPr>
          <w:rFonts w:ascii="Verdana" w:hAnsi="Verdana"/>
          <w:sz w:val="16"/>
          <w:szCs w:val="16"/>
          <w:lang w:val="es-CO"/>
        </w:rPr>
        <w:t xml:space="preserve">Agencia Nacional de Contratación Pública – Colombia Compra Eficiente. </w:t>
      </w:r>
      <w:r w:rsidRPr="008F51F1">
        <w:rPr>
          <w:rFonts w:ascii="Verdana" w:hAnsi="Verdana"/>
          <w:sz w:val="16"/>
          <w:szCs w:val="16"/>
          <w:lang w:val="es-ES"/>
        </w:rPr>
        <w:t xml:space="preserve">Guía para la Gestión Contractual de entidades estatales con régimen especial. </w:t>
      </w:r>
      <w:proofErr w:type="spellStart"/>
      <w:r w:rsidRPr="008F51F1">
        <w:rPr>
          <w:rFonts w:ascii="Verdana" w:hAnsi="Verdana"/>
          <w:sz w:val="16"/>
          <w:szCs w:val="16"/>
          <w:lang w:val="es-ES"/>
        </w:rPr>
        <w:t>Op</w:t>
      </w:r>
      <w:proofErr w:type="spellEnd"/>
      <w:r w:rsidRPr="008F51F1">
        <w:rPr>
          <w:rFonts w:ascii="Verdana" w:hAnsi="Verdana"/>
          <w:sz w:val="16"/>
          <w:szCs w:val="16"/>
          <w:lang w:val="es-ES"/>
        </w:rPr>
        <w:t xml:space="preserve">. Cit., p. 12. </w:t>
      </w:r>
    </w:p>
  </w:footnote>
  <w:footnote w:id="16">
    <w:p w14:paraId="600EEE4C" w14:textId="77777777" w:rsidR="003D6F94" w:rsidRPr="008F51F1" w:rsidRDefault="003D6F94" w:rsidP="003D6F94">
      <w:pPr>
        <w:pStyle w:val="Textonotapie"/>
        <w:ind w:firstLine="708"/>
        <w:jc w:val="both"/>
        <w:rPr>
          <w:rFonts w:ascii="Verdana" w:hAnsi="Verdana"/>
          <w:sz w:val="16"/>
          <w:szCs w:val="16"/>
          <w:lang w:val="es-ES"/>
        </w:rPr>
      </w:pPr>
      <w:r w:rsidRPr="008F51F1">
        <w:rPr>
          <w:rStyle w:val="Refdenotaalpie"/>
          <w:rFonts w:ascii="Verdana" w:hAnsi="Verdana"/>
          <w:sz w:val="16"/>
          <w:szCs w:val="16"/>
        </w:rPr>
        <w:footnoteRef/>
      </w:r>
      <w:r w:rsidRPr="008F51F1">
        <w:rPr>
          <w:rFonts w:ascii="Verdana" w:hAnsi="Verdana"/>
          <w:sz w:val="16"/>
          <w:szCs w:val="16"/>
        </w:rPr>
        <w:t xml:space="preserve"> Agencia Nacional de Contratación Pública –Colombia Compra Eficiente. Circular Externa Única, 2023. p. 9. </w:t>
      </w:r>
    </w:p>
  </w:footnote>
  <w:footnote w:id="17">
    <w:p w14:paraId="37D8CC8D" w14:textId="77777777" w:rsidR="003D6F94" w:rsidRPr="008F51F1" w:rsidRDefault="003D6F94" w:rsidP="003D6F94">
      <w:pPr>
        <w:pStyle w:val="Textonotapie"/>
        <w:ind w:firstLine="708"/>
        <w:rPr>
          <w:rFonts w:ascii="Verdana" w:hAnsi="Verdana"/>
          <w:sz w:val="16"/>
          <w:szCs w:val="16"/>
          <w:lang w:val="es-ES"/>
        </w:rPr>
      </w:pPr>
      <w:r w:rsidRPr="008F51F1">
        <w:rPr>
          <w:rStyle w:val="Refdenotaalpie"/>
          <w:rFonts w:ascii="Verdana" w:hAnsi="Verdana"/>
          <w:sz w:val="16"/>
          <w:szCs w:val="16"/>
        </w:rPr>
        <w:footnoteRef/>
      </w:r>
      <w:r w:rsidRPr="008F51F1">
        <w:rPr>
          <w:rFonts w:ascii="Verdana" w:hAnsi="Verdana"/>
          <w:sz w:val="16"/>
          <w:szCs w:val="16"/>
        </w:rPr>
        <w:t xml:space="preserve"> Agencia Nacional de Contratación Pública –Colombia Compra Eficiente. Guía de competencia en las compras públicas, 2018. p. 4. Disponible en línea: </w:t>
      </w:r>
      <w:hyperlink r:id="rId2" w:history="1">
        <w:r w:rsidRPr="008F51F1">
          <w:rPr>
            <w:rStyle w:val="Hipervnculo"/>
            <w:rFonts w:ascii="Verdana" w:hAnsi="Verdana"/>
            <w:sz w:val="16"/>
            <w:szCs w:val="16"/>
          </w:rPr>
          <w:t>https://www.colombiacompra.gov.co/archivos/manual/guia-de-competencia-en-las-compras-publicas</w:t>
        </w:r>
      </w:hyperlink>
      <w:r w:rsidRPr="008F51F1">
        <w:rPr>
          <w:rFonts w:ascii="Verdana" w:hAnsi="Verdana"/>
          <w:sz w:val="16"/>
          <w:szCs w:val="16"/>
        </w:rPr>
        <w:t xml:space="preserve"> </w:t>
      </w:r>
    </w:p>
  </w:footnote>
  <w:footnote w:id="18">
    <w:p w14:paraId="132C0921" w14:textId="77777777" w:rsidR="003D6F94" w:rsidRPr="008C3A1A" w:rsidRDefault="003D6F94" w:rsidP="003D6F94">
      <w:pPr>
        <w:pStyle w:val="Textonotapie"/>
        <w:ind w:firstLine="708"/>
        <w:jc w:val="both"/>
        <w:rPr>
          <w:rFonts w:ascii="Verdana" w:hAnsi="Verdana" w:cs="Arial"/>
          <w:sz w:val="16"/>
          <w:szCs w:val="16"/>
        </w:rPr>
      </w:pPr>
      <w:r w:rsidRPr="008C3A1A">
        <w:rPr>
          <w:rStyle w:val="Refdenotaalpie"/>
          <w:rFonts w:ascii="Verdana" w:eastAsia="Calibri" w:hAnsi="Verdana" w:cs="Arial"/>
          <w:sz w:val="16"/>
          <w:szCs w:val="16"/>
        </w:rPr>
        <w:footnoteRef/>
      </w:r>
      <w:r w:rsidRPr="008C3A1A">
        <w:rPr>
          <w:rFonts w:ascii="Verdana" w:hAnsi="Verdana" w:cs="Arial"/>
          <w:sz w:val="16"/>
          <w:szCs w:val="16"/>
        </w:rPr>
        <w:t xml:space="preserve"> Consejo de Estado. Sección Tercera, Subsección B. Sentencia del 11 de mayo de 2011. </w:t>
      </w:r>
      <w:proofErr w:type="spellStart"/>
      <w:r w:rsidRPr="008C3A1A">
        <w:rPr>
          <w:rFonts w:ascii="Verdana" w:hAnsi="Verdana" w:cs="Arial"/>
          <w:sz w:val="16"/>
          <w:szCs w:val="16"/>
        </w:rPr>
        <w:t>Exp</w:t>
      </w:r>
      <w:proofErr w:type="spellEnd"/>
      <w:r w:rsidRPr="008C3A1A">
        <w:rPr>
          <w:rFonts w:ascii="Verdana" w:hAnsi="Verdana" w:cs="Arial"/>
          <w:sz w:val="16"/>
          <w:szCs w:val="16"/>
        </w:rPr>
        <w:t xml:space="preserve">. 17.113. C.P. Ruth Stella Correa Palacios. </w:t>
      </w:r>
    </w:p>
  </w:footnote>
  <w:footnote w:id="19">
    <w:p w14:paraId="1B66EA8B" w14:textId="77777777" w:rsidR="003D6F94" w:rsidRPr="008C3A1A" w:rsidRDefault="003D6F94" w:rsidP="003D6F94">
      <w:pPr>
        <w:pStyle w:val="Textonotapie"/>
        <w:ind w:firstLine="708"/>
        <w:jc w:val="both"/>
        <w:rPr>
          <w:rFonts w:ascii="Verdana" w:hAnsi="Verdana"/>
          <w:sz w:val="16"/>
          <w:szCs w:val="16"/>
          <w:lang w:val="es-CO"/>
        </w:rPr>
      </w:pPr>
      <w:r w:rsidRPr="008C3A1A">
        <w:rPr>
          <w:rStyle w:val="Refdenotaalpie"/>
          <w:rFonts w:ascii="Verdana" w:hAnsi="Verdana"/>
          <w:sz w:val="16"/>
          <w:szCs w:val="16"/>
        </w:rPr>
        <w:footnoteRef/>
      </w:r>
      <w:r w:rsidRPr="008C3A1A">
        <w:rPr>
          <w:rFonts w:ascii="Verdana" w:hAnsi="Verdana"/>
          <w:sz w:val="16"/>
          <w:szCs w:val="16"/>
        </w:rPr>
        <w:t xml:space="preserve"> </w:t>
      </w:r>
      <w:r w:rsidRPr="008C3A1A">
        <w:rPr>
          <w:rFonts w:ascii="Verdana" w:hAnsi="Verdana"/>
          <w:sz w:val="16"/>
          <w:szCs w:val="16"/>
          <w:lang w:val="es-CO"/>
        </w:rPr>
        <w:t>ARTICULO 1º. Modificado por el art. 1, Decreto 3307 de 1963. El nuevo texto es el siguiente: Quedan prohibidos los acuerdos o convenios (sic) que directa o indirectamente tengan por objeto limitar la producción, abastecimiento, distribución o consumo de materias primas, productos, mercancías o servicios nacionales o extranjeros, y en general, toda clase de prácticas, procedimientos o sistemas tendientes a limitar la libre competencia y a mantener o determinar precios inequitativos.</w:t>
      </w:r>
    </w:p>
    <w:p w14:paraId="564088C6" w14:textId="77777777" w:rsidR="003D6F94" w:rsidRPr="008C3A1A" w:rsidRDefault="003D6F94" w:rsidP="003D6F94">
      <w:pPr>
        <w:pStyle w:val="Textonotapie"/>
        <w:ind w:firstLine="708"/>
        <w:jc w:val="both"/>
        <w:rPr>
          <w:rFonts w:ascii="Verdana" w:hAnsi="Verdana"/>
          <w:sz w:val="16"/>
          <w:szCs w:val="16"/>
          <w:lang w:val="es-CO"/>
        </w:rPr>
      </w:pPr>
      <w:r w:rsidRPr="008C3A1A">
        <w:rPr>
          <w:rFonts w:ascii="Verdana" w:hAnsi="Verdana"/>
          <w:sz w:val="16"/>
          <w:szCs w:val="16"/>
          <w:lang w:val="es-CO"/>
        </w:rPr>
        <w:t>PARÁGRAFO. El Gobierno, sin embargo, podrá autorizar la celebración de acuerdos o convenios que no obstante limitar la libre competencia, tengan por fin defender la estabilidad de un sector básico de la producción de bienes o servicios de interés para la economía general.</w:t>
      </w:r>
    </w:p>
  </w:footnote>
  <w:footnote w:id="20">
    <w:p w14:paraId="04CBE934" w14:textId="77777777" w:rsidR="003D6F94" w:rsidRPr="008F51F1" w:rsidRDefault="003D6F94" w:rsidP="003D6F94">
      <w:pPr>
        <w:spacing w:after="0" w:line="240" w:lineRule="auto"/>
        <w:ind w:firstLine="708"/>
        <w:jc w:val="both"/>
        <w:rPr>
          <w:rFonts w:ascii="Verdana" w:eastAsia="Times New Roman" w:hAnsi="Verdana" w:cs="Arial"/>
          <w:sz w:val="16"/>
          <w:szCs w:val="16"/>
          <w:lang w:val="es-ES_tradnl" w:eastAsia="es-CO"/>
        </w:rPr>
      </w:pPr>
      <w:r w:rsidRPr="008C3A1A">
        <w:rPr>
          <w:rStyle w:val="Refdenotaalpie"/>
          <w:rFonts w:ascii="Verdana" w:hAnsi="Verdana" w:cs="Arial"/>
          <w:sz w:val="16"/>
          <w:szCs w:val="16"/>
        </w:rPr>
        <w:footnoteRef/>
      </w:r>
      <w:r w:rsidRPr="008C3A1A">
        <w:rPr>
          <w:rFonts w:ascii="Verdana" w:hAnsi="Verdana" w:cs="Arial"/>
          <w:sz w:val="16"/>
          <w:szCs w:val="16"/>
        </w:rPr>
        <w:t xml:space="preserve"> En esta medida, la jurisprudencia explica que: “[…] la previsión en torno a la visita a la zona de las obras, […] constituye en una exigencia razonable enderezada a garantizar la consistencia técnica y económica de las ofertas, así como la cumplida ejecución del objeto contractual, con lo cual no se trata de una imposición carente de toda justificación jurídicamente atendible no infringe, por tanto, el principio de interdicción de la arbitrariedad, tampoco resulta desproporcionada es una alternativa idónea, necesaria y ponderada en aras de la consecución de la finalidad propuesta y, habida cuenta de que impone, con carácter general, una carga a los particulares, carga que se orienta a una finalidad constitucional y legalmente prevista, de superior entidad, resulta plenamente razonable” (</w:t>
      </w:r>
      <w:r w:rsidRPr="008C3A1A">
        <w:rPr>
          <w:rFonts w:ascii="Verdana" w:hAnsi="Verdana" w:cs="Arial"/>
          <w:sz w:val="16"/>
          <w:szCs w:val="16"/>
          <w:lang w:val="es-ES"/>
        </w:rPr>
        <w:t xml:space="preserve">Consejo de Estado. Sección Tercera. Sentencia del 5 de junio de 2008. </w:t>
      </w:r>
      <w:proofErr w:type="spellStart"/>
      <w:r w:rsidRPr="008C3A1A">
        <w:rPr>
          <w:rFonts w:ascii="Verdana" w:hAnsi="Verdana" w:cs="Arial"/>
          <w:sz w:val="16"/>
          <w:szCs w:val="16"/>
          <w:lang w:val="es-ES"/>
        </w:rPr>
        <w:t>Exp</w:t>
      </w:r>
      <w:proofErr w:type="spellEnd"/>
      <w:r w:rsidRPr="008C3A1A">
        <w:rPr>
          <w:rFonts w:ascii="Verdana" w:hAnsi="Verdana" w:cs="Arial"/>
          <w:sz w:val="16"/>
          <w:szCs w:val="16"/>
          <w:lang w:val="es-ES"/>
        </w:rPr>
        <w:t>. 8431. C.P. Mauricio Fajardo Gómez).</w:t>
      </w:r>
    </w:p>
  </w:footnote>
  <w:footnote w:id="21">
    <w:p w14:paraId="1DBE1821" w14:textId="77777777" w:rsidR="003D6F94" w:rsidRPr="008F51F1" w:rsidRDefault="003D6F94" w:rsidP="003D6F94">
      <w:pPr>
        <w:pStyle w:val="Textonotapie"/>
        <w:ind w:firstLine="708"/>
        <w:jc w:val="both"/>
        <w:rPr>
          <w:rFonts w:ascii="Verdana" w:hAnsi="Verdana" w:cs="Arial"/>
          <w:sz w:val="16"/>
          <w:szCs w:val="16"/>
          <w:lang w:val="es-ES"/>
        </w:rPr>
      </w:pPr>
      <w:r w:rsidRPr="008F51F1">
        <w:rPr>
          <w:rStyle w:val="Refdenotaalpie"/>
          <w:rFonts w:ascii="Verdana" w:hAnsi="Verdana" w:cs="Arial"/>
          <w:sz w:val="16"/>
          <w:szCs w:val="16"/>
        </w:rPr>
        <w:footnoteRef/>
      </w:r>
      <w:r w:rsidRPr="008F51F1">
        <w:rPr>
          <w:rFonts w:ascii="Verdana" w:hAnsi="Verdana" w:cs="Arial"/>
          <w:sz w:val="16"/>
          <w:szCs w:val="16"/>
        </w:rPr>
        <w:t xml:space="preserve"> </w:t>
      </w:r>
      <w:r w:rsidRPr="008F51F1">
        <w:rPr>
          <w:rFonts w:ascii="Verdana" w:hAnsi="Verdana" w:cs="Arial"/>
          <w:sz w:val="16"/>
          <w:szCs w:val="16"/>
          <w:lang w:val="es-ES"/>
        </w:rPr>
        <w:t xml:space="preserve">Consejo de Estado. Sección Tercera, Subsección C. Sentencia del 28 de junio de 2019. </w:t>
      </w:r>
      <w:proofErr w:type="spellStart"/>
      <w:r w:rsidRPr="008F51F1">
        <w:rPr>
          <w:rFonts w:ascii="Verdana" w:hAnsi="Verdana" w:cs="Arial"/>
          <w:sz w:val="16"/>
          <w:szCs w:val="16"/>
          <w:lang w:val="es-ES"/>
        </w:rPr>
        <w:t>Exp</w:t>
      </w:r>
      <w:proofErr w:type="spellEnd"/>
      <w:r w:rsidRPr="008F51F1">
        <w:rPr>
          <w:rFonts w:ascii="Verdana" w:hAnsi="Verdana" w:cs="Arial"/>
          <w:sz w:val="16"/>
          <w:szCs w:val="16"/>
          <w:lang w:val="es-ES"/>
        </w:rPr>
        <w:t>. 42.326. C.P. Jaime Enrique Rodríguez Navas.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1"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82362"/>
    <w:rsid w:val="000A683E"/>
    <w:rsid w:val="000B19B9"/>
    <w:rsid w:val="000C31DD"/>
    <w:rsid w:val="000D0334"/>
    <w:rsid w:val="000D5DA7"/>
    <w:rsid w:val="000F6486"/>
    <w:rsid w:val="00116940"/>
    <w:rsid w:val="00125105"/>
    <w:rsid w:val="00127233"/>
    <w:rsid w:val="0015699B"/>
    <w:rsid w:val="001A33BF"/>
    <w:rsid w:val="001C5CC8"/>
    <w:rsid w:val="001E4177"/>
    <w:rsid w:val="001F0B24"/>
    <w:rsid w:val="001F7DC6"/>
    <w:rsid w:val="0022400B"/>
    <w:rsid w:val="002421BB"/>
    <w:rsid w:val="0025796E"/>
    <w:rsid w:val="002707A2"/>
    <w:rsid w:val="002951A0"/>
    <w:rsid w:val="002962BC"/>
    <w:rsid w:val="002A093D"/>
    <w:rsid w:val="002A0DD0"/>
    <w:rsid w:val="002A49AC"/>
    <w:rsid w:val="002A64FD"/>
    <w:rsid w:val="002B730F"/>
    <w:rsid w:val="002C7A84"/>
    <w:rsid w:val="002E2BF8"/>
    <w:rsid w:val="002E4FD9"/>
    <w:rsid w:val="0030657A"/>
    <w:rsid w:val="00322A85"/>
    <w:rsid w:val="00324168"/>
    <w:rsid w:val="00330834"/>
    <w:rsid w:val="003448F4"/>
    <w:rsid w:val="0037015E"/>
    <w:rsid w:val="00374F5E"/>
    <w:rsid w:val="00377E3E"/>
    <w:rsid w:val="003A779E"/>
    <w:rsid w:val="003D0F4D"/>
    <w:rsid w:val="003D5B0D"/>
    <w:rsid w:val="003D6F94"/>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1B72"/>
    <w:rsid w:val="005C3777"/>
    <w:rsid w:val="005C5CDC"/>
    <w:rsid w:val="005D476C"/>
    <w:rsid w:val="006200BF"/>
    <w:rsid w:val="006219F8"/>
    <w:rsid w:val="006302F7"/>
    <w:rsid w:val="00646B9F"/>
    <w:rsid w:val="00665D70"/>
    <w:rsid w:val="006900D9"/>
    <w:rsid w:val="006E6B21"/>
    <w:rsid w:val="00706C16"/>
    <w:rsid w:val="007340C3"/>
    <w:rsid w:val="0075235A"/>
    <w:rsid w:val="00756841"/>
    <w:rsid w:val="007649AB"/>
    <w:rsid w:val="00771D0C"/>
    <w:rsid w:val="007833AC"/>
    <w:rsid w:val="007A1830"/>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6050"/>
    <w:rsid w:val="008F0EA7"/>
    <w:rsid w:val="009127AF"/>
    <w:rsid w:val="00923EEF"/>
    <w:rsid w:val="009419F9"/>
    <w:rsid w:val="0095685E"/>
    <w:rsid w:val="00961B09"/>
    <w:rsid w:val="00965334"/>
    <w:rsid w:val="0097093E"/>
    <w:rsid w:val="009A0DFA"/>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44A47"/>
    <w:rsid w:val="00B72CD3"/>
    <w:rsid w:val="00B72FFF"/>
    <w:rsid w:val="00BC3D36"/>
    <w:rsid w:val="00BD54A6"/>
    <w:rsid w:val="00BD7F72"/>
    <w:rsid w:val="00BF7425"/>
    <w:rsid w:val="00C04FB3"/>
    <w:rsid w:val="00C11D8B"/>
    <w:rsid w:val="00C330EB"/>
    <w:rsid w:val="00C50D69"/>
    <w:rsid w:val="00C5365C"/>
    <w:rsid w:val="00C754BE"/>
    <w:rsid w:val="00C76B1C"/>
    <w:rsid w:val="00C925AC"/>
    <w:rsid w:val="00CB6357"/>
    <w:rsid w:val="00CC1B26"/>
    <w:rsid w:val="00D361FD"/>
    <w:rsid w:val="00D423A2"/>
    <w:rsid w:val="00D44E26"/>
    <w:rsid w:val="00D520D8"/>
    <w:rsid w:val="00D532F2"/>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7205"/>
    <w:rsid w:val="00EC38A7"/>
    <w:rsid w:val="00EE1AA8"/>
    <w:rsid w:val="00F23FEA"/>
    <w:rsid w:val="00F27B7B"/>
    <w:rsid w:val="00F31EDC"/>
    <w:rsid w:val="00F462B3"/>
    <w:rsid w:val="00F5664F"/>
    <w:rsid w:val="00F666C4"/>
    <w:rsid w:val="00F76AFC"/>
    <w:rsid w:val="00F96C2D"/>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F9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luis.carballog@electrohuila.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emf"/><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archivos/manual/guia-de-competencia-en-las-compras-publicas" TargetMode="External"/><Relationship Id="rId1" Type="http://schemas.openxmlformats.org/officeDocument/2006/relationships/hyperlink" Target="https://www.colombiacompra.gov.co/archivos/manual/guia-para-la-gestion-contractual-de-entidades-estatales-con-regimen-especi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CD4298-C7E8-4AA6-B2CA-965D7B9193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purl.org/dc/terms/"/>
    <ds:schemaRef ds:uri="9d85dbaf-23eb-4e57-a637-93dcacc8b1a1"/>
    <ds:schemaRef ds:uri="http://www.w3.org/XML/1998/namespace"/>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27</Pages>
  <Words>8976</Words>
  <Characters>49373</Characters>
  <Application>Microsoft Office Word</Application>
  <DocSecurity>0</DocSecurity>
  <Lines>411</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2025-11-20T15:48:00Z</dcterms:created>
  <dcterms:modified xsi:type="dcterms:W3CDTF">2025-11-20T15:48:00Z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