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ED2507B" w14:textId="77777777" w:rsidR="00910866" w:rsidRPr="00910866" w:rsidRDefault="00910866" w:rsidP="009531A7">
      <w:pPr>
        <w:spacing w:after="0" w:line="240" w:lineRule="auto"/>
        <w:jc w:val="both"/>
        <w:rPr>
          <w:rFonts w:ascii="Verdana" w:hAnsi="Verdana"/>
          <w:b/>
          <w:lang w:val="es-ES"/>
        </w:rPr>
      </w:pPr>
      <w:bookmarkStart w:id="0" w:name="_Hlk143780582"/>
      <w:bookmarkStart w:id="1" w:name="_GoBack"/>
      <w:r w:rsidRPr="00910866">
        <w:rPr>
          <w:rFonts w:ascii="Verdana" w:hAnsi="Verdana"/>
          <w:b/>
          <w:lang w:val="es-ES"/>
        </w:rPr>
        <w:t xml:space="preserve">CONTRATOS Y CONVENIOS INTERADMINISTRATIVOS – Noción – Diferencias </w:t>
      </w:r>
    </w:p>
    <w:p w14:paraId="35662652" w14:textId="77777777" w:rsidR="00910866" w:rsidRPr="00910866" w:rsidRDefault="00910866" w:rsidP="009531A7">
      <w:pPr>
        <w:spacing w:after="0" w:line="240" w:lineRule="auto"/>
        <w:jc w:val="both"/>
        <w:rPr>
          <w:rFonts w:ascii="Verdana" w:hAnsi="Verdana"/>
          <w:b/>
          <w:lang w:val="es-ES"/>
        </w:rPr>
      </w:pPr>
    </w:p>
    <w:p w14:paraId="2AD8F500" w14:textId="77777777" w:rsidR="00910866" w:rsidRPr="00910866" w:rsidRDefault="00910866" w:rsidP="009531A7">
      <w:pPr>
        <w:spacing w:after="0" w:line="240" w:lineRule="auto"/>
        <w:jc w:val="both"/>
        <w:rPr>
          <w:rFonts w:ascii="Verdana" w:hAnsi="Verdana"/>
          <w:sz w:val="20"/>
        </w:rPr>
      </w:pPr>
      <w:r w:rsidRPr="00910866">
        <w:rPr>
          <w:rFonts w:ascii="Verdana" w:hAnsi="Verdana"/>
          <w:sz w:val="20"/>
        </w:rPr>
        <w:t>La tipología del contrato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 Estatales.</w:t>
      </w:r>
    </w:p>
    <w:p w14:paraId="603BD957" w14:textId="77777777" w:rsidR="00910866" w:rsidRPr="00910866" w:rsidRDefault="00910866" w:rsidP="009531A7">
      <w:pPr>
        <w:spacing w:after="0" w:line="240" w:lineRule="auto"/>
        <w:jc w:val="both"/>
        <w:rPr>
          <w:rFonts w:ascii="Verdana" w:hAnsi="Verdana"/>
          <w:sz w:val="20"/>
        </w:rPr>
      </w:pPr>
    </w:p>
    <w:p w14:paraId="730DBE5C" w14:textId="77777777" w:rsidR="00910866" w:rsidRPr="00910866" w:rsidRDefault="00910866" w:rsidP="009531A7">
      <w:pPr>
        <w:spacing w:after="0" w:line="240" w:lineRule="auto"/>
        <w:jc w:val="both"/>
        <w:rPr>
          <w:rFonts w:ascii="Verdana" w:hAnsi="Verdana"/>
          <w:sz w:val="20"/>
        </w:rPr>
      </w:pPr>
      <w:r w:rsidRPr="00910866">
        <w:rPr>
          <w:rFonts w:ascii="Verdana" w:hAnsi="Verdana"/>
          <w:sz w:val="20"/>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714CD4DE" w14:textId="77777777" w:rsidR="00910866" w:rsidRPr="00910866" w:rsidRDefault="00910866" w:rsidP="009531A7">
      <w:pPr>
        <w:spacing w:after="0" w:line="240" w:lineRule="auto"/>
        <w:jc w:val="both"/>
        <w:rPr>
          <w:rFonts w:ascii="Verdana" w:hAnsi="Verdana"/>
          <w:b/>
        </w:rPr>
      </w:pPr>
    </w:p>
    <w:p w14:paraId="2B8F35D2" w14:textId="77777777" w:rsidR="00910866" w:rsidRPr="00910866" w:rsidRDefault="00910866" w:rsidP="009531A7">
      <w:pPr>
        <w:spacing w:after="0" w:line="240" w:lineRule="auto"/>
        <w:jc w:val="both"/>
        <w:rPr>
          <w:rFonts w:ascii="Verdana" w:hAnsi="Verdana"/>
          <w:b/>
          <w:lang w:val="es-ES"/>
        </w:rPr>
      </w:pPr>
      <w:r w:rsidRPr="00910866">
        <w:rPr>
          <w:rFonts w:ascii="Verdana" w:hAnsi="Verdana"/>
          <w:b/>
          <w:lang w:val="es-ES"/>
        </w:rPr>
        <w:t xml:space="preserve">CONVENIO INTERADMINISTRATIVO – Naturaleza – Inaplicabilidad – Ley 80 de 1993 </w:t>
      </w:r>
    </w:p>
    <w:p w14:paraId="301085CB" w14:textId="77777777" w:rsidR="00910866" w:rsidRPr="00910866" w:rsidRDefault="00910866" w:rsidP="009531A7">
      <w:pPr>
        <w:spacing w:after="0" w:line="240" w:lineRule="auto"/>
        <w:jc w:val="both"/>
        <w:rPr>
          <w:rFonts w:ascii="Verdana" w:hAnsi="Verdana"/>
          <w:b/>
          <w:lang w:val="es-ES"/>
        </w:rPr>
      </w:pPr>
    </w:p>
    <w:p w14:paraId="04E981AF" w14:textId="77777777" w:rsidR="00910866" w:rsidRPr="00910866" w:rsidRDefault="00910866" w:rsidP="009531A7">
      <w:pPr>
        <w:spacing w:after="0" w:line="240" w:lineRule="auto"/>
        <w:jc w:val="both"/>
        <w:rPr>
          <w:rFonts w:ascii="Verdana" w:hAnsi="Verdana"/>
          <w:sz w:val="20"/>
        </w:rPr>
      </w:pPr>
      <w:r w:rsidRPr="00910866">
        <w:rPr>
          <w:rFonts w:ascii="Verdana" w:hAnsi="Verdana"/>
          <w:sz w:val="20"/>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w:t>
      </w:r>
    </w:p>
    <w:p w14:paraId="0D20CE40" w14:textId="77777777" w:rsidR="00910866" w:rsidRPr="00910866" w:rsidRDefault="00910866" w:rsidP="009531A7">
      <w:pPr>
        <w:spacing w:after="0" w:line="240" w:lineRule="auto"/>
        <w:jc w:val="both"/>
        <w:rPr>
          <w:rFonts w:ascii="Verdana" w:hAnsi="Verdana"/>
          <w:sz w:val="20"/>
        </w:rPr>
      </w:pPr>
    </w:p>
    <w:p w14:paraId="3E951F27" w14:textId="77777777" w:rsidR="00910866" w:rsidRPr="00910866" w:rsidRDefault="00910866" w:rsidP="009531A7">
      <w:pPr>
        <w:spacing w:after="0" w:line="240" w:lineRule="auto"/>
        <w:jc w:val="both"/>
        <w:rPr>
          <w:rFonts w:ascii="Verdana" w:hAnsi="Verdana"/>
          <w:sz w:val="20"/>
        </w:rPr>
      </w:pPr>
      <w:r w:rsidRPr="00910866">
        <w:rPr>
          <w:rFonts w:ascii="Verdana" w:hAnsi="Verdana"/>
          <w:sz w:val="20"/>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p>
    <w:p w14:paraId="245FC30F" w14:textId="16C324F2" w:rsidR="00910866" w:rsidRDefault="00910866" w:rsidP="009531A7">
      <w:pPr>
        <w:spacing w:after="0" w:line="240" w:lineRule="auto"/>
        <w:ind w:left="708" w:hanging="708"/>
        <w:rPr>
          <w:rFonts w:ascii="Verdana" w:hAnsi="Verdana"/>
        </w:rPr>
      </w:pPr>
    </w:p>
    <w:p w14:paraId="576D1B33" w14:textId="5765F4F2" w:rsidR="00910866" w:rsidRPr="009531A7" w:rsidRDefault="00910866" w:rsidP="009531A7">
      <w:pPr>
        <w:spacing w:after="0" w:line="240" w:lineRule="auto"/>
        <w:ind w:left="708" w:hanging="708"/>
        <w:rPr>
          <w:rFonts w:ascii="Verdana" w:hAnsi="Verdana"/>
          <w:b/>
        </w:rPr>
      </w:pPr>
      <w:r w:rsidRPr="009531A7">
        <w:rPr>
          <w:rFonts w:ascii="Verdana" w:hAnsi="Verdana"/>
          <w:b/>
        </w:rPr>
        <w:t>ICETEX – Naturaleza Jurídica</w:t>
      </w:r>
    </w:p>
    <w:p w14:paraId="7D72BC5B" w14:textId="74237449" w:rsidR="00910866" w:rsidRDefault="00910866" w:rsidP="009531A7">
      <w:pPr>
        <w:spacing w:after="0" w:line="240" w:lineRule="auto"/>
        <w:ind w:left="708" w:hanging="708"/>
        <w:rPr>
          <w:rFonts w:ascii="Verdana" w:hAnsi="Verdana"/>
          <w:b/>
        </w:rPr>
      </w:pPr>
    </w:p>
    <w:p w14:paraId="50415B03" w14:textId="43AE40BE" w:rsidR="009531A7" w:rsidRDefault="009531A7" w:rsidP="009531A7">
      <w:pPr>
        <w:spacing w:after="0" w:line="240" w:lineRule="auto"/>
        <w:jc w:val="both"/>
        <w:rPr>
          <w:rFonts w:ascii="Verdana" w:hAnsi="Verdana"/>
          <w:sz w:val="20"/>
        </w:rPr>
      </w:pPr>
      <w:r w:rsidRPr="009531A7">
        <w:rPr>
          <w:rFonts w:ascii="Verdana" w:hAnsi="Verdana"/>
          <w:sz w:val="20"/>
        </w:rPr>
        <w:t xml:space="preserve">El Instituto Colombiano de Crédito Educativo y Estudios Técnicos en el Exterior – ICETEX es una entidad del estado colombiano de la rama ejecutiva del orden nacional que tiene por objeto el fomento social de la educación superior, priorizando la población de bajos recursos económicos y aquella con mérito académico en todos los estratos </w:t>
      </w:r>
      <w:r w:rsidRPr="009531A7">
        <w:rPr>
          <w:rFonts w:ascii="Verdana" w:hAnsi="Verdana"/>
          <w:sz w:val="20"/>
        </w:rPr>
        <w:lastRenderedPageBreak/>
        <w:t xml:space="preserve">mediante los diferentes mecanismos financieros que hagan posible el acceso y la permanencia de las personas a la educación superior, la canalización y administración de recursos, becas y otros apoyos de carácter nacional e internacional, con recursos propios o de terceros. </w:t>
      </w:r>
    </w:p>
    <w:p w14:paraId="0EF68ED2" w14:textId="77777777" w:rsidR="009531A7" w:rsidRPr="009531A7" w:rsidRDefault="009531A7" w:rsidP="009531A7">
      <w:pPr>
        <w:spacing w:after="0" w:line="240" w:lineRule="auto"/>
        <w:jc w:val="both"/>
        <w:rPr>
          <w:rFonts w:ascii="Verdana" w:hAnsi="Verdana"/>
          <w:sz w:val="20"/>
        </w:rPr>
      </w:pPr>
    </w:p>
    <w:p w14:paraId="764D6F08" w14:textId="77777777" w:rsidR="009531A7" w:rsidRPr="009531A7" w:rsidRDefault="009531A7" w:rsidP="009531A7">
      <w:pPr>
        <w:spacing w:after="0" w:line="240" w:lineRule="auto"/>
        <w:jc w:val="both"/>
        <w:rPr>
          <w:rFonts w:ascii="Verdana" w:hAnsi="Verdana"/>
          <w:sz w:val="20"/>
        </w:rPr>
      </w:pPr>
      <w:r w:rsidRPr="009531A7">
        <w:rPr>
          <w:rFonts w:ascii="Verdana" w:hAnsi="Verdana"/>
          <w:sz w:val="20"/>
        </w:rPr>
        <w:t>Conforme lo señalado en el artículo 1 de la Ley 1002 de 2005 se transforma el ICETEX creado por el Decreto 2586 de 1950 en una entidad financiera de naturaleza especial, con personería jurídica, autonomía administrativa y patrimonio propio. Así mismo, el artículo 6 de la precitada ley dispone que la Superintendencia Financiera ejerce la inspección, vigilancia y control sobre las operaciones financieras que realice el ICETEX, sin perjuicio de lo regulado en el Estatuto Orgánico del; Sistema Financiero contenido en el Decreto-ley 663 de 1993. </w:t>
      </w:r>
    </w:p>
    <w:p w14:paraId="0F311BC5" w14:textId="77777777" w:rsidR="009531A7" w:rsidRPr="009531A7" w:rsidRDefault="009531A7" w:rsidP="009531A7">
      <w:pPr>
        <w:spacing w:after="0" w:line="240" w:lineRule="auto"/>
        <w:ind w:left="708" w:hanging="708"/>
        <w:rPr>
          <w:rFonts w:ascii="Verdana" w:hAnsi="Verdana"/>
          <w:b/>
        </w:rPr>
      </w:pPr>
    </w:p>
    <w:p w14:paraId="6A7FB926" w14:textId="0EA42D3A" w:rsidR="00910866" w:rsidRPr="009531A7" w:rsidRDefault="00910866" w:rsidP="009531A7">
      <w:pPr>
        <w:spacing w:after="0" w:line="240" w:lineRule="auto"/>
        <w:ind w:left="708" w:hanging="708"/>
        <w:rPr>
          <w:rFonts w:ascii="Verdana" w:hAnsi="Verdana"/>
          <w:b/>
        </w:rPr>
      </w:pPr>
      <w:r w:rsidRPr="009531A7">
        <w:rPr>
          <w:rFonts w:ascii="Verdana" w:hAnsi="Verdana"/>
          <w:b/>
        </w:rPr>
        <w:t>CONVENIOS DE FONDOS EN ADMINISTRACIÓN – Etapas</w:t>
      </w:r>
    </w:p>
    <w:p w14:paraId="265842E8" w14:textId="14B18280" w:rsidR="00910866" w:rsidRDefault="00910866" w:rsidP="009531A7">
      <w:pPr>
        <w:spacing w:after="0" w:line="240" w:lineRule="auto"/>
        <w:ind w:left="708" w:hanging="708"/>
        <w:rPr>
          <w:rFonts w:ascii="Verdana" w:hAnsi="Verdana"/>
          <w:b/>
        </w:rPr>
      </w:pPr>
    </w:p>
    <w:p w14:paraId="78E82E08" w14:textId="6035A81B" w:rsidR="009531A7" w:rsidRPr="009531A7" w:rsidRDefault="009531A7" w:rsidP="009531A7">
      <w:pPr>
        <w:spacing w:after="0" w:line="240" w:lineRule="auto"/>
        <w:jc w:val="both"/>
        <w:rPr>
          <w:rFonts w:ascii="Verdana" w:hAnsi="Verdana"/>
          <w:sz w:val="20"/>
        </w:rPr>
      </w:pPr>
      <w:r w:rsidRPr="009531A7">
        <w:rPr>
          <w:rFonts w:ascii="Verdana" w:hAnsi="Verdana"/>
          <w:sz w:val="20"/>
        </w:rPr>
        <w:t>Estos convenios de fondos en administración cuentan con las siguientes etapas principales de gestión, desde su creación hasta su cierre: i) Estructuración del fondo, que consiste en la definición y formalización de aspectos administrativos, operativos, financieros y contractuales para la gestión del fondo; ii) Otorgamiento, que se caracteriza por la convocatoria a la ciudadanía para participar en un proceso de evaluación que adjudica apoyos educativos; iii) Desembolso, que consiste en el pago del apoyo financiero aprobado a universidades, beneficiarios u otras entidades; iv) Gestión de renovaciones, que se caracteriza por la verificación de requisitos para refrendar el apoyo en cada periodo académico y autorizar nuevos desembolsos; v) la exoneración total o parcial del beneficiario de la obligación de reembolsar el apoyo, tras cumplir requisitos establecidos; vi) la cartera, que parte de la administración de los apoyos financieros que no fueron condonados y deben ser pagados por los beneficiarios; y por último, vii) la liquidación que es el balance general al finalizar un acuerdo estratégico, formalizando su cierre contractual. Durante el ciclo del convenio existe una Junta Administradora, donde el financiador o constituyente toma decisiones. El ICETEX participa con voz, pero sin voto, velando por el buen uso de los recursos del fondo. De esta manera, en este tipo de convenios se crea el fondo y el ICETEX actúa como administrador-mandatario, recibiendo recursos del constituyente para su gestión, que tiene como propósito específico: garantizar que el Fondo opere bajo parámetros normativos y contractuales previamente definidos.</w:t>
      </w:r>
    </w:p>
    <w:p w14:paraId="3A87EAEA" w14:textId="77777777" w:rsidR="009531A7" w:rsidRDefault="009531A7" w:rsidP="009531A7">
      <w:pPr>
        <w:spacing w:after="0" w:line="240" w:lineRule="auto"/>
        <w:jc w:val="both"/>
        <w:rPr>
          <w:rFonts w:ascii="Verdana" w:hAnsi="Verdana"/>
          <w:b/>
        </w:rPr>
      </w:pPr>
    </w:p>
    <w:p w14:paraId="3740CF95" w14:textId="26F5B0AF" w:rsidR="00910866" w:rsidRPr="009531A7" w:rsidRDefault="00910866" w:rsidP="009531A7">
      <w:pPr>
        <w:spacing w:after="0" w:line="240" w:lineRule="auto"/>
        <w:jc w:val="both"/>
        <w:rPr>
          <w:rFonts w:ascii="Verdana" w:hAnsi="Verdana"/>
          <w:b/>
        </w:rPr>
      </w:pPr>
      <w:r w:rsidRPr="009531A7">
        <w:rPr>
          <w:rFonts w:ascii="Verdana" w:hAnsi="Verdana"/>
          <w:b/>
        </w:rPr>
        <w:t>CONVENIOS DE FONDOS EN ADMINISTRACIÓN – Contratos Interadministrativos –Convenios Interadministrativos – Obligaciones</w:t>
      </w:r>
    </w:p>
    <w:p w14:paraId="167DEB95" w14:textId="6CCE4636" w:rsidR="00910866" w:rsidRDefault="00910866" w:rsidP="009531A7">
      <w:pPr>
        <w:spacing w:after="0" w:line="240" w:lineRule="auto"/>
        <w:jc w:val="both"/>
        <w:rPr>
          <w:rFonts w:ascii="Verdana" w:hAnsi="Verdana"/>
          <w:b/>
        </w:rPr>
      </w:pPr>
    </w:p>
    <w:p w14:paraId="4A47E820" w14:textId="77777777" w:rsidR="009531A7" w:rsidRPr="009531A7" w:rsidRDefault="009531A7" w:rsidP="009531A7">
      <w:pPr>
        <w:spacing w:after="0" w:line="240" w:lineRule="auto"/>
        <w:jc w:val="both"/>
        <w:rPr>
          <w:rFonts w:ascii="Verdana" w:hAnsi="Verdana"/>
          <w:sz w:val="20"/>
          <w:szCs w:val="20"/>
        </w:rPr>
      </w:pPr>
      <w:r w:rsidRPr="009531A7">
        <w:rPr>
          <w:rFonts w:ascii="Verdana" w:hAnsi="Verdana"/>
          <w:sz w:val="20"/>
          <w:szCs w:val="20"/>
        </w:rPr>
        <w:t xml:space="preserve">Teniendo en cuenta las particularidades de estos convenios de fondos de administración suscritos con entidades públicas sujetas al EGCAP con el ICETEX, es pertinente precisar que la denominación de convenio no significa que sea un convenio interadministrativo, y por tanto, no le aplique el EGCAP por parte de la entidad pública que actúa como constituyente, pues lo que determina que sea convenio no </w:t>
      </w:r>
      <w:r w:rsidRPr="009531A7">
        <w:rPr>
          <w:rFonts w:ascii="Verdana" w:hAnsi="Verdana"/>
          <w:sz w:val="20"/>
          <w:szCs w:val="20"/>
          <w:lang w:val="es-ES"/>
        </w:rPr>
        <w:t xml:space="preserve">es la titulación del documento </w:t>
      </w:r>
      <w:r w:rsidRPr="009531A7">
        <w:rPr>
          <w:rFonts w:ascii="Verdana" w:hAnsi="Verdana"/>
          <w:sz w:val="20"/>
          <w:szCs w:val="20"/>
          <w:lang w:val="es-ES"/>
        </w:rPr>
        <w:lastRenderedPageBreak/>
        <w:t xml:space="preserve">contractual, sino el contenido material de las obligaciones estipuladas. En esta línea, será convenio interadministrativo </w:t>
      </w:r>
      <w:r w:rsidRPr="009531A7">
        <w:rPr>
          <w:rFonts w:ascii="Verdana" w:hAnsi="Verdana"/>
          <w:sz w:val="20"/>
          <w:szCs w:val="20"/>
        </w:rPr>
        <w:t xml:space="preserve">cuando las partes actúan como colaboradoras o cooperantes, sin que pueda aludirse a la preponderancia de ciertos regímenes, y donde no existe un pago por honorarios o administración, al comprenderse que las partes son aportantes para la consecución de los objetivos del convenio. </w:t>
      </w:r>
      <w:r w:rsidRPr="009531A7">
        <w:rPr>
          <w:rFonts w:ascii="Verdana" w:hAnsi="Verdana"/>
          <w:sz w:val="20"/>
          <w:szCs w:val="20"/>
          <w:lang w:val="es-ES_tradnl"/>
        </w:rPr>
        <w:t xml:space="preserve">A diferencia de los contratos </w:t>
      </w:r>
      <w:r w:rsidRPr="009531A7">
        <w:rPr>
          <w:rFonts w:ascii="Verdana" w:hAnsi="Verdana"/>
          <w:sz w:val="20"/>
          <w:szCs w:val="20"/>
        </w:rPr>
        <w:t>interadministrativos, en tanto negocios jurídicos típicamente conmutativos, su valor está determinado por el precio al que equivale la contraprestación a recibir por la entidad contratista, a cambio del suministro del bien, obra o servicio requerido por la entidad contratante, como puede ocurrir cuando se pacte por administración delegada</w:t>
      </w:r>
      <w:r w:rsidRPr="009531A7">
        <w:rPr>
          <w:rFonts w:ascii="Verdana" w:hAnsi="Verdana"/>
          <w:sz w:val="20"/>
          <w:szCs w:val="20"/>
          <w:lang w:val="es-ES_tradnl"/>
        </w:rPr>
        <w:t xml:space="preserve">, esto es, como administración o modalidad de pago, con o sin representación.  </w:t>
      </w:r>
    </w:p>
    <w:p w14:paraId="40687AA8" w14:textId="77777777" w:rsidR="009531A7" w:rsidRPr="009531A7" w:rsidRDefault="009531A7" w:rsidP="009531A7">
      <w:pPr>
        <w:spacing w:after="0" w:line="240" w:lineRule="auto"/>
        <w:jc w:val="both"/>
        <w:rPr>
          <w:rFonts w:ascii="Verdana" w:hAnsi="Verdana"/>
          <w:b/>
        </w:rPr>
      </w:pPr>
    </w:p>
    <w:p w14:paraId="51EECC2D" w14:textId="1F711695" w:rsidR="00910866" w:rsidRDefault="00910866" w:rsidP="009531A7">
      <w:pPr>
        <w:spacing w:after="0" w:line="240" w:lineRule="auto"/>
        <w:jc w:val="both"/>
        <w:rPr>
          <w:rFonts w:ascii="Verdana" w:hAnsi="Verdana"/>
          <w:b/>
        </w:rPr>
      </w:pPr>
      <w:r w:rsidRPr="009531A7">
        <w:rPr>
          <w:rFonts w:ascii="Verdana" w:hAnsi="Verdana"/>
          <w:b/>
        </w:rPr>
        <w:t>CONVENIOS DE FONDOS EN ADMINISTRACIÓN – Límites – Adición - Contratos Interadministrativos –Convenios Interadministrativos</w:t>
      </w:r>
    </w:p>
    <w:p w14:paraId="507C2094" w14:textId="77777777" w:rsidR="009531A7" w:rsidRPr="009531A7" w:rsidRDefault="009531A7" w:rsidP="009531A7">
      <w:pPr>
        <w:spacing w:after="0" w:line="240" w:lineRule="auto"/>
        <w:jc w:val="both"/>
        <w:rPr>
          <w:rFonts w:ascii="Verdana" w:hAnsi="Verdana"/>
          <w:b/>
        </w:rPr>
      </w:pPr>
    </w:p>
    <w:p w14:paraId="696829F6" w14:textId="77777777" w:rsidR="009531A7" w:rsidRDefault="009531A7" w:rsidP="009531A7">
      <w:pPr>
        <w:spacing w:after="0" w:line="240" w:lineRule="auto"/>
        <w:jc w:val="both"/>
        <w:rPr>
          <w:rFonts w:ascii="Verdana" w:hAnsi="Verdana"/>
          <w:sz w:val="20"/>
          <w:szCs w:val="20"/>
        </w:rPr>
      </w:pPr>
      <w:r w:rsidRPr="009531A7">
        <w:rPr>
          <w:rFonts w:ascii="Verdana" w:hAnsi="Verdana"/>
          <w:sz w:val="20"/>
          <w:szCs w:val="20"/>
        </w:rPr>
        <w:t>Si el convenio de administración se constituye bajo la forma y cláusulas de convenio interadministrativo no le son aplicables las reglas del EGCAP, como lo ha expresado el Consejo de Estado en las consideraciones previamente expuestas en este concepto, pero, si es un contrato interadministrativo que se fundamentó bajo la causal regulada en el literal c, numeral 4, artículo 2 de la Ley 1150 de 2007 se sujeta a las restricciones y prohibiciones del EGCAP. Bajo estas precisiones, solo a los contratos interadministrativos les aplica el límite previsto en el parágrafo del artículo 40 de la Ley 80 de 1993: “Los contratos no podrán adicionarse en más del cincuenta por ciento (50%) de su valor inicial, expresado éste en salarios mínimos legales mensuales”.</w:t>
      </w:r>
    </w:p>
    <w:p w14:paraId="115FAF63" w14:textId="70D9AA53" w:rsidR="009531A7" w:rsidRPr="009531A7" w:rsidRDefault="009531A7" w:rsidP="009531A7">
      <w:pPr>
        <w:spacing w:after="0" w:line="240" w:lineRule="auto"/>
        <w:jc w:val="both"/>
        <w:rPr>
          <w:rFonts w:ascii="Verdana" w:hAnsi="Verdana"/>
          <w:sz w:val="20"/>
          <w:szCs w:val="20"/>
        </w:rPr>
      </w:pPr>
      <w:r w:rsidRPr="009531A7">
        <w:rPr>
          <w:rFonts w:ascii="Verdana" w:hAnsi="Verdana"/>
          <w:sz w:val="20"/>
          <w:szCs w:val="20"/>
        </w:rPr>
        <w:t xml:space="preserve"> </w:t>
      </w:r>
    </w:p>
    <w:p w14:paraId="1ED818C5" w14:textId="77777777" w:rsidR="009531A7" w:rsidRPr="009531A7" w:rsidRDefault="009531A7" w:rsidP="009531A7">
      <w:pPr>
        <w:spacing w:after="0" w:line="240" w:lineRule="auto"/>
        <w:jc w:val="both"/>
        <w:rPr>
          <w:rFonts w:ascii="Verdana" w:hAnsi="Verdana"/>
          <w:sz w:val="20"/>
          <w:szCs w:val="20"/>
        </w:rPr>
      </w:pPr>
      <w:r w:rsidRPr="009531A7">
        <w:rPr>
          <w:rFonts w:ascii="Verdana" w:hAnsi="Verdana"/>
          <w:sz w:val="20"/>
          <w:szCs w:val="20"/>
        </w:rPr>
        <w:t>Si bien, la normativa vigente no establece una prohibición expresa respecto al límite de las adiciones en los convenios interadministrativos al considerarse que no están sometidos al EGCAP; sin embargo, ello no significa que puedan realizarse de manera ilimitada o discrecional. Estas modificaciones deben observar cuidadosamente los principios que rigen la función administrativa, garantizando la transparencia, la eficiencia, la economía, la moralidad y ante todo la legalidad en cada actuación. Asimismo, resulta indispensable que las adiciones se ajusten a los principios de la gestión fiscal responsable, evitando comprometer recursos más allá de lo permitido por la planeación presupuestal y las reglas de sostenibilidad financiera.</w:t>
      </w:r>
    </w:p>
    <w:bookmarkEnd w:id="1"/>
    <w:p w14:paraId="4CC005FE" w14:textId="4F6C955C" w:rsidR="00910866" w:rsidRPr="009531A7" w:rsidRDefault="00910866" w:rsidP="009531A7">
      <w:pPr>
        <w:spacing w:after="0" w:line="240" w:lineRule="auto"/>
        <w:ind w:left="708" w:hanging="708"/>
        <w:rPr>
          <w:rFonts w:ascii="Verdana" w:hAnsi="Verdana"/>
          <w:sz w:val="20"/>
          <w:szCs w:val="20"/>
        </w:rPr>
      </w:pPr>
    </w:p>
    <w:p w14:paraId="13AAC84F" w14:textId="2EB68CBB" w:rsidR="009531A7" w:rsidRDefault="009531A7" w:rsidP="00F7793F">
      <w:pPr>
        <w:spacing w:after="0"/>
        <w:ind w:left="708" w:hanging="708"/>
        <w:rPr>
          <w:rFonts w:ascii="Verdana" w:hAnsi="Verdana"/>
        </w:rPr>
      </w:pPr>
    </w:p>
    <w:p w14:paraId="2C41B482" w14:textId="08142B14" w:rsidR="009531A7" w:rsidRDefault="009531A7" w:rsidP="00F7793F">
      <w:pPr>
        <w:spacing w:after="0"/>
        <w:ind w:left="708" w:hanging="708"/>
        <w:rPr>
          <w:rFonts w:ascii="Verdana" w:hAnsi="Verdana"/>
        </w:rPr>
      </w:pPr>
    </w:p>
    <w:p w14:paraId="08C5611B" w14:textId="53B86522" w:rsidR="009531A7" w:rsidRDefault="009531A7" w:rsidP="00F7793F">
      <w:pPr>
        <w:spacing w:after="0"/>
        <w:ind w:left="708" w:hanging="708"/>
        <w:rPr>
          <w:rFonts w:ascii="Verdana" w:hAnsi="Verdana"/>
        </w:rPr>
      </w:pPr>
    </w:p>
    <w:p w14:paraId="640CA07E" w14:textId="05D2E0AA" w:rsidR="009531A7" w:rsidRDefault="009531A7" w:rsidP="00F7793F">
      <w:pPr>
        <w:spacing w:after="0"/>
        <w:ind w:left="708" w:hanging="708"/>
        <w:rPr>
          <w:rFonts w:ascii="Verdana" w:hAnsi="Verdana"/>
        </w:rPr>
      </w:pPr>
    </w:p>
    <w:p w14:paraId="06018C30" w14:textId="484BCE29" w:rsidR="009531A7" w:rsidRDefault="009531A7" w:rsidP="00F7793F">
      <w:pPr>
        <w:spacing w:after="0"/>
        <w:ind w:left="708" w:hanging="708"/>
        <w:rPr>
          <w:rFonts w:ascii="Verdana" w:hAnsi="Verdana"/>
        </w:rPr>
      </w:pPr>
    </w:p>
    <w:p w14:paraId="1F30DBB4" w14:textId="38CFC042" w:rsidR="009531A7" w:rsidRDefault="009531A7" w:rsidP="00F7793F">
      <w:pPr>
        <w:spacing w:after="0"/>
        <w:ind w:left="708" w:hanging="708"/>
        <w:rPr>
          <w:rFonts w:ascii="Verdana" w:hAnsi="Verdana"/>
        </w:rPr>
      </w:pPr>
    </w:p>
    <w:p w14:paraId="150F6385" w14:textId="7740AA26" w:rsidR="009531A7" w:rsidRDefault="009531A7" w:rsidP="00F7793F">
      <w:pPr>
        <w:spacing w:after="0"/>
        <w:ind w:left="708" w:hanging="708"/>
        <w:rPr>
          <w:rFonts w:ascii="Verdana" w:hAnsi="Verdana"/>
        </w:rPr>
      </w:pPr>
    </w:p>
    <w:p w14:paraId="06CC72D0" w14:textId="02DC609F" w:rsidR="009531A7" w:rsidRDefault="009531A7" w:rsidP="00F7793F">
      <w:pPr>
        <w:spacing w:after="0"/>
        <w:ind w:left="708" w:hanging="708"/>
        <w:rPr>
          <w:rFonts w:ascii="Verdana" w:hAnsi="Verdana"/>
        </w:rPr>
      </w:pPr>
    </w:p>
    <w:p w14:paraId="5B7366F0" w14:textId="77777777" w:rsidR="009531A7" w:rsidRDefault="009531A7" w:rsidP="00F7793F">
      <w:pPr>
        <w:spacing w:after="0"/>
        <w:ind w:left="708" w:hanging="708"/>
        <w:rPr>
          <w:rFonts w:ascii="Verdana" w:hAnsi="Verdana"/>
        </w:rPr>
      </w:pPr>
    </w:p>
    <w:p w14:paraId="5BA4223A" w14:textId="6932B9B7" w:rsidR="00F7793F" w:rsidRPr="009037F6" w:rsidRDefault="00F7793F" w:rsidP="00F7793F">
      <w:pPr>
        <w:spacing w:after="0"/>
        <w:ind w:left="708" w:hanging="708"/>
        <w:rPr>
          <w:rFonts w:ascii="Verdana" w:hAnsi="Verdana"/>
        </w:rPr>
      </w:pPr>
      <w:r w:rsidRPr="0024624F">
        <w:rPr>
          <w:rFonts w:ascii="Verdana" w:hAnsi="Verdana"/>
        </w:rPr>
        <w:lastRenderedPageBreak/>
        <w:t>Bogotá D.C.,</w:t>
      </w:r>
      <w:r w:rsidR="00AD2B2D">
        <w:rPr>
          <w:rFonts w:ascii="Verdana" w:hAnsi="Verdana"/>
        </w:rPr>
        <w:t xml:space="preserve"> 28 de noviembre de 2025</w:t>
      </w:r>
      <w:r>
        <w:rPr>
          <w:rFonts w:ascii="Verdana" w:hAnsi="Verdana"/>
        </w:rPr>
        <w:tab/>
      </w:r>
    </w:p>
    <w:p w14:paraId="42C1F1CC" w14:textId="5B867EE0" w:rsidR="00F7793F" w:rsidRPr="009037F6" w:rsidRDefault="00AD2B2D" w:rsidP="00F7793F">
      <w:pPr>
        <w:spacing w:after="0" w:line="240" w:lineRule="auto"/>
        <w:rPr>
          <w:rFonts w:ascii="Verdana" w:hAnsi="Verdana"/>
        </w:rPr>
      </w:pPr>
      <w:r w:rsidRPr="00AD2B2D">
        <w:rPr>
          <w:rFonts w:ascii="Verdana" w:hAnsi="Verdana"/>
          <w:noProof/>
          <w:lang w:val="en-US"/>
        </w:rPr>
        <w:drawing>
          <wp:anchor distT="0" distB="0" distL="114300" distR="114300" simplePos="0" relativeHeight="251658240" behindDoc="0" locked="0" layoutInCell="1" allowOverlap="1" wp14:anchorId="279D763C" wp14:editId="49C6879E">
            <wp:simplePos x="0" y="0"/>
            <wp:positionH relativeFrom="margin">
              <wp:align>right</wp:align>
            </wp:positionH>
            <wp:positionV relativeFrom="paragraph">
              <wp:posOffset>12065</wp:posOffset>
            </wp:positionV>
            <wp:extent cx="3048000" cy="790575"/>
            <wp:effectExtent l="0" t="0" r="0" b="952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0" cy="7905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65FA13" w14:textId="77777777" w:rsidR="00F7793F" w:rsidRPr="009037F6" w:rsidRDefault="00F7793F" w:rsidP="00F7793F">
      <w:pPr>
        <w:spacing w:after="0" w:line="240" w:lineRule="auto"/>
        <w:rPr>
          <w:rFonts w:ascii="Verdana" w:hAnsi="Verdana"/>
        </w:rPr>
      </w:pPr>
    </w:p>
    <w:p w14:paraId="54377202" w14:textId="77777777" w:rsidR="00F7793F" w:rsidRPr="009037F6" w:rsidRDefault="00F7793F" w:rsidP="00F7793F">
      <w:pPr>
        <w:spacing w:after="0" w:line="240" w:lineRule="auto"/>
        <w:rPr>
          <w:rFonts w:ascii="Verdana" w:eastAsia="Calibri" w:hAnsi="Verdana" w:cs="Times New Roman"/>
          <w:lang w:val="es-MX"/>
        </w:rPr>
      </w:pPr>
      <w:r w:rsidRPr="009037F6">
        <w:rPr>
          <w:rFonts w:ascii="Verdana" w:eastAsia="Calibri" w:hAnsi="Verdana" w:cs="Times New Roman"/>
          <w:lang w:val="es-MX"/>
        </w:rPr>
        <w:t>Señor</w:t>
      </w:r>
    </w:p>
    <w:p w14:paraId="6E1D9F06" w14:textId="77777777" w:rsidR="00F7793F" w:rsidRPr="009037F6" w:rsidRDefault="00F7793F" w:rsidP="00F7793F">
      <w:pPr>
        <w:spacing w:after="0" w:line="240" w:lineRule="auto"/>
        <w:rPr>
          <w:rFonts w:ascii="Verdana" w:eastAsia="Calibri" w:hAnsi="Verdana" w:cs="Times New Roman"/>
          <w:b/>
        </w:rPr>
      </w:pPr>
      <w:r>
        <w:rPr>
          <w:rFonts w:ascii="Verdana" w:eastAsia="Calibri" w:hAnsi="Verdana" w:cs="Times New Roman"/>
          <w:b/>
        </w:rPr>
        <w:t>Mauricio Bello</w:t>
      </w:r>
    </w:p>
    <w:p w14:paraId="016AA364" w14:textId="77777777" w:rsidR="00F7793F" w:rsidRDefault="005E4393" w:rsidP="00F7793F">
      <w:pPr>
        <w:spacing w:after="0" w:line="240" w:lineRule="auto"/>
        <w:rPr>
          <w:rFonts w:ascii="Verdana" w:eastAsia="Calibri" w:hAnsi="Verdana" w:cs="Times New Roman"/>
        </w:rPr>
      </w:pPr>
      <w:hyperlink r:id="rId12" w:history="1">
        <w:r w:rsidR="00F7793F" w:rsidRPr="0089564C">
          <w:rPr>
            <w:rStyle w:val="Hipervnculo"/>
            <w:rFonts w:ascii="Verdana" w:eastAsia="Calibri" w:hAnsi="Verdana" w:cs="Times New Roman"/>
          </w:rPr>
          <w:t>osmaberi@hotmail.com</w:t>
        </w:r>
      </w:hyperlink>
      <w:r w:rsidR="00F7793F">
        <w:rPr>
          <w:rFonts w:ascii="Verdana" w:eastAsia="Calibri" w:hAnsi="Verdana" w:cs="Times New Roman"/>
        </w:rPr>
        <w:t xml:space="preserve"> </w:t>
      </w:r>
    </w:p>
    <w:p w14:paraId="730AF0B1" w14:textId="77777777" w:rsidR="00F7793F" w:rsidRDefault="00F7793F" w:rsidP="00F7793F">
      <w:pPr>
        <w:spacing w:after="0" w:line="240" w:lineRule="auto"/>
        <w:rPr>
          <w:rFonts w:ascii="Verdana" w:eastAsia="Calibri" w:hAnsi="Verdana" w:cs="Times New Roman"/>
        </w:rPr>
      </w:pPr>
      <w:r>
        <w:rPr>
          <w:rFonts w:ascii="Verdana" w:eastAsia="Calibri" w:hAnsi="Verdana" w:cs="Times New Roman"/>
        </w:rPr>
        <w:t>Bogotá</w:t>
      </w:r>
    </w:p>
    <w:p w14:paraId="05C0AD71" w14:textId="77777777" w:rsidR="00F7793F" w:rsidRDefault="00F7793F" w:rsidP="00F7793F">
      <w:pPr>
        <w:spacing w:after="0" w:line="240" w:lineRule="auto"/>
        <w:rPr>
          <w:rFonts w:ascii="Verdana" w:eastAsia="Calibri" w:hAnsi="Verdana" w:cs="Times New Roman"/>
        </w:rPr>
      </w:pPr>
    </w:p>
    <w:p w14:paraId="4BCA7FB9" w14:textId="77777777" w:rsidR="00F7793F" w:rsidRPr="009037F6" w:rsidRDefault="00F7793F" w:rsidP="00F7793F">
      <w:pPr>
        <w:spacing w:after="0" w:line="240" w:lineRule="auto"/>
        <w:rPr>
          <w:rFonts w:ascii="Verdana" w:eastAsia="Calibri" w:hAnsi="Verdana" w:cs="Times New Roman"/>
        </w:rPr>
      </w:pPr>
    </w:p>
    <w:p w14:paraId="3292B479" w14:textId="77777777" w:rsidR="00F7793F" w:rsidRPr="009037F6" w:rsidRDefault="00F7793F" w:rsidP="00F7793F">
      <w:pPr>
        <w:spacing w:after="0" w:line="256" w:lineRule="auto"/>
        <w:rPr>
          <w:rFonts w:ascii="Verdana" w:eastAsia="Calibri" w:hAnsi="Verdana" w:cs="Times New Roman"/>
          <w:b/>
          <w:bCs/>
          <w:lang w:val="es-ES"/>
        </w:rPr>
      </w:pPr>
      <w:r w:rsidRPr="009037F6">
        <w:rPr>
          <w:rFonts w:ascii="Verdana" w:eastAsia="Calibri" w:hAnsi="Verdana" w:cs="Times New Roman"/>
          <w:b/>
          <w:bCs/>
          <w:lang w:val="es-ES"/>
        </w:rPr>
        <w:t xml:space="preserve">                                    </w:t>
      </w:r>
      <w:r>
        <w:rPr>
          <w:rFonts w:ascii="Verdana" w:eastAsia="Calibri" w:hAnsi="Verdana" w:cs="Times New Roman"/>
          <w:b/>
          <w:bCs/>
          <w:lang w:val="es-ES"/>
        </w:rPr>
        <w:t>Concepto C–1526</w:t>
      </w:r>
      <w:r w:rsidRPr="009037F6">
        <w:rPr>
          <w:rFonts w:ascii="Verdana" w:eastAsia="Calibri" w:hAnsi="Verdana" w:cs="Times New Roman"/>
          <w:b/>
          <w:bCs/>
          <w:lang w:val="es-ES"/>
        </w:rPr>
        <w:t xml:space="preserve"> de 2025</w:t>
      </w:r>
    </w:p>
    <w:p w14:paraId="41225EBF" w14:textId="77777777" w:rsidR="00F7793F" w:rsidRPr="009037F6" w:rsidRDefault="00F7793F" w:rsidP="00F7793F">
      <w:pPr>
        <w:spacing w:after="0" w:line="256"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F7793F" w:rsidRPr="009037F6" w14:paraId="44A3D114" w14:textId="77777777" w:rsidTr="00910866">
        <w:trPr>
          <w:trHeight w:val="1010"/>
        </w:trPr>
        <w:tc>
          <w:tcPr>
            <w:tcW w:w="2685" w:type="dxa"/>
            <w:hideMark/>
          </w:tcPr>
          <w:p w14:paraId="5E99A897" w14:textId="77777777" w:rsidR="00F7793F" w:rsidRPr="009037F6" w:rsidRDefault="00F7793F" w:rsidP="006A0752">
            <w:pPr>
              <w:spacing w:line="256" w:lineRule="auto"/>
              <w:rPr>
                <w:rFonts w:ascii="Verdana" w:hAnsi="Verdana"/>
                <w:b/>
                <w:bCs/>
                <w:lang w:val="es-ES_tradnl"/>
              </w:rPr>
            </w:pPr>
            <w:r w:rsidRPr="009037F6">
              <w:rPr>
                <w:rFonts w:ascii="Verdana" w:hAnsi="Verdana"/>
                <w:b/>
                <w:bCs/>
                <w:lang w:val="es-ES_tradnl"/>
              </w:rPr>
              <w:t xml:space="preserve">Temas:                  </w:t>
            </w:r>
          </w:p>
        </w:tc>
        <w:tc>
          <w:tcPr>
            <w:tcW w:w="6241" w:type="dxa"/>
            <w:hideMark/>
          </w:tcPr>
          <w:p w14:paraId="47E59594" w14:textId="77777777" w:rsidR="00F7793F" w:rsidRPr="00B71FD5" w:rsidRDefault="00F7793F" w:rsidP="006A0752">
            <w:pPr>
              <w:snapToGrid w:val="0"/>
              <w:spacing w:line="276" w:lineRule="auto"/>
              <w:contextualSpacing/>
              <w:jc w:val="both"/>
              <w:rPr>
                <w:rFonts w:ascii="Verdana" w:hAnsi="Verdana" w:cs="Arial"/>
                <w:bCs/>
                <w:lang w:val="es-ES" w:eastAsia="es-ES"/>
              </w:rPr>
            </w:pPr>
            <w:r w:rsidRPr="00CD4C85">
              <w:rPr>
                <w:rFonts w:ascii="Verdana" w:hAnsi="Verdana" w:cs="Arial"/>
                <w:bCs/>
                <w:lang w:val="es-ES" w:eastAsia="es-ES"/>
              </w:rPr>
              <w:t xml:space="preserve">CONTRATOS Y CONVENIOS INTERADMINISTRATIVOS – Noción – Diferencias / CONVENIO INTERADMINISTRATIVO – Naturaleza – Inaplicabilidad – Ley 80 de 1993 </w:t>
            </w:r>
            <w:r>
              <w:rPr>
                <w:rFonts w:ascii="Verdana" w:hAnsi="Verdana" w:cs="Arial"/>
                <w:bCs/>
                <w:lang w:val="es-ES" w:eastAsia="es-ES"/>
              </w:rPr>
              <w:t>/ ICETEX – Naturaleza jurídica / CONVENIOS DE FONDOS EN ADMINISTRACIÓN – Etapas</w:t>
            </w:r>
          </w:p>
        </w:tc>
        <w:tc>
          <w:tcPr>
            <w:tcW w:w="6237" w:type="dxa"/>
          </w:tcPr>
          <w:p w14:paraId="4DA817BF" w14:textId="77777777" w:rsidR="00F7793F" w:rsidRPr="009037F6" w:rsidRDefault="00F7793F" w:rsidP="006A0752">
            <w:pPr>
              <w:spacing w:line="276" w:lineRule="auto"/>
              <w:rPr>
                <w:rFonts w:ascii="Verdana" w:hAnsi="Verdana"/>
                <w:lang w:val="es-ES"/>
              </w:rPr>
            </w:pPr>
          </w:p>
        </w:tc>
      </w:tr>
      <w:tr w:rsidR="00F7793F" w:rsidRPr="009037F6" w14:paraId="5F94AC18" w14:textId="77777777" w:rsidTr="006A0752">
        <w:tc>
          <w:tcPr>
            <w:tcW w:w="2685" w:type="dxa"/>
          </w:tcPr>
          <w:p w14:paraId="5B98CC2C" w14:textId="77777777" w:rsidR="00F7793F" w:rsidRDefault="00F7793F" w:rsidP="006A0752">
            <w:pPr>
              <w:spacing w:line="256" w:lineRule="auto"/>
              <w:rPr>
                <w:rFonts w:ascii="Verdana" w:hAnsi="Verdana"/>
                <w:b/>
                <w:bCs/>
                <w:lang w:val="es-ES_tradnl"/>
              </w:rPr>
            </w:pPr>
          </w:p>
          <w:p w14:paraId="0FDDA102" w14:textId="77777777" w:rsidR="00F7793F" w:rsidRDefault="00F7793F" w:rsidP="006A0752">
            <w:pPr>
              <w:spacing w:line="256" w:lineRule="auto"/>
              <w:rPr>
                <w:rFonts w:ascii="Verdana" w:hAnsi="Verdana"/>
                <w:b/>
                <w:bCs/>
                <w:lang w:val="es-ES_tradnl"/>
              </w:rPr>
            </w:pPr>
          </w:p>
          <w:p w14:paraId="44768838" w14:textId="77777777" w:rsidR="00F7793F" w:rsidRDefault="00F7793F" w:rsidP="006A0752">
            <w:pPr>
              <w:spacing w:line="256" w:lineRule="auto"/>
              <w:rPr>
                <w:rFonts w:ascii="Verdana" w:hAnsi="Verdana"/>
                <w:b/>
                <w:bCs/>
                <w:lang w:val="es-ES_tradnl"/>
              </w:rPr>
            </w:pPr>
          </w:p>
          <w:p w14:paraId="1254928E" w14:textId="77777777" w:rsidR="00F7793F" w:rsidRDefault="00F7793F" w:rsidP="006A0752">
            <w:pPr>
              <w:spacing w:line="256" w:lineRule="auto"/>
              <w:rPr>
                <w:rFonts w:ascii="Verdana" w:hAnsi="Verdana"/>
                <w:b/>
                <w:bCs/>
                <w:lang w:val="es-ES_tradnl"/>
              </w:rPr>
            </w:pPr>
          </w:p>
          <w:p w14:paraId="51870CA1" w14:textId="77777777" w:rsidR="00F7793F" w:rsidRDefault="00F7793F" w:rsidP="006A0752">
            <w:pPr>
              <w:spacing w:line="256" w:lineRule="auto"/>
              <w:rPr>
                <w:rFonts w:ascii="Verdana" w:hAnsi="Verdana"/>
                <w:b/>
                <w:bCs/>
                <w:lang w:val="es-ES_tradnl"/>
              </w:rPr>
            </w:pPr>
          </w:p>
          <w:p w14:paraId="44FC5B6C" w14:textId="77777777" w:rsidR="00F7793F" w:rsidRDefault="00F7793F" w:rsidP="006A0752">
            <w:pPr>
              <w:spacing w:line="256" w:lineRule="auto"/>
              <w:rPr>
                <w:rFonts w:ascii="Verdana" w:hAnsi="Verdana"/>
                <w:b/>
                <w:bCs/>
                <w:lang w:val="es-ES_tradnl"/>
              </w:rPr>
            </w:pPr>
          </w:p>
          <w:p w14:paraId="204C1D65" w14:textId="77777777" w:rsidR="00F7793F" w:rsidRDefault="00F7793F" w:rsidP="006A0752">
            <w:pPr>
              <w:spacing w:line="256" w:lineRule="auto"/>
              <w:rPr>
                <w:rFonts w:ascii="Verdana" w:hAnsi="Verdana"/>
                <w:b/>
                <w:bCs/>
                <w:lang w:val="es-ES_tradnl"/>
              </w:rPr>
            </w:pPr>
          </w:p>
          <w:p w14:paraId="23107965" w14:textId="77777777" w:rsidR="00F7793F" w:rsidRPr="009037F6" w:rsidRDefault="00F7793F" w:rsidP="006A0752">
            <w:pPr>
              <w:spacing w:line="256" w:lineRule="auto"/>
              <w:rPr>
                <w:rFonts w:ascii="Verdana" w:hAnsi="Verdana"/>
                <w:b/>
                <w:bCs/>
                <w:lang w:val="es-ES_tradnl"/>
              </w:rPr>
            </w:pPr>
            <w:r w:rsidRPr="009037F6">
              <w:rPr>
                <w:rFonts w:ascii="Verdana" w:hAnsi="Verdana"/>
                <w:b/>
                <w:bCs/>
                <w:lang w:val="es-ES_tradnl"/>
              </w:rPr>
              <w:t xml:space="preserve">Radicación:               </w:t>
            </w:r>
          </w:p>
        </w:tc>
        <w:tc>
          <w:tcPr>
            <w:tcW w:w="6241" w:type="dxa"/>
          </w:tcPr>
          <w:p w14:paraId="4A0DD907" w14:textId="77777777" w:rsidR="00F7793F" w:rsidRDefault="00F7793F" w:rsidP="006A0752">
            <w:pPr>
              <w:spacing w:line="257" w:lineRule="auto"/>
              <w:jc w:val="both"/>
              <w:rPr>
                <w:rFonts w:ascii="Verdana" w:hAnsi="Verdana"/>
                <w:lang w:val="es-ES_tradnl"/>
              </w:rPr>
            </w:pPr>
            <w:r>
              <w:rPr>
                <w:rFonts w:ascii="Verdana" w:hAnsi="Verdana"/>
                <w:lang w:val="es-ES_tradnl"/>
              </w:rPr>
              <w:t xml:space="preserve">/ CONVENIOS DE FONDOS EN ADMINISTRACIÓN – Contratos Interadministrativos – Convenios Interadministrativos – Obligaciones / CONVENIOS DE FONDOS EN ADMINISTRACIÓN – Límites – Adición – Contratos Interadministrativos - </w:t>
            </w:r>
            <w:r w:rsidRPr="000F512E">
              <w:rPr>
                <w:rFonts w:ascii="Verdana" w:hAnsi="Verdana"/>
                <w:lang w:val="es-ES_tradnl"/>
              </w:rPr>
              <w:t>Convenios Interadministrativos</w:t>
            </w:r>
            <w:r>
              <w:rPr>
                <w:rFonts w:ascii="Verdana" w:hAnsi="Verdana"/>
                <w:lang w:val="es-ES_tradnl"/>
              </w:rPr>
              <w:t xml:space="preserve">. </w:t>
            </w:r>
          </w:p>
          <w:p w14:paraId="104BCA5F" w14:textId="77777777" w:rsidR="00F7793F" w:rsidRDefault="00F7793F" w:rsidP="006A0752">
            <w:pPr>
              <w:spacing w:line="257" w:lineRule="auto"/>
              <w:jc w:val="both"/>
              <w:rPr>
                <w:rFonts w:ascii="Verdana" w:hAnsi="Verdana"/>
                <w:lang w:val="es-ES_tradnl"/>
              </w:rPr>
            </w:pPr>
          </w:p>
          <w:p w14:paraId="469F5668" w14:textId="77777777" w:rsidR="00F7793F" w:rsidRPr="009037F6" w:rsidRDefault="00F7793F" w:rsidP="006A0752">
            <w:pPr>
              <w:spacing w:line="257" w:lineRule="auto"/>
              <w:jc w:val="both"/>
              <w:rPr>
                <w:rFonts w:ascii="Verdana" w:hAnsi="Verdana"/>
                <w:lang w:val="es-ES_tradnl"/>
              </w:rPr>
            </w:pPr>
            <w:r w:rsidRPr="009037F6">
              <w:rPr>
                <w:rFonts w:ascii="Verdana" w:hAnsi="Verdana"/>
                <w:lang w:val="es-ES_tradnl"/>
              </w:rPr>
              <w:t>Res</w:t>
            </w:r>
            <w:r>
              <w:rPr>
                <w:rFonts w:ascii="Verdana" w:hAnsi="Verdana"/>
                <w:lang w:val="es-ES_tradnl"/>
              </w:rPr>
              <w:t xml:space="preserve">puesta a consulta con radicado </w:t>
            </w:r>
            <w:r w:rsidRPr="00DB13F4">
              <w:rPr>
                <w:rFonts w:ascii="Verdana" w:hAnsi="Verdana"/>
              </w:rPr>
              <w:t>1_2025_10_20_011709</w:t>
            </w:r>
          </w:p>
          <w:p w14:paraId="69C2C0F3" w14:textId="77777777" w:rsidR="00F7793F" w:rsidRPr="009037F6" w:rsidRDefault="00F7793F" w:rsidP="006A0752">
            <w:pPr>
              <w:spacing w:line="257" w:lineRule="auto"/>
              <w:jc w:val="both"/>
              <w:rPr>
                <w:rFonts w:ascii="Verdana" w:hAnsi="Verdana"/>
              </w:rPr>
            </w:pPr>
          </w:p>
          <w:p w14:paraId="6F711D11" w14:textId="77777777" w:rsidR="00F7793F" w:rsidRPr="009037F6" w:rsidRDefault="00F7793F" w:rsidP="006A0752">
            <w:pPr>
              <w:spacing w:line="257" w:lineRule="auto"/>
              <w:jc w:val="both"/>
              <w:rPr>
                <w:rFonts w:ascii="Verdana" w:hAnsi="Verdana"/>
              </w:rPr>
            </w:pPr>
          </w:p>
        </w:tc>
        <w:tc>
          <w:tcPr>
            <w:tcW w:w="6237" w:type="dxa"/>
          </w:tcPr>
          <w:p w14:paraId="6174F981" w14:textId="77777777" w:rsidR="00F7793F" w:rsidRPr="009037F6" w:rsidRDefault="00F7793F" w:rsidP="006A0752">
            <w:pPr>
              <w:spacing w:line="256" w:lineRule="auto"/>
              <w:rPr>
                <w:rFonts w:ascii="Verdana" w:hAnsi="Verdana"/>
              </w:rPr>
            </w:pPr>
          </w:p>
        </w:tc>
      </w:tr>
    </w:tbl>
    <w:p w14:paraId="659AF393" w14:textId="77777777" w:rsidR="00F7793F" w:rsidRPr="009037F6" w:rsidRDefault="00F7793F" w:rsidP="00F7793F">
      <w:pPr>
        <w:spacing w:after="0" w:line="256" w:lineRule="auto"/>
        <w:rPr>
          <w:rFonts w:ascii="Verdana" w:eastAsia="Calibri" w:hAnsi="Verdana" w:cs="Times New Roman"/>
          <w:lang w:val="es-ES"/>
        </w:rPr>
      </w:pPr>
      <w:r>
        <w:rPr>
          <w:rFonts w:ascii="Verdana" w:eastAsia="Calibri" w:hAnsi="Verdana" w:cs="Times New Roman"/>
          <w:lang w:val="es-ES"/>
        </w:rPr>
        <w:t>Estimado Señor Bello</w:t>
      </w:r>
      <w:r w:rsidRPr="009037F6">
        <w:rPr>
          <w:rFonts w:ascii="Verdana" w:eastAsia="Calibri" w:hAnsi="Verdana" w:cs="Times New Roman"/>
          <w:lang w:val="es-ES"/>
        </w:rPr>
        <w:t xml:space="preserve">: </w:t>
      </w:r>
    </w:p>
    <w:p w14:paraId="047F4CF6" w14:textId="77777777" w:rsidR="00F7793F" w:rsidRPr="009037F6" w:rsidRDefault="00F7793F" w:rsidP="00F7793F">
      <w:pPr>
        <w:spacing w:after="0" w:line="256" w:lineRule="auto"/>
        <w:rPr>
          <w:rFonts w:ascii="Verdana" w:eastAsia="Calibri" w:hAnsi="Verdana" w:cs="Times New Roman"/>
          <w:lang w:val="es-ES"/>
        </w:rPr>
      </w:pPr>
    </w:p>
    <w:p w14:paraId="22B824D4" w14:textId="77777777" w:rsidR="00F7793F" w:rsidRPr="009037F6" w:rsidRDefault="00F7793F" w:rsidP="00F7793F">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20 de octubre de 2025</w:t>
      </w:r>
      <w:r w:rsidRPr="009037F6">
        <w:rPr>
          <w:rFonts w:ascii="Verdana" w:eastAsia="Calibri" w:hAnsi="Verdana" w:cs="Times New Roman"/>
          <w:bCs/>
          <w:lang w:val="es-ES" w:bidi="es-ES"/>
        </w:rPr>
        <w:t xml:space="preserve">, en la cual manifiesta: </w:t>
      </w:r>
    </w:p>
    <w:p w14:paraId="0D6999FB" w14:textId="77777777" w:rsidR="00F7793F" w:rsidRPr="003C0ED7" w:rsidRDefault="00F7793F" w:rsidP="00F7793F">
      <w:pPr>
        <w:spacing w:after="0" w:line="240" w:lineRule="auto"/>
        <w:ind w:right="709"/>
        <w:jc w:val="both"/>
        <w:rPr>
          <w:rFonts w:ascii="Verdana" w:eastAsia="Calibri" w:hAnsi="Verdana" w:cs="Times New Roman"/>
          <w:bCs/>
          <w:sz w:val="20"/>
          <w:szCs w:val="20"/>
          <w:lang w:bidi="es-ES"/>
        </w:rPr>
      </w:pPr>
    </w:p>
    <w:p w14:paraId="2744F82B" w14:textId="77777777" w:rsidR="00F7793F" w:rsidRPr="003C0ED7" w:rsidRDefault="00F7793F" w:rsidP="00F7793F">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3C0ED7">
        <w:rPr>
          <w:rFonts w:ascii="Verdana" w:eastAsia="Calibri" w:hAnsi="Verdana" w:cs="Times New Roman"/>
          <w:bCs/>
          <w:sz w:val="20"/>
          <w:szCs w:val="20"/>
          <w:lang w:bidi="es-ES"/>
        </w:rPr>
        <w:t xml:space="preserve">¿Los convenios que las entidades celebran con el ICETEX para la creación de fondos en administración para educación, como el señalado </w:t>
      </w:r>
      <w:r w:rsidRPr="003C0ED7">
        <w:rPr>
          <w:rFonts w:ascii="Verdana" w:eastAsia="Calibri" w:hAnsi="Verdana" w:cs="Times New Roman"/>
          <w:bCs/>
          <w:sz w:val="20"/>
          <w:szCs w:val="20"/>
          <w:lang w:bidi="es-ES"/>
        </w:rPr>
        <w:lastRenderedPageBreak/>
        <w:t>anteriormente, tiene la limitación para incrementar el valor del mismo en un 50% de su valor inicial expresado en SMMLV, conforme lo señala la Ley 80 de 1993, artículo 40, parágrafo, inciso 2?</w:t>
      </w:r>
      <w:r>
        <w:rPr>
          <w:rFonts w:ascii="Verdana" w:eastAsia="Calibri" w:hAnsi="Verdana" w:cs="Times New Roman"/>
          <w:bCs/>
          <w:sz w:val="20"/>
          <w:szCs w:val="20"/>
          <w:lang w:bidi="es-ES"/>
        </w:rPr>
        <w:t>”</w:t>
      </w:r>
      <w:r w:rsidRPr="003C0ED7">
        <w:rPr>
          <w:rFonts w:ascii="Verdana" w:eastAsia="Calibri" w:hAnsi="Verdana" w:cs="Times New Roman"/>
          <w:bCs/>
          <w:sz w:val="20"/>
          <w:szCs w:val="20"/>
          <w:lang w:bidi="es-ES"/>
        </w:rPr>
        <w:t xml:space="preserve"> </w:t>
      </w:r>
    </w:p>
    <w:p w14:paraId="1BF15620" w14:textId="77777777" w:rsidR="00F7793F" w:rsidRPr="00E27341" w:rsidRDefault="00F7793F" w:rsidP="00F7793F">
      <w:pPr>
        <w:spacing w:after="0" w:line="240" w:lineRule="auto"/>
        <w:ind w:right="709"/>
        <w:jc w:val="both"/>
        <w:rPr>
          <w:rFonts w:ascii="Verdana" w:eastAsia="Calibri" w:hAnsi="Verdana" w:cs="Times New Roman"/>
          <w:bCs/>
          <w:sz w:val="21"/>
          <w:szCs w:val="21"/>
          <w:lang w:bidi="es-ES"/>
        </w:rPr>
      </w:pPr>
    </w:p>
    <w:p w14:paraId="1481CE90" w14:textId="77777777" w:rsidR="00F7793F" w:rsidRPr="009037F6" w:rsidRDefault="00F7793F" w:rsidP="00F7793F">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2DE21FC" w14:textId="77777777" w:rsidR="00F7793F" w:rsidRPr="009037F6" w:rsidRDefault="00F7793F" w:rsidP="00F7793F">
      <w:pPr>
        <w:spacing w:after="12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el problema jurídico de su consulta. </w:t>
      </w:r>
    </w:p>
    <w:p w14:paraId="2ECA98D0" w14:textId="77777777" w:rsidR="00F7793F" w:rsidRPr="009037F6" w:rsidRDefault="00F7793F" w:rsidP="00F7793F">
      <w:pPr>
        <w:spacing w:after="0" w:line="256" w:lineRule="auto"/>
        <w:rPr>
          <w:rFonts w:ascii="Verdana" w:eastAsia="Calibri" w:hAnsi="Verdana" w:cs="Times New Roman"/>
          <w:lang w:val="es-ES"/>
        </w:rPr>
      </w:pPr>
    </w:p>
    <w:p w14:paraId="2D553C5B" w14:textId="77777777" w:rsidR="00F7793F" w:rsidRPr="009037F6" w:rsidRDefault="00F7793F" w:rsidP="00F7793F">
      <w:pPr>
        <w:numPr>
          <w:ilvl w:val="0"/>
          <w:numId w:val="16"/>
        </w:numPr>
        <w:spacing w:after="0" w:line="256" w:lineRule="auto"/>
        <w:contextualSpacing/>
        <w:rPr>
          <w:rFonts w:ascii="Verdana" w:eastAsia="Calibri" w:hAnsi="Verdana" w:cs="Times New Roman"/>
          <w:b/>
          <w:bCs/>
          <w:lang w:val="es-ES"/>
        </w:rPr>
      </w:pPr>
      <w:r w:rsidRPr="009037F6">
        <w:rPr>
          <w:rFonts w:ascii="Verdana" w:eastAsia="Calibri" w:hAnsi="Verdana" w:cs="Times New Roman"/>
          <w:b/>
          <w:bCs/>
          <w:lang w:val="es-ES"/>
        </w:rPr>
        <w:t>Problema planteado:</w:t>
      </w:r>
    </w:p>
    <w:p w14:paraId="39F92BE7" w14:textId="77777777" w:rsidR="00F7793F" w:rsidRPr="009037F6" w:rsidRDefault="00F7793F" w:rsidP="00F7793F">
      <w:pPr>
        <w:spacing w:after="0" w:line="256" w:lineRule="auto"/>
        <w:rPr>
          <w:rFonts w:ascii="Verdana" w:eastAsia="Calibri" w:hAnsi="Verdana" w:cs="Times New Roman"/>
        </w:rPr>
      </w:pPr>
    </w:p>
    <w:p w14:paraId="27160347" w14:textId="77777777" w:rsidR="00F7793F" w:rsidRPr="00C963BE" w:rsidRDefault="00F7793F" w:rsidP="00F7793F">
      <w:pPr>
        <w:spacing w:after="0" w:line="276" w:lineRule="auto"/>
        <w:jc w:val="both"/>
        <w:rPr>
          <w:rFonts w:ascii="Verdana" w:eastAsia="Calibri" w:hAnsi="Verdana" w:cs="Times New Roman"/>
          <w:iCs/>
          <w:lang w:val="es-ES"/>
        </w:rPr>
      </w:pPr>
      <w:r w:rsidRPr="009037F6">
        <w:rPr>
          <w:rFonts w:ascii="Verdana" w:eastAsia="Calibri" w:hAnsi="Verdana" w:cs="Times New Roman"/>
        </w:rPr>
        <w:t>De acuerdo con</w:t>
      </w:r>
      <w:r>
        <w:rPr>
          <w:rFonts w:ascii="Verdana" w:eastAsia="Calibri" w:hAnsi="Verdana" w:cs="Times New Roman"/>
        </w:rPr>
        <w:t xml:space="preserve"> el contenido de su solicitud</w:t>
      </w:r>
      <w:r w:rsidRPr="009037F6">
        <w:rPr>
          <w:rFonts w:ascii="Verdana" w:eastAsia="Calibri" w:hAnsi="Verdana" w:cs="Times New Roman"/>
        </w:rPr>
        <w:t>, esta Agencia procede a resolver</w:t>
      </w:r>
      <w:r>
        <w:rPr>
          <w:rFonts w:ascii="Verdana" w:eastAsia="Calibri" w:hAnsi="Verdana" w:cs="Times New Roman"/>
        </w:rPr>
        <w:t xml:space="preserve"> el siguiente problema jurídico</w:t>
      </w:r>
      <w:r w:rsidRPr="009037F6">
        <w:rPr>
          <w:rFonts w:ascii="Verdana" w:eastAsia="Calibri" w:hAnsi="Verdana" w:cs="Times New Roman"/>
          <w:iCs/>
          <w:lang w:val="es-ES"/>
        </w:rPr>
        <w:t xml:space="preserve">: </w:t>
      </w:r>
      <w:r w:rsidRPr="003C0ED7">
        <w:rPr>
          <w:rFonts w:ascii="Verdana" w:eastAsia="Calibri" w:hAnsi="Verdana" w:cs="Times New Roman"/>
          <w:iCs/>
          <w:lang w:val="es-ES"/>
        </w:rPr>
        <w:t xml:space="preserve">¿La limitación </w:t>
      </w:r>
      <w:r>
        <w:rPr>
          <w:rFonts w:ascii="Verdana" w:eastAsia="Calibri" w:hAnsi="Verdana" w:cs="Times New Roman"/>
          <w:iCs/>
          <w:lang w:val="es-ES"/>
        </w:rPr>
        <w:t>regulada</w:t>
      </w:r>
      <w:r w:rsidRPr="003C0ED7">
        <w:rPr>
          <w:rFonts w:ascii="Verdana" w:eastAsia="Calibri" w:hAnsi="Verdana" w:cs="Times New Roman"/>
          <w:iCs/>
          <w:lang w:val="es-ES"/>
        </w:rPr>
        <w:t xml:space="preserve"> en el artículo 40, parágrafo, inciso 2 de la Ley 80 de 1993 —que establece que los contratos estatales no podrán adicionarse en más del 50% de su valor inicial expresado en salarios mínimos legales vigentes (SMMLV)— resulta aplicable a los convenios que las entidades públicas celebran con el ICETEX para la creación de fondos en administración destinados a la financiación de la educación superior?</w:t>
      </w:r>
    </w:p>
    <w:p w14:paraId="128883C7" w14:textId="77777777" w:rsidR="00F7793F" w:rsidRPr="009037F6" w:rsidRDefault="00F7793F" w:rsidP="00F7793F">
      <w:pPr>
        <w:spacing w:after="0" w:line="276" w:lineRule="auto"/>
        <w:jc w:val="both"/>
        <w:rPr>
          <w:rFonts w:ascii="Verdana" w:eastAsia="Calibri" w:hAnsi="Verdana" w:cs="Times New Roman"/>
          <w:i/>
          <w:iCs/>
          <w:lang w:val="es-ES"/>
        </w:rPr>
      </w:pPr>
    </w:p>
    <w:p w14:paraId="1A3419A0" w14:textId="77777777" w:rsidR="00F7793F" w:rsidRPr="009037F6" w:rsidRDefault="00F7793F" w:rsidP="00F7793F">
      <w:pPr>
        <w:numPr>
          <w:ilvl w:val="0"/>
          <w:numId w:val="16"/>
        </w:numPr>
        <w:spacing w:after="0" w:line="256" w:lineRule="auto"/>
        <w:contextualSpacing/>
        <w:rPr>
          <w:rFonts w:ascii="Verdana" w:eastAsia="Calibri" w:hAnsi="Verdana" w:cs="Times New Roman"/>
          <w:b/>
          <w:bCs/>
          <w:lang w:val="es-ES"/>
        </w:rPr>
      </w:pPr>
      <w:r w:rsidRPr="009037F6">
        <w:rPr>
          <w:rFonts w:ascii="Verdana" w:eastAsia="Calibri" w:hAnsi="Verdana" w:cs="Times New Roman"/>
          <w:b/>
          <w:bCs/>
          <w:lang w:val="es-ES"/>
        </w:rPr>
        <w:t>Respuesta:</w:t>
      </w:r>
    </w:p>
    <w:p w14:paraId="5BC7C8AB" w14:textId="77777777" w:rsidR="00F7793F" w:rsidRPr="009037F6" w:rsidRDefault="00F7793F" w:rsidP="00F7793F">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F7793F" w:rsidRPr="009037F6" w14:paraId="224B5FB0" w14:textId="77777777" w:rsidTr="006A0752">
        <w:trPr>
          <w:trHeight w:val="345"/>
          <w:jc w:val="center"/>
        </w:trPr>
        <w:tc>
          <w:tcPr>
            <w:tcW w:w="8784" w:type="dxa"/>
            <w:tcBorders>
              <w:bottom w:val="single" w:sz="4" w:space="0" w:color="auto"/>
            </w:tcBorders>
          </w:tcPr>
          <w:p w14:paraId="1A6A3525" w14:textId="77777777" w:rsidR="00F7793F" w:rsidRPr="00920817" w:rsidRDefault="00F7793F" w:rsidP="006A0752">
            <w:pPr>
              <w:spacing w:before="120" w:after="120" w:line="276" w:lineRule="auto"/>
              <w:jc w:val="both"/>
              <w:rPr>
                <w:rFonts w:ascii="Verdana" w:eastAsia="Calibri" w:hAnsi="Verdana" w:cs="Arial"/>
                <w:color w:val="000000" w:themeColor="text1"/>
              </w:rPr>
            </w:pPr>
            <w:r>
              <w:rPr>
                <w:rFonts w:ascii="Verdana" w:hAnsi="Verdana"/>
              </w:rPr>
              <w:lastRenderedPageBreak/>
              <w:t xml:space="preserve">En cuanto al problema jurídico, objeto de consulta, </w:t>
            </w:r>
            <w:r>
              <w:rPr>
                <w:rFonts w:ascii="Verdana" w:eastAsia="Calibri" w:hAnsi="Verdana" w:cs="Arial"/>
                <w:color w:val="000000" w:themeColor="text1"/>
              </w:rPr>
              <w:t xml:space="preserve">se señala que de acuerdo las particularidades de estos convenios de fondos de administración suscritos con entidades públicas sujetas al EGCAP con el ICETEX explicadas en las razones de la respuesta, se precisa que la denominación de convenio no significa que sea un convenio interadministrativo, y por tanto, no le aplique el EGCAP por parte de la entidad pública que actúa como constituyente, pues lo que determina que es convenio </w:t>
            </w:r>
            <w:r w:rsidRPr="00553040">
              <w:rPr>
                <w:rFonts w:ascii="Verdana" w:eastAsia="Calibri" w:hAnsi="Verdana" w:cs="Arial"/>
                <w:color w:val="000000" w:themeColor="text1"/>
              </w:rPr>
              <w:t xml:space="preserve">no </w:t>
            </w:r>
            <w:r w:rsidRPr="00553040">
              <w:rPr>
                <w:rFonts w:ascii="Verdana" w:eastAsia="Calibri" w:hAnsi="Verdana" w:cs="Arial"/>
                <w:color w:val="000000" w:themeColor="text1"/>
                <w:lang w:val="es-ES"/>
              </w:rPr>
              <w:t>es la titulación del documento contractual, sino el contenido material de las obligaciones estipuladas. En esta línea,</w:t>
            </w:r>
            <w:r>
              <w:rPr>
                <w:rFonts w:ascii="Verdana" w:eastAsia="Calibri" w:hAnsi="Verdana" w:cs="Arial"/>
                <w:color w:val="000000" w:themeColor="text1"/>
                <w:lang w:val="es-ES"/>
              </w:rPr>
              <w:t xml:space="preserve"> será convenio interadministrativo </w:t>
            </w:r>
            <w:r>
              <w:rPr>
                <w:rFonts w:ascii="Verdana" w:eastAsia="Calibri" w:hAnsi="Verdana" w:cs="Arial"/>
                <w:color w:val="000000" w:themeColor="text1"/>
              </w:rPr>
              <w:t xml:space="preserve">cuando las partes </w:t>
            </w:r>
            <w:r w:rsidRPr="007A037B">
              <w:rPr>
                <w:rFonts w:ascii="Verdana" w:eastAsia="Calibri" w:hAnsi="Verdana" w:cs="Arial"/>
                <w:color w:val="000000" w:themeColor="text1"/>
              </w:rPr>
              <w:t xml:space="preserve">actúan como colaboradoras o cooperantes, sin que pueda aludirse a la preponderancia de ciertos regímenes, </w:t>
            </w:r>
            <w:r>
              <w:rPr>
                <w:rFonts w:ascii="Verdana" w:eastAsia="Calibri" w:hAnsi="Verdana" w:cs="Arial"/>
                <w:color w:val="000000" w:themeColor="text1"/>
              </w:rPr>
              <w:t xml:space="preserve">y donde no existe un pago por honorarios o administración, al comprenderse que las partes son aportantes para la consecución de los objetivos del convenio. </w:t>
            </w:r>
            <w:r w:rsidRPr="00553040">
              <w:rPr>
                <w:rFonts w:ascii="Verdana" w:eastAsia="Calibri" w:hAnsi="Verdana" w:cs="Arial"/>
                <w:color w:val="000000" w:themeColor="text1"/>
                <w:lang w:val="es-ES_tradnl"/>
              </w:rPr>
              <w:t xml:space="preserve">A diferencia de los contratos </w:t>
            </w:r>
            <w:r w:rsidRPr="00553040">
              <w:rPr>
                <w:rFonts w:ascii="Verdana" w:eastAsia="Calibri" w:hAnsi="Verdana" w:cs="Arial"/>
                <w:color w:val="000000" w:themeColor="text1"/>
              </w:rPr>
              <w:t>interadministrativos, en tanto negocios jurídicos típicamente conmutativos, su valor está determinado por el precio al que equivale la contraprestación a recibir por la entidad contratista, a cambio del suministro del bien, obra o servicio requerido por la entidad contratante, como puede ocurrir cuando se pacte por administración delegada</w:t>
            </w:r>
            <w:r>
              <w:rPr>
                <w:rFonts w:ascii="Verdana" w:eastAsia="Calibri" w:hAnsi="Verdana" w:cs="Arial"/>
                <w:color w:val="000000" w:themeColor="text1"/>
                <w:lang w:val="es-ES_tradnl"/>
              </w:rPr>
              <w:t>, esto es,</w:t>
            </w:r>
            <w:r w:rsidRPr="00553040">
              <w:rPr>
                <w:rFonts w:ascii="Verdana" w:eastAsia="Calibri" w:hAnsi="Verdana" w:cs="Arial"/>
                <w:color w:val="000000" w:themeColor="text1"/>
                <w:lang w:val="es-ES_tradnl"/>
              </w:rPr>
              <w:t xml:space="preserve"> como administración o modalidad de pago, con o sin representación.  </w:t>
            </w:r>
          </w:p>
          <w:p w14:paraId="77858AEE" w14:textId="77777777" w:rsidR="00F7793F" w:rsidRDefault="00F7793F" w:rsidP="006A0752">
            <w:pPr>
              <w:spacing w:before="120"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Si el convenio de administración se constituye bajo la forma y cláusulas de convenio interadministrativo no le son aplicables las reglas del EGCAP, como lo ha expresado el Consejo de Estado en las consideraciones previamente expuestas en este concepto, pero, si es un contrato interadministrativo que se fundamentó bajo la causal regulada en el literal c, numeral 4, artículo 2 de la Ley 1150 de 2007 se sujeta a las restricciones y prohibiciones del EGCAP. Bajo estas precisiones, solo a los contratos interadministrativos les aplica </w:t>
            </w:r>
            <w:r w:rsidRPr="00EE3D99">
              <w:rPr>
                <w:rFonts w:ascii="Verdana" w:eastAsia="Calibri" w:hAnsi="Verdana" w:cs="Arial"/>
                <w:color w:val="000000" w:themeColor="text1"/>
              </w:rPr>
              <w:t>el límite previsto en el parágrafo del artículo 40 de la Ley 80 de 1993: “Los contratos no podrán adicionarse en más del cincuenta por ciento (50%) de su valor inicial, expresado éste en salarios mínimos legales mensuales”.</w:t>
            </w:r>
            <w:r>
              <w:rPr>
                <w:rFonts w:ascii="Verdana" w:eastAsia="Calibri" w:hAnsi="Verdana" w:cs="Arial"/>
                <w:color w:val="000000" w:themeColor="text1"/>
              </w:rPr>
              <w:t xml:space="preserve"> </w:t>
            </w:r>
          </w:p>
          <w:p w14:paraId="592FB908" w14:textId="77777777" w:rsidR="00F7793F" w:rsidRPr="00322D77" w:rsidRDefault="00F7793F" w:rsidP="006A0752">
            <w:pPr>
              <w:spacing w:before="120"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Si bien, l</w:t>
            </w:r>
            <w:r w:rsidRPr="00322D77">
              <w:rPr>
                <w:rFonts w:ascii="Verdana" w:eastAsia="Calibri" w:hAnsi="Verdana" w:cs="Arial"/>
                <w:color w:val="000000" w:themeColor="text1"/>
              </w:rPr>
              <w:t>a normativa vigente no establece una prohibición expresa respecto al límite de las adiciones en los convenios interadministrativos</w:t>
            </w:r>
            <w:r>
              <w:rPr>
                <w:rFonts w:ascii="Verdana" w:eastAsia="Calibri" w:hAnsi="Verdana" w:cs="Arial"/>
                <w:color w:val="000000" w:themeColor="text1"/>
              </w:rPr>
              <w:t xml:space="preserve"> al considerarse que no están sometidos al EGCAP</w:t>
            </w:r>
            <w:r w:rsidRPr="00322D77">
              <w:rPr>
                <w:rFonts w:ascii="Verdana" w:eastAsia="Calibri" w:hAnsi="Verdana" w:cs="Arial"/>
                <w:color w:val="000000" w:themeColor="text1"/>
              </w:rPr>
              <w:t xml:space="preserve">; sin embargo, </w:t>
            </w:r>
            <w:r>
              <w:rPr>
                <w:rFonts w:ascii="Verdana" w:eastAsia="Calibri" w:hAnsi="Verdana" w:cs="Arial"/>
                <w:color w:val="000000" w:themeColor="text1"/>
              </w:rPr>
              <w:t xml:space="preserve">ello </w:t>
            </w:r>
            <w:r w:rsidRPr="00322D77">
              <w:rPr>
                <w:rFonts w:ascii="Verdana" w:eastAsia="Calibri" w:hAnsi="Verdana" w:cs="Arial"/>
                <w:color w:val="000000" w:themeColor="text1"/>
              </w:rPr>
              <w:t xml:space="preserve">no significa que puedan </w:t>
            </w:r>
            <w:r>
              <w:rPr>
                <w:rFonts w:ascii="Verdana" w:eastAsia="Calibri" w:hAnsi="Verdana" w:cs="Arial"/>
                <w:color w:val="000000" w:themeColor="text1"/>
              </w:rPr>
              <w:t>celebrarse</w:t>
            </w:r>
            <w:r w:rsidRPr="00322D77">
              <w:rPr>
                <w:rFonts w:ascii="Verdana" w:eastAsia="Calibri" w:hAnsi="Verdana" w:cs="Arial"/>
                <w:color w:val="000000" w:themeColor="text1"/>
              </w:rPr>
              <w:t xml:space="preserve"> de manera ilimitada o discrecional. Estas modificaciones deben observar los principios que rigen la función </w:t>
            </w:r>
            <w:r w:rsidRPr="00322D77">
              <w:rPr>
                <w:rFonts w:ascii="Verdana" w:eastAsia="Calibri" w:hAnsi="Verdana" w:cs="Arial"/>
                <w:color w:val="000000" w:themeColor="text1"/>
              </w:rPr>
              <w:lastRenderedPageBreak/>
              <w:t>administrativa, garantizando la transparencia, la eficiencia</w:t>
            </w:r>
            <w:r>
              <w:rPr>
                <w:rFonts w:ascii="Verdana" w:eastAsia="Calibri" w:hAnsi="Verdana" w:cs="Arial"/>
                <w:color w:val="000000" w:themeColor="text1"/>
              </w:rPr>
              <w:t xml:space="preserve">, la economía, la moralidad y ante todo </w:t>
            </w:r>
            <w:r w:rsidRPr="00322D77">
              <w:rPr>
                <w:rFonts w:ascii="Verdana" w:eastAsia="Calibri" w:hAnsi="Verdana" w:cs="Arial"/>
                <w:color w:val="000000" w:themeColor="text1"/>
              </w:rPr>
              <w:t>la legalidad en cada actuación. Asimismo, resulta indispensable que las adiciones se ajusten a los p</w:t>
            </w:r>
            <w:r>
              <w:rPr>
                <w:rFonts w:ascii="Verdana" w:eastAsia="Calibri" w:hAnsi="Verdana" w:cs="Arial"/>
                <w:color w:val="000000" w:themeColor="text1"/>
              </w:rPr>
              <w:t xml:space="preserve">rincipios </w:t>
            </w:r>
            <w:r w:rsidRPr="00322D77">
              <w:rPr>
                <w:rFonts w:ascii="Verdana" w:eastAsia="Calibri" w:hAnsi="Verdana" w:cs="Arial"/>
                <w:color w:val="000000" w:themeColor="text1"/>
              </w:rPr>
              <w:t>de la gestión fiscal responsable, evitando comprometer recursos más allá de lo permitido por la planeación presupuestal y las reglas de sostenibilidad financiera.</w:t>
            </w:r>
          </w:p>
          <w:p w14:paraId="16DA4964" w14:textId="77777777" w:rsidR="00F7793F" w:rsidRDefault="00F7793F" w:rsidP="006A0752">
            <w:pPr>
              <w:spacing w:before="120" w:after="120" w:line="276" w:lineRule="auto"/>
              <w:ind w:firstLine="709"/>
              <w:jc w:val="both"/>
              <w:rPr>
                <w:rFonts w:ascii="Verdana" w:eastAsia="Calibri" w:hAnsi="Verdana" w:cs="Arial"/>
                <w:color w:val="000000" w:themeColor="text1"/>
                <w:lang w:val="es-ES_tradnl"/>
              </w:rPr>
            </w:pPr>
            <w:r w:rsidRPr="00322D77">
              <w:rPr>
                <w:rFonts w:ascii="Verdana" w:eastAsia="Calibri" w:hAnsi="Verdana" w:cs="Arial"/>
                <w:color w:val="000000" w:themeColor="text1"/>
              </w:rPr>
              <w:t>En este sentido, el principio de anualidad del gasto público constituye una condición esencial que limita la ejecución de recursos a la vigencia fiscal correspondiente. Las entidades deben asegurar que cualquier adición se encuentre debidamente soportada en la disponibilidad presupuestal del año en curso, respetando los marcos normativos y las buenas prácticas de administración pública</w:t>
            </w:r>
            <w:r>
              <w:rPr>
                <w:rFonts w:ascii="Verdana" w:eastAsia="Calibri" w:hAnsi="Verdana" w:cs="Arial"/>
                <w:color w:val="000000" w:themeColor="text1"/>
              </w:rPr>
              <w:t xml:space="preserve">, sin perjuicio de las </w:t>
            </w:r>
            <w:r w:rsidRPr="00646F24">
              <w:rPr>
                <w:rFonts w:ascii="Verdana" w:eastAsia="Calibri" w:hAnsi="Verdana" w:cs="Arial"/>
                <w:color w:val="000000" w:themeColor="text1"/>
                <w:lang w:val="es-ES"/>
              </w:rPr>
              <w:t>excepciones establecidas por la ley, como son</w:t>
            </w:r>
            <w:r w:rsidRPr="00646F24">
              <w:rPr>
                <w:rFonts w:ascii="Verdana" w:eastAsia="Calibri" w:hAnsi="Verdana" w:cs="Arial"/>
                <w:color w:val="000000" w:themeColor="text1"/>
                <w:lang w:val="es-ES_tradnl"/>
              </w:rPr>
              <w:t xml:space="preserve"> las vigencias futuras, las cuentas por pagar y las reservas presupuestales.</w:t>
            </w:r>
          </w:p>
          <w:p w14:paraId="4F3E40DE" w14:textId="77777777" w:rsidR="00F7793F" w:rsidRPr="00D34EA3" w:rsidRDefault="00F7793F" w:rsidP="006A0752">
            <w:pPr>
              <w:spacing w:before="120" w:after="120" w:line="276" w:lineRule="auto"/>
              <w:ind w:firstLine="709"/>
              <w:jc w:val="both"/>
              <w:rPr>
                <w:rFonts w:ascii="Verdana" w:eastAsia="Calibri" w:hAnsi="Verdana" w:cs="Arial"/>
                <w:color w:val="000000" w:themeColor="text1"/>
                <w:lang w:val="es-ES"/>
              </w:rPr>
            </w:pP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margen de la explicación precedente debe advertirse que el análisis requerido para resolver problemas específicos en torno a</w:t>
            </w:r>
            <w:r>
              <w:rPr>
                <w:rFonts w:ascii="Verdana" w:hAnsi="Verdana" w:cs="Arial"/>
                <w:lang w:val="es-ES_tradnl" w:eastAsia="es-ES"/>
              </w:rPr>
              <w:t xml:space="preserve">l convenio de administración de fondos con el ICETEX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40A2B103" w14:textId="77777777" w:rsidR="00F7793F" w:rsidRPr="00B57A1B" w:rsidRDefault="00F7793F" w:rsidP="00F7793F">
      <w:pPr>
        <w:spacing w:after="0" w:line="276" w:lineRule="auto"/>
        <w:jc w:val="both"/>
        <w:rPr>
          <w:rFonts w:ascii="Verdana" w:eastAsia="Calibri" w:hAnsi="Verdana" w:cs="Arial"/>
          <w:bCs/>
          <w:color w:val="000000" w:themeColor="text1"/>
        </w:rPr>
      </w:pPr>
      <w:bookmarkStart w:id="2" w:name="_Hlk78820161"/>
      <w:bookmarkStart w:id="3" w:name="_Hlk37703813"/>
    </w:p>
    <w:p w14:paraId="3C6DA445" w14:textId="77777777" w:rsidR="00F7793F" w:rsidRPr="00B57A1B" w:rsidRDefault="00F7793F" w:rsidP="00F7793F">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5543BF49" w14:textId="77777777" w:rsidR="00F7793F" w:rsidRPr="00B57A1B" w:rsidRDefault="00F7793F" w:rsidP="00F7793F">
      <w:pPr>
        <w:spacing w:after="0" w:line="256" w:lineRule="auto"/>
        <w:rPr>
          <w:rFonts w:ascii="Verdana" w:eastAsia="Calibri" w:hAnsi="Verdana" w:cs="Times New Roman"/>
          <w:b/>
          <w:bCs/>
          <w:lang w:val="es-ES"/>
        </w:rPr>
      </w:pPr>
    </w:p>
    <w:p w14:paraId="230E33A8" w14:textId="77777777" w:rsidR="00F7793F" w:rsidRDefault="00F7793F" w:rsidP="00F7793F">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72E0693A" w14:textId="77777777" w:rsidR="00F7793F" w:rsidRPr="003C0ED7" w:rsidRDefault="00F7793F" w:rsidP="00F7793F">
      <w:pPr>
        <w:spacing w:after="0" w:line="276" w:lineRule="auto"/>
        <w:jc w:val="both"/>
        <w:rPr>
          <w:rFonts w:ascii="Verdana" w:eastAsia="Calibri" w:hAnsi="Verdana" w:cs="Arial"/>
          <w:lang w:val="es-ES"/>
        </w:rPr>
      </w:pPr>
    </w:p>
    <w:p w14:paraId="2631D4ED" w14:textId="77777777" w:rsidR="00F7793F" w:rsidRPr="00B57A1B" w:rsidRDefault="00F7793F" w:rsidP="00F7793F">
      <w:pPr>
        <w:tabs>
          <w:tab w:val="left" w:pos="7851"/>
        </w:tabs>
        <w:spacing w:after="120" w:line="276" w:lineRule="auto"/>
        <w:jc w:val="both"/>
        <w:rPr>
          <w:rFonts w:ascii="Arial" w:hAnsi="Arial" w:cs="Arial"/>
          <w:b/>
        </w:rPr>
      </w:pPr>
      <w:r>
        <w:rPr>
          <w:rFonts w:ascii="Verdana" w:eastAsia="Times New Roman" w:hAnsi="Verdana" w:cs="Arial"/>
          <w:color w:val="000000"/>
          <w:lang w:val="es-ES" w:eastAsia="es-ES"/>
        </w:rPr>
        <w:t>i.</w:t>
      </w:r>
      <w:r w:rsidRPr="00B57A1B">
        <w:rPr>
          <w:rFonts w:ascii="Verdana" w:eastAsia="Times New Roman" w:hAnsi="Verdana" w:cs="Arial"/>
          <w:color w:val="000000"/>
          <w:lang w:eastAsia="es-ES"/>
        </w:rPr>
        <w:t xml:space="preserve"> </w:t>
      </w:r>
      <w:r w:rsidRPr="00B57A1B">
        <w:rPr>
          <w:rFonts w:ascii="Verdana" w:eastAsiaTheme="minorEastAsia" w:hAnsi="Verdana" w:cs="Arial"/>
          <w:lang w:eastAsia="es-CO"/>
        </w:rPr>
        <w:t>La tipología del contrato interadministrativo fue creada en la Ley 80 de 1993, y el Decreto 1082 de 2015 la califica como aquella contratación entre Entidades Estatales</w:t>
      </w:r>
      <w:r w:rsidRPr="00B57A1B">
        <w:rPr>
          <w:rFonts w:ascii="Verdana" w:hAnsi="Verdana"/>
          <w:vertAlign w:val="superscript"/>
          <w:lang w:eastAsia="es-CO"/>
        </w:rPr>
        <w:footnoteReference w:id="1"/>
      </w:r>
      <w:r w:rsidRPr="00B57A1B">
        <w:rPr>
          <w:rFonts w:ascii="Verdana" w:eastAsiaTheme="minorEastAsia" w:hAnsi="Verdana" w:cs="Arial"/>
          <w:lang w:eastAsia="es-CO"/>
        </w:rPr>
        <w:t xml:space="preserve">. De acuerdo con lo anterior, el contrato o el convenio </w:t>
      </w:r>
      <w:r w:rsidRPr="00B57A1B">
        <w:rPr>
          <w:rFonts w:ascii="Verdana" w:eastAsiaTheme="minorEastAsia" w:hAnsi="Verdana" w:cs="Arial"/>
          <w:lang w:eastAsia="es-CO"/>
        </w:rPr>
        <w:lastRenderedPageBreak/>
        <w:t>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60C24F81" w14:textId="77777777" w:rsidR="00F7793F" w:rsidRPr="00B57A1B" w:rsidRDefault="00F7793F" w:rsidP="00F7793F">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1970E5AD" w14:textId="77777777" w:rsidR="00F7793F" w:rsidRPr="00B57A1B" w:rsidRDefault="00F7793F" w:rsidP="00F7793F">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2"/>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1B27E136" w14:textId="77777777" w:rsidR="00F7793F" w:rsidRPr="00B57A1B" w:rsidRDefault="00F7793F" w:rsidP="00F7793F">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w:t>
      </w:r>
      <w:r w:rsidRPr="00B57A1B">
        <w:rPr>
          <w:rFonts w:ascii="Verdana" w:eastAsiaTheme="minorEastAsia" w:hAnsi="Verdana" w:cs="Arial"/>
          <w:lang w:eastAsia="es-CO"/>
        </w:rPr>
        <w:lastRenderedPageBreak/>
        <w:t>pública”</w:t>
      </w:r>
      <w:r w:rsidRPr="00B57A1B">
        <w:rPr>
          <w:rFonts w:ascii="Verdana" w:eastAsiaTheme="minorEastAsia" w:hAnsi="Verdana" w:cs="Arial"/>
          <w:vertAlign w:val="superscript"/>
          <w:lang w:eastAsia="es-CO"/>
        </w:rPr>
        <w:footnoteReference w:id="3"/>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w:t>
      </w:r>
      <w:proofErr w:type="spellStart"/>
      <w:r w:rsidRPr="00B57A1B">
        <w:rPr>
          <w:rFonts w:ascii="Verdana" w:eastAsiaTheme="minorEastAsia" w:hAnsi="Verdana" w:cs="Arial"/>
          <w:lang w:eastAsia="es-CO"/>
        </w:rPr>
        <w:t>negocial</w:t>
      </w:r>
      <w:proofErr w:type="spellEnd"/>
      <w:r w:rsidRPr="00B57A1B">
        <w:rPr>
          <w:rFonts w:ascii="Verdana" w:eastAsiaTheme="minorEastAsia" w:hAnsi="Verdana" w:cs="Arial"/>
          <w:lang w:eastAsia="es-CO"/>
        </w:rPr>
        <w:t xml:space="preserve"> concurran personas de derecho público. </w:t>
      </w:r>
    </w:p>
    <w:p w14:paraId="63F79368" w14:textId="77777777" w:rsidR="00F7793F" w:rsidRPr="00B57A1B" w:rsidRDefault="00F7793F" w:rsidP="00F7793F">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2BDEDEDD" w14:textId="77777777" w:rsidR="00F7793F" w:rsidRPr="00B57A1B" w:rsidRDefault="00F7793F" w:rsidP="00F7793F">
      <w:pPr>
        <w:spacing w:after="0" w:line="276" w:lineRule="auto"/>
        <w:ind w:firstLine="709"/>
        <w:jc w:val="both"/>
        <w:rPr>
          <w:rFonts w:ascii="Verdana" w:eastAsiaTheme="minorEastAsia" w:hAnsi="Verdana" w:cs="Arial"/>
          <w:lang w:eastAsia="es-CO"/>
        </w:rPr>
      </w:pPr>
    </w:p>
    <w:p w14:paraId="20189536" w14:textId="77777777" w:rsidR="00F7793F" w:rsidRPr="000E225C" w:rsidRDefault="00F7793F" w:rsidP="00F7793F">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6A20F2AF" w14:textId="77777777" w:rsidR="00F7793F" w:rsidRPr="000E225C" w:rsidRDefault="00F7793F" w:rsidP="00F7793F">
      <w:pPr>
        <w:numPr>
          <w:ilvl w:val="0"/>
          <w:numId w:val="24"/>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val="es-ES" w:eastAsia="es-CO"/>
        </w:rPr>
        <w:t xml:space="preserve">El objeto de los contratos lo constituyen obligaciones de contenido patrimonial y, por </w:t>
      </w:r>
      <w:r w:rsidRPr="000E225C">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0D0B1B03" w14:textId="77777777" w:rsidR="00F7793F" w:rsidRPr="000E225C" w:rsidRDefault="00F7793F" w:rsidP="00F7793F">
      <w:pPr>
        <w:numPr>
          <w:ilvl w:val="0"/>
          <w:numId w:val="24"/>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7E180A18" w14:textId="77777777" w:rsidR="00F7793F" w:rsidRPr="000E225C" w:rsidRDefault="00F7793F" w:rsidP="00F7793F">
      <w:pPr>
        <w:numPr>
          <w:ilvl w:val="0"/>
          <w:numId w:val="24"/>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 xml:space="preserve">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w:t>
      </w:r>
      <w:r w:rsidRPr="000E225C">
        <w:rPr>
          <w:rFonts w:ascii="Verdana" w:eastAsiaTheme="minorEastAsia" w:hAnsi="Verdana" w:cs="Arial"/>
          <w:sz w:val="20"/>
          <w:szCs w:val="20"/>
          <w:lang w:eastAsia="es-CO"/>
        </w:rPr>
        <w:lastRenderedPageBreak/>
        <w:t>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0E225C">
        <w:rPr>
          <w:rFonts w:ascii="Verdana" w:eastAsiaTheme="minorEastAsia" w:hAnsi="Verdana" w:cs="Arial"/>
          <w:sz w:val="20"/>
          <w:szCs w:val="20"/>
          <w:vertAlign w:val="superscript"/>
          <w:lang w:eastAsia="es-CO"/>
        </w:rPr>
        <w:footnoteReference w:id="4"/>
      </w:r>
      <w:r w:rsidRPr="000E225C">
        <w:rPr>
          <w:rFonts w:ascii="Verdana" w:eastAsiaTheme="minorEastAsia" w:hAnsi="Verdana" w:cs="Arial"/>
          <w:sz w:val="20"/>
          <w:szCs w:val="20"/>
          <w:lang w:eastAsia="es-CO"/>
        </w:rPr>
        <w:t>.</w:t>
      </w:r>
    </w:p>
    <w:p w14:paraId="7B4829E9" w14:textId="77777777" w:rsidR="00F7793F" w:rsidRPr="00B57A1B" w:rsidRDefault="00F7793F" w:rsidP="00F7793F">
      <w:pPr>
        <w:spacing w:after="0" w:line="276" w:lineRule="auto"/>
        <w:ind w:right="709"/>
        <w:jc w:val="both"/>
        <w:rPr>
          <w:rFonts w:ascii="Verdana" w:eastAsia="Times New Roman" w:hAnsi="Verdana" w:cs="Arial"/>
          <w:lang w:eastAsia="es-ES_tradnl"/>
        </w:rPr>
      </w:pPr>
    </w:p>
    <w:p w14:paraId="1A7CBEC4" w14:textId="77777777" w:rsidR="00F7793F" w:rsidRPr="00B57A1B" w:rsidRDefault="00F7793F" w:rsidP="00F7793F">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3EAF2711" w14:textId="77777777" w:rsidR="00F7793F" w:rsidRPr="00B57A1B" w:rsidRDefault="00F7793F" w:rsidP="00F7793F">
      <w:pPr>
        <w:spacing w:after="0" w:line="276" w:lineRule="auto"/>
        <w:ind w:firstLine="709"/>
        <w:jc w:val="both"/>
        <w:rPr>
          <w:rFonts w:ascii="Verdana" w:eastAsiaTheme="minorEastAsia" w:hAnsi="Verdana" w:cs="Arial"/>
          <w:lang w:eastAsia="es-CO"/>
        </w:rPr>
      </w:pPr>
    </w:p>
    <w:p w14:paraId="607A840D" w14:textId="77777777" w:rsidR="00F7793F" w:rsidRPr="000E225C" w:rsidRDefault="00F7793F" w:rsidP="00F7793F">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 xml:space="preserve">“De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w:t>
      </w:r>
      <w:proofErr w:type="spellStart"/>
      <w:r w:rsidRPr="000E225C">
        <w:rPr>
          <w:rFonts w:ascii="Verdana" w:eastAsiaTheme="minorEastAsia" w:hAnsi="Verdana" w:cs="Arial"/>
          <w:sz w:val="20"/>
          <w:szCs w:val="20"/>
          <w:lang w:eastAsia="es-CO"/>
        </w:rPr>
        <w:t>negociales</w:t>
      </w:r>
      <w:proofErr w:type="spellEnd"/>
      <w:r w:rsidRPr="000E225C">
        <w:rPr>
          <w:rFonts w:ascii="Verdana" w:eastAsiaTheme="minorEastAsia" w:hAnsi="Verdana" w:cs="Arial"/>
          <w:sz w:val="20"/>
          <w:szCs w:val="20"/>
          <w:lang w:eastAsia="es-CO"/>
        </w:rPr>
        <w:t>.</w:t>
      </w:r>
    </w:p>
    <w:p w14:paraId="5728CE7F" w14:textId="77777777" w:rsidR="00F7793F" w:rsidRPr="000E225C" w:rsidRDefault="00F7793F" w:rsidP="00F7793F">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5386CDEE" w14:textId="77777777" w:rsidR="00F7793F" w:rsidRPr="000E225C" w:rsidRDefault="00F7793F" w:rsidP="00F7793F">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5"/>
      </w:r>
      <w:r w:rsidRPr="000E225C">
        <w:rPr>
          <w:rFonts w:ascii="Verdana" w:hAnsi="Verdana" w:cs="Weiss"/>
          <w:sz w:val="20"/>
          <w:szCs w:val="19"/>
        </w:rPr>
        <w:t>.</w:t>
      </w:r>
    </w:p>
    <w:p w14:paraId="7596FD99" w14:textId="77777777" w:rsidR="00F7793F" w:rsidRPr="00B57A1B" w:rsidRDefault="00F7793F" w:rsidP="00F7793F">
      <w:pPr>
        <w:spacing w:after="120" w:line="276" w:lineRule="auto"/>
        <w:jc w:val="both"/>
        <w:rPr>
          <w:rFonts w:ascii="Verdana" w:eastAsiaTheme="minorEastAsia" w:hAnsi="Verdana" w:cs="Arial"/>
          <w:lang w:eastAsia="es-CO"/>
        </w:rPr>
      </w:pPr>
    </w:p>
    <w:p w14:paraId="3C8BC421" w14:textId="77777777" w:rsidR="00F7793F" w:rsidRPr="00B57A1B" w:rsidRDefault="00F7793F" w:rsidP="00F7793F">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lastRenderedPageBreak/>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6"/>
      </w:r>
      <w:r w:rsidRPr="00B57A1B">
        <w:rPr>
          <w:rFonts w:ascii="Verdana" w:eastAsiaTheme="minorEastAsia" w:hAnsi="Verdana" w:cs="Arial"/>
          <w:lang w:eastAsia="es-CO"/>
        </w:rPr>
        <w:t xml:space="preserve">. De esta manera, el Consejo de Estado expresa:  </w:t>
      </w:r>
    </w:p>
    <w:p w14:paraId="58EFEF0B" w14:textId="77777777" w:rsidR="00F7793F" w:rsidRPr="00B57A1B" w:rsidRDefault="00F7793F" w:rsidP="00F7793F">
      <w:pPr>
        <w:widowControl w:val="0"/>
        <w:autoSpaceDE w:val="0"/>
        <w:autoSpaceDN w:val="0"/>
        <w:spacing w:after="120" w:line="276" w:lineRule="auto"/>
        <w:jc w:val="both"/>
        <w:rPr>
          <w:rFonts w:ascii="Verdana" w:eastAsia="Arial MT" w:hAnsi="Verdana" w:cs="Arial MT"/>
        </w:rPr>
      </w:pPr>
    </w:p>
    <w:p w14:paraId="07B256A9" w14:textId="77777777" w:rsidR="00F7793F" w:rsidRPr="000E225C" w:rsidRDefault="00F7793F" w:rsidP="00F7793F">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5FB346D1" w14:textId="77777777" w:rsidR="00F7793F" w:rsidRPr="000E225C" w:rsidRDefault="00F7793F" w:rsidP="00F7793F">
      <w:pPr>
        <w:widowControl w:val="0"/>
        <w:autoSpaceDE w:val="0"/>
        <w:autoSpaceDN w:val="0"/>
        <w:spacing w:after="0" w:line="240" w:lineRule="auto"/>
        <w:ind w:left="709" w:right="709"/>
        <w:jc w:val="both"/>
        <w:rPr>
          <w:rFonts w:ascii="Verdana" w:eastAsia="Arial MT" w:hAnsi="Verdana" w:cs="Arial MT"/>
          <w:sz w:val="20"/>
          <w:szCs w:val="19"/>
        </w:rPr>
      </w:pPr>
    </w:p>
    <w:p w14:paraId="7BB0AD51" w14:textId="77777777" w:rsidR="00F7793F" w:rsidRPr="000E225C" w:rsidRDefault="00F7793F" w:rsidP="00F7793F">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43F6041F" w14:textId="77777777" w:rsidR="00F7793F" w:rsidRPr="000E225C" w:rsidRDefault="00F7793F" w:rsidP="00F7793F">
      <w:pPr>
        <w:widowControl w:val="0"/>
        <w:autoSpaceDE w:val="0"/>
        <w:autoSpaceDN w:val="0"/>
        <w:spacing w:after="0" w:line="240" w:lineRule="auto"/>
        <w:ind w:left="709" w:right="709"/>
        <w:jc w:val="both"/>
        <w:rPr>
          <w:rFonts w:ascii="Verdana" w:eastAsia="Arial MT" w:hAnsi="Verdana" w:cs="Arial MT"/>
          <w:sz w:val="20"/>
          <w:szCs w:val="19"/>
        </w:rPr>
      </w:pPr>
    </w:p>
    <w:p w14:paraId="5008F14D" w14:textId="77777777" w:rsidR="00F7793F" w:rsidRPr="000E225C" w:rsidRDefault="00F7793F" w:rsidP="00F7793F">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 xml:space="preserve">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la Corte Constitucional, están ideados esencialmente para concretar la coordinación de las actuaciones entre las autoridades administrativas, conduciría a resultados que malogren y/o desincentiven la cooperación </w:t>
      </w:r>
      <w:r w:rsidRPr="000E225C">
        <w:rPr>
          <w:rFonts w:ascii="Verdana" w:eastAsia="Arial MT" w:hAnsi="Verdana" w:cs="Arial MT"/>
          <w:i/>
          <w:iCs/>
          <w:sz w:val="20"/>
          <w:szCs w:val="19"/>
        </w:rPr>
        <w:lastRenderedPageBreak/>
        <w:t>entre ellas, producto de las incompatibilidades que puedan presentarse”</w:t>
      </w:r>
      <w:r w:rsidRPr="000E225C">
        <w:rPr>
          <w:rFonts w:ascii="Verdana" w:eastAsia="Arial MT" w:hAnsi="Verdana" w:cs="Arial MT"/>
          <w:i/>
          <w:iCs/>
          <w:sz w:val="20"/>
          <w:szCs w:val="19"/>
          <w:vertAlign w:val="superscript"/>
        </w:rPr>
        <w:footnoteReference w:id="7"/>
      </w:r>
      <w:r w:rsidRPr="000E225C">
        <w:rPr>
          <w:rFonts w:ascii="Verdana" w:eastAsia="Arial MT" w:hAnsi="Verdana" w:cs="Arial MT"/>
          <w:i/>
          <w:iCs/>
          <w:sz w:val="20"/>
          <w:szCs w:val="19"/>
        </w:rPr>
        <w:t>.</w:t>
      </w:r>
    </w:p>
    <w:p w14:paraId="021E013A" w14:textId="77777777" w:rsidR="00F7793F" w:rsidRPr="00B57A1B" w:rsidRDefault="00F7793F" w:rsidP="00F7793F">
      <w:pPr>
        <w:spacing w:after="0" w:line="276" w:lineRule="auto"/>
        <w:ind w:firstLine="708"/>
        <w:jc w:val="both"/>
        <w:rPr>
          <w:rFonts w:ascii="Verdana" w:eastAsiaTheme="minorEastAsia" w:hAnsi="Verdana" w:cs="Arial"/>
          <w:lang w:val="es-ES" w:eastAsia="es-CO"/>
        </w:rPr>
      </w:pPr>
    </w:p>
    <w:p w14:paraId="5421B0E9" w14:textId="77777777" w:rsidR="00F7793F" w:rsidRPr="00663A04" w:rsidRDefault="00F7793F" w:rsidP="00F7793F">
      <w:pPr>
        <w:spacing w:after="0" w:line="276" w:lineRule="auto"/>
        <w:ind w:firstLine="708"/>
        <w:jc w:val="both"/>
        <w:rPr>
          <w:rFonts w:ascii="Verdana" w:eastAsiaTheme="minorEastAsia" w:hAnsi="Verdana" w:cs="Arial"/>
          <w:lang w:eastAsia="es-CO"/>
        </w:rPr>
      </w:pPr>
      <w:r w:rsidRPr="00B57A1B">
        <w:rPr>
          <w:rFonts w:ascii="Verdana" w:eastAsiaTheme="minorEastAsia" w:hAnsi="Verdana" w:cs="Arial"/>
          <w:lang w:eastAsia="es-CO"/>
        </w:rPr>
        <w:t>Teniendo en cuenta, este entendimiento sobre los convenios interadministrativos, es nece</w:t>
      </w:r>
      <w:r>
        <w:rPr>
          <w:rFonts w:ascii="Verdana" w:eastAsiaTheme="minorEastAsia" w:hAnsi="Verdana" w:cs="Arial"/>
          <w:lang w:eastAsia="es-CO"/>
        </w:rPr>
        <w:t>sario analizar la posibilidad de su celebración de convenios interadministrativos entre las entidades públicas y el ICETEX,</w:t>
      </w:r>
      <w:r w:rsidRPr="00663A04">
        <w:rPr>
          <w:rFonts w:ascii="Verdana" w:eastAsiaTheme="minorEastAsia" w:hAnsi="Verdana" w:cs="Arial"/>
          <w:lang w:eastAsia="es-CO"/>
        </w:rPr>
        <w:t xml:space="preserve"> con el fin de constituir un </w:t>
      </w:r>
      <w:r w:rsidRPr="00663A04">
        <w:rPr>
          <w:rFonts w:ascii="Verdana" w:eastAsiaTheme="minorEastAsia" w:hAnsi="Verdana" w:cs="Arial"/>
          <w:bCs/>
          <w:lang w:eastAsia="es-CO"/>
        </w:rPr>
        <w:t>fondo</w:t>
      </w:r>
      <w:r w:rsidRPr="00663A04">
        <w:rPr>
          <w:rFonts w:ascii="Verdana" w:eastAsiaTheme="minorEastAsia" w:hAnsi="Verdana" w:cs="Arial"/>
          <w:b/>
          <w:bCs/>
          <w:lang w:eastAsia="es-CO"/>
        </w:rPr>
        <w:t xml:space="preserve"> </w:t>
      </w:r>
      <w:r w:rsidRPr="00663A04">
        <w:rPr>
          <w:rFonts w:ascii="Verdana" w:eastAsiaTheme="minorEastAsia" w:hAnsi="Verdana" w:cs="Arial"/>
          <w:lang w:eastAsia="es-CO"/>
        </w:rPr>
        <w:t xml:space="preserve">en administración de este último, para que, a través de él, se financien dichos estudios de educación formal. </w:t>
      </w:r>
      <w:r>
        <w:rPr>
          <w:rFonts w:ascii="Verdana" w:eastAsiaTheme="minorEastAsia" w:hAnsi="Verdana" w:cs="Arial"/>
          <w:lang w:eastAsia="es-CO"/>
        </w:rPr>
        <w:t xml:space="preserve"> </w:t>
      </w:r>
    </w:p>
    <w:p w14:paraId="2B8CC63F" w14:textId="77777777" w:rsidR="00F7793F" w:rsidRDefault="00F7793F" w:rsidP="00F7793F">
      <w:pPr>
        <w:spacing w:after="0" w:line="276" w:lineRule="auto"/>
        <w:jc w:val="both"/>
        <w:rPr>
          <w:rFonts w:ascii="Verdana" w:eastAsia="Calibri" w:hAnsi="Verdana" w:cs="Arial"/>
          <w:color w:val="000000" w:themeColor="text1"/>
        </w:rPr>
      </w:pPr>
    </w:p>
    <w:p w14:paraId="529E2312" w14:textId="77777777" w:rsidR="00F7793F" w:rsidRPr="00663A04" w:rsidRDefault="00F7793F" w:rsidP="00F7793F">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ii. </w:t>
      </w:r>
      <w:r w:rsidRPr="00663A04">
        <w:rPr>
          <w:rFonts w:ascii="Verdana" w:eastAsia="Calibri" w:hAnsi="Verdana" w:cs="Arial"/>
          <w:color w:val="000000" w:themeColor="text1"/>
        </w:rPr>
        <w:t>El Instituto Colombiano de Crédito Educativo y Estudios Técnicos en el Exterior –</w:t>
      </w:r>
      <w:r w:rsidRPr="00CD4C85">
        <w:rPr>
          <w:rFonts w:ascii="Verdana" w:eastAsia="Calibri" w:hAnsi="Verdana" w:cs="Arial"/>
          <w:color w:val="000000" w:themeColor="text1"/>
        </w:rPr>
        <w:t> ICETEX </w:t>
      </w:r>
      <w:r w:rsidRPr="00663A04">
        <w:rPr>
          <w:rFonts w:ascii="Verdana" w:eastAsia="Calibri" w:hAnsi="Verdana" w:cs="Arial"/>
          <w:color w:val="000000" w:themeColor="text1"/>
        </w:rPr>
        <w:t xml:space="preserve">es una entidad del estado colombiano de la rama ejecutiva del orden nacional que tiene por objeto el fomento social de la educación superior, priorizando la población de bajos recursos económicos y aquella con mérito académico en todos los estratos </w:t>
      </w:r>
      <w:r>
        <w:rPr>
          <w:rFonts w:ascii="Verdana" w:eastAsia="Calibri" w:hAnsi="Verdana" w:cs="Arial"/>
          <w:color w:val="000000" w:themeColor="text1"/>
        </w:rPr>
        <w:t xml:space="preserve">mediante los diferentes </w:t>
      </w:r>
      <w:r w:rsidRPr="00663A04">
        <w:rPr>
          <w:rFonts w:ascii="Verdana" w:eastAsia="Calibri" w:hAnsi="Verdana" w:cs="Arial"/>
          <w:color w:val="000000" w:themeColor="text1"/>
        </w:rPr>
        <w:t xml:space="preserve">mecanismos financieros que hagan posible el acceso y la permanencia de las personas a la educación superior, la canalización y administración de recursos, becas y otros apoyos de carácter nacional e internacional, con recursos propios o de terceros. </w:t>
      </w:r>
    </w:p>
    <w:p w14:paraId="17B44E9F" w14:textId="77777777" w:rsidR="00F7793F" w:rsidRPr="00D73DBD" w:rsidRDefault="00F7793F" w:rsidP="00F7793F">
      <w:pPr>
        <w:spacing w:after="120" w:line="276" w:lineRule="auto"/>
        <w:ind w:firstLine="708"/>
        <w:jc w:val="both"/>
        <w:rPr>
          <w:rFonts w:ascii="Verdana" w:eastAsia="Calibri" w:hAnsi="Verdana" w:cs="Arial"/>
          <w:color w:val="000000" w:themeColor="text1"/>
        </w:rPr>
      </w:pPr>
      <w:r w:rsidRPr="00663A04">
        <w:rPr>
          <w:rFonts w:ascii="Verdana" w:eastAsia="Calibri" w:hAnsi="Verdana" w:cs="Arial"/>
          <w:color w:val="000000" w:themeColor="text1"/>
        </w:rPr>
        <w:t xml:space="preserve">Conforme lo señalado en </w:t>
      </w:r>
      <w:r>
        <w:rPr>
          <w:rFonts w:ascii="Verdana" w:eastAsia="Calibri" w:hAnsi="Verdana" w:cs="Arial"/>
          <w:color w:val="000000" w:themeColor="text1"/>
        </w:rPr>
        <w:t>el</w:t>
      </w:r>
      <w:r w:rsidRPr="00663A04">
        <w:rPr>
          <w:rFonts w:ascii="Verdana" w:eastAsia="Calibri" w:hAnsi="Verdana" w:cs="Arial"/>
          <w:color w:val="000000" w:themeColor="text1"/>
        </w:rPr>
        <w:t xml:space="preserve"> artículo</w:t>
      </w:r>
      <w:r>
        <w:rPr>
          <w:rFonts w:ascii="Verdana" w:eastAsia="Calibri" w:hAnsi="Verdana" w:cs="Arial"/>
          <w:color w:val="000000" w:themeColor="text1"/>
        </w:rPr>
        <w:t xml:space="preserve"> 1 de la Ley 1002 de 2005 se transforma el ICETEX creado por el Decreto 2586 de 1950 en una entidad financiera de naturaleza especial, con personería jurídica, autonomía administrativa y patrimonio propio. Así mismo, el artículo 6 de la precitada ley dispone que </w:t>
      </w:r>
      <w:r w:rsidRPr="00D73DBD">
        <w:rPr>
          <w:rFonts w:ascii="Verdana" w:eastAsia="Calibri" w:hAnsi="Verdana" w:cs="Arial"/>
          <w:color w:val="000000" w:themeColor="text1"/>
        </w:rPr>
        <w:t xml:space="preserve">la Superintendencia Financiera ejerce la inspección, vigilancia y control sobre las operaciones financieras que realice el ICETEX, sin perjuicio de lo </w:t>
      </w:r>
      <w:r>
        <w:rPr>
          <w:rFonts w:ascii="Verdana" w:eastAsia="Calibri" w:hAnsi="Verdana" w:cs="Arial"/>
          <w:color w:val="000000" w:themeColor="text1"/>
        </w:rPr>
        <w:t xml:space="preserve">regulado </w:t>
      </w:r>
      <w:r w:rsidRPr="00D73DBD">
        <w:rPr>
          <w:rFonts w:ascii="Verdana" w:eastAsia="Calibri" w:hAnsi="Verdana" w:cs="Arial"/>
          <w:color w:val="000000" w:themeColor="text1"/>
        </w:rPr>
        <w:t>en el Estatuto Orgánico del; Sistema Financiero contenido en el Decreto-ley 663 de 1993. </w:t>
      </w:r>
    </w:p>
    <w:p w14:paraId="7B38DE82" w14:textId="77777777" w:rsidR="00F7793F" w:rsidRPr="00E501E7" w:rsidRDefault="00F7793F" w:rsidP="00F7793F">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L</w:t>
      </w:r>
      <w:r w:rsidRPr="00D73DBD">
        <w:rPr>
          <w:rFonts w:ascii="Verdana" w:eastAsia="Calibri" w:hAnsi="Verdana" w:cs="Arial"/>
          <w:color w:val="000000" w:themeColor="text1"/>
        </w:rPr>
        <w:t xml:space="preserve">os actos que realice el ICETEX para el desarrollo de sus actividades comerciales o de gestión económica y financiera, </w:t>
      </w:r>
      <w:r>
        <w:rPr>
          <w:rFonts w:ascii="Verdana" w:eastAsia="Calibri" w:hAnsi="Verdana" w:cs="Arial"/>
          <w:color w:val="000000" w:themeColor="text1"/>
        </w:rPr>
        <w:t>así como l</w:t>
      </w:r>
      <w:r w:rsidRPr="00D73DBD">
        <w:rPr>
          <w:rFonts w:ascii="Verdana" w:eastAsia="Calibri" w:hAnsi="Verdana" w:cs="Arial"/>
          <w:color w:val="000000" w:themeColor="text1"/>
        </w:rPr>
        <w:t>os contratos que deba celebrar y otorgar como entidad financiera de naturaleza especial, en desarrollo de su objeto y operaciones autorizadas, se sujetan a</w:t>
      </w:r>
      <w:r>
        <w:rPr>
          <w:rFonts w:ascii="Verdana" w:eastAsia="Calibri" w:hAnsi="Verdana" w:cs="Arial"/>
          <w:color w:val="000000" w:themeColor="text1"/>
        </w:rPr>
        <w:t xml:space="preserve">l </w:t>
      </w:r>
      <w:r w:rsidRPr="00D73DBD">
        <w:rPr>
          <w:rFonts w:ascii="Verdana" w:eastAsia="Calibri" w:hAnsi="Verdana" w:cs="Arial"/>
          <w:color w:val="000000" w:themeColor="text1"/>
        </w:rPr>
        <w:t>derecho privado.</w:t>
      </w:r>
      <w:r>
        <w:rPr>
          <w:rFonts w:ascii="Verdana" w:eastAsia="Calibri" w:hAnsi="Verdana" w:cs="Arial"/>
          <w:color w:val="000000" w:themeColor="text1"/>
        </w:rPr>
        <w:t xml:space="preserve"> Esto, de conformidad con el artículo 8 de la Ley 1002 de 2005</w:t>
      </w:r>
      <w:r>
        <w:rPr>
          <w:rStyle w:val="Refdenotaalpie"/>
          <w:rFonts w:ascii="Verdana" w:eastAsia="Calibri" w:hAnsi="Verdana" w:cs="Arial"/>
          <w:color w:val="000000" w:themeColor="text1"/>
        </w:rPr>
        <w:footnoteReference w:id="8"/>
      </w:r>
      <w:r>
        <w:rPr>
          <w:rFonts w:ascii="Verdana" w:eastAsia="Calibri" w:hAnsi="Verdana" w:cs="Arial"/>
          <w:color w:val="000000" w:themeColor="text1"/>
        </w:rPr>
        <w:t xml:space="preserve">. </w:t>
      </w:r>
      <w:r w:rsidRPr="00E501E7">
        <w:rPr>
          <w:rFonts w:ascii="Verdana" w:eastAsia="Calibri" w:hAnsi="Verdana" w:cs="Arial"/>
          <w:color w:val="000000" w:themeColor="text1"/>
        </w:rPr>
        <w:t xml:space="preserve">No obstante, </w:t>
      </w:r>
      <w:r w:rsidRPr="00E501E7">
        <w:rPr>
          <w:rFonts w:ascii="Verdana" w:eastAsia="Calibri" w:hAnsi="Verdana" w:cs="Arial"/>
          <w:color w:val="000000" w:themeColor="text1"/>
        </w:rPr>
        <w:lastRenderedPageBreak/>
        <w:t xml:space="preserve">aunque tenga una influencia limitada, </w:t>
      </w:r>
      <w:r>
        <w:rPr>
          <w:rFonts w:ascii="Verdana" w:eastAsia="Calibri" w:hAnsi="Verdana" w:cs="Arial"/>
          <w:color w:val="000000" w:themeColor="text1"/>
        </w:rPr>
        <w:t>el ICETEX como</w:t>
      </w:r>
      <w:r w:rsidRPr="00E501E7">
        <w:rPr>
          <w:rFonts w:ascii="Verdana" w:eastAsia="Calibri" w:hAnsi="Verdana" w:cs="Arial"/>
          <w:color w:val="000000" w:themeColor="text1"/>
        </w:rPr>
        <w:t xml:space="preserve"> </w:t>
      </w:r>
      <w:r w:rsidRPr="00E501E7">
        <w:rPr>
          <w:rFonts w:ascii="Verdana" w:eastAsia="Calibri" w:hAnsi="Verdana" w:cs="Arial"/>
          <w:i/>
          <w:iCs/>
          <w:color w:val="000000" w:themeColor="text1"/>
        </w:rPr>
        <w:t>entidades del régimen exceptuado</w:t>
      </w:r>
      <w:r w:rsidRPr="00E501E7">
        <w:rPr>
          <w:rFonts w:ascii="Verdana" w:eastAsia="Calibri" w:hAnsi="Verdana" w:cs="Arial"/>
          <w:color w:val="000000" w:themeColor="text1"/>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4FBD1CA2" w14:textId="77777777" w:rsidR="00F7793F" w:rsidRDefault="00F7793F" w:rsidP="00F7793F">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Ahora bien, dentro de las actividades que desarrolla el ICETEX se encuentra los convenios de fondos en administración, los cuales son </w:t>
      </w:r>
      <w:r w:rsidRPr="004A0E5C">
        <w:rPr>
          <w:rFonts w:ascii="Verdana" w:eastAsia="Calibri" w:hAnsi="Verdana" w:cs="Arial"/>
          <w:color w:val="000000" w:themeColor="text1"/>
        </w:rPr>
        <w:t xml:space="preserve">un instrumento </w:t>
      </w:r>
      <w:r>
        <w:rPr>
          <w:rFonts w:ascii="Verdana" w:eastAsia="Calibri" w:hAnsi="Verdana" w:cs="Arial"/>
          <w:color w:val="000000" w:themeColor="text1"/>
        </w:rPr>
        <w:t>mediante la cual dicha entidad</w:t>
      </w:r>
      <w:r w:rsidRPr="004A0E5C">
        <w:rPr>
          <w:rFonts w:ascii="Verdana" w:eastAsia="Calibri" w:hAnsi="Verdana" w:cs="Arial"/>
          <w:color w:val="000000" w:themeColor="text1"/>
        </w:rPr>
        <w:t xml:space="preserve"> administra los recursos de organizaciones públicas o privadas, y las apoya en el diseño e implementación de iniciativas que promueven el acceso y/o la permanencia en el sistema educativo del país, </w:t>
      </w:r>
      <w:r>
        <w:rPr>
          <w:rFonts w:ascii="Verdana" w:eastAsia="Calibri" w:hAnsi="Verdana" w:cs="Arial"/>
          <w:color w:val="000000" w:themeColor="text1"/>
        </w:rPr>
        <w:t xml:space="preserve">mediante </w:t>
      </w:r>
      <w:r w:rsidRPr="004A0E5C">
        <w:rPr>
          <w:rFonts w:ascii="Verdana" w:eastAsia="Calibri" w:hAnsi="Verdana" w:cs="Arial"/>
          <w:color w:val="000000" w:themeColor="text1"/>
        </w:rPr>
        <w:t xml:space="preserve">créditos </w:t>
      </w:r>
      <w:proofErr w:type="spellStart"/>
      <w:r w:rsidRPr="004A0E5C">
        <w:rPr>
          <w:rFonts w:ascii="Verdana" w:eastAsia="Calibri" w:hAnsi="Verdana" w:cs="Arial"/>
          <w:color w:val="000000" w:themeColor="text1"/>
        </w:rPr>
        <w:t>condonables</w:t>
      </w:r>
      <w:proofErr w:type="spellEnd"/>
      <w:r w:rsidRPr="004A0E5C">
        <w:rPr>
          <w:rFonts w:ascii="Verdana" w:eastAsia="Calibri" w:hAnsi="Verdana" w:cs="Arial"/>
          <w:color w:val="000000" w:themeColor="text1"/>
        </w:rPr>
        <w:t>, reembolsables o subsidios</w:t>
      </w:r>
      <w:r>
        <w:rPr>
          <w:rStyle w:val="Refdenotaalpie"/>
          <w:rFonts w:ascii="Verdana" w:eastAsia="Calibri" w:hAnsi="Verdana" w:cs="Arial"/>
          <w:color w:val="000000" w:themeColor="text1"/>
        </w:rPr>
        <w:footnoteReference w:id="9"/>
      </w:r>
      <w:r w:rsidRPr="004A0E5C">
        <w:rPr>
          <w:rFonts w:ascii="Verdana" w:eastAsia="Calibri" w:hAnsi="Verdana" w:cs="Arial"/>
          <w:color w:val="000000" w:themeColor="text1"/>
        </w:rPr>
        <w:t>.</w:t>
      </w:r>
    </w:p>
    <w:p w14:paraId="250052FD" w14:textId="77777777" w:rsidR="00F7793F" w:rsidRDefault="00F7793F" w:rsidP="00F7793F">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Estos convenios de fondos en administración cuentan con las siguientes </w:t>
      </w:r>
      <w:r w:rsidRPr="000E6E2C">
        <w:rPr>
          <w:rFonts w:ascii="Verdana" w:eastAsia="Calibri" w:hAnsi="Verdana" w:cs="Arial"/>
          <w:color w:val="000000" w:themeColor="text1"/>
        </w:rPr>
        <w:t>etapas principales de gestión, desde su creación hasta su cierre:</w:t>
      </w:r>
      <w:r>
        <w:rPr>
          <w:rFonts w:ascii="Verdana" w:eastAsia="Calibri" w:hAnsi="Verdana" w:cs="Arial"/>
          <w:color w:val="000000" w:themeColor="text1"/>
        </w:rPr>
        <w:t xml:space="preserve"> i) </w:t>
      </w:r>
      <w:r w:rsidRPr="000E6E2C">
        <w:rPr>
          <w:rFonts w:ascii="Verdana" w:eastAsia="Calibri" w:hAnsi="Verdana" w:cs="Arial"/>
          <w:color w:val="000000" w:themeColor="text1"/>
        </w:rPr>
        <w:t>Estructuración del fondo</w:t>
      </w:r>
      <w:r>
        <w:rPr>
          <w:rFonts w:ascii="Verdana" w:eastAsia="Calibri" w:hAnsi="Verdana" w:cs="Arial"/>
          <w:color w:val="000000" w:themeColor="text1"/>
        </w:rPr>
        <w:t>, que consiste en la d</w:t>
      </w:r>
      <w:r w:rsidRPr="000E6E2C">
        <w:rPr>
          <w:rFonts w:ascii="Verdana" w:eastAsia="Calibri" w:hAnsi="Verdana" w:cs="Arial"/>
          <w:color w:val="000000" w:themeColor="text1"/>
        </w:rPr>
        <w:t>efinición y formalización de aspectos administrativos, operativos, financieros y contractuales para la gestión del fondo</w:t>
      </w:r>
      <w:r>
        <w:rPr>
          <w:rFonts w:ascii="Verdana" w:eastAsia="Calibri" w:hAnsi="Verdana" w:cs="Arial"/>
          <w:color w:val="000000" w:themeColor="text1"/>
        </w:rPr>
        <w:t xml:space="preserve">; ii) </w:t>
      </w:r>
      <w:r w:rsidRPr="000E6E2C">
        <w:rPr>
          <w:rFonts w:ascii="Verdana" w:eastAsia="Calibri" w:hAnsi="Verdana" w:cs="Arial"/>
          <w:color w:val="000000" w:themeColor="text1"/>
        </w:rPr>
        <w:t>Otorgamiento</w:t>
      </w:r>
      <w:r>
        <w:rPr>
          <w:rFonts w:ascii="Verdana" w:eastAsia="Calibri" w:hAnsi="Verdana" w:cs="Arial"/>
          <w:color w:val="000000" w:themeColor="text1"/>
        </w:rPr>
        <w:t>, que se caracteriza por la c</w:t>
      </w:r>
      <w:r w:rsidRPr="000E6E2C">
        <w:rPr>
          <w:rFonts w:ascii="Verdana" w:eastAsia="Calibri" w:hAnsi="Verdana" w:cs="Arial"/>
          <w:color w:val="000000" w:themeColor="text1"/>
        </w:rPr>
        <w:t>onvocatoria a la ciudadanía para participar en un proceso de evaluación que adjudica apoyos educativos</w:t>
      </w:r>
      <w:r>
        <w:rPr>
          <w:rFonts w:ascii="Verdana" w:eastAsia="Calibri" w:hAnsi="Verdana" w:cs="Arial"/>
          <w:color w:val="000000" w:themeColor="text1"/>
        </w:rPr>
        <w:t xml:space="preserve">; iii) </w:t>
      </w:r>
      <w:r w:rsidRPr="000E6E2C">
        <w:rPr>
          <w:rFonts w:ascii="Verdana" w:eastAsia="Calibri" w:hAnsi="Verdana" w:cs="Arial"/>
          <w:color w:val="000000" w:themeColor="text1"/>
        </w:rPr>
        <w:t>Desembolso</w:t>
      </w:r>
      <w:r>
        <w:rPr>
          <w:rFonts w:ascii="Verdana" w:eastAsia="Calibri" w:hAnsi="Verdana" w:cs="Arial"/>
          <w:color w:val="000000" w:themeColor="text1"/>
        </w:rPr>
        <w:t xml:space="preserve">, que consiste en el pago </w:t>
      </w:r>
      <w:r w:rsidRPr="000E6E2C">
        <w:rPr>
          <w:rFonts w:ascii="Verdana" w:eastAsia="Calibri" w:hAnsi="Verdana" w:cs="Arial"/>
          <w:color w:val="000000" w:themeColor="text1"/>
        </w:rPr>
        <w:t>del apoyo financiero aprobado a universidades, beneficiarios u otras entidades</w:t>
      </w:r>
      <w:r>
        <w:rPr>
          <w:rFonts w:ascii="Verdana" w:eastAsia="Calibri" w:hAnsi="Verdana" w:cs="Arial"/>
          <w:color w:val="000000" w:themeColor="text1"/>
        </w:rPr>
        <w:t xml:space="preserve">; iv) </w:t>
      </w:r>
      <w:r w:rsidRPr="000E6E2C">
        <w:rPr>
          <w:rFonts w:ascii="Verdana" w:eastAsia="Calibri" w:hAnsi="Verdana" w:cs="Arial"/>
          <w:color w:val="000000" w:themeColor="text1"/>
        </w:rPr>
        <w:t>Gestión de renovaciones</w:t>
      </w:r>
      <w:r>
        <w:rPr>
          <w:rFonts w:ascii="Verdana" w:eastAsia="Calibri" w:hAnsi="Verdana" w:cs="Arial"/>
          <w:color w:val="000000" w:themeColor="text1"/>
        </w:rPr>
        <w:t>, que se caracteriza por la verificación</w:t>
      </w:r>
      <w:r w:rsidRPr="000E6E2C">
        <w:rPr>
          <w:rFonts w:ascii="Verdana" w:eastAsia="Calibri" w:hAnsi="Verdana" w:cs="Arial"/>
          <w:color w:val="000000" w:themeColor="text1"/>
        </w:rPr>
        <w:t xml:space="preserve"> de requisitos para refrendar el apoyo en cada periodo académico y autorizar nuevos desembolsos</w:t>
      </w:r>
      <w:r>
        <w:rPr>
          <w:rFonts w:ascii="Verdana" w:eastAsia="Calibri" w:hAnsi="Verdana" w:cs="Arial"/>
          <w:color w:val="000000" w:themeColor="text1"/>
        </w:rPr>
        <w:t>; v) la e</w:t>
      </w:r>
      <w:r w:rsidRPr="000E6E2C">
        <w:rPr>
          <w:rFonts w:ascii="Verdana" w:eastAsia="Calibri" w:hAnsi="Verdana" w:cs="Arial"/>
          <w:color w:val="000000" w:themeColor="text1"/>
        </w:rPr>
        <w:t>xoneración total o parcial del beneficiario de la obligación de reembolsar el apoyo, tras cumplir requisitos establecidos</w:t>
      </w:r>
      <w:r>
        <w:rPr>
          <w:rFonts w:ascii="Verdana" w:eastAsia="Calibri" w:hAnsi="Verdana" w:cs="Arial"/>
          <w:color w:val="000000" w:themeColor="text1"/>
        </w:rPr>
        <w:t>; vi) la cartera, que parte de la a</w:t>
      </w:r>
      <w:r w:rsidRPr="000E6E2C">
        <w:rPr>
          <w:rFonts w:ascii="Verdana" w:eastAsia="Calibri" w:hAnsi="Verdana" w:cs="Arial"/>
          <w:color w:val="000000" w:themeColor="text1"/>
        </w:rPr>
        <w:t>dministración de los apoyos financieros que no fueron condonados y deben ser pagados por los beneficiarios</w:t>
      </w:r>
      <w:r>
        <w:rPr>
          <w:rFonts w:ascii="Verdana" w:eastAsia="Calibri" w:hAnsi="Verdana" w:cs="Arial"/>
          <w:color w:val="000000" w:themeColor="text1"/>
        </w:rPr>
        <w:t>; y por último, vii) la liquidación que es el b</w:t>
      </w:r>
      <w:r w:rsidRPr="000E6E2C">
        <w:rPr>
          <w:rFonts w:ascii="Verdana" w:eastAsia="Calibri" w:hAnsi="Verdana" w:cs="Arial"/>
          <w:color w:val="000000" w:themeColor="text1"/>
        </w:rPr>
        <w:t xml:space="preserve">alance </w:t>
      </w:r>
      <w:r w:rsidRPr="000E6E2C">
        <w:rPr>
          <w:rFonts w:ascii="Verdana" w:eastAsia="Calibri" w:hAnsi="Verdana" w:cs="Arial"/>
          <w:color w:val="000000" w:themeColor="text1"/>
        </w:rPr>
        <w:lastRenderedPageBreak/>
        <w:t>general al finalizar un acuerdo estratégico, formalizando su cierre contractual</w:t>
      </w:r>
      <w:r>
        <w:rPr>
          <w:rStyle w:val="Refdenotaalpie"/>
          <w:rFonts w:ascii="Verdana" w:eastAsia="Calibri" w:hAnsi="Verdana" w:cs="Arial"/>
          <w:color w:val="000000" w:themeColor="text1"/>
        </w:rPr>
        <w:footnoteReference w:id="10"/>
      </w:r>
      <w:r w:rsidRPr="000E6E2C">
        <w:rPr>
          <w:rFonts w:ascii="Verdana" w:eastAsia="Calibri" w:hAnsi="Verdana" w:cs="Arial"/>
          <w:color w:val="000000" w:themeColor="text1"/>
        </w:rPr>
        <w:t>.</w:t>
      </w:r>
      <w:r>
        <w:rPr>
          <w:rFonts w:ascii="Verdana" w:eastAsia="Calibri" w:hAnsi="Verdana" w:cs="Arial"/>
          <w:color w:val="000000" w:themeColor="text1"/>
        </w:rPr>
        <w:t xml:space="preserve"> Durante el ciclo del convenio </w:t>
      </w:r>
      <w:r w:rsidRPr="00920817">
        <w:rPr>
          <w:rFonts w:ascii="Verdana" w:eastAsia="Calibri" w:hAnsi="Verdana" w:cs="Arial"/>
          <w:color w:val="000000" w:themeColor="text1"/>
        </w:rPr>
        <w:t>exist</w:t>
      </w:r>
      <w:r>
        <w:rPr>
          <w:rFonts w:ascii="Verdana" w:eastAsia="Calibri" w:hAnsi="Verdana" w:cs="Arial"/>
          <w:color w:val="000000" w:themeColor="text1"/>
        </w:rPr>
        <w:t>e</w:t>
      </w:r>
      <w:r w:rsidRPr="00920817">
        <w:rPr>
          <w:rFonts w:ascii="Verdana" w:eastAsia="Calibri" w:hAnsi="Verdana" w:cs="Arial"/>
          <w:color w:val="000000" w:themeColor="text1"/>
        </w:rPr>
        <w:t xml:space="preserve"> una Junta Administradora, donde el financiador o constituyente toma decisiones. El ICETEX participa con voz, pero sin voto, velando por el buen uso de los recursos del fondo.</w:t>
      </w:r>
      <w:r>
        <w:rPr>
          <w:rFonts w:ascii="Verdana" w:eastAsia="Calibri" w:hAnsi="Verdana" w:cs="Arial"/>
          <w:color w:val="000000" w:themeColor="text1"/>
        </w:rPr>
        <w:t xml:space="preserve"> De esta manera, en este tipo de convenios se crea el fondo y el ICETEX actúa como administrador-mandatario, recibiendo recursos del constituyente para su gestión, que tiene como </w:t>
      </w:r>
      <w:r w:rsidRPr="00EE265D">
        <w:rPr>
          <w:rFonts w:ascii="Verdana" w:eastAsia="Calibri" w:hAnsi="Verdana" w:cs="Arial"/>
          <w:color w:val="000000" w:themeColor="text1"/>
        </w:rPr>
        <w:t>propósito específico: garantizar que el Fondo opere bajo parámetros normativos y contractuales previamente definidos</w:t>
      </w:r>
      <w:r>
        <w:rPr>
          <w:rFonts w:ascii="Verdana" w:eastAsia="Calibri" w:hAnsi="Verdana" w:cs="Arial"/>
          <w:color w:val="000000" w:themeColor="text1"/>
        </w:rPr>
        <w:t xml:space="preserve">. </w:t>
      </w:r>
    </w:p>
    <w:p w14:paraId="187C691D" w14:textId="77777777" w:rsidR="00F7793F" w:rsidRPr="00920817" w:rsidRDefault="00F7793F" w:rsidP="00F7793F">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Teniendo en cuenta las particularidades de estos convenios de fondos de administración suscritos con entidades públicas sujetas al EGCAP con el ICETEX, es pertinente precisar que la denominación de convenio no significa que sea un convenio interadministrativo, y por tanto, no le aplique el EGCAP por parte de la entidad pública que actúa como constituyente, pues lo que determina que sea convenio </w:t>
      </w:r>
      <w:r w:rsidRPr="00553040">
        <w:rPr>
          <w:rFonts w:ascii="Verdana" w:eastAsia="Calibri" w:hAnsi="Verdana" w:cs="Arial"/>
          <w:color w:val="000000" w:themeColor="text1"/>
        </w:rPr>
        <w:t xml:space="preserve">no </w:t>
      </w:r>
      <w:r w:rsidRPr="00553040">
        <w:rPr>
          <w:rFonts w:ascii="Verdana" w:eastAsia="Calibri" w:hAnsi="Verdana" w:cs="Arial"/>
          <w:color w:val="000000" w:themeColor="text1"/>
          <w:lang w:val="es-ES"/>
        </w:rPr>
        <w:t>es la titulación del documento contractual, sino el contenido material de las obligaciones estipuladas. En esta línea,</w:t>
      </w:r>
      <w:r>
        <w:rPr>
          <w:rFonts w:ascii="Verdana" w:eastAsia="Calibri" w:hAnsi="Verdana" w:cs="Arial"/>
          <w:color w:val="000000" w:themeColor="text1"/>
          <w:lang w:val="es-ES"/>
        </w:rPr>
        <w:t xml:space="preserve"> será convenio interadministrativo </w:t>
      </w:r>
      <w:r>
        <w:rPr>
          <w:rFonts w:ascii="Verdana" w:eastAsia="Calibri" w:hAnsi="Verdana" w:cs="Arial"/>
          <w:color w:val="000000" w:themeColor="text1"/>
        </w:rPr>
        <w:t xml:space="preserve">cuando las partes </w:t>
      </w:r>
      <w:r w:rsidRPr="007A037B">
        <w:rPr>
          <w:rFonts w:ascii="Verdana" w:eastAsia="Calibri" w:hAnsi="Verdana" w:cs="Arial"/>
          <w:color w:val="000000" w:themeColor="text1"/>
        </w:rPr>
        <w:t xml:space="preserve">actúan como colaboradoras o cooperantes, sin que pueda aludirse a la preponderancia de ciertos regímenes, </w:t>
      </w:r>
      <w:r>
        <w:rPr>
          <w:rFonts w:ascii="Verdana" w:eastAsia="Calibri" w:hAnsi="Verdana" w:cs="Arial"/>
          <w:color w:val="000000" w:themeColor="text1"/>
        </w:rPr>
        <w:t xml:space="preserve">y donde no existe un pago por honorarios o administración, al comprenderse que las partes son aportantes para la consecución de los objetivos del convenio. </w:t>
      </w:r>
      <w:r w:rsidRPr="00553040">
        <w:rPr>
          <w:rFonts w:ascii="Verdana" w:eastAsia="Calibri" w:hAnsi="Verdana" w:cs="Arial"/>
          <w:color w:val="000000" w:themeColor="text1"/>
          <w:lang w:val="es-ES_tradnl"/>
        </w:rPr>
        <w:t xml:space="preserve">A diferencia de los contratos </w:t>
      </w:r>
      <w:r w:rsidRPr="00553040">
        <w:rPr>
          <w:rFonts w:ascii="Verdana" w:eastAsia="Calibri" w:hAnsi="Verdana" w:cs="Arial"/>
          <w:color w:val="000000" w:themeColor="text1"/>
        </w:rPr>
        <w:t>interadministrativos, en tanto negocios jurídicos típicamente conmutativos, su valor está determinado por el precio al que equivale la contraprestación a recibir por la entidad contratista, a cambio del suministro del bien, obra o servicio requerido por la entidad contratante, como puede ocurrir cuando se pacte por administración delegada</w:t>
      </w:r>
      <w:r>
        <w:rPr>
          <w:rFonts w:ascii="Verdana" w:eastAsia="Calibri" w:hAnsi="Verdana" w:cs="Arial"/>
          <w:color w:val="000000" w:themeColor="text1"/>
          <w:lang w:val="es-ES_tradnl"/>
        </w:rPr>
        <w:t>, esto es,</w:t>
      </w:r>
      <w:r w:rsidRPr="00553040">
        <w:rPr>
          <w:rFonts w:ascii="Verdana" w:eastAsia="Calibri" w:hAnsi="Verdana" w:cs="Arial"/>
          <w:color w:val="000000" w:themeColor="text1"/>
          <w:lang w:val="es-ES_tradnl"/>
        </w:rPr>
        <w:t xml:space="preserve"> como administración o modalidad de pago, con o sin representación.  </w:t>
      </w:r>
    </w:p>
    <w:p w14:paraId="77D92FA9" w14:textId="77777777" w:rsidR="00F7793F" w:rsidRDefault="00F7793F" w:rsidP="00F7793F">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Si el convenio de administración se constituye bajo la forma y cláusulas de convenio interadministrativo no le son aplicables las reglas del EGCAP, como lo ha expresado el Consejo de Estado en las consideraciones previamente expuestas en este concepto, pero, si es un contrato interadministrativo que se fundamentó bajo la causal regulada en el literal c, numeral 4, artículo 2 de la Ley 1150 de 2007 se sujeta a las restricciones y prohibiciones del EGCAP. Bajo estas precisiones, solo a los contratos interadministrativos les aplica </w:t>
      </w:r>
      <w:r w:rsidRPr="00EE3D99">
        <w:rPr>
          <w:rFonts w:ascii="Verdana" w:eastAsia="Calibri" w:hAnsi="Verdana" w:cs="Arial"/>
          <w:color w:val="000000" w:themeColor="text1"/>
        </w:rPr>
        <w:t xml:space="preserve">el límite previsto en el parágrafo del artículo 40 de la Ley 80 de 1993: “Los contratos no </w:t>
      </w:r>
      <w:r w:rsidRPr="00EE3D99">
        <w:rPr>
          <w:rFonts w:ascii="Verdana" w:eastAsia="Calibri" w:hAnsi="Verdana" w:cs="Arial"/>
          <w:color w:val="000000" w:themeColor="text1"/>
        </w:rPr>
        <w:lastRenderedPageBreak/>
        <w:t>podrán adicionarse en más del cincuenta por ciento (50%) de su valor inicial, expresado éste en salarios mínimos legales mensuales”.</w:t>
      </w:r>
      <w:r>
        <w:rPr>
          <w:rFonts w:ascii="Verdana" w:eastAsia="Calibri" w:hAnsi="Verdana" w:cs="Arial"/>
          <w:color w:val="000000" w:themeColor="text1"/>
        </w:rPr>
        <w:t xml:space="preserve"> </w:t>
      </w:r>
    </w:p>
    <w:p w14:paraId="62065416" w14:textId="77777777" w:rsidR="00F7793F" w:rsidRPr="00322D77" w:rsidRDefault="00F7793F" w:rsidP="00F7793F">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Si bien, l</w:t>
      </w:r>
      <w:r w:rsidRPr="00322D77">
        <w:rPr>
          <w:rFonts w:ascii="Verdana" w:eastAsia="Calibri" w:hAnsi="Verdana" w:cs="Arial"/>
          <w:color w:val="000000" w:themeColor="text1"/>
        </w:rPr>
        <w:t>a normativa vigente no establece una prohibición expresa respecto al límite de las adiciones en los convenios interadministrativos</w:t>
      </w:r>
      <w:r>
        <w:rPr>
          <w:rFonts w:ascii="Verdana" w:eastAsia="Calibri" w:hAnsi="Verdana" w:cs="Arial"/>
          <w:color w:val="000000" w:themeColor="text1"/>
        </w:rPr>
        <w:t xml:space="preserve"> al considerarse que no están sometidos al EGCAP</w:t>
      </w:r>
      <w:r w:rsidRPr="00322D77">
        <w:rPr>
          <w:rFonts w:ascii="Verdana" w:eastAsia="Calibri" w:hAnsi="Verdana" w:cs="Arial"/>
          <w:color w:val="000000" w:themeColor="text1"/>
        </w:rPr>
        <w:t>; sin embargo, ello no significa que puedan realizarse de manera ilimitada o discrecional. Estas modificaciones deben observar cuidadosamente los principios que rigen la función administrativa, garantizando la transparencia, la eficiencia</w:t>
      </w:r>
      <w:r>
        <w:rPr>
          <w:rFonts w:ascii="Verdana" w:eastAsia="Calibri" w:hAnsi="Verdana" w:cs="Arial"/>
          <w:color w:val="000000" w:themeColor="text1"/>
        </w:rPr>
        <w:t xml:space="preserve">, la economía, la moralidad y ante todo </w:t>
      </w:r>
      <w:r w:rsidRPr="00322D77">
        <w:rPr>
          <w:rFonts w:ascii="Verdana" w:eastAsia="Calibri" w:hAnsi="Verdana" w:cs="Arial"/>
          <w:color w:val="000000" w:themeColor="text1"/>
        </w:rPr>
        <w:t>la legalidad en cada actuación. Asimismo, resulta indispensable que las adiciones se ajusten a los p</w:t>
      </w:r>
      <w:r>
        <w:rPr>
          <w:rFonts w:ascii="Verdana" w:eastAsia="Calibri" w:hAnsi="Verdana" w:cs="Arial"/>
          <w:color w:val="000000" w:themeColor="text1"/>
        </w:rPr>
        <w:t xml:space="preserve">rincipios </w:t>
      </w:r>
      <w:r w:rsidRPr="00322D77">
        <w:rPr>
          <w:rFonts w:ascii="Verdana" w:eastAsia="Calibri" w:hAnsi="Verdana" w:cs="Arial"/>
          <w:color w:val="000000" w:themeColor="text1"/>
        </w:rPr>
        <w:t>de la gestión fiscal responsable, evitando comprometer recursos más allá de lo permitido por la planeación presupuestal y las reglas de sostenibilidad financiera.</w:t>
      </w:r>
    </w:p>
    <w:p w14:paraId="27D4CD33" w14:textId="77777777" w:rsidR="00F7793F" w:rsidRPr="00646F24" w:rsidRDefault="00F7793F" w:rsidP="00F7793F">
      <w:pPr>
        <w:spacing w:after="120" w:line="276" w:lineRule="auto"/>
        <w:ind w:firstLine="708"/>
        <w:jc w:val="both"/>
        <w:rPr>
          <w:rFonts w:ascii="Verdana" w:eastAsia="Calibri" w:hAnsi="Verdana" w:cs="Arial"/>
          <w:color w:val="000000" w:themeColor="text1"/>
          <w:lang w:val="es-ES"/>
        </w:rPr>
      </w:pPr>
      <w:r w:rsidRPr="00322D77">
        <w:rPr>
          <w:rFonts w:ascii="Verdana" w:eastAsia="Calibri" w:hAnsi="Verdana" w:cs="Arial"/>
          <w:color w:val="000000" w:themeColor="text1"/>
        </w:rPr>
        <w:t>En este sentido, el principio de anualidad del gasto público constituye una condición esencial que limita la ejecución de recursos a la vigencia fiscal correspondiente. Las entidades deben asegurar que cualquier adición se encuentre debidamente soportada en la disponibilidad presupuestal del año en curso, respetando los marcos normativos y las buenas prácticas de administración pública. D</w:t>
      </w:r>
      <w:r>
        <w:rPr>
          <w:rFonts w:ascii="Verdana" w:eastAsia="Calibri" w:hAnsi="Verdana" w:cs="Arial"/>
          <w:color w:val="000000" w:themeColor="text1"/>
        </w:rPr>
        <w:t xml:space="preserve">icho principio </w:t>
      </w:r>
      <w:r w:rsidRPr="00646F24">
        <w:rPr>
          <w:rFonts w:ascii="Verdana" w:eastAsia="Calibri" w:hAnsi="Verdana" w:cs="Arial"/>
          <w:color w:val="000000" w:themeColor="text1"/>
        </w:rPr>
        <w:t xml:space="preserve">tiene su </w:t>
      </w:r>
      <w:r w:rsidRPr="00646F24">
        <w:rPr>
          <w:rFonts w:ascii="Verdana" w:eastAsia="Calibri" w:hAnsi="Verdana" w:cs="Arial"/>
          <w:color w:val="000000" w:themeColor="text1"/>
          <w:lang w:val="es-ES"/>
        </w:rPr>
        <w:t xml:space="preserve">fundamento constitucional </w:t>
      </w:r>
      <w:bookmarkStart w:id="5" w:name="_Hlk65717879"/>
      <w:r w:rsidRPr="00646F24">
        <w:rPr>
          <w:rFonts w:ascii="Verdana" w:eastAsia="Calibri" w:hAnsi="Verdana" w:cs="Arial"/>
          <w:color w:val="000000" w:themeColor="text1"/>
          <w:lang w:val="es-ES"/>
        </w:rPr>
        <w:t>en el artículo 346 superior que contiene el régimen general del presupuesto de rentas y la ley de apropiaciones</w:t>
      </w:r>
      <w:r w:rsidRPr="00646F24">
        <w:rPr>
          <w:rFonts w:ascii="Verdana" w:eastAsia="Calibri" w:hAnsi="Verdana" w:cs="Arial"/>
          <w:color w:val="000000" w:themeColor="text1"/>
          <w:vertAlign w:val="superscript"/>
          <w:lang w:val="es-ES"/>
        </w:rPr>
        <w:footnoteReference w:id="11"/>
      </w:r>
      <w:r w:rsidRPr="00646F24">
        <w:rPr>
          <w:rFonts w:ascii="Verdana" w:eastAsia="Calibri" w:hAnsi="Verdana" w:cs="Arial"/>
          <w:color w:val="000000" w:themeColor="text1"/>
          <w:lang w:val="es-ES"/>
        </w:rPr>
        <w:t>, que deberá presentarse al Congreso dentro de los primeros diez días de cada legislatura, elaborarse y aprobarse dentro de un marco de sostenibilidad fiscal y corresponder al Plan Nacional de Desarrollo</w:t>
      </w:r>
      <w:r w:rsidRPr="00646F24">
        <w:rPr>
          <w:rFonts w:ascii="Verdana" w:eastAsia="Calibri" w:hAnsi="Verdana" w:cs="Arial"/>
          <w:color w:val="000000" w:themeColor="text1"/>
          <w:vertAlign w:val="superscript"/>
          <w:lang w:val="es-ES"/>
        </w:rPr>
        <w:footnoteReference w:id="12"/>
      </w:r>
      <w:r w:rsidRPr="00646F24">
        <w:rPr>
          <w:rFonts w:ascii="Verdana" w:eastAsia="Calibri" w:hAnsi="Verdana" w:cs="Arial"/>
          <w:color w:val="000000" w:themeColor="text1"/>
          <w:lang w:val="es-ES"/>
        </w:rPr>
        <w:t xml:space="preserve">. </w:t>
      </w:r>
      <w:r w:rsidRPr="00646F24">
        <w:rPr>
          <w:rFonts w:ascii="Verdana" w:eastAsia="Calibri" w:hAnsi="Verdana" w:cs="Arial"/>
          <w:color w:val="000000" w:themeColor="text1"/>
          <w:lang w:val="es-ES"/>
        </w:rPr>
        <w:lastRenderedPageBreak/>
        <w:t>De conformidad con la misma norma constitucional, el presupuesto tiene vigencia anual y, por tanto, tienen como finalidad fijar los gastos y las rentas nacionales del Estado para la respectiva vigencia fiscal anual</w:t>
      </w:r>
      <w:bookmarkEnd w:id="5"/>
      <w:r w:rsidRPr="00646F24">
        <w:rPr>
          <w:rFonts w:ascii="Verdana" w:eastAsia="Calibri" w:hAnsi="Verdana" w:cs="Arial"/>
          <w:color w:val="000000" w:themeColor="text1"/>
          <w:lang w:val="es-ES"/>
        </w:rPr>
        <w:t xml:space="preserve">. </w:t>
      </w:r>
    </w:p>
    <w:p w14:paraId="29D0E503" w14:textId="77777777" w:rsidR="00F7793F" w:rsidRPr="00646F24" w:rsidRDefault="00F7793F" w:rsidP="00F7793F">
      <w:pPr>
        <w:spacing w:after="120" w:line="276" w:lineRule="auto"/>
        <w:ind w:firstLine="708"/>
        <w:jc w:val="both"/>
        <w:rPr>
          <w:rFonts w:ascii="Verdana" w:eastAsia="Calibri" w:hAnsi="Verdana" w:cs="Arial"/>
          <w:color w:val="000000" w:themeColor="text1"/>
          <w:lang w:val="es-ES_tradnl"/>
        </w:rPr>
      </w:pPr>
      <w:r w:rsidRPr="00646F24">
        <w:rPr>
          <w:rFonts w:ascii="Verdana" w:eastAsia="Calibri" w:hAnsi="Verdana" w:cs="Arial"/>
          <w:color w:val="000000" w:themeColor="text1"/>
          <w:lang w:val="es-ES_tradnl"/>
        </w:rPr>
        <w:t>En armonía con lo anterior, el Estatuto Orgánico del Presupuesto consagra este principio en el artículo 14 consistente en que “Después del 31 de diciembre no podrán asumirse compromisos con cargo a las apropiaciones del año fiscal que se cierra en esa fecha y los saldos de apropiación no afectados por compromisos caducarán sin excepción”. Es decir, los gastos previstos en el presupuesto anual deben ejecutarse dentro de una vigencia fiscal comprendida entre el 1 de enero y el 31 de diciembre</w:t>
      </w:r>
      <w:r w:rsidRPr="00646F24">
        <w:rPr>
          <w:rFonts w:ascii="Verdana" w:eastAsia="Calibri" w:hAnsi="Verdana" w:cs="Arial"/>
          <w:color w:val="000000" w:themeColor="text1"/>
          <w:vertAlign w:val="superscript"/>
          <w:lang w:val="es-ES_tradnl"/>
        </w:rPr>
        <w:footnoteReference w:id="13"/>
      </w:r>
      <w:r w:rsidRPr="00646F24">
        <w:rPr>
          <w:rFonts w:ascii="Verdana" w:eastAsia="Calibri" w:hAnsi="Verdana" w:cs="Arial"/>
          <w:color w:val="000000" w:themeColor="text1"/>
          <w:lang w:val="es-ES_tradnl"/>
        </w:rPr>
        <w:t>.</w:t>
      </w:r>
      <w:r w:rsidRPr="00646F24">
        <w:rPr>
          <w:rFonts w:ascii="Verdana" w:eastAsia="Calibri" w:hAnsi="Verdana" w:cs="Arial"/>
          <w:color w:val="000000" w:themeColor="text1"/>
        </w:rPr>
        <w:t xml:space="preserve"> En el mismo sentido, </w:t>
      </w:r>
      <w:r w:rsidRPr="00646F24">
        <w:rPr>
          <w:rFonts w:ascii="Verdana" w:eastAsia="Calibri" w:hAnsi="Verdana" w:cs="Arial"/>
          <w:color w:val="000000" w:themeColor="text1"/>
          <w:lang w:val="es-ES_tradnl"/>
        </w:rPr>
        <w:t xml:space="preserve">el artículo 89 </w:t>
      </w:r>
      <w:proofErr w:type="spellStart"/>
      <w:r w:rsidRPr="00646F24">
        <w:rPr>
          <w:rFonts w:ascii="Verdana" w:eastAsia="Calibri" w:hAnsi="Verdana" w:cs="Arial"/>
          <w:i/>
          <w:iCs/>
          <w:color w:val="000000" w:themeColor="text1"/>
          <w:lang w:val="es-ES_tradnl"/>
        </w:rPr>
        <w:t>ibidem</w:t>
      </w:r>
      <w:proofErr w:type="spellEnd"/>
      <w:r w:rsidRPr="00646F24">
        <w:rPr>
          <w:rFonts w:ascii="Verdana" w:eastAsia="Calibri" w:hAnsi="Verdana" w:cs="Arial"/>
          <w:color w:val="000000" w:themeColor="text1"/>
          <w:lang w:val="es-ES_tradnl"/>
        </w:rPr>
        <w:t xml:space="preserve"> consolida al principio de anualidad como regla general en la ejecución del gasto al establecer que “las apropiaciones presupuestales incluidas en el Presupuesto General de la Nación son autorizaciones máximas de gasto que el Congreso aprueba para ser ejecutadas o comprometidas durante la vigencia fiscal respectiva, por lo que después del 31 de diciembre de cada año estas autorizaciones expiran y, en consecuencia, no podrán comprometerse, adicionarse, transferirse, ni </w:t>
      </w:r>
      <w:proofErr w:type="spellStart"/>
      <w:r w:rsidRPr="00646F24">
        <w:rPr>
          <w:rFonts w:ascii="Verdana" w:eastAsia="Calibri" w:hAnsi="Verdana" w:cs="Arial"/>
          <w:color w:val="000000" w:themeColor="text1"/>
          <w:lang w:val="es-ES_tradnl"/>
        </w:rPr>
        <w:t>contracreditarse</w:t>
      </w:r>
      <w:proofErr w:type="spellEnd"/>
      <w:r w:rsidRPr="00646F24">
        <w:rPr>
          <w:rFonts w:ascii="Verdana" w:eastAsia="Calibri" w:hAnsi="Verdana" w:cs="Arial"/>
          <w:color w:val="000000" w:themeColor="text1"/>
          <w:lang w:val="es-ES_tradnl"/>
        </w:rPr>
        <w:t>”.</w:t>
      </w:r>
    </w:p>
    <w:p w14:paraId="4DEE6281" w14:textId="77777777" w:rsidR="00F7793F" w:rsidRPr="00646F24" w:rsidRDefault="00F7793F" w:rsidP="00F7793F">
      <w:pPr>
        <w:spacing w:after="120" w:line="276" w:lineRule="auto"/>
        <w:ind w:firstLine="708"/>
        <w:jc w:val="both"/>
        <w:rPr>
          <w:rFonts w:ascii="Verdana" w:eastAsia="Calibri" w:hAnsi="Verdana" w:cs="Arial"/>
          <w:color w:val="000000" w:themeColor="text1"/>
          <w:lang w:val="es-ES_tradnl"/>
        </w:rPr>
      </w:pPr>
      <w:r w:rsidRPr="00646F24">
        <w:rPr>
          <w:rFonts w:ascii="Verdana" w:eastAsia="Calibri" w:hAnsi="Verdana" w:cs="Arial"/>
          <w:color w:val="000000" w:themeColor="text1"/>
          <w:lang w:val="es-ES_tradnl"/>
        </w:rPr>
        <w:t>A su turno, el artículo 8 de la Ley 819 de 2003 consagra el principio de anualidad al disponer que “l</w:t>
      </w:r>
      <w:r w:rsidRPr="00646F24">
        <w:rPr>
          <w:rFonts w:ascii="Verdana" w:eastAsia="Calibri" w:hAnsi="Verdana" w:cs="Arial"/>
          <w:color w:val="000000" w:themeColor="text1"/>
        </w:rPr>
        <w:t xml:space="preserve">a preparación y elaboración del Presupuesto General de la Nación y el de las entidades territoriales, deberá sujetarse a los correspondientes Marcos Fiscales de Mediano Plazo de manera que las apropiaciones presupuestales aprobadas por el Congreso de la República, las Asambleas y los Concejos, puedan ejecutarse en su totalidad durante la vigencia fiscal correspondiente”. </w:t>
      </w:r>
      <w:r w:rsidRPr="00646F24">
        <w:rPr>
          <w:rFonts w:ascii="Verdana" w:eastAsia="Calibri" w:hAnsi="Verdana" w:cs="Arial"/>
          <w:color w:val="000000" w:themeColor="text1"/>
          <w:lang w:val="es-ES"/>
        </w:rPr>
        <w:t xml:space="preserve">En este sentido, la regla general es que las entidades estatales solo pueden adquirir compromisos presupuestales que no excedan en su ejecución la vigencia fiscal en la que se suscribe el respectivo contrato, salvo </w:t>
      </w:r>
      <w:r w:rsidRPr="00646F24">
        <w:rPr>
          <w:rFonts w:ascii="Verdana" w:eastAsia="Calibri" w:hAnsi="Verdana" w:cs="Arial"/>
          <w:color w:val="000000" w:themeColor="text1"/>
          <w:lang w:val="es-ES"/>
        </w:rPr>
        <w:lastRenderedPageBreak/>
        <w:t>las excepciones establecidas por la ley, como son</w:t>
      </w:r>
      <w:r w:rsidRPr="00646F24">
        <w:rPr>
          <w:rFonts w:ascii="Verdana" w:eastAsia="Calibri" w:hAnsi="Verdana" w:cs="Arial"/>
          <w:color w:val="000000" w:themeColor="text1"/>
          <w:lang w:val="es-ES_tradnl"/>
        </w:rPr>
        <w:t xml:space="preserve"> las vigencias futuras, las cuentas por pagar y las reservas presupuestales.</w:t>
      </w:r>
    </w:p>
    <w:p w14:paraId="4D45D477" w14:textId="77777777" w:rsidR="00F7793F" w:rsidRPr="00646F24" w:rsidRDefault="00F7793F" w:rsidP="00F7793F">
      <w:pPr>
        <w:spacing w:after="120" w:line="276" w:lineRule="auto"/>
        <w:ind w:firstLine="708"/>
        <w:jc w:val="both"/>
        <w:rPr>
          <w:rFonts w:ascii="Verdana" w:eastAsia="Calibri" w:hAnsi="Verdana" w:cs="Arial"/>
          <w:color w:val="000000" w:themeColor="text1"/>
          <w:lang w:val="es-ES_tradnl"/>
        </w:rPr>
      </w:pPr>
    </w:p>
    <w:bookmarkEnd w:id="2"/>
    <w:bookmarkEnd w:id="3"/>
    <w:p w14:paraId="0AF4BEC3" w14:textId="77777777" w:rsidR="00F7793F" w:rsidRPr="009037F6" w:rsidRDefault="00F7793F" w:rsidP="00F7793F">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iii</w:t>
      </w:r>
      <w:r w:rsidRPr="009037F6">
        <w:rPr>
          <w:rFonts w:ascii="Verdana" w:eastAsia="Calibri" w:hAnsi="Verdana" w:cs="Arial"/>
          <w:color w:val="000000" w:themeColor="text1"/>
          <w:lang w:val="es-ES"/>
        </w:rPr>
        <w:t xml:space="preserve">. Al </w:t>
      </w:r>
      <w:r w:rsidRPr="009037F6">
        <w:rPr>
          <w:rFonts w:ascii="Verdana" w:hAnsi="Verdana" w:cs="Arial"/>
          <w:lang w:val="es-ES_tradnl" w:eastAsia="es-ES"/>
        </w:rPr>
        <w:t>margen de la explicación precedente debe advertirse que el análisis requerido para resolver problemas específicos en torno a</w:t>
      </w:r>
      <w:r>
        <w:rPr>
          <w:rFonts w:ascii="Verdana" w:hAnsi="Verdana" w:cs="Arial"/>
          <w:lang w:val="es-ES_tradnl" w:eastAsia="es-ES"/>
        </w:rPr>
        <w:t xml:space="preserve">l convenio de administración de fondos con el ICETEX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A46F709" w14:textId="77777777" w:rsidR="00F7793F" w:rsidRPr="009037F6" w:rsidRDefault="00F7793F" w:rsidP="00F7793F">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F7FF6F3" w14:textId="77777777" w:rsidR="00F7793F" w:rsidRPr="009037F6" w:rsidRDefault="00F7793F" w:rsidP="00F7793F">
      <w:pPr>
        <w:spacing w:after="0" w:line="276" w:lineRule="auto"/>
        <w:jc w:val="both"/>
        <w:rPr>
          <w:rFonts w:ascii="Verdana" w:eastAsia="Calibri" w:hAnsi="Verdana" w:cs="Arial"/>
          <w:lang w:val="es-ES" w:eastAsia="es-MX"/>
        </w:rPr>
      </w:pPr>
    </w:p>
    <w:p w14:paraId="2B31AA96" w14:textId="77777777" w:rsidR="00F7793F" w:rsidRPr="009037F6" w:rsidRDefault="00F7793F" w:rsidP="00F7793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 xml:space="preserve">Referencias normativas, jurisprudenciales y otras fuentes </w:t>
      </w:r>
    </w:p>
    <w:p w14:paraId="2B69FBF5" w14:textId="77777777" w:rsidR="00F7793F" w:rsidRPr="009037F6" w:rsidRDefault="00F7793F" w:rsidP="00F7793F">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7793F" w:rsidRPr="009037F6" w14:paraId="1B60B589" w14:textId="77777777" w:rsidTr="006A0752">
        <w:trPr>
          <w:trHeight w:val="487"/>
          <w:jc w:val="center"/>
        </w:trPr>
        <w:tc>
          <w:tcPr>
            <w:tcW w:w="8647" w:type="dxa"/>
          </w:tcPr>
          <w:p w14:paraId="1BF3BA13"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AD7D5F">
              <w:rPr>
                <w:rFonts w:ascii="Verdana" w:eastAsia="Arial MT" w:hAnsi="Verdana" w:cs="Arial"/>
                <w:lang w:val="es-ES" w:eastAsia="es-ES" w:bidi="es-ES"/>
              </w:rPr>
              <w:t xml:space="preserve">Código Civil, artículo 1602. </w:t>
            </w:r>
          </w:p>
          <w:p w14:paraId="70363D19" w14:textId="77777777" w:rsidR="00F7793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AD7D5F">
              <w:rPr>
                <w:rFonts w:ascii="Verdana" w:eastAsia="Arial MT" w:hAnsi="Verdana" w:cs="Arial"/>
                <w:lang w:val="es-ES" w:eastAsia="es-ES" w:bidi="es-ES"/>
              </w:rPr>
              <w:t xml:space="preserve">Ley 80 de 1993, artículos 39, 41.  </w:t>
            </w:r>
          </w:p>
          <w:p w14:paraId="6BD2CBE2"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Ley 1002 de 2005, artículos 1,6 y 8. </w:t>
            </w:r>
          </w:p>
          <w:p w14:paraId="10E49B36"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AD7D5F">
              <w:rPr>
                <w:rFonts w:ascii="Verdana" w:eastAsia="Arial MT" w:hAnsi="Verdana" w:cs="Arial"/>
                <w:lang w:val="es-ES" w:eastAsia="es-ES" w:bidi="es-ES"/>
              </w:rPr>
              <w:t xml:space="preserve">Ley 1150 de 2007, artículo 2. </w:t>
            </w:r>
          </w:p>
          <w:p w14:paraId="2D230EB5"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AD7D5F">
              <w:rPr>
                <w:rFonts w:ascii="Verdana" w:eastAsia="Arial MT" w:hAnsi="Verdana" w:cs="Arial"/>
                <w:lang w:eastAsia="es-ES" w:bidi="es-ES"/>
              </w:rPr>
              <w:t xml:space="preserve">Decreto 1068 de 2015, </w:t>
            </w:r>
            <w:r>
              <w:rPr>
                <w:rFonts w:ascii="Verdana" w:eastAsia="Arial MT" w:hAnsi="Verdana" w:cs="Arial"/>
                <w:lang w:eastAsia="es-ES" w:bidi="es-ES"/>
              </w:rPr>
              <w:t>a</w:t>
            </w:r>
            <w:r w:rsidRPr="00AD7D5F">
              <w:rPr>
                <w:rFonts w:ascii="Verdana" w:eastAsia="Arial MT" w:hAnsi="Verdana" w:cs="Arial"/>
                <w:lang w:eastAsia="es-ES" w:bidi="es-ES"/>
              </w:rPr>
              <w:t>rtículo 2.8.3.4.</w:t>
            </w:r>
          </w:p>
          <w:p w14:paraId="34F7F00D"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AD7D5F">
              <w:rPr>
                <w:rFonts w:ascii="Verdana" w:eastAsia="Arial MT" w:hAnsi="Verdana" w:cs="Arial"/>
                <w:lang w:eastAsia="es-ES" w:bidi="es-ES"/>
              </w:rPr>
              <w:t>Decreto 1082 de 2015</w:t>
            </w:r>
            <w:r>
              <w:rPr>
                <w:rFonts w:ascii="Verdana" w:eastAsia="Arial MT" w:hAnsi="Verdana" w:cs="Arial"/>
                <w:lang w:eastAsia="es-ES" w:bidi="es-ES"/>
              </w:rPr>
              <w:t>, a</w:t>
            </w:r>
            <w:r w:rsidRPr="00AD7D5F">
              <w:rPr>
                <w:rFonts w:ascii="Verdana" w:eastAsia="Arial MT" w:hAnsi="Verdana" w:cs="Arial"/>
                <w:lang w:eastAsia="es-ES" w:bidi="es-ES"/>
              </w:rPr>
              <w:t xml:space="preserve">rtículo 2.2.1.2.1.4.4. </w:t>
            </w:r>
          </w:p>
          <w:p w14:paraId="26C0E257"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val="es-MX" w:eastAsia="es-ES" w:bidi="es-ES"/>
              </w:rPr>
            </w:pPr>
            <w:r w:rsidRPr="00AD7D5F">
              <w:rPr>
                <w:rFonts w:ascii="Verdana" w:eastAsia="Arial MT" w:hAnsi="Verdana" w:cs="Arial"/>
                <w:lang w:val="pt-BR" w:eastAsia="es-ES" w:bidi="es-ES"/>
              </w:rPr>
              <w:t xml:space="preserve">CORTE CONSTITUCIONAL. Sentencia C-671 de 2005. </w:t>
            </w:r>
            <w:r w:rsidRPr="00AD7D5F">
              <w:rPr>
                <w:rFonts w:ascii="Verdana" w:eastAsia="Arial MT" w:hAnsi="Verdana" w:cs="Arial"/>
                <w:lang w:val="es-MX" w:eastAsia="es-ES" w:bidi="es-ES"/>
              </w:rPr>
              <w:t xml:space="preserve">M.P. Álvaro </w:t>
            </w:r>
            <w:r w:rsidRPr="00AD7D5F">
              <w:rPr>
                <w:rFonts w:ascii="Verdana" w:eastAsia="Arial MT" w:hAnsi="Verdana" w:cs="Arial"/>
                <w:lang w:val="es-MX" w:eastAsia="es-ES" w:bidi="es-ES"/>
              </w:rPr>
              <w:lastRenderedPageBreak/>
              <w:t xml:space="preserve">Tafur Galvis. </w:t>
            </w:r>
          </w:p>
          <w:p w14:paraId="50B7DF3F"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AD7D5F">
              <w:rPr>
                <w:rFonts w:ascii="Verdana" w:eastAsia="Arial MT" w:hAnsi="Verdana" w:cs="Arial"/>
                <w:lang w:eastAsia="es-ES" w:bidi="es-ES"/>
              </w:rPr>
              <w:t xml:space="preserve">CONSEJO DE ESTADO, Sección Tercera, Subsección A. Sentencia del 23 de junio de 2010. C.P. Mauricio Fajardo Gómez. </w:t>
            </w:r>
            <w:proofErr w:type="spellStart"/>
            <w:r w:rsidRPr="00AD7D5F">
              <w:rPr>
                <w:rFonts w:ascii="Verdana" w:eastAsia="Arial MT" w:hAnsi="Verdana" w:cs="Arial"/>
                <w:lang w:eastAsia="es-ES" w:bidi="es-ES"/>
              </w:rPr>
              <w:t>Exp</w:t>
            </w:r>
            <w:proofErr w:type="spellEnd"/>
            <w:r w:rsidRPr="00AD7D5F">
              <w:rPr>
                <w:rFonts w:ascii="Verdana" w:eastAsia="Arial MT" w:hAnsi="Verdana" w:cs="Arial"/>
                <w:lang w:eastAsia="es-ES" w:bidi="es-ES"/>
              </w:rPr>
              <w:t xml:space="preserve"> 17860; Sección Tercera. Auto del 4 de octubre de 2024. C.P. Fredy Ibarra Martínez. </w:t>
            </w:r>
            <w:proofErr w:type="spellStart"/>
            <w:r w:rsidRPr="00AD7D5F">
              <w:rPr>
                <w:rFonts w:ascii="Verdana" w:eastAsia="Arial MT" w:hAnsi="Verdana" w:cs="Arial"/>
                <w:lang w:eastAsia="es-ES" w:bidi="es-ES"/>
              </w:rPr>
              <w:t>Exp</w:t>
            </w:r>
            <w:proofErr w:type="spellEnd"/>
            <w:r w:rsidRPr="00AD7D5F">
              <w:rPr>
                <w:rFonts w:ascii="Verdana" w:eastAsia="Arial MT" w:hAnsi="Verdana" w:cs="Arial"/>
                <w:lang w:eastAsia="es-ES" w:bidi="es-ES"/>
              </w:rPr>
              <w:t xml:space="preserve"> </w:t>
            </w:r>
            <w:r w:rsidRPr="00AD7D5F">
              <w:rPr>
                <w:rFonts w:ascii="Verdana" w:eastAsia="Arial MT" w:hAnsi="Verdana" w:cs="Arial"/>
                <w:bCs/>
                <w:lang w:val="es-MX" w:eastAsia="es-ES" w:bidi="es-ES"/>
              </w:rPr>
              <w:t xml:space="preserve">70313. </w:t>
            </w:r>
          </w:p>
          <w:p w14:paraId="38FC6434"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AD7D5F">
              <w:rPr>
                <w:rFonts w:ascii="Verdana" w:eastAsia="Arial MT" w:hAnsi="Verdana" w:cs="Arial"/>
                <w:lang w:eastAsia="es-ES" w:bidi="es-ES"/>
              </w:rPr>
              <w:t xml:space="preserve">CONSEJO DE ESTADO, Sala de Consulta y Servicio Civil. Concepto no. 2257 del 26 de julio de 2016, C.P. Álvaro </w:t>
            </w:r>
            <w:proofErr w:type="spellStart"/>
            <w:r w:rsidRPr="00AD7D5F">
              <w:rPr>
                <w:rFonts w:ascii="Verdana" w:eastAsia="Arial MT" w:hAnsi="Verdana" w:cs="Arial"/>
                <w:lang w:eastAsia="es-ES" w:bidi="es-ES"/>
              </w:rPr>
              <w:t>Namén</w:t>
            </w:r>
            <w:proofErr w:type="spellEnd"/>
            <w:r w:rsidRPr="00AD7D5F">
              <w:rPr>
                <w:rFonts w:ascii="Verdana" w:eastAsia="Arial MT" w:hAnsi="Verdana" w:cs="Arial"/>
                <w:lang w:eastAsia="es-ES" w:bidi="es-ES"/>
              </w:rPr>
              <w:t xml:space="preserve"> Vargas. </w:t>
            </w:r>
          </w:p>
          <w:p w14:paraId="459D0372"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AD7D5F">
              <w:rPr>
                <w:rFonts w:ascii="Verdana" w:eastAsia="Arial MT" w:hAnsi="Verdana" w:cs="Arial"/>
                <w:lang w:eastAsia="es-ES" w:bidi="es-ES"/>
              </w:rPr>
              <w:t xml:space="preserve">CONSEJO DE ESTADO. Sección Tercera, Subsección A. Sentencia del 14 de junio de 2019, C.P.: Marta Nubia Velásquez Rico. Rad.: 25000-23-37-000-2010-02552-01 (AP). </w:t>
            </w:r>
          </w:p>
          <w:p w14:paraId="3399FD1D"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val="es-MX" w:eastAsia="es-ES" w:bidi="es-ES"/>
              </w:rPr>
            </w:pPr>
            <w:r w:rsidRPr="00AD7D5F">
              <w:rPr>
                <w:rFonts w:ascii="Verdana" w:eastAsia="Arial MT" w:hAnsi="Verdana" w:cs="Arial"/>
                <w:lang w:val="es-MX" w:eastAsia="es-ES" w:bidi="es-ES"/>
              </w:rPr>
              <w:t xml:space="preserve">CONSEJO DE ESTADO. Sección Tercera, Subsección A. Sentencia del 16 de agosto de 2022, C.P.: María Adriana Marín. </w:t>
            </w:r>
            <w:proofErr w:type="spellStart"/>
            <w:r w:rsidRPr="00AD7D5F">
              <w:rPr>
                <w:rFonts w:ascii="Verdana" w:eastAsia="Arial MT" w:hAnsi="Verdana" w:cs="Arial"/>
                <w:lang w:val="es-MX" w:eastAsia="es-ES" w:bidi="es-ES"/>
              </w:rPr>
              <w:t>Exp</w:t>
            </w:r>
            <w:proofErr w:type="spellEnd"/>
            <w:r w:rsidRPr="00AD7D5F">
              <w:rPr>
                <w:rFonts w:ascii="Verdana" w:eastAsia="Arial MT" w:hAnsi="Verdana" w:cs="Arial"/>
                <w:lang w:val="es-MX" w:eastAsia="es-ES" w:bidi="es-ES"/>
              </w:rPr>
              <w:t>. 60434.</w:t>
            </w:r>
          </w:p>
          <w:p w14:paraId="35900D10"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val="es-MX" w:eastAsia="es-ES" w:bidi="es-ES"/>
              </w:rPr>
            </w:pPr>
            <w:r w:rsidRPr="00AD7D5F">
              <w:rPr>
                <w:rFonts w:ascii="Verdana" w:eastAsia="Arial MT" w:hAnsi="Verdana" w:cs="Arial"/>
                <w:lang w:val="es-MX" w:eastAsia="es-ES" w:bidi="es-ES"/>
              </w:rPr>
              <w:t xml:space="preserve">CONSEJO DE ESTADO. Sección Tercera, Subsección A. Sentencia del 25 de mayo de 2025. C.P. María Adriana Marín Hernández. </w:t>
            </w:r>
            <w:proofErr w:type="spellStart"/>
            <w:r w:rsidRPr="00AD7D5F">
              <w:rPr>
                <w:rFonts w:ascii="Verdana" w:eastAsia="Arial MT" w:hAnsi="Verdana" w:cs="Arial"/>
                <w:lang w:val="es-MX" w:eastAsia="es-ES" w:bidi="es-ES"/>
              </w:rPr>
              <w:t>Exp</w:t>
            </w:r>
            <w:proofErr w:type="spellEnd"/>
            <w:r w:rsidRPr="00AD7D5F">
              <w:rPr>
                <w:rFonts w:ascii="Verdana" w:eastAsia="Arial MT" w:hAnsi="Verdana" w:cs="Arial"/>
                <w:lang w:val="es-MX" w:eastAsia="es-ES" w:bidi="es-ES"/>
              </w:rPr>
              <w:t>. 70.504.</w:t>
            </w:r>
          </w:p>
          <w:p w14:paraId="7251FC3F"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AD7D5F">
              <w:rPr>
                <w:rFonts w:ascii="Verdana" w:eastAsia="Arial MT" w:hAnsi="Verdana" w:cs="Arial"/>
                <w:lang w:eastAsia="es-ES" w:bidi="es-ES"/>
              </w:rPr>
              <w:t xml:space="preserve">CHAVÉZ MARÍN, Augusto Ramón. Los convenios de la Administración. Entre la gestión pública y la actividad contractual. Bogotá: Temis, 2020. </w:t>
            </w:r>
          </w:p>
          <w:p w14:paraId="4E46EA22"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val="es-MX" w:eastAsia="es-ES" w:bidi="es-ES"/>
              </w:rPr>
            </w:pPr>
            <w:r w:rsidRPr="00AD7D5F">
              <w:rPr>
                <w:rFonts w:ascii="Verdana" w:eastAsia="Arial MT" w:hAnsi="Verdana" w:cs="Arial"/>
                <w:lang w:val="es-MX" w:eastAsia="es-ES" w:bidi="es-ES"/>
              </w:rPr>
              <w:t xml:space="preserve">SANTOS RODRÍGUEZ, Jorge Enrique. Consideraciones sobre los contratos y convenios interadministrativos. En: Revista Digital de Derecho Administrativo, 2008. p.p. 10-11. </w:t>
            </w:r>
          </w:p>
          <w:p w14:paraId="1190EDE6"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val="es-MX" w:eastAsia="es-ES" w:bidi="es-ES"/>
              </w:rPr>
            </w:pPr>
            <w:r w:rsidRPr="00AD7D5F">
              <w:rPr>
                <w:rFonts w:ascii="Verdana" w:eastAsia="Arial MT" w:hAnsi="Verdana" w:cs="Arial"/>
                <w:lang w:val="es-MX" w:eastAsia="es-ES" w:bidi="es-ES"/>
              </w:rPr>
              <w:t>PEÑA GONZÁLEZ, Edilberto. Principios e instituciones presupuestales en Colombia, en: Estudios Socio-Jurídicos, Bogotá (Colombia), 9 (1), enero-junio de 2007.</w:t>
            </w:r>
          </w:p>
          <w:p w14:paraId="00035857" w14:textId="77777777" w:rsidR="00F7793F" w:rsidRPr="00AD7D5F" w:rsidRDefault="00F7793F" w:rsidP="006A0752">
            <w:pPr>
              <w:widowControl w:val="0"/>
              <w:numPr>
                <w:ilvl w:val="0"/>
                <w:numId w:val="17"/>
              </w:numPr>
              <w:autoSpaceDE w:val="0"/>
              <w:autoSpaceDN w:val="0"/>
              <w:spacing w:before="120" w:after="120" w:line="276" w:lineRule="auto"/>
              <w:jc w:val="both"/>
              <w:rPr>
                <w:rFonts w:ascii="Verdana" w:eastAsia="Arial MT" w:hAnsi="Verdana" w:cs="Arial"/>
                <w:lang w:eastAsia="es-ES" w:bidi="es-ES"/>
              </w:rPr>
            </w:pPr>
            <w:r w:rsidRPr="00AD7D5F">
              <w:rPr>
                <w:rFonts w:ascii="Verdana" w:eastAsia="Arial MT" w:hAnsi="Verdana" w:cs="Arial"/>
                <w:lang w:eastAsia="es-ES" w:bidi="es-ES"/>
              </w:rPr>
              <w:t xml:space="preserve">Fondos </w:t>
            </w:r>
            <w:r>
              <w:rPr>
                <w:rFonts w:ascii="Verdana" w:eastAsia="Arial MT" w:hAnsi="Verdana" w:cs="Arial"/>
                <w:lang w:eastAsia="es-ES" w:bidi="es-ES"/>
              </w:rPr>
              <w:t>en</w:t>
            </w:r>
            <w:r w:rsidRPr="00AD7D5F">
              <w:rPr>
                <w:rFonts w:ascii="Verdana" w:eastAsia="Arial MT" w:hAnsi="Verdana" w:cs="Arial"/>
                <w:lang w:eastAsia="es-ES" w:bidi="es-ES"/>
              </w:rPr>
              <w:t xml:space="preserve"> Administración. Disponible en línea: </w:t>
            </w:r>
            <w:hyperlink r:id="rId13" w:history="1">
              <w:r w:rsidRPr="00AD7D5F">
                <w:rPr>
                  <w:rStyle w:val="Hipervnculo"/>
                  <w:rFonts w:ascii="Verdana" w:eastAsia="Arial MT" w:hAnsi="Verdana" w:cs="Arial"/>
                  <w:lang w:eastAsia="es-ES" w:bidi="es-ES"/>
                </w:rPr>
                <w:t>https://web.icetex.gov.co/inversiones/fondos-en-administracion</w:t>
              </w:r>
            </w:hyperlink>
            <w:r w:rsidRPr="00AD7D5F">
              <w:rPr>
                <w:rFonts w:ascii="Verdana" w:eastAsia="Arial MT" w:hAnsi="Verdana" w:cs="Arial"/>
                <w:lang w:eastAsia="es-ES" w:bidi="es-ES"/>
              </w:rPr>
              <w:t xml:space="preserve">. </w:t>
            </w:r>
          </w:p>
        </w:tc>
      </w:tr>
    </w:tbl>
    <w:p w14:paraId="6820F786" w14:textId="77777777" w:rsidR="00F7793F" w:rsidRPr="009037F6" w:rsidRDefault="00F7793F" w:rsidP="00F7793F">
      <w:pPr>
        <w:widowControl w:val="0"/>
        <w:autoSpaceDE w:val="0"/>
        <w:autoSpaceDN w:val="0"/>
        <w:spacing w:after="0" w:line="276" w:lineRule="auto"/>
        <w:jc w:val="both"/>
        <w:rPr>
          <w:rFonts w:ascii="Verdana" w:hAnsi="Verdana" w:cs="Arial"/>
        </w:rPr>
      </w:pPr>
    </w:p>
    <w:p w14:paraId="53C4C488" w14:textId="77777777" w:rsidR="00F7793F" w:rsidRPr="009037F6" w:rsidRDefault="00F7793F" w:rsidP="00F7793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3EB46654" w14:textId="77777777" w:rsidR="00F7793F" w:rsidRPr="009037F6" w:rsidRDefault="00F7793F" w:rsidP="00F7793F">
      <w:pPr>
        <w:widowControl w:val="0"/>
        <w:autoSpaceDE w:val="0"/>
        <w:autoSpaceDN w:val="0"/>
        <w:spacing w:after="0" w:line="276" w:lineRule="auto"/>
        <w:jc w:val="both"/>
        <w:rPr>
          <w:rFonts w:ascii="Verdana" w:hAnsi="Verdana" w:cs="Arial"/>
        </w:rPr>
      </w:pPr>
    </w:p>
    <w:p w14:paraId="29C684F3" w14:textId="77777777" w:rsidR="00F7793F" w:rsidRPr="00AD7D5F" w:rsidRDefault="00F7793F" w:rsidP="00F7793F">
      <w:pPr>
        <w:widowControl w:val="0"/>
        <w:autoSpaceDE w:val="0"/>
        <w:autoSpaceDN w:val="0"/>
        <w:spacing w:after="0" w:line="276" w:lineRule="auto"/>
        <w:jc w:val="both"/>
        <w:rPr>
          <w:rFonts w:ascii="Verdana" w:eastAsia="Calibri" w:hAnsi="Verdana" w:cs="Arial"/>
          <w:lang w:val="es-ES"/>
        </w:rPr>
      </w:pPr>
      <w:r w:rsidRPr="00AD7D5F">
        <w:rPr>
          <w:rFonts w:ascii="Verdana" w:eastAsia="Calibri" w:hAnsi="Verdana" w:cs="Arial"/>
        </w:rPr>
        <w:t>Esta Subdirección se ha pronunciado sobre la diferencia entre contratos y convenios interadministrativos en el Concepto C-605 del 27 de junio de 2025, C-1046 del 9 de septiembre de 2025</w:t>
      </w:r>
      <w:r>
        <w:rPr>
          <w:rFonts w:ascii="Verdana" w:eastAsia="Calibri" w:hAnsi="Verdana" w:cs="Arial"/>
        </w:rPr>
        <w:t>, C-1152 del 23 de septiembre de 2025, C-</w:t>
      </w:r>
      <w:r>
        <w:rPr>
          <w:rFonts w:ascii="Verdana" w:eastAsia="Calibri" w:hAnsi="Verdana" w:cs="Arial"/>
        </w:rPr>
        <w:lastRenderedPageBreak/>
        <w:t xml:space="preserve">1279 del 14 de octubre de 2025, entre otros.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FE72F5A" w14:textId="77777777" w:rsidR="00F7793F" w:rsidRPr="009037F6" w:rsidRDefault="005E4393" w:rsidP="00F7793F">
      <w:pPr>
        <w:spacing w:after="0" w:line="256" w:lineRule="auto"/>
        <w:jc w:val="both"/>
        <w:rPr>
          <w:rFonts w:ascii="Verdana" w:eastAsia="Calibri" w:hAnsi="Verdana" w:cs="Times New Roman"/>
        </w:rPr>
      </w:pPr>
      <w:hyperlink r:id="rId14" w:history="1">
        <w:r w:rsidR="00F7793F" w:rsidRPr="009037F6">
          <w:rPr>
            <w:rFonts w:ascii="Verdana" w:eastAsia="Calibri" w:hAnsi="Verdana" w:cs="Times New Roman"/>
            <w:color w:val="0000FF"/>
            <w:u w:val="single"/>
            <w:lang w:val="es-ES"/>
          </w:rPr>
          <w:t>https://relatoria.colombiacompra.gov.co/busqueda/conceptos</w:t>
        </w:r>
      </w:hyperlink>
      <w:r w:rsidR="00F7793F" w:rsidRPr="009037F6">
        <w:rPr>
          <w:rFonts w:ascii="Verdana" w:eastAsia="Calibri" w:hAnsi="Verdana" w:cs="Times New Roman"/>
        </w:rPr>
        <w:t xml:space="preserve">. </w:t>
      </w:r>
    </w:p>
    <w:p w14:paraId="231057B4" w14:textId="77777777" w:rsidR="00F7793F" w:rsidRPr="009037F6" w:rsidRDefault="00F7793F" w:rsidP="00F7793F">
      <w:pPr>
        <w:spacing w:after="0"/>
        <w:jc w:val="both"/>
        <w:rPr>
          <w:rFonts w:ascii="Verdana" w:hAnsi="Verdana"/>
        </w:rPr>
      </w:pPr>
    </w:p>
    <w:p w14:paraId="45015D39" w14:textId="77777777" w:rsidR="00F7793F" w:rsidRPr="009037F6" w:rsidRDefault="00F7793F" w:rsidP="00F7793F">
      <w:pPr>
        <w:spacing w:after="0" w:line="256" w:lineRule="auto"/>
        <w:jc w:val="both"/>
        <w:rPr>
          <w:rFonts w:ascii="Verdana" w:eastAsia="Calibri" w:hAnsi="Verdana" w:cs="Times New Roman"/>
        </w:rPr>
      </w:pPr>
      <w:r w:rsidRPr="009037F6">
        <w:rPr>
          <w:rFonts w:ascii="Verdana" w:eastAsia="Calibri" w:hAnsi="Verdana" w:cs="Times New Roman"/>
        </w:rPr>
        <w:t xml:space="preserve">Te informamos que ya se encuentra disponible la </w:t>
      </w:r>
      <w:r w:rsidRPr="009037F6">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037F6">
        <w:rPr>
          <w:rFonts w:ascii="Verdana" w:eastAsia="Calibri" w:hAnsi="Verdana" w:cs="Times New Roman"/>
        </w:rPr>
        <w:t xml:space="preserve">Esta Guía se </w:t>
      </w:r>
      <w:proofErr w:type="spellStart"/>
      <w:r w:rsidRPr="009037F6">
        <w:rPr>
          <w:rFonts w:ascii="Verdana" w:eastAsia="Calibri" w:hAnsi="Verdana" w:cs="Times New Roman"/>
        </w:rPr>
        <w:t>expedide</w:t>
      </w:r>
      <w:proofErr w:type="spellEnd"/>
      <w:r w:rsidRPr="009037F6">
        <w:rPr>
          <w:rFonts w:ascii="Verdana" w:eastAsia="Calibri" w:hAnsi="Verdana" w:cs="Times New Roman"/>
        </w:rPr>
        <w:t xml:space="preserv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037F6">
        <w:rPr>
          <w:rFonts w:ascii="Verdana" w:eastAsia="Calibri" w:hAnsi="Verdana" w:cs="Times New Roman"/>
        </w:rPr>
        <w:t>Wayúu</w:t>
      </w:r>
      <w:proofErr w:type="spellEnd"/>
      <w:r w:rsidRPr="009037F6">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60621C76" w14:textId="77777777" w:rsidR="00F7793F" w:rsidRPr="009037F6" w:rsidRDefault="00F7793F" w:rsidP="00F7793F">
      <w:pPr>
        <w:spacing w:after="0" w:line="240" w:lineRule="auto"/>
        <w:jc w:val="both"/>
        <w:rPr>
          <w:rFonts w:ascii="Verdana" w:hAnsi="Verdana"/>
        </w:rPr>
      </w:pPr>
    </w:p>
    <w:p w14:paraId="2EEAC305" w14:textId="77777777" w:rsidR="00F7793F" w:rsidRPr="009037F6" w:rsidRDefault="00F7793F" w:rsidP="00F7793F">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F485CB9" w14:textId="77777777" w:rsidR="00F7793F" w:rsidRPr="009037F6" w:rsidRDefault="00F7793F" w:rsidP="00F7793F">
      <w:pPr>
        <w:spacing w:after="0" w:line="256" w:lineRule="auto"/>
        <w:jc w:val="both"/>
        <w:rPr>
          <w:rFonts w:ascii="Verdana" w:eastAsia="Calibri" w:hAnsi="Verdana" w:cs="Times New Roman"/>
        </w:rPr>
      </w:pPr>
    </w:p>
    <w:p w14:paraId="161A111B" w14:textId="77777777" w:rsidR="00F7793F" w:rsidRDefault="00F7793F" w:rsidP="00F7793F">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010F01DE" w14:textId="2D26F7DA" w:rsidR="00F7793F" w:rsidRPr="00771AEF" w:rsidRDefault="009531A7" w:rsidP="00F7793F">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4AFF3D90" wp14:editId="3CE98F36">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r w:rsidR="00F7793F" w:rsidRPr="00FD1DDC">
        <w:rPr>
          <w:rFonts w:ascii="Verdana" w:hAnsi="Verdana"/>
          <w:sz w:val="16"/>
          <w:szCs w:val="16"/>
        </w:rPr>
        <w:t xml:space="preserve"> </w:t>
      </w:r>
    </w:p>
    <w:p w14:paraId="37C758F2" w14:textId="77777777" w:rsidR="00F7793F" w:rsidRPr="00771AEF" w:rsidRDefault="00F7793F" w:rsidP="00F7793F">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F7793F" w:rsidRPr="00771AEF" w14:paraId="4B73BEC9" w14:textId="77777777" w:rsidTr="006A0752">
        <w:trPr>
          <w:trHeight w:val="409"/>
        </w:trPr>
        <w:tc>
          <w:tcPr>
            <w:tcW w:w="817" w:type="dxa"/>
            <w:tcBorders>
              <w:top w:val="nil"/>
              <w:left w:val="nil"/>
              <w:bottom w:val="nil"/>
              <w:right w:val="nil"/>
            </w:tcBorders>
            <w:vAlign w:val="center"/>
            <w:hideMark/>
          </w:tcPr>
          <w:p w14:paraId="75AC17B3" w14:textId="77777777" w:rsidR="00F7793F" w:rsidRPr="00771AEF" w:rsidRDefault="00F7793F" w:rsidP="006A0752">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61626E2" w14:textId="77777777" w:rsidR="00F7793F" w:rsidRPr="00771AEF" w:rsidRDefault="00F7793F" w:rsidP="006A0752">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José Luis Sánchez Cardona</w:t>
            </w:r>
          </w:p>
          <w:p w14:paraId="7ADEABDA" w14:textId="77777777" w:rsidR="00F7793F" w:rsidRPr="00771AEF" w:rsidRDefault="00F7793F" w:rsidP="006A0752">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Contratista de la Subdirección de Gestión Contractual</w:t>
            </w:r>
          </w:p>
        </w:tc>
      </w:tr>
      <w:tr w:rsidR="00F7793F" w:rsidRPr="00771AEF" w14:paraId="5CA92FC7" w14:textId="77777777" w:rsidTr="006A0752">
        <w:trPr>
          <w:trHeight w:val="409"/>
        </w:trPr>
        <w:tc>
          <w:tcPr>
            <w:tcW w:w="817" w:type="dxa"/>
            <w:tcBorders>
              <w:top w:val="nil"/>
              <w:left w:val="nil"/>
              <w:bottom w:val="nil"/>
              <w:right w:val="nil"/>
            </w:tcBorders>
            <w:vAlign w:val="center"/>
            <w:hideMark/>
          </w:tcPr>
          <w:p w14:paraId="326AF0C6" w14:textId="77777777" w:rsidR="00F7793F" w:rsidRPr="00771AEF" w:rsidRDefault="00F7793F" w:rsidP="006A0752">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BA3A7E8" w14:textId="77777777" w:rsidR="00F7793F" w:rsidRPr="00771AEF" w:rsidRDefault="00F7793F" w:rsidP="006A0752">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Alejandro Sarmiento Cantillo</w:t>
            </w:r>
          </w:p>
          <w:p w14:paraId="606D5029" w14:textId="77777777" w:rsidR="00F7793F" w:rsidRPr="00771AEF" w:rsidRDefault="00F7793F" w:rsidP="006A0752">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Gestor T1-15 de la Subdirección de Gestión Contractual </w:t>
            </w:r>
          </w:p>
        </w:tc>
      </w:tr>
      <w:tr w:rsidR="00F7793F" w:rsidRPr="00771AEF" w14:paraId="0BD9FBEA" w14:textId="77777777" w:rsidTr="006A0752">
        <w:trPr>
          <w:trHeight w:val="389"/>
        </w:trPr>
        <w:tc>
          <w:tcPr>
            <w:tcW w:w="817" w:type="dxa"/>
            <w:tcBorders>
              <w:top w:val="nil"/>
              <w:left w:val="nil"/>
              <w:bottom w:val="nil"/>
              <w:right w:val="nil"/>
            </w:tcBorders>
            <w:vAlign w:val="center"/>
            <w:hideMark/>
          </w:tcPr>
          <w:p w14:paraId="619ABAEF" w14:textId="77777777" w:rsidR="00F7793F" w:rsidRPr="00771AEF" w:rsidRDefault="00F7793F" w:rsidP="006A0752">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8025445" w14:textId="77777777" w:rsidR="00F7793F" w:rsidRPr="00771AEF" w:rsidRDefault="00F7793F" w:rsidP="006A0752">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 xml:space="preserve">Carolina Quintero </w:t>
            </w:r>
            <w:proofErr w:type="spellStart"/>
            <w:r w:rsidRPr="00771AEF">
              <w:rPr>
                <w:rFonts w:ascii="Verdana" w:eastAsia="Calibri" w:hAnsi="Verdana" w:cs="Times New Roman"/>
                <w:sz w:val="16"/>
                <w:szCs w:val="16"/>
              </w:rPr>
              <w:t>Gacharná</w:t>
            </w:r>
            <w:proofErr w:type="spellEnd"/>
          </w:p>
          <w:p w14:paraId="5C678EB1" w14:textId="77777777" w:rsidR="00F7793F" w:rsidRPr="00771AEF" w:rsidRDefault="00F7793F" w:rsidP="006A0752">
            <w:pPr>
              <w:spacing w:after="0" w:line="256" w:lineRule="auto"/>
              <w:rPr>
                <w:rFonts w:ascii="Verdana" w:eastAsia="Calibri" w:hAnsi="Verdana" w:cs="Times New Roman"/>
                <w:sz w:val="16"/>
                <w:szCs w:val="16"/>
              </w:rPr>
            </w:pPr>
            <w:r w:rsidRPr="00771AEF">
              <w:rPr>
                <w:rFonts w:ascii="Verdana" w:eastAsia="Calibri" w:hAnsi="Verdana" w:cs="Times New Roman"/>
                <w:sz w:val="16"/>
                <w:szCs w:val="16"/>
              </w:rPr>
              <w:t>Subdirectora de Gestión Contractual ANCP – CCE</w:t>
            </w:r>
          </w:p>
        </w:tc>
      </w:tr>
      <w:bookmarkEnd w:id="0"/>
    </w:tbl>
    <w:p w14:paraId="73C61EC8" w14:textId="621ADF55" w:rsidR="00EB224C" w:rsidRPr="00F7793F" w:rsidRDefault="00EB224C" w:rsidP="00F7793F"/>
    <w:sectPr w:rsidR="00EB224C" w:rsidRPr="00F7793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2EA585" w14:textId="77777777" w:rsidR="005E4393" w:rsidRDefault="005E4393" w:rsidP="004A1847">
      <w:pPr>
        <w:spacing w:after="0" w:line="240" w:lineRule="auto"/>
      </w:pPr>
      <w:r>
        <w:separator/>
      </w:r>
    </w:p>
  </w:endnote>
  <w:endnote w:type="continuationSeparator" w:id="0">
    <w:p w14:paraId="3ED733D1" w14:textId="77777777" w:rsidR="005E4393" w:rsidRDefault="005E4393"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Weiss">
    <w:panose1 w:val="00000000000000000000"/>
    <w:charset w:val="00"/>
    <w:family w:val="roman"/>
    <w:notTrueType/>
    <w:pitch w:val="default"/>
    <w:sig w:usb0="00000003" w:usb1="00000000" w:usb2="00000000" w:usb3="00000000" w:csb0="00000001" w:csb1="00000000"/>
  </w:font>
  <w:font w:name="Arial MT">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332A8" w:rsidRDefault="003332A8">
    <w:pPr>
      <w:pStyle w:val="Piedepgina"/>
    </w:pPr>
  </w:p>
  <w:p w14:paraId="594D6D9F" w14:textId="48F9352F"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9531A7" w:rsidRPr="009531A7">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DD879E" w14:textId="77777777" w:rsidR="005E4393" w:rsidRDefault="005E4393" w:rsidP="004A1847">
      <w:pPr>
        <w:spacing w:after="0" w:line="240" w:lineRule="auto"/>
      </w:pPr>
      <w:r>
        <w:separator/>
      </w:r>
    </w:p>
  </w:footnote>
  <w:footnote w:type="continuationSeparator" w:id="0">
    <w:p w14:paraId="0464F764" w14:textId="77777777" w:rsidR="005E4393" w:rsidRDefault="005E4393" w:rsidP="004A1847">
      <w:pPr>
        <w:spacing w:after="0" w:line="240" w:lineRule="auto"/>
      </w:pPr>
      <w:r>
        <w:continuationSeparator/>
      </w:r>
    </w:p>
  </w:footnote>
  <w:footnote w:id="1">
    <w:p w14:paraId="1E216422" w14:textId="77777777" w:rsidR="00F7793F" w:rsidRPr="005D42C1" w:rsidRDefault="00F7793F" w:rsidP="00F7793F">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w:t>
      </w:r>
      <w:proofErr w:type="gramStart"/>
      <w:r w:rsidRPr="005D42C1">
        <w:rPr>
          <w:rFonts w:ascii="Verdana" w:hAnsi="Verdana" w:cs="Arial"/>
          <w:sz w:val="16"/>
          <w:szCs w:val="16"/>
        </w:rPr>
        <w:t>y</w:t>
      </w:r>
      <w:proofErr w:type="gramEnd"/>
      <w:r w:rsidRPr="005D42C1">
        <w:rPr>
          <w:rFonts w:ascii="Verdana" w:hAnsi="Verdana" w:cs="Arial"/>
          <w:sz w:val="16"/>
          <w:szCs w:val="16"/>
        </w:rPr>
        <w:t xml:space="preserve"> en consecuencia, le es aplicable lo establecido en el artículo 2.2.1.2.1.4.1 del presente decreto.</w:t>
      </w:r>
    </w:p>
    <w:p w14:paraId="020B1DA9" w14:textId="77777777" w:rsidR="00F7793F" w:rsidRDefault="00F7793F" w:rsidP="00F7793F">
      <w:pPr>
        <w:spacing w:after="0" w:line="240" w:lineRule="auto"/>
        <w:ind w:firstLine="709"/>
        <w:jc w:val="both"/>
        <w:rPr>
          <w:rFonts w:ascii="Verdana" w:hAnsi="Verdana" w:cs="Arial"/>
          <w:sz w:val="16"/>
          <w:szCs w:val="16"/>
        </w:rPr>
      </w:pPr>
      <w:r w:rsidRPr="005D42C1">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5D42C1">
        <w:rPr>
          <w:rFonts w:ascii="Verdana" w:hAnsi="Verdana" w:cs="Arial"/>
          <w:spacing w:val="-1"/>
          <w:sz w:val="16"/>
          <w:szCs w:val="16"/>
        </w:rPr>
        <w:t xml:space="preserve"> </w:t>
      </w:r>
      <w:r w:rsidRPr="005D42C1">
        <w:rPr>
          <w:rFonts w:ascii="Verdana" w:hAnsi="Verdana" w:cs="Arial"/>
          <w:sz w:val="16"/>
          <w:szCs w:val="16"/>
        </w:rPr>
        <w:t>Estatales”.</w:t>
      </w:r>
    </w:p>
    <w:p w14:paraId="7F7D7D6F" w14:textId="77777777" w:rsidR="00F7793F" w:rsidRPr="005D42C1" w:rsidRDefault="00F7793F" w:rsidP="00F7793F">
      <w:pPr>
        <w:spacing w:after="0" w:line="240" w:lineRule="auto"/>
        <w:ind w:firstLine="709"/>
        <w:jc w:val="both"/>
        <w:rPr>
          <w:rFonts w:ascii="Verdana" w:hAnsi="Verdana" w:cs="Arial"/>
          <w:sz w:val="16"/>
          <w:szCs w:val="16"/>
        </w:rPr>
      </w:pPr>
    </w:p>
  </w:footnote>
  <w:footnote w:id="2">
    <w:p w14:paraId="0C420F81" w14:textId="77777777" w:rsidR="00F7793F" w:rsidRPr="005D42C1" w:rsidRDefault="00F7793F" w:rsidP="00F7793F">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5D42C1">
        <w:rPr>
          <w:rFonts w:ascii="Verdana" w:hAnsi="Verdana" w:cs="Arial"/>
          <w:spacing w:val="-6"/>
          <w:sz w:val="16"/>
          <w:szCs w:val="16"/>
        </w:rPr>
        <w:t xml:space="preserve"> </w:t>
      </w:r>
      <w:r w:rsidRPr="005D42C1">
        <w:rPr>
          <w:rFonts w:ascii="Verdana" w:hAnsi="Verdana" w:cs="Arial"/>
          <w:sz w:val="16"/>
          <w:szCs w:val="16"/>
        </w:rPr>
        <w:t>artículo”.</w:t>
      </w:r>
    </w:p>
    <w:p w14:paraId="5D597BF0" w14:textId="77777777" w:rsidR="00F7793F" w:rsidRPr="006366CF" w:rsidRDefault="00F7793F" w:rsidP="00F7793F">
      <w:pPr>
        <w:spacing w:after="0" w:line="240" w:lineRule="auto"/>
        <w:ind w:firstLine="709"/>
        <w:jc w:val="both"/>
        <w:rPr>
          <w:rFonts w:ascii="Verdana" w:hAnsi="Verdana" w:cs="Arial"/>
          <w:sz w:val="16"/>
          <w:szCs w:val="16"/>
        </w:rPr>
      </w:pPr>
    </w:p>
  </w:footnote>
  <w:footnote w:id="3">
    <w:p w14:paraId="4CF4893E" w14:textId="77777777" w:rsidR="00F7793F" w:rsidRPr="006366CF" w:rsidRDefault="00F7793F" w:rsidP="00F7793F">
      <w:pPr>
        <w:pStyle w:val="Textonotapie"/>
        <w:ind w:firstLine="708"/>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lang w:val="pt-BR"/>
        </w:rPr>
        <w:t xml:space="preserve"> CORTE CONSTITUCIONAL. Sentencia C-671 de 2005. </w:t>
      </w:r>
      <w:r w:rsidRPr="006366CF">
        <w:rPr>
          <w:rFonts w:ascii="Verdana" w:hAnsi="Verdana"/>
          <w:sz w:val="16"/>
          <w:szCs w:val="16"/>
        </w:rPr>
        <w:t xml:space="preserve">M.P. Álvaro Tafur Galvis. </w:t>
      </w:r>
    </w:p>
  </w:footnote>
  <w:footnote w:id="4">
    <w:p w14:paraId="5C41EE4E" w14:textId="77777777" w:rsidR="00F7793F" w:rsidRPr="006366CF" w:rsidRDefault="00F7793F" w:rsidP="00F7793F">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sidRPr="006366CF">
        <w:rPr>
          <w:rFonts w:ascii="Verdana" w:hAnsi="Verdana"/>
          <w:sz w:val="16"/>
          <w:szCs w:val="16"/>
          <w:lang w:val="es-CO"/>
        </w:rPr>
        <w:t xml:space="preserve">CONSEJO DE ESTADO, Sala de Consulta y Servicio Civil. Concepto no. 2257 del 26 de julio de 2016, C.P. Álvaro </w:t>
      </w:r>
      <w:proofErr w:type="spellStart"/>
      <w:r w:rsidRPr="006366CF">
        <w:rPr>
          <w:rFonts w:ascii="Verdana" w:hAnsi="Verdana"/>
          <w:sz w:val="16"/>
          <w:szCs w:val="16"/>
          <w:lang w:val="es-CO"/>
        </w:rPr>
        <w:t>Namén</w:t>
      </w:r>
      <w:proofErr w:type="spellEnd"/>
      <w:r w:rsidRPr="006366CF">
        <w:rPr>
          <w:rFonts w:ascii="Verdana" w:hAnsi="Verdana"/>
          <w:sz w:val="16"/>
          <w:szCs w:val="16"/>
          <w:lang w:val="es-CO"/>
        </w:rPr>
        <w:t xml:space="preserve"> Vargas; CONSEJO DE ESTADO, Sección Tercera, Subsección A. Sentencia del 23 de junio de 2010. C.P. Mauricio Fajardo Gómez. </w:t>
      </w:r>
      <w:proofErr w:type="spellStart"/>
      <w:r w:rsidRPr="006366CF">
        <w:rPr>
          <w:rFonts w:ascii="Verdana" w:hAnsi="Verdana"/>
          <w:sz w:val="16"/>
          <w:szCs w:val="16"/>
          <w:lang w:val="es-CO"/>
        </w:rPr>
        <w:t>Exp</w:t>
      </w:r>
      <w:proofErr w:type="spellEnd"/>
      <w:r w:rsidRPr="006366CF">
        <w:rPr>
          <w:rFonts w:ascii="Verdana" w:hAnsi="Verdana"/>
          <w:sz w:val="16"/>
          <w:szCs w:val="16"/>
          <w:lang w:val="es-CO"/>
        </w:rPr>
        <w:t xml:space="preserve"> 17860; Sección Tercera. Auto del 4 de octubre de 2024. C.P. Fredy Ibarra Martínez. </w:t>
      </w:r>
      <w:proofErr w:type="spellStart"/>
      <w:r w:rsidRPr="006366CF">
        <w:rPr>
          <w:rFonts w:ascii="Verdana" w:hAnsi="Verdana"/>
          <w:sz w:val="16"/>
          <w:szCs w:val="16"/>
          <w:lang w:val="es-CO"/>
        </w:rPr>
        <w:t>Exp</w:t>
      </w:r>
      <w:proofErr w:type="spellEnd"/>
      <w:r w:rsidRPr="006366CF">
        <w:rPr>
          <w:rFonts w:ascii="Verdana" w:hAnsi="Verdana"/>
          <w:sz w:val="16"/>
          <w:szCs w:val="16"/>
          <w:lang w:val="es-CO"/>
        </w:rPr>
        <w:t xml:space="preserve"> </w:t>
      </w:r>
      <w:r w:rsidRPr="006366CF">
        <w:rPr>
          <w:rFonts w:ascii="Verdana" w:hAnsi="Verdana"/>
          <w:bCs/>
          <w:sz w:val="16"/>
          <w:szCs w:val="16"/>
        </w:rPr>
        <w:t xml:space="preserve">70313. </w:t>
      </w:r>
    </w:p>
  </w:footnote>
  <w:footnote w:id="5">
    <w:p w14:paraId="68601DEB" w14:textId="77777777" w:rsidR="00F7793F" w:rsidRDefault="00F7793F" w:rsidP="00F7793F">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w:t>
      </w:r>
      <w:proofErr w:type="spellStart"/>
      <w:r w:rsidRPr="006366CF">
        <w:rPr>
          <w:rFonts w:ascii="Verdana" w:hAnsi="Verdana"/>
          <w:sz w:val="16"/>
          <w:szCs w:val="16"/>
        </w:rPr>
        <w:t>Chavéz</w:t>
      </w:r>
      <w:proofErr w:type="spellEnd"/>
      <w:r w:rsidRPr="006366CF">
        <w:rPr>
          <w:rFonts w:ascii="Verdana" w:hAnsi="Verdana"/>
          <w:sz w:val="16"/>
          <w:szCs w:val="16"/>
        </w:rPr>
        <w:t xml:space="preserve"> Marín expresa: “</w:t>
      </w:r>
      <w:r w:rsidRPr="006366CF">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p w14:paraId="4A68BCAD" w14:textId="77777777" w:rsidR="00F7793F" w:rsidRPr="006366CF" w:rsidRDefault="00F7793F" w:rsidP="00F7793F">
      <w:pPr>
        <w:pStyle w:val="Textonotapie"/>
        <w:ind w:firstLine="708"/>
        <w:jc w:val="both"/>
        <w:rPr>
          <w:rFonts w:ascii="Verdana" w:hAnsi="Verdana"/>
          <w:sz w:val="16"/>
          <w:szCs w:val="16"/>
          <w:lang w:val="es-CO"/>
        </w:rPr>
      </w:pPr>
    </w:p>
  </w:footnote>
  <w:footnote w:id="6">
    <w:p w14:paraId="2F1B1FCD" w14:textId="77777777" w:rsidR="00F7793F" w:rsidRPr="006366CF" w:rsidRDefault="00F7793F" w:rsidP="00F7793F">
      <w:pPr>
        <w:pStyle w:val="Textonotapie"/>
        <w:ind w:firstLine="708"/>
        <w:jc w:val="both"/>
        <w:rPr>
          <w:rFonts w:ascii="Verdana" w:hAnsi="Verdana"/>
          <w:sz w:val="16"/>
          <w:szCs w:val="16"/>
          <w:lang w:val="es-ES"/>
        </w:rPr>
      </w:pPr>
      <w:r w:rsidRPr="006366CF">
        <w:rPr>
          <w:rStyle w:val="Refdenotaalpie"/>
          <w:rFonts w:ascii="Verdana" w:hAnsi="Verdana"/>
          <w:sz w:val="16"/>
          <w:szCs w:val="16"/>
        </w:rPr>
        <w:footnoteRef/>
      </w:r>
      <w:r w:rsidRPr="006366CF">
        <w:rPr>
          <w:rFonts w:ascii="Verdana" w:hAnsi="Verdana"/>
          <w:sz w:val="16"/>
          <w:szCs w:val="16"/>
        </w:rPr>
        <w:t xml:space="preserve"> CONSEJO DE ESTADO. Sección Tercera, Subsección A. Sentencia del 25 de mayo de 2025. C.P. María Adriana Marín Hernández. </w:t>
      </w:r>
      <w:proofErr w:type="spellStart"/>
      <w:r w:rsidRPr="006366CF">
        <w:rPr>
          <w:rFonts w:ascii="Verdana" w:hAnsi="Verdana"/>
          <w:sz w:val="16"/>
          <w:szCs w:val="16"/>
        </w:rPr>
        <w:t>Exp</w:t>
      </w:r>
      <w:proofErr w:type="spellEnd"/>
      <w:r w:rsidRPr="006366CF">
        <w:rPr>
          <w:rFonts w:ascii="Verdana" w:hAnsi="Verdana"/>
          <w:sz w:val="16"/>
          <w:szCs w:val="16"/>
        </w:rPr>
        <w:t xml:space="preserve">. 70.504; CONSEJO DE ESTADO. Sección Tercera, Subsección A. Sentencia del 16 de agosto de 2022, C.P.: María Adriana Marín. </w:t>
      </w:r>
      <w:proofErr w:type="spellStart"/>
      <w:r w:rsidRPr="006366CF">
        <w:rPr>
          <w:rFonts w:ascii="Verdana" w:hAnsi="Verdana"/>
          <w:sz w:val="16"/>
          <w:szCs w:val="16"/>
        </w:rPr>
        <w:t>Exp</w:t>
      </w:r>
      <w:proofErr w:type="spellEnd"/>
      <w:r w:rsidRPr="006366CF">
        <w:rPr>
          <w:rFonts w:ascii="Verdana" w:hAnsi="Verdana"/>
          <w:sz w:val="16"/>
          <w:szCs w:val="16"/>
        </w:rPr>
        <w:t>. 60434.</w:t>
      </w:r>
    </w:p>
  </w:footnote>
  <w:footnote w:id="7">
    <w:p w14:paraId="3E9FC4FA" w14:textId="77777777" w:rsidR="00F7793F" w:rsidRPr="00AD7D5F" w:rsidRDefault="00F7793F" w:rsidP="00F7793F">
      <w:pPr>
        <w:pStyle w:val="Textonotapie"/>
        <w:ind w:firstLine="708"/>
        <w:jc w:val="both"/>
        <w:rPr>
          <w:rFonts w:ascii="Verdana" w:hAnsi="Verdana"/>
          <w:sz w:val="16"/>
          <w:szCs w:val="16"/>
          <w:lang w:val="es-CO"/>
        </w:rPr>
      </w:pPr>
      <w:r w:rsidRPr="00AD7D5F">
        <w:rPr>
          <w:rStyle w:val="Refdenotaalpie"/>
          <w:rFonts w:ascii="Verdana" w:hAnsi="Verdana"/>
          <w:sz w:val="16"/>
          <w:szCs w:val="16"/>
        </w:rPr>
        <w:footnoteRef/>
      </w:r>
      <w:r w:rsidRPr="00AD7D5F">
        <w:rPr>
          <w:rFonts w:ascii="Verdana" w:hAnsi="Verdana"/>
          <w:sz w:val="16"/>
          <w:szCs w:val="16"/>
        </w:rPr>
        <w:t xml:space="preserve"> </w:t>
      </w:r>
      <w:r w:rsidRPr="00AD7D5F">
        <w:rPr>
          <w:rFonts w:ascii="Verdana" w:hAnsi="Verdana"/>
          <w:sz w:val="16"/>
          <w:szCs w:val="16"/>
          <w:lang w:val="es-CO"/>
        </w:rPr>
        <w:t xml:space="preserve">CONSEJO DE ESTADO. Sección Tercera, Subsección A. Sentencia del 14 de junio de 2019, C.P.: Marta Nubia Velásquez Rico. Rad.: 25000-23-37-000-2010-02552-01 (AP); CONSEJO DE ESTADO. Sección Tercera, Subsección A. Sentencia del 25 de mayo de 2025. C.P. María Adriana Marín Hernández. </w:t>
      </w:r>
      <w:proofErr w:type="spellStart"/>
      <w:r w:rsidRPr="00AD7D5F">
        <w:rPr>
          <w:rFonts w:ascii="Verdana" w:hAnsi="Verdana"/>
          <w:sz w:val="16"/>
          <w:szCs w:val="16"/>
          <w:lang w:val="es-CO"/>
        </w:rPr>
        <w:t>Exp</w:t>
      </w:r>
      <w:proofErr w:type="spellEnd"/>
      <w:r w:rsidRPr="00AD7D5F">
        <w:rPr>
          <w:rFonts w:ascii="Verdana" w:hAnsi="Verdana"/>
          <w:sz w:val="16"/>
          <w:szCs w:val="16"/>
          <w:lang w:val="es-CO"/>
        </w:rPr>
        <w:t>. 70.504.</w:t>
      </w:r>
    </w:p>
  </w:footnote>
  <w:footnote w:id="8">
    <w:p w14:paraId="12548BEE" w14:textId="77777777" w:rsidR="00F7793F" w:rsidRPr="00AD7D5F" w:rsidRDefault="00F7793F" w:rsidP="00F7793F">
      <w:pPr>
        <w:pStyle w:val="Textonotapie"/>
        <w:ind w:firstLine="708"/>
        <w:jc w:val="both"/>
        <w:rPr>
          <w:rFonts w:ascii="Verdana" w:hAnsi="Verdana"/>
          <w:sz w:val="16"/>
          <w:szCs w:val="16"/>
          <w:lang w:val="es-CO"/>
        </w:rPr>
      </w:pPr>
      <w:r w:rsidRPr="00AD7D5F">
        <w:rPr>
          <w:rStyle w:val="Refdenotaalpie"/>
          <w:rFonts w:ascii="Verdana" w:hAnsi="Verdana"/>
          <w:sz w:val="16"/>
          <w:szCs w:val="16"/>
        </w:rPr>
        <w:footnoteRef/>
      </w:r>
      <w:r w:rsidRPr="00AD7D5F">
        <w:rPr>
          <w:rFonts w:ascii="Verdana" w:hAnsi="Verdana"/>
          <w:sz w:val="16"/>
          <w:szCs w:val="16"/>
        </w:rPr>
        <w:t xml:space="preserve"> </w:t>
      </w:r>
      <w:bookmarkStart w:id="4" w:name="8"/>
      <w:r w:rsidRPr="00AD7D5F">
        <w:rPr>
          <w:rFonts w:ascii="Verdana" w:hAnsi="Verdana"/>
          <w:sz w:val="16"/>
          <w:szCs w:val="16"/>
          <w:lang w:val="es-CO"/>
        </w:rPr>
        <w:t>ARTÍCULO 8o. RÉGIMEN JURÍDICO.</w:t>
      </w:r>
      <w:bookmarkEnd w:id="4"/>
      <w:r w:rsidRPr="00AD7D5F">
        <w:rPr>
          <w:rFonts w:ascii="Verdana" w:hAnsi="Verdana"/>
          <w:sz w:val="16"/>
          <w:szCs w:val="16"/>
          <w:lang w:val="es-CO"/>
        </w:rPr>
        <w:t xml:space="preserve"> Los actos que realice el </w:t>
      </w:r>
      <w:proofErr w:type="spellStart"/>
      <w:r w:rsidRPr="00AD7D5F">
        <w:rPr>
          <w:rFonts w:ascii="Verdana" w:hAnsi="Verdana"/>
          <w:sz w:val="16"/>
          <w:szCs w:val="16"/>
          <w:lang w:val="es-CO"/>
        </w:rPr>
        <w:t>Icetex</w:t>
      </w:r>
      <w:proofErr w:type="spellEnd"/>
      <w:r w:rsidRPr="00AD7D5F">
        <w:rPr>
          <w:rFonts w:ascii="Verdana" w:hAnsi="Verdana"/>
          <w:sz w:val="16"/>
          <w:szCs w:val="16"/>
          <w:lang w:val="es-CO"/>
        </w:rPr>
        <w:t xml:space="preserve"> para el desarrollo de sus actividades comerciales o de gestión económica y financiera, estarán sujetos a las disposiciones del derecho privado. Los actos que expida para el cumplimiento de las funciones administrativas que le confían la ley y los estatutos, se sujetan a las reglas previstas en el Código Contencioso Administrativo.</w:t>
      </w:r>
    </w:p>
    <w:p w14:paraId="5088EC85" w14:textId="77777777" w:rsidR="00F7793F" w:rsidRPr="00AD7D5F" w:rsidRDefault="00F7793F" w:rsidP="00F7793F">
      <w:pPr>
        <w:pStyle w:val="Textonotapie"/>
        <w:ind w:firstLine="708"/>
        <w:jc w:val="both"/>
        <w:rPr>
          <w:rFonts w:ascii="Verdana" w:hAnsi="Verdana"/>
          <w:sz w:val="16"/>
          <w:szCs w:val="16"/>
          <w:lang w:val="es-CO"/>
        </w:rPr>
      </w:pPr>
      <w:r w:rsidRPr="00AD7D5F">
        <w:rPr>
          <w:rFonts w:ascii="Verdana" w:hAnsi="Verdana"/>
          <w:sz w:val="16"/>
          <w:szCs w:val="16"/>
          <w:lang w:val="es-CO"/>
        </w:rPr>
        <w:t xml:space="preserve">Los contratos y demás actos jurídicos que deba celebrar y otorgar el </w:t>
      </w:r>
      <w:proofErr w:type="spellStart"/>
      <w:r w:rsidRPr="00AD7D5F">
        <w:rPr>
          <w:rFonts w:ascii="Verdana" w:hAnsi="Verdana"/>
          <w:sz w:val="16"/>
          <w:szCs w:val="16"/>
          <w:lang w:val="es-CO"/>
        </w:rPr>
        <w:t>Icetex</w:t>
      </w:r>
      <w:proofErr w:type="spellEnd"/>
      <w:r w:rsidRPr="00AD7D5F">
        <w:rPr>
          <w:rFonts w:ascii="Verdana" w:hAnsi="Verdana"/>
          <w:sz w:val="16"/>
          <w:szCs w:val="16"/>
          <w:lang w:val="es-CO"/>
        </w:rPr>
        <w:t xml:space="preserve"> como entidad financiera de naturaleza especial, en desarrollo de su objeto y operaciones autorizadas, se sujetarán a las disposiciones del derecho privado.</w:t>
      </w:r>
    </w:p>
  </w:footnote>
  <w:footnote w:id="9">
    <w:p w14:paraId="2FE699F6" w14:textId="77777777" w:rsidR="00F7793F" w:rsidRPr="00AD7D5F" w:rsidRDefault="00F7793F" w:rsidP="00F7793F">
      <w:pPr>
        <w:pStyle w:val="Textonotapie"/>
        <w:ind w:firstLine="708"/>
        <w:jc w:val="both"/>
        <w:rPr>
          <w:rFonts w:ascii="Verdana" w:hAnsi="Verdana"/>
          <w:sz w:val="16"/>
          <w:szCs w:val="16"/>
          <w:lang w:val="es-CO"/>
        </w:rPr>
      </w:pPr>
      <w:r w:rsidRPr="00AD7D5F">
        <w:rPr>
          <w:rStyle w:val="Refdenotaalpie"/>
          <w:rFonts w:ascii="Verdana" w:hAnsi="Verdana"/>
          <w:sz w:val="16"/>
          <w:szCs w:val="16"/>
        </w:rPr>
        <w:footnoteRef/>
      </w:r>
      <w:r w:rsidRPr="00AD7D5F">
        <w:rPr>
          <w:rFonts w:ascii="Verdana" w:hAnsi="Verdana"/>
          <w:sz w:val="16"/>
          <w:szCs w:val="16"/>
        </w:rPr>
        <w:t xml:space="preserve"> </w:t>
      </w:r>
      <w:r w:rsidRPr="00AD7D5F">
        <w:rPr>
          <w:rFonts w:ascii="Verdana" w:hAnsi="Verdana"/>
          <w:sz w:val="16"/>
          <w:szCs w:val="16"/>
          <w:lang w:val="es-CO"/>
        </w:rPr>
        <w:t xml:space="preserve">Fondos </w:t>
      </w:r>
      <w:r>
        <w:rPr>
          <w:rFonts w:ascii="Verdana" w:hAnsi="Verdana"/>
          <w:sz w:val="16"/>
          <w:szCs w:val="16"/>
          <w:lang w:val="es-CO"/>
        </w:rPr>
        <w:t>en</w:t>
      </w:r>
      <w:r w:rsidRPr="00AD7D5F">
        <w:rPr>
          <w:rFonts w:ascii="Verdana" w:hAnsi="Verdana"/>
          <w:sz w:val="16"/>
          <w:szCs w:val="16"/>
          <w:lang w:val="es-CO"/>
        </w:rPr>
        <w:t xml:space="preserve"> Administración. Disponible en línea: </w:t>
      </w:r>
      <w:hyperlink r:id="rId1" w:history="1">
        <w:r w:rsidRPr="00AD7D5F">
          <w:rPr>
            <w:rStyle w:val="Hipervnculo"/>
            <w:rFonts w:ascii="Verdana" w:hAnsi="Verdana"/>
            <w:sz w:val="16"/>
            <w:szCs w:val="16"/>
            <w:lang w:val="es-CO"/>
          </w:rPr>
          <w:t>https://web.icetex.gov.co/inversiones/fondos-en-administracion</w:t>
        </w:r>
      </w:hyperlink>
      <w:r w:rsidRPr="00AD7D5F">
        <w:rPr>
          <w:rFonts w:ascii="Verdana" w:hAnsi="Verdana"/>
          <w:sz w:val="16"/>
          <w:szCs w:val="16"/>
          <w:lang w:val="es-CO"/>
        </w:rPr>
        <w:t xml:space="preserve">. </w:t>
      </w:r>
    </w:p>
  </w:footnote>
  <w:footnote w:id="10">
    <w:p w14:paraId="3CAD3E92" w14:textId="77777777" w:rsidR="00F7793F" w:rsidRPr="0009079C" w:rsidRDefault="00F7793F" w:rsidP="00F7793F">
      <w:pPr>
        <w:pStyle w:val="Textonotapie"/>
        <w:ind w:firstLine="708"/>
        <w:rPr>
          <w:lang w:val="es-CO"/>
        </w:rPr>
      </w:pPr>
      <w:r w:rsidRPr="00AD7D5F">
        <w:rPr>
          <w:rStyle w:val="Refdenotaalpie"/>
          <w:rFonts w:ascii="Verdana" w:hAnsi="Verdana"/>
          <w:sz w:val="16"/>
          <w:szCs w:val="16"/>
        </w:rPr>
        <w:footnoteRef/>
      </w:r>
      <w:r w:rsidRPr="00AD7D5F">
        <w:rPr>
          <w:rFonts w:ascii="Verdana" w:hAnsi="Verdana"/>
          <w:sz w:val="16"/>
          <w:szCs w:val="16"/>
        </w:rPr>
        <w:t xml:space="preserve"> </w:t>
      </w:r>
      <w:proofErr w:type="spellStart"/>
      <w:r w:rsidRPr="00AD7D5F">
        <w:rPr>
          <w:rFonts w:ascii="Verdana" w:hAnsi="Verdana"/>
          <w:sz w:val="16"/>
          <w:szCs w:val="16"/>
        </w:rPr>
        <w:t>Ibid</w:t>
      </w:r>
      <w:proofErr w:type="spellEnd"/>
      <w:r w:rsidRPr="00AD7D5F">
        <w:rPr>
          <w:rFonts w:ascii="Verdana" w:hAnsi="Verdana"/>
          <w:sz w:val="16"/>
          <w:szCs w:val="16"/>
        </w:rPr>
        <w:t xml:space="preserve">. </w:t>
      </w:r>
    </w:p>
  </w:footnote>
  <w:footnote w:id="11">
    <w:p w14:paraId="5D463676" w14:textId="77777777" w:rsidR="00F7793F" w:rsidRPr="00F73D92" w:rsidRDefault="00F7793F" w:rsidP="00F7793F">
      <w:pPr>
        <w:pStyle w:val="Textonotapie"/>
        <w:ind w:firstLine="708"/>
        <w:jc w:val="both"/>
        <w:rPr>
          <w:rFonts w:ascii="Verdana" w:hAnsi="Verdana" w:cs="Arial"/>
          <w:sz w:val="16"/>
          <w:szCs w:val="16"/>
        </w:rPr>
      </w:pPr>
      <w:r w:rsidRPr="00F73D92">
        <w:rPr>
          <w:rStyle w:val="Refdenotaalpie"/>
          <w:rFonts w:ascii="Verdana" w:hAnsi="Verdana" w:cs="Arial"/>
          <w:sz w:val="16"/>
          <w:szCs w:val="16"/>
        </w:rPr>
        <w:footnoteRef/>
      </w:r>
      <w:r>
        <w:rPr>
          <w:rFonts w:ascii="Verdana" w:hAnsi="Verdana" w:cs="Arial"/>
          <w:sz w:val="16"/>
          <w:szCs w:val="16"/>
        </w:rPr>
        <w:t xml:space="preserve"> “</w:t>
      </w:r>
      <w:r w:rsidRPr="00F73D92">
        <w:rPr>
          <w:rFonts w:ascii="Verdana" w:hAnsi="Verdana" w:cs="Arial"/>
          <w:sz w:val="16"/>
          <w:szCs w:val="16"/>
        </w:rPr>
        <w:t>El instrumento principal de la actividad financiera del gobierno es el presupuesto público, el cual es también la carta de orientación para la ejecución de las finanzas estatales, instrumento de planificación y cumplimiento de planes y programas que refleja la actividad gubernamental y el cumplimiento de la Constitución Política en los ámbitos políticos, económicos, jurídicos y sociales. […] El presupuesto enmarca toda la práctica de política fiscal del Estado. Por medio de éste se llevan a cabo la búsqueda y el cumplimiento de principios y finalidades de la actuación administrativa, y que (sic) en últimas, orienta la satisfacción de necesidades de los individuos que lo conforman y se garantizan los recursos necesarios para el normal funcionamiento del apa</w:t>
      </w:r>
      <w:r>
        <w:rPr>
          <w:rFonts w:ascii="Verdana" w:hAnsi="Verdana" w:cs="Arial"/>
          <w:sz w:val="16"/>
          <w:szCs w:val="16"/>
        </w:rPr>
        <w:t>rato estatal”.</w:t>
      </w:r>
      <w:r w:rsidRPr="00F73D92">
        <w:rPr>
          <w:rFonts w:ascii="Verdana" w:hAnsi="Verdana" w:cs="Arial"/>
          <w:sz w:val="16"/>
          <w:szCs w:val="16"/>
        </w:rPr>
        <w:t xml:space="preserve"> PEÑA GONZÁLEZ, Edilberto. Principios e instituciones presupuestales en Colombia, en: Estudios Socio-Jurídicos, Bogotá (Colombia), 9 (1), enero-junio de 2007, p</w:t>
      </w:r>
      <w:r>
        <w:rPr>
          <w:rFonts w:ascii="Verdana" w:hAnsi="Verdana" w:cs="Arial"/>
          <w:sz w:val="16"/>
          <w:szCs w:val="16"/>
        </w:rPr>
        <w:t>p</w:t>
      </w:r>
      <w:r w:rsidRPr="00F73D92">
        <w:rPr>
          <w:rFonts w:ascii="Verdana" w:hAnsi="Verdana" w:cs="Arial"/>
          <w:sz w:val="16"/>
          <w:szCs w:val="16"/>
        </w:rPr>
        <w:t>. 248</w:t>
      </w:r>
      <w:r>
        <w:rPr>
          <w:rFonts w:ascii="Verdana" w:hAnsi="Verdana" w:cs="Arial"/>
          <w:sz w:val="16"/>
          <w:szCs w:val="16"/>
        </w:rPr>
        <w:t>-</w:t>
      </w:r>
      <w:r w:rsidRPr="00F73D92">
        <w:rPr>
          <w:rFonts w:ascii="Verdana" w:hAnsi="Verdana" w:cs="Arial"/>
          <w:sz w:val="16"/>
          <w:szCs w:val="16"/>
        </w:rPr>
        <w:t>250.</w:t>
      </w:r>
    </w:p>
  </w:footnote>
  <w:footnote w:id="12">
    <w:p w14:paraId="69A43B62" w14:textId="77777777" w:rsidR="00F7793F" w:rsidRPr="00F73D92" w:rsidRDefault="00F7793F" w:rsidP="00F7793F">
      <w:pPr>
        <w:pStyle w:val="Textonotapie"/>
        <w:ind w:firstLine="708"/>
        <w:jc w:val="both"/>
        <w:rPr>
          <w:rFonts w:ascii="Verdana" w:hAnsi="Verdana" w:cs="Arial"/>
          <w:sz w:val="16"/>
          <w:szCs w:val="16"/>
        </w:rPr>
      </w:pPr>
      <w:r w:rsidRPr="00F73D92">
        <w:rPr>
          <w:rStyle w:val="Refdenotaalpie"/>
          <w:rFonts w:ascii="Verdana" w:hAnsi="Verdana" w:cs="Arial"/>
          <w:sz w:val="16"/>
          <w:szCs w:val="16"/>
        </w:rPr>
        <w:footnoteRef/>
      </w:r>
      <w:r w:rsidRPr="00F73D92">
        <w:rPr>
          <w:rFonts w:ascii="Verdana" w:hAnsi="Verdana" w:cs="Arial"/>
          <w:sz w:val="16"/>
          <w:szCs w:val="16"/>
        </w:rPr>
        <w:t xml:space="preserve"> De conformidad con lo dispuesto en el artículo 10 del Decreto 111 </w:t>
      </w:r>
      <w:r>
        <w:rPr>
          <w:rFonts w:ascii="Verdana" w:hAnsi="Verdana" w:cs="Arial"/>
          <w:sz w:val="16"/>
          <w:szCs w:val="16"/>
        </w:rPr>
        <w:t>de 1996 “</w:t>
      </w:r>
      <w:r w:rsidRPr="00F73D92">
        <w:rPr>
          <w:rFonts w:ascii="Verdana" w:hAnsi="Verdana" w:cs="Arial"/>
          <w:sz w:val="16"/>
          <w:szCs w:val="16"/>
        </w:rPr>
        <w:t>La Ley Anual sobre el Presupuesto General de la Nación es el instrumento para el cumplimiento de los planes y programas de</w:t>
      </w:r>
      <w:r>
        <w:rPr>
          <w:rFonts w:ascii="Verdana" w:hAnsi="Verdana" w:cs="Arial"/>
          <w:sz w:val="16"/>
          <w:szCs w:val="16"/>
        </w:rPr>
        <w:t xml:space="preserve"> desarrollo económico y social”</w:t>
      </w:r>
      <w:r w:rsidRPr="00F73D92">
        <w:rPr>
          <w:rFonts w:ascii="Verdana" w:hAnsi="Verdana" w:cs="Arial"/>
          <w:sz w:val="16"/>
          <w:szCs w:val="16"/>
        </w:rPr>
        <w:t xml:space="preserve"> </w:t>
      </w:r>
    </w:p>
    <w:p w14:paraId="5C871BBB" w14:textId="77777777" w:rsidR="00F7793F" w:rsidRPr="00F73D92" w:rsidRDefault="00F7793F" w:rsidP="00F7793F">
      <w:pPr>
        <w:pStyle w:val="Textonotapie"/>
        <w:ind w:firstLine="708"/>
        <w:jc w:val="both"/>
        <w:rPr>
          <w:rFonts w:ascii="Verdana" w:hAnsi="Verdana" w:cs="Arial"/>
          <w:sz w:val="16"/>
          <w:szCs w:val="16"/>
        </w:rPr>
      </w:pPr>
      <w:r w:rsidRPr="00F73D92">
        <w:rPr>
          <w:rFonts w:ascii="Verdana" w:hAnsi="Verdana" w:cs="Arial"/>
          <w:sz w:val="16"/>
          <w:szCs w:val="16"/>
        </w:rPr>
        <w:t>A su turno, el artículo 1</w:t>
      </w:r>
      <w:r>
        <w:rPr>
          <w:rFonts w:ascii="Verdana" w:hAnsi="Verdana" w:cs="Arial"/>
          <w:sz w:val="16"/>
          <w:szCs w:val="16"/>
        </w:rPr>
        <w:t>1 del mismo Decreto indica que “</w:t>
      </w:r>
      <w:r w:rsidRPr="00F73D92">
        <w:rPr>
          <w:rFonts w:ascii="Verdana" w:hAnsi="Verdana" w:cs="Arial"/>
          <w:sz w:val="16"/>
          <w:szCs w:val="16"/>
        </w:rPr>
        <w:t>El Presupuesto General de la Nación se compone de las siguientes partes:</w:t>
      </w:r>
    </w:p>
    <w:p w14:paraId="463FBBCF" w14:textId="77777777" w:rsidR="00F7793F" w:rsidRPr="00F73D92" w:rsidRDefault="00F7793F" w:rsidP="00F7793F">
      <w:pPr>
        <w:pStyle w:val="Textonotapie"/>
        <w:ind w:firstLine="708"/>
        <w:jc w:val="both"/>
        <w:rPr>
          <w:rFonts w:ascii="Verdana" w:hAnsi="Verdana" w:cs="Arial"/>
          <w:sz w:val="16"/>
          <w:szCs w:val="16"/>
        </w:rPr>
      </w:pPr>
      <w:r w:rsidRPr="00F73D92">
        <w:rPr>
          <w:rFonts w:ascii="Verdana" w:hAnsi="Verdana" w:cs="Arial"/>
          <w:sz w:val="16"/>
          <w:szCs w:val="16"/>
        </w:rPr>
        <w:t>a) El Presupuesto de Rentas contendrá la estimación de los ingresos corrientes de la Nación; de las contribuciones para fiscales cuando sean administradas por un órgano que haga parte del Presupuesto, de los fondos especiales, de los recursos de capital y de los ingresos de los establecimientos públicos del orden nacional;</w:t>
      </w:r>
    </w:p>
    <w:p w14:paraId="1614DD1A" w14:textId="77777777" w:rsidR="00F7793F" w:rsidRPr="00F73D92" w:rsidRDefault="00F7793F" w:rsidP="00F7793F">
      <w:pPr>
        <w:pStyle w:val="Textonotapie"/>
        <w:ind w:firstLine="708"/>
        <w:jc w:val="both"/>
        <w:rPr>
          <w:rFonts w:ascii="Verdana" w:hAnsi="Verdana" w:cs="Arial"/>
          <w:sz w:val="16"/>
          <w:szCs w:val="16"/>
        </w:rPr>
      </w:pPr>
      <w:r w:rsidRPr="00F73D92">
        <w:rPr>
          <w:rFonts w:ascii="Verdana" w:hAnsi="Verdana" w:cs="Arial"/>
          <w:sz w:val="16"/>
          <w:szCs w:val="16"/>
        </w:rPr>
        <w:t xml:space="preserve">b) El Presupuesto de Gastos o Ley de Apropiaciones. Incluirá las apropiaciones para la Rama Judicial, la Rama Legislativa, la Fiscalía General de la Nación, la Procuraduría General de la Nación, la Defensoría del Pueblo, la Contraloría General de la República, la </w:t>
      </w:r>
      <w:proofErr w:type="spellStart"/>
      <w:r w:rsidRPr="00F73D92">
        <w:rPr>
          <w:rFonts w:ascii="Verdana" w:hAnsi="Verdana" w:cs="Arial"/>
          <w:sz w:val="16"/>
          <w:szCs w:val="16"/>
        </w:rPr>
        <w:t>Registraduría</w:t>
      </w:r>
      <w:proofErr w:type="spellEnd"/>
      <w:r w:rsidRPr="00F73D92">
        <w:rPr>
          <w:rFonts w:ascii="Verdana" w:hAnsi="Verdana" w:cs="Arial"/>
          <w:sz w:val="16"/>
          <w:szCs w:val="16"/>
        </w:rPr>
        <w:t xml:space="preserve"> Nacional del Estado Civil que incluye el Consejo Nacional Electoral, los Ministerios, los Departamentos Administrativos, los Establecimientos Públicos y la Policía Nacional, distinguiendo entre gastos de funcionamiento, servicio de la deuda pública y gastos de inversión, clasificados y detallados en la forma que indiquen los reglamentos;</w:t>
      </w:r>
    </w:p>
    <w:p w14:paraId="3972ED50" w14:textId="77777777" w:rsidR="00F7793F" w:rsidRPr="00F73D92" w:rsidRDefault="00F7793F" w:rsidP="00F7793F">
      <w:pPr>
        <w:pStyle w:val="Textonotapie"/>
        <w:ind w:firstLine="708"/>
        <w:jc w:val="both"/>
        <w:rPr>
          <w:rFonts w:ascii="Verdana" w:hAnsi="Verdana" w:cs="Arial"/>
          <w:sz w:val="16"/>
          <w:szCs w:val="16"/>
          <w:lang w:val="es-CO"/>
        </w:rPr>
      </w:pPr>
      <w:r w:rsidRPr="00F73D92">
        <w:rPr>
          <w:rFonts w:ascii="Verdana" w:hAnsi="Verdana" w:cs="Arial"/>
          <w:sz w:val="16"/>
          <w:szCs w:val="16"/>
        </w:rPr>
        <w:t xml:space="preserve"> c) Disposiciones generales. Corresponde a las normas tendientes a asegurar la correcta ejecución del Presupuesto General de la Nación, las cuales regirán únicamente para el año fiscal para el cual se expidan.»</w:t>
      </w:r>
    </w:p>
  </w:footnote>
  <w:footnote w:id="13">
    <w:p w14:paraId="0906D8C1" w14:textId="77777777" w:rsidR="00F7793F" w:rsidRPr="00F73D92" w:rsidRDefault="00F7793F" w:rsidP="00F7793F">
      <w:pPr>
        <w:pStyle w:val="Textonotapie"/>
        <w:ind w:firstLine="709"/>
        <w:jc w:val="both"/>
        <w:rPr>
          <w:rFonts w:ascii="Verdana" w:hAnsi="Verdana"/>
          <w:sz w:val="16"/>
          <w:szCs w:val="16"/>
          <w:lang w:val="es-CO"/>
        </w:rPr>
      </w:pPr>
      <w:r w:rsidRPr="00F73D92">
        <w:rPr>
          <w:rStyle w:val="Refdenotaalpie"/>
          <w:rFonts w:ascii="Verdana" w:hAnsi="Verdana" w:cs="Arial"/>
          <w:sz w:val="16"/>
          <w:szCs w:val="16"/>
        </w:rPr>
        <w:footnoteRef/>
      </w:r>
      <w:r>
        <w:rPr>
          <w:rFonts w:ascii="Verdana" w:hAnsi="Verdana" w:cs="Arial"/>
          <w:sz w:val="16"/>
          <w:szCs w:val="16"/>
        </w:rPr>
        <w:t xml:space="preserve"> Decreto 1068 de 2015 “</w:t>
      </w:r>
      <w:r w:rsidRPr="00F73D92">
        <w:rPr>
          <w:rFonts w:ascii="Verdana" w:hAnsi="Verdana" w:cs="Arial"/>
          <w:sz w:val="16"/>
          <w:szCs w:val="16"/>
          <w:lang w:val="es-CO"/>
        </w:rPr>
        <w:t>Artículo </w:t>
      </w:r>
      <w:bookmarkStart w:id="6" w:name="2.8.3.4"/>
      <w:bookmarkEnd w:id="6"/>
      <w:r w:rsidRPr="00F73D92">
        <w:rPr>
          <w:rFonts w:ascii="Verdana" w:hAnsi="Verdana" w:cs="Arial"/>
          <w:sz w:val="16"/>
          <w:szCs w:val="16"/>
          <w:lang w:val="es-CO"/>
        </w:rPr>
        <w:t>2.8.3.4. </w:t>
      </w:r>
      <w:r w:rsidRPr="00F73D92">
        <w:rPr>
          <w:rFonts w:ascii="Verdana" w:hAnsi="Verdana" w:cs="Arial"/>
          <w:i/>
          <w:iCs/>
          <w:sz w:val="16"/>
          <w:szCs w:val="16"/>
          <w:lang w:val="es-CO"/>
        </w:rPr>
        <w:t>Anualidad.</w:t>
      </w:r>
      <w:r w:rsidRPr="00F73D92">
        <w:rPr>
          <w:rFonts w:ascii="Verdana" w:hAnsi="Verdana" w:cs="Arial"/>
          <w:sz w:val="16"/>
          <w:szCs w:val="16"/>
          <w:lang w:val="es-CO"/>
        </w:rPr>
        <w:t> El año fiscal comienza el 1 de enero y termina el 31 de diciembre de cada año. Después del 31 de diciembre no podrán asumirse compromisos con cargo a las apropiaciones del año fiscal que se cierra en esa fecha y los saldos de apropiación no afectados por compromisos caducarán sin excepción</w:t>
      </w:r>
      <w:r>
        <w:rPr>
          <w:rFonts w:ascii="Verdana" w:hAnsi="Verdana" w:cs="Arial"/>
          <w:sz w:val="16"/>
          <w:szCs w:val="16"/>
          <w:lang w:val="es-CO"/>
        </w:rPr>
        <w:t>”</w:t>
      </w:r>
      <w:r w:rsidRPr="00F73D92">
        <w:rPr>
          <w:rFonts w:ascii="Verdana" w:hAnsi="Verdana" w:cs="Arial"/>
          <w:sz w:val="16"/>
          <w:szCs w:val="16"/>
          <w:lang w:val="es-CO"/>
        </w:rP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3"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0"/>
  </w:num>
  <w:num w:numId="2">
    <w:abstractNumId w:val="2"/>
  </w:num>
  <w:num w:numId="3">
    <w:abstractNumId w:val="8"/>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7"/>
  </w:num>
  <w:num w:numId="7">
    <w:abstractNumId w:val="9"/>
  </w:num>
  <w:num w:numId="8">
    <w:abstractNumId w:val="16"/>
  </w:num>
  <w:num w:numId="9">
    <w:abstractNumId w:val="11"/>
  </w:num>
  <w:num w:numId="10">
    <w:abstractNumId w:val="15"/>
  </w:num>
  <w:num w:numId="11">
    <w:abstractNumId w:val="12"/>
  </w:num>
  <w:num w:numId="12">
    <w:abstractNumId w:val="0"/>
  </w:num>
  <w:num w:numId="13">
    <w:abstractNumId w:val="5"/>
  </w:num>
  <w:num w:numId="14">
    <w:abstractNumId w:val="18"/>
  </w:num>
  <w:num w:numId="15">
    <w:abstractNumId w:val="14"/>
  </w:num>
  <w:num w:numId="16">
    <w:abstractNumId w:val="6"/>
  </w:num>
  <w:num w:numId="17">
    <w:abstractNumId w:val="13"/>
  </w:num>
  <w:num w:numId="18">
    <w:abstractNumId w:val="21"/>
  </w:num>
  <w:num w:numId="19">
    <w:abstractNumId w:val="20"/>
  </w:num>
  <w:num w:numId="20">
    <w:abstractNumId w:val="1"/>
  </w:num>
  <w:num w:numId="21">
    <w:abstractNumId w:val="4"/>
  </w:num>
  <w:num w:numId="22">
    <w:abstractNumId w:val="7"/>
  </w:num>
  <w:num w:numId="23">
    <w:abstractNumId w:val="3"/>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34D5"/>
    <w:rsid w:val="00016F78"/>
    <w:rsid w:val="000353BD"/>
    <w:rsid w:val="00046945"/>
    <w:rsid w:val="00061B2A"/>
    <w:rsid w:val="000711CF"/>
    <w:rsid w:val="00076D52"/>
    <w:rsid w:val="00080B1D"/>
    <w:rsid w:val="00082362"/>
    <w:rsid w:val="000A683E"/>
    <w:rsid w:val="000B19B9"/>
    <w:rsid w:val="000B27F0"/>
    <w:rsid w:val="000C5A9E"/>
    <w:rsid w:val="000D0334"/>
    <w:rsid w:val="000D1DC8"/>
    <w:rsid w:val="000D5DA7"/>
    <w:rsid w:val="000F078F"/>
    <w:rsid w:val="000F3444"/>
    <w:rsid w:val="000F6486"/>
    <w:rsid w:val="00105C57"/>
    <w:rsid w:val="001168F2"/>
    <w:rsid w:val="00116940"/>
    <w:rsid w:val="00125105"/>
    <w:rsid w:val="00127233"/>
    <w:rsid w:val="001328F3"/>
    <w:rsid w:val="0015699B"/>
    <w:rsid w:val="00171640"/>
    <w:rsid w:val="00174D6E"/>
    <w:rsid w:val="001A33BF"/>
    <w:rsid w:val="001C5AE4"/>
    <w:rsid w:val="001D02CC"/>
    <w:rsid w:val="001E2E05"/>
    <w:rsid w:val="001E4177"/>
    <w:rsid w:val="001F0B24"/>
    <w:rsid w:val="001F7DC6"/>
    <w:rsid w:val="00212AD1"/>
    <w:rsid w:val="002209DE"/>
    <w:rsid w:val="0022400B"/>
    <w:rsid w:val="002421BB"/>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F0847"/>
    <w:rsid w:val="0030657A"/>
    <w:rsid w:val="003136DC"/>
    <w:rsid w:val="00316053"/>
    <w:rsid w:val="00322A85"/>
    <w:rsid w:val="00322C00"/>
    <w:rsid w:val="00324168"/>
    <w:rsid w:val="00330834"/>
    <w:rsid w:val="003332A8"/>
    <w:rsid w:val="003448F4"/>
    <w:rsid w:val="00374F5E"/>
    <w:rsid w:val="003769E1"/>
    <w:rsid w:val="00377E3E"/>
    <w:rsid w:val="00381BAB"/>
    <w:rsid w:val="003A779E"/>
    <w:rsid w:val="003C0ED7"/>
    <w:rsid w:val="003D0F4D"/>
    <w:rsid w:val="003D5B0D"/>
    <w:rsid w:val="003E0499"/>
    <w:rsid w:val="003E4F80"/>
    <w:rsid w:val="003E6439"/>
    <w:rsid w:val="003F3941"/>
    <w:rsid w:val="00403EFA"/>
    <w:rsid w:val="00406575"/>
    <w:rsid w:val="004140B3"/>
    <w:rsid w:val="00414C74"/>
    <w:rsid w:val="0042722E"/>
    <w:rsid w:val="0044528D"/>
    <w:rsid w:val="00451137"/>
    <w:rsid w:val="004555EA"/>
    <w:rsid w:val="00466E39"/>
    <w:rsid w:val="00484E40"/>
    <w:rsid w:val="0048787A"/>
    <w:rsid w:val="00494F04"/>
    <w:rsid w:val="004A0A0B"/>
    <w:rsid w:val="004A1847"/>
    <w:rsid w:val="004A305D"/>
    <w:rsid w:val="004B3DAC"/>
    <w:rsid w:val="004C0DBB"/>
    <w:rsid w:val="004F21C4"/>
    <w:rsid w:val="004F685F"/>
    <w:rsid w:val="00513BF7"/>
    <w:rsid w:val="00517955"/>
    <w:rsid w:val="005229DB"/>
    <w:rsid w:val="00534886"/>
    <w:rsid w:val="00536A0E"/>
    <w:rsid w:val="005566E8"/>
    <w:rsid w:val="00560892"/>
    <w:rsid w:val="00572622"/>
    <w:rsid w:val="00573280"/>
    <w:rsid w:val="00574867"/>
    <w:rsid w:val="00591460"/>
    <w:rsid w:val="00592C94"/>
    <w:rsid w:val="005A65E0"/>
    <w:rsid w:val="005C0881"/>
    <w:rsid w:val="005C3777"/>
    <w:rsid w:val="005C5CDC"/>
    <w:rsid w:val="005D2566"/>
    <w:rsid w:val="005D476C"/>
    <w:rsid w:val="005E4393"/>
    <w:rsid w:val="005F20A4"/>
    <w:rsid w:val="00600D92"/>
    <w:rsid w:val="00603C5B"/>
    <w:rsid w:val="006200BF"/>
    <w:rsid w:val="0062143E"/>
    <w:rsid w:val="006219F8"/>
    <w:rsid w:val="00624A89"/>
    <w:rsid w:val="006302F7"/>
    <w:rsid w:val="00646B9F"/>
    <w:rsid w:val="00663A04"/>
    <w:rsid w:val="00665D70"/>
    <w:rsid w:val="00684F67"/>
    <w:rsid w:val="006900D9"/>
    <w:rsid w:val="0069741A"/>
    <w:rsid w:val="006A2BE4"/>
    <w:rsid w:val="006B4707"/>
    <w:rsid w:val="006D13BA"/>
    <w:rsid w:val="006D591D"/>
    <w:rsid w:val="006F2238"/>
    <w:rsid w:val="007009D7"/>
    <w:rsid w:val="007025D7"/>
    <w:rsid w:val="00706C16"/>
    <w:rsid w:val="0071557C"/>
    <w:rsid w:val="00731F30"/>
    <w:rsid w:val="007340C3"/>
    <w:rsid w:val="0073510E"/>
    <w:rsid w:val="007458D3"/>
    <w:rsid w:val="0075235A"/>
    <w:rsid w:val="00752CDB"/>
    <w:rsid w:val="0075557D"/>
    <w:rsid w:val="00756841"/>
    <w:rsid w:val="007649AB"/>
    <w:rsid w:val="00771AEF"/>
    <w:rsid w:val="00771D0C"/>
    <w:rsid w:val="00782ED2"/>
    <w:rsid w:val="007833AC"/>
    <w:rsid w:val="00795086"/>
    <w:rsid w:val="007A1830"/>
    <w:rsid w:val="007B268C"/>
    <w:rsid w:val="007B7171"/>
    <w:rsid w:val="007C0C0F"/>
    <w:rsid w:val="007C3DC2"/>
    <w:rsid w:val="007C4353"/>
    <w:rsid w:val="007D3058"/>
    <w:rsid w:val="007D4B12"/>
    <w:rsid w:val="007E43AC"/>
    <w:rsid w:val="007E5497"/>
    <w:rsid w:val="00806F5F"/>
    <w:rsid w:val="00820278"/>
    <w:rsid w:val="008258C9"/>
    <w:rsid w:val="00830893"/>
    <w:rsid w:val="00833286"/>
    <w:rsid w:val="00836232"/>
    <w:rsid w:val="00844AE9"/>
    <w:rsid w:val="0085545E"/>
    <w:rsid w:val="00867F95"/>
    <w:rsid w:val="00871AAC"/>
    <w:rsid w:val="008843B6"/>
    <w:rsid w:val="00891928"/>
    <w:rsid w:val="008A446D"/>
    <w:rsid w:val="008B0D0F"/>
    <w:rsid w:val="008B25F1"/>
    <w:rsid w:val="008C11FD"/>
    <w:rsid w:val="008C4DD5"/>
    <w:rsid w:val="008C517A"/>
    <w:rsid w:val="008C6AE5"/>
    <w:rsid w:val="008D1660"/>
    <w:rsid w:val="008D180B"/>
    <w:rsid w:val="008F0EA7"/>
    <w:rsid w:val="008F17DC"/>
    <w:rsid w:val="008F4334"/>
    <w:rsid w:val="008F6705"/>
    <w:rsid w:val="009037F6"/>
    <w:rsid w:val="00910866"/>
    <w:rsid w:val="0091143C"/>
    <w:rsid w:val="00923EEF"/>
    <w:rsid w:val="009419F9"/>
    <w:rsid w:val="009531A7"/>
    <w:rsid w:val="0095685E"/>
    <w:rsid w:val="00961B09"/>
    <w:rsid w:val="00964321"/>
    <w:rsid w:val="00965334"/>
    <w:rsid w:val="0097093E"/>
    <w:rsid w:val="009722DE"/>
    <w:rsid w:val="00984DB3"/>
    <w:rsid w:val="00992E19"/>
    <w:rsid w:val="009A0486"/>
    <w:rsid w:val="009A0DFA"/>
    <w:rsid w:val="009B2D26"/>
    <w:rsid w:val="009C71FA"/>
    <w:rsid w:val="009C72E7"/>
    <w:rsid w:val="009C7F7E"/>
    <w:rsid w:val="009D23F2"/>
    <w:rsid w:val="009D3058"/>
    <w:rsid w:val="009E1F28"/>
    <w:rsid w:val="009F3A13"/>
    <w:rsid w:val="00A0334B"/>
    <w:rsid w:val="00A122D3"/>
    <w:rsid w:val="00A14468"/>
    <w:rsid w:val="00A17F13"/>
    <w:rsid w:val="00A20739"/>
    <w:rsid w:val="00A23AF9"/>
    <w:rsid w:val="00A31A76"/>
    <w:rsid w:val="00A33C78"/>
    <w:rsid w:val="00A73F45"/>
    <w:rsid w:val="00AB0ADB"/>
    <w:rsid w:val="00AB436E"/>
    <w:rsid w:val="00AD2B2D"/>
    <w:rsid w:val="00AE3513"/>
    <w:rsid w:val="00AF5A10"/>
    <w:rsid w:val="00B00C0E"/>
    <w:rsid w:val="00B01B1A"/>
    <w:rsid w:val="00B04DA1"/>
    <w:rsid w:val="00B44A47"/>
    <w:rsid w:val="00B54271"/>
    <w:rsid w:val="00B5550F"/>
    <w:rsid w:val="00B6149C"/>
    <w:rsid w:val="00B72CD3"/>
    <w:rsid w:val="00B72FFF"/>
    <w:rsid w:val="00B74092"/>
    <w:rsid w:val="00B95DAC"/>
    <w:rsid w:val="00BA703D"/>
    <w:rsid w:val="00BC3D36"/>
    <w:rsid w:val="00BC70CB"/>
    <w:rsid w:val="00BD13AC"/>
    <w:rsid w:val="00BD54A6"/>
    <w:rsid w:val="00BD7F72"/>
    <w:rsid w:val="00BF056C"/>
    <w:rsid w:val="00BF5C08"/>
    <w:rsid w:val="00BF7425"/>
    <w:rsid w:val="00C04FB3"/>
    <w:rsid w:val="00C11D8B"/>
    <w:rsid w:val="00C15A7E"/>
    <w:rsid w:val="00C251B0"/>
    <w:rsid w:val="00C330EB"/>
    <w:rsid w:val="00C419DF"/>
    <w:rsid w:val="00C50D69"/>
    <w:rsid w:val="00C5365C"/>
    <w:rsid w:val="00C754BE"/>
    <w:rsid w:val="00C76B1C"/>
    <w:rsid w:val="00C925AC"/>
    <w:rsid w:val="00C94828"/>
    <w:rsid w:val="00C963BE"/>
    <w:rsid w:val="00CB6357"/>
    <w:rsid w:val="00CC1B26"/>
    <w:rsid w:val="00CE3C1C"/>
    <w:rsid w:val="00CE4026"/>
    <w:rsid w:val="00D06146"/>
    <w:rsid w:val="00D0699E"/>
    <w:rsid w:val="00D22D2B"/>
    <w:rsid w:val="00D334DD"/>
    <w:rsid w:val="00D361FD"/>
    <w:rsid w:val="00D423A2"/>
    <w:rsid w:val="00D44E26"/>
    <w:rsid w:val="00D51A5D"/>
    <w:rsid w:val="00D520D8"/>
    <w:rsid w:val="00D532D4"/>
    <w:rsid w:val="00D62B9C"/>
    <w:rsid w:val="00D63AC2"/>
    <w:rsid w:val="00D7383B"/>
    <w:rsid w:val="00D7788A"/>
    <w:rsid w:val="00D936A2"/>
    <w:rsid w:val="00DA231B"/>
    <w:rsid w:val="00DB55DA"/>
    <w:rsid w:val="00DC39FC"/>
    <w:rsid w:val="00DC7CCB"/>
    <w:rsid w:val="00DF5254"/>
    <w:rsid w:val="00E02524"/>
    <w:rsid w:val="00E1159D"/>
    <w:rsid w:val="00E1451E"/>
    <w:rsid w:val="00E16408"/>
    <w:rsid w:val="00E20894"/>
    <w:rsid w:val="00E245AB"/>
    <w:rsid w:val="00E27341"/>
    <w:rsid w:val="00E2764C"/>
    <w:rsid w:val="00E27F2E"/>
    <w:rsid w:val="00E31225"/>
    <w:rsid w:val="00E50AFE"/>
    <w:rsid w:val="00E577E2"/>
    <w:rsid w:val="00E75C92"/>
    <w:rsid w:val="00E771DC"/>
    <w:rsid w:val="00E8772A"/>
    <w:rsid w:val="00E90F6B"/>
    <w:rsid w:val="00E92C27"/>
    <w:rsid w:val="00EA0E3D"/>
    <w:rsid w:val="00EA426C"/>
    <w:rsid w:val="00EB224C"/>
    <w:rsid w:val="00EC006D"/>
    <w:rsid w:val="00EC297F"/>
    <w:rsid w:val="00EC38A7"/>
    <w:rsid w:val="00ED4980"/>
    <w:rsid w:val="00EE1AA8"/>
    <w:rsid w:val="00EF1D4F"/>
    <w:rsid w:val="00EF5E13"/>
    <w:rsid w:val="00EF647F"/>
    <w:rsid w:val="00F03314"/>
    <w:rsid w:val="00F23FEA"/>
    <w:rsid w:val="00F27B7B"/>
    <w:rsid w:val="00F31EDC"/>
    <w:rsid w:val="00F34294"/>
    <w:rsid w:val="00F462B3"/>
    <w:rsid w:val="00F5664F"/>
    <w:rsid w:val="00F666C4"/>
    <w:rsid w:val="00F76AFC"/>
    <w:rsid w:val="00F7793F"/>
    <w:rsid w:val="00F81BF0"/>
    <w:rsid w:val="00F82E88"/>
    <w:rsid w:val="00F86E11"/>
    <w:rsid w:val="00F95C74"/>
    <w:rsid w:val="00FA47C0"/>
    <w:rsid w:val="00FA5FFD"/>
    <w:rsid w:val="00FB5DD1"/>
    <w:rsid w:val="00FC2B5D"/>
    <w:rsid w:val="00FD1DDC"/>
    <w:rsid w:val="00FD3AD2"/>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793F"/>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eb.icetex.gov.co/inversiones/fondos-en-administracio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smaberi@hotmail.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eb.icetex.gov.co/inversiones/fondos-en-administracion"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3.xml><?xml version="1.0" encoding="utf-8"?>
<ds:datastoreItem xmlns:ds="http://schemas.openxmlformats.org/officeDocument/2006/customXml" ds:itemID="{8EEA5F0C-85C8-40AB-8081-1D9455888FE6}"/>
</file>

<file path=customXml/itemProps4.xml><?xml version="1.0" encoding="utf-8"?>
<ds:datastoreItem xmlns:ds="http://schemas.openxmlformats.org/officeDocument/2006/customXml" ds:itemID="{A44027D3-0345-44DF-90C1-DFD58DD61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19</Pages>
  <Words>6081</Words>
  <Characters>34668</Characters>
  <Application>Microsoft Office Word</Application>
  <DocSecurity>0</DocSecurity>
  <Lines>288</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2025-11-28T21:48:00Z</dcterms:created>
  <dcterms:modified xsi:type="dcterms:W3CDTF">2025-11-29T01:54:00Z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