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2C5F2" w14:textId="77777777" w:rsidR="004A6BA2" w:rsidRDefault="004A6BA2" w:rsidP="004A6BA2">
      <w:pPr>
        <w:spacing w:after="0" w:line="240" w:lineRule="auto"/>
        <w:jc w:val="both"/>
        <w:rPr>
          <w:rFonts w:ascii="Verdana" w:eastAsia="Calibri" w:hAnsi="Verdana" w:cs="Times New Roman"/>
          <w:b/>
          <w:bCs/>
          <w:color w:val="000000"/>
          <w:lang w:val="es-ES_tradnl" w:eastAsia="es-ES_tradnl"/>
        </w:rPr>
      </w:pPr>
      <w:bookmarkStart w:id="0" w:name="_Hlk186494164"/>
      <w:r>
        <w:rPr>
          <w:rFonts w:ascii="Verdana" w:eastAsia="Times New Roman" w:hAnsi="Verdana" w:cs="Times New Roman"/>
          <w:b/>
          <w:bCs/>
          <w:color w:val="000000"/>
          <w:lang w:val="es-ES_tradnl" w:eastAsia="es-ES_tradnl"/>
        </w:rPr>
        <w:t>CONTRATOS CON ESAL</w:t>
      </w:r>
      <w:r>
        <w:rPr>
          <w:rFonts w:ascii="Verdana" w:eastAsia="Calibri" w:hAnsi="Verdana" w:cs="Times New Roman"/>
          <w:b/>
          <w:bCs/>
          <w:color w:val="000000"/>
          <w:lang w:val="es-ES_tradnl" w:eastAsia="es-ES_tradnl"/>
        </w:rPr>
        <w:t>–</w:t>
      </w:r>
      <w:r>
        <w:rPr>
          <w:rFonts w:ascii="Verdana" w:eastAsia="Times New Roman" w:hAnsi="Verdana" w:cs="Times New Roman"/>
          <w:b/>
          <w:bCs/>
          <w:color w:val="000000"/>
          <w:lang w:val="es-ES_tradnl" w:eastAsia="es-ES_tradnl"/>
        </w:rPr>
        <w:t xml:space="preserve"> Constitución </w:t>
      </w:r>
      <w:r>
        <w:rPr>
          <w:rFonts w:ascii="Verdana" w:eastAsia="Calibri" w:hAnsi="Verdana" w:cs="Times New Roman"/>
          <w:b/>
          <w:bCs/>
          <w:color w:val="000000"/>
          <w:lang w:val="es-ES_tradnl" w:eastAsia="es-ES_tradnl"/>
        </w:rPr>
        <w:t>–</w:t>
      </w:r>
      <w:r>
        <w:rPr>
          <w:rFonts w:ascii="Verdana" w:eastAsia="Times New Roman" w:hAnsi="Verdana" w:cs="Times New Roman"/>
          <w:b/>
          <w:bCs/>
          <w:color w:val="000000"/>
          <w:lang w:val="es-ES_tradnl" w:eastAsia="es-ES_tradnl"/>
        </w:rPr>
        <w:t xml:space="preserve"> Artículo 355 –</w:t>
      </w:r>
      <w:r>
        <w:rPr>
          <w:rFonts w:ascii="Verdana" w:eastAsia="Calibri" w:hAnsi="Verdana" w:cs="Times New Roman"/>
          <w:b/>
          <w:bCs/>
          <w:color w:val="000000"/>
          <w:lang w:val="es-ES_tradnl" w:eastAsia="es-ES_tradnl"/>
        </w:rPr>
        <w:t xml:space="preserve"> Fundamento </w:t>
      </w:r>
    </w:p>
    <w:p w14:paraId="74D0BFE9" w14:textId="77777777" w:rsidR="004A6BA2" w:rsidRDefault="004A6BA2" w:rsidP="004A6BA2">
      <w:pPr>
        <w:spacing w:after="0" w:line="240" w:lineRule="auto"/>
        <w:jc w:val="both"/>
        <w:rPr>
          <w:rFonts w:ascii="Verdana" w:eastAsia="Calibri" w:hAnsi="Verdana" w:cs="Arial"/>
          <w:color w:val="000000"/>
          <w:sz w:val="20"/>
          <w:szCs w:val="20"/>
          <w:lang w:val="es-ES"/>
        </w:rPr>
      </w:pPr>
    </w:p>
    <w:p w14:paraId="075F362C" w14:textId="77777777" w:rsidR="004A6BA2" w:rsidRDefault="004A6BA2" w:rsidP="004A6BA2">
      <w:pPr>
        <w:spacing w:after="0" w:line="240" w:lineRule="auto"/>
        <w:jc w:val="both"/>
        <w:rPr>
          <w:rFonts w:ascii="Verdana" w:eastAsia="Aptos" w:hAnsi="Verdana" w:cs="Arial"/>
          <w:sz w:val="20"/>
          <w:szCs w:val="20"/>
        </w:rPr>
      </w:pPr>
      <w:r>
        <w:rPr>
          <w:rFonts w:ascii="Verdana" w:eastAsia="Aptos" w:hAnsi="Verdana" w:cs="Arial"/>
          <w:sz w:val="20"/>
          <w:szCs w:val="20"/>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6AADF872" w14:textId="77777777" w:rsidR="004A6BA2" w:rsidRDefault="004A6BA2" w:rsidP="004A6BA2">
      <w:pPr>
        <w:spacing w:after="0" w:line="240" w:lineRule="auto"/>
        <w:jc w:val="both"/>
        <w:rPr>
          <w:rFonts w:ascii="Verdana" w:eastAsia="Calibri" w:hAnsi="Verdana" w:cs="Arial"/>
          <w:color w:val="000000"/>
          <w:sz w:val="20"/>
          <w:szCs w:val="20"/>
        </w:rPr>
      </w:pPr>
    </w:p>
    <w:p w14:paraId="2F210BAD" w14:textId="77777777" w:rsidR="004A6BA2" w:rsidRDefault="004A6BA2" w:rsidP="004A6BA2">
      <w:pPr>
        <w:spacing w:after="0" w:line="240" w:lineRule="auto"/>
        <w:jc w:val="both"/>
        <w:rPr>
          <w:rFonts w:ascii="Verdana" w:eastAsia="Calibri" w:hAnsi="Verdana" w:cs="Times New Roman"/>
          <w:b/>
          <w:bCs/>
          <w:color w:val="000000"/>
          <w:lang w:val="es-ES_tradnl" w:eastAsia="es-ES_tradnl"/>
        </w:rPr>
      </w:pPr>
      <w:r>
        <w:rPr>
          <w:rFonts w:ascii="Verdana" w:eastAsia="Times New Roman" w:hAnsi="Verdana" w:cs="Times New Roman"/>
          <w:b/>
          <w:bCs/>
          <w:color w:val="000000"/>
          <w:lang w:val="es-ES_tradnl" w:eastAsia="es-ES_tradnl"/>
        </w:rPr>
        <w:t xml:space="preserve">TIPOS DE CONTRATOS </w:t>
      </w:r>
      <w:r>
        <w:rPr>
          <w:rFonts w:ascii="Verdana" w:eastAsia="Calibri" w:hAnsi="Verdana" w:cs="Times New Roman"/>
          <w:b/>
          <w:bCs/>
          <w:color w:val="000000"/>
          <w:lang w:val="es-ES_tradnl" w:eastAsia="es-ES_tradnl"/>
        </w:rPr>
        <w:t xml:space="preserve">– ESAL – Constitución Política – </w:t>
      </w:r>
      <w:r>
        <w:rPr>
          <w:rFonts w:ascii="Verdana" w:eastAsia="Times New Roman" w:hAnsi="Verdana" w:cs="Times New Roman"/>
          <w:b/>
          <w:bCs/>
          <w:color w:val="000000"/>
          <w:lang w:val="es-ES_tradnl" w:eastAsia="es-ES_tradnl"/>
        </w:rPr>
        <w:t xml:space="preserve">Artículo 355 </w:t>
      </w:r>
      <w:r>
        <w:rPr>
          <w:rFonts w:ascii="Verdana" w:eastAsia="Calibri" w:hAnsi="Verdana" w:cs="Times New Roman"/>
          <w:b/>
          <w:bCs/>
          <w:color w:val="000000"/>
          <w:lang w:val="es-ES_tradnl" w:eastAsia="es-ES_tradnl"/>
        </w:rPr>
        <w:t>– Ley 489 – Artículo 96</w:t>
      </w:r>
    </w:p>
    <w:p w14:paraId="21C9B2A8" w14:textId="77777777" w:rsidR="004A6BA2" w:rsidRDefault="004A6BA2" w:rsidP="004A6BA2">
      <w:pPr>
        <w:spacing w:after="0" w:line="240" w:lineRule="auto"/>
        <w:jc w:val="both"/>
        <w:rPr>
          <w:rFonts w:ascii="Verdana" w:eastAsia="Calibri" w:hAnsi="Verdana" w:cs="Arial"/>
          <w:color w:val="000000"/>
          <w:sz w:val="20"/>
          <w:szCs w:val="20"/>
          <w:lang w:val="es-ES"/>
        </w:rPr>
      </w:pPr>
    </w:p>
    <w:p w14:paraId="51D7A375" w14:textId="77777777" w:rsidR="004A6BA2" w:rsidRDefault="004A6BA2" w:rsidP="004A6BA2">
      <w:pPr>
        <w:spacing w:after="0" w:line="240" w:lineRule="auto"/>
        <w:jc w:val="both"/>
        <w:rPr>
          <w:rFonts w:ascii="Verdana" w:eastAsia="Calibri" w:hAnsi="Verdana" w:cs="Arial"/>
          <w:sz w:val="20"/>
          <w:szCs w:val="20"/>
        </w:rPr>
      </w:pPr>
      <w:r>
        <w:rPr>
          <w:rFonts w:ascii="Verdana" w:eastAsia="Aptos" w:hAnsi="Verdana" w:cs="Arial"/>
          <w:sz w:val="20"/>
          <w:szCs w:val="20"/>
        </w:rPr>
        <w:t>El Gobierno Nacional, en desarrollo del artículo 355 de la Constitución Política, expidió el Decreto 092 de 2017, q</w:t>
      </w:r>
      <w:r>
        <w:rPr>
          <w:rFonts w:ascii="Verdana" w:eastAsia="Calibri" w:hAnsi="Verdana" w:cs="Arial"/>
          <w:sz w:val="20"/>
          <w:szCs w:val="20"/>
        </w:rPr>
        <w:t xml:space="preserve">ue dispone las reglas para las contrataciones que realicen las Entidades Estatales con las ESAL. El Decreto regula dos (2) eventos: i) </w:t>
      </w:r>
      <w:r>
        <w:rPr>
          <w:rFonts w:ascii="Verdana" w:eastAsia="Calibri" w:hAnsi="Verdana" w:cs="Arial"/>
          <w:sz w:val="20"/>
          <w:szCs w:val="20"/>
          <w:lang w:eastAsia="es-ES_tradnl"/>
        </w:rPr>
        <w:t xml:space="preserve">los </w:t>
      </w:r>
      <w:r>
        <w:rPr>
          <w:rFonts w:ascii="Verdana" w:eastAsia="Calibri" w:hAnsi="Verdana" w:cs="Arial"/>
          <w:i/>
          <w:iCs/>
          <w:sz w:val="20"/>
          <w:szCs w:val="20"/>
          <w:lang w:eastAsia="es-ES_tradnl"/>
        </w:rPr>
        <w:t>contratos de colaboración</w:t>
      </w:r>
      <w:r>
        <w:rPr>
          <w:rFonts w:ascii="Verdana" w:eastAsia="Calibri" w:hAnsi="Verdana" w:cs="Arial"/>
          <w:sz w:val="20"/>
          <w:szCs w:val="20"/>
          <w:lang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Pr>
          <w:rFonts w:ascii="Verdana" w:eastAsia="Calibri" w:hAnsi="Verdana" w:cs="Arial"/>
          <w:sz w:val="20"/>
          <w:szCs w:val="20"/>
        </w:rPr>
        <w:t xml:space="preserve"> y; </w:t>
      </w:r>
      <w:proofErr w:type="spellStart"/>
      <w:r>
        <w:rPr>
          <w:rFonts w:ascii="Verdana" w:eastAsia="Calibri" w:hAnsi="Verdana" w:cs="Arial"/>
          <w:sz w:val="20"/>
          <w:szCs w:val="20"/>
        </w:rPr>
        <w:t>ii</w:t>
      </w:r>
      <w:proofErr w:type="spellEnd"/>
      <w:r>
        <w:rPr>
          <w:rFonts w:ascii="Verdana" w:eastAsia="Calibri" w:hAnsi="Verdana" w:cs="Arial"/>
          <w:sz w:val="20"/>
          <w:szCs w:val="20"/>
        </w:rPr>
        <w:t xml:space="preserve">) los </w:t>
      </w:r>
      <w:r>
        <w:rPr>
          <w:rFonts w:ascii="Verdana" w:eastAsia="Calibri" w:hAnsi="Verdana" w:cs="Arial"/>
          <w:i/>
          <w:iCs/>
          <w:sz w:val="20"/>
          <w:szCs w:val="20"/>
        </w:rPr>
        <w:t>convenios de asociación</w:t>
      </w:r>
      <w:r>
        <w:rPr>
          <w:rFonts w:ascii="Verdana" w:eastAsia="Calibri" w:hAnsi="Verdana" w:cs="Arial"/>
          <w:sz w:val="20"/>
          <w:szCs w:val="20"/>
        </w:rPr>
        <w:t xml:space="preserve">, para el desarrollo conjunto de actividades relacionadas con las funciones de las Entidades Estatales, en desarrollo del artículo 96 de la Ley 489 de 1998. </w:t>
      </w:r>
      <w:r>
        <w:rPr>
          <w:rFonts w:ascii="Verdana" w:eastAsia="Calibri" w:hAnsi="Verdana" w:cs="Arial"/>
          <w:sz w:val="20"/>
          <w:szCs w:val="20"/>
          <w:lang w:eastAsia="es-ES_tradnl"/>
        </w:rPr>
        <w:t xml:space="preserve">Los primeros están regulados en el artículo 2 del Decreto 092 de 2017, mientras que los segundos en los artículos 5, 6, 7 y 8 </w:t>
      </w:r>
      <w:r>
        <w:rPr>
          <w:rFonts w:ascii="Verdana" w:eastAsia="Calibri" w:hAnsi="Verdana" w:cs="Arial"/>
          <w:i/>
          <w:iCs/>
          <w:sz w:val="20"/>
          <w:szCs w:val="20"/>
          <w:lang w:eastAsia="es-ES_tradnl"/>
        </w:rPr>
        <w:t>ibidem</w:t>
      </w:r>
      <w:r>
        <w:rPr>
          <w:rFonts w:ascii="Verdana" w:eastAsia="Calibri" w:hAnsi="Verdana" w:cs="Arial"/>
          <w:sz w:val="20"/>
          <w:szCs w:val="20"/>
          <w:lang w:eastAsia="es-ES_tradnl"/>
        </w:rPr>
        <w:t xml:space="preserve">. Es posible diferenciar, pues, los </w:t>
      </w:r>
      <w:r>
        <w:rPr>
          <w:rFonts w:ascii="Verdana" w:eastAsia="Calibri" w:hAnsi="Verdana" w:cs="Arial"/>
          <w:i/>
          <w:iCs/>
          <w:sz w:val="20"/>
          <w:szCs w:val="20"/>
          <w:lang w:eastAsia="es-ES_tradnl"/>
        </w:rPr>
        <w:t>convenios de asociación</w:t>
      </w:r>
      <w:r>
        <w:rPr>
          <w:rFonts w:ascii="Verdana" w:eastAsia="Calibri" w:hAnsi="Verdana" w:cs="Arial"/>
          <w:sz w:val="20"/>
          <w:szCs w:val="20"/>
          <w:lang w:eastAsia="es-ES_tradnl"/>
        </w:rPr>
        <w:t xml:space="preserve">, regulados en el artículo 5, de los </w:t>
      </w:r>
      <w:r>
        <w:rPr>
          <w:rFonts w:ascii="Verdana" w:eastAsia="Calibri" w:hAnsi="Verdana" w:cs="Arial"/>
          <w:i/>
          <w:iCs/>
          <w:sz w:val="20"/>
          <w:szCs w:val="20"/>
          <w:lang w:eastAsia="es-ES_tradnl"/>
        </w:rPr>
        <w:t>contratos de colaboración</w:t>
      </w:r>
      <w:r>
        <w:rPr>
          <w:rFonts w:ascii="Verdana" w:eastAsia="Calibri" w:hAnsi="Verdana" w:cs="Arial"/>
          <w:sz w:val="20"/>
          <w:szCs w:val="20"/>
          <w:lang w:eastAsia="es-ES_tradnl"/>
        </w:rPr>
        <w:t>, establecidos en el artículo 2 del Decreto 092 de 2017.</w:t>
      </w:r>
    </w:p>
    <w:p w14:paraId="58A6A3D5" w14:textId="77777777" w:rsidR="004A6BA2" w:rsidRDefault="004A6BA2" w:rsidP="004A6BA2">
      <w:pPr>
        <w:spacing w:after="0" w:line="240" w:lineRule="auto"/>
        <w:jc w:val="both"/>
        <w:rPr>
          <w:rFonts w:ascii="Verdana" w:eastAsia="Calibri" w:hAnsi="Verdana" w:cs="Arial"/>
          <w:sz w:val="20"/>
          <w:szCs w:val="20"/>
        </w:rPr>
      </w:pPr>
    </w:p>
    <w:p w14:paraId="0BE8048A" w14:textId="77777777" w:rsidR="004A6BA2" w:rsidRDefault="004A6BA2" w:rsidP="004A6BA2">
      <w:pPr>
        <w:spacing w:after="0" w:line="240" w:lineRule="auto"/>
        <w:jc w:val="both"/>
        <w:rPr>
          <w:rFonts w:ascii="Verdana" w:eastAsia="Calibri" w:hAnsi="Verdana" w:cs="Arial"/>
          <w:sz w:val="20"/>
          <w:szCs w:val="20"/>
        </w:rPr>
      </w:pPr>
      <w:r>
        <w:rPr>
          <w:rFonts w:ascii="Verdana" w:eastAsia="Calibri" w:hAnsi="Verdana" w:cs="Arial"/>
          <w:sz w:val="20"/>
          <w:szCs w:val="20"/>
        </w:rPr>
        <w:t xml:space="preserve">De un lado, los </w:t>
      </w:r>
      <w:r>
        <w:rPr>
          <w:rFonts w:ascii="Verdana" w:eastAsia="Calibri" w:hAnsi="Verdana" w:cs="Arial"/>
          <w:i/>
          <w:iCs/>
          <w:sz w:val="20"/>
          <w:szCs w:val="20"/>
        </w:rPr>
        <w:t>contratos del artículo 355 de la Constitución Política</w:t>
      </w:r>
      <w:r>
        <w:rPr>
          <w:rFonts w:ascii="Verdana" w:eastAsia="Calibri" w:hAnsi="Verdana" w:cs="Arial"/>
          <w:sz w:val="20"/>
          <w:szCs w:val="20"/>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5F02D3A9" w14:textId="77777777" w:rsidR="004A6BA2" w:rsidRDefault="004A6BA2" w:rsidP="004A6BA2">
      <w:pPr>
        <w:spacing w:after="0" w:line="240" w:lineRule="auto"/>
        <w:jc w:val="both"/>
        <w:rPr>
          <w:rFonts w:ascii="Verdana" w:eastAsia="Calibri" w:hAnsi="Verdana" w:cs="Arial"/>
          <w:sz w:val="20"/>
          <w:szCs w:val="20"/>
        </w:rPr>
      </w:pPr>
    </w:p>
    <w:p w14:paraId="0A7ED6B6" w14:textId="77777777" w:rsidR="004A6BA2" w:rsidRDefault="004A6BA2" w:rsidP="004A6BA2">
      <w:pPr>
        <w:spacing w:after="0" w:line="240" w:lineRule="auto"/>
        <w:jc w:val="both"/>
        <w:rPr>
          <w:rFonts w:ascii="Verdana" w:eastAsia="Calibri" w:hAnsi="Verdana" w:cs="Arial"/>
          <w:sz w:val="20"/>
          <w:szCs w:val="20"/>
        </w:rPr>
      </w:pPr>
      <w:r>
        <w:rPr>
          <w:rFonts w:ascii="Verdana" w:eastAsia="Calibri" w:hAnsi="Verdana" w:cs="Arial"/>
          <w:sz w:val="20"/>
          <w:szCs w:val="20"/>
        </w:rPr>
        <w:t xml:space="preserve">De otro lado, los </w:t>
      </w:r>
      <w:r>
        <w:rPr>
          <w:rFonts w:ascii="Verdana" w:eastAsia="Calibri" w:hAnsi="Verdana" w:cs="Arial"/>
          <w:i/>
          <w:iCs/>
          <w:sz w:val="20"/>
          <w:szCs w:val="20"/>
        </w:rPr>
        <w:t>convenios de asociación</w:t>
      </w:r>
      <w:r>
        <w:rPr>
          <w:rFonts w:ascii="Verdana" w:eastAsia="Calibri" w:hAnsi="Verdana" w:cs="Arial"/>
          <w:sz w:val="20"/>
          <w:szCs w:val="20"/>
        </w:rPr>
        <w:t xml:space="preserve"> “[…] [t]</w:t>
      </w:r>
      <w:proofErr w:type="spellStart"/>
      <w:r>
        <w:rPr>
          <w:rFonts w:ascii="Verdana" w:eastAsia="Calibri" w:hAnsi="Verdana" w:cs="Arial"/>
          <w:sz w:val="20"/>
          <w:szCs w:val="20"/>
        </w:rPr>
        <w:t>ienen</w:t>
      </w:r>
      <w:proofErr w:type="spellEnd"/>
      <w:r>
        <w:rPr>
          <w:rFonts w:ascii="Verdana" w:eastAsia="Calibri" w:hAnsi="Verdana" w:cs="Arial"/>
          <w:sz w:val="20"/>
          <w:szCs w:val="20"/>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w:t>
      </w:r>
      <w:r>
        <w:rPr>
          <w:rFonts w:ascii="Verdana" w:eastAsia="Calibri" w:hAnsi="Verdana" w:cs="Arial"/>
          <w:sz w:val="20"/>
          <w:szCs w:val="20"/>
          <w:lang w:eastAsia="es-ES_tradnl"/>
        </w:rPr>
        <w:t xml:space="preserve">De conformidad con el inciso segundo del artículo 96 de la Ley 489 de 1998, en estos convenios debe determinarse “con precisión su objeto, término, obligaciones de </w:t>
      </w:r>
      <w:r>
        <w:rPr>
          <w:rFonts w:ascii="Verdana" w:eastAsia="Calibri" w:hAnsi="Verdana" w:cs="Arial"/>
          <w:sz w:val="20"/>
          <w:szCs w:val="20"/>
          <w:lang w:eastAsia="es-ES_tradnl"/>
        </w:rPr>
        <w:lastRenderedPageBreak/>
        <w:t xml:space="preserve">las partes, aportes, coordinación y todos aquellos aspectos que se consideren pertinentes”. </w:t>
      </w:r>
      <w:r>
        <w:rPr>
          <w:rFonts w:ascii="Verdana" w:eastAsia="Calibri" w:hAnsi="Verdana" w:cs="Arial"/>
          <w:sz w:val="20"/>
          <w:szCs w:val="20"/>
        </w:rPr>
        <w:t xml:space="preserve">En estos convenios no existe contraprestación o pago, sino aportes, los cuales están dirigidos, exclusivamente, a lograr la ejecución del convenio no a remunerar la actividad o actuaciones del asociado. </w:t>
      </w:r>
    </w:p>
    <w:p w14:paraId="2B5F3492" w14:textId="77777777" w:rsidR="004A6BA2" w:rsidRDefault="004A6BA2" w:rsidP="004A6BA2">
      <w:pPr>
        <w:spacing w:after="0" w:line="240" w:lineRule="auto"/>
        <w:jc w:val="both"/>
        <w:rPr>
          <w:rFonts w:ascii="Verdana" w:eastAsia="Aptos" w:hAnsi="Verdana" w:cs="Times New Roman"/>
          <w:sz w:val="20"/>
          <w:szCs w:val="20"/>
          <w:lang w:val="es-ES_tradnl"/>
        </w:rPr>
      </w:pPr>
    </w:p>
    <w:p w14:paraId="5F54D4A1" w14:textId="48A46E5A" w:rsidR="00875D6B" w:rsidRDefault="004A6BA2" w:rsidP="00875D6B">
      <w:pPr>
        <w:spacing w:after="0" w:line="240" w:lineRule="auto"/>
        <w:jc w:val="both"/>
        <w:rPr>
          <w:rFonts w:ascii="Verdana" w:eastAsia="Calibri" w:hAnsi="Verdana" w:cs="Times New Roman"/>
          <w:b/>
          <w:bCs/>
          <w:lang w:val="es-ES_tradnl" w:eastAsia="es-ES_tradnl"/>
        </w:rPr>
      </w:pPr>
      <w:r>
        <w:rPr>
          <w:rFonts w:ascii="Verdana" w:eastAsia="Calibri" w:hAnsi="Verdana" w:cs="Times New Roman"/>
          <w:b/>
          <w:bCs/>
          <w:lang w:val="es-ES_tradnl" w:eastAsia="es-ES_tradnl"/>
        </w:rPr>
        <w:t>CONTRATOS CON ESAL – Selección objetiva</w:t>
      </w:r>
      <w:r w:rsidR="00875D6B">
        <w:rPr>
          <w:rFonts w:ascii="Verdana" w:eastAsia="Calibri" w:hAnsi="Verdana" w:cs="Times New Roman"/>
          <w:b/>
          <w:bCs/>
          <w:lang w:val="es-ES_tradnl" w:eastAsia="es-ES_tradnl"/>
        </w:rPr>
        <w:t xml:space="preserve"> </w:t>
      </w:r>
      <w:r w:rsidR="00875D6B">
        <w:rPr>
          <w:rFonts w:ascii="Verdana" w:eastAsia="Calibri" w:hAnsi="Verdana" w:cs="Times New Roman"/>
          <w:b/>
          <w:bCs/>
          <w:lang w:val="es-ES_tradnl" w:eastAsia="es-ES_tradnl"/>
        </w:rPr>
        <w:t xml:space="preserve">– </w:t>
      </w:r>
      <w:r w:rsidR="0097024B">
        <w:rPr>
          <w:rFonts w:ascii="Verdana" w:eastAsia="Calibri" w:hAnsi="Verdana" w:cs="Times New Roman"/>
          <w:b/>
          <w:bCs/>
          <w:lang w:val="es-ES_tradnl" w:eastAsia="es-ES_tradnl"/>
        </w:rPr>
        <w:t>Condiciones financieras</w:t>
      </w:r>
      <w:r w:rsidR="00875D6B">
        <w:rPr>
          <w:rFonts w:ascii="Verdana" w:eastAsia="Calibri" w:hAnsi="Verdana" w:cs="Times New Roman"/>
          <w:b/>
          <w:bCs/>
          <w:lang w:val="es-ES_tradnl" w:eastAsia="es-ES_tradnl"/>
        </w:rPr>
        <w:t xml:space="preserve"> </w:t>
      </w:r>
    </w:p>
    <w:p w14:paraId="7E7084CD" w14:textId="546E0D76" w:rsidR="004A6BA2" w:rsidRPr="00AC1AC3" w:rsidRDefault="004A6BA2" w:rsidP="00AC1AC3">
      <w:pPr>
        <w:spacing w:after="0" w:line="240" w:lineRule="auto"/>
        <w:jc w:val="both"/>
        <w:rPr>
          <w:rFonts w:ascii="Verdana" w:eastAsia="Calibri" w:hAnsi="Verdana" w:cs="Times New Roman"/>
          <w:b/>
          <w:bCs/>
          <w:sz w:val="20"/>
          <w:szCs w:val="20"/>
          <w:lang w:val="es-ES_tradnl" w:eastAsia="es-ES_tradnl"/>
        </w:rPr>
      </w:pPr>
    </w:p>
    <w:p w14:paraId="2FCAE5F3" w14:textId="77777777" w:rsidR="00AC1AC3" w:rsidRDefault="00AC1AC3" w:rsidP="00370075">
      <w:pPr>
        <w:jc w:val="both"/>
        <w:rPr>
          <w:rFonts w:ascii="Verdana" w:eastAsia="Calibri" w:hAnsi="Verdana" w:cs="Arial"/>
          <w:color w:val="000000" w:themeColor="text1"/>
          <w:sz w:val="20"/>
          <w:szCs w:val="20"/>
        </w:rPr>
      </w:pPr>
      <w:r w:rsidRPr="00AC1AC3">
        <w:rPr>
          <w:rFonts w:ascii="Verdana" w:eastAsia="Calibri" w:hAnsi="Verdana" w:cs="Arial"/>
          <w:color w:val="000000" w:themeColor="text1"/>
          <w:sz w:val="20"/>
          <w:szCs w:val="20"/>
        </w:rPr>
        <w:t>En este orden de ideas, la entidad estatal está facultada para establecer condiciones financieras dentro del proceso competitivo que se adelante en el marco de los convenios de asociación, con el propósito de evaluar la capacidad de organización interna de las ESAL participantes. Tales condiciones deberán definirse conforme a las particularidades del proceso y en estricto respeto de los principios de libre concurrencia y selección objetiva. Para la verificación de los indicadores financieros que se exijan, como lo señala la Guía, la entidad podrá apoyarse en los estados financieros de la ESAL, respaldados mediante informe contable emitido por un contador público independiente o, en su caso, por el revisor fiscal.</w:t>
      </w:r>
    </w:p>
    <w:p w14:paraId="14361675" w14:textId="77777777" w:rsidR="00370075" w:rsidRPr="00AC1AC3" w:rsidRDefault="00370075" w:rsidP="00370075">
      <w:pPr>
        <w:spacing w:after="0" w:line="240" w:lineRule="auto"/>
        <w:jc w:val="both"/>
        <w:rPr>
          <w:rFonts w:ascii="Verdana" w:eastAsia="Calibri" w:hAnsi="Verdana" w:cs="Arial"/>
          <w:color w:val="000000" w:themeColor="text1"/>
          <w:sz w:val="20"/>
          <w:szCs w:val="20"/>
        </w:rPr>
      </w:pPr>
    </w:p>
    <w:p w14:paraId="2D7E2CBC" w14:textId="15E465AF" w:rsidR="004A6BA2" w:rsidRPr="00AC1AC3" w:rsidRDefault="00AC1AC3" w:rsidP="00AC1AC3">
      <w:pPr>
        <w:spacing w:after="0" w:line="240" w:lineRule="auto"/>
        <w:jc w:val="both"/>
        <w:rPr>
          <w:rFonts w:ascii="Verdana" w:eastAsia="Aptos" w:hAnsi="Verdana" w:cs="Times New Roman"/>
          <w:b/>
          <w:bCs/>
          <w:sz w:val="20"/>
          <w:szCs w:val="20"/>
          <w:lang w:val="es-ES_tradnl"/>
        </w:rPr>
      </w:pPr>
      <w:r w:rsidRPr="00AC1AC3">
        <w:rPr>
          <w:rFonts w:ascii="Verdana" w:eastAsia="Calibri" w:hAnsi="Verdana" w:cs="Arial"/>
          <w:color w:val="000000" w:themeColor="text1"/>
          <w:sz w:val="20"/>
          <w:szCs w:val="20"/>
        </w:rPr>
        <w:t>En todo caso, y en atención a los principios que rigen la contratación estatal aplicables a este tipo de procesos, las condiciones financieras que la entidad establezca deben fundarse en parámetros objetivos ajustados a la naturaleza y complejidad del proyecto, de manera que permitan verificar de forma suficiente la idoneidad de la ESAL para ejecutar las actividades que constituyen el objeto del proceso competitivo.</w:t>
      </w:r>
    </w:p>
    <w:p w14:paraId="40AC3E6F" w14:textId="77777777" w:rsidR="004A6BA2" w:rsidRPr="004A6BA2" w:rsidRDefault="004A6BA2" w:rsidP="004A6BA2">
      <w:pPr>
        <w:spacing w:after="0" w:line="240" w:lineRule="auto"/>
        <w:jc w:val="both"/>
        <w:rPr>
          <w:rFonts w:ascii="Verdana" w:eastAsia="Aptos" w:hAnsi="Verdana" w:cs="Times New Roman"/>
          <w:b/>
          <w:bCs/>
          <w:sz w:val="20"/>
          <w:szCs w:val="20"/>
          <w:lang w:val="es-ES_tradnl"/>
        </w:rPr>
      </w:pPr>
    </w:p>
    <w:p w14:paraId="645063DE" w14:textId="77777777" w:rsidR="00B93538" w:rsidRDefault="00B93538" w:rsidP="007524C4">
      <w:pPr>
        <w:spacing w:after="0" w:line="240" w:lineRule="auto"/>
        <w:rPr>
          <w:rFonts w:ascii="Verdana" w:eastAsia="Calibri" w:hAnsi="Verdana" w:cs="Arial"/>
          <w:b/>
          <w:bCs/>
          <w:lang w:val="es-ES" w:eastAsia="es-ES"/>
        </w:rPr>
      </w:pPr>
    </w:p>
    <w:p w14:paraId="05FDEE58" w14:textId="77777777" w:rsidR="00891E2E" w:rsidRDefault="00891E2E" w:rsidP="00AC0C0D">
      <w:pPr>
        <w:spacing w:after="0" w:line="240" w:lineRule="auto"/>
        <w:rPr>
          <w:rFonts w:ascii="Verdana" w:eastAsia="Geomanist Light" w:hAnsi="Verdana" w:cs="Arial"/>
          <w:color w:val="000000" w:themeColor="text1"/>
        </w:rPr>
      </w:pPr>
    </w:p>
    <w:p w14:paraId="59B4AB56" w14:textId="77777777" w:rsidR="00E82C9A" w:rsidRDefault="00E82C9A" w:rsidP="00AC0C0D">
      <w:pPr>
        <w:spacing w:after="0" w:line="240" w:lineRule="auto"/>
        <w:rPr>
          <w:rFonts w:ascii="Verdana" w:eastAsia="Geomanist Light" w:hAnsi="Verdana" w:cs="Arial"/>
          <w:color w:val="000000" w:themeColor="text1"/>
        </w:rPr>
      </w:pPr>
    </w:p>
    <w:p w14:paraId="2CA4D6E3" w14:textId="77777777" w:rsidR="00E82C9A" w:rsidRDefault="00E82C9A" w:rsidP="00AC0C0D">
      <w:pPr>
        <w:spacing w:after="0" w:line="240" w:lineRule="auto"/>
        <w:rPr>
          <w:rFonts w:ascii="Verdana" w:eastAsia="Geomanist Light" w:hAnsi="Verdana" w:cs="Arial"/>
          <w:color w:val="000000" w:themeColor="text1"/>
        </w:rPr>
      </w:pPr>
    </w:p>
    <w:p w14:paraId="57A01A7A" w14:textId="77777777" w:rsidR="00E82C9A" w:rsidRDefault="00E82C9A" w:rsidP="00AC0C0D">
      <w:pPr>
        <w:spacing w:after="0" w:line="240" w:lineRule="auto"/>
        <w:rPr>
          <w:rFonts w:ascii="Verdana" w:eastAsia="Geomanist Light" w:hAnsi="Verdana" w:cs="Arial"/>
          <w:color w:val="000000" w:themeColor="text1"/>
        </w:rPr>
      </w:pPr>
    </w:p>
    <w:p w14:paraId="7DB033E5" w14:textId="77777777" w:rsidR="00E82C9A" w:rsidRDefault="00E82C9A" w:rsidP="00AC0C0D">
      <w:pPr>
        <w:spacing w:after="0" w:line="240" w:lineRule="auto"/>
        <w:rPr>
          <w:rFonts w:ascii="Verdana" w:eastAsia="Geomanist Light" w:hAnsi="Verdana" w:cs="Arial"/>
          <w:color w:val="000000" w:themeColor="text1"/>
        </w:rPr>
      </w:pPr>
    </w:p>
    <w:p w14:paraId="5290D507" w14:textId="77777777" w:rsidR="00E82C9A" w:rsidRDefault="00E82C9A" w:rsidP="00AC0C0D">
      <w:pPr>
        <w:spacing w:after="0" w:line="240" w:lineRule="auto"/>
        <w:rPr>
          <w:rFonts w:ascii="Verdana" w:eastAsia="Geomanist Light" w:hAnsi="Verdana" w:cs="Arial"/>
          <w:color w:val="000000" w:themeColor="text1"/>
        </w:rPr>
      </w:pPr>
    </w:p>
    <w:p w14:paraId="2C583FDC" w14:textId="77777777" w:rsidR="00E82C9A" w:rsidRDefault="00E82C9A" w:rsidP="00AC0C0D">
      <w:pPr>
        <w:spacing w:after="0" w:line="240" w:lineRule="auto"/>
        <w:rPr>
          <w:rFonts w:ascii="Verdana" w:eastAsia="Geomanist Light" w:hAnsi="Verdana" w:cs="Arial"/>
          <w:color w:val="000000" w:themeColor="text1"/>
        </w:rPr>
      </w:pPr>
    </w:p>
    <w:p w14:paraId="3EC443FB" w14:textId="77777777" w:rsidR="00E82C9A" w:rsidRDefault="00E82C9A" w:rsidP="00AC0C0D">
      <w:pPr>
        <w:spacing w:after="0" w:line="240" w:lineRule="auto"/>
        <w:rPr>
          <w:rFonts w:ascii="Verdana" w:eastAsia="Geomanist Light" w:hAnsi="Verdana" w:cs="Arial"/>
          <w:color w:val="000000" w:themeColor="text1"/>
        </w:rPr>
      </w:pPr>
    </w:p>
    <w:p w14:paraId="239419C0" w14:textId="77777777" w:rsidR="00E82C9A" w:rsidRDefault="00E82C9A" w:rsidP="00AC0C0D">
      <w:pPr>
        <w:spacing w:after="0" w:line="240" w:lineRule="auto"/>
        <w:rPr>
          <w:rFonts w:ascii="Verdana" w:eastAsia="Geomanist Light" w:hAnsi="Verdana" w:cs="Arial"/>
          <w:color w:val="000000" w:themeColor="text1"/>
        </w:rPr>
      </w:pPr>
    </w:p>
    <w:p w14:paraId="12DB1F11" w14:textId="77777777" w:rsidR="00E82C9A" w:rsidRDefault="00E82C9A" w:rsidP="00AC0C0D">
      <w:pPr>
        <w:spacing w:after="0" w:line="240" w:lineRule="auto"/>
        <w:rPr>
          <w:rFonts w:ascii="Verdana" w:eastAsia="Geomanist Light" w:hAnsi="Verdana" w:cs="Arial"/>
          <w:color w:val="000000" w:themeColor="text1"/>
        </w:rPr>
      </w:pPr>
    </w:p>
    <w:p w14:paraId="686B0D2A" w14:textId="77777777" w:rsidR="00E82C9A" w:rsidRDefault="00E82C9A" w:rsidP="00AC0C0D">
      <w:pPr>
        <w:spacing w:after="0" w:line="240" w:lineRule="auto"/>
        <w:rPr>
          <w:rFonts w:ascii="Verdana" w:eastAsia="Geomanist Light" w:hAnsi="Verdana" w:cs="Arial"/>
          <w:color w:val="000000" w:themeColor="text1"/>
        </w:rPr>
      </w:pPr>
    </w:p>
    <w:p w14:paraId="042888B8" w14:textId="77777777" w:rsidR="00E82C9A" w:rsidRDefault="00E82C9A" w:rsidP="00AC0C0D">
      <w:pPr>
        <w:spacing w:after="0" w:line="240" w:lineRule="auto"/>
        <w:rPr>
          <w:rFonts w:ascii="Verdana" w:eastAsia="Geomanist Light" w:hAnsi="Verdana" w:cs="Arial"/>
          <w:color w:val="000000" w:themeColor="text1"/>
        </w:rPr>
      </w:pPr>
    </w:p>
    <w:p w14:paraId="19E96204" w14:textId="77777777" w:rsidR="00E82C9A" w:rsidRDefault="00E82C9A" w:rsidP="00AC0C0D">
      <w:pPr>
        <w:spacing w:after="0" w:line="240" w:lineRule="auto"/>
        <w:rPr>
          <w:rFonts w:ascii="Verdana" w:eastAsia="Geomanist Light" w:hAnsi="Verdana" w:cs="Arial"/>
          <w:color w:val="000000" w:themeColor="text1"/>
        </w:rPr>
      </w:pPr>
    </w:p>
    <w:p w14:paraId="30239940" w14:textId="77777777" w:rsidR="00E82C9A" w:rsidRDefault="00E82C9A" w:rsidP="00AC0C0D">
      <w:pPr>
        <w:spacing w:after="0" w:line="240" w:lineRule="auto"/>
        <w:rPr>
          <w:rFonts w:ascii="Verdana" w:eastAsia="Geomanist Light" w:hAnsi="Verdana" w:cs="Arial"/>
          <w:color w:val="000000" w:themeColor="text1"/>
        </w:rPr>
      </w:pPr>
    </w:p>
    <w:p w14:paraId="7E591AE4" w14:textId="77777777" w:rsidR="00E82C9A" w:rsidRDefault="00E82C9A" w:rsidP="00AC0C0D">
      <w:pPr>
        <w:spacing w:after="0" w:line="240" w:lineRule="auto"/>
        <w:rPr>
          <w:rFonts w:ascii="Verdana" w:eastAsia="Geomanist Light" w:hAnsi="Verdana" w:cs="Arial"/>
          <w:color w:val="000000" w:themeColor="text1"/>
        </w:rPr>
      </w:pPr>
    </w:p>
    <w:p w14:paraId="5D58520C" w14:textId="77777777" w:rsidR="00E82C9A" w:rsidRDefault="00E82C9A" w:rsidP="00AC0C0D">
      <w:pPr>
        <w:spacing w:after="0" w:line="240" w:lineRule="auto"/>
        <w:rPr>
          <w:rFonts w:ascii="Verdana" w:eastAsia="Geomanist Light" w:hAnsi="Verdana" w:cs="Arial"/>
          <w:color w:val="000000" w:themeColor="text1"/>
        </w:rPr>
      </w:pPr>
    </w:p>
    <w:p w14:paraId="4DA74FC1" w14:textId="77777777" w:rsidR="00E82C9A" w:rsidRDefault="00E82C9A" w:rsidP="00AC0C0D">
      <w:pPr>
        <w:spacing w:after="0" w:line="240" w:lineRule="auto"/>
        <w:rPr>
          <w:rFonts w:ascii="Verdana" w:eastAsia="Geomanist Light" w:hAnsi="Verdana" w:cs="Arial"/>
          <w:color w:val="000000" w:themeColor="text1"/>
        </w:rPr>
      </w:pPr>
    </w:p>
    <w:p w14:paraId="03EBA9BB" w14:textId="77777777" w:rsidR="00E82C9A" w:rsidRDefault="00E82C9A" w:rsidP="00AC0C0D">
      <w:pPr>
        <w:spacing w:after="0" w:line="240" w:lineRule="auto"/>
        <w:rPr>
          <w:rFonts w:ascii="Verdana" w:eastAsia="Geomanist Light" w:hAnsi="Verdana" w:cs="Arial"/>
          <w:color w:val="000000" w:themeColor="text1"/>
        </w:rPr>
      </w:pPr>
    </w:p>
    <w:p w14:paraId="6CB8A287" w14:textId="77777777" w:rsidR="00E82C9A" w:rsidRDefault="00E82C9A" w:rsidP="00AC0C0D">
      <w:pPr>
        <w:spacing w:after="0" w:line="240" w:lineRule="auto"/>
        <w:rPr>
          <w:rFonts w:ascii="Verdana" w:eastAsia="Geomanist Light" w:hAnsi="Verdana" w:cs="Arial"/>
          <w:color w:val="000000" w:themeColor="text1"/>
        </w:rPr>
      </w:pPr>
    </w:p>
    <w:p w14:paraId="6FE86F89" w14:textId="666C7989" w:rsidR="00AC0C0D" w:rsidRPr="006F7D85" w:rsidRDefault="00AC0C0D" w:rsidP="006F7D85">
      <w:pPr>
        <w:spacing w:after="0" w:line="240" w:lineRule="auto"/>
        <w:rPr>
          <w:rFonts w:ascii="Verdana" w:eastAsia="Geomanist Light" w:hAnsi="Verdana" w:cs="Arial"/>
          <w:color w:val="201F1E"/>
        </w:rPr>
      </w:pPr>
      <w:r w:rsidRPr="00363CD6">
        <w:rPr>
          <w:rFonts w:ascii="Verdana" w:eastAsia="Geomanist Light" w:hAnsi="Verdana" w:cs="Arial"/>
          <w:color w:val="000000" w:themeColor="text1"/>
        </w:rPr>
        <w:lastRenderedPageBreak/>
        <w:t>Bogotá D.C., </w:t>
      </w:r>
      <w:r w:rsidR="006F7D85">
        <w:rPr>
          <w:rFonts w:ascii="Verdana" w:eastAsia="Geomanist Light" w:hAnsi="Verdana" w:cs="Arial"/>
          <w:color w:val="201F1E"/>
        </w:rPr>
        <w:t>26 de noviembre de 2025</w:t>
      </w:r>
    </w:p>
    <w:p w14:paraId="430BDD98" w14:textId="57BCDB55" w:rsidR="00AC0C0D" w:rsidRPr="00363CD6" w:rsidRDefault="006F7D85" w:rsidP="006F7D85">
      <w:pPr>
        <w:spacing w:after="0" w:line="240" w:lineRule="auto"/>
        <w:jc w:val="right"/>
        <w:rPr>
          <w:rFonts w:ascii="Verdana" w:eastAsia="Calibri" w:hAnsi="Verdana" w:cs="Arial"/>
          <w:color w:val="000000"/>
        </w:rPr>
      </w:pPr>
      <w:r w:rsidRPr="006F7D85">
        <w:rPr>
          <w:rFonts w:ascii="Verdana" w:eastAsia="Calibri" w:hAnsi="Verdana" w:cs="Arial"/>
          <w:noProof/>
          <w:color w:val="000000"/>
        </w:rPr>
        <w:drawing>
          <wp:inline distT="0" distB="0" distL="0" distR="0" wp14:anchorId="054A18DA" wp14:editId="2F5DA9C9">
            <wp:extent cx="2446020" cy="960120"/>
            <wp:effectExtent l="0" t="0" r="0" b="0"/>
            <wp:docPr id="14310086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6020" cy="960120"/>
                    </a:xfrm>
                    <a:prstGeom prst="rect">
                      <a:avLst/>
                    </a:prstGeom>
                    <a:noFill/>
                    <a:ln>
                      <a:noFill/>
                    </a:ln>
                  </pic:spPr>
                </pic:pic>
              </a:graphicData>
            </a:graphic>
          </wp:inline>
        </w:drawing>
      </w:r>
    </w:p>
    <w:p w14:paraId="3940EFC1" w14:textId="77777777" w:rsidR="00AC0C0D" w:rsidRPr="00363CD6" w:rsidRDefault="00AC0C0D" w:rsidP="00AC0C0D">
      <w:pPr>
        <w:spacing w:after="0" w:line="240" w:lineRule="auto"/>
        <w:jc w:val="both"/>
        <w:rPr>
          <w:rFonts w:ascii="Verdana" w:eastAsia="Calibri" w:hAnsi="Verdana" w:cs="Arial"/>
          <w:lang w:eastAsia="es-ES"/>
        </w:rPr>
      </w:pPr>
      <w:r w:rsidRPr="00363CD6">
        <w:rPr>
          <w:rFonts w:ascii="Verdana" w:eastAsia="Calibri" w:hAnsi="Verdana" w:cs="Arial"/>
          <w:lang w:eastAsia="es-ES"/>
        </w:rPr>
        <w:t>Señor</w:t>
      </w:r>
    </w:p>
    <w:p w14:paraId="0B3A894C" w14:textId="77777777" w:rsidR="00AC0C0D" w:rsidRPr="00363CD6" w:rsidRDefault="00AC0C0D" w:rsidP="00AC0C0D">
      <w:pPr>
        <w:spacing w:after="0" w:line="240" w:lineRule="auto"/>
        <w:rPr>
          <w:rFonts w:ascii="Verdana" w:eastAsia="Calibri" w:hAnsi="Verdana" w:cs="Arial"/>
          <w:b/>
          <w:lang w:eastAsia="es-ES"/>
        </w:rPr>
      </w:pPr>
      <w:r w:rsidRPr="00363CD6">
        <w:rPr>
          <w:rFonts w:ascii="Verdana" w:eastAsia="Calibri" w:hAnsi="Verdana" w:cs="Arial"/>
          <w:b/>
          <w:lang w:eastAsia="es-ES"/>
        </w:rPr>
        <w:t>Juan Sebastián Olaya Perdomo</w:t>
      </w:r>
    </w:p>
    <w:p w14:paraId="5FB1D557" w14:textId="77777777" w:rsidR="00AC0C0D" w:rsidRPr="00363CD6" w:rsidRDefault="00AC0C0D" w:rsidP="00AC0C0D">
      <w:pPr>
        <w:spacing w:after="0" w:line="240" w:lineRule="auto"/>
        <w:rPr>
          <w:rFonts w:ascii="Verdana" w:eastAsia="Calibri" w:hAnsi="Verdana" w:cs="Arial"/>
          <w:b/>
          <w:lang w:eastAsia="es-ES"/>
        </w:rPr>
      </w:pPr>
      <w:hyperlink r:id="rId12" w:history="1">
        <w:r w:rsidRPr="00363CD6">
          <w:rPr>
            <w:rFonts w:ascii="Verdana" w:eastAsia="Calibri" w:hAnsi="Verdana" w:cs="Arial"/>
            <w:b/>
            <w:color w:val="0563C1" w:themeColor="hyperlink"/>
            <w:u w:val="single"/>
            <w:lang w:eastAsia="es-ES"/>
          </w:rPr>
          <w:t>juanseolaya@gmail.com</w:t>
        </w:r>
      </w:hyperlink>
    </w:p>
    <w:p w14:paraId="4452554E" w14:textId="77777777" w:rsidR="00AC0C0D" w:rsidRPr="00363CD6" w:rsidRDefault="00AC0C0D" w:rsidP="00AC0C0D">
      <w:pPr>
        <w:spacing w:after="0" w:line="240" w:lineRule="auto"/>
        <w:rPr>
          <w:rFonts w:ascii="Verdana" w:hAnsi="Verdana"/>
        </w:rPr>
      </w:pPr>
      <w:r>
        <w:rPr>
          <w:rFonts w:ascii="Verdana" w:hAnsi="Verdana"/>
        </w:rPr>
        <w:t>Cali, Valle del Cauca</w:t>
      </w:r>
    </w:p>
    <w:p w14:paraId="259F5DFD" w14:textId="77777777" w:rsidR="00AC0C0D" w:rsidRPr="00363CD6" w:rsidRDefault="00AC0C0D" w:rsidP="00AC0C0D">
      <w:pPr>
        <w:spacing w:after="0" w:line="240" w:lineRule="auto"/>
        <w:rPr>
          <w:rFonts w:ascii="Verdana" w:eastAsia="Calibri" w:hAnsi="Verdana" w:cs="Arial"/>
          <w:lang w:eastAsia="es-ES"/>
        </w:rPr>
      </w:pPr>
    </w:p>
    <w:p w14:paraId="6DE585C7" w14:textId="77777777" w:rsidR="00AC0C0D" w:rsidRPr="00363CD6" w:rsidRDefault="00AC0C0D" w:rsidP="00AC0C0D">
      <w:pPr>
        <w:spacing w:after="0" w:line="240" w:lineRule="auto"/>
        <w:rPr>
          <w:rFonts w:ascii="Verdana" w:eastAsia="Calibri" w:hAnsi="Verdana" w:cs="Arial"/>
          <w:b/>
          <w:bCs/>
          <w:color w:val="000000"/>
          <w:lang w:eastAsia="es-ES_tradnl"/>
        </w:rPr>
      </w:pPr>
    </w:p>
    <w:p w14:paraId="194A1F74" w14:textId="77777777" w:rsidR="00AC0C0D" w:rsidRPr="00363CD6" w:rsidRDefault="00AC0C0D" w:rsidP="00AC0C0D">
      <w:pPr>
        <w:spacing w:after="0" w:line="240" w:lineRule="auto"/>
        <w:jc w:val="center"/>
        <w:rPr>
          <w:rFonts w:ascii="Verdana" w:eastAsia="Calibri" w:hAnsi="Verdana" w:cs="Arial"/>
          <w:b/>
          <w:bCs/>
          <w:lang w:eastAsia="es-ES"/>
        </w:rPr>
      </w:pPr>
      <w:r w:rsidRPr="00363CD6">
        <w:rPr>
          <w:rFonts w:ascii="Verdana" w:eastAsia="Calibri" w:hAnsi="Verdana" w:cs="Arial"/>
          <w:b/>
          <w:bCs/>
          <w:lang w:eastAsia="es-ES"/>
        </w:rPr>
        <w:t>Concepto C – 1531 de 2025</w:t>
      </w:r>
    </w:p>
    <w:p w14:paraId="4BA557DE" w14:textId="77777777" w:rsidR="00AC0C0D" w:rsidRPr="00363CD6" w:rsidRDefault="00AC0C0D" w:rsidP="00AC0C0D">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C0C0D" w:rsidRPr="00363CD6" w14:paraId="5970D000" w14:textId="77777777" w:rsidTr="00A5204D">
        <w:trPr>
          <w:trHeight w:val="884"/>
        </w:trPr>
        <w:tc>
          <w:tcPr>
            <w:tcW w:w="2689" w:type="dxa"/>
          </w:tcPr>
          <w:p w14:paraId="2128B85E" w14:textId="77777777" w:rsidR="00AC0C0D" w:rsidRPr="00363CD6" w:rsidRDefault="00AC0C0D" w:rsidP="00A5204D">
            <w:pPr>
              <w:jc w:val="both"/>
              <w:rPr>
                <w:rFonts w:ascii="Verdana" w:eastAsia="Calibri" w:hAnsi="Verdana" w:cs="Arial"/>
                <w:color w:val="000000"/>
                <w:lang w:eastAsia="es-ES_tradnl"/>
              </w:rPr>
            </w:pPr>
            <w:r w:rsidRPr="00363CD6">
              <w:rPr>
                <w:rFonts w:ascii="Verdana" w:eastAsia="Calibri" w:hAnsi="Verdana" w:cs="Arial"/>
                <w:b/>
                <w:color w:val="000000"/>
                <w:lang w:eastAsia="es-ES_tradnl"/>
              </w:rPr>
              <w:t>Temas:</w:t>
            </w:r>
            <w:r w:rsidRPr="00363CD6">
              <w:rPr>
                <w:rFonts w:ascii="Verdana" w:eastAsia="Calibri" w:hAnsi="Verdana" w:cs="Arial"/>
                <w:color w:val="000000"/>
                <w:lang w:eastAsia="es-ES_tradnl"/>
              </w:rPr>
              <w:t xml:space="preserve">                   </w:t>
            </w:r>
          </w:p>
        </w:tc>
        <w:tc>
          <w:tcPr>
            <w:tcW w:w="6100" w:type="dxa"/>
          </w:tcPr>
          <w:p w14:paraId="3235A406" w14:textId="77777777" w:rsidR="00AC0C0D" w:rsidRPr="00363CD6" w:rsidRDefault="00AC0C0D" w:rsidP="00A5204D">
            <w:pPr>
              <w:spacing w:line="276" w:lineRule="auto"/>
              <w:jc w:val="both"/>
              <w:rPr>
                <w:rFonts w:ascii="Verdana" w:eastAsia="Times New Roman" w:hAnsi="Verdana"/>
                <w:shd w:val="clear" w:color="auto" w:fill="FFFFFF"/>
                <w:lang w:eastAsia="es-ES_tradnl"/>
              </w:rPr>
            </w:pPr>
            <w:r w:rsidRPr="00363CD6">
              <w:rPr>
                <w:rFonts w:ascii="Verdana" w:eastAsia="Times New Roman" w:hAnsi="Verdana"/>
                <w:lang w:val="es-ES_tradnl" w:eastAsia="es-ES_tradnl"/>
              </w:rPr>
              <w:t xml:space="preserve">CONTRATOS CON ESAL </w:t>
            </w:r>
            <w:r w:rsidRPr="00363CD6">
              <w:rPr>
                <w:rFonts w:ascii="Verdana" w:eastAsia="Calibri" w:hAnsi="Verdana"/>
                <w:lang w:val="es-ES_tradnl" w:eastAsia="es-ES_tradnl"/>
              </w:rPr>
              <w:t>–</w:t>
            </w:r>
            <w:r w:rsidRPr="00363CD6">
              <w:rPr>
                <w:rFonts w:ascii="Verdana" w:eastAsia="Times New Roman" w:hAnsi="Verdana"/>
                <w:lang w:val="es-ES_tradnl" w:eastAsia="es-ES_tradnl"/>
              </w:rPr>
              <w:t xml:space="preserve"> Constitución </w:t>
            </w:r>
            <w:r w:rsidRPr="00363CD6">
              <w:rPr>
                <w:rFonts w:ascii="Verdana" w:eastAsia="Calibri" w:hAnsi="Verdana"/>
                <w:lang w:val="es-ES_tradnl" w:eastAsia="es-ES_tradnl"/>
              </w:rPr>
              <w:t xml:space="preserve">– </w:t>
            </w:r>
            <w:r w:rsidRPr="00363CD6">
              <w:rPr>
                <w:rFonts w:ascii="Verdana" w:eastAsia="Times New Roman" w:hAnsi="Verdana"/>
                <w:lang w:val="es-ES_tradnl" w:eastAsia="es-ES_tradnl"/>
              </w:rPr>
              <w:t xml:space="preserve">Artículo 355 </w:t>
            </w:r>
            <w:r w:rsidRPr="00363CD6">
              <w:rPr>
                <w:rFonts w:ascii="Verdana" w:eastAsia="Calibri" w:hAnsi="Verdana"/>
                <w:lang w:val="es-ES_tradnl" w:eastAsia="es-ES_tradnl"/>
              </w:rPr>
              <w:t xml:space="preserve">– Fundamento / </w:t>
            </w:r>
            <w:r w:rsidRPr="00363CD6">
              <w:rPr>
                <w:rFonts w:ascii="Verdana" w:eastAsia="Times New Roman" w:hAnsi="Verdana"/>
                <w:lang w:val="es-ES_tradnl" w:eastAsia="es-ES_tradnl"/>
              </w:rPr>
              <w:t xml:space="preserve">TIPOS DE CONTRATOS </w:t>
            </w:r>
            <w:r w:rsidRPr="00363CD6">
              <w:rPr>
                <w:rFonts w:ascii="Verdana" w:eastAsia="Calibri" w:hAnsi="Verdana"/>
                <w:lang w:val="es-ES_tradnl" w:eastAsia="es-ES_tradnl"/>
              </w:rPr>
              <w:t xml:space="preserve">– ESAL – Constitución Política – </w:t>
            </w:r>
            <w:r w:rsidRPr="00363CD6">
              <w:rPr>
                <w:rFonts w:ascii="Verdana" w:eastAsia="Times New Roman" w:hAnsi="Verdana"/>
                <w:lang w:val="es-ES_tradnl" w:eastAsia="es-ES_tradnl"/>
              </w:rPr>
              <w:t xml:space="preserve">Artículo 355 </w:t>
            </w:r>
            <w:r w:rsidRPr="00363CD6">
              <w:rPr>
                <w:rFonts w:ascii="Verdana" w:eastAsia="Calibri" w:hAnsi="Verdana"/>
                <w:lang w:val="es-ES_tradnl" w:eastAsia="es-ES_tradnl"/>
              </w:rPr>
              <w:t xml:space="preserve">– Ley 489 – Artículo 96 / CONTRATOS CON ESAL – Selección objetiva – condiciones financieras </w:t>
            </w:r>
          </w:p>
          <w:p w14:paraId="4EE244A8" w14:textId="77777777" w:rsidR="00AC0C0D" w:rsidRPr="00363CD6" w:rsidRDefault="00AC0C0D" w:rsidP="00A5204D">
            <w:pPr>
              <w:jc w:val="both"/>
              <w:rPr>
                <w:rFonts w:ascii="Verdana" w:eastAsia="Calibri" w:hAnsi="Verdana" w:cs="Arial"/>
                <w:lang w:eastAsia="es-ES"/>
              </w:rPr>
            </w:pPr>
          </w:p>
        </w:tc>
      </w:tr>
      <w:tr w:rsidR="00AC0C0D" w:rsidRPr="00363CD6" w14:paraId="433C7323" w14:textId="77777777" w:rsidTr="00A5204D">
        <w:tc>
          <w:tcPr>
            <w:tcW w:w="2689" w:type="dxa"/>
          </w:tcPr>
          <w:p w14:paraId="57E86A36" w14:textId="77777777" w:rsidR="00AC0C0D" w:rsidRPr="00363CD6" w:rsidRDefault="00AC0C0D" w:rsidP="00A5204D">
            <w:pPr>
              <w:jc w:val="both"/>
              <w:rPr>
                <w:rFonts w:ascii="Verdana" w:eastAsia="Calibri" w:hAnsi="Verdana" w:cs="Arial"/>
                <w:b/>
                <w:lang w:eastAsia="es-ES_tradnl"/>
              </w:rPr>
            </w:pPr>
            <w:r w:rsidRPr="00363CD6">
              <w:rPr>
                <w:rFonts w:ascii="Verdana" w:eastAsia="Calibri" w:hAnsi="Verdana" w:cs="Arial"/>
                <w:b/>
                <w:lang w:eastAsia="es-ES_tradnl"/>
              </w:rPr>
              <w:t>Radicación:</w:t>
            </w:r>
            <w:r w:rsidRPr="00363CD6">
              <w:rPr>
                <w:rFonts w:ascii="Verdana" w:eastAsia="Calibri" w:hAnsi="Verdana" w:cs="Arial"/>
                <w:lang w:eastAsia="es-ES_tradnl"/>
              </w:rPr>
              <w:t xml:space="preserve">               </w:t>
            </w:r>
          </w:p>
        </w:tc>
        <w:tc>
          <w:tcPr>
            <w:tcW w:w="6100" w:type="dxa"/>
          </w:tcPr>
          <w:p w14:paraId="0A3F8E22" w14:textId="77777777" w:rsidR="00AC0C0D" w:rsidRPr="00363CD6" w:rsidRDefault="00AC0C0D" w:rsidP="00A5204D">
            <w:pPr>
              <w:jc w:val="both"/>
              <w:rPr>
                <w:rFonts w:ascii="Verdana" w:eastAsia="Calibri" w:hAnsi="Verdana" w:cs="Arial"/>
                <w:lang w:eastAsia="es-ES_tradnl"/>
              </w:rPr>
            </w:pPr>
            <w:r w:rsidRPr="00363CD6">
              <w:rPr>
                <w:rFonts w:ascii="Verdana" w:eastAsia="Calibri" w:hAnsi="Verdana" w:cs="Arial"/>
                <w:lang w:eastAsia="es-ES_tradnl"/>
              </w:rPr>
              <w:t>Respuesta a la consulta con radicado No. 1_2025_10_20_011741</w:t>
            </w:r>
          </w:p>
        </w:tc>
      </w:tr>
    </w:tbl>
    <w:p w14:paraId="0119D5D1" w14:textId="77777777" w:rsidR="00AC0C0D" w:rsidRPr="00363CD6" w:rsidRDefault="00AC0C0D" w:rsidP="00AC0C0D">
      <w:pPr>
        <w:spacing w:after="0" w:line="240" w:lineRule="auto"/>
        <w:jc w:val="both"/>
        <w:rPr>
          <w:rFonts w:ascii="Verdana" w:eastAsia="Calibri" w:hAnsi="Verdana" w:cs="Arial"/>
          <w:color w:val="000000"/>
          <w:lang w:eastAsia="es-ES_tradnl"/>
        </w:rPr>
      </w:pPr>
    </w:p>
    <w:p w14:paraId="572C6D12" w14:textId="77777777" w:rsidR="00AC0C0D" w:rsidRPr="00363CD6" w:rsidRDefault="00AC0C0D" w:rsidP="00AC0C0D">
      <w:pPr>
        <w:spacing w:after="0" w:line="240" w:lineRule="auto"/>
        <w:jc w:val="both"/>
        <w:rPr>
          <w:rFonts w:ascii="Verdana" w:eastAsia="Calibri" w:hAnsi="Verdana" w:cs="Arial"/>
          <w:color w:val="000000"/>
          <w:lang w:eastAsia="es-ES_tradnl"/>
        </w:rPr>
      </w:pPr>
    </w:p>
    <w:p w14:paraId="5E612394" w14:textId="77777777" w:rsidR="00AC0C0D" w:rsidRPr="00363CD6" w:rsidRDefault="00AC0C0D" w:rsidP="00AC0C0D">
      <w:pPr>
        <w:spacing w:after="0" w:line="276" w:lineRule="auto"/>
        <w:jc w:val="both"/>
        <w:rPr>
          <w:rFonts w:ascii="Verdana" w:eastAsia="Calibri" w:hAnsi="Verdana" w:cs="Arial"/>
          <w:lang w:eastAsia="es-ES"/>
        </w:rPr>
      </w:pPr>
      <w:r w:rsidRPr="00363CD6">
        <w:rPr>
          <w:rFonts w:ascii="Verdana" w:eastAsia="Calibri" w:hAnsi="Verdana" w:cs="Arial"/>
          <w:lang w:eastAsia="es-ES"/>
        </w:rPr>
        <w:t xml:space="preserve">Estimado señor Olaya: </w:t>
      </w:r>
    </w:p>
    <w:p w14:paraId="4F9EDA7A" w14:textId="77777777" w:rsidR="00AC0C0D" w:rsidRPr="00363CD6" w:rsidRDefault="00AC0C0D" w:rsidP="00AC0C0D">
      <w:pPr>
        <w:tabs>
          <w:tab w:val="left" w:pos="3768"/>
        </w:tabs>
        <w:spacing w:after="0" w:line="276" w:lineRule="auto"/>
        <w:jc w:val="both"/>
        <w:rPr>
          <w:rFonts w:ascii="Verdana" w:eastAsia="Calibri" w:hAnsi="Verdana" w:cs="Arial"/>
          <w:color w:val="000000" w:themeColor="text1"/>
          <w:lang w:eastAsia="es-ES"/>
        </w:rPr>
      </w:pPr>
      <w:r w:rsidRPr="00363CD6">
        <w:rPr>
          <w:rFonts w:ascii="Verdana" w:eastAsia="Calibri" w:hAnsi="Verdana" w:cs="Arial"/>
          <w:color w:val="000000" w:themeColor="text1"/>
          <w:lang w:eastAsia="es-ES"/>
        </w:rPr>
        <w:tab/>
      </w:r>
    </w:p>
    <w:p w14:paraId="1C3061E0" w14:textId="77777777" w:rsidR="00AC0C0D" w:rsidRPr="00363CD6" w:rsidRDefault="00AC0C0D" w:rsidP="00AC0C0D">
      <w:pPr>
        <w:spacing w:after="0" w:line="276" w:lineRule="auto"/>
        <w:jc w:val="both"/>
        <w:rPr>
          <w:rFonts w:ascii="Verdana" w:eastAsia="Calibri" w:hAnsi="Verdana" w:cs="Arial"/>
          <w:i/>
          <w:iCs/>
          <w:lang w:eastAsia="es-ES"/>
        </w:rPr>
      </w:pPr>
      <w:r w:rsidRPr="00363CD6">
        <w:rPr>
          <w:rFonts w:ascii="Verdana" w:eastAsia="Calibri" w:hAnsi="Verdana" w:cs="Arial"/>
          <w:color w:val="000000" w:themeColor="text1"/>
          <w:lang w:eastAsia="es-ES"/>
        </w:rPr>
        <w:t>En ejercicio de la competencia otorgada por los artículos 3, numeral 5º, y 11, numeral 8º, del Decreto Ley 4170 de 2011,</w:t>
      </w:r>
      <w:r w:rsidRPr="00363CD6">
        <w:rPr>
          <w:rFonts w:ascii="Verdana" w:eastAsia="Arial MT" w:hAnsi="Verdana" w:cs="Arial MT"/>
          <w:lang w:eastAsia="es-ES"/>
        </w:rPr>
        <w:t xml:space="preserve"> </w:t>
      </w:r>
      <w:r w:rsidRPr="00363CD6">
        <w:rPr>
          <w:rFonts w:ascii="Verdana" w:hAnsi="Verdana" w:cs="Arial"/>
          <w:lang w:val="es-ES_tradnl"/>
        </w:rPr>
        <w:t>así como lo establecido en</w:t>
      </w:r>
      <w:r w:rsidRPr="00363CD6">
        <w:rPr>
          <w:rFonts w:ascii="Verdana" w:hAnsi="Verdana" w:cs="Arial"/>
        </w:rPr>
        <w:t xml:space="preserve"> la Resolución 469 de 2025 expedida por esta Entidad, </w:t>
      </w:r>
      <w:r w:rsidRPr="00363CD6">
        <w:rPr>
          <w:rFonts w:ascii="Verdana" w:eastAsia="Calibri" w:hAnsi="Verdana" w:cs="Arial"/>
          <w:color w:val="000000" w:themeColor="text1"/>
          <w:lang w:eastAsia="es-ES"/>
        </w:rPr>
        <w:t>la Agencia Nacional de Contratación Pública – Colombia Compra Eficiente responde su solicitud de concepto del 20 de octubre de 2025,</w:t>
      </w:r>
      <w:r w:rsidRPr="00363CD6">
        <w:rPr>
          <w:rFonts w:ascii="Verdana" w:eastAsia="Calibri" w:hAnsi="Verdana" w:cs="Arial"/>
          <w:lang w:eastAsia="es-ES"/>
        </w:rPr>
        <w:t xml:space="preserve"> en la cual consulta sobre lo siguiente:</w:t>
      </w:r>
      <w:r w:rsidRPr="00363CD6">
        <w:rPr>
          <w:rFonts w:ascii="Verdana" w:eastAsia="Calibri" w:hAnsi="Verdana" w:cs="Arial"/>
          <w:i/>
          <w:iCs/>
          <w:lang w:eastAsia="es-ES"/>
        </w:rPr>
        <w:t xml:space="preserve"> </w:t>
      </w:r>
      <w:bookmarkStart w:id="1" w:name="_Hlk95313578"/>
    </w:p>
    <w:p w14:paraId="072782E7" w14:textId="77777777" w:rsidR="00AC0C0D" w:rsidRPr="00363CD6" w:rsidRDefault="00AC0C0D" w:rsidP="00AC0C0D">
      <w:pPr>
        <w:spacing w:after="0" w:line="276" w:lineRule="auto"/>
        <w:jc w:val="both"/>
        <w:rPr>
          <w:rFonts w:ascii="Verdana" w:eastAsia="Calibri" w:hAnsi="Verdana" w:cs="Arial"/>
          <w:i/>
          <w:iCs/>
          <w:lang w:eastAsia="es-ES"/>
        </w:rPr>
      </w:pPr>
    </w:p>
    <w:p w14:paraId="11D5980F" w14:textId="77777777" w:rsidR="00AC0C0D" w:rsidRPr="00363CD6" w:rsidRDefault="00AC0C0D" w:rsidP="00AC0C0D">
      <w:pPr>
        <w:spacing w:after="0" w:line="240" w:lineRule="auto"/>
        <w:ind w:left="709" w:right="709"/>
        <w:jc w:val="both"/>
        <w:rPr>
          <w:rFonts w:ascii="Verdana" w:eastAsia="Arial" w:hAnsi="Verdana" w:cs="Arial"/>
          <w:i/>
          <w:color w:val="000000"/>
          <w:sz w:val="20"/>
          <w:szCs w:val="20"/>
        </w:rPr>
      </w:pPr>
      <w:r w:rsidRPr="00363CD6">
        <w:rPr>
          <w:rFonts w:ascii="Verdana" w:eastAsia="Arial" w:hAnsi="Verdana" w:cs="Arial"/>
          <w:i/>
          <w:color w:val="000000"/>
          <w:sz w:val="20"/>
          <w:szCs w:val="20"/>
        </w:rPr>
        <w:t>“</w:t>
      </w:r>
      <w:bookmarkEnd w:id="1"/>
      <w:r w:rsidRPr="00363CD6">
        <w:rPr>
          <w:rFonts w:ascii="Verdana" w:eastAsia="Arial" w:hAnsi="Verdana" w:cs="Arial"/>
          <w:i/>
          <w:color w:val="000000"/>
          <w:sz w:val="20"/>
          <w:szCs w:val="20"/>
        </w:rPr>
        <w:t xml:space="preserve">Solicito un concepto a la viabilidad de determinación y verificación de la </w:t>
      </w:r>
      <w:r w:rsidRPr="00363CD6">
        <w:rPr>
          <w:rFonts w:ascii="Verdana" w:eastAsia="Arial" w:hAnsi="Verdana" w:cs="Arial"/>
          <w:b/>
          <w:bCs/>
          <w:i/>
          <w:color w:val="000000"/>
          <w:sz w:val="20"/>
          <w:szCs w:val="20"/>
        </w:rPr>
        <w:t>Capacidad Financiera</w:t>
      </w:r>
      <w:r w:rsidRPr="00363CD6">
        <w:rPr>
          <w:rFonts w:ascii="Verdana" w:eastAsia="Arial" w:hAnsi="Verdana" w:cs="Arial"/>
          <w:i/>
          <w:color w:val="000000"/>
          <w:sz w:val="20"/>
          <w:szCs w:val="20"/>
        </w:rPr>
        <w:t xml:space="preserve"> de las Entidades Sin Ánimo de Lucro (ESAL) en el marco de los procesos competitivos para la celebración de </w:t>
      </w:r>
      <w:r w:rsidRPr="00363CD6">
        <w:rPr>
          <w:rFonts w:ascii="Verdana" w:eastAsia="Arial" w:hAnsi="Verdana" w:cs="Arial"/>
          <w:b/>
          <w:bCs/>
          <w:i/>
          <w:color w:val="000000"/>
          <w:sz w:val="20"/>
          <w:szCs w:val="20"/>
        </w:rPr>
        <w:t>Convenios de Asociación</w:t>
      </w:r>
      <w:r w:rsidRPr="00363CD6">
        <w:rPr>
          <w:rFonts w:ascii="Verdana" w:eastAsia="Arial" w:hAnsi="Verdana" w:cs="Arial"/>
          <w:i/>
          <w:color w:val="000000"/>
          <w:sz w:val="20"/>
          <w:szCs w:val="20"/>
        </w:rPr>
        <w:t>, regidos por el artículo 355 de la Constitución Política y reglamentados por el Decreto 092 de 2017.</w:t>
      </w:r>
    </w:p>
    <w:p w14:paraId="4A373D82" w14:textId="77777777" w:rsidR="00AC0C0D" w:rsidRPr="00363CD6" w:rsidRDefault="00AC0C0D" w:rsidP="00AC0C0D">
      <w:pPr>
        <w:spacing w:after="0" w:line="240" w:lineRule="auto"/>
        <w:ind w:left="709" w:right="709"/>
        <w:jc w:val="both"/>
        <w:rPr>
          <w:rFonts w:ascii="Verdana" w:eastAsia="Arial" w:hAnsi="Verdana" w:cs="Arial"/>
          <w:i/>
          <w:color w:val="000000"/>
          <w:sz w:val="20"/>
          <w:szCs w:val="20"/>
        </w:rPr>
      </w:pPr>
    </w:p>
    <w:p w14:paraId="443F77B2" w14:textId="77777777" w:rsidR="00AC0C0D" w:rsidRPr="00363CD6" w:rsidRDefault="00AC0C0D" w:rsidP="00AC0C0D">
      <w:pPr>
        <w:spacing w:after="0" w:line="240" w:lineRule="auto"/>
        <w:ind w:left="709" w:right="709"/>
        <w:jc w:val="both"/>
        <w:rPr>
          <w:rFonts w:ascii="Verdana" w:eastAsia="Arial" w:hAnsi="Verdana" w:cs="Arial"/>
          <w:i/>
          <w:color w:val="000000"/>
          <w:sz w:val="20"/>
          <w:szCs w:val="20"/>
        </w:rPr>
      </w:pPr>
      <w:r w:rsidRPr="00363CD6">
        <w:rPr>
          <w:rFonts w:ascii="Verdana" w:eastAsia="Arial" w:hAnsi="Verdana" w:cs="Arial"/>
          <w:i/>
          <w:color w:val="000000"/>
          <w:sz w:val="20"/>
          <w:szCs w:val="20"/>
        </w:rPr>
        <w:t xml:space="preserve">Es válido acreditar su Capacidad Financiera (que en la contratación tradicional se mide mediante indicadores como Capital de Trabajo, Nivel </w:t>
      </w:r>
      <w:r w:rsidRPr="00363CD6">
        <w:rPr>
          <w:rFonts w:ascii="Verdana" w:eastAsia="Arial" w:hAnsi="Verdana" w:cs="Arial"/>
          <w:i/>
          <w:color w:val="000000"/>
          <w:sz w:val="20"/>
          <w:szCs w:val="20"/>
        </w:rPr>
        <w:lastRenderedPageBreak/>
        <w:t>de Endeudamiento, y Razón de Cobertura de Intereses), pretenden sustituir o complementar estos indicadores con:</w:t>
      </w:r>
    </w:p>
    <w:p w14:paraId="51DFCED7" w14:textId="77777777" w:rsidR="00AC0C0D" w:rsidRPr="00363CD6" w:rsidRDefault="00AC0C0D" w:rsidP="00AC0C0D">
      <w:pPr>
        <w:numPr>
          <w:ilvl w:val="0"/>
          <w:numId w:val="33"/>
        </w:numPr>
        <w:spacing w:after="0" w:line="240" w:lineRule="auto"/>
        <w:ind w:right="709" w:firstLine="131"/>
        <w:jc w:val="both"/>
        <w:rPr>
          <w:rFonts w:ascii="Verdana" w:eastAsia="Arial" w:hAnsi="Verdana" w:cs="Arial"/>
          <w:i/>
          <w:color w:val="000000"/>
          <w:sz w:val="20"/>
          <w:szCs w:val="20"/>
        </w:rPr>
      </w:pPr>
      <w:r w:rsidRPr="00363CD6">
        <w:rPr>
          <w:rFonts w:ascii="Verdana" w:eastAsia="Arial" w:hAnsi="Verdana" w:cs="Arial"/>
          <w:b/>
          <w:bCs/>
          <w:i/>
          <w:color w:val="000000"/>
          <w:sz w:val="20"/>
          <w:szCs w:val="20"/>
        </w:rPr>
        <w:t>Certificados de Depósitos a Término (CDT).</w:t>
      </w:r>
    </w:p>
    <w:p w14:paraId="120EEC85" w14:textId="77777777" w:rsidR="00AC0C0D" w:rsidRPr="00363CD6" w:rsidRDefault="00AC0C0D" w:rsidP="00AC0C0D">
      <w:pPr>
        <w:numPr>
          <w:ilvl w:val="0"/>
          <w:numId w:val="33"/>
        </w:numPr>
        <w:spacing w:after="0" w:line="240" w:lineRule="auto"/>
        <w:ind w:right="709" w:firstLine="131"/>
        <w:jc w:val="both"/>
        <w:rPr>
          <w:rFonts w:ascii="Verdana" w:eastAsia="Arial" w:hAnsi="Verdana" w:cs="Arial"/>
          <w:i/>
          <w:color w:val="000000"/>
          <w:sz w:val="20"/>
          <w:szCs w:val="20"/>
        </w:rPr>
      </w:pPr>
      <w:r w:rsidRPr="00363CD6">
        <w:rPr>
          <w:rFonts w:ascii="Verdana" w:eastAsia="Arial" w:hAnsi="Verdana" w:cs="Arial"/>
          <w:b/>
          <w:bCs/>
          <w:i/>
          <w:color w:val="000000"/>
          <w:sz w:val="20"/>
          <w:szCs w:val="20"/>
        </w:rPr>
        <w:t>Saldos en Cuentas de Ahorro o Corriente con altos montos.</w:t>
      </w:r>
    </w:p>
    <w:p w14:paraId="619458B2" w14:textId="77777777" w:rsidR="00AC0C0D" w:rsidRPr="00363CD6" w:rsidRDefault="00AC0C0D" w:rsidP="00AC0C0D">
      <w:pPr>
        <w:numPr>
          <w:ilvl w:val="0"/>
          <w:numId w:val="33"/>
        </w:numPr>
        <w:spacing w:after="0" w:line="240" w:lineRule="auto"/>
        <w:ind w:right="709" w:firstLine="131"/>
        <w:jc w:val="both"/>
        <w:rPr>
          <w:rFonts w:ascii="Verdana" w:eastAsia="Arial" w:hAnsi="Verdana" w:cs="Arial"/>
          <w:i/>
          <w:color w:val="000000"/>
          <w:sz w:val="20"/>
          <w:szCs w:val="20"/>
        </w:rPr>
      </w:pPr>
      <w:r w:rsidRPr="00363CD6">
        <w:rPr>
          <w:rFonts w:ascii="Verdana" w:eastAsia="Arial" w:hAnsi="Verdana" w:cs="Arial"/>
          <w:b/>
          <w:bCs/>
          <w:i/>
          <w:color w:val="000000"/>
          <w:sz w:val="20"/>
          <w:szCs w:val="20"/>
        </w:rPr>
        <w:t>Certificaciones de Fiducias de Inversión.</w:t>
      </w:r>
    </w:p>
    <w:p w14:paraId="131B8F37" w14:textId="77777777" w:rsidR="00AC0C0D" w:rsidRPr="00363CD6" w:rsidRDefault="00AC0C0D" w:rsidP="00AC0C0D">
      <w:pPr>
        <w:spacing w:after="0" w:line="240" w:lineRule="auto"/>
        <w:ind w:left="720" w:right="709"/>
        <w:jc w:val="both"/>
        <w:rPr>
          <w:rFonts w:ascii="Verdana" w:eastAsia="Arial" w:hAnsi="Verdana" w:cs="Arial"/>
          <w:i/>
          <w:color w:val="000000"/>
          <w:sz w:val="20"/>
          <w:szCs w:val="20"/>
        </w:rPr>
      </w:pPr>
    </w:p>
    <w:p w14:paraId="2351EFB3" w14:textId="77777777" w:rsidR="00AC0C0D" w:rsidRPr="00363CD6" w:rsidRDefault="00AC0C0D" w:rsidP="00AC0C0D">
      <w:pPr>
        <w:spacing w:after="0" w:line="240" w:lineRule="auto"/>
        <w:ind w:left="709" w:right="709"/>
        <w:jc w:val="both"/>
        <w:rPr>
          <w:rFonts w:ascii="Verdana" w:eastAsia="Arial" w:hAnsi="Verdana" w:cs="Arial"/>
          <w:i/>
          <w:color w:val="000000"/>
          <w:sz w:val="20"/>
          <w:szCs w:val="20"/>
        </w:rPr>
      </w:pPr>
      <w:r w:rsidRPr="00363CD6">
        <w:rPr>
          <w:rFonts w:ascii="Verdana" w:eastAsia="Arial" w:hAnsi="Verdana" w:cs="Arial"/>
          <w:i/>
          <w:color w:val="000000"/>
          <w:sz w:val="20"/>
          <w:szCs w:val="20"/>
        </w:rPr>
        <w:t xml:space="preserve">La </w:t>
      </w:r>
      <w:r w:rsidRPr="00363CD6">
        <w:rPr>
          <w:rFonts w:ascii="Verdana" w:eastAsia="Arial" w:hAnsi="Verdana" w:cs="Arial"/>
          <w:b/>
          <w:bCs/>
          <w:i/>
          <w:color w:val="000000"/>
          <w:sz w:val="20"/>
          <w:szCs w:val="20"/>
        </w:rPr>
        <w:t>Capacidad Financiera</w:t>
      </w:r>
      <w:r w:rsidRPr="00363CD6">
        <w:rPr>
          <w:rFonts w:ascii="Verdana" w:eastAsia="Arial" w:hAnsi="Verdana" w:cs="Arial"/>
          <w:i/>
          <w:color w:val="000000"/>
          <w:sz w:val="20"/>
          <w:szCs w:val="20"/>
        </w:rPr>
        <w:t xml:space="preserve"> de una ESAL debe reflejar su </w:t>
      </w:r>
      <w:r w:rsidRPr="00363CD6">
        <w:rPr>
          <w:rFonts w:ascii="Verdana" w:eastAsia="Arial" w:hAnsi="Verdana" w:cs="Arial"/>
          <w:b/>
          <w:bCs/>
          <w:i/>
          <w:color w:val="000000"/>
          <w:sz w:val="20"/>
          <w:szCs w:val="20"/>
        </w:rPr>
        <w:t>solidez estructural y patrimonial</w:t>
      </w:r>
      <w:r w:rsidRPr="00363CD6">
        <w:rPr>
          <w:rFonts w:ascii="Verdana" w:eastAsia="Arial" w:hAnsi="Verdana" w:cs="Arial"/>
          <w:i/>
          <w:color w:val="000000"/>
          <w:sz w:val="20"/>
          <w:szCs w:val="20"/>
        </w:rPr>
        <w:t xml:space="preserve">, históricamente acreditada en sus Estados Financieros (patrimonio, activos corrientes, etc.). Por el contrario, un CDT o un saldo en cuenta bancaria es una </w:t>
      </w:r>
      <w:r w:rsidRPr="00363CD6">
        <w:rPr>
          <w:rFonts w:ascii="Verdana" w:eastAsia="Arial" w:hAnsi="Verdana" w:cs="Arial"/>
          <w:b/>
          <w:bCs/>
          <w:i/>
          <w:color w:val="000000"/>
          <w:sz w:val="20"/>
          <w:szCs w:val="20"/>
        </w:rPr>
        <w:t>fotografía de liquidez puntual</w:t>
      </w:r>
      <w:r w:rsidRPr="00363CD6">
        <w:rPr>
          <w:rFonts w:ascii="Verdana" w:eastAsia="Arial" w:hAnsi="Verdana" w:cs="Arial"/>
          <w:i/>
          <w:color w:val="000000"/>
          <w:sz w:val="20"/>
          <w:szCs w:val="20"/>
        </w:rPr>
        <w:t xml:space="preserve"> que n</w:t>
      </w:r>
      <w:r w:rsidRPr="00363CD6">
        <w:rPr>
          <w:rFonts w:ascii="Verdana" w:eastAsia="Arial" w:hAnsi="Verdana" w:cs="Arial"/>
          <w:b/>
          <w:bCs/>
          <w:i/>
          <w:color w:val="000000"/>
          <w:sz w:val="20"/>
          <w:szCs w:val="20"/>
        </w:rPr>
        <w:t>o refleja el origen real de los recursos ni la estabilidad de la ESAL el cual puede ser un requisito fácilmente manipulable</w:t>
      </w:r>
      <w:r w:rsidRPr="00363CD6">
        <w:rPr>
          <w:rFonts w:ascii="Verdana" w:eastAsia="Arial" w:hAnsi="Verdana" w:cs="Arial"/>
          <w:i/>
          <w:color w:val="000000"/>
          <w:sz w:val="20"/>
          <w:szCs w:val="20"/>
        </w:rPr>
        <w:t xml:space="preserve"> mediante endeudamiento temporal o movimientos de capital entre cuentas con un propósito exclusivo de participación.</w:t>
      </w:r>
    </w:p>
    <w:p w14:paraId="19655AC8" w14:textId="77777777" w:rsidR="00AC0C0D" w:rsidRPr="00363CD6" w:rsidRDefault="00AC0C0D" w:rsidP="00AC0C0D">
      <w:pPr>
        <w:spacing w:after="0" w:line="240" w:lineRule="auto"/>
        <w:ind w:left="709" w:right="709"/>
        <w:jc w:val="both"/>
        <w:rPr>
          <w:rFonts w:ascii="Verdana" w:eastAsia="Arial" w:hAnsi="Verdana" w:cs="Arial"/>
          <w:i/>
          <w:color w:val="000000"/>
          <w:sz w:val="20"/>
          <w:szCs w:val="20"/>
        </w:rPr>
      </w:pPr>
    </w:p>
    <w:p w14:paraId="60585956" w14:textId="77777777" w:rsidR="00AC0C0D" w:rsidRPr="00363CD6" w:rsidRDefault="00AC0C0D" w:rsidP="00AC0C0D">
      <w:pPr>
        <w:spacing w:after="0" w:line="240" w:lineRule="auto"/>
        <w:ind w:left="709" w:right="709"/>
        <w:jc w:val="both"/>
        <w:rPr>
          <w:rFonts w:ascii="Verdana" w:eastAsia="Arial" w:hAnsi="Verdana" w:cs="Arial"/>
          <w:b/>
          <w:bCs/>
          <w:i/>
          <w:color w:val="000000"/>
          <w:sz w:val="20"/>
          <w:szCs w:val="20"/>
        </w:rPr>
      </w:pPr>
      <w:r w:rsidRPr="00363CD6">
        <w:rPr>
          <w:rFonts w:ascii="Verdana" w:eastAsia="Arial" w:hAnsi="Verdana" w:cs="Arial"/>
          <w:b/>
          <w:bCs/>
          <w:i/>
          <w:color w:val="000000"/>
          <w:sz w:val="20"/>
          <w:szCs w:val="20"/>
        </w:rPr>
        <w:t>Preguntas Específicas</w:t>
      </w:r>
    </w:p>
    <w:p w14:paraId="3868184D" w14:textId="77777777" w:rsidR="00AC0C0D" w:rsidRPr="00363CD6" w:rsidRDefault="00AC0C0D" w:rsidP="00AC0C0D">
      <w:pPr>
        <w:spacing w:after="0" w:line="240" w:lineRule="auto"/>
        <w:ind w:left="709" w:right="709"/>
        <w:jc w:val="both"/>
        <w:rPr>
          <w:rFonts w:ascii="Verdana" w:eastAsia="Arial" w:hAnsi="Verdana" w:cs="Arial"/>
          <w:b/>
          <w:bCs/>
          <w:i/>
          <w:color w:val="000000"/>
          <w:sz w:val="20"/>
          <w:szCs w:val="20"/>
        </w:rPr>
      </w:pPr>
    </w:p>
    <w:p w14:paraId="0C791692" w14:textId="77777777" w:rsidR="00AC0C0D" w:rsidRPr="00363CD6" w:rsidRDefault="00AC0C0D" w:rsidP="00AC0C0D">
      <w:pPr>
        <w:spacing w:after="0" w:line="240" w:lineRule="auto"/>
        <w:ind w:left="709" w:right="709"/>
        <w:jc w:val="both"/>
        <w:rPr>
          <w:rFonts w:ascii="Verdana" w:eastAsia="Arial" w:hAnsi="Verdana" w:cs="Arial"/>
          <w:i/>
          <w:color w:val="000000"/>
          <w:sz w:val="20"/>
          <w:szCs w:val="20"/>
        </w:rPr>
      </w:pPr>
      <w:r w:rsidRPr="00363CD6">
        <w:rPr>
          <w:rFonts w:ascii="Verdana" w:eastAsia="Arial" w:hAnsi="Verdana" w:cs="Arial"/>
          <w:i/>
          <w:color w:val="000000"/>
          <w:sz w:val="20"/>
          <w:szCs w:val="20"/>
        </w:rPr>
        <w:t>Con base en lo anterior, solicito el concepto de su Agencia sobre los siguientes puntos:</w:t>
      </w:r>
    </w:p>
    <w:p w14:paraId="1C63954A" w14:textId="77777777" w:rsidR="00AC0C0D" w:rsidRPr="00363CD6" w:rsidRDefault="00AC0C0D" w:rsidP="00AC0C0D">
      <w:pPr>
        <w:spacing w:after="0" w:line="240" w:lineRule="auto"/>
        <w:ind w:left="709" w:right="709"/>
        <w:jc w:val="both"/>
        <w:rPr>
          <w:rFonts w:ascii="Verdana" w:eastAsia="Arial" w:hAnsi="Verdana" w:cs="Arial"/>
          <w:i/>
          <w:color w:val="000000"/>
          <w:sz w:val="20"/>
          <w:szCs w:val="20"/>
        </w:rPr>
      </w:pPr>
    </w:p>
    <w:p w14:paraId="3362FED7" w14:textId="77777777" w:rsidR="00AC0C0D" w:rsidRPr="00363CD6" w:rsidRDefault="00AC0C0D" w:rsidP="00AC0C0D">
      <w:pPr>
        <w:numPr>
          <w:ilvl w:val="0"/>
          <w:numId w:val="34"/>
        </w:numPr>
        <w:tabs>
          <w:tab w:val="num" w:pos="993"/>
        </w:tabs>
        <w:spacing w:after="0" w:line="240" w:lineRule="auto"/>
        <w:ind w:right="709" w:hanging="11"/>
        <w:jc w:val="both"/>
        <w:rPr>
          <w:rFonts w:ascii="Verdana" w:eastAsia="Arial" w:hAnsi="Verdana" w:cs="Arial"/>
          <w:i/>
          <w:color w:val="000000"/>
          <w:sz w:val="20"/>
          <w:szCs w:val="20"/>
        </w:rPr>
      </w:pPr>
      <w:r w:rsidRPr="00363CD6">
        <w:rPr>
          <w:rFonts w:ascii="Verdana" w:eastAsia="Arial" w:hAnsi="Verdana" w:cs="Arial"/>
          <w:b/>
          <w:bCs/>
          <w:i/>
          <w:color w:val="000000"/>
          <w:sz w:val="20"/>
          <w:szCs w:val="20"/>
        </w:rPr>
        <w:t xml:space="preserve">¿Son válidos los CDT, saldos de cuentas de ahorro o certificaciones de fiducias como requisitos habilitantes financieros o como criterios ponderables de Capacidad Financiera en un proceso competitivo del Decreto 092 de 2017? Siendo indicadores puntuales que no reflejan una solidez estructural y patrimonial? Siendo indicadores de fácil cumplimiento con movimientos financieros previos al cierre del proceso competitivo, y solo evidenciando una “liquidez” transitoria? </w:t>
      </w:r>
    </w:p>
    <w:p w14:paraId="77D75877" w14:textId="77777777" w:rsidR="00AC0C0D" w:rsidRPr="00363CD6" w:rsidRDefault="00AC0C0D" w:rsidP="00AC0C0D">
      <w:pPr>
        <w:tabs>
          <w:tab w:val="num" w:pos="993"/>
        </w:tabs>
        <w:spacing w:after="0" w:line="240" w:lineRule="auto"/>
        <w:ind w:left="709" w:right="709" w:hanging="11"/>
        <w:jc w:val="both"/>
        <w:rPr>
          <w:rFonts w:ascii="Verdana" w:eastAsia="Arial" w:hAnsi="Verdana" w:cs="Arial"/>
          <w:i/>
          <w:color w:val="000000"/>
          <w:sz w:val="20"/>
          <w:szCs w:val="20"/>
        </w:rPr>
      </w:pPr>
    </w:p>
    <w:p w14:paraId="1B69CFAF" w14:textId="77777777" w:rsidR="00AC0C0D" w:rsidRPr="00363CD6" w:rsidRDefault="00AC0C0D" w:rsidP="00AC0C0D">
      <w:pPr>
        <w:numPr>
          <w:ilvl w:val="0"/>
          <w:numId w:val="34"/>
        </w:numPr>
        <w:tabs>
          <w:tab w:val="num" w:pos="993"/>
        </w:tabs>
        <w:spacing w:after="0" w:line="240" w:lineRule="auto"/>
        <w:ind w:right="709" w:hanging="11"/>
        <w:jc w:val="both"/>
        <w:rPr>
          <w:rFonts w:ascii="Verdana" w:eastAsia="Arial" w:hAnsi="Verdana" w:cs="Arial"/>
          <w:i/>
          <w:color w:val="000000"/>
          <w:sz w:val="20"/>
          <w:szCs w:val="20"/>
        </w:rPr>
      </w:pPr>
      <w:r w:rsidRPr="00363CD6">
        <w:rPr>
          <w:rFonts w:ascii="Verdana" w:eastAsia="Arial" w:hAnsi="Verdana" w:cs="Arial"/>
          <w:b/>
          <w:bCs/>
          <w:i/>
          <w:color w:val="000000"/>
          <w:sz w:val="20"/>
          <w:szCs w:val="20"/>
        </w:rPr>
        <w:t>De ser válidos, ¿de qué manera debe la Entidad Estatal reglamentar este tipo de soportes para garantizar que reflejen la Capacidad Financiera estructural de la ESAL y no solo una liquidez transitoria?</w:t>
      </w:r>
    </w:p>
    <w:p w14:paraId="45512931" w14:textId="77777777" w:rsidR="00AC0C0D" w:rsidRPr="00363CD6" w:rsidRDefault="00AC0C0D" w:rsidP="00AC0C0D">
      <w:pPr>
        <w:tabs>
          <w:tab w:val="num" w:pos="993"/>
        </w:tabs>
        <w:spacing w:after="0" w:line="240" w:lineRule="auto"/>
        <w:ind w:left="720" w:right="709" w:hanging="11"/>
        <w:jc w:val="both"/>
        <w:rPr>
          <w:rFonts w:ascii="Verdana" w:eastAsia="Arial" w:hAnsi="Verdana" w:cs="Arial"/>
          <w:i/>
          <w:color w:val="000000"/>
          <w:sz w:val="20"/>
          <w:szCs w:val="20"/>
        </w:rPr>
      </w:pPr>
    </w:p>
    <w:p w14:paraId="55A6149E" w14:textId="77777777" w:rsidR="00AC0C0D" w:rsidRPr="00363CD6" w:rsidRDefault="00AC0C0D" w:rsidP="00AC0C0D">
      <w:pPr>
        <w:numPr>
          <w:ilvl w:val="0"/>
          <w:numId w:val="34"/>
        </w:numPr>
        <w:tabs>
          <w:tab w:val="num" w:pos="993"/>
        </w:tabs>
        <w:spacing w:after="0" w:line="240" w:lineRule="auto"/>
        <w:ind w:right="709" w:hanging="11"/>
        <w:jc w:val="both"/>
        <w:rPr>
          <w:rFonts w:ascii="Verdana" w:eastAsia="Arial" w:hAnsi="Verdana" w:cs="Arial"/>
          <w:i/>
          <w:color w:val="000000"/>
          <w:sz w:val="20"/>
          <w:szCs w:val="20"/>
        </w:rPr>
      </w:pPr>
      <w:r w:rsidRPr="00363CD6">
        <w:rPr>
          <w:rFonts w:ascii="Verdana" w:eastAsia="Arial" w:hAnsi="Verdana" w:cs="Arial"/>
          <w:b/>
          <w:bCs/>
          <w:i/>
          <w:color w:val="000000"/>
          <w:sz w:val="20"/>
          <w:szCs w:val="20"/>
        </w:rPr>
        <w:t>¿Es jurídicamente procedente que la Entidad Estatal exija que los indicadores de Capacidad Financiera (medidos a través de los Estados Financieros certificados) sean el único requisito habilitante financiero, diferenciándolos claramente de la prueba de la existencia del Aporte en Dinero?</w:t>
      </w:r>
    </w:p>
    <w:p w14:paraId="5F71C6BD" w14:textId="77777777" w:rsidR="00AC0C0D" w:rsidRPr="00363CD6" w:rsidRDefault="00AC0C0D" w:rsidP="00AC0C0D">
      <w:pPr>
        <w:spacing w:after="0" w:line="240" w:lineRule="auto"/>
        <w:ind w:left="720" w:right="709"/>
        <w:jc w:val="both"/>
        <w:rPr>
          <w:rFonts w:ascii="Verdana" w:eastAsia="Arial" w:hAnsi="Verdana" w:cs="Arial"/>
          <w:i/>
          <w:color w:val="000000"/>
          <w:sz w:val="20"/>
          <w:szCs w:val="20"/>
        </w:rPr>
      </w:pPr>
    </w:p>
    <w:p w14:paraId="2AE23C98" w14:textId="77777777" w:rsidR="00AC0C0D" w:rsidRPr="00363CD6" w:rsidRDefault="00AC0C0D" w:rsidP="00AC0C0D">
      <w:pPr>
        <w:spacing w:after="0" w:line="240" w:lineRule="auto"/>
        <w:ind w:left="709" w:right="709"/>
        <w:jc w:val="both"/>
        <w:rPr>
          <w:rFonts w:ascii="Verdana" w:eastAsia="Arial" w:hAnsi="Verdana" w:cs="Arial"/>
          <w:i/>
          <w:color w:val="000000"/>
          <w:sz w:val="20"/>
          <w:szCs w:val="20"/>
        </w:rPr>
      </w:pPr>
      <w:r w:rsidRPr="00363CD6">
        <w:rPr>
          <w:rFonts w:ascii="Verdana" w:eastAsia="Arial" w:hAnsi="Verdana" w:cs="Arial"/>
          <w:i/>
          <w:color w:val="000000"/>
          <w:sz w:val="20"/>
          <w:szCs w:val="20"/>
        </w:rPr>
        <w:t xml:space="preserve">Agradezco de antemano su atención a esta consulta, crucial para asegurar los principios de </w:t>
      </w:r>
      <w:r w:rsidRPr="00363CD6">
        <w:rPr>
          <w:rFonts w:ascii="Verdana" w:eastAsia="Arial" w:hAnsi="Verdana" w:cs="Arial"/>
          <w:b/>
          <w:bCs/>
          <w:i/>
          <w:color w:val="000000"/>
          <w:sz w:val="20"/>
          <w:szCs w:val="20"/>
        </w:rPr>
        <w:t>selección objetiva</w:t>
      </w:r>
      <w:r w:rsidRPr="00363CD6">
        <w:rPr>
          <w:rFonts w:ascii="Verdana" w:eastAsia="Arial" w:hAnsi="Verdana" w:cs="Arial"/>
          <w:i/>
          <w:color w:val="000000"/>
          <w:sz w:val="20"/>
          <w:szCs w:val="20"/>
        </w:rPr>
        <w:t xml:space="preserve"> y </w:t>
      </w:r>
      <w:r w:rsidRPr="00363CD6">
        <w:rPr>
          <w:rFonts w:ascii="Verdana" w:eastAsia="Arial" w:hAnsi="Verdana" w:cs="Arial"/>
          <w:b/>
          <w:bCs/>
          <w:i/>
          <w:color w:val="000000"/>
          <w:sz w:val="20"/>
          <w:szCs w:val="20"/>
        </w:rPr>
        <w:t>eficiencia</w:t>
      </w:r>
      <w:r w:rsidRPr="00363CD6">
        <w:rPr>
          <w:rFonts w:ascii="Verdana" w:eastAsia="Arial" w:hAnsi="Verdana" w:cs="Arial"/>
          <w:i/>
          <w:color w:val="000000"/>
          <w:sz w:val="20"/>
          <w:szCs w:val="20"/>
        </w:rPr>
        <w:t xml:space="preserve"> en la gestión de los recursos públicos a través de los Convenios de Asociación.</w:t>
      </w:r>
      <w:r w:rsidRPr="00363CD6">
        <w:rPr>
          <w:rFonts w:ascii="Verdana" w:hAnsi="Verdana"/>
          <w:sz w:val="20"/>
          <w:szCs w:val="20"/>
        </w:rPr>
        <w:t>”</w:t>
      </w:r>
    </w:p>
    <w:p w14:paraId="443B5754" w14:textId="77777777" w:rsidR="00AC0C0D" w:rsidRPr="00363CD6" w:rsidRDefault="00AC0C0D" w:rsidP="00AC0C0D">
      <w:pPr>
        <w:spacing w:after="0" w:line="240" w:lineRule="auto"/>
        <w:ind w:left="709" w:right="709"/>
        <w:jc w:val="both"/>
      </w:pPr>
    </w:p>
    <w:p w14:paraId="33920FA0" w14:textId="77777777" w:rsidR="00AC0C0D" w:rsidRPr="00363CD6" w:rsidRDefault="00AC0C0D" w:rsidP="00AC0C0D">
      <w:pPr>
        <w:spacing w:after="120" w:line="276" w:lineRule="auto"/>
        <w:ind w:firstLine="709"/>
        <w:jc w:val="both"/>
        <w:rPr>
          <w:rFonts w:ascii="Verdana" w:eastAsia="Calibri" w:hAnsi="Verdana" w:cs="Arial"/>
          <w:color w:val="000000"/>
          <w:lang w:eastAsia="es-ES"/>
        </w:rPr>
      </w:pPr>
      <w:r w:rsidRPr="00363CD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63CD6">
        <w:rPr>
          <w:rFonts w:ascii="Verdana" w:eastAsia="Calibri" w:hAnsi="Verdana" w:cs="Arial"/>
          <w:color w:val="000000"/>
          <w:szCs w:val="24"/>
          <w:lang w:eastAsia="es-ES_tradnl"/>
        </w:rPr>
        <w:tab/>
      </w:r>
    </w:p>
    <w:p w14:paraId="056E4C5D" w14:textId="77777777" w:rsidR="00AC0C0D" w:rsidRPr="00363CD6" w:rsidRDefault="00AC0C0D" w:rsidP="00AC0C0D">
      <w:pPr>
        <w:spacing w:after="0" w:line="276" w:lineRule="auto"/>
        <w:ind w:firstLine="709"/>
        <w:jc w:val="both"/>
        <w:rPr>
          <w:rFonts w:ascii="Verdana" w:eastAsia="Calibri" w:hAnsi="Verdana" w:cs="Arial"/>
          <w:color w:val="000000"/>
          <w:lang w:eastAsia="es-ES"/>
        </w:rPr>
      </w:pPr>
      <w:r w:rsidRPr="00363CD6">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363CD6">
        <w:rPr>
          <w:rFonts w:ascii="Verdana" w:eastAsia="Calibri" w:hAnsi="Verdana" w:cs="Arial"/>
          <w:color w:val="7030A0"/>
          <w:lang w:eastAsia="es-ES"/>
        </w:rPr>
        <w:t xml:space="preserve"> </w:t>
      </w:r>
      <w:r w:rsidRPr="00363CD6">
        <w:rPr>
          <w:rFonts w:ascii="Verdana" w:eastAsia="Calibri" w:hAnsi="Verdana" w:cs="Arial"/>
          <w:color w:val="000000"/>
          <w:lang w:eastAsia="es-ES"/>
        </w:rPr>
        <w:t>problemas</w:t>
      </w:r>
      <w:r w:rsidRPr="00363CD6">
        <w:rPr>
          <w:rFonts w:ascii="Verdana" w:eastAsia="Calibri" w:hAnsi="Verdana" w:cs="Arial"/>
          <w:color w:val="7030A0"/>
          <w:lang w:eastAsia="es-ES"/>
        </w:rPr>
        <w:t xml:space="preserve"> </w:t>
      </w:r>
      <w:r w:rsidRPr="00363CD6">
        <w:rPr>
          <w:rFonts w:ascii="Verdana" w:eastAsia="Calibri" w:hAnsi="Verdana" w:cs="Arial"/>
          <w:color w:val="000000"/>
          <w:lang w:eastAsia="es-ES"/>
        </w:rPr>
        <w:t>jurídicos</w:t>
      </w:r>
      <w:r w:rsidRPr="00363CD6">
        <w:rPr>
          <w:rFonts w:ascii="Verdana" w:eastAsia="Calibri" w:hAnsi="Verdana" w:cs="Arial"/>
          <w:color w:val="7030A0"/>
          <w:lang w:eastAsia="es-ES"/>
        </w:rPr>
        <w:t xml:space="preserve"> </w:t>
      </w:r>
      <w:r w:rsidRPr="00363CD6">
        <w:rPr>
          <w:rFonts w:ascii="Verdana" w:eastAsia="Calibri" w:hAnsi="Verdana" w:cs="Arial"/>
          <w:color w:val="000000"/>
          <w:lang w:eastAsia="es-ES"/>
        </w:rPr>
        <w:t xml:space="preserve">de su consulta. </w:t>
      </w:r>
    </w:p>
    <w:p w14:paraId="73743A17" w14:textId="77777777" w:rsidR="00AC0C0D" w:rsidRPr="00363CD6" w:rsidRDefault="00AC0C0D" w:rsidP="00AC0C0D">
      <w:pPr>
        <w:spacing w:after="0" w:line="276" w:lineRule="auto"/>
        <w:ind w:firstLine="709"/>
        <w:jc w:val="both"/>
        <w:rPr>
          <w:rFonts w:ascii="Verdana" w:eastAsia="Calibri" w:hAnsi="Verdana" w:cs="Arial"/>
          <w:color w:val="000000"/>
          <w:lang w:eastAsia="es-ES"/>
        </w:rPr>
      </w:pPr>
    </w:p>
    <w:p w14:paraId="4CE567EF" w14:textId="77777777" w:rsidR="00AC0C0D" w:rsidRPr="00363CD6" w:rsidRDefault="00AC0C0D" w:rsidP="00AC0C0D">
      <w:pPr>
        <w:numPr>
          <w:ilvl w:val="0"/>
          <w:numId w:val="1"/>
        </w:numPr>
        <w:tabs>
          <w:tab w:val="left" w:pos="142"/>
          <w:tab w:val="left" w:pos="284"/>
        </w:tabs>
        <w:spacing w:after="0" w:line="276" w:lineRule="auto"/>
        <w:jc w:val="both"/>
        <w:rPr>
          <w:rFonts w:ascii="Verdana" w:eastAsia="Century Gothic" w:hAnsi="Verdana" w:cs="Century Gothic"/>
          <w:b/>
          <w:bCs/>
        </w:rPr>
      </w:pPr>
      <w:r w:rsidRPr="00363CD6">
        <w:rPr>
          <w:rFonts w:ascii="Verdana" w:eastAsia="Century Gothic" w:hAnsi="Verdana" w:cs="Century Gothic"/>
          <w:b/>
          <w:bCs/>
        </w:rPr>
        <w:t>Problemas planteados:</w:t>
      </w:r>
    </w:p>
    <w:p w14:paraId="17D1251A" w14:textId="77777777" w:rsidR="00AC0C0D" w:rsidRPr="00363CD6" w:rsidRDefault="00AC0C0D" w:rsidP="00AC0C0D">
      <w:pPr>
        <w:tabs>
          <w:tab w:val="left" w:pos="426"/>
        </w:tabs>
        <w:spacing w:after="0" w:line="276" w:lineRule="auto"/>
        <w:jc w:val="both"/>
        <w:rPr>
          <w:rFonts w:ascii="Verdana" w:eastAsia="Century Gothic" w:hAnsi="Verdana" w:cs="Century Gothic"/>
        </w:rPr>
      </w:pPr>
    </w:p>
    <w:p w14:paraId="4D8911CA" w14:textId="77777777" w:rsidR="00AC0C0D" w:rsidRPr="00363CD6" w:rsidRDefault="00AC0C0D" w:rsidP="00AC0C0D">
      <w:pPr>
        <w:spacing w:after="0" w:line="276" w:lineRule="auto"/>
        <w:jc w:val="both"/>
        <w:rPr>
          <w:rFonts w:ascii="Verdana" w:eastAsia="Century Gothic" w:hAnsi="Verdana" w:cs="Century Gothic"/>
        </w:rPr>
      </w:pPr>
      <w:r w:rsidRPr="00363CD6">
        <w:rPr>
          <w:rFonts w:ascii="Verdana" w:eastAsia="Century Gothic" w:hAnsi="Verdana" w:cs="Century Gothic"/>
        </w:rPr>
        <w:t>De acuerdo con el contenido de su solicitud, esta Agencia resolverá el siguiente problema jurídico: ¿Es posible establecer requisitos financieros en el marco de procesos competitivos regidos por el Decreto 092 de 2017?</w:t>
      </w:r>
    </w:p>
    <w:p w14:paraId="1E7C46D4" w14:textId="77777777" w:rsidR="00AC0C0D" w:rsidRPr="00363CD6" w:rsidRDefault="00AC0C0D" w:rsidP="00AC0C0D">
      <w:pPr>
        <w:spacing w:after="0" w:line="276" w:lineRule="auto"/>
        <w:jc w:val="both"/>
        <w:rPr>
          <w:rFonts w:ascii="Verdana" w:eastAsia="Calibri" w:hAnsi="Verdana" w:cs="Arial"/>
          <w:color w:val="7030A0"/>
        </w:rPr>
      </w:pPr>
    </w:p>
    <w:p w14:paraId="20B601B1" w14:textId="77777777" w:rsidR="00AC0C0D" w:rsidRPr="00363CD6" w:rsidRDefault="00AC0C0D" w:rsidP="00AC0C0D">
      <w:pPr>
        <w:numPr>
          <w:ilvl w:val="0"/>
          <w:numId w:val="1"/>
        </w:numPr>
        <w:tabs>
          <w:tab w:val="left" w:pos="142"/>
          <w:tab w:val="left" w:pos="284"/>
        </w:tabs>
        <w:spacing w:after="0" w:line="276" w:lineRule="auto"/>
        <w:jc w:val="both"/>
        <w:rPr>
          <w:rFonts w:ascii="Verdana" w:eastAsia="Century Gothic" w:hAnsi="Verdana" w:cs="Century Gothic"/>
          <w:b/>
          <w:bCs/>
        </w:rPr>
      </w:pPr>
      <w:r w:rsidRPr="00363CD6">
        <w:rPr>
          <w:rFonts w:ascii="Verdana" w:eastAsia="Century Gothic" w:hAnsi="Verdana" w:cs="Century Gothic"/>
          <w:b/>
          <w:bCs/>
        </w:rPr>
        <w:t>Respuestas:</w:t>
      </w:r>
    </w:p>
    <w:p w14:paraId="016BB281" w14:textId="77777777" w:rsidR="00AC0C0D" w:rsidRPr="00363CD6" w:rsidRDefault="00AC0C0D" w:rsidP="00AC0C0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C0C0D" w:rsidRPr="00363CD6" w14:paraId="7F59C6E1" w14:textId="77777777" w:rsidTr="00A5204D">
        <w:trPr>
          <w:jc w:val="center"/>
        </w:trPr>
        <w:tc>
          <w:tcPr>
            <w:tcW w:w="8828" w:type="dxa"/>
          </w:tcPr>
          <w:p w14:paraId="1BABB21E" w14:textId="77777777" w:rsidR="00AC0C0D" w:rsidRPr="00363CD6" w:rsidRDefault="00AC0C0D" w:rsidP="00A5204D">
            <w:pPr>
              <w:spacing w:after="120" w:line="276" w:lineRule="auto"/>
              <w:jc w:val="both"/>
              <w:rPr>
                <w:rFonts w:ascii="Verdana" w:eastAsia="Arial" w:hAnsi="Verdana" w:cs="Arial"/>
                <w:color w:val="000000"/>
                <w:lang w:val="es-ES" w:eastAsia="es-ES_tradnl"/>
              </w:rPr>
            </w:pPr>
            <w:bookmarkStart w:id="2" w:name="_Hlk171694685"/>
            <w:r w:rsidRPr="00363CD6">
              <w:rPr>
                <w:rFonts w:ascii="Verdana" w:hAnsi="Verdana"/>
              </w:rPr>
              <w:t xml:space="preserve">El artículo 5 del Decreto 092 de 2017 no determina </w:t>
            </w:r>
            <w:r w:rsidRPr="00363CD6">
              <w:rPr>
                <w:rFonts w:ascii="Verdana" w:eastAsia="Calibri" w:hAnsi="Verdana" w:cs="Arial"/>
              </w:rPr>
              <w:t xml:space="preserve">la forma en la que las Entidades Estatales deban desarrollar el proceso competitivo en el marco de los convenios de asociación, ni los requisitos o condiciones que se pueden solicitar, por tanto </w:t>
            </w:r>
            <w:r w:rsidRPr="00363CD6">
              <w:rPr>
                <w:rFonts w:ascii="Verdana" w:eastAsia="Arial" w:hAnsi="Verdana" w:cs="Arial"/>
                <w:color w:val="000000"/>
                <w:lang w:val="es-ES" w:eastAsia="es-ES_tradnl"/>
              </w:rPr>
              <w:t xml:space="preserve">las Entidades Estatales son autónomas en la configuración de dicho proceso. Para tales efectos, se considera conveniente tener en cuenta los parámetros señalados en la </w:t>
            </w:r>
            <w:r w:rsidRPr="00363CD6">
              <w:rPr>
                <w:rFonts w:ascii="Verdana" w:eastAsia="Calibri" w:hAnsi="Verdana" w:cs="Arial"/>
                <w:lang w:val="es-ES_tradnl" w:eastAsia="es-ES_tradnl"/>
              </w:rPr>
              <w:t xml:space="preserve">“Guía para la contratación con entidades privadas sin ánimo de lucro y de reconocida idoneidad” expedida por esta Agencia </w:t>
            </w:r>
            <w:r w:rsidRPr="00363CD6">
              <w:rPr>
                <w:rFonts w:ascii="Verdana" w:eastAsia="Arial" w:hAnsi="Verdana" w:cs="Arial"/>
                <w:color w:val="000000"/>
                <w:lang w:val="es-ES" w:eastAsia="es-ES_tradnl"/>
              </w:rPr>
              <w:t xml:space="preserve">y establecer </w:t>
            </w:r>
            <w:r w:rsidRPr="00363CD6">
              <w:rPr>
                <w:rFonts w:ascii="Verdana" w:hAnsi="Verdana"/>
              </w:rPr>
              <w:t xml:space="preserve">indicadores de idoneidad, experiencia, eficacia, eficiencia, economía, según se determine en cada caso. Además, </w:t>
            </w:r>
            <w:r w:rsidRPr="00363CD6">
              <w:rPr>
                <w:rFonts w:ascii="Verdana" w:eastAsia="Arial" w:hAnsi="Verdana" w:cs="Arial"/>
                <w:color w:val="000000"/>
                <w:lang w:val="es-ES" w:eastAsia="es-ES_tradnl"/>
              </w:rPr>
              <w:t xml:space="preserve">el proceso competitivo </w:t>
            </w:r>
            <w:r w:rsidRPr="00363CD6">
              <w:rPr>
                <w:rFonts w:ascii="Verdana" w:eastAsia="Arial" w:hAnsi="Verdana" w:cs="Arial"/>
                <w:color w:val="000000"/>
                <w:lang w:val="es-ES" w:eastAsia="es-ES_tradnl"/>
              </w:rPr>
              <w:lastRenderedPageBreak/>
              <w:t xml:space="preserve">que definan las Entidades Estatales para sus convenios de asociación debe garantizar la libre concurrencia, la pluralidad de interesados y la comparación objetiva de las ofertas. </w:t>
            </w:r>
          </w:p>
          <w:p w14:paraId="24DCE5AB" w14:textId="77777777" w:rsidR="00AC0C0D" w:rsidRPr="00363CD6" w:rsidRDefault="00AC0C0D" w:rsidP="00A5204D">
            <w:pPr>
              <w:spacing w:after="120" w:line="276" w:lineRule="auto"/>
              <w:ind w:firstLine="709"/>
              <w:jc w:val="both"/>
              <w:textAlignment w:val="baseline"/>
              <w:rPr>
                <w:rFonts w:ascii="Verdana" w:hAnsi="Verdana"/>
              </w:rPr>
            </w:pPr>
            <w:r w:rsidRPr="00363CD6">
              <w:rPr>
                <w:rFonts w:ascii="Verdana" w:eastAsia="Calibri" w:hAnsi="Verdana" w:cs="Arial"/>
                <w:color w:val="000000"/>
                <w:lang w:val="es-MX" w:eastAsia="es-ES_tradnl"/>
              </w:rPr>
              <w:t xml:space="preserve">Al respecto, la </w:t>
            </w:r>
            <w:r w:rsidRPr="00363CD6">
              <w:rPr>
                <w:rFonts w:ascii="Verdana" w:hAnsi="Verdana"/>
              </w:rPr>
              <w:t>Guía expedida por esta Agencia señala que “teniendo en cuenta que la norma no establece el procedimiento para escoger a la Entidad Privada Sin Ánimo de Lucro con la que se celebrará el convenio de asociación, se recomienda a las Entidades Estatales observar lo señalado en el numeral 6 del presente documento, en razón a que brinda parámetros a tener en cuenta para estructurar los procesos de contratación que se adelanten en atención a lo dispuesto en el Decreto 092 de 2017 y a lo señalado en el numeral 4.2, esto es, en el sentido de precisar que para los aspectos no reglamentados en el referido decreto se deberá atender a lo dispuesto en las normas aplicables a la contratación pública”.</w:t>
            </w:r>
          </w:p>
          <w:p w14:paraId="49639C03" w14:textId="77777777" w:rsidR="00AC0C0D" w:rsidRPr="00363CD6" w:rsidRDefault="00AC0C0D" w:rsidP="00A5204D">
            <w:pPr>
              <w:spacing w:after="120" w:line="276" w:lineRule="auto"/>
              <w:ind w:firstLine="709"/>
              <w:jc w:val="both"/>
              <w:rPr>
                <w:rFonts w:ascii="Verdana" w:hAnsi="Verdana"/>
              </w:rPr>
            </w:pPr>
            <w:r w:rsidRPr="00363CD6">
              <w:rPr>
                <w:rFonts w:ascii="Verdana" w:hAnsi="Verdana"/>
              </w:rPr>
              <w:t>Sobre los parámetros para los procesos competitivos en desarrollo del Decreto 092 de 2017, el numeral 6.1 de la Guía indica que en la etapa de planeación la entidad deberá definir y publicar los indicadores de idoneidad, experiencia, eficacia, eficiencia, economía y de manejo del riesgo y los criterios de ponderación para comparar las ofertas, establecer un plazo razonable para que las ESAL presenten sus ofertas y los documentos que acrediten su idoneidad y evaluar las ofertas teniendo en cuenta los criterios definidos para el efecto.</w:t>
            </w:r>
          </w:p>
          <w:p w14:paraId="0D64FAD8" w14:textId="77777777" w:rsidR="00AC0C0D" w:rsidRPr="00363CD6" w:rsidRDefault="00AC0C0D" w:rsidP="00A5204D">
            <w:pPr>
              <w:spacing w:after="120" w:line="276" w:lineRule="auto"/>
              <w:ind w:firstLine="709"/>
              <w:jc w:val="both"/>
              <w:rPr>
                <w:rFonts w:ascii="Verdana" w:hAnsi="Verdana"/>
              </w:rPr>
            </w:pPr>
            <w:r w:rsidRPr="00363CD6">
              <w:rPr>
                <w:rFonts w:ascii="Verdana" w:hAnsi="Verdana"/>
              </w:rPr>
              <w:t>De esta forma, es posible que la entidad estatal determine indicadores financieros que considere pertinentes y adecuados para garantizar la selección objetiva de la ESAL. Esta facultad debe ser ejercida en el marco del principio de planeación contractual, conforme al régimen general contenido en la Ley 80 de 1993, el cual resulta aplicable a la contratación de interés público, en virtud de la remisión expresa que hace el artículo 8 del Decreto 092 de 2017 a las normas generales del sistema de contratación pública.</w:t>
            </w:r>
          </w:p>
          <w:p w14:paraId="75F7E0DF" w14:textId="77777777" w:rsidR="00AC0C0D" w:rsidRPr="00363CD6" w:rsidRDefault="00AC0C0D" w:rsidP="00A5204D">
            <w:pPr>
              <w:spacing w:after="120" w:line="276" w:lineRule="auto"/>
              <w:ind w:firstLine="709"/>
              <w:jc w:val="both"/>
              <w:rPr>
                <w:rFonts w:ascii="Verdana" w:hAnsi="Verdana"/>
              </w:rPr>
            </w:pPr>
            <w:r w:rsidRPr="00363CD6">
              <w:rPr>
                <w:rFonts w:ascii="Verdana" w:hAnsi="Verdana"/>
              </w:rPr>
              <w:t xml:space="preserve">Aunado a lo anterior, es pertinente indicar que el numeral 5 de la Guía señala que para la determinación de la idoneidad de las ESAL, se estima necesario la observancia de aspectos como el objeto, programa o actividad que ejecuta, la capacidad del personal, la experiencia, la estructura organizacional y la reputación. Particularmente, el numeral 5.4 referente a la estructura organizacional señala que “Las Entidades Estatales, con el fin de </w:t>
            </w:r>
            <w:r w:rsidRPr="00363CD6">
              <w:rPr>
                <w:rFonts w:ascii="Verdana" w:hAnsi="Verdana"/>
              </w:rPr>
              <w:lastRenderedPageBreak/>
              <w:t xml:space="preserve">determinar la capacidad de organización interna de la Entidad Privada Sin Ánimo de Lucro, esto es, respecto de sus procedimientos, órganos directivos, entre otros aspectos, podrán establecer de acuerdo con el programa o actividad a desarrollar mediante el contrato y/o convenio, criterios o condiciones que deberán acreditar dichas entidades”. En este sentido, Colombia Compra Eficiente estima necesario que las Entidades Estatales verifiquen “los estados financieros de la ESAL conforme al informe contable elaborado por un contador público independiente o, el revisor fiscal de la entidad”. </w:t>
            </w:r>
          </w:p>
          <w:p w14:paraId="417AB1E3" w14:textId="77777777" w:rsidR="00AC0C0D" w:rsidRPr="00363CD6" w:rsidRDefault="00AC0C0D" w:rsidP="00A5204D">
            <w:pPr>
              <w:spacing w:after="120" w:line="276" w:lineRule="auto"/>
              <w:ind w:firstLine="709"/>
              <w:jc w:val="both"/>
              <w:rPr>
                <w:rFonts w:ascii="Verdana" w:eastAsia="Calibri" w:hAnsi="Verdana" w:cs="Arial"/>
                <w:color w:val="000000" w:themeColor="text1"/>
              </w:rPr>
            </w:pPr>
            <w:r w:rsidRPr="00363CD6">
              <w:rPr>
                <w:rFonts w:ascii="Verdana" w:eastAsia="Calibri" w:hAnsi="Verdana" w:cs="Arial"/>
                <w:color w:val="000000" w:themeColor="text1"/>
              </w:rPr>
              <w:t>En este orden de ideas, la entidad estatal está facultada para establecer condiciones financieras dentro del proceso competitivo que se adelante en el marco de los convenios de asociación, con el propósito de evaluar la capacidad de organización interna de las ESAL participantes. Tales condiciones deberán definirse conforme a las particularidades del proceso y en estricto respeto de los principios de libre concurrencia y selección objetiva. Para la verificación de los indicadores financieros que se exijan, como lo señala la Guía, la entidad podrá apoyarse en los estados financieros de la ESAL, respaldados mediante informe contable emitido por un contador público independiente o, en su caso, por el revisor fiscal.</w:t>
            </w:r>
          </w:p>
          <w:p w14:paraId="1B073A71" w14:textId="77777777" w:rsidR="00AC0C0D" w:rsidRPr="00363CD6" w:rsidRDefault="00AC0C0D" w:rsidP="00A5204D">
            <w:pPr>
              <w:spacing w:line="276" w:lineRule="auto"/>
              <w:ind w:firstLine="709"/>
              <w:jc w:val="both"/>
              <w:rPr>
                <w:rFonts w:ascii="Verdana" w:eastAsia="Calibri" w:hAnsi="Verdana" w:cs="Arial"/>
                <w:color w:val="000000" w:themeColor="text1"/>
              </w:rPr>
            </w:pPr>
            <w:r w:rsidRPr="00363CD6">
              <w:rPr>
                <w:rFonts w:ascii="Verdana" w:eastAsia="Calibri" w:hAnsi="Verdana" w:cs="Arial"/>
                <w:color w:val="000000" w:themeColor="text1"/>
              </w:rPr>
              <w:t xml:space="preserve">En todo caso, y en atención a los principios que rigen la contratación estatal aplicables a este tipo de procesos, las condiciones financieras que la entidad establezca deben fundarse en parámetros objetivos ajustados a la naturaleza y complejidad del proyecto, de manera que permitan verificar de forma suficiente la idoneidad de la ESAL para ejecutar las actividades que constituyen el objeto del proceso competitivo. </w:t>
            </w:r>
          </w:p>
        </w:tc>
      </w:tr>
    </w:tbl>
    <w:p w14:paraId="322FB108" w14:textId="77777777" w:rsidR="00AC0C0D" w:rsidRPr="00363CD6" w:rsidRDefault="00AC0C0D" w:rsidP="00AC0C0D">
      <w:pPr>
        <w:tabs>
          <w:tab w:val="left" w:pos="142"/>
          <w:tab w:val="left" w:pos="284"/>
        </w:tabs>
        <w:spacing w:after="0" w:line="276" w:lineRule="auto"/>
        <w:jc w:val="both"/>
        <w:rPr>
          <w:rFonts w:ascii="Verdana" w:eastAsia="Century Gothic" w:hAnsi="Verdana" w:cs="Century Gothic"/>
          <w:b/>
          <w:bCs/>
        </w:rPr>
      </w:pPr>
    </w:p>
    <w:bookmarkEnd w:id="2"/>
    <w:p w14:paraId="6AA74D28" w14:textId="77777777" w:rsidR="00AC0C0D" w:rsidRPr="00363CD6" w:rsidRDefault="00AC0C0D" w:rsidP="00AC0C0D">
      <w:pPr>
        <w:numPr>
          <w:ilvl w:val="0"/>
          <w:numId w:val="1"/>
        </w:numPr>
        <w:tabs>
          <w:tab w:val="left" w:pos="142"/>
          <w:tab w:val="left" w:pos="284"/>
        </w:tabs>
        <w:spacing w:after="0" w:line="276" w:lineRule="auto"/>
        <w:jc w:val="both"/>
        <w:rPr>
          <w:rFonts w:ascii="Verdana" w:eastAsia="Century Gothic" w:hAnsi="Verdana" w:cs="Century Gothic"/>
          <w:b/>
          <w:bCs/>
        </w:rPr>
      </w:pPr>
      <w:r w:rsidRPr="00363CD6">
        <w:rPr>
          <w:rFonts w:ascii="Verdana" w:eastAsia="Century Gothic" w:hAnsi="Verdana" w:cs="Century Gothic"/>
          <w:b/>
          <w:bCs/>
        </w:rPr>
        <w:t>Razones de las respuestas:</w:t>
      </w:r>
    </w:p>
    <w:p w14:paraId="2F47DBC9" w14:textId="77777777" w:rsidR="00AC0C0D" w:rsidRPr="00363CD6" w:rsidRDefault="00AC0C0D" w:rsidP="00AC0C0D">
      <w:pPr>
        <w:spacing w:after="0" w:line="276" w:lineRule="auto"/>
        <w:jc w:val="both"/>
        <w:rPr>
          <w:rFonts w:ascii="Verdana" w:eastAsia="Calibri" w:hAnsi="Verdana" w:cs="Arial"/>
          <w:color w:val="7030A0"/>
        </w:rPr>
      </w:pPr>
    </w:p>
    <w:p w14:paraId="72C78934" w14:textId="77777777" w:rsidR="00AC0C0D" w:rsidRPr="00363CD6" w:rsidRDefault="00AC0C0D" w:rsidP="00AC0C0D">
      <w:pPr>
        <w:spacing w:after="0" w:line="276" w:lineRule="auto"/>
        <w:jc w:val="both"/>
        <w:rPr>
          <w:rFonts w:ascii="Verdana" w:eastAsia="Calibri" w:hAnsi="Verdana" w:cs="Arial"/>
        </w:rPr>
      </w:pPr>
      <w:r w:rsidRPr="00363CD6">
        <w:rPr>
          <w:rFonts w:ascii="Verdana" w:eastAsia="Calibri" w:hAnsi="Verdana" w:cs="Arial"/>
        </w:rPr>
        <w:t>Lo anterior se sustenta en las siguientes consideraciones:</w:t>
      </w:r>
    </w:p>
    <w:p w14:paraId="6BE79243" w14:textId="77777777" w:rsidR="00AC0C0D" w:rsidRPr="00363CD6" w:rsidRDefault="00AC0C0D" w:rsidP="00AC0C0D">
      <w:pPr>
        <w:spacing w:after="0" w:line="276" w:lineRule="auto"/>
        <w:jc w:val="both"/>
        <w:rPr>
          <w:rFonts w:ascii="Verdana" w:eastAsia="Calibri" w:hAnsi="Verdana" w:cs="Arial"/>
        </w:rPr>
      </w:pPr>
    </w:p>
    <w:p w14:paraId="2DE316A4" w14:textId="77777777" w:rsidR="00AC0C0D" w:rsidRPr="00363CD6" w:rsidRDefault="00AC0C0D" w:rsidP="00AC0C0D">
      <w:pPr>
        <w:spacing w:after="120" w:line="276" w:lineRule="auto"/>
        <w:jc w:val="both"/>
        <w:rPr>
          <w:rFonts w:ascii="Verdana" w:eastAsia="Calibri" w:hAnsi="Verdana" w:cs="Arial"/>
        </w:rPr>
      </w:pPr>
      <w:r w:rsidRPr="00363CD6">
        <w:rPr>
          <w:rFonts w:ascii="Verdana" w:hAnsi="Verdana" w:cs="Arial"/>
          <w:lang w:val="es-ES"/>
        </w:rPr>
        <w:t xml:space="preserve">i. 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w:t>
      </w:r>
      <w:r w:rsidRPr="00363CD6">
        <w:rPr>
          <w:rFonts w:ascii="Verdana" w:hAnsi="Verdana" w:cs="Arial"/>
          <w:lang w:val="es-ES"/>
        </w:rPr>
        <w:lastRenderedPageBreak/>
        <w:t>acordes con el plan nacional y los planes seccionales de desarrollo</w:t>
      </w:r>
      <w:r w:rsidRPr="00363CD6">
        <w:rPr>
          <w:rFonts w:ascii="Verdana" w:hAnsi="Verdana" w:cs="Arial"/>
          <w:vertAlign w:val="superscript"/>
          <w:lang w:val="es-ES"/>
        </w:rPr>
        <w:footnoteReference w:id="2"/>
      </w:r>
      <w:r w:rsidRPr="00363CD6">
        <w:rPr>
          <w:rFonts w:ascii="Verdana" w:hAnsi="Verdana" w:cs="Arial"/>
          <w:lang w:val="es-ES"/>
        </w:rPr>
        <w:t xml:space="preserve">. </w:t>
      </w:r>
      <w:bookmarkStart w:id="3" w:name="_Hlk164688501"/>
      <w:r w:rsidRPr="00363CD6">
        <w:rPr>
          <w:rFonts w:ascii="Verdana" w:hAnsi="Verdana" w:cs="Arial"/>
          <w:lang w:val="es-ES"/>
        </w:rPr>
        <w:t>Por otra parte, el artículo 96 de la Ley 489 de 1998</w:t>
      </w:r>
      <w:r w:rsidRPr="00363CD6">
        <w:rPr>
          <w:rFonts w:ascii="Verdana" w:hAnsi="Verdana" w:cs="Arial"/>
          <w:vertAlign w:val="superscript"/>
          <w:lang w:val="es-ES"/>
        </w:rPr>
        <w:footnoteReference w:id="3"/>
      </w:r>
      <w:r w:rsidRPr="00363CD6">
        <w:rPr>
          <w:rFonts w:ascii="Verdana" w:hAnsi="Verdana" w:cs="Arial"/>
          <w:lang w:val="es-ES"/>
        </w:rPr>
        <w:t xml:space="preserve">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bookmarkEnd w:id="3"/>
      <w:r w:rsidRPr="00363CD6">
        <w:rPr>
          <w:rFonts w:ascii="Verdana" w:hAnsi="Verdana" w:cs="Arial"/>
          <w:lang w:val="es-ES"/>
        </w:rPr>
        <w:t>.</w:t>
      </w:r>
      <w:bookmarkStart w:id="5" w:name="_Hlk171946092"/>
      <w:bookmarkStart w:id="6" w:name="_Hlk38819155"/>
    </w:p>
    <w:p w14:paraId="7BE8669E" w14:textId="77777777" w:rsidR="00AC0C0D" w:rsidRPr="00363CD6" w:rsidRDefault="00AC0C0D" w:rsidP="00AC0C0D">
      <w:pPr>
        <w:spacing w:after="120" w:line="276" w:lineRule="auto"/>
        <w:ind w:firstLine="709"/>
        <w:jc w:val="both"/>
        <w:rPr>
          <w:rFonts w:ascii="Verdana" w:eastAsia="Calibri" w:hAnsi="Verdana" w:cs="Arial"/>
        </w:rPr>
      </w:pPr>
      <w:r w:rsidRPr="00363CD6">
        <w:rPr>
          <w:rFonts w:ascii="Verdana" w:hAnsi="Verdana" w:cs="Arial"/>
          <w:lang w:val="es-ES"/>
        </w:rPr>
        <w:t xml:space="preserve">El Gobierno Nacional, en desarrollo del artículo 355 de la Constitución Política, expidió el Decreto 092 de 2017, que dispone las reglas para las contrataciones que realicen las Entidades Estatales con las ESAL. El Decreto regula dos (2) eventos: i) </w:t>
      </w:r>
      <w:r w:rsidRPr="00363CD6">
        <w:rPr>
          <w:rFonts w:ascii="Verdana" w:hAnsi="Verdana" w:cs="Arial"/>
          <w:lang w:val="es-ES" w:eastAsia="es-ES_tradnl"/>
        </w:rPr>
        <w:t xml:space="preserve">los </w:t>
      </w:r>
      <w:r w:rsidRPr="00363CD6">
        <w:rPr>
          <w:rFonts w:ascii="Verdana" w:hAnsi="Verdana" w:cs="Arial"/>
          <w:i/>
          <w:iCs/>
          <w:lang w:val="es-ES" w:eastAsia="es-ES_tradnl"/>
        </w:rPr>
        <w:t>contratos de colaboración</w:t>
      </w:r>
      <w:r w:rsidRPr="00363CD6">
        <w:rPr>
          <w:rFonts w:ascii="Verdana" w:hAnsi="Verdana" w:cs="Arial"/>
          <w:lang w:val="es-ES"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363CD6">
        <w:rPr>
          <w:rFonts w:ascii="Verdana" w:hAnsi="Verdana" w:cs="Arial"/>
          <w:lang w:val="es-ES"/>
        </w:rPr>
        <w:t xml:space="preserve"> y; </w:t>
      </w:r>
      <w:proofErr w:type="spellStart"/>
      <w:r w:rsidRPr="00363CD6">
        <w:rPr>
          <w:rFonts w:ascii="Verdana" w:hAnsi="Verdana" w:cs="Arial"/>
          <w:lang w:val="es-ES"/>
        </w:rPr>
        <w:t>ii</w:t>
      </w:r>
      <w:proofErr w:type="spellEnd"/>
      <w:r w:rsidRPr="00363CD6">
        <w:rPr>
          <w:rFonts w:ascii="Verdana" w:hAnsi="Verdana" w:cs="Arial"/>
          <w:lang w:val="es-ES"/>
        </w:rPr>
        <w:t xml:space="preserve">) los </w:t>
      </w:r>
      <w:r w:rsidRPr="00363CD6">
        <w:rPr>
          <w:rFonts w:ascii="Verdana" w:hAnsi="Verdana" w:cs="Arial"/>
          <w:i/>
          <w:iCs/>
          <w:lang w:val="es-ES"/>
        </w:rPr>
        <w:t>convenios de asociación</w:t>
      </w:r>
      <w:r w:rsidRPr="00363CD6">
        <w:rPr>
          <w:rFonts w:ascii="Verdana" w:hAnsi="Verdana" w:cs="Arial"/>
          <w:lang w:val="es-ES"/>
        </w:rPr>
        <w:t xml:space="preserve">, para el desarrollo conjunto de actividades relacionadas con las funciones de las Entidades Estatales, en desarrollo del artículo 96 de la Ley 489 de 1998. </w:t>
      </w:r>
      <w:r w:rsidRPr="00363CD6">
        <w:rPr>
          <w:rFonts w:ascii="Verdana" w:hAnsi="Verdana" w:cs="Arial"/>
          <w:lang w:val="es-ES" w:eastAsia="es-ES_tradnl"/>
        </w:rPr>
        <w:t xml:space="preserve">Los primeros están regulados en el artículo 2 del Decreto 092 de 2017, mientras que los segundos en los artículos 5, 6, 7 y 8 </w:t>
      </w:r>
      <w:r w:rsidRPr="00363CD6">
        <w:rPr>
          <w:rFonts w:ascii="Verdana" w:hAnsi="Verdana" w:cs="Arial"/>
          <w:i/>
          <w:iCs/>
          <w:lang w:val="es-ES" w:eastAsia="es-ES_tradnl"/>
        </w:rPr>
        <w:t>ibidem</w:t>
      </w:r>
      <w:r w:rsidRPr="00363CD6">
        <w:rPr>
          <w:rFonts w:ascii="Verdana" w:hAnsi="Verdana" w:cs="Arial"/>
          <w:lang w:val="es-ES" w:eastAsia="es-ES_tradnl"/>
        </w:rPr>
        <w:t xml:space="preserve">. </w:t>
      </w:r>
      <w:bookmarkEnd w:id="5"/>
      <w:r w:rsidRPr="00363CD6">
        <w:rPr>
          <w:rFonts w:ascii="Verdana" w:hAnsi="Verdana" w:cs="Arial"/>
          <w:lang w:val="es-ES" w:eastAsia="es-ES_tradnl"/>
        </w:rPr>
        <w:t xml:space="preserve">Es posible diferenciar, pues, los </w:t>
      </w:r>
      <w:r w:rsidRPr="00363CD6">
        <w:rPr>
          <w:rFonts w:ascii="Verdana" w:hAnsi="Verdana" w:cs="Arial"/>
          <w:i/>
          <w:iCs/>
          <w:lang w:val="es-ES" w:eastAsia="es-ES_tradnl"/>
        </w:rPr>
        <w:t>convenios de asociación</w:t>
      </w:r>
      <w:r w:rsidRPr="00363CD6">
        <w:rPr>
          <w:rFonts w:ascii="Verdana" w:hAnsi="Verdana" w:cs="Arial"/>
          <w:lang w:val="es-ES" w:eastAsia="es-ES_tradnl"/>
        </w:rPr>
        <w:t xml:space="preserve">, regulados en el artículo 5, de los </w:t>
      </w:r>
      <w:r w:rsidRPr="00363CD6">
        <w:rPr>
          <w:rFonts w:ascii="Verdana" w:hAnsi="Verdana" w:cs="Arial"/>
          <w:i/>
          <w:iCs/>
          <w:lang w:val="es-ES" w:eastAsia="es-ES_tradnl"/>
        </w:rPr>
        <w:t>contratos de colaboración</w:t>
      </w:r>
      <w:r w:rsidRPr="00363CD6">
        <w:rPr>
          <w:rFonts w:ascii="Verdana" w:hAnsi="Verdana" w:cs="Arial"/>
          <w:lang w:val="es-ES" w:eastAsia="es-ES_tradnl"/>
        </w:rPr>
        <w:t>, establecidos en el artículo 2 del Decreto 092 de 2017</w:t>
      </w:r>
      <w:r w:rsidRPr="00363CD6">
        <w:rPr>
          <w:rFonts w:ascii="Verdana" w:hAnsi="Verdana"/>
          <w:vertAlign w:val="superscript"/>
          <w:lang w:val="es-ES" w:eastAsia="es-ES_tradnl"/>
        </w:rPr>
        <w:footnoteReference w:id="4"/>
      </w:r>
      <w:r w:rsidRPr="00363CD6">
        <w:rPr>
          <w:rFonts w:ascii="Verdana" w:hAnsi="Verdana" w:cs="Arial"/>
          <w:lang w:val="es-ES" w:eastAsia="es-ES_tradnl"/>
        </w:rPr>
        <w:t>.</w:t>
      </w:r>
      <w:bookmarkStart w:id="7" w:name="_Hlk171946110"/>
      <w:bookmarkEnd w:id="6"/>
    </w:p>
    <w:p w14:paraId="1DB5C1D2" w14:textId="77777777" w:rsidR="00AC0C0D" w:rsidRPr="00363CD6" w:rsidRDefault="00AC0C0D" w:rsidP="00AC0C0D">
      <w:pPr>
        <w:spacing w:after="120" w:line="276" w:lineRule="auto"/>
        <w:ind w:firstLine="709"/>
        <w:jc w:val="both"/>
        <w:rPr>
          <w:rFonts w:ascii="Verdana" w:eastAsia="Calibri" w:hAnsi="Verdana" w:cs="Arial"/>
        </w:rPr>
      </w:pPr>
      <w:r w:rsidRPr="00363CD6">
        <w:rPr>
          <w:rFonts w:ascii="Verdana" w:hAnsi="Verdana" w:cs="Arial"/>
          <w:lang w:val="es-ES"/>
        </w:rPr>
        <w:t xml:space="preserve">De un lado, los </w:t>
      </w:r>
      <w:r w:rsidRPr="00363CD6">
        <w:rPr>
          <w:rFonts w:ascii="Verdana" w:hAnsi="Verdana" w:cs="Arial"/>
          <w:i/>
          <w:iCs/>
          <w:lang w:val="es-ES"/>
        </w:rPr>
        <w:t>contratos del artículo 355 de la Constitución Política</w:t>
      </w:r>
      <w:r w:rsidRPr="00363CD6">
        <w:rPr>
          <w:rFonts w:ascii="Verdana"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w:t>
      </w:r>
      <w:r w:rsidRPr="00363CD6">
        <w:rPr>
          <w:rFonts w:ascii="Verdana" w:hAnsi="Verdana" w:cs="Arial"/>
          <w:lang w:val="es-ES"/>
        </w:rPr>
        <w:lastRenderedPageBreak/>
        <w:t xml:space="preserve">el artículo 4 del Decreto 092 de 2017, por regla general, la entidad debe adelantar un proceso competitivo para seleccionar la ESAL contratista. </w:t>
      </w:r>
      <w:bookmarkStart w:id="8" w:name="_Hlk171946189"/>
      <w:bookmarkEnd w:id="7"/>
    </w:p>
    <w:p w14:paraId="60D96A08" w14:textId="77777777" w:rsidR="00AC0C0D" w:rsidRPr="00363CD6" w:rsidRDefault="00AC0C0D" w:rsidP="00AC0C0D">
      <w:pPr>
        <w:spacing w:after="120" w:line="276" w:lineRule="auto"/>
        <w:ind w:firstLine="709"/>
        <w:jc w:val="both"/>
        <w:rPr>
          <w:rFonts w:ascii="Verdana" w:eastAsia="Calibri" w:hAnsi="Verdana" w:cs="Arial"/>
        </w:rPr>
      </w:pPr>
      <w:r w:rsidRPr="00363CD6">
        <w:rPr>
          <w:rFonts w:ascii="Verdana" w:hAnsi="Verdana" w:cs="Arial"/>
          <w:lang w:val="es-ES"/>
        </w:rPr>
        <w:t xml:space="preserve">De otro lado, los </w:t>
      </w:r>
      <w:r w:rsidRPr="00363CD6">
        <w:rPr>
          <w:rFonts w:ascii="Verdana" w:hAnsi="Verdana" w:cs="Arial"/>
          <w:i/>
          <w:iCs/>
          <w:lang w:val="es-ES"/>
        </w:rPr>
        <w:t>convenios de asociación</w:t>
      </w:r>
      <w:r w:rsidRPr="00363CD6">
        <w:rPr>
          <w:rFonts w:ascii="Verdana" w:hAnsi="Verdana" w:cs="Arial"/>
          <w:lang w:val="es-ES"/>
        </w:rPr>
        <w:t xml:space="preserve"> “[…] [t]</w:t>
      </w:r>
      <w:proofErr w:type="spellStart"/>
      <w:r w:rsidRPr="00363CD6">
        <w:rPr>
          <w:rFonts w:ascii="Verdana" w:hAnsi="Verdana" w:cs="Arial"/>
          <w:lang w:val="es-ES"/>
        </w:rPr>
        <w:t>ienen</w:t>
      </w:r>
      <w:proofErr w:type="spellEnd"/>
      <w:r w:rsidRPr="00363CD6">
        <w:rPr>
          <w:rFonts w:ascii="Verdana" w:hAnsi="Verdana" w:cs="Arial"/>
          <w:lang w:val="es-ES"/>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63CD6">
        <w:rPr>
          <w:rFonts w:ascii="Verdana" w:hAnsi="Verdana"/>
          <w:vertAlign w:val="superscript"/>
          <w:lang w:val="es-ES"/>
        </w:rPr>
        <w:footnoteReference w:id="5"/>
      </w:r>
      <w:r w:rsidRPr="00363CD6">
        <w:rPr>
          <w:rFonts w:ascii="Verdana" w:hAnsi="Verdana" w:cs="Arial"/>
          <w:lang w:val="es-ES"/>
        </w:rPr>
        <w:t xml:space="preserve">. </w:t>
      </w:r>
      <w:bookmarkEnd w:id="8"/>
      <w:r w:rsidRPr="00363CD6">
        <w:rPr>
          <w:rFonts w:ascii="Verdana" w:hAnsi="Verdana" w:cs="Arial"/>
          <w:lang w:val="es-ES" w:eastAsia="es-ES_tradnl"/>
        </w:rPr>
        <w:t xml:space="preserve">De conformidad con el inciso segundo del </w:t>
      </w:r>
      <w:bookmarkStart w:id="9" w:name="_Hlk171946223"/>
      <w:r w:rsidRPr="00363CD6">
        <w:rPr>
          <w:rFonts w:ascii="Verdana" w:hAnsi="Verdana" w:cs="Arial"/>
          <w:lang w:val="es-ES" w:eastAsia="es-ES_tradnl"/>
        </w:rPr>
        <w:t>artículo 96 de la Ley 489 de 1998</w:t>
      </w:r>
      <w:bookmarkEnd w:id="9"/>
      <w:r w:rsidRPr="00363CD6">
        <w:rPr>
          <w:rFonts w:ascii="Verdana" w:hAnsi="Verdana" w:cs="Arial"/>
          <w:lang w:val="es-ES" w:eastAsia="es-ES_tradnl"/>
        </w:rPr>
        <w:t xml:space="preserve">, en estos convenios debe determinarse “con precisión su objeto, término, obligaciones de las partes, aportes, coordinación y todos aquellos aspectos que se consideren pertinentes”. </w:t>
      </w:r>
      <w:r w:rsidRPr="00363CD6">
        <w:rPr>
          <w:rFonts w:ascii="Verdana" w:hAnsi="Verdana" w:cs="Arial"/>
          <w:lang w:val="es-ES"/>
        </w:rPr>
        <w:t xml:space="preserve">En estos convenios no existe contraprestación o pago, sino aportes, los cuales están dirigidos, exclusivamente, a lograr la ejecución del convenio no a remunerar la actividad o actuaciones del asociado. </w:t>
      </w:r>
    </w:p>
    <w:p w14:paraId="0FC59F75" w14:textId="77777777" w:rsidR="00AC0C0D" w:rsidRPr="00363CD6" w:rsidRDefault="00AC0C0D" w:rsidP="00AC0C0D">
      <w:pPr>
        <w:spacing w:before="120" w:line="276" w:lineRule="auto"/>
        <w:jc w:val="both"/>
        <w:rPr>
          <w:rFonts w:ascii="Verdana" w:eastAsia="Calibri" w:hAnsi="Verdana" w:cs="Arial"/>
          <w:lang w:val="es-ES_tradnl"/>
        </w:rPr>
      </w:pPr>
      <w:proofErr w:type="spellStart"/>
      <w:r w:rsidRPr="00363CD6">
        <w:rPr>
          <w:rFonts w:ascii="Verdana" w:hAnsi="Verdana" w:cs="Arial"/>
          <w:lang w:val="es-ES"/>
        </w:rPr>
        <w:t>ii</w:t>
      </w:r>
      <w:proofErr w:type="spellEnd"/>
      <w:r w:rsidRPr="00363CD6">
        <w:rPr>
          <w:rFonts w:ascii="Verdana" w:hAnsi="Verdana" w:cs="Arial"/>
          <w:lang w:val="es-ES"/>
        </w:rPr>
        <w:t>. Respecto a la forma en la que debe seleccionarse a la ESAL, debe señalarse que, por un lado, el artículo 4 del Decreto 092 de 2027, dispone que la escogencia de la ESAL debe realizarse a través de proceso competitivo cuando haya pluralidad de ellas en condiciones de idoneidad para desarrollar un programa o una actividad de interés público</w:t>
      </w:r>
      <w:r w:rsidRPr="00363CD6">
        <w:rPr>
          <w:rFonts w:ascii="Verdana" w:eastAsia="Calibri" w:hAnsi="Verdana" w:cs="Arial"/>
          <w:lang w:val="es-ES_tradnl"/>
        </w:rPr>
        <w:t>.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00363CD6">
        <w:rPr>
          <w:rFonts w:ascii="Verdana" w:eastAsia="Calibri" w:hAnsi="Verdana" w:cs="Arial"/>
          <w:lang w:val="es-ES_tradnl"/>
        </w:rPr>
        <w:t>ii</w:t>
      </w:r>
      <w:proofErr w:type="spellEnd"/>
      <w:r w:rsidRPr="00363CD6">
        <w:rPr>
          <w:rFonts w:ascii="Verdana" w:eastAsia="Calibri" w:hAnsi="Verdana" w:cs="Arial"/>
          <w:lang w:val="es-ES_tradnl"/>
        </w:rPr>
        <w:t>) definición de un plazo razonable para que las entidades privadas sin ánimo de lucro de reconocida idoneidad presenten a la Entidad Estatal sus ofertas y los documentos que acrediten su idoneidad, y (</w:t>
      </w:r>
      <w:proofErr w:type="spellStart"/>
      <w:r w:rsidRPr="00363CD6">
        <w:rPr>
          <w:rFonts w:ascii="Verdana" w:eastAsia="Calibri" w:hAnsi="Verdana" w:cs="Arial"/>
          <w:lang w:val="es-ES_tradnl"/>
        </w:rPr>
        <w:t>iii</w:t>
      </w:r>
      <w:proofErr w:type="spellEnd"/>
      <w:r w:rsidRPr="00363CD6">
        <w:rPr>
          <w:rFonts w:ascii="Verdana" w:eastAsia="Calibri" w:hAnsi="Verdana" w:cs="Arial"/>
          <w:lang w:val="es-ES_tradnl"/>
        </w:rPr>
        <w:t xml:space="preserve">) evaluación de las ofertas por parte de la Entidad Estatal teniendo en cuenta los criterios definidos para el efecto”. </w:t>
      </w:r>
    </w:p>
    <w:p w14:paraId="2B830A38" w14:textId="77777777" w:rsidR="00AC0C0D" w:rsidRPr="00363CD6" w:rsidRDefault="00AC0C0D" w:rsidP="00AC0C0D">
      <w:pPr>
        <w:spacing w:before="120" w:line="276" w:lineRule="auto"/>
        <w:ind w:firstLine="708"/>
        <w:jc w:val="both"/>
        <w:rPr>
          <w:rFonts w:ascii="Verdana" w:eastAsia="Calibri" w:hAnsi="Verdana" w:cs="Arial"/>
          <w:lang w:val="es-ES_tradnl"/>
        </w:rPr>
      </w:pPr>
      <w:r w:rsidRPr="00363CD6">
        <w:rPr>
          <w:rFonts w:ascii="Verdana" w:eastAsia="Calibri" w:hAnsi="Verdana" w:cs="Arial"/>
          <w:lang w:val="es-ES_tradnl"/>
        </w:rPr>
        <w:t>En la primera fase o de</w:t>
      </w:r>
      <w:r w:rsidRPr="00363CD6">
        <w:rPr>
          <w:rFonts w:ascii="Verdana" w:eastAsia="Calibri" w:hAnsi="Verdana" w:cs="Arial"/>
          <w:i/>
          <w:lang w:val="es-ES_tradnl"/>
        </w:rPr>
        <w:t xml:space="preserve"> convocatoria, </w:t>
      </w:r>
      <w:r w:rsidRPr="00363CD6">
        <w:rPr>
          <w:rFonts w:ascii="Verdana" w:eastAsia="Calibri" w:hAnsi="Verdana" w:cs="Arial"/>
          <w:lang w:val="es-ES_tradnl"/>
        </w:rPr>
        <w:t xml:space="preserve">la norma establece que las entidades deberán definir los indicadores de idoneidad, experiencia, eficacia, eficiencia, manejo de riesgo y los criterios de ponderación de las ofertas, no obstante “tales indicadores deben haberse </w:t>
      </w:r>
      <w:r w:rsidRPr="00363CD6">
        <w:rPr>
          <w:rFonts w:ascii="Verdana" w:eastAsia="Calibri" w:hAnsi="Verdana" w:cs="Arial"/>
          <w:i/>
          <w:lang w:val="es-ES_tradnl"/>
        </w:rPr>
        <w:t xml:space="preserve">definido </w:t>
      </w:r>
      <w:r w:rsidRPr="00363CD6">
        <w:rPr>
          <w:rFonts w:ascii="Verdana" w:eastAsia="Calibri" w:hAnsi="Verdana" w:cs="Arial"/>
          <w:lang w:val="es-ES_tradnl"/>
        </w:rPr>
        <w:t xml:space="preserve">o identificado en la etapa de planeación, </w:t>
      </w:r>
      <w:r w:rsidRPr="00363CD6">
        <w:rPr>
          <w:rFonts w:ascii="Verdana" w:eastAsia="Calibri" w:hAnsi="Verdana" w:cs="Arial"/>
          <w:lang w:val="es-ES_tradnl"/>
        </w:rPr>
        <w:lastRenderedPageBreak/>
        <w:t>mientras que lo que se hace esta etapa es publicarlos, llamando la atención a participar en la competencia a las ESAL interesadas y que los cumplan”</w:t>
      </w:r>
      <w:r w:rsidRPr="00363CD6">
        <w:rPr>
          <w:rFonts w:ascii="Verdana" w:eastAsia="Calibri" w:hAnsi="Verdana" w:cs="Arial"/>
          <w:vertAlign w:val="superscript"/>
          <w:lang w:val="es-ES_tradnl"/>
        </w:rPr>
        <w:footnoteReference w:id="6"/>
      </w:r>
      <w:r w:rsidRPr="00363CD6">
        <w:rPr>
          <w:rFonts w:ascii="Verdana" w:eastAsia="Calibri" w:hAnsi="Verdana" w:cs="Arial"/>
          <w:lang w:val="es-ES_tradnl"/>
        </w:rPr>
        <w:t xml:space="preserve">. </w:t>
      </w:r>
    </w:p>
    <w:p w14:paraId="5D2BE175" w14:textId="77777777" w:rsidR="00AC0C0D" w:rsidRPr="00363CD6" w:rsidRDefault="00AC0C0D" w:rsidP="00AC0C0D">
      <w:pPr>
        <w:spacing w:before="120" w:line="276" w:lineRule="auto"/>
        <w:ind w:firstLine="708"/>
        <w:jc w:val="both"/>
        <w:rPr>
          <w:rFonts w:ascii="Verdana" w:eastAsia="Calibri" w:hAnsi="Verdana" w:cs="Arial"/>
        </w:rPr>
      </w:pPr>
      <w:r w:rsidRPr="00363CD6">
        <w:rPr>
          <w:rFonts w:ascii="Verdana" w:eastAsia="Calibri" w:hAnsi="Verdana" w:cs="Arial"/>
          <w:lang w:val="es-ES_tradnl"/>
        </w:rPr>
        <w:t xml:space="preserve">En la segunda fase o </w:t>
      </w:r>
      <w:r w:rsidRPr="00363CD6">
        <w:rPr>
          <w:rFonts w:ascii="Verdana" w:eastAsia="Calibri" w:hAnsi="Verdana" w:cs="Arial"/>
          <w:i/>
          <w:lang w:val="es-ES_tradnl"/>
        </w:rPr>
        <w:t xml:space="preserve">plazo para la presentación de ofertas, </w:t>
      </w:r>
      <w:r w:rsidRPr="00363CD6">
        <w:rPr>
          <w:rFonts w:ascii="Verdana" w:eastAsia="Calibri" w:hAnsi="Verdana" w:cs="Arial"/>
          <w:lang w:val="es-ES_tradnl"/>
        </w:rPr>
        <w:t>la norma se limita a establecer que la entidad deberá definir un plazo razonable para que las ESAL presenten sus ofertas y demás documentación requerida en el marco del procedimiento.</w:t>
      </w:r>
      <w:r w:rsidRPr="00363CD6">
        <w:t xml:space="preserve"> </w:t>
      </w:r>
      <w:r w:rsidRPr="00363CD6">
        <w:rPr>
          <w:rFonts w:ascii="Verdana" w:eastAsia="Calibri" w:hAnsi="Verdana" w:cs="Arial"/>
        </w:rPr>
        <w:t>En este sentido, las Entidades Estatales deberán determinar estos plazos en la convocatoria de manera razonable, es decir, de forma adecuada y proporcional al proceso que se adelanta, de tal suerte que se garantice la libre concurrencia y se asegure una selección objetiva. Para ello, y conforme a lo dispuesto en el artículo 8 del Decreto 092 de 2017, podrán fijar dichos plazos aplicando las normas generales de la contratación pública.</w:t>
      </w:r>
    </w:p>
    <w:p w14:paraId="77751A8B" w14:textId="77777777" w:rsidR="00AC0C0D" w:rsidRPr="00363CD6" w:rsidRDefault="00AC0C0D" w:rsidP="00AC0C0D">
      <w:pPr>
        <w:spacing w:after="120" w:line="276" w:lineRule="auto"/>
        <w:ind w:firstLine="709"/>
        <w:jc w:val="both"/>
        <w:rPr>
          <w:rFonts w:ascii="Verdana" w:eastAsia="Calibri" w:hAnsi="Verdana" w:cs="Arial"/>
          <w:lang w:val="es-ES"/>
        </w:rPr>
      </w:pPr>
      <w:r w:rsidRPr="00363CD6">
        <w:rPr>
          <w:rFonts w:ascii="Verdana" w:eastAsia="Calibri" w:hAnsi="Verdana" w:cs="Arial"/>
          <w:lang w:val="es-ES"/>
        </w:rPr>
        <w:t xml:space="preserve">La tercera fase o de </w:t>
      </w:r>
      <w:r w:rsidRPr="00363CD6">
        <w:rPr>
          <w:rFonts w:ascii="Verdana" w:eastAsia="Calibri" w:hAnsi="Verdana" w:cs="Arial"/>
          <w:i/>
          <w:lang w:val="es-ES"/>
        </w:rPr>
        <w:t>evaluación de ofertas</w:t>
      </w:r>
      <w:r w:rsidRPr="00363CD6">
        <w:rPr>
          <w:rFonts w:ascii="Verdana" w:eastAsia="Calibri" w:hAnsi="Verdana" w:cs="Arial"/>
          <w:lang w:val="es-ES"/>
        </w:rPr>
        <w:t xml:space="preserve"> deberá cumplirse una vez vencido el plazo para la presentación de ofertas, </w:t>
      </w:r>
      <w:proofErr w:type="gramStart"/>
      <w:r w:rsidRPr="00363CD6">
        <w:rPr>
          <w:rFonts w:ascii="Verdana" w:eastAsia="Calibri" w:hAnsi="Verdana" w:cs="Arial"/>
          <w:lang w:val="es-ES"/>
        </w:rPr>
        <w:t>de acuerdo a</w:t>
      </w:r>
      <w:proofErr w:type="gramEnd"/>
      <w:r w:rsidRPr="00363CD6">
        <w:rPr>
          <w:rFonts w:ascii="Verdana" w:eastAsia="Calibri" w:hAnsi="Verdana" w:cs="Arial"/>
          <w:lang w:val="es-ES"/>
        </w:rPr>
        <w:t xml:space="preserve"> los métodos de ponderación y plazo definidos en la convocatoria.</w:t>
      </w:r>
    </w:p>
    <w:p w14:paraId="62884CEA" w14:textId="77777777" w:rsidR="00AC0C0D" w:rsidRPr="00363CD6" w:rsidRDefault="00AC0C0D" w:rsidP="00AC0C0D">
      <w:pPr>
        <w:spacing w:after="120" w:line="276" w:lineRule="auto"/>
        <w:ind w:firstLine="709"/>
        <w:jc w:val="both"/>
        <w:rPr>
          <w:rFonts w:ascii="Verdana" w:hAnsi="Verdana" w:cs="Arial"/>
          <w:lang w:val="es-ES"/>
        </w:rPr>
      </w:pPr>
      <w:r w:rsidRPr="00363CD6">
        <w:rPr>
          <w:rFonts w:ascii="Verdana" w:eastAsia="Calibri" w:hAnsi="Verdana" w:cs="Arial"/>
        </w:rPr>
        <w:t xml:space="preserve">En este contexto, si bien el Decreto 092 de 2017 establece las etapas en las que deberá adelantarse el proceso de selección de la Entidad Sin Ánimo de Lucro y de reconocida idoneidad, no se determinó en estos instrumentos normativos la forma en la que las Entidades Estatales deban desarrollarlo. Por ello, en virtud del principio de autonomía, las entidades están facultades para estructurar dicho proceso de forma tal, que garanticen </w:t>
      </w:r>
      <w:r w:rsidRPr="00363CD6">
        <w:rPr>
          <w:rFonts w:ascii="Verdana" w:eastAsia="Calibri" w:hAnsi="Verdana" w:cs="Arial"/>
          <w:lang w:val="es-ES"/>
        </w:rPr>
        <w:t>la libre concurrencia, la pluralidad de interesados y la comparación objetiva de las ofertas. En ese sentido, las Entidades Estatales tendrán la obligación de diseñar herramientas que permitan una comparación objetiva de las Entidades Sin Ánimo de Lucro y de reconocida idoneidad, para así seleccionar objetivamente a aquella que tenga las mejores condiciones para alcanzar el resultado esperado con la suscripción del contrato de colaboración o el convenio de asociación, según el caso.</w:t>
      </w:r>
    </w:p>
    <w:p w14:paraId="21FBA81E" w14:textId="77777777" w:rsidR="00AC0C0D" w:rsidRPr="00363CD6" w:rsidRDefault="00AC0C0D" w:rsidP="00AC0C0D">
      <w:pPr>
        <w:spacing w:after="120" w:line="276" w:lineRule="auto"/>
        <w:ind w:firstLine="709"/>
        <w:jc w:val="both"/>
        <w:rPr>
          <w:rFonts w:ascii="Verdana" w:eastAsia="Calibri" w:hAnsi="Verdana" w:cs="Arial"/>
          <w:lang w:val="es-ES"/>
        </w:rPr>
      </w:pPr>
      <w:r w:rsidRPr="00363CD6">
        <w:rPr>
          <w:rFonts w:ascii="Verdana" w:hAnsi="Verdana" w:cs="Arial"/>
          <w:lang w:val="es-ES"/>
        </w:rPr>
        <w:t>Por otro lado, respecto de los convenios de asociación</w:t>
      </w:r>
      <w:r w:rsidRPr="00363CD6">
        <w:rPr>
          <w:rFonts w:ascii="Verdana" w:eastAsia="Calibri" w:hAnsi="Verdana" w:cs="Arial"/>
          <w:lang w:val="es-ES_tradnl" w:eastAsia="es-ES_tradnl"/>
        </w:rPr>
        <w:t xml:space="preserve">, es preciso indicar que </w:t>
      </w:r>
      <w:bookmarkStart w:id="10" w:name="_Hlk173067283"/>
      <w:r w:rsidRPr="00363CD6">
        <w:rPr>
          <w:rFonts w:ascii="Verdana" w:eastAsia="Calibri" w:hAnsi="Verdana" w:cs="Arial"/>
          <w:lang w:val="es-ES_tradnl" w:eastAsia="es-ES_tradnl"/>
        </w:rPr>
        <w:t xml:space="preserve">el </w:t>
      </w:r>
      <w:bookmarkStart w:id="11" w:name="_Hlk173065372"/>
      <w:r w:rsidRPr="00363CD6">
        <w:rPr>
          <w:rFonts w:ascii="Verdana" w:eastAsia="Calibri" w:hAnsi="Verdana" w:cs="Arial"/>
          <w:lang w:val="es-ES_tradnl" w:eastAsia="es-ES_tradnl"/>
        </w:rPr>
        <w:t>artículo 5</w:t>
      </w:r>
      <w:bookmarkEnd w:id="11"/>
      <w:r w:rsidRPr="00363CD6">
        <w:rPr>
          <w:rFonts w:ascii="Verdana" w:eastAsia="Calibri" w:hAnsi="Verdana" w:cs="Arial"/>
          <w:lang w:val="es-ES_tradnl" w:eastAsia="es-ES_tradnl"/>
        </w:rPr>
        <w:t xml:space="preserve"> del Decreto 092 de 2017</w:t>
      </w:r>
      <w:r w:rsidRPr="00363CD6">
        <w:rPr>
          <w:rFonts w:ascii="Verdana" w:hAnsi="Verdana"/>
          <w:vertAlign w:val="superscript"/>
          <w:lang w:val="es-ES" w:eastAsia="es-ES_tradnl"/>
        </w:rPr>
        <w:footnoteReference w:id="7"/>
      </w:r>
      <w:r w:rsidRPr="00363CD6">
        <w:rPr>
          <w:rFonts w:ascii="Verdana" w:eastAsia="Calibri" w:hAnsi="Verdana" w:cs="Arial"/>
          <w:lang w:val="es-ES_tradnl" w:eastAsia="es-ES_tradnl"/>
        </w:rPr>
        <w:t xml:space="preserve"> establece que </w:t>
      </w:r>
      <w:bookmarkStart w:id="12" w:name="_Hlk77927493"/>
      <w:r w:rsidRPr="00363CD6">
        <w:rPr>
          <w:rFonts w:ascii="Verdana" w:eastAsia="Calibri" w:hAnsi="Verdana" w:cs="Arial"/>
          <w:lang w:val="es-ES" w:eastAsia="es-ES_tradnl"/>
        </w:rPr>
        <w:t xml:space="preserve">el proceso para la escogencia de la ESAL, por regla general, debe estar sujeto a competencia, salvo en aquellos casos en los que una ESAL manifieste su compromiso de aportar </w:t>
      </w:r>
      <w:r w:rsidRPr="00363CD6">
        <w:rPr>
          <w:rFonts w:ascii="Verdana" w:eastAsia="Calibri" w:hAnsi="Verdana" w:cs="Arial"/>
          <w:lang w:val="es-ES" w:eastAsia="es-ES_tradnl"/>
        </w:rPr>
        <w:lastRenderedPageBreak/>
        <w:t>recursos en dinero por un valor igual o superior al treinta por ciento (30%) del valor total del convenio, siempre y cuando no existan otras ESAL que ofrezcan aportes en monto igual o superior a dicho porcentaje</w:t>
      </w:r>
      <w:bookmarkEnd w:id="12"/>
      <w:r w:rsidRPr="00363CD6">
        <w:rPr>
          <w:rFonts w:ascii="Verdana" w:eastAsia="Calibri" w:hAnsi="Verdana" w:cs="Arial"/>
          <w:lang w:val="es-ES" w:eastAsia="es-ES_tradnl"/>
        </w:rPr>
        <w:t xml:space="preserve">, pues en este evento también se tendría que realizar un proceso competitivo. </w:t>
      </w:r>
      <w:bookmarkEnd w:id="10"/>
    </w:p>
    <w:p w14:paraId="4E6D4B15" w14:textId="77777777" w:rsidR="00AC0C0D" w:rsidRPr="00363CD6" w:rsidRDefault="00AC0C0D" w:rsidP="00AC0C0D">
      <w:pPr>
        <w:spacing w:after="120" w:line="276" w:lineRule="auto"/>
        <w:ind w:firstLine="709"/>
        <w:jc w:val="both"/>
        <w:rPr>
          <w:rFonts w:ascii="Verdana" w:eastAsia="Calibri" w:hAnsi="Verdana" w:cs="Arial"/>
          <w:lang w:eastAsia="es-ES_tradnl"/>
        </w:rPr>
      </w:pPr>
      <w:r w:rsidRPr="00363CD6">
        <w:rPr>
          <w:rFonts w:ascii="Verdana" w:eastAsia="Calibri" w:hAnsi="Verdana" w:cs="Arial"/>
          <w:lang w:val="es-ES_tradnl" w:eastAsia="es-ES_tradnl"/>
        </w:rPr>
        <w:t xml:space="preserve">Es decir, según la normativa aplicable, tal como lo indicó esta Agencia en la “Guía para la contratación con entidades privadas sin ánimo de lucro y de reconocida idoneidad”, cuando </w:t>
      </w:r>
      <w:r w:rsidRPr="00363CD6">
        <w:rPr>
          <w:rFonts w:ascii="Verdana" w:eastAsia="Calibri" w:hAnsi="Verdana" w:cs="Arial"/>
          <w:lang w:eastAsia="es-ES_tradnl"/>
        </w:rPr>
        <w:t>la ESAL comprometa recursos en dinero en un porcentaje no inferior al treinta por ciento (30%) del valor total del convenio, “</w:t>
      </w:r>
      <w:r w:rsidRPr="00363CD6">
        <w:rPr>
          <w:rFonts w:ascii="Verdana" w:eastAsia="Calibri" w:hAnsi="Verdana" w:cs="Arial"/>
          <w:lang w:val="es-ES_tradnl" w:eastAsia="es-ES_tradnl"/>
        </w:rPr>
        <w:t xml:space="preserve">[…] </w:t>
      </w:r>
      <w:r w:rsidRPr="00363CD6">
        <w:rPr>
          <w:rFonts w:ascii="Verdana" w:eastAsia="Calibri" w:hAnsi="Verdana" w:cs="Arial"/>
          <w:lang w:eastAsia="es-ES_tradnl"/>
        </w:rPr>
        <w:t>se entiende que la Entidad Estatal seleccionará de manera directa a la Entidad Privada Sin Ánimo de Lucro, pero tendrá la obligación de realizar tal selección basada en criterios objetivos y no subjetivos. Por ello, deberán justificar en el documento que conste la selección, las razones que la condujeron para seleccionar a tal Entidad”.</w:t>
      </w:r>
      <w:r w:rsidRPr="00363CD6">
        <w:rPr>
          <w:rFonts w:ascii="Verdana" w:eastAsia="Calibri" w:hAnsi="Verdana" w:cs="Arial"/>
          <w:lang w:val="es-ES_tradnl" w:eastAsia="es-ES_tradnl"/>
        </w:rPr>
        <w:t xml:space="preserve"> Además, señala la Guía que “[…] </w:t>
      </w:r>
      <w:r w:rsidRPr="00363CD6">
        <w:rPr>
          <w:rFonts w:ascii="Verdana" w:eastAsia="Calibri" w:hAnsi="Verdana" w:cs="Arial"/>
          <w:lang w:eastAsia="es-ES_tradnl"/>
        </w:rPr>
        <w:t>para que la Entidad Estatal pueda celebrar el convenio directamente, deberá asegurarse que la Entidad Privada Sin Ánimo de Lucro realice el aporte en dinero de por lo menos el 30% del valor total del contrato, así como el que no existan otras Entidades que ofrezcan su compromiso de recursos por dicho porcentaje”.</w:t>
      </w:r>
    </w:p>
    <w:p w14:paraId="51E649B5" w14:textId="77777777" w:rsidR="00AC0C0D" w:rsidRPr="00363CD6" w:rsidRDefault="00AC0C0D" w:rsidP="00AC0C0D">
      <w:pPr>
        <w:spacing w:after="120" w:line="276" w:lineRule="auto"/>
        <w:ind w:firstLine="709"/>
        <w:jc w:val="both"/>
        <w:textAlignment w:val="baseline"/>
        <w:rPr>
          <w:rFonts w:ascii="Verdana" w:eastAsia="Calibri" w:hAnsi="Verdana" w:cs="Arial"/>
          <w:lang w:val="es-ES_tradnl" w:eastAsia="es-ES_tradnl"/>
        </w:rPr>
      </w:pPr>
      <w:r w:rsidRPr="00363CD6">
        <w:rPr>
          <w:rFonts w:ascii="Verdana" w:eastAsia="Calibri" w:hAnsi="Verdana" w:cs="Arial"/>
          <w:lang w:val="es-ES_tradnl" w:eastAsia="es-ES_tradnl"/>
        </w:rPr>
        <w:t xml:space="preserve">De esta forma, </w:t>
      </w:r>
      <w:bookmarkStart w:id="13" w:name="_Hlk173070078"/>
      <w:r w:rsidRPr="00363CD6">
        <w:rPr>
          <w:rFonts w:ascii="Verdana" w:eastAsia="Calibri" w:hAnsi="Verdana" w:cs="Arial"/>
          <w:lang w:val="es-ES_tradnl" w:eastAsia="es-ES_tradnl"/>
        </w:rPr>
        <w:t xml:space="preserve">según el mismo artículo 5, </w:t>
      </w:r>
      <w:r w:rsidRPr="00363CD6">
        <w:rPr>
          <w:rFonts w:ascii="Verdana" w:eastAsia="Calibri" w:hAnsi="Verdana" w:cs="Arial"/>
          <w:i/>
          <w:iCs/>
          <w:lang w:val="es-ES_tradnl" w:eastAsia="es-ES_tradnl"/>
        </w:rPr>
        <w:t>si hay más de una ESAL</w:t>
      </w:r>
      <w:r w:rsidRPr="00363CD6">
        <w:rPr>
          <w:rFonts w:ascii="Verdana" w:eastAsia="Calibri" w:hAnsi="Verdana" w:cs="Arial"/>
          <w:lang w:val="es-ES_tradnl" w:eastAsia="es-ES_tradnl"/>
        </w:rPr>
        <w:t xml:space="preserve"> que ofrezca su compromiso de recursos en dinero para el desarrollo conjunto de actividades relacionadas con los cometidos y funciones asignadas por ley a una Entidad Estatal, en una proporción no inferior al treinta por ciento (30%) del valor total del convenio, esta última debe seleccionar de forma objetiva a tal entidad y justificar los criterios para tal selección. En este evento, la Entidad Estatal debe diseñar herramientas que permitan una comparación objetiva de las ESAL para seleccionar objetivamente a aquella que tenga las mejores condiciones para alcanzar el resultado esperado con el proyecto de cooperación. </w:t>
      </w:r>
      <w:bookmarkEnd w:id="13"/>
    </w:p>
    <w:p w14:paraId="0AA67FDF" w14:textId="77777777" w:rsidR="00AC0C0D" w:rsidRPr="00363CD6" w:rsidRDefault="00AC0C0D" w:rsidP="00AC0C0D">
      <w:pPr>
        <w:spacing w:after="120" w:line="276" w:lineRule="auto"/>
        <w:ind w:firstLine="709"/>
        <w:jc w:val="both"/>
        <w:rPr>
          <w:rFonts w:ascii="Verdana" w:eastAsia="Calibri" w:hAnsi="Verdana" w:cs="Arial"/>
          <w:lang w:eastAsia="es-ES_tradnl"/>
        </w:rPr>
      </w:pPr>
      <w:r w:rsidRPr="00363CD6">
        <w:rPr>
          <w:rFonts w:ascii="Verdana" w:eastAsia="Calibri" w:hAnsi="Verdana" w:cs="Arial"/>
          <w:lang w:eastAsia="es-ES_tradnl"/>
        </w:rPr>
        <w:t xml:space="preserve">Adicionalmente, tal y como lo menciona la Guía “de acuerdo con las reglas establecidas en el Decreto 092 de 2017, tendrán la obligación de adelantar un proceso competitivo para seleccionar a la Entidad Privada Sin Ánimo de Lucro, cuando estas no comprometan recursos en dinero sino en especie para el desarrollo conjunto de las actividades del convenio de asociación”. </w:t>
      </w:r>
      <w:r w:rsidRPr="00363CD6">
        <w:rPr>
          <w:rFonts w:ascii="Verdana" w:eastAsia="Century Gothic" w:hAnsi="Verdana" w:cs="Century Gothic"/>
          <w:color w:val="000000" w:themeColor="text1"/>
        </w:rPr>
        <w:t xml:space="preserve">En consecuencia, así ni la Entidad Estatal ni la ESAL vayan a comprometer recursos en dinero, se debe adelantar el proceso competitivo para garantizar la selección objetiva y dejar constancia de ello en los documentos del proceso. </w:t>
      </w:r>
    </w:p>
    <w:p w14:paraId="30843CB1" w14:textId="77777777" w:rsidR="00AC0C0D" w:rsidRPr="00363CD6" w:rsidRDefault="00AC0C0D" w:rsidP="00AC0C0D">
      <w:pPr>
        <w:spacing w:after="0" w:line="276" w:lineRule="auto"/>
        <w:ind w:firstLine="709"/>
        <w:jc w:val="both"/>
        <w:rPr>
          <w:rFonts w:ascii="Verdana" w:eastAsia="Calibri" w:hAnsi="Verdana" w:cs="Arial"/>
          <w:lang w:val="es-ES_tradnl" w:eastAsia="es-ES_tradnl"/>
        </w:rPr>
      </w:pPr>
      <w:r w:rsidRPr="00363CD6">
        <w:rPr>
          <w:rFonts w:ascii="Verdana" w:eastAsia="Calibri" w:hAnsi="Verdana" w:cs="Arial"/>
          <w:lang w:val="es-ES_tradnl" w:eastAsia="es-ES_tradnl"/>
        </w:rPr>
        <w:lastRenderedPageBreak/>
        <w:t>En similar sentido, el doctrinante Mauricio Rodríguez Tamayo manifiesta que:</w:t>
      </w:r>
    </w:p>
    <w:p w14:paraId="5C19325C" w14:textId="77777777" w:rsidR="00AC0C0D" w:rsidRPr="00363CD6" w:rsidRDefault="00AC0C0D" w:rsidP="00AC0C0D">
      <w:pPr>
        <w:spacing w:after="0" w:line="276" w:lineRule="auto"/>
        <w:ind w:firstLine="709"/>
        <w:jc w:val="both"/>
        <w:rPr>
          <w:rFonts w:ascii="Verdana" w:eastAsia="Calibri" w:hAnsi="Verdana" w:cs="Arial"/>
          <w:lang w:val="es-ES"/>
        </w:rPr>
      </w:pPr>
    </w:p>
    <w:p w14:paraId="4DADC804" w14:textId="77777777" w:rsidR="00AC0C0D" w:rsidRPr="00363CD6" w:rsidRDefault="00AC0C0D" w:rsidP="00AC0C0D">
      <w:pPr>
        <w:autoSpaceDE w:val="0"/>
        <w:autoSpaceDN w:val="0"/>
        <w:adjustRightInd w:val="0"/>
        <w:spacing w:after="0" w:line="240" w:lineRule="auto"/>
        <w:ind w:left="709" w:right="709"/>
        <w:contextualSpacing/>
        <w:jc w:val="both"/>
        <w:rPr>
          <w:rFonts w:ascii="Verdana" w:eastAsia="Times New Roman" w:hAnsi="Verdana" w:cs="Arial"/>
          <w:sz w:val="20"/>
          <w:szCs w:val="20"/>
          <w:lang w:val="es-ES" w:eastAsia="es-ES_tradnl"/>
        </w:rPr>
      </w:pPr>
      <w:r w:rsidRPr="00363CD6">
        <w:rPr>
          <w:rFonts w:ascii="Verdana" w:eastAsia="Times New Roman" w:hAnsi="Verdana" w:cs="Arial"/>
          <w:sz w:val="20"/>
          <w:szCs w:val="20"/>
          <w:lang w:val="es-ES_tradnl" w:eastAsia="es-ES_tradnl"/>
        </w:rPr>
        <w:t>“El Decreto 092 de 2017 permite la escogencia directa de una ESAL, para la suscripción de un convenio de asociación solo cuando el privado s</w:t>
      </w:r>
      <w:r w:rsidRPr="00363CD6">
        <w:rPr>
          <w:rFonts w:ascii="Verdana" w:eastAsia="Times New Roman" w:hAnsi="Verdana" w:cs="Arial"/>
          <w:sz w:val="20"/>
          <w:szCs w:val="20"/>
          <w:lang w:val="es-ES" w:eastAsia="es-ES_tradnl"/>
        </w:rPr>
        <w:t>in ánimo de lucro aporta no menos de 30% en dinero del valor total del convenio. Por supuesto, es necesario acreditar la idoneidad necesaria de la ESAL, para que participe junto con el Estado en la atención y prestación de servicios públicos de naturaleza estatal.</w:t>
      </w:r>
    </w:p>
    <w:p w14:paraId="1EDF1E11" w14:textId="77777777" w:rsidR="00AC0C0D" w:rsidRPr="00363CD6" w:rsidRDefault="00AC0C0D" w:rsidP="00AC0C0D">
      <w:pPr>
        <w:autoSpaceDE w:val="0"/>
        <w:autoSpaceDN w:val="0"/>
        <w:adjustRightInd w:val="0"/>
        <w:spacing w:after="0" w:line="240" w:lineRule="auto"/>
        <w:ind w:left="709" w:right="709"/>
        <w:contextualSpacing/>
        <w:jc w:val="both"/>
        <w:rPr>
          <w:rFonts w:ascii="Verdana" w:eastAsia="Times New Roman" w:hAnsi="Verdana" w:cs="Arial"/>
          <w:sz w:val="20"/>
          <w:szCs w:val="20"/>
          <w:lang w:val="es-ES" w:eastAsia="es-ES_tradnl"/>
        </w:rPr>
      </w:pPr>
    </w:p>
    <w:p w14:paraId="70913921" w14:textId="77777777" w:rsidR="00AC0C0D" w:rsidRPr="00363CD6" w:rsidRDefault="00AC0C0D" w:rsidP="00AC0C0D">
      <w:pPr>
        <w:autoSpaceDE w:val="0"/>
        <w:autoSpaceDN w:val="0"/>
        <w:adjustRightInd w:val="0"/>
        <w:spacing w:after="0" w:line="240" w:lineRule="auto"/>
        <w:ind w:left="709" w:right="709"/>
        <w:contextualSpacing/>
        <w:jc w:val="both"/>
        <w:rPr>
          <w:rFonts w:ascii="Verdana" w:eastAsia="Times New Roman" w:hAnsi="Verdana" w:cs="Arial"/>
          <w:sz w:val="20"/>
          <w:szCs w:val="20"/>
          <w:lang w:val="es-ES" w:eastAsia="es-ES_tradnl"/>
        </w:rPr>
      </w:pPr>
      <w:r w:rsidRPr="00363CD6">
        <w:rPr>
          <w:rFonts w:ascii="Verdana" w:eastAsia="Times New Roman" w:hAnsi="Verdana" w:cs="Arial"/>
          <w:sz w:val="20"/>
          <w:szCs w:val="20"/>
          <w:lang w:val="es-ES" w:eastAsia="es-ES_tradnl"/>
        </w:rPr>
        <w:t xml:space="preserve">Se podrá contratar directamente por esta causal siempre que esté acreditada cualquiera de las siguientes circunstancias: […] </w:t>
      </w:r>
      <w:proofErr w:type="spellStart"/>
      <w:r w:rsidRPr="00363CD6">
        <w:rPr>
          <w:rFonts w:ascii="Verdana" w:eastAsia="Times New Roman" w:hAnsi="Verdana" w:cs="Arial"/>
          <w:sz w:val="20"/>
          <w:szCs w:val="20"/>
          <w:lang w:val="es-ES" w:eastAsia="es-ES_tradnl"/>
        </w:rPr>
        <w:t>ii</w:t>
      </w:r>
      <w:proofErr w:type="spellEnd"/>
      <w:r w:rsidRPr="00363CD6">
        <w:rPr>
          <w:rFonts w:ascii="Verdana" w:eastAsia="Times New Roman" w:hAnsi="Verdana" w:cs="Arial"/>
          <w:sz w:val="20"/>
          <w:szCs w:val="20"/>
          <w:lang w:val="es-ES" w:eastAsia="es-ES_tradnl"/>
        </w:rPr>
        <w:t>) se celebran convenios de asociación a los que hace referencia el artículo 96 de la Ley 489 de 1998 y la ESAL compromete recursos en dinero en una proporción no inferior a 30% del valor total del convenio”</w:t>
      </w:r>
      <w:r w:rsidRPr="00363CD6">
        <w:rPr>
          <w:rFonts w:ascii="Verdana" w:hAnsi="Verdana"/>
          <w:sz w:val="20"/>
          <w:szCs w:val="20"/>
          <w:vertAlign w:val="superscript"/>
          <w:lang w:val="es-ES" w:eastAsia="es-ES_tradnl"/>
        </w:rPr>
        <w:footnoteReference w:id="8"/>
      </w:r>
      <w:r w:rsidRPr="00363CD6">
        <w:rPr>
          <w:rFonts w:ascii="Verdana" w:eastAsia="Times New Roman" w:hAnsi="Verdana" w:cs="Arial"/>
          <w:sz w:val="20"/>
          <w:szCs w:val="20"/>
          <w:lang w:val="es-ES" w:eastAsia="es-ES_tradnl"/>
        </w:rPr>
        <w:t>.</w:t>
      </w:r>
    </w:p>
    <w:p w14:paraId="0E49A7B8" w14:textId="77777777" w:rsidR="00AC0C0D" w:rsidRPr="00363CD6" w:rsidRDefault="00AC0C0D" w:rsidP="00AC0C0D">
      <w:pPr>
        <w:spacing w:after="0" w:line="276" w:lineRule="auto"/>
        <w:ind w:left="360"/>
        <w:jc w:val="both"/>
        <w:textAlignment w:val="baseline"/>
        <w:rPr>
          <w:rFonts w:ascii="Verdana" w:eastAsia="Calibri" w:hAnsi="Verdana" w:cs="Arial"/>
          <w:lang w:val="es-ES_tradnl" w:eastAsia="es-ES_tradnl"/>
        </w:rPr>
      </w:pPr>
    </w:p>
    <w:p w14:paraId="3AB3F3B8" w14:textId="77777777" w:rsidR="00AC0C0D" w:rsidRPr="00363CD6" w:rsidRDefault="00AC0C0D" w:rsidP="00AC0C0D">
      <w:pPr>
        <w:spacing w:after="120" w:line="276" w:lineRule="auto"/>
        <w:ind w:firstLine="709"/>
        <w:jc w:val="both"/>
        <w:rPr>
          <w:rFonts w:ascii="Verdana" w:eastAsia="Calibri" w:hAnsi="Verdana" w:cs="Arial"/>
          <w:color w:val="000000" w:themeColor="text1"/>
          <w:lang w:val="es-ES"/>
        </w:rPr>
      </w:pPr>
      <w:r w:rsidRPr="00363CD6">
        <w:rPr>
          <w:rFonts w:ascii="Verdana" w:eastAsia="Calibri" w:hAnsi="Verdana" w:cs="Arial"/>
          <w:color w:val="000000" w:themeColor="text1"/>
          <w:lang w:val="es-ES"/>
        </w:rPr>
        <w:t>Conforme a lo anterior, atendiendo a que los convenios de asociación no estarán sujetos a competencia cuando la entidad sin ánimo de lucro comprometa recursos en dinero para la ejecución de esas actividades en una proporción no inferior al 30% del valor total del convenio, las Entidades Estatales deben asegurarse de que la ESAL aporte al menos el treinta por ciento (30%) en dinero del valor del convenio para celebrarlo directamente y que no haya otra ESAL que ofrezcan su compromiso de recursos en dinero. De lo contrario “</w:t>
      </w:r>
      <w:r w:rsidRPr="00363CD6">
        <w:rPr>
          <w:rFonts w:ascii="Verdana" w:eastAsia="Calibri" w:hAnsi="Verdana" w:cs="Arial"/>
          <w:color w:val="000000" w:themeColor="text1"/>
        </w:rPr>
        <w:t xml:space="preserve">la Entidad Estatal debe seleccionar de forma </w:t>
      </w:r>
      <w:r w:rsidRPr="00363CD6">
        <w:rPr>
          <w:rFonts w:ascii="Verdana" w:eastAsia="Calibri" w:hAnsi="Verdana" w:cs="Arial"/>
          <w:i/>
          <w:iCs/>
          <w:color w:val="000000" w:themeColor="text1"/>
        </w:rPr>
        <w:t xml:space="preserve">objetiva </w:t>
      </w:r>
      <w:r w:rsidRPr="00363CD6">
        <w:rPr>
          <w:rFonts w:ascii="Verdana" w:eastAsia="Calibri" w:hAnsi="Verdana" w:cs="Arial"/>
          <w:color w:val="000000" w:themeColor="text1"/>
        </w:rPr>
        <w:t>a tal entidad y justificar los criterios para tal selección”.</w:t>
      </w:r>
    </w:p>
    <w:p w14:paraId="2499A453" w14:textId="77777777" w:rsidR="00AC0C0D" w:rsidRPr="00363CD6" w:rsidRDefault="00AC0C0D" w:rsidP="00AC0C0D">
      <w:pPr>
        <w:spacing w:after="120" w:line="276" w:lineRule="auto"/>
        <w:ind w:firstLine="709"/>
        <w:jc w:val="both"/>
        <w:textAlignment w:val="baseline"/>
        <w:rPr>
          <w:rFonts w:ascii="Verdana" w:eastAsia="Calibri" w:hAnsi="Verdana" w:cs="Arial"/>
          <w:color w:val="000000"/>
          <w:lang w:val="es-MX" w:eastAsia="es-ES_tradnl"/>
        </w:rPr>
      </w:pPr>
      <w:r w:rsidRPr="00363CD6">
        <w:rPr>
          <w:rFonts w:ascii="Verdana" w:eastAsia="Calibri" w:hAnsi="Verdana" w:cs="Arial"/>
          <w:color w:val="000000"/>
          <w:lang w:val="es-MX" w:eastAsia="es-ES_tradnl"/>
        </w:rPr>
        <w:t xml:space="preserve">La noción </w:t>
      </w:r>
      <w:r w:rsidRPr="00363CD6">
        <w:rPr>
          <w:rFonts w:ascii="Verdana" w:eastAsia="Calibri" w:hAnsi="Verdana" w:cs="Arial"/>
          <w:i/>
          <w:iCs/>
          <w:color w:val="000000"/>
          <w:lang w:val="es-MX" w:eastAsia="es-ES_tradnl"/>
        </w:rPr>
        <w:t>“seleccionar de forma objetiva”</w:t>
      </w:r>
      <w:r w:rsidRPr="00363CD6">
        <w:rPr>
          <w:rFonts w:ascii="Verdana" w:eastAsia="Calibri" w:hAnsi="Verdana" w:cs="Arial"/>
          <w:color w:val="000000"/>
          <w:lang w:val="es-MX" w:eastAsia="es-ES_tradnl"/>
        </w:rPr>
        <w:t xml:space="preserve">, contenida en la disposición </w:t>
      </w:r>
      <w:r w:rsidRPr="00363CD6">
        <w:rPr>
          <w:rFonts w:ascii="Verdana" w:eastAsia="Calibri" w:hAnsi="Verdana" w:cs="Arial"/>
          <w:i/>
          <w:iCs/>
          <w:color w:val="000000"/>
          <w:lang w:val="es-MX" w:eastAsia="es-ES_tradnl"/>
        </w:rPr>
        <w:t xml:space="preserve">sub examine </w:t>
      </w:r>
      <w:r w:rsidRPr="00363CD6">
        <w:rPr>
          <w:rFonts w:ascii="Verdana" w:eastAsia="Calibri" w:hAnsi="Verdana" w:cs="Arial"/>
          <w:color w:val="000000"/>
          <w:lang w:val="es-MX" w:eastAsia="es-ES_tradnl"/>
        </w:rPr>
        <w:t xml:space="preserve">no puede ser entendida como una remisión total a las Leyes 80 de 1993 y 1150 de 2007 respecto a los criterios habilitantes de las modalidades de selección o de adjudicación. A lo que se refiere la norma es a que la Entidad Estatal debe diseñar herramientas propias a </w:t>
      </w:r>
      <w:r w:rsidRPr="00363CD6">
        <w:rPr>
          <w:rFonts w:ascii="Verdana" w:eastAsia="Calibri" w:hAnsi="Verdana" w:cs="Arial"/>
          <w:lang w:val="es-ES_tradnl" w:eastAsia="es-ES_tradnl"/>
        </w:rPr>
        <w:t>la contratación con Entidades Privadas Sin Ánimo de Lucro y de Reconocida Idoneidad</w:t>
      </w:r>
      <w:r w:rsidRPr="00363CD6">
        <w:rPr>
          <w:rFonts w:ascii="Verdana" w:eastAsia="Calibri" w:hAnsi="Verdana" w:cs="Arial"/>
          <w:color w:val="000000"/>
          <w:lang w:val="es-MX" w:eastAsia="es-ES_tradnl"/>
        </w:rPr>
        <w:t xml:space="preserve"> que permitan una comparación objetiva de las ESAL y con ello puedan seleccionar objetivamente a aquella que tenga las mejores condiciones para alcanzar el resultado esperado, por lo que los criterios que permitan una selección objetiva deben definirse en términos de la obtención de los objetivos del convenio de asociación. Sin perjuicio de lo anterior, la entidad puede decidir acudir a los procesos de </w:t>
      </w:r>
      <w:r w:rsidRPr="00363CD6">
        <w:rPr>
          <w:rFonts w:ascii="Verdana" w:eastAsia="Calibri" w:hAnsi="Verdana" w:cs="Arial"/>
          <w:color w:val="000000"/>
          <w:lang w:val="es-MX" w:eastAsia="es-ES_tradnl"/>
        </w:rPr>
        <w:lastRenderedPageBreak/>
        <w:t>selección de contratistas que establece el EGCAP o, incluso, al trámite que regula el</w:t>
      </w:r>
      <w:r w:rsidRPr="00363CD6">
        <w:rPr>
          <w:rFonts w:ascii="Verdana" w:hAnsi="Verdana" w:cs="Arial"/>
          <w:lang w:val="es-ES"/>
        </w:rPr>
        <w:t xml:space="preserve"> inciso 2 del artículo 2 del Decreto 092 de 2017.</w:t>
      </w:r>
    </w:p>
    <w:p w14:paraId="3541CCC2" w14:textId="77777777" w:rsidR="00AC0C0D" w:rsidRPr="00363CD6" w:rsidRDefault="00AC0C0D" w:rsidP="00AC0C0D">
      <w:pPr>
        <w:spacing w:after="120" w:line="276" w:lineRule="auto"/>
        <w:ind w:firstLine="709"/>
        <w:jc w:val="both"/>
        <w:textAlignment w:val="baseline"/>
        <w:rPr>
          <w:rFonts w:ascii="Verdana" w:hAnsi="Verdana"/>
        </w:rPr>
      </w:pPr>
      <w:r w:rsidRPr="00363CD6">
        <w:rPr>
          <w:rFonts w:ascii="Verdana" w:eastAsia="Calibri" w:hAnsi="Verdana" w:cs="Arial"/>
          <w:color w:val="000000"/>
          <w:lang w:val="es-MX" w:eastAsia="es-ES_tradnl"/>
        </w:rPr>
        <w:t xml:space="preserve">Al respecto, la </w:t>
      </w:r>
      <w:r w:rsidRPr="00363CD6">
        <w:rPr>
          <w:rFonts w:ascii="Verdana" w:hAnsi="Verdana"/>
        </w:rPr>
        <w:t>Guía expedida por esta Agencia señala que “teniendo en cuenta que la norma no establece el procedimiento para escoger a la Entidad Privada Sin Ánimo de Lucro con la que se celebrará el convenio de asociación, se recomienda a las Entidades Estatales observar lo señalado en el numeral 6 del presente documento, en razón a que brinda parámetros a tener en cuenta para estructurar los procesos de contratación que se adelanten en atención a lo dispuesto en el Decreto 092 de 2017 y a lo señalado en el numeral 4.2, esto es, en el sentido de precisar que para los aspectos no reglamentados en el referido decreto se deberá atender a lo dispuesto en las normas aplicables a la contratación pública”.</w:t>
      </w:r>
    </w:p>
    <w:p w14:paraId="385908B1" w14:textId="77777777" w:rsidR="00AC0C0D" w:rsidRPr="00363CD6" w:rsidRDefault="00AC0C0D" w:rsidP="00AC0C0D">
      <w:pPr>
        <w:spacing w:after="120" w:line="276" w:lineRule="auto"/>
        <w:ind w:firstLine="709"/>
        <w:jc w:val="both"/>
        <w:textAlignment w:val="baseline"/>
        <w:rPr>
          <w:rFonts w:ascii="Verdana" w:hAnsi="Verdana"/>
        </w:rPr>
      </w:pPr>
      <w:r w:rsidRPr="00363CD6">
        <w:rPr>
          <w:rFonts w:ascii="Verdana" w:hAnsi="Verdana"/>
        </w:rPr>
        <w:t>Sobre los parámetros para los procesos competitivos en desarrollo del Decreto 092 de 2017, el numeral 6.1 de la Guía indica que en la etapa de planeación la entidad deberá definir y publicar los indicadores de idoneidad, experiencia, eficacia, eficiencia, economía y de manejo del riesgo y los criterios de ponderación para comparar las ofertas, establecer un plazo razonable para que las ESAL presenten sus ofertas y los documentos que acrediten su idoneidad y evaluar las ofertas teniendo en cuenta los criterios definidos para el efecto.</w:t>
      </w:r>
    </w:p>
    <w:p w14:paraId="4AAF3C73" w14:textId="77777777" w:rsidR="00AC0C0D" w:rsidRPr="00363CD6" w:rsidRDefault="00AC0C0D" w:rsidP="00AC0C0D">
      <w:pPr>
        <w:spacing w:after="120" w:line="276" w:lineRule="auto"/>
        <w:ind w:firstLine="709"/>
        <w:jc w:val="both"/>
        <w:textAlignment w:val="baseline"/>
        <w:rPr>
          <w:rFonts w:ascii="Verdana" w:hAnsi="Verdana"/>
        </w:rPr>
      </w:pPr>
      <w:r w:rsidRPr="00363CD6">
        <w:rPr>
          <w:rFonts w:ascii="Verdana" w:hAnsi="Verdana"/>
        </w:rPr>
        <w:t xml:space="preserve">Así mismo, el numeral 6.2 de la Guía dispone que durante la etapa de selección las Entidades Estatales tendrán la obligación de: </w:t>
      </w:r>
    </w:p>
    <w:p w14:paraId="3FAEF2ED" w14:textId="77777777" w:rsidR="00AC0C0D" w:rsidRPr="00363CD6" w:rsidRDefault="00AC0C0D" w:rsidP="00AC0C0D">
      <w:pPr>
        <w:spacing w:after="0" w:line="276" w:lineRule="auto"/>
        <w:ind w:firstLine="709"/>
        <w:jc w:val="both"/>
        <w:textAlignment w:val="baseline"/>
        <w:rPr>
          <w:rFonts w:ascii="Verdana" w:hAnsi="Verdana"/>
        </w:rPr>
      </w:pPr>
    </w:p>
    <w:p w14:paraId="35AA3E32" w14:textId="77777777" w:rsidR="00AC0C0D" w:rsidRPr="00363CD6" w:rsidRDefault="00AC0C0D" w:rsidP="00AC0C0D">
      <w:pPr>
        <w:spacing w:after="0" w:line="240" w:lineRule="auto"/>
        <w:ind w:left="709" w:right="618"/>
        <w:jc w:val="both"/>
        <w:textAlignment w:val="baseline"/>
        <w:rPr>
          <w:rFonts w:ascii="Verdana" w:hAnsi="Verdana"/>
          <w:sz w:val="20"/>
          <w:szCs w:val="20"/>
        </w:rPr>
      </w:pPr>
      <w:r w:rsidRPr="00363CD6">
        <w:rPr>
          <w:rFonts w:ascii="Verdana" w:hAnsi="Verdana"/>
          <w:sz w:val="20"/>
          <w:szCs w:val="20"/>
        </w:rPr>
        <w:t xml:space="preserve">“• </w:t>
      </w:r>
      <w:r w:rsidRPr="00363CD6">
        <w:rPr>
          <w:rFonts w:ascii="Verdana" w:hAnsi="Verdana"/>
          <w:b/>
          <w:bCs/>
          <w:sz w:val="20"/>
          <w:szCs w:val="20"/>
        </w:rPr>
        <w:t>Diseñar</w:t>
      </w:r>
      <w:r w:rsidRPr="00363CD6">
        <w:rPr>
          <w:rFonts w:ascii="Verdana" w:hAnsi="Verdana"/>
          <w:sz w:val="20"/>
          <w:szCs w:val="20"/>
        </w:rPr>
        <w:t xml:space="preserve"> herramientas que permitan la comparación objetiva de las Entidades Privadas Sin Ánimo de Lucro, y que de esta manera puedan determinar cuál es la que tiene las mejores condiciones para alcanzar el resultado esperado con el desarrollo de las actividades objeto del proceso de selección. Estas herramientas podrán incluir aspectos de sostenibilidad ambiental y social. </w:t>
      </w:r>
    </w:p>
    <w:p w14:paraId="5F20E4AC" w14:textId="77777777" w:rsidR="00AC0C0D" w:rsidRPr="00363CD6" w:rsidRDefault="00AC0C0D" w:rsidP="00AC0C0D">
      <w:pPr>
        <w:spacing w:after="0" w:line="240" w:lineRule="auto"/>
        <w:ind w:left="709" w:right="618"/>
        <w:jc w:val="both"/>
        <w:textAlignment w:val="baseline"/>
        <w:rPr>
          <w:rFonts w:ascii="Verdana" w:hAnsi="Verdana"/>
          <w:sz w:val="20"/>
          <w:szCs w:val="20"/>
        </w:rPr>
      </w:pPr>
      <w:r w:rsidRPr="00363CD6">
        <w:rPr>
          <w:rFonts w:ascii="Verdana" w:hAnsi="Verdana"/>
          <w:sz w:val="20"/>
          <w:szCs w:val="20"/>
        </w:rPr>
        <w:t xml:space="preserve">• </w:t>
      </w:r>
      <w:r w:rsidRPr="00363CD6">
        <w:rPr>
          <w:rFonts w:ascii="Verdana" w:hAnsi="Verdana"/>
          <w:b/>
          <w:bCs/>
          <w:sz w:val="20"/>
          <w:szCs w:val="20"/>
        </w:rPr>
        <w:t>Garantizar</w:t>
      </w:r>
      <w:r w:rsidRPr="00363CD6">
        <w:rPr>
          <w:rFonts w:ascii="Verdana" w:hAnsi="Verdana"/>
          <w:sz w:val="20"/>
          <w:szCs w:val="20"/>
        </w:rPr>
        <w:t xml:space="preserve"> la libre concurrencia y la pluralidad de interesados en el proceso de selección.</w:t>
      </w:r>
      <w:r w:rsidRPr="00363CD6">
        <w:rPr>
          <w:sz w:val="20"/>
          <w:szCs w:val="20"/>
        </w:rPr>
        <w:t xml:space="preserve"> </w:t>
      </w:r>
      <w:r w:rsidRPr="00363CD6">
        <w:rPr>
          <w:rFonts w:ascii="Verdana" w:hAnsi="Verdana"/>
          <w:sz w:val="20"/>
          <w:szCs w:val="20"/>
        </w:rPr>
        <w:t xml:space="preserve">Determinar que la Entidad Privada Sin Ánimo de Lucro sea de reconocida idoneidad según las reglas indicadas en el numeral 5° de esta guía. Es decir, asegurarse de que la entidad es adecuada y apropiada para el desarrollo de las actividades objeto del proceso. </w:t>
      </w:r>
    </w:p>
    <w:p w14:paraId="0BF17287" w14:textId="77777777" w:rsidR="00AC0C0D" w:rsidRPr="00363CD6" w:rsidRDefault="00AC0C0D" w:rsidP="00AC0C0D">
      <w:pPr>
        <w:spacing w:after="0" w:line="240" w:lineRule="auto"/>
        <w:ind w:left="709" w:right="618"/>
        <w:jc w:val="both"/>
        <w:textAlignment w:val="baseline"/>
        <w:rPr>
          <w:rFonts w:ascii="Verdana" w:hAnsi="Verdana"/>
          <w:sz w:val="20"/>
          <w:szCs w:val="20"/>
        </w:rPr>
      </w:pPr>
      <w:r w:rsidRPr="00363CD6">
        <w:rPr>
          <w:rFonts w:ascii="Verdana" w:hAnsi="Verdana"/>
          <w:sz w:val="20"/>
          <w:szCs w:val="20"/>
        </w:rPr>
        <w:t xml:space="preserve">• </w:t>
      </w:r>
      <w:r w:rsidRPr="00363CD6">
        <w:rPr>
          <w:rFonts w:ascii="Verdana" w:hAnsi="Verdana"/>
          <w:b/>
          <w:bCs/>
          <w:sz w:val="20"/>
          <w:szCs w:val="20"/>
        </w:rPr>
        <w:t>Verificar</w:t>
      </w:r>
      <w:r w:rsidRPr="00363CD6">
        <w:rPr>
          <w:rFonts w:ascii="Verdana" w:hAnsi="Verdana"/>
          <w:sz w:val="20"/>
          <w:szCs w:val="20"/>
        </w:rPr>
        <w:t xml:space="preserve"> que los administradores y miembros de la junta directiva u órgano colegiado de la Entidad Privada Sin Ánimo de Lucro, no se encuentren en situación de conflictos de interés o inmersos en causales de inhabilidad y/o incompatibilidad. </w:t>
      </w:r>
    </w:p>
    <w:p w14:paraId="48C368EE" w14:textId="77777777" w:rsidR="00AC0C0D" w:rsidRPr="00363CD6" w:rsidRDefault="00AC0C0D" w:rsidP="00AC0C0D">
      <w:pPr>
        <w:spacing w:after="0" w:line="240" w:lineRule="auto"/>
        <w:ind w:left="709" w:right="618"/>
        <w:jc w:val="both"/>
        <w:textAlignment w:val="baseline"/>
        <w:rPr>
          <w:rFonts w:ascii="Verdana" w:hAnsi="Verdana"/>
          <w:sz w:val="20"/>
          <w:szCs w:val="20"/>
        </w:rPr>
      </w:pPr>
      <w:r w:rsidRPr="00363CD6">
        <w:rPr>
          <w:rFonts w:ascii="Verdana" w:hAnsi="Verdana"/>
          <w:sz w:val="20"/>
          <w:szCs w:val="20"/>
        </w:rPr>
        <w:lastRenderedPageBreak/>
        <w:t xml:space="preserve">• </w:t>
      </w:r>
      <w:r w:rsidRPr="00363CD6">
        <w:rPr>
          <w:rFonts w:ascii="Verdana" w:hAnsi="Verdana"/>
          <w:b/>
          <w:bCs/>
          <w:sz w:val="20"/>
          <w:szCs w:val="20"/>
        </w:rPr>
        <w:t>Revisar</w:t>
      </w:r>
      <w:r w:rsidRPr="00363CD6">
        <w:rPr>
          <w:rFonts w:ascii="Verdana" w:hAnsi="Verdana"/>
          <w:sz w:val="20"/>
          <w:szCs w:val="20"/>
        </w:rPr>
        <w:t xml:space="preserve"> si los directivos, aportantes o fundadores de la Entidad Privada Sin Ánimo de Lucro tienen el carácter de personas políticamente expuestas, dado que al este tipo de personas al desempeñar o haber desempeñado cargos públicos, o ejercer otras actividades de dirección y definición de políticas públicas, pueden generar conflictos de interés”.</w:t>
      </w:r>
    </w:p>
    <w:p w14:paraId="0B9D3BAB" w14:textId="77777777" w:rsidR="00AC0C0D" w:rsidRPr="00363CD6" w:rsidRDefault="00AC0C0D" w:rsidP="00AC0C0D">
      <w:pPr>
        <w:spacing w:after="0" w:line="276" w:lineRule="auto"/>
        <w:ind w:left="709" w:right="618"/>
        <w:jc w:val="both"/>
        <w:textAlignment w:val="baseline"/>
        <w:rPr>
          <w:rFonts w:ascii="Verdana" w:eastAsia="Calibri" w:hAnsi="Verdana" w:cs="Arial"/>
          <w:color w:val="000000"/>
          <w:sz w:val="20"/>
          <w:szCs w:val="20"/>
          <w:lang w:val="es-MX" w:eastAsia="es-ES_tradnl"/>
        </w:rPr>
      </w:pPr>
    </w:p>
    <w:p w14:paraId="2A06D45B" w14:textId="77777777" w:rsidR="00AC0C0D" w:rsidRPr="00363CD6" w:rsidRDefault="00AC0C0D" w:rsidP="00AC0C0D">
      <w:pPr>
        <w:spacing w:line="276" w:lineRule="auto"/>
        <w:ind w:firstLine="709"/>
        <w:jc w:val="both"/>
        <w:rPr>
          <w:rFonts w:ascii="Verdana" w:eastAsia="Arial" w:hAnsi="Verdana" w:cs="Arial"/>
          <w:color w:val="000000"/>
          <w:lang w:val="es-ES" w:eastAsia="es-ES_tradnl"/>
        </w:rPr>
      </w:pPr>
      <w:r w:rsidRPr="00363CD6">
        <w:rPr>
          <w:rFonts w:ascii="Verdana" w:hAnsi="Verdana"/>
        </w:rPr>
        <w:t xml:space="preserve">En este contexto, el artículo 5 del Decreto 092 de 2017 no determina </w:t>
      </w:r>
      <w:r w:rsidRPr="00363CD6">
        <w:rPr>
          <w:rFonts w:ascii="Verdana" w:eastAsia="Calibri" w:hAnsi="Verdana" w:cs="Arial"/>
        </w:rPr>
        <w:t xml:space="preserve">la forma en la que las Entidades Estatales deban desarrollar el proceso competitivo en el marco de los convenios de asociación, ni los requisitos o condiciones que se pueden solicitar, por tanto </w:t>
      </w:r>
      <w:r w:rsidRPr="00363CD6">
        <w:rPr>
          <w:rFonts w:ascii="Verdana" w:eastAsia="Arial" w:hAnsi="Verdana" w:cs="Arial"/>
          <w:color w:val="000000"/>
          <w:lang w:val="es-ES" w:eastAsia="es-ES_tradnl"/>
        </w:rPr>
        <w:t xml:space="preserve">las Entidades Estatales son autónomas en la configuración de dicho proceso. Para tales efectos, se considera conveniente tener en cuenta los parámetros señalados en la Guía y establecer </w:t>
      </w:r>
      <w:r w:rsidRPr="00363CD6">
        <w:rPr>
          <w:rFonts w:ascii="Verdana" w:hAnsi="Verdana"/>
        </w:rPr>
        <w:t xml:space="preserve">indicadores de idoneidad, experiencia, eficacia, eficiencia, economía, según se determine en cada caso. Además, </w:t>
      </w:r>
      <w:r w:rsidRPr="00363CD6">
        <w:rPr>
          <w:rFonts w:ascii="Verdana" w:eastAsia="Arial" w:hAnsi="Verdana" w:cs="Arial"/>
          <w:color w:val="000000"/>
          <w:lang w:val="es-ES" w:eastAsia="es-ES_tradnl"/>
        </w:rPr>
        <w:t xml:space="preserve">el proceso competitivo que definan las Entidades Estatales para sus convenios de asociación debe garantizar la libre concurrencia, la pluralidad de interesados y la comparación objetiva de las ofertas. Este procedimiento puede ser análogo a otros donde existe competencia, como la licitación pública. </w:t>
      </w:r>
    </w:p>
    <w:p w14:paraId="630D7A9A" w14:textId="77777777" w:rsidR="00AC0C0D" w:rsidRPr="00363CD6" w:rsidRDefault="00AC0C0D" w:rsidP="00AC0C0D">
      <w:pPr>
        <w:spacing w:line="276" w:lineRule="auto"/>
        <w:ind w:firstLine="709"/>
        <w:jc w:val="both"/>
        <w:rPr>
          <w:rFonts w:ascii="Verdana" w:hAnsi="Verdana"/>
        </w:rPr>
      </w:pPr>
      <w:r w:rsidRPr="00363CD6">
        <w:rPr>
          <w:rFonts w:ascii="Verdana" w:hAnsi="Verdana"/>
        </w:rPr>
        <w:t>De esta forma, es posible que la entidad estatal determine indicadores financieros que considere pertinentes y adecuados para garantizar la selección objetiva de la ESAL. Esta facultad debe ser ejercida en el marco del principio de planeación contractual, conforme al régimen general contenido en la Ley 80 de 1993, el cual resulta aplicable a la contratación de interés público, en virtud de la remisión expresa que hace el artículo 8 del Decreto 092 de 2017 a las normas generales del sistema de contratación pública.</w:t>
      </w:r>
    </w:p>
    <w:p w14:paraId="17255418" w14:textId="77777777" w:rsidR="00AC0C0D" w:rsidRPr="00363CD6" w:rsidRDefault="00AC0C0D" w:rsidP="00AC0C0D">
      <w:pPr>
        <w:spacing w:line="276" w:lineRule="auto"/>
        <w:ind w:firstLine="709"/>
        <w:jc w:val="both"/>
        <w:rPr>
          <w:rFonts w:ascii="Verdana" w:hAnsi="Verdana"/>
        </w:rPr>
      </w:pPr>
      <w:r w:rsidRPr="00363CD6">
        <w:rPr>
          <w:rFonts w:ascii="Verdana" w:hAnsi="Verdana"/>
        </w:rPr>
        <w:t xml:space="preserve">Aunado a lo anterior, es pertinente indicar que el numeral 5 de la Guía señala que para la determinación de la idoneidad de las ESAL, se estima necesario la observancia de aspectos como el objeto, programa o actividad que ejecuta, la capacidad del personal, la experiencia, la estructura organizacional y la reputación. Particularmente, el numeral 5.4 referente a la estructura organizacional señala que “Las Entidades Estatales, con el fin de determinar la capacidad de organización interna de la Entidad Privada Sin Ánimo de Lucro, esto es, respecto de sus procedimientos, órganos directivos, entre otros aspectos, podrán establecer de acuerdo con el programa o actividad a desarrollar mediante el contrato y/o convenio, criterios o condiciones que deberán acreditar dichas entidades”. En este sentido, Colombia Compra Eficiente estima necesario </w:t>
      </w:r>
      <w:r w:rsidRPr="00363CD6">
        <w:rPr>
          <w:rFonts w:ascii="Verdana" w:hAnsi="Verdana"/>
        </w:rPr>
        <w:lastRenderedPageBreak/>
        <w:t xml:space="preserve">que las Entidades Estatales verifiquen “los estados financieros de la ESAL conforme al informe contable elaborado por un contador público independiente o, el revisor fiscal de la entidad”. </w:t>
      </w:r>
    </w:p>
    <w:p w14:paraId="0E17D0A6" w14:textId="77777777" w:rsidR="00AC0C0D" w:rsidRPr="00363CD6" w:rsidRDefault="00AC0C0D" w:rsidP="00AC0C0D">
      <w:pPr>
        <w:spacing w:line="276" w:lineRule="auto"/>
        <w:ind w:firstLine="709"/>
        <w:jc w:val="both"/>
        <w:rPr>
          <w:rFonts w:ascii="Verdana" w:eastAsia="Calibri" w:hAnsi="Verdana" w:cs="Arial"/>
          <w:color w:val="000000" w:themeColor="text1"/>
        </w:rPr>
      </w:pPr>
      <w:r w:rsidRPr="00363CD6">
        <w:rPr>
          <w:rFonts w:ascii="Verdana" w:eastAsia="Calibri" w:hAnsi="Verdana" w:cs="Arial"/>
          <w:color w:val="000000" w:themeColor="text1"/>
        </w:rPr>
        <w:t>En este orden de ideas, la entidad estatal está facultada para establecer condiciones financieras dentro del proceso competitivo que se adelante en el marco de los convenios de asociación, con el propósito de evaluar la capacidad de organización interna de las ESAL participantes. Tales condiciones deberán definirse conforme a las particularidades del proceso y en estricto respeto de los principios de libre concurrencia y selección objetiva. Para la verificación de los indicadores financieros que se exijan, como lo señala la Guía, la entidad podrá apoyarse en los estados financieros de la ESAL, respaldados mediante informe contable emitido por un contador público independiente o, en su caso, por el revisor fiscal.</w:t>
      </w:r>
    </w:p>
    <w:p w14:paraId="42AC1F0F" w14:textId="77777777" w:rsidR="00AC0C0D" w:rsidRPr="00363CD6" w:rsidRDefault="00AC0C0D" w:rsidP="00AC0C0D">
      <w:pPr>
        <w:spacing w:line="276" w:lineRule="auto"/>
        <w:ind w:firstLine="709"/>
        <w:jc w:val="both"/>
        <w:rPr>
          <w:rFonts w:ascii="Verdana" w:eastAsia="Calibri" w:hAnsi="Verdana" w:cs="Arial"/>
          <w:color w:val="000000" w:themeColor="text1"/>
        </w:rPr>
      </w:pPr>
      <w:r w:rsidRPr="00363CD6">
        <w:rPr>
          <w:rFonts w:ascii="Verdana" w:eastAsia="Calibri" w:hAnsi="Verdana" w:cs="Arial"/>
          <w:color w:val="000000" w:themeColor="text1"/>
        </w:rPr>
        <w:t>En consecuencia, resulta jurídicamente viable requerir condiciones financieras en el marco de estos procesos competitivos. Sin embargo, la determinación de los requisitos o indicadores financieros específicos se enmarca en la autonomía de la entidad, la cual deberá definir aquellos que resulten pertinentes, razonables y proporcionales para establecer la capacidad organizacional y funcional de la ESAL frente a las obligaciones derivadas del convenio de asociación.</w:t>
      </w:r>
      <w:r w:rsidRPr="00363CD6">
        <w:t xml:space="preserve"> </w:t>
      </w:r>
      <w:r w:rsidRPr="00363CD6">
        <w:rPr>
          <w:rFonts w:ascii="Verdana" w:eastAsia="Calibri" w:hAnsi="Verdana" w:cs="Arial"/>
          <w:color w:val="000000" w:themeColor="text1"/>
        </w:rPr>
        <w:t xml:space="preserve">En todo caso, y en atención a los principios que rigen la contratación estatal aplicables a este tipo de procesos, las condiciones financieras que la entidad establezca deben fundarse en parámetros objetivos ajustados a la naturaleza y complejidad del proyecto, de manera que permitan verificar de forma suficiente la idoneidad de la ESAL para ejecutar las actividades que constituyen el objeto del proceso competitivo. </w:t>
      </w:r>
    </w:p>
    <w:p w14:paraId="60306979" w14:textId="77777777" w:rsidR="00AC0C0D" w:rsidRPr="00363CD6" w:rsidRDefault="00AC0C0D" w:rsidP="00AC0C0D">
      <w:pPr>
        <w:spacing w:line="276" w:lineRule="auto"/>
        <w:ind w:firstLine="709"/>
        <w:jc w:val="both"/>
        <w:rPr>
          <w:rFonts w:ascii="Verdana" w:eastAsia="Calibri" w:hAnsi="Verdana" w:cs="Arial"/>
          <w:color w:val="000000" w:themeColor="text1"/>
        </w:rPr>
      </w:pPr>
      <w:r w:rsidRPr="00363CD6">
        <w:rPr>
          <w:rFonts w:ascii="Verdana" w:eastAsia="Calibri" w:hAnsi="Verdana" w:cs="Arial"/>
          <w:color w:val="000000" w:themeColor="text1"/>
        </w:rPr>
        <w:t xml:space="preserve">Además, dichos requisitos deberán responder a conclusiones que arroje la etapa de planeación, con base en el análisis del sector y la elaboración de los estudios y documentos previos, para que, dependiendo de la complejidad del objetivo del plan de desarrollo que se pretende cumplir, definan de manera autónoma indicadores financieros que considere pertinentes y permitan la comparación objetiva entre los proponentes. </w:t>
      </w:r>
    </w:p>
    <w:p w14:paraId="3C4B3DCB" w14:textId="77777777" w:rsidR="00AC0C0D" w:rsidRPr="00363CD6" w:rsidRDefault="00AC0C0D" w:rsidP="00AC0C0D">
      <w:pPr>
        <w:spacing w:after="120" w:line="276" w:lineRule="auto"/>
        <w:ind w:firstLine="709"/>
        <w:jc w:val="both"/>
        <w:rPr>
          <w:rFonts w:ascii="Verdana" w:eastAsia="Calibri" w:hAnsi="Verdana" w:cs="Arial"/>
          <w:bCs/>
          <w:color w:val="000000"/>
          <w:lang w:eastAsia="es-CO"/>
        </w:rPr>
      </w:pPr>
      <w:bookmarkStart w:id="14" w:name="_Hlk173070229"/>
      <w:r w:rsidRPr="00363CD6">
        <w:rPr>
          <w:rFonts w:ascii="Verdana" w:eastAsia="Calibri" w:hAnsi="Verdana" w:cs="Arial"/>
          <w:bCs/>
          <w:color w:val="000000"/>
          <w:lang w:eastAsia="es-CO"/>
        </w:rPr>
        <w:t xml:space="preserve">Por último, corresponde a cada entidad pública, en ejercicio de su competencia y previa valoración de los elementos fácticos y jurídicos, determinar la forma de adelantar su gestión contractual, dentro de lo que cabe la </w:t>
      </w:r>
      <w:r w:rsidRPr="00363CD6">
        <w:rPr>
          <w:rFonts w:ascii="Verdana" w:eastAsia="Calibri" w:hAnsi="Verdana" w:cs="Arial"/>
          <w:bCs/>
          <w:color w:val="000000"/>
          <w:lang w:eastAsia="es-CO"/>
        </w:rPr>
        <w:lastRenderedPageBreak/>
        <w:t xml:space="preserve">determinación de indicadores de eficiencia y de naturaleza financiera que serán exigidos en el marco de procesos de selección regidos por el Decreto 092 de 2017. De esta manera, teniendo en cuenta las características y diferencias de cada una de las tipologías contractuales, la entidad estatal deberá definir la aplicación de dicho Decreto bajo el marco normativo general descrito </w:t>
      </w:r>
      <w:r w:rsidRPr="00363CD6">
        <w:rPr>
          <w:rFonts w:ascii="Verdana" w:eastAsia="Calibri" w:hAnsi="Verdana" w:cs="Arial"/>
          <w:bCs/>
          <w:i/>
          <w:iCs/>
          <w:color w:val="000000"/>
          <w:lang w:eastAsia="es-CO"/>
        </w:rPr>
        <w:t>ut supra</w:t>
      </w:r>
      <w:r w:rsidRPr="00363CD6">
        <w:rPr>
          <w:rFonts w:ascii="Verdana" w:eastAsia="Calibri" w:hAnsi="Verdana" w:cs="Arial"/>
          <w:bCs/>
          <w:color w:val="000000"/>
          <w:lang w:eastAsia="es-CO"/>
        </w:rPr>
        <w:t xml:space="preserve">.  </w:t>
      </w:r>
    </w:p>
    <w:bookmarkEnd w:id="14"/>
    <w:p w14:paraId="2D8E71BC" w14:textId="77777777" w:rsidR="00AC0C0D" w:rsidRPr="00363CD6" w:rsidRDefault="00AC0C0D" w:rsidP="00AC0C0D">
      <w:pPr>
        <w:widowControl w:val="0"/>
        <w:autoSpaceDE w:val="0"/>
        <w:autoSpaceDN w:val="0"/>
        <w:spacing w:after="0" w:line="276" w:lineRule="auto"/>
        <w:ind w:firstLine="709"/>
        <w:jc w:val="both"/>
        <w:rPr>
          <w:rFonts w:ascii="Verdana" w:eastAsia="Arial" w:hAnsi="Verdana" w:cs="Arial"/>
          <w:lang w:val="es-ES"/>
        </w:rPr>
      </w:pPr>
    </w:p>
    <w:p w14:paraId="4CADFCBB" w14:textId="77777777" w:rsidR="00AC0C0D" w:rsidRPr="00363CD6" w:rsidRDefault="00AC0C0D" w:rsidP="00AC0C0D">
      <w:pPr>
        <w:numPr>
          <w:ilvl w:val="0"/>
          <w:numId w:val="1"/>
        </w:numPr>
        <w:tabs>
          <w:tab w:val="left" w:pos="142"/>
          <w:tab w:val="left" w:pos="284"/>
        </w:tabs>
        <w:spacing w:after="0" w:line="276" w:lineRule="auto"/>
        <w:jc w:val="both"/>
        <w:rPr>
          <w:rFonts w:ascii="Verdana" w:eastAsia="Century Gothic" w:hAnsi="Verdana" w:cs="Century Gothic"/>
          <w:b/>
          <w:bCs/>
        </w:rPr>
      </w:pPr>
      <w:r w:rsidRPr="00363CD6">
        <w:rPr>
          <w:rFonts w:ascii="Verdana" w:eastAsia="Century Gothic" w:hAnsi="Verdana" w:cs="Century Gothic"/>
          <w:b/>
          <w:bCs/>
        </w:rPr>
        <w:t>Referencias normativas y jurisprudenciales:</w:t>
      </w:r>
    </w:p>
    <w:p w14:paraId="49C57E0E" w14:textId="77777777" w:rsidR="00AC0C0D" w:rsidRPr="00363CD6" w:rsidRDefault="00AC0C0D" w:rsidP="00AC0C0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C0C0D" w:rsidRPr="00363CD6" w14:paraId="2C51E87B" w14:textId="77777777" w:rsidTr="00A5204D">
        <w:trPr>
          <w:trHeight w:val="410"/>
          <w:jc w:val="center"/>
        </w:trPr>
        <w:tc>
          <w:tcPr>
            <w:tcW w:w="8647" w:type="dxa"/>
          </w:tcPr>
          <w:p w14:paraId="3881BD0C" w14:textId="77777777" w:rsidR="00AC0C0D" w:rsidRPr="00363CD6" w:rsidRDefault="00AC0C0D" w:rsidP="00AC0C0D">
            <w:pPr>
              <w:numPr>
                <w:ilvl w:val="0"/>
                <w:numId w:val="32"/>
              </w:numPr>
              <w:spacing w:after="120" w:line="276" w:lineRule="auto"/>
              <w:ind w:left="360"/>
              <w:contextualSpacing/>
              <w:jc w:val="both"/>
              <w:rPr>
                <w:rFonts w:ascii="Verdana" w:hAnsi="Verdana" w:cs="Arial"/>
                <w:lang w:val="es-ES"/>
              </w:rPr>
            </w:pPr>
            <w:r w:rsidRPr="00363CD6">
              <w:rPr>
                <w:rFonts w:ascii="Verdana" w:hAnsi="Verdana" w:cs="Arial"/>
                <w:lang w:val="es-ES"/>
              </w:rPr>
              <w:t>Constitución Política: Artículo 355.</w:t>
            </w:r>
          </w:p>
          <w:p w14:paraId="643E46A8" w14:textId="77777777" w:rsidR="00AC0C0D" w:rsidRPr="00363CD6" w:rsidRDefault="00AC0C0D" w:rsidP="00AC0C0D">
            <w:pPr>
              <w:numPr>
                <w:ilvl w:val="0"/>
                <w:numId w:val="32"/>
              </w:numPr>
              <w:spacing w:after="120" w:line="276" w:lineRule="auto"/>
              <w:ind w:left="360"/>
              <w:contextualSpacing/>
              <w:jc w:val="both"/>
              <w:rPr>
                <w:rFonts w:ascii="Verdana" w:eastAsia="Calibri" w:hAnsi="Verdana" w:cs="Arial"/>
                <w:lang w:val="es-ES" w:eastAsia="es-ES_tradnl"/>
              </w:rPr>
            </w:pPr>
            <w:r w:rsidRPr="00363CD6">
              <w:rPr>
                <w:rFonts w:ascii="Verdana" w:eastAsia="Calibri" w:hAnsi="Verdana" w:cs="Arial"/>
                <w:lang w:val="es-ES" w:eastAsia="es-ES_tradnl"/>
              </w:rPr>
              <w:t xml:space="preserve">Ley 489 de 1998: Artículo 96. </w:t>
            </w:r>
          </w:p>
          <w:p w14:paraId="442977F1" w14:textId="77777777" w:rsidR="00AC0C0D" w:rsidRPr="00363CD6" w:rsidRDefault="00AC0C0D" w:rsidP="00AC0C0D">
            <w:pPr>
              <w:numPr>
                <w:ilvl w:val="0"/>
                <w:numId w:val="32"/>
              </w:numPr>
              <w:spacing w:after="120" w:line="276" w:lineRule="auto"/>
              <w:ind w:left="360"/>
              <w:contextualSpacing/>
              <w:jc w:val="both"/>
              <w:rPr>
                <w:rFonts w:ascii="Verdana" w:hAnsi="Verdana"/>
                <w:lang w:val="es-ES"/>
              </w:rPr>
            </w:pPr>
            <w:r w:rsidRPr="00363CD6">
              <w:rPr>
                <w:rFonts w:ascii="Verdana" w:hAnsi="Verdana"/>
                <w:lang w:val="es-ES"/>
              </w:rPr>
              <w:t>Decreto 092 de 2017.</w:t>
            </w:r>
          </w:p>
          <w:p w14:paraId="05EB3B63" w14:textId="77777777" w:rsidR="00AC0C0D" w:rsidRPr="00363CD6" w:rsidRDefault="00AC0C0D" w:rsidP="00AC0C0D">
            <w:pPr>
              <w:widowControl w:val="0"/>
              <w:numPr>
                <w:ilvl w:val="0"/>
                <w:numId w:val="3"/>
              </w:numPr>
              <w:autoSpaceDE w:val="0"/>
              <w:autoSpaceDN w:val="0"/>
              <w:spacing w:line="276" w:lineRule="auto"/>
              <w:ind w:left="318" w:hanging="284"/>
              <w:jc w:val="both"/>
              <w:rPr>
                <w:rFonts w:ascii="Verdana" w:hAnsi="Verdana" w:cs="Arial"/>
                <w:sz w:val="24"/>
                <w:lang w:val="es-ES"/>
              </w:rPr>
            </w:pPr>
            <w:r w:rsidRPr="00363CD6">
              <w:rPr>
                <w:rFonts w:ascii="Verdana" w:hAnsi="Verdana"/>
              </w:rPr>
              <w:t>Guía para la contratación con entidades privadas sin ánimo de lucro y de reconocida idoneidad, expedida por la Agencia Nacional de Contratación Pública – Colombia Compra Eficiente.</w:t>
            </w:r>
            <w:r w:rsidRPr="00363CD6">
              <w:rPr>
                <w:rFonts w:ascii="Verdana" w:hAnsi="Verdana" w:cs="Arial"/>
              </w:rPr>
              <w:t xml:space="preserve"> Disponible en:</w:t>
            </w:r>
            <w:r w:rsidRPr="00363CD6">
              <w:rPr>
                <w:rFonts w:ascii="Verdana" w:hAnsi="Verdana"/>
              </w:rPr>
              <w:t xml:space="preserve"> </w:t>
            </w:r>
            <w:hyperlink r:id="rId13" w:history="1">
              <w:r w:rsidRPr="00363CD6">
                <w:rPr>
                  <w:rFonts w:ascii="Verdana" w:hAnsi="Verdana"/>
                  <w:color w:val="0563C1" w:themeColor="hyperlink"/>
                  <w:u w:val="single"/>
                </w:rPr>
                <w:t>https://www.colombiacompra.gov.co/wp-content/uploads/2024/08/Guia-ESALES-CCE-V2_2025.pdf</w:t>
              </w:r>
            </w:hyperlink>
            <w:r w:rsidRPr="00363CD6">
              <w:rPr>
                <w:rFonts w:ascii="Verdana" w:hAnsi="Verdana"/>
              </w:rPr>
              <w:t xml:space="preserve"> </w:t>
            </w:r>
          </w:p>
        </w:tc>
      </w:tr>
    </w:tbl>
    <w:p w14:paraId="5D509444" w14:textId="77777777" w:rsidR="00AC0C0D" w:rsidRPr="00363CD6" w:rsidRDefault="00AC0C0D" w:rsidP="00AC0C0D">
      <w:pPr>
        <w:widowControl w:val="0"/>
        <w:autoSpaceDE w:val="0"/>
        <w:autoSpaceDN w:val="0"/>
        <w:spacing w:after="0" w:line="276" w:lineRule="auto"/>
        <w:jc w:val="both"/>
        <w:rPr>
          <w:rFonts w:ascii="Verdana" w:hAnsi="Verdana" w:cs="Arial"/>
        </w:rPr>
      </w:pPr>
    </w:p>
    <w:p w14:paraId="7754EFE2" w14:textId="77777777" w:rsidR="00AC0C0D" w:rsidRPr="00363CD6" w:rsidRDefault="00AC0C0D" w:rsidP="00AC0C0D">
      <w:pPr>
        <w:numPr>
          <w:ilvl w:val="0"/>
          <w:numId w:val="1"/>
        </w:numPr>
        <w:tabs>
          <w:tab w:val="left" w:pos="142"/>
          <w:tab w:val="left" w:pos="284"/>
        </w:tabs>
        <w:spacing w:after="0" w:line="276" w:lineRule="auto"/>
        <w:jc w:val="both"/>
        <w:rPr>
          <w:rFonts w:ascii="Verdana" w:eastAsia="Century Gothic" w:hAnsi="Verdana" w:cs="Century Gothic"/>
          <w:b/>
          <w:bCs/>
        </w:rPr>
      </w:pPr>
      <w:r w:rsidRPr="00363CD6">
        <w:rPr>
          <w:rFonts w:ascii="Verdana" w:eastAsia="Century Gothic" w:hAnsi="Verdana" w:cs="Century Gothic"/>
          <w:b/>
          <w:bCs/>
        </w:rPr>
        <w:t>Doctrina de la Agencia Nacional de Contratación Pública:</w:t>
      </w:r>
    </w:p>
    <w:p w14:paraId="1083A29F" w14:textId="77777777" w:rsidR="00AC0C0D" w:rsidRPr="00363CD6" w:rsidRDefault="00AC0C0D" w:rsidP="00AC0C0D">
      <w:pPr>
        <w:widowControl w:val="0"/>
        <w:autoSpaceDE w:val="0"/>
        <w:autoSpaceDN w:val="0"/>
        <w:spacing w:after="0" w:line="276" w:lineRule="auto"/>
        <w:jc w:val="both"/>
        <w:rPr>
          <w:rFonts w:ascii="Verdana" w:hAnsi="Verdana" w:cs="Arial"/>
        </w:rPr>
      </w:pPr>
    </w:p>
    <w:p w14:paraId="2502686F" w14:textId="77777777" w:rsidR="00AC0C0D" w:rsidRPr="00363CD6" w:rsidRDefault="00AC0C0D" w:rsidP="00AC0C0D">
      <w:pPr>
        <w:widowControl w:val="0"/>
        <w:autoSpaceDE w:val="0"/>
        <w:autoSpaceDN w:val="0"/>
        <w:spacing w:after="0" w:line="276" w:lineRule="auto"/>
        <w:jc w:val="both"/>
        <w:rPr>
          <w:rFonts w:ascii="Verdana" w:hAnsi="Verdana" w:cs="Arial"/>
          <w:shd w:val="clear" w:color="auto" w:fill="FFFFFF"/>
        </w:rPr>
      </w:pPr>
      <w:r w:rsidRPr="00363CD6">
        <w:rPr>
          <w:rFonts w:ascii="Verdana" w:hAnsi="Verdana" w:cs="Arial"/>
          <w:shd w:val="clear" w:color="auto" w:fill="FFFFFF"/>
          <w:lang w:val="es-ES"/>
        </w:rPr>
        <w:t xml:space="preserve">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w:t>
      </w:r>
      <w:r w:rsidRPr="00363CD6">
        <w:rPr>
          <w:rFonts w:ascii="Verdana" w:hAnsi="Verdana" w:cs="Arial"/>
          <w:shd w:val="clear" w:color="auto" w:fill="FFFFFF"/>
          <w:lang w:val="es-ES"/>
        </w:rPr>
        <w:lastRenderedPageBreak/>
        <w:t>C-560 del 7 de septiembre de 2022, C-624 del 28 de septiembre de 2022, C-771 del 30 de diciembre de 2022, C-853 del 9 de diciembre de 2022, C-351 del 6 de octubre de 2023, C-054 del 24 de abril de 2024, C-064 del 24 de abril de 2024, C-080 del 7 de mayo de 2024, C-073 del 22 de julio ce 2024, C-281 del 29 de octubre de 2024, entre otros</w:t>
      </w:r>
      <w:r w:rsidRPr="00363CD6">
        <w:rPr>
          <w:rFonts w:ascii="Verdana" w:eastAsia="Aptos" w:hAnsi="Verdana" w:cs="Arial"/>
          <w:shd w:val="clear" w:color="auto" w:fill="FFFFFF"/>
        </w:rPr>
        <w:t xml:space="preserve">. </w:t>
      </w:r>
      <w:r w:rsidRPr="00363CD6">
        <w:rPr>
          <w:rFonts w:ascii="Verdana" w:hAnsi="Verdana" w:cs="Arial"/>
          <w:shd w:val="clear" w:color="auto" w:fill="FFFFFF"/>
        </w:rPr>
        <w:t>Es</w:t>
      </w:r>
      <w:r w:rsidRPr="00363CD6">
        <w:rPr>
          <w:rFonts w:ascii="Verdana" w:hAnsi="Verdana"/>
        </w:rPr>
        <w:t>te y otros conceptos se encuentran disponibles para consulta en el Sistema de relatoría de la Agencia, al cual se puede acceder a través del siguiente enlace:</w:t>
      </w:r>
      <w:r w:rsidRPr="00363CD6">
        <w:rPr>
          <w:rFonts w:ascii="Verdana" w:hAnsi="Verdana" w:cs="Arial"/>
          <w:shd w:val="clear" w:color="auto" w:fill="FFFFFF"/>
        </w:rPr>
        <w:t xml:space="preserve"> </w:t>
      </w:r>
      <w:hyperlink r:id="rId14" w:history="1">
        <w:r w:rsidRPr="00363CD6">
          <w:rPr>
            <w:rFonts w:ascii="Verdana" w:hAnsi="Verdana" w:cs="Arial"/>
            <w:color w:val="0000FF"/>
            <w:u w:val="single"/>
            <w:shd w:val="clear" w:color="auto" w:fill="FFFFFF"/>
          </w:rPr>
          <w:t>https://relatoria.colombiacompra.gov.co/</w:t>
        </w:r>
      </w:hyperlink>
      <w:r w:rsidRPr="00363CD6">
        <w:rPr>
          <w:rFonts w:ascii="Verdana" w:hAnsi="Verdana" w:cs="Arial"/>
          <w:shd w:val="clear" w:color="auto" w:fill="FFFFFF"/>
        </w:rPr>
        <w:t xml:space="preserve"> </w:t>
      </w:r>
    </w:p>
    <w:p w14:paraId="686D266A" w14:textId="77777777" w:rsidR="00AC0C0D" w:rsidRPr="00363CD6" w:rsidRDefault="00AC0C0D" w:rsidP="00AC0C0D">
      <w:pPr>
        <w:widowControl w:val="0"/>
        <w:autoSpaceDE w:val="0"/>
        <w:autoSpaceDN w:val="0"/>
        <w:spacing w:after="0" w:line="276" w:lineRule="auto"/>
        <w:jc w:val="both"/>
        <w:rPr>
          <w:rFonts w:ascii="Verdana" w:hAnsi="Verdana" w:cs="Arial"/>
          <w:shd w:val="clear" w:color="auto" w:fill="FFFFFF"/>
        </w:rPr>
      </w:pPr>
    </w:p>
    <w:p w14:paraId="3E67A446" w14:textId="77777777" w:rsidR="00AC0C0D" w:rsidRPr="00363CD6" w:rsidRDefault="00AC0C0D" w:rsidP="00AC0C0D">
      <w:pPr>
        <w:widowControl w:val="0"/>
        <w:autoSpaceDE w:val="0"/>
        <w:autoSpaceDN w:val="0"/>
        <w:spacing w:after="0" w:line="276" w:lineRule="auto"/>
        <w:jc w:val="both"/>
        <w:rPr>
          <w:rFonts w:ascii="Verdana" w:hAnsi="Verdana" w:cs="Arial"/>
          <w:shd w:val="clear" w:color="auto" w:fill="FFFFFF"/>
          <w:lang w:val="es-ES"/>
        </w:rPr>
      </w:pPr>
      <w:r w:rsidRPr="00363CD6">
        <w:rPr>
          <w:rFonts w:ascii="Verdana" w:hAnsi="Verdana" w:cs="Arial"/>
          <w:shd w:val="clear" w:color="auto" w:fill="FFFFFF"/>
        </w:rPr>
        <w:t>Le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16 de mayo de 2025.  Puede consultar la información en el siguiente enlace:</w:t>
      </w:r>
      <w:r w:rsidRPr="00363CD6">
        <w:rPr>
          <w:rFonts w:ascii="Verdana" w:hAnsi="Verdana" w:cs="Arial"/>
          <w:b/>
          <w:bCs/>
          <w:shd w:val="clear" w:color="auto" w:fill="FFFFFF"/>
        </w:rPr>
        <w:t> </w:t>
      </w:r>
      <w:hyperlink r:id="rId15" w:tgtFrame="_blank" w:tooltip="Dirección URL original: https://www.colombiacompra.gov.co/normativa-y-relatoria/documentos-tipo. Haga clic o pulse si confía en este vínculo." w:history="1">
        <w:r w:rsidRPr="00363CD6">
          <w:rPr>
            <w:rFonts w:ascii="Verdana" w:hAnsi="Verdana" w:cs="Arial"/>
            <w:b/>
            <w:bCs/>
            <w:color w:val="0000FF"/>
            <w:u w:val="single"/>
            <w:shd w:val="clear" w:color="auto" w:fill="FFFFFF"/>
          </w:rPr>
          <w:t>Documentos Tipo – ANCP Colombia Compra Eficiente</w:t>
        </w:r>
      </w:hyperlink>
      <w:r w:rsidRPr="00363CD6">
        <w:rPr>
          <w:rFonts w:ascii="Verdana" w:hAnsi="Verdana" w:cs="Arial"/>
          <w:u w:val="single"/>
          <w:shd w:val="clear" w:color="auto" w:fill="FFFFFF"/>
        </w:rPr>
        <w:t> </w:t>
      </w:r>
    </w:p>
    <w:p w14:paraId="2915DD42" w14:textId="77777777" w:rsidR="00AC0C0D" w:rsidRPr="00363CD6" w:rsidRDefault="00AC0C0D" w:rsidP="00AC0C0D">
      <w:pPr>
        <w:widowControl w:val="0"/>
        <w:autoSpaceDE w:val="0"/>
        <w:autoSpaceDN w:val="0"/>
        <w:spacing w:after="0" w:line="276" w:lineRule="auto"/>
        <w:jc w:val="both"/>
        <w:rPr>
          <w:rFonts w:ascii="Verdana" w:eastAsia="Calibri" w:hAnsi="Verdana" w:cs="Arial"/>
          <w:color w:val="000000" w:themeColor="text1"/>
        </w:rPr>
      </w:pPr>
    </w:p>
    <w:p w14:paraId="46D5FFEC" w14:textId="77777777" w:rsidR="00AC0C0D" w:rsidRPr="00363CD6" w:rsidRDefault="00AC0C0D" w:rsidP="00AC0C0D">
      <w:pPr>
        <w:widowControl w:val="0"/>
        <w:autoSpaceDE w:val="0"/>
        <w:autoSpaceDN w:val="0"/>
        <w:spacing w:after="0" w:line="276" w:lineRule="auto"/>
        <w:jc w:val="both"/>
        <w:rPr>
          <w:rFonts w:ascii="Verdana" w:hAnsi="Verdana" w:cs="Arial"/>
        </w:rPr>
      </w:pPr>
      <w:r w:rsidRPr="00363CD6">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AC7DD80" w14:textId="77777777" w:rsidR="00AC0C0D" w:rsidRPr="00363CD6" w:rsidRDefault="00AC0C0D" w:rsidP="00AC0C0D">
      <w:pPr>
        <w:widowControl w:val="0"/>
        <w:autoSpaceDE w:val="0"/>
        <w:autoSpaceDN w:val="0"/>
        <w:spacing w:after="0" w:line="276" w:lineRule="auto"/>
        <w:jc w:val="both"/>
        <w:rPr>
          <w:rFonts w:ascii="Verdana" w:hAnsi="Verdana" w:cs="Arial"/>
        </w:rPr>
      </w:pPr>
    </w:p>
    <w:p w14:paraId="00892609" w14:textId="77777777" w:rsidR="00AC0C0D" w:rsidRPr="00363CD6" w:rsidRDefault="00AC0C0D" w:rsidP="00AC0C0D">
      <w:pPr>
        <w:spacing w:after="0" w:line="276" w:lineRule="auto"/>
        <w:rPr>
          <w:rFonts w:ascii="Verdana" w:hAnsi="Verdana" w:cs="Arial"/>
          <w:lang w:eastAsia="es-CO"/>
        </w:rPr>
      </w:pPr>
      <w:r w:rsidRPr="00363CD6">
        <w:rPr>
          <w:rFonts w:ascii="Verdana" w:eastAsia="Times New Roman" w:hAnsi="Verdana" w:cs="Arial"/>
          <w:lang w:eastAsia="es-CO"/>
        </w:rPr>
        <w:t>Atentamente,</w:t>
      </w:r>
      <w:r w:rsidRPr="00363CD6">
        <w:rPr>
          <w:rFonts w:ascii="Verdana" w:hAnsi="Verdana" w:cs="Arial"/>
          <w:lang w:eastAsia="es-CO"/>
        </w:rPr>
        <w:t xml:space="preserve"> </w:t>
      </w:r>
    </w:p>
    <w:p w14:paraId="2884D308" w14:textId="7F18259E" w:rsidR="00AC0C0D" w:rsidRPr="00363CD6" w:rsidRDefault="003670A7" w:rsidP="00AC0C0D">
      <w:pPr>
        <w:spacing w:line="276" w:lineRule="auto"/>
        <w:jc w:val="center"/>
        <w:rPr>
          <w:rFonts w:ascii="Verdana" w:hAnsi="Verdana" w:cs="Arial"/>
          <w:color w:val="000000"/>
          <w:lang w:eastAsia="es-CO"/>
        </w:rPr>
      </w:pPr>
      <w:r w:rsidRPr="002C3AD6">
        <w:rPr>
          <w:rFonts w:ascii="Century Gothic" w:hAnsi="Century Gothic"/>
          <w:noProof/>
          <w:lang w:val="en-US"/>
        </w:rPr>
        <w:drawing>
          <wp:inline distT="0" distB="0" distL="0" distR="0" wp14:anchorId="5C68129C" wp14:editId="1F9EE063">
            <wp:extent cx="3670300" cy="1423554"/>
            <wp:effectExtent l="0" t="0" r="6350" b="571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891299" cy="15092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C0C0D" w:rsidRPr="00363CD6" w14:paraId="3CAF94E1" w14:textId="77777777" w:rsidTr="00A5204D">
        <w:trPr>
          <w:trHeight w:val="315"/>
        </w:trPr>
        <w:tc>
          <w:tcPr>
            <w:tcW w:w="893" w:type="dxa"/>
            <w:vAlign w:val="center"/>
            <w:hideMark/>
          </w:tcPr>
          <w:p w14:paraId="0AA09062" w14:textId="77777777" w:rsidR="00AC0C0D" w:rsidRPr="00363CD6" w:rsidRDefault="00AC0C0D" w:rsidP="00A5204D">
            <w:pPr>
              <w:contextualSpacing/>
              <w:rPr>
                <w:rFonts w:ascii="Verdana" w:hAnsi="Verdana" w:cs="Arial"/>
                <w:sz w:val="16"/>
                <w:szCs w:val="16"/>
                <w:lang w:eastAsia="es-ES"/>
              </w:rPr>
            </w:pPr>
            <w:r w:rsidRPr="00363CD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CCFC09A" w14:textId="77777777" w:rsidR="00AC0C0D" w:rsidRPr="00363CD6" w:rsidRDefault="00AC0C0D" w:rsidP="00A5204D">
            <w:pPr>
              <w:contextualSpacing/>
              <w:rPr>
                <w:rFonts w:ascii="Verdana" w:hAnsi="Verdana"/>
                <w:sz w:val="16"/>
                <w:szCs w:val="16"/>
              </w:rPr>
            </w:pPr>
            <w:r w:rsidRPr="00363CD6">
              <w:rPr>
                <w:rFonts w:ascii="Verdana" w:hAnsi="Verdana"/>
                <w:sz w:val="16"/>
                <w:szCs w:val="16"/>
              </w:rPr>
              <w:t>Tatiana Baquero Iguarán</w:t>
            </w:r>
          </w:p>
          <w:p w14:paraId="591CB098" w14:textId="77777777" w:rsidR="00AC0C0D" w:rsidRPr="00363CD6" w:rsidRDefault="00AC0C0D" w:rsidP="00A5204D">
            <w:pPr>
              <w:contextualSpacing/>
              <w:rPr>
                <w:rFonts w:ascii="Verdana" w:eastAsia="Arial" w:hAnsi="Verdana" w:cs="Arial"/>
                <w:sz w:val="16"/>
                <w:szCs w:val="16"/>
              </w:rPr>
            </w:pPr>
            <w:r w:rsidRPr="00363CD6">
              <w:rPr>
                <w:rFonts w:ascii="Verdana" w:hAnsi="Verdana"/>
                <w:sz w:val="16"/>
                <w:szCs w:val="16"/>
              </w:rPr>
              <w:t>Contratista de la Subdirección de Gestión Contractual</w:t>
            </w:r>
          </w:p>
        </w:tc>
      </w:tr>
      <w:tr w:rsidR="00AC0C0D" w:rsidRPr="00363CD6" w14:paraId="3271ACC4" w14:textId="77777777" w:rsidTr="00A5204D">
        <w:trPr>
          <w:trHeight w:val="330"/>
        </w:trPr>
        <w:tc>
          <w:tcPr>
            <w:tcW w:w="893" w:type="dxa"/>
            <w:vAlign w:val="center"/>
            <w:hideMark/>
          </w:tcPr>
          <w:p w14:paraId="36EF5787" w14:textId="77777777" w:rsidR="00AC0C0D" w:rsidRPr="00363CD6" w:rsidRDefault="00AC0C0D" w:rsidP="00A5204D">
            <w:pPr>
              <w:contextualSpacing/>
              <w:rPr>
                <w:rFonts w:ascii="Verdana" w:hAnsi="Verdana" w:cs="Arial"/>
                <w:sz w:val="16"/>
                <w:szCs w:val="16"/>
                <w:lang w:eastAsia="es-ES"/>
              </w:rPr>
            </w:pPr>
            <w:r w:rsidRPr="00363CD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6FD9D14" w14:textId="77777777" w:rsidR="00AC0C0D" w:rsidRPr="00363CD6" w:rsidRDefault="00AC0C0D" w:rsidP="00A5204D">
            <w:pPr>
              <w:spacing w:before="100" w:beforeAutospacing="1" w:after="100" w:afterAutospacing="1"/>
              <w:contextualSpacing/>
              <w:textAlignment w:val="baseline"/>
              <w:rPr>
                <w:rFonts w:ascii="Verdana" w:eastAsia="Times New Roman" w:hAnsi="Verdana" w:cs="Arial"/>
                <w:sz w:val="16"/>
                <w:szCs w:val="16"/>
                <w:lang w:eastAsia="es-ES_tradnl"/>
              </w:rPr>
            </w:pPr>
            <w:r w:rsidRPr="00363CD6">
              <w:rPr>
                <w:rFonts w:ascii="Verdana" w:eastAsia="Times New Roman" w:hAnsi="Verdana" w:cs="Arial"/>
                <w:sz w:val="16"/>
                <w:szCs w:val="16"/>
                <w:lang w:eastAsia="es-ES_tradnl"/>
              </w:rPr>
              <w:t>Diana Lucía Saavedra Castañeda</w:t>
            </w:r>
          </w:p>
          <w:p w14:paraId="1A7FC33D" w14:textId="77777777" w:rsidR="00AC0C0D" w:rsidRPr="00363CD6" w:rsidRDefault="00AC0C0D" w:rsidP="00A5204D">
            <w:pPr>
              <w:contextualSpacing/>
              <w:textAlignment w:val="baseline"/>
              <w:rPr>
                <w:rFonts w:ascii="Verdana" w:eastAsia="Times New Roman" w:hAnsi="Verdana" w:cs="Segoe UI"/>
                <w:sz w:val="16"/>
                <w:szCs w:val="16"/>
                <w:lang w:eastAsia="es-ES_tradnl"/>
              </w:rPr>
            </w:pPr>
            <w:r w:rsidRPr="00363CD6">
              <w:rPr>
                <w:rFonts w:ascii="Verdana" w:hAnsi="Verdana"/>
                <w:sz w:val="16"/>
                <w:szCs w:val="16"/>
              </w:rPr>
              <w:t>Contratista de la Subdirección de Gestión Contractual</w:t>
            </w:r>
          </w:p>
        </w:tc>
      </w:tr>
      <w:tr w:rsidR="00AC0C0D" w:rsidRPr="00363CD6" w14:paraId="54926E8C" w14:textId="77777777" w:rsidTr="00A5204D">
        <w:trPr>
          <w:trHeight w:val="300"/>
        </w:trPr>
        <w:tc>
          <w:tcPr>
            <w:tcW w:w="893" w:type="dxa"/>
            <w:vAlign w:val="center"/>
          </w:tcPr>
          <w:p w14:paraId="4DFD981F" w14:textId="77777777" w:rsidR="00AC0C0D" w:rsidRPr="00363CD6" w:rsidRDefault="00AC0C0D" w:rsidP="00A5204D">
            <w:pPr>
              <w:contextualSpacing/>
              <w:rPr>
                <w:rFonts w:ascii="Verdana" w:hAnsi="Verdana" w:cs="Arial"/>
                <w:sz w:val="16"/>
                <w:szCs w:val="16"/>
                <w:lang w:eastAsia="es-ES"/>
              </w:rPr>
            </w:pPr>
            <w:r w:rsidRPr="00363CD6">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C1AA97" w14:textId="77777777" w:rsidR="00AC0C0D" w:rsidRPr="00363CD6" w:rsidRDefault="00AC0C0D" w:rsidP="00A5204D">
            <w:pPr>
              <w:contextualSpacing/>
              <w:rPr>
                <w:rFonts w:ascii="Verdana" w:eastAsia="Calibri" w:hAnsi="Verdana" w:cs="Arial"/>
                <w:sz w:val="16"/>
                <w:szCs w:val="16"/>
                <w:lang w:eastAsia="es-ES"/>
              </w:rPr>
            </w:pPr>
            <w:r w:rsidRPr="00363CD6">
              <w:rPr>
                <w:rFonts w:ascii="Verdana" w:eastAsia="Calibri" w:hAnsi="Verdana" w:cs="Arial"/>
                <w:sz w:val="16"/>
                <w:szCs w:val="16"/>
                <w:lang w:eastAsia="es-ES"/>
              </w:rPr>
              <w:t xml:space="preserve">Carolina Quintero </w:t>
            </w:r>
            <w:proofErr w:type="spellStart"/>
            <w:r w:rsidRPr="00363CD6">
              <w:rPr>
                <w:rFonts w:ascii="Verdana" w:eastAsia="Calibri" w:hAnsi="Verdana" w:cs="Arial"/>
                <w:sz w:val="16"/>
                <w:szCs w:val="16"/>
                <w:lang w:eastAsia="es-ES"/>
              </w:rPr>
              <w:t>Gacharná</w:t>
            </w:r>
            <w:proofErr w:type="spellEnd"/>
          </w:p>
          <w:p w14:paraId="64BA27B6" w14:textId="77777777" w:rsidR="00AC0C0D" w:rsidRPr="00363CD6" w:rsidRDefault="00AC0C0D" w:rsidP="00A5204D">
            <w:pPr>
              <w:contextualSpacing/>
              <w:rPr>
                <w:rFonts w:ascii="Verdana" w:eastAsia="Calibri" w:hAnsi="Verdana" w:cs="Arial"/>
                <w:sz w:val="16"/>
                <w:szCs w:val="16"/>
                <w:lang w:eastAsia="es-ES"/>
              </w:rPr>
            </w:pPr>
            <w:r w:rsidRPr="00363CD6">
              <w:rPr>
                <w:rFonts w:ascii="Verdana" w:eastAsia="Calibri" w:hAnsi="Verdana" w:cs="Arial"/>
                <w:sz w:val="16"/>
                <w:szCs w:val="16"/>
                <w:lang w:eastAsia="es-ES"/>
              </w:rPr>
              <w:t>Subdirectora de Gestión Contractual ANCP – CCE</w:t>
            </w:r>
          </w:p>
        </w:tc>
      </w:tr>
    </w:tbl>
    <w:p w14:paraId="10A7CD40" w14:textId="77777777" w:rsidR="00AC0C0D" w:rsidRPr="00363CD6" w:rsidRDefault="00AC0C0D" w:rsidP="00AC0C0D">
      <w:pPr>
        <w:widowControl w:val="0"/>
        <w:autoSpaceDE w:val="0"/>
        <w:autoSpaceDN w:val="0"/>
        <w:spacing w:after="0" w:line="240" w:lineRule="auto"/>
        <w:jc w:val="both"/>
        <w:rPr>
          <w:rFonts w:ascii="Verdana" w:hAnsi="Verdana" w:cs="Arial"/>
          <w:sz w:val="20"/>
          <w:szCs w:val="20"/>
        </w:rPr>
      </w:pPr>
    </w:p>
    <w:p w14:paraId="72C313F7" w14:textId="77777777" w:rsidR="00D51C25" w:rsidRDefault="00D51C25" w:rsidP="007524C4">
      <w:pPr>
        <w:spacing w:after="0" w:line="240" w:lineRule="auto"/>
        <w:rPr>
          <w:rFonts w:ascii="Verdana" w:eastAsia="Calibri" w:hAnsi="Verdana" w:cs="Arial"/>
          <w:b/>
          <w:bCs/>
          <w:lang w:val="es-ES" w:eastAsia="es-ES"/>
        </w:rPr>
      </w:pPr>
    </w:p>
    <w:bookmarkEnd w:id="0"/>
    <w:sectPr w:rsidR="00D51C25" w:rsidSect="00C44B4C">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E5341" w14:textId="77777777" w:rsidR="00797AF4" w:rsidRPr="009B7987" w:rsidRDefault="00797AF4" w:rsidP="00B30448">
      <w:pPr>
        <w:spacing w:after="0" w:line="240" w:lineRule="auto"/>
      </w:pPr>
      <w:r w:rsidRPr="009B7987">
        <w:separator/>
      </w:r>
    </w:p>
  </w:endnote>
  <w:endnote w:type="continuationSeparator" w:id="0">
    <w:p w14:paraId="1B375D29" w14:textId="77777777" w:rsidR="00797AF4" w:rsidRPr="009B7987" w:rsidRDefault="00797AF4" w:rsidP="00B30448">
      <w:pPr>
        <w:spacing w:after="0" w:line="240" w:lineRule="auto"/>
      </w:pPr>
      <w:r w:rsidRPr="009B7987">
        <w:continuationSeparator/>
      </w:r>
    </w:p>
  </w:endnote>
  <w:endnote w:type="continuationNotice" w:id="1">
    <w:p w14:paraId="61A282F6" w14:textId="77777777" w:rsidR="00797AF4" w:rsidRPr="009B7987" w:rsidRDefault="00797A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A0643" w14:textId="77777777" w:rsidR="00797AF4" w:rsidRPr="009B7987" w:rsidRDefault="00797AF4" w:rsidP="00B30448">
      <w:pPr>
        <w:spacing w:after="0" w:line="240" w:lineRule="auto"/>
      </w:pPr>
      <w:r w:rsidRPr="009B7987">
        <w:separator/>
      </w:r>
    </w:p>
  </w:footnote>
  <w:footnote w:type="continuationSeparator" w:id="0">
    <w:p w14:paraId="780718F4" w14:textId="77777777" w:rsidR="00797AF4" w:rsidRPr="009B7987" w:rsidRDefault="00797AF4" w:rsidP="00B30448">
      <w:pPr>
        <w:spacing w:after="0" w:line="240" w:lineRule="auto"/>
      </w:pPr>
      <w:r w:rsidRPr="009B7987">
        <w:continuationSeparator/>
      </w:r>
    </w:p>
  </w:footnote>
  <w:footnote w:type="continuationNotice" w:id="1">
    <w:p w14:paraId="3663000C" w14:textId="77777777" w:rsidR="00797AF4" w:rsidRPr="009B7987" w:rsidRDefault="00797AF4">
      <w:pPr>
        <w:spacing w:after="0" w:line="240" w:lineRule="auto"/>
      </w:pPr>
    </w:p>
  </w:footnote>
  <w:footnote w:id="2">
    <w:p w14:paraId="151B6A62" w14:textId="77777777" w:rsidR="00AC0C0D" w:rsidRPr="008A6DC4" w:rsidRDefault="00AC0C0D" w:rsidP="00AC0C0D">
      <w:pPr>
        <w:pStyle w:val="Textonotapie"/>
        <w:ind w:firstLine="709"/>
        <w:jc w:val="both"/>
        <w:rPr>
          <w:rFonts w:ascii="Verdana" w:hAnsi="Verdana" w:cs="Arial"/>
          <w:color w:val="000000" w:themeColor="text1"/>
          <w:sz w:val="14"/>
          <w:szCs w:val="14"/>
        </w:rPr>
      </w:pPr>
      <w:r w:rsidRPr="008A6DC4">
        <w:rPr>
          <w:rStyle w:val="Refdenotaalpie"/>
          <w:rFonts w:ascii="Verdana" w:hAnsi="Verdana" w:cs="Arial"/>
          <w:color w:val="000000" w:themeColor="text1"/>
          <w:sz w:val="14"/>
          <w:szCs w:val="14"/>
        </w:rPr>
        <w:footnoteRef/>
      </w:r>
      <w:r w:rsidRPr="008A6DC4">
        <w:rPr>
          <w:rFonts w:ascii="Verdana" w:hAnsi="Verdana" w:cs="Arial"/>
          <w:color w:val="000000" w:themeColor="text1"/>
          <w:sz w:val="14"/>
          <w:szCs w:val="14"/>
        </w:rPr>
        <w:t xml:space="preserve"> Sobre esta norma, consultar los conceptos del 8 de octubre de 2019, con radicado No. 2201913000007532, y del 20 de diciembre de 2019, con radicado No. 4201913000008240, dictado por la Agencia Nacional de Contratación Pública – Colombia Compra Eficiente. </w:t>
      </w:r>
    </w:p>
  </w:footnote>
  <w:footnote w:id="3">
    <w:p w14:paraId="57CCF38A" w14:textId="77777777" w:rsidR="00AC0C0D" w:rsidRPr="008A6DC4" w:rsidRDefault="00AC0C0D" w:rsidP="00AC0C0D">
      <w:pPr>
        <w:pStyle w:val="Textonotapie"/>
        <w:ind w:firstLine="709"/>
        <w:jc w:val="both"/>
        <w:rPr>
          <w:rFonts w:ascii="Verdana" w:hAnsi="Verdana" w:cs="Arial"/>
          <w:color w:val="000000" w:themeColor="text1"/>
          <w:sz w:val="14"/>
          <w:szCs w:val="14"/>
        </w:rPr>
      </w:pPr>
      <w:r w:rsidRPr="008A6DC4">
        <w:rPr>
          <w:rStyle w:val="Refdenotaalpie"/>
          <w:rFonts w:ascii="Verdana" w:hAnsi="Verdana" w:cs="Arial"/>
          <w:color w:val="000000" w:themeColor="text1"/>
          <w:sz w:val="14"/>
          <w:szCs w:val="14"/>
        </w:rPr>
        <w:footnoteRef/>
      </w:r>
      <w:r w:rsidRPr="008A6DC4">
        <w:rPr>
          <w:rFonts w:ascii="Verdana" w:hAnsi="Verdana" w:cs="Arial"/>
          <w:color w:val="000000" w:themeColor="text1"/>
          <w:sz w:val="14"/>
          <w:szCs w:val="14"/>
        </w:rPr>
        <w:t xml:space="preserve"> 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6CA7C8FA" w14:textId="77777777" w:rsidR="00AC0C0D" w:rsidRPr="008A6DC4" w:rsidRDefault="00AC0C0D" w:rsidP="00AC0C0D">
      <w:pPr>
        <w:pStyle w:val="Textonotapie"/>
        <w:ind w:firstLine="709"/>
        <w:jc w:val="both"/>
        <w:rPr>
          <w:rFonts w:ascii="Verdana" w:hAnsi="Verdana" w:cs="Arial"/>
          <w:color w:val="000000" w:themeColor="text1"/>
          <w:sz w:val="14"/>
          <w:szCs w:val="14"/>
        </w:rPr>
      </w:pPr>
      <w:r w:rsidRPr="008A6DC4">
        <w:rPr>
          <w:rFonts w:ascii="Verdana" w:hAnsi="Verdana" w:cs="Arial"/>
          <w:color w:val="000000" w:themeColor="text1"/>
          <w:sz w:val="14"/>
          <w:szCs w:val="14"/>
        </w:rPr>
        <w:t xml:space="preserve">Los convenios de asociación a que se refiere el presente artículo </w:t>
      </w:r>
      <w:bookmarkStart w:id="4" w:name="_Hlk36023315"/>
      <w:r w:rsidRPr="008A6DC4">
        <w:rPr>
          <w:rFonts w:ascii="Verdana" w:hAnsi="Verdana" w:cs="Arial"/>
          <w:color w:val="000000" w:themeColor="text1"/>
          <w:sz w:val="14"/>
          <w:szCs w:val="14"/>
        </w:rPr>
        <w:t>se celebrarán de conformidad con lo dispuesto en el artículo 355 de la Constitución Política</w:t>
      </w:r>
      <w:bookmarkEnd w:id="4"/>
      <w:r w:rsidRPr="008A6DC4">
        <w:rPr>
          <w:rFonts w:ascii="Verdana" w:hAnsi="Verdana" w:cs="Arial"/>
          <w:color w:val="000000" w:themeColor="text1"/>
          <w:sz w:val="14"/>
          <w:szCs w:val="14"/>
        </w:rPr>
        <w:t>, en ellos se determinará con precisión su objeto, término, obligaciones de las partes, aportes, coordinación y todos aquellos aspectos que se consideren pertinentes”.</w:t>
      </w:r>
    </w:p>
  </w:footnote>
  <w:footnote w:id="4">
    <w:p w14:paraId="7BD60279" w14:textId="77777777" w:rsidR="00AC0C0D" w:rsidRPr="008A6DC4" w:rsidRDefault="00AC0C0D" w:rsidP="00AC0C0D">
      <w:pPr>
        <w:pStyle w:val="Textonotapie"/>
        <w:ind w:firstLine="708"/>
        <w:jc w:val="both"/>
        <w:rPr>
          <w:rFonts w:ascii="Verdana" w:hAnsi="Verdana" w:cs="Arial"/>
          <w:color w:val="000000"/>
          <w:sz w:val="14"/>
          <w:szCs w:val="14"/>
        </w:rPr>
      </w:pPr>
      <w:r w:rsidRPr="008A6DC4">
        <w:rPr>
          <w:rStyle w:val="Refdenotaalpie"/>
          <w:rFonts w:ascii="Verdana" w:hAnsi="Verdana" w:cs="Arial"/>
          <w:color w:val="000000"/>
          <w:sz w:val="14"/>
          <w:szCs w:val="14"/>
        </w:rPr>
        <w:footnoteRef/>
      </w:r>
      <w:r w:rsidRPr="008A6DC4">
        <w:rPr>
          <w:rFonts w:ascii="Verdana" w:hAnsi="Verdana" w:cs="Arial"/>
          <w:color w:val="000000"/>
          <w:sz w:val="14"/>
          <w:szCs w:val="14"/>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5">
    <w:p w14:paraId="5C29CC46" w14:textId="77777777" w:rsidR="00AC0C0D" w:rsidRPr="008A6DC4" w:rsidRDefault="00AC0C0D" w:rsidP="00AC0C0D">
      <w:pPr>
        <w:pStyle w:val="Textonotapie"/>
        <w:ind w:firstLine="709"/>
        <w:jc w:val="both"/>
        <w:rPr>
          <w:rFonts w:ascii="Verdana" w:hAnsi="Verdana" w:cs="Arial"/>
          <w:color w:val="000000" w:themeColor="text1"/>
          <w:sz w:val="14"/>
          <w:szCs w:val="14"/>
        </w:rPr>
      </w:pPr>
      <w:r w:rsidRPr="008A6DC4">
        <w:rPr>
          <w:rStyle w:val="Refdenotaalpie"/>
          <w:rFonts w:ascii="Verdana" w:hAnsi="Verdana" w:cs="Arial"/>
          <w:color w:val="000000" w:themeColor="text1"/>
          <w:sz w:val="14"/>
          <w:szCs w:val="14"/>
        </w:rPr>
        <w:footnoteRef/>
      </w:r>
      <w:r w:rsidRPr="008A6DC4">
        <w:rPr>
          <w:rFonts w:ascii="Verdana" w:hAnsi="Verdana" w:cs="Arial"/>
          <w:color w:val="000000" w:themeColor="text1"/>
          <w:sz w:val="14"/>
          <w:szCs w:val="14"/>
        </w:rPr>
        <w:t xml:space="preserve"> Concepto del 3 de septiembre de 2019, con radicado No. 2201913000006512, dictado por la Agencia Nacional de Contratación Pública – Colombia Compra Eficiente.</w:t>
      </w:r>
    </w:p>
  </w:footnote>
  <w:footnote w:id="6">
    <w:p w14:paraId="4A8E7E0F" w14:textId="77777777" w:rsidR="00AC0C0D" w:rsidRPr="008A6DC4" w:rsidRDefault="00AC0C0D" w:rsidP="00AC0C0D">
      <w:pPr>
        <w:pStyle w:val="Textonotapie"/>
        <w:ind w:firstLine="708"/>
        <w:jc w:val="both"/>
        <w:rPr>
          <w:rFonts w:ascii="Verdana" w:hAnsi="Verdana" w:cs="Arial"/>
          <w:sz w:val="14"/>
          <w:szCs w:val="14"/>
        </w:rPr>
      </w:pPr>
      <w:r w:rsidRPr="008A6DC4">
        <w:rPr>
          <w:rStyle w:val="Refdenotaalpie"/>
          <w:rFonts w:ascii="Verdana" w:hAnsi="Verdana" w:cs="Arial"/>
          <w:sz w:val="14"/>
          <w:szCs w:val="14"/>
        </w:rPr>
        <w:footnoteRef/>
      </w:r>
      <w:r w:rsidRPr="008A6DC4">
        <w:rPr>
          <w:rFonts w:ascii="Verdana" w:hAnsi="Verdana" w:cs="Arial"/>
          <w:sz w:val="14"/>
          <w:szCs w:val="14"/>
        </w:rPr>
        <w:t xml:space="preserve"> CHÁVEZ MARÍN, Augusto Ramón, Los Convenios de la Administración. Entre la gestión pública y la actividad contractual. 4ta Ed. Bogotá, Temis. 2020, pp. 426-427. </w:t>
      </w:r>
    </w:p>
  </w:footnote>
  <w:footnote w:id="7">
    <w:p w14:paraId="5786DD1D" w14:textId="77777777" w:rsidR="00AC0C0D" w:rsidRPr="008A6DC4" w:rsidRDefault="00AC0C0D" w:rsidP="00AC0C0D">
      <w:pPr>
        <w:pStyle w:val="Textonotapie"/>
        <w:ind w:firstLine="708"/>
        <w:jc w:val="both"/>
        <w:rPr>
          <w:rFonts w:ascii="Verdana" w:hAnsi="Verdana" w:cs="Arial"/>
          <w:color w:val="000000"/>
          <w:sz w:val="14"/>
          <w:szCs w:val="14"/>
        </w:rPr>
      </w:pPr>
      <w:r w:rsidRPr="008A6DC4">
        <w:rPr>
          <w:rStyle w:val="Refdenotaalpie"/>
          <w:rFonts w:ascii="Verdana" w:hAnsi="Verdana" w:cs="Arial"/>
          <w:color w:val="000000"/>
          <w:sz w:val="14"/>
          <w:szCs w:val="14"/>
        </w:rPr>
        <w:footnoteRef/>
      </w:r>
      <w:r w:rsidRPr="008A6DC4">
        <w:rPr>
          <w:rFonts w:ascii="Verdana" w:hAnsi="Verdana" w:cs="Arial"/>
          <w:color w:val="000000"/>
          <w:sz w:val="14"/>
          <w:szCs w:val="14"/>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p w14:paraId="6BDD8F4E" w14:textId="77777777" w:rsidR="00AC0C0D" w:rsidRPr="008A6DC4" w:rsidRDefault="00AC0C0D" w:rsidP="00AC0C0D">
      <w:pPr>
        <w:pStyle w:val="Textonotapie"/>
        <w:ind w:firstLine="708"/>
        <w:jc w:val="both"/>
        <w:rPr>
          <w:rFonts w:ascii="Verdana" w:hAnsi="Verdana" w:cs="Arial"/>
          <w:color w:val="000000"/>
          <w:sz w:val="14"/>
          <w:szCs w:val="14"/>
        </w:rPr>
      </w:pPr>
    </w:p>
  </w:footnote>
  <w:footnote w:id="8">
    <w:p w14:paraId="2DCF8126" w14:textId="77777777" w:rsidR="00AC0C0D" w:rsidRPr="008A6DC4" w:rsidRDefault="00AC0C0D" w:rsidP="00AC0C0D">
      <w:pPr>
        <w:pStyle w:val="Textonotapie"/>
        <w:ind w:firstLine="708"/>
        <w:jc w:val="both"/>
        <w:rPr>
          <w:rFonts w:ascii="Verdana" w:hAnsi="Verdana" w:cs="Arial"/>
          <w:sz w:val="14"/>
          <w:szCs w:val="14"/>
        </w:rPr>
      </w:pPr>
      <w:r w:rsidRPr="008A6DC4">
        <w:rPr>
          <w:rStyle w:val="Refdenotaalpie"/>
          <w:rFonts w:ascii="Verdana" w:hAnsi="Verdana" w:cs="Arial"/>
          <w:sz w:val="14"/>
          <w:szCs w:val="14"/>
        </w:rPr>
        <w:footnoteRef/>
      </w:r>
      <w:r w:rsidRPr="008A6DC4">
        <w:rPr>
          <w:rFonts w:ascii="Verdana" w:hAnsi="Verdana" w:cs="Arial"/>
          <w:sz w:val="14"/>
          <w:szCs w:val="14"/>
        </w:rPr>
        <w:t xml:space="preserve"> RODRÍGUEZ TAMAYO, Mauricio. Contratación pública con Entidades sin ánimo de lucro. Bogotá: Legis Editores, 2017. Página 28. </w:t>
      </w:r>
    </w:p>
    <w:p w14:paraId="0C9A522B" w14:textId="77777777" w:rsidR="00AC0C0D" w:rsidRPr="008A6DC4" w:rsidRDefault="00AC0C0D" w:rsidP="00AC0C0D">
      <w:pPr>
        <w:pStyle w:val="Textonotapie"/>
        <w:ind w:firstLine="708"/>
        <w:jc w:val="both"/>
        <w:rPr>
          <w:rFonts w:ascii="Verdana" w:hAnsi="Verdana"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5"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7"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8" w15:restartNumberingAfterBreak="0">
    <w:nsid w:val="2BC96B99"/>
    <w:multiLevelType w:val="multilevel"/>
    <w:tmpl w:val="2F16E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B3B25D2"/>
    <w:multiLevelType w:val="multilevel"/>
    <w:tmpl w:val="57FA6D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7"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9"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3"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7"/>
  </w:num>
  <w:num w:numId="5" w16cid:durableId="1982299905">
    <w:abstractNumId w:val="33"/>
  </w:num>
  <w:num w:numId="6" w16cid:durableId="130758360">
    <w:abstractNumId w:val="19"/>
  </w:num>
  <w:num w:numId="7" w16cid:durableId="262541512">
    <w:abstractNumId w:val="30"/>
  </w:num>
  <w:num w:numId="8" w16cid:durableId="1947226218">
    <w:abstractNumId w:val="15"/>
  </w:num>
  <w:num w:numId="9" w16cid:durableId="1180706126">
    <w:abstractNumId w:val="18"/>
  </w:num>
  <w:num w:numId="10" w16cid:durableId="2097506960">
    <w:abstractNumId w:val="25"/>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6"/>
  </w:num>
  <w:num w:numId="19" w16cid:durableId="1910656144">
    <w:abstractNumId w:val="3"/>
  </w:num>
  <w:num w:numId="20" w16cid:durableId="947545103">
    <w:abstractNumId w:val="13"/>
  </w:num>
  <w:num w:numId="21" w16cid:durableId="1851335222">
    <w:abstractNumId w:val="32"/>
  </w:num>
  <w:num w:numId="22" w16cid:durableId="578707994">
    <w:abstractNumId w:val="4"/>
  </w:num>
  <w:num w:numId="23" w16cid:durableId="876742304">
    <w:abstractNumId w:val="11"/>
  </w:num>
  <w:num w:numId="24" w16cid:durableId="1994095851">
    <w:abstractNumId w:val="5"/>
  </w:num>
  <w:num w:numId="25" w16cid:durableId="1567109325">
    <w:abstractNumId w:val="27"/>
  </w:num>
  <w:num w:numId="26" w16cid:durableId="1116487847">
    <w:abstractNumId w:val="20"/>
  </w:num>
  <w:num w:numId="27" w16cid:durableId="611326471">
    <w:abstractNumId w:val="28"/>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1"/>
  </w:num>
  <w:num w:numId="30" w16cid:durableId="363991975">
    <w:abstractNumId w:val="29"/>
  </w:num>
  <w:num w:numId="31" w16cid:durableId="1509440290">
    <w:abstractNumId w:val="24"/>
  </w:num>
  <w:num w:numId="32" w16cid:durableId="1601723362">
    <w:abstractNumId w:val="6"/>
  </w:num>
  <w:num w:numId="33" w16cid:durableId="431320769">
    <w:abstractNumId w:val="8"/>
  </w:num>
  <w:num w:numId="34" w16cid:durableId="59640200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5225"/>
    <w:rsid w:val="000054DB"/>
    <w:rsid w:val="0000587D"/>
    <w:rsid w:val="000059AE"/>
    <w:rsid w:val="00005BB0"/>
    <w:rsid w:val="00006F59"/>
    <w:rsid w:val="00007086"/>
    <w:rsid w:val="00007382"/>
    <w:rsid w:val="00007576"/>
    <w:rsid w:val="000079B8"/>
    <w:rsid w:val="0001025F"/>
    <w:rsid w:val="0001155E"/>
    <w:rsid w:val="00011613"/>
    <w:rsid w:val="00011D3C"/>
    <w:rsid w:val="0001222D"/>
    <w:rsid w:val="00012679"/>
    <w:rsid w:val="00012EDA"/>
    <w:rsid w:val="00013B3F"/>
    <w:rsid w:val="00014981"/>
    <w:rsid w:val="00014B0D"/>
    <w:rsid w:val="00016280"/>
    <w:rsid w:val="0001672C"/>
    <w:rsid w:val="00016F04"/>
    <w:rsid w:val="00017870"/>
    <w:rsid w:val="00021068"/>
    <w:rsid w:val="00021595"/>
    <w:rsid w:val="000219D1"/>
    <w:rsid w:val="00021C3A"/>
    <w:rsid w:val="0002202D"/>
    <w:rsid w:val="00022C23"/>
    <w:rsid w:val="00023DF7"/>
    <w:rsid w:val="000267DD"/>
    <w:rsid w:val="000273EA"/>
    <w:rsid w:val="00027B63"/>
    <w:rsid w:val="00027CA9"/>
    <w:rsid w:val="00030B3D"/>
    <w:rsid w:val="00030BC5"/>
    <w:rsid w:val="00030BFB"/>
    <w:rsid w:val="00031DA1"/>
    <w:rsid w:val="00031EAF"/>
    <w:rsid w:val="0003209C"/>
    <w:rsid w:val="00033390"/>
    <w:rsid w:val="0003424A"/>
    <w:rsid w:val="000361EA"/>
    <w:rsid w:val="000369C0"/>
    <w:rsid w:val="0003731A"/>
    <w:rsid w:val="00037A8B"/>
    <w:rsid w:val="00040372"/>
    <w:rsid w:val="000408AD"/>
    <w:rsid w:val="00041469"/>
    <w:rsid w:val="0004180C"/>
    <w:rsid w:val="000419D7"/>
    <w:rsid w:val="00042DD7"/>
    <w:rsid w:val="00043EE5"/>
    <w:rsid w:val="000442CC"/>
    <w:rsid w:val="000442DE"/>
    <w:rsid w:val="00044B24"/>
    <w:rsid w:val="0004508D"/>
    <w:rsid w:val="00045B37"/>
    <w:rsid w:val="0004709D"/>
    <w:rsid w:val="000504AA"/>
    <w:rsid w:val="0005086B"/>
    <w:rsid w:val="00050C95"/>
    <w:rsid w:val="00050CAD"/>
    <w:rsid w:val="0005142D"/>
    <w:rsid w:val="00051A3C"/>
    <w:rsid w:val="00051BE4"/>
    <w:rsid w:val="00051E96"/>
    <w:rsid w:val="000526A8"/>
    <w:rsid w:val="00052EF1"/>
    <w:rsid w:val="0005420B"/>
    <w:rsid w:val="000551CB"/>
    <w:rsid w:val="0005620B"/>
    <w:rsid w:val="00057392"/>
    <w:rsid w:val="000577A2"/>
    <w:rsid w:val="000577D3"/>
    <w:rsid w:val="00057963"/>
    <w:rsid w:val="000579AB"/>
    <w:rsid w:val="00060AE4"/>
    <w:rsid w:val="000622B9"/>
    <w:rsid w:val="000631E9"/>
    <w:rsid w:val="00063B4B"/>
    <w:rsid w:val="00064721"/>
    <w:rsid w:val="00064D60"/>
    <w:rsid w:val="00065973"/>
    <w:rsid w:val="00065C6D"/>
    <w:rsid w:val="000665D3"/>
    <w:rsid w:val="00066646"/>
    <w:rsid w:val="00066C7A"/>
    <w:rsid w:val="00066CF1"/>
    <w:rsid w:val="0007144A"/>
    <w:rsid w:val="000716AB"/>
    <w:rsid w:val="00071AB8"/>
    <w:rsid w:val="0007243A"/>
    <w:rsid w:val="000762C0"/>
    <w:rsid w:val="00076737"/>
    <w:rsid w:val="00076C2B"/>
    <w:rsid w:val="00076C73"/>
    <w:rsid w:val="00076F81"/>
    <w:rsid w:val="000772B1"/>
    <w:rsid w:val="000779DE"/>
    <w:rsid w:val="000800B6"/>
    <w:rsid w:val="00081B03"/>
    <w:rsid w:val="000847A0"/>
    <w:rsid w:val="00084BFD"/>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726B"/>
    <w:rsid w:val="00097285"/>
    <w:rsid w:val="000975EA"/>
    <w:rsid w:val="000A021A"/>
    <w:rsid w:val="000A0ACF"/>
    <w:rsid w:val="000A1828"/>
    <w:rsid w:val="000A1D06"/>
    <w:rsid w:val="000A1F38"/>
    <w:rsid w:val="000A2030"/>
    <w:rsid w:val="000A37F5"/>
    <w:rsid w:val="000A413A"/>
    <w:rsid w:val="000A4F1E"/>
    <w:rsid w:val="000A5881"/>
    <w:rsid w:val="000A66A1"/>
    <w:rsid w:val="000A69FB"/>
    <w:rsid w:val="000B1087"/>
    <w:rsid w:val="000B199A"/>
    <w:rsid w:val="000B1FF7"/>
    <w:rsid w:val="000B2529"/>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C7D5F"/>
    <w:rsid w:val="000C7FF8"/>
    <w:rsid w:val="000D0372"/>
    <w:rsid w:val="000D0ADE"/>
    <w:rsid w:val="000D16F5"/>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1D6F"/>
    <w:rsid w:val="000E2D0D"/>
    <w:rsid w:val="000E3381"/>
    <w:rsid w:val="000E3744"/>
    <w:rsid w:val="000E3CD9"/>
    <w:rsid w:val="000E481D"/>
    <w:rsid w:val="000E4DBF"/>
    <w:rsid w:val="000E4DF2"/>
    <w:rsid w:val="000E5844"/>
    <w:rsid w:val="000E7349"/>
    <w:rsid w:val="000E762D"/>
    <w:rsid w:val="000E77CC"/>
    <w:rsid w:val="000F0144"/>
    <w:rsid w:val="000F0807"/>
    <w:rsid w:val="000F080D"/>
    <w:rsid w:val="000F0B3C"/>
    <w:rsid w:val="000F13D5"/>
    <w:rsid w:val="000F175F"/>
    <w:rsid w:val="000F1AD8"/>
    <w:rsid w:val="000F2F4C"/>
    <w:rsid w:val="000F38D9"/>
    <w:rsid w:val="000F3CED"/>
    <w:rsid w:val="000F414C"/>
    <w:rsid w:val="000F64FC"/>
    <w:rsid w:val="000F696E"/>
    <w:rsid w:val="000F6C10"/>
    <w:rsid w:val="000F718E"/>
    <w:rsid w:val="001001F2"/>
    <w:rsid w:val="00100207"/>
    <w:rsid w:val="001003C6"/>
    <w:rsid w:val="00100682"/>
    <w:rsid w:val="001010D3"/>
    <w:rsid w:val="0010144A"/>
    <w:rsid w:val="00101C11"/>
    <w:rsid w:val="00102F4F"/>
    <w:rsid w:val="001034DD"/>
    <w:rsid w:val="00104425"/>
    <w:rsid w:val="00104B4C"/>
    <w:rsid w:val="00105135"/>
    <w:rsid w:val="001055A2"/>
    <w:rsid w:val="0010682A"/>
    <w:rsid w:val="00106C4C"/>
    <w:rsid w:val="00107DEF"/>
    <w:rsid w:val="0011037E"/>
    <w:rsid w:val="00110404"/>
    <w:rsid w:val="001109E8"/>
    <w:rsid w:val="00110F73"/>
    <w:rsid w:val="00111E35"/>
    <w:rsid w:val="001128B4"/>
    <w:rsid w:val="00112EBD"/>
    <w:rsid w:val="001132C2"/>
    <w:rsid w:val="0011382D"/>
    <w:rsid w:val="00113AF2"/>
    <w:rsid w:val="00113C17"/>
    <w:rsid w:val="00113FDD"/>
    <w:rsid w:val="00114051"/>
    <w:rsid w:val="00114973"/>
    <w:rsid w:val="00114CFF"/>
    <w:rsid w:val="00114FDF"/>
    <w:rsid w:val="00115C47"/>
    <w:rsid w:val="0011650B"/>
    <w:rsid w:val="00116616"/>
    <w:rsid w:val="00116FC5"/>
    <w:rsid w:val="00117163"/>
    <w:rsid w:val="00117BBD"/>
    <w:rsid w:val="001202DF"/>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B24"/>
    <w:rsid w:val="00127234"/>
    <w:rsid w:val="001276C4"/>
    <w:rsid w:val="00127C68"/>
    <w:rsid w:val="00127D5B"/>
    <w:rsid w:val="00131373"/>
    <w:rsid w:val="001314A0"/>
    <w:rsid w:val="00131A1F"/>
    <w:rsid w:val="00131A66"/>
    <w:rsid w:val="00131F9C"/>
    <w:rsid w:val="00132336"/>
    <w:rsid w:val="00132425"/>
    <w:rsid w:val="0013280A"/>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4AA2"/>
    <w:rsid w:val="001461A7"/>
    <w:rsid w:val="00146946"/>
    <w:rsid w:val="00146E7C"/>
    <w:rsid w:val="00147F8C"/>
    <w:rsid w:val="00150492"/>
    <w:rsid w:val="001513CE"/>
    <w:rsid w:val="00151465"/>
    <w:rsid w:val="00151AD8"/>
    <w:rsid w:val="00151E77"/>
    <w:rsid w:val="00153287"/>
    <w:rsid w:val="001533E6"/>
    <w:rsid w:val="001538BE"/>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4803"/>
    <w:rsid w:val="00164AE0"/>
    <w:rsid w:val="00165BF5"/>
    <w:rsid w:val="00165F2E"/>
    <w:rsid w:val="0016646A"/>
    <w:rsid w:val="0016793B"/>
    <w:rsid w:val="00167C43"/>
    <w:rsid w:val="001706C9"/>
    <w:rsid w:val="0017120C"/>
    <w:rsid w:val="0017150D"/>
    <w:rsid w:val="001727D7"/>
    <w:rsid w:val="00172834"/>
    <w:rsid w:val="00172C96"/>
    <w:rsid w:val="00172DDC"/>
    <w:rsid w:val="00172F3A"/>
    <w:rsid w:val="00173477"/>
    <w:rsid w:val="0017414F"/>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3F50"/>
    <w:rsid w:val="0018402A"/>
    <w:rsid w:val="00184BD9"/>
    <w:rsid w:val="00184ED6"/>
    <w:rsid w:val="00184F13"/>
    <w:rsid w:val="00184FD9"/>
    <w:rsid w:val="00185361"/>
    <w:rsid w:val="00186037"/>
    <w:rsid w:val="00186AE4"/>
    <w:rsid w:val="00186D14"/>
    <w:rsid w:val="001876D8"/>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6D8D"/>
    <w:rsid w:val="00196E44"/>
    <w:rsid w:val="00197205"/>
    <w:rsid w:val="00197632"/>
    <w:rsid w:val="0019793F"/>
    <w:rsid w:val="00197A9D"/>
    <w:rsid w:val="001A08E7"/>
    <w:rsid w:val="001A17D7"/>
    <w:rsid w:val="001A1846"/>
    <w:rsid w:val="001A1A67"/>
    <w:rsid w:val="001A1FDD"/>
    <w:rsid w:val="001A2D8F"/>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5D4"/>
    <w:rsid w:val="001B4446"/>
    <w:rsid w:val="001B5A00"/>
    <w:rsid w:val="001B5F59"/>
    <w:rsid w:val="001B63A7"/>
    <w:rsid w:val="001B6810"/>
    <w:rsid w:val="001B6E89"/>
    <w:rsid w:val="001B791C"/>
    <w:rsid w:val="001B7D70"/>
    <w:rsid w:val="001C0125"/>
    <w:rsid w:val="001C1074"/>
    <w:rsid w:val="001C21C8"/>
    <w:rsid w:val="001C25F5"/>
    <w:rsid w:val="001C34D0"/>
    <w:rsid w:val="001C4249"/>
    <w:rsid w:val="001C46E3"/>
    <w:rsid w:val="001C4F27"/>
    <w:rsid w:val="001C6573"/>
    <w:rsid w:val="001C7D03"/>
    <w:rsid w:val="001D00BE"/>
    <w:rsid w:val="001D079B"/>
    <w:rsid w:val="001D0D32"/>
    <w:rsid w:val="001D17C9"/>
    <w:rsid w:val="001D1AB9"/>
    <w:rsid w:val="001D1F20"/>
    <w:rsid w:val="001D3795"/>
    <w:rsid w:val="001D3E7C"/>
    <w:rsid w:val="001D4006"/>
    <w:rsid w:val="001D54BD"/>
    <w:rsid w:val="001D5C72"/>
    <w:rsid w:val="001D626E"/>
    <w:rsid w:val="001D733B"/>
    <w:rsid w:val="001D73CF"/>
    <w:rsid w:val="001D7E8C"/>
    <w:rsid w:val="001E0902"/>
    <w:rsid w:val="001E1801"/>
    <w:rsid w:val="001E1B8B"/>
    <w:rsid w:val="001E1C73"/>
    <w:rsid w:val="001E1E05"/>
    <w:rsid w:val="001E2254"/>
    <w:rsid w:val="001E22D2"/>
    <w:rsid w:val="001E2343"/>
    <w:rsid w:val="001E3A17"/>
    <w:rsid w:val="001E3FCB"/>
    <w:rsid w:val="001E52DF"/>
    <w:rsid w:val="001E5500"/>
    <w:rsid w:val="001E6BCB"/>
    <w:rsid w:val="001E783B"/>
    <w:rsid w:val="001E7FBC"/>
    <w:rsid w:val="001F0822"/>
    <w:rsid w:val="001F08CB"/>
    <w:rsid w:val="001F105B"/>
    <w:rsid w:val="001F15F6"/>
    <w:rsid w:val="001F179C"/>
    <w:rsid w:val="001F24B7"/>
    <w:rsid w:val="001F2649"/>
    <w:rsid w:val="001F2E4E"/>
    <w:rsid w:val="001F3496"/>
    <w:rsid w:val="001F41CA"/>
    <w:rsid w:val="001F4355"/>
    <w:rsid w:val="001F4819"/>
    <w:rsid w:val="001F48BD"/>
    <w:rsid w:val="001F5034"/>
    <w:rsid w:val="001F61DE"/>
    <w:rsid w:val="001F63AA"/>
    <w:rsid w:val="001F69C8"/>
    <w:rsid w:val="001F7054"/>
    <w:rsid w:val="001F71FD"/>
    <w:rsid w:val="001F77E5"/>
    <w:rsid w:val="001F7DB7"/>
    <w:rsid w:val="002000AA"/>
    <w:rsid w:val="00201502"/>
    <w:rsid w:val="0020302A"/>
    <w:rsid w:val="002032A0"/>
    <w:rsid w:val="00203532"/>
    <w:rsid w:val="00203AE0"/>
    <w:rsid w:val="00204106"/>
    <w:rsid w:val="00204109"/>
    <w:rsid w:val="0020503A"/>
    <w:rsid w:val="00205041"/>
    <w:rsid w:val="0020524C"/>
    <w:rsid w:val="002059E3"/>
    <w:rsid w:val="002100FF"/>
    <w:rsid w:val="00210543"/>
    <w:rsid w:val="00210B9B"/>
    <w:rsid w:val="002118D1"/>
    <w:rsid w:val="00211DCE"/>
    <w:rsid w:val="00212390"/>
    <w:rsid w:val="00212897"/>
    <w:rsid w:val="0021386A"/>
    <w:rsid w:val="00213C44"/>
    <w:rsid w:val="002147EE"/>
    <w:rsid w:val="00215516"/>
    <w:rsid w:val="002158DC"/>
    <w:rsid w:val="002159D5"/>
    <w:rsid w:val="00215B4B"/>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3E1"/>
    <w:rsid w:val="002225AB"/>
    <w:rsid w:val="00222955"/>
    <w:rsid w:val="002231B0"/>
    <w:rsid w:val="002250D1"/>
    <w:rsid w:val="002267D2"/>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407CE"/>
    <w:rsid w:val="00242325"/>
    <w:rsid w:val="00243A38"/>
    <w:rsid w:val="002441FF"/>
    <w:rsid w:val="0024474F"/>
    <w:rsid w:val="00244761"/>
    <w:rsid w:val="002450F2"/>
    <w:rsid w:val="00245B7F"/>
    <w:rsid w:val="002469C2"/>
    <w:rsid w:val="00247BDE"/>
    <w:rsid w:val="00247DE2"/>
    <w:rsid w:val="002505DE"/>
    <w:rsid w:val="002514FA"/>
    <w:rsid w:val="00251DAF"/>
    <w:rsid w:val="00252503"/>
    <w:rsid w:val="00252ED7"/>
    <w:rsid w:val="0025393C"/>
    <w:rsid w:val="002549E7"/>
    <w:rsid w:val="00254A7A"/>
    <w:rsid w:val="00254EA4"/>
    <w:rsid w:val="0025509C"/>
    <w:rsid w:val="002552F8"/>
    <w:rsid w:val="0025575F"/>
    <w:rsid w:val="002571E3"/>
    <w:rsid w:val="002573DA"/>
    <w:rsid w:val="00260496"/>
    <w:rsid w:val="00260542"/>
    <w:rsid w:val="00260BAD"/>
    <w:rsid w:val="0026224C"/>
    <w:rsid w:val="002635FD"/>
    <w:rsid w:val="00264C7C"/>
    <w:rsid w:val="0026650F"/>
    <w:rsid w:val="00266DC3"/>
    <w:rsid w:val="0027029D"/>
    <w:rsid w:val="00270443"/>
    <w:rsid w:val="00270EE2"/>
    <w:rsid w:val="0027138C"/>
    <w:rsid w:val="0027165A"/>
    <w:rsid w:val="00272787"/>
    <w:rsid w:val="00272826"/>
    <w:rsid w:val="00272A7B"/>
    <w:rsid w:val="00272C44"/>
    <w:rsid w:val="00272F05"/>
    <w:rsid w:val="00273527"/>
    <w:rsid w:val="00273F6B"/>
    <w:rsid w:val="002747EF"/>
    <w:rsid w:val="00274B06"/>
    <w:rsid w:val="002751D6"/>
    <w:rsid w:val="002754D3"/>
    <w:rsid w:val="00275F9A"/>
    <w:rsid w:val="00276261"/>
    <w:rsid w:val="00276944"/>
    <w:rsid w:val="00276964"/>
    <w:rsid w:val="002769AE"/>
    <w:rsid w:val="00276CA7"/>
    <w:rsid w:val="0028032E"/>
    <w:rsid w:val="002816DD"/>
    <w:rsid w:val="002817A6"/>
    <w:rsid w:val="002821E8"/>
    <w:rsid w:val="00282F1D"/>
    <w:rsid w:val="00283215"/>
    <w:rsid w:val="002833F3"/>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CB7"/>
    <w:rsid w:val="0029280F"/>
    <w:rsid w:val="00292E91"/>
    <w:rsid w:val="002930AD"/>
    <w:rsid w:val="00293254"/>
    <w:rsid w:val="00295002"/>
    <w:rsid w:val="0029568E"/>
    <w:rsid w:val="00295E8C"/>
    <w:rsid w:val="002971C7"/>
    <w:rsid w:val="002971F2"/>
    <w:rsid w:val="00297785"/>
    <w:rsid w:val="00297E05"/>
    <w:rsid w:val="002A0444"/>
    <w:rsid w:val="002A0F8D"/>
    <w:rsid w:val="002A1311"/>
    <w:rsid w:val="002A1377"/>
    <w:rsid w:val="002A211A"/>
    <w:rsid w:val="002A222A"/>
    <w:rsid w:val="002A264B"/>
    <w:rsid w:val="002A4A82"/>
    <w:rsid w:val="002A4B33"/>
    <w:rsid w:val="002A4C00"/>
    <w:rsid w:val="002A5311"/>
    <w:rsid w:val="002A5863"/>
    <w:rsid w:val="002A6E9B"/>
    <w:rsid w:val="002A6FBB"/>
    <w:rsid w:val="002B05D1"/>
    <w:rsid w:val="002B1933"/>
    <w:rsid w:val="002B20BD"/>
    <w:rsid w:val="002B2611"/>
    <w:rsid w:val="002B27D8"/>
    <w:rsid w:val="002B35B9"/>
    <w:rsid w:val="002B38D2"/>
    <w:rsid w:val="002B3A46"/>
    <w:rsid w:val="002B3F1C"/>
    <w:rsid w:val="002B401B"/>
    <w:rsid w:val="002B4ED9"/>
    <w:rsid w:val="002B4EF4"/>
    <w:rsid w:val="002B51BB"/>
    <w:rsid w:val="002B58C5"/>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71C"/>
    <w:rsid w:val="002D5FD5"/>
    <w:rsid w:val="002D68F4"/>
    <w:rsid w:val="002D7395"/>
    <w:rsid w:val="002D7417"/>
    <w:rsid w:val="002D782B"/>
    <w:rsid w:val="002E0D9C"/>
    <w:rsid w:val="002E1247"/>
    <w:rsid w:val="002E26E8"/>
    <w:rsid w:val="002E33FF"/>
    <w:rsid w:val="002E3DD8"/>
    <w:rsid w:val="002E3ED8"/>
    <w:rsid w:val="002E5A01"/>
    <w:rsid w:val="002E5EA3"/>
    <w:rsid w:val="002E717C"/>
    <w:rsid w:val="002E7533"/>
    <w:rsid w:val="002E7A61"/>
    <w:rsid w:val="002F00B8"/>
    <w:rsid w:val="002F0106"/>
    <w:rsid w:val="002F03C8"/>
    <w:rsid w:val="002F188D"/>
    <w:rsid w:val="002F18A5"/>
    <w:rsid w:val="002F26F3"/>
    <w:rsid w:val="002F317F"/>
    <w:rsid w:val="002F51A2"/>
    <w:rsid w:val="002F5BA8"/>
    <w:rsid w:val="002F5E95"/>
    <w:rsid w:val="002F5F68"/>
    <w:rsid w:val="002F63CA"/>
    <w:rsid w:val="002F67B4"/>
    <w:rsid w:val="002F6F73"/>
    <w:rsid w:val="002F7AA9"/>
    <w:rsid w:val="003004E3"/>
    <w:rsid w:val="00300FF1"/>
    <w:rsid w:val="00301C0D"/>
    <w:rsid w:val="00301D7B"/>
    <w:rsid w:val="00301E19"/>
    <w:rsid w:val="003023DE"/>
    <w:rsid w:val="00303DC4"/>
    <w:rsid w:val="00304676"/>
    <w:rsid w:val="00306BE7"/>
    <w:rsid w:val="003110A2"/>
    <w:rsid w:val="00311655"/>
    <w:rsid w:val="00311B66"/>
    <w:rsid w:val="00311F29"/>
    <w:rsid w:val="00312518"/>
    <w:rsid w:val="00314036"/>
    <w:rsid w:val="00314347"/>
    <w:rsid w:val="00314C4F"/>
    <w:rsid w:val="00314FAF"/>
    <w:rsid w:val="003162A5"/>
    <w:rsid w:val="00316591"/>
    <w:rsid w:val="00320553"/>
    <w:rsid w:val="00320C6D"/>
    <w:rsid w:val="003213A8"/>
    <w:rsid w:val="00321FA8"/>
    <w:rsid w:val="00321FFD"/>
    <w:rsid w:val="003225AD"/>
    <w:rsid w:val="00322A74"/>
    <w:rsid w:val="00322E18"/>
    <w:rsid w:val="00322F43"/>
    <w:rsid w:val="00323C3D"/>
    <w:rsid w:val="00323D1D"/>
    <w:rsid w:val="00323F8A"/>
    <w:rsid w:val="00324752"/>
    <w:rsid w:val="00324D73"/>
    <w:rsid w:val="00325575"/>
    <w:rsid w:val="00326011"/>
    <w:rsid w:val="0032643D"/>
    <w:rsid w:val="00326D02"/>
    <w:rsid w:val="00327069"/>
    <w:rsid w:val="00327812"/>
    <w:rsid w:val="00327AFB"/>
    <w:rsid w:val="00327BAF"/>
    <w:rsid w:val="00327D10"/>
    <w:rsid w:val="00331894"/>
    <w:rsid w:val="00332CB8"/>
    <w:rsid w:val="00333428"/>
    <w:rsid w:val="003350B6"/>
    <w:rsid w:val="0033595E"/>
    <w:rsid w:val="0033601B"/>
    <w:rsid w:val="003364B6"/>
    <w:rsid w:val="0033764C"/>
    <w:rsid w:val="00337DF3"/>
    <w:rsid w:val="00337F8E"/>
    <w:rsid w:val="00340039"/>
    <w:rsid w:val="003400D3"/>
    <w:rsid w:val="0034024F"/>
    <w:rsid w:val="00340A77"/>
    <w:rsid w:val="00340D39"/>
    <w:rsid w:val="00340DFB"/>
    <w:rsid w:val="00341941"/>
    <w:rsid w:val="0034207A"/>
    <w:rsid w:val="0034278F"/>
    <w:rsid w:val="0034281F"/>
    <w:rsid w:val="00343B47"/>
    <w:rsid w:val="0034404F"/>
    <w:rsid w:val="00344ACC"/>
    <w:rsid w:val="00345CE6"/>
    <w:rsid w:val="00345F01"/>
    <w:rsid w:val="0034654F"/>
    <w:rsid w:val="00346B28"/>
    <w:rsid w:val="00347685"/>
    <w:rsid w:val="003509A5"/>
    <w:rsid w:val="003515FD"/>
    <w:rsid w:val="003518A4"/>
    <w:rsid w:val="00351E21"/>
    <w:rsid w:val="00352327"/>
    <w:rsid w:val="003526A9"/>
    <w:rsid w:val="00354062"/>
    <w:rsid w:val="00354405"/>
    <w:rsid w:val="00354AED"/>
    <w:rsid w:val="00355A76"/>
    <w:rsid w:val="00355DEC"/>
    <w:rsid w:val="0035635F"/>
    <w:rsid w:val="00356BF0"/>
    <w:rsid w:val="00356E0F"/>
    <w:rsid w:val="0035700C"/>
    <w:rsid w:val="003607EE"/>
    <w:rsid w:val="00360BC8"/>
    <w:rsid w:val="00360E35"/>
    <w:rsid w:val="00361106"/>
    <w:rsid w:val="003617AE"/>
    <w:rsid w:val="0036215C"/>
    <w:rsid w:val="003630F7"/>
    <w:rsid w:val="0036332B"/>
    <w:rsid w:val="00363589"/>
    <w:rsid w:val="00363636"/>
    <w:rsid w:val="003651AC"/>
    <w:rsid w:val="003653AA"/>
    <w:rsid w:val="00366120"/>
    <w:rsid w:val="003661FF"/>
    <w:rsid w:val="003665A5"/>
    <w:rsid w:val="00366A0C"/>
    <w:rsid w:val="003670A7"/>
    <w:rsid w:val="00367238"/>
    <w:rsid w:val="00367462"/>
    <w:rsid w:val="003677D5"/>
    <w:rsid w:val="00370075"/>
    <w:rsid w:val="0037034B"/>
    <w:rsid w:val="00370507"/>
    <w:rsid w:val="00370682"/>
    <w:rsid w:val="00370F0B"/>
    <w:rsid w:val="003718D8"/>
    <w:rsid w:val="00372A01"/>
    <w:rsid w:val="003733DF"/>
    <w:rsid w:val="00373865"/>
    <w:rsid w:val="003739DA"/>
    <w:rsid w:val="00373CE8"/>
    <w:rsid w:val="00374DB0"/>
    <w:rsid w:val="00374F6C"/>
    <w:rsid w:val="003751C7"/>
    <w:rsid w:val="00375C84"/>
    <w:rsid w:val="00376524"/>
    <w:rsid w:val="00376E3B"/>
    <w:rsid w:val="003776FE"/>
    <w:rsid w:val="00380424"/>
    <w:rsid w:val="00380868"/>
    <w:rsid w:val="00380B9B"/>
    <w:rsid w:val="003818B3"/>
    <w:rsid w:val="003819F5"/>
    <w:rsid w:val="00381A52"/>
    <w:rsid w:val="00381B57"/>
    <w:rsid w:val="00381D47"/>
    <w:rsid w:val="003821CC"/>
    <w:rsid w:val="003835F0"/>
    <w:rsid w:val="00383CC1"/>
    <w:rsid w:val="003853B1"/>
    <w:rsid w:val="003853ED"/>
    <w:rsid w:val="0038628F"/>
    <w:rsid w:val="00386421"/>
    <w:rsid w:val="0038704C"/>
    <w:rsid w:val="00387AA1"/>
    <w:rsid w:val="0039082A"/>
    <w:rsid w:val="0039101F"/>
    <w:rsid w:val="00392EDB"/>
    <w:rsid w:val="00392FAE"/>
    <w:rsid w:val="003931AA"/>
    <w:rsid w:val="00393EEE"/>
    <w:rsid w:val="003941C0"/>
    <w:rsid w:val="00394D45"/>
    <w:rsid w:val="00395132"/>
    <w:rsid w:val="00395D99"/>
    <w:rsid w:val="003968DF"/>
    <w:rsid w:val="003976C3"/>
    <w:rsid w:val="00397A03"/>
    <w:rsid w:val="00397A64"/>
    <w:rsid w:val="003A099A"/>
    <w:rsid w:val="003A1372"/>
    <w:rsid w:val="003A1D46"/>
    <w:rsid w:val="003A2447"/>
    <w:rsid w:val="003A2B82"/>
    <w:rsid w:val="003A36D3"/>
    <w:rsid w:val="003A3927"/>
    <w:rsid w:val="003A3D2E"/>
    <w:rsid w:val="003A3FF7"/>
    <w:rsid w:val="003A43D1"/>
    <w:rsid w:val="003A6A51"/>
    <w:rsid w:val="003A6E29"/>
    <w:rsid w:val="003A7FEA"/>
    <w:rsid w:val="003B0BDB"/>
    <w:rsid w:val="003B0E88"/>
    <w:rsid w:val="003B106E"/>
    <w:rsid w:val="003B153F"/>
    <w:rsid w:val="003B17B0"/>
    <w:rsid w:val="003B1844"/>
    <w:rsid w:val="003B1A5C"/>
    <w:rsid w:val="003B211E"/>
    <w:rsid w:val="003B24EA"/>
    <w:rsid w:val="003B2DA7"/>
    <w:rsid w:val="003B3AB7"/>
    <w:rsid w:val="003B3ABC"/>
    <w:rsid w:val="003B3CDD"/>
    <w:rsid w:val="003B3D8E"/>
    <w:rsid w:val="003B3FED"/>
    <w:rsid w:val="003B3FF1"/>
    <w:rsid w:val="003B4217"/>
    <w:rsid w:val="003B59A1"/>
    <w:rsid w:val="003B6D11"/>
    <w:rsid w:val="003B74F1"/>
    <w:rsid w:val="003B7541"/>
    <w:rsid w:val="003B7966"/>
    <w:rsid w:val="003B7F07"/>
    <w:rsid w:val="003B7FCE"/>
    <w:rsid w:val="003C0F87"/>
    <w:rsid w:val="003C141E"/>
    <w:rsid w:val="003C17C5"/>
    <w:rsid w:val="003C1B83"/>
    <w:rsid w:val="003C210E"/>
    <w:rsid w:val="003C21B3"/>
    <w:rsid w:val="003C30AD"/>
    <w:rsid w:val="003C3503"/>
    <w:rsid w:val="003C40DE"/>
    <w:rsid w:val="003C4851"/>
    <w:rsid w:val="003C4C96"/>
    <w:rsid w:val="003C55E0"/>
    <w:rsid w:val="003C5E39"/>
    <w:rsid w:val="003C683A"/>
    <w:rsid w:val="003D0079"/>
    <w:rsid w:val="003D017D"/>
    <w:rsid w:val="003D04D6"/>
    <w:rsid w:val="003D10EC"/>
    <w:rsid w:val="003D28A0"/>
    <w:rsid w:val="003D28DE"/>
    <w:rsid w:val="003D29B9"/>
    <w:rsid w:val="003D3500"/>
    <w:rsid w:val="003D37B6"/>
    <w:rsid w:val="003D3C68"/>
    <w:rsid w:val="003D450D"/>
    <w:rsid w:val="003D503A"/>
    <w:rsid w:val="003D6505"/>
    <w:rsid w:val="003D71A6"/>
    <w:rsid w:val="003D7709"/>
    <w:rsid w:val="003E004C"/>
    <w:rsid w:val="003E0294"/>
    <w:rsid w:val="003E0BAF"/>
    <w:rsid w:val="003E0E25"/>
    <w:rsid w:val="003E1409"/>
    <w:rsid w:val="003E16F2"/>
    <w:rsid w:val="003E2195"/>
    <w:rsid w:val="003E36A5"/>
    <w:rsid w:val="003E4A52"/>
    <w:rsid w:val="003E5CBA"/>
    <w:rsid w:val="003E78A9"/>
    <w:rsid w:val="003E7912"/>
    <w:rsid w:val="003F04E6"/>
    <w:rsid w:val="003F1FD5"/>
    <w:rsid w:val="003F2CDD"/>
    <w:rsid w:val="003F45D7"/>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967"/>
    <w:rsid w:val="00402E56"/>
    <w:rsid w:val="00403634"/>
    <w:rsid w:val="00403A99"/>
    <w:rsid w:val="00404592"/>
    <w:rsid w:val="00404B58"/>
    <w:rsid w:val="0040544F"/>
    <w:rsid w:val="00405537"/>
    <w:rsid w:val="0040625C"/>
    <w:rsid w:val="004069D2"/>
    <w:rsid w:val="004076FF"/>
    <w:rsid w:val="00411B17"/>
    <w:rsid w:val="00411FFF"/>
    <w:rsid w:val="0041222D"/>
    <w:rsid w:val="004124F2"/>
    <w:rsid w:val="00412E6F"/>
    <w:rsid w:val="004134BE"/>
    <w:rsid w:val="00413C5C"/>
    <w:rsid w:val="0041413F"/>
    <w:rsid w:val="0041567A"/>
    <w:rsid w:val="00415BAB"/>
    <w:rsid w:val="00415BCF"/>
    <w:rsid w:val="00416297"/>
    <w:rsid w:val="00417083"/>
    <w:rsid w:val="00417E36"/>
    <w:rsid w:val="0042057C"/>
    <w:rsid w:val="00420BDF"/>
    <w:rsid w:val="00421608"/>
    <w:rsid w:val="0042188F"/>
    <w:rsid w:val="004218E5"/>
    <w:rsid w:val="00421C23"/>
    <w:rsid w:val="0042261E"/>
    <w:rsid w:val="00422749"/>
    <w:rsid w:val="004228F2"/>
    <w:rsid w:val="004233DC"/>
    <w:rsid w:val="00424888"/>
    <w:rsid w:val="004255D9"/>
    <w:rsid w:val="00425763"/>
    <w:rsid w:val="00425C3C"/>
    <w:rsid w:val="00427D1B"/>
    <w:rsid w:val="00427E40"/>
    <w:rsid w:val="004306AB"/>
    <w:rsid w:val="0043159D"/>
    <w:rsid w:val="0043171D"/>
    <w:rsid w:val="00432B10"/>
    <w:rsid w:val="00432F78"/>
    <w:rsid w:val="004334A2"/>
    <w:rsid w:val="004335BC"/>
    <w:rsid w:val="004339E6"/>
    <w:rsid w:val="00434723"/>
    <w:rsid w:val="00434729"/>
    <w:rsid w:val="0043617B"/>
    <w:rsid w:val="00437D17"/>
    <w:rsid w:val="00437D2F"/>
    <w:rsid w:val="0044046D"/>
    <w:rsid w:val="004410D3"/>
    <w:rsid w:val="00441A5B"/>
    <w:rsid w:val="00441DAF"/>
    <w:rsid w:val="0044270D"/>
    <w:rsid w:val="00442E8C"/>
    <w:rsid w:val="0044312A"/>
    <w:rsid w:val="00443310"/>
    <w:rsid w:val="004435D5"/>
    <w:rsid w:val="00443A34"/>
    <w:rsid w:val="00443D38"/>
    <w:rsid w:val="00443EFC"/>
    <w:rsid w:val="00444140"/>
    <w:rsid w:val="00444BF5"/>
    <w:rsid w:val="00444F43"/>
    <w:rsid w:val="00447C23"/>
    <w:rsid w:val="00450744"/>
    <w:rsid w:val="00450BE7"/>
    <w:rsid w:val="00450FE8"/>
    <w:rsid w:val="004518D0"/>
    <w:rsid w:val="0045213A"/>
    <w:rsid w:val="0045230E"/>
    <w:rsid w:val="004528FA"/>
    <w:rsid w:val="00452D67"/>
    <w:rsid w:val="00452E53"/>
    <w:rsid w:val="0045418C"/>
    <w:rsid w:val="004542C6"/>
    <w:rsid w:val="00454EDC"/>
    <w:rsid w:val="00455B00"/>
    <w:rsid w:val="00455B97"/>
    <w:rsid w:val="00456635"/>
    <w:rsid w:val="00456BFD"/>
    <w:rsid w:val="004575D5"/>
    <w:rsid w:val="00457657"/>
    <w:rsid w:val="004600BF"/>
    <w:rsid w:val="004607D0"/>
    <w:rsid w:val="00460CE3"/>
    <w:rsid w:val="00460F25"/>
    <w:rsid w:val="004612A4"/>
    <w:rsid w:val="0046153C"/>
    <w:rsid w:val="004624D2"/>
    <w:rsid w:val="004625C8"/>
    <w:rsid w:val="00462DCE"/>
    <w:rsid w:val="00463752"/>
    <w:rsid w:val="0046442A"/>
    <w:rsid w:val="00464BF1"/>
    <w:rsid w:val="00464DA5"/>
    <w:rsid w:val="00465D73"/>
    <w:rsid w:val="00466078"/>
    <w:rsid w:val="0046626B"/>
    <w:rsid w:val="004676E4"/>
    <w:rsid w:val="00467AFF"/>
    <w:rsid w:val="00470183"/>
    <w:rsid w:val="004708C9"/>
    <w:rsid w:val="00470C48"/>
    <w:rsid w:val="0047139F"/>
    <w:rsid w:val="00471429"/>
    <w:rsid w:val="004722B1"/>
    <w:rsid w:val="004733B7"/>
    <w:rsid w:val="0047388C"/>
    <w:rsid w:val="00473A47"/>
    <w:rsid w:val="00473A4F"/>
    <w:rsid w:val="00473C0A"/>
    <w:rsid w:val="00473EEF"/>
    <w:rsid w:val="00474415"/>
    <w:rsid w:val="00474BC1"/>
    <w:rsid w:val="004763EC"/>
    <w:rsid w:val="0047722F"/>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B03"/>
    <w:rsid w:val="0048444C"/>
    <w:rsid w:val="00484EF6"/>
    <w:rsid w:val="00485058"/>
    <w:rsid w:val="00485702"/>
    <w:rsid w:val="004867EC"/>
    <w:rsid w:val="00486A37"/>
    <w:rsid w:val="00487662"/>
    <w:rsid w:val="004876C6"/>
    <w:rsid w:val="00487D7B"/>
    <w:rsid w:val="00487F9E"/>
    <w:rsid w:val="00490F7A"/>
    <w:rsid w:val="00490FD5"/>
    <w:rsid w:val="00491241"/>
    <w:rsid w:val="00491813"/>
    <w:rsid w:val="00493278"/>
    <w:rsid w:val="00493855"/>
    <w:rsid w:val="004951D8"/>
    <w:rsid w:val="004952C1"/>
    <w:rsid w:val="00497575"/>
    <w:rsid w:val="004A006F"/>
    <w:rsid w:val="004A078B"/>
    <w:rsid w:val="004A12C0"/>
    <w:rsid w:val="004A169A"/>
    <w:rsid w:val="004A18C9"/>
    <w:rsid w:val="004A191A"/>
    <w:rsid w:val="004A1A70"/>
    <w:rsid w:val="004A4027"/>
    <w:rsid w:val="004A419E"/>
    <w:rsid w:val="004A4688"/>
    <w:rsid w:val="004A6463"/>
    <w:rsid w:val="004A6B58"/>
    <w:rsid w:val="004A6BA2"/>
    <w:rsid w:val="004B06C3"/>
    <w:rsid w:val="004B0917"/>
    <w:rsid w:val="004B0B09"/>
    <w:rsid w:val="004B140F"/>
    <w:rsid w:val="004B14EB"/>
    <w:rsid w:val="004B21CF"/>
    <w:rsid w:val="004B2DE3"/>
    <w:rsid w:val="004B3FEA"/>
    <w:rsid w:val="004B4E68"/>
    <w:rsid w:val="004B53F1"/>
    <w:rsid w:val="004B5D6E"/>
    <w:rsid w:val="004B60BA"/>
    <w:rsid w:val="004B6946"/>
    <w:rsid w:val="004B6D89"/>
    <w:rsid w:val="004B6E81"/>
    <w:rsid w:val="004C0FFE"/>
    <w:rsid w:val="004C136D"/>
    <w:rsid w:val="004C1619"/>
    <w:rsid w:val="004C177F"/>
    <w:rsid w:val="004C19E4"/>
    <w:rsid w:val="004C1B59"/>
    <w:rsid w:val="004C3C25"/>
    <w:rsid w:val="004C3CBC"/>
    <w:rsid w:val="004C3EEA"/>
    <w:rsid w:val="004C4EA2"/>
    <w:rsid w:val="004C5846"/>
    <w:rsid w:val="004C596B"/>
    <w:rsid w:val="004C5E41"/>
    <w:rsid w:val="004C60E7"/>
    <w:rsid w:val="004C664D"/>
    <w:rsid w:val="004C7BDE"/>
    <w:rsid w:val="004D0090"/>
    <w:rsid w:val="004D020F"/>
    <w:rsid w:val="004D03D1"/>
    <w:rsid w:val="004D10B0"/>
    <w:rsid w:val="004D11AF"/>
    <w:rsid w:val="004D2E58"/>
    <w:rsid w:val="004D37D9"/>
    <w:rsid w:val="004D41A2"/>
    <w:rsid w:val="004D502C"/>
    <w:rsid w:val="004D5FB2"/>
    <w:rsid w:val="004D60A3"/>
    <w:rsid w:val="004D6DC3"/>
    <w:rsid w:val="004D71CA"/>
    <w:rsid w:val="004E016A"/>
    <w:rsid w:val="004E0461"/>
    <w:rsid w:val="004E1CC8"/>
    <w:rsid w:val="004E29B1"/>
    <w:rsid w:val="004E3F87"/>
    <w:rsid w:val="004E461B"/>
    <w:rsid w:val="004E477D"/>
    <w:rsid w:val="004E5890"/>
    <w:rsid w:val="004E79EF"/>
    <w:rsid w:val="004E7B33"/>
    <w:rsid w:val="004F0368"/>
    <w:rsid w:val="004F0D19"/>
    <w:rsid w:val="004F121B"/>
    <w:rsid w:val="004F140F"/>
    <w:rsid w:val="004F185F"/>
    <w:rsid w:val="004F2811"/>
    <w:rsid w:val="004F3326"/>
    <w:rsid w:val="004F590E"/>
    <w:rsid w:val="004F5966"/>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A7E"/>
    <w:rsid w:val="00513291"/>
    <w:rsid w:val="00513C86"/>
    <w:rsid w:val="00513EA4"/>
    <w:rsid w:val="005147DA"/>
    <w:rsid w:val="00514FBF"/>
    <w:rsid w:val="00514FCB"/>
    <w:rsid w:val="005153AC"/>
    <w:rsid w:val="005153C3"/>
    <w:rsid w:val="00515745"/>
    <w:rsid w:val="00515862"/>
    <w:rsid w:val="005165FE"/>
    <w:rsid w:val="0051690E"/>
    <w:rsid w:val="00516942"/>
    <w:rsid w:val="00516DC0"/>
    <w:rsid w:val="00516DC5"/>
    <w:rsid w:val="00520BBA"/>
    <w:rsid w:val="005225AC"/>
    <w:rsid w:val="005226FA"/>
    <w:rsid w:val="005233F3"/>
    <w:rsid w:val="0052365C"/>
    <w:rsid w:val="005245D2"/>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42F1"/>
    <w:rsid w:val="00544A24"/>
    <w:rsid w:val="0054583C"/>
    <w:rsid w:val="00546227"/>
    <w:rsid w:val="005468E2"/>
    <w:rsid w:val="00546D83"/>
    <w:rsid w:val="00550113"/>
    <w:rsid w:val="0055019B"/>
    <w:rsid w:val="005504BE"/>
    <w:rsid w:val="0055082B"/>
    <w:rsid w:val="0055093A"/>
    <w:rsid w:val="00550F00"/>
    <w:rsid w:val="00551BDF"/>
    <w:rsid w:val="00551ED7"/>
    <w:rsid w:val="0055211C"/>
    <w:rsid w:val="0055263A"/>
    <w:rsid w:val="005526EE"/>
    <w:rsid w:val="00552B57"/>
    <w:rsid w:val="00552E53"/>
    <w:rsid w:val="00553E34"/>
    <w:rsid w:val="005547B7"/>
    <w:rsid w:val="005551E9"/>
    <w:rsid w:val="0055680D"/>
    <w:rsid w:val="00557670"/>
    <w:rsid w:val="00557C2D"/>
    <w:rsid w:val="00560094"/>
    <w:rsid w:val="00560C62"/>
    <w:rsid w:val="00562A61"/>
    <w:rsid w:val="00562E78"/>
    <w:rsid w:val="005638A2"/>
    <w:rsid w:val="00564E45"/>
    <w:rsid w:val="005652D5"/>
    <w:rsid w:val="00565E52"/>
    <w:rsid w:val="00567227"/>
    <w:rsid w:val="00567CD0"/>
    <w:rsid w:val="00570C7B"/>
    <w:rsid w:val="00571C77"/>
    <w:rsid w:val="00572D5B"/>
    <w:rsid w:val="00574614"/>
    <w:rsid w:val="00574A70"/>
    <w:rsid w:val="00574D35"/>
    <w:rsid w:val="00575C75"/>
    <w:rsid w:val="005762CA"/>
    <w:rsid w:val="005770CF"/>
    <w:rsid w:val="00577904"/>
    <w:rsid w:val="00577922"/>
    <w:rsid w:val="00577AC3"/>
    <w:rsid w:val="00580577"/>
    <w:rsid w:val="005815A8"/>
    <w:rsid w:val="005818BD"/>
    <w:rsid w:val="00581915"/>
    <w:rsid w:val="00583431"/>
    <w:rsid w:val="005846C0"/>
    <w:rsid w:val="00584D04"/>
    <w:rsid w:val="005853F5"/>
    <w:rsid w:val="0058567E"/>
    <w:rsid w:val="00585DE1"/>
    <w:rsid w:val="0058659E"/>
    <w:rsid w:val="005869EE"/>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539"/>
    <w:rsid w:val="00597108"/>
    <w:rsid w:val="005976DB"/>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002"/>
    <w:rsid w:val="005B45AB"/>
    <w:rsid w:val="005B4D8F"/>
    <w:rsid w:val="005B6551"/>
    <w:rsid w:val="005B71A8"/>
    <w:rsid w:val="005B744B"/>
    <w:rsid w:val="005C0A6F"/>
    <w:rsid w:val="005C0FA7"/>
    <w:rsid w:val="005C155F"/>
    <w:rsid w:val="005C1C0E"/>
    <w:rsid w:val="005C36E2"/>
    <w:rsid w:val="005C3E9E"/>
    <w:rsid w:val="005C400C"/>
    <w:rsid w:val="005C410C"/>
    <w:rsid w:val="005C4BF1"/>
    <w:rsid w:val="005C4BF2"/>
    <w:rsid w:val="005C52D4"/>
    <w:rsid w:val="005C5BED"/>
    <w:rsid w:val="005C5D86"/>
    <w:rsid w:val="005C6167"/>
    <w:rsid w:val="005C6ADB"/>
    <w:rsid w:val="005C6EE2"/>
    <w:rsid w:val="005C7A07"/>
    <w:rsid w:val="005C7DDC"/>
    <w:rsid w:val="005C7F7C"/>
    <w:rsid w:val="005D0BAD"/>
    <w:rsid w:val="005D0C0A"/>
    <w:rsid w:val="005D107D"/>
    <w:rsid w:val="005D123A"/>
    <w:rsid w:val="005D2506"/>
    <w:rsid w:val="005D2BB5"/>
    <w:rsid w:val="005D3677"/>
    <w:rsid w:val="005D4E4C"/>
    <w:rsid w:val="005D5B5E"/>
    <w:rsid w:val="005D5C85"/>
    <w:rsid w:val="005D5CA0"/>
    <w:rsid w:val="005D69AB"/>
    <w:rsid w:val="005D72FC"/>
    <w:rsid w:val="005D7DFC"/>
    <w:rsid w:val="005E035A"/>
    <w:rsid w:val="005E0464"/>
    <w:rsid w:val="005E0681"/>
    <w:rsid w:val="005E11CE"/>
    <w:rsid w:val="005E1218"/>
    <w:rsid w:val="005E18EC"/>
    <w:rsid w:val="005E1A55"/>
    <w:rsid w:val="005E1B6B"/>
    <w:rsid w:val="005E1F61"/>
    <w:rsid w:val="005E2281"/>
    <w:rsid w:val="005E236C"/>
    <w:rsid w:val="005E2D9E"/>
    <w:rsid w:val="005E2FAE"/>
    <w:rsid w:val="005E32C9"/>
    <w:rsid w:val="005E351B"/>
    <w:rsid w:val="005E38A8"/>
    <w:rsid w:val="005E39F9"/>
    <w:rsid w:val="005E3D9B"/>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B88"/>
    <w:rsid w:val="005F1735"/>
    <w:rsid w:val="005F187E"/>
    <w:rsid w:val="005F252A"/>
    <w:rsid w:val="005F3CE8"/>
    <w:rsid w:val="005F4F41"/>
    <w:rsid w:val="005F566D"/>
    <w:rsid w:val="005F648F"/>
    <w:rsid w:val="005F68C3"/>
    <w:rsid w:val="005F7D87"/>
    <w:rsid w:val="00601794"/>
    <w:rsid w:val="00601E94"/>
    <w:rsid w:val="006021B1"/>
    <w:rsid w:val="006037C5"/>
    <w:rsid w:val="006040CE"/>
    <w:rsid w:val="0060467D"/>
    <w:rsid w:val="00604DF3"/>
    <w:rsid w:val="0060585E"/>
    <w:rsid w:val="00605B9D"/>
    <w:rsid w:val="00606213"/>
    <w:rsid w:val="00606B57"/>
    <w:rsid w:val="00606B85"/>
    <w:rsid w:val="00607390"/>
    <w:rsid w:val="006076D8"/>
    <w:rsid w:val="00607E6D"/>
    <w:rsid w:val="0061061D"/>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4921"/>
    <w:rsid w:val="00615564"/>
    <w:rsid w:val="006155E2"/>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BC7"/>
    <w:rsid w:val="00623E70"/>
    <w:rsid w:val="006241D0"/>
    <w:rsid w:val="00624425"/>
    <w:rsid w:val="00624665"/>
    <w:rsid w:val="00625434"/>
    <w:rsid w:val="0062576B"/>
    <w:rsid w:val="00625C5F"/>
    <w:rsid w:val="00626032"/>
    <w:rsid w:val="00627643"/>
    <w:rsid w:val="00627788"/>
    <w:rsid w:val="006300CD"/>
    <w:rsid w:val="0063017E"/>
    <w:rsid w:val="00630723"/>
    <w:rsid w:val="00630EAE"/>
    <w:rsid w:val="006312D0"/>
    <w:rsid w:val="00631866"/>
    <w:rsid w:val="006318A4"/>
    <w:rsid w:val="00631A11"/>
    <w:rsid w:val="00631D4F"/>
    <w:rsid w:val="006321B6"/>
    <w:rsid w:val="006327C6"/>
    <w:rsid w:val="00633496"/>
    <w:rsid w:val="006338D2"/>
    <w:rsid w:val="00633F92"/>
    <w:rsid w:val="0063435E"/>
    <w:rsid w:val="00634CB2"/>
    <w:rsid w:val="006357E2"/>
    <w:rsid w:val="00635FD8"/>
    <w:rsid w:val="006364C2"/>
    <w:rsid w:val="00636651"/>
    <w:rsid w:val="006368E4"/>
    <w:rsid w:val="00636F7B"/>
    <w:rsid w:val="00640140"/>
    <w:rsid w:val="0064019C"/>
    <w:rsid w:val="00640288"/>
    <w:rsid w:val="006405AC"/>
    <w:rsid w:val="0064099D"/>
    <w:rsid w:val="006412CD"/>
    <w:rsid w:val="006413D8"/>
    <w:rsid w:val="00641610"/>
    <w:rsid w:val="00641B7B"/>
    <w:rsid w:val="00641C55"/>
    <w:rsid w:val="00642405"/>
    <w:rsid w:val="00642645"/>
    <w:rsid w:val="006437E8"/>
    <w:rsid w:val="006438E0"/>
    <w:rsid w:val="00644BED"/>
    <w:rsid w:val="006455CB"/>
    <w:rsid w:val="00646FD5"/>
    <w:rsid w:val="006471DC"/>
    <w:rsid w:val="006472F8"/>
    <w:rsid w:val="00647680"/>
    <w:rsid w:val="00647743"/>
    <w:rsid w:val="006510C0"/>
    <w:rsid w:val="00651DA0"/>
    <w:rsid w:val="00652092"/>
    <w:rsid w:val="00652472"/>
    <w:rsid w:val="00652F31"/>
    <w:rsid w:val="006535E5"/>
    <w:rsid w:val="0065394E"/>
    <w:rsid w:val="00653B38"/>
    <w:rsid w:val="00654D37"/>
    <w:rsid w:val="00656385"/>
    <w:rsid w:val="00656F19"/>
    <w:rsid w:val="00657BB7"/>
    <w:rsid w:val="00660299"/>
    <w:rsid w:val="00660552"/>
    <w:rsid w:val="00660DBE"/>
    <w:rsid w:val="00661113"/>
    <w:rsid w:val="0066127D"/>
    <w:rsid w:val="00661AB0"/>
    <w:rsid w:val="006623A4"/>
    <w:rsid w:val="006627B5"/>
    <w:rsid w:val="00662E8E"/>
    <w:rsid w:val="0066351C"/>
    <w:rsid w:val="006635BF"/>
    <w:rsid w:val="00664498"/>
    <w:rsid w:val="00664693"/>
    <w:rsid w:val="00664DC0"/>
    <w:rsid w:val="006651CC"/>
    <w:rsid w:val="0066582B"/>
    <w:rsid w:val="006658DA"/>
    <w:rsid w:val="00665CA1"/>
    <w:rsid w:val="00667421"/>
    <w:rsid w:val="0066780E"/>
    <w:rsid w:val="00667A31"/>
    <w:rsid w:val="00670702"/>
    <w:rsid w:val="006708EB"/>
    <w:rsid w:val="0067147C"/>
    <w:rsid w:val="00672895"/>
    <w:rsid w:val="00672A8A"/>
    <w:rsid w:val="00673524"/>
    <w:rsid w:val="00673F50"/>
    <w:rsid w:val="00674EEA"/>
    <w:rsid w:val="0067549D"/>
    <w:rsid w:val="006759B0"/>
    <w:rsid w:val="00677012"/>
    <w:rsid w:val="006771EA"/>
    <w:rsid w:val="00680407"/>
    <w:rsid w:val="00680D0E"/>
    <w:rsid w:val="00680F00"/>
    <w:rsid w:val="006821FD"/>
    <w:rsid w:val="006825A6"/>
    <w:rsid w:val="006825B4"/>
    <w:rsid w:val="006829BA"/>
    <w:rsid w:val="00682AF2"/>
    <w:rsid w:val="00682E8A"/>
    <w:rsid w:val="00682FB7"/>
    <w:rsid w:val="006837DE"/>
    <w:rsid w:val="00683CE0"/>
    <w:rsid w:val="0068537F"/>
    <w:rsid w:val="00686104"/>
    <w:rsid w:val="00686334"/>
    <w:rsid w:val="00686C3A"/>
    <w:rsid w:val="00686EEB"/>
    <w:rsid w:val="00687628"/>
    <w:rsid w:val="00687CFE"/>
    <w:rsid w:val="0069035A"/>
    <w:rsid w:val="00690EB8"/>
    <w:rsid w:val="0069109D"/>
    <w:rsid w:val="006915E5"/>
    <w:rsid w:val="00692401"/>
    <w:rsid w:val="00693B7A"/>
    <w:rsid w:val="006941CC"/>
    <w:rsid w:val="006942BA"/>
    <w:rsid w:val="006945D4"/>
    <w:rsid w:val="00694EC0"/>
    <w:rsid w:val="00695852"/>
    <w:rsid w:val="00695F56"/>
    <w:rsid w:val="0069758B"/>
    <w:rsid w:val="00697F88"/>
    <w:rsid w:val="006A0A70"/>
    <w:rsid w:val="006A0B6C"/>
    <w:rsid w:val="006A1692"/>
    <w:rsid w:val="006A16E1"/>
    <w:rsid w:val="006A179F"/>
    <w:rsid w:val="006A188D"/>
    <w:rsid w:val="006A3293"/>
    <w:rsid w:val="006A36DF"/>
    <w:rsid w:val="006A3C8A"/>
    <w:rsid w:val="006A3E61"/>
    <w:rsid w:val="006A5213"/>
    <w:rsid w:val="006A6003"/>
    <w:rsid w:val="006A6737"/>
    <w:rsid w:val="006A7AAD"/>
    <w:rsid w:val="006B0AE6"/>
    <w:rsid w:val="006B1E08"/>
    <w:rsid w:val="006B2099"/>
    <w:rsid w:val="006B26B1"/>
    <w:rsid w:val="006B2E45"/>
    <w:rsid w:val="006B341B"/>
    <w:rsid w:val="006B3875"/>
    <w:rsid w:val="006B425B"/>
    <w:rsid w:val="006B545C"/>
    <w:rsid w:val="006B5AC8"/>
    <w:rsid w:val="006B5D32"/>
    <w:rsid w:val="006B758B"/>
    <w:rsid w:val="006B7BF8"/>
    <w:rsid w:val="006C0E54"/>
    <w:rsid w:val="006C0F11"/>
    <w:rsid w:val="006C23E1"/>
    <w:rsid w:val="006C25D5"/>
    <w:rsid w:val="006C25F9"/>
    <w:rsid w:val="006C262B"/>
    <w:rsid w:val="006C2866"/>
    <w:rsid w:val="006C31C6"/>
    <w:rsid w:val="006C3A2D"/>
    <w:rsid w:val="006C4666"/>
    <w:rsid w:val="006C49BF"/>
    <w:rsid w:val="006C63D7"/>
    <w:rsid w:val="006C6894"/>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4BA8"/>
    <w:rsid w:val="006D5303"/>
    <w:rsid w:val="006D5E84"/>
    <w:rsid w:val="006D7A4C"/>
    <w:rsid w:val="006D7C99"/>
    <w:rsid w:val="006E0443"/>
    <w:rsid w:val="006E0C50"/>
    <w:rsid w:val="006E0DCF"/>
    <w:rsid w:val="006E14D6"/>
    <w:rsid w:val="006E1647"/>
    <w:rsid w:val="006E1BA2"/>
    <w:rsid w:val="006E2298"/>
    <w:rsid w:val="006E2F3A"/>
    <w:rsid w:val="006E310A"/>
    <w:rsid w:val="006E3C3E"/>
    <w:rsid w:val="006E3FBD"/>
    <w:rsid w:val="006E40C7"/>
    <w:rsid w:val="006E429F"/>
    <w:rsid w:val="006E47E0"/>
    <w:rsid w:val="006E50E4"/>
    <w:rsid w:val="006E6F30"/>
    <w:rsid w:val="006E6FE9"/>
    <w:rsid w:val="006E7082"/>
    <w:rsid w:val="006E709F"/>
    <w:rsid w:val="006E7F73"/>
    <w:rsid w:val="006F030F"/>
    <w:rsid w:val="006F193C"/>
    <w:rsid w:val="006F1B58"/>
    <w:rsid w:val="006F27DC"/>
    <w:rsid w:val="006F2B89"/>
    <w:rsid w:val="006F36F1"/>
    <w:rsid w:val="006F3B81"/>
    <w:rsid w:val="006F4D59"/>
    <w:rsid w:val="006F4F79"/>
    <w:rsid w:val="006F4F80"/>
    <w:rsid w:val="006F5532"/>
    <w:rsid w:val="006F5ADA"/>
    <w:rsid w:val="006F62CC"/>
    <w:rsid w:val="006F644B"/>
    <w:rsid w:val="006F66C1"/>
    <w:rsid w:val="006F681D"/>
    <w:rsid w:val="006F731E"/>
    <w:rsid w:val="006F78E9"/>
    <w:rsid w:val="006F7D85"/>
    <w:rsid w:val="0070235F"/>
    <w:rsid w:val="00702BC3"/>
    <w:rsid w:val="00702FF3"/>
    <w:rsid w:val="007032AC"/>
    <w:rsid w:val="00703496"/>
    <w:rsid w:val="007036FE"/>
    <w:rsid w:val="00703AB1"/>
    <w:rsid w:val="00704614"/>
    <w:rsid w:val="00704C5F"/>
    <w:rsid w:val="00704DEB"/>
    <w:rsid w:val="00705623"/>
    <w:rsid w:val="00705B37"/>
    <w:rsid w:val="00706460"/>
    <w:rsid w:val="0070658A"/>
    <w:rsid w:val="00706B65"/>
    <w:rsid w:val="007071AF"/>
    <w:rsid w:val="00707C1A"/>
    <w:rsid w:val="00710023"/>
    <w:rsid w:val="00710207"/>
    <w:rsid w:val="0071023D"/>
    <w:rsid w:val="007103CD"/>
    <w:rsid w:val="007104CB"/>
    <w:rsid w:val="00710530"/>
    <w:rsid w:val="007107BD"/>
    <w:rsid w:val="00711E77"/>
    <w:rsid w:val="00712912"/>
    <w:rsid w:val="00713AAC"/>
    <w:rsid w:val="007141DC"/>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630D"/>
    <w:rsid w:val="00726A2A"/>
    <w:rsid w:val="007271E9"/>
    <w:rsid w:val="007273BC"/>
    <w:rsid w:val="007275FD"/>
    <w:rsid w:val="007276E5"/>
    <w:rsid w:val="00730943"/>
    <w:rsid w:val="00731D5E"/>
    <w:rsid w:val="00732492"/>
    <w:rsid w:val="00733E5A"/>
    <w:rsid w:val="00733F25"/>
    <w:rsid w:val="00736395"/>
    <w:rsid w:val="00736459"/>
    <w:rsid w:val="0073685F"/>
    <w:rsid w:val="00737821"/>
    <w:rsid w:val="0074058F"/>
    <w:rsid w:val="00740E86"/>
    <w:rsid w:val="00741175"/>
    <w:rsid w:val="007419FB"/>
    <w:rsid w:val="00742606"/>
    <w:rsid w:val="007441FF"/>
    <w:rsid w:val="00744EE8"/>
    <w:rsid w:val="00744F42"/>
    <w:rsid w:val="007459F5"/>
    <w:rsid w:val="00746713"/>
    <w:rsid w:val="007467E4"/>
    <w:rsid w:val="00746B08"/>
    <w:rsid w:val="00747569"/>
    <w:rsid w:val="00750238"/>
    <w:rsid w:val="0075023C"/>
    <w:rsid w:val="007518E3"/>
    <w:rsid w:val="007518E9"/>
    <w:rsid w:val="00752247"/>
    <w:rsid w:val="007523E7"/>
    <w:rsid w:val="007524C4"/>
    <w:rsid w:val="007531CA"/>
    <w:rsid w:val="00754252"/>
    <w:rsid w:val="007549AE"/>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325B"/>
    <w:rsid w:val="00764533"/>
    <w:rsid w:val="00764AF9"/>
    <w:rsid w:val="007650AD"/>
    <w:rsid w:val="00765D18"/>
    <w:rsid w:val="0076640B"/>
    <w:rsid w:val="007673DE"/>
    <w:rsid w:val="00770C54"/>
    <w:rsid w:val="00771344"/>
    <w:rsid w:val="0077213A"/>
    <w:rsid w:val="00772613"/>
    <w:rsid w:val="00772B41"/>
    <w:rsid w:val="00772CED"/>
    <w:rsid w:val="00773EA1"/>
    <w:rsid w:val="00775215"/>
    <w:rsid w:val="00775748"/>
    <w:rsid w:val="00776ACC"/>
    <w:rsid w:val="00777AE2"/>
    <w:rsid w:val="00777C71"/>
    <w:rsid w:val="00777D6B"/>
    <w:rsid w:val="00777F20"/>
    <w:rsid w:val="0078080B"/>
    <w:rsid w:val="00781148"/>
    <w:rsid w:val="0078120F"/>
    <w:rsid w:val="00781F98"/>
    <w:rsid w:val="0078265B"/>
    <w:rsid w:val="00782AFE"/>
    <w:rsid w:val="00782E10"/>
    <w:rsid w:val="00784318"/>
    <w:rsid w:val="00784926"/>
    <w:rsid w:val="00784DB8"/>
    <w:rsid w:val="00784FDD"/>
    <w:rsid w:val="0078508F"/>
    <w:rsid w:val="00786448"/>
    <w:rsid w:val="007875D7"/>
    <w:rsid w:val="00787782"/>
    <w:rsid w:val="007906B2"/>
    <w:rsid w:val="0079134E"/>
    <w:rsid w:val="007925F0"/>
    <w:rsid w:val="0079278E"/>
    <w:rsid w:val="00792DCA"/>
    <w:rsid w:val="00792E3C"/>
    <w:rsid w:val="007930C1"/>
    <w:rsid w:val="0079315D"/>
    <w:rsid w:val="00793B45"/>
    <w:rsid w:val="0079477A"/>
    <w:rsid w:val="00795706"/>
    <w:rsid w:val="007960E3"/>
    <w:rsid w:val="00796F7C"/>
    <w:rsid w:val="00797131"/>
    <w:rsid w:val="00797254"/>
    <w:rsid w:val="00797430"/>
    <w:rsid w:val="00797AF4"/>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FD7"/>
    <w:rsid w:val="007B1565"/>
    <w:rsid w:val="007B18C6"/>
    <w:rsid w:val="007B20C2"/>
    <w:rsid w:val="007B25D5"/>
    <w:rsid w:val="007B27E4"/>
    <w:rsid w:val="007B2910"/>
    <w:rsid w:val="007B301D"/>
    <w:rsid w:val="007B3264"/>
    <w:rsid w:val="007B35F6"/>
    <w:rsid w:val="007B3F87"/>
    <w:rsid w:val="007B404F"/>
    <w:rsid w:val="007B44A6"/>
    <w:rsid w:val="007B494E"/>
    <w:rsid w:val="007B4C5E"/>
    <w:rsid w:val="007B4D1F"/>
    <w:rsid w:val="007B7462"/>
    <w:rsid w:val="007B770B"/>
    <w:rsid w:val="007B7B52"/>
    <w:rsid w:val="007C02A3"/>
    <w:rsid w:val="007C0C55"/>
    <w:rsid w:val="007C1507"/>
    <w:rsid w:val="007C2F60"/>
    <w:rsid w:val="007C3757"/>
    <w:rsid w:val="007C4D8D"/>
    <w:rsid w:val="007C5144"/>
    <w:rsid w:val="007C5613"/>
    <w:rsid w:val="007C6138"/>
    <w:rsid w:val="007C6153"/>
    <w:rsid w:val="007C6849"/>
    <w:rsid w:val="007C6BC6"/>
    <w:rsid w:val="007C6C12"/>
    <w:rsid w:val="007C73B2"/>
    <w:rsid w:val="007D0435"/>
    <w:rsid w:val="007D0D3E"/>
    <w:rsid w:val="007D116E"/>
    <w:rsid w:val="007D1B24"/>
    <w:rsid w:val="007D267F"/>
    <w:rsid w:val="007D3341"/>
    <w:rsid w:val="007D3A3E"/>
    <w:rsid w:val="007D400A"/>
    <w:rsid w:val="007D4B0E"/>
    <w:rsid w:val="007D4DD2"/>
    <w:rsid w:val="007D5D0F"/>
    <w:rsid w:val="007D6EA8"/>
    <w:rsid w:val="007D7AF1"/>
    <w:rsid w:val="007D7B3C"/>
    <w:rsid w:val="007E05DB"/>
    <w:rsid w:val="007E1247"/>
    <w:rsid w:val="007E1A44"/>
    <w:rsid w:val="007E2419"/>
    <w:rsid w:val="007E3FF5"/>
    <w:rsid w:val="007E4219"/>
    <w:rsid w:val="007E577E"/>
    <w:rsid w:val="007E635E"/>
    <w:rsid w:val="007E6A9C"/>
    <w:rsid w:val="007E6C0C"/>
    <w:rsid w:val="007E7300"/>
    <w:rsid w:val="007E767B"/>
    <w:rsid w:val="007E7B54"/>
    <w:rsid w:val="007F038C"/>
    <w:rsid w:val="007F0428"/>
    <w:rsid w:val="007F0F24"/>
    <w:rsid w:val="007F1755"/>
    <w:rsid w:val="007F222B"/>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662C"/>
    <w:rsid w:val="008070B2"/>
    <w:rsid w:val="00807D79"/>
    <w:rsid w:val="00810102"/>
    <w:rsid w:val="008102BC"/>
    <w:rsid w:val="008116F3"/>
    <w:rsid w:val="008117C4"/>
    <w:rsid w:val="0081222E"/>
    <w:rsid w:val="00812461"/>
    <w:rsid w:val="008127E0"/>
    <w:rsid w:val="00812810"/>
    <w:rsid w:val="0081398E"/>
    <w:rsid w:val="00813F02"/>
    <w:rsid w:val="008149D8"/>
    <w:rsid w:val="00815714"/>
    <w:rsid w:val="00815A2A"/>
    <w:rsid w:val="0081724D"/>
    <w:rsid w:val="0081788A"/>
    <w:rsid w:val="00817927"/>
    <w:rsid w:val="00817CFC"/>
    <w:rsid w:val="00817E82"/>
    <w:rsid w:val="00820A3F"/>
    <w:rsid w:val="00821D81"/>
    <w:rsid w:val="00822A52"/>
    <w:rsid w:val="00823654"/>
    <w:rsid w:val="008237F3"/>
    <w:rsid w:val="00823A90"/>
    <w:rsid w:val="00825C68"/>
    <w:rsid w:val="0082757E"/>
    <w:rsid w:val="0082769C"/>
    <w:rsid w:val="00827B6C"/>
    <w:rsid w:val="00827D77"/>
    <w:rsid w:val="00830259"/>
    <w:rsid w:val="00830561"/>
    <w:rsid w:val="00831115"/>
    <w:rsid w:val="0083249C"/>
    <w:rsid w:val="00832D42"/>
    <w:rsid w:val="008333A9"/>
    <w:rsid w:val="00833419"/>
    <w:rsid w:val="008342A5"/>
    <w:rsid w:val="00834B7C"/>
    <w:rsid w:val="00834BE2"/>
    <w:rsid w:val="00834EA4"/>
    <w:rsid w:val="00835049"/>
    <w:rsid w:val="00835248"/>
    <w:rsid w:val="008354B9"/>
    <w:rsid w:val="00835DCB"/>
    <w:rsid w:val="00836090"/>
    <w:rsid w:val="00836921"/>
    <w:rsid w:val="00837237"/>
    <w:rsid w:val="008376C0"/>
    <w:rsid w:val="0084035D"/>
    <w:rsid w:val="008405F9"/>
    <w:rsid w:val="0084060B"/>
    <w:rsid w:val="0084139B"/>
    <w:rsid w:val="0084143B"/>
    <w:rsid w:val="008417D4"/>
    <w:rsid w:val="00842547"/>
    <w:rsid w:val="00842610"/>
    <w:rsid w:val="008427D3"/>
    <w:rsid w:val="008429CF"/>
    <w:rsid w:val="0084324C"/>
    <w:rsid w:val="0084389E"/>
    <w:rsid w:val="00843B9B"/>
    <w:rsid w:val="008451F8"/>
    <w:rsid w:val="008457D2"/>
    <w:rsid w:val="00846212"/>
    <w:rsid w:val="008468E0"/>
    <w:rsid w:val="0084767E"/>
    <w:rsid w:val="0084790F"/>
    <w:rsid w:val="00847BE7"/>
    <w:rsid w:val="00850EAB"/>
    <w:rsid w:val="00851C80"/>
    <w:rsid w:val="00851D70"/>
    <w:rsid w:val="008529B3"/>
    <w:rsid w:val="00852ADD"/>
    <w:rsid w:val="00853883"/>
    <w:rsid w:val="00853EB9"/>
    <w:rsid w:val="00854CF7"/>
    <w:rsid w:val="00854DA7"/>
    <w:rsid w:val="008557A0"/>
    <w:rsid w:val="00856607"/>
    <w:rsid w:val="008604A8"/>
    <w:rsid w:val="00860ADD"/>
    <w:rsid w:val="008616A2"/>
    <w:rsid w:val="00861C6C"/>
    <w:rsid w:val="008636AC"/>
    <w:rsid w:val="00863862"/>
    <w:rsid w:val="00863AAD"/>
    <w:rsid w:val="00864644"/>
    <w:rsid w:val="008658DE"/>
    <w:rsid w:val="00866296"/>
    <w:rsid w:val="008665C7"/>
    <w:rsid w:val="008707A3"/>
    <w:rsid w:val="00870A36"/>
    <w:rsid w:val="008711AE"/>
    <w:rsid w:val="00871A36"/>
    <w:rsid w:val="00872DF4"/>
    <w:rsid w:val="00872F21"/>
    <w:rsid w:val="00873736"/>
    <w:rsid w:val="0087378E"/>
    <w:rsid w:val="008737DF"/>
    <w:rsid w:val="008755E7"/>
    <w:rsid w:val="00875A46"/>
    <w:rsid w:val="00875D6B"/>
    <w:rsid w:val="00875E16"/>
    <w:rsid w:val="00877D03"/>
    <w:rsid w:val="00877E96"/>
    <w:rsid w:val="0088023D"/>
    <w:rsid w:val="008803CE"/>
    <w:rsid w:val="00882077"/>
    <w:rsid w:val="008820D9"/>
    <w:rsid w:val="00883613"/>
    <w:rsid w:val="0088557F"/>
    <w:rsid w:val="00886393"/>
    <w:rsid w:val="00886579"/>
    <w:rsid w:val="00886F19"/>
    <w:rsid w:val="00887865"/>
    <w:rsid w:val="00887B37"/>
    <w:rsid w:val="00890598"/>
    <w:rsid w:val="0089065A"/>
    <w:rsid w:val="00890DEB"/>
    <w:rsid w:val="0089177A"/>
    <w:rsid w:val="00891D7A"/>
    <w:rsid w:val="00891DFC"/>
    <w:rsid w:val="00891E2E"/>
    <w:rsid w:val="00892B98"/>
    <w:rsid w:val="008945D2"/>
    <w:rsid w:val="008949A3"/>
    <w:rsid w:val="008959FC"/>
    <w:rsid w:val="0089605E"/>
    <w:rsid w:val="00896668"/>
    <w:rsid w:val="00896E9A"/>
    <w:rsid w:val="008A0CCC"/>
    <w:rsid w:val="008A1D0E"/>
    <w:rsid w:val="008A25EA"/>
    <w:rsid w:val="008A276E"/>
    <w:rsid w:val="008A31C7"/>
    <w:rsid w:val="008A3215"/>
    <w:rsid w:val="008A3630"/>
    <w:rsid w:val="008A3E8B"/>
    <w:rsid w:val="008A47BE"/>
    <w:rsid w:val="008A4AEC"/>
    <w:rsid w:val="008A5609"/>
    <w:rsid w:val="008A5697"/>
    <w:rsid w:val="008A6DD5"/>
    <w:rsid w:val="008A6DF0"/>
    <w:rsid w:val="008A6FA0"/>
    <w:rsid w:val="008B05E6"/>
    <w:rsid w:val="008B105C"/>
    <w:rsid w:val="008B15CE"/>
    <w:rsid w:val="008B1C8F"/>
    <w:rsid w:val="008B21F8"/>
    <w:rsid w:val="008B2570"/>
    <w:rsid w:val="008B2B19"/>
    <w:rsid w:val="008B2F40"/>
    <w:rsid w:val="008B2FCD"/>
    <w:rsid w:val="008B2FED"/>
    <w:rsid w:val="008B3627"/>
    <w:rsid w:val="008B3EAD"/>
    <w:rsid w:val="008B49B6"/>
    <w:rsid w:val="008B56A0"/>
    <w:rsid w:val="008B5AA1"/>
    <w:rsid w:val="008B5E61"/>
    <w:rsid w:val="008B64CE"/>
    <w:rsid w:val="008B68B4"/>
    <w:rsid w:val="008B756F"/>
    <w:rsid w:val="008B7914"/>
    <w:rsid w:val="008C0BF4"/>
    <w:rsid w:val="008C0D0C"/>
    <w:rsid w:val="008C127A"/>
    <w:rsid w:val="008C18BD"/>
    <w:rsid w:val="008C1932"/>
    <w:rsid w:val="008C1CC8"/>
    <w:rsid w:val="008C2C7F"/>
    <w:rsid w:val="008C2F0D"/>
    <w:rsid w:val="008C364D"/>
    <w:rsid w:val="008C3CDD"/>
    <w:rsid w:val="008C41C2"/>
    <w:rsid w:val="008C500C"/>
    <w:rsid w:val="008C5D2A"/>
    <w:rsid w:val="008C6754"/>
    <w:rsid w:val="008C6C16"/>
    <w:rsid w:val="008C74FB"/>
    <w:rsid w:val="008C7AF4"/>
    <w:rsid w:val="008C7DA4"/>
    <w:rsid w:val="008C7F6E"/>
    <w:rsid w:val="008D0210"/>
    <w:rsid w:val="008D033E"/>
    <w:rsid w:val="008D0851"/>
    <w:rsid w:val="008D0DEF"/>
    <w:rsid w:val="008D0FCD"/>
    <w:rsid w:val="008D1074"/>
    <w:rsid w:val="008D1079"/>
    <w:rsid w:val="008D2643"/>
    <w:rsid w:val="008D280F"/>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22F8"/>
    <w:rsid w:val="008E25EC"/>
    <w:rsid w:val="008E39D8"/>
    <w:rsid w:val="008E5D73"/>
    <w:rsid w:val="008E606F"/>
    <w:rsid w:val="008E6AD9"/>
    <w:rsid w:val="008F022A"/>
    <w:rsid w:val="008F06FD"/>
    <w:rsid w:val="008F1172"/>
    <w:rsid w:val="008F27E3"/>
    <w:rsid w:val="008F3485"/>
    <w:rsid w:val="008F3AC3"/>
    <w:rsid w:val="008F42C1"/>
    <w:rsid w:val="008F51FF"/>
    <w:rsid w:val="008F52FC"/>
    <w:rsid w:val="008F5DEF"/>
    <w:rsid w:val="008F61F2"/>
    <w:rsid w:val="008F636D"/>
    <w:rsid w:val="008F79C0"/>
    <w:rsid w:val="008F7C0A"/>
    <w:rsid w:val="00901DBB"/>
    <w:rsid w:val="009026CB"/>
    <w:rsid w:val="00902876"/>
    <w:rsid w:val="00902B63"/>
    <w:rsid w:val="009036E9"/>
    <w:rsid w:val="009038F6"/>
    <w:rsid w:val="00903FB2"/>
    <w:rsid w:val="00904038"/>
    <w:rsid w:val="009041AF"/>
    <w:rsid w:val="009042AA"/>
    <w:rsid w:val="009049AB"/>
    <w:rsid w:val="009050B7"/>
    <w:rsid w:val="0090510D"/>
    <w:rsid w:val="00905130"/>
    <w:rsid w:val="009053BD"/>
    <w:rsid w:val="00905728"/>
    <w:rsid w:val="009061B8"/>
    <w:rsid w:val="009064BF"/>
    <w:rsid w:val="009069B8"/>
    <w:rsid w:val="009130CC"/>
    <w:rsid w:val="009133EC"/>
    <w:rsid w:val="00913AF7"/>
    <w:rsid w:val="00913B37"/>
    <w:rsid w:val="00914683"/>
    <w:rsid w:val="00914861"/>
    <w:rsid w:val="009148D8"/>
    <w:rsid w:val="00914993"/>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3DCE"/>
    <w:rsid w:val="00924119"/>
    <w:rsid w:val="00925120"/>
    <w:rsid w:val="009255FA"/>
    <w:rsid w:val="009262E4"/>
    <w:rsid w:val="009266D2"/>
    <w:rsid w:val="00927D4E"/>
    <w:rsid w:val="00927E9F"/>
    <w:rsid w:val="00927F89"/>
    <w:rsid w:val="00930AC2"/>
    <w:rsid w:val="00930D2A"/>
    <w:rsid w:val="009312BF"/>
    <w:rsid w:val="00931680"/>
    <w:rsid w:val="00931B84"/>
    <w:rsid w:val="009322B2"/>
    <w:rsid w:val="009328DA"/>
    <w:rsid w:val="00932E7E"/>
    <w:rsid w:val="0093442D"/>
    <w:rsid w:val="00934CD2"/>
    <w:rsid w:val="00935A35"/>
    <w:rsid w:val="009375E5"/>
    <w:rsid w:val="00937BC5"/>
    <w:rsid w:val="00937D30"/>
    <w:rsid w:val="00941848"/>
    <w:rsid w:val="0094337A"/>
    <w:rsid w:val="009437F2"/>
    <w:rsid w:val="009442E8"/>
    <w:rsid w:val="00944BA7"/>
    <w:rsid w:val="0094636D"/>
    <w:rsid w:val="00947222"/>
    <w:rsid w:val="0094759C"/>
    <w:rsid w:val="009503FE"/>
    <w:rsid w:val="00950448"/>
    <w:rsid w:val="009507D4"/>
    <w:rsid w:val="00950ACD"/>
    <w:rsid w:val="00950E37"/>
    <w:rsid w:val="00951666"/>
    <w:rsid w:val="0095182F"/>
    <w:rsid w:val="00952524"/>
    <w:rsid w:val="0095278F"/>
    <w:rsid w:val="009537A4"/>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A13"/>
    <w:rsid w:val="00967473"/>
    <w:rsid w:val="00967730"/>
    <w:rsid w:val="0097024B"/>
    <w:rsid w:val="00970D56"/>
    <w:rsid w:val="00970E50"/>
    <w:rsid w:val="00971074"/>
    <w:rsid w:val="009725B2"/>
    <w:rsid w:val="009747AA"/>
    <w:rsid w:val="00974AD1"/>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1E09"/>
    <w:rsid w:val="00983094"/>
    <w:rsid w:val="00983599"/>
    <w:rsid w:val="009843DE"/>
    <w:rsid w:val="0098544F"/>
    <w:rsid w:val="00985B04"/>
    <w:rsid w:val="0098661B"/>
    <w:rsid w:val="00986A6D"/>
    <w:rsid w:val="00986BEF"/>
    <w:rsid w:val="00987298"/>
    <w:rsid w:val="00987B34"/>
    <w:rsid w:val="00990769"/>
    <w:rsid w:val="00991DF8"/>
    <w:rsid w:val="00992499"/>
    <w:rsid w:val="00992986"/>
    <w:rsid w:val="009936E2"/>
    <w:rsid w:val="00994B55"/>
    <w:rsid w:val="009958FF"/>
    <w:rsid w:val="00995D86"/>
    <w:rsid w:val="00995FB2"/>
    <w:rsid w:val="0099781E"/>
    <w:rsid w:val="00997A68"/>
    <w:rsid w:val="009A0071"/>
    <w:rsid w:val="009A00EA"/>
    <w:rsid w:val="009A0587"/>
    <w:rsid w:val="009A0DA2"/>
    <w:rsid w:val="009A1F6B"/>
    <w:rsid w:val="009A2616"/>
    <w:rsid w:val="009A2C4C"/>
    <w:rsid w:val="009A2DD8"/>
    <w:rsid w:val="009A30DE"/>
    <w:rsid w:val="009A3D29"/>
    <w:rsid w:val="009A509F"/>
    <w:rsid w:val="009A5453"/>
    <w:rsid w:val="009A6A7B"/>
    <w:rsid w:val="009A7532"/>
    <w:rsid w:val="009A7883"/>
    <w:rsid w:val="009B0596"/>
    <w:rsid w:val="009B0999"/>
    <w:rsid w:val="009B1D50"/>
    <w:rsid w:val="009B237F"/>
    <w:rsid w:val="009B2760"/>
    <w:rsid w:val="009B308D"/>
    <w:rsid w:val="009B38D5"/>
    <w:rsid w:val="009B3B62"/>
    <w:rsid w:val="009B3C8D"/>
    <w:rsid w:val="009B4FFB"/>
    <w:rsid w:val="009B53C7"/>
    <w:rsid w:val="009B7489"/>
    <w:rsid w:val="009B7987"/>
    <w:rsid w:val="009B7B0A"/>
    <w:rsid w:val="009C07C9"/>
    <w:rsid w:val="009C08D7"/>
    <w:rsid w:val="009C0DC5"/>
    <w:rsid w:val="009C1866"/>
    <w:rsid w:val="009C1FDE"/>
    <w:rsid w:val="009C23FE"/>
    <w:rsid w:val="009C24C8"/>
    <w:rsid w:val="009C375C"/>
    <w:rsid w:val="009C4E0D"/>
    <w:rsid w:val="009C4F1B"/>
    <w:rsid w:val="009C503B"/>
    <w:rsid w:val="009C5793"/>
    <w:rsid w:val="009C5816"/>
    <w:rsid w:val="009C61EA"/>
    <w:rsid w:val="009C63EC"/>
    <w:rsid w:val="009C7DAC"/>
    <w:rsid w:val="009D077D"/>
    <w:rsid w:val="009D0883"/>
    <w:rsid w:val="009D08A6"/>
    <w:rsid w:val="009D1915"/>
    <w:rsid w:val="009D1B69"/>
    <w:rsid w:val="009D1EB3"/>
    <w:rsid w:val="009D25DE"/>
    <w:rsid w:val="009D2ABF"/>
    <w:rsid w:val="009D3AD2"/>
    <w:rsid w:val="009D3E06"/>
    <w:rsid w:val="009D5843"/>
    <w:rsid w:val="009D638D"/>
    <w:rsid w:val="009D6393"/>
    <w:rsid w:val="009D6B6C"/>
    <w:rsid w:val="009E0885"/>
    <w:rsid w:val="009E0B57"/>
    <w:rsid w:val="009E1CC8"/>
    <w:rsid w:val="009E2827"/>
    <w:rsid w:val="009E2863"/>
    <w:rsid w:val="009E30D2"/>
    <w:rsid w:val="009E4885"/>
    <w:rsid w:val="009E508B"/>
    <w:rsid w:val="009E5FBE"/>
    <w:rsid w:val="009E6A00"/>
    <w:rsid w:val="009F0086"/>
    <w:rsid w:val="009F03AB"/>
    <w:rsid w:val="009F0619"/>
    <w:rsid w:val="009F068A"/>
    <w:rsid w:val="009F08C5"/>
    <w:rsid w:val="009F0A85"/>
    <w:rsid w:val="009F1260"/>
    <w:rsid w:val="009F15CA"/>
    <w:rsid w:val="009F1B71"/>
    <w:rsid w:val="009F220A"/>
    <w:rsid w:val="009F36D6"/>
    <w:rsid w:val="009F6575"/>
    <w:rsid w:val="009F7ADC"/>
    <w:rsid w:val="00A0002A"/>
    <w:rsid w:val="00A0236D"/>
    <w:rsid w:val="00A02985"/>
    <w:rsid w:val="00A02B2B"/>
    <w:rsid w:val="00A02E10"/>
    <w:rsid w:val="00A02FA8"/>
    <w:rsid w:val="00A03F1A"/>
    <w:rsid w:val="00A03F74"/>
    <w:rsid w:val="00A03F88"/>
    <w:rsid w:val="00A046BF"/>
    <w:rsid w:val="00A05B25"/>
    <w:rsid w:val="00A05C04"/>
    <w:rsid w:val="00A05EC0"/>
    <w:rsid w:val="00A06254"/>
    <w:rsid w:val="00A06842"/>
    <w:rsid w:val="00A07459"/>
    <w:rsid w:val="00A07D78"/>
    <w:rsid w:val="00A07DB6"/>
    <w:rsid w:val="00A10972"/>
    <w:rsid w:val="00A11406"/>
    <w:rsid w:val="00A13205"/>
    <w:rsid w:val="00A132A1"/>
    <w:rsid w:val="00A13422"/>
    <w:rsid w:val="00A15132"/>
    <w:rsid w:val="00A1554D"/>
    <w:rsid w:val="00A15792"/>
    <w:rsid w:val="00A158E3"/>
    <w:rsid w:val="00A1591A"/>
    <w:rsid w:val="00A172E0"/>
    <w:rsid w:val="00A17527"/>
    <w:rsid w:val="00A211C5"/>
    <w:rsid w:val="00A221A3"/>
    <w:rsid w:val="00A223D5"/>
    <w:rsid w:val="00A235E4"/>
    <w:rsid w:val="00A23F41"/>
    <w:rsid w:val="00A25547"/>
    <w:rsid w:val="00A25F76"/>
    <w:rsid w:val="00A3003E"/>
    <w:rsid w:val="00A31E14"/>
    <w:rsid w:val="00A3325E"/>
    <w:rsid w:val="00A34276"/>
    <w:rsid w:val="00A34524"/>
    <w:rsid w:val="00A345B6"/>
    <w:rsid w:val="00A3502D"/>
    <w:rsid w:val="00A357A4"/>
    <w:rsid w:val="00A35AF5"/>
    <w:rsid w:val="00A35CDF"/>
    <w:rsid w:val="00A36453"/>
    <w:rsid w:val="00A36B05"/>
    <w:rsid w:val="00A37970"/>
    <w:rsid w:val="00A37A68"/>
    <w:rsid w:val="00A37B0C"/>
    <w:rsid w:val="00A37CE6"/>
    <w:rsid w:val="00A37D1C"/>
    <w:rsid w:val="00A37E4D"/>
    <w:rsid w:val="00A37FFE"/>
    <w:rsid w:val="00A404BE"/>
    <w:rsid w:val="00A40ECF"/>
    <w:rsid w:val="00A411C9"/>
    <w:rsid w:val="00A41FEF"/>
    <w:rsid w:val="00A42476"/>
    <w:rsid w:val="00A433CA"/>
    <w:rsid w:val="00A43A1A"/>
    <w:rsid w:val="00A43D48"/>
    <w:rsid w:val="00A43F3C"/>
    <w:rsid w:val="00A447A5"/>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E3E"/>
    <w:rsid w:val="00A540B2"/>
    <w:rsid w:val="00A5414D"/>
    <w:rsid w:val="00A54A3E"/>
    <w:rsid w:val="00A556B7"/>
    <w:rsid w:val="00A564A6"/>
    <w:rsid w:val="00A56819"/>
    <w:rsid w:val="00A568AC"/>
    <w:rsid w:val="00A57B07"/>
    <w:rsid w:val="00A6025F"/>
    <w:rsid w:val="00A60E9C"/>
    <w:rsid w:val="00A61196"/>
    <w:rsid w:val="00A6131E"/>
    <w:rsid w:val="00A616AF"/>
    <w:rsid w:val="00A61879"/>
    <w:rsid w:val="00A628B4"/>
    <w:rsid w:val="00A62E6A"/>
    <w:rsid w:val="00A63E4E"/>
    <w:rsid w:val="00A6444F"/>
    <w:rsid w:val="00A652FF"/>
    <w:rsid w:val="00A65A0D"/>
    <w:rsid w:val="00A65C27"/>
    <w:rsid w:val="00A65F3C"/>
    <w:rsid w:val="00A661FD"/>
    <w:rsid w:val="00A66FB3"/>
    <w:rsid w:val="00A67DF5"/>
    <w:rsid w:val="00A709A3"/>
    <w:rsid w:val="00A71216"/>
    <w:rsid w:val="00A714A3"/>
    <w:rsid w:val="00A71B8B"/>
    <w:rsid w:val="00A74456"/>
    <w:rsid w:val="00A75089"/>
    <w:rsid w:val="00A75EDC"/>
    <w:rsid w:val="00A80404"/>
    <w:rsid w:val="00A80548"/>
    <w:rsid w:val="00A8085F"/>
    <w:rsid w:val="00A80A3D"/>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902AD"/>
    <w:rsid w:val="00A90302"/>
    <w:rsid w:val="00A9099E"/>
    <w:rsid w:val="00A91FB7"/>
    <w:rsid w:val="00A9298F"/>
    <w:rsid w:val="00A9301E"/>
    <w:rsid w:val="00A93E3A"/>
    <w:rsid w:val="00A95186"/>
    <w:rsid w:val="00A951AD"/>
    <w:rsid w:val="00A961BD"/>
    <w:rsid w:val="00A9652F"/>
    <w:rsid w:val="00A973B1"/>
    <w:rsid w:val="00AA027E"/>
    <w:rsid w:val="00AA1224"/>
    <w:rsid w:val="00AA14F2"/>
    <w:rsid w:val="00AA180B"/>
    <w:rsid w:val="00AA1D43"/>
    <w:rsid w:val="00AA2358"/>
    <w:rsid w:val="00AA2469"/>
    <w:rsid w:val="00AA2CD7"/>
    <w:rsid w:val="00AA2F52"/>
    <w:rsid w:val="00AA2FA4"/>
    <w:rsid w:val="00AA3301"/>
    <w:rsid w:val="00AA3360"/>
    <w:rsid w:val="00AA386B"/>
    <w:rsid w:val="00AA4C2E"/>
    <w:rsid w:val="00AA6384"/>
    <w:rsid w:val="00AA6B93"/>
    <w:rsid w:val="00AA7A06"/>
    <w:rsid w:val="00AA7A7F"/>
    <w:rsid w:val="00AA7F56"/>
    <w:rsid w:val="00AB1984"/>
    <w:rsid w:val="00AB1CBB"/>
    <w:rsid w:val="00AB215B"/>
    <w:rsid w:val="00AB266D"/>
    <w:rsid w:val="00AB2E7D"/>
    <w:rsid w:val="00AB3146"/>
    <w:rsid w:val="00AB333E"/>
    <w:rsid w:val="00AB37DB"/>
    <w:rsid w:val="00AB3ECC"/>
    <w:rsid w:val="00AB54B5"/>
    <w:rsid w:val="00AB5A73"/>
    <w:rsid w:val="00AB5F48"/>
    <w:rsid w:val="00AB7156"/>
    <w:rsid w:val="00AB716D"/>
    <w:rsid w:val="00AB72BB"/>
    <w:rsid w:val="00AB7472"/>
    <w:rsid w:val="00AB7BF3"/>
    <w:rsid w:val="00AC09D5"/>
    <w:rsid w:val="00AC0C0D"/>
    <w:rsid w:val="00AC0D8E"/>
    <w:rsid w:val="00AC175B"/>
    <w:rsid w:val="00AC1AA3"/>
    <w:rsid w:val="00AC1AC3"/>
    <w:rsid w:val="00AC1F8E"/>
    <w:rsid w:val="00AC22C1"/>
    <w:rsid w:val="00AC374B"/>
    <w:rsid w:val="00AC3798"/>
    <w:rsid w:val="00AC3ED5"/>
    <w:rsid w:val="00AC3FBA"/>
    <w:rsid w:val="00AC4CB3"/>
    <w:rsid w:val="00AC4D7C"/>
    <w:rsid w:val="00AC53B0"/>
    <w:rsid w:val="00AC6EF2"/>
    <w:rsid w:val="00AC71A6"/>
    <w:rsid w:val="00AC742F"/>
    <w:rsid w:val="00AC7664"/>
    <w:rsid w:val="00AC774F"/>
    <w:rsid w:val="00AC780D"/>
    <w:rsid w:val="00AC787B"/>
    <w:rsid w:val="00AC78A0"/>
    <w:rsid w:val="00AC7956"/>
    <w:rsid w:val="00AC7E18"/>
    <w:rsid w:val="00AD1B79"/>
    <w:rsid w:val="00AD3208"/>
    <w:rsid w:val="00AD3C00"/>
    <w:rsid w:val="00AD50F8"/>
    <w:rsid w:val="00AD719F"/>
    <w:rsid w:val="00AD7447"/>
    <w:rsid w:val="00AD752A"/>
    <w:rsid w:val="00AD7D36"/>
    <w:rsid w:val="00AE0A0E"/>
    <w:rsid w:val="00AE0DED"/>
    <w:rsid w:val="00AE1D05"/>
    <w:rsid w:val="00AE2780"/>
    <w:rsid w:val="00AE284A"/>
    <w:rsid w:val="00AE307E"/>
    <w:rsid w:val="00AE3450"/>
    <w:rsid w:val="00AE392E"/>
    <w:rsid w:val="00AE3E11"/>
    <w:rsid w:val="00AE40B3"/>
    <w:rsid w:val="00AE4BAB"/>
    <w:rsid w:val="00AE4BDC"/>
    <w:rsid w:val="00AE4CFD"/>
    <w:rsid w:val="00AE4EA6"/>
    <w:rsid w:val="00AE51FF"/>
    <w:rsid w:val="00AE55AD"/>
    <w:rsid w:val="00AE5D8F"/>
    <w:rsid w:val="00AE67D5"/>
    <w:rsid w:val="00AE78ED"/>
    <w:rsid w:val="00AE7AC2"/>
    <w:rsid w:val="00AE7EC9"/>
    <w:rsid w:val="00AF1117"/>
    <w:rsid w:val="00AF1555"/>
    <w:rsid w:val="00AF174E"/>
    <w:rsid w:val="00AF18BA"/>
    <w:rsid w:val="00AF1CA5"/>
    <w:rsid w:val="00AF228C"/>
    <w:rsid w:val="00AF2DB9"/>
    <w:rsid w:val="00AF3928"/>
    <w:rsid w:val="00AF3B55"/>
    <w:rsid w:val="00AF3D62"/>
    <w:rsid w:val="00AF4146"/>
    <w:rsid w:val="00AF56FE"/>
    <w:rsid w:val="00AF62A7"/>
    <w:rsid w:val="00AF6AC5"/>
    <w:rsid w:val="00AF7809"/>
    <w:rsid w:val="00AF7922"/>
    <w:rsid w:val="00AF7CA7"/>
    <w:rsid w:val="00AF7DEB"/>
    <w:rsid w:val="00AF7F7B"/>
    <w:rsid w:val="00B00BDE"/>
    <w:rsid w:val="00B0104B"/>
    <w:rsid w:val="00B021E0"/>
    <w:rsid w:val="00B03A30"/>
    <w:rsid w:val="00B03A35"/>
    <w:rsid w:val="00B04F99"/>
    <w:rsid w:val="00B057B6"/>
    <w:rsid w:val="00B05A7C"/>
    <w:rsid w:val="00B06361"/>
    <w:rsid w:val="00B0651D"/>
    <w:rsid w:val="00B06955"/>
    <w:rsid w:val="00B07BEA"/>
    <w:rsid w:val="00B07F41"/>
    <w:rsid w:val="00B102F9"/>
    <w:rsid w:val="00B11C80"/>
    <w:rsid w:val="00B11F33"/>
    <w:rsid w:val="00B12152"/>
    <w:rsid w:val="00B12DCA"/>
    <w:rsid w:val="00B13ECB"/>
    <w:rsid w:val="00B1524F"/>
    <w:rsid w:val="00B15A54"/>
    <w:rsid w:val="00B15ECF"/>
    <w:rsid w:val="00B16081"/>
    <w:rsid w:val="00B169CD"/>
    <w:rsid w:val="00B16C0A"/>
    <w:rsid w:val="00B17F60"/>
    <w:rsid w:val="00B2039A"/>
    <w:rsid w:val="00B20AC8"/>
    <w:rsid w:val="00B215D5"/>
    <w:rsid w:val="00B21D55"/>
    <w:rsid w:val="00B225CB"/>
    <w:rsid w:val="00B22870"/>
    <w:rsid w:val="00B22A22"/>
    <w:rsid w:val="00B22AA6"/>
    <w:rsid w:val="00B237C4"/>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54D"/>
    <w:rsid w:val="00B40903"/>
    <w:rsid w:val="00B40FDB"/>
    <w:rsid w:val="00B41C6D"/>
    <w:rsid w:val="00B420B2"/>
    <w:rsid w:val="00B42800"/>
    <w:rsid w:val="00B42832"/>
    <w:rsid w:val="00B42863"/>
    <w:rsid w:val="00B430F6"/>
    <w:rsid w:val="00B43511"/>
    <w:rsid w:val="00B43CE6"/>
    <w:rsid w:val="00B45528"/>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5852"/>
    <w:rsid w:val="00B560A9"/>
    <w:rsid w:val="00B56866"/>
    <w:rsid w:val="00B56CC4"/>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346"/>
    <w:rsid w:val="00B6793A"/>
    <w:rsid w:val="00B67AC3"/>
    <w:rsid w:val="00B70880"/>
    <w:rsid w:val="00B71422"/>
    <w:rsid w:val="00B71486"/>
    <w:rsid w:val="00B71607"/>
    <w:rsid w:val="00B71EF7"/>
    <w:rsid w:val="00B72361"/>
    <w:rsid w:val="00B74AB0"/>
    <w:rsid w:val="00B75345"/>
    <w:rsid w:val="00B76327"/>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83F77"/>
    <w:rsid w:val="00B90351"/>
    <w:rsid w:val="00B906F2"/>
    <w:rsid w:val="00B90D9B"/>
    <w:rsid w:val="00B91259"/>
    <w:rsid w:val="00B91B81"/>
    <w:rsid w:val="00B91FF0"/>
    <w:rsid w:val="00B926A8"/>
    <w:rsid w:val="00B92FFF"/>
    <w:rsid w:val="00B93325"/>
    <w:rsid w:val="00B93538"/>
    <w:rsid w:val="00B936F8"/>
    <w:rsid w:val="00B9492E"/>
    <w:rsid w:val="00B960DB"/>
    <w:rsid w:val="00B96799"/>
    <w:rsid w:val="00B96DE5"/>
    <w:rsid w:val="00B97A76"/>
    <w:rsid w:val="00BA0166"/>
    <w:rsid w:val="00BA02B6"/>
    <w:rsid w:val="00BA0584"/>
    <w:rsid w:val="00BA0755"/>
    <w:rsid w:val="00BA1E9D"/>
    <w:rsid w:val="00BA249D"/>
    <w:rsid w:val="00BA3C66"/>
    <w:rsid w:val="00BA4D00"/>
    <w:rsid w:val="00BA4F9B"/>
    <w:rsid w:val="00BA5665"/>
    <w:rsid w:val="00BA6825"/>
    <w:rsid w:val="00BA72D9"/>
    <w:rsid w:val="00BB0AB5"/>
    <w:rsid w:val="00BB195B"/>
    <w:rsid w:val="00BB1BBA"/>
    <w:rsid w:val="00BB204A"/>
    <w:rsid w:val="00BB2BD1"/>
    <w:rsid w:val="00BB31DF"/>
    <w:rsid w:val="00BB33E9"/>
    <w:rsid w:val="00BB34B7"/>
    <w:rsid w:val="00BB3BE4"/>
    <w:rsid w:val="00BB44DB"/>
    <w:rsid w:val="00BB57D3"/>
    <w:rsid w:val="00BB58EE"/>
    <w:rsid w:val="00BB64EC"/>
    <w:rsid w:val="00BB726C"/>
    <w:rsid w:val="00BB7589"/>
    <w:rsid w:val="00BB7668"/>
    <w:rsid w:val="00BB7E42"/>
    <w:rsid w:val="00BC077E"/>
    <w:rsid w:val="00BC0DE5"/>
    <w:rsid w:val="00BC0E57"/>
    <w:rsid w:val="00BC148E"/>
    <w:rsid w:val="00BC1F5F"/>
    <w:rsid w:val="00BC21BE"/>
    <w:rsid w:val="00BC2465"/>
    <w:rsid w:val="00BC3E36"/>
    <w:rsid w:val="00BC4B2D"/>
    <w:rsid w:val="00BC4CE8"/>
    <w:rsid w:val="00BC4D54"/>
    <w:rsid w:val="00BC6E2F"/>
    <w:rsid w:val="00BC6EAF"/>
    <w:rsid w:val="00BC728A"/>
    <w:rsid w:val="00BC7632"/>
    <w:rsid w:val="00BC77A4"/>
    <w:rsid w:val="00BC7C9E"/>
    <w:rsid w:val="00BD1E79"/>
    <w:rsid w:val="00BD236D"/>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42FC"/>
    <w:rsid w:val="00BE6085"/>
    <w:rsid w:val="00BE63FB"/>
    <w:rsid w:val="00BE66FC"/>
    <w:rsid w:val="00BE73FA"/>
    <w:rsid w:val="00BF00D1"/>
    <w:rsid w:val="00BF0353"/>
    <w:rsid w:val="00BF090A"/>
    <w:rsid w:val="00BF0918"/>
    <w:rsid w:val="00BF2001"/>
    <w:rsid w:val="00BF2575"/>
    <w:rsid w:val="00BF31A0"/>
    <w:rsid w:val="00BF323A"/>
    <w:rsid w:val="00BF36C0"/>
    <w:rsid w:val="00BF3F0A"/>
    <w:rsid w:val="00BF4E35"/>
    <w:rsid w:val="00BF5FB3"/>
    <w:rsid w:val="00BF6F82"/>
    <w:rsid w:val="00BF7B9B"/>
    <w:rsid w:val="00C0083F"/>
    <w:rsid w:val="00C00976"/>
    <w:rsid w:val="00C020CD"/>
    <w:rsid w:val="00C02715"/>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908"/>
    <w:rsid w:val="00C250E8"/>
    <w:rsid w:val="00C25150"/>
    <w:rsid w:val="00C2515F"/>
    <w:rsid w:val="00C25B30"/>
    <w:rsid w:val="00C25DCF"/>
    <w:rsid w:val="00C26AEA"/>
    <w:rsid w:val="00C276EC"/>
    <w:rsid w:val="00C27C0A"/>
    <w:rsid w:val="00C305D9"/>
    <w:rsid w:val="00C31AD4"/>
    <w:rsid w:val="00C31C63"/>
    <w:rsid w:val="00C31C8C"/>
    <w:rsid w:val="00C31CD9"/>
    <w:rsid w:val="00C32481"/>
    <w:rsid w:val="00C32B39"/>
    <w:rsid w:val="00C32BCB"/>
    <w:rsid w:val="00C3394C"/>
    <w:rsid w:val="00C34581"/>
    <w:rsid w:val="00C34AD7"/>
    <w:rsid w:val="00C3516D"/>
    <w:rsid w:val="00C351E4"/>
    <w:rsid w:val="00C353D8"/>
    <w:rsid w:val="00C361A6"/>
    <w:rsid w:val="00C365C5"/>
    <w:rsid w:val="00C3670F"/>
    <w:rsid w:val="00C36E1A"/>
    <w:rsid w:val="00C371DF"/>
    <w:rsid w:val="00C37818"/>
    <w:rsid w:val="00C37C94"/>
    <w:rsid w:val="00C37EFC"/>
    <w:rsid w:val="00C37FF9"/>
    <w:rsid w:val="00C40126"/>
    <w:rsid w:val="00C4055E"/>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50112"/>
    <w:rsid w:val="00C5105D"/>
    <w:rsid w:val="00C511F0"/>
    <w:rsid w:val="00C513C7"/>
    <w:rsid w:val="00C51639"/>
    <w:rsid w:val="00C53220"/>
    <w:rsid w:val="00C533A0"/>
    <w:rsid w:val="00C537E7"/>
    <w:rsid w:val="00C53AFE"/>
    <w:rsid w:val="00C53E9D"/>
    <w:rsid w:val="00C5426B"/>
    <w:rsid w:val="00C54C18"/>
    <w:rsid w:val="00C573DA"/>
    <w:rsid w:val="00C5772E"/>
    <w:rsid w:val="00C5781B"/>
    <w:rsid w:val="00C61117"/>
    <w:rsid w:val="00C616B4"/>
    <w:rsid w:val="00C621A7"/>
    <w:rsid w:val="00C62AA0"/>
    <w:rsid w:val="00C62BF2"/>
    <w:rsid w:val="00C62D1B"/>
    <w:rsid w:val="00C638A6"/>
    <w:rsid w:val="00C63FB9"/>
    <w:rsid w:val="00C64266"/>
    <w:rsid w:val="00C647DF"/>
    <w:rsid w:val="00C64F8E"/>
    <w:rsid w:val="00C65383"/>
    <w:rsid w:val="00C66306"/>
    <w:rsid w:val="00C66CE8"/>
    <w:rsid w:val="00C70074"/>
    <w:rsid w:val="00C70D51"/>
    <w:rsid w:val="00C70DF4"/>
    <w:rsid w:val="00C71252"/>
    <w:rsid w:val="00C7277F"/>
    <w:rsid w:val="00C73C07"/>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BF"/>
    <w:rsid w:val="00C84BE9"/>
    <w:rsid w:val="00C85DEF"/>
    <w:rsid w:val="00C85E40"/>
    <w:rsid w:val="00C86D76"/>
    <w:rsid w:val="00C87A64"/>
    <w:rsid w:val="00C910F8"/>
    <w:rsid w:val="00C91106"/>
    <w:rsid w:val="00C9117B"/>
    <w:rsid w:val="00C91D19"/>
    <w:rsid w:val="00C93B58"/>
    <w:rsid w:val="00C93C2F"/>
    <w:rsid w:val="00C9437C"/>
    <w:rsid w:val="00C946E4"/>
    <w:rsid w:val="00C946FF"/>
    <w:rsid w:val="00C94A14"/>
    <w:rsid w:val="00C94CDA"/>
    <w:rsid w:val="00C95BED"/>
    <w:rsid w:val="00C96725"/>
    <w:rsid w:val="00C97A66"/>
    <w:rsid w:val="00CA007B"/>
    <w:rsid w:val="00CA01BB"/>
    <w:rsid w:val="00CA0AA4"/>
    <w:rsid w:val="00CA15B0"/>
    <w:rsid w:val="00CA1C71"/>
    <w:rsid w:val="00CA1D4C"/>
    <w:rsid w:val="00CA1D50"/>
    <w:rsid w:val="00CA1DAB"/>
    <w:rsid w:val="00CA20E0"/>
    <w:rsid w:val="00CA2598"/>
    <w:rsid w:val="00CA3347"/>
    <w:rsid w:val="00CA523D"/>
    <w:rsid w:val="00CA6E3E"/>
    <w:rsid w:val="00CA6FDA"/>
    <w:rsid w:val="00CA77CF"/>
    <w:rsid w:val="00CA7B58"/>
    <w:rsid w:val="00CB0836"/>
    <w:rsid w:val="00CB0CB9"/>
    <w:rsid w:val="00CB1413"/>
    <w:rsid w:val="00CB18D4"/>
    <w:rsid w:val="00CB2518"/>
    <w:rsid w:val="00CB3920"/>
    <w:rsid w:val="00CB49CB"/>
    <w:rsid w:val="00CB4C4C"/>
    <w:rsid w:val="00CB6413"/>
    <w:rsid w:val="00CB696F"/>
    <w:rsid w:val="00CB6A00"/>
    <w:rsid w:val="00CB7097"/>
    <w:rsid w:val="00CB77F4"/>
    <w:rsid w:val="00CB780D"/>
    <w:rsid w:val="00CC0F1C"/>
    <w:rsid w:val="00CC1983"/>
    <w:rsid w:val="00CC259D"/>
    <w:rsid w:val="00CC299A"/>
    <w:rsid w:val="00CC3039"/>
    <w:rsid w:val="00CC32B7"/>
    <w:rsid w:val="00CC36DE"/>
    <w:rsid w:val="00CC4498"/>
    <w:rsid w:val="00CC4ACB"/>
    <w:rsid w:val="00CC4D38"/>
    <w:rsid w:val="00CC4F99"/>
    <w:rsid w:val="00CC5CDC"/>
    <w:rsid w:val="00CC5FC3"/>
    <w:rsid w:val="00CC6369"/>
    <w:rsid w:val="00CC6576"/>
    <w:rsid w:val="00CC65D6"/>
    <w:rsid w:val="00CC69E2"/>
    <w:rsid w:val="00CC73F3"/>
    <w:rsid w:val="00CC7B85"/>
    <w:rsid w:val="00CD081C"/>
    <w:rsid w:val="00CD14DA"/>
    <w:rsid w:val="00CD1B5A"/>
    <w:rsid w:val="00CD1E9C"/>
    <w:rsid w:val="00CD2777"/>
    <w:rsid w:val="00CD27DB"/>
    <w:rsid w:val="00CD2E70"/>
    <w:rsid w:val="00CD386B"/>
    <w:rsid w:val="00CD3D06"/>
    <w:rsid w:val="00CD4A09"/>
    <w:rsid w:val="00CD4C67"/>
    <w:rsid w:val="00CD4C7B"/>
    <w:rsid w:val="00CD5397"/>
    <w:rsid w:val="00CD5E93"/>
    <w:rsid w:val="00CE0C7A"/>
    <w:rsid w:val="00CE15AE"/>
    <w:rsid w:val="00CE1CFC"/>
    <w:rsid w:val="00CE235A"/>
    <w:rsid w:val="00CE37A3"/>
    <w:rsid w:val="00CE3814"/>
    <w:rsid w:val="00CE4AC7"/>
    <w:rsid w:val="00CE56B7"/>
    <w:rsid w:val="00CE6660"/>
    <w:rsid w:val="00CE6855"/>
    <w:rsid w:val="00CE6B6F"/>
    <w:rsid w:val="00CE7033"/>
    <w:rsid w:val="00CE7075"/>
    <w:rsid w:val="00CE770A"/>
    <w:rsid w:val="00CF02A6"/>
    <w:rsid w:val="00CF05A6"/>
    <w:rsid w:val="00CF06CF"/>
    <w:rsid w:val="00CF101C"/>
    <w:rsid w:val="00CF15C5"/>
    <w:rsid w:val="00CF2DC1"/>
    <w:rsid w:val="00CF2EE2"/>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D00175"/>
    <w:rsid w:val="00D00223"/>
    <w:rsid w:val="00D0045E"/>
    <w:rsid w:val="00D008D8"/>
    <w:rsid w:val="00D00DBF"/>
    <w:rsid w:val="00D0149B"/>
    <w:rsid w:val="00D01F5D"/>
    <w:rsid w:val="00D01FA9"/>
    <w:rsid w:val="00D03DBE"/>
    <w:rsid w:val="00D03EED"/>
    <w:rsid w:val="00D0597D"/>
    <w:rsid w:val="00D06274"/>
    <w:rsid w:val="00D066D8"/>
    <w:rsid w:val="00D07FB9"/>
    <w:rsid w:val="00D11949"/>
    <w:rsid w:val="00D11A69"/>
    <w:rsid w:val="00D12C98"/>
    <w:rsid w:val="00D12FFC"/>
    <w:rsid w:val="00D13CA3"/>
    <w:rsid w:val="00D1484F"/>
    <w:rsid w:val="00D14BA0"/>
    <w:rsid w:val="00D14D7B"/>
    <w:rsid w:val="00D1516D"/>
    <w:rsid w:val="00D158B0"/>
    <w:rsid w:val="00D1707A"/>
    <w:rsid w:val="00D17CC2"/>
    <w:rsid w:val="00D20EED"/>
    <w:rsid w:val="00D21435"/>
    <w:rsid w:val="00D2242C"/>
    <w:rsid w:val="00D224FA"/>
    <w:rsid w:val="00D23033"/>
    <w:rsid w:val="00D2402F"/>
    <w:rsid w:val="00D245C2"/>
    <w:rsid w:val="00D25660"/>
    <w:rsid w:val="00D2569B"/>
    <w:rsid w:val="00D258EB"/>
    <w:rsid w:val="00D25AEB"/>
    <w:rsid w:val="00D271CD"/>
    <w:rsid w:val="00D278A0"/>
    <w:rsid w:val="00D3064E"/>
    <w:rsid w:val="00D315CC"/>
    <w:rsid w:val="00D31DDA"/>
    <w:rsid w:val="00D32067"/>
    <w:rsid w:val="00D327A3"/>
    <w:rsid w:val="00D34C82"/>
    <w:rsid w:val="00D36550"/>
    <w:rsid w:val="00D379EC"/>
    <w:rsid w:val="00D37C94"/>
    <w:rsid w:val="00D40D88"/>
    <w:rsid w:val="00D41E42"/>
    <w:rsid w:val="00D41F6B"/>
    <w:rsid w:val="00D42380"/>
    <w:rsid w:val="00D42C9B"/>
    <w:rsid w:val="00D4348D"/>
    <w:rsid w:val="00D436D7"/>
    <w:rsid w:val="00D44E42"/>
    <w:rsid w:val="00D44FC3"/>
    <w:rsid w:val="00D450E2"/>
    <w:rsid w:val="00D453D7"/>
    <w:rsid w:val="00D4552D"/>
    <w:rsid w:val="00D462D6"/>
    <w:rsid w:val="00D474AB"/>
    <w:rsid w:val="00D4754E"/>
    <w:rsid w:val="00D50460"/>
    <w:rsid w:val="00D50961"/>
    <w:rsid w:val="00D50A02"/>
    <w:rsid w:val="00D512A1"/>
    <w:rsid w:val="00D518D6"/>
    <w:rsid w:val="00D51C25"/>
    <w:rsid w:val="00D52AB4"/>
    <w:rsid w:val="00D52F26"/>
    <w:rsid w:val="00D531F5"/>
    <w:rsid w:val="00D538C1"/>
    <w:rsid w:val="00D538D5"/>
    <w:rsid w:val="00D53B5C"/>
    <w:rsid w:val="00D54640"/>
    <w:rsid w:val="00D55455"/>
    <w:rsid w:val="00D559B5"/>
    <w:rsid w:val="00D56420"/>
    <w:rsid w:val="00D5658A"/>
    <w:rsid w:val="00D56A94"/>
    <w:rsid w:val="00D56C0C"/>
    <w:rsid w:val="00D56F9E"/>
    <w:rsid w:val="00D570B4"/>
    <w:rsid w:val="00D5798B"/>
    <w:rsid w:val="00D60736"/>
    <w:rsid w:val="00D6170E"/>
    <w:rsid w:val="00D61972"/>
    <w:rsid w:val="00D61B58"/>
    <w:rsid w:val="00D6307D"/>
    <w:rsid w:val="00D63632"/>
    <w:rsid w:val="00D63732"/>
    <w:rsid w:val="00D63925"/>
    <w:rsid w:val="00D6405D"/>
    <w:rsid w:val="00D6568E"/>
    <w:rsid w:val="00D65893"/>
    <w:rsid w:val="00D658EC"/>
    <w:rsid w:val="00D6684E"/>
    <w:rsid w:val="00D6742A"/>
    <w:rsid w:val="00D67B9B"/>
    <w:rsid w:val="00D71733"/>
    <w:rsid w:val="00D718AC"/>
    <w:rsid w:val="00D719A3"/>
    <w:rsid w:val="00D71E7A"/>
    <w:rsid w:val="00D729C3"/>
    <w:rsid w:val="00D72DE7"/>
    <w:rsid w:val="00D7302F"/>
    <w:rsid w:val="00D73BB2"/>
    <w:rsid w:val="00D74575"/>
    <w:rsid w:val="00D74D14"/>
    <w:rsid w:val="00D74F3B"/>
    <w:rsid w:val="00D752E7"/>
    <w:rsid w:val="00D7574B"/>
    <w:rsid w:val="00D75E82"/>
    <w:rsid w:val="00D76270"/>
    <w:rsid w:val="00D767C6"/>
    <w:rsid w:val="00D769C5"/>
    <w:rsid w:val="00D76E76"/>
    <w:rsid w:val="00D77891"/>
    <w:rsid w:val="00D80631"/>
    <w:rsid w:val="00D818EC"/>
    <w:rsid w:val="00D81A20"/>
    <w:rsid w:val="00D81F55"/>
    <w:rsid w:val="00D8321A"/>
    <w:rsid w:val="00D83F57"/>
    <w:rsid w:val="00D84A86"/>
    <w:rsid w:val="00D85152"/>
    <w:rsid w:val="00D85F2C"/>
    <w:rsid w:val="00D861BD"/>
    <w:rsid w:val="00D86D55"/>
    <w:rsid w:val="00D8789C"/>
    <w:rsid w:val="00D8789D"/>
    <w:rsid w:val="00D87B3F"/>
    <w:rsid w:val="00D9003D"/>
    <w:rsid w:val="00D90558"/>
    <w:rsid w:val="00D9082F"/>
    <w:rsid w:val="00D90C79"/>
    <w:rsid w:val="00D914EB"/>
    <w:rsid w:val="00D91B36"/>
    <w:rsid w:val="00D9305B"/>
    <w:rsid w:val="00D94085"/>
    <w:rsid w:val="00D944D2"/>
    <w:rsid w:val="00D96D4F"/>
    <w:rsid w:val="00DA1806"/>
    <w:rsid w:val="00DA1BD1"/>
    <w:rsid w:val="00DA212B"/>
    <w:rsid w:val="00DA3A76"/>
    <w:rsid w:val="00DA5048"/>
    <w:rsid w:val="00DA5713"/>
    <w:rsid w:val="00DA5EB9"/>
    <w:rsid w:val="00DA6856"/>
    <w:rsid w:val="00DA6D6D"/>
    <w:rsid w:val="00DA71F7"/>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681B"/>
    <w:rsid w:val="00DB7E24"/>
    <w:rsid w:val="00DC0445"/>
    <w:rsid w:val="00DC115F"/>
    <w:rsid w:val="00DC19CF"/>
    <w:rsid w:val="00DC2082"/>
    <w:rsid w:val="00DC225F"/>
    <w:rsid w:val="00DC2883"/>
    <w:rsid w:val="00DC2C2D"/>
    <w:rsid w:val="00DC2C48"/>
    <w:rsid w:val="00DC46B5"/>
    <w:rsid w:val="00DC4B28"/>
    <w:rsid w:val="00DC4B5D"/>
    <w:rsid w:val="00DC525E"/>
    <w:rsid w:val="00DC535C"/>
    <w:rsid w:val="00DC5DCB"/>
    <w:rsid w:val="00DC6C0D"/>
    <w:rsid w:val="00DC75E7"/>
    <w:rsid w:val="00DD074A"/>
    <w:rsid w:val="00DD0D70"/>
    <w:rsid w:val="00DD1941"/>
    <w:rsid w:val="00DD26A5"/>
    <w:rsid w:val="00DD2812"/>
    <w:rsid w:val="00DD34F2"/>
    <w:rsid w:val="00DD3C6B"/>
    <w:rsid w:val="00DD54ED"/>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F00F9"/>
    <w:rsid w:val="00DF0576"/>
    <w:rsid w:val="00DF13A0"/>
    <w:rsid w:val="00DF1981"/>
    <w:rsid w:val="00DF1D07"/>
    <w:rsid w:val="00DF1E89"/>
    <w:rsid w:val="00DF2144"/>
    <w:rsid w:val="00DF24D9"/>
    <w:rsid w:val="00DF2EA5"/>
    <w:rsid w:val="00DF310B"/>
    <w:rsid w:val="00DF3E47"/>
    <w:rsid w:val="00DF56E8"/>
    <w:rsid w:val="00DF5C01"/>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1198B"/>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E84"/>
    <w:rsid w:val="00E23F9B"/>
    <w:rsid w:val="00E24D23"/>
    <w:rsid w:val="00E26285"/>
    <w:rsid w:val="00E26649"/>
    <w:rsid w:val="00E2703D"/>
    <w:rsid w:val="00E271F9"/>
    <w:rsid w:val="00E27F0A"/>
    <w:rsid w:val="00E30712"/>
    <w:rsid w:val="00E309B0"/>
    <w:rsid w:val="00E30E67"/>
    <w:rsid w:val="00E32143"/>
    <w:rsid w:val="00E325F3"/>
    <w:rsid w:val="00E326E9"/>
    <w:rsid w:val="00E32B61"/>
    <w:rsid w:val="00E33106"/>
    <w:rsid w:val="00E345C2"/>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5B2D"/>
    <w:rsid w:val="00E468F2"/>
    <w:rsid w:val="00E47A20"/>
    <w:rsid w:val="00E5084C"/>
    <w:rsid w:val="00E50871"/>
    <w:rsid w:val="00E50AD9"/>
    <w:rsid w:val="00E50B4C"/>
    <w:rsid w:val="00E512FE"/>
    <w:rsid w:val="00E52063"/>
    <w:rsid w:val="00E528BE"/>
    <w:rsid w:val="00E53533"/>
    <w:rsid w:val="00E537ED"/>
    <w:rsid w:val="00E5384D"/>
    <w:rsid w:val="00E53F2E"/>
    <w:rsid w:val="00E54004"/>
    <w:rsid w:val="00E546C9"/>
    <w:rsid w:val="00E54BB9"/>
    <w:rsid w:val="00E54D3F"/>
    <w:rsid w:val="00E55F1F"/>
    <w:rsid w:val="00E56735"/>
    <w:rsid w:val="00E56866"/>
    <w:rsid w:val="00E56904"/>
    <w:rsid w:val="00E57DFD"/>
    <w:rsid w:val="00E60423"/>
    <w:rsid w:val="00E60545"/>
    <w:rsid w:val="00E607E5"/>
    <w:rsid w:val="00E60A16"/>
    <w:rsid w:val="00E610CB"/>
    <w:rsid w:val="00E6125B"/>
    <w:rsid w:val="00E6170A"/>
    <w:rsid w:val="00E62816"/>
    <w:rsid w:val="00E62ADF"/>
    <w:rsid w:val="00E62FA7"/>
    <w:rsid w:val="00E637A3"/>
    <w:rsid w:val="00E659FD"/>
    <w:rsid w:val="00E65B0C"/>
    <w:rsid w:val="00E66B16"/>
    <w:rsid w:val="00E66BA2"/>
    <w:rsid w:val="00E677DB"/>
    <w:rsid w:val="00E700F8"/>
    <w:rsid w:val="00E71C2D"/>
    <w:rsid w:val="00E7266C"/>
    <w:rsid w:val="00E72BB6"/>
    <w:rsid w:val="00E72CD0"/>
    <w:rsid w:val="00E730AC"/>
    <w:rsid w:val="00E7310C"/>
    <w:rsid w:val="00E733ED"/>
    <w:rsid w:val="00E734CE"/>
    <w:rsid w:val="00E73D33"/>
    <w:rsid w:val="00E750CB"/>
    <w:rsid w:val="00E778DC"/>
    <w:rsid w:val="00E80336"/>
    <w:rsid w:val="00E80D00"/>
    <w:rsid w:val="00E815CE"/>
    <w:rsid w:val="00E81611"/>
    <w:rsid w:val="00E81800"/>
    <w:rsid w:val="00E81863"/>
    <w:rsid w:val="00E81C42"/>
    <w:rsid w:val="00E81C5C"/>
    <w:rsid w:val="00E81FDB"/>
    <w:rsid w:val="00E82064"/>
    <w:rsid w:val="00E82B6E"/>
    <w:rsid w:val="00E82C9A"/>
    <w:rsid w:val="00E82DC6"/>
    <w:rsid w:val="00E8347E"/>
    <w:rsid w:val="00E835C5"/>
    <w:rsid w:val="00E83ACD"/>
    <w:rsid w:val="00E83D4B"/>
    <w:rsid w:val="00E848F0"/>
    <w:rsid w:val="00E84D1C"/>
    <w:rsid w:val="00E84D9C"/>
    <w:rsid w:val="00E85069"/>
    <w:rsid w:val="00E8628F"/>
    <w:rsid w:val="00E86888"/>
    <w:rsid w:val="00E92C96"/>
    <w:rsid w:val="00E942B8"/>
    <w:rsid w:val="00E944ED"/>
    <w:rsid w:val="00E945AF"/>
    <w:rsid w:val="00E94A0B"/>
    <w:rsid w:val="00E94A2C"/>
    <w:rsid w:val="00E9544C"/>
    <w:rsid w:val="00E95799"/>
    <w:rsid w:val="00E95D0B"/>
    <w:rsid w:val="00E95D93"/>
    <w:rsid w:val="00E9683D"/>
    <w:rsid w:val="00E970B7"/>
    <w:rsid w:val="00E97D95"/>
    <w:rsid w:val="00EA0035"/>
    <w:rsid w:val="00EA010D"/>
    <w:rsid w:val="00EA04C5"/>
    <w:rsid w:val="00EA0507"/>
    <w:rsid w:val="00EA0BB5"/>
    <w:rsid w:val="00EA1A8A"/>
    <w:rsid w:val="00EA21FA"/>
    <w:rsid w:val="00EA25EB"/>
    <w:rsid w:val="00EA26D5"/>
    <w:rsid w:val="00EA2775"/>
    <w:rsid w:val="00EA305D"/>
    <w:rsid w:val="00EA3106"/>
    <w:rsid w:val="00EA3874"/>
    <w:rsid w:val="00EA5AB6"/>
    <w:rsid w:val="00EA5FB0"/>
    <w:rsid w:val="00EA612E"/>
    <w:rsid w:val="00EA761C"/>
    <w:rsid w:val="00EA7D7F"/>
    <w:rsid w:val="00EA7E73"/>
    <w:rsid w:val="00EB0810"/>
    <w:rsid w:val="00EB0B5F"/>
    <w:rsid w:val="00EB100A"/>
    <w:rsid w:val="00EB1B7C"/>
    <w:rsid w:val="00EB1CF7"/>
    <w:rsid w:val="00EB25C2"/>
    <w:rsid w:val="00EB2B6F"/>
    <w:rsid w:val="00EB2CAD"/>
    <w:rsid w:val="00EB2FA2"/>
    <w:rsid w:val="00EB3272"/>
    <w:rsid w:val="00EB37B2"/>
    <w:rsid w:val="00EB3FF9"/>
    <w:rsid w:val="00EB516F"/>
    <w:rsid w:val="00EB5F0B"/>
    <w:rsid w:val="00EB7352"/>
    <w:rsid w:val="00EB769A"/>
    <w:rsid w:val="00EC11E4"/>
    <w:rsid w:val="00EC14E1"/>
    <w:rsid w:val="00EC19F3"/>
    <w:rsid w:val="00EC2A3F"/>
    <w:rsid w:val="00EC2E64"/>
    <w:rsid w:val="00EC3A35"/>
    <w:rsid w:val="00EC3C52"/>
    <w:rsid w:val="00EC3E5B"/>
    <w:rsid w:val="00EC3E69"/>
    <w:rsid w:val="00EC41A7"/>
    <w:rsid w:val="00EC4257"/>
    <w:rsid w:val="00EC5554"/>
    <w:rsid w:val="00EC572B"/>
    <w:rsid w:val="00EC5B8E"/>
    <w:rsid w:val="00EC7356"/>
    <w:rsid w:val="00EC75F6"/>
    <w:rsid w:val="00ED0065"/>
    <w:rsid w:val="00ED02D1"/>
    <w:rsid w:val="00ED17B5"/>
    <w:rsid w:val="00ED1BA0"/>
    <w:rsid w:val="00ED1D2D"/>
    <w:rsid w:val="00ED353D"/>
    <w:rsid w:val="00ED588C"/>
    <w:rsid w:val="00ED6E7A"/>
    <w:rsid w:val="00ED6EA1"/>
    <w:rsid w:val="00ED7A7F"/>
    <w:rsid w:val="00EE060B"/>
    <w:rsid w:val="00EE07AC"/>
    <w:rsid w:val="00EE0891"/>
    <w:rsid w:val="00EE1062"/>
    <w:rsid w:val="00EE17F2"/>
    <w:rsid w:val="00EE188A"/>
    <w:rsid w:val="00EE1B01"/>
    <w:rsid w:val="00EE1C62"/>
    <w:rsid w:val="00EE1DB8"/>
    <w:rsid w:val="00EE2746"/>
    <w:rsid w:val="00EE322F"/>
    <w:rsid w:val="00EE3256"/>
    <w:rsid w:val="00EE4759"/>
    <w:rsid w:val="00EE4C20"/>
    <w:rsid w:val="00EE4F2D"/>
    <w:rsid w:val="00EE524C"/>
    <w:rsid w:val="00EE6755"/>
    <w:rsid w:val="00EE78D6"/>
    <w:rsid w:val="00EF03DC"/>
    <w:rsid w:val="00EF0437"/>
    <w:rsid w:val="00EF0BFE"/>
    <w:rsid w:val="00EF1580"/>
    <w:rsid w:val="00EF1DE8"/>
    <w:rsid w:val="00EF2AC7"/>
    <w:rsid w:val="00EF3397"/>
    <w:rsid w:val="00EF3722"/>
    <w:rsid w:val="00EF40BF"/>
    <w:rsid w:val="00EF4557"/>
    <w:rsid w:val="00EF493F"/>
    <w:rsid w:val="00EF5947"/>
    <w:rsid w:val="00EF5E22"/>
    <w:rsid w:val="00EF60AA"/>
    <w:rsid w:val="00EF60CA"/>
    <w:rsid w:val="00EF63C1"/>
    <w:rsid w:val="00EF6557"/>
    <w:rsid w:val="00EF69B7"/>
    <w:rsid w:val="00EF6C2B"/>
    <w:rsid w:val="00F00059"/>
    <w:rsid w:val="00F008BD"/>
    <w:rsid w:val="00F021A9"/>
    <w:rsid w:val="00F02C54"/>
    <w:rsid w:val="00F02CD0"/>
    <w:rsid w:val="00F02D03"/>
    <w:rsid w:val="00F035DB"/>
    <w:rsid w:val="00F0448C"/>
    <w:rsid w:val="00F0553C"/>
    <w:rsid w:val="00F06BA7"/>
    <w:rsid w:val="00F06C50"/>
    <w:rsid w:val="00F071BA"/>
    <w:rsid w:val="00F1284F"/>
    <w:rsid w:val="00F136A4"/>
    <w:rsid w:val="00F1377B"/>
    <w:rsid w:val="00F13C5E"/>
    <w:rsid w:val="00F14108"/>
    <w:rsid w:val="00F148D5"/>
    <w:rsid w:val="00F1601A"/>
    <w:rsid w:val="00F160BF"/>
    <w:rsid w:val="00F16173"/>
    <w:rsid w:val="00F1675C"/>
    <w:rsid w:val="00F16A3C"/>
    <w:rsid w:val="00F17428"/>
    <w:rsid w:val="00F1765A"/>
    <w:rsid w:val="00F20046"/>
    <w:rsid w:val="00F20CC1"/>
    <w:rsid w:val="00F20D22"/>
    <w:rsid w:val="00F21A58"/>
    <w:rsid w:val="00F2302A"/>
    <w:rsid w:val="00F23048"/>
    <w:rsid w:val="00F239CD"/>
    <w:rsid w:val="00F23DCC"/>
    <w:rsid w:val="00F24294"/>
    <w:rsid w:val="00F2477C"/>
    <w:rsid w:val="00F24E5D"/>
    <w:rsid w:val="00F24EBB"/>
    <w:rsid w:val="00F27696"/>
    <w:rsid w:val="00F2777F"/>
    <w:rsid w:val="00F27F06"/>
    <w:rsid w:val="00F314E8"/>
    <w:rsid w:val="00F316A2"/>
    <w:rsid w:val="00F323A2"/>
    <w:rsid w:val="00F332D4"/>
    <w:rsid w:val="00F33B57"/>
    <w:rsid w:val="00F33CA8"/>
    <w:rsid w:val="00F33D5C"/>
    <w:rsid w:val="00F356D6"/>
    <w:rsid w:val="00F372DB"/>
    <w:rsid w:val="00F3785D"/>
    <w:rsid w:val="00F378BE"/>
    <w:rsid w:val="00F37D37"/>
    <w:rsid w:val="00F400E3"/>
    <w:rsid w:val="00F4021A"/>
    <w:rsid w:val="00F40876"/>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CCE"/>
    <w:rsid w:val="00F53151"/>
    <w:rsid w:val="00F535A9"/>
    <w:rsid w:val="00F53F92"/>
    <w:rsid w:val="00F5480F"/>
    <w:rsid w:val="00F54AA5"/>
    <w:rsid w:val="00F552F7"/>
    <w:rsid w:val="00F553A7"/>
    <w:rsid w:val="00F554EB"/>
    <w:rsid w:val="00F555B7"/>
    <w:rsid w:val="00F5562D"/>
    <w:rsid w:val="00F55BC7"/>
    <w:rsid w:val="00F566EA"/>
    <w:rsid w:val="00F567A4"/>
    <w:rsid w:val="00F578EB"/>
    <w:rsid w:val="00F605BE"/>
    <w:rsid w:val="00F60AF6"/>
    <w:rsid w:val="00F60DDC"/>
    <w:rsid w:val="00F610A9"/>
    <w:rsid w:val="00F617BE"/>
    <w:rsid w:val="00F61C7A"/>
    <w:rsid w:val="00F625F7"/>
    <w:rsid w:val="00F64702"/>
    <w:rsid w:val="00F64D5A"/>
    <w:rsid w:val="00F65399"/>
    <w:rsid w:val="00F65B68"/>
    <w:rsid w:val="00F65C22"/>
    <w:rsid w:val="00F65EC9"/>
    <w:rsid w:val="00F66CB1"/>
    <w:rsid w:val="00F672BD"/>
    <w:rsid w:val="00F67E15"/>
    <w:rsid w:val="00F67FCA"/>
    <w:rsid w:val="00F70815"/>
    <w:rsid w:val="00F709F4"/>
    <w:rsid w:val="00F71019"/>
    <w:rsid w:val="00F710A9"/>
    <w:rsid w:val="00F7284D"/>
    <w:rsid w:val="00F72CFE"/>
    <w:rsid w:val="00F72FB0"/>
    <w:rsid w:val="00F73423"/>
    <w:rsid w:val="00F7365E"/>
    <w:rsid w:val="00F737A4"/>
    <w:rsid w:val="00F73950"/>
    <w:rsid w:val="00F75481"/>
    <w:rsid w:val="00F76664"/>
    <w:rsid w:val="00F76A4C"/>
    <w:rsid w:val="00F76AB3"/>
    <w:rsid w:val="00F816A4"/>
    <w:rsid w:val="00F81AE9"/>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3F"/>
    <w:rsid w:val="00F87C5B"/>
    <w:rsid w:val="00F87FEA"/>
    <w:rsid w:val="00F9017F"/>
    <w:rsid w:val="00F90613"/>
    <w:rsid w:val="00F906F4"/>
    <w:rsid w:val="00F915F3"/>
    <w:rsid w:val="00F91800"/>
    <w:rsid w:val="00F91853"/>
    <w:rsid w:val="00F91987"/>
    <w:rsid w:val="00F9208E"/>
    <w:rsid w:val="00F92571"/>
    <w:rsid w:val="00F93B2F"/>
    <w:rsid w:val="00F93CAE"/>
    <w:rsid w:val="00F954E4"/>
    <w:rsid w:val="00F95CCE"/>
    <w:rsid w:val="00F9692D"/>
    <w:rsid w:val="00F978BE"/>
    <w:rsid w:val="00F97D7B"/>
    <w:rsid w:val="00FA0013"/>
    <w:rsid w:val="00FA0154"/>
    <w:rsid w:val="00FA0288"/>
    <w:rsid w:val="00FA0C62"/>
    <w:rsid w:val="00FA0F71"/>
    <w:rsid w:val="00FA23E2"/>
    <w:rsid w:val="00FA26BC"/>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46E"/>
    <w:rsid w:val="00FB4629"/>
    <w:rsid w:val="00FB577F"/>
    <w:rsid w:val="00FB5E5D"/>
    <w:rsid w:val="00FB5FC4"/>
    <w:rsid w:val="00FB6A07"/>
    <w:rsid w:val="00FB6FB1"/>
    <w:rsid w:val="00FB739E"/>
    <w:rsid w:val="00FB7460"/>
    <w:rsid w:val="00FB7747"/>
    <w:rsid w:val="00FB7A10"/>
    <w:rsid w:val="00FC0F81"/>
    <w:rsid w:val="00FC3798"/>
    <w:rsid w:val="00FC59AF"/>
    <w:rsid w:val="00FC5C43"/>
    <w:rsid w:val="00FC5F72"/>
    <w:rsid w:val="00FC62B5"/>
    <w:rsid w:val="00FC6B34"/>
    <w:rsid w:val="00FC6D4E"/>
    <w:rsid w:val="00FC7073"/>
    <w:rsid w:val="00FC736F"/>
    <w:rsid w:val="00FD0CDB"/>
    <w:rsid w:val="00FD1FA7"/>
    <w:rsid w:val="00FD2D42"/>
    <w:rsid w:val="00FD30B5"/>
    <w:rsid w:val="00FD3453"/>
    <w:rsid w:val="00FD39CF"/>
    <w:rsid w:val="00FD4B7B"/>
    <w:rsid w:val="00FD4D84"/>
    <w:rsid w:val="00FD5468"/>
    <w:rsid w:val="00FD58F5"/>
    <w:rsid w:val="00FD6287"/>
    <w:rsid w:val="00FD754C"/>
    <w:rsid w:val="00FE0DAE"/>
    <w:rsid w:val="00FE1370"/>
    <w:rsid w:val="00FE1510"/>
    <w:rsid w:val="00FE2121"/>
    <w:rsid w:val="00FE254A"/>
    <w:rsid w:val="00FE321B"/>
    <w:rsid w:val="00FE3D07"/>
    <w:rsid w:val="00FE4411"/>
    <w:rsid w:val="00FE4B6F"/>
    <w:rsid w:val="00FE627E"/>
    <w:rsid w:val="00FE6818"/>
    <w:rsid w:val="00FE6BFB"/>
    <w:rsid w:val="00FF0C90"/>
    <w:rsid w:val="00FF0CF5"/>
    <w:rsid w:val="00FF0D6F"/>
    <w:rsid w:val="00FF0E9E"/>
    <w:rsid w:val="00FF1103"/>
    <w:rsid w:val="00FF1712"/>
    <w:rsid w:val="00FF213D"/>
    <w:rsid w:val="00FF251D"/>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Guia-ESALES-CCE-V2_2025.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uanseolaya@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normativa-y-relatoria%2Fdocumentos-tipo&amp;data=05%7C02%7Cdiana.saavedra%40colombiacompra.gov.co%7C603e1a9f513d4811571608dd8e333a73%7C7b09041e245149d08cb179d5e3d8c1be%7C0%7C0%7C638823072860963024%7CUnknown%7CTWFpbGZsb3d8eyJFbXB0eU1hcGkiOnRydWUsIlYiOiIwLjAuMDAwMCIsIlAiOiJXaW4zMiIsIkFOIjoiTWFpbCIsIldUIjoyfQ%3D%3D%7C0%7C%7C%7C&amp;sdata=fp9N4g%2BYBZY64k7jz1pO8bHDKeAbWSpXw7SadinZEB8%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81C50D7D-4676-42E4-9B09-DAC2614A9A27}"/>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17</Pages>
  <Words>5958</Words>
  <Characters>32770</Characters>
  <Application>Microsoft Office Word</Application>
  <DocSecurity>0</DocSecurity>
  <Lines>273</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38651</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ANCP - CCE </cp:lastModifiedBy>
  <cp:revision>13</cp:revision>
  <dcterms:created xsi:type="dcterms:W3CDTF">2025-11-27T23:02:00Z</dcterms:created>
  <dcterms:modified xsi:type="dcterms:W3CDTF">2025-11-27T23:17:00Z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