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3CE1B" w14:textId="7216E348" w:rsidR="00E41C98" w:rsidRPr="00E41C98" w:rsidRDefault="00E41C98" w:rsidP="00E41C98">
      <w:pPr>
        <w:jc w:val="both"/>
        <w:rPr>
          <w:rFonts w:ascii="Verdana" w:eastAsia="Times New Roman" w:hAnsi="Verdana" w:cs="Arial"/>
          <w:b/>
          <w:bCs/>
          <w:lang w:eastAsia="es-ES_tradnl"/>
        </w:rPr>
      </w:pPr>
      <w:r w:rsidRPr="00E41C98">
        <w:rPr>
          <w:rFonts w:ascii="Verdana" w:eastAsia="Calibri" w:hAnsi="Verdana" w:cs="Arial"/>
          <w:b/>
          <w:bCs/>
          <w:lang w:val="es-ES" w:eastAsia="es-ES"/>
        </w:rPr>
        <w:t>LEY DE GARANTÍAS ELECTORALES – Finalidad / LEY DE GARANTÍAS ELECTORALES ‒ Restricciones ‒ Contratación ‒ Tipos de elección</w:t>
      </w:r>
    </w:p>
    <w:p w14:paraId="6D8E74BC" w14:textId="77777777" w:rsidR="00E41C98" w:rsidRDefault="00E41C98" w:rsidP="00E41C98">
      <w:pPr>
        <w:spacing w:before="120" w:after="120" w:line="276" w:lineRule="auto"/>
        <w:jc w:val="both"/>
        <w:rPr>
          <w:rFonts w:ascii="Verdana" w:eastAsia="Calibri" w:hAnsi="Verdana" w:cs="Arial"/>
          <w:lang w:val="es-ES"/>
        </w:rPr>
      </w:pPr>
      <w:r w:rsidRPr="00FC6F34">
        <w:rPr>
          <w:rFonts w:ascii="Verdana" w:eastAsia="Calibri" w:hAnsi="Verdana" w:cs="Arial"/>
          <w:color w:val="000000" w:themeColor="text1"/>
          <w:lang w:val="es-ES"/>
        </w:rPr>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 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0924072" w14:textId="0D213AA0" w:rsidR="00E41C98" w:rsidRDefault="00E41C98" w:rsidP="00E41C98">
      <w:pPr>
        <w:jc w:val="both"/>
        <w:rPr>
          <w:rFonts w:ascii="Verdana" w:eastAsia="Calibri" w:hAnsi="Verdana" w:cs="Arial"/>
          <w:lang w:val="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033E8B">
        <w:rPr>
          <w:rFonts w:ascii="Verdana" w:eastAsia="Calibri" w:hAnsi="Verdana" w:cs="Arial"/>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254E0232" w14:textId="77777777" w:rsidR="00E41C98" w:rsidRPr="00E41C98" w:rsidRDefault="00E41C98" w:rsidP="00E41C98">
      <w:pPr>
        <w:spacing w:line="276" w:lineRule="auto"/>
        <w:jc w:val="both"/>
        <w:rPr>
          <w:rFonts w:ascii="Verdana" w:hAnsi="Verdana" w:cs="Arial"/>
          <w:b/>
          <w:bCs/>
          <w:color w:val="000000" w:themeColor="text1"/>
          <w:lang w:val="es-ES"/>
        </w:rPr>
      </w:pPr>
      <w:r w:rsidRPr="00E41C98">
        <w:rPr>
          <w:rFonts w:ascii="Verdana" w:eastAsia="Calibri" w:hAnsi="Verdana" w:cs="Arial"/>
          <w:b/>
          <w:bCs/>
          <w:lang w:val="es-ES" w:eastAsia="es-ES"/>
        </w:rPr>
        <w:t xml:space="preserve">LEY DE GARANTÍAS ELECTORALES ‒ Artículo 33 ‒ Ámbito material – Aplicación – Contratación por Tienda Virtual del Estado Colombiano </w:t>
      </w:r>
    </w:p>
    <w:p w14:paraId="4983F4E2" w14:textId="0962C0A1" w:rsidR="00E41C98" w:rsidRPr="00846808" w:rsidRDefault="00E41C98" w:rsidP="00E41C98">
      <w:pPr>
        <w:widowControl w:val="0"/>
        <w:autoSpaceDE w:val="0"/>
        <w:autoSpaceDN w:val="0"/>
        <w:spacing w:after="120" w:line="276" w:lineRule="auto"/>
        <w:ind w:right="113"/>
        <w:jc w:val="both"/>
        <w:rPr>
          <w:rFonts w:ascii="Verdana" w:eastAsia="Arial" w:hAnsi="Verdana" w:cs="Arial"/>
          <w:lang w:eastAsia="es-ES" w:bidi="es-ES"/>
        </w:rPr>
      </w:pPr>
      <w:r>
        <w:rPr>
          <w:rFonts w:ascii="Verdana" w:eastAsia="Arial" w:hAnsi="Verdana" w:cs="Arial"/>
          <w:lang w:eastAsia="es-ES" w:bidi="es-ES"/>
        </w:rPr>
        <w:t xml:space="preserve">[…] </w:t>
      </w:r>
      <w:r w:rsidRPr="00846808">
        <w:rPr>
          <w:rFonts w:ascii="Verdana" w:eastAsia="Arial" w:hAnsi="Verdana" w:cs="Arial"/>
          <w:lang w:eastAsia="es-ES" w:bidi="es-ES"/>
        </w:rPr>
        <w:t>sobre la contratación mediante la Tienda Virtual del Estado Colombiano (TVEC) durante la vigencia de la Ley de Garantías Electorales, es importante precisar que las restricciones previstas en la Ley 996 de 2005 no implican la suspensión general de la contratación pública ni la paralización de las plataformas transaccionales del Estado. En efecto, la TVEC opera sobre la base de Acuerdos Marco de Precios (AMP), los cuales son instrumentos de agregación de demanda que han surtido previamente un proceso de selección objetivo, público y competitivo, adelantado por Colombia Compra Eficiente. Por lo tanto, las órdenes de compra que las entidades generan a través de la Tienda Virtual no configuran una modalidad de contratación directa, sino la simple ejecución de un mecanismo de contratación ya adjudicado con anterioridad, razón por la cual no se encuentran dentro de las prohibiciones previstas en la Ley de Garantías.</w:t>
      </w:r>
    </w:p>
    <w:p w14:paraId="66564E27" w14:textId="2E869847" w:rsidR="00E41C98" w:rsidRPr="00846808" w:rsidRDefault="00E41C98" w:rsidP="00E41C98">
      <w:pPr>
        <w:widowControl w:val="0"/>
        <w:autoSpaceDE w:val="0"/>
        <w:autoSpaceDN w:val="0"/>
        <w:spacing w:after="120" w:line="276" w:lineRule="auto"/>
        <w:ind w:right="113"/>
        <w:jc w:val="both"/>
        <w:rPr>
          <w:rFonts w:ascii="Verdana" w:eastAsia="Arial" w:hAnsi="Verdana" w:cs="Arial"/>
          <w:lang w:eastAsia="es-ES" w:bidi="es-ES"/>
        </w:rPr>
      </w:pPr>
      <w:r w:rsidRPr="00846808">
        <w:rPr>
          <w:rFonts w:ascii="Verdana" w:eastAsia="Arial" w:hAnsi="Verdana" w:cs="Arial"/>
          <w:lang w:eastAsia="es-ES" w:bidi="es-ES"/>
        </w:rPr>
        <w:t xml:space="preserve">Adicionalmente, </w:t>
      </w:r>
      <w:r>
        <w:rPr>
          <w:rFonts w:ascii="Verdana" w:eastAsia="Arial" w:hAnsi="Verdana" w:cs="Arial"/>
          <w:lang w:eastAsia="es-ES" w:bidi="es-ES"/>
        </w:rPr>
        <w:t>Esta Agencia</w:t>
      </w:r>
      <w:r w:rsidRPr="00846808">
        <w:rPr>
          <w:rFonts w:ascii="Verdana" w:eastAsia="Arial" w:hAnsi="Verdana" w:cs="Arial"/>
          <w:lang w:eastAsia="es-ES" w:bidi="es-ES"/>
        </w:rPr>
        <w:t xml:space="preserve"> ha señalado </w:t>
      </w:r>
      <w:r>
        <w:rPr>
          <w:rFonts w:ascii="Verdana" w:eastAsia="Arial" w:hAnsi="Verdana" w:cs="Arial"/>
          <w:lang w:eastAsia="es-ES" w:bidi="es-ES"/>
        </w:rPr>
        <w:t xml:space="preserve">en diferentes conceptos, </w:t>
      </w:r>
      <w:r w:rsidRPr="00846808">
        <w:rPr>
          <w:rFonts w:ascii="Verdana" w:eastAsia="Arial" w:hAnsi="Verdana" w:cs="Arial"/>
          <w:lang w:eastAsia="es-ES" w:bidi="es-ES"/>
        </w:rPr>
        <w:t xml:space="preserve">que las </w:t>
      </w:r>
      <w:r w:rsidRPr="00846808">
        <w:rPr>
          <w:rFonts w:ascii="Verdana" w:eastAsia="Arial" w:hAnsi="Verdana" w:cs="Arial"/>
          <w:lang w:eastAsia="es-ES" w:bidi="es-ES"/>
        </w:rPr>
        <w:lastRenderedPageBreak/>
        <w:t xml:space="preserve">prohibiciones del artículo 33 de la Ley 996 deben interpretarse de manera restrictiva, lo que significa que no pueden ampliarse a supuestos no previstos expresamente por el legislador. En consecuencia, al no existir una prohibición específica respecto del uso de la Tienda Virtual ni de los Acuerdos Marco durante el periodo de </w:t>
      </w:r>
      <w:r>
        <w:rPr>
          <w:rFonts w:ascii="Verdana" w:eastAsia="Arial" w:hAnsi="Verdana" w:cs="Arial"/>
          <w:lang w:eastAsia="es-ES" w:bidi="es-ES"/>
        </w:rPr>
        <w:t>Ley de G</w:t>
      </w:r>
      <w:r w:rsidRPr="00846808">
        <w:rPr>
          <w:rFonts w:ascii="Verdana" w:eastAsia="Arial" w:hAnsi="Verdana" w:cs="Arial"/>
          <w:lang w:eastAsia="es-ES" w:bidi="es-ES"/>
        </w:rPr>
        <w:t xml:space="preserve">arantías </w:t>
      </w:r>
      <w:r>
        <w:rPr>
          <w:rFonts w:ascii="Verdana" w:eastAsia="Arial" w:hAnsi="Verdana" w:cs="Arial"/>
          <w:lang w:eastAsia="es-ES" w:bidi="es-ES"/>
        </w:rPr>
        <w:t>E</w:t>
      </w:r>
      <w:r w:rsidRPr="00846808">
        <w:rPr>
          <w:rFonts w:ascii="Verdana" w:eastAsia="Arial" w:hAnsi="Verdana" w:cs="Arial"/>
          <w:lang w:eastAsia="es-ES" w:bidi="es-ES"/>
        </w:rPr>
        <w:t>lectorales, las entidades estatales pueden continuar realizando adquisiciones a través de la TVEC sin que ello implique infracción a la normativa electoral.</w:t>
      </w:r>
    </w:p>
    <w:p w14:paraId="03C12FA8" w14:textId="77777777" w:rsidR="00E41C98" w:rsidRPr="00E41C98" w:rsidRDefault="00E41C98" w:rsidP="00E41C98">
      <w:pPr>
        <w:jc w:val="both"/>
        <w:rPr>
          <w:rFonts w:ascii="Verdana" w:eastAsia="Times New Roman" w:hAnsi="Verdana" w:cs="Arial"/>
          <w:lang w:eastAsia="es-ES_tradnl"/>
        </w:rPr>
      </w:pPr>
    </w:p>
    <w:p w14:paraId="48C2843E" w14:textId="77777777" w:rsidR="0099722B" w:rsidRDefault="0099722B" w:rsidP="00AE1852">
      <w:pPr>
        <w:rPr>
          <w:rFonts w:ascii="Verdana" w:eastAsia="Times New Roman" w:hAnsi="Verdana" w:cs="Arial"/>
          <w:lang w:eastAsia="es-ES_tradnl"/>
        </w:rPr>
      </w:pPr>
    </w:p>
    <w:p w14:paraId="74A58E34" w14:textId="77777777" w:rsidR="0099722B" w:rsidRDefault="0099722B" w:rsidP="00AE1852">
      <w:pPr>
        <w:rPr>
          <w:rFonts w:ascii="Verdana" w:eastAsia="Times New Roman" w:hAnsi="Verdana" w:cs="Arial"/>
          <w:lang w:eastAsia="es-ES_tradnl"/>
        </w:rPr>
      </w:pPr>
    </w:p>
    <w:p w14:paraId="47849F0F" w14:textId="77777777" w:rsidR="0099722B" w:rsidRDefault="0099722B" w:rsidP="00AE1852">
      <w:pPr>
        <w:rPr>
          <w:rFonts w:ascii="Verdana" w:eastAsia="Times New Roman" w:hAnsi="Verdana" w:cs="Arial"/>
          <w:lang w:eastAsia="es-ES_tradnl"/>
        </w:rPr>
      </w:pPr>
    </w:p>
    <w:p w14:paraId="5CC58BF6" w14:textId="77777777" w:rsidR="0099722B" w:rsidRDefault="0099722B" w:rsidP="00AE1852">
      <w:pPr>
        <w:rPr>
          <w:rFonts w:ascii="Verdana" w:eastAsia="Times New Roman" w:hAnsi="Verdana" w:cs="Arial"/>
          <w:lang w:eastAsia="es-ES_tradnl"/>
        </w:rPr>
      </w:pPr>
    </w:p>
    <w:p w14:paraId="4382A458" w14:textId="77777777" w:rsidR="0099722B" w:rsidRDefault="0099722B" w:rsidP="00AE1852">
      <w:pPr>
        <w:rPr>
          <w:rFonts w:ascii="Verdana" w:eastAsia="Times New Roman" w:hAnsi="Verdana" w:cs="Arial"/>
          <w:lang w:eastAsia="es-ES_tradnl"/>
        </w:rPr>
      </w:pPr>
    </w:p>
    <w:p w14:paraId="230AEF73" w14:textId="77777777" w:rsidR="0099722B" w:rsidRDefault="0099722B" w:rsidP="00AE1852">
      <w:pPr>
        <w:rPr>
          <w:rFonts w:ascii="Verdana" w:eastAsia="Times New Roman" w:hAnsi="Verdana" w:cs="Arial"/>
          <w:lang w:eastAsia="es-ES_tradnl"/>
        </w:rPr>
      </w:pPr>
    </w:p>
    <w:p w14:paraId="4F75D265" w14:textId="77777777" w:rsidR="0099722B" w:rsidRDefault="0099722B" w:rsidP="00AE1852">
      <w:pPr>
        <w:rPr>
          <w:rFonts w:ascii="Verdana" w:eastAsia="Times New Roman" w:hAnsi="Verdana" w:cs="Arial"/>
          <w:lang w:eastAsia="es-ES_tradnl"/>
        </w:rPr>
      </w:pPr>
    </w:p>
    <w:p w14:paraId="291D22A2" w14:textId="77777777" w:rsidR="0099722B" w:rsidRDefault="0099722B" w:rsidP="00AE1852">
      <w:pPr>
        <w:rPr>
          <w:rFonts w:ascii="Verdana" w:eastAsia="Times New Roman" w:hAnsi="Verdana" w:cs="Arial"/>
          <w:lang w:eastAsia="es-ES_tradnl"/>
        </w:rPr>
      </w:pPr>
    </w:p>
    <w:p w14:paraId="1E3BD991" w14:textId="77777777" w:rsidR="0099722B" w:rsidRDefault="0099722B" w:rsidP="00AE1852">
      <w:pPr>
        <w:rPr>
          <w:rFonts w:ascii="Verdana" w:eastAsia="Times New Roman" w:hAnsi="Verdana" w:cs="Arial"/>
          <w:lang w:eastAsia="es-ES_tradnl"/>
        </w:rPr>
      </w:pPr>
    </w:p>
    <w:p w14:paraId="69179E70" w14:textId="77777777" w:rsidR="0099722B" w:rsidRDefault="0099722B" w:rsidP="00AE1852">
      <w:pPr>
        <w:rPr>
          <w:rFonts w:ascii="Verdana" w:eastAsia="Times New Roman" w:hAnsi="Verdana" w:cs="Arial"/>
          <w:lang w:eastAsia="es-ES_tradnl"/>
        </w:rPr>
      </w:pPr>
    </w:p>
    <w:p w14:paraId="3283594D" w14:textId="77777777" w:rsidR="0099722B" w:rsidRDefault="0099722B" w:rsidP="00AE1852">
      <w:pPr>
        <w:rPr>
          <w:rFonts w:ascii="Verdana" w:eastAsia="Times New Roman" w:hAnsi="Verdana" w:cs="Arial"/>
          <w:lang w:eastAsia="es-ES_tradnl"/>
        </w:rPr>
      </w:pPr>
    </w:p>
    <w:p w14:paraId="160C493A" w14:textId="77777777" w:rsidR="0099722B" w:rsidRDefault="0099722B" w:rsidP="00AE1852">
      <w:pPr>
        <w:rPr>
          <w:rFonts w:ascii="Verdana" w:eastAsia="Times New Roman" w:hAnsi="Verdana" w:cs="Arial"/>
          <w:lang w:eastAsia="es-ES_tradnl"/>
        </w:rPr>
      </w:pPr>
    </w:p>
    <w:p w14:paraId="78466626" w14:textId="77777777" w:rsidR="0099722B" w:rsidRDefault="0099722B" w:rsidP="00AE1852">
      <w:pPr>
        <w:rPr>
          <w:rFonts w:ascii="Verdana" w:eastAsia="Times New Roman" w:hAnsi="Verdana" w:cs="Arial"/>
          <w:lang w:eastAsia="es-ES_tradnl"/>
        </w:rPr>
      </w:pPr>
    </w:p>
    <w:p w14:paraId="37317CFF" w14:textId="77777777" w:rsidR="0099722B" w:rsidRDefault="0099722B" w:rsidP="00AE1852">
      <w:pPr>
        <w:rPr>
          <w:rFonts w:ascii="Verdana" w:eastAsia="Times New Roman" w:hAnsi="Verdana" w:cs="Arial"/>
          <w:lang w:eastAsia="es-ES_tradnl"/>
        </w:rPr>
      </w:pPr>
    </w:p>
    <w:p w14:paraId="70B205AD" w14:textId="77777777" w:rsidR="0099722B" w:rsidRDefault="0099722B" w:rsidP="00AE1852">
      <w:pPr>
        <w:rPr>
          <w:rFonts w:ascii="Verdana" w:eastAsia="Times New Roman" w:hAnsi="Verdana" w:cs="Arial"/>
          <w:lang w:eastAsia="es-ES_tradnl"/>
        </w:rPr>
      </w:pPr>
    </w:p>
    <w:p w14:paraId="5FDB63D8" w14:textId="77777777" w:rsidR="0099722B" w:rsidRDefault="0099722B" w:rsidP="00AE1852">
      <w:pPr>
        <w:rPr>
          <w:rFonts w:ascii="Verdana" w:eastAsia="Times New Roman" w:hAnsi="Verdana" w:cs="Arial"/>
          <w:lang w:eastAsia="es-ES_tradnl"/>
        </w:rPr>
      </w:pPr>
    </w:p>
    <w:p w14:paraId="49BD74E8" w14:textId="77777777" w:rsidR="0099722B" w:rsidRDefault="0099722B" w:rsidP="00AE1852">
      <w:pPr>
        <w:rPr>
          <w:rFonts w:ascii="Verdana" w:eastAsia="Times New Roman" w:hAnsi="Verdana" w:cs="Arial"/>
          <w:lang w:eastAsia="es-ES_tradnl"/>
        </w:rPr>
      </w:pPr>
    </w:p>
    <w:p w14:paraId="5B028A48" w14:textId="77777777" w:rsidR="0099722B" w:rsidRDefault="0099722B" w:rsidP="00AE1852">
      <w:pPr>
        <w:rPr>
          <w:rFonts w:ascii="Verdana" w:eastAsia="Times New Roman" w:hAnsi="Verdana" w:cs="Arial"/>
          <w:lang w:eastAsia="es-ES_tradnl"/>
        </w:rPr>
      </w:pPr>
    </w:p>
    <w:p w14:paraId="401AD677" w14:textId="77777777" w:rsidR="0099722B" w:rsidRDefault="0099722B" w:rsidP="00AE1852">
      <w:pPr>
        <w:rPr>
          <w:rFonts w:ascii="Verdana" w:eastAsia="Times New Roman" w:hAnsi="Verdana" w:cs="Arial"/>
          <w:lang w:eastAsia="es-ES_tradnl"/>
        </w:rPr>
      </w:pPr>
    </w:p>
    <w:p w14:paraId="5017360A" w14:textId="77777777" w:rsidR="0099722B" w:rsidRDefault="0099722B" w:rsidP="00AE1852">
      <w:pPr>
        <w:rPr>
          <w:rFonts w:ascii="Verdana" w:eastAsia="Times New Roman" w:hAnsi="Verdana" w:cs="Arial"/>
          <w:lang w:eastAsia="es-ES_tradnl"/>
        </w:rPr>
      </w:pPr>
    </w:p>
    <w:p w14:paraId="03CD194E" w14:textId="52211B68" w:rsidR="00AE1852" w:rsidRPr="006F44C3" w:rsidRDefault="00AE1852" w:rsidP="00AE1852">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99722B">
        <w:rPr>
          <w:rFonts w:ascii="Verdana" w:eastAsia="Times New Roman" w:hAnsi="Verdana" w:cs="Arial"/>
          <w:lang w:eastAsia="es-ES_tradnl"/>
        </w:rPr>
        <w:t>21</w:t>
      </w:r>
      <w:r w:rsidRPr="00093B55">
        <w:rPr>
          <w:rFonts w:ascii="Verdana" w:eastAsia="Times New Roman" w:hAnsi="Verdana" w:cs="Arial"/>
          <w:lang w:eastAsia="es-ES_tradnl"/>
        </w:rPr>
        <w:t xml:space="preserve"> de </w:t>
      </w:r>
      <w:r w:rsidR="0099722B">
        <w:rPr>
          <w:rFonts w:ascii="Verdana" w:eastAsia="Times New Roman" w:hAnsi="Verdana" w:cs="Arial"/>
          <w:lang w:eastAsia="es-ES_tradnl"/>
        </w:rPr>
        <w:t>noviembre</w:t>
      </w:r>
      <w:r w:rsidRPr="00093B55">
        <w:rPr>
          <w:rFonts w:ascii="Verdana" w:eastAsia="Times New Roman" w:hAnsi="Verdana" w:cs="Arial"/>
          <w:lang w:eastAsia="es-ES_tradnl"/>
        </w:rPr>
        <w:t xml:space="preserve"> de </w:t>
      </w:r>
      <w:r w:rsidR="0099722B">
        <w:rPr>
          <w:rFonts w:ascii="Verdana" w:eastAsia="Times New Roman" w:hAnsi="Verdana" w:cs="Arial"/>
          <w:lang w:eastAsia="es-ES_tradnl"/>
        </w:rPr>
        <w:t>2025</w:t>
      </w:r>
    </w:p>
    <w:p w14:paraId="09F67070" w14:textId="2D43D265" w:rsidR="004B6767" w:rsidRPr="00AE1852" w:rsidRDefault="0099722B" w:rsidP="0099722B">
      <w:pPr>
        <w:spacing w:after="0"/>
        <w:ind w:left="5664"/>
        <w:rPr>
          <w:rFonts w:ascii="Verdana" w:hAnsi="Verdana"/>
        </w:rPr>
      </w:pPr>
      <w:r w:rsidRPr="0099722B">
        <w:rPr>
          <w:rFonts w:ascii="Verdana" w:hAnsi="Verdana"/>
          <w:noProof/>
        </w:rPr>
        <w:drawing>
          <wp:inline distT="0" distB="0" distL="0" distR="0" wp14:anchorId="1DEB4077" wp14:editId="590E86A9">
            <wp:extent cx="2486025" cy="745808"/>
            <wp:effectExtent l="0" t="0" r="0" b="0"/>
            <wp:docPr id="13873538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353845" name=""/>
                    <pic:cNvPicPr/>
                  </pic:nvPicPr>
                  <pic:blipFill>
                    <a:blip r:embed="rId11"/>
                    <a:stretch>
                      <a:fillRect/>
                    </a:stretch>
                  </pic:blipFill>
                  <pic:spPr>
                    <a:xfrm>
                      <a:off x="0" y="0"/>
                      <a:ext cx="2497226" cy="749168"/>
                    </a:xfrm>
                    <a:prstGeom prst="rect">
                      <a:avLst/>
                    </a:prstGeom>
                  </pic:spPr>
                </pic:pic>
              </a:graphicData>
            </a:graphic>
          </wp:inline>
        </w:drawing>
      </w:r>
    </w:p>
    <w:p w14:paraId="4E441E27" w14:textId="6E2982B9" w:rsidR="004B6767" w:rsidRPr="00FC6F34" w:rsidRDefault="004B6767" w:rsidP="004B6767">
      <w:pPr>
        <w:spacing w:after="0" w:line="240" w:lineRule="auto"/>
        <w:rPr>
          <w:rFonts w:ascii="Verdana" w:hAnsi="Verdana"/>
          <w:lang w:val="es-ES"/>
        </w:rPr>
      </w:pPr>
      <w:bookmarkStart w:id="0" w:name="_Hlk143780582"/>
      <w:r w:rsidRPr="00FC6F34">
        <w:rPr>
          <w:rFonts w:ascii="Verdana" w:eastAsia="Calibri" w:hAnsi="Verdana" w:cs="Arial"/>
          <w:color w:val="000000" w:themeColor="text1"/>
          <w:lang w:val="es-ES" w:eastAsia="es-ES"/>
        </w:rPr>
        <w:t>Señor</w:t>
      </w:r>
    </w:p>
    <w:p w14:paraId="482ACB7C" w14:textId="7A57AD07" w:rsidR="00AE1852" w:rsidRPr="00AE1852" w:rsidRDefault="00AE1852" w:rsidP="00AE1852">
      <w:pPr>
        <w:spacing w:after="0" w:line="240" w:lineRule="auto"/>
        <w:rPr>
          <w:rFonts w:ascii="Verdana" w:eastAsia="Calibri" w:hAnsi="Verdana" w:cs="Arial"/>
          <w:b/>
          <w:bCs/>
          <w:color w:val="000000" w:themeColor="text1"/>
          <w:lang w:eastAsia="es-ES"/>
        </w:rPr>
      </w:pPr>
      <w:r w:rsidRPr="00AE1852">
        <w:rPr>
          <w:rFonts w:ascii="Verdana" w:eastAsia="Calibri" w:hAnsi="Verdana" w:cs="Arial"/>
          <w:b/>
          <w:bCs/>
          <w:color w:val="000000" w:themeColor="text1"/>
          <w:lang w:eastAsia="es-ES"/>
        </w:rPr>
        <w:t>Andrés Mauricio Álvarez Rodríguez</w:t>
      </w:r>
    </w:p>
    <w:p w14:paraId="29040D50" w14:textId="77777777" w:rsidR="00AE1852" w:rsidRPr="00AE1852" w:rsidRDefault="00AE1852" w:rsidP="004B6767">
      <w:pPr>
        <w:spacing w:after="0"/>
        <w:rPr>
          <w:rFonts w:ascii="Verdana" w:hAnsi="Verdana"/>
        </w:rPr>
      </w:pPr>
      <w:hyperlink r:id="rId12" w:history="1">
        <w:r w:rsidRPr="00AE1852">
          <w:rPr>
            <w:rStyle w:val="Hipervnculo"/>
            <w:rFonts w:ascii="Verdana" w:hAnsi="Verdana"/>
          </w:rPr>
          <w:t>fieldfoodiadga@gmail.com</w:t>
        </w:r>
      </w:hyperlink>
    </w:p>
    <w:p w14:paraId="15E25282" w14:textId="584442EC" w:rsidR="004B6767" w:rsidRPr="00FC6F34" w:rsidRDefault="00AE1852" w:rsidP="004B6767">
      <w:pPr>
        <w:spacing w:after="0"/>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Ciudad.</w:t>
      </w:r>
    </w:p>
    <w:p w14:paraId="2683F0FD" w14:textId="77777777" w:rsidR="004B6767" w:rsidRPr="00FC6F34" w:rsidRDefault="004B6767" w:rsidP="004B6767">
      <w:pPr>
        <w:spacing w:after="0" w:line="240" w:lineRule="auto"/>
        <w:rPr>
          <w:rFonts w:ascii="Verdana" w:eastAsia="Calibri" w:hAnsi="Verdana" w:cs="Arial"/>
          <w:b/>
          <w:color w:val="000000" w:themeColor="text1"/>
          <w:lang w:val="es-ES" w:eastAsia="es-ES"/>
        </w:rPr>
      </w:pPr>
    </w:p>
    <w:p w14:paraId="2EC0D062" w14:textId="77777777" w:rsidR="004B6767" w:rsidRPr="00FC6F34" w:rsidRDefault="004B6767" w:rsidP="004B6767">
      <w:pPr>
        <w:spacing w:after="0" w:line="240" w:lineRule="auto"/>
        <w:rPr>
          <w:rFonts w:ascii="Verdana" w:eastAsia="Calibri" w:hAnsi="Verdana" w:cs="Arial"/>
          <w:b/>
          <w:bCs/>
          <w:color w:val="000000" w:themeColor="text1"/>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B6767" w:rsidRPr="00FC6F34" w14:paraId="0D607849" w14:textId="77777777" w:rsidTr="00E67E18">
        <w:trPr>
          <w:trHeight w:val="300"/>
        </w:trPr>
        <w:tc>
          <w:tcPr>
            <w:tcW w:w="2410" w:type="dxa"/>
          </w:tcPr>
          <w:p w14:paraId="36071B77" w14:textId="77777777" w:rsidR="004B6767" w:rsidRPr="00FC6F34" w:rsidRDefault="004B6767" w:rsidP="00E67E18">
            <w:pPr>
              <w:ind w:left="-142"/>
              <w:jc w:val="both"/>
              <w:rPr>
                <w:rFonts w:ascii="Verdana" w:eastAsia="Calibri" w:hAnsi="Verdana" w:cs="Arial"/>
                <w:b/>
                <w:bCs/>
                <w:color w:val="000000" w:themeColor="text1"/>
                <w:lang w:val="es-ES" w:eastAsia="es-ES_tradnl"/>
              </w:rPr>
            </w:pPr>
          </w:p>
        </w:tc>
        <w:tc>
          <w:tcPr>
            <w:tcW w:w="6100" w:type="dxa"/>
          </w:tcPr>
          <w:p w14:paraId="49B5723B" w14:textId="3C0ADE07" w:rsidR="004B6767" w:rsidRPr="00FC6F34" w:rsidRDefault="004B6767" w:rsidP="00E67E18">
            <w:pPr>
              <w:ind w:left="3"/>
              <w:jc w:val="both"/>
              <w:rPr>
                <w:rFonts w:ascii="Verdana" w:eastAsia="Calibri" w:hAnsi="Verdana" w:cs="Arial"/>
                <w:b/>
                <w:bCs/>
                <w:color w:val="000000" w:themeColor="text1"/>
                <w:lang w:val="es-ES" w:eastAsia="es-ES"/>
              </w:rPr>
            </w:pPr>
            <w:r w:rsidRPr="00FC6F34">
              <w:rPr>
                <w:rFonts w:ascii="Verdana" w:eastAsia="Calibri" w:hAnsi="Verdana" w:cs="Arial"/>
                <w:b/>
                <w:bCs/>
                <w:color w:val="000000" w:themeColor="text1"/>
                <w:lang w:val="es-ES" w:eastAsia="es-ES"/>
              </w:rPr>
              <w:t xml:space="preserve">Concepto </w:t>
            </w:r>
            <w:r w:rsidR="00AE1852" w:rsidRPr="00AE1852">
              <w:rPr>
                <w:rFonts w:ascii="Verdana" w:eastAsia="Calibri" w:hAnsi="Verdana" w:cs="Arial"/>
                <w:b/>
                <w:bCs/>
                <w:color w:val="000000" w:themeColor="text1"/>
                <w:lang w:val="es-ES" w:eastAsia="es-ES"/>
              </w:rPr>
              <w:t>C-1536</w:t>
            </w:r>
            <w:r w:rsidR="00AE1852">
              <w:rPr>
                <w:rFonts w:ascii="Verdana" w:eastAsia="Calibri" w:hAnsi="Verdana" w:cs="Arial"/>
                <w:b/>
                <w:bCs/>
                <w:color w:val="000000" w:themeColor="text1"/>
                <w:lang w:val="es-ES" w:eastAsia="es-ES"/>
              </w:rPr>
              <w:t xml:space="preserve"> </w:t>
            </w:r>
            <w:r w:rsidRPr="00FC6F34">
              <w:rPr>
                <w:rFonts w:ascii="Verdana" w:eastAsia="Calibri" w:hAnsi="Verdana" w:cs="Arial"/>
                <w:b/>
                <w:bCs/>
                <w:color w:val="000000" w:themeColor="text1"/>
                <w:lang w:val="es-ES" w:eastAsia="es-ES"/>
              </w:rPr>
              <w:t>de 2025</w:t>
            </w:r>
          </w:p>
          <w:p w14:paraId="50EC1EA5" w14:textId="77777777" w:rsidR="004B6767" w:rsidRPr="00FC6F34" w:rsidRDefault="004B6767" w:rsidP="00E67E18">
            <w:pPr>
              <w:ind w:left="3"/>
              <w:jc w:val="both"/>
              <w:rPr>
                <w:rFonts w:ascii="Verdana" w:eastAsia="Calibri" w:hAnsi="Verdana" w:cs="Arial"/>
                <w:b/>
                <w:bCs/>
                <w:color w:val="000000" w:themeColor="text1"/>
                <w:lang w:val="es-ES" w:eastAsia="es-ES"/>
              </w:rPr>
            </w:pPr>
          </w:p>
        </w:tc>
      </w:tr>
      <w:tr w:rsidR="004B6767" w:rsidRPr="00FC6F34" w14:paraId="76159873" w14:textId="77777777" w:rsidTr="00E67E18">
        <w:trPr>
          <w:trHeight w:val="300"/>
        </w:trPr>
        <w:tc>
          <w:tcPr>
            <w:tcW w:w="2410" w:type="dxa"/>
          </w:tcPr>
          <w:p w14:paraId="48F341EA" w14:textId="77777777" w:rsidR="004B6767" w:rsidRPr="00FC6F34" w:rsidRDefault="004B6767" w:rsidP="00E67E18">
            <w:pPr>
              <w:ind w:left="424" w:firstLine="142"/>
              <w:jc w:val="both"/>
              <w:rPr>
                <w:rFonts w:ascii="Verdana" w:eastAsia="Calibri" w:hAnsi="Verdana" w:cs="Arial"/>
                <w:color w:val="000000" w:themeColor="text1"/>
                <w:lang w:val="es-ES" w:eastAsia="es-ES_tradnl"/>
              </w:rPr>
            </w:pPr>
            <w:r w:rsidRPr="00FC6F34">
              <w:rPr>
                <w:rFonts w:ascii="Verdana" w:eastAsia="Calibri" w:hAnsi="Verdana" w:cs="Arial"/>
                <w:b/>
                <w:color w:val="000000" w:themeColor="text1"/>
                <w:lang w:val="es-ES" w:eastAsia="es-ES_tradnl"/>
              </w:rPr>
              <w:t>Temas:</w:t>
            </w:r>
            <w:r w:rsidRPr="00FC6F34">
              <w:rPr>
                <w:rFonts w:ascii="Verdana" w:eastAsia="Calibri" w:hAnsi="Verdana" w:cs="Arial"/>
                <w:color w:val="000000" w:themeColor="text1"/>
                <w:lang w:val="es-ES" w:eastAsia="es-ES_tradnl"/>
              </w:rPr>
              <w:t xml:space="preserve">                  </w:t>
            </w:r>
          </w:p>
        </w:tc>
        <w:tc>
          <w:tcPr>
            <w:tcW w:w="6100" w:type="dxa"/>
          </w:tcPr>
          <w:p w14:paraId="1A274111" w14:textId="6A9DCF78" w:rsidR="004B6767" w:rsidRDefault="004B6767" w:rsidP="00E67E18">
            <w:pPr>
              <w:spacing w:line="276" w:lineRule="auto"/>
              <w:jc w:val="both"/>
              <w:rPr>
                <w:rFonts w:ascii="Verdana" w:hAnsi="Verdana" w:cs="Arial"/>
                <w:color w:val="000000" w:themeColor="text1"/>
                <w:lang w:val="es-ES"/>
              </w:rPr>
            </w:pPr>
            <w:r w:rsidRPr="00686D64">
              <w:rPr>
                <w:rFonts w:ascii="Verdana" w:eastAsia="Calibri" w:hAnsi="Verdana" w:cs="Arial"/>
                <w:lang w:val="es-ES" w:eastAsia="es-ES"/>
              </w:rPr>
              <w:t>LEY DE GARANTÍAS ELECTORALES – Finalidad / LEY DE GARANTÍAS ELECTORALES ‒ Restricciones ‒ Contratación ‒ Tipos de elección / LEY DE GARANTÍAS ELECTORALES ‒ Artículo 33 ‒ Ámbito material</w:t>
            </w:r>
            <w:r w:rsidR="00AE1852">
              <w:rPr>
                <w:rFonts w:ascii="Verdana" w:eastAsia="Calibri" w:hAnsi="Verdana" w:cs="Arial"/>
                <w:lang w:val="es-ES" w:eastAsia="es-ES"/>
              </w:rPr>
              <w:t xml:space="preserve"> </w:t>
            </w:r>
            <w:r w:rsidRPr="00686D64">
              <w:rPr>
                <w:rFonts w:ascii="Verdana" w:eastAsia="Calibri" w:hAnsi="Verdana" w:cs="Arial"/>
                <w:lang w:val="es-ES" w:eastAsia="es-ES"/>
              </w:rPr>
              <w:t xml:space="preserve">– Aplicación – </w:t>
            </w:r>
            <w:r w:rsidR="00AE1852" w:rsidRPr="00686D64">
              <w:rPr>
                <w:rFonts w:ascii="Verdana" w:eastAsia="Calibri" w:hAnsi="Verdana" w:cs="Arial"/>
                <w:lang w:val="es-ES" w:eastAsia="es-ES"/>
              </w:rPr>
              <w:t xml:space="preserve">Contratación </w:t>
            </w:r>
            <w:r w:rsidR="00AE1852">
              <w:rPr>
                <w:rFonts w:ascii="Verdana" w:eastAsia="Calibri" w:hAnsi="Verdana" w:cs="Arial"/>
                <w:lang w:val="es-ES" w:eastAsia="es-ES"/>
              </w:rPr>
              <w:t>por Tienda Virtual del Estado Colombiano</w:t>
            </w:r>
            <w:r w:rsidRPr="00686D64">
              <w:rPr>
                <w:rFonts w:ascii="Verdana" w:eastAsia="Calibri" w:hAnsi="Verdana" w:cs="Arial"/>
                <w:lang w:val="es-ES" w:eastAsia="es-ES"/>
              </w:rPr>
              <w:t xml:space="preserve"> </w:t>
            </w:r>
          </w:p>
          <w:p w14:paraId="37348D18" w14:textId="77777777" w:rsidR="00203F4C" w:rsidRPr="00686D64" w:rsidRDefault="00203F4C" w:rsidP="00E67E18">
            <w:pPr>
              <w:spacing w:line="276" w:lineRule="auto"/>
              <w:jc w:val="both"/>
              <w:rPr>
                <w:rFonts w:ascii="Verdana" w:eastAsia="Calibri" w:hAnsi="Verdana" w:cs="Arial"/>
                <w:color w:val="000000" w:themeColor="text1"/>
                <w:lang w:val="es-ES" w:eastAsia="es-ES"/>
              </w:rPr>
            </w:pPr>
          </w:p>
        </w:tc>
      </w:tr>
      <w:tr w:rsidR="004B6767" w:rsidRPr="00FC6F34" w14:paraId="647D498E" w14:textId="77777777" w:rsidTr="005828ED">
        <w:trPr>
          <w:trHeight w:val="388"/>
        </w:trPr>
        <w:tc>
          <w:tcPr>
            <w:tcW w:w="2410" w:type="dxa"/>
          </w:tcPr>
          <w:p w14:paraId="35865F9A" w14:textId="77777777" w:rsidR="004B6767" w:rsidRPr="00FC6F34" w:rsidRDefault="004B6767" w:rsidP="00E67E18">
            <w:pPr>
              <w:ind w:left="561"/>
              <w:jc w:val="both"/>
              <w:rPr>
                <w:rFonts w:ascii="Verdana" w:eastAsia="Calibri" w:hAnsi="Verdana" w:cs="Arial"/>
                <w:b/>
                <w:color w:val="000000" w:themeColor="text1"/>
                <w:lang w:val="es-ES" w:eastAsia="es-ES_tradnl"/>
              </w:rPr>
            </w:pPr>
            <w:r w:rsidRPr="00FC6F34">
              <w:rPr>
                <w:rFonts w:ascii="Verdana" w:eastAsia="Calibri" w:hAnsi="Verdana" w:cs="Arial"/>
                <w:b/>
                <w:color w:val="000000" w:themeColor="text1"/>
                <w:lang w:val="es-ES" w:eastAsia="es-ES_tradnl"/>
              </w:rPr>
              <w:t>Radicación:</w:t>
            </w:r>
            <w:r w:rsidRPr="00FC6F34">
              <w:rPr>
                <w:rFonts w:ascii="Verdana" w:eastAsia="Calibri" w:hAnsi="Verdana" w:cs="Arial"/>
                <w:color w:val="000000" w:themeColor="text1"/>
                <w:lang w:val="es-ES" w:eastAsia="es-ES_tradnl"/>
              </w:rPr>
              <w:t xml:space="preserve">              </w:t>
            </w:r>
          </w:p>
        </w:tc>
        <w:tc>
          <w:tcPr>
            <w:tcW w:w="6100" w:type="dxa"/>
          </w:tcPr>
          <w:p w14:paraId="7F0E591A" w14:textId="5403E862" w:rsidR="004B6767" w:rsidRPr="00FC6F34" w:rsidRDefault="004B6767" w:rsidP="00E67E18">
            <w:pPr>
              <w:ind w:left="3"/>
              <w:jc w:val="both"/>
              <w:rPr>
                <w:rFonts w:ascii="Verdana" w:hAnsi="Verdana"/>
                <w:color w:val="000000"/>
                <w:lang w:val="es-ES"/>
              </w:rPr>
            </w:pPr>
            <w:r w:rsidRPr="00FC6F34">
              <w:rPr>
                <w:rFonts w:ascii="Verdana" w:eastAsia="Calibri" w:hAnsi="Verdana" w:cs="Arial"/>
                <w:color w:val="000000" w:themeColor="text1"/>
                <w:lang w:val="es-ES" w:eastAsia="es-ES"/>
              </w:rPr>
              <w:t xml:space="preserve">Respuesta a consulta con radicado No. </w:t>
            </w:r>
            <w:r w:rsidR="00AE1852" w:rsidRPr="00AE1852">
              <w:rPr>
                <w:rFonts w:ascii="Verdana" w:eastAsia="Calibri" w:hAnsi="Verdana" w:cs="Arial"/>
                <w:color w:val="000000" w:themeColor="text1"/>
                <w:lang w:val="es-ES" w:eastAsia="es-ES"/>
              </w:rPr>
              <w:t>1_2025_10_20_011736</w:t>
            </w:r>
          </w:p>
        </w:tc>
      </w:tr>
    </w:tbl>
    <w:p w14:paraId="357BCA64" w14:textId="77777777" w:rsidR="004B6767" w:rsidRPr="00FC6F34" w:rsidRDefault="004B6767" w:rsidP="004B6767">
      <w:pPr>
        <w:spacing w:after="0" w:line="276" w:lineRule="auto"/>
        <w:jc w:val="both"/>
        <w:rPr>
          <w:rFonts w:ascii="Verdana" w:eastAsia="Calibri" w:hAnsi="Verdana" w:cs="Arial"/>
          <w:color w:val="000000" w:themeColor="text1"/>
          <w:lang w:val="es-ES" w:eastAsia="es-ES"/>
        </w:rPr>
      </w:pPr>
    </w:p>
    <w:p w14:paraId="69103731" w14:textId="77777777" w:rsidR="004B6767" w:rsidRPr="00FC6F34" w:rsidRDefault="004B6767" w:rsidP="004B6767">
      <w:pPr>
        <w:spacing w:after="0" w:line="276" w:lineRule="auto"/>
        <w:jc w:val="both"/>
        <w:rPr>
          <w:rFonts w:ascii="Verdana" w:eastAsia="Calibri" w:hAnsi="Verdana" w:cs="Arial"/>
          <w:color w:val="000000" w:themeColor="text1"/>
          <w:lang w:val="es-ES" w:eastAsia="es-ES"/>
        </w:rPr>
      </w:pPr>
    </w:p>
    <w:p w14:paraId="2E223CFA" w14:textId="224C0B13" w:rsidR="004B6767" w:rsidRPr="00FC6F34" w:rsidRDefault="004B6767" w:rsidP="004B676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Estimad</w:t>
      </w:r>
      <w:r w:rsidR="00AE1852">
        <w:rPr>
          <w:rFonts w:ascii="Verdana" w:eastAsia="Calibri" w:hAnsi="Verdana" w:cs="Arial"/>
          <w:color w:val="000000" w:themeColor="text1"/>
          <w:lang w:val="es-ES" w:eastAsia="es-ES"/>
        </w:rPr>
        <w:t>o</w:t>
      </w:r>
      <w:r w:rsidRPr="00FC6F34">
        <w:rPr>
          <w:rFonts w:ascii="Verdana" w:eastAsia="Calibri" w:hAnsi="Verdana" w:cs="Arial"/>
          <w:color w:val="000000" w:themeColor="text1"/>
          <w:lang w:val="es-ES" w:eastAsia="es-ES"/>
        </w:rPr>
        <w:t xml:space="preserve"> señor </w:t>
      </w:r>
      <w:r w:rsidR="00AE1852">
        <w:rPr>
          <w:rFonts w:ascii="Verdana" w:eastAsia="Calibri" w:hAnsi="Verdana" w:cs="Arial"/>
          <w:color w:val="000000" w:themeColor="text1"/>
          <w:lang w:val="es-ES" w:eastAsia="es-ES"/>
        </w:rPr>
        <w:t>Álvar</w:t>
      </w:r>
      <w:r w:rsidR="00AE1852" w:rsidRPr="00FC6F34">
        <w:rPr>
          <w:rFonts w:ascii="Verdana" w:eastAsia="Calibri" w:hAnsi="Verdana" w:cs="Arial"/>
          <w:color w:val="000000" w:themeColor="text1"/>
          <w:lang w:val="es-ES" w:eastAsia="es-ES"/>
        </w:rPr>
        <w:t>ez</w:t>
      </w:r>
      <w:r w:rsidRPr="00FC6F34">
        <w:rPr>
          <w:rFonts w:ascii="Verdana" w:eastAsia="Calibri" w:hAnsi="Verdana" w:cs="Arial"/>
          <w:color w:val="000000" w:themeColor="text1"/>
          <w:lang w:val="es-ES" w:eastAsia="es-ES"/>
        </w:rPr>
        <w:t xml:space="preserve">: </w:t>
      </w:r>
    </w:p>
    <w:p w14:paraId="728A050E" w14:textId="77777777" w:rsidR="004B6767" w:rsidRPr="00FC6F34" w:rsidRDefault="004B6767" w:rsidP="004B6767">
      <w:pPr>
        <w:tabs>
          <w:tab w:val="left" w:pos="3768"/>
        </w:tabs>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ab/>
      </w:r>
    </w:p>
    <w:p w14:paraId="33F0D9CE" w14:textId="172568EE" w:rsidR="004B6767" w:rsidRPr="00FC6F34" w:rsidRDefault="004B6767" w:rsidP="004B6767">
      <w:pPr>
        <w:spacing w:after="0" w:line="276" w:lineRule="auto"/>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En ejercicio de la competencia otorgada por los artículos 3, numeral 5º, y 11, numeral 8º, del Decreto Ley 4170 de 2011,</w:t>
      </w:r>
      <w:r w:rsidRPr="00FC6F34">
        <w:rPr>
          <w:rFonts w:ascii="Verdana" w:eastAsia="Arial MT" w:hAnsi="Verdana" w:cs="Arial MT"/>
          <w:color w:val="000000" w:themeColor="text1"/>
          <w:lang w:val="es-ES" w:eastAsia="es-ES"/>
        </w:rPr>
        <w:t xml:space="preserve"> </w:t>
      </w:r>
      <w:r w:rsidRPr="00FC6F34">
        <w:rPr>
          <w:rFonts w:ascii="Verdana" w:hAnsi="Verdana" w:cs="Arial"/>
          <w:color w:val="000000" w:themeColor="text1"/>
          <w:lang w:val="es-ES"/>
        </w:rPr>
        <w:t xml:space="preserve">así como lo establecido </w:t>
      </w:r>
      <w:r w:rsidR="002E3B20">
        <w:rPr>
          <w:rFonts w:ascii="Verdana" w:hAnsi="Verdana" w:cs="Arial"/>
          <w:color w:val="000000" w:themeColor="text1"/>
          <w:lang w:val="es-ES"/>
        </w:rPr>
        <w:t>Resolución N°469 de 2025</w:t>
      </w:r>
      <w:r w:rsidRPr="00FC6F34">
        <w:rPr>
          <w:rFonts w:ascii="Verdana" w:hAnsi="Verdana" w:cs="Arial"/>
          <w:color w:val="000000" w:themeColor="text1"/>
          <w:lang w:val="es-ES"/>
        </w:rPr>
        <w:t xml:space="preserve"> expedida por esta Entidad, </w:t>
      </w:r>
      <w:r w:rsidRPr="00FC6F34">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AE1852">
        <w:rPr>
          <w:rFonts w:ascii="Verdana" w:eastAsia="Calibri" w:hAnsi="Verdana" w:cs="Arial"/>
          <w:color w:val="000000" w:themeColor="text1"/>
          <w:lang w:val="es-ES" w:eastAsia="es-ES"/>
        </w:rPr>
        <w:t>20</w:t>
      </w:r>
      <w:r w:rsidRPr="00FC6F34">
        <w:rPr>
          <w:rFonts w:ascii="Verdana" w:eastAsia="Calibri" w:hAnsi="Verdana" w:cs="Arial"/>
          <w:color w:val="000000" w:themeColor="text1"/>
          <w:lang w:val="es-ES" w:eastAsia="es-ES"/>
        </w:rPr>
        <w:t xml:space="preserve"> de </w:t>
      </w:r>
      <w:r w:rsidR="00AE1852">
        <w:rPr>
          <w:rFonts w:ascii="Verdana" w:eastAsia="Calibri" w:hAnsi="Verdana" w:cs="Arial"/>
          <w:color w:val="000000" w:themeColor="text1"/>
          <w:lang w:val="es-ES" w:eastAsia="es-ES"/>
        </w:rPr>
        <w:t>octubre</w:t>
      </w:r>
      <w:r w:rsidRPr="00FC6F34">
        <w:rPr>
          <w:rFonts w:ascii="Verdana" w:eastAsia="Calibri" w:hAnsi="Verdana" w:cs="Arial"/>
          <w:color w:val="000000" w:themeColor="text1"/>
          <w:lang w:val="es-ES" w:eastAsia="es-ES"/>
        </w:rPr>
        <w:t xml:space="preserve"> de 2025, en la cual manifiesta lo siguiente: </w:t>
      </w:r>
    </w:p>
    <w:p w14:paraId="39E08715" w14:textId="77777777" w:rsidR="004B6767" w:rsidRPr="00FC6F34" w:rsidRDefault="004B6767" w:rsidP="004B6767">
      <w:p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p>
    <w:p w14:paraId="41280AA0" w14:textId="718E8E28" w:rsidR="00AE1852" w:rsidRPr="00AE1852" w:rsidRDefault="004B6767" w:rsidP="00AE1852">
      <w:pPr>
        <w:spacing w:before="120" w:after="120" w:line="240" w:lineRule="auto"/>
        <w:ind w:left="709" w:right="709"/>
        <w:contextualSpacing/>
        <w:jc w:val="both"/>
        <w:rPr>
          <w:rFonts w:ascii="Verdana" w:eastAsia="Century Gothic" w:hAnsi="Verdana" w:cs="Century Gothic"/>
          <w:i/>
          <w:iCs/>
          <w:color w:val="000000" w:themeColor="text1"/>
          <w:sz w:val="20"/>
          <w:szCs w:val="20"/>
        </w:rPr>
      </w:pPr>
      <w:r w:rsidRPr="00FC6F34">
        <w:rPr>
          <w:rFonts w:ascii="Verdana" w:eastAsia="Century Gothic" w:hAnsi="Verdana" w:cs="Century Gothic"/>
          <w:i/>
          <w:iCs/>
          <w:color w:val="000000" w:themeColor="text1"/>
          <w:sz w:val="20"/>
          <w:szCs w:val="20"/>
          <w:lang w:val="es-ES"/>
        </w:rPr>
        <w:t>“</w:t>
      </w:r>
      <w:r w:rsidR="00AE1852" w:rsidRPr="00AE1852">
        <w:rPr>
          <w:rFonts w:ascii="Verdana" w:eastAsia="Century Gothic" w:hAnsi="Verdana" w:cs="Century Gothic"/>
          <w:i/>
          <w:iCs/>
          <w:color w:val="000000" w:themeColor="text1"/>
          <w:sz w:val="20"/>
          <w:szCs w:val="20"/>
        </w:rPr>
        <w:t xml:space="preserve">Buenos días, FIELD FOOD SAS en calidad de proveedor de la Tienda Virtual del estado Colombiano por medio del presente solicitamos amablemente se nos comparta el concepto jurídico por parte de COLOMBIA COMPRA EFICIENTE respecto a la ley de garantías donde no se prohíbe las compras por medio de la tienda virtual para las entidades públicas ya que hemos encontrado mucho miedo al respecto entre los funcionarios quienes nos consultan constantemente que si a partir del 8 de noviembre no se puede comprar y es por ello que les </w:t>
      </w:r>
      <w:r w:rsidR="00AE1852" w:rsidRPr="00AE1852">
        <w:rPr>
          <w:rFonts w:ascii="Verdana" w:eastAsia="Century Gothic" w:hAnsi="Verdana" w:cs="Century Gothic"/>
          <w:i/>
          <w:iCs/>
          <w:color w:val="000000" w:themeColor="text1"/>
          <w:sz w:val="20"/>
          <w:szCs w:val="20"/>
        </w:rPr>
        <w:lastRenderedPageBreak/>
        <w:t>solicitamos comedidamente se nos comparta el concepto para evitar desinformación y traumatismos en la contratación y/o órdenes de compra. </w:t>
      </w:r>
      <w:r w:rsidR="00AE1852">
        <w:rPr>
          <w:rFonts w:ascii="Verdana" w:eastAsia="Century Gothic" w:hAnsi="Verdana" w:cs="Century Gothic"/>
          <w:i/>
          <w:iCs/>
          <w:color w:val="000000" w:themeColor="text1"/>
          <w:sz w:val="20"/>
          <w:szCs w:val="20"/>
        </w:rPr>
        <w:t>[…]”</w:t>
      </w:r>
    </w:p>
    <w:p w14:paraId="29D195BC" w14:textId="77777777" w:rsidR="004B6767" w:rsidRPr="00FC6F34" w:rsidRDefault="004B6767" w:rsidP="004B6767">
      <w:pPr>
        <w:spacing w:after="0" w:line="276" w:lineRule="auto"/>
        <w:ind w:right="709"/>
        <w:jc w:val="both"/>
        <w:rPr>
          <w:rFonts w:ascii="Verdana" w:eastAsia="Calibri" w:hAnsi="Verdana" w:cs="Arial"/>
          <w:lang w:val="es-ES"/>
        </w:rPr>
      </w:pPr>
    </w:p>
    <w:p w14:paraId="686A1AFF" w14:textId="77777777" w:rsidR="004B6767" w:rsidRPr="00FC6F34" w:rsidRDefault="004B6767" w:rsidP="004B6767">
      <w:pPr>
        <w:spacing w:after="120" w:line="276" w:lineRule="auto"/>
        <w:ind w:firstLine="708"/>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C6F34">
        <w:rPr>
          <w:lang w:val="es-ES"/>
        </w:rPr>
        <w:tab/>
      </w:r>
    </w:p>
    <w:p w14:paraId="499A9056" w14:textId="77777777" w:rsidR="004B6767" w:rsidRPr="00FC6F34" w:rsidRDefault="004B6767" w:rsidP="004B6767">
      <w:pPr>
        <w:spacing w:after="0" w:line="276" w:lineRule="auto"/>
        <w:ind w:firstLine="709"/>
        <w:jc w:val="both"/>
        <w:rPr>
          <w:rFonts w:ascii="Verdana" w:eastAsia="Calibri" w:hAnsi="Verdana" w:cs="Arial"/>
          <w:color w:val="000000" w:themeColor="text1"/>
          <w:lang w:val="es-ES" w:eastAsia="es-ES"/>
        </w:rPr>
      </w:pPr>
      <w:r w:rsidRPr="00FC6F3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9A01C11" w14:textId="77777777" w:rsidR="004B6767" w:rsidRPr="00FC6F34" w:rsidRDefault="004B6767" w:rsidP="004B6767">
      <w:pPr>
        <w:spacing w:after="0" w:line="276" w:lineRule="auto"/>
        <w:ind w:firstLine="709"/>
        <w:jc w:val="both"/>
        <w:rPr>
          <w:rFonts w:ascii="Verdana" w:eastAsia="Calibri" w:hAnsi="Verdana" w:cs="Arial"/>
          <w:color w:val="000000" w:themeColor="text1"/>
          <w:lang w:val="es-ES" w:eastAsia="es-ES"/>
        </w:rPr>
      </w:pPr>
    </w:p>
    <w:p w14:paraId="1E619670" w14:textId="77777777" w:rsidR="004B6767" w:rsidRPr="00FC6F34" w:rsidRDefault="004B6767" w:rsidP="004B6767">
      <w:pPr>
        <w:tabs>
          <w:tab w:val="left" w:pos="142"/>
          <w:tab w:val="left" w:pos="284"/>
        </w:tabs>
        <w:spacing w:after="0" w:line="276" w:lineRule="auto"/>
        <w:contextualSpacing/>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1.Problema planteado:</w:t>
      </w:r>
    </w:p>
    <w:p w14:paraId="20D50D7F" w14:textId="77777777" w:rsidR="004B6767" w:rsidRPr="00FC6F34" w:rsidRDefault="004B6767" w:rsidP="004B6767">
      <w:pPr>
        <w:tabs>
          <w:tab w:val="left" w:pos="426"/>
        </w:tabs>
        <w:spacing w:after="0" w:line="276" w:lineRule="auto"/>
        <w:jc w:val="both"/>
        <w:rPr>
          <w:rFonts w:ascii="Verdana" w:eastAsia="Century Gothic" w:hAnsi="Verdana" w:cs="Century Gothic"/>
          <w:color w:val="000000" w:themeColor="text1"/>
          <w:lang w:val="es-ES"/>
        </w:rPr>
      </w:pPr>
    </w:p>
    <w:p w14:paraId="28738D91" w14:textId="6CDCE681" w:rsidR="004B6767" w:rsidRPr="00FC6F34" w:rsidRDefault="004B6767" w:rsidP="004B6767">
      <w:pPr>
        <w:spacing w:after="0" w:line="276" w:lineRule="auto"/>
        <w:jc w:val="both"/>
        <w:rPr>
          <w:rFonts w:ascii="Verdana" w:eastAsia="Century Gothic" w:hAnsi="Verdana" w:cs="Century Gothic"/>
          <w:color w:val="000000" w:themeColor="text1"/>
          <w:lang w:val="es-ES"/>
        </w:rPr>
      </w:pPr>
      <w:r w:rsidRPr="00FC6F34">
        <w:rPr>
          <w:rFonts w:ascii="Verdana" w:eastAsia="Century Gothic" w:hAnsi="Verdana" w:cs="Century Gothic"/>
          <w:color w:val="000000" w:themeColor="text1"/>
          <w:lang w:val="es-ES"/>
        </w:rPr>
        <w:t xml:space="preserve">De acuerdo con el contenido de su solicitud, esta Agencia resolverá el siguiente problema jurídico: </w:t>
      </w:r>
      <w:r w:rsidR="004A78FA">
        <w:rPr>
          <w:rFonts w:ascii="Verdana" w:eastAsia="Century Gothic" w:hAnsi="Verdana" w:cs="Century Gothic"/>
          <w:color w:val="000000" w:themeColor="text1"/>
          <w:lang w:val="es-ES"/>
        </w:rPr>
        <w:t xml:space="preserve">¿Qué generalidades legales existen en la aplicación de la Ley de </w:t>
      </w:r>
      <w:r w:rsidR="00297A4C">
        <w:rPr>
          <w:rFonts w:ascii="Verdana" w:eastAsia="Century Gothic" w:hAnsi="Verdana" w:cs="Century Gothic"/>
          <w:color w:val="000000" w:themeColor="text1"/>
          <w:lang w:val="es-ES"/>
        </w:rPr>
        <w:t>Garantías</w:t>
      </w:r>
      <w:r w:rsidR="004A78FA">
        <w:rPr>
          <w:rFonts w:ascii="Verdana" w:eastAsia="Century Gothic" w:hAnsi="Verdana" w:cs="Century Gothic"/>
          <w:color w:val="000000" w:themeColor="text1"/>
          <w:lang w:val="es-ES"/>
        </w:rPr>
        <w:t xml:space="preserve"> Electorales en proceso a través de la Tienda Virtual del Estado Colombiano</w:t>
      </w:r>
      <w:r w:rsidRPr="00982071">
        <w:rPr>
          <w:rFonts w:ascii="Verdana" w:eastAsia="Century Gothic" w:hAnsi="Verdana" w:cs="Century Gothic"/>
          <w:color w:val="000000" w:themeColor="text1"/>
          <w:lang w:val="es-ES"/>
        </w:rPr>
        <w:t>?</w:t>
      </w:r>
    </w:p>
    <w:p w14:paraId="740AB1A3" w14:textId="77777777" w:rsidR="004B6767" w:rsidRPr="00FC6F34" w:rsidRDefault="004B6767" w:rsidP="004B6767">
      <w:pPr>
        <w:spacing w:after="0" w:line="276" w:lineRule="auto"/>
        <w:jc w:val="both"/>
        <w:rPr>
          <w:rFonts w:ascii="Verdana" w:eastAsia="Calibri" w:hAnsi="Verdana" w:cs="Arial"/>
          <w:color w:val="000000" w:themeColor="text1"/>
          <w:lang w:val="es-ES"/>
        </w:rPr>
      </w:pPr>
    </w:p>
    <w:p w14:paraId="594DC2BC"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2.Respuesta:</w:t>
      </w:r>
    </w:p>
    <w:p w14:paraId="17347E57"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B6767" w:rsidRPr="00FC6F34" w14:paraId="4F9CC2F4" w14:textId="77777777" w:rsidTr="00E67E18">
        <w:tc>
          <w:tcPr>
            <w:tcW w:w="8828" w:type="dxa"/>
          </w:tcPr>
          <w:p w14:paraId="53DF937D" w14:textId="77777777" w:rsidR="004B6767" w:rsidRDefault="004B6767" w:rsidP="00051C96">
            <w:pPr>
              <w:spacing w:before="120" w:after="120" w:line="276" w:lineRule="auto"/>
              <w:jc w:val="both"/>
              <w:rPr>
                <w:rFonts w:ascii="Verdana" w:eastAsia="Calibri" w:hAnsi="Verdana" w:cs="Arial"/>
                <w:lang w:val="es-ES"/>
              </w:rPr>
            </w:pPr>
            <w:r w:rsidRPr="00FC6F34">
              <w:rPr>
                <w:rFonts w:ascii="Verdana" w:eastAsia="Calibri" w:hAnsi="Verdana" w:cs="Arial"/>
                <w:color w:val="000000" w:themeColor="text1"/>
                <w:lang w:val="es-ES"/>
              </w:rPr>
              <w:t>E</w:t>
            </w:r>
            <w:r w:rsidRPr="00FC6F34">
              <w:rPr>
                <w:rFonts w:ascii="Verdana" w:eastAsia="Calibri" w:hAnsi="Verdana" w:cs="Arial"/>
                <w:lang w:val="es-ES"/>
              </w:rPr>
              <w:t xml:space="preserve">l </w:t>
            </w:r>
            <w:r w:rsidRPr="00412D38">
              <w:rPr>
                <w:rFonts w:ascii="Verdana" w:eastAsia="Calibri" w:hAnsi="Verdana" w:cs="Arial"/>
                <w:i/>
                <w:iCs/>
                <w:lang w:val="es-ES"/>
              </w:rPr>
              <w:t>artículo 33</w:t>
            </w:r>
            <w:r w:rsidRPr="00FC6F34">
              <w:rPr>
                <w:rFonts w:ascii="Verdana" w:eastAsia="Calibri" w:hAnsi="Verdana" w:cs="Arial"/>
                <w:lang w:val="es-ES"/>
              </w:rPr>
              <w:t xml:space="preserve"> de la Ley 996 de 2005 prohíbe “[…] la contratación directa por parte de </w:t>
            </w:r>
            <w:r w:rsidRPr="00412D38">
              <w:rPr>
                <w:rFonts w:ascii="Verdana" w:eastAsia="Calibri" w:hAnsi="Verdana" w:cs="Arial"/>
                <w:lang w:val="es-ES"/>
              </w:rPr>
              <w:t>todos los entes del Estado</w:t>
            </w:r>
            <w:r w:rsidRPr="00FC6F34">
              <w:rPr>
                <w:rFonts w:ascii="Verdana" w:eastAsia="Calibri" w:hAnsi="Verdana" w:cs="Arial"/>
                <w:lang w:val="es-ES"/>
              </w:rPr>
              <w:t xml:space="preserve">”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w:t>
            </w:r>
            <w:r w:rsidRPr="00FC6F34">
              <w:rPr>
                <w:rFonts w:ascii="Verdana" w:eastAsia="Calibri" w:hAnsi="Verdana" w:cs="Arial"/>
                <w:lang w:val="es-ES"/>
              </w:rPr>
              <w:lastRenderedPageBreak/>
              <w:t>energética y de comunicaciones, en caso de que hayan sido objeto de atentados, acciones terroristas, desastres naturales o casos de fuerza mayor, y los que deban realizar las entidades sanitarias y hospitalarias.</w:t>
            </w:r>
          </w:p>
          <w:p w14:paraId="184403A8" w14:textId="77777777" w:rsidR="004B6767" w:rsidRDefault="004B6767" w:rsidP="00E67E18">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033E8B">
              <w:rPr>
                <w:rFonts w:ascii="Verdana" w:eastAsia="Calibri" w:hAnsi="Verdana" w:cs="Arial"/>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Arial" w:hAnsi="Verdana" w:cs="Arial"/>
                <w:lang w:val="es-ES" w:eastAsia="es-ES" w:bidi="es-ES"/>
              </w:rPr>
              <w:t xml:space="preserve"> </w:t>
            </w:r>
          </w:p>
          <w:p w14:paraId="1C02E17D" w14:textId="77777777" w:rsidR="00846808" w:rsidRPr="00846808" w:rsidRDefault="00846808" w:rsidP="00846808">
            <w:pPr>
              <w:widowControl w:val="0"/>
              <w:autoSpaceDE w:val="0"/>
              <w:autoSpaceDN w:val="0"/>
              <w:spacing w:after="120" w:line="276" w:lineRule="auto"/>
              <w:ind w:right="113" w:firstLine="709"/>
              <w:jc w:val="both"/>
              <w:rPr>
                <w:rFonts w:ascii="Verdana" w:eastAsia="Arial" w:hAnsi="Verdana" w:cs="Arial"/>
                <w:lang w:eastAsia="es-ES" w:bidi="es-ES"/>
              </w:rPr>
            </w:pPr>
            <w:r w:rsidRPr="00846808">
              <w:rPr>
                <w:rFonts w:ascii="Verdana" w:eastAsia="Arial" w:hAnsi="Verdana" w:cs="Arial"/>
                <w:lang w:eastAsia="es-ES" w:bidi="es-ES"/>
              </w:rPr>
              <w:t>En relación con su consulta sobre la contratación mediante la Tienda Virtual del Estado Colombiano (TVEC) durante la vigencia de la Ley de Garantías Electorales, es importante precisar que las restricciones previstas en la Ley 996 de 2005 no implican la suspensión general de la contratación pública ni la paralización de las plataformas transaccionales del Estado. En efecto, la TVEC opera sobre la base de Acuerdos Marco de Precios (AMP), los cuales son instrumentos de agregación de demanda que han surtido previamente un proceso de selección objetivo, público y competitivo, adelantado por Colombia Compra Eficiente. Por lo tanto, las órdenes de compra que las entidades generan a través de la Tienda Virtual no configuran una modalidad de contratación directa, sino la simple ejecución de un mecanismo de contratación ya adjudicado con anterioridad, razón por la cual no se encuentran dentro de las prohibiciones previstas en la Ley de Garantías.</w:t>
            </w:r>
          </w:p>
          <w:p w14:paraId="35914596" w14:textId="1CC86324" w:rsidR="00846808" w:rsidRPr="00846808" w:rsidRDefault="00846808" w:rsidP="00846808">
            <w:pPr>
              <w:widowControl w:val="0"/>
              <w:autoSpaceDE w:val="0"/>
              <w:autoSpaceDN w:val="0"/>
              <w:spacing w:after="120" w:line="276" w:lineRule="auto"/>
              <w:ind w:right="113" w:firstLine="709"/>
              <w:jc w:val="both"/>
              <w:rPr>
                <w:rFonts w:ascii="Verdana" w:eastAsia="Arial" w:hAnsi="Verdana" w:cs="Arial"/>
                <w:lang w:eastAsia="es-ES" w:bidi="es-ES"/>
              </w:rPr>
            </w:pPr>
            <w:r w:rsidRPr="00846808">
              <w:rPr>
                <w:rFonts w:ascii="Verdana" w:eastAsia="Arial" w:hAnsi="Verdana" w:cs="Arial"/>
                <w:lang w:eastAsia="es-ES" w:bidi="es-ES"/>
              </w:rPr>
              <w:t xml:space="preserve">Adicionalmente, </w:t>
            </w:r>
            <w:r>
              <w:rPr>
                <w:rFonts w:ascii="Verdana" w:eastAsia="Arial" w:hAnsi="Verdana" w:cs="Arial"/>
                <w:lang w:eastAsia="es-ES" w:bidi="es-ES"/>
              </w:rPr>
              <w:t>Esta Agencia</w:t>
            </w:r>
            <w:r w:rsidRPr="00846808">
              <w:rPr>
                <w:rFonts w:ascii="Verdana" w:eastAsia="Arial" w:hAnsi="Verdana" w:cs="Arial"/>
                <w:lang w:eastAsia="es-ES" w:bidi="es-ES"/>
              </w:rPr>
              <w:t xml:space="preserve"> ha señalado </w:t>
            </w:r>
            <w:r>
              <w:rPr>
                <w:rFonts w:ascii="Verdana" w:eastAsia="Arial" w:hAnsi="Verdana" w:cs="Arial"/>
                <w:lang w:eastAsia="es-ES" w:bidi="es-ES"/>
              </w:rPr>
              <w:t xml:space="preserve">en diferentes conceptos, </w:t>
            </w:r>
            <w:r w:rsidRPr="00846808">
              <w:rPr>
                <w:rFonts w:ascii="Verdana" w:eastAsia="Arial" w:hAnsi="Verdana" w:cs="Arial"/>
                <w:lang w:eastAsia="es-ES" w:bidi="es-ES"/>
              </w:rPr>
              <w:t xml:space="preserve">que las prohibiciones del artículo 33 de la Ley 996 deben interpretarse de manera restrictiva, lo que significa que no pueden ampliarse a supuestos no previstos expresamente por el legislador. En consecuencia, al no existir una prohibición específica respecto del uso de la Tienda Virtual ni de los Acuerdos Marco durante el periodo de </w:t>
            </w:r>
            <w:r>
              <w:rPr>
                <w:rFonts w:ascii="Verdana" w:eastAsia="Arial" w:hAnsi="Verdana" w:cs="Arial"/>
                <w:lang w:eastAsia="es-ES" w:bidi="es-ES"/>
              </w:rPr>
              <w:t>Ley de G</w:t>
            </w:r>
            <w:r w:rsidRPr="00846808">
              <w:rPr>
                <w:rFonts w:ascii="Verdana" w:eastAsia="Arial" w:hAnsi="Verdana" w:cs="Arial"/>
                <w:lang w:eastAsia="es-ES" w:bidi="es-ES"/>
              </w:rPr>
              <w:t xml:space="preserve">arantías </w:t>
            </w:r>
            <w:r>
              <w:rPr>
                <w:rFonts w:ascii="Verdana" w:eastAsia="Arial" w:hAnsi="Verdana" w:cs="Arial"/>
                <w:lang w:eastAsia="es-ES" w:bidi="es-ES"/>
              </w:rPr>
              <w:t>E</w:t>
            </w:r>
            <w:r w:rsidRPr="00846808">
              <w:rPr>
                <w:rFonts w:ascii="Verdana" w:eastAsia="Arial" w:hAnsi="Verdana" w:cs="Arial"/>
                <w:lang w:eastAsia="es-ES" w:bidi="es-ES"/>
              </w:rPr>
              <w:t>lectorales, las entidades estatales pueden continuar realizando adquisiciones a través de la TVEC sin que ello implique infracción a la normativa electoral.</w:t>
            </w:r>
          </w:p>
          <w:p w14:paraId="20614B91" w14:textId="545DD196" w:rsidR="004B6767" w:rsidRPr="00036A04" w:rsidRDefault="004B6767" w:rsidP="00E67E18">
            <w:pPr>
              <w:spacing w:after="120" w:line="276" w:lineRule="auto"/>
              <w:ind w:firstLine="708"/>
              <w:jc w:val="both"/>
              <w:rPr>
                <w:rFonts w:ascii="Verdana" w:eastAsia="Times New Roman" w:hAnsi="Verdana" w:cs="Arial"/>
                <w:bCs/>
                <w:lang w:val="es-ES" w:eastAsia="es-CO"/>
              </w:rPr>
            </w:pPr>
            <w:r w:rsidRPr="00FC6F34">
              <w:rPr>
                <w:rFonts w:ascii="Verdana" w:eastAsia="Arial" w:hAnsi="Verdana" w:cs="Arial"/>
                <w:color w:val="000000" w:themeColor="text1"/>
                <w:lang w:val="es-ES"/>
              </w:rPr>
              <w:t xml:space="preserve">Finalmente, es importante advertir que </w:t>
            </w:r>
            <w:r w:rsidRPr="00FC6F34">
              <w:rPr>
                <w:rFonts w:ascii="Verdana" w:eastAsia="Times New Roman" w:hAnsi="Verdana" w:cs="Arial"/>
                <w:lang w:val="es-ES"/>
              </w:rPr>
              <w:t xml:space="preserve">compete a cada </w:t>
            </w:r>
            <w:r>
              <w:rPr>
                <w:rFonts w:ascii="Verdana" w:eastAsia="Times New Roman" w:hAnsi="Verdana" w:cs="Arial"/>
                <w:lang w:val="es-ES"/>
              </w:rPr>
              <w:t>E</w:t>
            </w:r>
            <w:r w:rsidRPr="00FC6F34">
              <w:rPr>
                <w:rFonts w:ascii="Verdana" w:eastAsia="Times New Roman" w:hAnsi="Verdana" w:cs="Arial"/>
                <w:lang w:val="es-ES"/>
              </w:rPr>
              <w:t xml:space="preserve">ntidad </w:t>
            </w:r>
            <w:r>
              <w:rPr>
                <w:rFonts w:ascii="Verdana" w:eastAsia="Times New Roman" w:hAnsi="Verdana" w:cs="Arial"/>
                <w:lang w:val="es-ES"/>
              </w:rPr>
              <w:t>E</w:t>
            </w:r>
            <w:r w:rsidRPr="00FC6F34">
              <w:rPr>
                <w:rFonts w:ascii="Verdana" w:eastAsia="Times New Roman" w:hAnsi="Verdana" w:cs="Arial"/>
                <w:lang w:val="es-ES"/>
              </w:rPr>
              <w:t xml:space="preserve">statal que considera celebrar un </w:t>
            </w:r>
            <w:r w:rsidR="00846808">
              <w:rPr>
                <w:rFonts w:ascii="Verdana" w:eastAsia="Times New Roman" w:hAnsi="Verdana" w:cs="Arial"/>
                <w:lang w:val="es-ES"/>
              </w:rPr>
              <w:t xml:space="preserve">proceso de </w:t>
            </w:r>
            <w:proofErr w:type="spellStart"/>
            <w:r w:rsidR="00846808">
              <w:rPr>
                <w:rFonts w:ascii="Verdana" w:eastAsia="Times New Roman" w:hAnsi="Verdana" w:cs="Arial"/>
                <w:lang w:val="es-ES"/>
              </w:rPr>
              <w:t>contratacion</w:t>
            </w:r>
            <w:proofErr w:type="spellEnd"/>
            <w:r w:rsidRPr="00FC6F34">
              <w:rPr>
                <w:rFonts w:ascii="Verdana" w:eastAsia="Times New Roman" w:hAnsi="Verdana" w:cs="Arial"/>
                <w:lang w:val="es-ES"/>
              </w:rPr>
              <w:t xml:space="preserve"> específico definir si este se </w:t>
            </w:r>
            <w:r w:rsidRPr="00FC6F34">
              <w:rPr>
                <w:rFonts w:ascii="Verdana" w:eastAsia="Times New Roman" w:hAnsi="Verdana" w:cs="Arial"/>
                <w:lang w:val="es-ES"/>
              </w:rPr>
              <w:lastRenderedPageBreak/>
              <w:t>enmarca</w:t>
            </w:r>
            <w:r>
              <w:rPr>
                <w:rFonts w:ascii="Verdana" w:eastAsia="Times New Roman" w:hAnsi="Verdana" w:cs="Arial"/>
                <w:lang w:val="es-ES"/>
              </w:rPr>
              <w:t xml:space="preserve"> en alguna de las prohibiciones de la Ley de Garantías Electorales</w:t>
            </w:r>
            <w:r w:rsidRPr="00FC6F34">
              <w:rPr>
                <w:rFonts w:ascii="Verdana" w:eastAsia="Times New Roman" w:hAnsi="Verdana" w:cs="Arial"/>
                <w:lang w:val="es-ES"/>
              </w:rPr>
              <w:t xml:space="preserve">. </w:t>
            </w:r>
            <w:r w:rsidRPr="00FC6F34">
              <w:rPr>
                <w:rFonts w:ascii="Verdana" w:eastAsia="Times New Roman" w:hAnsi="Verdana" w:cs="Arial"/>
                <w:color w:val="000000" w:themeColor="text1"/>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tc>
      </w:tr>
    </w:tbl>
    <w:p w14:paraId="4BEFFD35"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50D1A9AD"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3.Razones de la respuesta:</w:t>
      </w:r>
    </w:p>
    <w:p w14:paraId="1667405F" w14:textId="77777777" w:rsidR="004B6767" w:rsidRPr="00FC6F34" w:rsidRDefault="004B6767" w:rsidP="004B6767">
      <w:pPr>
        <w:spacing w:after="0" w:line="276" w:lineRule="auto"/>
        <w:jc w:val="both"/>
        <w:rPr>
          <w:rFonts w:ascii="Verdana" w:eastAsia="Calibri" w:hAnsi="Verdana" w:cs="Arial"/>
          <w:color w:val="000000" w:themeColor="text1"/>
          <w:lang w:val="es-ES"/>
        </w:rPr>
      </w:pPr>
    </w:p>
    <w:p w14:paraId="121D2CEB" w14:textId="37335952" w:rsidR="004B6767" w:rsidRPr="00FC6F34" w:rsidRDefault="00846808" w:rsidP="004B6767">
      <w:pPr>
        <w:tabs>
          <w:tab w:val="left" w:pos="426"/>
        </w:tabs>
        <w:spacing w:after="120" w:line="276" w:lineRule="auto"/>
        <w:jc w:val="both"/>
        <w:rPr>
          <w:rFonts w:ascii="Verdana" w:eastAsia="Times New Roman" w:hAnsi="Verdana" w:cs="Arial"/>
          <w:lang w:val="es-ES" w:eastAsia="es-CO"/>
        </w:rPr>
      </w:pPr>
      <w:bookmarkStart w:id="1" w:name="_Hlk102983874"/>
      <w:bookmarkStart w:id="2" w:name="_Hlk102388095"/>
      <w:r>
        <w:rPr>
          <w:rFonts w:ascii="Verdana" w:eastAsia="Calibri" w:hAnsi="Verdana" w:cs="Arial"/>
          <w:color w:val="000000" w:themeColor="text1"/>
          <w:lang w:val="es-ES"/>
        </w:rPr>
        <w:tab/>
      </w:r>
      <w:r w:rsidR="004B6767" w:rsidRPr="00FC6F34">
        <w:rPr>
          <w:rFonts w:ascii="Verdana" w:eastAsia="Calibri" w:hAnsi="Verdana" w:cs="Arial"/>
          <w:lang w:val="es-ES"/>
        </w:rPr>
        <w:t>El ordenamiento jurídico colombiano contempla medidas para evitar la obtención de beneficios personales en asuntos propios de la administración pública</w:t>
      </w:r>
      <w:r w:rsidR="004B6767" w:rsidRPr="00FC6F34">
        <w:rPr>
          <w:rFonts w:ascii="Verdana" w:eastAsia="Calibri" w:hAnsi="Verdana" w:cs="Arial"/>
          <w:i/>
          <w:lang w:val="es-ES"/>
        </w:rPr>
        <w:t xml:space="preserve">. </w:t>
      </w:r>
      <w:r w:rsidR="004B6767" w:rsidRPr="00FC6F34">
        <w:rPr>
          <w:rFonts w:ascii="Verdana" w:eastAsia="Calibri"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004B6767" w:rsidRPr="00FC6F34">
        <w:rPr>
          <w:rFonts w:ascii="Verdana" w:hAnsi="Verdana"/>
          <w:vertAlign w:val="superscript"/>
          <w:lang w:val="es-ES"/>
        </w:rPr>
        <w:footnoteReference w:id="1"/>
      </w:r>
      <w:r w:rsidR="004B6767" w:rsidRPr="00FC6F34">
        <w:rPr>
          <w:rFonts w:ascii="Verdana" w:eastAsia="Calibri" w:hAnsi="Verdana" w:cs="Arial"/>
          <w:lang w:val="es-ES"/>
        </w:rPr>
        <w:t xml:space="preserve">. </w:t>
      </w:r>
    </w:p>
    <w:p w14:paraId="0450F3E3" w14:textId="77777777" w:rsidR="004B6767" w:rsidRPr="00FC6F34" w:rsidRDefault="004B6767" w:rsidP="004B6767">
      <w:pPr>
        <w:tabs>
          <w:tab w:val="left" w:pos="426"/>
        </w:tabs>
        <w:spacing w:after="120" w:line="276" w:lineRule="auto"/>
        <w:ind w:firstLine="709"/>
        <w:jc w:val="both"/>
        <w:rPr>
          <w:rFonts w:ascii="Verdana" w:eastAsia="Calibri" w:hAnsi="Verdana" w:cs="Arial"/>
          <w:lang w:val="es-ES"/>
        </w:rPr>
      </w:pPr>
      <w:r w:rsidRPr="00FC6F34">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C6F34">
        <w:rPr>
          <w:rFonts w:ascii="Verdana" w:eastAsia="Times New Roman" w:hAnsi="Verdana" w:cs="Arial"/>
          <w:vertAlign w:val="superscript"/>
          <w:lang w:val="es-ES" w:eastAsia="es-CO"/>
        </w:rPr>
        <w:footnoteReference w:id="2"/>
      </w:r>
      <w:r w:rsidRPr="00FC6F34">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FC6F34">
        <w:rPr>
          <w:rFonts w:ascii="Verdana" w:eastAsia="Calibri" w:hAnsi="Verdana" w:cs="Arial"/>
          <w:lang w:val="es-ES"/>
        </w:rPr>
        <w:t xml:space="preserve"> </w:t>
      </w:r>
    </w:p>
    <w:p w14:paraId="30A90E01" w14:textId="77777777" w:rsidR="004B6767" w:rsidRPr="00FC6F34" w:rsidRDefault="004B6767" w:rsidP="004B6767">
      <w:pPr>
        <w:tabs>
          <w:tab w:val="left" w:pos="426"/>
        </w:tabs>
        <w:spacing w:after="0" w:line="276" w:lineRule="auto"/>
        <w:ind w:firstLine="709"/>
        <w:jc w:val="both"/>
        <w:rPr>
          <w:rFonts w:ascii="Verdana" w:eastAsia="Calibri" w:hAnsi="Verdana" w:cs="Arial"/>
          <w:lang w:val="es-ES"/>
        </w:rPr>
      </w:pPr>
      <w:r w:rsidRPr="00FC6F34">
        <w:rPr>
          <w:rFonts w:ascii="Verdana" w:eastAsia="Times New Roman" w:hAnsi="Verdana" w:cs="Arial"/>
          <w:lang w:val="es-ES" w:eastAsia="es-CO"/>
        </w:rPr>
        <w:lastRenderedPageBreak/>
        <w:t>En armonía con lo anterior, la Corte Constitucional ha abordado la definición de la Ley de Garantías Electorales. De esta manera, explica que tiene como propósito:</w:t>
      </w:r>
    </w:p>
    <w:p w14:paraId="608AFB3A" w14:textId="77777777" w:rsidR="004B6767" w:rsidRPr="00FC6F34" w:rsidRDefault="004B6767" w:rsidP="004B6767">
      <w:pPr>
        <w:spacing w:after="0" w:line="276" w:lineRule="auto"/>
        <w:ind w:right="709"/>
        <w:jc w:val="both"/>
        <w:rPr>
          <w:rFonts w:ascii="Verdana" w:eastAsia="Times New Roman" w:hAnsi="Verdana" w:cs="Arial"/>
          <w:lang w:val="es-ES" w:eastAsia="es-CO"/>
        </w:rPr>
      </w:pPr>
    </w:p>
    <w:p w14:paraId="4ED4C91F" w14:textId="77777777" w:rsidR="004B6767" w:rsidRPr="00FC6F34" w:rsidRDefault="004B6767" w:rsidP="004B6767">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54347710" w14:textId="77777777" w:rsidR="004B6767" w:rsidRPr="00FC6F34" w:rsidRDefault="004B6767" w:rsidP="004B6767">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 </w:t>
      </w:r>
    </w:p>
    <w:p w14:paraId="7BC8819E" w14:textId="77777777" w:rsidR="004B6767" w:rsidRPr="00FC6F34" w:rsidRDefault="004B6767" w:rsidP="004B6767">
      <w:pPr>
        <w:spacing w:after="0" w:line="240" w:lineRule="auto"/>
        <w:ind w:left="709" w:right="709"/>
        <w:contextualSpacing/>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FC6F34">
        <w:rPr>
          <w:rFonts w:ascii="Verdana" w:eastAsia="Calibri" w:hAnsi="Verdana" w:cs="Arial"/>
          <w:sz w:val="20"/>
          <w:szCs w:val="20"/>
          <w:vertAlign w:val="superscript"/>
          <w:lang w:val="es-ES"/>
        </w:rPr>
        <w:footnoteReference w:id="3"/>
      </w:r>
    </w:p>
    <w:p w14:paraId="56217E50" w14:textId="77777777" w:rsidR="004B6767" w:rsidRPr="00FC6F34" w:rsidRDefault="004B6767" w:rsidP="004B6767">
      <w:pPr>
        <w:spacing w:after="0" w:line="276" w:lineRule="auto"/>
        <w:ind w:firstLine="709"/>
        <w:jc w:val="both"/>
        <w:rPr>
          <w:rFonts w:ascii="Verdana" w:eastAsia="Times New Roman" w:hAnsi="Verdana" w:cs="Arial"/>
          <w:lang w:val="es-ES" w:eastAsia="es-CO"/>
        </w:rPr>
      </w:pPr>
    </w:p>
    <w:p w14:paraId="5DF79CE6" w14:textId="77777777" w:rsidR="004B6767" w:rsidRPr="00FC6F34" w:rsidRDefault="004B6767" w:rsidP="004B6767">
      <w:pPr>
        <w:spacing w:after="0" w:line="276" w:lineRule="auto"/>
        <w:ind w:firstLine="709"/>
        <w:jc w:val="both"/>
        <w:rPr>
          <w:rFonts w:ascii="Verdana" w:eastAsia="Times New Roman" w:hAnsi="Verdana" w:cs="Arial"/>
          <w:lang w:val="es-ES" w:eastAsia="es-CO"/>
        </w:rPr>
      </w:pPr>
      <w:r w:rsidRPr="00FC6F34">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7F4B1B96" w14:textId="77777777" w:rsidR="004B6767" w:rsidRPr="00FC6F34" w:rsidRDefault="004B6767" w:rsidP="004B6767">
      <w:pPr>
        <w:spacing w:after="0" w:line="276" w:lineRule="auto"/>
        <w:ind w:firstLine="709"/>
        <w:jc w:val="both"/>
        <w:rPr>
          <w:rFonts w:ascii="Verdana" w:eastAsia="Times New Roman" w:hAnsi="Verdana" w:cs="Arial"/>
          <w:lang w:val="es-ES" w:eastAsia="es-CO"/>
        </w:rPr>
      </w:pPr>
    </w:p>
    <w:p w14:paraId="7F6E493E" w14:textId="77777777" w:rsidR="004B6767" w:rsidRPr="00FC6F34" w:rsidRDefault="004B6767" w:rsidP="004B6767">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FC6F34">
        <w:rPr>
          <w:rFonts w:ascii="Verdana" w:eastAsia="Times New Roman" w:hAnsi="Verdana" w:cs="Arial"/>
          <w:sz w:val="20"/>
          <w:szCs w:val="20"/>
          <w:lang w:val="es-ES" w:eastAsia="es-CO"/>
        </w:rPr>
        <w:t>legis</w:t>
      </w:r>
      <w:proofErr w:type="spellEnd"/>
      <w:r w:rsidRPr="00FC6F34">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4FCC430" w14:textId="77777777" w:rsidR="004B6767" w:rsidRPr="00FC6F34" w:rsidRDefault="004B6767" w:rsidP="004B6767">
      <w:pPr>
        <w:spacing w:after="0" w:line="240" w:lineRule="auto"/>
        <w:ind w:right="709"/>
        <w:jc w:val="both"/>
        <w:rPr>
          <w:rFonts w:ascii="Verdana" w:eastAsia="Times New Roman" w:hAnsi="Verdana" w:cs="Arial"/>
          <w:lang w:val="es-ES" w:eastAsia="es-CO"/>
        </w:rPr>
      </w:pPr>
    </w:p>
    <w:p w14:paraId="2FFF383C" w14:textId="77777777" w:rsidR="004B6767" w:rsidRPr="00FC6F34" w:rsidRDefault="004B6767" w:rsidP="004B6767">
      <w:pPr>
        <w:spacing w:after="0" w:line="240" w:lineRule="auto"/>
        <w:ind w:left="709" w:right="709"/>
        <w:jc w:val="both"/>
        <w:rPr>
          <w:rFonts w:ascii="Verdana" w:eastAsia="Times New Roman" w:hAnsi="Verdana" w:cs="Arial"/>
          <w:sz w:val="20"/>
          <w:szCs w:val="20"/>
          <w:lang w:val="es-ES" w:eastAsia="es-CO"/>
        </w:rPr>
      </w:pPr>
      <w:r w:rsidRPr="00FC6F34">
        <w:rPr>
          <w:rFonts w:ascii="Verdana" w:eastAsia="Times New Roman" w:hAnsi="Verdana" w:cs="Arial"/>
          <w:sz w:val="20"/>
          <w:szCs w:val="20"/>
          <w:lang w:val="es-ES" w:eastAsia="es-CO"/>
        </w:rPr>
        <w:lastRenderedPageBreak/>
        <w:t>La jurisprudencia de la Corte Constitucional</w:t>
      </w:r>
      <w:r w:rsidRPr="00FC6F34">
        <w:rPr>
          <w:rFonts w:ascii="Verdana" w:eastAsia="Times New Roman" w:hAnsi="Verdana" w:cs="Arial"/>
          <w:sz w:val="20"/>
          <w:szCs w:val="20"/>
          <w:vertAlign w:val="superscript"/>
          <w:lang w:val="es-ES" w:eastAsia="es-CO"/>
        </w:rPr>
        <w:footnoteReference w:id="4"/>
      </w:r>
      <w:r w:rsidRPr="00FC6F34">
        <w:rPr>
          <w:rFonts w:ascii="Verdana" w:eastAsia="Times New Roman" w:hAnsi="Verdana" w:cs="Arial"/>
          <w:sz w:val="20"/>
          <w:szCs w:val="20"/>
          <w:lang w:val="es-ES" w:eastAsia="es-CO"/>
        </w:rPr>
        <w:t> y del Consejo de Estado</w:t>
      </w:r>
      <w:r w:rsidRPr="00FC6F34">
        <w:rPr>
          <w:rFonts w:ascii="Verdana" w:eastAsia="Times New Roman" w:hAnsi="Verdana" w:cs="Arial"/>
          <w:sz w:val="20"/>
          <w:szCs w:val="20"/>
          <w:vertAlign w:val="superscript"/>
          <w:lang w:val="es-ES" w:eastAsia="es-CO"/>
        </w:rPr>
        <w:footnoteReference w:id="5"/>
      </w:r>
      <w:r w:rsidRPr="00FC6F34">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FC6F34">
        <w:rPr>
          <w:rFonts w:ascii="Verdana" w:eastAsia="Times New Roman" w:hAnsi="Verdana" w:cs="Arial"/>
          <w:sz w:val="20"/>
          <w:szCs w:val="20"/>
          <w:vertAlign w:val="superscript"/>
          <w:lang w:val="es-ES" w:eastAsia="es-CO"/>
        </w:rPr>
        <w:footnoteReference w:id="6"/>
      </w:r>
      <w:r w:rsidRPr="00FC6F34">
        <w:rPr>
          <w:rFonts w:ascii="Verdana" w:eastAsia="Times New Roman" w:hAnsi="Verdana" w:cs="Arial"/>
          <w:sz w:val="20"/>
          <w:szCs w:val="20"/>
          <w:lang w:val="es-ES" w:eastAsia="es-CO"/>
        </w:rPr>
        <w:t>.</w:t>
      </w:r>
    </w:p>
    <w:p w14:paraId="6D1D249E" w14:textId="77777777" w:rsidR="004B6767" w:rsidRPr="00FC6F34" w:rsidRDefault="004B6767" w:rsidP="004B6767">
      <w:pPr>
        <w:spacing w:after="0" w:line="276" w:lineRule="auto"/>
        <w:jc w:val="both"/>
        <w:rPr>
          <w:rFonts w:ascii="Verdana" w:eastAsia="Calibri" w:hAnsi="Verdana" w:cs="Arial"/>
          <w:bCs/>
          <w:lang w:val="es-ES"/>
        </w:rPr>
      </w:pPr>
    </w:p>
    <w:p w14:paraId="1212C4E7" w14:textId="77777777" w:rsidR="004B6767" w:rsidRPr="00FC6F34" w:rsidRDefault="004B6767" w:rsidP="004B6767">
      <w:pPr>
        <w:spacing w:after="0" w:line="276" w:lineRule="auto"/>
        <w:ind w:firstLine="709"/>
        <w:jc w:val="both"/>
        <w:rPr>
          <w:rFonts w:ascii="Verdana" w:eastAsia="Arial" w:hAnsi="Verdana" w:cs="Arial"/>
          <w:lang w:val="es-ES" w:eastAsia="es-ES" w:bidi="es-ES"/>
        </w:rPr>
      </w:pPr>
      <w:r w:rsidRPr="00FC6F34">
        <w:rPr>
          <w:rFonts w:ascii="Verdana" w:eastAsia="Times New Roman" w:hAnsi="Verdana" w:cs="Arial"/>
          <w:lang w:val="es-ES" w:eastAsia="es-CO"/>
        </w:rPr>
        <w:t>De</w:t>
      </w:r>
      <w:r w:rsidRPr="00FC6F34">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75187D00" w14:textId="77777777" w:rsidR="004B6767" w:rsidRPr="00FC6F34" w:rsidRDefault="004B6767" w:rsidP="004B6767">
      <w:pPr>
        <w:spacing w:after="0" w:line="276" w:lineRule="auto"/>
        <w:ind w:firstLine="709"/>
        <w:jc w:val="both"/>
        <w:rPr>
          <w:rFonts w:ascii="Verdana" w:eastAsia="Arial" w:hAnsi="Verdana" w:cs="Arial"/>
          <w:lang w:val="es-ES" w:eastAsia="es-ES" w:bidi="es-ES"/>
        </w:rPr>
      </w:pPr>
    </w:p>
    <w:p w14:paraId="478053D9" w14:textId="4E90AB4C" w:rsidR="004B6767" w:rsidRPr="00FC6F34" w:rsidRDefault="00846808" w:rsidP="004B6767">
      <w:pPr>
        <w:spacing w:after="120" w:line="276" w:lineRule="auto"/>
        <w:jc w:val="both"/>
        <w:rPr>
          <w:rFonts w:ascii="Verdana" w:eastAsia="Arial" w:hAnsi="Verdana" w:cs="Arial"/>
          <w:lang w:val="es-ES" w:eastAsia="es-ES" w:bidi="es-ES"/>
        </w:rPr>
      </w:pPr>
      <w:r>
        <w:rPr>
          <w:rFonts w:ascii="Verdana" w:eastAsia="Arial" w:hAnsi="Verdana" w:cs="Arial"/>
          <w:lang w:val="es-ES" w:eastAsia="es-ES" w:bidi="es-ES"/>
        </w:rPr>
        <w:t>Ahora bien, l</w:t>
      </w:r>
      <w:r w:rsidR="004B6767" w:rsidRPr="00FC6F34">
        <w:rPr>
          <w:rFonts w:ascii="Verdana" w:eastAsia="Arial" w:hAnsi="Verdana" w:cs="Arial"/>
          <w:lang w:val="es-ES" w:eastAsia="es-ES" w:bidi="es-ES"/>
        </w:rPr>
        <w:t>as restricciones consagradas en la Ley de Garantías se dirigen a dos (2) tipos de campañas electorales diferenciadas: las presidenciales y las que se adelanten para la elección de los demás cargos de elección popular, tanto a nivel nacional como territorial.</w:t>
      </w:r>
    </w:p>
    <w:p w14:paraId="211D8693" w14:textId="77777777" w:rsidR="004B6767" w:rsidRPr="00FC6F34" w:rsidRDefault="004B6767" w:rsidP="004B6767">
      <w:pPr>
        <w:spacing w:after="120" w:line="276" w:lineRule="auto"/>
        <w:ind w:firstLine="708"/>
        <w:jc w:val="both"/>
        <w:rPr>
          <w:rFonts w:ascii="Verdana" w:eastAsia="Calibri" w:hAnsi="Verdana" w:cs="Arial"/>
          <w:lang w:val="es-ES"/>
        </w:rPr>
      </w:pPr>
      <w:r w:rsidRPr="00FC6F34">
        <w:rPr>
          <w:rFonts w:ascii="Verdana" w:eastAsia="Calibri" w:hAnsi="Verdana" w:cs="Arial"/>
          <w:lang w:val="es-ES"/>
        </w:rPr>
        <w:t xml:space="preserve">Por un lado, el </w:t>
      </w:r>
      <w:r w:rsidRPr="00FC6F34">
        <w:rPr>
          <w:rFonts w:ascii="Verdana" w:eastAsia="Calibri" w:hAnsi="Verdana" w:cs="Arial"/>
          <w:i/>
          <w:iCs/>
          <w:lang w:val="es-ES"/>
        </w:rPr>
        <w:t xml:space="preserve">artículo 33 </w:t>
      </w:r>
      <w:r w:rsidRPr="00FC6F34">
        <w:rPr>
          <w:rFonts w:ascii="Verdana" w:eastAsia="Calibri" w:hAnsi="Verdana" w:cs="Arial"/>
          <w:lang w:val="es-ES"/>
        </w:rPr>
        <w:t xml:space="preserve">de la Ley 996 de 2005 prohíbe “[…] la contratación directa por parte de </w:t>
      </w:r>
      <w:r w:rsidRPr="00FC6F34">
        <w:rPr>
          <w:rFonts w:ascii="Verdana" w:eastAsia="Calibri" w:hAnsi="Verdana" w:cs="Arial"/>
          <w:i/>
          <w:iCs/>
          <w:lang w:val="es-ES"/>
        </w:rPr>
        <w:t>todos los entes del Estado</w:t>
      </w:r>
      <w:r w:rsidRPr="00FC6F34">
        <w:rPr>
          <w:rFonts w:ascii="Verdana" w:eastAsia="Calibri" w:hAnsi="Verdana" w:cs="Arial"/>
          <w:lang w:val="es-ES"/>
        </w:rPr>
        <w:t xml:space="preserve">” durante los cuatro (4) meses anteriores a las </w:t>
      </w:r>
      <w:r w:rsidRPr="00FC6F34">
        <w:rPr>
          <w:rFonts w:ascii="Verdana" w:eastAsia="Calibri" w:hAnsi="Verdana" w:cs="Arial"/>
          <w:i/>
          <w:iCs/>
          <w:lang w:val="es-ES"/>
        </w:rPr>
        <w:t>elecciones presidenciales</w:t>
      </w:r>
      <w:r w:rsidRPr="00FC6F34">
        <w:rPr>
          <w:rFonts w:ascii="Verdana" w:eastAsia="Calibri" w:hAnsi="Verdana" w:cs="Arial"/>
          <w:lang w:val="es-ES"/>
        </w:rPr>
        <w:t xml:space="preserve">,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C6F34">
        <w:rPr>
          <w:rFonts w:ascii="Verdana" w:eastAsia="Calibri" w:hAnsi="Verdana" w:cs="Arial"/>
          <w:lang w:val="es-ES"/>
        </w:rPr>
        <w:lastRenderedPageBreak/>
        <w:t>acciones terroristas, desastres naturales o casos de fuerza mayor, y los que deban realizar las entidades sanitarias y hospitalarias”</w:t>
      </w:r>
      <w:r w:rsidRPr="00FC6F34">
        <w:rPr>
          <w:rFonts w:ascii="Verdana" w:eastAsia="Calibri" w:hAnsi="Verdana" w:cs="Arial"/>
          <w:vertAlign w:val="superscript"/>
          <w:lang w:val="es-ES"/>
        </w:rPr>
        <w:footnoteReference w:id="7"/>
      </w:r>
      <w:r w:rsidRPr="00FC6F34">
        <w:rPr>
          <w:rFonts w:ascii="Verdana" w:eastAsia="Calibri" w:hAnsi="Verdana" w:cs="Arial"/>
          <w:lang w:val="es-ES"/>
        </w:rPr>
        <w:t>.</w:t>
      </w:r>
    </w:p>
    <w:p w14:paraId="04C0679C" w14:textId="77777777" w:rsidR="004B6767" w:rsidRPr="00FC6F34" w:rsidRDefault="004B6767" w:rsidP="004B6767">
      <w:pPr>
        <w:widowControl w:val="0"/>
        <w:autoSpaceDE w:val="0"/>
        <w:autoSpaceDN w:val="0"/>
        <w:spacing w:after="120" w:line="276" w:lineRule="auto"/>
        <w:ind w:right="113" w:firstLine="709"/>
        <w:jc w:val="both"/>
        <w:rPr>
          <w:rFonts w:ascii="Verdana" w:eastAsia="Arial" w:hAnsi="Verdana" w:cs="Arial"/>
          <w:lang w:val="es-ES" w:eastAsia="es-ES" w:bidi="es-ES"/>
        </w:rPr>
      </w:pPr>
      <w:r w:rsidRPr="00FC6F34">
        <w:rPr>
          <w:rFonts w:ascii="Verdana" w:eastAsia="Calibri" w:hAnsi="Verdana" w:cs="Arial"/>
          <w:lang w:val="es-ES"/>
        </w:rPr>
        <w:t xml:space="preserve">Por otro lado, </w:t>
      </w:r>
      <w:r w:rsidRPr="00FC6F34">
        <w:rPr>
          <w:rFonts w:ascii="Verdana" w:eastAsia="Calibri" w:hAnsi="Verdana" w:cs="Arial"/>
          <w:i/>
          <w:iCs/>
          <w:lang w:val="es-ES"/>
        </w:rPr>
        <w:t xml:space="preserve">el parágrafo del artículo 38 </w:t>
      </w:r>
      <w:r w:rsidRPr="00FC6F34">
        <w:rPr>
          <w:rFonts w:ascii="Verdana" w:eastAsia="Calibri" w:hAnsi="Verdana" w:cs="Arial"/>
          <w:lang w:val="es-ES"/>
        </w:rPr>
        <w:t xml:space="preserve">de la Ley 996 de 2005 prevé una restricción, aplicable respecto de </w:t>
      </w:r>
      <w:r w:rsidRPr="00FC6F34">
        <w:rPr>
          <w:rFonts w:ascii="Verdana" w:eastAsia="Calibri" w:hAnsi="Verdana" w:cs="Arial"/>
          <w:i/>
          <w:iCs/>
          <w:lang w:val="es-ES"/>
        </w:rPr>
        <w:t>cualquier tipo de contienda electoral</w:t>
      </w:r>
      <w:r w:rsidRPr="00FC6F34">
        <w:rPr>
          <w:rFonts w:ascii="Verdana" w:eastAsia="Calibri"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C6F34">
        <w:rPr>
          <w:rFonts w:ascii="Verdana" w:eastAsia="Calibri" w:hAnsi="Verdana" w:cs="Arial"/>
          <w:vertAlign w:val="superscript"/>
          <w:lang w:val="es-ES"/>
        </w:rPr>
        <w:footnoteReference w:id="8"/>
      </w:r>
      <w:r w:rsidRPr="00FC6F34">
        <w:rPr>
          <w:rFonts w:ascii="Verdana" w:eastAsia="Calibri" w:hAnsi="Verdana" w:cs="Arial"/>
          <w:lang w:val="es-ES"/>
        </w:rPr>
        <w:t>.</w:t>
      </w:r>
      <w:r w:rsidRPr="00FC6F34">
        <w:rPr>
          <w:rFonts w:ascii="Verdana" w:eastAsia="Arial" w:hAnsi="Verdana" w:cs="Arial"/>
          <w:lang w:val="es-ES" w:eastAsia="es-ES" w:bidi="es-ES"/>
        </w:rPr>
        <w:t xml:space="preserve"> </w:t>
      </w:r>
    </w:p>
    <w:p w14:paraId="6453739B" w14:textId="77777777" w:rsidR="004B6767" w:rsidRPr="00FC6F34" w:rsidRDefault="004B6767" w:rsidP="004B6767">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FC6F34">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7086FA64" w14:textId="77777777" w:rsidR="004B6767" w:rsidRPr="00FC6F34" w:rsidRDefault="004B6767" w:rsidP="004B6767">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540BC8D" w14:textId="77777777" w:rsidR="004B6767" w:rsidRPr="00FC6F34" w:rsidRDefault="004B6767" w:rsidP="004B676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FC6F34">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FC6F34">
        <w:rPr>
          <w:rFonts w:ascii="Verdana" w:eastAsia="Arial" w:hAnsi="Verdana" w:cs="Arial"/>
          <w:sz w:val="20"/>
          <w:szCs w:val="20"/>
          <w:lang w:val="es-ES" w:eastAsia="es-ES" w:bidi="es-ES"/>
        </w:rPr>
        <w:t>Presidente</w:t>
      </w:r>
      <w:proofErr w:type="gramEnd"/>
      <w:r w:rsidRPr="00FC6F34">
        <w:rPr>
          <w:rFonts w:ascii="Verdana" w:eastAsia="Arial" w:hAnsi="Verdana" w:cs="Arial"/>
          <w:sz w:val="20"/>
          <w:szCs w:val="20"/>
          <w:lang w:val="es-ES" w:eastAsia="es-ES" w:bidi="es-ES"/>
        </w:rPr>
        <w:t xml:space="preserve"> de la República, a las </w:t>
      </w:r>
      <w:r w:rsidRPr="00FC6F34">
        <w:rPr>
          <w:rFonts w:ascii="Verdana" w:eastAsia="Arial" w:hAnsi="Verdana" w:cs="Arial"/>
          <w:sz w:val="20"/>
          <w:szCs w:val="20"/>
          <w:lang w:val="es-ES" w:eastAsia="es-ES" w:bidi="es-ES"/>
        </w:rPr>
        <w:lastRenderedPageBreak/>
        <w:t>autoridades territoriales allí mencionadas sólo se aplican las restricciones contenidas en el parágrafo del artículo 38”.</w:t>
      </w:r>
      <w:r w:rsidRPr="00FC6F34">
        <w:rPr>
          <w:rFonts w:ascii="Verdana" w:eastAsia="Arial" w:hAnsi="Verdana" w:cs="Arial"/>
          <w:sz w:val="20"/>
          <w:szCs w:val="20"/>
          <w:vertAlign w:val="superscript"/>
          <w:lang w:val="es-ES" w:eastAsia="es-ES" w:bidi="es-ES"/>
        </w:rPr>
        <w:footnoteReference w:id="9"/>
      </w:r>
    </w:p>
    <w:p w14:paraId="1F8E2832" w14:textId="77777777" w:rsidR="004B6767" w:rsidRPr="00FC6F34" w:rsidRDefault="004B6767" w:rsidP="004B6767">
      <w:pPr>
        <w:widowControl w:val="0"/>
        <w:autoSpaceDE w:val="0"/>
        <w:autoSpaceDN w:val="0"/>
        <w:spacing w:after="0" w:line="276" w:lineRule="auto"/>
        <w:contextualSpacing/>
        <w:rPr>
          <w:rFonts w:ascii="Verdana" w:eastAsia="Arial" w:hAnsi="Verdana" w:cs="Arial"/>
          <w:lang w:val="es-ES" w:eastAsia="es-ES" w:bidi="es-ES"/>
        </w:rPr>
      </w:pPr>
    </w:p>
    <w:p w14:paraId="2BA8B7C5" w14:textId="77777777" w:rsidR="004B6767" w:rsidRPr="00FC6F34" w:rsidRDefault="004B6767" w:rsidP="004B6767">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FC6F34">
        <w:rPr>
          <w:rFonts w:ascii="Verdana" w:eastAsia="Arial" w:hAnsi="Verdana" w:cs="Arial"/>
          <w:i/>
          <w:lang w:val="es-ES" w:eastAsia="es-ES" w:bidi="es-ES"/>
        </w:rPr>
        <w:t>En primer lugar</w:t>
      </w:r>
      <w:r w:rsidRPr="00FC6F34">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C6F34">
        <w:rPr>
          <w:rFonts w:ascii="Verdana" w:eastAsia="Arial" w:hAnsi="Verdana" w:cs="Arial"/>
          <w:i/>
          <w:lang w:val="es-ES" w:eastAsia="es-ES" w:bidi="es-ES"/>
        </w:rPr>
        <w:t>En segundo lugar</w:t>
      </w:r>
      <w:r w:rsidRPr="00FC6F34">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29EBD7D" w14:textId="77777777" w:rsidR="004B6767" w:rsidRPr="00FC6F34" w:rsidRDefault="004B6767" w:rsidP="004B6767">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499ED00" w14:textId="77777777" w:rsidR="003A282E" w:rsidRDefault="004B6767" w:rsidP="003A282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o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FC6F34">
        <w:rPr>
          <w:rFonts w:ascii="Verdana" w:eastAsia="Arial" w:hAnsi="Verdana" w:cs="Arial"/>
          <w:lang w:val="es-ES" w:eastAsia="es-ES" w:bidi="es-ES"/>
        </w:rPr>
        <w:t>Presidente</w:t>
      </w:r>
      <w:proofErr w:type="gramEnd"/>
      <w:r w:rsidRPr="00FC6F34">
        <w:rPr>
          <w:rFonts w:ascii="Verdana" w:eastAsia="Arial" w:hAnsi="Verdana" w:cs="Arial"/>
          <w:lang w:val="es-ES" w:eastAsia="es-ES" w:bidi="es-ES"/>
        </w:rPr>
        <w:t xml:space="preserve"> y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de la República, ha perdido vigencia ante la prohibición de la </w:t>
      </w:r>
      <w:r w:rsidRPr="00FC6F34">
        <w:rPr>
          <w:rFonts w:ascii="Verdana" w:eastAsia="Arial" w:hAnsi="Verdana" w:cs="Arial"/>
          <w:lang w:val="es-ES" w:eastAsia="es-ES" w:bidi="es-ES"/>
        </w:rPr>
        <w:lastRenderedPageBreak/>
        <w:t xml:space="preserve">reelección presidencial, restablecida por el Acto Legislativo 2 de 2015. Esto, excepto para el </w:t>
      </w:r>
      <w:proofErr w:type="gramStart"/>
      <w:r w:rsidRPr="00FC6F34">
        <w:rPr>
          <w:rFonts w:ascii="Verdana" w:eastAsia="Arial" w:hAnsi="Verdana" w:cs="Arial"/>
          <w:lang w:val="es-ES" w:eastAsia="es-ES" w:bidi="es-ES"/>
        </w:rPr>
        <w:t>Vicepresidente</w:t>
      </w:r>
      <w:proofErr w:type="gramEnd"/>
      <w:r w:rsidRPr="00FC6F34">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88FE85D" w14:textId="0FF27C5E" w:rsidR="004B6767" w:rsidRPr="003A282E" w:rsidRDefault="004B6767" w:rsidP="003A282E">
      <w:pPr>
        <w:spacing w:after="120" w:line="276" w:lineRule="auto"/>
        <w:ind w:firstLine="709"/>
        <w:jc w:val="both"/>
        <w:rPr>
          <w:rFonts w:ascii="Verdana" w:eastAsia="Arial" w:hAnsi="Verdana" w:cs="Arial"/>
          <w:lang w:val="es-ES" w:eastAsia="es-ES" w:bidi="es-ES"/>
        </w:rPr>
      </w:pPr>
      <w:r w:rsidRPr="00FC6F34">
        <w:rPr>
          <w:rFonts w:ascii="Verdana" w:eastAsia="Arial" w:hAnsi="Verdana" w:cs="Arial"/>
          <w:lang w:val="es-ES" w:eastAsia="es-ES" w:bidi="es-ES"/>
        </w:rPr>
        <w:t xml:space="preserve">Ahora bien, </w:t>
      </w:r>
      <w:r w:rsidRPr="003A282E">
        <w:rPr>
          <w:rFonts w:ascii="Verdana" w:eastAsia="Arial" w:hAnsi="Verdana" w:cs="Arial"/>
          <w:lang w:val="es-ES" w:eastAsia="es-ES" w:bidi="es-ES"/>
        </w:rPr>
        <w:t xml:space="preserve">para responder al problema jurídico planteado es necesario precisar el alcance de la prohibición </w:t>
      </w:r>
      <w:r w:rsidRPr="00FC6F34">
        <w:rPr>
          <w:rFonts w:ascii="Verdana" w:eastAsia="Arial" w:hAnsi="Verdana" w:cs="Arial"/>
          <w:lang w:val="es-ES" w:eastAsia="es-ES" w:bidi="es-ES"/>
        </w:rPr>
        <w:t>establecida en e</w:t>
      </w:r>
      <w:r w:rsidRPr="003A282E">
        <w:rPr>
          <w:rFonts w:ascii="Verdana" w:eastAsia="Arial" w:hAnsi="Verdana" w:cs="Arial"/>
          <w:lang w:val="es-ES" w:eastAsia="es-ES" w:bidi="es-ES"/>
        </w:rPr>
        <w:t>l artículo 33 de la Ley 996 de 2005. El ámbito material de esta prohibición está delimitado por la expresión “queda prohibida la contratación directa”. A propósito de esta restricción de la Ley de Garantías Electorales, la Sala de Consulta y Servicio Civil del Consejo de Estado ha considerado que:</w:t>
      </w:r>
    </w:p>
    <w:p w14:paraId="73D23177" w14:textId="77777777" w:rsidR="004B6767" w:rsidRPr="00FC6F34" w:rsidRDefault="004B6767" w:rsidP="004B6767">
      <w:pPr>
        <w:spacing w:after="0" w:line="240" w:lineRule="auto"/>
        <w:ind w:left="709" w:right="709"/>
        <w:jc w:val="both"/>
        <w:rPr>
          <w:rFonts w:ascii="Verdana" w:eastAsia="Calibri" w:hAnsi="Verdana" w:cs="Arial"/>
          <w:sz w:val="20"/>
          <w:szCs w:val="20"/>
          <w:lang w:val="es-ES"/>
        </w:rPr>
      </w:pPr>
      <w:r w:rsidRPr="00FC6F34">
        <w:rPr>
          <w:rFonts w:ascii="Verdana" w:eastAsia="Calibri"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FC6F34">
        <w:rPr>
          <w:rFonts w:ascii="Verdana" w:eastAsia="Times New Roman" w:hAnsi="Verdana" w:cs="Arial"/>
          <w:sz w:val="20"/>
          <w:szCs w:val="20"/>
          <w:vertAlign w:val="superscript"/>
          <w:lang w:val="es-ES"/>
        </w:rPr>
        <w:footnoteReference w:id="10"/>
      </w:r>
      <w:r w:rsidRPr="00FC6F34">
        <w:rPr>
          <w:rFonts w:ascii="Verdana" w:eastAsia="Times New Roman" w:hAnsi="Verdana" w:cs="Arial"/>
          <w:sz w:val="20"/>
          <w:szCs w:val="20"/>
          <w:vertAlign w:val="superscript"/>
          <w:lang w:val="es-ES"/>
        </w:rPr>
        <w:t>.</w:t>
      </w:r>
      <w:r w:rsidRPr="00FC6F34">
        <w:rPr>
          <w:rFonts w:ascii="Verdana" w:eastAsia="Calibri"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C6F34">
        <w:rPr>
          <w:rFonts w:ascii="Verdana" w:eastAsia="Times New Roman" w:hAnsi="Verdana" w:cs="Arial"/>
          <w:sz w:val="20"/>
          <w:szCs w:val="20"/>
          <w:vertAlign w:val="superscript"/>
          <w:lang w:val="es-ES" w:eastAsia="es-CO"/>
        </w:rPr>
        <w:footnoteReference w:id="11"/>
      </w:r>
      <w:r w:rsidRPr="00FC6F34">
        <w:rPr>
          <w:rFonts w:ascii="Verdana" w:eastAsia="Calibri" w:hAnsi="Verdana" w:cs="Arial"/>
          <w:sz w:val="20"/>
          <w:szCs w:val="20"/>
          <w:lang w:val="es-ES"/>
        </w:rPr>
        <w:t xml:space="preserve"> .</w:t>
      </w:r>
    </w:p>
    <w:p w14:paraId="61C0A1D5" w14:textId="77777777" w:rsidR="004B6767" w:rsidRPr="00FC6F34" w:rsidRDefault="004B6767" w:rsidP="004B6767">
      <w:pPr>
        <w:shd w:val="clear" w:color="auto" w:fill="FFFFFF" w:themeFill="background1"/>
        <w:spacing w:after="0" w:line="276" w:lineRule="auto"/>
        <w:ind w:firstLine="709"/>
        <w:jc w:val="both"/>
        <w:rPr>
          <w:rFonts w:ascii="Verdana" w:eastAsia="Times New Roman" w:hAnsi="Verdana" w:cs="Arial"/>
          <w:lang w:val="es-ES" w:eastAsia="x-none"/>
        </w:rPr>
      </w:pPr>
    </w:p>
    <w:p w14:paraId="360D4F1B" w14:textId="77777777" w:rsidR="004B6767" w:rsidRPr="00FC6F34" w:rsidRDefault="004B6767" w:rsidP="004B6767">
      <w:pPr>
        <w:spacing w:after="120" w:line="276" w:lineRule="auto"/>
        <w:ind w:firstLine="708"/>
        <w:jc w:val="both"/>
        <w:rPr>
          <w:rFonts w:ascii="Verdana" w:eastAsia="Times New Roman" w:hAnsi="Verdana" w:cs="Arial"/>
          <w:bCs/>
          <w:lang w:val="es-ES" w:eastAsia="x-none"/>
        </w:rPr>
      </w:pPr>
      <w:r w:rsidRPr="00FC6F34">
        <w:rPr>
          <w:rFonts w:ascii="Verdana" w:eastAsia="Times New Roman" w:hAnsi="Verdana" w:cs="Arial"/>
          <w:lang w:val="es-ES" w:eastAsia="x-none"/>
        </w:rPr>
        <w:t xml:space="preserve">De acuerdo con este concepto, la prohibición del artículo 33 de la Ley de Garantías Electorales se refiere a </w:t>
      </w:r>
      <w:r w:rsidRPr="00FC6F34">
        <w:rPr>
          <w:rFonts w:ascii="Verdana" w:eastAsia="Times New Roman" w:hAnsi="Verdana" w:cs="Arial"/>
          <w:sz w:val="19"/>
          <w:szCs w:val="19"/>
          <w:lang w:val="es-ES" w:eastAsia="en-GB"/>
        </w:rPr>
        <w:t>“</w:t>
      </w:r>
      <w:r w:rsidRPr="00FC6F34">
        <w:rPr>
          <w:rFonts w:ascii="Verdana" w:eastAsia="Times New Roman" w:hAnsi="Verdana" w:cs="Arial"/>
          <w:lang w:val="es-ES" w:eastAsia="x-none"/>
        </w:rPr>
        <w:t>cualquier sistema que no implique convocatoria pública y posibilidad de pluralidad de oferentes</w:t>
      </w:r>
      <w:r w:rsidRPr="00FC6F34">
        <w:rPr>
          <w:rFonts w:ascii="Verdana" w:eastAsia="Times New Roman" w:hAnsi="Verdana" w:cs="Arial"/>
          <w:lang w:val="es-ES" w:eastAsia="en-GB"/>
        </w:rPr>
        <w:t>”</w:t>
      </w:r>
      <w:r w:rsidRPr="00FC6F34">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FC6F34">
        <w:rPr>
          <w:rFonts w:ascii="Verdana" w:eastAsia="Times New Roman" w:hAnsi="Verdana" w:cs="Arial"/>
          <w:lang w:val="es-ES"/>
        </w:rPr>
        <w:t>y la mínima cuantía</w:t>
      </w:r>
      <w:r w:rsidRPr="00FC6F34" w:rsidDel="00A85D9F">
        <w:rPr>
          <w:rFonts w:ascii="Verdana" w:eastAsia="Times New Roman" w:hAnsi="Verdana" w:cs="Arial"/>
          <w:lang w:val="es-ES" w:eastAsia="x-none"/>
        </w:rPr>
        <w:t xml:space="preserve"> </w:t>
      </w:r>
      <w:r w:rsidRPr="00FC6F34">
        <w:rPr>
          <w:rFonts w:ascii="Verdana" w:eastAsia="Times New Roman" w:hAnsi="Verdana" w:cs="Arial"/>
          <w:lang w:val="es-ES"/>
        </w:rPr>
        <w:t xml:space="preserve">u otros previstos en normas especiales. </w:t>
      </w:r>
      <w:r w:rsidRPr="00FC6F34">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FC6F34">
        <w:rPr>
          <w:rFonts w:ascii="Verdana" w:eastAsia="Times New Roman" w:hAnsi="Verdana" w:cs="Arial"/>
          <w:vertAlign w:val="superscript"/>
          <w:lang w:val="es-ES" w:eastAsia="x-none"/>
        </w:rPr>
        <w:footnoteReference w:id="12"/>
      </w:r>
      <w:r w:rsidRPr="00FC6F34">
        <w:rPr>
          <w:rFonts w:ascii="Verdana" w:eastAsia="Times New Roman" w:hAnsi="Verdana" w:cs="Arial"/>
          <w:lang w:val="es-ES" w:eastAsia="x-none"/>
        </w:rPr>
        <w:t xml:space="preserve"> y sistematizó las causales de contratación directa</w:t>
      </w:r>
      <w:r w:rsidRPr="00FC6F34">
        <w:rPr>
          <w:rFonts w:ascii="Verdana" w:eastAsia="Times New Roman" w:hAnsi="Verdana" w:cs="Arial"/>
          <w:vertAlign w:val="superscript"/>
          <w:lang w:val="es-ES" w:eastAsia="x-none"/>
        </w:rPr>
        <w:footnoteReference w:id="13"/>
      </w:r>
      <w:r w:rsidRPr="00FC6F34">
        <w:rPr>
          <w:rFonts w:ascii="Verdana" w:eastAsia="Times New Roman" w:hAnsi="Verdana" w:cs="Arial"/>
          <w:lang w:val="es-ES" w:eastAsia="x-none"/>
        </w:rPr>
        <w:t xml:space="preserve">, </w:t>
      </w:r>
      <w:r w:rsidRPr="00FC6F34">
        <w:rPr>
          <w:rFonts w:ascii="Verdana" w:eastAsia="Calibri" w:hAnsi="Verdana" w:cs="Arial"/>
          <w:lang w:val="es-ES" w:eastAsia="x-none"/>
        </w:rPr>
        <w:t xml:space="preserve">además lo es con la posterior creación de la modalidad de mínima cuantía establecida actualmente en el numeral 5 del </w:t>
      </w:r>
      <w:r w:rsidRPr="00FC6F34">
        <w:rPr>
          <w:rFonts w:ascii="Verdana" w:eastAsia="Calibri" w:hAnsi="Verdana" w:cs="Arial"/>
          <w:lang w:val="es-ES" w:eastAsia="x-none"/>
        </w:rPr>
        <w:lastRenderedPageBreak/>
        <w:t>artículo 2 de la Ley 1150 de 2007, de acuerdo con las modificaciones realizadas por leyes posteriores.</w:t>
      </w:r>
    </w:p>
    <w:p w14:paraId="37A099C6" w14:textId="77777777" w:rsidR="004B6767" w:rsidRPr="00FC6F34" w:rsidRDefault="004B6767" w:rsidP="004B6767">
      <w:pPr>
        <w:spacing w:after="120" w:line="276" w:lineRule="auto"/>
        <w:ind w:firstLine="708"/>
        <w:jc w:val="both"/>
        <w:rPr>
          <w:rFonts w:ascii="Verdana" w:eastAsia="Times New Roman" w:hAnsi="Verdana" w:cs="Arial"/>
          <w:bCs/>
          <w:lang w:val="es-ES" w:eastAsia="es-CO"/>
        </w:rPr>
      </w:pPr>
      <w:r w:rsidRPr="00FC6F34">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FC6F34">
        <w:rPr>
          <w:rFonts w:ascii="Verdana" w:eastAsia="Times New Roman" w:hAnsi="Verdana" w:cs="Arial"/>
          <w:bCs/>
          <w:i/>
          <w:iCs/>
          <w:lang w:val="es-ES" w:eastAsia="es-CO"/>
        </w:rPr>
        <w:t>, sino también frente a las entidades que tengan un régimen especial de contratación</w:t>
      </w:r>
      <w:r w:rsidRPr="00FC6F34">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FC6F34">
        <w:rPr>
          <w:rFonts w:ascii="Verdana" w:eastAsia="Times New Roman" w:hAnsi="Verdana" w:cs="Arial"/>
          <w:lang w:val="es-ES"/>
        </w:rPr>
        <w:t>Así,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C6F34">
        <w:rPr>
          <w:rFonts w:ascii="Verdana" w:eastAsia="Times New Roman" w:hAnsi="Verdana" w:cs="Arial"/>
          <w:vertAlign w:val="superscript"/>
          <w:lang w:val="es-ES" w:eastAsia="x-none"/>
        </w:rPr>
        <w:footnoteReference w:id="14"/>
      </w:r>
      <w:r w:rsidRPr="00FC6F34">
        <w:rPr>
          <w:rFonts w:ascii="Verdana" w:eastAsia="Times New Roman" w:hAnsi="Verdana" w:cs="Arial"/>
          <w:lang w:val="es-ES"/>
        </w:rPr>
        <w:t>.</w:t>
      </w:r>
      <w:r w:rsidRPr="00FC6F34">
        <w:rPr>
          <w:rFonts w:ascii="Verdana" w:eastAsia="Times New Roman" w:hAnsi="Verdana" w:cs="Arial"/>
          <w:vertAlign w:val="superscript"/>
          <w:lang w:val="es-ES" w:eastAsia="x-none"/>
        </w:rPr>
        <w:t xml:space="preserve"> </w:t>
      </w:r>
    </w:p>
    <w:p w14:paraId="2738080A" w14:textId="77777777" w:rsidR="004B6767" w:rsidRDefault="004B6767" w:rsidP="004B6767">
      <w:pPr>
        <w:spacing w:after="0" w:line="276" w:lineRule="auto"/>
        <w:ind w:firstLine="708"/>
        <w:jc w:val="both"/>
        <w:rPr>
          <w:rFonts w:ascii="Verdana" w:eastAsia="Times New Roman" w:hAnsi="Verdana" w:cs="Arial"/>
          <w:lang w:val="es-ES"/>
        </w:rPr>
      </w:pPr>
      <w:r w:rsidRPr="00FC6F34">
        <w:rPr>
          <w:rFonts w:ascii="Verdana" w:eastAsia="Times New Roman" w:hAnsi="Verdana" w:cs="Arial"/>
          <w:lang w:val="es-ES"/>
        </w:rPr>
        <w:t xml:space="preserve">De lo anterior se desprende que la restricción aplica, sin perjuicio de las excepciones establecidas en la misma ley, para celebrar </w:t>
      </w:r>
      <w:r w:rsidRPr="00FC6F34">
        <w:rPr>
          <w:rFonts w:ascii="Verdana" w:eastAsia="Times New Roman" w:hAnsi="Verdana" w:cs="Arial"/>
          <w:i/>
          <w:iCs/>
          <w:lang w:val="es-ES"/>
        </w:rPr>
        <w:t>cualquier contrato de forma directa</w:t>
      </w:r>
      <w:r w:rsidRPr="00FC6F34">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5B97ADD" w14:textId="5C29EE84" w:rsidR="003A282E" w:rsidRPr="003A282E" w:rsidRDefault="003A282E" w:rsidP="003A282E">
      <w:pPr>
        <w:spacing w:after="0" w:line="276" w:lineRule="auto"/>
        <w:ind w:firstLine="708"/>
        <w:jc w:val="both"/>
        <w:rPr>
          <w:rFonts w:ascii="Verdana" w:hAnsi="Verdana" w:cs="Arial"/>
        </w:rPr>
      </w:pPr>
      <w:r w:rsidRPr="003A282E">
        <w:rPr>
          <w:rFonts w:ascii="Verdana" w:eastAsia="Times New Roman" w:hAnsi="Verdana" w:cs="Arial"/>
          <w:lang w:val="es-ES"/>
        </w:rPr>
        <w:t xml:space="preserve">Ahora bien, según lo anterior y en relación con la consulta, es importante indicar que, </w:t>
      </w:r>
      <w:r w:rsidRPr="003A282E">
        <w:rPr>
          <w:rFonts w:ascii="Verdana" w:hAnsi="Verdana" w:cs="Arial"/>
        </w:rPr>
        <w:t>La Tienda Virtual del Estado Colombiano es un instrumento de compra pública administrado por Colombia Compra Eficiente, mediante el cual las entidades estatales adquieren bienes y servicios a través de Acuerdos Marco de Precios (AMP). Estos instrumentos son el resultado de procesos de selección previamente adelantados por la Agencia, caracterizados por ser públicos, objetivos, competitivos y conformes a los principios de transparencia y selección objetiva.</w:t>
      </w:r>
    </w:p>
    <w:p w14:paraId="0E902848" w14:textId="77777777" w:rsidR="003A282E" w:rsidRDefault="003A282E" w:rsidP="003A282E">
      <w:pPr>
        <w:spacing w:after="120" w:line="276" w:lineRule="auto"/>
        <w:ind w:firstLine="708"/>
        <w:jc w:val="both"/>
        <w:rPr>
          <w:rFonts w:ascii="Verdana" w:eastAsia="Times New Roman" w:hAnsi="Verdana" w:cs="Arial"/>
          <w:bCs/>
          <w:lang w:val="es-ES" w:eastAsia="es-CO"/>
        </w:rPr>
      </w:pPr>
      <w:r w:rsidRPr="003A282E">
        <w:rPr>
          <w:rFonts w:ascii="Verdana" w:eastAsia="Times New Roman" w:hAnsi="Verdana" w:cs="Arial"/>
          <w:bCs/>
          <w:lang w:val="es-ES" w:eastAsia="es-CO"/>
        </w:rPr>
        <w:t xml:space="preserve">En ese sentido, las órdenes de compra que las entidades generan dentro de la TVEC no constituyen una nueva modalidad de selección, ni pueden asimilarse a la contratación directa prohibida por la Ley de Garantías. Por el contrario, representan la ejecución de un contrato o instrumento ya </w:t>
      </w:r>
      <w:r w:rsidRPr="003A282E">
        <w:rPr>
          <w:rFonts w:ascii="Verdana" w:eastAsia="Times New Roman" w:hAnsi="Verdana" w:cs="Arial"/>
          <w:bCs/>
          <w:lang w:val="es-ES" w:eastAsia="es-CO"/>
        </w:rPr>
        <w:lastRenderedPageBreak/>
        <w:t>perfeccionado previamente, dentro del cual las reglas de competencia ya fueron agotadas. Por lo tanto, su expedición no encuadra dentro de los supuestos de prohibición previstos en el artículo 33 de la Ley 996 de 2005 y permanece plenamente habilitada durante el periodo de restricciones electorales. Esta Agencia, en diversos conceptos, ha reiterado que las prohibiciones contenidas en la Ley 996 de 2005 deben interpretarse de manera restrictiva, en la medida en que se trata de limitaciones excepcionales a la actividad contractual del Estado. En consecuencia, tales restricciones no pueden extenderse a supuestos no contemplados expresamente por el legislador, y únicamente aplican a las modalidades prohibidas de forma taxativa.</w:t>
      </w:r>
    </w:p>
    <w:p w14:paraId="08E292FB" w14:textId="2207568D" w:rsidR="003A282E" w:rsidRDefault="003A282E" w:rsidP="003A282E">
      <w:pPr>
        <w:spacing w:after="120" w:line="276" w:lineRule="auto"/>
        <w:ind w:firstLine="708"/>
        <w:jc w:val="both"/>
        <w:rPr>
          <w:rFonts w:ascii="Verdana" w:eastAsia="Times New Roman" w:hAnsi="Verdana" w:cs="Arial"/>
          <w:bCs/>
          <w:lang w:val="es-ES" w:eastAsia="es-CO"/>
        </w:rPr>
      </w:pPr>
      <w:r w:rsidRPr="003A282E">
        <w:rPr>
          <w:rFonts w:ascii="Verdana" w:eastAsia="Times New Roman" w:hAnsi="Verdana" w:cs="Arial"/>
          <w:bCs/>
          <w:lang w:val="es-ES" w:eastAsia="es-CO"/>
        </w:rPr>
        <w:t>Desde esta perspectiva, y dado que la Ley de Garantías no prohíbe de manera explícita la utilización de la Tienda Virtual del Estado Colombiano ni la ejecución de Acuerdos Marco de Precios durante el periodo electoral, debe entenderse que las entidades estatales conservan plena habilitación para generar órdenes de compra a través de la TVEC, sin que ello implique transgresión normativa o riesgo de vulnerar la integridad del proceso electoral.</w:t>
      </w:r>
    </w:p>
    <w:p w14:paraId="2EA6B3C8" w14:textId="6E4FDD1D" w:rsidR="004B6767" w:rsidRPr="003A282E" w:rsidRDefault="004B6767" w:rsidP="003A282E">
      <w:pPr>
        <w:spacing w:after="120" w:line="276" w:lineRule="auto"/>
        <w:ind w:firstLine="708"/>
        <w:jc w:val="both"/>
        <w:rPr>
          <w:rFonts w:ascii="Verdana" w:eastAsia="Times New Roman" w:hAnsi="Verdana" w:cs="Arial"/>
          <w:bCs/>
          <w:lang w:val="es-ES" w:eastAsia="es-CO"/>
        </w:rPr>
      </w:pPr>
      <w:r w:rsidRPr="003A282E">
        <w:rPr>
          <w:rFonts w:ascii="Verdana" w:eastAsia="Times New Roman" w:hAnsi="Verdana" w:cs="Arial"/>
          <w:bCs/>
          <w:lang w:val="es-ES" w:eastAsia="es-CO"/>
        </w:rPr>
        <w:t xml:space="preserve">Finalmente, es importante advertir que compete a cada Entidad Estatal que considera celebrar un contrato específico definir si este se enmarca en alguna de las prohibiciones de la Ley de Garantías Electorales. 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 </w:t>
      </w:r>
    </w:p>
    <w:p w14:paraId="4C4BDE97" w14:textId="77777777" w:rsidR="004B6767" w:rsidRPr="003A282E" w:rsidRDefault="004B6767" w:rsidP="003A282E">
      <w:pPr>
        <w:spacing w:after="120" w:line="276" w:lineRule="auto"/>
        <w:ind w:firstLine="708"/>
        <w:jc w:val="both"/>
        <w:rPr>
          <w:rFonts w:ascii="Verdana" w:eastAsia="Times New Roman" w:hAnsi="Verdana" w:cs="Arial"/>
          <w:bCs/>
          <w:lang w:val="es-ES" w:eastAsia="es-CO"/>
        </w:rPr>
      </w:pPr>
    </w:p>
    <w:bookmarkEnd w:id="1"/>
    <w:bookmarkEnd w:id="2"/>
    <w:p w14:paraId="15A72604"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4.Referencias normativas, jurisprudenciales y otras fuentes:</w:t>
      </w:r>
    </w:p>
    <w:p w14:paraId="486A3527" w14:textId="77777777" w:rsidR="004B6767" w:rsidRPr="00FC6F34" w:rsidRDefault="004B6767" w:rsidP="004B6767">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B6767" w:rsidRPr="00FC6F34" w14:paraId="363ED045" w14:textId="77777777" w:rsidTr="00E67E18">
        <w:trPr>
          <w:trHeight w:val="870"/>
        </w:trPr>
        <w:tc>
          <w:tcPr>
            <w:tcW w:w="8647" w:type="dxa"/>
          </w:tcPr>
          <w:p w14:paraId="2D8600DF" w14:textId="77777777" w:rsidR="004B6767" w:rsidRPr="00FC6F34"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Arial MT" w:hAnsi="Verdana" w:cs="Arial"/>
                <w:lang w:val="es-ES" w:eastAsia="es-ES" w:bidi="es-ES"/>
              </w:rPr>
              <w:t>Constitución Política, artículo 127.</w:t>
            </w:r>
          </w:p>
          <w:p w14:paraId="3BAFADC7" w14:textId="77777777" w:rsidR="004B6767" w:rsidRDefault="004B6767" w:rsidP="0027089D">
            <w:pPr>
              <w:pStyle w:val="Prrafodelista"/>
              <w:numPr>
                <w:ilvl w:val="0"/>
                <w:numId w:val="16"/>
              </w:numPr>
              <w:spacing w:line="276" w:lineRule="auto"/>
              <w:ind w:left="714" w:hanging="357"/>
              <w:jc w:val="both"/>
              <w:rPr>
                <w:rFonts w:ascii="Verdana" w:hAnsi="Verdana" w:cs="Arial"/>
              </w:rPr>
            </w:pPr>
            <w:r w:rsidRPr="00FC6F34">
              <w:rPr>
                <w:rFonts w:ascii="Verdana" w:hAnsi="Verdana" w:cs="Arial"/>
              </w:rPr>
              <w:t>Ley 80 de 1993, artículos 30 y 32.</w:t>
            </w:r>
          </w:p>
          <w:p w14:paraId="18476F3E" w14:textId="76B13CCB" w:rsidR="0042718F" w:rsidRPr="00FC6F34" w:rsidRDefault="0042718F" w:rsidP="0027089D">
            <w:pPr>
              <w:pStyle w:val="Prrafodelista"/>
              <w:numPr>
                <w:ilvl w:val="0"/>
                <w:numId w:val="16"/>
              </w:numPr>
              <w:spacing w:line="276" w:lineRule="auto"/>
              <w:ind w:left="714" w:hanging="357"/>
              <w:jc w:val="both"/>
              <w:rPr>
                <w:rFonts w:ascii="Verdana" w:hAnsi="Verdana" w:cs="Arial"/>
              </w:rPr>
            </w:pPr>
            <w:r w:rsidRPr="00FC6F34">
              <w:rPr>
                <w:rFonts w:ascii="Verdana" w:hAnsi="Verdana" w:cs="Arial"/>
                <w:color w:val="000000" w:themeColor="text1"/>
              </w:rPr>
              <w:t>Ley 100 de 1993</w:t>
            </w:r>
            <w:r w:rsidR="006D50FD">
              <w:rPr>
                <w:rFonts w:ascii="Verdana" w:hAnsi="Verdana" w:cs="Arial"/>
                <w:color w:val="000000" w:themeColor="text1"/>
              </w:rPr>
              <w:t>:</w:t>
            </w:r>
            <w:r>
              <w:rPr>
                <w:rFonts w:ascii="Verdana" w:hAnsi="Verdana" w:cs="Arial"/>
                <w:color w:val="000000" w:themeColor="text1"/>
              </w:rPr>
              <w:t xml:space="preserve"> artículo 94 y 197</w:t>
            </w:r>
          </w:p>
          <w:p w14:paraId="5DAA8787" w14:textId="77777777" w:rsidR="004B6767"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Ley 813 de 2003: artículos 8, 10, 11 y 12.</w:t>
            </w:r>
          </w:p>
          <w:p w14:paraId="4B133AD8" w14:textId="506EE911" w:rsidR="006D50FD" w:rsidRPr="00EB7F54" w:rsidRDefault="006D50FD"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Arial MT" w:hAnsi="Verdana" w:cs="Arial"/>
                <w:bCs/>
                <w:lang w:val="es-ES" w:eastAsia="es-ES" w:bidi="es-ES"/>
              </w:rPr>
              <w:lastRenderedPageBreak/>
              <w:t>Ley 996 de 2005: artículos 33 y 38.</w:t>
            </w:r>
          </w:p>
          <w:p w14:paraId="721E36E2" w14:textId="77777777" w:rsidR="004B6767" w:rsidRPr="00FC6F34"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Ley 1483 de 2011.</w:t>
            </w:r>
          </w:p>
          <w:p w14:paraId="0C2C6B13" w14:textId="77777777" w:rsidR="004B6767" w:rsidRPr="00FC6F34"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Decreto 111 de 1996.</w:t>
            </w:r>
          </w:p>
          <w:p w14:paraId="1F146BD4" w14:textId="77777777" w:rsidR="004B6767" w:rsidRDefault="004B6767"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hAnsi="Verdana" w:cs="Arial"/>
              </w:rPr>
              <w:t xml:space="preserve">Decreto 1068 de 2015: artículo 2.8.3.4. </w:t>
            </w:r>
          </w:p>
          <w:p w14:paraId="3D8B92DB" w14:textId="006A5003" w:rsidR="0042718F" w:rsidRPr="00FC6F34" w:rsidRDefault="0042718F" w:rsidP="0027089D">
            <w:pPr>
              <w:pStyle w:val="Prrafodelista"/>
              <w:widowControl w:val="0"/>
              <w:numPr>
                <w:ilvl w:val="0"/>
                <w:numId w:val="16"/>
              </w:numPr>
              <w:autoSpaceDE w:val="0"/>
              <w:autoSpaceDN w:val="0"/>
              <w:spacing w:line="276" w:lineRule="auto"/>
              <w:ind w:left="714" w:hanging="357"/>
              <w:jc w:val="both"/>
              <w:rPr>
                <w:rFonts w:ascii="Verdana" w:hAnsi="Verdana" w:cs="Arial"/>
              </w:rPr>
            </w:pPr>
            <w:r w:rsidRPr="00FC6F34">
              <w:rPr>
                <w:rFonts w:ascii="Verdana" w:eastAsia="Arial" w:hAnsi="Verdana" w:cs="Arial"/>
                <w:bCs/>
                <w:color w:val="000000" w:themeColor="text1"/>
              </w:rPr>
              <w:t>Decreto 780 de 2016</w:t>
            </w:r>
            <w:r w:rsidR="004841EA">
              <w:rPr>
                <w:rFonts w:ascii="Verdana" w:eastAsia="Arial" w:hAnsi="Verdana" w:cs="Arial"/>
                <w:bCs/>
                <w:color w:val="000000" w:themeColor="text1"/>
              </w:rPr>
              <w:t>:</w:t>
            </w:r>
            <w:r>
              <w:rPr>
                <w:rFonts w:ascii="Verdana" w:eastAsia="Arial" w:hAnsi="Verdana" w:cs="Arial"/>
                <w:bCs/>
                <w:color w:val="000000" w:themeColor="text1"/>
              </w:rPr>
              <w:t xml:space="preserve"> </w:t>
            </w:r>
            <w:r w:rsidRPr="00FC6F34">
              <w:rPr>
                <w:rFonts w:ascii="Verdana" w:eastAsia="Arial" w:hAnsi="Verdana" w:cs="Arial"/>
                <w:bCs/>
                <w:color w:val="000000" w:themeColor="text1"/>
              </w:rPr>
              <w:t>artículo 2.8.8.1.1.3</w:t>
            </w:r>
          </w:p>
          <w:p w14:paraId="6D797922" w14:textId="77777777" w:rsidR="004B6767" w:rsidRPr="00FC6F34"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Calibri" w:hAnsi="Verdana" w:cs="Arial"/>
                <w:lang w:val="es-ES"/>
              </w:rPr>
              <w:t>Decreto 2770 de 2006.</w:t>
            </w:r>
          </w:p>
          <w:p w14:paraId="6828F460" w14:textId="4AFB0B00" w:rsidR="004B6767"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FC6F34">
              <w:rPr>
                <w:rFonts w:ascii="Verdana" w:eastAsia="Times New Roman" w:hAnsi="Verdana" w:cs="Times New Roman"/>
                <w:lang w:val="es-ES" w:eastAsia="es-MX"/>
              </w:rPr>
              <w:t>Ley 1150 de 2007</w:t>
            </w:r>
            <w:r w:rsidR="004841EA">
              <w:rPr>
                <w:rFonts w:ascii="Verdana" w:eastAsia="Times New Roman" w:hAnsi="Verdana" w:cs="Times New Roman"/>
                <w:lang w:val="es-ES" w:eastAsia="es-MX"/>
              </w:rPr>
              <w:t>:</w:t>
            </w:r>
            <w:r w:rsidRPr="00FC6F34">
              <w:rPr>
                <w:rFonts w:ascii="Verdana" w:eastAsia="Times New Roman" w:hAnsi="Verdana" w:cs="Times New Roman"/>
                <w:lang w:val="es-ES" w:eastAsia="es-MX"/>
              </w:rPr>
              <w:t xml:space="preserve"> </w:t>
            </w:r>
            <w:r w:rsidR="004841EA">
              <w:rPr>
                <w:rFonts w:ascii="Verdana" w:eastAsia="Arial MT" w:hAnsi="Verdana" w:cs="Arial"/>
                <w:lang w:val="es-ES" w:eastAsia="es-ES" w:bidi="es-ES"/>
              </w:rPr>
              <w:t>a</w:t>
            </w:r>
            <w:r w:rsidRPr="00FC6F34">
              <w:rPr>
                <w:rFonts w:ascii="Verdana" w:eastAsia="Arial MT" w:hAnsi="Verdana" w:cs="Arial"/>
                <w:lang w:val="es-ES" w:eastAsia="es-ES" w:bidi="es-ES"/>
              </w:rPr>
              <w:t xml:space="preserve">rtículo 2, numeral 4. </w:t>
            </w:r>
          </w:p>
          <w:p w14:paraId="53E30C5D" w14:textId="43201814" w:rsidR="00E06D2F" w:rsidRPr="00D93D5B" w:rsidRDefault="00E06D2F"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841EA">
              <w:rPr>
                <w:rFonts w:ascii="Verdana" w:eastAsia="Arial MT" w:hAnsi="Verdana" w:cs="Arial"/>
                <w:lang w:val="es-ES" w:eastAsia="es-ES" w:bidi="es-ES"/>
              </w:rPr>
              <w:t>Estatuto Orgánico del Presupuesto</w:t>
            </w:r>
            <w:r w:rsidR="004841EA">
              <w:rPr>
                <w:rFonts w:ascii="Verdana" w:eastAsia="Arial MT" w:hAnsi="Verdana" w:cs="Arial"/>
                <w:lang w:val="es-ES" w:eastAsia="es-ES" w:bidi="es-ES"/>
              </w:rPr>
              <w:t>:</w:t>
            </w:r>
            <w:r w:rsidRPr="004841EA">
              <w:rPr>
                <w:rFonts w:ascii="Verdana" w:eastAsia="Arial MT" w:hAnsi="Verdana" w:cs="Arial"/>
                <w:lang w:val="es-ES" w:eastAsia="es-ES" w:bidi="es-ES"/>
              </w:rPr>
              <w:t xml:space="preserve"> </w:t>
            </w:r>
            <w:r w:rsidR="004841EA">
              <w:rPr>
                <w:rFonts w:ascii="Verdana" w:eastAsia="Arial MT" w:hAnsi="Verdana" w:cs="Arial"/>
                <w:lang w:val="es-ES" w:eastAsia="es-ES" w:bidi="es-ES"/>
              </w:rPr>
              <w:t>a</w:t>
            </w:r>
            <w:r w:rsidRPr="004841EA">
              <w:rPr>
                <w:rFonts w:ascii="Verdana" w:eastAsia="Arial MT" w:hAnsi="Verdana" w:cs="Arial"/>
                <w:lang w:val="es-ES" w:eastAsia="es-ES" w:bidi="es-ES"/>
              </w:rPr>
              <w:t>rtículo 89.</w:t>
            </w:r>
          </w:p>
          <w:p w14:paraId="72E9B81E" w14:textId="178EEF02" w:rsidR="00D93D5B" w:rsidRPr="00E06D2F" w:rsidRDefault="00D93D5B"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4841EA">
              <w:rPr>
                <w:rFonts w:ascii="Verdana" w:eastAsia="Arial MT" w:hAnsi="Verdana" w:cs="Arial"/>
                <w:lang w:val="es-ES" w:eastAsia="es-ES" w:bidi="es-ES"/>
              </w:rPr>
              <w:t>Decreto 1082 de 2015</w:t>
            </w:r>
            <w:r w:rsidR="004841EA">
              <w:rPr>
                <w:rFonts w:ascii="Verdana" w:eastAsia="Arial MT" w:hAnsi="Verdana" w:cs="Arial"/>
                <w:lang w:val="es-ES" w:eastAsia="es-ES" w:bidi="es-ES"/>
              </w:rPr>
              <w:t>:</w:t>
            </w:r>
            <w:r w:rsidRPr="004841EA">
              <w:rPr>
                <w:rFonts w:ascii="Verdana" w:eastAsia="Arial MT" w:hAnsi="Verdana" w:cs="Arial"/>
                <w:lang w:val="es-ES" w:eastAsia="es-ES" w:bidi="es-ES"/>
              </w:rPr>
              <w:t xml:space="preserve"> </w:t>
            </w:r>
            <w:r w:rsidR="004841EA">
              <w:rPr>
                <w:rFonts w:ascii="Verdana" w:eastAsia="Arial MT" w:hAnsi="Verdana" w:cs="Arial"/>
                <w:lang w:val="es-ES" w:eastAsia="es-ES" w:bidi="es-ES"/>
              </w:rPr>
              <w:t>a</w:t>
            </w:r>
            <w:r w:rsidRPr="004841EA">
              <w:rPr>
                <w:rFonts w:ascii="Verdana" w:eastAsia="Arial MT" w:hAnsi="Verdana" w:cs="Arial"/>
                <w:lang w:val="es-ES" w:eastAsia="es-ES" w:bidi="es-ES"/>
              </w:rPr>
              <w:t>rtículo 2.2.1.2.1.4.4</w:t>
            </w:r>
          </w:p>
          <w:p w14:paraId="6B8F6933" w14:textId="77C3B39F" w:rsidR="009F61BB" w:rsidRPr="00FC6F34" w:rsidRDefault="009F61BB"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Consejo de Estado. Sala de Consulta y Servicio Civil. Concepto del 18 de febrero 2010. Rad. 11001-03-06-000-2010-00006-00 (1985). C.P. Enrique José Arboleda Perdomo.</w:t>
            </w:r>
          </w:p>
          <w:p w14:paraId="0633FDCA" w14:textId="77777777" w:rsidR="004B6767" w:rsidRPr="0027089D" w:rsidRDefault="004B6767" w:rsidP="0027089D">
            <w:pPr>
              <w:widowControl w:val="0"/>
              <w:numPr>
                <w:ilvl w:val="0"/>
                <w:numId w:val="16"/>
              </w:numPr>
              <w:autoSpaceDE w:val="0"/>
              <w:autoSpaceDN w:val="0"/>
              <w:spacing w:line="276" w:lineRule="auto"/>
              <w:ind w:left="714" w:hanging="357"/>
              <w:contextualSpacing/>
              <w:jc w:val="both"/>
              <w:rPr>
                <w:rFonts w:ascii="Verdana" w:eastAsia="Arial MT" w:hAnsi="Verdana" w:cs="Arial"/>
                <w:lang w:val="es-ES" w:eastAsia="es-ES" w:bidi="es-ES"/>
              </w:rPr>
            </w:pPr>
            <w:r w:rsidRPr="0027089D">
              <w:rPr>
                <w:rFonts w:ascii="Verdana" w:eastAsia="Arial MT" w:hAnsi="Verdana" w:cs="Arial"/>
                <w:lang w:val="es-ES" w:eastAsia="es-ES" w:bidi="es-ES"/>
              </w:rPr>
              <w:t xml:space="preserve">Consejo de Estado, Sección Primera. Sentencia de 3 de marzo de 2005, </w:t>
            </w:r>
            <w:proofErr w:type="spellStart"/>
            <w:r w:rsidRPr="0027089D">
              <w:rPr>
                <w:rFonts w:ascii="Verdana" w:eastAsia="Arial MT" w:hAnsi="Verdana" w:cs="Arial"/>
                <w:lang w:val="es-ES" w:eastAsia="es-ES" w:bidi="es-ES"/>
              </w:rPr>
              <w:t>Exp</w:t>
            </w:r>
            <w:proofErr w:type="spellEnd"/>
            <w:r w:rsidRPr="0027089D">
              <w:rPr>
                <w:rFonts w:ascii="Verdana" w:eastAsia="Arial MT" w:hAnsi="Verdana" w:cs="Arial"/>
                <w:lang w:val="es-ES" w:eastAsia="es-ES" w:bidi="es-ES"/>
              </w:rPr>
              <w:t xml:space="preserve">. 2004-00823-01(PI). </w:t>
            </w:r>
          </w:p>
          <w:p w14:paraId="473E25D9" w14:textId="41CD1A30" w:rsidR="00D93D5B" w:rsidRPr="003A282E" w:rsidRDefault="00D93D5B" w:rsidP="003A282E">
            <w:pPr>
              <w:spacing w:line="276" w:lineRule="auto"/>
              <w:jc w:val="both"/>
              <w:rPr>
                <w:rFonts w:ascii="Verdana" w:hAnsi="Verdana" w:cs="Arial"/>
              </w:rPr>
            </w:pPr>
          </w:p>
        </w:tc>
      </w:tr>
    </w:tbl>
    <w:p w14:paraId="22C8CA20" w14:textId="77777777" w:rsidR="004B6767" w:rsidRPr="00FC6F34" w:rsidRDefault="004B6767" w:rsidP="004B6767">
      <w:pPr>
        <w:widowControl w:val="0"/>
        <w:autoSpaceDE w:val="0"/>
        <w:autoSpaceDN w:val="0"/>
        <w:spacing w:after="0" w:line="276" w:lineRule="auto"/>
        <w:jc w:val="both"/>
        <w:rPr>
          <w:rFonts w:ascii="Verdana" w:hAnsi="Verdana" w:cs="Arial"/>
          <w:color w:val="000000" w:themeColor="text1"/>
          <w:lang w:val="es-ES"/>
        </w:rPr>
      </w:pPr>
    </w:p>
    <w:p w14:paraId="0BFEE60D" w14:textId="77777777" w:rsidR="004B6767" w:rsidRPr="00FC6F34" w:rsidRDefault="004B6767" w:rsidP="004B6767">
      <w:pPr>
        <w:tabs>
          <w:tab w:val="left" w:pos="142"/>
          <w:tab w:val="left" w:pos="284"/>
        </w:tabs>
        <w:spacing w:after="0" w:line="276" w:lineRule="auto"/>
        <w:jc w:val="both"/>
        <w:rPr>
          <w:rFonts w:ascii="Verdana" w:eastAsia="Century Gothic" w:hAnsi="Verdana" w:cs="Century Gothic"/>
          <w:b/>
          <w:color w:val="000000" w:themeColor="text1"/>
          <w:lang w:val="es-ES"/>
        </w:rPr>
      </w:pPr>
      <w:r w:rsidRPr="00FC6F34">
        <w:rPr>
          <w:rFonts w:ascii="Verdana" w:eastAsia="Century Gothic" w:hAnsi="Verdana" w:cs="Century Gothic"/>
          <w:b/>
          <w:color w:val="000000" w:themeColor="text1"/>
          <w:lang w:val="es-ES"/>
        </w:rPr>
        <w:t>5.Doctrina de la Agencia Nacional de Contratación Pública:</w:t>
      </w:r>
    </w:p>
    <w:p w14:paraId="4CCC2B95" w14:textId="77777777" w:rsidR="004B6767" w:rsidRPr="00FC6F34" w:rsidRDefault="004B6767" w:rsidP="004B6767">
      <w:pPr>
        <w:widowControl w:val="0"/>
        <w:autoSpaceDE w:val="0"/>
        <w:autoSpaceDN w:val="0"/>
        <w:spacing w:after="0" w:line="276" w:lineRule="auto"/>
        <w:jc w:val="both"/>
        <w:rPr>
          <w:rFonts w:ascii="Verdana" w:hAnsi="Verdana" w:cs="Arial"/>
          <w:color w:val="000000" w:themeColor="text1"/>
          <w:lang w:val="es-ES"/>
        </w:rPr>
      </w:pPr>
    </w:p>
    <w:p w14:paraId="4FB0C912" w14:textId="248582EE" w:rsidR="004B6767" w:rsidRPr="00982071" w:rsidRDefault="004B6767" w:rsidP="004B6767">
      <w:pPr>
        <w:jc w:val="both"/>
        <w:rPr>
          <w:rFonts w:ascii="Arial" w:eastAsia="Calibri" w:hAnsi="Arial" w:cs="Arial"/>
          <w:b/>
          <w:bCs/>
          <w:color w:val="000000" w:themeColor="text1"/>
          <w:lang w:val="es-ES_tradnl"/>
        </w:rPr>
      </w:pPr>
      <w:r w:rsidRPr="00FC6F34">
        <w:rPr>
          <w:rFonts w:ascii="Verdana" w:eastAsia="Calibri" w:hAnsi="Verdana" w:cs="Arial"/>
          <w:lang w:val="es-ES"/>
        </w:rPr>
        <w:t xml:space="preserve">La Agencia Nacional de Contratación Pública – Colombia Compra Eficiente se ha referido </w:t>
      </w:r>
      <w:r w:rsidRPr="00FC6F34">
        <w:rPr>
          <w:rFonts w:ascii="Verdana" w:hAnsi="Verdana" w:cs="Arial"/>
          <w:shd w:val="clear" w:color="auto" w:fill="FFFFFF"/>
          <w:lang w:val="es-ES"/>
        </w:rPr>
        <w:t>sobre la Ley de Garantías Electorales en los conceptos con radicado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C-180 del 21 de marzo de 2025, C-317 del 25 de abril de 2025, C-510 del 4 de junio de 2025, C -635 del 27 de junio de 2025, C–750 de 17 de julio 2025, C-729 del 15 de Julio de 2015 y C-273-A de 2025</w:t>
      </w:r>
      <w:r>
        <w:rPr>
          <w:rFonts w:ascii="Verdana" w:hAnsi="Verdana" w:cs="Arial"/>
          <w:shd w:val="clear" w:color="auto" w:fill="FFFFFF"/>
          <w:lang w:val="es-ES"/>
        </w:rPr>
        <w:t xml:space="preserve">, entre otros. </w:t>
      </w:r>
      <w:r w:rsidRPr="00FC6F34">
        <w:rPr>
          <w:rFonts w:ascii="Verdana" w:hAnsi="Verdana" w:cs="Arial"/>
          <w:shd w:val="clear" w:color="auto" w:fill="FFFFFF"/>
          <w:lang w:val="es-ES"/>
        </w:rPr>
        <w:t>Estos</w:t>
      </w:r>
      <w:r w:rsidRPr="00FC6F34">
        <w:rPr>
          <w:rFonts w:ascii="Verdana" w:hAnsi="Verdana"/>
          <w:lang w:val="es-ES"/>
        </w:rPr>
        <w:t xml:space="preserve"> y otros se encuentran disponibles para consulta en el Sistema de relatoría de la Agencia, al cual se puede acceder a través del siguiente enlace:</w:t>
      </w:r>
      <w:r w:rsidRPr="00FC6F34">
        <w:rPr>
          <w:rFonts w:ascii="Verdana" w:hAnsi="Verdana" w:cs="Arial"/>
          <w:shd w:val="clear" w:color="auto" w:fill="FFFFFF"/>
          <w:lang w:val="es-ES"/>
        </w:rPr>
        <w:t xml:space="preserve"> </w:t>
      </w:r>
      <w:hyperlink r:id="rId13" w:history="1">
        <w:r w:rsidRPr="00FC6F34">
          <w:rPr>
            <w:rFonts w:ascii="Verdana" w:hAnsi="Verdana" w:cs="Arial"/>
            <w:color w:val="0000FF"/>
            <w:u w:val="single"/>
            <w:shd w:val="clear" w:color="auto" w:fill="FFFFFF"/>
            <w:lang w:val="es-ES"/>
          </w:rPr>
          <w:t>https://relatoria.colombiacompra.gov.co/busqueda/concept os</w:t>
        </w:r>
      </w:hyperlink>
      <w:r w:rsidRPr="00FC6F34">
        <w:rPr>
          <w:rFonts w:ascii="Verdana" w:hAnsi="Verdana" w:cs="Arial"/>
          <w:shd w:val="clear" w:color="auto" w:fill="FFFFFF"/>
          <w:lang w:val="es-ES"/>
        </w:rPr>
        <w:t>.</w:t>
      </w:r>
      <w:r w:rsidRPr="00FC6F34">
        <w:rPr>
          <w:rFonts w:ascii="Verdana" w:hAnsi="Verdana" w:cs="Arial"/>
          <w:color w:val="FF0000"/>
          <w:shd w:val="clear" w:color="auto" w:fill="FFFFFF"/>
          <w:lang w:val="es-ES"/>
        </w:rPr>
        <w:t xml:space="preserve"> </w:t>
      </w:r>
      <w:r w:rsidRPr="00FC6F34">
        <w:rPr>
          <w:rFonts w:ascii="Verdana" w:hAnsi="Verdana" w:cs="Arial"/>
          <w:color w:val="000000" w:themeColor="text1"/>
          <w:shd w:val="clear" w:color="auto" w:fill="FFFFFF"/>
          <w:lang w:val="es-ES"/>
        </w:rPr>
        <w:t>  </w:t>
      </w:r>
    </w:p>
    <w:p w14:paraId="4C1E9E7D" w14:textId="77777777" w:rsidR="004B6767" w:rsidRPr="00FC6F34" w:rsidRDefault="004B6767" w:rsidP="004B6767">
      <w:pPr>
        <w:widowControl w:val="0"/>
        <w:autoSpaceDE w:val="0"/>
        <w:autoSpaceDN w:val="0"/>
        <w:spacing w:after="0" w:line="276" w:lineRule="auto"/>
        <w:jc w:val="both"/>
        <w:rPr>
          <w:rFonts w:ascii="Verdana" w:hAnsi="Verdana" w:cs="Arial"/>
          <w:lang w:val="es-ES"/>
        </w:rPr>
      </w:pPr>
      <w:r w:rsidRPr="00FC6F3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DB31147" w14:textId="77777777" w:rsidR="004B6767" w:rsidRPr="00FC6F34" w:rsidRDefault="004B6767" w:rsidP="004B6767">
      <w:pPr>
        <w:widowControl w:val="0"/>
        <w:autoSpaceDE w:val="0"/>
        <w:autoSpaceDN w:val="0"/>
        <w:spacing w:after="0" w:line="276" w:lineRule="auto"/>
        <w:jc w:val="both"/>
        <w:rPr>
          <w:rFonts w:ascii="Verdana" w:hAnsi="Verdana" w:cs="Arial"/>
          <w:lang w:val="es-ES"/>
        </w:rPr>
      </w:pPr>
    </w:p>
    <w:p w14:paraId="69AAB1E6" w14:textId="77777777" w:rsidR="004B6767" w:rsidRDefault="004B6767" w:rsidP="004B6767">
      <w:pPr>
        <w:spacing w:after="0" w:line="276" w:lineRule="auto"/>
        <w:rPr>
          <w:rFonts w:ascii="Verdana" w:hAnsi="Verdana" w:cs="Arial"/>
          <w:color w:val="000000" w:themeColor="text1"/>
          <w:lang w:val="es-ES" w:eastAsia="es-CO"/>
        </w:rPr>
      </w:pPr>
      <w:r w:rsidRPr="00FC6F34">
        <w:rPr>
          <w:rFonts w:ascii="Verdana" w:eastAsia="Times New Roman" w:hAnsi="Verdana" w:cs="Arial"/>
          <w:color w:val="000000" w:themeColor="text1"/>
          <w:lang w:val="es-ES" w:eastAsia="es-CO"/>
        </w:rPr>
        <w:t>Atentamente,</w:t>
      </w:r>
      <w:r w:rsidRPr="00FC6F34">
        <w:rPr>
          <w:rFonts w:ascii="Verdana" w:hAnsi="Verdana" w:cs="Arial"/>
          <w:color w:val="000000" w:themeColor="text1"/>
          <w:lang w:val="es-ES" w:eastAsia="es-CO"/>
        </w:rPr>
        <w:t xml:space="preserve"> </w:t>
      </w:r>
    </w:p>
    <w:p w14:paraId="1168D6D6" w14:textId="77777777" w:rsidR="00C03753" w:rsidRDefault="00C03753" w:rsidP="004B6767">
      <w:pPr>
        <w:spacing w:after="0" w:line="276" w:lineRule="auto"/>
        <w:rPr>
          <w:rFonts w:ascii="Verdana" w:hAnsi="Verdana" w:cs="Arial"/>
          <w:color w:val="000000" w:themeColor="text1"/>
          <w:lang w:val="es-ES" w:eastAsia="es-CO"/>
        </w:rPr>
      </w:pPr>
    </w:p>
    <w:p w14:paraId="5BB98372" w14:textId="3B3757ED" w:rsidR="00C03753" w:rsidRPr="00FC6F34" w:rsidRDefault="004118CC" w:rsidP="00C03753">
      <w:pPr>
        <w:spacing w:after="0" w:line="276" w:lineRule="auto"/>
        <w:jc w:val="center"/>
        <w:rPr>
          <w:rFonts w:ascii="Verdana" w:hAnsi="Verdana" w:cs="Arial"/>
          <w:color w:val="000000" w:themeColor="text1"/>
          <w:lang w:val="es-ES" w:eastAsia="es-CO"/>
        </w:rPr>
      </w:pPr>
      <w:r w:rsidRPr="002F244C">
        <w:rPr>
          <w:rFonts w:ascii="Verdana" w:hAnsi="Verdana"/>
          <w:noProof/>
        </w:rPr>
        <w:drawing>
          <wp:inline distT="0" distB="0" distL="0" distR="0" wp14:anchorId="5534F0D8" wp14:editId="6B086ED3">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p w14:paraId="0E5A3F78" w14:textId="3D850489" w:rsidR="004B6767" w:rsidRPr="00FC6F34" w:rsidRDefault="004B6767" w:rsidP="001A5026">
      <w:pPr>
        <w:spacing w:after="0"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B6767" w:rsidRPr="00FC6F34" w14:paraId="0928210D" w14:textId="77777777" w:rsidTr="00E67E18">
        <w:trPr>
          <w:trHeight w:val="315"/>
        </w:trPr>
        <w:tc>
          <w:tcPr>
            <w:tcW w:w="893" w:type="dxa"/>
            <w:vAlign w:val="center"/>
            <w:hideMark/>
          </w:tcPr>
          <w:p w14:paraId="3741846F" w14:textId="77777777" w:rsidR="004B6767" w:rsidRPr="00FC6F34" w:rsidRDefault="004B6767" w:rsidP="00E67E18">
            <w:pPr>
              <w:contextualSpacing/>
              <w:rPr>
                <w:rFonts w:ascii="Verdana" w:hAnsi="Verdana" w:cs="Arial"/>
                <w:sz w:val="16"/>
                <w:szCs w:val="16"/>
                <w:lang w:val="es-ES" w:eastAsia="es-ES"/>
              </w:rPr>
            </w:pPr>
            <w:r w:rsidRPr="00FC6F3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78265BF" w14:textId="4A8C0235" w:rsidR="004B6767" w:rsidRPr="00FC6F34" w:rsidRDefault="005828ED" w:rsidP="00E67E18">
            <w:pPr>
              <w:contextualSpacing/>
              <w:rPr>
                <w:rFonts w:ascii="Verdana" w:eastAsia="Arial" w:hAnsi="Verdana" w:cs="Arial"/>
                <w:color w:val="000000" w:themeColor="text1"/>
                <w:sz w:val="16"/>
                <w:szCs w:val="16"/>
                <w:lang w:val="es-ES"/>
              </w:rPr>
            </w:pPr>
            <w:r>
              <w:rPr>
                <w:rFonts w:ascii="Verdana" w:eastAsia="Arial" w:hAnsi="Verdana" w:cs="Arial"/>
                <w:color w:val="000000" w:themeColor="text1"/>
                <w:sz w:val="16"/>
                <w:szCs w:val="16"/>
                <w:lang w:val="es-ES"/>
              </w:rPr>
              <w:t>Richard Andrés Montenegro Siefken</w:t>
            </w:r>
          </w:p>
          <w:p w14:paraId="10863EE9" w14:textId="77777777" w:rsidR="004B6767" w:rsidRPr="00FC6F34" w:rsidRDefault="004B6767" w:rsidP="00E67E18">
            <w:pPr>
              <w:contextualSpacing/>
              <w:rPr>
                <w:rFonts w:ascii="Verdana" w:eastAsia="Arial" w:hAnsi="Verdana" w:cs="Arial"/>
                <w:sz w:val="16"/>
                <w:szCs w:val="16"/>
                <w:lang w:val="es-ES"/>
              </w:rPr>
            </w:pPr>
            <w:r w:rsidRPr="00FC6F34">
              <w:rPr>
                <w:rStyle w:val="normaltextrun"/>
                <w:rFonts w:ascii="Verdana" w:eastAsia="Arial" w:hAnsi="Verdana" w:cs="Arial"/>
                <w:color w:val="000000" w:themeColor="text1"/>
                <w:sz w:val="16"/>
                <w:szCs w:val="16"/>
                <w:lang w:val="es-ES"/>
              </w:rPr>
              <w:t xml:space="preserve">Contratista de la Subdirección </w:t>
            </w:r>
            <w:r w:rsidRPr="00FC6F34">
              <w:rPr>
                <w:rStyle w:val="normaltextrun"/>
                <w:rFonts w:ascii="Verdana" w:eastAsia="Arial" w:hAnsi="Verdana" w:cs="Arial"/>
                <w:sz w:val="16"/>
                <w:szCs w:val="16"/>
                <w:lang w:val="es-ES"/>
              </w:rPr>
              <w:t>de Gestión Contractual</w:t>
            </w:r>
          </w:p>
        </w:tc>
      </w:tr>
      <w:tr w:rsidR="004B6767" w:rsidRPr="00FC6F34" w14:paraId="2C3FC6E1" w14:textId="77777777" w:rsidTr="00E67E18">
        <w:trPr>
          <w:trHeight w:val="330"/>
        </w:trPr>
        <w:tc>
          <w:tcPr>
            <w:tcW w:w="893" w:type="dxa"/>
            <w:vAlign w:val="center"/>
            <w:hideMark/>
          </w:tcPr>
          <w:p w14:paraId="6388B03C" w14:textId="77777777" w:rsidR="004B6767" w:rsidRPr="00FC6F34" w:rsidRDefault="004B6767" w:rsidP="00E67E18">
            <w:pPr>
              <w:contextualSpacing/>
              <w:rPr>
                <w:rFonts w:ascii="Verdana" w:hAnsi="Verdana" w:cs="Arial"/>
                <w:sz w:val="16"/>
                <w:szCs w:val="16"/>
                <w:lang w:val="es-ES" w:eastAsia="es-ES"/>
              </w:rPr>
            </w:pPr>
            <w:r w:rsidRPr="00FC6F3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DDD6B3" w14:textId="5C4ECF6C" w:rsidR="004B6767" w:rsidRPr="00FC6F34" w:rsidRDefault="005828ED" w:rsidP="00E67E18">
            <w:pPr>
              <w:spacing w:line="276" w:lineRule="auto"/>
              <w:contextualSpacing/>
              <w:textAlignment w:val="baseline"/>
              <w:rPr>
                <w:rFonts w:ascii="Verdana" w:eastAsia="Times New Roman" w:hAnsi="Verdana" w:cs="Arial"/>
                <w:sz w:val="16"/>
                <w:szCs w:val="16"/>
                <w:lang w:val="es-ES" w:eastAsia="es-ES_tradnl"/>
              </w:rPr>
            </w:pPr>
            <w:r>
              <w:rPr>
                <w:rFonts w:ascii="Verdana" w:eastAsia="Times New Roman" w:hAnsi="Verdana" w:cs="Arial"/>
                <w:sz w:val="16"/>
                <w:szCs w:val="16"/>
                <w:lang w:val="es-ES" w:eastAsia="es-ES_tradnl"/>
              </w:rPr>
              <w:t>Juan Carlos González Vásquez</w:t>
            </w:r>
          </w:p>
          <w:p w14:paraId="12824FE5" w14:textId="135A16AF" w:rsidR="004B6767" w:rsidRPr="00FC6F34" w:rsidRDefault="005828ED" w:rsidP="00E67E18">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Arial"/>
                <w:sz w:val="16"/>
                <w:szCs w:val="16"/>
                <w:lang w:val="es-ES"/>
              </w:rPr>
              <w:t>Contratista</w:t>
            </w:r>
            <w:r w:rsidR="004B6767" w:rsidRPr="00FC6F34">
              <w:rPr>
                <w:rFonts w:ascii="Verdana" w:hAnsi="Verdana" w:cs="Arial"/>
                <w:sz w:val="16"/>
                <w:szCs w:val="16"/>
                <w:lang w:val="es-ES"/>
              </w:rPr>
              <w:t xml:space="preserve"> </w:t>
            </w:r>
            <w:r w:rsidR="004B6767" w:rsidRPr="00FC6F34">
              <w:rPr>
                <w:rStyle w:val="normaltextrun"/>
                <w:rFonts w:ascii="Verdana" w:hAnsi="Verdana" w:cs="Arial"/>
                <w:sz w:val="16"/>
                <w:szCs w:val="16"/>
                <w:lang w:val="es-ES"/>
              </w:rPr>
              <w:t>de la Subdirección de Gestión Contractual</w:t>
            </w:r>
            <w:r w:rsidR="004B6767" w:rsidRPr="00FC6F34">
              <w:rPr>
                <w:rStyle w:val="eop"/>
                <w:rFonts w:ascii="Verdana" w:hAnsi="Verdana" w:cs="Arial"/>
                <w:sz w:val="16"/>
                <w:szCs w:val="16"/>
                <w:lang w:val="es-ES"/>
              </w:rPr>
              <w:t> </w:t>
            </w:r>
          </w:p>
        </w:tc>
      </w:tr>
      <w:tr w:rsidR="004B6767" w:rsidRPr="00FC6F34" w14:paraId="77A9D648" w14:textId="77777777" w:rsidTr="00E67E18">
        <w:trPr>
          <w:trHeight w:val="300"/>
        </w:trPr>
        <w:tc>
          <w:tcPr>
            <w:tcW w:w="893" w:type="dxa"/>
            <w:vAlign w:val="center"/>
          </w:tcPr>
          <w:p w14:paraId="25BD728B" w14:textId="77777777" w:rsidR="004B6767" w:rsidRPr="00FC6F34" w:rsidRDefault="004B6767" w:rsidP="00E67E18">
            <w:pPr>
              <w:contextualSpacing/>
              <w:rPr>
                <w:rFonts w:ascii="Verdana" w:hAnsi="Verdana" w:cs="Arial"/>
                <w:sz w:val="16"/>
                <w:szCs w:val="16"/>
                <w:lang w:val="es-ES" w:eastAsia="es-ES"/>
              </w:rPr>
            </w:pPr>
            <w:r w:rsidRPr="00FC6F3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FDFF8F0" w14:textId="420D0188" w:rsidR="004B6767" w:rsidRPr="00FC6F34" w:rsidRDefault="007D3B18" w:rsidP="00E67E18">
            <w:pPr>
              <w:contextualSpacing/>
              <w:rPr>
                <w:rFonts w:ascii="Verdana" w:eastAsia="Calibri" w:hAnsi="Verdana" w:cs="Arial"/>
                <w:sz w:val="16"/>
                <w:szCs w:val="16"/>
                <w:lang w:val="es-ES" w:eastAsia="es-ES"/>
              </w:rPr>
            </w:pPr>
            <w:r>
              <w:rPr>
                <w:rFonts w:ascii="Verdana" w:eastAsia="Calibri" w:hAnsi="Verdana" w:cs="Arial"/>
                <w:sz w:val="16"/>
                <w:szCs w:val="16"/>
                <w:lang w:val="es-ES" w:eastAsia="es-ES"/>
              </w:rPr>
              <w:t>Ana María Tolosa Rico</w:t>
            </w:r>
          </w:p>
          <w:p w14:paraId="7E5E0319" w14:textId="464A63DA" w:rsidR="004B6767" w:rsidRPr="00FC6F34" w:rsidRDefault="004B6767" w:rsidP="00E67E18">
            <w:pPr>
              <w:contextualSpacing/>
              <w:rPr>
                <w:rFonts w:ascii="Verdana" w:eastAsia="Calibri" w:hAnsi="Verdana" w:cs="Arial"/>
                <w:sz w:val="16"/>
                <w:szCs w:val="16"/>
                <w:lang w:val="es-ES" w:eastAsia="es-ES"/>
              </w:rPr>
            </w:pPr>
            <w:r w:rsidRPr="00FC6F34">
              <w:rPr>
                <w:rFonts w:ascii="Verdana" w:eastAsia="Calibri" w:hAnsi="Verdana" w:cs="Arial"/>
                <w:sz w:val="16"/>
                <w:szCs w:val="16"/>
                <w:lang w:val="es-ES" w:eastAsia="es-ES"/>
              </w:rPr>
              <w:t>Subdirectora de Gestión Contractual</w:t>
            </w:r>
            <w:r w:rsidR="007D3B18">
              <w:rPr>
                <w:rFonts w:ascii="Verdana" w:eastAsia="Calibri" w:hAnsi="Verdana" w:cs="Arial"/>
                <w:sz w:val="16"/>
                <w:szCs w:val="16"/>
                <w:lang w:val="es-ES" w:eastAsia="es-ES"/>
              </w:rPr>
              <w:t xml:space="preserve"> (E)</w:t>
            </w:r>
            <w:r w:rsidRPr="00FC6F34">
              <w:rPr>
                <w:rFonts w:ascii="Verdana" w:eastAsia="Calibri" w:hAnsi="Verdana" w:cs="Arial"/>
                <w:sz w:val="16"/>
                <w:szCs w:val="16"/>
                <w:lang w:val="es-ES" w:eastAsia="es-ES"/>
              </w:rPr>
              <w:t xml:space="preserve"> ANCP – CCE</w:t>
            </w:r>
          </w:p>
        </w:tc>
      </w:tr>
    </w:tbl>
    <w:p w14:paraId="498E8044" w14:textId="77777777" w:rsidR="004B6767" w:rsidRPr="00FC6F34" w:rsidRDefault="004B6767" w:rsidP="004B6767">
      <w:pPr>
        <w:spacing w:after="0" w:line="276" w:lineRule="auto"/>
        <w:jc w:val="center"/>
        <w:rPr>
          <w:lang w:val="es-ES"/>
        </w:rPr>
      </w:pPr>
    </w:p>
    <w:bookmarkEnd w:id="0"/>
    <w:p w14:paraId="7ADB9122" w14:textId="77777777" w:rsidR="004B6767" w:rsidRPr="00FC6F34" w:rsidRDefault="004B6767" w:rsidP="004B6767">
      <w:pPr>
        <w:spacing w:after="0" w:line="240" w:lineRule="auto"/>
        <w:textAlignment w:val="baseline"/>
        <w:rPr>
          <w:rFonts w:ascii="Verdana" w:eastAsia="Times New Roman" w:hAnsi="Verdana" w:cs="Segoe UI"/>
          <w:b/>
          <w:bCs/>
          <w:color w:val="46589C"/>
          <w:lang w:val="es-ES" w:eastAsia="es-CO"/>
        </w:rPr>
      </w:pPr>
    </w:p>
    <w:p w14:paraId="545BBCC9" w14:textId="77777777" w:rsidR="004B6767" w:rsidRPr="00FC6F34" w:rsidRDefault="004B6767" w:rsidP="004B6767">
      <w:pPr>
        <w:rPr>
          <w:lang w:val="es-ES"/>
        </w:rPr>
      </w:pPr>
    </w:p>
    <w:p w14:paraId="3900974D" w14:textId="77777777" w:rsidR="003D5B0D" w:rsidRPr="00981746" w:rsidRDefault="003D5B0D" w:rsidP="00981746"/>
    <w:sectPr w:rsidR="003D5B0D" w:rsidRPr="0098174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A3BAA" w14:textId="77777777" w:rsidR="003E47C0" w:rsidRDefault="003E47C0" w:rsidP="004A1847">
      <w:pPr>
        <w:spacing w:after="0" w:line="240" w:lineRule="auto"/>
      </w:pPr>
      <w:r>
        <w:separator/>
      </w:r>
    </w:p>
  </w:endnote>
  <w:endnote w:type="continuationSeparator" w:id="0">
    <w:p w14:paraId="30423A4A" w14:textId="77777777" w:rsidR="003E47C0" w:rsidRDefault="003E47C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A2487" w14:textId="77777777" w:rsidR="003E47C0" w:rsidRDefault="003E47C0" w:rsidP="004A1847">
      <w:pPr>
        <w:spacing w:after="0" w:line="240" w:lineRule="auto"/>
      </w:pPr>
      <w:r>
        <w:separator/>
      </w:r>
    </w:p>
  </w:footnote>
  <w:footnote w:type="continuationSeparator" w:id="0">
    <w:p w14:paraId="56C8F572" w14:textId="77777777" w:rsidR="003E47C0" w:rsidRDefault="003E47C0" w:rsidP="004A1847">
      <w:pPr>
        <w:spacing w:after="0" w:line="240" w:lineRule="auto"/>
      </w:pPr>
      <w:r>
        <w:continuationSeparator/>
      </w:r>
    </w:p>
  </w:footnote>
  <w:footnote w:id="1">
    <w:p w14:paraId="3392EBDD" w14:textId="77777777" w:rsidR="004B6767" w:rsidRPr="0016660C"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266F3C27" w14:textId="77777777" w:rsidR="004B6767" w:rsidRPr="0016660C" w:rsidRDefault="004B6767" w:rsidP="004B6767">
      <w:pPr>
        <w:pStyle w:val="Textonotapie"/>
        <w:ind w:firstLine="709"/>
        <w:contextualSpacing/>
        <w:jc w:val="both"/>
        <w:rPr>
          <w:rFonts w:ascii="Verdana" w:hAnsi="Verdana" w:cs="Arial"/>
          <w:sz w:val="16"/>
          <w:szCs w:val="16"/>
        </w:rPr>
      </w:pPr>
      <w:r w:rsidRPr="0016660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146366DB" w14:textId="77777777" w:rsidR="004B6767" w:rsidRPr="0016660C"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Gaceta del Congreso de la República No. 71 del 2005.</w:t>
      </w:r>
    </w:p>
  </w:footnote>
  <w:footnote w:id="3">
    <w:p w14:paraId="446DAC5C" w14:textId="77777777" w:rsidR="004B6767" w:rsidRPr="0016660C" w:rsidRDefault="004B6767" w:rsidP="004B6767">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 C- 1153 de 2005, M.P. Marco Gerardo Monroy Cabra.</w:t>
      </w:r>
    </w:p>
  </w:footnote>
  <w:footnote w:id="4">
    <w:p w14:paraId="3E7A263B" w14:textId="77777777" w:rsidR="004B6767" w:rsidRPr="0016660C" w:rsidRDefault="004B6767" w:rsidP="004B6767">
      <w:pPr>
        <w:pStyle w:val="Textonotapie"/>
        <w:ind w:firstLine="709"/>
        <w:contextualSpacing/>
        <w:jc w:val="both"/>
        <w:rPr>
          <w:rFonts w:ascii="Verdana" w:hAnsi="Verdana" w:cs="Arial"/>
          <w:sz w:val="16"/>
          <w:szCs w:val="16"/>
          <w:lang w:val="pt-BR"/>
        </w:rPr>
      </w:pPr>
      <w:r w:rsidRPr="0016660C">
        <w:rPr>
          <w:rStyle w:val="Refdenotaalpie"/>
          <w:rFonts w:ascii="Verdana" w:hAnsi="Verdana" w:cs="Arial"/>
          <w:sz w:val="16"/>
          <w:szCs w:val="16"/>
        </w:rPr>
        <w:footnoteRef/>
      </w:r>
      <w:r w:rsidRPr="0016660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6F1972FB" w14:textId="77777777" w:rsidR="004B6767" w:rsidRPr="0016660C" w:rsidRDefault="004B6767" w:rsidP="004B6767">
      <w:pPr>
        <w:pStyle w:val="Textonotapie"/>
        <w:ind w:firstLine="709"/>
        <w:contextualSpacing/>
        <w:jc w:val="both"/>
        <w:rPr>
          <w:rFonts w:ascii="Verdana" w:hAnsi="Verdana" w:cs="Arial"/>
          <w:sz w:val="16"/>
          <w:szCs w:val="16"/>
          <w:lang w:val="es-CO"/>
        </w:rPr>
      </w:pPr>
      <w:r w:rsidRPr="0016660C">
        <w:rPr>
          <w:rStyle w:val="Refdenotaalpie"/>
          <w:rFonts w:ascii="Verdana" w:hAnsi="Verdana" w:cs="Arial"/>
          <w:sz w:val="16"/>
          <w:szCs w:val="16"/>
        </w:rPr>
        <w:footnoteRef/>
      </w:r>
      <w:r w:rsidRPr="0016660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3E5D0750" w14:textId="77777777" w:rsidR="004B6767" w:rsidRPr="0016660C"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de fecha 24 de julio de 2013, Rad. 2166, C. P. Álvaro Namén Vargas.  </w:t>
      </w:r>
    </w:p>
  </w:footnote>
  <w:footnote w:id="7">
    <w:p w14:paraId="11EE52EB" w14:textId="77777777" w:rsidR="004B6767" w:rsidRPr="0016660C" w:rsidRDefault="004B6767" w:rsidP="004B6767">
      <w:pPr>
        <w:spacing w:after="0" w:line="240" w:lineRule="auto"/>
        <w:ind w:firstLine="709"/>
        <w:contextualSpacing/>
        <w:jc w:val="both"/>
        <w:rPr>
          <w:rFonts w:ascii="Verdana" w:eastAsia="Times New Roman"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eastAsia="Times New Roman" w:hAnsi="Verdana" w:cs="Arial"/>
          <w:sz w:val="16"/>
          <w:szCs w:val="16"/>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7EEFC674" w14:textId="77777777" w:rsidR="004B6767" w:rsidRPr="0016660C" w:rsidRDefault="004B6767" w:rsidP="004B6767">
      <w:pPr>
        <w:spacing w:after="0" w:line="240" w:lineRule="auto"/>
        <w:ind w:firstLine="709"/>
        <w:contextualSpacing/>
        <w:jc w:val="both"/>
        <w:rPr>
          <w:rFonts w:ascii="Verdana" w:eastAsia="Times New Roman" w:hAnsi="Verdana" w:cs="Arial"/>
          <w:sz w:val="16"/>
          <w:szCs w:val="16"/>
        </w:rPr>
      </w:pPr>
      <w:r w:rsidRPr="0016660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16660C">
        <w:rPr>
          <w:rFonts w:ascii="Verdana" w:eastAsia="Calibri" w:hAnsi="Verdana" w:cs="Arial"/>
          <w:color w:val="000000"/>
          <w:sz w:val="16"/>
          <w:szCs w:val="16"/>
        </w:rPr>
        <w:t>”</w:t>
      </w:r>
      <w:r w:rsidRPr="0016660C">
        <w:rPr>
          <w:rFonts w:ascii="Verdana" w:eastAsia="Times New Roman" w:hAnsi="Verdana" w:cs="Arial"/>
          <w:sz w:val="16"/>
          <w:szCs w:val="16"/>
        </w:rPr>
        <w:t>.</w:t>
      </w:r>
    </w:p>
  </w:footnote>
  <w:footnote w:id="8">
    <w:p w14:paraId="4F9D3C1D" w14:textId="77777777" w:rsidR="004B6767" w:rsidRPr="0016660C" w:rsidRDefault="004B6767" w:rsidP="004B6767">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eastAsia="Calibri" w:hAnsi="Verdana" w:cs="Arial"/>
          <w:color w:val="000000"/>
          <w:sz w:val="16"/>
          <w:szCs w:val="16"/>
        </w:rPr>
        <w:t>“</w:t>
      </w:r>
      <w:r w:rsidRPr="0016660C">
        <w:rPr>
          <w:rFonts w:ascii="Verdana" w:hAnsi="Verdana" w:cs="Arial"/>
          <w:sz w:val="16"/>
          <w:szCs w:val="16"/>
          <w:lang w:val="es-MX"/>
        </w:rPr>
        <w:t>Artículo 38. Prohibiciones para los servidores públicos. A los empleados del Estado les está prohibido: […]</w:t>
      </w:r>
    </w:p>
    <w:p w14:paraId="5E17F4A2" w14:textId="77777777" w:rsidR="004B6767" w:rsidRPr="0016660C" w:rsidRDefault="004B6767" w:rsidP="004B6767">
      <w:pPr>
        <w:pStyle w:val="NormalWeb"/>
        <w:spacing w:before="0" w:beforeAutospacing="0" w:after="0" w:afterAutospacing="0"/>
        <w:ind w:firstLine="709"/>
        <w:contextualSpacing/>
        <w:jc w:val="both"/>
        <w:rPr>
          <w:rFonts w:ascii="Verdana" w:hAnsi="Verdana" w:cs="Arial"/>
          <w:sz w:val="16"/>
          <w:szCs w:val="16"/>
          <w:lang w:val="es-MX"/>
        </w:rPr>
      </w:pPr>
      <w:r w:rsidRPr="0016660C">
        <w:rPr>
          <w:rStyle w:val="baj"/>
          <w:rFonts w:ascii="Verdana" w:hAnsi="Verdana" w:cs="Arial"/>
          <w:sz w:val="16"/>
          <w:szCs w:val="16"/>
          <w:lang w:val="es-MX"/>
        </w:rPr>
        <w:t>Parágrafo.</w:t>
      </w:r>
      <w:r w:rsidRPr="0016660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16660C">
        <w:rPr>
          <w:rFonts w:ascii="Verdana" w:eastAsia="Calibri" w:hAnsi="Verdana" w:cs="Arial"/>
          <w:color w:val="000000"/>
          <w:sz w:val="16"/>
          <w:szCs w:val="16"/>
        </w:rPr>
        <w:t>”</w:t>
      </w:r>
      <w:r w:rsidRPr="0016660C">
        <w:rPr>
          <w:rFonts w:ascii="Verdana" w:hAnsi="Verdana" w:cs="Arial"/>
          <w:sz w:val="16"/>
          <w:szCs w:val="16"/>
          <w:lang w:val="es-MX"/>
        </w:rPr>
        <w:t>.</w:t>
      </w:r>
    </w:p>
  </w:footnote>
  <w:footnote w:id="9">
    <w:p w14:paraId="5810CB5C" w14:textId="77777777" w:rsidR="004B6767" w:rsidRPr="0016660C" w:rsidRDefault="004B6767" w:rsidP="004B6767">
      <w:pPr>
        <w:spacing w:after="0" w:line="240" w:lineRule="auto"/>
        <w:ind w:left="100" w:right="244"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17566077" w14:textId="77777777" w:rsidR="004B6767" w:rsidRPr="0016660C" w:rsidRDefault="004B6767" w:rsidP="004B6767">
      <w:pPr>
        <w:pStyle w:val="Textonotapie"/>
        <w:ind w:right="51"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[26] </w:t>
      </w:r>
      <w:r w:rsidRPr="0016660C">
        <w:rPr>
          <w:rFonts w:ascii="Verdana" w:hAnsi="Verdana" w:cs="Arial"/>
          <w:sz w:val="16"/>
          <w:szCs w:val="16"/>
        </w:rPr>
        <w:t>Al respecto ver el concepto 1712 de 2 de febrero de 2006. Consejo de Estado Sala de Consulta y Servicio Civil”.</w:t>
      </w:r>
    </w:p>
  </w:footnote>
  <w:footnote w:id="11">
    <w:p w14:paraId="67BF791D" w14:textId="77777777" w:rsidR="004B6767" w:rsidRPr="0016660C"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2">
    <w:p w14:paraId="37963D1B" w14:textId="77777777" w:rsidR="004B6767" w:rsidRPr="0016660C" w:rsidRDefault="004B6767" w:rsidP="004B6767">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sz w:val="16"/>
          <w:szCs w:val="16"/>
          <w:lang w:val="es-ES"/>
        </w:rPr>
        <w:t xml:space="preserve">Artículo 2. </w:t>
      </w:r>
    </w:p>
  </w:footnote>
  <w:footnote w:id="13">
    <w:p w14:paraId="19B2FA0C" w14:textId="77777777" w:rsidR="004B6767" w:rsidRPr="0016660C" w:rsidRDefault="004B6767" w:rsidP="004B6767">
      <w:pPr>
        <w:pStyle w:val="Textonotapie"/>
        <w:ind w:firstLine="709"/>
        <w:contextualSpacing/>
        <w:jc w:val="both"/>
        <w:rPr>
          <w:rFonts w:ascii="Verdana" w:hAnsi="Verdana" w:cs="Arial"/>
          <w:sz w:val="16"/>
          <w:szCs w:val="16"/>
          <w:lang w:val="es-ES"/>
        </w:rPr>
      </w:pPr>
      <w:r w:rsidRPr="0016660C">
        <w:rPr>
          <w:rStyle w:val="Refdenotaalpie"/>
          <w:rFonts w:ascii="Verdana" w:hAnsi="Verdana" w:cs="Arial"/>
          <w:sz w:val="16"/>
          <w:szCs w:val="16"/>
        </w:rPr>
        <w:footnoteRef/>
      </w:r>
      <w:r w:rsidRPr="0016660C">
        <w:rPr>
          <w:rFonts w:ascii="Verdana" w:hAnsi="Verdana" w:cs="Arial"/>
          <w:sz w:val="16"/>
          <w:szCs w:val="16"/>
        </w:rPr>
        <w:t xml:space="preserve"> </w:t>
      </w:r>
      <w:r w:rsidRPr="0016660C">
        <w:rPr>
          <w:rFonts w:ascii="Verdana" w:hAnsi="Verdana" w:cs="Arial"/>
          <w:i/>
          <w:sz w:val="16"/>
          <w:szCs w:val="16"/>
          <w:lang w:val="es-ES"/>
        </w:rPr>
        <w:t>Ídem</w:t>
      </w:r>
      <w:r w:rsidRPr="0016660C">
        <w:rPr>
          <w:rFonts w:ascii="Verdana" w:hAnsi="Verdana" w:cs="Arial"/>
          <w:sz w:val="16"/>
          <w:szCs w:val="16"/>
          <w:lang w:val="es-ES"/>
        </w:rPr>
        <w:t>.</w:t>
      </w:r>
    </w:p>
  </w:footnote>
  <w:footnote w:id="14">
    <w:p w14:paraId="022F4B8C" w14:textId="77777777" w:rsidR="004B6767" w:rsidRPr="0016660C" w:rsidRDefault="004B6767" w:rsidP="004B6767">
      <w:pPr>
        <w:pStyle w:val="Textonotapie"/>
        <w:ind w:firstLine="709"/>
        <w:contextualSpacing/>
        <w:jc w:val="both"/>
        <w:rPr>
          <w:rFonts w:ascii="Verdana" w:hAnsi="Verdana" w:cs="Arial"/>
          <w:sz w:val="16"/>
          <w:szCs w:val="16"/>
        </w:rPr>
      </w:pPr>
      <w:r w:rsidRPr="0016660C">
        <w:rPr>
          <w:rStyle w:val="Refdenotaalpie"/>
          <w:rFonts w:ascii="Verdana" w:hAnsi="Verdana" w:cs="Arial"/>
          <w:sz w:val="16"/>
          <w:szCs w:val="16"/>
        </w:rPr>
        <w:footnoteRef/>
      </w:r>
      <w:r w:rsidRPr="0016660C">
        <w:rPr>
          <w:rFonts w:ascii="Verdana" w:hAnsi="Verdana" w:cs="Arial"/>
          <w:sz w:val="16"/>
          <w:szCs w:val="16"/>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7072FC"/>
    <w:multiLevelType w:val="hybridMultilevel"/>
    <w:tmpl w:val="7F2E9ED0"/>
    <w:lvl w:ilvl="0" w:tplc="8BCEE1AE">
      <w:start w:val="1"/>
      <w:numFmt w:val="lowerRoman"/>
      <w:lvlText w:val="%1)"/>
      <w:lvlJc w:val="left"/>
      <w:pPr>
        <w:ind w:left="800" w:hanging="720"/>
      </w:pPr>
      <w:rPr>
        <w:rFonts w:eastAsia="Arial"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153255849">
    <w:abstractNumId w:val="10"/>
  </w:num>
  <w:num w:numId="17" w16cid:durableId="319966317">
    <w:abstractNumId w:val="2"/>
  </w:num>
  <w:num w:numId="18"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E57"/>
    <w:rsid w:val="00015F33"/>
    <w:rsid w:val="00016F78"/>
    <w:rsid w:val="00046945"/>
    <w:rsid w:val="00051C96"/>
    <w:rsid w:val="00061B2A"/>
    <w:rsid w:val="00082362"/>
    <w:rsid w:val="000A683E"/>
    <w:rsid w:val="000B19B9"/>
    <w:rsid w:val="000D0334"/>
    <w:rsid w:val="000F6486"/>
    <w:rsid w:val="00125105"/>
    <w:rsid w:val="00127233"/>
    <w:rsid w:val="001511A0"/>
    <w:rsid w:val="00152963"/>
    <w:rsid w:val="001A5026"/>
    <w:rsid w:val="001E4177"/>
    <w:rsid w:val="001F7DC6"/>
    <w:rsid w:val="00203F4C"/>
    <w:rsid w:val="0022026C"/>
    <w:rsid w:val="00225862"/>
    <w:rsid w:val="002421BB"/>
    <w:rsid w:val="0025796E"/>
    <w:rsid w:val="002707A2"/>
    <w:rsid w:val="0027089D"/>
    <w:rsid w:val="00281E8D"/>
    <w:rsid w:val="002951A0"/>
    <w:rsid w:val="002962BC"/>
    <w:rsid w:val="00297A4C"/>
    <w:rsid w:val="002A093D"/>
    <w:rsid w:val="002A0DD0"/>
    <w:rsid w:val="002A49AC"/>
    <w:rsid w:val="002A64FD"/>
    <w:rsid w:val="002C7A84"/>
    <w:rsid w:val="002E3B20"/>
    <w:rsid w:val="002E4FD9"/>
    <w:rsid w:val="003000B0"/>
    <w:rsid w:val="00322A85"/>
    <w:rsid w:val="00324168"/>
    <w:rsid w:val="003448F4"/>
    <w:rsid w:val="0037087C"/>
    <w:rsid w:val="00374F5E"/>
    <w:rsid w:val="00377E3E"/>
    <w:rsid w:val="00387F6A"/>
    <w:rsid w:val="003A282E"/>
    <w:rsid w:val="003A779E"/>
    <w:rsid w:val="003D0F4D"/>
    <w:rsid w:val="003D5B0D"/>
    <w:rsid w:val="003E0499"/>
    <w:rsid w:val="003E47C0"/>
    <w:rsid w:val="003F3941"/>
    <w:rsid w:val="00406575"/>
    <w:rsid w:val="004118CC"/>
    <w:rsid w:val="00414C74"/>
    <w:rsid w:val="00415268"/>
    <w:rsid w:val="00420468"/>
    <w:rsid w:val="0042718F"/>
    <w:rsid w:val="0042722E"/>
    <w:rsid w:val="0044528D"/>
    <w:rsid w:val="004841EA"/>
    <w:rsid w:val="0048632F"/>
    <w:rsid w:val="004A1847"/>
    <w:rsid w:val="004A305D"/>
    <w:rsid w:val="004A78FA"/>
    <w:rsid w:val="004B6767"/>
    <w:rsid w:val="004C3399"/>
    <w:rsid w:val="004F21C4"/>
    <w:rsid w:val="004F685F"/>
    <w:rsid w:val="00515C3E"/>
    <w:rsid w:val="005218FF"/>
    <w:rsid w:val="00545396"/>
    <w:rsid w:val="005566E8"/>
    <w:rsid w:val="00574867"/>
    <w:rsid w:val="005828ED"/>
    <w:rsid w:val="00591460"/>
    <w:rsid w:val="005936F4"/>
    <w:rsid w:val="005B3816"/>
    <w:rsid w:val="005C3777"/>
    <w:rsid w:val="005C5CDC"/>
    <w:rsid w:val="005D476C"/>
    <w:rsid w:val="006219F8"/>
    <w:rsid w:val="0064473F"/>
    <w:rsid w:val="00665D70"/>
    <w:rsid w:val="00686D64"/>
    <w:rsid w:val="006900D9"/>
    <w:rsid w:val="006C1A43"/>
    <w:rsid w:val="006D50FD"/>
    <w:rsid w:val="006E49E0"/>
    <w:rsid w:val="00706C16"/>
    <w:rsid w:val="00753E81"/>
    <w:rsid w:val="00756841"/>
    <w:rsid w:val="007649AB"/>
    <w:rsid w:val="00771D0C"/>
    <w:rsid w:val="007833AC"/>
    <w:rsid w:val="007B268C"/>
    <w:rsid w:val="007B7171"/>
    <w:rsid w:val="007C0C0F"/>
    <w:rsid w:val="007C3DC2"/>
    <w:rsid w:val="007D3B18"/>
    <w:rsid w:val="007E5497"/>
    <w:rsid w:val="00806F5F"/>
    <w:rsid w:val="00820278"/>
    <w:rsid w:val="00842959"/>
    <w:rsid w:val="00846808"/>
    <w:rsid w:val="00867F95"/>
    <w:rsid w:val="008843B6"/>
    <w:rsid w:val="00891928"/>
    <w:rsid w:val="008A446D"/>
    <w:rsid w:val="008B480E"/>
    <w:rsid w:val="008D180B"/>
    <w:rsid w:val="008F0EA7"/>
    <w:rsid w:val="00923EEF"/>
    <w:rsid w:val="009419F9"/>
    <w:rsid w:val="0095685E"/>
    <w:rsid w:val="00961B09"/>
    <w:rsid w:val="00965334"/>
    <w:rsid w:val="0097093E"/>
    <w:rsid w:val="00981746"/>
    <w:rsid w:val="009828E9"/>
    <w:rsid w:val="00986AC5"/>
    <w:rsid w:val="0099722B"/>
    <w:rsid w:val="009A0DFA"/>
    <w:rsid w:val="009A6C5F"/>
    <w:rsid w:val="009B2D26"/>
    <w:rsid w:val="009C71FA"/>
    <w:rsid w:val="009C72E7"/>
    <w:rsid w:val="009D3058"/>
    <w:rsid w:val="009F3A13"/>
    <w:rsid w:val="009F61BB"/>
    <w:rsid w:val="00A122D3"/>
    <w:rsid w:val="00A17F13"/>
    <w:rsid w:val="00A20739"/>
    <w:rsid w:val="00A33C78"/>
    <w:rsid w:val="00A6329A"/>
    <w:rsid w:val="00AA07F3"/>
    <w:rsid w:val="00AB0ADB"/>
    <w:rsid w:val="00AC22CD"/>
    <w:rsid w:val="00AE1852"/>
    <w:rsid w:val="00B01B1A"/>
    <w:rsid w:val="00B44F4B"/>
    <w:rsid w:val="00B66319"/>
    <w:rsid w:val="00B72CD3"/>
    <w:rsid w:val="00B72FFF"/>
    <w:rsid w:val="00BC3D36"/>
    <w:rsid w:val="00BC4CFC"/>
    <w:rsid w:val="00BD7F72"/>
    <w:rsid w:val="00C03753"/>
    <w:rsid w:val="00C04FB3"/>
    <w:rsid w:val="00C330EB"/>
    <w:rsid w:val="00C41061"/>
    <w:rsid w:val="00C754BE"/>
    <w:rsid w:val="00C76B1C"/>
    <w:rsid w:val="00CB6357"/>
    <w:rsid w:val="00CC1B26"/>
    <w:rsid w:val="00D4223B"/>
    <w:rsid w:val="00D423A2"/>
    <w:rsid w:val="00D520D8"/>
    <w:rsid w:val="00D566A8"/>
    <w:rsid w:val="00D63AC2"/>
    <w:rsid w:val="00D7383B"/>
    <w:rsid w:val="00D93D5B"/>
    <w:rsid w:val="00DA231B"/>
    <w:rsid w:val="00DB757B"/>
    <w:rsid w:val="00DC39FC"/>
    <w:rsid w:val="00DE6815"/>
    <w:rsid w:val="00DF5254"/>
    <w:rsid w:val="00E06D2F"/>
    <w:rsid w:val="00E10804"/>
    <w:rsid w:val="00E10BD4"/>
    <w:rsid w:val="00E146FE"/>
    <w:rsid w:val="00E16408"/>
    <w:rsid w:val="00E20894"/>
    <w:rsid w:val="00E245AB"/>
    <w:rsid w:val="00E2764C"/>
    <w:rsid w:val="00E27F2E"/>
    <w:rsid w:val="00E41C98"/>
    <w:rsid w:val="00E50AFE"/>
    <w:rsid w:val="00E614F5"/>
    <w:rsid w:val="00E71D6E"/>
    <w:rsid w:val="00E75C92"/>
    <w:rsid w:val="00E771DC"/>
    <w:rsid w:val="00E8772A"/>
    <w:rsid w:val="00E90F6B"/>
    <w:rsid w:val="00E92C27"/>
    <w:rsid w:val="00E95AC9"/>
    <w:rsid w:val="00EA0E3D"/>
    <w:rsid w:val="00EB7F54"/>
    <w:rsid w:val="00EC1E63"/>
    <w:rsid w:val="00EC1F6A"/>
    <w:rsid w:val="00EC38A7"/>
    <w:rsid w:val="00ED7384"/>
    <w:rsid w:val="00EE1AA8"/>
    <w:rsid w:val="00EE5FBA"/>
    <w:rsid w:val="00F142EF"/>
    <w:rsid w:val="00F31EDC"/>
    <w:rsid w:val="00F462B3"/>
    <w:rsid w:val="00F5664F"/>
    <w:rsid w:val="00F666C4"/>
    <w:rsid w:val="00F76AFC"/>
    <w:rsid w:val="00FA47C0"/>
    <w:rsid w:val="00FB5DD1"/>
    <w:rsid w:val="00FC2B5D"/>
    <w:rsid w:val="00FD531E"/>
    <w:rsid w:val="00FF1449"/>
    <w:rsid w:val="165E9519"/>
    <w:rsid w:val="382536D9"/>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B6767"/>
    <w:pPr>
      <w:spacing w:line="240" w:lineRule="exact"/>
    </w:pPr>
    <w:rPr>
      <w:vertAlign w:val="superscript"/>
    </w:rPr>
  </w:style>
  <w:style w:type="character" w:customStyle="1" w:styleId="baj">
    <w:name w:val="b_aj"/>
    <w:basedOn w:val="Fuentedeprrafopredeter"/>
    <w:rsid w:val="004B6767"/>
  </w:style>
  <w:style w:type="character" w:customStyle="1" w:styleId="NormalWebCar">
    <w:name w:val="Normal (Web) Car"/>
    <w:link w:val="NormalWeb"/>
    <w:uiPriority w:val="99"/>
    <w:locked/>
    <w:rsid w:val="004B6767"/>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B6767"/>
    <w:rPr>
      <w:rFonts w:ascii="Geomanist Light" w:hAnsi="Geomanist Light"/>
      <w:lang w:val="es-ES"/>
    </w:rPr>
  </w:style>
  <w:style w:type="paragraph" w:styleId="Textoindependiente">
    <w:name w:val="Body Text"/>
    <w:basedOn w:val="Normal"/>
    <w:link w:val="TextoindependienteCar"/>
    <w:uiPriority w:val="1"/>
    <w:unhideWhenUsed/>
    <w:qFormat/>
    <w:rsid w:val="004B6767"/>
    <w:pPr>
      <w:spacing w:after="120"/>
    </w:pPr>
  </w:style>
  <w:style w:type="character" w:customStyle="1" w:styleId="TextoindependienteCar">
    <w:name w:val="Texto independiente Car"/>
    <w:basedOn w:val="Fuentedeprrafopredeter"/>
    <w:link w:val="Textoindependiente"/>
    <w:uiPriority w:val="1"/>
    <w:rsid w:val="004B6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ieldfoodiadga@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C028651-B88D-4337-8109-13A9437150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DD5F1003-DF75-2741-97D7-AD5ADDD53601}">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4550</Words>
  <Characters>25028</Characters>
  <Application>Microsoft Office Word</Application>
  <DocSecurity>0</DocSecurity>
  <Lines>208</Lines>
  <Paragraphs>59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29519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3</cp:revision>
  <cp:lastPrinted>2023-01-10T21:18:00Z</cp:lastPrinted>
  <dcterms:created xsi:type="dcterms:W3CDTF">2025-11-26T20:23:00Z</dcterms:created>
  <dcterms:modified xsi:type="dcterms:W3CDTF">2025-12-01T02:40:00Z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