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B9641" w14:textId="77777777" w:rsidR="00646F74" w:rsidRPr="00646F74" w:rsidRDefault="00646F74" w:rsidP="00646F74">
      <w:pPr>
        <w:spacing w:after="0" w:line="240" w:lineRule="auto"/>
        <w:jc w:val="both"/>
        <w:rPr>
          <w:rFonts w:ascii="Verdana" w:hAnsi="Verdana" w:cs="Arial"/>
          <w:b/>
          <w:lang w:val="es-MX" w:eastAsia="es-ES_tradnl"/>
        </w:rPr>
      </w:pPr>
      <w:bookmarkStart w:id="0" w:name="_Hlk143780582"/>
      <w:r w:rsidRPr="00646F74">
        <w:rPr>
          <w:rFonts w:ascii="Verdana" w:hAnsi="Verdana" w:cs="Arial"/>
          <w:b/>
          <w:lang w:val="es-MX" w:eastAsia="es-ES_tradnl"/>
        </w:rPr>
        <w:t xml:space="preserve">LEY DE GARANTÍAS ELECTORALES </w:t>
      </w:r>
      <w:r w:rsidRPr="00646F74">
        <w:rPr>
          <w:rFonts w:ascii="Verdana" w:hAnsi="Verdana" w:cs="Arial"/>
          <w:b/>
          <w:bCs/>
          <w:lang w:val="es-MX" w:eastAsia="es-ES_tradnl"/>
        </w:rPr>
        <w:t>‒</w:t>
      </w:r>
      <w:r w:rsidRPr="00646F74">
        <w:rPr>
          <w:rFonts w:ascii="Verdana" w:hAnsi="Verdana" w:cs="Arial"/>
          <w:b/>
          <w:lang w:val="es-MX" w:eastAsia="es-ES_tradnl"/>
        </w:rPr>
        <w:t xml:space="preserve"> Finalidad </w:t>
      </w:r>
    </w:p>
    <w:p w14:paraId="601FF1DC" w14:textId="77777777" w:rsidR="00646F74" w:rsidRPr="00646F74" w:rsidRDefault="00646F74" w:rsidP="00646F74">
      <w:pPr>
        <w:spacing w:after="0" w:line="240" w:lineRule="auto"/>
        <w:jc w:val="both"/>
        <w:rPr>
          <w:rFonts w:ascii="Verdana" w:hAnsi="Verdana" w:cs="Arial"/>
          <w:b/>
          <w:lang w:val="es-MX" w:eastAsia="es-ES_tradnl"/>
        </w:rPr>
      </w:pPr>
    </w:p>
    <w:p w14:paraId="448E723F" w14:textId="77777777" w:rsidR="00646F74" w:rsidRPr="00646F74" w:rsidRDefault="00646F74" w:rsidP="00646F74">
      <w:pPr>
        <w:spacing w:after="0" w:line="240" w:lineRule="auto"/>
        <w:jc w:val="both"/>
        <w:rPr>
          <w:rFonts w:ascii="Verdana" w:eastAsia="Times New Roman" w:hAnsi="Verdana" w:cs="Arial"/>
          <w:sz w:val="20"/>
          <w:lang w:val="es-MX" w:eastAsia="es-CO"/>
        </w:rPr>
      </w:pPr>
      <w:r w:rsidRPr="00646F74">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27C1A5E4" w14:textId="77777777" w:rsidR="00646F74" w:rsidRPr="00646F74" w:rsidRDefault="00646F74" w:rsidP="00646F74">
      <w:pPr>
        <w:spacing w:after="0" w:line="240" w:lineRule="auto"/>
        <w:jc w:val="both"/>
        <w:rPr>
          <w:rFonts w:ascii="Verdana" w:hAnsi="Verdana" w:cs="Arial"/>
          <w:b/>
          <w:sz w:val="20"/>
          <w:lang w:val="es-MX" w:eastAsia="es-ES_tradnl"/>
        </w:rPr>
      </w:pPr>
    </w:p>
    <w:p w14:paraId="4B05EED9" w14:textId="77777777" w:rsidR="00646F74" w:rsidRPr="00646F74" w:rsidRDefault="00646F74" w:rsidP="00646F74">
      <w:pPr>
        <w:spacing w:after="0" w:line="240" w:lineRule="auto"/>
        <w:jc w:val="both"/>
        <w:rPr>
          <w:rFonts w:ascii="Verdana" w:hAnsi="Verdana" w:cs="Arial"/>
          <w:b/>
          <w:lang w:val="es-MX" w:eastAsia="es-ES_tradnl"/>
        </w:rPr>
      </w:pPr>
      <w:r w:rsidRPr="00646F74">
        <w:rPr>
          <w:rFonts w:ascii="Verdana" w:hAnsi="Verdana" w:cs="Arial"/>
          <w:b/>
          <w:lang w:val="es-MX" w:eastAsia="es-ES_tradnl"/>
        </w:rPr>
        <w:t xml:space="preserve">LEY DE GARANTÍAS ELECTORALES </w:t>
      </w:r>
      <w:r w:rsidRPr="00646F74">
        <w:rPr>
          <w:rFonts w:ascii="Verdana" w:hAnsi="Verdana" w:cs="Arial"/>
          <w:b/>
          <w:bCs/>
          <w:lang w:val="es-MX" w:eastAsia="es-ES_tradnl"/>
        </w:rPr>
        <w:t>‒</w:t>
      </w:r>
      <w:r w:rsidRPr="00646F74">
        <w:rPr>
          <w:rFonts w:ascii="Verdana" w:hAnsi="Verdana" w:cs="Arial"/>
          <w:b/>
          <w:lang w:val="es-MX" w:eastAsia="es-ES_tradnl"/>
        </w:rPr>
        <w:t xml:space="preserve"> Tipos de restricciones </w:t>
      </w:r>
      <w:r w:rsidRPr="00646F74">
        <w:rPr>
          <w:rFonts w:ascii="Verdana" w:hAnsi="Verdana" w:cs="Arial"/>
          <w:b/>
          <w:bCs/>
          <w:lang w:val="es-MX" w:eastAsia="es-ES_tradnl"/>
        </w:rPr>
        <w:t>‒</w:t>
      </w:r>
      <w:r w:rsidRPr="00646F74">
        <w:rPr>
          <w:rFonts w:ascii="Verdana" w:hAnsi="Verdana" w:cs="Arial"/>
          <w:b/>
          <w:lang w:val="es-MX" w:eastAsia="es-ES_tradnl"/>
        </w:rPr>
        <w:t xml:space="preserve"> Ámbito temporal – celebración- límite</w:t>
      </w:r>
    </w:p>
    <w:p w14:paraId="3DA8DE90" w14:textId="77777777" w:rsidR="00646F74" w:rsidRPr="00646F74" w:rsidRDefault="00646F74" w:rsidP="00646F74">
      <w:pPr>
        <w:spacing w:after="0" w:line="240" w:lineRule="auto"/>
        <w:jc w:val="both"/>
        <w:rPr>
          <w:rFonts w:ascii="Verdana" w:hAnsi="Verdana" w:cs="Arial"/>
          <w:b/>
          <w:lang w:val="es-MX" w:eastAsia="es-ES_tradnl"/>
        </w:rPr>
      </w:pPr>
    </w:p>
    <w:p w14:paraId="126F0B17" w14:textId="77777777" w:rsidR="00646F74" w:rsidRPr="00646F74" w:rsidRDefault="00646F74" w:rsidP="00646F74">
      <w:pPr>
        <w:spacing w:after="0" w:line="240" w:lineRule="auto"/>
        <w:jc w:val="both"/>
        <w:rPr>
          <w:rFonts w:ascii="Verdana" w:eastAsia="Calibri" w:hAnsi="Verdana" w:cs="Arial"/>
          <w:sz w:val="20"/>
        </w:rPr>
      </w:pPr>
      <w:r w:rsidRPr="00646F74">
        <w:rPr>
          <w:rFonts w:ascii="Verdana" w:eastAsia="Calibri" w:hAnsi="Verdana" w:cs="Arial"/>
          <w:sz w:val="20"/>
        </w:rPr>
        <w:t xml:space="preserve">Por un lado, el </w:t>
      </w:r>
      <w:r w:rsidRPr="00646F74">
        <w:rPr>
          <w:rFonts w:ascii="Verdana" w:eastAsia="Calibri" w:hAnsi="Verdana" w:cs="Arial"/>
          <w:i/>
          <w:iCs/>
          <w:sz w:val="20"/>
        </w:rPr>
        <w:t>artículo 33 de la Ley 996 de 2005</w:t>
      </w:r>
      <w:r w:rsidRPr="00646F74">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9091D7D" w14:textId="77777777" w:rsidR="00646F74" w:rsidRPr="00646F74" w:rsidRDefault="00646F74" w:rsidP="00646F74">
      <w:pPr>
        <w:spacing w:after="0" w:line="240" w:lineRule="auto"/>
        <w:jc w:val="both"/>
        <w:rPr>
          <w:rFonts w:ascii="Verdana" w:eastAsia="Calibri" w:hAnsi="Verdana" w:cs="Arial"/>
          <w:sz w:val="20"/>
        </w:rPr>
      </w:pPr>
    </w:p>
    <w:p w14:paraId="7DBD1DB9" w14:textId="77777777" w:rsidR="00646F74" w:rsidRPr="00646F74" w:rsidRDefault="00646F74" w:rsidP="00646F74">
      <w:pPr>
        <w:widowControl w:val="0"/>
        <w:autoSpaceDE w:val="0"/>
        <w:autoSpaceDN w:val="0"/>
        <w:spacing w:after="0" w:line="240" w:lineRule="auto"/>
        <w:ind w:right="113"/>
        <w:jc w:val="both"/>
        <w:rPr>
          <w:rFonts w:ascii="Verdana" w:eastAsia="Arial" w:hAnsi="Verdana" w:cs="Arial"/>
          <w:sz w:val="20"/>
          <w:lang w:val="es-ES" w:eastAsia="es-ES" w:bidi="es-ES"/>
        </w:rPr>
      </w:pPr>
      <w:r w:rsidRPr="00646F74">
        <w:rPr>
          <w:rFonts w:ascii="Verdana" w:eastAsia="Calibri" w:hAnsi="Verdana" w:cs="Arial"/>
          <w:sz w:val="20"/>
        </w:rPr>
        <w:t xml:space="preserve">Por otro lado, </w:t>
      </w:r>
      <w:r w:rsidRPr="00646F74">
        <w:rPr>
          <w:rFonts w:ascii="Verdana" w:eastAsia="Calibri" w:hAnsi="Verdana" w:cs="Arial"/>
          <w:i/>
          <w:iCs/>
          <w:sz w:val="20"/>
        </w:rPr>
        <w:t>el parágrafo del artículo 38 de la Ley 996 de 2005</w:t>
      </w:r>
      <w:r w:rsidRPr="00646F74">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6F74">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6F74">
        <w:rPr>
          <w:rFonts w:ascii="Verdana" w:eastAsia="Calibri" w:hAnsi="Verdana" w:cs="Arial"/>
          <w:sz w:val="20"/>
        </w:rPr>
        <w:t>”</w:t>
      </w:r>
      <w:r w:rsidRPr="00646F74">
        <w:rPr>
          <w:rFonts w:ascii="Verdana" w:eastAsia="Calibri" w:hAnsi="Verdana" w:cs="Arial"/>
          <w:sz w:val="20"/>
          <w:lang w:val="es-MX"/>
        </w:rPr>
        <w:t>.</w:t>
      </w:r>
      <w:r w:rsidRPr="00646F74">
        <w:rPr>
          <w:rFonts w:ascii="Verdana" w:eastAsia="Arial" w:hAnsi="Verdana" w:cs="Arial"/>
          <w:sz w:val="20"/>
          <w:lang w:val="es-ES" w:eastAsia="es-ES" w:bidi="es-ES"/>
        </w:rPr>
        <w:t xml:space="preserve"> </w:t>
      </w:r>
    </w:p>
    <w:p w14:paraId="5B2A2FD3" w14:textId="77777777" w:rsidR="00646F74" w:rsidRPr="00646F74" w:rsidRDefault="00646F74" w:rsidP="00646F74">
      <w:pPr>
        <w:widowControl w:val="0"/>
        <w:autoSpaceDE w:val="0"/>
        <w:autoSpaceDN w:val="0"/>
        <w:spacing w:after="0" w:line="240" w:lineRule="auto"/>
        <w:ind w:right="113"/>
        <w:jc w:val="both"/>
        <w:rPr>
          <w:rFonts w:ascii="Verdana" w:eastAsia="Arial" w:hAnsi="Verdana" w:cs="Arial"/>
          <w:sz w:val="20"/>
          <w:lang w:val="es-ES" w:eastAsia="es-ES" w:bidi="es-ES"/>
        </w:rPr>
      </w:pPr>
    </w:p>
    <w:p w14:paraId="7C79A7F6" w14:textId="77777777" w:rsidR="00646F74" w:rsidRPr="00646F74" w:rsidRDefault="00646F74" w:rsidP="00646F74">
      <w:pPr>
        <w:spacing w:after="0" w:line="240" w:lineRule="auto"/>
        <w:jc w:val="both"/>
        <w:rPr>
          <w:rFonts w:ascii="Verdana" w:eastAsia="Times New Roman" w:hAnsi="Verdana" w:cs="Arial"/>
          <w:bCs/>
          <w:sz w:val="20"/>
          <w:lang w:val="es-ES" w:eastAsia="es-CO"/>
        </w:rPr>
      </w:pPr>
      <w:r w:rsidRPr="00646F74">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6F74">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646F74">
        <w:rPr>
          <w:rFonts w:ascii="Verdana" w:eastAsia="Times New Roman" w:hAnsi="Verdana" w:cs="Arial"/>
          <w:bCs/>
          <w:i/>
          <w:sz w:val="20"/>
          <w:lang w:val="es-ES" w:eastAsia="es-CO"/>
        </w:rPr>
        <w:t>ibídem</w:t>
      </w:r>
      <w:proofErr w:type="spellEnd"/>
      <w:r w:rsidRPr="00646F74">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22D814D" w14:textId="77777777" w:rsidR="00646F74" w:rsidRPr="00646F74" w:rsidRDefault="00646F74" w:rsidP="00646F74">
      <w:pPr>
        <w:spacing w:after="0" w:line="240" w:lineRule="auto"/>
        <w:jc w:val="both"/>
        <w:rPr>
          <w:rFonts w:ascii="Verdana" w:hAnsi="Verdana" w:cs="Arial"/>
          <w:b/>
          <w:lang w:val="es-ES" w:eastAsia="es-ES_tradnl"/>
        </w:rPr>
      </w:pPr>
    </w:p>
    <w:p w14:paraId="06C64769" w14:textId="77777777" w:rsidR="00646F74" w:rsidRPr="00646F74" w:rsidRDefault="00646F74" w:rsidP="00646F74">
      <w:pPr>
        <w:spacing w:after="0" w:line="240" w:lineRule="auto"/>
        <w:jc w:val="both"/>
        <w:rPr>
          <w:rFonts w:ascii="Verdana" w:hAnsi="Verdana" w:cs="Arial"/>
          <w:b/>
          <w:lang w:val="es-MX" w:eastAsia="es-ES_tradnl"/>
        </w:rPr>
      </w:pPr>
      <w:r w:rsidRPr="00646F74">
        <w:rPr>
          <w:rFonts w:ascii="Verdana" w:hAnsi="Verdana" w:cs="Arial"/>
          <w:b/>
          <w:lang w:val="es-MX" w:eastAsia="es-ES_tradnl"/>
        </w:rPr>
        <w:lastRenderedPageBreak/>
        <w:t xml:space="preserve">LEY DE GARANTÍAS ELECTORALES – Contratos y convenios interadministrativos – Criterio orgánico </w:t>
      </w:r>
    </w:p>
    <w:p w14:paraId="7FAE31DA" w14:textId="77777777" w:rsidR="00646F74" w:rsidRPr="00646F74" w:rsidRDefault="00646F74" w:rsidP="00646F74">
      <w:pPr>
        <w:spacing w:after="0" w:line="240" w:lineRule="auto"/>
        <w:jc w:val="both"/>
        <w:rPr>
          <w:rFonts w:ascii="Verdana" w:hAnsi="Verdana" w:cs="Arial"/>
          <w:b/>
          <w:lang w:val="es-MX" w:eastAsia="es-ES_tradnl"/>
        </w:rPr>
      </w:pPr>
    </w:p>
    <w:p w14:paraId="58BB6690" w14:textId="77777777" w:rsidR="00646F74" w:rsidRPr="00646F74" w:rsidRDefault="00646F74" w:rsidP="00646F74">
      <w:pPr>
        <w:spacing w:after="0" w:line="240" w:lineRule="auto"/>
        <w:jc w:val="both"/>
        <w:rPr>
          <w:rFonts w:ascii="Verdana" w:eastAsia="Calibri" w:hAnsi="Verdana" w:cs="Arial"/>
          <w:sz w:val="20"/>
          <w:lang w:bidi="es-ES"/>
        </w:rPr>
      </w:pPr>
      <w:r w:rsidRPr="00646F74">
        <w:rPr>
          <w:rFonts w:ascii="Verdana" w:eastAsia="Times New Roman" w:hAnsi="Verdana" w:cs="Arial"/>
          <w:sz w:val="20"/>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646F74">
        <w:rPr>
          <w:rFonts w:ascii="Verdana" w:eastAsia="Arial" w:hAnsi="Verdana" w:cs="Arial"/>
          <w:sz w:val="20"/>
          <w:lang w:val="es-ES" w:eastAsia="es-ES" w:bidi="es-ES"/>
        </w:rPr>
        <w:t>e</w:t>
      </w:r>
      <w:r w:rsidRPr="00646F74">
        <w:rPr>
          <w:rFonts w:ascii="Verdana" w:eastAsia="Calibri" w:hAnsi="Verdana" w:cs="Arial"/>
          <w:sz w:val="20"/>
        </w:rPr>
        <w:t xml:space="preserve">l parágrafo del artículo 38 cobija tanto a los convenios como a los contratos interadministrativos. Esta tesis se fundamenta en que </w:t>
      </w:r>
      <w:r w:rsidRPr="00646F74">
        <w:rPr>
          <w:rFonts w:ascii="Verdana" w:eastAsia="Calibri" w:hAnsi="Verdana" w:cs="Arial"/>
          <w:sz w:val="20"/>
          <w:lang w:bidi="es-ES"/>
        </w:rPr>
        <w:t xml:space="preserve">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285A9195" w14:textId="77777777" w:rsidR="00646F74" w:rsidRPr="00646F74" w:rsidRDefault="00646F74" w:rsidP="00646F74">
      <w:pPr>
        <w:spacing w:after="0" w:line="240" w:lineRule="auto"/>
        <w:jc w:val="both"/>
        <w:rPr>
          <w:rFonts w:ascii="Verdana" w:hAnsi="Verdana" w:cs="Arial"/>
          <w:b/>
          <w:lang w:val="es-MX" w:eastAsia="es-ES_tradnl"/>
        </w:rPr>
      </w:pPr>
    </w:p>
    <w:p w14:paraId="542DB95F" w14:textId="77777777" w:rsidR="00646F74" w:rsidRPr="00646F74" w:rsidRDefault="00646F74" w:rsidP="00646F74">
      <w:pPr>
        <w:spacing w:after="0"/>
        <w:jc w:val="both"/>
        <w:rPr>
          <w:rFonts w:ascii="Verdana" w:hAnsi="Verdana"/>
          <w:b/>
          <w:bCs/>
          <w:lang w:val="es-MX"/>
        </w:rPr>
      </w:pPr>
      <w:r w:rsidRPr="00646F74">
        <w:rPr>
          <w:rFonts w:ascii="Verdana" w:hAnsi="Verdana"/>
          <w:b/>
          <w:bCs/>
          <w:lang w:val="es-MX"/>
        </w:rPr>
        <w:t>CONTRATOS Y CONVENIOS INTERADMINISTRATIVOS – Circular Externa Única – Auto de suspensión –numeral 16.2.</w:t>
      </w:r>
    </w:p>
    <w:p w14:paraId="6FC428DB" w14:textId="3F73CF23" w:rsidR="00646F74" w:rsidRDefault="00646F74" w:rsidP="00646F74">
      <w:pPr>
        <w:spacing w:after="0"/>
        <w:rPr>
          <w:rFonts w:ascii="Verdana" w:hAnsi="Verdana"/>
          <w:bCs/>
          <w:lang w:val="es-MX"/>
        </w:rPr>
      </w:pPr>
    </w:p>
    <w:p w14:paraId="1BF392B2" w14:textId="77777777" w:rsidR="00646F74" w:rsidRPr="00646F74" w:rsidRDefault="00646F74" w:rsidP="00646F74">
      <w:pPr>
        <w:spacing w:after="0" w:line="240" w:lineRule="auto"/>
        <w:jc w:val="both"/>
        <w:rPr>
          <w:rFonts w:ascii="Verdana" w:hAnsi="Verdana"/>
          <w:bCs/>
          <w:sz w:val="20"/>
          <w:szCs w:val="20"/>
          <w:lang w:val="es-MX"/>
        </w:rPr>
      </w:pPr>
      <w:r w:rsidRPr="00646F74">
        <w:rPr>
          <w:rFonts w:ascii="Verdana" w:hAnsi="Verdana"/>
          <w:bCs/>
          <w:sz w:val="20"/>
          <w:szCs w:val="20"/>
          <w:lang w:val="es-MX"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646F74">
        <w:rPr>
          <w:rFonts w:ascii="Verdana" w:hAnsi="Verdana"/>
          <w:bCs/>
          <w:sz w:val="20"/>
          <w:szCs w:val="20"/>
          <w:lang w:val="es-MX"/>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6396E539" w14:textId="77777777" w:rsidR="00646F74" w:rsidRPr="00646F74" w:rsidRDefault="00646F74" w:rsidP="00646F74">
      <w:pPr>
        <w:spacing w:after="0" w:line="240" w:lineRule="auto"/>
        <w:jc w:val="both"/>
        <w:rPr>
          <w:rFonts w:ascii="Verdana" w:hAnsi="Verdana"/>
          <w:bCs/>
          <w:sz w:val="20"/>
          <w:szCs w:val="20"/>
          <w:lang w:val="es-MX"/>
        </w:rPr>
      </w:pPr>
    </w:p>
    <w:p w14:paraId="4A652D0A" w14:textId="6A01D6B6" w:rsidR="00646F74" w:rsidRPr="00646F74" w:rsidRDefault="00646F74" w:rsidP="00646F74">
      <w:pPr>
        <w:spacing w:after="0" w:line="240" w:lineRule="auto"/>
        <w:jc w:val="both"/>
        <w:rPr>
          <w:rFonts w:ascii="Verdana" w:hAnsi="Verdana"/>
          <w:bCs/>
          <w:sz w:val="20"/>
          <w:szCs w:val="20"/>
        </w:rPr>
      </w:pPr>
      <w:r w:rsidRPr="00646F74">
        <w:rPr>
          <w:rFonts w:ascii="Verdana" w:hAnsi="Verdana"/>
          <w:bCs/>
          <w:sz w:val="20"/>
          <w:szCs w:val="20"/>
          <w:lang w:val="es-MX"/>
        </w:rPr>
        <w:t xml:space="preserve">No obstante, conviene señalar que, mediante auto de 4 de octubre del 2024, el Consejo de Estado, Sección Tercera, decretó medida de suspensión provisional parcial del </w:t>
      </w:r>
      <w:r w:rsidRPr="00646F74">
        <w:rPr>
          <w:rFonts w:ascii="Verdana" w:hAnsi="Verdana"/>
          <w:bCs/>
          <w:sz w:val="20"/>
          <w:szCs w:val="20"/>
        </w:rPr>
        <w:t>numeral 16.2 de la Circular Externa Única de 2022 expedida por la Agencia Nacional de Contratación Pública -Colombia Compra Eficiente-, concretamente […]</w:t>
      </w:r>
    </w:p>
    <w:p w14:paraId="267DBF96" w14:textId="77777777" w:rsidR="00646F74" w:rsidRPr="00646F74" w:rsidRDefault="00646F74" w:rsidP="00646F74">
      <w:pPr>
        <w:spacing w:after="0" w:line="240" w:lineRule="auto"/>
        <w:jc w:val="both"/>
        <w:rPr>
          <w:rFonts w:ascii="Verdana" w:hAnsi="Verdana"/>
          <w:bCs/>
          <w:sz w:val="20"/>
          <w:szCs w:val="20"/>
        </w:rPr>
      </w:pPr>
    </w:p>
    <w:p w14:paraId="412BA6FF" w14:textId="35267E33" w:rsidR="00646F74" w:rsidRPr="00646F74" w:rsidRDefault="00646F74" w:rsidP="00646F74">
      <w:pPr>
        <w:spacing w:after="0" w:line="240" w:lineRule="auto"/>
        <w:jc w:val="both"/>
        <w:rPr>
          <w:rFonts w:ascii="Verdana" w:hAnsi="Verdana"/>
          <w:bCs/>
          <w:sz w:val="20"/>
          <w:szCs w:val="20"/>
          <w:lang w:val="es-MX"/>
        </w:rPr>
      </w:pPr>
      <w:r w:rsidRPr="00646F74">
        <w:rPr>
          <w:rFonts w:ascii="Verdana" w:hAnsi="Verdana"/>
          <w:bCs/>
          <w:sz w:val="20"/>
          <w:szCs w:val="20"/>
          <w:lang w:val="es-MX"/>
        </w:rPr>
        <w:t xml:space="preserve">De igual modo, la Subsección A de la Sección Tercera del Consejo de Estado suspendió el numeral 16.2. </w:t>
      </w:r>
      <w:r w:rsidRPr="00646F74">
        <w:rPr>
          <w:rFonts w:ascii="Verdana" w:hAnsi="Verdana"/>
          <w:bCs/>
          <w:sz w:val="20"/>
          <w:szCs w:val="20"/>
        </w:rPr>
        <w:t>de la Circular Externa única, versión 3 del 27 de diciembre de 2023, expedida por la Agencia Nacional de Contratación Pública – Colombia Compra Eficiente, según el cual “[e]</w:t>
      </w:r>
      <w:proofErr w:type="spellStart"/>
      <w:r w:rsidRPr="00646F74">
        <w:rPr>
          <w:rFonts w:ascii="Verdana" w:hAnsi="Verdana"/>
          <w:bCs/>
          <w:sz w:val="20"/>
          <w:szCs w:val="20"/>
        </w:rPr>
        <w:t>sta</w:t>
      </w:r>
      <w:proofErr w:type="spellEnd"/>
      <w:r w:rsidRPr="00646F74">
        <w:rPr>
          <w:rFonts w:ascii="Verdana" w:hAnsi="Verdana"/>
          <w:bCs/>
          <w:sz w:val="20"/>
          <w:szCs w:val="20"/>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En este sentido, la Subsección A siguiendo lo expresado por la Subsección B, expresa que lo fundamental es que por la especial naturaleza de este tipo de normas no puede extenderse una prohibición de una norma que limita el ejercicio de una competencia -</w:t>
      </w:r>
      <w:r w:rsidRPr="00646F74">
        <w:rPr>
          <w:rFonts w:ascii="Verdana" w:hAnsi="Verdana"/>
          <w:bCs/>
          <w:sz w:val="20"/>
          <w:szCs w:val="20"/>
        </w:rPr>
        <w:lastRenderedPageBreak/>
        <w:t xml:space="preserve">como la de celebrar contratos interadministrativos- reservada al legislador estatutario para ampliar una categoría que no quedó comprendida de forma explícita en la Ley de Garantías. </w:t>
      </w:r>
    </w:p>
    <w:p w14:paraId="0DF2E48A" w14:textId="756B3983" w:rsidR="00646F74" w:rsidRDefault="00646F74" w:rsidP="00646F74">
      <w:pPr>
        <w:spacing w:after="0"/>
        <w:rPr>
          <w:rFonts w:ascii="Verdana" w:hAnsi="Verdana"/>
          <w:bCs/>
          <w:lang w:val="es-MX"/>
        </w:rPr>
      </w:pPr>
    </w:p>
    <w:p w14:paraId="522CE4C0" w14:textId="75F2FE15" w:rsidR="00646F74" w:rsidRPr="00646F74" w:rsidRDefault="00646F74" w:rsidP="00646F74">
      <w:pPr>
        <w:spacing w:after="0"/>
        <w:jc w:val="both"/>
        <w:rPr>
          <w:rFonts w:ascii="Verdana" w:hAnsi="Verdana"/>
          <w:b/>
          <w:bCs/>
          <w:lang w:val="es-ES_tradnl"/>
        </w:rPr>
      </w:pPr>
      <w:r w:rsidRPr="00646F74">
        <w:rPr>
          <w:rFonts w:ascii="Verdana" w:hAnsi="Verdana"/>
          <w:b/>
          <w:bCs/>
          <w:lang w:val="es-MX"/>
        </w:rPr>
        <w:t>ELECCIONES ATÍPICAS</w:t>
      </w:r>
      <w:r w:rsidRPr="00646F74">
        <w:rPr>
          <w:rFonts w:ascii="Verdana" w:hAnsi="Verdana"/>
          <w:b/>
          <w:bCs/>
          <w:lang w:val="es-ES"/>
        </w:rPr>
        <w:t xml:space="preserve"> – Aplicación- Ley de Garantías – Entes Territoriales - Alcance</w:t>
      </w:r>
      <w:r w:rsidRPr="00646F74">
        <w:rPr>
          <w:rFonts w:ascii="Verdana" w:hAnsi="Verdana"/>
          <w:b/>
          <w:bCs/>
          <w:lang w:val="es-ES_tradnl"/>
        </w:rPr>
        <w:t xml:space="preserve">. </w:t>
      </w:r>
    </w:p>
    <w:p w14:paraId="6AE14BB1" w14:textId="4E16F06F" w:rsidR="00646F74" w:rsidRDefault="00646F74" w:rsidP="000132FE">
      <w:pPr>
        <w:spacing w:after="0"/>
        <w:rPr>
          <w:rFonts w:ascii="Verdana" w:hAnsi="Verdana"/>
          <w:lang w:val="es-ES_tradnl"/>
        </w:rPr>
      </w:pPr>
    </w:p>
    <w:p w14:paraId="255FFA18" w14:textId="77777777" w:rsidR="00646F74" w:rsidRPr="00646F74" w:rsidRDefault="00646F74" w:rsidP="00646F74">
      <w:pPr>
        <w:widowControl w:val="0"/>
        <w:autoSpaceDE w:val="0"/>
        <w:autoSpaceDN w:val="0"/>
        <w:spacing w:after="0" w:line="240" w:lineRule="auto"/>
        <w:jc w:val="both"/>
        <w:rPr>
          <w:rFonts w:ascii="Verdana" w:eastAsia="Calibri" w:hAnsi="Verdana" w:cs="Arial"/>
          <w:sz w:val="20"/>
          <w:szCs w:val="20"/>
          <w:lang w:eastAsia="es-ES" w:bidi="es-ES"/>
        </w:rPr>
      </w:pPr>
      <w:r w:rsidRPr="00646F74">
        <w:rPr>
          <w:rFonts w:ascii="Verdana" w:eastAsia="Calibri" w:hAnsi="Verdana" w:cs="Arial"/>
          <w:sz w:val="20"/>
          <w:szCs w:val="20"/>
          <w:lang w:eastAsia="es-ES" w:bidi="es-ES"/>
        </w:rPr>
        <w:t xml:space="preserve">Bajo estas consideraciones, se concluye que para las elecciones atípicas territoriales resulta aplicable las restricciones señaladas en el parágrafo del artículo 38 de la Ley 996 de 2005, lo que significa que, en materia de 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 </w:t>
      </w:r>
    </w:p>
    <w:p w14:paraId="4C587519" w14:textId="77777777" w:rsidR="00646F74" w:rsidRDefault="00646F74" w:rsidP="00646F74">
      <w:pPr>
        <w:widowControl w:val="0"/>
        <w:autoSpaceDE w:val="0"/>
        <w:autoSpaceDN w:val="0"/>
        <w:spacing w:after="0" w:line="240" w:lineRule="auto"/>
        <w:jc w:val="both"/>
        <w:rPr>
          <w:rFonts w:ascii="Verdana" w:eastAsia="Calibri" w:hAnsi="Verdana" w:cs="Arial"/>
          <w:sz w:val="20"/>
          <w:szCs w:val="20"/>
          <w:lang w:eastAsia="es-ES" w:bidi="es-ES"/>
        </w:rPr>
      </w:pPr>
    </w:p>
    <w:p w14:paraId="6E0A2649" w14:textId="6999CCF3" w:rsidR="00646F74" w:rsidRPr="00646F74" w:rsidRDefault="00646F74" w:rsidP="00646F74">
      <w:pPr>
        <w:widowControl w:val="0"/>
        <w:autoSpaceDE w:val="0"/>
        <w:autoSpaceDN w:val="0"/>
        <w:spacing w:after="0" w:line="240" w:lineRule="auto"/>
        <w:jc w:val="both"/>
        <w:rPr>
          <w:rFonts w:ascii="Verdana" w:eastAsia="Calibri" w:hAnsi="Verdana" w:cs="Arial"/>
          <w:sz w:val="20"/>
          <w:szCs w:val="20"/>
          <w:lang w:eastAsia="es-ES" w:bidi="es-ES"/>
        </w:rPr>
      </w:pPr>
      <w:r w:rsidRPr="00646F74">
        <w:rPr>
          <w:rFonts w:ascii="Verdana" w:eastAsia="Calibri" w:hAnsi="Verdana" w:cs="Arial"/>
          <w:sz w:val="20"/>
          <w:szCs w:val="20"/>
          <w:lang w:eastAsia="es-ES" w:bidi="es-ES"/>
        </w:rPr>
        <w:t xml:space="preserve">Naturalmente las restricciones del parágrafo del artículo 38, como lo expone el Consejo Nacional Electoral, no podrán aplicarse dentro del plazo señalado en la norma, por ello, tendrán lugar respecto del término que transcurre entre el momento en que se convoca a elecciones y el día en que se realizan efectivamente conforme con la normatividad vigente. </w:t>
      </w:r>
    </w:p>
    <w:p w14:paraId="115B2343" w14:textId="77777777" w:rsidR="00646F74" w:rsidRDefault="00646F74" w:rsidP="00646F74">
      <w:pPr>
        <w:widowControl w:val="0"/>
        <w:autoSpaceDE w:val="0"/>
        <w:autoSpaceDN w:val="0"/>
        <w:spacing w:after="0" w:line="240" w:lineRule="auto"/>
        <w:jc w:val="both"/>
        <w:rPr>
          <w:rFonts w:ascii="Verdana" w:eastAsia="Calibri" w:hAnsi="Verdana" w:cs="Arial"/>
          <w:sz w:val="20"/>
          <w:szCs w:val="20"/>
          <w:lang w:eastAsia="es-ES" w:bidi="es-ES"/>
        </w:rPr>
      </w:pPr>
    </w:p>
    <w:p w14:paraId="166BA7DF" w14:textId="27B2CC7A" w:rsidR="00646F74" w:rsidRPr="00646F74" w:rsidRDefault="00646F74" w:rsidP="00646F74">
      <w:pPr>
        <w:widowControl w:val="0"/>
        <w:autoSpaceDE w:val="0"/>
        <w:autoSpaceDN w:val="0"/>
        <w:spacing w:after="0" w:line="240" w:lineRule="auto"/>
        <w:jc w:val="both"/>
        <w:rPr>
          <w:rFonts w:ascii="Verdana" w:eastAsia="Calibri" w:hAnsi="Verdana" w:cs="Arial"/>
          <w:sz w:val="20"/>
          <w:szCs w:val="20"/>
          <w:lang w:eastAsia="es-ES" w:bidi="es-ES"/>
        </w:rPr>
      </w:pPr>
      <w:r w:rsidRPr="00646F74">
        <w:rPr>
          <w:rFonts w:ascii="Verdana" w:eastAsia="Calibri" w:hAnsi="Verdana" w:cs="Arial"/>
          <w:sz w:val="20"/>
          <w:szCs w:val="20"/>
          <w:lang w:eastAsia="es-ES" w:bidi="es-ES"/>
        </w:rPr>
        <w:t xml:space="preserve">Ahora bien, frente a estas restricciones, se precisa que cuando se trata de elecciones atípicas, el alcance territorial de estas restricciones depende del nivel de la elección. Si la elección atípica es para gobernador, las restricciones se extienden a todas las entidades del departamento, incluidos sus municipios, ya que la elección para el cargo de elección popular tiene incidencia en todo el territorio departamental. En cambio, si la elección es para alcalde, las restricciones solo aplican al municipio donde se celebra la elección, dado que el impacto administrativo se limita a este ente territorial. </w:t>
      </w:r>
    </w:p>
    <w:p w14:paraId="2FF46A1C" w14:textId="77777777" w:rsidR="00646F74" w:rsidRDefault="00646F74" w:rsidP="00646F74">
      <w:pPr>
        <w:widowControl w:val="0"/>
        <w:autoSpaceDE w:val="0"/>
        <w:autoSpaceDN w:val="0"/>
        <w:spacing w:after="0" w:line="240" w:lineRule="auto"/>
        <w:jc w:val="both"/>
        <w:rPr>
          <w:rFonts w:ascii="Verdana" w:eastAsia="Calibri" w:hAnsi="Verdana" w:cs="Arial"/>
          <w:sz w:val="20"/>
          <w:szCs w:val="20"/>
          <w:lang w:eastAsia="es-ES" w:bidi="es-ES"/>
        </w:rPr>
      </w:pPr>
    </w:p>
    <w:p w14:paraId="3B13D879" w14:textId="22B90B54" w:rsidR="00646F74" w:rsidRPr="00646F74" w:rsidRDefault="00646F74" w:rsidP="00646F74">
      <w:pPr>
        <w:widowControl w:val="0"/>
        <w:autoSpaceDE w:val="0"/>
        <w:autoSpaceDN w:val="0"/>
        <w:spacing w:after="0" w:line="240" w:lineRule="auto"/>
        <w:jc w:val="both"/>
        <w:rPr>
          <w:rFonts w:ascii="Verdana" w:eastAsia="Calibri" w:hAnsi="Verdana" w:cs="Arial"/>
          <w:sz w:val="20"/>
          <w:szCs w:val="20"/>
          <w:lang w:eastAsia="es-ES" w:bidi="es-ES"/>
        </w:rPr>
      </w:pPr>
      <w:r w:rsidRPr="00646F74">
        <w:rPr>
          <w:rFonts w:ascii="Verdana" w:eastAsia="Calibri" w:hAnsi="Verdana" w:cs="Arial"/>
          <w:sz w:val="20"/>
          <w:szCs w:val="20"/>
          <w:lang w:eastAsia="es-ES" w:bidi="es-ES"/>
        </w:rPr>
        <w:t>En estos términos, la restricción prevista en el artículo 38 de la Ley 996 de 2005, relativa a la celebración de convenios y contratos interadministrativos durante períodos electorales, se extiende en el caso de elecciones atípicas de gobernador a todo el ámbito territorial del departamento. Esto implica una prohibición no solo para el gobernador, sino también para los alcaldes municipales y distritales, así como para los secretarios, gerentes y directores de entidades descentralizadas del orden municipal, departamental o distrital que integran dicho ente territorial. La aplicación de esta restricción debe ajustarse al nivel territorial de la elección atípica. Si la elección corresponde a un gobernador, las limitaciones se extienden a todas las entidades del departamento; si se trata de un alcalde, solo el municipio en el que se realiza la elección queda sujeto a las disposiciones de la Ley de Garantías. Así, se garantiza que las medidas de control se apliquen de manera proporcional y adecuada, evitando afectaciones innecesarias a entidades que no están directamente involucradas en el proceso electoral.</w:t>
      </w:r>
    </w:p>
    <w:p w14:paraId="6112BBAC" w14:textId="13301116" w:rsidR="00646F74" w:rsidRDefault="00646F74" w:rsidP="000132FE">
      <w:pPr>
        <w:spacing w:after="0"/>
        <w:rPr>
          <w:rFonts w:ascii="Verdana" w:hAnsi="Verdana"/>
        </w:rPr>
      </w:pPr>
    </w:p>
    <w:p w14:paraId="360C402D" w14:textId="77777777" w:rsidR="00646F74" w:rsidRPr="00646F74" w:rsidRDefault="00646F74" w:rsidP="000132FE">
      <w:pPr>
        <w:spacing w:after="0"/>
        <w:rPr>
          <w:rFonts w:ascii="Verdana" w:hAnsi="Verdana"/>
        </w:rPr>
      </w:pPr>
    </w:p>
    <w:p w14:paraId="5DDE2E39" w14:textId="54F62865" w:rsidR="000132FE" w:rsidRDefault="000132FE" w:rsidP="000132FE">
      <w:pPr>
        <w:spacing w:after="0"/>
        <w:rPr>
          <w:rFonts w:ascii="Verdana" w:hAnsi="Verdana"/>
        </w:rPr>
      </w:pPr>
      <w:r w:rsidRPr="0024624F">
        <w:rPr>
          <w:rFonts w:ascii="Verdana" w:hAnsi="Verdana"/>
        </w:rPr>
        <w:lastRenderedPageBreak/>
        <w:t xml:space="preserve">Bogotá D.C., </w:t>
      </w:r>
      <w:r w:rsidR="00646F74">
        <w:rPr>
          <w:rFonts w:ascii="Verdana" w:hAnsi="Verdana"/>
        </w:rPr>
        <w:t>19 de noviembre de 2025</w:t>
      </w:r>
      <w:r>
        <w:rPr>
          <w:rFonts w:ascii="Verdana" w:hAnsi="Verdana"/>
        </w:rPr>
        <w:tab/>
      </w:r>
    </w:p>
    <w:p w14:paraId="2FA01BD2" w14:textId="0278868F" w:rsidR="000132FE" w:rsidRDefault="00646F74" w:rsidP="000132FE">
      <w:pPr>
        <w:spacing w:after="0" w:line="240" w:lineRule="auto"/>
        <w:rPr>
          <w:rFonts w:ascii="Verdana" w:hAnsi="Verdana"/>
        </w:rPr>
      </w:pPr>
      <w:r w:rsidRPr="00646F74">
        <w:rPr>
          <w:rFonts w:ascii="Verdana" w:hAnsi="Verdana"/>
          <w:noProof/>
          <w:lang w:val="en-US"/>
        </w:rPr>
        <w:drawing>
          <wp:anchor distT="0" distB="0" distL="114300" distR="114300" simplePos="0" relativeHeight="251658240" behindDoc="0" locked="0" layoutInCell="1" allowOverlap="1" wp14:anchorId="1EEB3328" wp14:editId="0B1045AA">
            <wp:simplePos x="0" y="0"/>
            <wp:positionH relativeFrom="margin">
              <wp:align>right</wp:align>
            </wp:positionH>
            <wp:positionV relativeFrom="paragraph">
              <wp:posOffset>11430</wp:posOffset>
            </wp:positionV>
            <wp:extent cx="2873375" cy="781685"/>
            <wp:effectExtent l="0" t="0" r="317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3375" cy="7816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581C56" w14:textId="77777777" w:rsidR="000132FE" w:rsidRPr="00B57A1B" w:rsidRDefault="000132FE" w:rsidP="000132FE">
      <w:pPr>
        <w:spacing w:after="0" w:line="240" w:lineRule="auto"/>
        <w:rPr>
          <w:rFonts w:ascii="Verdana" w:hAnsi="Verdana"/>
        </w:rPr>
      </w:pPr>
    </w:p>
    <w:p w14:paraId="4B43C8F0" w14:textId="77777777" w:rsidR="000132FE" w:rsidRPr="00381BAB" w:rsidRDefault="000132FE" w:rsidP="00646F74">
      <w:pPr>
        <w:spacing w:after="0" w:line="240" w:lineRule="auto"/>
        <w:rPr>
          <w:rFonts w:ascii="Verdana" w:eastAsia="Calibri" w:hAnsi="Verdana" w:cs="Times New Roman"/>
          <w:lang w:val="es-MX"/>
        </w:rPr>
      </w:pPr>
      <w:r>
        <w:rPr>
          <w:rFonts w:ascii="Verdana" w:eastAsia="Calibri" w:hAnsi="Verdana" w:cs="Times New Roman"/>
          <w:lang w:val="es-MX"/>
        </w:rPr>
        <w:t>Doctora</w:t>
      </w:r>
    </w:p>
    <w:p w14:paraId="028073C9" w14:textId="77777777" w:rsidR="000132FE" w:rsidRDefault="000132FE" w:rsidP="00646F74">
      <w:pPr>
        <w:spacing w:after="0" w:line="240" w:lineRule="auto"/>
        <w:rPr>
          <w:rFonts w:ascii="Verdana" w:hAnsi="Verdana"/>
          <w:b/>
        </w:rPr>
      </w:pPr>
      <w:r w:rsidRPr="007661A1">
        <w:rPr>
          <w:rFonts w:ascii="Verdana" w:hAnsi="Verdana"/>
          <w:b/>
        </w:rPr>
        <w:t>Natalia Duarte Cáceres</w:t>
      </w:r>
    </w:p>
    <w:p w14:paraId="14E69C45" w14:textId="77777777" w:rsidR="000132FE" w:rsidRPr="007661A1" w:rsidRDefault="000132FE" w:rsidP="00646F74">
      <w:pPr>
        <w:spacing w:after="0" w:line="240" w:lineRule="auto"/>
        <w:rPr>
          <w:rFonts w:ascii="Verdana" w:hAnsi="Verdana"/>
        </w:rPr>
      </w:pPr>
      <w:r w:rsidRPr="007661A1">
        <w:rPr>
          <w:rFonts w:ascii="Verdana" w:hAnsi="Verdana"/>
        </w:rPr>
        <w:t>Directora de Política y Regulación</w:t>
      </w:r>
    </w:p>
    <w:p w14:paraId="6E05CA06" w14:textId="77777777" w:rsidR="000132FE" w:rsidRDefault="000132FE" w:rsidP="00646F74">
      <w:pPr>
        <w:spacing w:after="0" w:line="240" w:lineRule="auto"/>
        <w:rPr>
          <w:rFonts w:ascii="Verdana" w:eastAsia="Calibri" w:hAnsi="Verdana" w:cs="Times New Roman"/>
        </w:rPr>
      </w:pPr>
      <w:r>
        <w:rPr>
          <w:rFonts w:ascii="Verdana" w:eastAsia="Calibri" w:hAnsi="Verdana" w:cs="Times New Roman"/>
        </w:rPr>
        <w:t>Ministerio de Vivienda, Ciudad y</w:t>
      </w:r>
      <w:r w:rsidRPr="007661A1">
        <w:rPr>
          <w:rFonts w:ascii="Verdana" w:eastAsia="Calibri" w:hAnsi="Verdana" w:cs="Times New Roman"/>
        </w:rPr>
        <w:t xml:space="preserve"> Territorio</w:t>
      </w:r>
    </w:p>
    <w:p w14:paraId="6F24398B" w14:textId="77777777" w:rsidR="000132FE" w:rsidRPr="00381BAB" w:rsidRDefault="000132FE" w:rsidP="00646F74">
      <w:pPr>
        <w:spacing w:after="0" w:line="240" w:lineRule="auto"/>
        <w:rPr>
          <w:rFonts w:ascii="Verdana" w:eastAsia="Calibri" w:hAnsi="Verdana" w:cs="Times New Roman"/>
        </w:rPr>
      </w:pPr>
      <w:r w:rsidRPr="00381BAB">
        <w:rPr>
          <w:rFonts w:ascii="Verdana" w:eastAsia="Calibri" w:hAnsi="Verdana" w:cs="Times New Roman"/>
        </w:rPr>
        <w:t>Bogotá D.C.</w:t>
      </w:r>
    </w:p>
    <w:p w14:paraId="5BC082F4" w14:textId="77777777" w:rsidR="000132FE" w:rsidRPr="00B57A1B" w:rsidRDefault="000132FE" w:rsidP="000132FE">
      <w:pPr>
        <w:spacing w:after="0" w:line="240" w:lineRule="auto"/>
        <w:rPr>
          <w:rFonts w:ascii="Verdana" w:eastAsia="Calibri" w:hAnsi="Verdana" w:cs="Times New Roman"/>
        </w:rPr>
      </w:pPr>
    </w:p>
    <w:p w14:paraId="036CB56B" w14:textId="77777777" w:rsidR="000132FE" w:rsidRPr="00B57A1B" w:rsidRDefault="000132FE" w:rsidP="000132FE">
      <w:pPr>
        <w:spacing w:after="0" w:line="240" w:lineRule="auto"/>
        <w:rPr>
          <w:rFonts w:ascii="Verdana" w:eastAsia="Calibri" w:hAnsi="Verdana" w:cs="Times New Roman"/>
        </w:rPr>
      </w:pPr>
    </w:p>
    <w:p w14:paraId="7C787720" w14:textId="77777777" w:rsidR="000132FE" w:rsidRPr="00B57A1B" w:rsidRDefault="000132FE" w:rsidP="000132FE">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C–1538</w:t>
      </w:r>
      <w:r w:rsidRPr="00B57A1B">
        <w:rPr>
          <w:rFonts w:ascii="Verdana" w:eastAsia="Calibri" w:hAnsi="Verdana" w:cs="Times New Roman"/>
          <w:b/>
          <w:bCs/>
          <w:lang w:val="es-ES"/>
        </w:rPr>
        <w:t xml:space="preserve"> de 2025</w:t>
      </w:r>
    </w:p>
    <w:p w14:paraId="347EFBBD" w14:textId="77777777" w:rsidR="000132FE" w:rsidRPr="00B57A1B" w:rsidRDefault="000132FE" w:rsidP="000132FE">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0132FE" w:rsidRPr="00B57A1B" w14:paraId="1E521EFF" w14:textId="77777777" w:rsidTr="002F6D1B">
        <w:trPr>
          <w:trHeight w:val="645"/>
        </w:trPr>
        <w:tc>
          <w:tcPr>
            <w:tcW w:w="2685" w:type="dxa"/>
            <w:hideMark/>
          </w:tcPr>
          <w:p w14:paraId="068C57E8" w14:textId="77777777" w:rsidR="000132FE" w:rsidRPr="00B57A1B" w:rsidRDefault="000132FE" w:rsidP="002F6D1B">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51151561" w14:textId="77777777" w:rsidR="000132FE" w:rsidRDefault="000132FE" w:rsidP="002F6D1B">
            <w:pPr>
              <w:spacing w:line="276" w:lineRule="auto"/>
              <w:jc w:val="both"/>
              <w:rPr>
                <w:rFonts w:ascii="Verdana" w:hAnsi="Verdana" w:cs="Arial"/>
                <w:bCs/>
                <w:lang w:val="es-ES_tradnl" w:eastAsia="es-ES"/>
              </w:rPr>
            </w:pPr>
            <w:r w:rsidRPr="008C7DC3">
              <w:rPr>
                <w:rFonts w:ascii="Verdana" w:hAnsi="Verdana" w:cs="Arial"/>
                <w:bCs/>
                <w:lang w:val="es-MX" w:eastAsia="es-ES"/>
              </w:rPr>
              <w:t>LEY DE GARANTÍAS ELECTORALES ‒ Finalidad / LEY DE GARANTÍAS ELECTORALES ‒ Tipos de restricciones ‒ Ámbito temporal – celebración- límite / LEY DE GARANTÍAS ELECTORALES – Contratos y convenios interadmini</w:t>
            </w:r>
            <w:r>
              <w:rPr>
                <w:rFonts w:ascii="Verdana" w:hAnsi="Verdana" w:cs="Arial"/>
                <w:bCs/>
                <w:lang w:val="es-MX" w:eastAsia="es-ES"/>
              </w:rPr>
              <w:t xml:space="preserve">strativos – Criterio orgánico </w:t>
            </w:r>
            <w:r w:rsidRPr="008C7DC3">
              <w:rPr>
                <w:rFonts w:ascii="Verdana" w:hAnsi="Verdana" w:cs="Arial"/>
                <w:bCs/>
                <w:lang w:val="es-MX" w:eastAsia="es-ES"/>
              </w:rPr>
              <w:t>/ CONTRATOS Y CONVENIOS INTERADMINISTRATIVOS – Circular Externa Única – Au</w:t>
            </w:r>
            <w:r>
              <w:rPr>
                <w:rFonts w:ascii="Verdana" w:hAnsi="Verdana" w:cs="Arial"/>
                <w:bCs/>
                <w:lang w:val="es-MX" w:eastAsia="es-ES"/>
              </w:rPr>
              <w:t xml:space="preserve">to de suspensión –numeral 16.2. </w:t>
            </w:r>
            <w:r w:rsidRPr="007661A1">
              <w:rPr>
                <w:rFonts w:ascii="Verdana" w:hAnsi="Verdana" w:cs="Arial"/>
                <w:bCs/>
                <w:lang w:eastAsia="es-ES"/>
              </w:rPr>
              <w:t xml:space="preserve">/ </w:t>
            </w:r>
            <w:r w:rsidRPr="007661A1">
              <w:rPr>
                <w:rFonts w:ascii="Verdana" w:hAnsi="Verdana" w:cs="Arial"/>
                <w:bCs/>
                <w:lang w:val="es-MX" w:eastAsia="es-ES"/>
              </w:rPr>
              <w:t>ELECCIONES ATÍPICAS</w:t>
            </w:r>
            <w:r>
              <w:rPr>
                <w:rFonts w:ascii="Verdana" w:hAnsi="Verdana" w:cs="Arial"/>
                <w:bCs/>
                <w:lang w:val="es-ES" w:eastAsia="es-ES"/>
              </w:rPr>
              <w:t xml:space="preserve"> – Aplicación- Ley de Garantías – Entes Territoriales - Alcance</w:t>
            </w:r>
            <w:r>
              <w:rPr>
                <w:rFonts w:ascii="Verdana" w:hAnsi="Verdana" w:cs="Arial"/>
                <w:bCs/>
                <w:lang w:val="es-ES_tradnl" w:eastAsia="es-ES"/>
              </w:rPr>
              <w:t>.</w:t>
            </w:r>
            <w:r w:rsidRPr="007025D7">
              <w:rPr>
                <w:rFonts w:ascii="Verdana" w:hAnsi="Verdana" w:cs="Arial"/>
                <w:bCs/>
                <w:lang w:val="es-ES_tradnl" w:eastAsia="es-ES"/>
              </w:rPr>
              <w:t xml:space="preserve"> </w:t>
            </w:r>
          </w:p>
          <w:p w14:paraId="30E209A0" w14:textId="77777777" w:rsidR="000132FE" w:rsidRDefault="000132FE" w:rsidP="002F6D1B">
            <w:pPr>
              <w:spacing w:line="276" w:lineRule="auto"/>
              <w:jc w:val="both"/>
              <w:rPr>
                <w:rFonts w:ascii="Verdana" w:hAnsi="Verdana" w:cs="Arial"/>
                <w:lang w:val="es-ES_tradnl" w:eastAsia="es-ES"/>
              </w:rPr>
            </w:pPr>
          </w:p>
          <w:p w14:paraId="6A97FB5D" w14:textId="77777777" w:rsidR="000132FE" w:rsidRPr="007025D7" w:rsidRDefault="000132FE" w:rsidP="002F6D1B">
            <w:pPr>
              <w:spacing w:line="276" w:lineRule="auto"/>
              <w:jc w:val="both"/>
              <w:rPr>
                <w:rFonts w:ascii="Verdana" w:hAnsi="Verdana" w:cs="Arial"/>
                <w:bCs/>
                <w:lang w:val="es-ES_tradnl" w:eastAsia="es-ES"/>
              </w:rPr>
            </w:pPr>
          </w:p>
        </w:tc>
        <w:tc>
          <w:tcPr>
            <w:tcW w:w="6237" w:type="dxa"/>
          </w:tcPr>
          <w:p w14:paraId="6393207C" w14:textId="77777777" w:rsidR="000132FE" w:rsidRPr="004140B3" w:rsidRDefault="000132FE" w:rsidP="002F6D1B">
            <w:pPr>
              <w:spacing w:line="256" w:lineRule="auto"/>
              <w:rPr>
                <w:rFonts w:ascii="Verdana" w:hAnsi="Verdana"/>
                <w:lang w:val="es-ES"/>
              </w:rPr>
            </w:pPr>
          </w:p>
        </w:tc>
      </w:tr>
      <w:tr w:rsidR="000132FE" w:rsidRPr="00B57A1B" w14:paraId="4C4B4D9F" w14:textId="77777777" w:rsidTr="002F6D1B">
        <w:tc>
          <w:tcPr>
            <w:tcW w:w="2685" w:type="dxa"/>
          </w:tcPr>
          <w:p w14:paraId="4F7BF055" w14:textId="77777777" w:rsidR="000132FE" w:rsidRPr="00B57A1B" w:rsidRDefault="000132FE" w:rsidP="002F6D1B">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60BFC298" w14:textId="77777777" w:rsidR="000132FE" w:rsidRPr="0005208B" w:rsidRDefault="000132FE" w:rsidP="002F6D1B">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EF60BC">
              <w:rPr>
                <w:rFonts w:ascii="Verdana" w:hAnsi="Verdana"/>
              </w:rPr>
              <w:t>1_2025_10_21_011811</w:t>
            </w:r>
          </w:p>
          <w:p w14:paraId="379939A1" w14:textId="77777777" w:rsidR="000132FE" w:rsidRPr="00B57A1B" w:rsidRDefault="000132FE" w:rsidP="002F6D1B">
            <w:pPr>
              <w:spacing w:line="257" w:lineRule="auto"/>
              <w:jc w:val="both"/>
              <w:rPr>
                <w:rFonts w:ascii="Verdana" w:hAnsi="Verdana"/>
              </w:rPr>
            </w:pPr>
          </w:p>
          <w:p w14:paraId="0C44AB5C" w14:textId="77777777" w:rsidR="000132FE" w:rsidRPr="00B57A1B" w:rsidRDefault="000132FE" w:rsidP="002F6D1B">
            <w:pPr>
              <w:spacing w:line="257" w:lineRule="auto"/>
              <w:jc w:val="both"/>
              <w:rPr>
                <w:rFonts w:ascii="Verdana" w:hAnsi="Verdana"/>
              </w:rPr>
            </w:pPr>
          </w:p>
        </w:tc>
        <w:tc>
          <w:tcPr>
            <w:tcW w:w="6237" w:type="dxa"/>
          </w:tcPr>
          <w:p w14:paraId="416EA20B" w14:textId="77777777" w:rsidR="000132FE" w:rsidRPr="00B57A1B" w:rsidRDefault="000132FE" w:rsidP="002F6D1B">
            <w:pPr>
              <w:spacing w:line="256" w:lineRule="auto"/>
              <w:rPr>
                <w:rFonts w:ascii="Verdana" w:hAnsi="Verdana"/>
                <w:lang w:val="es-ES_tradnl"/>
              </w:rPr>
            </w:pPr>
          </w:p>
        </w:tc>
      </w:tr>
    </w:tbl>
    <w:p w14:paraId="7FEDAD7E" w14:textId="77777777" w:rsidR="000132FE" w:rsidRPr="00B57A1B" w:rsidRDefault="000132FE" w:rsidP="000132FE">
      <w:pPr>
        <w:spacing w:after="0" w:line="256" w:lineRule="auto"/>
        <w:rPr>
          <w:rFonts w:ascii="Verdana" w:eastAsia="Calibri" w:hAnsi="Verdana" w:cs="Times New Roman"/>
          <w:lang w:val="es-ES"/>
        </w:rPr>
      </w:pPr>
      <w:r>
        <w:rPr>
          <w:rFonts w:ascii="Verdana" w:eastAsia="Calibri" w:hAnsi="Verdana" w:cs="Times New Roman"/>
          <w:lang w:val="es-ES"/>
        </w:rPr>
        <w:t>Estimada Doctora Duarte</w:t>
      </w:r>
      <w:r w:rsidRPr="00B57A1B">
        <w:rPr>
          <w:rFonts w:ascii="Verdana" w:eastAsia="Calibri" w:hAnsi="Verdana" w:cs="Times New Roman"/>
          <w:lang w:val="es-ES"/>
        </w:rPr>
        <w:t xml:space="preserve">: </w:t>
      </w:r>
    </w:p>
    <w:p w14:paraId="5C25A7B8" w14:textId="77777777" w:rsidR="000132FE" w:rsidRPr="00B57A1B" w:rsidRDefault="000132FE" w:rsidP="000132FE">
      <w:pPr>
        <w:spacing w:after="0" w:line="256" w:lineRule="auto"/>
        <w:rPr>
          <w:rFonts w:ascii="Verdana" w:eastAsia="Calibri" w:hAnsi="Verdana" w:cs="Times New Roman"/>
          <w:lang w:val="es-ES"/>
        </w:rPr>
      </w:pPr>
    </w:p>
    <w:p w14:paraId="2BA01BE1" w14:textId="77777777" w:rsidR="000132FE" w:rsidRDefault="000132FE" w:rsidP="000132FE">
      <w:pPr>
        <w:spacing w:after="0" w:line="276" w:lineRule="auto"/>
        <w:jc w:val="both"/>
        <w:rPr>
          <w:rFonts w:ascii="Verdana" w:eastAsia="Calibri" w:hAnsi="Verdana" w:cs="Times New Roman"/>
          <w:bCs/>
          <w:lang w:val="es-ES" w:bidi="es-ES"/>
        </w:rPr>
      </w:pPr>
      <w:r w:rsidRPr="008F6705">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w:t>
      </w:r>
      <w:r>
        <w:rPr>
          <w:rFonts w:ascii="Verdana" w:eastAsia="Calibri" w:hAnsi="Verdana" w:cs="Times New Roman"/>
          <w:bCs/>
          <w:lang w:bidi="es-ES"/>
        </w:rPr>
        <w:t>así como lo establecido en la Re</w:t>
      </w:r>
      <w:r w:rsidRPr="008F6705">
        <w:rPr>
          <w:rFonts w:ascii="Verdana" w:eastAsia="Calibri" w:hAnsi="Verdana" w:cs="Times New Roman"/>
          <w:bCs/>
          <w:lang w:bidi="es-ES"/>
        </w:rPr>
        <w:t xml:space="preserve">solución </w:t>
      </w:r>
      <w:proofErr w:type="spellStart"/>
      <w:r w:rsidRPr="008F6705">
        <w:rPr>
          <w:rFonts w:ascii="Verdana" w:eastAsia="Calibri" w:hAnsi="Verdana" w:cs="Times New Roman"/>
          <w:bCs/>
          <w:lang w:bidi="es-ES"/>
        </w:rPr>
        <w:t>N°</w:t>
      </w:r>
      <w:proofErr w:type="spellEnd"/>
      <w:r w:rsidRPr="008F6705">
        <w:rPr>
          <w:rFonts w:ascii="Verdana" w:eastAsia="Calibri" w:hAnsi="Verdana" w:cs="Times New Roman"/>
          <w:bCs/>
          <w:lang w:bidi="es-ES"/>
        </w:rPr>
        <w:t xml:space="preserve"> 469 del 2025 expedida por esta Agencia, </w:t>
      </w:r>
      <w:r>
        <w:rPr>
          <w:rFonts w:ascii="Verdana" w:eastAsia="Calibri" w:hAnsi="Verdana" w:cs="Times New Roman"/>
          <w:bCs/>
          <w:lang w:val="es-ES" w:bidi="es-ES"/>
        </w:rPr>
        <w:t>responde la solicitud de consulta del 21 de octubre</w:t>
      </w:r>
      <w:r w:rsidRPr="00B57A1B">
        <w:rPr>
          <w:rFonts w:ascii="Verdana" w:eastAsia="Calibri" w:hAnsi="Verdana" w:cs="Times New Roman"/>
          <w:bCs/>
          <w:lang w:val="es-ES" w:bidi="es-ES"/>
        </w:rPr>
        <w:t xml:space="preserve">, en la cual manifiesta: </w:t>
      </w:r>
    </w:p>
    <w:p w14:paraId="385A5F01" w14:textId="77777777" w:rsidR="000132FE" w:rsidRPr="007661A1" w:rsidRDefault="000132FE" w:rsidP="000132FE">
      <w:pPr>
        <w:spacing w:after="0" w:line="240" w:lineRule="auto"/>
        <w:ind w:right="709"/>
        <w:jc w:val="both"/>
        <w:rPr>
          <w:rFonts w:ascii="Verdana" w:eastAsia="Calibri" w:hAnsi="Verdana" w:cs="Times New Roman"/>
          <w:bCs/>
          <w:sz w:val="20"/>
          <w:szCs w:val="20"/>
          <w:lang w:bidi="es-ES"/>
        </w:rPr>
      </w:pPr>
    </w:p>
    <w:p w14:paraId="7DFB8226" w14:textId="77777777" w:rsidR="000132FE" w:rsidRDefault="000132FE" w:rsidP="000132FE">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 xml:space="preserve">“1. </w:t>
      </w:r>
      <w:r w:rsidRPr="0005208B">
        <w:rPr>
          <w:rFonts w:ascii="Verdana" w:eastAsia="Calibri" w:hAnsi="Verdana" w:cs="Times New Roman"/>
          <w:bCs/>
          <w:sz w:val="20"/>
          <w:szCs w:val="20"/>
          <w:lang w:bidi="es-ES"/>
        </w:rPr>
        <w:t xml:space="preserve">¿La restricción contenida en el parágrafo 38 de la Ley 996 de 2005 se extiende a los municipios que conforman el departamento objeto de elecciones atípicas? </w:t>
      </w:r>
    </w:p>
    <w:p w14:paraId="34BCF560" w14:textId="77777777" w:rsidR="000132FE" w:rsidRPr="004140B3" w:rsidRDefault="000132FE" w:rsidP="000132FE">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lastRenderedPageBreak/>
        <w:t xml:space="preserve">2. </w:t>
      </w:r>
      <w:r w:rsidRPr="0005208B">
        <w:rPr>
          <w:rFonts w:ascii="Verdana" w:eastAsia="Calibri" w:hAnsi="Verdana" w:cs="Times New Roman"/>
          <w:bCs/>
          <w:sz w:val="20"/>
          <w:szCs w:val="20"/>
          <w:lang w:bidi="es-ES"/>
        </w:rPr>
        <w:t>¿La ley de garantías solo es aplicable a la entidad territorial en la que deben surtirse las elecciones atípicas?</w:t>
      </w:r>
      <w:r>
        <w:rPr>
          <w:rFonts w:ascii="Verdana" w:eastAsia="Calibri" w:hAnsi="Verdana" w:cs="Times New Roman"/>
          <w:bCs/>
          <w:sz w:val="20"/>
          <w:szCs w:val="20"/>
          <w:lang w:bidi="es-ES"/>
        </w:rPr>
        <w:t>”</w:t>
      </w:r>
      <w:r w:rsidRPr="0005208B">
        <w:rPr>
          <w:rFonts w:ascii="Verdana" w:eastAsia="Calibri" w:hAnsi="Verdana" w:cs="Times New Roman"/>
          <w:bCs/>
          <w:sz w:val="20"/>
          <w:szCs w:val="20"/>
          <w:lang w:bidi="es-ES"/>
        </w:rPr>
        <w:t xml:space="preserve"> </w:t>
      </w:r>
    </w:p>
    <w:p w14:paraId="501E2A3B" w14:textId="77777777" w:rsidR="000132FE" w:rsidRPr="004140B3" w:rsidRDefault="000132FE" w:rsidP="000132FE">
      <w:pPr>
        <w:spacing w:after="0" w:line="240" w:lineRule="auto"/>
        <w:ind w:left="709" w:right="709"/>
        <w:jc w:val="both"/>
        <w:rPr>
          <w:rFonts w:ascii="Verdana" w:eastAsia="Calibri" w:hAnsi="Verdana" w:cs="Times New Roman"/>
          <w:bCs/>
          <w:sz w:val="21"/>
          <w:szCs w:val="21"/>
          <w:lang w:bidi="es-ES"/>
        </w:rPr>
      </w:pPr>
    </w:p>
    <w:p w14:paraId="304708C7" w14:textId="77777777" w:rsidR="000132FE" w:rsidRPr="00B57A1B" w:rsidRDefault="000132FE" w:rsidP="000132FE">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02890FC" w14:textId="77777777" w:rsidR="000132FE" w:rsidRPr="00B57A1B" w:rsidRDefault="000132FE" w:rsidP="000132FE">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w:t>
      </w:r>
    </w:p>
    <w:p w14:paraId="1F4EF375" w14:textId="77777777" w:rsidR="000132FE" w:rsidRPr="00B57A1B" w:rsidRDefault="000132FE" w:rsidP="000132FE">
      <w:pPr>
        <w:spacing w:after="0" w:line="256" w:lineRule="auto"/>
        <w:rPr>
          <w:rFonts w:ascii="Verdana" w:eastAsia="Calibri" w:hAnsi="Verdana" w:cs="Times New Roman"/>
          <w:lang w:val="es-ES"/>
        </w:rPr>
      </w:pPr>
    </w:p>
    <w:p w14:paraId="32DE962A" w14:textId="77777777" w:rsidR="000132FE" w:rsidRPr="00B57A1B" w:rsidRDefault="000132FE" w:rsidP="000132FE">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203387C0" w14:textId="77777777" w:rsidR="000132FE" w:rsidRPr="00B57A1B" w:rsidRDefault="000132FE" w:rsidP="000132FE">
      <w:pPr>
        <w:spacing w:after="0" w:line="256" w:lineRule="auto"/>
        <w:rPr>
          <w:rFonts w:ascii="Verdana" w:eastAsia="Calibri" w:hAnsi="Verdana" w:cs="Times New Roman"/>
        </w:rPr>
      </w:pPr>
    </w:p>
    <w:p w14:paraId="73EB96F4" w14:textId="77777777" w:rsidR="000132FE" w:rsidRDefault="000132FE" w:rsidP="000132FE">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Pr>
          <w:rFonts w:ascii="Verdana" w:eastAsia="Calibri" w:hAnsi="Verdana" w:cs="Times New Roman"/>
          <w:iCs/>
          <w:lang w:val="es-ES"/>
        </w:rPr>
        <w:t xml:space="preserve">: </w:t>
      </w:r>
      <w:r w:rsidRPr="0005208B">
        <w:rPr>
          <w:rFonts w:ascii="Verdana" w:eastAsia="Calibri" w:hAnsi="Verdana" w:cs="Times New Roman"/>
          <w:iCs/>
          <w:lang w:val="es-ES"/>
        </w:rPr>
        <w:t xml:space="preserve">¿La restricción contenida en el parágrafo 38 de la Ley 996 de 2005, relativa a la </w:t>
      </w:r>
      <w:r>
        <w:rPr>
          <w:rFonts w:ascii="Verdana" w:eastAsia="Calibri" w:hAnsi="Verdana" w:cs="Times New Roman"/>
          <w:iCs/>
          <w:lang w:val="es-ES"/>
        </w:rPr>
        <w:t xml:space="preserve">celebración de convenios interadministrativos </w:t>
      </w:r>
      <w:r w:rsidRPr="0005208B">
        <w:rPr>
          <w:rFonts w:ascii="Verdana" w:eastAsia="Calibri" w:hAnsi="Verdana" w:cs="Times New Roman"/>
          <w:iCs/>
          <w:lang w:val="es-ES"/>
        </w:rPr>
        <w:t xml:space="preserve">durante procesos electorales, se aplica únicamente a la entidad territorial </w:t>
      </w:r>
      <w:r>
        <w:rPr>
          <w:rFonts w:ascii="Verdana" w:eastAsia="Calibri" w:hAnsi="Verdana" w:cs="Times New Roman"/>
          <w:iCs/>
          <w:lang w:val="es-ES"/>
        </w:rPr>
        <w:t xml:space="preserve">–departamento- </w:t>
      </w:r>
      <w:r w:rsidRPr="0005208B">
        <w:rPr>
          <w:rFonts w:ascii="Verdana" w:eastAsia="Calibri" w:hAnsi="Verdana" w:cs="Times New Roman"/>
          <w:iCs/>
          <w:lang w:val="es-ES"/>
        </w:rPr>
        <w:t xml:space="preserve">donde se celebran elecciones atípicas o también se extiende a los demás municipios o entidades </w:t>
      </w:r>
      <w:r>
        <w:rPr>
          <w:rFonts w:ascii="Verdana" w:eastAsia="Calibri" w:hAnsi="Verdana" w:cs="Times New Roman"/>
          <w:iCs/>
          <w:lang w:val="es-ES"/>
        </w:rPr>
        <w:t xml:space="preserve">que hacen parte del </w:t>
      </w:r>
      <w:r w:rsidRPr="0005208B">
        <w:rPr>
          <w:rFonts w:ascii="Verdana" w:eastAsia="Calibri" w:hAnsi="Verdana" w:cs="Times New Roman"/>
          <w:iCs/>
          <w:lang w:val="es-ES"/>
        </w:rPr>
        <w:t>nivel territorial?</w:t>
      </w:r>
    </w:p>
    <w:p w14:paraId="300B1669" w14:textId="77777777" w:rsidR="000132FE" w:rsidRPr="00B57A1B" w:rsidRDefault="000132FE" w:rsidP="000132FE">
      <w:pPr>
        <w:spacing w:after="0" w:line="276" w:lineRule="auto"/>
        <w:jc w:val="both"/>
        <w:rPr>
          <w:rFonts w:ascii="Verdana" w:eastAsia="Calibri" w:hAnsi="Verdana" w:cs="Times New Roman"/>
          <w:i/>
          <w:iCs/>
          <w:lang w:val="es-ES"/>
        </w:rPr>
      </w:pPr>
    </w:p>
    <w:p w14:paraId="34679914" w14:textId="77777777" w:rsidR="000132FE" w:rsidRPr="00B57A1B" w:rsidRDefault="000132FE" w:rsidP="000132FE">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0568736E" w14:textId="77777777" w:rsidR="000132FE" w:rsidRPr="00B57A1B" w:rsidRDefault="000132FE" w:rsidP="000132FE">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0132FE" w:rsidRPr="00B57A1B" w14:paraId="559F264D" w14:textId="77777777" w:rsidTr="002F6D1B">
        <w:trPr>
          <w:trHeight w:val="345"/>
          <w:jc w:val="center"/>
        </w:trPr>
        <w:tc>
          <w:tcPr>
            <w:tcW w:w="8784" w:type="dxa"/>
            <w:tcBorders>
              <w:bottom w:val="single" w:sz="4" w:space="0" w:color="auto"/>
            </w:tcBorders>
          </w:tcPr>
          <w:p w14:paraId="1320EA4D" w14:textId="77777777" w:rsidR="000132FE" w:rsidRPr="00461891" w:rsidRDefault="000132FE" w:rsidP="002F6D1B">
            <w:pPr>
              <w:widowControl w:val="0"/>
              <w:autoSpaceDE w:val="0"/>
              <w:autoSpaceDN w:val="0"/>
              <w:spacing w:before="120" w:line="276" w:lineRule="auto"/>
              <w:jc w:val="both"/>
              <w:rPr>
                <w:rFonts w:ascii="Verdana" w:eastAsia="Calibri" w:hAnsi="Verdana" w:cs="Arial"/>
                <w:lang w:eastAsia="es-ES" w:bidi="es-ES"/>
              </w:rPr>
            </w:pPr>
            <w:r w:rsidRPr="00B57A1B">
              <w:rPr>
                <w:rFonts w:ascii="Verdana" w:eastAsia="Calibri" w:hAnsi="Verdana" w:cs="Times New Roman"/>
              </w:rPr>
              <w:t xml:space="preserve">En cuanto al problema jurídico, objeto de consulta, </w:t>
            </w:r>
            <w:r>
              <w:rPr>
                <w:rFonts w:ascii="Verdana" w:eastAsia="Calibri" w:hAnsi="Verdana" w:cs="Arial"/>
                <w:lang w:eastAsia="es-ES" w:bidi="es-ES"/>
              </w:rPr>
              <w:t xml:space="preserve">se precisa que </w:t>
            </w:r>
            <w:r w:rsidRPr="00461891">
              <w:rPr>
                <w:rFonts w:ascii="Verdana" w:eastAsia="Calibri" w:hAnsi="Verdana" w:cs="Arial"/>
                <w:lang w:eastAsia="es-ES" w:bidi="es-ES"/>
              </w:rPr>
              <w:t xml:space="preserve">las </w:t>
            </w:r>
            <w:r w:rsidRPr="00461891">
              <w:rPr>
                <w:rFonts w:ascii="Verdana" w:eastAsia="Calibri" w:hAnsi="Verdana" w:cs="Arial"/>
                <w:lang w:eastAsia="es-ES" w:bidi="es-ES"/>
              </w:rPr>
              <w:lastRenderedPageBreak/>
              <w:t>restricciones establecidas en la Ley de Garantías Electorales buscan cumplir el propósito de proteger la democracia participativa y la igualdad entre candidatos, independientemente de la naturaleza de la elección. Por ello, la Ley de Garantías debe ser aplicada sin distinción asegurando que, tanto en elecciones ordinarias como las atípicas, se mantenga la integridad del proceso electoral</w:t>
            </w:r>
            <w:r>
              <w:rPr>
                <w:rFonts w:ascii="Verdana" w:eastAsia="Calibri" w:hAnsi="Verdana" w:cs="Arial"/>
                <w:lang w:eastAsia="es-ES" w:bidi="es-ES"/>
              </w:rPr>
              <w:t>, como se expone en las razones de la respuesta y lo definido por el Consejo Nacional Electoral en el C</w:t>
            </w:r>
            <w:r w:rsidRPr="006C4BC5">
              <w:rPr>
                <w:rFonts w:ascii="Verdana" w:eastAsia="Calibri" w:hAnsi="Verdana" w:cs="Arial"/>
                <w:lang w:eastAsia="es-ES" w:bidi="es-ES"/>
              </w:rPr>
              <w:t>oncepto 9519 del 14 de octubre de 2020</w:t>
            </w:r>
            <w:r w:rsidRPr="00461891">
              <w:rPr>
                <w:rFonts w:ascii="Verdana" w:eastAsia="Calibri" w:hAnsi="Verdana" w:cs="Arial"/>
                <w:lang w:eastAsia="es-ES" w:bidi="es-ES"/>
              </w:rPr>
              <w:t xml:space="preserve">. </w:t>
            </w:r>
          </w:p>
          <w:p w14:paraId="70C94D4F" w14:textId="77777777" w:rsidR="000132FE" w:rsidRPr="002C1A08" w:rsidRDefault="000132FE" w:rsidP="002F6D1B">
            <w:pPr>
              <w:widowControl w:val="0"/>
              <w:autoSpaceDE w:val="0"/>
              <w:autoSpaceDN w:val="0"/>
              <w:spacing w:before="120" w:after="120" w:line="276" w:lineRule="auto"/>
              <w:ind w:firstLine="709"/>
              <w:jc w:val="both"/>
              <w:rPr>
                <w:rFonts w:ascii="Verdana" w:eastAsia="Calibri" w:hAnsi="Verdana" w:cs="Arial"/>
                <w:lang w:eastAsia="es-ES" w:bidi="es-ES"/>
              </w:rPr>
            </w:pPr>
            <w:r w:rsidRPr="00461891">
              <w:rPr>
                <w:rFonts w:ascii="Verdana" w:eastAsia="Calibri" w:hAnsi="Verdana" w:cs="Arial"/>
                <w:lang w:eastAsia="es-ES" w:bidi="es-ES"/>
              </w:rPr>
              <w:t xml:space="preserve">Bajo estas consideraciones, para las elecciones atípicas </w:t>
            </w:r>
            <w:r>
              <w:rPr>
                <w:rFonts w:ascii="Verdana" w:eastAsia="Calibri" w:hAnsi="Verdana" w:cs="Arial"/>
                <w:lang w:eastAsia="es-ES" w:bidi="es-ES"/>
              </w:rPr>
              <w:t>territoriales</w:t>
            </w:r>
            <w:r w:rsidRPr="00461891">
              <w:rPr>
                <w:rFonts w:ascii="Verdana" w:eastAsia="Calibri" w:hAnsi="Verdana" w:cs="Arial"/>
                <w:lang w:eastAsia="es-ES" w:bidi="es-ES"/>
              </w:rPr>
              <w:t xml:space="preserve"> resulta aplicable las restricciones señaladas en el parágrafo del artículo 38 de la Ley 996 de 2005, lo que significa que, en materia de 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 </w:t>
            </w:r>
            <w:r w:rsidRPr="002C1A08">
              <w:rPr>
                <w:rFonts w:ascii="Verdana" w:eastAsia="Calibri" w:hAnsi="Verdana" w:cs="Arial"/>
                <w:lang w:eastAsia="es-ES" w:bidi="es-ES"/>
              </w:rPr>
              <w:t xml:space="preserve">Naturalmente las restricciones del parágrafo del artículo 38, como lo expone el Consejo Nacional Electoral, no podrán aplicarse dentro del plazo señalado en la norma, por ello, tendrán lugar respecto del término que transcurre entre el momento en que se convoca a elecciones y el día en que se realizan efectivamente conforme con la normatividad vigente. </w:t>
            </w:r>
          </w:p>
          <w:p w14:paraId="75A7B885" w14:textId="77777777" w:rsidR="000132FE" w:rsidRDefault="000132FE" w:rsidP="002F6D1B">
            <w:pPr>
              <w:widowControl w:val="0"/>
              <w:autoSpaceDE w:val="0"/>
              <w:autoSpaceDN w:val="0"/>
              <w:spacing w:before="120" w:after="120" w:line="276" w:lineRule="auto"/>
              <w:ind w:firstLine="709"/>
              <w:jc w:val="both"/>
              <w:rPr>
                <w:rFonts w:ascii="Verdana" w:eastAsia="Calibri" w:hAnsi="Verdana" w:cs="Arial"/>
                <w:lang w:eastAsia="es-ES" w:bidi="es-ES"/>
              </w:rPr>
            </w:pPr>
            <w:r w:rsidRPr="002C1A08">
              <w:rPr>
                <w:rFonts w:ascii="Verdana" w:eastAsia="Calibri" w:hAnsi="Verdana" w:cs="Arial"/>
                <w:lang w:eastAsia="es-ES" w:bidi="es-ES"/>
              </w:rPr>
              <w:t xml:space="preserve">Ahora bien, </w:t>
            </w:r>
            <w:r w:rsidRPr="00665DED">
              <w:rPr>
                <w:rFonts w:ascii="Verdana" w:eastAsia="Calibri" w:hAnsi="Verdana" w:cs="Arial"/>
                <w:lang w:eastAsia="es-ES" w:bidi="es-ES"/>
              </w:rPr>
              <w:t>la restricción prevista en el artículo 38 de la Ley 996 de 2005, relativa a la celebración de convenios y contratos interadministrativos durante períodos electorales, se extiende en el caso de elecciones atípicas de gobernador a todo el ámbito territorial del departamento. Esto implica una prohibición no solo para el gobernador, sino también para los alcaldes municipales y distritales, así como para los secretarios, gerentes y directores de entidades descentralizadas del orden municipal, departamental o distrital que i</w:t>
            </w:r>
            <w:r>
              <w:rPr>
                <w:rFonts w:ascii="Verdana" w:eastAsia="Calibri" w:hAnsi="Verdana" w:cs="Arial"/>
                <w:lang w:eastAsia="es-ES" w:bidi="es-ES"/>
              </w:rPr>
              <w:t xml:space="preserve">ntegran dicho ente territorial. </w:t>
            </w:r>
            <w:r w:rsidRPr="00665DED">
              <w:rPr>
                <w:rFonts w:ascii="Verdana" w:eastAsia="Calibri" w:hAnsi="Verdana" w:cs="Arial"/>
                <w:lang w:eastAsia="es-ES" w:bidi="es-ES"/>
              </w:rPr>
              <w:t>La aplicación de esta restricción debe ajustarse al nivel territorial de la elección atípica. Si la elección corresponde a un gobernador, las limitaciones se extienden a todas las entidades del departamento; si se trata de un alcalde, solo el municipio</w:t>
            </w:r>
            <w:r>
              <w:rPr>
                <w:rFonts w:ascii="Verdana" w:eastAsia="Calibri" w:hAnsi="Verdana" w:cs="Arial"/>
                <w:lang w:eastAsia="es-ES" w:bidi="es-ES"/>
              </w:rPr>
              <w:t xml:space="preserve"> y sus entes descentralizados</w:t>
            </w:r>
            <w:r w:rsidRPr="00665DED">
              <w:rPr>
                <w:rFonts w:ascii="Verdana" w:eastAsia="Calibri" w:hAnsi="Verdana" w:cs="Arial"/>
                <w:lang w:eastAsia="es-ES" w:bidi="es-ES"/>
              </w:rPr>
              <w:t xml:space="preserve"> en el que se realiza la elección queda sujeto a las disposiciones de la Ley de Garantías.</w:t>
            </w:r>
            <w:r>
              <w:rPr>
                <w:rFonts w:ascii="Verdana" w:eastAsia="Calibri" w:hAnsi="Verdana" w:cs="Arial"/>
                <w:lang w:eastAsia="es-ES" w:bidi="es-ES"/>
              </w:rPr>
              <w:t xml:space="preserve"> </w:t>
            </w:r>
            <w:r w:rsidRPr="002C1A08">
              <w:rPr>
                <w:rFonts w:ascii="Verdana" w:eastAsia="Calibri" w:hAnsi="Verdana" w:cs="Arial"/>
                <w:lang w:eastAsia="es-ES" w:bidi="es-ES"/>
              </w:rPr>
              <w:t xml:space="preserve">Así, se garantiza que las medidas de control se apliquen de manera proporcional y adecuada, evitando afectaciones innecesarias a entidades que no están directamente involucradas en el </w:t>
            </w:r>
            <w:r w:rsidRPr="002C1A08">
              <w:rPr>
                <w:rFonts w:ascii="Verdana" w:eastAsia="Calibri" w:hAnsi="Verdana" w:cs="Arial"/>
                <w:lang w:eastAsia="es-ES" w:bidi="es-ES"/>
              </w:rPr>
              <w:lastRenderedPageBreak/>
              <w:t>proceso electoral.</w:t>
            </w:r>
          </w:p>
          <w:p w14:paraId="3E5ECB04" w14:textId="77777777" w:rsidR="000132FE" w:rsidRPr="004E5865" w:rsidRDefault="000132FE" w:rsidP="002F6D1B">
            <w:pPr>
              <w:widowControl w:val="0"/>
              <w:autoSpaceDE w:val="0"/>
              <w:autoSpaceDN w:val="0"/>
              <w:spacing w:before="120" w:after="120" w:line="276" w:lineRule="auto"/>
              <w:ind w:firstLine="709"/>
              <w:jc w:val="both"/>
              <w:rPr>
                <w:rFonts w:ascii="Verdana" w:eastAsia="Calibri" w:hAnsi="Verdana" w:cs="Arial"/>
                <w:bCs/>
                <w:lang w:val="es-ES" w:eastAsia="es-ES" w:bidi="es-ES"/>
              </w:rPr>
            </w:pPr>
            <w:r w:rsidRPr="004E5865">
              <w:rPr>
                <w:rFonts w:ascii="Verdana" w:eastAsia="Calibri" w:hAnsi="Verdana" w:cs="Arial"/>
                <w:bCs/>
                <w:lang w:val="es-ES" w:eastAsia="es-ES" w:bidi="es-ES"/>
              </w:rPr>
              <w:t xml:space="preserve">Al </w:t>
            </w:r>
            <w:r w:rsidRPr="004E5865">
              <w:rPr>
                <w:rFonts w:ascii="Verdana" w:eastAsia="Calibri" w:hAnsi="Verdana" w:cs="Arial"/>
                <w:lang w:val="es-ES_tradnl" w:eastAsia="es-ES" w:bidi="es-ES"/>
              </w:rPr>
              <w:t xml:space="preserve">margen de la explicación precedente debe advertirse que el análisis requerido para resolver problemas específicos, en torno a la restricción de Ley de Garantías Electorales </w:t>
            </w:r>
            <w:r>
              <w:rPr>
                <w:rFonts w:ascii="Verdana" w:eastAsia="Calibri" w:hAnsi="Verdana" w:cs="Arial"/>
                <w:lang w:val="es-ES_tradnl" w:eastAsia="es-ES" w:bidi="es-ES"/>
              </w:rPr>
              <w:t xml:space="preserve">en elecciones atípicas </w:t>
            </w:r>
            <w:r w:rsidRPr="004E5865">
              <w:rPr>
                <w:rFonts w:ascii="Verdana" w:eastAsia="Calibri" w:hAnsi="Verdana" w:cs="Arial"/>
                <w:lang w:val="es-ES_tradnl" w:eastAsia="es-ES" w:bidi="es-ES"/>
              </w:rPr>
              <w:t>debe realizarse por quienes tengan interés en ello, de acuerdo con lo explicado la aclaración preliminar del presente oficio. De esta manera,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558D4D9C" w14:textId="77777777" w:rsidR="000132FE" w:rsidRPr="00B57A1B" w:rsidRDefault="000132FE" w:rsidP="000132FE">
      <w:pPr>
        <w:spacing w:after="0" w:line="276" w:lineRule="auto"/>
        <w:jc w:val="both"/>
        <w:rPr>
          <w:rFonts w:ascii="Verdana" w:eastAsia="Calibri" w:hAnsi="Verdana" w:cs="Arial"/>
          <w:bCs/>
          <w:color w:val="000000" w:themeColor="text1"/>
        </w:rPr>
      </w:pPr>
    </w:p>
    <w:p w14:paraId="28E73A42" w14:textId="77777777" w:rsidR="000132FE" w:rsidRPr="00B57A1B" w:rsidRDefault="000132FE" w:rsidP="000132FE">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49B2AE9F" w14:textId="77777777" w:rsidR="000132FE" w:rsidRPr="00B57A1B" w:rsidRDefault="000132FE" w:rsidP="000132FE">
      <w:pPr>
        <w:spacing w:after="0" w:line="256" w:lineRule="auto"/>
        <w:rPr>
          <w:rFonts w:ascii="Verdana" w:eastAsia="Calibri" w:hAnsi="Verdana" w:cs="Times New Roman"/>
          <w:b/>
          <w:bCs/>
          <w:lang w:val="es-ES"/>
        </w:rPr>
      </w:pPr>
    </w:p>
    <w:p w14:paraId="66E1EFE3" w14:textId="77777777" w:rsidR="000132FE" w:rsidRDefault="000132FE" w:rsidP="000132FE">
      <w:pPr>
        <w:spacing w:after="0" w:line="276" w:lineRule="auto"/>
        <w:jc w:val="both"/>
        <w:rPr>
          <w:rFonts w:ascii="Verdana" w:eastAsia="Calibri" w:hAnsi="Verdana" w:cs="Arial"/>
          <w:lang w:val="es-ES"/>
        </w:rPr>
      </w:pPr>
      <w:r w:rsidRPr="00B57A1B">
        <w:rPr>
          <w:rFonts w:ascii="Verdana" w:eastAsia="Calibri" w:hAnsi="Verdana" w:cs="Arial"/>
          <w:lang w:val="es-ES"/>
        </w:rPr>
        <w:t>Lo anterior se sustenta en las siguientes consideraciones:</w:t>
      </w:r>
    </w:p>
    <w:p w14:paraId="04BCC769" w14:textId="77777777" w:rsidR="000132FE" w:rsidRPr="00B57A1B" w:rsidRDefault="000132FE" w:rsidP="000132FE">
      <w:pPr>
        <w:spacing w:after="0" w:line="276" w:lineRule="auto"/>
        <w:jc w:val="both"/>
        <w:rPr>
          <w:rFonts w:ascii="Verdana" w:eastAsia="Calibri" w:hAnsi="Verdana" w:cs="Arial"/>
          <w:lang w:val="es-ES"/>
        </w:rPr>
      </w:pPr>
    </w:p>
    <w:p w14:paraId="593AC8DB" w14:textId="77777777" w:rsidR="000132FE" w:rsidRPr="00E2397D" w:rsidRDefault="000132FE" w:rsidP="000132FE">
      <w:pPr>
        <w:tabs>
          <w:tab w:val="left" w:pos="426"/>
        </w:tabs>
        <w:spacing w:after="120" w:line="276" w:lineRule="auto"/>
        <w:jc w:val="both"/>
        <w:rPr>
          <w:rFonts w:ascii="Verdana" w:eastAsia="Times New Roman" w:hAnsi="Verdana" w:cs="Arial"/>
          <w:lang w:eastAsia="es-CO"/>
        </w:rPr>
      </w:pPr>
      <w:r w:rsidRPr="00E2397D">
        <w:rPr>
          <w:rFonts w:ascii="Verdana" w:eastAsia="Calibri" w:hAnsi="Verdana" w:cs="Arial"/>
        </w:rPr>
        <w:t>i. El ordenamiento jurídico colombiano contempla previsiones claras para evitar la obtención de beneficios personales en asuntos propios de la administración pública</w:t>
      </w:r>
      <w:r w:rsidRPr="00E2397D">
        <w:rPr>
          <w:rFonts w:ascii="Verdana" w:eastAsia="Calibri" w:hAnsi="Verdana" w:cs="Arial"/>
          <w:i/>
        </w:rPr>
        <w:t xml:space="preserve">. </w:t>
      </w:r>
      <w:r w:rsidRPr="00E2397D">
        <w:rPr>
          <w:rFonts w:ascii="Verdana" w:eastAsia="Calibri" w:hAnsi="Verdana" w:cs="Arial"/>
        </w:rPr>
        <w:t xml:space="preserve">Por ejemplo, el artículo 127 de la Constitución Política establece una prohibición contractual a los servidores públicos y, en cuanto a aspectos </w:t>
      </w:r>
      <w:r>
        <w:rPr>
          <w:rFonts w:ascii="Verdana" w:eastAsia="Calibri" w:hAnsi="Verdana" w:cs="Arial"/>
        </w:rPr>
        <w:t>políticos, establece</w:t>
      </w:r>
      <w:r w:rsidRPr="00E2397D">
        <w:rPr>
          <w:rFonts w:ascii="Verdana" w:eastAsia="Calibri" w:hAnsi="Verdana" w:cs="Arial"/>
        </w:rPr>
        <w:t xml:space="preserve"> restricciones a ciertos empleados del Estado, incluso en época no electoral</w:t>
      </w:r>
      <w:r w:rsidRPr="00E2397D">
        <w:rPr>
          <w:vertAlign w:val="superscript"/>
        </w:rPr>
        <w:footnoteReference w:id="1"/>
      </w:r>
      <w:r w:rsidRPr="00E2397D">
        <w:rPr>
          <w:rFonts w:ascii="Verdana" w:eastAsia="Calibri" w:hAnsi="Verdana" w:cs="Arial"/>
        </w:rPr>
        <w:t xml:space="preserve">. </w:t>
      </w:r>
    </w:p>
    <w:p w14:paraId="3F385EDD" w14:textId="77777777" w:rsidR="000132FE" w:rsidRPr="006B14B5" w:rsidRDefault="000132FE" w:rsidP="000132FE">
      <w:pPr>
        <w:tabs>
          <w:tab w:val="left" w:pos="426"/>
        </w:tabs>
        <w:spacing w:after="12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w:t>
      </w:r>
      <w:r w:rsidRPr="00E2397D">
        <w:rPr>
          <w:rFonts w:ascii="Verdana" w:eastAsia="Times New Roman" w:hAnsi="Verdana" w:cs="Arial"/>
          <w:lang w:val="es-MX" w:eastAsia="es-CO"/>
        </w:rPr>
        <w:lastRenderedPageBreak/>
        <w:t>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709C0DF0" w14:textId="77777777" w:rsidR="000132FE" w:rsidRPr="00E2397D" w:rsidRDefault="000132FE" w:rsidP="000132FE">
      <w:pPr>
        <w:spacing w:after="0" w:line="276" w:lineRule="auto"/>
        <w:ind w:right="709"/>
        <w:contextualSpacing/>
        <w:jc w:val="both"/>
        <w:rPr>
          <w:rFonts w:ascii="Verdana" w:eastAsia="Times New Roman" w:hAnsi="Verdana" w:cs="Arial"/>
          <w:lang w:val="es-ES" w:eastAsia="es-CO"/>
        </w:rPr>
      </w:pPr>
    </w:p>
    <w:p w14:paraId="2DCF9F3C" w14:textId="77777777" w:rsidR="000132FE" w:rsidRPr="00E2397D" w:rsidRDefault="000132FE" w:rsidP="000132F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11C7BC5" w14:textId="77777777" w:rsidR="000132FE" w:rsidRPr="00E2397D" w:rsidRDefault="000132FE" w:rsidP="000132FE">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0CC4E62C" w14:textId="77777777" w:rsidR="000132FE" w:rsidRPr="00E2397D" w:rsidRDefault="000132FE" w:rsidP="000132F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78BEE2E6" w14:textId="77777777" w:rsidR="000132FE" w:rsidRPr="00E2397D" w:rsidRDefault="000132FE" w:rsidP="000132FE">
      <w:pPr>
        <w:spacing w:after="0" w:line="276" w:lineRule="auto"/>
        <w:ind w:firstLine="709"/>
        <w:jc w:val="both"/>
        <w:rPr>
          <w:rFonts w:ascii="Verdana" w:eastAsia="Times New Roman" w:hAnsi="Verdana" w:cs="Arial"/>
          <w:lang w:val="es-MX" w:eastAsia="es-CO"/>
        </w:rPr>
      </w:pPr>
    </w:p>
    <w:p w14:paraId="4E13853E" w14:textId="77777777" w:rsidR="000132FE" w:rsidRPr="00E2397D" w:rsidRDefault="000132FE" w:rsidP="000132FE">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DEB86BF" w14:textId="77777777" w:rsidR="000132FE" w:rsidRPr="00886C02" w:rsidRDefault="000132FE" w:rsidP="000132FE">
      <w:pPr>
        <w:spacing w:after="0" w:line="276" w:lineRule="auto"/>
        <w:ind w:firstLine="709"/>
        <w:jc w:val="both"/>
        <w:rPr>
          <w:rFonts w:ascii="Verdana" w:eastAsia="Times New Roman" w:hAnsi="Verdana" w:cs="Arial"/>
          <w:lang w:val="es-MX" w:eastAsia="es-CO"/>
        </w:rPr>
      </w:pPr>
    </w:p>
    <w:p w14:paraId="2F9D2474" w14:textId="77777777" w:rsidR="000132FE" w:rsidRPr="00E2397D" w:rsidRDefault="000132FE" w:rsidP="000132F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lastRenderedPageBreak/>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A8C5287" w14:textId="77777777" w:rsidR="000132FE" w:rsidRPr="00E2397D" w:rsidRDefault="000132FE" w:rsidP="000132FE">
      <w:pPr>
        <w:spacing w:after="0" w:line="240" w:lineRule="auto"/>
        <w:ind w:right="709"/>
        <w:contextualSpacing/>
        <w:jc w:val="both"/>
        <w:rPr>
          <w:rFonts w:ascii="Verdana" w:eastAsia="Times New Roman" w:hAnsi="Verdana" w:cs="Arial"/>
          <w:lang w:val="es-MX" w:eastAsia="es-CO"/>
        </w:rPr>
      </w:pPr>
    </w:p>
    <w:p w14:paraId="3446DD76" w14:textId="77777777" w:rsidR="000132FE" w:rsidRPr="00E2397D" w:rsidRDefault="000132FE" w:rsidP="000132F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1DAAB83C" w14:textId="77777777" w:rsidR="000132FE" w:rsidRPr="00E2397D" w:rsidRDefault="000132FE" w:rsidP="000132FE">
      <w:pPr>
        <w:spacing w:after="0" w:line="276" w:lineRule="auto"/>
        <w:jc w:val="both"/>
        <w:rPr>
          <w:rFonts w:ascii="Verdana" w:eastAsia="Calibri" w:hAnsi="Verdana" w:cs="Arial"/>
          <w:bCs/>
          <w:lang w:val="es-ES_tradnl"/>
        </w:rPr>
      </w:pPr>
    </w:p>
    <w:p w14:paraId="396A8A66" w14:textId="77777777" w:rsidR="000132FE" w:rsidRDefault="000132FE" w:rsidP="000132FE">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74C3229" w14:textId="77777777" w:rsidR="000132FE" w:rsidRPr="00E2397D" w:rsidRDefault="000132FE" w:rsidP="000132FE">
      <w:pPr>
        <w:spacing w:after="0" w:line="276" w:lineRule="auto"/>
        <w:ind w:firstLine="709"/>
        <w:jc w:val="both"/>
        <w:rPr>
          <w:rFonts w:ascii="Verdana" w:eastAsia="Arial" w:hAnsi="Verdana" w:cs="Arial"/>
          <w:lang w:val="es-ES" w:eastAsia="es-ES" w:bidi="es-ES"/>
        </w:rPr>
      </w:pPr>
    </w:p>
    <w:p w14:paraId="512D3732" w14:textId="77777777" w:rsidR="000132FE" w:rsidRPr="00E2397D" w:rsidRDefault="000132FE" w:rsidP="000132FE">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4EAB4D02" w14:textId="77777777" w:rsidR="000132FE" w:rsidRPr="00E2397D" w:rsidRDefault="000132FE" w:rsidP="000132FE">
      <w:pPr>
        <w:spacing w:after="120" w:line="276" w:lineRule="auto"/>
        <w:ind w:firstLine="708"/>
        <w:jc w:val="both"/>
        <w:rPr>
          <w:rFonts w:ascii="Verdana" w:eastAsia="Calibri" w:hAnsi="Verdana" w:cs="Arial"/>
        </w:rPr>
      </w:pPr>
      <w:r w:rsidRPr="00E2397D">
        <w:rPr>
          <w:rFonts w:ascii="Verdana" w:eastAsia="Calibri" w:hAnsi="Verdana" w:cs="Arial"/>
        </w:rPr>
        <w:lastRenderedPageBreak/>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1CB62962" w14:textId="77777777" w:rsidR="000132FE" w:rsidRDefault="000132FE" w:rsidP="000132FE">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135E5E69" w14:textId="77777777" w:rsidR="000132FE" w:rsidRPr="00C056DC" w:rsidRDefault="000132FE" w:rsidP="000132FE">
      <w:pPr>
        <w:spacing w:before="120"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En efecto, </w:t>
      </w:r>
      <w:r>
        <w:rPr>
          <w:rFonts w:ascii="Verdana" w:eastAsia="Times New Roman" w:hAnsi="Verdana" w:cs="Arial"/>
          <w:bCs/>
          <w:lang w:eastAsia="es-CO"/>
        </w:rPr>
        <w:lastRenderedPageBreak/>
        <w:t xml:space="preserve">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447D82">
        <w:rPr>
          <w:rFonts w:ascii="Verdana" w:eastAsia="Times New Roman" w:hAnsi="Verdana" w:cs="Arial"/>
          <w:bCs/>
          <w:i/>
          <w:lang w:val="es-ES" w:eastAsia="es-CO"/>
        </w:rPr>
        <w:t>ibídem</w:t>
      </w:r>
      <w:proofErr w:type="spellEnd"/>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26589266" w14:textId="77777777" w:rsidR="000132FE" w:rsidRPr="00894384" w:rsidRDefault="000132FE" w:rsidP="000132F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2EF52BFF" w14:textId="77777777" w:rsidR="000132FE" w:rsidRPr="00E2397D" w:rsidRDefault="000132FE" w:rsidP="000132FE">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0EA5A06B" w14:textId="77777777" w:rsidR="000132FE" w:rsidRPr="00E2397D" w:rsidRDefault="000132FE" w:rsidP="000132FE">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0307E6FE" w14:textId="77777777" w:rsidR="000132FE" w:rsidRPr="00E2397D" w:rsidRDefault="000132FE" w:rsidP="000132FE">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E2397D">
        <w:rPr>
          <w:rFonts w:ascii="Verdana" w:eastAsia="Arial" w:hAnsi="Verdana" w:cs="Arial"/>
          <w:sz w:val="20"/>
          <w:szCs w:val="20"/>
          <w:lang w:eastAsia="es-ES" w:bidi="es-ES"/>
        </w:rPr>
        <w:lastRenderedPageBreak/>
        <w:t xml:space="preserve">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613541A3" w14:textId="77777777" w:rsidR="000132FE" w:rsidRPr="00E2397D" w:rsidRDefault="000132FE" w:rsidP="000132FE">
      <w:pPr>
        <w:widowControl w:val="0"/>
        <w:autoSpaceDE w:val="0"/>
        <w:autoSpaceDN w:val="0"/>
        <w:spacing w:after="0" w:line="276" w:lineRule="auto"/>
        <w:contextualSpacing/>
        <w:rPr>
          <w:rFonts w:ascii="Verdana" w:eastAsia="Arial" w:hAnsi="Verdana" w:cs="Arial"/>
          <w:lang w:val="es-ES" w:eastAsia="es-ES" w:bidi="es-ES"/>
        </w:rPr>
      </w:pPr>
    </w:p>
    <w:p w14:paraId="5324003A" w14:textId="77777777" w:rsidR="000132FE" w:rsidRPr="00E2397D" w:rsidRDefault="000132FE" w:rsidP="000132FE">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729A523" w14:textId="77777777" w:rsidR="000132FE" w:rsidRPr="00E2397D" w:rsidRDefault="000132FE" w:rsidP="000132FE">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03B0F10E" w14:textId="77777777" w:rsidR="000132FE" w:rsidRDefault="000132FE" w:rsidP="000132FE">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(6) meses antes de la elección en primera vuelta, de acuerdo con el artículo 9 de la Ley 996 de 2005. Sin embargo, el </w:t>
      </w:r>
      <w:r w:rsidRPr="00E2397D">
        <w:rPr>
          <w:rFonts w:ascii="Verdana" w:eastAsia="Arial" w:hAnsi="Verdana" w:cs="Arial"/>
          <w:lang w:val="es-ES" w:eastAsia="es-ES" w:bidi="es-ES"/>
        </w:rPr>
        <w:lastRenderedPageBreak/>
        <w:t xml:space="preserve">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Vicepresidente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361C688C" w14:textId="77777777" w:rsidR="000132FE" w:rsidRDefault="000132FE" w:rsidP="000132FE">
      <w:pPr>
        <w:spacing w:after="120" w:line="276" w:lineRule="auto"/>
        <w:jc w:val="both"/>
        <w:rPr>
          <w:rFonts w:ascii="Verdana" w:eastAsia="Calibri" w:hAnsi="Verdana" w:cs="Arial"/>
          <w:lang w:val="es-ES"/>
        </w:rPr>
      </w:pPr>
    </w:p>
    <w:p w14:paraId="7AE3A11E" w14:textId="77777777" w:rsidR="000132FE" w:rsidRPr="00461891" w:rsidRDefault="000132FE" w:rsidP="000132FE">
      <w:pPr>
        <w:spacing w:after="120" w:line="276" w:lineRule="auto"/>
        <w:jc w:val="both"/>
        <w:rPr>
          <w:rFonts w:ascii="Verdana" w:eastAsia="Times New Roman" w:hAnsi="Verdana" w:cs="Arial"/>
          <w:lang w:val="es-MX" w:eastAsia="x-none"/>
        </w:rPr>
      </w:pPr>
      <w:proofErr w:type="spellStart"/>
      <w:r>
        <w:rPr>
          <w:rFonts w:ascii="Verdana" w:eastAsia="Calibri" w:hAnsi="Verdana" w:cs="Arial"/>
          <w:lang w:val="es-ES"/>
        </w:rPr>
        <w:t>iii</w:t>
      </w:r>
      <w:proofErr w:type="spellEnd"/>
      <w:r>
        <w:rPr>
          <w:rFonts w:ascii="Verdana" w:eastAsia="Calibri" w:hAnsi="Verdana" w:cs="Arial"/>
          <w:lang w:val="es-ES"/>
        </w:rPr>
        <w:t xml:space="preserve">. </w:t>
      </w:r>
      <w:r w:rsidRPr="00461891">
        <w:rPr>
          <w:rFonts w:ascii="Verdana" w:eastAsia="Arial" w:hAnsi="Verdana" w:cs="Arial"/>
          <w:lang w:val="es-ES" w:eastAsia="es-ES" w:bidi="es-ES"/>
        </w:rPr>
        <w:t xml:space="preserve">Ahora bien, </w:t>
      </w:r>
      <w:r w:rsidRPr="00461891">
        <w:rPr>
          <w:rFonts w:ascii="Verdana" w:eastAsia="Calibri" w:hAnsi="Verdana" w:cs="Arial"/>
          <w:lang w:eastAsia="es-ES" w:bidi="es-ES"/>
        </w:rPr>
        <w:t xml:space="preserve">para dar respuesta al </w:t>
      </w:r>
      <w:r>
        <w:rPr>
          <w:rFonts w:ascii="Verdana" w:eastAsia="Calibri" w:hAnsi="Verdana" w:cs="Arial"/>
          <w:lang w:eastAsia="es-ES" w:bidi="es-ES"/>
        </w:rPr>
        <w:t xml:space="preserve">primer </w:t>
      </w:r>
      <w:r w:rsidRPr="00461891">
        <w:rPr>
          <w:rFonts w:ascii="Verdana" w:eastAsia="Calibri" w:hAnsi="Verdana" w:cs="Arial"/>
          <w:lang w:eastAsia="es-ES" w:bidi="es-ES"/>
        </w:rPr>
        <w:t xml:space="preserve">problema jurídico planteado resulta necesario precisar el alcance de la prohibición </w:t>
      </w:r>
      <w:r w:rsidRPr="00461891">
        <w:rPr>
          <w:rFonts w:ascii="Verdana" w:eastAsia="Arial" w:hAnsi="Verdana" w:cs="Arial"/>
          <w:lang w:val="es-ES" w:eastAsia="es-ES" w:bidi="es-ES"/>
        </w:rPr>
        <w:t>establecida en e</w:t>
      </w:r>
      <w:r w:rsidRPr="00461891">
        <w:rPr>
          <w:rFonts w:ascii="Verdana" w:eastAsia="Calibri" w:hAnsi="Verdana" w:cs="Arial"/>
        </w:rPr>
        <w:t xml:space="preserve">l parágrafo del artículo 38 de la Ley 996 de 2005. La citada norma dispone que “[l]os 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Secretarios, Gerentes y directores de Entidades Descentralizadas del orden Municipal, Departamental o Distrital, dentro de los cuatro (4) meses anteriores a las elecciones, no podrán celebrar </w:t>
      </w:r>
      <w:r w:rsidRPr="00461891">
        <w:rPr>
          <w:rFonts w:ascii="Verdana" w:eastAsia="Calibri" w:hAnsi="Verdana" w:cs="Arial"/>
          <w:i/>
          <w:iCs/>
        </w:rPr>
        <w:t>convenios interadministrativos</w:t>
      </w:r>
      <w:r w:rsidRPr="00461891">
        <w:rPr>
          <w:rFonts w:ascii="Verdana" w:eastAsia="Calibri" w:hAnsi="Verdana" w:cs="Arial"/>
        </w:rPr>
        <w:t xml:space="preserve"> para la ejecución de recursos públicos”.</w:t>
      </w:r>
      <w:r w:rsidRPr="00461891">
        <w:rPr>
          <w:rFonts w:ascii="Verdana" w:eastAsia="Times New Roman" w:hAnsi="Verdana" w:cs="Arial"/>
          <w:lang w:val="es-MX" w:eastAsia="x-none"/>
        </w:rPr>
        <w:t xml:space="preserve"> </w:t>
      </w:r>
      <w:bookmarkStart w:id="1" w:name="_Hlk99578153"/>
      <w:r w:rsidRPr="00461891">
        <w:rPr>
          <w:rFonts w:ascii="Verdana" w:eastAsia="Times New Roman" w:hAnsi="Verdana" w:cs="Arial"/>
          <w:lang w:val="es-MX" w:eastAsia="x-none"/>
        </w:rPr>
        <w:t>[Énfasis fuera del texto original]</w:t>
      </w:r>
    </w:p>
    <w:p w14:paraId="09A8E913" w14:textId="77777777" w:rsidR="000132FE" w:rsidRPr="00461891" w:rsidRDefault="000132FE" w:rsidP="000132FE">
      <w:pPr>
        <w:spacing w:after="120" w:line="276" w:lineRule="auto"/>
        <w:ind w:firstLine="709"/>
        <w:jc w:val="both"/>
        <w:rPr>
          <w:rFonts w:ascii="Verdana" w:eastAsia="Calibri" w:hAnsi="Verdana" w:cs="Arial"/>
          <w:lang w:bidi="es-ES"/>
        </w:rPr>
      </w:pPr>
      <w:r w:rsidRPr="00461891">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461891">
        <w:rPr>
          <w:rFonts w:ascii="Verdana" w:eastAsia="Arial" w:hAnsi="Verdana" w:cs="Arial"/>
          <w:lang w:val="es-ES" w:eastAsia="es-ES" w:bidi="es-ES"/>
        </w:rPr>
        <w:t>e</w:t>
      </w:r>
      <w:r w:rsidRPr="00461891">
        <w:rPr>
          <w:rFonts w:ascii="Verdana" w:eastAsia="Calibri" w:hAnsi="Verdana" w:cs="Arial"/>
        </w:rPr>
        <w:t xml:space="preserve">l parágrafo del artículo 38 cobija tanto a los convenios como a los contratos interadministrativos. Esta tesis se fundamenta en que </w:t>
      </w:r>
      <w:r w:rsidRPr="00461891">
        <w:rPr>
          <w:rFonts w:ascii="Verdana" w:eastAsia="Calibri" w:hAnsi="Verdana" w:cs="Arial"/>
          <w:lang w:bidi="es-ES"/>
        </w:rPr>
        <w:t xml:space="preserve">si bien actualmente el Estatuto General de Contratación de la Administración Pública – en adelante EGCAP –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3002240B" w14:textId="77777777" w:rsidR="000132FE" w:rsidRPr="00461891" w:rsidRDefault="000132FE" w:rsidP="000132FE">
      <w:pPr>
        <w:spacing w:after="120" w:line="276" w:lineRule="auto"/>
        <w:ind w:firstLine="709"/>
        <w:jc w:val="both"/>
        <w:rPr>
          <w:rFonts w:ascii="Verdana" w:eastAsia="Calibri" w:hAnsi="Verdana" w:cs="Arial"/>
          <w:lang w:bidi="es-ES"/>
        </w:rPr>
      </w:pPr>
      <w:r w:rsidRPr="00461891">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w:t>
      </w:r>
      <w:r w:rsidRPr="00461891">
        <w:rPr>
          <w:rFonts w:ascii="Verdana" w:eastAsia="Calibri" w:hAnsi="Verdana" w:cs="Arial"/>
          <w:lang w:bidi="es-ES"/>
        </w:rPr>
        <w:lastRenderedPageBreak/>
        <w:t xml:space="preserve">Además, se señala que </w:t>
      </w:r>
      <w:r w:rsidRPr="00461891">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461891">
        <w:rPr>
          <w:rFonts w:ascii="Verdana" w:eastAsia="Arial" w:hAnsi="Verdana" w:cs="Arial"/>
          <w:vertAlign w:val="superscript"/>
          <w:lang w:val="es-ES" w:eastAsia="es-ES" w:bidi="es-ES"/>
        </w:rPr>
        <w:footnoteReference w:id="11"/>
      </w:r>
      <w:r w:rsidRPr="00461891">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461891">
        <w:rPr>
          <w:rFonts w:ascii="Verdana" w:eastAsia="Arial" w:hAnsi="Verdana" w:cs="Arial"/>
          <w:vertAlign w:val="superscript"/>
          <w:lang w:val="es-ES" w:eastAsia="es-ES" w:bidi="es-ES"/>
        </w:rPr>
        <w:footnoteReference w:id="12"/>
      </w:r>
      <w:r w:rsidRPr="00461891">
        <w:rPr>
          <w:rFonts w:ascii="Verdana" w:eastAsia="Arial" w:hAnsi="Verdana" w:cs="Arial"/>
          <w:lang w:val="es-ES" w:eastAsia="es-ES" w:bidi="es-ES"/>
        </w:rPr>
        <w:t>.</w:t>
      </w:r>
    </w:p>
    <w:p w14:paraId="5D2D7EEE" w14:textId="77777777" w:rsidR="000132FE" w:rsidRPr="00461891" w:rsidRDefault="000132FE" w:rsidP="000132FE">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61891">
        <w:rPr>
          <w:rFonts w:ascii="Verdana" w:eastAsia="Calibri" w:hAnsi="Verdana" w:cs="Arial"/>
          <w:lang w:val="es-ES" w:bidi="es-ES"/>
        </w:rPr>
        <w:t>De este modo, en la Circular Externa</w:t>
      </w:r>
      <w:r w:rsidRPr="00461891">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356B4E7F" w14:textId="77777777" w:rsidR="000132FE" w:rsidRPr="00461891" w:rsidRDefault="000132FE" w:rsidP="000132FE">
      <w:pPr>
        <w:widowControl w:val="0"/>
        <w:autoSpaceDE w:val="0"/>
        <w:autoSpaceDN w:val="0"/>
        <w:spacing w:after="0" w:line="276" w:lineRule="auto"/>
        <w:contextualSpacing/>
        <w:jc w:val="both"/>
        <w:rPr>
          <w:rFonts w:ascii="Verdana" w:eastAsia="Arial" w:hAnsi="Verdana" w:cs="Arial"/>
          <w:lang w:val="es-ES" w:eastAsia="es-ES" w:bidi="es-ES"/>
        </w:rPr>
      </w:pPr>
    </w:p>
    <w:p w14:paraId="70AF3666" w14:textId="77777777" w:rsidR="000132FE" w:rsidRPr="00461891" w:rsidRDefault="000132FE" w:rsidP="000132FE">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461891">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0CC6E636" w14:textId="77777777" w:rsidR="000132FE" w:rsidRPr="00461891" w:rsidRDefault="000132FE" w:rsidP="000132FE">
      <w:pPr>
        <w:spacing w:after="0" w:line="240" w:lineRule="auto"/>
        <w:ind w:left="709" w:right="709"/>
        <w:jc w:val="both"/>
        <w:rPr>
          <w:rFonts w:ascii="Verdana" w:eastAsia="Calibri" w:hAnsi="Verdana" w:cs="Arial"/>
          <w:sz w:val="20"/>
          <w:szCs w:val="20"/>
          <w:lang w:val="es-MX"/>
        </w:rPr>
      </w:pPr>
    </w:p>
    <w:p w14:paraId="457A6289" w14:textId="77777777" w:rsidR="000132FE" w:rsidRPr="00461891" w:rsidRDefault="000132FE" w:rsidP="000132FE">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MX"/>
        </w:rPr>
        <w:t xml:space="preserve">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w:t>
      </w:r>
      <w:r w:rsidRPr="00461891">
        <w:rPr>
          <w:rFonts w:ascii="Verdana" w:eastAsia="Calibri" w:hAnsi="Verdana" w:cs="Arial"/>
          <w:sz w:val="20"/>
          <w:szCs w:val="20"/>
          <w:lang w:val="es-MX"/>
        </w:rPr>
        <w:lastRenderedPageBreak/>
        <w:t>funciones administrativas o de prestar conjuntamente servicios que se hallen a su cargo, sin que exista una contraprestación para ninguna de las entidades ni la prestación de un servicio a cargo de alguna de ellas y en favor de la otra parte del convenio.</w:t>
      </w:r>
    </w:p>
    <w:p w14:paraId="0322EF19" w14:textId="77777777" w:rsidR="000132FE" w:rsidRPr="00461891" w:rsidRDefault="000132FE" w:rsidP="000132FE">
      <w:pPr>
        <w:spacing w:after="0" w:line="240" w:lineRule="auto"/>
        <w:ind w:left="709" w:right="709"/>
        <w:jc w:val="both"/>
        <w:rPr>
          <w:rFonts w:ascii="Verdana" w:eastAsia="Calibri" w:hAnsi="Verdana" w:cs="Arial"/>
          <w:sz w:val="20"/>
          <w:szCs w:val="20"/>
          <w:lang w:val="es-MX"/>
        </w:rPr>
      </w:pPr>
    </w:p>
    <w:p w14:paraId="6E3B56F0" w14:textId="77777777" w:rsidR="000132FE" w:rsidRPr="00461891" w:rsidRDefault="000132FE" w:rsidP="000132FE">
      <w:pPr>
        <w:spacing w:after="0" w:line="240" w:lineRule="auto"/>
        <w:ind w:left="709" w:right="709"/>
        <w:jc w:val="both"/>
        <w:rPr>
          <w:rFonts w:ascii="Verdana" w:eastAsia="Calibri" w:hAnsi="Verdana" w:cs="Arial"/>
          <w:sz w:val="20"/>
          <w:szCs w:val="20"/>
          <w:lang w:val="es-MX"/>
        </w:rPr>
      </w:pPr>
      <w:bookmarkStart w:id="2" w:name="_Hlk193459059"/>
      <w:r w:rsidRPr="00461891">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w:t>
      </w:r>
      <w:bookmarkEnd w:id="2"/>
      <w:r w:rsidRPr="00461891">
        <w:rPr>
          <w:rFonts w:ascii="Verdana" w:eastAsia="Calibri" w:hAnsi="Verdana" w:cs="Arial"/>
          <w:sz w:val="20"/>
          <w:szCs w:val="20"/>
          <w:lang w:val="es-MX"/>
        </w:rPr>
        <w:t>o”.</w:t>
      </w:r>
    </w:p>
    <w:p w14:paraId="7583329E" w14:textId="77777777" w:rsidR="000132FE" w:rsidRPr="00461891" w:rsidRDefault="000132FE" w:rsidP="000132FE">
      <w:pPr>
        <w:widowControl w:val="0"/>
        <w:autoSpaceDE w:val="0"/>
        <w:autoSpaceDN w:val="0"/>
        <w:spacing w:after="0" w:line="276" w:lineRule="auto"/>
        <w:contextualSpacing/>
        <w:jc w:val="both"/>
        <w:rPr>
          <w:rFonts w:ascii="Verdana" w:eastAsia="Arial" w:hAnsi="Verdana" w:cs="Arial"/>
          <w:lang w:val="es-ES" w:eastAsia="es-ES" w:bidi="es-ES"/>
        </w:rPr>
      </w:pPr>
    </w:p>
    <w:p w14:paraId="4539CADD" w14:textId="77777777" w:rsidR="000132FE" w:rsidRPr="00461891" w:rsidRDefault="000132FE" w:rsidP="000132FE">
      <w:pPr>
        <w:spacing w:after="120" w:line="276" w:lineRule="auto"/>
        <w:ind w:firstLine="709"/>
        <w:jc w:val="both"/>
        <w:rPr>
          <w:rFonts w:ascii="Verdana" w:eastAsia="Arial" w:hAnsi="Verdana" w:cs="Arial"/>
          <w:lang w:val="es-MX" w:eastAsia="es-ES" w:bidi="es-ES"/>
        </w:rPr>
      </w:pPr>
      <w:r w:rsidRPr="00461891">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461891">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552856AD" w14:textId="77777777" w:rsidR="000132FE" w:rsidRDefault="000132FE" w:rsidP="000132FE">
      <w:pPr>
        <w:spacing w:after="0" w:line="276" w:lineRule="auto"/>
        <w:ind w:firstLine="709"/>
        <w:jc w:val="both"/>
      </w:pPr>
      <w:r w:rsidRPr="00461891">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461891">
        <w:rPr>
          <w:rFonts w:ascii="Verdana" w:hAnsi="Verdana"/>
        </w:rPr>
        <w:t>numeral 16.2 de la Circular Externa Única de 2022 expedida por la Agencia Nacional de Contratación Pública -Colombia Compra Eficiente-, concretamente, respecto de los siguientes apartes normativos</w:t>
      </w:r>
      <w:r w:rsidRPr="00461891">
        <w:rPr>
          <w:rFonts w:ascii="Verdana" w:hAnsi="Verdana"/>
          <w:vertAlign w:val="superscript"/>
        </w:rPr>
        <w:footnoteReference w:id="13"/>
      </w:r>
      <w:r w:rsidRPr="00461891">
        <w:rPr>
          <w:rFonts w:ascii="Verdana" w:hAnsi="Verdana"/>
        </w:rPr>
        <w:t>:</w:t>
      </w:r>
      <w:r w:rsidRPr="00461891">
        <w:t xml:space="preserve"> </w:t>
      </w:r>
    </w:p>
    <w:p w14:paraId="07921540" w14:textId="77777777" w:rsidR="000132FE" w:rsidRPr="00461891" w:rsidRDefault="000132FE" w:rsidP="000132FE">
      <w:pPr>
        <w:spacing w:after="0" w:line="240" w:lineRule="auto"/>
        <w:ind w:firstLine="709"/>
        <w:jc w:val="both"/>
      </w:pPr>
    </w:p>
    <w:p w14:paraId="0A45E908" w14:textId="77777777" w:rsidR="000132FE" w:rsidRPr="00461891" w:rsidRDefault="000132FE" w:rsidP="000132FE">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lang w:val="es-MX"/>
        </w:rPr>
        <w:t>i)</w:t>
      </w:r>
      <w:r w:rsidRPr="00461891">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70994E6" w14:textId="77777777" w:rsidR="000132FE" w:rsidRPr="00461891" w:rsidRDefault="000132FE" w:rsidP="000132FE">
      <w:pPr>
        <w:spacing w:after="0" w:line="240" w:lineRule="auto"/>
        <w:ind w:left="709" w:right="709"/>
        <w:jc w:val="both"/>
        <w:rPr>
          <w:rFonts w:ascii="Verdana" w:eastAsia="Calibri" w:hAnsi="Verdana" w:cs="Arial"/>
          <w:sz w:val="20"/>
          <w:szCs w:val="20"/>
        </w:rPr>
      </w:pPr>
    </w:p>
    <w:p w14:paraId="05A20FDA" w14:textId="77777777" w:rsidR="000132FE" w:rsidRPr="00461891" w:rsidRDefault="000132FE" w:rsidP="000132FE">
      <w:pPr>
        <w:spacing w:after="0" w:line="240" w:lineRule="auto"/>
        <w:ind w:left="709" w:right="709"/>
        <w:jc w:val="both"/>
        <w:rPr>
          <w:rFonts w:ascii="Verdana" w:hAnsi="Verdana"/>
          <w:sz w:val="20"/>
          <w:szCs w:val="20"/>
        </w:rPr>
      </w:pPr>
      <w:proofErr w:type="spellStart"/>
      <w:r w:rsidRPr="00461891">
        <w:rPr>
          <w:rFonts w:ascii="Verdana" w:hAnsi="Verdana"/>
          <w:sz w:val="20"/>
          <w:szCs w:val="20"/>
        </w:rPr>
        <w:t>ii</w:t>
      </w:r>
      <w:proofErr w:type="spellEnd"/>
      <w:r w:rsidRPr="00461891">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546DEEF" w14:textId="77777777" w:rsidR="000132FE" w:rsidRPr="00461891" w:rsidRDefault="000132FE" w:rsidP="000132FE">
      <w:pPr>
        <w:spacing w:after="0" w:line="276" w:lineRule="auto"/>
        <w:ind w:left="709" w:right="709"/>
        <w:jc w:val="both"/>
        <w:rPr>
          <w:rFonts w:ascii="Verdana" w:hAnsi="Verdana"/>
        </w:rPr>
      </w:pPr>
    </w:p>
    <w:p w14:paraId="7AE34E43" w14:textId="77777777" w:rsidR="000132FE" w:rsidRPr="00841A33" w:rsidRDefault="000132FE" w:rsidP="000132FE">
      <w:pPr>
        <w:spacing w:after="120" w:line="276" w:lineRule="auto"/>
        <w:ind w:firstLine="709"/>
        <w:jc w:val="both"/>
        <w:rPr>
          <w:rFonts w:ascii="Verdana" w:eastAsia="Arial" w:hAnsi="Verdana" w:cs="Arial"/>
          <w:lang w:val="es-MX" w:eastAsia="es-ES" w:bidi="es-ES"/>
        </w:rPr>
      </w:pPr>
      <w:r>
        <w:rPr>
          <w:rFonts w:ascii="Verdana" w:eastAsia="Arial" w:hAnsi="Verdana" w:cs="Arial"/>
          <w:lang w:val="es-MX" w:eastAsia="es-ES" w:bidi="es-ES"/>
        </w:rPr>
        <w:t xml:space="preserve">De igual modo, la Subsección A de la Sección Tercera del Consejo de Estado suspendió el numeral 16.2. </w:t>
      </w:r>
      <w:r w:rsidRPr="00841A33">
        <w:rPr>
          <w:rFonts w:ascii="Verdana" w:eastAsia="Arial" w:hAnsi="Verdana" w:cs="Arial"/>
          <w:lang w:eastAsia="es-ES" w:bidi="es-ES"/>
        </w:rPr>
        <w:t>de la Circular Externa única, versión 3 del 27 de diciembre de 2023, expedida por la Agencia Nacional de Contratación Pública – Colombia Compra Eficiente, según el cual “[e]</w:t>
      </w:r>
      <w:proofErr w:type="spellStart"/>
      <w:r w:rsidRPr="00841A33">
        <w:rPr>
          <w:rFonts w:ascii="Verdana" w:eastAsia="Arial" w:hAnsi="Verdana" w:cs="Arial"/>
          <w:lang w:eastAsia="es-ES" w:bidi="es-ES"/>
        </w:rPr>
        <w:t>sta</w:t>
      </w:r>
      <w:proofErr w:type="spellEnd"/>
      <w:r w:rsidRPr="00841A33">
        <w:rPr>
          <w:rFonts w:ascii="Verdana" w:eastAsia="Arial" w:hAnsi="Verdana" w:cs="Arial"/>
          <w:lang w:eastAsia="es-ES" w:bidi="es-ES"/>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w:t>
      </w:r>
      <w:r>
        <w:rPr>
          <w:rFonts w:ascii="Verdana" w:eastAsia="Arial" w:hAnsi="Verdana" w:cs="Arial"/>
          <w:lang w:eastAsia="es-ES" w:bidi="es-ES"/>
        </w:rPr>
        <w:t>de estas dos figuras jurídicas”</w:t>
      </w:r>
      <w:r>
        <w:rPr>
          <w:rStyle w:val="Refdenotaalpie"/>
          <w:rFonts w:ascii="Verdana" w:eastAsia="Arial" w:hAnsi="Verdana" w:cs="Arial"/>
          <w:lang w:eastAsia="es-ES" w:bidi="es-ES"/>
        </w:rPr>
        <w:footnoteReference w:id="14"/>
      </w:r>
      <w:r>
        <w:rPr>
          <w:rFonts w:ascii="Verdana" w:eastAsia="Arial" w:hAnsi="Verdana" w:cs="Arial"/>
          <w:lang w:eastAsia="es-ES" w:bidi="es-ES"/>
        </w:rPr>
        <w:t xml:space="preserve">. En este sentido, la Subsección A siguiendo lo expresado por la Subsección B, expresa que lo fundamental </w:t>
      </w:r>
      <w:r w:rsidRPr="00841A33">
        <w:rPr>
          <w:rFonts w:ascii="Verdana" w:eastAsia="Arial" w:hAnsi="Verdana" w:cs="Arial"/>
          <w:lang w:eastAsia="es-ES" w:bidi="es-ES"/>
        </w:rPr>
        <w:t>es que por la especial naturale</w:t>
      </w:r>
      <w:r>
        <w:rPr>
          <w:rFonts w:ascii="Verdana" w:eastAsia="Arial" w:hAnsi="Verdana" w:cs="Arial"/>
          <w:lang w:eastAsia="es-ES" w:bidi="es-ES"/>
        </w:rPr>
        <w:t xml:space="preserve">za de este tipo de normas no </w:t>
      </w:r>
      <w:r w:rsidRPr="00841A33">
        <w:rPr>
          <w:rFonts w:ascii="Verdana" w:eastAsia="Arial" w:hAnsi="Verdana" w:cs="Arial"/>
          <w:lang w:eastAsia="es-ES" w:bidi="es-ES"/>
        </w:rPr>
        <w:t xml:space="preserve">puede </w:t>
      </w:r>
      <w:r>
        <w:rPr>
          <w:rFonts w:ascii="Verdana" w:eastAsia="Arial" w:hAnsi="Verdana" w:cs="Arial"/>
          <w:lang w:eastAsia="es-ES" w:bidi="es-ES"/>
        </w:rPr>
        <w:t xml:space="preserve">extenderse una prohibición de una norma </w:t>
      </w:r>
      <w:r w:rsidRPr="00841A33">
        <w:rPr>
          <w:rFonts w:ascii="Verdana" w:eastAsia="Arial" w:hAnsi="Verdana" w:cs="Arial"/>
          <w:lang w:eastAsia="es-ES" w:bidi="es-ES"/>
        </w:rPr>
        <w:t>que limita el ejercicio de una competencia -como la de celebrar contratos interadministrativos- reservada a</w:t>
      </w:r>
      <w:r>
        <w:rPr>
          <w:rFonts w:ascii="Verdana" w:eastAsia="Arial" w:hAnsi="Verdana" w:cs="Arial"/>
          <w:lang w:eastAsia="es-ES" w:bidi="es-ES"/>
        </w:rPr>
        <w:t>l legislador estatutario para ampliar</w:t>
      </w:r>
      <w:r w:rsidRPr="00841A33">
        <w:rPr>
          <w:rFonts w:ascii="Verdana" w:eastAsia="Arial" w:hAnsi="Verdana" w:cs="Arial"/>
          <w:lang w:eastAsia="es-ES" w:bidi="es-ES"/>
        </w:rPr>
        <w:t xml:space="preserve"> una categoría que no quedó comprendida </w:t>
      </w:r>
      <w:r>
        <w:rPr>
          <w:rFonts w:ascii="Verdana" w:eastAsia="Arial" w:hAnsi="Verdana" w:cs="Arial"/>
          <w:lang w:eastAsia="es-ES" w:bidi="es-ES"/>
        </w:rPr>
        <w:t>de forma explícita en la Ley de G</w:t>
      </w:r>
      <w:r w:rsidRPr="00841A33">
        <w:rPr>
          <w:rFonts w:ascii="Verdana" w:eastAsia="Arial" w:hAnsi="Verdana" w:cs="Arial"/>
          <w:lang w:eastAsia="es-ES" w:bidi="es-ES"/>
        </w:rPr>
        <w:t xml:space="preserve">arantías. </w:t>
      </w:r>
    </w:p>
    <w:p w14:paraId="7D3E5F91" w14:textId="77777777" w:rsidR="000132FE" w:rsidRPr="00461891" w:rsidRDefault="000132FE" w:rsidP="000132FE">
      <w:pPr>
        <w:spacing w:after="120" w:line="276" w:lineRule="auto"/>
        <w:ind w:firstLine="709"/>
        <w:jc w:val="both"/>
        <w:rPr>
          <w:rFonts w:ascii="Verdana" w:eastAsia="Arial" w:hAnsi="Verdana" w:cs="Arial"/>
          <w:i/>
          <w:iCs/>
          <w:lang w:val="es-MX" w:eastAsia="es-ES" w:bidi="es-ES"/>
        </w:rPr>
      </w:pPr>
      <w:r w:rsidRPr="00461891">
        <w:rPr>
          <w:rFonts w:ascii="Verdana" w:eastAsia="Arial" w:hAnsi="Verdana" w:cs="Arial"/>
          <w:lang w:val="es-MX" w:eastAsia="es-ES" w:bidi="es-ES"/>
        </w:rPr>
        <w:t xml:space="preserve">De conformidad con los argumentos de dicha providencia, se parte de la distinción entre los conceptos </w:t>
      </w:r>
      <w:r w:rsidRPr="00461891">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461891">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w:t>
      </w:r>
      <w:r w:rsidRPr="00461891">
        <w:rPr>
          <w:rFonts w:ascii="Verdana" w:eastAsia="Arial" w:hAnsi="Verdana" w:cs="Arial"/>
          <w:i/>
          <w:iCs/>
          <w:lang w:eastAsia="es-ES" w:bidi="es-ES"/>
        </w:rPr>
        <w:lastRenderedPageBreak/>
        <w:t xml:space="preserve">(…)”. </w:t>
      </w:r>
      <w:r w:rsidRPr="00461891">
        <w:rPr>
          <w:rFonts w:ascii="Verdana" w:eastAsia="Arial" w:hAnsi="Verdana" w:cs="Arial"/>
          <w:lang w:eastAsia="es-ES" w:bidi="es-ES"/>
        </w:rPr>
        <w:t xml:space="preserve">Por tal motivo, para efectos de decretar la medida de suspensión provisional de los apartes señalados del numeral </w:t>
      </w:r>
      <w:bookmarkStart w:id="3" w:name="_Hlk192497089"/>
      <w:r w:rsidRPr="00461891">
        <w:rPr>
          <w:rFonts w:ascii="Verdana" w:eastAsia="Arial" w:hAnsi="Verdana" w:cs="Arial"/>
          <w:lang w:eastAsia="es-ES" w:bidi="es-ES"/>
        </w:rPr>
        <w:t>16.2 de la Circular Externa Única</w:t>
      </w:r>
      <w:bookmarkEnd w:id="3"/>
      <w:r w:rsidRPr="00461891">
        <w:rPr>
          <w:rFonts w:ascii="Verdana" w:eastAsia="Arial" w:hAnsi="Verdana" w:cs="Arial"/>
          <w:lang w:eastAsia="es-ES" w:bidi="es-ES"/>
        </w:rPr>
        <w:t xml:space="preserve">, argumentó que </w:t>
      </w:r>
      <w:r w:rsidRPr="00461891">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CE527FF" w14:textId="77777777" w:rsidR="000132FE" w:rsidRPr="00461891" w:rsidRDefault="000132FE" w:rsidP="000132FE">
      <w:pPr>
        <w:spacing w:after="120" w:line="276" w:lineRule="auto"/>
        <w:ind w:firstLine="709"/>
        <w:jc w:val="both"/>
        <w:rPr>
          <w:rFonts w:ascii="Verdana" w:eastAsia="Calibri" w:hAnsi="Verdana" w:cs="Arial"/>
          <w:lang w:val="es-MX"/>
        </w:rPr>
      </w:pPr>
      <w:r w:rsidRPr="00461891">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461891">
        <w:rPr>
          <w:rFonts w:ascii="Verdana" w:eastAsia="Arial" w:hAnsi="Verdana" w:cs="Arial"/>
          <w:lang w:eastAsia="es-ES" w:bidi="es-ES"/>
        </w:rPr>
        <w:t>16.2 de la Circular Externa Única</w:t>
      </w:r>
      <w:r w:rsidRPr="00461891">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461891">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461891">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5E3C583F" w14:textId="77777777" w:rsidR="000132FE" w:rsidRPr="00461891" w:rsidRDefault="000132FE" w:rsidP="000132FE">
      <w:pPr>
        <w:spacing w:after="120" w:line="276" w:lineRule="auto"/>
        <w:ind w:firstLine="709"/>
        <w:jc w:val="both"/>
        <w:rPr>
          <w:rFonts w:ascii="Verdana" w:eastAsia="Arial" w:hAnsi="Verdana" w:cs="Arial"/>
          <w:lang w:val="es-MX" w:eastAsia="es-ES" w:bidi="es-ES"/>
        </w:rPr>
      </w:pPr>
      <w:r w:rsidRPr="00461891">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461891">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461891">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4C125755" w14:textId="77777777" w:rsidR="000132FE" w:rsidRPr="00461891" w:rsidRDefault="000132FE" w:rsidP="000132FE">
      <w:pPr>
        <w:spacing w:after="120" w:line="276" w:lineRule="auto"/>
        <w:ind w:firstLine="709"/>
        <w:jc w:val="both"/>
        <w:rPr>
          <w:rFonts w:ascii="Verdana" w:eastAsia="Times New Roman" w:hAnsi="Verdana" w:cs="Arial"/>
          <w:lang w:val="es-MX" w:eastAsia="es-CO"/>
        </w:rPr>
      </w:pPr>
      <w:r w:rsidRPr="00461891">
        <w:rPr>
          <w:rFonts w:ascii="Verdana" w:eastAsia="Arial" w:hAnsi="Verdana" w:cs="Arial"/>
          <w:lang w:val="es-MX" w:eastAsia="es-ES" w:bidi="es-ES"/>
        </w:rPr>
        <w:t xml:space="preserve"> De esta manera, </w:t>
      </w:r>
      <w:bookmarkEnd w:id="1"/>
      <w:r w:rsidRPr="00461891">
        <w:rPr>
          <w:rFonts w:ascii="Verdana" w:eastAsia="Arial" w:hAnsi="Verdana" w:cs="Arial"/>
          <w:lang w:val="es-MX" w:eastAsia="es-ES" w:bidi="es-ES"/>
        </w:rPr>
        <w:t>s</w:t>
      </w:r>
      <w:proofErr w:type="spellStart"/>
      <w:r w:rsidRPr="00461891">
        <w:rPr>
          <w:rFonts w:ascii="Verdana" w:eastAsia="Times New Roman" w:hAnsi="Verdana" w:cs="Arial"/>
          <w:lang w:eastAsia="es-CO"/>
        </w:rPr>
        <w:t>e</w:t>
      </w:r>
      <w:proofErr w:type="spellEnd"/>
      <w:r w:rsidRPr="00461891">
        <w:rPr>
          <w:rFonts w:ascii="Verdana" w:eastAsia="Times New Roman" w:hAnsi="Verdana" w:cs="Arial"/>
          <w:lang w:eastAsia="es-CO"/>
        </w:rPr>
        <w:t xml:space="preserve"> observa entonces que </w:t>
      </w:r>
      <w:r w:rsidRPr="00461891">
        <w:rPr>
          <w:rFonts w:ascii="Verdana" w:eastAsia="Times New Roman" w:hAnsi="Verdana" w:cs="Arial"/>
          <w:lang w:val="es-MX" w:eastAsia="es-CO"/>
        </w:rPr>
        <w:t xml:space="preserve">el parágrafo del artículo 38 de la Ley 996 de 2005 prohíbe a los </w:t>
      </w:r>
      <w:proofErr w:type="gramStart"/>
      <w:r w:rsidRPr="00461891">
        <w:rPr>
          <w:rFonts w:ascii="Verdana" w:eastAsia="Times New Roman" w:hAnsi="Verdana" w:cs="Arial"/>
          <w:lang w:val="es-MX" w:eastAsia="es-CO"/>
        </w:rPr>
        <w:t>Alcaldes</w:t>
      </w:r>
      <w:proofErr w:type="gramEnd"/>
      <w:r w:rsidRPr="00461891">
        <w:rPr>
          <w:rFonts w:ascii="Verdana" w:eastAsia="Times New Roman" w:hAnsi="Verdana" w:cs="Arial"/>
          <w:lang w:val="es-MX" w:eastAsia="es-CO"/>
        </w:rPr>
        <w:t xml:space="preserve">, Gobernadores, Secretarios, Gerentes y Directores de las entidades del orden municipal, departamental o distrital celebrar </w:t>
      </w:r>
      <w:r w:rsidRPr="00461891">
        <w:rPr>
          <w:rFonts w:ascii="Verdana" w:eastAsia="Times New Roman" w:hAnsi="Verdana" w:cs="Arial"/>
          <w:i/>
          <w:iCs/>
          <w:lang w:val="es-MX" w:eastAsia="es-CO"/>
        </w:rPr>
        <w:t>convenios interadministrativos</w:t>
      </w:r>
      <w:r w:rsidRPr="00461891">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461891">
        <w:rPr>
          <w:rFonts w:ascii="Verdana" w:eastAsia="Times New Roman" w:hAnsi="Verdana" w:cs="Arial"/>
          <w:i/>
          <w:lang w:val="es-MX" w:eastAsia="es-CO"/>
        </w:rPr>
        <w:t>ibidem</w:t>
      </w:r>
      <w:r w:rsidRPr="00461891">
        <w:rPr>
          <w:rFonts w:ascii="Verdana" w:eastAsia="Times New Roman" w:hAnsi="Verdana" w:cs="Arial"/>
          <w:lang w:val="es-MX" w:eastAsia="es-CO"/>
        </w:rPr>
        <w:t xml:space="preserve">, no podrá celebrar tales </w:t>
      </w:r>
      <w:r w:rsidRPr="00461891">
        <w:rPr>
          <w:rFonts w:ascii="Verdana" w:eastAsia="Times New Roman" w:hAnsi="Verdana" w:cs="Arial"/>
          <w:i/>
          <w:iCs/>
          <w:lang w:val="es-MX" w:eastAsia="es-CO"/>
        </w:rPr>
        <w:t>convenios</w:t>
      </w:r>
      <w:r w:rsidRPr="00461891">
        <w:rPr>
          <w:rFonts w:ascii="Verdana" w:eastAsia="Times New Roman" w:hAnsi="Verdana" w:cs="Arial"/>
          <w:lang w:val="es-MX" w:eastAsia="es-CO"/>
        </w:rPr>
        <w:t xml:space="preserve"> </w:t>
      </w:r>
      <w:r w:rsidRPr="00461891">
        <w:rPr>
          <w:rFonts w:ascii="Verdana" w:eastAsia="Times New Roman" w:hAnsi="Verdana" w:cs="Arial"/>
          <w:lang w:val="es-MX" w:eastAsia="es-CO"/>
        </w:rPr>
        <w:lastRenderedPageBreak/>
        <w:t xml:space="preserve">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p>
    <w:p w14:paraId="76AD27AD" w14:textId="77777777" w:rsidR="000132FE" w:rsidRDefault="000132FE" w:rsidP="000132FE">
      <w:pPr>
        <w:spacing w:after="120" w:line="276" w:lineRule="auto"/>
        <w:ind w:firstLine="709"/>
        <w:jc w:val="both"/>
        <w:rPr>
          <w:rFonts w:ascii="Verdana" w:eastAsia="Arial" w:hAnsi="Verdana" w:cs="Arial"/>
          <w:lang w:val="es-ES" w:eastAsia="es-ES" w:bidi="es-ES"/>
        </w:rPr>
      </w:pPr>
      <w:bookmarkStart w:id="4" w:name="_Hlk77154098"/>
      <w:r w:rsidRPr="00461891">
        <w:rPr>
          <w:rFonts w:ascii="Verdana" w:eastAsia="Times New Roman" w:hAnsi="Verdana" w:cs="Arial"/>
          <w:lang w:val="es-ES" w:eastAsia="es-CO" w:bidi="es-ES"/>
        </w:rPr>
        <w:t>En todo caso</w:t>
      </w:r>
      <w:r w:rsidRPr="00461891">
        <w:rPr>
          <w:rFonts w:ascii="Verdana" w:eastAsia="Arial" w:hAnsi="Verdana" w:cs="Arial"/>
          <w:lang w:val="es-ES" w:eastAsia="es-ES" w:bidi="es-ES"/>
        </w:rPr>
        <w:t xml:space="preserve">, es importante resaltar que la Sala de Consulta y Servicio Civil del Consejo de Estado se ha pronunciado en el sentido de que </w:t>
      </w:r>
      <w:bookmarkStart w:id="5" w:name="_Hlk78820889"/>
      <w:r w:rsidRPr="00461891">
        <w:rPr>
          <w:rFonts w:ascii="Verdana" w:eastAsia="Arial" w:hAnsi="Verdana" w:cs="Arial"/>
          <w:lang w:val="es-ES" w:eastAsia="es-ES" w:bidi="es-ES"/>
        </w:rPr>
        <w:t>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5"/>
      <w:r w:rsidRPr="00461891">
        <w:rPr>
          <w:rFonts w:ascii="Verdana" w:eastAsia="Arial" w:hAnsi="Verdana" w:cs="Arial"/>
          <w:vertAlign w:val="superscript"/>
          <w:lang w:val="es-ES" w:eastAsia="es-ES" w:bidi="es-ES"/>
        </w:rPr>
        <w:footnoteReference w:id="15"/>
      </w:r>
      <w:r w:rsidRPr="00461891">
        <w:rPr>
          <w:rFonts w:ascii="Verdana" w:eastAsia="Arial" w:hAnsi="Verdana" w:cs="Arial"/>
          <w:lang w:val="es-ES" w:eastAsia="es-ES" w:bidi="es-ES"/>
        </w:rPr>
        <w:t>.</w:t>
      </w:r>
      <w:bookmarkEnd w:id="4"/>
    </w:p>
    <w:p w14:paraId="6BD802D8" w14:textId="77777777" w:rsidR="000132FE" w:rsidRPr="00461891" w:rsidRDefault="000132FE" w:rsidP="000132FE">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La Circular Externa No. 006 del 25 de septiembre de 2025 expedida por la Agencia Nacional de Contratación Pública hizo algunas precisiones sobre la aplicación de las prohibiciones establecidas en el artículo 33 y el parágrafo del artículo 38 de la Ley 996 de 2025, la cual se encuentra disponible para su consulta</w:t>
      </w:r>
      <w:r>
        <w:rPr>
          <w:rStyle w:val="Refdenotaalpie"/>
          <w:rFonts w:ascii="Verdana" w:eastAsia="Arial" w:hAnsi="Verdana" w:cs="Arial"/>
          <w:lang w:val="es-ES" w:eastAsia="es-ES" w:bidi="es-ES"/>
        </w:rPr>
        <w:footnoteReference w:id="16"/>
      </w:r>
      <w:r>
        <w:rPr>
          <w:rFonts w:ascii="Verdana" w:eastAsia="Arial" w:hAnsi="Verdana" w:cs="Arial"/>
          <w:lang w:val="es-ES" w:eastAsia="es-ES" w:bidi="es-ES"/>
        </w:rPr>
        <w:t xml:space="preserve">. </w:t>
      </w:r>
    </w:p>
    <w:p w14:paraId="58F200FE" w14:textId="77777777" w:rsidR="000132FE" w:rsidRDefault="000132FE" w:rsidP="000132FE">
      <w:pPr>
        <w:spacing w:after="120" w:line="276" w:lineRule="auto"/>
        <w:jc w:val="both"/>
        <w:rPr>
          <w:rFonts w:ascii="Verdana" w:eastAsia="Arial" w:hAnsi="Verdana" w:cs="Arial"/>
          <w:lang w:val="es-ES" w:eastAsia="es-ES" w:bidi="es-ES"/>
        </w:rPr>
      </w:pPr>
    </w:p>
    <w:p w14:paraId="571CF919" w14:textId="77777777" w:rsidR="000132FE" w:rsidRPr="00461891" w:rsidRDefault="000132FE" w:rsidP="000132FE">
      <w:pPr>
        <w:spacing w:after="120" w:line="276" w:lineRule="auto"/>
        <w:jc w:val="both"/>
        <w:rPr>
          <w:rFonts w:ascii="Verdana" w:eastAsia="Calibri" w:hAnsi="Verdana" w:cs="Arial"/>
        </w:rPr>
      </w:pPr>
      <w:proofErr w:type="spellStart"/>
      <w:r>
        <w:rPr>
          <w:rFonts w:ascii="Verdana" w:eastAsia="Arial" w:hAnsi="Verdana" w:cs="Arial"/>
          <w:lang w:val="es-ES" w:eastAsia="es-ES" w:bidi="es-ES"/>
        </w:rPr>
        <w:t>iv</w:t>
      </w:r>
      <w:proofErr w:type="spellEnd"/>
      <w:r>
        <w:rPr>
          <w:rFonts w:ascii="Verdana" w:eastAsia="Arial" w:hAnsi="Verdana" w:cs="Arial"/>
          <w:lang w:val="es-ES" w:eastAsia="es-ES" w:bidi="es-ES"/>
        </w:rPr>
        <w:t xml:space="preserve">. </w:t>
      </w:r>
      <w:r w:rsidRPr="00461891">
        <w:rPr>
          <w:rFonts w:ascii="Verdana" w:eastAsia="Arial" w:hAnsi="Verdana" w:cs="Arial"/>
          <w:lang w:val="es-ES" w:eastAsia="es-ES" w:bidi="es-ES"/>
        </w:rPr>
        <w:t xml:space="preserve">Precisado lo anterior, en relación con el problema jurídico planteado se tiene que,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 los </w:t>
      </w:r>
      <w:r w:rsidRPr="00461891">
        <w:rPr>
          <w:rFonts w:ascii="Verdana" w:eastAsia="Calibri" w:hAnsi="Verdana" w:cs="Arial"/>
        </w:rPr>
        <w:t xml:space="preserve">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Secretarios, Gerentes y directores de Entidades Descentralizadas del orden Municipal, Departamental o Distrital, no podrán celebrar convenios interadministrativos para la ejecución de recursos públicos, dentro de los cuatro (4) meses anteriores a las elecciones. Esta prohibición aplica </w:t>
      </w:r>
      <w:r w:rsidRPr="00461891">
        <w:rPr>
          <w:rFonts w:ascii="Verdana" w:eastAsia="Calibri" w:hAnsi="Verdana" w:cs="Arial"/>
        </w:rPr>
        <w:lastRenderedPageBreak/>
        <w:t xml:space="preserve">incluso cuando se trate de elecciones atípicas de alcaldes o gobernadores, esto es, elecciones que se realicen por fuera del calendario ordinario electoral. </w:t>
      </w:r>
    </w:p>
    <w:p w14:paraId="0D8D1258" w14:textId="77777777" w:rsidR="000132FE" w:rsidRPr="00461891" w:rsidRDefault="000132FE" w:rsidP="000132FE">
      <w:pPr>
        <w:spacing w:after="120" w:line="276" w:lineRule="auto"/>
        <w:ind w:firstLine="709"/>
        <w:jc w:val="both"/>
        <w:rPr>
          <w:rFonts w:ascii="Verdana" w:eastAsia="Calibri" w:hAnsi="Verdana" w:cs="Arial"/>
        </w:rPr>
      </w:pPr>
      <w:r w:rsidRPr="00461891">
        <w:rPr>
          <w:rFonts w:ascii="Verdana" w:eastAsia="Calibri" w:hAnsi="Verdana" w:cs="Arial"/>
        </w:rPr>
        <w:t>En efecto,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Este último tipo de elecciones “son eventos electorales que se realizan por fuera del calendario electoral ordinario, con el fin de cubrir la vacancia absoluta de un mandatario y elegir una autoridad por el tiempo que resta del periodo constitucional del cargo, cuando esta vacancia se registra faltando 18 meses o más para la terminación de dicho periodo”</w:t>
      </w:r>
      <w:r w:rsidRPr="00461891">
        <w:rPr>
          <w:rFonts w:ascii="Verdana" w:eastAsia="Calibri" w:hAnsi="Verdana" w:cs="Arial"/>
          <w:vertAlign w:val="superscript"/>
        </w:rPr>
        <w:footnoteReference w:id="17"/>
      </w:r>
      <w:r w:rsidRPr="00461891">
        <w:rPr>
          <w:rFonts w:ascii="Verdana" w:eastAsia="Calibri" w:hAnsi="Verdana" w:cs="Arial"/>
        </w:rPr>
        <w:t>. Su convocatoria puede derivar de diferentes situaciones como la muerte del gobernador o el alcalde, la renuncia aceptada, incapacidad física permanente, la declaratoria de nulidad por su elección, la interdicción judicial, la destitución, la revocatoria del mandato y la incapacidad por enfermedad superior a ciento ochenta (180) días</w:t>
      </w:r>
      <w:r w:rsidRPr="00461891">
        <w:rPr>
          <w:rFonts w:ascii="Verdana" w:eastAsia="Calibri" w:hAnsi="Verdana" w:cs="Arial"/>
          <w:vertAlign w:val="superscript"/>
        </w:rPr>
        <w:footnoteReference w:id="18"/>
      </w:r>
      <w:r w:rsidRPr="00461891">
        <w:rPr>
          <w:rFonts w:ascii="Verdana" w:eastAsia="Calibri" w:hAnsi="Verdana" w:cs="Arial"/>
        </w:rPr>
        <w:t>.</w:t>
      </w:r>
    </w:p>
    <w:p w14:paraId="780580C6" w14:textId="77777777" w:rsidR="000132FE" w:rsidRPr="00461891" w:rsidRDefault="000132FE" w:rsidP="000132FE">
      <w:pPr>
        <w:spacing w:after="120" w:line="276" w:lineRule="auto"/>
        <w:ind w:firstLine="709"/>
        <w:jc w:val="both"/>
        <w:rPr>
          <w:rFonts w:ascii="Verdana" w:eastAsia="Calibri" w:hAnsi="Verdana" w:cs="Arial"/>
        </w:rPr>
      </w:pPr>
      <w:r w:rsidRPr="00461891">
        <w:rPr>
          <w:rFonts w:ascii="Verdana" w:eastAsia="Calibri" w:hAnsi="Verdana" w:cs="Arial"/>
        </w:rPr>
        <w:t xml:space="preserve">En tal sentido, aunque las elecciones atípicas se efectúan fuera de las fechas establecidas en la Ley, por circunstancias excepcionales que requieren una convocatoria urgente, tienen el mismo propósito de las elecciones ordinarias de asegurar la provisión de un cargo de elección popular. Por tanto, la naturaleza y el fin de las elecciones atípicas son idénticos a los de las elecciones ordinarias, ya que ambas buscan asegurar el adecuado funcionamiento de las instituciones públicas y salvaguardar la democracia. </w:t>
      </w:r>
    </w:p>
    <w:p w14:paraId="062A1EB9" w14:textId="77777777" w:rsidR="000132FE" w:rsidRPr="00461891" w:rsidRDefault="000132FE" w:rsidP="000132FE">
      <w:pPr>
        <w:spacing w:after="0" w:line="276" w:lineRule="auto"/>
        <w:ind w:firstLine="709"/>
        <w:jc w:val="both"/>
        <w:rPr>
          <w:rFonts w:ascii="Verdana" w:eastAsia="Calibri" w:hAnsi="Verdana" w:cs="Arial"/>
        </w:rPr>
      </w:pPr>
      <w:r w:rsidRPr="00461891">
        <w:rPr>
          <w:rFonts w:ascii="Verdana" w:eastAsia="Calibri" w:hAnsi="Verdana" w:cs="Arial"/>
        </w:rPr>
        <w:t xml:space="preserve">Aunado a lo anterior, como se expuso, el propósito de la Ley 996 de 2005 es asegurar condiciones de igualdad y transparencia para todos los aspirantes en el proceso electoral, de manera que los participantes tengan las mismas oportunidades y no enfrenten ventajas indebidas durante la contienda electoral. Al mismo tiempo, la Ley establece restricciones que previenen la desviación de recursos públicos con fines electorales, prohibiendo que los fondos y bienes del Estado sean utilizados para beneficiar a ciertos aspirantes. De este modo, en la Ley de Garantías se plantea como objetivos: </w:t>
      </w:r>
    </w:p>
    <w:p w14:paraId="18E95D2D" w14:textId="77777777" w:rsidR="000132FE" w:rsidRPr="00461891" w:rsidRDefault="000132FE" w:rsidP="000132FE">
      <w:pPr>
        <w:spacing w:after="0" w:line="276" w:lineRule="auto"/>
        <w:ind w:firstLine="709"/>
        <w:jc w:val="both"/>
        <w:rPr>
          <w:rFonts w:ascii="Verdana" w:eastAsia="Calibri" w:hAnsi="Verdana" w:cs="Arial"/>
        </w:rPr>
      </w:pPr>
    </w:p>
    <w:p w14:paraId="4BA84324" w14:textId="77777777" w:rsidR="000132FE" w:rsidRPr="00461891" w:rsidRDefault="000132FE" w:rsidP="000132FE">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rPr>
        <w:lastRenderedPageBreak/>
        <w:t>“a) garantizar la igualdad y equidad entre los candidatos que aspiran a ocupar cargos de elección popular, b) evitar que la voluntad de los electores sea influenciada por la acción u omisión de los servidores públicos, c) asegurar la objetividad y transparencia en las decisiones administrativas, d) impedir que el empleo público se utilice para obtener votos de los servidores o sus allegados, e) proteger al empleado que tiene una inclinación política distinta al nominador, y f) imposibilitar que las vinculaciones al Estado se utilicen como un mecanismo para buscar favores políticos durante las contiendas electorales”</w:t>
      </w:r>
      <w:r w:rsidRPr="00461891">
        <w:rPr>
          <w:rFonts w:ascii="Verdana" w:eastAsia="Calibri" w:hAnsi="Verdana" w:cs="Arial"/>
          <w:sz w:val="20"/>
          <w:szCs w:val="20"/>
          <w:vertAlign w:val="superscript"/>
        </w:rPr>
        <w:footnoteReference w:id="19"/>
      </w:r>
      <w:r w:rsidRPr="00461891">
        <w:rPr>
          <w:rFonts w:ascii="Verdana" w:eastAsia="Calibri" w:hAnsi="Verdana" w:cs="Arial"/>
          <w:sz w:val="20"/>
          <w:szCs w:val="20"/>
        </w:rPr>
        <w:t>. </w:t>
      </w:r>
    </w:p>
    <w:p w14:paraId="112493F9" w14:textId="77777777" w:rsidR="000132FE" w:rsidRPr="00461891" w:rsidRDefault="000132FE" w:rsidP="000132FE">
      <w:pPr>
        <w:widowControl w:val="0"/>
        <w:autoSpaceDE w:val="0"/>
        <w:autoSpaceDN w:val="0"/>
        <w:spacing w:after="0" w:line="276" w:lineRule="auto"/>
        <w:ind w:firstLine="709"/>
        <w:contextualSpacing/>
        <w:jc w:val="both"/>
        <w:rPr>
          <w:rFonts w:ascii="Verdana" w:eastAsia="Calibri" w:hAnsi="Verdana" w:cs="Arial"/>
          <w:lang w:eastAsia="es-ES" w:bidi="es-ES"/>
        </w:rPr>
      </w:pPr>
    </w:p>
    <w:p w14:paraId="434D6D68" w14:textId="77777777" w:rsidR="000132FE" w:rsidRPr="00461891" w:rsidRDefault="000132FE" w:rsidP="000132FE">
      <w:pPr>
        <w:widowControl w:val="0"/>
        <w:autoSpaceDE w:val="0"/>
        <w:autoSpaceDN w:val="0"/>
        <w:spacing w:after="0" w:line="276" w:lineRule="auto"/>
        <w:ind w:firstLine="709"/>
        <w:contextualSpacing/>
        <w:jc w:val="both"/>
        <w:rPr>
          <w:rFonts w:ascii="Verdana" w:eastAsia="Calibri" w:hAnsi="Verdana" w:cs="Arial"/>
          <w:lang w:eastAsia="es-ES" w:bidi="es-ES"/>
        </w:rPr>
      </w:pPr>
      <w:r w:rsidRPr="00461891">
        <w:rPr>
          <w:rFonts w:ascii="Verdana" w:eastAsia="Calibri" w:hAnsi="Verdana" w:cs="Arial"/>
          <w:lang w:eastAsia="es-ES" w:bidi="es-ES"/>
        </w:rPr>
        <w:t>Así las cosas, las restricciones establecidas en la Ley de Garantías Electorales buscan cumplir el propósito de proteger la democracia participativa y la igualdad entre candidatos, independientemente de la naturaleza de la elección. Por ello, la Ley de Garantías debe ser aplicada sin distinción asegurando que, tanto en elecciones ordinarias como las atípicas, se mantenga la integridad del proceso electoral. Sobre el particular, el Consejo Nacional Electoral en concepto 9519 del 14 de octubre de 2020</w:t>
      </w:r>
      <w:r w:rsidRPr="00461891">
        <w:rPr>
          <w:rFonts w:ascii="Verdana" w:eastAsia="Calibri" w:hAnsi="Verdana" w:cs="Arial"/>
          <w:vertAlign w:val="superscript"/>
          <w:lang w:eastAsia="es-ES" w:bidi="es-ES"/>
        </w:rPr>
        <w:footnoteReference w:id="20"/>
      </w:r>
      <w:r w:rsidRPr="00461891">
        <w:rPr>
          <w:rFonts w:ascii="Verdana" w:eastAsia="Calibri" w:hAnsi="Verdana" w:cs="Arial"/>
          <w:lang w:eastAsia="es-ES" w:bidi="es-ES"/>
        </w:rPr>
        <w:t xml:space="preserve">, frente a la aplicación de la ley de garantías en elecciones atípicas señaló lo siguiente: </w:t>
      </w:r>
    </w:p>
    <w:p w14:paraId="0C6B003B" w14:textId="77777777" w:rsidR="000132FE" w:rsidRPr="00461891" w:rsidRDefault="000132FE" w:rsidP="000132FE">
      <w:pPr>
        <w:widowControl w:val="0"/>
        <w:autoSpaceDE w:val="0"/>
        <w:autoSpaceDN w:val="0"/>
        <w:spacing w:after="0" w:line="240" w:lineRule="auto"/>
        <w:ind w:firstLine="709"/>
        <w:contextualSpacing/>
        <w:jc w:val="both"/>
        <w:rPr>
          <w:rFonts w:ascii="Verdana" w:eastAsia="Calibri" w:hAnsi="Verdana" w:cs="Arial"/>
          <w:lang w:eastAsia="es-ES" w:bidi="es-ES"/>
        </w:rPr>
      </w:pPr>
    </w:p>
    <w:p w14:paraId="7FF49BEA" w14:textId="77777777" w:rsidR="000132FE" w:rsidRPr="00461891" w:rsidRDefault="000132FE" w:rsidP="000132FE">
      <w:pPr>
        <w:widowControl w:val="0"/>
        <w:autoSpaceDE w:val="0"/>
        <w:autoSpaceDN w:val="0"/>
        <w:spacing w:after="0" w:line="240" w:lineRule="auto"/>
        <w:ind w:left="709" w:right="616"/>
        <w:contextualSpacing/>
        <w:jc w:val="both"/>
        <w:rPr>
          <w:rFonts w:ascii="Verdana" w:eastAsia="Calibri" w:hAnsi="Verdana" w:cs="Arial"/>
          <w:sz w:val="20"/>
          <w:szCs w:val="20"/>
          <w:lang w:eastAsia="es-ES" w:bidi="es-ES"/>
        </w:rPr>
      </w:pPr>
      <w:r w:rsidRPr="00461891">
        <w:rPr>
          <w:rFonts w:ascii="Verdana" w:eastAsia="Calibri" w:hAnsi="Verdana" w:cs="Arial"/>
          <w:sz w:val="20"/>
          <w:szCs w:val="20"/>
          <w:lang w:eastAsia="es-ES" w:bidi="es-ES"/>
        </w:rPr>
        <w:t xml:space="preserve">“En esta elección atípica como evento electoral extraordinario que se realiza por fuera del calendario electoral ordinario, con el fin de cubrir la vacancia absoluta de un mandatario y elegir una autoridad por el tiempo que resta del periodo constitucional del cargo, siempre y cuando esta vacancia se registre faltando 18 meses o más para la terminación de dicho periodo, como es el caso concreto </w:t>
      </w:r>
      <w:r w:rsidRPr="00461891">
        <w:rPr>
          <w:rFonts w:ascii="Verdana" w:eastAsia="Calibri" w:hAnsi="Verdana" w:cs="Arial"/>
          <w:i/>
          <w:iCs/>
          <w:sz w:val="20"/>
          <w:szCs w:val="20"/>
          <w:lang w:eastAsia="es-ES" w:bidi="es-ES"/>
        </w:rPr>
        <w:t>solo le es aplicable de la Ley 996 de 2005 el parágrafo del artículo 38</w:t>
      </w:r>
      <w:r w:rsidRPr="00461891">
        <w:rPr>
          <w:rFonts w:ascii="Verdana" w:eastAsia="Calibri" w:hAnsi="Verdana" w:cs="Arial"/>
          <w:sz w:val="20"/>
          <w:szCs w:val="20"/>
          <w:lang w:eastAsia="es-ES" w:bidi="es-ES"/>
        </w:rPr>
        <w:t xml:space="preserve"> y enunciado en el numeral 3.1.2 de los fundamentos jurídicos.</w:t>
      </w:r>
    </w:p>
    <w:p w14:paraId="660E60F5" w14:textId="77777777" w:rsidR="000132FE" w:rsidRPr="00461891" w:rsidRDefault="000132FE" w:rsidP="000132FE">
      <w:pPr>
        <w:widowControl w:val="0"/>
        <w:autoSpaceDE w:val="0"/>
        <w:autoSpaceDN w:val="0"/>
        <w:spacing w:after="0" w:line="240" w:lineRule="auto"/>
        <w:ind w:firstLine="709"/>
        <w:contextualSpacing/>
        <w:jc w:val="both"/>
        <w:rPr>
          <w:rFonts w:ascii="Verdana" w:eastAsia="Calibri" w:hAnsi="Verdana" w:cs="Arial"/>
          <w:sz w:val="20"/>
          <w:szCs w:val="20"/>
          <w:lang w:eastAsia="es-ES" w:bidi="es-ES"/>
        </w:rPr>
      </w:pPr>
    </w:p>
    <w:p w14:paraId="50AA8812" w14:textId="77777777" w:rsidR="000132FE" w:rsidRPr="00461891" w:rsidRDefault="000132FE" w:rsidP="000132FE">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 xml:space="preserve">Por lo expuesto, en los procesos </w:t>
      </w:r>
      <w:proofErr w:type="spellStart"/>
      <w:r w:rsidRPr="00461891">
        <w:rPr>
          <w:rFonts w:ascii="Verdana" w:hAnsi="Verdana"/>
          <w:sz w:val="20"/>
          <w:szCs w:val="20"/>
        </w:rPr>
        <w:t>pre-electorales</w:t>
      </w:r>
      <w:proofErr w:type="spellEnd"/>
      <w:r w:rsidRPr="00461891">
        <w:rPr>
          <w:rFonts w:ascii="Verdana" w:hAnsi="Verdana"/>
          <w:sz w:val="20"/>
          <w:szCs w:val="20"/>
        </w:rPr>
        <w:t xml:space="preserve"> de estas elecciones atípicos para Alcaldía Municipal, deben seguirse las siguientes reglas: </w:t>
      </w:r>
    </w:p>
    <w:p w14:paraId="3932F80D" w14:textId="77777777" w:rsidR="000132FE" w:rsidRPr="00461891" w:rsidRDefault="000132FE" w:rsidP="000132FE">
      <w:pPr>
        <w:widowControl w:val="0"/>
        <w:autoSpaceDE w:val="0"/>
        <w:autoSpaceDN w:val="0"/>
        <w:spacing w:after="0" w:line="240" w:lineRule="auto"/>
        <w:ind w:left="709" w:right="616"/>
        <w:contextualSpacing/>
        <w:jc w:val="both"/>
        <w:rPr>
          <w:rFonts w:ascii="Verdana" w:hAnsi="Verdana"/>
          <w:sz w:val="20"/>
          <w:szCs w:val="20"/>
        </w:rPr>
      </w:pPr>
    </w:p>
    <w:p w14:paraId="7362D892" w14:textId="77777777" w:rsidR="000132FE" w:rsidRPr="00461891" w:rsidRDefault="000132FE" w:rsidP="000132FE">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 xml:space="preserve">a) Los gobernadores, alcaldes municipales o distritales, secretarios, gerentes y directores de las entidades descentralizadas del orden municipal, departamental o distrital no pueden celebrar convenios interadministrativos para la ejecución de recursos públicos, ni participar, promover o destinar recursos públicos de las entidades a su cargo, como tampoco de las que participen como miembros de sus juntas directivas, en o para reuniones de carácter proselitista dentro de los cuatro (4) meses </w:t>
      </w:r>
      <w:r w:rsidRPr="00461891">
        <w:rPr>
          <w:rFonts w:ascii="Verdana" w:hAnsi="Verdana"/>
          <w:sz w:val="20"/>
          <w:szCs w:val="20"/>
        </w:rPr>
        <w:lastRenderedPageBreak/>
        <w:t xml:space="preserve">anteriores a las elecciones. </w:t>
      </w:r>
    </w:p>
    <w:p w14:paraId="321B4EAD" w14:textId="77777777" w:rsidR="000132FE" w:rsidRPr="00461891" w:rsidRDefault="000132FE" w:rsidP="000132FE">
      <w:pPr>
        <w:widowControl w:val="0"/>
        <w:autoSpaceDE w:val="0"/>
        <w:autoSpaceDN w:val="0"/>
        <w:spacing w:after="0" w:line="240" w:lineRule="auto"/>
        <w:ind w:left="709" w:right="616"/>
        <w:contextualSpacing/>
        <w:jc w:val="both"/>
        <w:rPr>
          <w:rFonts w:ascii="Verdana" w:hAnsi="Verdana"/>
          <w:sz w:val="20"/>
          <w:szCs w:val="20"/>
        </w:rPr>
      </w:pPr>
    </w:p>
    <w:p w14:paraId="5CA62394" w14:textId="77777777" w:rsidR="000132FE" w:rsidRPr="00461891" w:rsidRDefault="000132FE" w:rsidP="000132FE">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w:t>
      </w:r>
    </w:p>
    <w:p w14:paraId="6CAFD1B5" w14:textId="77777777" w:rsidR="000132FE" w:rsidRPr="00461891" w:rsidRDefault="000132FE" w:rsidP="000132FE">
      <w:pPr>
        <w:widowControl w:val="0"/>
        <w:autoSpaceDE w:val="0"/>
        <w:autoSpaceDN w:val="0"/>
        <w:spacing w:after="0" w:line="240" w:lineRule="auto"/>
        <w:ind w:left="709" w:right="616"/>
        <w:contextualSpacing/>
        <w:jc w:val="both"/>
        <w:rPr>
          <w:rFonts w:ascii="Verdana" w:hAnsi="Verdana"/>
          <w:sz w:val="20"/>
          <w:szCs w:val="20"/>
        </w:rPr>
      </w:pPr>
    </w:p>
    <w:p w14:paraId="300D1101" w14:textId="77777777" w:rsidR="000132FE" w:rsidRPr="00461891" w:rsidRDefault="000132FE" w:rsidP="000132FE">
      <w:pPr>
        <w:widowControl w:val="0"/>
        <w:autoSpaceDE w:val="0"/>
        <w:autoSpaceDN w:val="0"/>
        <w:spacing w:after="0" w:line="240" w:lineRule="auto"/>
        <w:ind w:left="709" w:right="616"/>
        <w:contextualSpacing/>
        <w:jc w:val="both"/>
        <w:rPr>
          <w:rFonts w:ascii="Verdana" w:eastAsia="Calibri" w:hAnsi="Verdana" w:cs="Arial"/>
          <w:sz w:val="20"/>
          <w:szCs w:val="20"/>
          <w:lang w:eastAsia="es-ES" w:bidi="es-ES"/>
        </w:rPr>
      </w:pPr>
      <w:r w:rsidRPr="00461891">
        <w:rPr>
          <w:rFonts w:ascii="Verdana" w:hAnsi="Verdana"/>
          <w:sz w:val="20"/>
          <w:szCs w:val="20"/>
        </w:rPr>
        <w:t>Ahora bien, como se referenció previamente, las normas vigentes establecen que entre el Decreto que convoca a elecciones complementarias, y la votación para las mismas transcurren aproximadamente 60 días o lo que es lo mismo, dos (2) meses. En consecuencia, si la norma establece un plazo aproximado de 60 días para que se celebren las votaciones complementarias, no es posible aplicar al efecto la prohibición de modificar nómina y de celebrar convenios interadministrativos, dentro de los cuatro (4) meses anteriores a las elecciones, contemplados en el parágrafo del artículo 38 de la Ley 996 de 2005”. (Énfasis por fuera de texto)</w:t>
      </w:r>
    </w:p>
    <w:p w14:paraId="00521DC5" w14:textId="77777777" w:rsidR="000132FE" w:rsidRPr="00461891" w:rsidRDefault="000132FE" w:rsidP="000132FE">
      <w:pPr>
        <w:widowControl w:val="0"/>
        <w:autoSpaceDE w:val="0"/>
        <w:autoSpaceDN w:val="0"/>
        <w:spacing w:after="0" w:line="240" w:lineRule="auto"/>
        <w:ind w:firstLine="709"/>
        <w:contextualSpacing/>
        <w:jc w:val="both"/>
        <w:rPr>
          <w:rFonts w:ascii="Verdana" w:eastAsia="Calibri" w:hAnsi="Verdana" w:cs="Arial"/>
          <w:lang w:eastAsia="es-ES" w:bidi="es-ES"/>
        </w:rPr>
      </w:pPr>
    </w:p>
    <w:p w14:paraId="694CD034" w14:textId="77777777" w:rsidR="000132FE" w:rsidRDefault="000132FE" w:rsidP="000132FE">
      <w:pPr>
        <w:widowControl w:val="0"/>
        <w:autoSpaceDE w:val="0"/>
        <w:autoSpaceDN w:val="0"/>
        <w:spacing w:after="120" w:line="276" w:lineRule="auto"/>
        <w:ind w:firstLine="709"/>
        <w:jc w:val="both"/>
        <w:rPr>
          <w:rFonts w:ascii="Verdana" w:eastAsia="Calibri" w:hAnsi="Verdana" w:cs="Arial"/>
          <w:lang w:eastAsia="es-ES" w:bidi="es-ES"/>
        </w:rPr>
      </w:pPr>
      <w:r w:rsidRPr="00461891">
        <w:rPr>
          <w:rFonts w:ascii="Verdana" w:eastAsia="Calibri" w:hAnsi="Verdana" w:cs="Arial"/>
          <w:lang w:eastAsia="es-ES" w:bidi="es-ES"/>
        </w:rPr>
        <w:t xml:space="preserve">Bajo estas consideraciones, se concluye que para las elecciones atípicas </w:t>
      </w:r>
      <w:r>
        <w:rPr>
          <w:rFonts w:ascii="Verdana" w:eastAsia="Calibri" w:hAnsi="Verdana" w:cs="Arial"/>
          <w:lang w:eastAsia="es-ES" w:bidi="es-ES"/>
        </w:rPr>
        <w:t>territoriales</w:t>
      </w:r>
      <w:r w:rsidRPr="00461891">
        <w:rPr>
          <w:rFonts w:ascii="Verdana" w:eastAsia="Calibri" w:hAnsi="Verdana" w:cs="Arial"/>
          <w:lang w:eastAsia="es-ES" w:bidi="es-ES"/>
        </w:rPr>
        <w:t xml:space="preserve"> resulta aplicable las restricciones señaladas en el parágrafo del artículo 38 de la Ley 996 de 2005, lo que significa que, en materia de 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 </w:t>
      </w:r>
    </w:p>
    <w:p w14:paraId="42DC393A" w14:textId="77777777" w:rsidR="000132FE" w:rsidRPr="002C1A08" w:rsidRDefault="000132FE" w:rsidP="000132FE">
      <w:pPr>
        <w:widowControl w:val="0"/>
        <w:autoSpaceDE w:val="0"/>
        <w:autoSpaceDN w:val="0"/>
        <w:spacing w:after="120" w:line="276" w:lineRule="auto"/>
        <w:ind w:firstLine="709"/>
        <w:jc w:val="both"/>
        <w:rPr>
          <w:rFonts w:ascii="Verdana" w:eastAsia="Calibri" w:hAnsi="Verdana" w:cs="Arial"/>
          <w:lang w:eastAsia="es-ES" w:bidi="es-ES"/>
        </w:rPr>
      </w:pPr>
      <w:r w:rsidRPr="002C1A08">
        <w:rPr>
          <w:rFonts w:ascii="Verdana" w:eastAsia="Calibri" w:hAnsi="Verdana" w:cs="Arial"/>
          <w:lang w:eastAsia="es-ES" w:bidi="es-ES"/>
        </w:rPr>
        <w:t xml:space="preserve">Naturalmente las restricciones del parágrafo del artículo 38, como lo expone el Consejo Nacional Electoral, no podrán aplicarse dentro del plazo señalado en la norma, por ello, tendrán lugar respecto del término que transcurre entre el momento en que se convoca a elecciones y el día en que se realizan efectivamente conforme con la normatividad vigente. </w:t>
      </w:r>
    </w:p>
    <w:p w14:paraId="158C423C" w14:textId="77777777" w:rsidR="000132FE" w:rsidRDefault="000132FE" w:rsidP="000132FE">
      <w:pPr>
        <w:widowControl w:val="0"/>
        <w:autoSpaceDE w:val="0"/>
        <w:autoSpaceDN w:val="0"/>
        <w:spacing w:after="120" w:line="276" w:lineRule="auto"/>
        <w:ind w:firstLine="709"/>
        <w:jc w:val="both"/>
        <w:rPr>
          <w:rFonts w:ascii="Verdana" w:eastAsia="Calibri" w:hAnsi="Verdana" w:cs="Arial"/>
          <w:lang w:eastAsia="es-ES" w:bidi="es-ES"/>
        </w:rPr>
      </w:pPr>
      <w:r w:rsidRPr="002C1A08">
        <w:rPr>
          <w:rFonts w:ascii="Verdana" w:eastAsia="Calibri" w:hAnsi="Verdana" w:cs="Arial"/>
          <w:lang w:eastAsia="es-ES" w:bidi="es-ES"/>
        </w:rPr>
        <w:t xml:space="preserve">Ahora bien, frente a estas restricciones, se precisa que cuando se trata de elecciones atípicas, el alcance territorial de estas restricciones depende del nivel de la elección. Si la elección atípica es para gobernador, las restricciones se extienden a todas las entidades del departamento, incluidos sus municipios, </w:t>
      </w:r>
      <w:r>
        <w:rPr>
          <w:rFonts w:ascii="Verdana" w:eastAsia="Calibri" w:hAnsi="Verdana" w:cs="Arial"/>
          <w:lang w:eastAsia="es-ES" w:bidi="es-ES"/>
        </w:rPr>
        <w:t>ya que la elección para el cargo de elección popular tiene incidencia en todo el territorio departamental</w:t>
      </w:r>
      <w:r w:rsidRPr="002C1A08">
        <w:rPr>
          <w:rFonts w:ascii="Verdana" w:eastAsia="Calibri" w:hAnsi="Verdana" w:cs="Arial"/>
          <w:lang w:eastAsia="es-ES" w:bidi="es-ES"/>
        </w:rPr>
        <w:t>. En cambio, si la elección es para alcalde, las restricciones solo aplic</w:t>
      </w:r>
      <w:r>
        <w:rPr>
          <w:rFonts w:ascii="Verdana" w:eastAsia="Calibri" w:hAnsi="Verdana" w:cs="Arial"/>
          <w:lang w:eastAsia="es-ES" w:bidi="es-ES"/>
        </w:rPr>
        <w:t>an al municipio donde se celebra</w:t>
      </w:r>
      <w:r w:rsidRPr="002C1A08">
        <w:rPr>
          <w:rFonts w:ascii="Verdana" w:eastAsia="Calibri" w:hAnsi="Verdana" w:cs="Arial"/>
          <w:lang w:eastAsia="es-ES" w:bidi="es-ES"/>
        </w:rPr>
        <w:t xml:space="preserve"> la elección, dado que el impacto</w:t>
      </w:r>
      <w:r>
        <w:rPr>
          <w:rFonts w:ascii="Verdana" w:eastAsia="Calibri" w:hAnsi="Verdana" w:cs="Arial"/>
          <w:lang w:eastAsia="es-ES" w:bidi="es-ES"/>
        </w:rPr>
        <w:t xml:space="preserve"> administrativo se limita a este ente territorial. </w:t>
      </w:r>
    </w:p>
    <w:p w14:paraId="40D5BB4F" w14:textId="77777777" w:rsidR="000132FE" w:rsidRDefault="000132FE" w:rsidP="000132FE">
      <w:pPr>
        <w:widowControl w:val="0"/>
        <w:autoSpaceDE w:val="0"/>
        <w:autoSpaceDN w:val="0"/>
        <w:spacing w:after="120" w:line="276" w:lineRule="auto"/>
        <w:ind w:firstLine="709"/>
        <w:jc w:val="both"/>
        <w:rPr>
          <w:rFonts w:ascii="Verdana" w:eastAsia="Calibri" w:hAnsi="Verdana" w:cs="Arial"/>
          <w:lang w:eastAsia="es-ES" w:bidi="es-ES"/>
        </w:rPr>
      </w:pPr>
      <w:r>
        <w:rPr>
          <w:rFonts w:ascii="Verdana" w:eastAsia="Calibri" w:hAnsi="Verdana" w:cs="Arial"/>
          <w:lang w:eastAsia="es-ES" w:bidi="es-ES"/>
        </w:rPr>
        <w:t>En estos términos</w:t>
      </w:r>
      <w:r w:rsidRPr="00665DED">
        <w:rPr>
          <w:rFonts w:ascii="Verdana" w:eastAsia="Calibri" w:hAnsi="Verdana" w:cs="Arial"/>
          <w:lang w:eastAsia="es-ES" w:bidi="es-ES"/>
        </w:rPr>
        <w:t xml:space="preserve">, la restricción prevista en el artículo 38 de la Ley 996 de 2005, relativa a la celebración de convenios y contratos interadministrativos </w:t>
      </w:r>
      <w:r w:rsidRPr="00665DED">
        <w:rPr>
          <w:rFonts w:ascii="Verdana" w:eastAsia="Calibri" w:hAnsi="Verdana" w:cs="Arial"/>
          <w:lang w:eastAsia="es-ES" w:bidi="es-ES"/>
        </w:rPr>
        <w:lastRenderedPageBreak/>
        <w:t>durante períodos electorales, se extiende en el caso de elecciones atípicas de gobernador a todo el ámbito territorial del departamento. Esto implica una prohibición no solo para el gobernador, sino también para los alcaldes municipales y distritales, así como para los secretarios, gerentes y directores de entidades descentralizadas del orden municipal, departamental o distrital que i</w:t>
      </w:r>
      <w:r>
        <w:rPr>
          <w:rFonts w:ascii="Verdana" w:eastAsia="Calibri" w:hAnsi="Verdana" w:cs="Arial"/>
          <w:lang w:eastAsia="es-ES" w:bidi="es-ES"/>
        </w:rPr>
        <w:t xml:space="preserve">ntegran dicho ente territorial. </w:t>
      </w:r>
      <w:r w:rsidRPr="00665DED">
        <w:rPr>
          <w:rFonts w:ascii="Verdana" w:eastAsia="Calibri" w:hAnsi="Verdana" w:cs="Arial"/>
          <w:lang w:eastAsia="es-ES" w:bidi="es-ES"/>
        </w:rPr>
        <w:t>La aplicación de esta restricción debe ajustarse al nivel territorial de la elección atípica. Si la elección corresponde a un gobernador, las limitaciones se extienden a todas las entidades del departamento; si se trata de un alcalde, solo el municipio en el que se realiza la elección queda sujeto a las disposiciones de la Ley de Garantías.</w:t>
      </w:r>
      <w:r>
        <w:rPr>
          <w:rFonts w:ascii="Verdana" w:eastAsia="Calibri" w:hAnsi="Verdana" w:cs="Arial"/>
          <w:lang w:eastAsia="es-ES" w:bidi="es-ES"/>
        </w:rPr>
        <w:t xml:space="preserve"> </w:t>
      </w:r>
      <w:r w:rsidRPr="002C1A08">
        <w:rPr>
          <w:rFonts w:ascii="Verdana" w:eastAsia="Calibri" w:hAnsi="Verdana" w:cs="Arial"/>
          <w:lang w:eastAsia="es-ES" w:bidi="es-ES"/>
        </w:rPr>
        <w:t>Así, se garantiza que las medidas de control se apliquen de manera proporcional y adecuada, evitando afectaciones innecesarias a entidades que no están directamente involucradas en el proceso electoral.</w:t>
      </w:r>
    </w:p>
    <w:p w14:paraId="627F926D" w14:textId="77777777" w:rsidR="000132FE" w:rsidRDefault="000132FE" w:rsidP="000132FE">
      <w:pPr>
        <w:widowControl w:val="0"/>
        <w:autoSpaceDE w:val="0"/>
        <w:autoSpaceDN w:val="0"/>
        <w:spacing w:before="120" w:after="120" w:line="276" w:lineRule="auto"/>
        <w:ind w:firstLine="709"/>
        <w:jc w:val="both"/>
        <w:rPr>
          <w:rFonts w:ascii="Verdana" w:hAnsi="Verdana"/>
        </w:rPr>
      </w:pPr>
      <w:r>
        <w:rPr>
          <w:rFonts w:ascii="Verdana" w:hAnsi="Verdana"/>
        </w:rPr>
        <w:t xml:space="preserve">Por último, es importante precisar que </w:t>
      </w:r>
      <w:r w:rsidRPr="00BF1A4A">
        <w:rPr>
          <w:rFonts w:ascii="Verdana" w:hAnsi="Verdana"/>
        </w:rPr>
        <w:t>la interpretación del parágrafo del artículo 38 de la Ley 996 de 2005 debe realizarse conforme al principio de legalidad administrativa, según el cual las autoridades públicas sólo pueden hacer aquello que les está expresamente permitido por la ley. En esa medida, al tratarse de una norma que impone una prohibición, su alcance debe ser objeto de una interpretaci</w:t>
      </w:r>
      <w:r>
        <w:rPr>
          <w:rFonts w:ascii="Verdana" w:hAnsi="Verdana"/>
        </w:rPr>
        <w:t>ón estricta y restrictiva</w:t>
      </w:r>
      <w:r w:rsidRPr="00BF1A4A">
        <w:rPr>
          <w:rFonts w:ascii="Verdana" w:hAnsi="Verdana"/>
        </w:rPr>
        <w:t>. La norma en cuestión prohíbe de forma específica la celebración de convenios interadministrativos</w:t>
      </w:r>
      <w:r>
        <w:rPr>
          <w:rFonts w:ascii="Verdana" w:hAnsi="Verdana"/>
        </w:rPr>
        <w:t xml:space="preserve"> y/o contratos interadministrativos </w:t>
      </w:r>
      <w:r w:rsidRPr="00BF1A4A">
        <w:rPr>
          <w:rFonts w:ascii="Verdana" w:hAnsi="Verdana"/>
        </w:rPr>
        <w:t xml:space="preserve">por parte de determinadas autoridades territoriales durante los cuatro </w:t>
      </w:r>
      <w:r>
        <w:rPr>
          <w:rFonts w:ascii="Verdana" w:hAnsi="Verdana"/>
        </w:rPr>
        <w:t>(4)</w:t>
      </w:r>
      <w:r w:rsidRPr="00BF1A4A">
        <w:rPr>
          <w:rFonts w:ascii="Verdana" w:hAnsi="Verdana"/>
        </w:rPr>
        <w:t xml:space="preserve"> meses previos a las elecciones, sin hacer mención alguna a otros tipos contractuales. Por tanto, no puede extenderse dicha restricción a contratos distintos —como los de prestación de servicios, suministros, entre otros— aun cuando se celebren por la modalidad de contratación directa, ya que ello equivaldría a una interpretación extensiva en perjuicio de la función administrativa. </w:t>
      </w:r>
    </w:p>
    <w:p w14:paraId="53213970" w14:textId="77777777" w:rsidR="000132FE" w:rsidRDefault="000132FE" w:rsidP="000132FE">
      <w:pPr>
        <w:widowControl w:val="0"/>
        <w:autoSpaceDE w:val="0"/>
        <w:autoSpaceDN w:val="0"/>
        <w:spacing w:before="120" w:after="120" w:line="276" w:lineRule="auto"/>
        <w:ind w:firstLine="708"/>
        <w:jc w:val="both"/>
        <w:rPr>
          <w:rFonts w:ascii="Verdana" w:hAnsi="Verdana"/>
          <w:lang w:val="es-ES_tradnl"/>
        </w:rPr>
      </w:pPr>
      <w:r w:rsidRPr="004E5865">
        <w:rPr>
          <w:rFonts w:ascii="Verdana" w:hAnsi="Verdana"/>
          <w:bCs/>
          <w:lang w:val="es-ES"/>
        </w:rPr>
        <w:t xml:space="preserve">Al </w:t>
      </w:r>
      <w:r w:rsidRPr="004E5865">
        <w:rPr>
          <w:rFonts w:ascii="Verdana" w:hAnsi="Verdana"/>
          <w:lang w:val="es-ES_tradnl"/>
        </w:rPr>
        <w:t xml:space="preserve">margen de la explicación precedente debe advertirse que el análisis requerido para resolver problemas </w:t>
      </w:r>
      <w:r>
        <w:rPr>
          <w:rFonts w:ascii="Verdana" w:hAnsi="Verdana"/>
          <w:lang w:val="es-ES_tradnl"/>
        </w:rPr>
        <w:t xml:space="preserve">específicos, en torno a la restricción de Ley de Garantías Electorales </w:t>
      </w:r>
      <w:r w:rsidRPr="004E5865">
        <w:rPr>
          <w:rFonts w:ascii="Verdana" w:hAnsi="Verdana"/>
          <w:lang w:val="es-ES_tradnl"/>
        </w:rPr>
        <w:t xml:space="preserve">debe realizarse por quienes tengan interés en ello, de acuerdo con lo explicado la aclaración preliminar del presente oficio. De esta manera,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w:t>
      </w:r>
      <w:r w:rsidRPr="004E5865">
        <w:rPr>
          <w:rFonts w:ascii="Verdana" w:hAnsi="Verdana"/>
          <w:lang w:val="es-ES_tradnl"/>
        </w:rPr>
        <w:lastRenderedPageBreak/>
        <w:t>correspondiente y, en caso de conflicto, a las autoridades judiciales, fiscales y disciplinarias.</w:t>
      </w:r>
      <w:r>
        <w:rPr>
          <w:rFonts w:ascii="Verdana" w:hAnsi="Verdana"/>
          <w:lang w:val="es-ES_tradnl"/>
        </w:rPr>
        <w:t xml:space="preserve"> </w:t>
      </w:r>
    </w:p>
    <w:p w14:paraId="3CA54F5C" w14:textId="77777777" w:rsidR="000132FE" w:rsidRPr="00B17041" w:rsidRDefault="000132FE" w:rsidP="000132FE">
      <w:pPr>
        <w:spacing w:after="0" w:line="276" w:lineRule="auto"/>
        <w:ind w:firstLine="709"/>
        <w:jc w:val="both"/>
        <w:rPr>
          <w:rFonts w:ascii="Verdana" w:hAnsi="Verdana" w:cs="Arial"/>
          <w:lang w:val="es-ES" w:eastAsia="es-ES"/>
        </w:rPr>
      </w:pPr>
      <w:r w:rsidRPr="00B17041">
        <w:rPr>
          <w:rFonts w:ascii="Verdana" w:hAnsi="Verdana" w:cs="Arial"/>
          <w:lang w:val="es-ES" w:eastAsia="es-ES"/>
        </w:rPr>
        <w:t>Dentro de este marco,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CE255D0" w14:textId="77777777" w:rsidR="000132FE" w:rsidRPr="00CD0DCD" w:rsidRDefault="000132FE" w:rsidP="000132FE">
      <w:pPr>
        <w:spacing w:after="0" w:line="276" w:lineRule="auto"/>
        <w:jc w:val="both"/>
        <w:rPr>
          <w:rFonts w:ascii="Verdana" w:eastAsia="Calibri" w:hAnsi="Verdana" w:cs="Arial"/>
          <w:lang w:val="es-ES" w:eastAsia="es-MX"/>
        </w:rPr>
      </w:pPr>
    </w:p>
    <w:p w14:paraId="0202DACB" w14:textId="77777777" w:rsidR="000132FE" w:rsidRPr="00B57A1B" w:rsidRDefault="000132FE" w:rsidP="000132F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42904323" w14:textId="77777777" w:rsidR="000132FE" w:rsidRPr="00593043" w:rsidRDefault="000132FE" w:rsidP="000132FE">
      <w:pPr>
        <w:widowControl w:val="0"/>
        <w:autoSpaceDE w:val="0"/>
        <w:autoSpaceDN w:val="0"/>
        <w:spacing w:after="0" w:line="276" w:lineRule="auto"/>
        <w:jc w:val="both"/>
        <w:rPr>
          <w:rFonts w:ascii="Verdana"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132FE" w:rsidRPr="00B57A1B" w14:paraId="1C87D7B3" w14:textId="77777777" w:rsidTr="002F6D1B">
        <w:trPr>
          <w:trHeight w:val="487"/>
          <w:jc w:val="center"/>
        </w:trPr>
        <w:tc>
          <w:tcPr>
            <w:tcW w:w="8647" w:type="dxa"/>
          </w:tcPr>
          <w:p w14:paraId="336C61B2" w14:textId="77777777" w:rsidR="000132FE" w:rsidRPr="006C4BC5" w:rsidRDefault="000132FE" w:rsidP="002F6D1B">
            <w:pPr>
              <w:widowControl w:val="0"/>
              <w:numPr>
                <w:ilvl w:val="0"/>
                <w:numId w:val="17"/>
              </w:numPr>
              <w:autoSpaceDE w:val="0"/>
              <w:autoSpaceDN w:val="0"/>
              <w:spacing w:before="120" w:after="120"/>
              <w:rPr>
                <w:rFonts w:ascii="Verdana" w:eastAsia="Arial MT" w:hAnsi="Verdana" w:cs="Arial"/>
                <w:lang w:eastAsia="es-ES" w:bidi="es-ES"/>
              </w:rPr>
            </w:pPr>
            <w:r>
              <w:rPr>
                <w:rFonts w:ascii="Verdana" w:eastAsia="Arial MT" w:hAnsi="Verdana" w:cs="Arial"/>
                <w:lang w:val="es-ES" w:eastAsia="es-ES" w:bidi="es-ES"/>
              </w:rPr>
              <w:t xml:space="preserve"> </w:t>
            </w:r>
            <w:r w:rsidRPr="006C4BC5">
              <w:rPr>
                <w:rFonts w:ascii="Verdana" w:eastAsia="Arial MT" w:hAnsi="Verdana" w:cs="Arial"/>
                <w:lang w:eastAsia="es-ES" w:bidi="es-ES"/>
              </w:rPr>
              <w:t xml:space="preserve">Constitución Política. Artículo 127. </w:t>
            </w:r>
          </w:p>
          <w:p w14:paraId="5FECBB2F" w14:textId="77777777" w:rsidR="000132FE" w:rsidRPr="006C4BC5"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6C4BC5">
              <w:rPr>
                <w:rFonts w:ascii="Verdana" w:eastAsia="Arial MT" w:hAnsi="Verdana" w:cs="Arial"/>
                <w:lang w:eastAsia="es-ES" w:bidi="es-ES"/>
              </w:rPr>
              <w:t xml:space="preserve">Ley 136 de 1994. Artículo 98. </w:t>
            </w:r>
          </w:p>
          <w:p w14:paraId="17D5EBE5" w14:textId="77777777" w:rsidR="000132FE" w:rsidRPr="006C4BC5"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6C4BC5">
              <w:rPr>
                <w:rFonts w:ascii="Verdana" w:eastAsia="Arial MT" w:hAnsi="Verdana" w:cs="Arial"/>
                <w:lang w:eastAsia="es-ES" w:bidi="es-ES"/>
              </w:rPr>
              <w:t>Ley 996 de 2005. Artículos 33 y parágrafo del artículo 38.</w:t>
            </w:r>
          </w:p>
          <w:p w14:paraId="04C7604D"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 xml:space="preserve">Corte Constitucional. Sentencias: C-233 de 4 de abril de 2002. </w:t>
            </w:r>
          </w:p>
          <w:p w14:paraId="6FC60E9C"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Corte Constitucional, Sentencia C- 1153 de 2005, M.</w:t>
            </w:r>
            <w:r>
              <w:rPr>
                <w:rFonts w:ascii="Verdana" w:eastAsia="Arial MT" w:hAnsi="Verdana" w:cs="Arial"/>
                <w:lang w:val="es-ES" w:eastAsia="es-ES" w:bidi="es-ES"/>
              </w:rPr>
              <w:t>P. Marco Gerardo Monroy Cabra.</w:t>
            </w:r>
          </w:p>
          <w:p w14:paraId="1C2B700F"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 xml:space="preserve">Consejo de Estado, Sala de lo Contencioso Administrativo, Sección Primera. Sentencia de 3 de marzo de 2005, expediente número 2004-00823-01(PI). </w:t>
            </w:r>
          </w:p>
          <w:p w14:paraId="4976ACD1"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 xml:space="preserve">Consejo de Estado. Sala de Consulta y Servicio Civil. Concepto del 15 de noviembre de 2007. </w:t>
            </w:r>
            <w:proofErr w:type="spellStart"/>
            <w:r w:rsidRPr="00526358">
              <w:rPr>
                <w:rFonts w:ascii="Verdana" w:eastAsia="Arial MT" w:hAnsi="Verdana" w:cs="Arial"/>
                <w:lang w:val="es-ES" w:eastAsia="es-ES" w:bidi="es-ES"/>
              </w:rPr>
              <w:t>Exp</w:t>
            </w:r>
            <w:proofErr w:type="spellEnd"/>
            <w:r w:rsidRPr="00526358">
              <w:rPr>
                <w:rFonts w:ascii="Verdana" w:eastAsia="Arial MT" w:hAnsi="Verdana" w:cs="Arial"/>
                <w:lang w:val="es-ES" w:eastAsia="es-ES" w:bidi="es-ES"/>
              </w:rPr>
              <w:t>. 1863. C.P. Luis Fernando Álvarez Jaramillo.</w:t>
            </w:r>
          </w:p>
          <w:p w14:paraId="68D09EB2"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 xml:space="preserve">Consejo de Estado, Sala de Consulta y Servicio Civil de fecha 24 de julio de 2013, Rad. 2166, C. P. Álvaro </w:t>
            </w:r>
            <w:proofErr w:type="spellStart"/>
            <w:r w:rsidRPr="00526358">
              <w:rPr>
                <w:rFonts w:ascii="Verdana" w:eastAsia="Arial MT" w:hAnsi="Verdana" w:cs="Arial"/>
                <w:lang w:val="es-ES" w:eastAsia="es-ES" w:bidi="es-ES"/>
              </w:rPr>
              <w:t>Namén</w:t>
            </w:r>
            <w:proofErr w:type="spellEnd"/>
            <w:r w:rsidRPr="00526358">
              <w:rPr>
                <w:rFonts w:ascii="Verdana" w:eastAsia="Arial MT" w:hAnsi="Verdana" w:cs="Arial"/>
                <w:lang w:val="es-ES" w:eastAsia="es-ES" w:bidi="es-ES"/>
              </w:rPr>
              <w:t xml:space="preserve"> Vargas.  </w:t>
            </w:r>
          </w:p>
          <w:p w14:paraId="26650B86"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Consejo de Estado. Sala de Consulta y Servicio Civil. Concepto del 17 de febrero de 2015. C.P. William Zambrano Cetina. Radicación No. 11001-03-06-000-2015-00164-00(2269).</w:t>
            </w:r>
          </w:p>
          <w:p w14:paraId="0D77ECFF"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 xml:space="preserve">Consejo de Estado. Sala de Consulta y Servicio Civil. Concepto del 20 de febrero de 2018. </w:t>
            </w:r>
            <w:proofErr w:type="spellStart"/>
            <w:r w:rsidRPr="00526358">
              <w:rPr>
                <w:rFonts w:ascii="Verdana" w:eastAsia="Arial MT" w:hAnsi="Verdana" w:cs="Arial"/>
                <w:lang w:val="es-ES" w:eastAsia="es-ES" w:bidi="es-ES"/>
              </w:rPr>
              <w:t>Exp</w:t>
            </w:r>
            <w:proofErr w:type="spellEnd"/>
            <w:r w:rsidRPr="00526358">
              <w:rPr>
                <w:rFonts w:ascii="Verdana" w:eastAsia="Arial MT" w:hAnsi="Verdana" w:cs="Arial"/>
                <w:lang w:val="es-ES" w:eastAsia="es-ES" w:bidi="es-ES"/>
              </w:rPr>
              <w:t>. 12366. C.P. Oscar Darío Amaya Navas.</w:t>
            </w:r>
          </w:p>
          <w:p w14:paraId="4CCBB9E5"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 xml:space="preserve">Consejo de Estado. Sección Tercera, Subsección B. Auto del 4 de </w:t>
            </w:r>
            <w:r w:rsidRPr="00526358">
              <w:rPr>
                <w:rFonts w:ascii="Verdana" w:eastAsia="Arial MT" w:hAnsi="Verdana" w:cs="Arial"/>
                <w:lang w:val="es-ES" w:eastAsia="es-ES" w:bidi="es-ES"/>
              </w:rPr>
              <w:lastRenderedPageBreak/>
              <w:t xml:space="preserve">octubre de 2024. </w:t>
            </w:r>
            <w:proofErr w:type="spellStart"/>
            <w:r w:rsidRPr="00526358">
              <w:rPr>
                <w:rFonts w:ascii="Verdana" w:eastAsia="Arial MT" w:hAnsi="Verdana" w:cs="Arial"/>
                <w:lang w:val="es-ES" w:eastAsia="es-ES" w:bidi="es-ES"/>
              </w:rPr>
              <w:t>Exp</w:t>
            </w:r>
            <w:proofErr w:type="spellEnd"/>
            <w:r w:rsidRPr="00526358">
              <w:rPr>
                <w:rFonts w:ascii="Verdana" w:eastAsia="Arial MT" w:hAnsi="Verdana" w:cs="Arial"/>
                <w:lang w:val="es-ES" w:eastAsia="es-ES" w:bidi="es-ES"/>
              </w:rPr>
              <w:t>. 70.313. C.P: Fredy Ibarra Martínez.</w:t>
            </w:r>
          </w:p>
          <w:p w14:paraId="3EA75611"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 xml:space="preserve">Consejo de Estado. Sección Tercera, Subsección A. Auto del 6 de noviembre de 2025. </w:t>
            </w:r>
            <w:proofErr w:type="spellStart"/>
            <w:r w:rsidRPr="00526358">
              <w:rPr>
                <w:rFonts w:ascii="Verdana" w:eastAsia="Arial MT" w:hAnsi="Verdana" w:cs="Arial"/>
                <w:lang w:val="es-ES" w:eastAsia="es-ES" w:bidi="es-ES"/>
              </w:rPr>
              <w:t>Exp</w:t>
            </w:r>
            <w:proofErr w:type="spellEnd"/>
            <w:r w:rsidRPr="00526358">
              <w:rPr>
                <w:rFonts w:ascii="Verdana" w:eastAsia="Arial MT" w:hAnsi="Verdana" w:cs="Arial"/>
                <w:lang w:val="es-ES" w:eastAsia="es-ES" w:bidi="es-ES"/>
              </w:rPr>
              <w:t xml:space="preserve">. 72.424. C.P. Fernando </w:t>
            </w:r>
            <w:proofErr w:type="spellStart"/>
            <w:r w:rsidRPr="00526358">
              <w:rPr>
                <w:rFonts w:ascii="Verdana" w:eastAsia="Arial MT" w:hAnsi="Verdana" w:cs="Arial"/>
                <w:lang w:val="es-ES" w:eastAsia="es-ES" w:bidi="es-ES"/>
              </w:rPr>
              <w:t>Alexei</w:t>
            </w:r>
            <w:proofErr w:type="spellEnd"/>
            <w:r w:rsidRPr="00526358">
              <w:rPr>
                <w:rFonts w:ascii="Verdana" w:eastAsia="Arial MT" w:hAnsi="Verdana" w:cs="Arial"/>
                <w:lang w:val="es-ES" w:eastAsia="es-ES" w:bidi="es-ES"/>
              </w:rPr>
              <w:t xml:space="preserve"> Pardo Flórez. </w:t>
            </w:r>
          </w:p>
          <w:p w14:paraId="349D95C8" w14:textId="77777777" w:rsidR="000132FE" w:rsidRPr="00526358" w:rsidRDefault="000132FE" w:rsidP="002F6D1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526358">
              <w:rPr>
                <w:rFonts w:ascii="Verdana" w:eastAsia="Arial MT" w:hAnsi="Verdana" w:cs="Arial"/>
                <w:lang w:val="es-ES" w:eastAsia="es-ES" w:bidi="es-ES"/>
              </w:rPr>
              <w:t>Circular Externa No. 006 de 2025 expedida por la Agencia Nacional de Contratación Pública. Disponible en 006-de-2025-Circular-Externa-L996-ajustado-comentarios-BM-BID-Rev-ARSC-V3.d-1.pdf</w:t>
            </w:r>
            <w:r>
              <w:rPr>
                <w:rFonts w:ascii="Verdana" w:eastAsia="Arial MT" w:hAnsi="Verdana" w:cs="Arial"/>
                <w:lang w:val="es-ES" w:eastAsia="es-ES" w:bidi="es-ES"/>
              </w:rPr>
              <w:t xml:space="preserve">  </w:t>
            </w:r>
          </w:p>
        </w:tc>
      </w:tr>
    </w:tbl>
    <w:p w14:paraId="226AB0CA" w14:textId="77777777" w:rsidR="000132FE" w:rsidRPr="00B57A1B" w:rsidRDefault="000132FE" w:rsidP="000132FE">
      <w:pPr>
        <w:widowControl w:val="0"/>
        <w:autoSpaceDE w:val="0"/>
        <w:autoSpaceDN w:val="0"/>
        <w:spacing w:after="0" w:line="276" w:lineRule="auto"/>
        <w:jc w:val="both"/>
        <w:rPr>
          <w:rFonts w:ascii="Verdana" w:hAnsi="Verdana" w:cs="Arial"/>
        </w:rPr>
      </w:pPr>
    </w:p>
    <w:p w14:paraId="720D0926" w14:textId="77777777" w:rsidR="000132FE" w:rsidRPr="00B57A1B" w:rsidRDefault="000132FE" w:rsidP="000132F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7924F9DA" w14:textId="77777777" w:rsidR="000132FE" w:rsidRPr="00B57A1B" w:rsidRDefault="000132FE" w:rsidP="000132FE">
      <w:pPr>
        <w:widowControl w:val="0"/>
        <w:autoSpaceDE w:val="0"/>
        <w:autoSpaceDN w:val="0"/>
        <w:spacing w:after="0" w:line="276" w:lineRule="auto"/>
        <w:jc w:val="both"/>
        <w:rPr>
          <w:rFonts w:ascii="Verdana" w:hAnsi="Verdana" w:cs="Arial"/>
        </w:rPr>
      </w:pPr>
    </w:p>
    <w:p w14:paraId="1A921490" w14:textId="77777777" w:rsidR="000132FE" w:rsidRPr="007D6CC8" w:rsidRDefault="000132FE" w:rsidP="000132FE">
      <w:pPr>
        <w:widowControl w:val="0"/>
        <w:autoSpaceDE w:val="0"/>
        <w:autoSpaceDN w:val="0"/>
        <w:spacing w:after="0" w:line="276" w:lineRule="auto"/>
        <w:jc w:val="both"/>
        <w:rPr>
          <w:rFonts w:ascii="Verdana" w:hAnsi="Verdana" w:cs="Arial"/>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w:t>
      </w:r>
      <w:r w:rsidRPr="008C7DC3">
        <w:rPr>
          <w:rFonts w:ascii="Verdana" w:hAnsi="Verdana" w:cs="Arial"/>
          <w:shd w:val="clear" w:color="auto" w:fill="FFFFFF"/>
          <w:lang w:val="es-ES"/>
        </w:rPr>
        <w:t xml:space="preserve"> C-957 del 23 de agosto de 2025, C-975 del 28 de agosto de 2025, C-1015 del 4 de septiembre de 2025, C-1096 del 28 de agosto de 2025, C-1170 del 16 de septiembre de 2025, </w:t>
      </w:r>
      <w:r>
        <w:rPr>
          <w:rFonts w:ascii="Verdana" w:hAnsi="Verdana" w:cs="Arial"/>
          <w:shd w:val="clear" w:color="auto" w:fill="FFFFFF"/>
          <w:lang w:val="es-ES"/>
        </w:rPr>
        <w:t>C-1236 del 27 de octubre de 2025,</w:t>
      </w:r>
      <w:r w:rsidRPr="000F79CF">
        <w:rPr>
          <w:rFonts w:ascii="Verdana" w:hAnsi="Verdana" w:cs="Arial"/>
          <w:shd w:val="clear" w:color="auto" w:fill="FFFFFF"/>
        </w:rPr>
        <w:t xml:space="preserve"> entre otros. Sobre la aplicación de la Ley de garantías electorales en elecciones atípicas la Subdirección se refirió en los conceptos C-180 del 21 de marzo de 2025,</w:t>
      </w:r>
      <w:r>
        <w:rPr>
          <w:rFonts w:ascii="Verdana" w:hAnsi="Verdana" w:cs="Arial"/>
          <w:shd w:val="clear" w:color="auto" w:fill="FFFFFF"/>
        </w:rPr>
        <w:t xml:space="preserve"> C-317 del 25 de abril de 2025, </w:t>
      </w:r>
      <w:r w:rsidRPr="000F79CF">
        <w:rPr>
          <w:rFonts w:ascii="Verdana" w:hAnsi="Verdana" w:cs="Arial"/>
          <w:shd w:val="clear" w:color="auto" w:fill="FFFFFF"/>
        </w:rPr>
        <w:t>C-510 del 4 de junio de 2025</w:t>
      </w:r>
      <w:r>
        <w:rPr>
          <w:rFonts w:ascii="Verdana" w:hAnsi="Verdana" w:cs="Arial"/>
          <w:shd w:val="clear" w:color="auto" w:fill="FFFFFF"/>
        </w:rPr>
        <w:t>, C-1443 del 31 de octubre de 2025</w:t>
      </w:r>
      <w:r>
        <w:rPr>
          <w:rFonts w:ascii="Verdana" w:eastAsia="Times New Roman"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12B8F3B" w14:textId="77777777" w:rsidR="000132FE" w:rsidRPr="00185EE9" w:rsidRDefault="004C34E3" w:rsidP="000132FE">
      <w:pPr>
        <w:spacing w:after="0" w:line="256" w:lineRule="auto"/>
        <w:jc w:val="both"/>
        <w:rPr>
          <w:rFonts w:ascii="Verdana" w:eastAsia="Calibri" w:hAnsi="Verdana" w:cs="Times New Roman"/>
        </w:rPr>
      </w:pPr>
      <w:hyperlink r:id="rId12" w:history="1">
        <w:r w:rsidR="000132FE" w:rsidRPr="00F14AAD">
          <w:rPr>
            <w:rStyle w:val="Hipervnculo"/>
            <w:rFonts w:ascii="Verdana" w:eastAsia="Calibri" w:hAnsi="Verdana" w:cs="Times New Roman"/>
            <w:lang w:val="es-ES"/>
          </w:rPr>
          <w:t>https://relatoria.colombiacompra.gov.co/busqueda/conceptos</w:t>
        </w:r>
      </w:hyperlink>
      <w:r w:rsidR="000132FE" w:rsidRPr="00185EE9">
        <w:rPr>
          <w:rFonts w:ascii="Verdana" w:eastAsia="Calibri" w:hAnsi="Verdana" w:cs="Times New Roman"/>
        </w:rPr>
        <w:t xml:space="preserve">. </w:t>
      </w:r>
    </w:p>
    <w:p w14:paraId="2F22D01B" w14:textId="77777777" w:rsidR="000132FE" w:rsidRPr="00B57A1B" w:rsidRDefault="000132FE" w:rsidP="000132FE">
      <w:pPr>
        <w:spacing w:after="0"/>
        <w:jc w:val="both"/>
        <w:rPr>
          <w:rFonts w:ascii="Verdana" w:hAnsi="Verdana"/>
        </w:rPr>
      </w:pPr>
    </w:p>
    <w:p w14:paraId="65967772" w14:textId="77777777" w:rsidR="000132FE" w:rsidRPr="00B57A1B" w:rsidRDefault="000132FE" w:rsidP="000132FE">
      <w:pPr>
        <w:spacing w:after="0" w:line="256" w:lineRule="auto"/>
        <w:jc w:val="both"/>
        <w:rPr>
          <w:rFonts w:ascii="Verdana" w:eastAsia="Calibri" w:hAnsi="Verdana" w:cs="Times New Roman"/>
        </w:rPr>
      </w:pPr>
      <w:r w:rsidRPr="00B57A1B">
        <w:rPr>
          <w:rFonts w:ascii="Verdana" w:eastAsia="Calibri" w:hAnsi="Verdana" w:cs="Times New Roman"/>
        </w:rPr>
        <w:lastRenderedPageBreak/>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57A1B">
        <w:rPr>
          <w:rFonts w:ascii="Verdana" w:eastAsia="Calibri" w:hAnsi="Verdana" w:cs="Times New Roman"/>
        </w:rPr>
        <w:t>Wayúu</w:t>
      </w:r>
      <w:proofErr w:type="spellEnd"/>
      <w:r w:rsidRPr="00B57A1B">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58712FDF" w14:textId="77777777" w:rsidR="000132FE" w:rsidRPr="00B57A1B" w:rsidRDefault="000132FE" w:rsidP="000132FE">
      <w:pPr>
        <w:spacing w:after="0" w:line="240" w:lineRule="auto"/>
        <w:jc w:val="both"/>
        <w:rPr>
          <w:rFonts w:ascii="Verdana" w:hAnsi="Verdana"/>
        </w:rPr>
      </w:pPr>
    </w:p>
    <w:p w14:paraId="09466797" w14:textId="77777777" w:rsidR="000132FE" w:rsidRPr="00B57A1B" w:rsidRDefault="000132FE" w:rsidP="000132FE">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D00BCB5" w14:textId="77777777" w:rsidR="000132FE" w:rsidRPr="00B57A1B" w:rsidRDefault="000132FE" w:rsidP="000132FE">
      <w:pPr>
        <w:spacing w:after="0" w:line="256" w:lineRule="auto"/>
        <w:jc w:val="both"/>
        <w:rPr>
          <w:rFonts w:ascii="Verdana" w:eastAsia="Calibri" w:hAnsi="Verdana" w:cs="Times New Roman"/>
        </w:rPr>
      </w:pPr>
    </w:p>
    <w:p w14:paraId="50545614" w14:textId="77777777" w:rsidR="000132FE" w:rsidRPr="00B57A1B" w:rsidRDefault="000132FE" w:rsidP="000132FE">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484E4909" w14:textId="70EAAFF4" w:rsidR="000132FE" w:rsidRDefault="000132FE" w:rsidP="00646F74">
      <w:pPr>
        <w:spacing w:after="0" w:line="256" w:lineRule="auto"/>
        <w:rPr>
          <w:rFonts w:ascii="Century Gothic" w:hAnsi="Century Gothic"/>
          <w:noProof/>
          <w:lang w:val="en-US"/>
        </w:rPr>
      </w:pPr>
    </w:p>
    <w:p w14:paraId="1165A010" w14:textId="1BB6FEB2" w:rsidR="00646F74" w:rsidRPr="00646F74" w:rsidRDefault="00646F74" w:rsidP="00646F74">
      <w:pPr>
        <w:spacing w:after="0" w:line="256" w:lineRule="auto"/>
        <w:jc w:val="center"/>
        <w:rPr>
          <w:rFonts w:ascii="Verdana" w:eastAsia="Calibri" w:hAnsi="Verdana" w:cs="Times New Roman"/>
          <w:noProof/>
        </w:rPr>
      </w:pPr>
      <w:r>
        <w:rPr>
          <w:noProof/>
          <w:lang w:val="en-US"/>
        </w:rPr>
        <w:drawing>
          <wp:inline distT="0" distB="0" distL="0" distR="0" wp14:anchorId="453461D0" wp14:editId="07D936F5">
            <wp:extent cx="3252355" cy="1285189"/>
            <wp:effectExtent l="0" t="0" r="5715" b="0"/>
            <wp:docPr id="1" name="Imagen 1" descr="C:\Users\José Luis\OneDrive\Documentos\COLOMBIA COMPRA EFICIENTE\2025\REPARTO\C-800 PAGO DE LA SEGURIDAD SOCIAL- REFORMA PENSIONAL 14-07-2025\thumbnail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é Luis\OneDrive\Documentos\COLOMBIA COMPRA EFICIENTE\2025\REPARTO\C-800 PAGO DE LA SEGURIDAD SOCIAL- REFORMA PENSIONAL 14-07-2025\thumbnail_imag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27106" cy="1314727"/>
                    </a:xfrm>
                    <a:prstGeom prst="rect">
                      <a:avLst/>
                    </a:prstGeom>
                    <a:noFill/>
                    <a:ln>
                      <a:noFill/>
                    </a:ln>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0132FE" w:rsidRPr="00624164" w14:paraId="627FF176" w14:textId="77777777" w:rsidTr="002F6D1B">
        <w:trPr>
          <w:trHeight w:val="409"/>
        </w:trPr>
        <w:tc>
          <w:tcPr>
            <w:tcW w:w="817" w:type="dxa"/>
            <w:tcBorders>
              <w:top w:val="nil"/>
              <w:left w:val="nil"/>
              <w:bottom w:val="nil"/>
              <w:right w:val="nil"/>
            </w:tcBorders>
            <w:vAlign w:val="center"/>
            <w:hideMark/>
          </w:tcPr>
          <w:p w14:paraId="424E5982" w14:textId="77777777" w:rsidR="000132FE" w:rsidRPr="00624164" w:rsidRDefault="000132F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2CCB8FA" w14:textId="77777777" w:rsidR="000132FE" w:rsidRPr="00624164" w:rsidRDefault="000132F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José Luis Sánchez Cardona</w:t>
            </w:r>
          </w:p>
          <w:p w14:paraId="12E1261D" w14:textId="77777777" w:rsidR="000132FE" w:rsidRPr="00624164" w:rsidRDefault="000132F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Contratista de la Subdirección de Gestión Contractual</w:t>
            </w:r>
          </w:p>
        </w:tc>
      </w:tr>
      <w:tr w:rsidR="000132FE" w:rsidRPr="00624164" w14:paraId="1FF3D2A5" w14:textId="77777777" w:rsidTr="002F6D1B">
        <w:trPr>
          <w:trHeight w:val="409"/>
        </w:trPr>
        <w:tc>
          <w:tcPr>
            <w:tcW w:w="817" w:type="dxa"/>
            <w:tcBorders>
              <w:top w:val="nil"/>
              <w:left w:val="nil"/>
              <w:bottom w:val="nil"/>
              <w:right w:val="nil"/>
            </w:tcBorders>
            <w:vAlign w:val="center"/>
            <w:hideMark/>
          </w:tcPr>
          <w:p w14:paraId="615F2E48" w14:textId="77777777" w:rsidR="000132FE" w:rsidRPr="00624164" w:rsidRDefault="000132F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B7F6802" w14:textId="77777777" w:rsidR="000132FE" w:rsidRPr="00624164" w:rsidRDefault="000132F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Alejandro Sarmiento Cantillo</w:t>
            </w:r>
          </w:p>
          <w:p w14:paraId="01C5E521" w14:textId="77777777" w:rsidR="000132FE" w:rsidRPr="00624164" w:rsidRDefault="000132F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Gestor T1-15 de la Subdirección de Gestión Contractual </w:t>
            </w:r>
          </w:p>
        </w:tc>
      </w:tr>
      <w:tr w:rsidR="000132FE" w:rsidRPr="00624164" w14:paraId="70765B76" w14:textId="77777777" w:rsidTr="002F6D1B">
        <w:trPr>
          <w:trHeight w:val="389"/>
        </w:trPr>
        <w:tc>
          <w:tcPr>
            <w:tcW w:w="817" w:type="dxa"/>
            <w:tcBorders>
              <w:top w:val="nil"/>
              <w:left w:val="nil"/>
              <w:bottom w:val="nil"/>
              <w:right w:val="nil"/>
            </w:tcBorders>
            <w:vAlign w:val="center"/>
            <w:hideMark/>
          </w:tcPr>
          <w:p w14:paraId="67E4CB80" w14:textId="77777777" w:rsidR="000132FE" w:rsidRPr="00624164" w:rsidRDefault="000132F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F5FC9E3" w14:textId="77777777" w:rsidR="000132FE" w:rsidRPr="00624164" w:rsidRDefault="000132F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Ana María Tolosa Rico</w:t>
            </w:r>
          </w:p>
          <w:p w14:paraId="28D0E1E2" w14:textId="77777777" w:rsidR="000132FE" w:rsidRPr="00624164" w:rsidRDefault="000132FE" w:rsidP="002F6D1B">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 xml:space="preserve">Subdirectora de Gestión Contractual </w:t>
            </w:r>
            <w:r>
              <w:rPr>
                <w:rFonts w:ascii="Verdana" w:eastAsia="Calibri" w:hAnsi="Verdana" w:cs="Times New Roman"/>
                <w:sz w:val="16"/>
                <w:szCs w:val="16"/>
              </w:rPr>
              <w:t>(</w:t>
            </w:r>
            <w:r w:rsidRPr="00624164">
              <w:rPr>
                <w:rFonts w:ascii="Verdana" w:eastAsia="Calibri" w:hAnsi="Verdana" w:cs="Times New Roman"/>
                <w:sz w:val="16"/>
                <w:szCs w:val="16"/>
              </w:rPr>
              <w:t>E) ANC</w:t>
            </w:r>
            <w:r>
              <w:rPr>
                <w:rFonts w:ascii="Verdana" w:eastAsia="Calibri" w:hAnsi="Verdana" w:cs="Times New Roman"/>
                <w:sz w:val="16"/>
                <w:szCs w:val="16"/>
              </w:rPr>
              <w:t>P</w:t>
            </w:r>
            <w:r w:rsidRPr="00624164">
              <w:rPr>
                <w:rFonts w:ascii="Verdana" w:eastAsia="Calibri" w:hAnsi="Verdana" w:cs="Times New Roman"/>
                <w:sz w:val="16"/>
                <w:szCs w:val="16"/>
              </w:rPr>
              <w:t xml:space="preserve"> – CCE </w:t>
            </w:r>
          </w:p>
        </w:tc>
      </w:tr>
    </w:tbl>
    <w:p w14:paraId="079FBF32" w14:textId="77777777" w:rsidR="000132FE" w:rsidRDefault="000132FE" w:rsidP="000132FE">
      <w:pPr>
        <w:spacing w:after="0" w:line="256" w:lineRule="auto"/>
        <w:jc w:val="both"/>
        <w:rPr>
          <w:rFonts w:ascii="Verdana" w:hAnsi="Verdana"/>
        </w:rPr>
      </w:pPr>
    </w:p>
    <w:p w14:paraId="1676A86C" w14:textId="77777777" w:rsidR="000132FE" w:rsidRPr="0024624F" w:rsidRDefault="000132FE" w:rsidP="000132FE">
      <w:pPr>
        <w:spacing w:after="0"/>
        <w:rPr>
          <w:rFonts w:ascii="Verdana" w:hAnsi="Verdana"/>
        </w:rPr>
      </w:pPr>
    </w:p>
    <w:p w14:paraId="5D64733D" w14:textId="513F5845" w:rsidR="007A1830" w:rsidRPr="000132FE" w:rsidRDefault="007A1830" w:rsidP="000132FE"/>
    <w:sectPr w:rsidR="007A1830" w:rsidRPr="000132FE"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3C821" w14:textId="77777777" w:rsidR="00E61705" w:rsidRDefault="00E61705" w:rsidP="004A1847">
      <w:pPr>
        <w:spacing w:after="0" w:line="240" w:lineRule="auto"/>
      </w:pPr>
      <w:r>
        <w:separator/>
      </w:r>
    </w:p>
  </w:endnote>
  <w:endnote w:type="continuationSeparator" w:id="0">
    <w:p w14:paraId="20A95BAD" w14:textId="77777777" w:rsidR="00E61705" w:rsidRDefault="00E6170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00EEBCF9"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646F74" w:rsidRPr="00646F74">
      <w:rPr>
        <w:rFonts w:ascii="Verdana" w:eastAsiaTheme="minorEastAsia" w:hAnsi="Verdana"/>
        <w:b/>
        <w:bCs/>
        <w:noProof/>
        <w:sz w:val="16"/>
        <w:szCs w:val="16"/>
      </w:rPr>
      <w:t>25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FEF318" w14:textId="77777777" w:rsidR="00E61705" w:rsidRDefault="00E61705" w:rsidP="004A1847">
      <w:pPr>
        <w:spacing w:after="0" w:line="240" w:lineRule="auto"/>
      </w:pPr>
      <w:r>
        <w:separator/>
      </w:r>
    </w:p>
  </w:footnote>
  <w:footnote w:type="continuationSeparator" w:id="0">
    <w:p w14:paraId="4B69E8C7" w14:textId="77777777" w:rsidR="00E61705" w:rsidRDefault="00E61705" w:rsidP="004A1847">
      <w:pPr>
        <w:spacing w:after="0" w:line="240" w:lineRule="auto"/>
      </w:pPr>
      <w:r>
        <w:continuationSeparator/>
      </w:r>
    </w:p>
  </w:footnote>
  <w:footnote w:id="1">
    <w:p w14:paraId="047CF856" w14:textId="77777777" w:rsidR="000132FE" w:rsidRPr="00897C82" w:rsidRDefault="000132FE" w:rsidP="000132FE">
      <w:pPr>
        <w:pStyle w:val="Textonotapie"/>
        <w:ind w:firstLine="709"/>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94FBE01" w14:textId="77777777" w:rsidR="000132FE" w:rsidRPr="00897C82" w:rsidRDefault="000132FE" w:rsidP="000132FE">
      <w:pPr>
        <w:pStyle w:val="Textonotapie"/>
        <w:ind w:firstLine="709"/>
        <w:jc w:val="both"/>
        <w:rPr>
          <w:rFonts w:ascii="Verdana" w:hAnsi="Verdana" w:cs="Arial"/>
          <w:sz w:val="16"/>
          <w:szCs w:val="16"/>
        </w:rPr>
      </w:pPr>
      <w:r w:rsidRPr="00897C82">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13390023" w14:textId="77777777" w:rsidR="000132FE" w:rsidRPr="00897C82" w:rsidRDefault="000132FE" w:rsidP="000132FE">
      <w:pPr>
        <w:pStyle w:val="Textonotapie"/>
        <w:ind w:firstLine="709"/>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Gaceta del Congreso de la República No. 71 del 2005.</w:t>
      </w:r>
    </w:p>
    <w:p w14:paraId="0CC6F50B" w14:textId="77777777" w:rsidR="000132FE" w:rsidRPr="00897C82" w:rsidRDefault="000132FE" w:rsidP="000132FE">
      <w:pPr>
        <w:pStyle w:val="Textonotapie"/>
        <w:ind w:firstLine="709"/>
        <w:jc w:val="both"/>
        <w:rPr>
          <w:rFonts w:ascii="Verdana" w:hAnsi="Verdana" w:cs="Arial"/>
          <w:sz w:val="16"/>
          <w:szCs w:val="16"/>
        </w:rPr>
      </w:pPr>
    </w:p>
  </w:footnote>
  <w:footnote w:id="3">
    <w:p w14:paraId="47B34E8F" w14:textId="77777777" w:rsidR="000132FE" w:rsidRPr="00897C82" w:rsidRDefault="000132FE" w:rsidP="000132FE">
      <w:pPr>
        <w:pStyle w:val="Textonotapie"/>
        <w:ind w:firstLine="709"/>
        <w:jc w:val="both"/>
        <w:rPr>
          <w:rFonts w:ascii="Verdana" w:hAnsi="Verdana" w:cs="Arial"/>
          <w:sz w:val="16"/>
          <w:szCs w:val="16"/>
          <w:lang w:val="pt-BR"/>
        </w:rPr>
      </w:pPr>
      <w:r w:rsidRPr="00897C82">
        <w:rPr>
          <w:rStyle w:val="Refdenotaalpie"/>
          <w:rFonts w:ascii="Verdana" w:hAnsi="Verdana" w:cs="Arial"/>
          <w:sz w:val="16"/>
          <w:szCs w:val="16"/>
        </w:rPr>
        <w:footnoteRef/>
      </w:r>
      <w:r w:rsidRPr="00897C82">
        <w:rPr>
          <w:rFonts w:ascii="Verdana" w:hAnsi="Verdana" w:cs="Arial"/>
          <w:sz w:val="16"/>
          <w:szCs w:val="16"/>
          <w:lang w:val="pt-BR"/>
        </w:rPr>
        <w:t xml:space="preserve"> Corte Constitucional, Sentencia C- 1153 de 2005, M.P. Marco Gerardo </w:t>
      </w:r>
      <w:proofErr w:type="spellStart"/>
      <w:r w:rsidRPr="00897C82">
        <w:rPr>
          <w:rFonts w:ascii="Verdana" w:hAnsi="Verdana" w:cs="Arial"/>
          <w:sz w:val="16"/>
          <w:szCs w:val="16"/>
          <w:lang w:val="pt-BR"/>
        </w:rPr>
        <w:t>Monroy</w:t>
      </w:r>
      <w:proofErr w:type="spellEnd"/>
      <w:r w:rsidRPr="00897C82">
        <w:rPr>
          <w:rFonts w:ascii="Verdana" w:hAnsi="Verdana" w:cs="Arial"/>
          <w:sz w:val="16"/>
          <w:szCs w:val="16"/>
          <w:lang w:val="pt-BR"/>
        </w:rPr>
        <w:t xml:space="preserve"> Cabra.</w:t>
      </w:r>
    </w:p>
  </w:footnote>
  <w:footnote w:id="4">
    <w:p w14:paraId="44D99A31" w14:textId="77777777" w:rsidR="000132FE" w:rsidRPr="00897C82" w:rsidRDefault="000132FE" w:rsidP="000132FE">
      <w:pPr>
        <w:pStyle w:val="Textonotapie"/>
        <w:ind w:firstLine="709"/>
        <w:jc w:val="both"/>
        <w:rPr>
          <w:rFonts w:ascii="Verdana" w:hAnsi="Verdana" w:cs="Arial"/>
          <w:sz w:val="16"/>
          <w:szCs w:val="16"/>
          <w:lang w:val="pt-BR"/>
        </w:rPr>
      </w:pPr>
      <w:r w:rsidRPr="00897C82">
        <w:rPr>
          <w:rStyle w:val="Refdenotaalpie"/>
          <w:rFonts w:ascii="Verdana" w:hAnsi="Verdana" w:cs="Arial"/>
          <w:sz w:val="16"/>
          <w:szCs w:val="16"/>
        </w:rPr>
        <w:footnoteRef/>
      </w:r>
      <w:r w:rsidRPr="00897C82">
        <w:rPr>
          <w:rFonts w:ascii="Verdana" w:hAnsi="Verdana" w:cs="Arial"/>
          <w:sz w:val="16"/>
          <w:szCs w:val="16"/>
          <w:lang w:val="pt-BR"/>
        </w:rPr>
        <w:t xml:space="preserve"> Corte Constitucional. Sentencias: C-233 de 4 de abril de 2002, expediente: D-3704; C-551 de 9 de </w:t>
      </w:r>
      <w:proofErr w:type="spellStart"/>
      <w:r w:rsidRPr="00897C82">
        <w:rPr>
          <w:rFonts w:ascii="Verdana" w:hAnsi="Verdana" w:cs="Arial"/>
          <w:sz w:val="16"/>
          <w:szCs w:val="16"/>
          <w:lang w:val="pt-BR"/>
        </w:rPr>
        <w:t>julio</w:t>
      </w:r>
      <w:proofErr w:type="spellEnd"/>
      <w:r w:rsidRPr="00897C82">
        <w:rPr>
          <w:rFonts w:ascii="Verdana" w:hAnsi="Verdana" w:cs="Arial"/>
          <w:sz w:val="16"/>
          <w:szCs w:val="16"/>
          <w:lang w:val="pt-BR"/>
        </w:rPr>
        <w:t xml:space="preserve"> de 2003, expediente: CRF-001 de 9 de </w:t>
      </w:r>
      <w:proofErr w:type="spellStart"/>
      <w:r w:rsidRPr="00897C82">
        <w:rPr>
          <w:rFonts w:ascii="Verdana" w:hAnsi="Verdana" w:cs="Arial"/>
          <w:sz w:val="16"/>
          <w:szCs w:val="16"/>
          <w:lang w:val="pt-BR"/>
        </w:rPr>
        <w:t>julio</w:t>
      </w:r>
      <w:proofErr w:type="spellEnd"/>
      <w:r w:rsidRPr="00897C82">
        <w:rPr>
          <w:rFonts w:ascii="Verdana" w:hAnsi="Verdana" w:cs="Arial"/>
          <w:sz w:val="16"/>
          <w:szCs w:val="16"/>
          <w:lang w:val="pt-BR"/>
        </w:rPr>
        <w:t xml:space="preserve"> de 2003; C-652 de 5 de agosto de 2003, expediente: D-4330; C-353 de 20 de </w:t>
      </w:r>
      <w:proofErr w:type="spellStart"/>
      <w:r w:rsidRPr="00897C82">
        <w:rPr>
          <w:rFonts w:ascii="Verdana" w:hAnsi="Verdana" w:cs="Arial"/>
          <w:sz w:val="16"/>
          <w:szCs w:val="16"/>
          <w:lang w:val="pt-BR"/>
        </w:rPr>
        <w:t>mayo</w:t>
      </w:r>
      <w:proofErr w:type="spellEnd"/>
      <w:r w:rsidRPr="00897C82">
        <w:rPr>
          <w:rFonts w:ascii="Verdana" w:hAnsi="Verdana" w:cs="Arial"/>
          <w:sz w:val="16"/>
          <w:szCs w:val="16"/>
          <w:lang w:val="pt-BR"/>
        </w:rPr>
        <w:t xml:space="preserve"> de 2009, expediente: D-7518, C-541 de 30 de </w:t>
      </w:r>
      <w:proofErr w:type="spellStart"/>
      <w:r w:rsidRPr="00897C82">
        <w:rPr>
          <w:rFonts w:ascii="Verdana" w:hAnsi="Verdana" w:cs="Arial"/>
          <w:sz w:val="16"/>
          <w:szCs w:val="16"/>
          <w:lang w:val="pt-BR"/>
        </w:rPr>
        <w:t>junio</w:t>
      </w:r>
      <w:proofErr w:type="spellEnd"/>
      <w:r w:rsidRPr="00897C82">
        <w:rPr>
          <w:rFonts w:ascii="Verdana" w:hAnsi="Verdana" w:cs="Arial"/>
          <w:sz w:val="16"/>
          <w:szCs w:val="16"/>
          <w:lang w:val="pt-BR"/>
        </w:rPr>
        <w:t xml:space="preserve"> de 2010, expediente: DD7966; entre </w:t>
      </w:r>
      <w:proofErr w:type="spellStart"/>
      <w:r w:rsidRPr="00897C82">
        <w:rPr>
          <w:rFonts w:ascii="Verdana" w:hAnsi="Verdana" w:cs="Arial"/>
          <w:sz w:val="16"/>
          <w:szCs w:val="16"/>
          <w:lang w:val="pt-BR"/>
        </w:rPr>
        <w:t>otras</w:t>
      </w:r>
      <w:proofErr w:type="spellEnd"/>
      <w:r w:rsidRPr="00897C82">
        <w:rPr>
          <w:rFonts w:ascii="Verdana" w:hAnsi="Verdana" w:cs="Arial"/>
          <w:sz w:val="16"/>
          <w:szCs w:val="16"/>
          <w:lang w:val="pt-BR"/>
        </w:rPr>
        <w:t>.</w:t>
      </w:r>
    </w:p>
  </w:footnote>
  <w:footnote w:id="5">
    <w:p w14:paraId="6AFD2643" w14:textId="77777777" w:rsidR="000132FE" w:rsidRPr="00897C82" w:rsidRDefault="000132FE" w:rsidP="000132FE">
      <w:pPr>
        <w:pStyle w:val="Textonotapie"/>
        <w:ind w:firstLine="709"/>
        <w:jc w:val="both"/>
        <w:rPr>
          <w:rFonts w:ascii="Verdana" w:hAnsi="Verdana" w:cs="Arial"/>
          <w:sz w:val="16"/>
          <w:szCs w:val="16"/>
          <w:lang w:val="es-CO"/>
        </w:rPr>
      </w:pPr>
      <w:r w:rsidRPr="00897C82">
        <w:rPr>
          <w:rStyle w:val="Refdenotaalpie"/>
          <w:rFonts w:ascii="Verdana" w:hAnsi="Verdana" w:cs="Arial"/>
          <w:sz w:val="16"/>
          <w:szCs w:val="16"/>
        </w:rPr>
        <w:footnoteRef/>
      </w:r>
      <w:r w:rsidRPr="00897C82">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CB1B7BA" w14:textId="77777777" w:rsidR="000132FE" w:rsidRPr="00897C82" w:rsidRDefault="000132FE" w:rsidP="000132FE">
      <w:pPr>
        <w:pStyle w:val="Textonotapie"/>
        <w:ind w:firstLine="709"/>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Consejo de Estado, Sala de Consulta y Servicio Civil de fecha 24 de julio de 2013, Rad. 2166, C. P. Álvaro </w:t>
      </w:r>
      <w:proofErr w:type="spellStart"/>
      <w:r w:rsidRPr="00897C82">
        <w:rPr>
          <w:rFonts w:ascii="Verdana" w:hAnsi="Verdana" w:cs="Arial"/>
          <w:sz w:val="16"/>
          <w:szCs w:val="16"/>
        </w:rPr>
        <w:t>Namén</w:t>
      </w:r>
      <w:proofErr w:type="spellEnd"/>
      <w:r w:rsidRPr="00897C82">
        <w:rPr>
          <w:rFonts w:ascii="Verdana" w:hAnsi="Verdana" w:cs="Arial"/>
          <w:sz w:val="16"/>
          <w:szCs w:val="16"/>
        </w:rPr>
        <w:t xml:space="preserve"> Vargas.  </w:t>
      </w:r>
    </w:p>
  </w:footnote>
  <w:footnote w:id="7">
    <w:p w14:paraId="18E216E4" w14:textId="77777777" w:rsidR="000132FE" w:rsidRPr="00897C82" w:rsidRDefault="000132FE" w:rsidP="000132FE">
      <w:pPr>
        <w:spacing w:after="0" w:line="240" w:lineRule="auto"/>
        <w:ind w:firstLine="709"/>
        <w:jc w:val="both"/>
        <w:rPr>
          <w:rFonts w:ascii="Verdana" w:eastAsia="Times New Roman"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w:t>
      </w:r>
      <w:r w:rsidRPr="00897C82">
        <w:rPr>
          <w:rFonts w:ascii="Verdana" w:eastAsia="Calibri" w:hAnsi="Verdana" w:cs="Arial"/>
          <w:color w:val="000000"/>
          <w:sz w:val="16"/>
          <w:szCs w:val="16"/>
        </w:rPr>
        <w:t>“</w:t>
      </w:r>
      <w:r w:rsidRPr="00897C82">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494E4C6" w14:textId="77777777" w:rsidR="000132FE" w:rsidRPr="00897C82" w:rsidRDefault="000132FE" w:rsidP="000132FE">
      <w:pPr>
        <w:spacing w:after="0" w:line="240" w:lineRule="auto"/>
        <w:ind w:firstLine="709"/>
        <w:jc w:val="both"/>
        <w:rPr>
          <w:rFonts w:ascii="Verdana" w:eastAsia="Times New Roman" w:hAnsi="Verdana" w:cs="Arial"/>
          <w:sz w:val="16"/>
          <w:szCs w:val="16"/>
        </w:rPr>
      </w:pPr>
      <w:r w:rsidRPr="00897C82">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97C82">
        <w:rPr>
          <w:rFonts w:ascii="Verdana" w:eastAsia="Calibri" w:hAnsi="Verdana" w:cs="Arial"/>
          <w:color w:val="000000"/>
          <w:sz w:val="16"/>
          <w:szCs w:val="16"/>
        </w:rPr>
        <w:t>”</w:t>
      </w:r>
      <w:r w:rsidRPr="00897C82">
        <w:rPr>
          <w:rFonts w:ascii="Verdana" w:eastAsia="Times New Roman" w:hAnsi="Verdana" w:cs="Arial"/>
          <w:sz w:val="16"/>
          <w:szCs w:val="16"/>
        </w:rPr>
        <w:t>.</w:t>
      </w:r>
    </w:p>
    <w:p w14:paraId="4F193F65" w14:textId="77777777" w:rsidR="000132FE" w:rsidRPr="00897C82" w:rsidRDefault="000132FE" w:rsidP="000132FE">
      <w:pPr>
        <w:spacing w:after="0" w:line="240" w:lineRule="auto"/>
        <w:ind w:firstLine="709"/>
        <w:jc w:val="both"/>
        <w:rPr>
          <w:rFonts w:ascii="Verdana" w:eastAsia="Times New Roman" w:hAnsi="Verdana" w:cs="Arial"/>
          <w:sz w:val="16"/>
          <w:szCs w:val="16"/>
        </w:rPr>
      </w:pPr>
    </w:p>
  </w:footnote>
  <w:footnote w:id="8">
    <w:p w14:paraId="16A1D9C4" w14:textId="77777777" w:rsidR="000132FE" w:rsidRPr="00897C82" w:rsidRDefault="000132FE" w:rsidP="000132FE">
      <w:pPr>
        <w:pStyle w:val="NormalWeb"/>
        <w:spacing w:before="0" w:beforeAutospacing="0" w:after="0" w:afterAutospacing="0"/>
        <w:ind w:firstLine="709"/>
        <w:jc w:val="both"/>
        <w:rPr>
          <w:rFonts w:ascii="Verdana" w:hAnsi="Verdana" w:cs="Arial"/>
          <w:sz w:val="16"/>
          <w:szCs w:val="16"/>
          <w:lang w:val="es-MX"/>
        </w:rPr>
      </w:pPr>
      <w:r w:rsidRPr="00897C82">
        <w:rPr>
          <w:rStyle w:val="Refdenotaalpie"/>
          <w:rFonts w:ascii="Verdana" w:hAnsi="Verdana" w:cs="Arial"/>
          <w:sz w:val="16"/>
          <w:szCs w:val="16"/>
        </w:rPr>
        <w:footnoteRef/>
      </w:r>
      <w:r w:rsidRPr="00897C82">
        <w:rPr>
          <w:rFonts w:ascii="Verdana" w:hAnsi="Verdana" w:cs="Arial"/>
          <w:sz w:val="16"/>
          <w:szCs w:val="16"/>
        </w:rPr>
        <w:t xml:space="preserve"> </w:t>
      </w:r>
      <w:r w:rsidRPr="00897C82">
        <w:rPr>
          <w:rFonts w:ascii="Verdana" w:eastAsia="Calibri" w:hAnsi="Verdana" w:cs="Arial"/>
          <w:color w:val="000000"/>
          <w:sz w:val="16"/>
          <w:szCs w:val="16"/>
        </w:rPr>
        <w:t>“</w:t>
      </w:r>
      <w:r w:rsidRPr="00897C82">
        <w:rPr>
          <w:rFonts w:ascii="Verdana" w:hAnsi="Verdana" w:cs="Arial"/>
          <w:sz w:val="16"/>
          <w:szCs w:val="16"/>
          <w:lang w:val="es-MX"/>
        </w:rPr>
        <w:t>Artículo 38. Prohibiciones para los servidores públicos. A los empleados del Estado les está prohibido: […]</w:t>
      </w:r>
    </w:p>
    <w:p w14:paraId="5A2BE009" w14:textId="77777777" w:rsidR="000132FE" w:rsidRPr="00897C82" w:rsidRDefault="000132FE" w:rsidP="000132FE">
      <w:pPr>
        <w:pStyle w:val="NormalWeb"/>
        <w:spacing w:before="0" w:beforeAutospacing="0" w:after="0" w:afterAutospacing="0"/>
        <w:ind w:firstLine="709"/>
        <w:jc w:val="both"/>
        <w:rPr>
          <w:rFonts w:ascii="Verdana" w:hAnsi="Verdana" w:cs="Arial"/>
          <w:sz w:val="16"/>
          <w:szCs w:val="16"/>
          <w:lang w:val="es-MX"/>
        </w:rPr>
      </w:pPr>
      <w:r w:rsidRPr="00897C82">
        <w:rPr>
          <w:rStyle w:val="baj"/>
          <w:rFonts w:ascii="Verdana" w:hAnsi="Verdana" w:cs="Arial"/>
          <w:sz w:val="16"/>
          <w:szCs w:val="16"/>
          <w:lang w:val="es-MX"/>
        </w:rPr>
        <w:t>Parágrafo.</w:t>
      </w:r>
      <w:r w:rsidRPr="00897C82">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97C82">
        <w:rPr>
          <w:rFonts w:ascii="Verdana" w:eastAsia="Calibri" w:hAnsi="Verdana" w:cs="Arial"/>
          <w:color w:val="000000"/>
          <w:sz w:val="16"/>
          <w:szCs w:val="16"/>
        </w:rPr>
        <w:t>”</w:t>
      </w:r>
      <w:r w:rsidRPr="00897C82">
        <w:rPr>
          <w:rFonts w:ascii="Verdana" w:hAnsi="Verdana" w:cs="Arial"/>
          <w:sz w:val="16"/>
          <w:szCs w:val="16"/>
          <w:lang w:val="es-MX"/>
        </w:rPr>
        <w:t>.</w:t>
      </w:r>
    </w:p>
  </w:footnote>
  <w:footnote w:id="9">
    <w:p w14:paraId="603E9D13" w14:textId="77777777" w:rsidR="000132FE" w:rsidRPr="00897C82" w:rsidRDefault="000132FE" w:rsidP="000132FE">
      <w:pPr>
        <w:pStyle w:val="Textonotapie"/>
        <w:ind w:firstLine="708"/>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Colombia Compra Eficiente. Circular Externa Única. Numeral 16.5. </w:t>
      </w:r>
    </w:p>
  </w:footnote>
  <w:footnote w:id="10">
    <w:p w14:paraId="5D1CB9A4" w14:textId="77777777" w:rsidR="000132FE" w:rsidRPr="00897C82" w:rsidRDefault="000132FE" w:rsidP="000132FE">
      <w:pPr>
        <w:spacing w:after="0" w:line="240" w:lineRule="auto"/>
        <w:ind w:left="100" w:right="244" w:firstLine="709"/>
        <w:jc w:val="both"/>
        <w:rPr>
          <w:rFonts w:ascii="Verdana" w:hAnsi="Verdana" w:cs="Arial"/>
          <w:sz w:val="16"/>
          <w:szCs w:val="16"/>
          <w:lang w:val="es-ES"/>
        </w:rPr>
      </w:pPr>
      <w:r w:rsidRPr="00897C82">
        <w:rPr>
          <w:rStyle w:val="Refdenotaalpie"/>
          <w:rFonts w:ascii="Verdana" w:hAnsi="Verdana" w:cs="Arial"/>
          <w:sz w:val="16"/>
          <w:szCs w:val="16"/>
        </w:rPr>
        <w:footnoteRef/>
      </w:r>
      <w:r w:rsidRPr="00897C82">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320ABD51" w14:textId="77777777" w:rsidR="000132FE" w:rsidRDefault="000132FE" w:rsidP="000132FE">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Es lo que sucede, por ejemplo, con el Decreto 092 de 2017, que en su desarrollo hace referencia tanto a los “contratos” como a los “convenios”. </w:t>
      </w:r>
    </w:p>
    <w:p w14:paraId="610DA61D" w14:textId="77777777" w:rsidR="000132FE" w:rsidRPr="00FA6811" w:rsidRDefault="000132FE" w:rsidP="000132FE">
      <w:pPr>
        <w:pStyle w:val="Textonotapie"/>
        <w:ind w:firstLine="709"/>
        <w:contextualSpacing/>
        <w:jc w:val="both"/>
        <w:rPr>
          <w:rFonts w:ascii="Verdana" w:hAnsi="Verdana" w:cs="Arial"/>
          <w:sz w:val="16"/>
          <w:szCs w:val="16"/>
        </w:rPr>
      </w:pPr>
    </w:p>
  </w:footnote>
  <w:footnote w:id="12">
    <w:p w14:paraId="63AA90A2" w14:textId="77777777" w:rsidR="000132FE" w:rsidRPr="00B80F4D" w:rsidRDefault="000132FE" w:rsidP="000132FE">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FA6811">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B80F4D">
        <w:rPr>
          <w:rFonts w:ascii="Verdana" w:hAnsi="Verdana" w:cs="Arial"/>
          <w:sz w:val="16"/>
          <w:szCs w:val="16"/>
          <w:lang w:val="pt-BR"/>
        </w:rPr>
        <w:t>(Corte Constitucional. Sentencia C-671 de 2015. M.P</w:t>
      </w:r>
      <w:r>
        <w:rPr>
          <w:rFonts w:ascii="Verdana" w:hAnsi="Verdana" w:cs="Arial"/>
          <w:sz w:val="16"/>
          <w:szCs w:val="16"/>
          <w:lang w:val="pt-BR"/>
        </w:rPr>
        <w:t>:</w:t>
      </w:r>
      <w:r w:rsidRPr="00B80F4D">
        <w:rPr>
          <w:rFonts w:ascii="Verdana" w:hAnsi="Verdana" w:cs="Arial"/>
          <w:sz w:val="16"/>
          <w:szCs w:val="16"/>
          <w:lang w:val="pt-BR"/>
        </w:rPr>
        <w:t xml:space="preserve"> Alberto Rojas Ríos).</w:t>
      </w:r>
    </w:p>
  </w:footnote>
  <w:footnote w:id="13">
    <w:p w14:paraId="217B787C" w14:textId="77777777" w:rsidR="000132FE" w:rsidRPr="0067777A" w:rsidRDefault="000132FE" w:rsidP="000132FE">
      <w:pPr>
        <w:pStyle w:val="Textonotapie"/>
        <w:ind w:firstLine="709"/>
        <w:contextualSpacing/>
        <w:rPr>
          <w:rFonts w:ascii="Verdana" w:hAnsi="Verdana"/>
          <w:sz w:val="16"/>
          <w:szCs w:val="16"/>
          <w:lang w:val="pt-BR"/>
        </w:rPr>
      </w:pPr>
      <w:r w:rsidRPr="0067777A">
        <w:rPr>
          <w:rStyle w:val="Refdenotaalpie"/>
          <w:rFonts w:ascii="Verdana" w:hAnsi="Verdana"/>
          <w:sz w:val="16"/>
          <w:szCs w:val="16"/>
        </w:rPr>
        <w:footnoteRef/>
      </w:r>
      <w:r w:rsidRPr="0067777A">
        <w:rPr>
          <w:rFonts w:ascii="Verdana" w:hAnsi="Verdana"/>
          <w:sz w:val="16"/>
          <w:szCs w:val="16"/>
          <w:lang w:val="pt-BR"/>
        </w:rPr>
        <w:t xml:space="preserve"> </w:t>
      </w:r>
      <w:r w:rsidRPr="0069134B">
        <w:rPr>
          <w:rFonts w:ascii="Verdana" w:hAnsi="Verdana" w:cs="Arial"/>
          <w:sz w:val="16"/>
          <w:szCs w:val="16"/>
          <w:lang w:val="es-CO"/>
        </w:rPr>
        <w:t>Consejo de Estado</w:t>
      </w:r>
      <w:r>
        <w:rPr>
          <w:rFonts w:ascii="Verdana" w:hAnsi="Verdana" w:cs="Arial"/>
          <w:sz w:val="16"/>
          <w:szCs w:val="16"/>
          <w:lang w:val="es-CO"/>
        </w:rPr>
        <w:t xml:space="preserve">. </w:t>
      </w:r>
      <w:r w:rsidRPr="0069134B">
        <w:rPr>
          <w:rFonts w:ascii="Verdana" w:hAnsi="Verdana" w:cs="Arial"/>
          <w:sz w:val="16"/>
          <w:szCs w:val="16"/>
          <w:lang w:val="es-CO"/>
        </w:rPr>
        <w:t>Sección Tercera</w:t>
      </w:r>
      <w:r>
        <w:rPr>
          <w:rFonts w:ascii="Verdana" w:hAnsi="Verdana" w:cs="Arial"/>
          <w:sz w:val="16"/>
          <w:szCs w:val="16"/>
          <w:lang w:val="es-CO"/>
        </w:rPr>
        <w:t>, Subsección B</w:t>
      </w:r>
      <w:r w:rsidRPr="0069134B">
        <w:rPr>
          <w:rFonts w:ascii="Verdana" w:hAnsi="Verdana" w:cs="Arial"/>
          <w:sz w:val="16"/>
          <w:szCs w:val="16"/>
          <w:lang w:val="es-CO"/>
        </w:rPr>
        <w:t xml:space="preserve">. Auto del 4 de octubre de 2024. </w:t>
      </w:r>
      <w:proofErr w:type="spellStart"/>
      <w:r w:rsidRPr="0069134B">
        <w:rPr>
          <w:rFonts w:ascii="Verdana" w:hAnsi="Verdana" w:cs="Arial"/>
          <w:sz w:val="16"/>
          <w:szCs w:val="16"/>
          <w:lang w:val="es-CO"/>
        </w:rPr>
        <w:t>Exp</w:t>
      </w:r>
      <w:proofErr w:type="spellEnd"/>
      <w:r w:rsidRPr="0069134B">
        <w:rPr>
          <w:rFonts w:ascii="Verdana" w:hAnsi="Verdana" w:cs="Arial"/>
          <w:sz w:val="16"/>
          <w:szCs w:val="16"/>
          <w:lang w:val="es-CO"/>
        </w:rPr>
        <w:t>. 70.313. C.P: Fredy Ibarra Martínez</w:t>
      </w:r>
      <w:r>
        <w:rPr>
          <w:rFonts w:ascii="Verdana" w:hAnsi="Verdana" w:cs="Arial"/>
          <w:sz w:val="16"/>
          <w:szCs w:val="16"/>
          <w:lang w:val="es-CO"/>
        </w:rPr>
        <w:t>.</w:t>
      </w:r>
    </w:p>
  </w:footnote>
  <w:footnote w:id="14">
    <w:p w14:paraId="18C9FA87" w14:textId="77777777" w:rsidR="000132FE" w:rsidRPr="00841A33" w:rsidRDefault="000132FE" w:rsidP="000132FE">
      <w:pPr>
        <w:pStyle w:val="Textonotapie"/>
        <w:ind w:firstLine="708"/>
        <w:jc w:val="both"/>
        <w:rPr>
          <w:rFonts w:ascii="Verdana" w:hAnsi="Verdana"/>
          <w:sz w:val="16"/>
          <w:szCs w:val="16"/>
          <w:lang w:val="es-ES"/>
        </w:rPr>
      </w:pPr>
      <w:r w:rsidRPr="00841A33">
        <w:rPr>
          <w:rStyle w:val="Refdenotaalpie"/>
          <w:rFonts w:ascii="Verdana" w:hAnsi="Verdana"/>
          <w:sz w:val="16"/>
          <w:szCs w:val="16"/>
        </w:rPr>
        <w:footnoteRef/>
      </w:r>
      <w:r w:rsidRPr="00841A33">
        <w:rPr>
          <w:rFonts w:ascii="Verdana" w:hAnsi="Verdana"/>
          <w:sz w:val="16"/>
          <w:szCs w:val="16"/>
        </w:rPr>
        <w:t xml:space="preserve"> </w:t>
      </w:r>
      <w:r w:rsidRPr="00841A33">
        <w:rPr>
          <w:rFonts w:ascii="Verdana" w:hAnsi="Verdana"/>
          <w:sz w:val="16"/>
          <w:szCs w:val="16"/>
          <w:lang w:val="es-ES"/>
        </w:rPr>
        <w:t xml:space="preserve">Consejo de Estado. Sección Tercera, Subsección A. Auto del 6 de noviembre de 2025. </w:t>
      </w:r>
      <w:proofErr w:type="spellStart"/>
      <w:r w:rsidRPr="00841A33">
        <w:rPr>
          <w:rFonts w:ascii="Verdana" w:hAnsi="Verdana"/>
          <w:sz w:val="16"/>
          <w:szCs w:val="16"/>
          <w:lang w:val="es-ES"/>
        </w:rPr>
        <w:t>Exp</w:t>
      </w:r>
      <w:proofErr w:type="spellEnd"/>
      <w:r w:rsidRPr="00841A33">
        <w:rPr>
          <w:rFonts w:ascii="Verdana" w:hAnsi="Verdana"/>
          <w:sz w:val="16"/>
          <w:szCs w:val="16"/>
          <w:lang w:val="es-ES"/>
        </w:rPr>
        <w:t xml:space="preserve">. 72.424. C.P. Fernando </w:t>
      </w:r>
      <w:proofErr w:type="spellStart"/>
      <w:r w:rsidRPr="00841A33">
        <w:rPr>
          <w:rFonts w:ascii="Verdana" w:hAnsi="Verdana"/>
          <w:sz w:val="16"/>
          <w:szCs w:val="16"/>
          <w:lang w:val="es-ES"/>
        </w:rPr>
        <w:t>Alexei</w:t>
      </w:r>
      <w:proofErr w:type="spellEnd"/>
      <w:r w:rsidRPr="00841A33">
        <w:rPr>
          <w:rFonts w:ascii="Verdana" w:hAnsi="Verdana"/>
          <w:sz w:val="16"/>
          <w:szCs w:val="16"/>
          <w:lang w:val="es-ES"/>
        </w:rPr>
        <w:t xml:space="preserve"> Pardo Flórez. </w:t>
      </w:r>
    </w:p>
  </w:footnote>
  <w:footnote w:id="15">
    <w:p w14:paraId="179CB97A" w14:textId="77777777" w:rsidR="000132FE" w:rsidRDefault="000132FE" w:rsidP="000132FE">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6" w:name="_Hlk192533196"/>
      <w:r w:rsidRPr="00FA6811">
        <w:rPr>
          <w:rFonts w:ascii="Verdana" w:hAnsi="Verdana" w:cs="Arial"/>
          <w:sz w:val="16"/>
          <w:szCs w:val="16"/>
        </w:rPr>
        <w:t>Consejo de Estado. Sala de Consulta y Servicio Civil. Concepto del 15 de noviembre de 2007. Expediente número 1863. Consejero Ponente: Luis Fernando Álvarez Jaramillo.</w:t>
      </w:r>
    </w:p>
    <w:p w14:paraId="72844C24" w14:textId="77777777" w:rsidR="000132FE" w:rsidRPr="00FA6811" w:rsidRDefault="000132FE" w:rsidP="000132FE">
      <w:pPr>
        <w:pStyle w:val="Textonotapie"/>
        <w:ind w:firstLine="709"/>
        <w:contextualSpacing/>
        <w:jc w:val="both"/>
        <w:rPr>
          <w:rFonts w:ascii="Verdana" w:hAnsi="Verdana" w:cs="Arial"/>
          <w:sz w:val="16"/>
          <w:szCs w:val="16"/>
        </w:rPr>
      </w:pPr>
    </w:p>
    <w:bookmarkEnd w:id="6"/>
  </w:footnote>
  <w:footnote w:id="16">
    <w:p w14:paraId="586A0493" w14:textId="77777777" w:rsidR="000132FE" w:rsidRDefault="000132FE" w:rsidP="000132FE">
      <w:pPr>
        <w:pStyle w:val="Textonotapie"/>
        <w:ind w:firstLine="709"/>
        <w:contextualSpacing/>
        <w:rPr>
          <w:rFonts w:ascii="Verdana" w:hAnsi="Verdana"/>
          <w:sz w:val="16"/>
          <w:szCs w:val="16"/>
        </w:rPr>
      </w:pPr>
      <w:r w:rsidRPr="00E55DA4">
        <w:rPr>
          <w:rStyle w:val="Refdenotaalpie"/>
          <w:rFonts w:ascii="Verdana" w:hAnsi="Verdana"/>
          <w:sz w:val="16"/>
          <w:szCs w:val="16"/>
        </w:rPr>
        <w:footnoteRef/>
      </w:r>
      <w:r w:rsidRPr="00E55DA4">
        <w:rPr>
          <w:rFonts w:ascii="Verdana" w:hAnsi="Verdana"/>
          <w:sz w:val="16"/>
          <w:szCs w:val="16"/>
        </w:rPr>
        <w:t xml:space="preserve"> Circular Externa No. 006 de 2025 expedida por la Agencia Nacional de Contratación Pública. Disponible en </w:t>
      </w:r>
      <w:hyperlink r:id="rId1" w:history="1">
        <w:r w:rsidRPr="00E55DA4">
          <w:rPr>
            <w:rStyle w:val="Hipervnculo"/>
            <w:rFonts w:ascii="Verdana" w:hAnsi="Verdana"/>
            <w:sz w:val="16"/>
            <w:szCs w:val="16"/>
            <w:lang w:val="es-CO"/>
          </w:rPr>
          <w:t>006-de-2025-Circular-Externa-L996-ajustado-comentarios-BM-BID-Rev-ARSC-V3.d-1.pdf</w:t>
        </w:r>
      </w:hyperlink>
    </w:p>
    <w:p w14:paraId="763E7336" w14:textId="77777777" w:rsidR="000132FE" w:rsidRPr="00E55DA4" w:rsidRDefault="000132FE" w:rsidP="000132FE">
      <w:pPr>
        <w:pStyle w:val="Textonotapie"/>
        <w:ind w:firstLine="709"/>
        <w:contextualSpacing/>
        <w:rPr>
          <w:rFonts w:ascii="Verdana" w:hAnsi="Verdana"/>
          <w:sz w:val="16"/>
          <w:szCs w:val="16"/>
        </w:rPr>
      </w:pPr>
    </w:p>
  </w:footnote>
  <w:footnote w:id="17">
    <w:p w14:paraId="54D6C977" w14:textId="77777777" w:rsidR="000132FE" w:rsidRDefault="000132FE" w:rsidP="000132FE">
      <w:pPr>
        <w:pStyle w:val="Textonotapie"/>
        <w:ind w:firstLine="709"/>
        <w:contextualSpacing/>
        <w:rPr>
          <w:rFonts w:ascii="Verdana" w:hAnsi="Verdana"/>
          <w:sz w:val="16"/>
          <w:szCs w:val="16"/>
        </w:rPr>
      </w:pPr>
      <w:r w:rsidRPr="0067738A">
        <w:rPr>
          <w:rStyle w:val="Refdenotaalpie"/>
          <w:rFonts w:ascii="Verdana" w:hAnsi="Verdana"/>
          <w:sz w:val="16"/>
          <w:szCs w:val="16"/>
        </w:rPr>
        <w:footnoteRef/>
      </w:r>
      <w:r w:rsidRPr="0067738A">
        <w:rPr>
          <w:rFonts w:ascii="Verdana" w:hAnsi="Verdana"/>
          <w:sz w:val="16"/>
          <w:szCs w:val="16"/>
        </w:rPr>
        <w:t xml:space="preserve"> </w:t>
      </w:r>
      <w:hyperlink r:id="rId2" w:history="1">
        <w:r w:rsidRPr="0067738A">
          <w:rPr>
            <w:rStyle w:val="Hipervnculo"/>
            <w:rFonts w:ascii="Verdana" w:hAnsi="Verdana"/>
            <w:sz w:val="16"/>
            <w:szCs w:val="16"/>
          </w:rPr>
          <w:t>https://registraduria.gov.co/Que-son-las-elecciones-atipicas.html</w:t>
        </w:r>
      </w:hyperlink>
      <w:r w:rsidRPr="0067738A">
        <w:rPr>
          <w:rFonts w:ascii="Verdana" w:hAnsi="Verdana"/>
          <w:sz w:val="16"/>
          <w:szCs w:val="16"/>
        </w:rPr>
        <w:t xml:space="preserve"> </w:t>
      </w:r>
    </w:p>
    <w:p w14:paraId="4EFBB4F8" w14:textId="77777777" w:rsidR="000132FE" w:rsidRPr="0067738A" w:rsidRDefault="000132FE" w:rsidP="000132FE">
      <w:pPr>
        <w:pStyle w:val="Textonotapie"/>
        <w:ind w:firstLine="709"/>
        <w:contextualSpacing/>
        <w:rPr>
          <w:rFonts w:ascii="Verdana" w:hAnsi="Verdana"/>
          <w:sz w:val="16"/>
          <w:szCs w:val="16"/>
          <w:lang w:val="es-CO"/>
        </w:rPr>
      </w:pPr>
    </w:p>
  </w:footnote>
  <w:footnote w:id="18">
    <w:p w14:paraId="295A66A9" w14:textId="77777777" w:rsidR="000132FE" w:rsidRDefault="000132FE" w:rsidP="000132FE">
      <w:pPr>
        <w:pStyle w:val="Textonotapie"/>
        <w:ind w:firstLine="709"/>
        <w:contextualSpacing/>
        <w:rPr>
          <w:rFonts w:ascii="Verdana" w:hAnsi="Verdana"/>
          <w:sz w:val="16"/>
          <w:szCs w:val="16"/>
          <w:lang w:val="es-CO"/>
        </w:rPr>
      </w:pPr>
      <w:r w:rsidRPr="0067738A">
        <w:rPr>
          <w:rStyle w:val="Refdenotaalpie"/>
          <w:rFonts w:ascii="Verdana" w:hAnsi="Verdana"/>
          <w:sz w:val="16"/>
          <w:szCs w:val="16"/>
        </w:rPr>
        <w:footnoteRef/>
      </w:r>
      <w:r w:rsidRPr="0067738A">
        <w:rPr>
          <w:rFonts w:ascii="Verdana" w:hAnsi="Verdana"/>
          <w:sz w:val="16"/>
          <w:szCs w:val="16"/>
        </w:rPr>
        <w:t xml:space="preserve"> </w:t>
      </w:r>
      <w:r w:rsidRPr="0067738A">
        <w:rPr>
          <w:rFonts w:ascii="Verdana" w:hAnsi="Verdana"/>
          <w:sz w:val="16"/>
          <w:szCs w:val="16"/>
          <w:lang w:val="es-CO"/>
        </w:rPr>
        <w:t>Ley 136 de 1994. Artículo 98</w:t>
      </w:r>
      <w:r>
        <w:rPr>
          <w:rFonts w:ascii="Verdana" w:hAnsi="Verdana"/>
          <w:sz w:val="16"/>
          <w:szCs w:val="16"/>
          <w:lang w:val="es-CO"/>
        </w:rPr>
        <w:t>.</w:t>
      </w:r>
    </w:p>
    <w:p w14:paraId="0C212FB3" w14:textId="77777777" w:rsidR="000132FE" w:rsidRPr="0067738A" w:rsidRDefault="000132FE" w:rsidP="000132FE">
      <w:pPr>
        <w:pStyle w:val="Textonotapie"/>
        <w:ind w:firstLine="709"/>
        <w:contextualSpacing/>
        <w:rPr>
          <w:rFonts w:ascii="Verdana" w:hAnsi="Verdana"/>
          <w:sz w:val="16"/>
          <w:szCs w:val="16"/>
          <w:lang w:val="es-CO"/>
        </w:rPr>
      </w:pPr>
    </w:p>
  </w:footnote>
  <w:footnote w:id="19">
    <w:p w14:paraId="702F9262" w14:textId="77777777" w:rsidR="000132FE" w:rsidRDefault="000132FE" w:rsidP="000132FE">
      <w:pPr>
        <w:pStyle w:val="Textonotapie"/>
        <w:ind w:firstLine="709"/>
        <w:contextualSpacing/>
        <w:jc w:val="both"/>
        <w:rPr>
          <w:rFonts w:ascii="Verdana" w:hAnsi="Verdana" w:cs="Arial"/>
          <w:sz w:val="16"/>
          <w:szCs w:val="16"/>
        </w:rPr>
      </w:pPr>
      <w:r w:rsidRPr="0067777A">
        <w:rPr>
          <w:rStyle w:val="Refdenotaalpie"/>
          <w:rFonts w:ascii="Verdana" w:hAnsi="Verdana"/>
          <w:sz w:val="16"/>
          <w:szCs w:val="16"/>
        </w:rPr>
        <w:footnoteRef/>
      </w:r>
      <w:r w:rsidRPr="0067777A">
        <w:rPr>
          <w:rFonts w:ascii="Verdana" w:hAnsi="Verdana"/>
          <w:sz w:val="16"/>
          <w:szCs w:val="16"/>
        </w:rPr>
        <w:t xml:space="preserve"> </w:t>
      </w:r>
      <w:r w:rsidRPr="00FA6811">
        <w:rPr>
          <w:rFonts w:ascii="Verdana" w:hAnsi="Verdana" w:cs="Arial"/>
          <w:sz w:val="16"/>
          <w:szCs w:val="16"/>
        </w:rPr>
        <w:t xml:space="preserve">Consejo de Estado. Sala de Consulta y Servicio Civil. Concepto del </w:t>
      </w:r>
      <w:r>
        <w:rPr>
          <w:rFonts w:ascii="Verdana" w:hAnsi="Verdana" w:cs="Arial"/>
          <w:sz w:val="16"/>
          <w:szCs w:val="16"/>
        </w:rPr>
        <w:t>20</w:t>
      </w:r>
      <w:r w:rsidRPr="00FA6811">
        <w:rPr>
          <w:rFonts w:ascii="Verdana" w:hAnsi="Verdana" w:cs="Arial"/>
          <w:sz w:val="16"/>
          <w:szCs w:val="16"/>
        </w:rPr>
        <w:t xml:space="preserve"> de </w:t>
      </w:r>
      <w:r>
        <w:rPr>
          <w:rFonts w:ascii="Verdana" w:hAnsi="Verdana" w:cs="Arial"/>
          <w:sz w:val="16"/>
          <w:szCs w:val="16"/>
        </w:rPr>
        <w:t>febrero</w:t>
      </w:r>
      <w:r w:rsidRPr="00FA6811">
        <w:rPr>
          <w:rFonts w:ascii="Verdana" w:hAnsi="Verdana" w:cs="Arial"/>
          <w:sz w:val="16"/>
          <w:szCs w:val="16"/>
        </w:rPr>
        <w:t xml:space="preserve"> de 20</w:t>
      </w:r>
      <w:r>
        <w:rPr>
          <w:rFonts w:ascii="Verdana" w:hAnsi="Verdana" w:cs="Arial"/>
          <w:sz w:val="16"/>
          <w:szCs w:val="16"/>
        </w:rPr>
        <w:t>18</w:t>
      </w:r>
      <w:r w:rsidRPr="00FA6811">
        <w:rPr>
          <w:rFonts w:ascii="Verdana" w:hAnsi="Verdana" w:cs="Arial"/>
          <w:sz w:val="16"/>
          <w:szCs w:val="16"/>
        </w:rPr>
        <w:t>. Expediente número 1</w:t>
      </w:r>
      <w:r>
        <w:rPr>
          <w:rFonts w:ascii="Verdana" w:hAnsi="Verdana" w:cs="Arial"/>
          <w:sz w:val="16"/>
          <w:szCs w:val="16"/>
        </w:rPr>
        <w:t>2366</w:t>
      </w:r>
      <w:r w:rsidRPr="00FA6811">
        <w:rPr>
          <w:rFonts w:ascii="Verdana" w:hAnsi="Verdana" w:cs="Arial"/>
          <w:sz w:val="16"/>
          <w:szCs w:val="16"/>
        </w:rPr>
        <w:t xml:space="preserve">. Consejero Ponente: </w:t>
      </w:r>
      <w:r>
        <w:rPr>
          <w:rFonts w:ascii="Verdana" w:hAnsi="Verdana" w:cs="Arial"/>
          <w:sz w:val="16"/>
          <w:szCs w:val="16"/>
        </w:rPr>
        <w:t>Oscar Darío Amaya Navas</w:t>
      </w:r>
      <w:r w:rsidRPr="00FA6811">
        <w:rPr>
          <w:rFonts w:ascii="Verdana" w:hAnsi="Verdana" w:cs="Arial"/>
          <w:sz w:val="16"/>
          <w:szCs w:val="16"/>
        </w:rPr>
        <w:t>.</w:t>
      </w:r>
    </w:p>
    <w:p w14:paraId="6C0FA7D2" w14:textId="77777777" w:rsidR="000132FE" w:rsidRPr="00E776AA" w:rsidRDefault="000132FE" w:rsidP="000132FE">
      <w:pPr>
        <w:pStyle w:val="Textonotapie"/>
        <w:ind w:firstLine="709"/>
        <w:contextualSpacing/>
        <w:jc w:val="both"/>
        <w:rPr>
          <w:rFonts w:ascii="Verdana" w:hAnsi="Verdana" w:cs="Arial"/>
          <w:sz w:val="16"/>
          <w:szCs w:val="16"/>
        </w:rPr>
      </w:pPr>
    </w:p>
  </w:footnote>
  <w:footnote w:id="20">
    <w:p w14:paraId="2FA6049F" w14:textId="77777777" w:rsidR="000132FE" w:rsidRPr="0020788E" w:rsidRDefault="000132FE" w:rsidP="000132FE">
      <w:pPr>
        <w:pStyle w:val="Textonotapie"/>
        <w:ind w:firstLine="709"/>
        <w:contextualSpacing/>
        <w:rPr>
          <w:rFonts w:ascii="Verdana" w:hAnsi="Verdana"/>
          <w:sz w:val="16"/>
          <w:szCs w:val="16"/>
          <w:lang w:val="es-CO"/>
        </w:rPr>
      </w:pPr>
      <w:r w:rsidRPr="0067777A">
        <w:rPr>
          <w:rStyle w:val="Refdenotaalpie"/>
          <w:rFonts w:ascii="Verdana" w:hAnsi="Verdana"/>
          <w:sz w:val="16"/>
          <w:szCs w:val="16"/>
        </w:rPr>
        <w:footnoteRef/>
      </w:r>
      <w:r w:rsidRPr="0067777A">
        <w:rPr>
          <w:rFonts w:ascii="Verdana" w:hAnsi="Verdana"/>
          <w:sz w:val="16"/>
          <w:szCs w:val="16"/>
        </w:rPr>
        <w:t xml:space="preserve"> </w:t>
      </w:r>
      <w:r w:rsidRPr="0020788E">
        <w:rPr>
          <w:rFonts w:ascii="Verdana" w:hAnsi="Verdana"/>
          <w:sz w:val="16"/>
          <w:szCs w:val="16"/>
        </w:rPr>
        <w:t xml:space="preserve">Disponible en: </w:t>
      </w:r>
      <w:hyperlink r:id="rId3" w:history="1">
        <w:r w:rsidRPr="0020788E">
          <w:rPr>
            <w:rStyle w:val="Hipervnculo"/>
            <w:rFonts w:ascii="Verdana" w:hAnsi="Verdana"/>
            <w:sz w:val="16"/>
            <w:szCs w:val="16"/>
          </w:rPr>
          <w:t>https://relatoria.cne.gov.co/relatoria/</w:t>
        </w:r>
      </w:hyperlink>
      <w:r w:rsidRPr="0020788E">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8"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D2909C8"/>
    <w:multiLevelType w:val="hybridMultilevel"/>
    <w:tmpl w:val="E2F20D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CDAFB02"/>
    <w:multiLevelType w:val="hybridMultilevel"/>
    <w:tmpl w:val="CE543F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7"/>
  </w:num>
  <w:num w:numId="2">
    <w:abstractNumId w:val="1"/>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5"/>
  </w:num>
  <w:num w:numId="7">
    <w:abstractNumId w:val="6"/>
  </w:num>
  <w:num w:numId="8">
    <w:abstractNumId w:val="14"/>
  </w:num>
  <w:num w:numId="9">
    <w:abstractNumId w:val="8"/>
  </w:num>
  <w:num w:numId="10">
    <w:abstractNumId w:val="13"/>
  </w:num>
  <w:num w:numId="11">
    <w:abstractNumId w:val="9"/>
  </w:num>
  <w:num w:numId="12">
    <w:abstractNumId w:val="0"/>
  </w:num>
  <w:num w:numId="13">
    <w:abstractNumId w:val="3"/>
  </w:num>
  <w:num w:numId="14">
    <w:abstractNumId w:val="16"/>
  </w:num>
  <w:num w:numId="15">
    <w:abstractNumId w:val="12"/>
  </w:num>
  <w:num w:numId="16">
    <w:abstractNumId w:val="4"/>
  </w:num>
  <w:num w:numId="17">
    <w:abstractNumId w:val="10"/>
  </w:num>
  <w:num w:numId="18">
    <w:abstractNumId w:val="17"/>
  </w:num>
  <w:num w:numId="19">
    <w:abstractNumId w:val="11"/>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2FE"/>
    <w:rsid w:val="00016F78"/>
    <w:rsid w:val="00046945"/>
    <w:rsid w:val="0005208B"/>
    <w:rsid w:val="00061B2A"/>
    <w:rsid w:val="000711CF"/>
    <w:rsid w:val="00082362"/>
    <w:rsid w:val="000A683E"/>
    <w:rsid w:val="000B19B9"/>
    <w:rsid w:val="000D0334"/>
    <w:rsid w:val="000D5DA7"/>
    <w:rsid w:val="000F6486"/>
    <w:rsid w:val="00105C57"/>
    <w:rsid w:val="00116940"/>
    <w:rsid w:val="00125105"/>
    <w:rsid w:val="00127233"/>
    <w:rsid w:val="001328F3"/>
    <w:rsid w:val="0015699B"/>
    <w:rsid w:val="001A33BF"/>
    <w:rsid w:val="001E2E05"/>
    <w:rsid w:val="001E4177"/>
    <w:rsid w:val="001F0B24"/>
    <w:rsid w:val="001F7DC6"/>
    <w:rsid w:val="002209DE"/>
    <w:rsid w:val="0022400B"/>
    <w:rsid w:val="002421BB"/>
    <w:rsid w:val="0025796E"/>
    <w:rsid w:val="002707A2"/>
    <w:rsid w:val="0028778F"/>
    <w:rsid w:val="002951A0"/>
    <w:rsid w:val="002962BC"/>
    <w:rsid w:val="002A093D"/>
    <w:rsid w:val="002A0DD0"/>
    <w:rsid w:val="002A49AC"/>
    <w:rsid w:val="002A64FD"/>
    <w:rsid w:val="002B730F"/>
    <w:rsid w:val="002C1A08"/>
    <w:rsid w:val="002C7A84"/>
    <w:rsid w:val="002E2BF8"/>
    <w:rsid w:val="002E4FD9"/>
    <w:rsid w:val="0030657A"/>
    <w:rsid w:val="00316053"/>
    <w:rsid w:val="00322A85"/>
    <w:rsid w:val="00324168"/>
    <w:rsid w:val="00330834"/>
    <w:rsid w:val="003448F4"/>
    <w:rsid w:val="00374F5E"/>
    <w:rsid w:val="00377E3E"/>
    <w:rsid w:val="00381BAB"/>
    <w:rsid w:val="003A779E"/>
    <w:rsid w:val="003D0F4D"/>
    <w:rsid w:val="003D5B0D"/>
    <w:rsid w:val="003E0499"/>
    <w:rsid w:val="003E4F80"/>
    <w:rsid w:val="003E6439"/>
    <w:rsid w:val="003F3941"/>
    <w:rsid w:val="00406575"/>
    <w:rsid w:val="004140B3"/>
    <w:rsid w:val="00414C74"/>
    <w:rsid w:val="0042722E"/>
    <w:rsid w:val="00434912"/>
    <w:rsid w:val="0044528D"/>
    <w:rsid w:val="004555EA"/>
    <w:rsid w:val="00466E39"/>
    <w:rsid w:val="00494F04"/>
    <w:rsid w:val="004A1847"/>
    <w:rsid w:val="004A305D"/>
    <w:rsid w:val="004B3DAC"/>
    <w:rsid w:val="004C34E3"/>
    <w:rsid w:val="004E5865"/>
    <w:rsid w:val="004F21C4"/>
    <w:rsid w:val="004F685F"/>
    <w:rsid w:val="00526358"/>
    <w:rsid w:val="005566E8"/>
    <w:rsid w:val="00574867"/>
    <w:rsid w:val="00591460"/>
    <w:rsid w:val="005A65E0"/>
    <w:rsid w:val="005C0881"/>
    <w:rsid w:val="005C3777"/>
    <w:rsid w:val="005C5CDC"/>
    <w:rsid w:val="005D476C"/>
    <w:rsid w:val="005F20A4"/>
    <w:rsid w:val="00603C5B"/>
    <w:rsid w:val="006200BF"/>
    <w:rsid w:val="0062143E"/>
    <w:rsid w:val="006219F8"/>
    <w:rsid w:val="006302F7"/>
    <w:rsid w:val="00646B9F"/>
    <w:rsid w:val="00646F74"/>
    <w:rsid w:val="00665D70"/>
    <w:rsid w:val="00665DED"/>
    <w:rsid w:val="00684F67"/>
    <w:rsid w:val="006900D9"/>
    <w:rsid w:val="006A2BE4"/>
    <w:rsid w:val="006C4BC5"/>
    <w:rsid w:val="007025D7"/>
    <w:rsid w:val="00706C16"/>
    <w:rsid w:val="00731F30"/>
    <w:rsid w:val="007340C3"/>
    <w:rsid w:val="0075235A"/>
    <w:rsid w:val="00756841"/>
    <w:rsid w:val="007649AB"/>
    <w:rsid w:val="007661A1"/>
    <w:rsid w:val="00771D0C"/>
    <w:rsid w:val="007833AC"/>
    <w:rsid w:val="00795086"/>
    <w:rsid w:val="007968D1"/>
    <w:rsid w:val="007A1830"/>
    <w:rsid w:val="007B268C"/>
    <w:rsid w:val="007B7171"/>
    <w:rsid w:val="007C0C0F"/>
    <w:rsid w:val="007C3DC2"/>
    <w:rsid w:val="007D3058"/>
    <w:rsid w:val="007E5497"/>
    <w:rsid w:val="00806F5F"/>
    <w:rsid w:val="00820278"/>
    <w:rsid w:val="008258C9"/>
    <w:rsid w:val="00833286"/>
    <w:rsid w:val="00836232"/>
    <w:rsid w:val="00841A33"/>
    <w:rsid w:val="00844AE9"/>
    <w:rsid w:val="00867F95"/>
    <w:rsid w:val="008843B6"/>
    <w:rsid w:val="00891928"/>
    <w:rsid w:val="008A446D"/>
    <w:rsid w:val="008B25F1"/>
    <w:rsid w:val="008C517A"/>
    <w:rsid w:val="008C7DC3"/>
    <w:rsid w:val="008D0A3B"/>
    <w:rsid w:val="008D180B"/>
    <w:rsid w:val="008F0EA7"/>
    <w:rsid w:val="008F17DC"/>
    <w:rsid w:val="008F4334"/>
    <w:rsid w:val="008F6705"/>
    <w:rsid w:val="00923EEF"/>
    <w:rsid w:val="009419F9"/>
    <w:rsid w:val="0095685E"/>
    <w:rsid w:val="00961B09"/>
    <w:rsid w:val="00965334"/>
    <w:rsid w:val="0097093E"/>
    <w:rsid w:val="009A0486"/>
    <w:rsid w:val="009A0DFA"/>
    <w:rsid w:val="009B2D26"/>
    <w:rsid w:val="009C71FA"/>
    <w:rsid w:val="009C72E7"/>
    <w:rsid w:val="009C7F7E"/>
    <w:rsid w:val="009D3058"/>
    <w:rsid w:val="009F3A13"/>
    <w:rsid w:val="00A0334B"/>
    <w:rsid w:val="00A122D3"/>
    <w:rsid w:val="00A14468"/>
    <w:rsid w:val="00A17F13"/>
    <w:rsid w:val="00A20739"/>
    <w:rsid w:val="00A23AF9"/>
    <w:rsid w:val="00A31A76"/>
    <w:rsid w:val="00A33C78"/>
    <w:rsid w:val="00A73F45"/>
    <w:rsid w:val="00AB0ADB"/>
    <w:rsid w:val="00B00C0E"/>
    <w:rsid w:val="00B01B1A"/>
    <w:rsid w:val="00B44A47"/>
    <w:rsid w:val="00B54271"/>
    <w:rsid w:val="00B72CD3"/>
    <w:rsid w:val="00B72FFF"/>
    <w:rsid w:val="00B74092"/>
    <w:rsid w:val="00BC3D36"/>
    <w:rsid w:val="00BC70CB"/>
    <w:rsid w:val="00BD54A6"/>
    <w:rsid w:val="00BD7F72"/>
    <w:rsid w:val="00BF5C08"/>
    <w:rsid w:val="00BF7425"/>
    <w:rsid w:val="00C04FB3"/>
    <w:rsid w:val="00C11D8B"/>
    <w:rsid w:val="00C330EB"/>
    <w:rsid w:val="00C50D69"/>
    <w:rsid w:val="00C5365C"/>
    <w:rsid w:val="00C754BE"/>
    <w:rsid w:val="00C7588C"/>
    <w:rsid w:val="00C76B1C"/>
    <w:rsid w:val="00C925AC"/>
    <w:rsid w:val="00CB6357"/>
    <w:rsid w:val="00CC1B26"/>
    <w:rsid w:val="00CD1E16"/>
    <w:rsid w:val="00D06146"/>
    <w:rsid w:val="00D0699E"/>
    <w:rsid w:val="00D334DD"/>
    <w:rsid w:val="00D361FD"/>
    <w:rsid w:val="00D423A2"/>
    <w:rsid w:val="00D44E26"/>
    <w:rsid w:val="00D51A5D"/>
    <w:rsid w:val="00D520D8"/>
    <w:rsid w:val="00D62B9C"/>
    <w:rsid w:val="00D63AC2"/>
    <w:rsid w:val="00D7383B"/>
    <w:rsid w:val="00D7788A"/>
    <w:rsid w:val="00DA231B"/>
    <w:rsid w:val="00DC39FC"/>
    <w:rsid w:val="00DC7CCB"/>
    <w:rsid w:val="00DF5254"/>
    <w:rsid w:val="00E02524"/>
    <w:rsid w:val="00E16408"/>
    <w:rsid w:val="00E20894"/>
    <w:rsid w:val="00E245AB"/>
    <w:rsid w:val="00E2764C"/>
    <w:rsid w:val="00E27F2E"/>
    <w:rsid w:val="00E50AFE"/>
    <w:rsid w:val="00E61705"/>
    <w:rsid w:val="00E75C92"/>
    <w:rsid w:val="00E771DC"/>
    <w:rsid w:val="00E8772A"/>
    <w:rsid w:val="00E90F6B"/>
    <w:rsid w:val="00E92C27"/>
    <w:rsid w:val="00EA0E3D"/>
    <w:rsid w:val="00EC38A7"/>
    <w:rsid w:val="00EE1AA8"/>
    <w:rsid w:val="00EF5E13"/>
    <w:rsid w:val="00EF60BC"/>
    <w:rsid w:val="00EF647F"/>
    <w:rsid w:val="00F23FEA"/>
    <w:rsid w:val="00F27B7B"/>
    <w:rsid w:val="00F31EDC"/>
    <w:rsid w:val="00F45D54"/>
    <w:rsid w:val="00F462B3"/>
    <w:rsid w:val="00F5664F"/>
    <w:rsid w:val="00F666C4"/>
    <w:rsid w:val="00F76AFC"/>
    <w:rsid w:val="00FA47C0"/>
    <w:rsid w:val="00FB5DD1"/>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2F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character" w:customStyle="1" w:styleId="NormalWebCar">
    <w:name w:val="Normal (Web) Car"/>
    <w:link w:val="NormalWeb"/>
    <w:uiPriority w:val="99"/>
    <w:locked/>
    <w:rsid w:val="0005208B"/>
    <w:rPr>
      <w:rFonts w:ascii="Times New Roman" w:eastAsia="Times New Roman" w:hAnsi="Times New Roman" w:cs="Times New Roman"/>
      <w:sz w:val="24"/>
      <w:szCs w:val="24"/>
      <w:lang w:eastAsia="es-CO"/>
    </w:rPr>
  </w:style>
  <w:style w:type="character" w:customStyle="1" w:styleId="baj">
    <w:name w:val="b_aj"/>
    <w:basedOn w:val="Fuentedeprrafopredeter"/>
    <w:rsid w:val="00052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relatoria.cne.gov.co/relatoria/" TargetMode="External"/><Relationship Id="rId2" Type="http://schemas.openxmlformats.org/officeDocument/2006/relationships/hyperlink" Target="https://registraduria.gov.co/Que-son-las-elecciones-atipicas.html" TargetMode="External"/><Relationship Id="rId1" Type="http://schemas.openxmlformats.org/officeDocument/2006/relationships/hyperlink" Target="https://www.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03CFCB-8A9B-4E65-BBDD-DB05F3B2DCCF}">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http://schemas.openxmlformats.org/package/2006/metadata/core-properties"/>
    <ds:schemaRef ds:uri="http://purl.org/dc/terms/"/>
    <ds:schemaRef ds:uri="9d85dbaf-23eb-4e57-a637-93dcacc8b1a1"/>
    <ds:schemaRef ds:uri="http://schemas.microsoft.com/office/2006/documentManagement/types"/>
    <ds:schemaRef ds:uri="http://purl.org/dc/elements/1.1/"/>
    <ds:schemaRef ds:uri="http://schemas.microsoft.com/office/infopath/2007/PartnerControls"/>
    <ds:schemaRef ds:uri="a6cb9e4b-f1d1-4245-83ec-6cad768d538a"/>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742A65E5-F6B8-4017-B163-7E4EBE7853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25</Pages>
  <Words>8746</Words>
  <Characters>48108</Characters>
  <Application>Microsoft Office Word</Application>
  <DocSecurity>0</DocSecurity>
  <Lines>400</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2025-11-20T15:59:00Z</dcterms:created>
  <dcterms:modified xsi:type="dcterms:W3CDTF">2025-11-20T15:59:00Z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